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25" w:rsidRDefault="00397025" w:rsidP="004A2A43">
      <w:pPr>
        <w:jc w:val="center"/>
        <w:rPr>
          <w:rFonts w:ascii="Baskerville" w:hAnsi="Baskerville" w:cs="Baskerville"/>
        </w:rPr>
        <w:sectPr w:rsidR="00397025" w:rsidSect="00797FD2">
          <w:footerReference w:type="even" r:id="rId8"/>
          <w:footerReference w:type="default" r:id="rId9"/>
          <w:pgSz w:w="12240" w:h="15840"/>
          <w:pgMar w:top="1440" w:right="1296" w:bottom="1440" w:left="1296" w:header="720" w:footer="720" w:gutter="0"/>
          <w:pgNumType w:fmt="lowerRoman" w:start="1"/>
          <w:cols w:space="720"/>
          <w:docGrid w:linePitch="360"/>
        </w:sect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FD6926" w:rsidRPr="00DF1E2F" w:rsidRDefault="00FD6926" w:rsidP="004A2A43">
      <w:pPr>
        <w:jc w:val="center"/>
        <w:rPr>
          <w:rFonts w:ascii="Baskerville" w:hAnsi="Baskerville" w:cs="Baskerville"/>
          <w:sz w:val="28"/>
          <w:szCs w:val="28"/>
        </w:rPr>
      </w:pPr>
    </w:p>
    <w:p w:rsidR="0018142B" w:rsidRPr="00DF1E2F" w:rsidRDefault="0018142B" w:rsidP="004A2A43">
      <w:pPr>
        <w:jc w:val="center"/>
        <w:rPr>
          <w:rFonts w:ascii="Baskerville" w:hAnsi="Baskerville" w:cs="Baskerville"/>
          <w:sz w:val="28"/>
          <w:szCs w:val="28"/>
        </w:rPr>
      </w:pPr>
    </w:p>
    <w:p w:rsidR="004A2A43" w:rsidRPr="00422C4F" w:rsidRDefault="004A2A43" w:rsidP="004A2A43">
      <w:pPr>
        <w:ind w:right="180"/>
        <w:jc w:val="center"/>
        <w:rPr>
          <w:rFonts w:ascii="Baskerville" w:hAnsi="Baskerville" w:cs="Baskerville"/>
          <w:sz w:val="28"/>
          <w:szCs w:val="28"/>
        </w:rPr>
      </w:pPr>
      <w:r w:rsidRPr="00422C4F">
        <w:rPr>
          <w:rFonts w:ascii="Baskerville" w:hAnsi="Baskerville" w:cs="Baskerville"/>
          <w:sz w:val="28"/>
          <w:szCs w:val="28"/>
        </w:rPr>
        <w:t>REPORT OF THE INDEPENDENT REVIEWER</w:t>
      </w:r>
    </w:p>
    <w:p w:rsidR="004A2A43" w:rsidRPr="00422C4F" w:rsidRDefault="004A2A43" w:rsidP="004A2A43">
      <w:pPr>
        <w:ind w:right="180"/>
        <w:jc w:val="center"/>
        <w:rPr>
          <w:rFonts w:ascii="Baskerville" w:hAnsi="Baskerville" w:cs="Baskerville"/>
          <w:sz w:val="28"/>
          <w:szCs w:val="28"/>
        </w:rPr>
      </w:pPr>
    </w:p>
    <w:p w:rsidR="004A2A43" w:rsidRPr="00422C4F" w:rsidRDefault="004A2A43" w:rsidP="004A2A43">
      <w:pPr>
        <w:ind w:right="180"/>
        <w:jc w:val="center"/>
        <w:rPr>
          <w:rFonts w:ascii="Baskerville" w:hAnsi="Baskerville" w:cs="Baskerville"/>
          <w:sz w:val="28"/>
          <w:szCs w:val="28"/>
        </w:rPr>
      </w:pPr>
      <w:r w:rsidRPr="00422C4F">
        <w:rPr>
          <w:rFonts w:ascii="Baskerville" w:hAnsi="Baskerville" w:cs="Baskerville"/>
          <w:sz w:val="28"/>
          <w:szCs w:val="28"/>
        </w:rPr>
        <w:t>ON COMPLIANCE</w:t>
      </w:r>
    </w:p>
    <w:p w:rsidR="004A2A43" w:rsidRPr="00422C4F" w:rsidRDefault="004A2A43" w:rsidP="004A2A43">
      <w:pPr>
        <w:ind w:right="180"/>
        <w:jc w:val="center"/>
        <w:rPr>
          <w:rFonts w:ascii="Baskerville" w:hAnsi="Baskerville" w:cs="Baskerville"/>
          <w:sz w:val="28"/>
          <w:szCs w:val="28"/>
        </w:rPr>
      </w:pPr>
    </w:p>
    <w:p w:rsidR="004A2A43" w:rsidRPr="00422C4F" w:rsidRDefault="004A2A43" w:rsidP="004A2A43">
      <w:pPr>
        <w:ind w:right="180"/>
        <w:jc w:val="center"/>
        <w:rPr>
          <w:rFonts w:ascii="Baskerville" w:hAnsi="Baskerville" w:cs="Baskerville"/>
          <w:sz w:val="28"/>
          <w:szCs w:val="28"/>
        </w:rPr>
      </w:pPr>
      <w:r w:rsidRPr="00422C4F">
        <w:rPr>
          <w:rFonts w:ascii="Baskerville" w:hAnsi="Baskerville" w:cs="Baskerville"/>
          <w:sz w:val="28"/>
          <w:szCs w:val="28"/>
        </w:rPr>
        <w:t>WITH THE</w:t>
      </w:r>
    </w:p>
    <w:p w:rsidR="004A2A43" w:rsidRPr="00422C4F" w:rsidRDefault="004A2A43" w:rsidP="004A2A43">
      <w:pPr>
        <w:ind w:right="180"/>
        <w:jc w:val="center"/>
        <w:rPr>
          <w:rFonts w:ascii="Baskerville" w:hAnsi="Baskerville" w:cs="Baskerville"/>
          <w:sz w:val="28"/>
          <w:szCs w:val="28"/>
        </w:rPr>
      </w:pPr>
    </w:p>
    <w:p w:rsidR="004A2A43" w:rsidRPr="00422C4F" w:rsidRDefault="004A2A43" w:rsidP="004A2A43">
      <w:pPr>
        <w:ind w:right="180"/>
        <w:jc w:val="center"/>
        <w:rPr>
          <w:rFonts w:ascii="Baskerville" w:hAnsi="Baskerville" w:cs="Baskerville"/>
          <w:sz w:val="28"/>
          <w:szCs w:val="28"/>
        </w:rPr>
      </w:pPr>
      <w:r w:rsidRPr="00422C4F">
        <w:rPr>
          <w:rFonts w:ascii="Baskerville" w:hAnsi="Baskerville" w:cs="Baskerville"/>
          <w:sz w:val="28"/>
          <w:szCs w:val="28"/>
        </w:rPr>
        <w:t>SETTLEMENT AGREEMENT</w:t>
      </w:r>
    </w:p>
    <w:p w:rsidR="004A2A43" w:rsidRPr="00DF1E2F" w:rsidRDefault="004A2A43" w:rsidP="004A2A43">
      <w:pPr>
        <w:ind w:right="180"/>
        <w:jc w:val="center"/>
        <w:rPr>
          <w:rFonts w:ascii="Baskerville" w:hAnsi="Baskerville" w:cs="Baskerville"/>
          <w:sz w:val="28"/>
          <w:szCs w:val="28"/>
        </w:rPr>
      </w:pPr>
    </w:p>
    <w:p w:rsidR="004A2A43" w:rsidRPr="00DF1E2F" w:rsidRDefault="004A2A43" w:rsidP="004A2A43">
      <w:pPr>
        <w:ind w:right="180"/>
        <w:jc w:val="center"/>
        <w:rPr>
          <w:rFonts w:ascii="Baskerville" w:hAnsi="Baskerville" w:cs="Baskerville"/>
          <w:sz w:val="28"/>
          <w:szCs w:val="28"/>
          <w:u w:val="single"/>
        </w:rPr>
      </w:pPr>
      <w:r w:rsidRPr="00DF1E2F">
        <w:rPr>
          <w:rFonts w:ascii="Baskerville" w:hAnsi="Baskerville" w:cs="Baskerville"/>
          <w:sz w:val="28"/>
          <w:szCs w:val="28"/>
          <w:u w:val="single"/>
        </w:rPr>
        <w:t xml:space="preserve">UNITED </w:t>
      </w:r>
      <w:r w:rsidR="00783659" w:rsidRPr="00DF1E2F">
        <w:rPr>
          <w:rFonts w:ascii="Baskerville" w:hAnsi="Baskerville" w:cs="Baskerville"/>
          <w:sz w:val="28"/>
          <w:szCs w:val="28"/>
          <w:u w:val="single"/>
        </w:rPr>
        <w:t>STATES v</w:t>
      </w:r>
      <w:r w:rsidR="00862FC1" w:rsidRPr="00DF1E2F">
        <w:rPr>
          <w:rFonts w:ascii="Baskerville" w:hAnsi="Baskerville" w:cs="Baskerville"/>
          <w:sz w:val="28"/>
          <w:szCs w:val="28"/>
          <w:u w:val="single"/>
        </w:rPr>
        <w:t>.</w:t>
      </w:r>
      <w:r w:rsidRPr="00DF1E2F">
        <w:rPr>
          <w:rFonts w:ascii="Baskerville" w:hAnsi="Baskerville" w:cs="Baskerville"/>
          <w:sz w:val="28"/>
          <w:szCs w:val="28"/>
          <w:u w:val="single"/>
        </w:rPr>
        <w:t xml:space="preserve"> COMMONWEALTH OF VIRGINIA</w:t>
      </w:r>
    </w:p>
    <w:p w:rsidR="004A2A43" w:rsidRPr="00DF1E2F" w:rsidRDefault="004A2A43" w:rsidP="004A2A43">
      <w:pPr>
        <w:ind w:right="180"/>
        <w:jc w:val="center"/>
        <w:rPr>
          <w:rFonts w:ascii="Baskerville" w:hAnsi="Baskerville" w:cs="Baskerville"/>
          <w:sz w:val="28"/>
          <w:szCs w:val="28"/>
          <w:u w:val="single"/>
        </w:rPr>
      </w:pPr>
    </w:p>
    <w:p w:rsidR="004A2A43" w:rsidRPr="00DF1E2F" w:rsidRDefault="004A2A43" w:rsidP="004A2A43">
      <w:pPr>
        <w:ind w:right="180"/>
        <w:jc w:val="center"/>
        <w:rPr>
          <w:rFonts w:ascii="Baskerville" w:hAnsi="Baskerville" w:cs="Baskerville"/>
          <w:sz w:val="28"/>
          <w:szCs w:val="28"/>
        </w:rPr>
      </w:pPr>
      <w:r w:rsidRPr="00DF1E2F">
        <w:rPr>
          <w:rFonts w:ascii="Baskerville" w:hAnsi="Baskerville" w:cs="Baskerville"/>
          <w:sz w:val="28"/>
          <w:szCs w:val="28"/>
        </w:rPr>
        <w:t>United States District Court for</w:t>
      </w:r>
    </w:p>
    <w:p w:rsidR="004A2A43" w:rsidRPr="00DF1E2F" w:rsidRDefault="004A2A43" w:rsidP="004A2A43">
      <w:pPr>
        <w:ind w:right="180"/>
        <w:jc w:val="center"/>
        <w:rPr>
          <w:rFonts w:ascii="Baskerville" w:hAnsi="Baskerville" w:cs="Baskerville"/>
          <w:sz w:val="28"/>
          <w:szCs w:val="28"/>
        </w:rPr>
      </w:pPr>
      <w:r w:rsidRPr="00DF1E2F">
        <w:rPr>
          <w:rFonts w:ascii="Baskerville" w:hAnsi="Baskerville" w:cs="Baskerville"/>
          <w:sz w:val="28"/>
          <w:szCs w:val="28"/>
        </w:rPr>
        <w:t>Eastern District of Virginia</w:t>
      </w:r>
    </w:p>
    <w:p w:rsidR="004A2A43" w:rsidRPr="00DF1E2F" w:rsidRDefault="004A2A43" w:rsidP="004A2A43">
      <w:pPr>
        <w:ind w:right="180"/>
        <w:jc w:val="center"/>
        <w:rPr>
          <w:rFonts w:ascii="Baskerville" w:hAnsi="Baskerville" w:cs="Baskerville"/>
          <w:sz w:val="28"/>
          <w:szCs w:val="28"/>
        </w:rPr>
      </w:pPr>
    </w:p>
    <w:p w:rsidR="004A2A43" w:rsidRPr="00DF1E2F" w:rsidRDefault="004A2A43" w:rsidP="004A2A43">
      <w:pPr>
        <w:ind w:right="180"/>
        <w:jc w:val="center"/>
        <w:rPr>
          <w:rFonts w:ascii="Baskerville" w:hAnsi="Baskerville" w:cs="Baskerville"/>
          <w:sz w:val="28"/>
          <w:szCs w:val="28"/>
        </w:rPr>
      </w:pPr>
      <w:r w:rsidRPr="00DF1E2F">
        <w:rPr>
          <w:rFonts w:ascii="Baskerville" w:hAnsi="Baskerville" w:cs="Baskerville"/>
          <w:sz w:val="28"/>
          <w:szCs w:val="28"/>
        </w:rPr>
        <w:t>Civil Action No. 3:12 CV 059</w:t>
      </w:r>
    </w:p>
    <w:p w:rsidR="004A2A43" w:rsidRPr="00DF1E2F" w:rsidRDefault="004A2A43" w:rsidP="004A2A43">
      <w:pPr>
        <w:ind w:right="180"/>
        <w:jc w:val="center"/>
        <w:rPr>
          <w:rFonts w:ascii="Baskerville" w:hAnsi="Baskerville" w:cs="Baskerville"/>
          <w:sz w:val="28"/>
          <w:szCs w:val="28"/>
        </w:rPr>
      </w:pPr>
    </w:p>
    <w:p w:rsidR="004A2A43" w:rsidRPr="00DF1E2F" w:rsidRDefault="00645A17" w:rsidP="004A2A43">
      <w:pPr>
        <w:ind w:right="180"/>
        <w:jc w:val="center"/>
        <w:rPr>
          <w:rFonts w:ascii="Baskerville" w:hAnsi="Baskerville" w:cs="Baskerville"/>
          <w:sz w:val="28"/>
          <w:szCs w:val="28"/>
        </w:rPr>
      </w:pPr>
      <w:r>
        <w:rPr>
          <w:rFonts w:ascii="Baskerville" w:hAnsi="Baskerville" w:cs="Baskerville"/>
          <w:sz w:val="28"/>
          <w:szCs w:val="28"/>
        </w:rPr>
        <w:t>October 7, 2014 – April</w:t>
      </w:r>
      <w:r w:rsidR="00646B87">
        <w:rPr>
          <w:rFonts w:ascii="Baskerville" w:hAnsi="Baskerville" w:cs="Baskerville"/>
          <w:sz w:val="28"/>
          <w:szCs w:val="28"/>
        </w:rPr>
        <w:t xml:space="preserve"> 6, 2015</w:t>
      </w:r>
      <w:r w:rsidR="004A2A43" w:rsidRPr="00DF1E2F">
        <w:rPr>
          <w:rFonts w:ascii="Baskerville" w:hAnsi="Baskerville" w:cs="Baskerville"/>
          <w:sz w:val="28"/>
          <w:szCs w:val="28"/>
        </w:rPr>
        <w:t xml:space="preserve"> </w:t>
      </w: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4A2A43" w:rsidRPr="00DF1E2F" w:rsidRDefault="004A2A43" w:rsidP="004A2A43">
      <w:pPr>
        <w:jc w:val="center"/>
        <w:rPr>
          <w:rFonts w:ascii="Baskerville" w:hAnsi="Baskerville" w:cs="Baskerville"/>
        </w:rPr>
      </w:pPr>
    </w:p>
    <w:p w:rsidR="00652E69" w:rsidRPr="00DF1E2F" w:rsidRDefault="00652E69" w:rsidP="004A2A43">
      <w:pPr>
        <w:jc w:val="center"/>
        <w:rPr>
          <w:rFonts w:ascii="Baskerville" w:hAnsi="Baskerville" w:cs="Baskerville"/>
        </w:rPr>
      </w:pPr>
    </w:p>
    <w:p w:rsidR="00652E69" w:rsidRPr="00DF1E2F" w:rsidRDefault="00652E69" w:rsidP="004A2A43">
      <w:pPr>
        <w:jc w:val="center"/>
        <w:rPr>
          <w:rFonts w:ascii="Baskerville" w:hAnsi="Baskerville" w:cs="Baskerville"/>
        </w:rPr>
      </w:pPr>
    </w:p>
    <w:p w:rsidR="004A2A43" w:rsidRPr="00DF1E2F" w:rsidRDefault="004A2A43" w:rsidP="004A2A43">
      <w:pPr>
        <w:ind w:right="630"/>
        <w:jc w:val="center"/>
        <w:rPr>
          <w:rFonts w:ascii="Baskerville" w:hAnsi="Baskerville" w:cs="Baskerville"/>
        </w:rPr>
      </w:pPr>
    </w:p>
    <w:p w:rsidR="00BB5D41" w:rsidRPr="00DF1E2F" w:rsidRDefault="00BB5D41" w:rsidP="00BB5D41">
      <w:pPr>
        <w:tabs>
          <w:tab w:val="left" w:pos="9270"/>
          <w:tab w:val="left" w:pos="9990"/>
        </w:tabs>
        <w:ind w:right="270"/>
        <w:jc w:val="right"/>
        <w:rPr>
          <w:rFonts w:ascii="Baskerville" w:hAnsi="Baskerville" w:cs="Baskerville"/>
        </w:rPr>
      </w:pPr>
      <w:r w:rsidRPr="00DF1E2F">
        <w:rPr>
          <w:rFonts w:ascii="Baskerville" w:hAnsi="Baskerville" w:cs="Baskerville"/>
        </w:rPr>
        <w:t>Respectfully Submitted By</w:t>
      </w:r>
    </w:p>
    <w:p w:rsidR="00FC6CBD" w:rsidRPr="00DF1E2F" w:rsidRDefault="00FC6CBD" w:rsidP="00BB5D41">
      <w:pPr>
        <w:tabs>
          <w:tab w:val="left" w:pos="9270"/>
          <w:tab w:val="left" w:pos="9990"/>
        </w:tabs>
        <w:ind w:left="6390" w:right="270"/>
        <w:jc w:val="right"/>
        <w:rPr>
          <w:rFonts w:ascii="Baskerville" w:hAnsi="Baskerville" w:cs="Baskerville"/>
        </w:rPr>
      </w:pPr>
    </w:p>
    <w:p w:rsidR="004A2A43" w:rsidRPr="00DF1E2F" w:rsidRDefault="00F44C60" w:rsidP="00BB5D41">
      <w:pPr>
        <w:tabs>
          <w:tab w:val="left" w:pos="9270"/>
          <w:tab w:val="left" w:pos="9990"/>
        </w:tabs>
        <w:ind w:left="6390" w:right="270"/>
        <w:jc w:val="right"/>
        <w:rPr>
          <w:rFonts w:ascii="Baskerville" w:hAnsi="Baskerville" w:cs="Baskerville"/>
        </w:rPr>
      </w:pPr>
      <w:r w:rsidRPr="00DF1E2F">
        <w:rPr>
          <w:rFonts w:ascii="Baskerville" w:hAnsi="Baskerville" w:cs="Baskerville"/>
          <w:noProof/>
        </w:rPr>
        <w:drawing>
          <wp:inline distT="0" distB="0" distL="0" distR="0">
            <wp:extent cx="2145030" cy="65659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5030" cy="656590"/>
                    </a:xfrm>
                    <a:prstGeom prst="rect">
                      <a:avLst/>
                    </a:prstGeom>
                    <a:noFill/>
                    <a:ln>
                      <a:noFill/>
                    </a:ln>
                  </pic:spPr>
                </pic:pic>
              </a:graphicData>
            </a:graphic>
          </wp:inline>
        </w:drawing>
      </w:r>
    </w:p>
    <w:p w:rsidR="004A2A43" w:rsidRPr="00DF1E2F" w:rsidRDefault="004A2A43" w:rsidP="004A2A43">
      <w:pPr>
        <w:tabs>
          <w:tab w:val="left" w:pos="9270"/>
          <w:tab w:val="left" w:pos="9990"/>
        </w:tabs>
        <w:ind w:right="270"/>
        <w:jc w:val="right"/>
        <w:rPr>
          <w:rFonts w:ascii="Baskerville" w:hAnsi="Baskerville" w:cs="Baskerville"/>
        </w:rPr>
      </w:pPr>
      <w:r w:rsidRPr="00DF1E2F">
        <w:rPr>
          <w:rFonts w:ascii="Baskerville" w:hAnsi="Baskerville" w:cs="Baskerville"/>
        </w:rPr>
        <w:t>Donald J. Fletcher</w:t>
      </w:r>
    </w:p>
    <w:p w:rsidR="004A2A43" w:rsidRPr="00DF1E2F" w:rsidRDefault="004A2A43" w:rsidP="004A2A43">
      <w:pPr>
        <w:tabs>
          <w:tab w:val="left" w:pos="9270"/>
          <w:tab w:val="left" w:pos="9990"/>
        </w:tabs>
        <w:ind w:right="270"/>
        <w:jc w:val="right"/>
        <w:rPr>
          <w:rFonts w:ascii="Baskerville" w:hAnsi="Baskerville" w:cs="Baskerville"/>
        </w:rPr>
      </w:pPr>
      <w:r w:rsidRPr="00DF1E2F">
        <w:rPr>
          <w:rFonts w:ascii="Baskerville" w:hAnsi="Baskerville" w:cs="Baskerville"/>
        </w:rPr>
        <w:t>Independent Reviewer</w:t>
      </w:r>
    </w:p>
    <w:p w:rsidR="00AF31CD" w:rsidRPr="00DF1E2F" w:rsidRDefault="00D93C85" w:rsidP="0018142B">
      <w:pPr>
        <w:tabs>
          <w:tab w:val="left" w:pos="9270"/>
          <w:tab w:val="left" w:pos="9990"/>
        </w:tabs>
        <w:ind w:right="270"/>
        <w:jc w:val="right"/>
        <w:rPr>
          <w:rFonts w:ascii="Baskerville" w:hAnsi="Baskerville" w:cs="Baskerville"/>
          <w:b/>
        </w:rPr>
      </w:pPr>
      <w:r>
        <w:rPr>
          <w:rFonts w:ascii="Baskerville" w:hAnsi="Baskerville" w:cs="Baskerville"/>
        </w:rPr>
        <w:t>June 6</w:t>
      </w:r>
      <w:r w:rsidR="005467C6" w:rsidRPr="00DF1E2F">
        <w:rPr>
          <w:rFonts w:ascii="Baskerville" w:hAnsi="Baskerville" w:cs="Baskerville"/>
        </w:rPr>
        <w:t>, 201</w:t>
      </w:r>
      <w:r w:rsidR="00646B87">
        <w:rPr>
          <w:rFonts w:ascii="Baskerville" w:hAnsi="Baskerville" w:cs="Baskerville"/>
        </w:rPr>
        <w:t>5</w:t>
      </w:r>
    </w:p>
    <w:p w:rsidR="00652E69" w:rsidRPr="00DF1E2F" w:rsidRDefault="00652E69" w:rsidP="004A2A43">
      <w:pPr>
        <w:tabs>
          <w:tab w:val="left" w:pos="720"/>
          <w:tab w:val="left" w:pos="9270"/>
          <w:tab w:val="left" w:pos="9990"/>
        </w:tabs>
        <w:ind w:right="270"/>
        <w:jc w:val="center"/>
        <w:rPr>
          <w:rFonts w:ascii="Baskerville" w:hAnsi="Baskerville" w:cs="Baskerville"/>
          <w:b/>
          <w:u w:val="single"/>
        </w:rPr>
      </w:pPr>
    </w:p>
    <w:p w:rsidR="003C44DD" w:rsidRPr="00DF1E2F" w:rsidRDefault="003C44DD" w:rsidP="004A2A43">
      <w:pPr>
        <w:tabs>
          <w:tab w:val="left" w:pos="720"/>
          <w:tab w:val="left" w:pos="9270"/>
          <w:tab w:val="left" w:pos="9990"/>
        </w:tabs>
        <w:ind w:right="270"/>
        <w:jc w:val="center"/>
        <w:rPr>
          <w:rFonts w:ascii="Baskerville" w:hAnsi="Baskerville" w:cs="Baskerville"/>
          <w:b/>
          <w:u w:val="single"/>
        </w:rPr>
      </w:pPr>
    </w:p>
    <w:p w:rsidR="003C44DD" w:rsidRPr="00DF1E2F" w:rsidRDefault="003C44DD" w:rsidP="000B5827">
      <w:pPr>
        <w:tabs>
          <w:tab w:val="left" w:pos="720"/>
          <w:tab w:val="left" w:pos="9270"/>
          <w:tab w:val="left" w:pos="9990"/>
        </w:tabs>
        <w:ind w:right="270"/>
        <w:jc w:val="center"/>
        <w:rPr>
          <w:rFonts w:ascii="Baskerville" w:hAnsi="Baskerville" w:cs="Baskerville"/>
          <w:b/>
          <w:u w:val="single"/>
        </w:rPr>
      </w:pPr>
    </w:p>
    <w:p w:rsidR="00E0373E" w:rsidRDefault="004A2A43" w:rsidP="000B5827">
      <w:pPr>
        <w:tabs>
          <w:tab w:val="left" w:pos="720"/>
          <w:tab w:val="left" w:pos="9270"/>
          <w:tab w:val="left" w:pos="9990"/>
        </w:tabs>
        <w:ind w:right="270"/>
        <w:jc w:val="center"/>
        <w:rPr>
          <w:rFonts w:ascii="Baskerville" w:hAnsi="Baskerville" w:cs="Baskerville"/>
          <w:b/>
          <w:sz w:val="28"/>
          <w:szCs w:val="28"/>
          <w:u w:val="single"/>
        </w:rPr>
      </w:pPr>
      <w:r w:rsidRPr="00AC6DEC">
        <w:rPr>
          <w:rFonts w:ascii="Baskerville" w:hAnsi="Baskerville" w:cs="Baskerville"/>
          <w:b/>
          <w:sz w:val="28"/>
          <w:szCs w:val="28"/>
          <w:u w:val="single"/>
        </w:rPr>
        <w:lastRenderedPageBreak/>
        <w:t>TABLE OF CONTENTS</w:t>
      </w:r>
    </w:p>
    <w:p w:rsidR="00BB1C5F" w:rsidRPr="00DB7B75" w:rsidRDefault="00BB1C5F" w:rsidP="000B5827">
      <w:pPr>
        <w:tabs>
          <w:tab w:val="left" w:pos="720"/>
          <w:tab w:val="left" w:pos="9270"/>
          <w:tab w:val="left" w:pos="9990"/>
        </w:tabs>
        <w:ind w:right="270"/>
        <w:jc w:val="center"/>
        <w:rPr>
          <w:rFonts w:ascii="Baskerville" w:hAnsi="Baskerville" w:cs="Baskerville"/>
          <w:b/>
          <w:sz w:val="28"/>
          <w:szCs w:val="28"/>
          <w:u w:val="single"/>
        </w:rPr>
      </w:pPr>
    </w:p>
    <w:p w:rsidR="004A2A43" w:rsidRPr="00DF1E2F" w:rsidRDefault="004A2A43" w:rsidP="000B5827">
      <w:pPr>
        <w:tabs>
          <w:tab w:val="left" w:pos="8280"/>
          <w:tab w:val="left" w:pos="8640"/>
        </w:tabs>
        <w:ind w:right="270"/>
        <w:rPr>
          <w:rFonts w:ascii="Baskerville" w:hAnsi="Baskerville" w:cs="Baskerville"/>
        </w:rPr>
      </w:pPr>
      <w:r w:rsidRPr="00DF1E2F">
        <w:rPr>
          <w:rFonts w:ascii="Baskerville" w:hAnsi="Baskerville" w:cs="Baskerville"/>
        </w:rPr>
        <w:t xml:space="preserve">                                                                                                    </w:t>
      </w:r>
      <w:r w:rsidRPr="00DF1E2F">
        <w:rPr>
          <w:rFonts w:ascii="Baskerville" w:hAnsi="Baskerville" w:cs="Baskerville"/>
        </w:rPr>
        <w:tab/>
      </w:r>
    </w:p>
    <w:p w:rsidR="004A2A43" w:rsidRPr="006166B1" w:rsidRDefault="004A2A43" w:rsidP="000B5827">
      <w:pPr>
        <w:tabs>
          <w:tab w:val="left" w:pos="1440"/>
          <w:tab w:val="right" w:pos="9000"/>
        </w:tabs>
        <w:ind w:left="720" w:hanging="720"/>
        <w:rPr>
          <w:rFonts w:ascii="Baskerville" w:hAnsi="Baskerville" w:cs="Baskerville"/>
          <w:b/>
          <w:u w:val="single"/>
        </w:rPr>
      </w:pPr>
      <w:r w:rsidRPr="00DF1E2F">
        <w:rPr>
          <w:rFonts w:ascii="Baskerville" w:hAnsi="Baskerville" w:cs="Baskerville"/>
          <w:b/>
        </w:rPr>
        <w:t>I.</w:t>
      </w:r>
      <w:r w:rsidRPr="00DF1E2F">
        <w:rPr>
          <w:rFonts w:ascii="Baskerville" w:hAnsi="Baskerville" w:cs="Baskerville"/>
          <w:b/>
        </w:rPr>
        <w:tab/>
      </w:r>
      <w:r w:rsidR="00AB4D26" w:rsidRPr="006166B1">
        <w:rPr>
          <w:rFonts w:ascii="Baskerville" w:hAnsi="Baskerville" w:cs="Baskerville"/>
          <w:b/>
          <w:u w:val="single"/>
        </w:rPr>
        <w:t>EXECUTIVE SUMM</w:t>
      </w:r>
      <w:r w:rsidR="008307F6" w:rsidRPr="006166B1">
        <w:rPr>
          <w:rFonts w:ascii="Baskerville" w:hAnsi="Baskerville" w:cs="Baskerville"/>
          <w:b/>
          <w:u w:val="single"/>
        </w:rPr>
        <w:t>ARY…………………………………………</w:t>
      </w:r>
      <w:r w:rsidR="00EB09A4" w:rsidRPr="006166B1">
        <w:rPr>
          <w:rFonts w:ascii="Baskerville" w:hAnsi="Baskerville" w:cs="Baskerville"/>
          <w:b/>
          <w:u w:val="single"/>
        </w:rPr>
        <w:t>.</w:t>
      </w:r>
      <w:r w:rsidR="008307F6" w:rsidRPr="006166B1">
        <w:rPr>
          <w:rFonts w:ascii="Baskerville" w:hAnsi="Baskerville" w:cs="Baskerville"/>
          <w:b/>
          <w:u w:val="single"/>
        </w:rPr>
        <w:t>……</w:t>
      </w:r>
      <w:r w:rsidR="00356976" w:rsidRPr="006166B1">
        <w:rPr>
          <w:rFonts w:ascii="Baskerville" w:hAnsi="Baskerville" w:cs="Baskerville"/>
          <w:b/>
          <w:u w:val="single"/>
        </w:rPr>
        <w:t>……………</w:t>
      </w:r>
      <w:r w:rsidR="00AC3536" w:rsidRPr="006166B1">
        <w:rPr>
          <w:rFonts w:ascii="Baskerville" w:hAnsi="Baskerville" w:cs="Baskerville"/>
          <w:b/>
          <w:u w:val="single"/>
        </w:rPr>
        <w:t xml:space="preserve">… </w:t>
      </w:r>
      <w:r w:rsidR="00356976" w:rsidRPr="006166B1">
        <w:rPr>
          <w:rFonts w:ascii="Baskerville" w:hAnsi="Baskerville" w:cs="Baskerville"/>
          <w:b/>
          <w:u w:val="single"/>
        </w:rPr>
        <w:t>3</w:t>
      </w:r>
    </w:p>
    <w:p w:rsidR="001F5B0C" w:rsidRPr="00DF1E2F" w:rsidRDefault="001F5B0C" w:rsidP="000B5827">
      <w:pPr>
        <w:tabs>
          <w:tab w:val="left" w:pos="1440"/>
          <w:tab w:val="right" w:pos="9000"/>
        </w:tabs>
        <w:ind w:left="720" w:hanging="720"/>
        <w:rPr>
          <w:rFonts w:ascii="Baskerville" w:hAnsi="Baskerville" w:cs="Baskerville"/>
          <w:b/>
        </w:rPr>
      </w:pPr>
    </w:p>
    <w:p w:rsidR="004D4EEE" w:rsidRPr="00EB09A4" w:rsidRDefault="00EB4C3A" w:rsidP="000B5827">
      <w:pPr>
        <w:tabs>
          <w:tab w:val="left" w:pos="1440"/>
          <w:tab w:val="right" w:pos="9000"/>
        </w:tabs>
        <w:ind w:left="720" w:hanging="720"/>
        <w:rPr>
          <w:rFonts w:ascii="Baskerville" w:hAnsi="Baskerville" w:cs="Baskerville"/>
        </w:rPr>
      </w:pPr>
      <w:r w:rsidRPr="00DF1E2F">
        <w:rPr>
          <w:rFonts w:ascii="Baskerville" w:hAnsi="Baskerville" w:cs="Baskerville"/>
          <w:b/>
        </w:rPr>
        <w:t>II.</w:t>
      </w:r>
      <w:r w:rsidRPr="00DF1E2F">
        <w:rPr>
          <w:rFonts w:ascii="Baskerville" w:hAnsi="Baskerville" w:cs="Baskerville"/>
          <w:b/>
        </w:rPr>
        <w:tab/>
      </w:r>
      <w:r w:rsidR="00AB4D26" w:rsidRPr="006166B1">
        <w:rPr>
          <w:rFonts w:ascii="Baskerville" w:hAnsi="Baskerville" w:cs="Baskerville"/>
          <w:b/>
          <w:u w:val="single"/>
        </w:rPr>
        <w:t>S</w:t>
      </w:r>
      <w:r w:rsidR="009926C0" w:rsidRPr="006166B1">
        <w:rPr>
          <w:rFonts w:ascii="Baskerville" w:hAnsi="Baskerville" w:cs="Baskerville"/>
          <w:b/>
          <w:u w:val="single"/>
        </w:rPr>
        <w:t xml:space="preserve">UMMARY </w:t>
      </w:r>
      <w:r w:rsidR="002A6058" w:rsidRPr="006166B1">
        <w:rPr>
          <w:rFonts w:ascii="Baskerville" w:hAnsi="Baskerville" w:cs="Baskerville"/>
          <w:b/>
          <w:u w:val="single"/>
        </w:rPr>
        <w:t>OF COMPLIANCE: YEAR THREE, SECOND HALF</w:t>
      </w:r>
      <w:r w:rsidR="00356976" w:rsidRPr="006166B1">
        <w:rPr>
          <w:rFonts w:ascii="Baskerville" w:hAnsi="Baskerville" w:cs="Baskerville"/>
          <w:b/>
          <w:u w:val="single"/>
        </w:rPr>
        <w:t>………………</w:t>
      </w:r>
      <w:r w:rsidR="00AC3536" w:rsidRPr="006166B1">
        <w:rPr>
          <w:rFonts w:ascii="Baskerville" w:hAnsi="Baskerville" w:cs="Baskerville"/>
          <w:b/>
          <w:u w:val="single"/>
        </w:rPr>
        <w:t>..</w:t>
      </w:r>
      <w:r w:rsidR="004A1062" w:rsidRPr="006166B1">
        <w:rPr>
          <w:rFonts w:ascii="Baskerville" w:hAnsi="Baskerville" w:cs="Baskerville"/>
          <w:b/>
          <w:u w:val="single"/>
        </w:rPr>
        <w:t xml:space="preserve"> </w:t>
      </w:r>
      <w:r w:rsidR="0091647D">
        <w:rPr>
          <w:rFonts w:ascii="Baskerville" w:hAnsi="Baskerville" w:cs="Baskerville"/>
          <w:b/>
          <w:u w:val="single"/>
        </w:rPr>
        <w:t>7</w:t>
      </w:r>
      <w:r w:rsidR="004A1062" w:rsidRPr="00DF1E2F">
        <w:rPr>
          <w:rFonts w:ascii="Baskerville" w:hAnsi="Baskerville" w:cs="Baskerville"/>
          <w:b/>
        </w:rPr>
        <w:t xml:space="preserve"> </w:t>
      </w:r>
      <w:r w:rsidR="002A6058" w:rsidRPr="00EB09A4">
        <w:rPr>
          <w:rFonts w:ascii="Baskerville" w:hAnsi="Baskerville" w:cs="Baskerville"/>
        </w:rPr>
        <w:tab/>
      </w:r>
      <w:r w:rsidR="004A1062" w:rsidRPr="00EB09A4">
        <w:rPr>
          <w:rFonts w:ascii="Baskerville" w:hAnsi="Baskerville" w:cs="Baskerville"/>
        </w:rPr>
        <w:t xml:space="preserve">       </w:t>
      </w:r>
    </w:p>
    <w:p w:rsidR="00270451" w:rsidRPr="00EB09A4" w:rsidRDefault="00231597" w:rsidP="000B5827">
      <w:pPr>
        <w:tabs>
          <w:tab w:val="left" w:pos="1440"/>
          <w:tab w:val="right" w:pos="9000"/>
        </w:tabs>
        <w:ind w:left="720" w:hanging="720"/>
        <w:rPr>
          <w:rFonts w:ascii="Baskerville" w:hAnsi="Baskerville" w:cs="Baskerville"/>
        </w:rPr>
      </w:pPr>
      <w:r w:rsidRPr="00EB09A4">
        <w:rPr>
          <w:rFonts w:ascii="Baskerville" w:hAnsi="Baskerville" w:cs="Baskerville"/>
        </w:rPr>
        <w:tab/>
      </w:r>
      <w:r w:rsidR="002722FA" w:rsidRPr="00EB09A4">
        <w:rPr>
          <w:rFonts w:ascii="Baskerville" w:hAnsi="Baskerville" w:cs="Baskerville"/>
        </w:rPr>
        <w:t xml:space="preserve">Section III.  </w:t>
      </w:r>
      <w:r w:rsidRPr="00EB09A4">
        <w:rPr>
          <w:rFonts w:ascii="Baskerville" w:hAnsi="Baskerville" w:cs="Baskerville"/>
        </w:rPr>
        <w:t>Serving Individuals</w:t>
      </w:r>
      <w:r w:rsidR="00E0373E" w:rsidRPr="00EB09A4">
        <w:rPr>
          <w:rFonts w:ascii="Baskerville" w:hAnsi="Baskerville" w:cs="Baskerville"/>
        </w:rPr>
        <w:t xml:space="preserve"> with ID/DD in the most integrated settings</w:t>
      </w:r>
      <w:r w:rsidR="002722FA" w:rsidRPr="00EB09A4">
        <w:rPr>
          <w:rFonts w:ascii="Baskerville" w:hAnsi="Baskerville" w:cs="Baskerville"/>
        </w:rPr>
        <w:t>.......</w:t>
      </w:r>
      <w:r w:rsidR="0091647D">
        <w:rPr>
          <w:rFonts w:ascii="Baskerville" w:hAnsi="Baskerville" w:cs="Baskerville"/>
        </w:rPr>
        <w:t>7</w:t>
      </w:r>
    </w:p>
    <w:p w:rsidR="007A2AF1" w:rsidRPr="00EB09A4" w:rsidRDefault="007A2AF1" w:rsidP="00A91FBA">
      <w:pPr>
        <w:tabs>
          <w:tab w:val="left" w:pos="1440"/>
          <w:tab w:val="right" w:pos="9000"/>
        </w:tabs>
        <w:ind w:left="720" w:right="1728" w:hanging="720"/>
        <w:rPr>
          <w:rFonts w:ascii="Baskerville" w:hAnsi="Baskerville" w:cs="Baskerville"/>
          <w:i/>
        </w:rPr>
      </w:pPr>
      <w:r w:rsidRPr="00EB09A4">
        <w:rPr>
          <w:rFonts w:ascii="Baskerville" w:hAnsi="Baskerville" w:cs="Baskerville"/>
        </w:rPr>
        <w:tab/>
      </w:r>
      <w:r w:rsidRPr="00EB09A4">
        <w:rPr>
          <w:rFonts w:ascii="Baskerville" w:hAnsi="Baskerville" w:cs="Baskerville"/>
        </w:rPr>
        <w:tab/>
      </w:r>
      <w:r w:rsidRPr="00EB09A4">
        <w:rPr>
          <w:rFonts w:ascii="Baskerville" w:hAnsi="Baskerville" w:cs="Baskerville"/>
          <w:i/>
        </w:rPr>
        <w:t>Waivers</w:t>
      </w:r>
      <w:r w:rsidR="00973297" w:rsidRPr="00EB09A4">
        <w:rPr>
          <w:rFonts w:ascii="Baskerville" w:hAnsi="Baskerville" w:cs="Baskerville"/>
          <w:i/>
        </w:rPr>
        <w:t>………………………………………………………</w:t>
      </w:r>
      <w:r w:rsidR="00F80D45" w:rsidRPr="00EB09A4">
        <w:rPr>
          <w:rFonts w:ascii="Baskerville" w:hAnsi="Baskerville" w:cs="Baskerville"/>
          <w:i/>
        </w:rPr>
        <w:t>…..</w:t>
      </w:r>
      <w:r w:rsidR="00664266" w:rsidRPr="00EB09A4">
        <w:rPr>
          <w:rFonts w:ascii="Baskerville" w:hAnsi="Baskerville" w:cs="Baskerville"/>
          <w:i/>
        </w:rPr>
        <w:t>…</w:t>
      </w:r>
      <w:r w:rsidR="00A91FBA" w:rsidRPr="00EB09A4">
        <w:rPr>
          <w:rFonts w:ascii="Baskerville" w:hAnsi="Baskerville" w:cs="Baskerville"/>
          <w:i/>
        </w:rPr>
        <w:t>.</w:t>
      </w:r>
      <w:r w:rsidR="0091647D">
        <w:rPr>
          <w:rFonts w:ascii="Baskerville" w:hAnsi="Baskerville" w:cs="Baskerville"/>
          <w:i/>
        </w:rPr>
        <w:t>7</w:t>
      </w:r>
    </w:p>
    <w:p w:rsidR="007A2AF1" w:rsidRPr="00EB09A4" w:rsidRDefault="007A2AF1" w:rsidP="00A91FBA">
      <w:pPr>
        <w:tabs>
          <w:tab w:val="left" w:pos="1440"/>
          <w:tab w:val="right" w:pos="9000"/>
        </w:tabs>
        <w:ind w:left="720" w:right="1728" w:hanging="720"/>
        <w:rPr>
          <w:rFonts w:ascii="Baskerville" w:hAnsi="Baskerville" w:cs="Baskerville"/>
          <w:i/>
        </w:rPr>
      </w:pPr>
      <w:r w:rsidRPr="00EB09A4">
        <w:rPr>
          <w:rFonts w:ascii="Baskerville" w:hAnsi="Baskerville" w:cs="Baskerville"/>
          <w:i/>
        </w:rPr>
        <w:tab/>
      </w:r>
      <w:r w:rsidRPr="00EB09A4">
        <w:rPr>
          <w:rFonts w:ascii="Baskerville" w:hAnsi="Baskerville" w:cs="Baskerville"/>
          <w:i/>
        </w:rPr>
        <w:tab/>
        <w:t>Case Management</w:t>
      </w:r>
      <w:r w:rsidR="00973297" w:rsidRPr="00EB09A4">
        <w:rPr>
          <w:rFonts w:ascii="Baskerville" w:hAnsi="Baskerville" w:cs="Baskerville"/>
          <w:i/>
        </w:rPr>
        <w:t>………………………………………</w:t>
      </w:r>
      <w:r w:rsidR="00F80D45" w:rsidRPr="00EB09A4">
        <w:rPr>
          <w:rFonts w:ascii="Baskerville" w:hAnsi="Baskerville" w:cs="Baskerville"/>
          <w:i/>
        </w:rPr>
        <w:t>…</w:t>
      </w:r>
      <w:r w:rsidR="00973297" w:rsidRPr="00EB09A4">
        <w:rPr>
          <w:rFonts w:ascii="Baskerville" w:hAnsi="Baskerville" w:cs="Baskerville"/>
          <w:i/>
        </w:rPr>
        <w:t>…</w:t>
      </w:r>
      <w:r w:rsidR="00646C8C" w:rsidRPr="00EB09A4">
        <w:rPr>
          <w:rFonts w:ascii="Baskerville" w:hAnsi="Baskerville" w:cs="Baskerville"/>
          <w:i/>
        </w:rPr>
        <w:t>.</w:t>
      </w:r>
      <w:r w:rsidR="00973297" w:rsidRPr="00EB09A4">
        <w:rPr>
          <w:rFonts w:ascii="Baskerville" w:hAnsi="Baskerville" w:cs="Baskerville"/>
          <w:i/>
        </w:rPr>
        <w:t>…</w:t>
      </w:r>
      <w:r w:rsidR="00646C8C" w:rsidRPr="00EB09A4">
        <w:rPr>
          <w:rFonts w:ascii="Baskerville" w:hAnsi="Baskerville" w:cs="Baskerville"/>
          <w:i/>
        </w:rPr>
        <w:t>…</w:t>
      </w:r>
      <w:r w:rsidR="00F80D45" w:rsidRPr="00EB09A4">
        <w:rPr>
          <w:rFonts w:ascii="Baskerville" w:hAnsi="Baskerville" w:cs="Baskerville"/>
          <w:i/>
        </w:rPr>
        <w:t>..</w:t>
      </w:r>
      <w:r w:rsidR="00646C8C" w:rsidRPr="00EB09A4">
        <w:rPr>
          <w:rFonts w:ascii="Baskerville" w:hAnsi="Baskerville" w:cs="Baskerville"/>
          <w:i/>
        </w:rPr>
        <w:t>.</w:t>
      </w:r>
      <w:r w:rsidR="00A91FBA" w:rsidRPr="00EB09A4">
        <w:rPr>
          <w:rFonts w:ascii="Baskerville" w:hAnsi="Baskerville" w:cs="Baskerville"/>
          <w:i/>
        </w:rPr>
        <w:t>.</w:t>
      </w:r>
      <w:r w:rsidR="00973297" w:rsidRPr="00EB09A4">
        <w:rPr>
          <w:rFonts w:ascii="Baskerville" w:hAnsi="Baskerville" w:cs="Baskerville"/>
          <w:i/>
        </w:rPr>
        <w:t>8</w:t>
      </w:r>
    </w:p>
    <w:p w:rsidR="00973297" w:rsidRPr="00EB09A4" w:rsidRDefault="00973297" w:rsidP="00A91FBA">
      <w:pPr>
        <w:tabs>
          <w:tab w:val="left" w:pos="1440"/>
          <w:tab w:val="right" w:pos="9000"/>
        </w:tabs>
        <w:ind w:left="720" w:right="1728" w:hanging="720"/>
        <w:rPr>
          <w:rFonts w:ascii="Baskerville" w:hAnsi="Baskerville" w:cs="Baskerville"/>
          <w:i/>
        </w:rPr>
      </w:pPr>
      <w:r w:rsidRPr="00EB09A4">
        <w:rPr>
          <w:rFonts w:ascii="Baskerville" w:hAnsi="Baskerville" w:cs="Baskerville"/>
          <w:i/>
        </w:rPr>
        <w:tab/>
      </w:r>
      <w:r w:rsidRPr="00EB09A4">
        <w:rPr>
          <w:rFonts w:ascii="Baskerville" w:hAnsi="Baskerville" w:cs="Baskerville"/>
          <w:i/>
        </w:rPr>
        <w:tab/>
        <w:t>Crisis Services………………………………………</w:t>
      </w:r>
      <w:r w:rsidR="00F80D45" w:rsidRPr="00EB09A4">
        <w:rPr>
          <w:rFonts w:ascii="Baskerville" w:hAnsi="Baskerville" w:cs="Baskerville"/>
          <w:i/>
        </w:rPr>
        <w:t>…</w:t>
      </w:r>
      <w:r w:rsidRPr="00EB09A4">
        <w:rPr>
          <w:rFonts w:ascii="Baskerville" w:hAnsi="Baskerville" w:cs="Baskerville"/>
          <w:i/>
        </w:rPr>
        <w:t>…</w:t>
      </w:r>
      <w:r w:rsidR="00F80D45" w:rsidRPr="00EB09A4">
        <w:rPr>
          <w:rFonts w:ascii="Baskerville" w:hAnsi="Baskerville" w:cs="Baskerville"/>
          <w:i/>
        </w:rPr>
        <w:t>..</w:t>
      </w:r>
      <w:r w:rsidRPr="00EB09A4">
        <w:rPr>
          <w:rFonts w:ascii="Baskerville" w:hAnsi="Baskerville" w:cs="Baskerville"/>
          <w:i/>
        </w:rPr>
        <w:t>…</w:t>
      </w:r>
      <w:r w:rsidR="00646C8C" w:rsidRPr="00EB09A4">
        <w:rPr>
          <w:rFonts w:ascii="Baskerville" w:hAnsi="Baskerville" w:cs="Baskerville"/>
          <w:i/>
        </w:rPr>
        <w:t>.</w:t>
      </w:r>
      <w:r w:rsidRPr="00EB09A4">
        <w:rPr>
          <w:rFonts w:ascii="Baskerville" w:hAnsi="Baskerville" w:cs="Baskerville"/>
          <w:i/>
        </w:rPr>
        <w:t>…</w:t>
      </w:r>
      <w:r w:rsidR="00646C8C" w:rsidRPr="00EB09A4">
        <w:rPr>
          <w:rFonts w:ascii="Baskerville" w:hAnsi="Baskerville" w:cs="Baskerville"/>
          <w:i/>
        </w:rPr>
        <w:t>.</w:t>
      </w:r>
      <w:r w:rsidR="00A91FBA" w:rsidRPr="00EB09A4">
        <w:rPr>
          <w:rFonts w:ascii="Baskerville" w:hAnsi="Baskerville" w:cs="Baskerville"/>
          <w:i/>
        </w:rPr>
        <w:t>.</w:t>
      </w:r>
      <w:r w:rsidR="00787B76">
        <w:rPr>
          <w:rFonts w:ascii="Baskerville" w:hAnsi="Baskerville" w:cs="Baskerville"/>
          <w:i/>
        </w:rPr>
        <w:t>.</w:t>
      </w:r>
      <w:r w:rsidR="00664266" w:rsidRPr="00EB09A4">
        <w:rPr>
          <w:rFonts w:ascii="Baskerville" w:hAnsi="Baskerville" w:cs="Baskerville"/>
          <w:i/>
        </w:rPr>
        <w:t>…</w:t>
      </w:r>
      <w:r w:rsidR="00787B76">
        <w:rPr>
          <w:rFonts w:ascii="Baskerville" w:hAnsi="Baskerville" w:cs="Baskerville"/>
          <w:i/>
        </w:rPr>
        <w:t>.9</w:t>
      </w:r>
    </w:p>
    <w:p w:rsidR="007A2AF1" w:rsidRPr="00EB09A4" w:rsidRDefault="007A2AF1" w:rsidP="00A91FBA">
      <w:pPr>
        <w:tabs>
          <w:tab w:val="left" w:pos="1440"/>
          <w:tab w:val="right" w:pos="9000"/>
        </w:tabs>
        <w:ind w:left="720" w:right="1728" w:hanging="720"/>
        <w:rPr>
          <w:rFonts w:ascii="Baskerville" w:hAnsi="Baskerville" w:cs="Baskerville"/>
          <w:i/>
        </w:rPr>
      </w:pPr>
      <w:r w:rsidRPr="00EB09A4">
        <w:rPr>
          <w:rFonts w:ascii="Baskerville" w:hAnsi="Baskerville" w:cs="Baskerville"/>
          <w:i/>
        </w:rPr>
        <w:tab/>
      </w:r>
      <w:r w:rsidRPr="00EB09A4">
        <w:rPr>
          <w:rFonts w:ascii="Baskerville" w:hAnsi="Baskerville" w:cs="Baskerville"/>
          <w:i/>
        </w:rPr>
        <w:tab/>
        <w:t>Integrated Day</w:t>
      </w:r>
      <w:r w:rsidR="000F118B" w:rsidRPr="00EB09A4">
        <w:rPr>
          <w:rFonts w:ascii="Baskerville" w:hAnsi="Baskerville" w:cs="Baskerville"/>
          <w:i/>
        </w:rPr>
        <w:t xml:space="preserve"> and </w:t>
      </w:r>
      <w:r w:rsidRPr="00EB09A4">
        <w:rPr>
          <w:rFonts w:ascii="Baskerville" w:hAnsi="Baskerville" w:cs="Baskerville"/>
          <w:i/>
        </w:rPr>
        <w:t xml:space="preserve">Supported Employment </w:t>
      </w:r>
      <w:r w:rsidR="004524CE" w:rsidRPr="00EB09A4">
        <w:rPr>
          <w:rFonts w:ascii="Baskerville" w:hAnsi="Baskerville" w:cs="Baskerville"/>
          <w:i/>
        </w:rPr>
        <w:t>Opportunities</w:t>
      </w:r>
      <w:r w:rsidR="00664266" w:rsidRPr="00EB09A4">
        <w:rPr>
          <w:rFonts w:ascii="Baskerville" w:hAnsi="Baskerville" w:cs="Baskerville"/>
          <w:i/>
        </w:rPr>
        <w:t>..</w:t>
      </w:r>
      <w:r w:rsidR="00646C8C" w:rsidRPr="00EB09A4">
        <w:rPr>
          <w:rFonts w:ascii="Baskerville" w:hAnsi="Baskerville" w:cs="Baskerville"/>
          <w:i/>
        </w:rPr>
        <w:t>............</w:t>
      </w:r>
      <w:r w:rsidR="00F80D45" w:rsidRPr="00EB09A4">
        <w:rPr>
          <w:rFonts w:ascii="Baskerville" w:hAnsi="Baskerville" w:cs="Baskerville"/>
          <w:i/>
        </w:rPr>
        <w:t>.</w:t>
      </w:r>
      <w:r w:rsidR="00303ECF" w:rsidRPr="00EB09A4">
        <w:rPr>
          <w:rFonts w:ascii="Baskerville" w:hAnsi="Baskerville" w:cs="Baskerville"/>
          <w:i/>
        </w:rPr>
        <w:t>.</w:t>
      </w:r>
      <w:r w:rsidR="00F80D45" w:rsidRPr="00EB09A4">
        <w:rPr>
          <w:rFonts w:ascii="Baskerville" w:hAnsi="Baskerville" w:cs="Baskerville"/>
          <w:i/>
        </w:rPr>
        <w:t>......</w:t>
      </w:r>
      <w:r w:rsidR="00646C8C" w:rsidRPr="00EB09A4">
        <w:rPr>
          <w:rFonts w:ascii="Baskerville" w:hAnsi="Baskerville" w:cs="Baskerville"/>
          <w:i/>
        </w:rPr>
        <w:t>.</w:t>
      </w:r>
      <w:r w:rsidR="00664266" w:rsidRPr="00EB09A4">
        <w:rPr>
          <w:rFonts w:ascii="Baskerville" w:hAnsi="Baskerville" w:cs="Baskerville"/>
          <w:i/>
        </w:rPr>
        <w:t>.</w:t>
      </w:r>
      <w:r w:rsidR="00A91FBA" w:rsidRPr="00EB09A4">
        <w:rPr>
          <w:rFonts w:ascii="Baskerville" w:hAnsi="Baskerville" w:cs="Baskerville"/>
          <w:i/>
        </w:rPr>
        <w:t>..</w:t>
      </w:r>
      <w:r w:rsidR="00787B76">
        <w:rPr>
          <w:rFonts w:ascii="Baskerville" w:hAnsi="Baskerville" w:cs="Baskerville"/>
          <w:i/>
        </w:rPr>
        <w:t>.12</w:t>
      </w:r>
    </w:p>
    <w:p w:rsidR="007A2AF1" w:rsidRPr="00EB09A4" w:rsidRDefault="007A2AF1" w:rsidP="00A91FBA">
      <w:pPr>
        <w:tabs>
          <w:tab w:val="left" w:pos="1440"/>
          <w:tab w:val="right" w:pos="9000"/>
        </w:tabs>
        <w:ind w:left="720" w:right="1728" w:hanging="720"/>
        <w:rPr>
          <w:rFonts w:ascii="Baskerville" w:hAnsi="Baskerville" w:cs="Baskerville"/>
          <w:i/>
        </w:rPr>
      </w:pPr>
      <w:r w:rsidRPr="00EB09A4">
        <w:rPr>
          <w:rFonts w:ascii="Baskerville" w:hAnsi="Baskerville" w:cs="Baskerville"/>
          <w:i/>
        </w:rPr>
        <w:tab/>
      </w:r>
      <w:r w:rsidRPr="00EB09A4">
        <w:rPr>
          <w:rFonts w:ascii="Baskerville" w:hAnsi="Baskerville" w:cs="Baskerville"/>
          <w:i/>
        </w:rPr>
        <w:tab/>
      </w:r>
      <w:r w:rsidR="000F118B" w:rsidRPr="00EB09A4">
        <w:rPr>
          <w:rFonts w:ascii="Baskerville" w:hAnsi="Baskerville" w:cs="Baskerville"/>
          <w:i/>
        </w:rPr>
        <w:t>Independent Living Options</w:t>
      </w:r>
      <w:r w:rsidR="00664266" w:rsidRPr="00EB09A4">
        <w:rPr>
          <w:rFonts w:ascii="Baskerville" w:hAnsi="Baskerville" w:cs="Baskerville"/>
          <w:i/>
        </w:rPr>
        <w:t>……………………………</w:t>
      </w:r>
      <w:r w:rsidR="00646C8C" w:rsidRPr="00EB09A4">
        <w:rPr>
          <w:rFonts w:ascii="Baskerville" w:hAnsi="Baskerville" w:cs="Baskerville"/>
          <w:i/>
        </w:rPr>
        <w:t>…..</w:t>
      </w:r>
      <w:r w:rsidR="00664266" w:rsidRPr="00EB09A4">
        <w:rPr>
          <w:rFonts w:ascii="Baskerville" w:hAnsi="Baskerville" w:cs="Baskerville"/>
          <w:i/>
        </w:rPr>
        <w:t>...</w:t>
      </w:r>
      <w:r w:rsidR="00F80D45" w:rsidRPr="00EB09A4">
        <w:rPr>
          <w:rFonts w:ascii="Baskerville" w:hAnsi="Baskerville" w:cs="Baskerville"/>
          <w:i/>
        </w:rPr>
        <w:t>.</w:t>
      </w:r>
      <w:r w:rsidR="00664266" w:rsidRPr="00EB09A4">
        <w:rPr>
          <w:rFonts w:ascii="Baskerville" w:hAnsi="Baskerville" w:cs="Baskerville"/>
          <w:i/>
        </w:rPr>
        <w:t>…</w:t>
      </w:r>
      <w:r w:rsidR="00303ECF" w:rsidRPr="00EB09A4">
        <w:rPr>
          <w:rFonts w:ascii="Baskerville" w:hAnsi="Baskerville" w:cs="Baskerville"/>
          <w:i/>
        </w:rPr>
        <w:t>..</w:t>
      </w:r>
      <w:r w:rsidR="00F80D45" w:rsidRPr="00EB09A4">
        <w:rPr>
          <w:rFonts w:ascii="Baskerville" w:hAnsi="Baskerville" w:cs="Baskerville"/>
          <w:i/>
        </w:rPr>
        <w:t>…</w:t>
      </w:r>
      <w:r w:rsidR="00664266" w:rsidRPr="00EB09A4">
        <w:rPr>
          <w:rFonts w:ascii="Baskerville" w:hAnsi="Baskerville" w:cs="Baskerville"/>
          <w:i/>
        </w:rPr>
        <w:t>.</w:t>
      </w:r>
      <w:r w:rsidR="00A91FBA" w:rsidRPr="00EB09A4">
        <w:rPr>
          <w:rFonts w:ascii="Baskerville" w:hAnsi="Baskerville" w:cs="Baskerville"/>
          <w:i/>
        </w:rPr>
        <w:t>.</w:t>
      </w:r>
      <w:r w:rsidR="00787B76">
        <w:rPr>
          <w:rFonts w:ascii="Baskerville" w:hAnsi="Baskerville" w:cs="Baskerville"/>
          <w:i/>
        </w:rPr>
        <w:t>.15</w:t>
      </w:r>
    </w:p>
    <w:p w:rsidR="000F118B" w:rsidRPr="00EB09A4" w:rsidRDefault="000F118B" w:rsidP="00A91FBA">
      <w:pPr>
        <w:tabs>
          <w:tab w:val="left" w:pos="1440"/>
          <w:tab w:val="right" w:pos="9000"/>
        </w:tabs>
        <w:ind w:left="720" w:right="1728" w:hanging="720"/>
        <w:rPr>
          <w:rFonts w:ascii="Baskerville" w:hAnsi="Baskerville" w:cs="Baskerville"/>
          <w:i/>
        </w:rPr>
      </w:pPr>
      <w:r w:rsidRPr="00EB09A4">
        <w:rPr>
          <w:rFonts w:ascii="Baskerville" w:hAnsi="Baskerville" w:cs="Baskerville"/>
          <w:i/>
        </w:rPr>
        <w:tab/>
      </w:r>
      <w:r w:rsidRPr="00EB09A4">
        <w:rPr>
          <w:rFonts w:ascii="Baskerville" w:hAnsi="Baskerville" w:cs="Baskerville"/>
          <w:i/>
        </w:rPr>
        <w:tab/>
        <w:t>Community Resource Consultants</w:t>
      </w:r>
      <w:r w:rsidR="00664266" w:rsidRPr="00EB09A4">
        <w:rPr>
          <w:rFonts w:ascii="Baskerville" w:hAnsi="Baskerville" w:cs="Baskerville"/>
          <w:i/>
        </w:rPr>
        <w:t>…………………</w:t>
      </w:r>
      <w:r w:rsidR="00303ECF" w:rsidRPr="00EB09A4">
        <w:rPr>
          <w:rFonts w:ascii="Baskerville" w:hAnsi="Baskerville" w:cs="Baskerville"/>
          <w:i/>
        </w:rPr>
        <w:t>..</w:t>
      </w:r>
      <w:r w:rsidR="00664266" w:rsidRPr="00EB09A4">
        <w:rPr>
          <w:rFonts w:ascii="Baskerville" w:hAnsi="Baskerville" w:cs="Baskerville"/>
          <w:i/>
        </w:rPr>
        <w:t>………</w:t>
      </w:r>
      <w:r w:rsidR="00646C8C" w:rsidRPr="00EB09A4">
        <w:rPr>
          <w:rFonts w:ascii="Baskerville" w:hAnsi="Baskerville" w:cs="Baskerville"/>
          <w:i/>
        </w:rPr>
        <w:t>…..</w:t>
      </w:r>
      <w:r w:rsidR="00F80D45" w:rsidRPr="00EB09A4">
        <w:rPr>
          <w:rFonts w:ascii="Baskerville" w:hAnsi="Baskerville" w:cs="Baskerville"/>
          <w:i/>
        </w:rPr>
        <w:t>.....</w:t>
      </w:r>
      <w:r w:rsidR="00646C8C" w:rsidRPr="00EB09A4">
        <w:rPr>
          <w:rFonts w:ascii="Baskerville" w:hAnsi="Baskerville" w:cs="Baskerville"/>
          <w:i/>
        </w:rPr>
        <w:t>.</w:t>
      </w:r>
      <w:r w:rsidR="00966250" w:rsidRPr="00EB09A4">
        <w:rPr>
          <w:rFonts w:ascii="Baskerville" w:hAnsi="Baskerville" w:cs="Baskerville"/>
          <w:i/>
        </w:rPr>
        <w:t>...</w:t>
      </w:r>
      <w:r w:rsidR="00A91FBA" w:rsidRPr="00EB09A4">
        <w:rPr>
          <w:rFonts w:ascii="Baskerville" w:hAnsi="Baskerville" w:cs="Baskerville"/>
          <w:i/>
        </w:rPr>
        <w:t>..</w:t>
      </w:r>
      <w:r w:rsidR="00484C3A">
        <w:rPr>
          <w:rFonts w:ascii="Baskerville" w:hAnsi="Baskerville" w:cs="Baskerville"/>
          <w:i/>
        </w:rPr>
        <w:t>17</w:t>
      </w:r>
    </w:p>
    <w:p w:rsidR="000F118B" w:rsidRPr="00EB09A4" w:rsidRDefault="000F118B" w:rsidP="000B5827">
      <w:pPr>
        <w:tabs>
          <w:tab w:val="left" w:pos="1440"/>
          <w:tab w:val="right" w:pos="9000"/>
        </w:tabs>
        <w:ind w:left="720" w:hanging="720"/>
        <w:rPr>
          <w:rFonts w:ascii="Baskerville" w:hAnsi="Baskerville" w:cs="Baskerville"/>
        </w:rPr>
      </w:pPr>
      <w:r w:rsidRPr="00EB09A4">
        <w:rPr>
          <w:rFonts w:ascii="Baskerville" w:hAnsi="Baskerville" w:cs="Baskerville"/>
        </w:rPr>
        <w:tab/>
      </w:r>
      <w:r w:rsidR="00D272AF">
        <w:rPr>
          <w:rFonts w:ascii="Baskerville" w:hAnsi="Baskerville" w:cs="Baskerville"/>
        </w:rPr>
        <w:t xml:space="preserve">Section IV. </w:t>
      </w:r>
      <w:r w:rsidRPr="00EB09A4">
        <w:rPr>
          <w:rFonts w:ascii="Baskerville" w:hAnsi="Baskerville" w:cs="Baskerville"/>
        </w:rPr>
        <w:t>Discharge Planning and Transition from Training Centers</w:t>
      </w:r>
      <w:r w:rsidR="00966250" w:rsidRPr="00EB09A4">
        <w:rPr>
          <w:rFonts w:ascii="Baskerville" w:hAnsi="Baskerville" w:cs="Baskerville"/>
        </w:rPr>
        <w:t>…</w:t>
      </w:r>
      <w:r w:rsidR="00D272AF">
        <w:rPr>
          <w:rFonts w:ascii="Baskerville" w:hAnsi="Baskerville" w:cs="Baskerville"/>
        </w:rPr>
        <w:t>.</w:t>
      </w:r>
      <w:r w:rsidR="00966250" w:rsidRPr="00EB09A4">
        <w:rPr>
          <w:rFonts w:ascii="Baskerville" w:hAnsi="Baskerville" w:cs="Baskerville"/>
        </w:rPr>
        <w:t>…</w:t>
      </w:r>
      <w:r w:rsidR="00344D76">
        <w:rPr>
          <w:rFonts w:ascii="Baskerville" w:hAnsi="Baskerville" w:cs="Baskerville"/>
        </w:rPr>
        <w:t>.</w:t>
      </w:r>
      <w:r w:rsidR="00966250" w:rsidRPr="00EB09A4">
        <w:rPr>
          <w:rFonts w:ascii="Baskerville" w:hAnsi="Baskerville" w:cs="Baskerville"/>
        </w:rPr>
        <w:t>…</w:t>
      </w:r>
      <w:r w:rsidR="00B2666B">
        <w:rPr>
          <w:rFonts w:ascii="Baskerville" w:hAnsi="Baskerville" w:cs="Baskerville"/>
        </w:rPr>
        <w:t>.</w:t>
      </w:r>
      <w:r w:rsidR="00966250" w:rsidRPr="00EB09A4">
        <w:rPr>
          <w:rFonts w:ascii="Baskerville" w:hAnsi="Baskerville" w:cs="Baskerville"/>
        </w:rPr>
        <w:t>18</w:t>
      </w:r>
    </w:p>
    <w:p w:rsidR="000F118B" w:rsidRPr="00EB09A4" w:rsidRDefault="000F118B" w:rsidP="000B5827">
      <w:pPr>
        <w:tabs>
          <w:tab w:val="left" w:pos="1440"/>
          <w:tab w:val="right" w:pos="9000"/>
        </w:tabs>
        <w:ind w:left="720" w:hanging="720"/>
        <w:rPr>
          <w:rFonts w:ascii="Baskerville" w:hAnsi="Baskerville" w:cs="Baskerville"/>
        </w:rPr>
      </w:pPr>
      <w:r w:rsidRPr="00EB09A4">
        <w:rPr>
          <w:rFonts w:ascii="Baskerville" w:hAnsi="Baskerville" w:cs="Baskerville"/>
        </w:rPr>
        <w:tab/>
      </w:r>
      <w:r w:rsidR="00D272AF">
        <w:rPr>
          <w:rFonts w:ascii="Baskerville" w:hAnsi="Baskerville" w:cs="Baskerville"/>
        </w:rPr>
        <w:t xml:space="preserve">Section  V. </w:t>
      </w:r>
      <w:r w:rsidR="004524CE" w:rsidRPr="00EB09A4">
        <w:rPr>
          <w:rFonts w:ascii="Baskerville" w:hAnsi="Baskerville" w:cs="Baskerville"/>
        </w:rPr>
        <w:t>Quality and Risk Management</w:t>
      </w:r>
      <w:r w:rsidR="00966250" w:rsidRPr="00EB09A4">
        <w:rPr>
          <w:rFonts w:ascii="Baskerville" w:hAnsi="Baskerville" w:cs="Baskerville"/>
        </w:rPr>
        <w:t>………</w:t>
      </w:r>
      <w:r w:rsidR="007C6A98" w:rsidRPr="00EB09A4">
        <w:rPr>
          <w:rFonts w:ascii="Baskerville" w:hAnsi="Baskerville" w:cs="Baskerville"/>
        </w:rPr>
        <w:t>...</w:t>
      </w:r>
      <w:r w:rsidR="00966250" w:rsidRPr="00EB09A4">
        <w:rPr>
          <w:rFonts w:ascii="Baskerville" w:hAnsi="Baskerville" w:cs="Baskerville"/>
        </w:rPr>
        <w:t>……………………</w:t>
      </w:r>
      <w:r w:rsidR="00764DC0">
        <w:rPr>
          <w:rFonts w:ascii="Baskerville" w:hAnsi="Baskerville" w:cs="Baskerville"/>
        </w:rPr>
        <w:t>.</w:t>
      </w:r>
      <w:r w:rsidR="00D272AF">
        <w:rPr>
          <w:rFonts w:ascii="Baskerville" w:hAnsi="Baskerville" w:cs="Baskerville"/>
        </w:rPr>
        <w:t>.</w:t>
      </w:r>
      <w:r w:rsidR="00966250" w:rsidRPr="00EB09A4">
        <w:rPr>
          <w:rFonts w:ascii="Baskerville" w:hAnsi="Baskerville" w:cs="Baskerville"/>
        </w:rPr>
        <w:t>……</w:t>
      </w:r>
      <w:r w:rsidR="004E3927">
        <w:rPr>
          <w:rFonts w:ascii="Baskerville" w:hAnsi="Baskerville" w:cs="Baskerville"/>
        </w:rPr>
        <w:t>.</w:t>
      </w:r>
      <w:r w:rsidR="00557FCF">
        <w:rPr>
          <w:rFonts w:ascii="Baskerville" w:hAnsi="Baskerville" w:cs="Baskerville"/>
        </w:rPr>
        <w:t>..25</w:t>
      </w:r>
    </w:p>
    <w:p w:rsidR="004524CE" w:rsidRPr="00EB09A4" w:rsidRDefault="004524CE" w:rsidP="000B5827">
      <w:pPr>
        <w:tabs>
          <w:tab w:val="left" w:pos="1440"/>
          <w:tab w:val="right" w:pos="9000"/>
        </w:tabs>
        <w:ind w:left="720" w:hanging="720"/>
        <w:rPr>
          <w:rFonts w:ascii="Baskerville" w:hAnsi="Baskerville" w:cs="Baskerville"/>
        </w:rPr>
      </w:pPr>
      <w:r w:rsidRPr="00EB09A4">
        <w:rPr>
          <w:rFonts w:ascii="Baskerville" w:hAnsi="Baskerville" w:cs="Baskerville"/>
        </w:rPr>
        <w:tab/>
      </w:r>
      <w:r w:rsidR="007C6A98" w:rsidRPr="00EB09A4">
        <w:rPr>
          <w:rFonts w:ascii="Baskerville" w:hAnsi="Baskerville" w:cs="Baskerville"/>
        </w:rPr>
        <w:t xml:space="preserve">Section </w:t>
      </w:r>
      <w:r w:rsidR="00C558DA">
        <w:rPr>
          <w:rFonts w:ascii="Baskerville" w:hAnsi="Baskerville" w:cs="Baskerville"/>
        </w:rPr>
        <w:t>VI. Independent Reviewer………………………………</w:t>
      </w:r>
      <w:r w:rsidR="00EF3F69" w:rsidRPr="00EB09A4">
        <w:rPr>
          <w:rFonts w:ascii="Baskerville" w:hAnsi="Baskerville" w:cs="Baskerville"/>
        </w:rPr>
        <w:t>.....</w:t>
      </w:r>
      <w:r w:rsidR="00966250" w:rsidRPr="00EB09A4">
        <w:rPr>
          <w:rFonts w:ascii="Baskerville" w:hAnsi="Baskerville" w:cs="Baskerville"/>
        </w:rPr>
        <w:t>…</w:t>
      </w:r>
      <w:r w:rsidR="00EB09A4">
        <w:rPr>
          <w:rFonts w:ascii="Baskerville" w:hAnsi="Baskerville" w:cs="Baskerville"/>
        </w:rPr>
        <w:t>..</w:t>
      </w:r>
      <w:r w:rsidR="00966250" w:rsidRPr="00EB09A4">
        <w:rPr>
          <w:rFonts w:ascii="Baskerville" w:hAnsi="Baskerville" w:cs="Baskerville"/>
        </w:rPr>
        <w:t>……….</w:t>
      </w:r>
      <w:r w:rsidR="00623F4D">
        <w:rPr>
          <w:rFonts w:ascii="Baskerville" w:hAnsi="Baskerville" w:cs="Baskerville"/>
        </w:rPr>
        <w:t>.3</w:t>
      </w:r>
      <w:r w:rsidR="00557FCF">
        <w:rPr>
          <w:rFonts w:ascii="Baskerville" w:hAnsi="Baskerville" w:cs="Baskerville"/>
        </w:rPr>
        <w:t>3</w:t>
      </w:r>
    </w:p>
    <w:p w:rsidR="001F5B0C" w:rsidRDefault="00270451" w:rsidP="000B5827">
      <w:pPr>
        <w:tabs>
          <w:tab w:val="left" w:pos="1440"/>
          <w:tab w:val="right" w:pos="9000"/>
        </w:tabs>
        <w:ind w:left="720" w:hanging="720"/>
        <w:rPr>
          <w:rFonts w:ascii="Baskerville" w:hAnsi="Baskerville" w:cs="Baskerville"/>
        </w:rPr>
      </w:pPr>
      <w:r>
        <w:rPr>
          <w:rFonts w:ascii="Baskerville" w:hAnsi="Baskerville" w:cs="Baskerville"/>
          <w:b/>
        </w:rPr>
        <w:tab/>
      </w:r>
      <w:r w:rsidR="00C558DA" w:rsidRPr="00EB09A4">
        <w:rPr>
          <w:rFonts w:ascii="Baskerville" w:hAnsi="Baskerville" w:cs="Baskerville"/>
        </w:rPr>
        <w:t>Section</w:t>
      </w:r>
      <w:r>
        <w:rPr>
          <w:rFonts w:ascii="Baskerville" w:hAnsi="Baskerville" w:cs="Baskerville"/>
          <w:b/>
        </w:rPr>
        <w:tab/>
      </w:r>
      <w:r w:rsidR="00C558DA">
        <w:rPr>
          <w:rFonts w:ascii="Baskerville" w:hAnsi="Baskerville" w:cs="Baskerville"/>
          <w:b/>
        </w:rPr>
        <w:t xml:space="preserve"> </w:t>
      </w:r>
      <w:r w:rsidR="00C558DA" w:rsidRPr="00EB09A4">
        <w:rPr>
          <w:rFonts w:ascii="Baskerville" w:hAnsi="Baskerville" w:cs="Baskerville"/>
        </w:rPr>
        <w:t>IX.</w:t>
      </w:r>
      <w:r w:rsidR="00C558DA">
        <w:rPr>
          <w:rFonts w:ascii="Baskerville" w:hAnsi="Baskerville" w:cs="Baskerville"/>
        </w:rPr>
        <w:t xml:space="preserve"> </w:t>
      </w:r>
      <w:r w:rsidR="00C558DA" w:rsidRPr="00EB09A4">
        <w:rPr>
          <w:rFonts w:ascii="Baskerville" w:hAnsi="Baskerville" w:cs="Baskerville"/>
        </w:rPr>
        <w:t>Implementation</w:t>
      </w:r>
      <w:r w:rsidR="00557FCF">
        <w:rPr>
          <w:rFonts w:ascii="Baskerville" w:hAnsi="Baskerville" w:cs="Baskerville"/>
        </w:rPr>
        <w:t>……………………………………………………....33</w:t>
      </w:r>
    </w:p>
    <w:p w:rsidR="003223DC" w:rsidRPr="00DF1E2F" w:rsidRDefault="003223DC" w:rsidP="000B5827">
      <w:pPr>
        <w:tabs>
          <w:tab w:val="left" w:pos="1440"/>
          <w:tab w:val="right" w:pos="9000"/>
        </w:tabs>
        <w:ind w:left="720" w:hanging="720"/>
        <w:rPr>
          <w:rFonts w:ascii="Baskerville" w:hAnsi="Baskerville" w:cs="Baskerville"/>
          <w:b/>
        </w:rPr>
      </w:pPr>
    </w:p>
    <w:p w:rsidR="00DB5BFD" w:rsidRPr="00B610CD" w:rsidRDefault="00F75100" w:rsidP="000B5827">
      <w:pPr>
        <w:tabs>
          <w:tab w:val="left" w:pos="1440"/>
          <w:tab w:val="left" w:pos="6446"/>
          <w:tab w:val="right" w:pos="9000"/>
        </w:tabs>
        <w:ind w:left="720" w:hanging="720"/>
        <w:rPr>
          <w:rFonts w:ascii="Baskerville" w:hAnsi="Baskerville" w:cs="Baskerville"/>
          <w:b/>
          <w:u w:val="single"/>
        </w:rPr>
      </w:pPr>
      <w:r w:rsidRPr="00DF1E2F">
        <w:rPr>
          <w:rFonts w:ascii="Baskerville" w:hAnsi="Baskerville" w:cs="Baskerville"/>
          <w:b/>
        </w:rPr>
        <w:t>III.</w:t>
      </w:r>
      <w:r w:rsidR="004A2A43" w:rsidRPr="00DF1E2F">
        <w:rPr>
          <w:rFonts w:ascii="Baskerville" w:hAnsi="Baskerville" w:cs="Baskerville"/>
          <w:b/>
        </w:rPr>
        <w:tab/>
      </w:r>
      <w:r w:rsidR="00AB4D26" w:rsidRPr="00B610CD">
        <w:rPr>
          <w:rFonts w:ascii="Baskerville" w:hAnsi="Baskerville" w:cs="Baskerville"/>
          <w:b/>
          <w:u w:val="single"/>
        </w:rPr>
        <w:t>DISCUSSION OF COMPLIANCE FINDINGS</w:t>
      </w:r>
      <w:r w:rsidR="00646C8C" w:rsidRPr="00B610CD">
        <w:rPr>
          <w:rFonts w:ascii="Baskerville" w:hAnsi="Baskerville" w:cs="Baskerville"/>
          <w:b/>
          <w:u w:val="single"/>
        </w:rPr>
        <w:t>………………………………………</w:t>
      </w:r>
      <w:r w:rsidR="006256A6">
        <w:rPr>
          <w:rFonts w:ascii="Baskerville" w:hAnsi="Baskerville" w:cs="Baskerville"/>
          <w:b/>
          <w:u w:val="single"/>
        </w:rPr>
        <w:t>3</w:t>
      </w:r>
      <w:r w:rsidR="00557FCF">
        <w:rPr>
          <w:rFonts w:ascii="Baskerville" w:hAnsi="Baskerville" w:cs="Baskerville"/>
          <w:b/>
          <w:u w:val="single"/>
        </w:rPr>
        <w:t>4</w:t>
      </w:r>
    </w:p>
    <w:p w:rsidR="00DB5BFD" w:rsidRPr="00E0373E" w:rsidRDefault="00DB5BFD" w:rsidP="00BB5024">
      <w:pPr>
        <w:pStyle w:val="ListParagraph"/>
        <w:numPr>
          <w:ilvl w:val="0"/>
          <w:numId w:val="46"/>
        </w:numPr>
        <w:tabs>
          <w:tab w:val="left" w:pos="1440"/>
          <w:tab w:val="left" w:pos="6446"/>
          <w:tab w:val="right" w:pos="9000"/>
        </w:tabs>
        <w:rPr>
          <w:rFonts w:ascii="Baskerville" w:hAnsi="Baskerville" w:cs="Baskerville"/>
        </w:rPr>
      </w:pPr>
      <w:r w:rsidRPr="00E0373E">
        <w:rPr>
          <w:rFonts w:ascii="Baskerville" w:hAnsi="Baskerville" w:cs="Baskerville"/>
        </w:rPr>
        <w:t>Methodology</w:t>
      </w:r>
      <w:r w:rsidR="001E732C">
        <w:rPr>
          <w:rFonts w:ascii="Baskerville" w:hAnsi="Baskerville" w:cs="Baskerville"/>
        </w:rPr>
        <w:t>………………………………………………………………</w:t>
      </w:r>
      <w:r w:rsidR="003223DC">
        <w:rPr>
          <w:rFonts w:ascii="Baskerville" w:hAnsi="Baskerville" w:cs="Baskerville"/>
        </w:rPr>
        <w:t>.</w:t>
      </w:r>
      <w:r w:rsidR="001E732C">
        <w:rPr>
          <w:rFonts w:ascii="Baskerville" w:hAnsi="Baskerville" w:cs="Baskerville"/>
        </w:rPr>
        <w:t>…</w:t>
      </w:r>
      <w:r w:rsidR="005F5850">
        <w:rPr>
          <w:rFonts w:ascii="Baskerville" w:hAnsi="Baskerville" w:cs="Baskerville"/>
        </w:rPr>
        <w:t>34</w:t>
      </w:r>
    </w:p>
    <w:p w:rsidR="00DD2DE7" w:rsidRPr="00E0373E" w:rsidRDefault="00F80D45" w:rsidP="00BB5024">
      <w:pPr>
        <w:pStyle w:val="ListParagraph"/>
        <w:numPr>
          <w:ilvl w:val="0"/>
          <w:numId w:val="46"/>
        </w:numPr>
        <w:tabs>
          <w:tab w:val="left" w:pos="1440"/>
          <w:tab w:val="left" w:pos="6446"/>
          <w:tab w:val="right" w:pos="9000"/>
        </w:tabs>
        <w:rPr>
          <w:rFonts w:ascii="Baskerville" w:hAnsi="Baskerville" w:cs="Baskerville"/>
        </w:rPr>
      </w:pPr>
      <w:r>
        <w:rPr>
          <w:rFonts w:ascii="Baskerville" w:hAnsi="Baskerville" w:cs="Baskerville"/>
        </w:rPr>
        <w:t>Compliance Find</w:t>
      </w:r>
      <w:r w:rsidR="00DB5BFD" w:rsidRPr="00E0373E">
        <w:rPr>
          <w:rFonts w:ascii="Baskerville" w:hAnsi="Baskerville" w:cs="Baskerville"/>
        </w:rPr>
        <w:t>ings</w:t>
      </w:r>
      <w:r w:rsidR="001E732C">
        <w:rPr>
          <w:rFonts w:ascii="Baskerville" w:hAnsi="Baskerville" w:cs="Baskerville"/>
        </w:rPr>
        <w:t>………………………………………………………</w:t>
      </w:r>
      <w:r w:rsidR="00D272AF">
        <w:rPr>
          <w:rFonts w:ascii="Baskerville" w:hAnsi="Baskerville" w:cs="Baskerville"/>
        </w:rPr>
        <w:t>.</w:t>
      </w:r>
      <w:r>
        <w:rPr>
          <w:rFonts w:ascii="Baskerville" w:hAnsi="Baskerville" w:cs="Baskerville"/>
        </w:rPr>
        <w:t>...</w:t>
      </w:r>
      <w:r w:rsidR="005F5850">
        <w:rPr>
          <w:rFonts w:ascii="Baskerville" w:hAnsi="Baskerville" w:cs="Baskerville"/>
        </w:rPr>
        <w:t>35</w:t>
      </w:r>
    </w:p>
    <w:p w:rsidR="00DD2DE7" w:rsidRPr="00E722B9" w:rsidRDefault="00DD2DE7"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Providing Waivers</w:t>
      </w:r>
      <w:r w:rsidR="000F61E1">
        <w:rPr>
          <w:rFonts w:ascii="Baskerville" w:hAnsi="Baskerville" w:cs="Baskerville"/>
          <w:i/>
        </w:rPr>
        <w:t>……………………………………………….3</w:t>
      </w:r>
      <w:r w:rsidR="005F5850">
        <w:rPr>
          <w:rFonts w:ascii="Baskerville" w:hAnsi="Baskerville" w:cs="Baskerville"/>
          <w:i/>
        </w:rPr>
        <w:t>5</w:t>
      </w:r>
    </w:p>
    <w:p w:rsidR="001D098A" w:rsidRPr="00E722B9" w:rsidRDefault="00DD2DE7"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Discharge Planning and Transition from Training Centers</w:t>
      </w:r>
      <w:r w:rsidR="00E722B9">
        <w:rPr>
          <w:rFonts w:ascii="Baskerville" w:hAnsi="Baskerville" w:cs="Baskerville"/>
          <w:i/>
        </w:rPr>
        <w:t>………..</w:t>
      </w:r>
      <w:r w:rsidR="00303ECF" w:rsidRPr="00E722B9">
        <w:rPr>
          <w:rFonts w:ascii="Baskerville" w:hAnsi="Baskerville" w:cs="Baskerville"/>
          <w:i/>
        </w:rPr>
        <w:t>.</w:t>
      </w:r>
      <w:r w:rsidR="005A3264">
        <w:rPr>
          <w:rFonts w:ascii="Baskerville" w:hAnsi="Baskerville" w:cs="Baskerville"/>
          <w:i/>
        </w:rPr>
        <w:t>.</w:t>
      </w:r>
      <w:r w:rsidR="00326EA9">
        <w:rPr>
          <w:rFonts w:ascii="Baskerville" w:hAnsi="Baskerville" w:cs="Baskerville"/>
          <w:i/>
        </w:rPr>
        <w:t>..</w:t>
      </w:r>
      <w:r w:rsidR="006B15B1">
        <w:rPr>
          <w:rFonts w:ascii="Baskerville" w:hAnsi="Baskerville" w:cs="Baskerville"/>
          <w:i/>
        </w:rPr>
        <w:t>3</w:t>
      </w:r>
      <w:r w:rsidR="005F5850">
        <w:rPr>
          <w:rFonts w:ascii="Baskerville" w:hAnsi="Baskerville" w:cs="Baskerville"/>
          <w:i/>
        </w:rPr>
        <w:t>5</w:t>
      </w:r>
    </w:p>
    <w:p w:rsidR="001D098A" w:rsidRPr="00E722B9" w:rsidRDefault="001D098A"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Transition of</w:t>
      </w:r>
      <w:r w:rsidR="00E722B9">
        <w:rPr>
          <w:rFonts w:ascii="Baskerville" w:hAnsi="Baskerville" w:cs="Baskerville"/>
          <w:i/>
        </w:rPr>
        <w:t xml:space="preserve"> Children from Nursing Homes and</w:t>
      </w:r>
      <w:r w:rsidRPr="00E722B9">
        <w:rPr>
          <w:rFonts w:ascii="Baskerville" w:hAnsi="Baskerville" w:cs="Baskerville"/>
          <w:i/>
        </w:rPr>
        <w:t xml:space="preserve"> Large ICFs</w:t>
      </w:r>
      <w:r w:rsidR="00E722B9">
        <w:rPr>
          <w:rFonts w:ascii="Baskerville" w:hAnsi="Baskerville" w:cs="Baskerville"/>
          <w:i/>
        </w:rPr>
        <w:t>……</w:t>
      </w:r>
      <w:r w:rsidR="00787B76">
        <w:rPr>
          <w:rFonts w:ascii="Baskerville" w:hAnsi="Baskerville" w:cs="Baskerville"/>
          <w:i/>
        </w:rPr>
        <w:t>....</w:t>
      </w:r>
      <w:r w:rsidR="00326EA9">
        <w:rPr>
          <w:rFonts w:ascii="Baskerville" w:hAnsi="Baskerville" w:cs="Baskerville"/>
          <w:i/>
        </w:rPr>
        <w:t>.</w:t>
      </w:r>
      <w:r w:rsidR="005A3264">
        <w:rPr>
          <w:rFonts w:ascii="Baskerville" w:hAnsi="Baskerville" w:cs="Baskerville"/>
          <w:i/>
        </w:rPr>
        <w:t>.</w:t>
      </w:r>
      <w:r w:rsidR="006B15B1">
        <w:rPr>
          <w:rFonts w:ascii="Baskerville" w:hAnsi="Baskerville" w:cs="Baskerville"/>
          <w:i/>
        </w:rPr>
        <w:t>3</w:t>
      </w:r>
      <w:r w:rsidR="005F5850">
        <w:rPr>
          <w:rFonts w:ascii="Baskerville" w:hAnsi="Baskerville" w:cs="Baskerville"/>
          <w:i/>
        </w:rPr>
        <w:t>6</w:t>
      </w:r>
    </w:p>
    <w:p w:rsidR="001D098A" w:rsidRPr="00E722B9" w:rsidRDefault="001D098A"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Individual Reviews</w:t>
      </w:r>
      <w:r w:rsidR="00303ECF" w:rsidRPr="00E722B9">
        <w:rPr>
          <w:rFonts w:ascii="Baskerville" w:hAnsi="Baskerville" w:cs="Baskerville"/>
          <w:i/>
        </w:rPr>
        <w:t>………………………………</w:t>
      </w:r>
      <w:r w:rsidR="00E722B9">
        <w:rPr>
          <w:rFonts w:ascii="Baskerville" w:hAnsi="Baskerville" w:cs="Baskerville"/>
          <w:i/>
        </w:rPr>
        <w:t>…</w:t>
      </w:r>
      <w:r w:rsidR="004E3927">
        <w:rPr>
          <w:rFonts w:ascii="Baskerville" w:hAnsi="Baskerville" w:cs="Baskerville"/>
          <w:i/>
        </w:rPr>
        <w:t>………....</w:t>
      </w:r>
      <w:r w:rsidR="00303ECF" w:rsidRPr="00E722B9">
        <w:rPr>
          <w:rFonts w:ascii="Baskerville" w:hAnsi="Baskerville" w:cs="Baskerville"/>
          <w:i/>
        </w:rPr>
        <w:t>.</w:t>
      </w:r>
      <w:r w:rsidR="00326EA9">
        <w:rPr>
          <w:rFonts w:ascii="Baskerville" w:hAnsi="Baskerville" w:cs="Baskerville"/>
          <w:i/>
        </w:rPr>
        <w:t>..</w:t>
      </w:r>
      <w:r w:rsidR="00B63AB2">
        <w:rPr>
          <w:rFonts w:ascii="Baskerville" w:hAnsi="Baskerville" w:cs="Baskerville"/>
          <w:i/>
        </w:rPr>
        <w:t>.</w:t>
      </w:r>
      <w:r w:rsidR="000F61E1">
        <w:rPr>
          <w:rFonts w:ascii="Baskerville" w:hAnsi="Baskerville" w:cs="Baskerville"/>
          <w:i/>
        </w:rPr>
        <w:t>3</w:t>
      </w:r>
      <w:r w:rsidR="005F5850">
        <w:rPr>
          <w:rFonts w:ascii="Baskerville" w:hAnsi="Baskerville" w:cs="Baskerville"/>
          <w:i/>
        </w:rPr>
        <w:t>6</w:t>
      </w:r>
    </w:p>
    <w:p w:rsidR="001D098A" w:rsidRPr="00E722B9" w:rsidRDefault="001D098A"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Case Management and Licensing</w:t>
      </w:r>
      <w:r w:rsidR="00303ECF" w:rsidRPr="00E722B9">
        <w:rPr>
          <w:rFonts w:ascii="Baskerville" w:hAnsi="Baskerville" w:cs="Baskerville"/>
          <w:i/>
        </w:rPr>
        <w:t>…………………………</w:t>
      </w:r>
      <w:r w:rsidR="00E722B9">
        <w:rPr>
          <w:rFonts w:ascii="Baskerville" w:hAnsi="Baskerville" w:cs="Baskerville"/>
          <w:i/>
        </w:rPr>
        <w:t>……</w:t>
      </w:r>
      <w:r w:rsidR="004E3927">
        <w:rPr>
          <w:rFonts w:ascii="Baskerville" w:hAnsi="Baskerville" w:cs="Baskerville"/>
          <w:i/>
        </w:rPr>
        <w:t>..</w:t>
      </w:r>
      <w:r w:rsidR="00B63AB2">
        <w:rPr>
          <w:rFonts w:ascii="Baskerville" w:hAnsi="Baskerville" w:cs="Baskerville"/>
          <w:i/>
        </w:rPr>
        <w:t>.</w:t>
      </w:r>
      <w:r w:rsidR="00326EA9">
        <w:rPr>
          <w:rFonts w:ascii="Baskerville" w:hAnsi="Baskerville" w:cs="Baskerville"/>
          <w:i/>
        </w:rPr>
        <w:t>..</w:t>
      </w:r>
      <w:r w:rsidR="005F5850">
        <w:rPr>
          <w:rFonts w:ascii="Baskerville" w:hAnsi="Baskerville" w:cs="Baskerville"/>
          <w:i/>
        </w:rPr>
        <w:t>39</w:t>
      </w:r>
    </w:p>
    <w:p w:rsidR="00124504" w:rsidRPr="00E722B9" w:rsidRDefault="00124504"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Crisis Services</w:t>
      </w:r>
      <w:r w:rsidR="00E722B9">
        <w:rPr>
          <w:rFonts w:ascii="Baskerville" w:hAnsi="Baskerville" w:cs="Baskerville"/>
          <w:i/>
        </w:rPr>
        <w:t>………………………………………………</w:t>
      </w:r>
      <w:r w:rsidR="004E3927">
        <w:rPr>
          <w:rFonts w:ascii="Baskerville" w:hAnsi="Baskerville" w:cs="Baskerville"/>
          <w:i/>
        </w:rPr>
        <w:t>…</w:t>
      </w:r>
      <w:r w:rsidR="00E722B9">
        <w:rPr>
          <w:rFonts w:ascii="Baskerville" w:hAnsi="Baskerville" w:cs="Baskerville"/>
          <w:i/>
        </w:rPr>
        <w:t>.</w:t>
      </w:r>
      <w:r w:rsidR="00326EA9">
        <w:rPr>
          <w:rFonts w:ascii="Baskerville" w:hAnsi="Baskerville" w:cs="Baskerville"/>
          <w:i/>
        </w:rPr>
        <w:t>..</w:t>
      </w:r>
      <w:r w:rsidR="000F61E1">
        <w:rPr>
          <w:rFonts w:ascii="Baskerville" w:hAnsi="Baskerville" w:cs="Baskerville"/>
          <w:i/>
        </w:rPr>
        <w:t>4</w:t>
      </w:r>
      <w:r w:rsidR="00312E88">
        <w:rPr>
          <w:rFonts w:ascii="Baskerville" w:hAnsi="Baskerville" w:cs="Baskerville"/>
          <w:i/>
        </w:rPr>
        <w:t>2</w:t>
      </w:r>
    </w:p>
    <w:p w:rsidR="00124504" w:rsidRPr="00E722B9" w:rsidRDefault="00124504"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Integrated Day Opportun</w:t>
      </w:r>
      <w:r w:rsidR="008E757B" w:rsidRPr="00E722B9">
        <w:rPr>
          <w:rFonts w:ascii="Baskerville" w:hAnsi="Baskerville" w:cs="Baskerville"/>
          <w:i/>
        </w:rPr>
        <w:t>i</w:t>
      </w:r>
      <w:r w:rsidRPr="00E722B9">
        <w:rPr>
          <w:rFonts w:ascii="Baskerville" w:hAnsi="Baskerville" w:cs="Baskerville"/>
          <w:i/>
        </w:rPr>
        <w:t>ties</w:t>
      </w:r>
      <w:r w:rsidR="007B0801">
        <w:rPr>
          <w:rFonts w:ascii="Baskerville" w:hAnsi="Baskerville" w:cs="Baskerville"/>
          <w:i/>
        </w:rPr>
        <w:t>…………………………………</w:t>
      </w:r>
      <w:r w:rsidR="00B63AB2">
        <w:rPr>
          <w:rFonts w:ascii="Baskerville" w:hAnsi="Baskerville" w:cs="Baskerville"/>
          <w:i/>
        </w:rPr>
        <w:t>…</w:t>
      </w:r>
      <w:r w:rsidR="00326EA9">
        <w:rPr>
          <w:rFonts w:ascii="Baskerville" w:hAnsi="Baskerville" w:cs="Baskerville"/>
          <w:i/>
        </w:rPr>
        <w:t>...</w:t>
      </w:r>
      <w:r w:rsidR="000F61E1">
        <w:rPr>
          <w:rFonts w:ascii="Baskerville" w:hAnsi="Baskerville" w:cs="Baskerville"/>
          <w:i/>
        </w:rPr>
        <w:t>4</w:t>
      </w:r>
      <w:r w:rsidR="00312E88">
        <w:rPr>
          <w:rFonts w:ascii="Baskerville" w:hAnsi="Baskerville" w:cs="Baskerville"/>
          <w:i/>
        </w:rPr>
        <w:t>7</w:t>
      </w:r>
    </w:p>
    <w:p w:rsidR="00124504" w:rsidRPr="00E722B9" w:rsidRDefault="00124504"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Supported Employment</w:t>
      </w:r>
      <w:r w:rsidR="007B0801">
        <w:rPr>
          <w:rFonts w:ascii="Baskerville" w:hAnsi="Baskerville" w:cs="Baskerville"/>
          <w:i/>
        </w:rPr>
        <w:t>………………………………………</w:t>
      </w:r>
      <w:r w:rsidR="00B63AB2">
        <w:rPr>
          <w:rFonts w:ascii="Baskerville" w:hAnsi="Baskerville" w:cs="Baskerville"/>
          <w:i/>
        </w:rPr>
        <w:t>...</w:t>
      </w:r>
      <w:r w:rsidR="00326EA9">
        <w:rPr>
          <w:rFonts w:ascii="Baskerville" w:hAnsi="Baskerville" w:cs="Baskerville"/>
          <w:i/>
        </w:rPr>
        <w:t>...</w:t>
      </w:r>
      <w:r w:rsidR="00B63AB2">
        <w:rPr>
          <w:rFonts w:ascii="Baskerville" w:hAnsi="Baskerville" w:cs="Baskerville"/>
          <w:i/>
        </w:rPr>
        <w:t>.</w:t>
      </w:r>
      <w:r w:rsidR="00312E88">
        <w:rPr>
          <w:rFonts w:ascii="Baskerville" w:hAnsi="Baskerville" w:cs="Baskerville"/>
          <w:i/>
        </w:rPr>
        <w:t>48</w:t>
      </w:r>
    </w:p>
    <w:p w:rsidR="00124504" w:rsidRPr="00E722B9" w:rsidRDefault="00124504" w:rsidP="004E3927">
      <w:pPr>
        <w:pStyle w:val="ListParagraph"/>
        <w:numPr>
          <w:ilvl w:val="0"/>
          <w:numId w:val="47"/>
        </w:numPr>
        <w:tabs>
          <w:tab w:val="left" w:pos="1440"/>
          <w:tab w:val="left" w:pos="6446"/>
          <w:tab w:val="right" w:pos="9000"/>
        </w:tabs>
        <w:ind w:right="1728"/>
        <w:jc w:val="both"/>
        <w:rPr>
          <w:rFonts w:ascii="Baskerville" w:hAnsi="Baskerville" w:cs="Baskerville"/>
          <w:i/>
        </w:rPr>
      </w:pPr>
      <w:r w:rsidRPr="00E722B9">
        <w:rPr>
          <w:rFonts w:ascii="Baskerville" w:hAnsi="Baskerville" w:cs="Baskerville"/>
          <w:i/>
        </w:rPr>
        <w:t>Individual and Family Support</w:t>
      </w:r>
      <w:r w:rsidR="007B0801">
        <w:rPr>
          <w:rFonts w:ascii="Baskerville" w:hAnsi="Baskerville" w:cs="Baskerville"/>
          <w:i/>
        </w:rPr>
        <w:t>………………………………</w:t>
      </w:r>
      <w:r w:rsidR="00B63AB2">
        <w:rPr>
          <w:rFonts w:ascii="Baskerville" w:hAnsi="Baskerville" w:cs="Baskerville"/>
          <w:i/>
        </w:rPr>
        <w:t>…</w:t>
      </w:r>
      <w:r w:rsidR="00326EA9">
        <w:rPr>
          <w:rFonts w:ascii="Baskerville" w:hAnsi="Baskerville" w:cs="Baskerville"/>
          <w:i/>
        </w:rPr>
        <w:t>…</w:t>
      </w:r>
      <w:r w:rsidR="0096479D">
        <w:rPr>
          <w:rFonts w:ascii="Baskerville" w:hAnsi="Baskerville" w:cs="Baskerville"/>
          <w:i/>
        </w:rPr>
        <w:t>5</w:t>
      </w:r>
      <w:r w:rsidR="00312E88">
        <w:rPr>
          <w:rFonts w:ascii="Baskerville" w:hAnsi="Baskerville" w:cs="Baskerville"/>
          <w:i/>
        </w:rPr>
        <w:t>0</w:t>
      </w:r>
    </w:p>
    <w:p w:rsidR="004D4EEE" w:rsidRPr="00A130CF" w:rsidRDefault="008E757B" w:rsidP="004E3927">
      <w:pPr>
        <w:pStyle w:val="ListParagraph"/>
        <w:numPr>
          <w:ilvl w:val="0"/>
          <w:numId w:val="47"/>
        </w:numPr>
        <w:tabs>
          <w:tab w:val="left" w:pos="1440"/>
          <w:tab w:val="left" w:pos="6446"/>
          <w:tab w:val="right" w:pos="9000"/>
        </w:tabs>
        <w:ind w:right="1728"/>
        <w:jc w:val="both"/>
        <w:rPr>
          <w:rFonts w:ascii="Baskerville" w:hAnsi="Baskerville" w:cs="Baskerville"/>
          <w:b/>
        </w:rPr>
      </w:pPr>
      <w:r w:rsidRPr="00E722B9">
        <w:rPr>
          <w:rFonts w:ascii="Baskerville" w:hAnsi="Baskerville" w:cs="Baskerville"/>
          <w:i/>
        </w:rPr>
        <w:t>Guidelines for Families Seeking Services</w:t>
      </w:r>
      <w:r w:rsidR="0096479D">
        <w:rPr>
          <w:rFonts w:ascii="Baskerville" w:hAnsi="Baskerville" w:cs="Baskerville"/>
          <w:i/>
        </w:rPr>
        <w:t>…………………………..</w:t>
      </w:r>
      <w:r w:rsidR="00B63AB2">
        <w:rPr>
          <w:rFonts w:ascii="Baskerville" w:hAnsi="Baskerville" w:cs="Baskerville"/>
          <w:i/>
        </w:rPr>
        <w:t>..</w:t>
      </w:r>
      <w:r w:rsidR="0096479D">
        <w:rPr>
          <w:rFonts w:ascii="Baskerville" w:hAnsi="Baskerville" w:cs="Baskerville"/>
          <w:i/>
        </w:rPr>
        <w:t>5</w:t>
      </w:r>
      <w:r w:rsidR="00312E88">
        <w:rPr>
          <w:rFonts w:ascii="Baskerville" w:hAnsi="Baskerville" w:cs="Baskerville"/>
          <w:i/>
        </w:rPr>
        <w:t>3</w:t>
      </w:r>
      <w:r w:rsidR="003869F1" w:rsidRPr="00DD2DE7">
        <w:rPr>
          <w:rFonts w:ascii="Baskerville" w:hAnsi="Baskerville" w:cs="Baskerville"/>
          <w:b/>
        </w:rPr>
        <w:t xml:space="preserve">     </w:t>
      </w:r>
      <w:r w:rsidR="002A6058" w:rsidRPr="00DD2DE7">
        <w:rPr>
          <w:rFonts w:ascii="Baskerville" w:hAnsi="Baskerville" w:cs="Baskerville"/>
          <w:b/>
        </w:rPr>
        <w:t xml:space="preserve">                              </w:t>
      </w:r>
      <w:r w:rsidR="00472B34" w:rsidRPr="00DD2DE7">
        <w:rPr>
          <w:rFonts w:ascii="Baskerville" w:hAnsi="Baskerville" w:cs="Baskerville"/>
          <w:b/>
        </w:rPr>
        <w:tab/>
      </w:r>
      <w:r w:rsidR="00FC6CBD" w:rsidRPr="00A130CF">
        <w:rPr>
          <w:rFonts w:ascii="Baskerville" w:hAnsi="Baskerville" w:cs="Baskerville"/>
          <w:b/>
        </w:rPr>
        <w:tab/>
      </w:r>
      <w:r w:rsidR="004A1062" w:rsidRPr="00A130CF">
        <w:rPr>
          <w:rFonts w:ascii="Baskerville" w:hAnsi="Baskerville" w:cs="Baskerville"/>
          <w:b/>
        </w:rPr>
        <w:tab/>
      </w:r>
    </w:p>
    <w:p w:rsidR="006C628C" w:rsidRPr="00DF1E2F" w:rsidRDefault="00F75100" w:rsidP="000B5827">
      <w:pPr>
        <w:tabs>
          <w:tab w:val="left" w:pos="1440"/>
          <w:tab w:val="right" w:pos="9000"/>
        </w:tabs>
        <w:ind w:left="720" w:hanging="720"/>
        <w:rPr>
          <w:rFonts w:ascii="Baskerville" w:hAnsi="Baskerville" w:cs="Baskerville"/>
          <w:b/>
        </w:rPr>
      </w:pPr>
      <w:r w:rsidRPr="00DF1E2F">
        <w:rPr>
          <w:rFonts w:ascii="Baskerville" w:hAnsi="Baskerville" w:cs="Baskerville"/>
          <w:b/>
        </w:rPr>
        <w:t>I</w:t>
      </w:r>
      <w:r w:rsidR="004A2A43" w:rsidRPr="00DF1E2F">
        <w:rPr>
          <w:rFonts w:ascii="Baskerville" w:hAnsi="Baskerville" w:cs="Baskerville"/>
          <w:b/>
        </w:rPr>
        <w:t>V.</w:t>
      </w:r>
      <w:r w:rsidR="004A2A43" w:rsidRPr="00DF1E2F">
        <w:rPr>
          <w:rFonts w:ascii="Baskerville" w:hAnsi="Baskerville" w:cs="Baskerville"/>
          <w:b/>
        </w:rPr>
        <w:tab/>
      </w:r>
      <w:r w:rsidR="00AB4D26" w:rsidRPr="00B610CD">
        <w:rPr>
          <w:rFonts w:ascii="Baskerville" w:hAnsi="Baskerville" w:cs="Baskerville"/>
          <w:b/>
          <w:u w:val="single"/>
        </w:rPr>
        <w:t>CONCLUSION</w:t>
      </w:r>
      <w:r w:rsidR="005A3264" w:rsidRPr="00B610CD">
        <w:rPr>
          <w:rFonts w:ascii="Baskerville" w:hAnsi="Baskerville" w:cs="Baskerville"/>
          <w:b/>
          <w:u w:val="single"/>
        </w:rPr>
        <w:t>…………………………………………………………………………</w:t>
      </w:r>
      <w:r w:rsidR="00DB7B75" w:rsidRPr="00B610CD">
        <w:rPr>
          <w:rFonts w:ascii="Baskerville" w:hAnsi="Baskerville" w:cs="Baskerville"/>
          <w:b/>
          <w:u w:val="single"/>
        </w:rPr>
        <w:t>..5</w:t>
      </w:r>
      <w:r w:rsidR="00312E88">
        <w:rPr>
          <w:rFonts w:ascii="Baskerville" w:hAnsi="Baskerville" w:cs="Baskerville"/>
          <w:b/>
          <w:u w:val="single"/>
        </w:rPr>
        <w:t>5</w:t>
      </w:r>
      <w:r w:rsidR="002A6058">
        <w:rPr>
          <w:rFonts w:ascii="Baskerville" w:hAnsi="Baskerville" w:cs="Baskerville"/>
          <w:b/>
        </w:rPr>
        <w:tab/>
      </w:r>
    </w:p>
    <w:p w:rsidR="001F5B0C" w:rsidRPr="00DF1E2F" w:rsidRDefault="006C628C" w:rsidP="00BB1C5F">
      <w:pPr>
        <w:tabs>
          <w:tab w:val="left" w:pos="1440"/>
          <w:tab w:val="right" w:pos="9000"/>
        </w:tabs>
        <w:ind w:left="720" w:hanging="720"/>
        <w:rPr>
          <w:rFonts w:ascii="Baskerville" w:hAnsi="Baskerville" w:cs="Baskerville"/>
          <w:b/>
        </w:rPr>
      </w:pPr>
      <w:r w:rsidRPr="00DF1E2F">
        <w:rPr>
          <w:rFonts w:ascii="Baskerville" w:hAnsi="Baskerville" w:cs="Baskerville"/>
          <w:b/>
        </w:rPr>
        <w:t>V</w:t>
      </w:r>
      <w:r w:rsidRPr="00DF1E2F">
        <w:rPr>
          <w:rFonts w:ascii="Baskerville" w:hAnsi="Baskerville" w:cs="Baskerville"/>
          <w:b/>
        </w:rPr>
        <w:tab/>
      </w:r>
      <w:r w:rsidR="00AB4D26" w:rsidRPr="00B610CD">
        <w:rPr>
          <w:rFonts w:ascii="Baskerville" w:hAnsi="Baskerville" w:cs="Baskerville"/>
          <w:b/>
          <w:u w:val="single"/>
        </w:rPr>
        <w:t>RECOMMENDATIONS</w:t>
      </w:r>
      <w:r w:rsidR="005A3264" w:rsidRPr="00B610CD">
        <w:rPr>
          <w:rFonts w:ascii="Baskerville" w:hAnsi="Baskerville" w:cs="Baskerville"/>
          <w:b/>
          <w:u w:val="single"/>
        </w:rPr>
        <w:t>………………………………………………………………..5</w:t>
      </w:r>
      <w:r w:rsidR="00312E88">
        <w:rPr>
          <w:rFonts w:ascii="Baskerville" w:hAnsi="Baskerville" w:cs="Baskerville"/>
          <w:b/>
          <w:u w:val="single"/>
        </w:rPr>
        <w:t>6</w:t>
      </w:r>
      <w:r w:rsidR="002A6058">
        <w:rPr>
          <w:rFonts w:ascii="Baskerville" w:hAnsi="Baskerville" w:cs="Baskerville"/>
          <w:b/>
        </w:rPr>
        <w:tab/>
      </w:r>
      <w:r w:rsidR="00AB18C5" w:rsidRPr="00DF1E2F">
        <w:rPr>
          <w:rFonts w:ascii="Baskerville" w:hAnsi="Baskerville" w:cs="Baskerville"/>
          <w:b/>
        </w:rPr>
        <w:tab/>
      </w:r>
    </w:p>
    <w:p w:rsidR="001F5B0C" w:rsidRPr="00DF1E2F" w:rsidRDefault="004A2A43" w:rsidP="00DB7B75">
      <w:pPr>
        <w:tabs>
          <w:tab w:val="left" w:pos="1440"/>
          <w:tab w:val="left" w:pos="2822"/>
          <w:tab w:val="right" w:pos="9000"/>
        </w:tabs>
        <w:ind w:left="720" w:right="18" w:hanging="720"/>
        <w:rPr>
          <w:rFonts w:ascii="Baskerville" w:hAnsi="Baskerville" w:cs="Baskerville"/>
          <w:b/>
        </w:rPr>
      </w:pPr>
      <w:r w:rsidRPr="00DF1E2F">
        <w:rPr>
          <w:rFonts w:ascii="Baskerville" w:hAnsi="Baskerville" w:cs="Baskerville"/>
          <w:b/>
        </w:rPr>
        <w:lastRenderedPageBreak/>
        <w:t>V</w:t>
      </w:r>
      <w:r w:rsidR="006C628C" w:rsidRPr="00DF1E2F">
        <w:rPr>
          <w:rFonts w:ascii="Baskerville" w:hAnsi="Baskerville" w:cs="Baskerville"/>
          <w:b/>
        </w:rPr>
        <w:t>I</w:t>
      </w:r>
      <w:r w:rsidR="005A3264">
        <w:rPr>
          <w:rFonts w:ascii="Baskerville" w:hAnsi="Baskerville" w:cs="Baskerville"/>
          <w:b/>
        </w:rPr>
        <w:t xml:space="preserve">. </w:t>
      </w:r>
      <w:r w:rsidR="00DB7B75">
        <w:rPr>
          <w:rFonts w:ascii="Baskerville" w:hAnsi="Baskerville" w:cs="Baskerville"/>
          <w:b/>
        </w:rPr>
        <w:t xml:space="preserve">     </w:t>
      </w:r>
      <w:r w:rsidR="00AB4D26" w:rsidRPr="00B610CD">
        <w:rPr>
          <w:rFonts w:ascii="Baskerville" w:hAnsi="Baskerville" w:cs="Baskerville"/>
          <w:b/>
          <w:u w:val="single"/>
        </w:rPr>
        <w:t>APPENDICES</w:t>
      </w:r>
      <w:r w:rsidR="005A3264" w:rsidRPr="00B610CD">
        <w:rPr>
          <w:rFonts w:ascii="Baskerville" w:hAnsi="Baskerville" w:cs="Baskerville"/>
          <w:b/>
          <w:u w:val="single"/>
        </w:rPr>
        <w:t>……………………………………………………</w:t>
      </w:r>
      <w:r w:rsidR="00DB7B75" w:rsidRPr="00B610CD">
        <w:rPr>
          <w:rFonts w:ascii="Baskerville" w:hAnsi="Baskerville" w:cs="Baskerville"/>
          <w:b/>
          <w:u w:val="single"/>
        </w:rPr>
        <w:t>....</w:t>
      </w:r>
      <w:r w:rsidR="0096479D">
        <w:rPr>
          <w:rFonts w:ascii="Baskerville" w:hAnsi="Baskerville" w:cs="Baskerville"/>
          <w:b/>
          <w:u w:val="single"/>
        </w:rPr>
        <w:t>……………………</w:t>
      </w:r>
      <w:r w:rsidR="006A2283">
        <w:rPr>
          <w:rFonts w:ascii="Baskerville" w:hAnsi="Baskerville" w:cs="Baskerville"/>
          <w:b/>
          <w:u w:val="single"/>
        </w:rPr>
        <w:t>58</w:t>
      </w:r>
      <w:r w:rsidR="00AB4D26" w:rsidRPr="00DF1E2F">
        <w:rPr>
          <w:rFonts w:ascii="Baskerville" w:hAnsi="Baskerville" w:cs="Baskerville"/>
          <w:b/>
        </w:rPr>
        <w:t xml:space="preserve"> </w:t>
      </w:r>
      <w:r w:rsidR="004178CA" w:rsidRPr="00DF1E2F">
        <w:rPr>
          <w:rFonts w:ascii="Baskerville" w:hAnsi="Baskerville" w:cs="Baskerville"/>
          <w:b/>
        </w:rPr>
        <w:tab/>
      </w:r>
      <w:r w:rsidR="004178CA" w:rsidRPr="00DF1E2F">
        <w:rPr>
          <w:rFonts w:ascii="Baskerville" w:hAnsi="Baskerville" w:cs="Baskerville"/>
          <w:b/>
        </w:rPr>
        <w:tab/>
      </w:r>
    </w:p>
    <w:p w:rsidR="00F75211" w:rsidRPr="00E0373E" w:rsidRDefault="004A2A43" w:rsidP="000B5827">
      <w:pPr>
        <w:numPr>
          <w:ilvl w:val="0"/>
          <w:numId w:val="34"/>
        </w:numPr>
        <w:tabs>
          <w:tab w:val="left" w:pos="1440"/>
          <w:tab w:val="left" w:pos="2822"/>
          <w:tab w:val="right" w:pos="9000"/>
        </w:tabs>
        <w:ind w:right="274"/>
        <w:rPr>
          <w:rFonts w:ascii="Baskerville" w:hAnsi="Baskerville" w:cs="Baskerville"/>
        </w:rPr>
      </w:pPr>
      <w:r w:rsidRPr="00E0373E">
        <w:rPr>
          <w:rFonts w:ascii="Baskerville" w:hAnsi="Baskerville" w:cs="Baskerville"/>
        </w:rPr>
        <w:t>Individual R</w:t>
      </w:r>
      <w:r w:rsidR="00315FC3" w:rsidRPr="00E0373E">
        <w:rPr>
          <w:rFonts w:ascii="Baskerville" w:hAnsi="Baskerville" w:cs="Baskerville"/>
        </w:rPr>
        <w:t>eview Study</w:t>
      </w:r>
      <w:r w:rsidR="008243BA">
        <w:rPr>
          <w:rFonts w:ascii="Baskerville" w:hAnsi="Baskerville" w:cs="Baskerville"/>
        </w:rPr>
        <w:t>……………………………………………</w:t>
      </w:r>
      <w:r w:rsidR="00AC1E7A">
        <w:rPr>
          <w:rFonts w:ascii="Baskerville" w:hAnsi="Baskerville" w:cs="Baskerville"/>
        </w:rPr>
        <w:t>.</w:t>
      </w:r>
      <w:r w:rsidR="008243BA">
        <w:rPr>
          <w:rFonts w:ascii="Baskerville" w:hAnsi="Baskerville" w:cs="Baskerville"/>
        </w:rPr>
        <w:t>…</w:t>
      </w:r>
      <w:r w:rsidR="003223DC">
        <w:rPr>
          <w:rFonts w:ascii="Baskerville" w:hAnsi="Baskerville" w:cs="Baskerville"/>
        </w:rPr>
        <w:t>.</w:t>
      </w:r>
      <w:r w:rsidR="008243BA">
        <w:rPr>
          <w:rFonts w:ascii="Baskerville" w:hAnsi="Baskerville" w:cs="Baskerville"/>
        </w:rPr>
        <w:t>…</w:t>
      </w:r>
      <w:r w:rsidR="006A2283">
        <w:rPr>
          <w:rFonts w:ascii="Baskerville" w:hAnsi="Baskerville" w:cs="Baskerville"/>
        </w:rPr>
        <w:t>59</w:t>
      </w:r>
      <w:r w:rsidR="00AB18C5" w:rsidRPr="00E0373E">
        <w:rPr>
          <w:rFonts w:ascii="Baskerville" w:hAnsi="Baskerville" w:cs="Baskerville"/>
        </w:rPr>
        <w:tab/>
      </w:r>
      <w:r w:rsidR="00AB18C5" w:rsidRPr="00E0373E">
        <w:rPr>
          <w:rFonts w:ascii="Baskerville" w:hAnsi="Baskerville" w:cs="Baskerville"/>
        </w:rPr>
        <w:tab/>
      </w:r>
    </w:p>
    <w:p w:rsidR="004A39FB" w:rsidRPr="00E0373E" w:rsidRDefault="00954B71" w:rsidP="000B5827">
      <w:pPr>
        <w:pStyle w:val="ListParagraph"/>
        <w:numPr>
          <w:ilvl w:val="0"/>
          <w:numId w:val="34"/>
        </w:numPr>
        <w:tabs>
          <w:tab w:val="left" w:pos="1440"/>
          <w:tab w:val="left" w:pos="2822"/>
          <w:tab w:val="right" w:pos="9000"/>
        </w:tabs>
        <w:ind w:right="274"/>
        <w:rPr>
          <w:rFonts w:ascii="Baskerville" w:hAnsi="Baskerville" w:cs="Baskerville"/>
        </w:rPr>
      </w:pPr>
      <w:r w:rsidRPr="00E0373E">
        <w:rPr>
          <w:rFonts w:ascii="Baskerville" w:hAnsi="Baskerville" w:cs="Baskerville"/>
        </w:rPr>
        <w:t xml:space="preserve">Case Management </w:t>
      </w:r>
      <w:r w:rsidR="00764DC0">
        <w:rPr>
          <w:rFonts w:ascii="Baskerville" w:hAnsi="Baskerville" w:cs="Baskerville"/>
        </w:rPr>
        <w:t>and Licensing</w:t>
      </w:r>
      <w:r w:rsidR="00B003F2">
        <w:rPr>
          <w:rFonts w:ascii="Baskerville" w:hAnsi="Baskerville" w:cs="Baskerville"/>
        </w:rPr>
        <w:t>…………………………………</w:t>
      </w:r>
      <w:r w:rsidR="00AC1E7A">
        <w:rPr>
          <w:rFonts w:ascii="Baskerville" w:hAnsi="Baskerville" w:cs="Baskerville"/>
        </w:rPr>
        <w:t>.</w:t>
      </w:r>
      <w:r w:rsidR="00B003F2">
        <w:rPr>
          <w:rFonts w:ascii="Baskerville" w:hAnsi="Baskerville" w:cs="Baskerville"/>
        </w:rPr>
        <w:t>…</w:t>
      </w:r>
      <w:r w:rsidR="003223DC">
        <w:rPr>
          <w:rFonts w:ascii="Baskerville" w:hAnsi="Baskerville" w:cs="Baskerville"/>
        </w:rPr>
        <w:t>.</w:t>
      </w:r>
      <w:r w:rsidR="00B003F2">
        <w:rPr>
          <w:rFonts w:ascii="Baskerville" w:hAnsi="Baskerville" w:cs="Baskerville"/>
        </w:rPr>
        <w:t>…..6</w:t>
      </w:r>
      <w:r w:rsidR="006A2283">
        <w:rPr>
          <w:rFonts w:ascii="Baskerville" w:hAnsi="Baskerville" w:cs="Baskerville"/>
        </w:rPr>
        <w:t>4</w:t>
      </w:r>
      <w:r w:rsidR="004A39FB" w:rsidRPr="00E0373E">
        <w:rPr>
          <w:rFonts w:ascii="Baskerville" w:hAnsi="Baskerville" w:cs="Baskerville"/>
        </w:rPr>
        <w:t xml:space="preserve">  </w:t>
      </w:r>
    </w:p>
    <w:p w:rsidR="004A2A43" w:rsidRPr="00E0373E" w:rsidRDefault="00825DB4" w:rsidP="000B5827">
      <w:pPr>
        <w:pStyle w:val="ListParagraph"/>
        <w:numPr>
          <w:ilvl w:val="0"/>
          <w:numId w:val="34"/>
        </w:numPr>
        <w:tabs>
          <w:tab w:val="left" w:pos="1440"/>
          <w:tab w:val="left" w:pos="2822"/>
          <w:tab w:val="right" w:pos="9000"/>
        </w:tabs>
        <w:ind w:right="274"/>
        <w:rPr>
          <w:rFonts w:ascii="Baskerville" w:hAnsi="Baskerville" w:cs="Baskerville"/>
        </w:rPr>
      </w:pPr>
      <w:r w:rsidRPr="00E0373E">
        <w:rPr>
          <w:rFonts w:ascii="Baskerville" w:hAnsi="Baskerville" w:cs="Baskerville"/>
        </w:rPr>
        <w:t>Crisis Services</w:t>
      </w:r>
      <w:r w:rsidR="008243BA">
        <w:rPr>
          <w:rFonts w:ascii="Baskerville" w:hAnsi="Baskerville" w:cs="Baskerville"/>
        </w:rPr>
        <w:t>……………………………………………………</w:t>
      </w:r>
      <w:r w:rsidR="00AC1E7A">
        <w:rPr>
          <w:rFonts w:ascii="Baskerville" w:hAnsi="Baskerville" w:cs="Baskerville"/>
        </w:rPr>
        <w:t>.</w:t>
      </w:r>
      <w:r w:rsidR="008243BA">
        <w:rPr>
          <w:rFonts w:ascii="Baskerville" w:hAnsi="Baskerville" w:cs="Baskerville"/>
        </w:rPr>
        <w:t>……</w:t>
      </w:r>
      <w:r w:rsidR="003223DC">
        <w:rPr>
          <w:rFonts w:ascii="Baskerville" w:hAnsi="Baskerville" w:cs="Baskerville"/>
        </w:rPr>
        <w:t>.</w:t>
      </w:r>
      <w:r w:rsidR="008243BA">
        <w:rPr>
          <w:rFonts w:ascii="Baskerville" w:hAnsi="Baskerville" w:cs="Baskerville"/>
        </w:rPr>
        <w:t>…</w:t>
      </w:r>
      <w:r w:rsidR="00B003F2">
        <w:rPr>
          <w:rFonts w:ascii="Baskerville" w:hAnsi="Baskerville" w:cs="Baskerville"/>
        </w:rPr>
        <w:t>.</w:t>
      </w:r>
      <w:r w:rsidR="006A2283">
        <w:rPr>
          <w:rFonts w:ascii="Baskerville" w:hAnsi="Baskerville" w:cs="Baskerville"/>
        </w:rPr>
        <w:t>78</w:t>
      </w:r>
      <w:r w:rsidRPr="00E0373E">
        <w:rPr>
          <w:rFonts w:ascii="Baskerville" w:hAnsi="Baskerville" w:cs="Baskerville"/>
        </w:rPr>
        <w:t xml:space="preserve"> </w:t>
      </w:r>
      <w:r w:rsidR="00AB18C5" w:rsidRPr="00E0373E">
        <w:rPr>
          <w:rFonts w:ascii="Baskerville" w:hAnsi="Baskerville" w:cs="Baskerville"/>
        </w:rPr>
        <w:tab/>
      </w:r>
      <w:r w:rsidR="00FC6CBD" w:rsidRPr="00E0373E">
        <w:rPr>
          <w:rFonts w:ascii="Baskerville" w:hAnsi="Baskerville" w:cs="Baskerville"/>
        </w:rPr>
        <w:tab/>
      </w:r>
    </w:p>
    <w:p w:rsidR="004A2A43" w:rsidRPr="00E0373E" w:rsidRDefault="004A39FB" w:rsidP="000B5827">
      <w:pPr>
        <w:pStyle w:val="ColorfulList-Accent11"/>
        <w:tabs>
          <w:tab w:val="left" w:pos="1440"/>
          <w:tab w:val="right" w:pos="9000"/>
        </w:tabs>
        <w:ind w:left="1440" w:right="274" w:hanging="720"/>
        <w:rPr>
          <w:rFonts w:ascii="Baskerville" w:hAnsi="Baskerville" w:cs="Baskerville"/>
        </w:rPr>
      </w:pPr>
      <w:r w:rsidRPr="00E0373E">
        <w:rPr>
          <w:rFonts w:ascii="Baskerville" w:hAnsi="Baskerville" w:cs="Baskerville"/>
        </w:rPr>
        <w:t>D</w:t>
      </w:r>
      <w:r w:rsidR="004A2A43" w:rsidRPr="00E0373E">
        <w:rPr>
          <w:rFonts w:ascii="Baskerville" w:hAnsi="Baskerville" w:cs="Baskerville"/>
        </w:rPr>
        <w:t>.</w:t>
      </w:r>
      <w:r w:rsidR="00FC6CBD" w:rsidRPr="00E0373E">
        <w:rPr>
          <w:rFonts w:ascii="Baskerville" w:hAnsi="Baskerville" w:cs="Baskerville"/>
        </w:rPr>
        <w:tab/>
      </w:r>
      <w:r w:rsidR="000C056F" w:rsidRPr="00E0373E">
        <w:rPr>
          <w:rFonts w:ascii="Baskerville" w:hAnsi="Baskerville" w:cs="Baskerville"/>
        </w:rPr>
        <w:t>Integrated Day Activities</w:t>
      </w:r>
      <w:r w:rsidR="008A6F07" w:rsidRPr="00E0373E">
        <w:rPr>
          <w:rFonts w:ascii="Baskerville" w:hAnsi="Baskerville" w:cs="Baskerville"/>
        </w:rPr>
        <w:t xml:space="preserve"> </w:t>
      </w:r>
      <w:r w:rsidR="000C056F" w:rsidRPr="00E0373E">
        <w:rPr>
          <w:rFonts w:ascii="Baskerville" w:hAnsi="Baskerville" w:cs="Baskerville"/>
        </w:rPr>
        <w:t>-</w:t>
      </w:r>
      <w:r w:rsidR="008A6F07" w:rsidRPr="00E0373E">
        <w:rPr>
          <w:rFonts w:ascii="Baskerville" w:hAnsi="Baskerville" w:cs="Baskerville"/>
        </w:rPr>
        <w:t xml:space="preserve"> </w:t>
      </w:r>
      <w:r w:rsidR="00825DB4" w:rsidRPr="00E0373E">
        <w:rPr>
          <w:rFonts w:ascii="Baskerville" w:hAnsi="Baskerville" w:cs="Baskerville"/>
        </w:rPr>
        <w:t>Employment Services</w:t>
      </w:r>
      <w:r w:rsidR="008243BA">
        <w:rPr>
          <w:rFonts w:ascii="Baskerville" w:hAnsi="Baskerville" w:cs="Baskerville"/>
        </w:rPr>
        <w:t>………</w:t>
      </w:r>
      <w:r w:rsidR="00FA66E4">
        <w:rPr>
          <w:rFonts w:ascii="Baskerville" w:hAnsi="Baskerville" w:cs="Baskerville"/>
        </w:rPr>
        <w:t>...</w:t>
      </w:r>
      <w:r w:rsidR="008243BA">
        <w:rPr>
          <w:rFonts w:ascii="Baskerville" w:hAnsi="Baskerville" w:cs="Baskerville"/>
        </w:rPr>
        <w:t>………</w:t>
      </w:r>
      <w:r w:rsidR="00AC1E7A">
        <w:rPr>
          <w:rFonts w:ascii="Baskerville" w:hAnsi="Baskerville" w:cs="Baskerville"/>
        </w:rPr>
        <w:t>.</w:t>
      </w:r>
      <w:r w:rsidR="008243BA">
        <w:rPr>
          <w:rFonts w:ascii="Baskerville" w:hAnsi="Baskerville" w:cs="Baskerville"/>
        </w:rPr>
        <w:t>……</w:t>
      </w:r>
      <w:r w:rsidR="003223DC">
        <w:rPr>
          <w:rFonts w:ascii="Baskerville" w:hAnsi="Baskerville" w:cs="Baskerville"/>
        </w:rPr>
        <w:t>.</w:t>
      </w:r>
      <w:r w:rsidR="00B003F2">
        <w:rPr>
          <w:rFonts w:ascii="Baskerville" w:hAnsi="Baskerville" w:cs="Baskerville"/>
        </w:rPr>
        <w:t>.10</w:t>
      </w:r>
      <w:r w:rsidR="006A2283">
        <w:rPr>
          <w:rFonts w:ascii="Baskerville" w:hAnsi="Baskerville" w:cs="Baskerville"/>
        </w:rPr>
        <w:t>2</w:t>
      </w:r>
      <w:r w:rsidR="00825DB4" w:rsidRPr="00E0373E">
        <w:rPr>
          <w:rFonts w:ascii="Baskerville" w:hAnsi="Baskerville" w:cs="Baskerville"/>
        </w:rPr>
        <w:t xml:space="preserve"> </w:t>
      </w:r>
      <w:r w:rsidR="00AB18C5" w:rsidRPr="00E0373E">
        <w:rPr>
          <w:rFonts w:ascii="Baskerville" w:hAnsi="Baskerville" w:cs="Baskerville"/>
        </w:rPr>
        <w:tab/>
      </w:r>
      <w:r w:rsidR="00FC6CBD" w:rsidRPr="00E0373E">
        <w:rPr>
          <w:rFonts w:ascii="Baskerville" w:hAnsi="Baskerville" w:cs="Baskerville"/>
        </w:rPr>
        <w:tab/>
      </w:r>
    </w:p>
    <w:p w:rsidR="002C7DE4" w:rsidRDefault="004A39FB" w:rsidP="00DB7B75">
      <w:pPr>
        <w:pStyle w:val="ColorfulList-Accent11"/>
        <w:tabs>
          <w:tab w:val="left" w:pos="720"/>
          <w:tab w:val="left" w:pos="1440"/>
          <w:tab w:val="right" w:pos="9000"/>
        </w:tabs>
        <w:ind w:right="274"/>
        <w:rPr>
          <w:rFonts w:ascii="Baskerville" w:hAnsi="Baskerville" w:cs="Baskerville"/>
        </w:rPr>
      </w:pPr>
      <w:r w:rsidRPr="00E0373E">
        <w:rPr>
          <w:rFonts w:ascii="Baskerville" w:hAnsi="Baskerville" w:cs="Baskerville"/>
        </w:rPr>
        <w:t>E</w:t>
      </w:r>
      <w:r w:rsidR="004A2A43" w:rsidRPr="00E0373E">
        <w:rPr>
          <w:rFonts w:ascii="Baskerville" w:hAnsi="Baskerville" w:cs="Baskerville"/>
        </w:rPr>
        <w:t>.</w:t>
      </w:r>
      <w:r w:rsidR="004A2A43" w:rsidRPr="00E0373E">
        <w:rPr>
          <w:rFonts w:ascii="Baskerville" w:hAnsi="Baskerville" w:cs="Baskerville"/>
        </w:rPr>
        <w:tab/>
      </w:r>
      <w:r w:rsidR="005249ED" w:rsidRPr="00E0373E">
        <w:rPr>
          <w:rFonts w:ascii="Baskerville" w:hAnsi="Baskerville" w:cs="Baskerville"/>
        </w:rPr>
        <w:t>Individual/</w:t>
      </w:r>
      <w:r w:rsidR="00BF388B" w:rsidRPr="00E0373E">
        <w:rPr>
          <w:rFonts w:ascii="Baskerville" w:hAnsi="Baskerville" w:cs="Baskerville"/>
        </w:rPr>
        <w:t>Family Supports and Guidelines</w:t>
      </w:r>
      <w:r w:rsidR="005249ED" w:rsidRPr="00E0373E">
        <w:rPr>
          <w:rFonts w:ascii="Baskerville" w:hAnsi="Baskerville" w:cs="Baskerville"/>
        </w:rPr>
        <w:t xml:space="preserve"> to Access</w:t>
      </w:r>
      <w:r w:rsidR="00FA66E4">
        <w:rPr>
          <w:rFonts w:ascii="Baskerville" w:hAnsi="Baskerville" w:cs="Baskerville"/>
        </w:rPr>
        <w:t>…………</w:t>
      </w:r>
      <w:r w:rsidR="00AC1E7A">
        <w:rPr>
          <w:rFonts w:ascii="Baskerville" w:hAnsi="Baskerville" w:cs="Baskerville"/>
        </w:rPr>
        <w:t>.</w:t>
      </w:r>
      <w:r w:rsidR="00FA66E4">
        <w:rPr>
          <w:rFonts w:ascii="Baskerville" w:hAnsi="Baskerville" w:cs="Baskerville"/>
        </w:rPr>
        <w:t>……</w:t>
      </w:r>
      <w:r w:rsidR="003223DC">
        <w:rPr>
          <w:rFonts w:ascii="Baskerville" w:hAnsi="Baskerville" w:cs="Baskerville"/>
        </w:rPr>
        <w:t>.</w:t>
      </w:r>
      <w:r w:rsidR="00FA66E4">
        <w:rPr>
          <w:rFonts w:ascii="Baskerville" w:hAnsi="Baskerville" w:cs="Baskerville"/>
        </w:rPr>
        <w:t>…</w:t>
      </w:r>
      <w:r w:rsidR="00B003F2">
        <w:rPr>
          <w:rFonts w:ascii="Baskerville" w:hAnsi="Baskerville" w:cs="Baskerville"/>
        </w:rPr>
        <w:t>12</w:t>
      </w:r>
      <w:r w:rsidR="006A2283">
        <w:rPr>
          <w:rFonts w:ascii="Baskerville" w:hAnsi="Baskerville" w:cs="Baskerville"/>
        </w:rPr>
        <w:t>5</w:t>
      </w:r>
    </w:p>
    <w:p w:rsidR="004C48BE" w:rsidRPr="00DF1E2F" w:rsidRDefault="004C48BE" w:rsidP="00DB7B75">
      <w:pPr>
        <w:pStyle w:val="ColorfulList-Accent11"/>
        <w:tabs>
          <w:tab w:val="left" w:pos="720"/>
          <w:tab w:val="left" w:pos="1440"/>
          <w:tab w:val="right" w:pos="9000"/>
        </w:tabs>
        <w:ind w:right="274"/>
        <w:rPr>
          <w:rFonts w:ascii="Baskerville" w:hAnsi="Baskerville" w:cs="Baskerville"/>
        </w:rPr>
      </w:pPr>
      <w:r>
        <w:rPr>
          <w:rFonts w:ascii="Baskerville" w:hAnsi="Baskerville" w:cs="Baskerville"/>
        </w:rPr>
        <w:t>F</w:t>
      </w:r>
      <w:r w:rsidR="00635780">
        <w:rPr>
          <w:rFonts w:ascii="Baskerville" w:hAnsi="Baskerville" w:cs="Baskerville"/>
        </w:rPr>
        <w:t>.</w:t>
      </w:r>
      <w:r w:rsidR="00635780">
        <w:rPr>
          <w:rFonts w:ascii="Baskerville" w:hAnsi="Baskerville" w:cs="Baskerville"/>
        </w:rPr>
        <w:tab/>
        <w:t>List of Acronyms……………….</w:t>
      </w:r>
      <w:r>
        <w:rPr>
          <w:rFonts w:ascii="Baskerville" w:hAnsi="Baskerville" w:cs="Baskerville"/>
        </w:rPr>
        <w:t>…………………………………</w:t>
      </w:r>
      <w:r w:rsidR="00AC1E7A">
        <w:rPr>
          <w:rFonts w:ascii="Baskerville" w:hAnsi="Baskerville" w:cs="Baskerville"/>
        </w:rPr>
        <w:t>.</w:t>
      </w:r>
      <w:r>
        <w:rPr>
          <w:rFonts w:ascii="Baskerville" w:hAnsi="Baskerville" w:cs="Baskerville"/>
        </w:rPr>
        <w:t>……</w:t>
      </w:r>
      <w:r w:rsidR="003223DC">
        <w:rPr>
          <w:rFonts w:ascii="Baskerville" w:hAnsi="Baskerville" w:cs="Baskerville"/>
        </w:rPr>
        <w:t>.</w:t>
      </w:r>
      <w:r>
        <w:rPr>
          <w:rFonts w:ascii="Baskerville" w:hAnsi="Baskerville" w:cs="Baskerville"/>
        </w:rPr>
        <w:t>..</w:t>
      </w:r>
      <w:r w:rsidR="00B003F2">
        <w:rPr>
          <w:rFonts w:ascii="Baskerville" w:hAnsi="Baskerville" w:cs="Baskerville"/>
        </w:rPr>
        <w:t>1</w:t>
      </w:r>
      <w:r w:rsidR="006A2283">
        <w:rPr>
          <w:rFonts w:ascii="Baskerville" w:hAnsi="Baskerville" w:cs="Baskerville"/>
        </w:rPr>
        <w:t>48</w:t>
      </w:r>
    </w:p>
    <w:p w:rsidR="00BE0E99" w:rsidRPr="00DF1E2F" w:rsidRDefault="00175FBD" w:rsidP="00175FBD">
      <w:pPr>
        <w:rPr>
          <w:rFonts w:ascii="Baskerville" w:hAnsi="Baskerville" w:cs="Baskerville"/>
        </w:rPr>
        <w:sectPr w:rsidR="00BE0E99" w:rsidRPr="00DF1E2F" w:rsidSect="00397025">
          <w:type w:val="continuous"/>
          <w:pgSz w:w="12240" w:h="15840"/>
          <w:pgMar w:top="1440" w:right="1296" w:bottom="1440" w:left="1296" w:header="720" w:footer="720" w:gutter="0"/>
          <w:pgNumType w:fmt="lowerRoman" w:start="1"/>
          <w:cols w:space="720"/>
          <w:docGrid w:linePitch="360"/>
        </w:sectPr>
      </w:pPr>
      <w:r>
        <w:rPr>
          <w:rFonts w:ascii="Baskerville" w:hAnsi="Baskerville" w:cs="Baskerville"/>
        </w:rPr>
        <w:br w:type="page"/>
      </w:r>
    </w:p>
    <w:p w:rsidR="006D6650" w:rsidRPr="009B0B98" w:rsidRDefault="00861593" w:rsidP="00D70B40">
      <w:pPr>
        <w:tabs>
          <w:tab w:val="left" w:pos="1440"/>
          <w:tab w:val="left" w:pos="3120"/>
          <w:tab w:val="center" w:pos="4770"/>
          <w:tab w:val="left" w:pos="4920"/>
          <w:tab w:val="right" w:pos="8640"/>
          <w:tab w:val="left" w:pos="9540"/>
        </w:tabs>
        <w:ind w:right="-36"/>
        <w:jc w:val="center"/>
        <w:rPr>
          <w:rFonts w:ascii="Baskerville" w:hAnsi="Baskerville" w:cs="Baskerville"/>
          <w:b/>
          <w:sz w:val="28"/>
          <w:szCs w:val="28"/>
          <w:u w:val="single"/>
        </w:rPr>
      </w:pPr>
      <w:r w:rsidRPr="009B0B98">
        <w:rPr>
          <w:rFonts w:ascii="Baskerville" w:hAnsi="Baskerville" w:cs="Baskerville"/>
          <w:b/>
          <w:sz w:val="28"/>
          <w:szCs w:val="28"/>
          <w:u w:val="single"/>
        </w:rPr>
        <w:t xml:space="preserve">I. </w:t>
      </w:r>
      <w:r w:rsidR="00A26CE5" w:rsidRPr="009B0B98">
        <w:rPr>
          <w:rFonts w:ascii="Baskerville" w:hAnsi="Baskerville" w:cs="Baskerville"/>
          <w:b/>
          <w:sz w:val="28"/>
          <w:szCs w:val="28"/>
          <w:u w:val="single"/>
        </w:rPr>
        <w:t>EXECUTIVE SUMMARY</w:t>
      </w:r>
    </w:p>
    <w:p w:rsidR="00091BE8" w:rsidRPr="00DF1E2F" w:rsidRDefault="00091BE8" w:rsidP="00D70B40">
      <w:pPr>
        <w:tabs>
          <w:tab w:val="left" w:pos="1440"/>
          <w:tab w:val="left" w:pos="3120"/>
          <w:tab w:val="center" w:pos="4770"/>
          <w:tab w:val="left" w:pos="4920"/>
          <w:tab w:val="right" w:pos="8640"/>
          <w:tab w:val="left" w:pos="9540"/>
        </w:tabs>
        <w:ind w:right="-36"/>
        <w:jc w:val="center"/>
        <w:rPr>
          <w:rFonts w:ascii="Baskerville" w:hAnsi="Baskerville" w:cs="Baskerville"/>
          <w:b/>
        </w:rPr>
      </w:pPr>
    </w:p>
    <w:p w:rsidR="004B3FA8" w:rsidRDefault="004B3FA8" w:rsidP="004B3FA8">
      <w:pPr>
        <w:tabs>
          <w:tab w:val="left" w:pos="1440"/>
          <w:tab w:val="left" w:pos="4920"/>
          <w:tab w:val="right" w:pos="8640"/>
          <w:tab w:val="left" w:pos="9540"/>
        </w:tabs>
        <w:ind w:right="-36"/>
        <w:rPr>
          <w:rFonts w:ascii="Baskerville" w:hAnsi="Baskerville" w:cs="Baskerville"/>
        </w:rPr>
      </w:pPr>
      <w:r w:rsidRPr="00DF1E2F">
        <w:rPr>
          <w:rFonts w:ascii="Baskerville" w:hAnsi="Baskerville" w:cs="Baskerville"/>
        </w:rPr>
        <w:t>This is the Independent Reviewer’s</w:t>
      </w:r>
      <w:r>
        <w:rPr>
          <w:rFonts w:ascii="Baskerville" w:hAnsi="Baskerville" w:cs="Baskerville"/>
        </w:rPr>
        <w:t xml:space="preserve"> six</w:t>
      </w:r>
      <w:r w:rsidRPr="00DF1E2F">
        <w:rPr>
          <w:rFonts w:ascii="Baskerville" w:hAnsi="Baskerville" w:cs="Baskerville"/>
        </w:rPr>
        <w:t xml:space="preserve">th report </w:t>
      </w:r>
      <w:r>
        <w:rPr>
          <w:rFonts w:ascii="Baskerville" w:hAnsi="Baskerville" w:cs="Baskerville"/>
        </w:rPr>
        <w:t>on the status of compliance with</w:t>
      </w:r>
      <w:r w:rsidRPr="00DF1E2F">
        <w:rPr>
          <w:rFonts w:ascii="Baskerville" w:hAnsi="Baskerville" w:cs="Baskerville"/>
        </w:rPr>
        <w:t xml:space="preserve"> the Settlement Agreement (Agreement) between the Commonwealth of Virginia (the Commonwealth) and the United States, represented by the Department of Justice</w:t>
      </w:r>
      <w:r>
        <w:rPr>
          <w:rFonts w:ascii="Baskerville" w:hAnsi="Baskerville" w:cs="Baskerville"/>
        </w:rPr>
        <w:t xml:space="preserve"> (DOJ)</w:t>
      </w:r>
      <w:r w:rsidRPr="00DF1E2F">
        <w:rPr>
          <w:rFonts w:ascii="Baskerville" w:hAnsi="Baskerville" w:cs="Baskerville"/>
        </w:rPr>
        <w:t xml:space="preserve">. This report documents and discusses the Commonwealth’s efforts and the status of its compliance with its </w:t>
      </w:r>
      <w:r>
        <w:rPr>
          <w:rFonts w:ascii="Baskerville" w:hAnsi="Baskerville" w:cs="Baskerville"/>
        </w:rPr>
        <w:t xml:space="preserve">obligations, during the review period </w:t>
      </w:r>
      <w:r w:rsidRPr="00DF1E2F">
        <w:rPr>
          <w:rFonts w:ascii="Baskerville" w:hAnsi="Baskerville" w:cs="Baskerville"/>
        </w:rPr>
        <w:t>October 7, 2014 –</w:t>
      </w:r>
      <w:r w:rsidRPr="00477B74">
        <w:rPr>
          <w:rFonts w:ascii="Baskerville" w:hAnsi="Baskerville" w:cs="Baskerville"/>
        </w:rPr>
        <w:t xml:space="preserve"> </w:t>
      </w:r>
      <w:r w:rsidRPr="00DF1E2F">
        <w:rPr>
          <w:rFonts w:ascii="Baskerville" w:hAnsi="Baskerville" w:cs="Baskerville"/>
        </w:rPr>
        <w:t xml:space="preserve">April </w:t>
      </w:r>
      <w:r>
        <w:rPr>
          <w:rFonts w:ascii="Baskerville" w:hAnsi="Baskerville" w:cs="Baskerville"/>
        </w:rPr>
        <w:t>6, 2015. The review period approximates the second half of the third year of the Commonwealth’s implementation efforts.</w:t>
      </w:r>
    </w:p>
    <w:p w:rsidR="004B3FA8" w:rsidRDefault="004B3FA8" w:rsidP="004B3FA8">
      <w:pPr>
        <w:tabs>
          <w:tab w:val="left" w:pos="1440"/>
          <w:tab w:val="left" w:pos="4920"/>
          <w:tab w:val="right" w:pos="8640"/>
          <w:tab w:val="left" w:pos="9540"/>
        </w:tabs>
        <w:ind w:right="-36"/>
        <w:rPr>
          <w:rFonts w:ascii="Baskerville" w:hAnsi="Baskerville" w:cs="Baskerville"/>
        </w:rPr>
      </w:pPr>
    </w:p>
    <w:p w:rsidR="004B3FA8" w:rsidRPr="001F7F53" w:rsidRDefault="004B3FA8" w:rsidP="004B3FA8">
      <w:pPr>
        <w:widowControl w:val="0"/>
        <w:numPr>
          <w:ilvl w:val="0"/>
          <w:numId w:val="35"/>
        </w:numPr>
        <w:tabs>
          <w:tab w:val="left" w:pos="0"/>
          <w:tab w:val="left" w:pos="220"/>
        </w:tabs>
        <w:autoSpaceDE w:val="0"/>
        <w:autoSpaceDN w:val="0"/>
        <w:adjustRightInd w:val="0"/>
        <w:spacing w:after="320"/>
        <w:ind w:left="0" w:firstLine="0"/>
        <w:rPr>
          <w:rFonts w:ascii="Times" w:hAnsi="Times" w:cs="Times"/>
          <w:sz w:val="32"/>
          <w:szCs w:val="32"/>
        </w:rPr>
      </w:pPr>
      <w:r w:rsidRPr="008506CD">
        <w:rPr>
          <w:rFonts w:ascii="Baskerville" w:hAnsi="Baskerville" w:cs="Baskerville"/>
        </w:rPr>
        <w:t xml:space="preserve">The Agreement’s provisions </w:t>
      </w:r>
      <w:r>
        <w:rPr>
          <w:rFonts w:ascii="Baskerville" w:hAnsi="Baskerville" w:cs="Baskerville"/>
        </w:rPr>
        <w:t>that the Commonwealth was to have</w:t>
      </w:r>
      <w:r w:rsidRPr="008506CD">
        <w:rPr>
          <w:rFonts w:ascii="Baskerville" w:hAnsi="Baskerville" w:cs="Baskerville"/>
        </w:rPr>
        <w:t xml:space="preserve"> implemented during the first three years include the structural components </w:t>
      </w:r>
      <w:r>
        <w:rPr>
          <w:rFonts w:ascii="Baskerville" w:hAnsi="Baskerville" w:cs="Baskerville"/>
        </w:rPr>
        <w:t>of the Commonwealth’s community-based service</w:t>
      </w:r>
      <w:r w:rsidRPr="008506CD">
        <w:rPr>
          <w:rFonts w:ascii="Baskerville" w:hAnsi="Baskerville" w:cs="Baskerville"/>
        </w:rPr>
        <w:t xml:space="preserve"> system</w:t>
      </w:r>
      <w:r>
        <w:rPr>
          <w:rFonts w:ascii="Baskerville" w:hAnsi="Baskerville" w:cs="Baskerville"/>
        </w:rPr>
        <w:t>. These</w:t>
      </w:r>
      <w:r w:rsidRPr="001F7F53">
        <w:rPr>
          <w:rFonts w:ascii="Baskerville" w:hAnsi="Baskerville" w:cs="Baskerville"/>
        </w:rPr>
        <w:t xml:space="preserve"> include strength</w:t>
      </w:r>
      <w:r>
        <w:rPr>
          <w:rFonts w:ascii="Baskerville" w:hAnsi="Baskerville" w:cs="Baskerville"/>
        </w:rPr>
        <w:t>ening its</w:t>
      </w:r>
      <w:r w:rsidRPr="001F7F53">
        <w:rPr>
          <w:rFonts w:ascii="Baskerville" w:hAnsi="Baskerville" w:cs="Baskerville"/>
        </w:rPr>
        <w:t xml:space="preserve"> case management and licensing services, adding crisis services, and creating integrated day and community living options</w:t>
      </w:r>
      <w:r>
        <w:rPr>
          <w:rFonts w:ascii="Baskerville" w:hAnsi="Baskerville" w:cs="Baskerville"/>
        </w:rPr>
        <w:t xml:space="preserve"> for individuals with intellectual and developmental disabilities (ID/DD)</w:t>
      </w:r>
      <w:r w:rsidRPr="001F7F53">
        <w:rPr>
          <w:rFonts w:ascii="Baskerville" w:hAnsi="Baskerville" w:cs="Baskerville"/>
        </w:rPr>
        <w:t>.</w:t>
      </w:r>
    </w:p>
    <w:p w:rsidR="004B3FA8" w:rsidRPr="000978BC" w:rsidRDefault="004B3FA8" w:rsidP="004B3FA8">
      <w:pPr>
        <w:widowControl w:val="0"/>
        <w:numPr>
          <w:ilvl w:val="0"/>
          <w:numId w:val="35"/>
        </w:numPr>
        <w:tabs>
          <w:tab w:val="left" w:pos="0"/>
          <w:tab w:val="left" w:pos="220"/>
        </w:tabs>
        <w:autoSpaceDE w:val="0"/>
        <w:autoSpaceDN w:val="0"/>
        <w:adjustRightInd w:val="0"/>
        <w:spacing w:after="320"/>
        <w:ind w:left="0" w:firstLine="0"/>
        <w:rPr>
          <w:rFonts w:ascii="Times" w:hAnsi="Times" w:cs="Times"/>
          <w:sz w:val="32"/>
          <w:szCs w:val="32"/>
        </w:rPr>
      </w:pPr>
      <w:r>
        <w:rPr>
          <w:rFonts w:ascii="Baskerville" w:hAnsi="Baskerville" w:cs="Baskerville"/>
        </w:rPr>
        <w:t xml:space="preserve">These services are cornerstones of a statewide </w:t>
      </w:r>
      <w:r w:rsidRPr="008506CD">
        <w:rPr>
          <w:rFonts w:ascii="Baskerville" w:hAnsi="Baskerville" w:cs="Baskerville"/>
        </w:rPr>
        <w:t xml:space="preserve">system </w:t>
      </w:r>
      <w:r>
        <w:rPr>
          <w:rFonts w:ascii="Baskerville" w:hAnsi="Baskerville" w:cs="Baskerville"/>
        </w:rPr>
        <w:t>for</w:t>
      </w:r>
      <w:r w:rsidRPr="008506CD">
        <w:rPr>
          <w:rFonts w:ascii="Baskerville" w:hAnsi="Baskerville" w:cs="Baskerville"/>
        </w:rPr>
        <w:t xml:space="preserve"> individuals with intellectual and developmental disabilities that </w:t>
      </w:r>
      <w:r>
        <w:rPr>
          <w:rFonts w:ascii="Baskerville" w:hAnsi="Baskerville" w:cs="Baskerville"/>
        </w:rPr>
        <w:t>is able to effectively address</w:t>
      </w:r>
      <w:r w:rsidRPr="008506CD">
        <w:rPr>
          <w:rFonts w:ascii="Baskerville" w:hAnsi="Baskerville" w:cs="Baskerville"/>
        </w:rPr>
        <w:t xml:space="preserve"> the Agreement’s first, and overarching, service provision “to prevent unnecessary institutionalization and provide opportunities to live in the most integrated setting appropriate to their needs and consistent with … informed choice</w:t>
      </w:r>
      <w:r>
        <w:rPr>
          <w:rFonts w:ascii="Baskerville" w:hAnsi="Baskerville" w:cs="Baskerville"/>
        </w:rPr>
        <w:t>.</w:t>
      </w:r>
      <w:r w:rsidRPr="008506CD">
        <w:rPr>
          <w:rFonts w:ascii="Baskerville" w:hAnsi="Baskerville" w:cs="Baskerville"/>
        </w:rPr>
        <w:t xml:space="preserve">” </w:t>
      </w:r>
    </w:p>
    <w:p w:rsidR="004B3FA8" w:rsidRDefault="004B3FA8" w:rsidP="004B3FA8">
      <w:pPr>
        <w:rPr>
          <w:rFonts w:ascii="Baskerville" w:hAnsi="Baskerville" w:cs="Baskerville"/>
        </w:rPr>
      </w:pPr>
      <w:r>
        <w:rPr>
          <w:rFonts w:ascii="Baskerville" w:hAnsi="Baskerville" w:cs="Baskerville"/>
        </w:rPr>
        <w:t xml:space="preserve">For more than two years, the Commonwealth has </w:t>
      </w:r>
      <w:r w:rsidRPr="008506CD">
        <w:rPr>
          <w:rFonts w:ascii="Baskerville" w:hAnsi="Baskerville" w:cs="Baskerville"/>
        </w:rPr>
        <w:t xml:space="preserve">identified the </w:t>
      </w:r>
      <w:r>
        <w:rPr>
          <w:rFonts w:ascii="Baskerville" w:hAnsi="Baskerville" w:cs="Baskerville"/>
        </w:rPr>
        <w:t xml:space="preserve">redesign of </w:t>
      </w:r>
      <w:r w:rsidRPr="008506CD">
        <w:rPr>
          <w:rFonts w:ascii="Baskerville" w:hAnsi="Baskerville" w:cs="Baskerville"/>
        </w:rPr>
        <w:t>its H</w:t>
      </w:r>
      <w:r>
        <w:rPr>
          <w:rFonts w:ascii="Baskerville" w:hAnsi="Baskerville" w:cs="Baskerville"/>
        </w:rPr>
        <w:t xml:space="preserve">ome and </w:t>
      </w:r>
      <w:r w:rsidRPr="008506CD">
        <w:rPr>
          <w:rFonts w:ascii="Baskerville" w:hAnsi="Baskerville" w:cs="Baskerville"/>
        </w:rPr>
        <w:t>C</w:t>
      </w:r>
      <w:r>
        <w:rPr>
          <w:rFonts w:ascii="Baskerville" w:hAnsi="Baskerville" w:cs="Baskerville"/>
        </w:rPr>
        <w:t>ommunity Based Services</w:t>
      </w:r>
      <w:r w:rsidRPr="008506CD">
        <w:rPr>
          <w:rFonts w:ascii="Baskerville" w:hAnsi="Baskerville" w:cs="Baskerville"/>
        </w:rPr>
        <w:t xml:space="preserve"> </w:t>
      </w:r>
      <w:r>
        <w:rPr>
          <w:rFonts w:ascii="Baskerville" w:hAnsi="Baskerville" w:cs="Baskerville"/>
        </w:rPr>
        <w:t xml:space="preserve">(HCBS) </w:t>
      </w:r>
      <w:r w:rsidRPr="008506CD">
        <w:rPr>
          <w:rFonts w:ascii="Baskerville" w:hAnsi="Baskerville" w:cs="Baskerville"/>
        </w:rPr>
        <w:t>waiver</w:t>
      </w:r>
      <w:r>
        <w:rPr>
          <w:rFonts w:ascii="Baskerville" w:hAnsi="Baskerville" w:cs="Baskerville"/>
        </w:rPr>
        <w:t xml:space="preserve">s as its primary strategy to </w:t>
      </w:r>
      <w:r w:rsidRPr="008506CD">
        <w:rPr>
          <w:rFonts w:ascii="Baskerville" w:hAnsi="Baskerville" w:cs="Baskerville"/>
        </w:rPr>
        <w:t xml:space="preserve">reform the service system </w:t>
      </w:r>
      <w:r>
        <w:rPr>
          <w:rFonts w:ascii="Baskerville" w:hAnsi="Baskerville" w:cs="Baskerville"/>
        </w:rPr>
        <w:t xml:space="preserve">and </w:t>
      </w:r>
      <w:r w:rsidRPr="008506CD">
        <w:rPr>
          <w:rFonts w:ascii="Baskerville" w:hAnsi="Baskerville" w:cs="Baskerville"/>
        </w:rPr>
        <w:t>to come into compliance</w:t>
      </w:r>
      <w:r>
        <w:rPr>
          <w:rFonts w:ascii="Baskerville" w:hAnsi="Baskerville" w:cs="Baskerville"/>
        </w:rPr>
        <w:t xml:space="preserve"> with many provisions of the </w:t>
      </w:r>
      <w:r w:rsidRPr="008506CD">
        <w:rPr>
          <w:rFonts w:ascii="Baskerville" w:hAnsi="Baskerville" w:cs="Baskerville"/>
        </w:rPr>
        <w:t>Agreement. During this review period</w:t>
      </w:r>
      <w:r>
        <w:rPr>
          <w:rFonts w:ascii="Baskerville" w:hAnsi="Baskerville" w:cs="Baskerville"/>
        </w:rPr>
        <w:t>,</w:t>
      </w:r>
      <w:r w:rsidRPr="008506CD">
        <w:rPr>
          <w:rFonts w:ascii="Baskerville" w:hAnsi="Baskerville" w:cs="Baskerville"/>
        </w:rPr>
        <w:t xml:space="preserve"> the Commonwealth has not b</w:t>
      </w:r>
      <w:r>
        <w:rPr>
          <w:rFonts w:ascii="Baskerville" w:hAnsi="Baskerville" w:cs="Baskerville"/>
        </w:rPr>
        <w:t>een able to put its redesigned waivers</w:t>
      </w:r>
      <w:r w:rsidRPr="008506CD">
        <w:rPr>
          <w:rFonts w:ascii="Baskerville" w:hAnsi="Baskerville" w:cs="Baskerville"/>
        </w:rPr>
        <w:t xml:space="preserve"> into effect. The Commonwealth continues, </w:t>
      </w:r>
      <w:r>
        <w:rPr>
          <w:rFonts w:ascii="Baskerville" w:hAnsi="Baskerville" w:cs="Baskerville"/>
        </w:rPr>
        <w:t>therefore,</w:t>
      </w:r>
      <w:r w:rsidRPr="008506CD">
        <w:rPr>
          <w:rFonts w:ascii="Baskerville" w:hAnsi="Baskerville" w:cs="Baskerville"/>
        </w:rPr>
        <w:t xml:space="preserve"> </w:t>
      </w:r>
      <w:r>
        <w:rPr>
          <w:rFonts w:ascii="Baskerville" w:hAnsi="Baskerville" w:cs="Baskerville"/>
        </w:rPr>
        <w:t xml:space="preserve">not to </w:t>
      </w:r>
      <w:r w:rsidRPr="008506CD">
        <w:rPr>
          <w:rFonts w:ascii="Baskerville" w:hAnsi="Baskerville" w:cs="Baskerville"/>
        </w:rPr>
        <w:t>be in compliance with many provis</w:t>
      </w:r>
      <w:r>
        <w:rPr>
          <w:rFonts w:ascii="Baskerville" w:hAnsi="Baskerville" w:cs="Baskerville"/>
        </w:rPr>
        <w:t>ions</w:t>
      </w:r>
      <w:r w:rsidRPr="008506CD">
        <w:rPr>
          <w:rFonts w:ascii="Baskerville" w:hAnsi="Baskerville" w:cs="Baskerville"/>
        </w:rPr>
        <w:t>. Furthermore, the Commonwealth will re</w:t>
      </w:r>
      <w:r>
        <w:rPr>
          <w:rFonts w:ascii="Baskerville" w:hAnsi="Baskerville" w:cs="Baskerville"/>
        </w:rPr>
        <w:t>main in non-compliance until it puts into effect, and effectively implements, a</w:t>
      </w:r>
      <w:r w:rsidRPr="008506CD">
        <w:rPr>
          <w:rFonts w:ascii="Baskerville" w:hAnsi="Baskerville" w:cs="Baskerville"/>
        </w:rPr>
        <w:t xml:space="preserve"> restru</w:t>
      </w:r>
      <w:r>
        <w:rPr>
          <w:rFonts w:ascii="Baskerville" w:hAnsi="Baskerville" w:cs="Baskerville"/>
        </w:rPr>
        <w:t>cturing of its system that accomplishes the changes needed to meet these requirements</w:t>
      </w:r>
      <w:r w:rsidRPr="008506CD">
        <w:rPr>
          <w:rFonts w:ascii="Baskerville" w:hAnsi="Baskerville" w:cs="Baskerville"/>
        </w:rPr>
        <w:t>.</w:t>
      </w:r>
      <w:r>
        <w:rPr>
          <w:rFonts w:ascii="Baskerville" w:hAnsi="Baskerville" w:cs="Baskerville"/>
        </w:rPr>
        <w:t xml:space="preserve"> The Commonwealth’s proposed redesign of its HCBS waiver program includes reforms</w:t>
      </w:r>
      <w:r w:rsidRPr="003D665F">
        <w:rPr>
          <w:rFonts w:ascii="Baskerville" w:hAnsi="Baskerville" w:cs="Baskerville"/>
        </w:rPr>
        <w:t xml:space="preserve"> </w:t>
      </w:r>
      <w:r>
        <w:rPr>
          <w:rFonts w:ascii="Baskerville" w:hAnsi="Baskerville" w:cs="Baskerville"/>
        </w:rPr>
        <w:t>needed to provide essential community-based services for individuals with comp</w:t>
      </w:r>
      <w:r w:rsidR="001C786E">
        <w:rPr>
          <w:rFonts w:ascii="Baskerville" w:hAnsi="Baskerville" w:cs="Baskerville"/>
        </w:rPr>
        <w:t>lex medical and behavioral</w:t>
      </w:r>
      <w:r>
        <w:rPr>
          <w:rFonts w:ascii="Baskerville" w:hAnsi="Baskerville" w:cs="Baskerville"/>
        </w:rPr>
        <w:t xml:space="preserve">, and to offer integrated day and independent living options, as required. </w:t>
      </w:r>
    </w:p>
    <w:p w:rsidR="004B3FA8" w:rsidRDefault="004B3FA8" w:rsidP="004B3FA8">
      <w:pPr>
        <w:rPr>
          <w:rFonts w:ascii="Baskerville" w:hAnsi="Baskerville" w:cs="Baskerville"/>
        </w:rPr>
      </w:pPr>
    </w:p>
    <w:p w:rsidR="004B3FA8" w:rsidRPr="000B086E" w:rsidRDefault="004B3FA8" w:rsidP="004B3FA8">
      <w:pPr>
        <w:tabs>
          <w:tab w:val="left" w:pos="1440"/>
          <w:tab w:val="left" w:pos="4920"/>
          <w:tab w:val="right" w:pos="8640"/>
        </w:tabs>
        <w:ind w:right="-108"/>
        <w:rPr>
          <w:rFonts w:ascii="Baskerville" w:hAnsi="Baskerville" w:cs="Baskerville"/>
          <w:sz w:val="22"/>
          <w:szCs w:val="22"/>
          <w:u w:val="single"/>
        </w:rPr>
      </w:pPr>
      <w:r>
        <w:rPr>
          <w:rFonts w:ascii="Baskerville" w:hAnsi="Baskerville" w:cs="Baskerville"/>
        </w:rPr>
        <w:t xml:space="preserve">Also, the Commonwealth has not provided the housing resources needed to </w:t>
      </w:r>
      <w:r w:rsidRPr="00023DD7">
        <w:rPr>
          <w:rFonts w:ascii="Baskerville" w:hAnsi="Baskerville" w:cs="Baskerville"/>
        </w:rPr>
        <w:t>substantively increase t</w:t>
      </w:r>
      <w:r>
        <w:rPr>
          <w:rFonts w:ascii="Baskerville" w:hAnsi="Baskerville" w:cs="Baskerville"/>
        </w:rPr>
        <w:t xml:space="preserve">he desired outcome of its housing plan. The desired outcome would mean that </w:t>
      </w:r>
      <w:r w:rsidRPr="00023DD7">
        <w:rPr>
          <w:rFonts w:ascii="Baskerville" w:hAnsi="Baskerville" w:cs="Baskerville"/>
        </w:rPr>
        <w:t xml:space="preserve">a substantial number of </w:t>
      </w:r>
      <w:r w:rsidRPr="00023DD7">
        <w:rPr>
          <w:rFonts w:ascii="Baskerville" w:hAnsi="Baskerville" w:cs="Baskerville"/>
          <w:color w:val="222222"/>
        </w:rPr>
        <w:t>individuals in the target population</w:t>
      </w:r>
      <w:r>
        <w:rPr>
          <w:rFonts w:ascii="Baskerville" w:hAnsi="Baskerville" w:cs="Baskerville"/>
          <w:color w:val="222222"/>
        </w:rPr>
        <w:t xml:space="preserve"> have a choice, if appropriate to their </w:t>
      </w:r>
      <w:r w:rsidRPr="00023DD7">
        <w:rPr>
          <w:rFonts w:ascii="Baskerville" w:hAnsi="Baskerville" w:cs="Baskerville"/>
          <w:color w:val="222222"/>
        </w:rPr>
        <w:t>needs</w:t>
      </w:r>
      <w:r>
        <w:rPr>
          <w:rFonts w:ascii="Baskerville" w:hAnsi="Baskerville" w:cs="Baskerville"/>
        </w:rPr>
        <w:t>,</w:t>
      </w:r>
      <w:r>
        <w:rPr>
          <w:rFonts w:ascii="Baskerville" w:hAnsi="Baskerville" w:cs="Baskerville"/>
          <w:color w:val="222222"/>
        </w:rPr>
        <w:t xml:space="preserve"> and actually move into</w:t>
      </w:r>
      <w:r w:rsidRPr="00023DD7">
        <w:rPr>
          <w:rFonts w:ascii="Baskerville" w:hAnsi="Baskerville" w:cs="Baskerville"/>
          <w:color w:val="222222"/>
        </w:rPr>
        <w:t xml:space="preserve"> </w:t>
      </w:r>
      <w:r>
        <w:rPr>
          <w:rFonts w:ascii="Baskerville" w:hAnsi="Baskerville" w:cs="Baskerville"/>
          <w:color w:val="222222"/>
        </w:rPr>
        <w:t>their</w:t>
      </w:r>
      <w:r w:rsidRPr="00023DD7">
        <w:rPr>
          <w:rFonts w:ascii="Baskerville" w:hAnsi="Baskerville" w:cs="Baskerville"/>
          <w:color w:val="222222"/>
        </w:rPr>
        <w:t xml:space="preserve"> own home</w:t>
      </w:r>
      <w:r>
        <w:rPr>
          <w:rFonts w:ascii="Baskerville" w:hAnsi="Baskerville" w:cs="Baskerville"/>
          <w:color w:val="222222"/>
        </w:rPr>
        <w:t>s</w:t>
      </w:r>
      <w:r w:rsidRPr="00023DD7">
        <w:rPr>
          <w:rFonts w:ascii="Baskerville" w:hAnsi="Baskerville" w:cs="Baskerville"/>
          <w:color w:val="222222"/>
        </w:rPr>
        <w:t xml:space="preserve"> or apartment</w:t>
      </w:r>
      <w:r>
        <w:rPr>
          <w:rFonts w:ascii="Baskerville" w:hAnsi="Baskerville" w:cs="Baskerville"/>
          <w:color w:val="222222"/>
        </w:rPr>
        <w:t xml:space="preserve">s. </w:t>
      </w:r>
      <w:r w:rsidRPr="00C56355">
        <w:rPr>
          <w:rFonts w:ascii="Baskerville" w:hAnsi="Baskerville" w:cs="Baskerville"/>
          <w:sz w:val="22"/>
          <w:szCs w:val="22"/>
        </w:rPr>
        <w:t xml:space="preserve">The </w:t>
      </w:r>
      <w:r>
        <w:rPr>
          <w:rFonts w:ascii="Baskerville" w:hAnsi="Baskerville" w:cs="Baskerville"/>
        </w:rPr>
        <w:t>Commonwealth must also provide housing supports and the resources needed to facilitate individuals moving to more independent and more integrated living options.</w:t>
      </w:r>
    </w:p>
    <w:p w:rsidR="004B3FA8" w:rsidRDefault="004B3FA8" w:rsidP="004B3FA8">
      <w:pPr>
        <w:tabs>
          <w:tab w:val="left" w:pos="1440"/>
          <w:tab w:val="left" w:pos="4920"/>
          <w:tab w:val="right" w:pos="8640"/>
          <w:tab w:val="left" w:pos="9540"/>
        </w:tabs>
        <w:ind w:right="-36"/>
        <w:rPr>
          <w:rFonts w:ascii="Baskerville" w:hAnsi="Baskerville" w:cs="Baskerville"/>
        </w:rPr>
      </w:pPr>
    </w:p>
    <w:p w:rsidR="004B3FA8" w:rsidRDefault="004B3FA8" w:rsidP="004B3FA8">
      <w:pPr>
        <w:tabs>
          <w:tab w:val="left" w:pos="1440"/>
          <w:tab w:val="left" w:pos="4920"/>
          <w:tab w:val="right" w:pos="8640"/>
          <w:tab w:val="left" w:pos="9540"/>
        </w:tabs>
        <w:ind w:right="-36"/>
        <w:rPr>
          <w:rFonts w:ascii="Baskerville" w:hAnsi="Baskerville" w:cs="Baskerville"/>
        </w:rPr>
      </w:pPr>
      <w:r w:rsidRPr="00DF1E2F">
        <w:rPr>
          <w:rFonts w:ascii="Baskerville" w:hAnsi="Baskerville" w:cs="Baskerville"/>
        </w:rPr>
        <w:t xml:space="preserve">The Commonwealth has achieved compliance with many of the </w:t>
      </w:r>
      <w:r>
        <w:rPr>
          <w:rFonts w:ascii="Baskerville" w:hAnsi="Baskerville" w:cs="Baskerville"/>
        </w:rPr>
        <w:t xml:space="preserve">Agreement’s </w:t>
      </w:r>
      <w:r w:rsidRPr="00DF1E2F">
        <w:rPr>
          <w:rFonts w:ascii="Baskerville" w:hAnsi="Baskerville" w:cs="Baskerville"/>
        </w:rPr>
        <w:t>provisi</w:t>
      </w:r>
      <w:r>
        <w:rPr>
          <w:rFonts w:ascii="Baskerville" w:hAnsi="Baskerville" w:cs="Baskerville"/>
        </w:rPr>
        <w:t>ons. Its</w:t>
      </w:r>
      <w:r w:rsidRPr="00DF1E2F">
        <w:rPr>
          <w:rFonts w:ascii="Baskerville" w:hAnsi="Baskerville" w:cs="Baskerville"/>
        </w:rPr>
        <w:t xml:space="preserve"> leaders </w:t>
      </w:r>
      <w:r>
        <w:rPr>
          <w:rFonts w:ascii="Baskerville" w:hAnsi="Baskerville" w:cs="Baskerville"/>
        </w:rPr>
        <w:t xml:space="preserve">meet regularly and collaborate </w:t>
      </w:r>
      <w:r w:rsidRPr="00DF1E2F">
        <w:rPr>
          <w:rFonts w:ascii="Baskerville" w:hAnsi="Baskerville" w:cs="Baskerville"/>
        </w:rPr>
        <w:t>to develop and implement</w:t>
      </w:r>
      <w:r>
        <w:rPr>
          <w:rFonts w:ascii="Baskerville" w:hAnsi="Baskerville" w:cs="Baskerville"/>
        </w:rPr>
        <w:t xml:space="preserve"> plans to make progress toward achieving other</w:t>
      </w:r>
      <w:r w:rsidRPr="00DF1E2F">
        <w:rPr>
          <w:rFonts w:ascii="Baskerville" w:hAnsi="Baskerville" w:cs="Baskerville"/>
        </w:rPr>
        <w:t xml:space="preserve"> requirements. </w:t>
      </w:r>
      <w:r>
        <w:rPr>
          <w:rFonts w:ascii="Baskerville" w:hAnsi="Baskerville" w:cs="Baskerville"/>
        </w:rPr>
        <w:t xml:space="preserve">The Commonwealth has formed an interagency consortium to kick-off a 100-day initiative to increase future housing options, including independent living options, for individuals in the target population. The Commonwealth also continues to develop the detailed rules and policies that will govern the operations of its redesigned HCBS waivers. The Department of Behavioral Health and Developmental Services (DBHDS) and the Department of Medical Assistance Services (DMAS) continue to work with the Center for Medicaid Services (CMS) to identify any necessary revisions in the Commonwealth’s draft restructure plans to gain the required CMS approval. </w:t>
      </w:r>
    </w:p>
    <w:p w:rsidR="004B3FA8" w:rsidRDefault="004B3FA8" w:rsidP="004B3FA8">
      <w:pPr>
        <w:tabs>
          <w:tab w:val="left" w:pos="1440"/>
          <w:tab w:val="left" w:pos="4920"/>
          <w:tab w:val="right" w:pos="8640"/>
          <w:tab w:val="left" w:pos="9540"/>
        </w:tabs>
        <w:ind w:right="-36"/>
        <w:rPr>
          <w:rFonts w:ascii="Baskerville" w:hAnsi="Baskerville" w:cs="Baskerville"/>
        </w:rPr>
      </w:pPr>
    </w:p>
    <w:p w:rsidR="004B3FA8" w:rsidRDefault="004B3FA8" w:rsidP="004B3FA8">
      <w:pPr>
        <w:tabs>
          <w:tab w:val="left" w:pos="1440"/>
          <w:tab w:val="left" w:pos="4920"/>
          <w:tab w:val="right" w:pos="8640"/>
          <w:tab w:val="left" w:pos="9540"/>
        </w:tabs>
        <w:ind w:right="-36"/>
        <w:rPr>
          <w:rFonts w:ascii="Baskerville" w:hAnsi="Baskerville" w:cs="Baskerville"/>
        </w:rPr>
      </w:pPr>
      <w:r>
        <w:rPr>
          <w:rFonts w:ascii="Baskerville" w:hAnsi="Baskerville" w:cs="Baskerville"/>
        </w:rPr>
        <w:t>The Department of Behavioral Health and Developmental Services (DBHDS) has reorganized its management structure to effectively implement initiatives needed to accomplish the requirements of the Agreement. During this review period, it has newly achieved compliance with some provisions and has made progress toward achieving others. It remains, however,</w:t>
      </w:r>
      <w:r w:rsidRPr="00DF1E2F">
        <w:rPr>
          <w:rFonts w:ascii="Baskerville" w:hAnsi="Baskerville" w:cs="Baskerville"/>
        </w:rPr>
        <w:t xml:space="preserve"> significantly behind schedule</w:t>
      </w:r>
      <w:r>
        <w:rPr>
          <w:rFonts w:ascii="Baskerville" w:hAnsi="Baskerville" w:cs="Baskerville"/>
        </w:rPr>
        <w:t>. The Commonwealth has experienced</w:t>
      </w:r>
      <w:r w:rsidRPr="00DF1E2F">
        <w:rPr>
          <w:rFonts w:ascii="Baskerville" w:hAnsi="Baskerville" w:cs="Baskerville"/>
        </w:rPr>
        <w:t xml:space="preserve"> repeated delays in compl</w:t>
      </w:r>
      <w:r>
        <w:rPr>
          <w:rFonts w:ascii="Baskerville" w:hAnsi="Baskerville" w:cs="Baskerville"/>
        </w:rPr>
        <w:t>ying with certain obligations</w:t>
      </w:r>
      <w:r w:rsidRPr="00DF1E2F">
        <w:rPr>
          <w:rFonts w:ascii="Baskerville" w:hAnsi="Baskerville" w:cs="Baskerville"/>
        </w:rPr>
        <w:t xml:space="preserve">. </w:t>
      </w:r>
      <w:r>
        <w:rPr>
          <w:rFonts w:ascii="Baskerville" w:hAnsi="Baskerville" w:cs="Baskerville"/>
        </w:rPr>
        <w:t xml:space="preserve"> In addition, it has not put into effect two core strategies: implementing its redesigned HCBS waiver and providing ongoing rent assistance to support independent living options. These strategies have been, and continue to be, presented as essential to achieving compliance. </w:t>
      </w:r>
    </w:p>
    <w:p w:rsidR="004B3FA8" w:rsidRPr="00011A1B" w:rsidRDefault="004B3FA8" w:rsidP="004B3FA8">
      <w:pPr>
        <w:tabs>
          <w:tab w:val="left" w:pos="1440"/>
          <w:tab w:val="left" w:pos="4920"/>
          <w:tab w:val="right" w:pos="8640"/>
          <w:tab w:val="left" w:pos="9540"/>
        </w:tabs>
        <w:ind w:right="-36"/>
        <w:rPr>
          <w:rFonts w:ascii="Baskerville" w:hAnsi="Baskerville" w:cs="Baskerville"/>
          <w:sz w:val="16"/>
          <w:szCs w:val="16"/>
        </w:rPr>
      </w:pPr>
    </w:p>
    <w:p w:rsidR="004B3FA8" w:rsidRDefault="004B3FA8" w:rsidP="004B3FA8">
      <w:pPr>
        <w:tabs>
          <w:tab w:val="left" w:pos="1440"/>
          <w:tab w:val="left" w:pos="4920"/>
          <w:tab w:val="right" w:pos="8640"/>
          <w:tab w:val="left" w:pos="9540"/>
        </w:tabs>
        <w:ind w:right="-36"/>
        <w:rPr>
          <w:rFonts w:ascii="Baskerville" w:hAnsi="Baskerville" w:cs="Baskerville"/>
        </w:rPr>
      </w:pPr>
      <w:r>
        <w:rPr>
          <w:rFonts w:ascii="Baskerville" w:hAnsi="Baskerville" w:cs="Baskerville"/>
        </w:rPr>
        <w:t xml:space="preserve">The following table “Summary of Compliance: Year Three - First Half” provides a rating of compliance and an explanatory comment for each provision. The “Discussion of Findings” Section includes additional information to explain the compliance ratings, as do the consultant reports that are included in the Appendix. The Independent Reviewer’s (IR) recommendations are included at the end of this report. </w:t>
      </w:r>
    </w:p>
    <w:p w:rsidR="004B3FA8" w:rsidRPr="00011A1B" w:rsidRDefault="004B3FA8" w:rsidP="004B3FA8">
      <w:pPr>
        <w:tabs>
          <w:tab w:val="left" w:pos="1440"/>
          <w:tab w:val="left" w:pos="4920"/>
          <w:tab w:val="right" w:pos="8640"/>
          <w:tab w:val="left" w:pos="9540"/>
        </w:tabs>
        <w:ind w:right="-36"/>
        <w:rPr>
          <w:rFonts w:ascii="Baskerville" w:hAnsi="Baskerville" w:cs="Baskerville"/>
          <w:sz w:val="16"/>
          <w:szCs w:val="16"/>
        </w:rPr>
      </w:pPr>
    </w:p>
    <w:p w:rsidR="004B3FA8" w:rsidRDefault="004B3FA8" w:rsidP="004B3FA8">
      <w:pPr>
        <w:tabs>
          <w:tab w:val="left" w:pos="1440"/>
          <w:tab w:val="left" w:pos="4920"/>
          <w:tab w:val="right" w:pos="8640"/>
          <w:tab w:val="left" w:pos="9540"/>
        </w:tabs>
        <w:ind w:right="-36"/>
        <w:rPr>
          <w:rFonts w:ascii="Baskerville" w:hAnsi="Baskerville" w:cs="Baskerville"/>
        </w:rPr>
      </w:pPr>
      <w:r>
        <w:rPr>
          <w:rFonts w:ascii="Baskerville" w:hAnsi="Baskerville" w:cs="Baskerville"/>
        </w:rPr>
        <w:t xml:space="preserve">To determine the compliance ratings, the IR has again primarily focused monitoring on quantitative measures, i.e. whether the Commonwealth has the required staff, policies, programs and process elements in place. The IR has also monitored whether these system elements are functioning, as measured by the number of individuals served or staff trained. The Commonwealth is still developing and implementing elements that were to have been in place by this time. As the Commonwealth implements these elements, the IR will initially monitor compliance with the quantitative aspects of the provisions. For the process and program elements that the Commonwealth has fully developed, the IR will gradually shift the focus of monitoring.  For these provisions, future monitoring will determine whether the operating processes and programs comply with the quality measures of the Agreement’s provisions and whether they result in positive outcomes.  </w:t>
      </w:r>
    </w:p>
    <w:p w:rsidR="004B3FA8" w:rsidRDefault="004B3FA8" w:rsidP="004B3FA8">
      <w:pPr>
        <w:tabs>
          <w:tab w:val="left" w:pos="1440"/>
          <w:tab w:val="left" w:pos="4920"/>
          <w:tab w:val="right" w:pos="8640"/>
          <w:tab w:val="left" w:pos="9540"/>
        </w:tabs>
        <w:ind w:right="-36"/>
        <w:rPr>
          <w:rFonts w:ascii="Baskerville" w:hAnsi="Baskerville" w:cs="Baskerville"/>
        </w:rPr>
      </w:pPr>
    </w:p>
    <w:p w:rsidR="004B3FA8" w:rsidRPr="00DF1E2F" w:rsidRDefault="004B3FA8" w:rsidP="004B3FA8">
      <w:pPr>
        <w:tabs>
          <w:tab w:val="left" w:pos="1440"/>
          <w:tab w:val="left" w:pos="4920"/>
          <w:tab w:val="right" w:pos="8640"/>
          <w:tab w:val="left" w:pos="9540"/>
        </w:tabs>
        <w:ind w:right="-36"/>
        <w:rPr>
          <w:rFonts w:ascii="Baskerville" w:hAnsi="Baskerville" w:cs="Baskerville"/>
        </w:rPr>
      </w:pPr>
      <w:r>
        <w:rPr>
          <w:rFonts w:ascii="Baskerville" w:hAnsi="Baskerville" w:cs="Baskerville"/>
        </w:rPr>
        <w:t xml:space="preserve">For the sixth review period, the IR has determined that the Commonwealth: </w:t>
      </w:r>
    </w:p>
    <w:p w:rsidR="004B3FA8" w:rsidRPr="00011A1B" w:rsidRDefault="004B3FA8" w:rsidP="004B3FA8">
      <w:pPr>
        <w:tabs>
          <w:tab w:val="left" w:pos="1440"/>
          <w:tab w:val="left" w:pos="4920"/>
          <w:tab w:val="right" w:pos="8640"/>
          <w:tab w:val="left" w:pos="9540"/>
        </w:tabs>
        <w:ind w:right="-36"/>
        <w:rPr>
          <w:rFonts w:ascii="Baskerville" w:hAnsi="Baskerville" w:cs="Baskerville"/>
          <w:sz w:val="16"/>
          <w:szCs w:val="16"/>
        </w:rPr>
      </w:pPr>
    </w:p>
    <w:p w:rsidR="004B3FA8" w:rsidRDefault="004B3FA8" w:rsidP="004B3FA8">
      <w:pPr>
        <w:tabs>
          <w:tab w:val="left" w:pos="1440"/>
          <w:tab w:val="left" w:pos="4920"/>
          <w:tab w:val="right" w:pos="8640"/>
          <w:tab w:val="left" w:pos="9540"/>
        </w:tabs>
        <w:ind w:left="270" w:right="-36"/>
        <w:rPr>
          <w:rFonts w:ascii="Baskerville" w:hAnsi="Baskerville" w:cs="Baskerville"/>
        </w:rPr>
      </w:pPr>
      <w:r w:rsidRPr="00702D2C">
        <w:rPr>
          <w:rFonts w:ascii="Baskerville" w:hAnsi="Baskerville" w:cs="Baskerville"/>
          <w:u w:val="single"/>
        </w:rPr>
        <w:t>maintained ratings of compliance</w:t>
      </w:r>
      <w:r>
        <w:rPr>
          <w:rFonts w:ascii="Baskerville" w:hAnsi="Baskerville" w:cs="Baskerville"/>
        </w:rPr>
        <w:t xml:space="preserve"> with p</w:t>
      </w:r>
      <w:r w:rsidRPr="00DF1E2F">
        <w:rPr>
          <w:rFonts w:ascii="Baskerville" w:hAnsi="Baskerville" w:cs="Baskerville"/>
        </w:rPr>
        <w:t xml:space="preserve">rovisions </w:t>
      </w:r>
      <w:r>
        <w:rPr>
          <w:rFonts w:ascii="Baskerville" w:hAnsi="Baskerville" w:cs="Baskerville"/>
        </w:rPr>
        <w:t>of the Agreements that include</w:t>
      </w:r>
      <w:r w:rsidRPr="00DF1E2F">
        <w:rPr>
          <w:rFonts w:ascii="Baskerville" w:hAnsi="Baskerville" w:cs="Baskerville"/>
        </w:rPr>
        <w:t xml:space="preserve">: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the creation of HCBS waiver slots</w:t>
      </w:r>
      <w:r>
        <w:rPr>
          <w:rFonts w:ascii="Baskerville" w:hAnsi="Baskerville" w:cs="Baskerville"/>
        </w:rPr>
        <w:t>;</w:t>
      </w:r>
      <w:r w:rsidRPr="00DF1E2F">
        <w:rPr>
          <w:rFonts w:ascii="Baskerville" w:hAnsi="Baskerville" w:cs="Baskerville"/>
        </w:rPr>
        <w:t xml:space="preserve">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 xml:space="preserve">increased case management and licensing oversight; </w:t>
      </w:r>
    </w:p>
    <w:p w:rsidR="004B3FA8" w:rsidRDefault="004B3FA8" w:rsidP="004B3FA8">
      <w:pPr>
        <w:tabs>
          <w:tab w:val="left" w:pos="1440"/>
          <w:tab w:val="left" w:pos="4920"/>
          <w:tab w:val="right" w:pos="8640"/>
          <w:tab w:val="left" w:pos="9540"/>
        </w:tabs>
        <w:ind w:left="270" w:right="-36" w:hanging="630"/>
        <w:rPr>
          <w:rFonts w:ascii="Baskerville" w:hAnsi="Baskerville" w:cs="Baskerville"/>
        </w:rPr>
      </w:pPr>
      <w:r>
        <w:rPr>
          <w:rFonts w:ascii="Wingdings" w:hAnsi="Wingdings"/>
          <w:color w:val="000000"/>
        </w:rPr>
        <w:tab/>
      </w: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discharge planning and transition services for individuals residing in Training Centers;</w:t>
      </w:r>
      <w:r>
        <w:rPr>
          <w:rFonts w:ascii="Baskerville" w:hAnsi="Baskerville" w:cs="Baskerville"/>
        </w:rPr>
        <w:t xml:space="preserve"> and</w:t>
      </w:r>
    </w:p>
    <w:p w:rsidR="004B3FA8" w:rsidRDefault="004B3FA8" w:rsidP="004B3FA8">
      <w:pPr>
        <w:tabs>
          <w:tab w:val="left" w:pos="1440"/>
          <w:tab w:val="left" w:pos="4920"/>
          <w:tab w:val="right" w:pos="8640"/>
          <w:tab w:val="left" w:pos="9540"/>
        </w:tabs>
        <w:ind w:left="540" w:right="-36"/>
        <w:rPr>
          <w:rFonts w:ascii="Baskerville" w:hAnsi="Baskerville" w:cs="Baskerville"/>
        </w:rPr>
      </w:pPr>
      <w:r w:rsidRPr="00B737DC">
        <w:rPr>
          <w:rFonts w:ascii="Wingdings" w:hAnsi="Wingdings"/>
          <w:color w:val="000000"/>
        </w:rPr>
        <w:t></w:t>
      </w:r>
      <w:r>
        <w:rPr>
          <w:rFonts w:ascii="Wingdings" w:hAnsi="Wingdings"/>
          <w:color w:val="000000"/>
        </w:rPr>
        <w:t></w:t>
      </w:r>
      <w:r>
        <w:rPr>
          <w:rFonts w:ascii="Baskerville" w:hAnsi="Baskerville" w:cs="Baskerville"/>
        </w:rPr>
        <w:t>development of a statewide</w:t>
      </w:r>
      <w:r w:rsidRPr="00DF1E2F">
        <w:rPr>
          <w:rFonts w:ascii="Baskerville" w:hAnsi="Baskerville" w:cs="Baskerville"/>
        </w:rPr>
        <w:t xml:space="preserve"> crisis services </w:t>
      </w:r>
      <w:r>
        <w:rPr>
          <w:rFonts w:ascii="Baskerville" w:hAnsi="Baskerville" w:cs="Baskerville"/>
        </w:rPr>
        <w:t xml:space="preserve">system </w:t>
      </w:r>
      <w:r w:rsidRPr="00DF1E2F">
        <w:rPr>
          <w:rFonts w:ascii="Baskerville" w:hAnsi="Baskerville" w:cs="Baskerville"/>
        </w:rPr>
        <w:t xml:space="preserve">for adults with </w:t>
      </w:r>
      <w:r>
        <w:rPr>
          <w:rFonts w:ascii="Baskerville" w:hAnsi="Baskerville" w:cs="Baskerville"/>
        </w:rPr>
        <w:t>intellectual and developmental disabilities (</w:t>
      </w:r>
      <w:r w:rsidRPr="00DF1E2F">
        <w:rPr>
          <w:rFonts w:ascii="Baskerville" w:hAnsi="Baskerville" w:cs="Baskerville"/>
        </w:rPr>
        <w:t>ID</w:t>
      </w:r>
      <w:r>
        <w:rPr>
          <w:rFonts w:ascii="Baskerville" w:hAnsi="Baskerville" w:cs="Baskerville"/>
        </w:rPr>
        <w:t>/DD)</w:t>
      </w:r>
      <w:r w:rsidRPr="00DF1E2F">
        <w:rPr>
          <w:rFonts w:ascii="Baskerville" w:hAnsi="Baskerville" w:cs="Baskerville"/>
        </w:rPr>
        <w:t xml:space="preserve">. </w:t>
      </w:r>
      <w:r>
        <w:rPr>
          <w:rFonts w:ascii="Baskerville" w:hAnsi="Baskerville" w:cs="Baskerville"/>
        </w:rPr>
        <w:t xml:space="preserve"> </w:t>
      </w:r>
    </w:p>
    <w:p w:rsidR="004B3FA8" w:rsidRPr="00011A1B" w:rsidRDefault="004B3FA8" w:rsidP="004B3FA8">
      <w:pPr>
        <w:tabs>
          <w:tab w:val="left" w:pos="1440"/>
          <w:tab w:val="left" w:pos="4920"/>
          <w:tab w:val="right" w:pos="8640"/>
          <w:tab w:val="left" w:pos="9540"/>
        </w:tabs>
        <w:ind w:left="360" w:right="-36" w:hanging="630"/>
        <w:rPr>
          <w:rFonts w:ascii="Baskerville" w:hAnsi="Baskerville" w:cs="Baskerville"/>
          <w:sz w:val="16"/>
          <w:szCs w:val="16"/>
        </w:rPr>
      </w:pPr>
    </w:p>
    <w:p w:rsidR="004B3FA8" w:rsidRDefault="004B3FA8" w:rsidP="004B3FA8">
      <w:pPr>
        <w:tabs>
          <w:tab w:val="left" w:pos="1440"/>
          <w:tab w:val="left" w:pos="4920"/>
          <w:tab w:val="right" w:pos="8640"/>
          <w:tab w:val="left" w:pos="9540"/>
        </w:tabs>
        <w:ind w:left="270" w:right="-36"/>
        <w:rPr>
          <w:rFonts w:ascii="Baskerville" w:hAnsi="Baskerville" w:cs="Baskerville"/>
        </w:rPr>
      </w:pPr>
      <w:r w:rsidRPr="00702D2C">
        <w:rPr>
          <w:rFonts w:ascii="Baskerville" w:hAnsi="Baskerville" w:cs="Baskerville"/>
          <w:u w:val="single"/>
        </w:rPr>
        <w:t>newly achieved ratings of compliance</w:t>
      </w:r>
      <w:r>
        <w:rPr>
          <w:rFonts w:ascii="Baskerville" w:hAnsi="Baskerville" w:cs="Baskerville"/>
        </w:rPr>
        <w:t xml:space="preserve"> with provisions related to: </w:t>
      </w:r>
    </w:p>
    <w:p w:rsidR="004B3FA8" w:rsidRDefault="004B3FA8" w:rsidP="004B3FA8">
      <w:pPr>
        <w:tabs>
          <w:tab w:val="left" w:pos="1440"/>
          <w:tab w:val="left" w:pos="4920"/>
          <w:tab w:val="left" w:pos="608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Pr>
          <w:rFonts w:ascii="Baskerville" w:hAnsi="Baskerville" w:cs="Baskerville"/>
        </w:rPr>
        <w:t>Virginia’s Plan to Increase Independent Living;</w:t>
      </w:r>
      <w:r>
        <w:rPr>
          <w:rFonts w:ascii="Baskerville" w:hAnsi="Baskerville" w:cs="Baskerville"/>
        </w:rPr>
        <w:tab/>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Pr>
          <w:rFonts w:ascii="Baskerville" w:hAnsi="Baskerville" w:cs="Baskerville"/>
        </w:rPr>
        <w:t xml:space="preserve">offering choice of service providers; and </w:t>
      </w:r>
    </w:p>
    <w:p w:rsidR="004B3FA8" w:rsidRPr="00DF1E2F"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Pr>
          <w:rFonts w:ascii="Baskerville" w:hAnsi="Baskerville" w:cs="Baskerville"/>
        </w:rPr>
        <w:t>Regional Quality Councils.</w:t>
      </w:r>
    </w:p>
    <w:p w:rsidR="004B3FA8" w:rsidRPr="00011A1B" w:rsidRDefault="004B3FA8" w:rsidP="004B3FA8">
      <w:pPr>
        <w:tabs>
          <w:tab w:val="left" w:pos="1440"/>
          <w:tab w:val="left" w:pos="4920"/>
          <w:tab w:val="right" w:pos="8640"/>
          <w:tab w:val="left" w:pos="9540"/>
        </w:tabs>
        <w:ind w:left="360" w:right="-36" w:firstLine="720"/>
        <w:rPr>
          <w:rFonts w:ascii="Baskerville" w:hAnsi="Baskerville" w:cs="Baskerville"/>
          <w:sz w:val="16"/>
          <w:szCs w:val="16"/>
        </w:rPr>
      </w:pPr>
    </w:p>
    <w:p w:rsidR="004B3FA8" w:rsidRDefault="004B3FA8" w:rsidP="004B3FA8">
      <w:pPr>
        <w:tabs>
          <w:tab w:val="left" w:pos="1440"/>
          <w:tab w:val="left" w:pos="4920"/>
          <w:tab w:val="right" w:pos="8640"/>
          <w:tab w:val="left" w:pos="9540"/>
        </w:tabs>
        <w:ind w:left="360" w:right="-36"/>
        <w:rPr>
          <w:rFonts w:ascii="Baskerville" w:hAnsi="Baskerville" w:cs="Baskerville"/>
        </w:rPr>
      </w:pPr>
      <w:r w:rsidRPr="00702D2C">
        <w:rPr>
          <w:rFonts w:ascii="Baskerville" w:hAnsi="Baskerville" w:cs="Baskerville"/>
          <w:u w:val="single"/>
        </w:rPr>
        <w:t>remains in non-compliance</w:t>
      </w:r>
      <w:r w:rsidRPr="00DF1E2F">
        <w:rPr>
          <w:rFonts w:ascii="Baskerville" w:hAnsi="Baskerville" w:cs="Baskerville"/>
        </w:rPr>
        <w:t xml:space="preserve"> </w:t>
      </w:r>
      <w:r>
        <w:rPr>
          <w:rFonts w:ascii="Baskerville" w:hAnsi="Baskerville" w:cs="Baskerville"/>
        </w:rPr>
        <w:t xml:space="preserve">with requirements that </w:t>
      </w:r>
      <w:r w:rsidRPr="00DF1E2F">
        <w:rPr>
          <w:rFonts w:ascii="Baskerville" w:hAnsi="Baskerville" w:cs="Baskerville"/>
        </w:rPr>
        <w:t>were to be implemented by this time</w:t>
      </w:r>
      <w:r>
        <w:rPr>
          <w:rFonts w:ascii="Baskerville" w:hAnsi="Baskerville" w:cs="Baskerville"/>
        </w:rPr>
        <w:t xml:space="preserve"> including: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Pr>
          <w:rFonts w:ascii="Baskerville" w:hAnsi="Baskerville" w:cs="Baskerville"/>
        </w:rPr>
        <w:t xml:space="preserve">opportunities for individuals with ID/DD to live in most </w:t>
      </w:r>
      <w:r w:rsidRPr="00DF1E2F">
        <w:rPr>
          <w:rFonts w:ascii="Baskerville" w:hAnsi="Baskerville" w:cs="Baskerville"/>
        </w:rPr>
        <w:t>integrated setting</w:t>
      </w:r>
      <w:r>
        <w:rPr>
          <w:rFonts w:ascii="Baskerville" w:hAnsi="Baskerville" w:cs="Baskerville"/>
        </w:rPr>
        <w:t>s</w:t>
      </w:r>
      <w:r w:rsidRPr="00DF1E2F">
        <w:rPr>
          <w:rFonts w:ascii="Baskerville" w:hAnsi="Baskerville" w:cs="Baskerville"/>
        </w:rPr>
        <w:t xml:space="preserve">; </w:t>
      </w:r>
    </w:p>
    <w:p w:rsidR="004B3FA8" w:rsidRDefault="004B3FA8" w:rsidP="004B3FA8">
      <w:pPr>
        <w:tabs>
          <w:tab w:val="left" w:pos="1440"/>
          <w:tab w:val="left" w:pos="4920"/>
          <w:tab w:val="right" w:pos="8640"/>
          <w:tab w:val="left" w:pos="9540"/>
        </w:tabs>
        <w:ind w:left="270" w:right="-36" w:hanging="630"/>
        <w:rPr>
          <w:rFonts w:ascii="Baskerville" w:hAnsi="Baskerville" w:cs="Baskerville"/>
        </w:rPr>
      </w:pPr>
      <w:r>
        <w:rPr>
          <w:rFonts w:ascii="Wingdings" w:hAnsi="Wingdings"/>
          <w:color w:val="000000"/>
        </w:rPr>
        <w:tab/>
      </w: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 xml:space="preserve">transition of children </w:t>
      </w:r>
      <w:r>
        <w:rPr>
          <w:rFonts w:ascii="Baskerville" w:hAnsi="Baskerville" w:cs="Baskerville"/>
        </w:rPr>
        <w:t xml:space="preserve">to community homes </w:t>
      </w:r>
      <w:r w:rsidRPr="00DF1E2F">
        <w:rPr>
          <w:rFonts w:ascii="Baskerville" w:hAnsi="Baskerville" w:cs="Baskerville"/>
        </w:rPr>
        <w:t>from nursing facilities and large I</w:t>
      </w:r>
      <w:r>
        <w:rPr>
          <w:rFonts w:ascii="Baskerville" w:hAnsi="Baskerville" w:cs="Baskerville"/>
        </w:rPr>
        <w:t>CFs</w:t>
      </w:r>
      <w:r w:rsidRPr="00DF1E2F">
        <w:rPr>
          <w:rFonts w:ascii="Baskerville" w:hAnsi="Baskerville" w:cs="Baskerville"/>
        </w:rPr>
        <w:t xml:space="preserve">;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 xml:space="preserve">crisis services for children and adolescents;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 xml:space="preserve">integrated day activities and supported employment;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 xml:space="preserve">subsidized community living options; and </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Wingdings" w:hAnsi="Wingdings"/>
          <w:color w:val="000000"/>
        </w:rPr>
        <w:t></w:t>
      </w:r>
      <w:r w:rsidRPr="00B737DC">
        <w:rPr>
          <w:rFonts w:ascii="Wingdings" w:hAnsi="Wingdings"/>
          <w:color w:val="000000"/>
        </w:rPr>
        <w:t></w:t>
      </w:r>
      <w:r>
        <w:rPr>
          <w:rFonts w:ascii="Wingdings" w:hAnsi="Wingdings"/>
          <w:color w:val="000000"/>
        </w:rPr>
        <w:t></w:t>
      </w:r>
      <w:r w:rsidRPr="00DF1E2F">
        <w:rPr>
          <w:rFonts w:ascii="Baskerville" w:hAnsi="Baskerville" w:cs="Baskerville"/>
        </w:rPr>
        <w:t>an individual support planning process</w:t>
      </w:r>
      <w:r>
        <w:rPr>
          <w:rFonts w:ascii="Baskerville" w:hAnsi="Baskerville" w:cs="Baskerville"/>
        </w:rPr>
        <w:t xml:space="preserve"> </w:t>
      </w:r>
      <w:r w:rsidRPr="00DF1E2F">
        <w:rPr>
          <w:rFonts w:ascii="Baskerville" w:hAnsi="Baskerville" w:cs="Baskerville"/>
        </w:rPr>
        <w:t xml:space="preserve">focused on helping individuals to </w:t>
      </w:r>
      <w:r>
        <w:rPr>
          <w:rFonts w:ascii="Baskerville" w:hAnsi="Baskerville" w:cs="Baskerville"/>
        </w:rPr>
        <w:t>learn new skills</w:t>
      </w:r>
    </w:p>
    <w:p w:rsidR="004B3FA8" w:rsidRDefault="004B3FA8" w:rsidP="004B3FA8">
      <w:pPr>
        <w:tabs>
          <w:tab w:val="left" w:pos="1440"/>
          <w:tab w:val="left" w:pos="4920"/>
          <w:tab w:val="right" w:pos="8640"/>
          <w:tab w:val="left" w:pos="9540"/>
        </w:tabs>
        <w:ind w:left="270" w:right="-36"/>
        <w:rPr>
          <w:rFonts w:ascii="Baskerville" w:hAnsi="Baskerville" w:cs="Baskerville"/>
        </w:rPr>
      </w:pPr>
      <w:r>
        <w:rPr>
          <w:rFonts w:ascii="Baskerville" w:hAnsi="Baskerville" w:cs="Baskerville"/>
        </w:rPr>
        <w:t xml:space="preserve">          </w:t>
      </w:r>
      <w:r w:rsidRPr="00DF1E2F">
        <w:rPr>
          <w:rFonts w:ascii="Baskerville" w:hAnsi="Baskerville" w:cs="Baskerville"/>
        </w:rPr>
        <w:t xml:space="preserve">in order to become more self-sufficient. </w:t>
      </w:r>
      <w:r>
        <w:rPr>
          <w:rFonts w:ascii="Baskerville" w:hAnsi="Baskerville" w:cs="Baskerville"/>
        </w:rPr>
        <w:t xml:space="preserve"> </w:t>
      </w:r>
    </w:p>
    <w:p w:rsidR="004B3FA8" w:rsidRDefault="004B3FA8" w:rsidP="004B3FA8">
      <w:pPr>
        <w:tabs>
          <w:tab w:val="left" w:pos="1440"/>
          <w:tab w:val="left" w:pos="4920"/>
          <w:tab w:val="right" w:pos="8640"/>
          <w:tab w:val="left" w:pos="9540"/>
        </w:tabs>
        <w:ind w:right="-36"/>
        <w:rPr>
          <w:rFonts w:ascii="Baskerville" w:hAnsi="Baskerville" w:cs="Baskerville"/>
        </w:rPr>
      </w:pPr>
      <w:r>
        <w:rPr>
          <w:rFonts w:ascii="Baskerville" w:hAnsi="Baskerville" w:cs="Baskerville"/>
        </w:rPr>
        <w:t xml:space="preserve">The Commonwealth has continued efforts to achieve compliance in most of theses areas. Despite these efforts, the IR determined </w:t>
      </w:r>
      <w:r w:rsidRPr="00DF1E2F">
        <w:rPr>
          <w:rFonts w:ascii="Baskerville" w:hAnsi="Baskerville" w:cs="Baskerville"/>
        </w:rPr>
        <w:t xml:space="preserve">that </w:t>
      </w:r>
      <w:r>
        <w:rPr>
          <w:rFonts w:ascii="Baskerville" w:hAnsi="Baskerville" w:cs="Baskerville"/>
        </w:rPr>
        <w:t xml:space="preserve">the Commonwealth has not yet met these requirements. The Commonwealth has not implemented initiatives </w:t>
      </w:r>
      <w:r w:rsidRPr="00DF1E2F">
        <w:rPr>
          <w:rFonts w:ascii="Baskerville" w:hAnsi="Baskerville" w:cs="Baskerville"/>
        </w:rPr>
        <w:t xml:space="preserve">sufficiently to </w:t>
      </w:r>
      <w:r>
        <w:rPr>
          <w:rFonts w:ascii="Baskerville" w:hAnsi="Baskerville" w:cs="Baskerville"/>
        </w:rPr>
        <w:t>substantively</w:t>
      </w:r>
      <w:r w:rsidRPr="00DF1E2F">
        <w:rPr>
          <w:rFonts w:ascii="Baskerville" w:hAnsi="Baskerville" w:cs="Baskerville"/>
        </w:rPr>
        <w:t xml:space="preserve"> </w:t>
      </w:r>
      <w:r>
        <w:rPr>
          <w:rFonts w:ascii="Baskerville" w:hAnsi="Baskerville" w:cs="Baskerville"/>
        </w:rPr>
        <w:t>impact</w:t>
      </w:r>
      <w:r w:rsidRPr="00DF1E2F">
        <w:rPr>
          <w:rFonts w:ascii="Baskerville" w:hAnsi="Baskerville" w:cs="Baskerville"/>
        </w:rPr>
        <w:t xml:space="preserve"> the </w:t>
      </w:r>
      <w:r>
        <w:rPr>
          <w:rFonts w:ascii="Baskerville" w:hAnsi="Baskerville" w:cs="Baskerville"/>
        </w:rPr>
        <w:t xml:space="preserve">members of the </w:t>
      </w:r>
      <w:r w:rsidRPr="00DF1E2F">
        <w:rPr>
          <w:rFonts w:ascii="Baskerville" w:hAnsi="Baskerville" w:cs="Baskerville"/>
        </w:rPr>
        <w:t>target population.</w:t>
      </w:r>
      <w:r>
        <w:rPr>
          <w:rFonts w:ascii="Baskerville" w:hAnsi="Baskerville" w:cs="Baskerville"/>
        </w:rPr>
        <w:t xml:space="preserve"> With the Commonwealth’s delay both in implementing its redesigned HCBS waiver and in providing housing resources, it remains in non-compliance and will remain in non-compliance until it implements needed systems reforms.</w:t>
      </w:r>
    </w:p>
    <w:p w:rsidR="004B3FA8" w:rsidRPr="008D785C" w:rsidRDefault="004B3FA8" w:rsidP="004B3FA8">
      <w:pPr>
        <w:tabs>
          <w:tab w:val="left" w:pos="1440"/>
          <w:tab w:val="left" w:pos="4920"/>
          <w:tab w:val="right" w:pos="8640"/>
          <w:tab w:val="left" w:pos="9540"/>
        </w:tabs>
        <w:ind w:right="-36"/>
        <w:rPr>
          <w:rFonts w:ascii="Baskerville" w:hAnsi="Baskerville" w:cs="Baskerville"/>
          <w:sz w:val="16"/>
          <w:szCs w:val="16"/>
        </w:rPr>
      </w:pPr>
    </w:p>
    <w:p w:rsidR="004B3FA8" w:rsidRDefault="004B3FA8" w:rsidP="004B3FA8">
      <w:pPr>
        <w:widowControl w:val="0"/>
        <w:numPr>
          <w:ilvl w:val="0"/>
          <w:numId w:val="35"/>
        </w:numPr>
        <w:tabs>
          <w:tab w:val="left" w:pos="0"/>
          <w:tab w:val="left" w:pos="220"/>
        </w:tabs>
        <w:autoSpaceDE w:val="0"/>
        <w:autoSpaceDN w:val="0"/>
        <w:adjustRightInd w:val="0"/>
        <w:spacing w:after="320"/>
        <w:ind w:left="0" w:right="-43" w:firstLine="0"/>
        <w:rPr>
          <w:rFonts w:ascii="Baskerville" w:hAnsi="Baskerville" w:cs="Baskerville"/>
        </w:rPr>
      </w:pPr>
      <w:r w:rsidRPr="008D785C">
        <w:rPr>
          <w:rFonts w:ascii="Baskerville" w:hAnsi="Baskerville" w:cs="Baskerville"/>
        </w:rPr>
        <w:t xml:space="preserve">The Quality and Risk Management provisions (i.e. </w:t>
      </w:r>
      <w:r>
        <w:rPr>
          <w:rFonts w:ascii="Baskerville" w:hAnsi="Baskerville" w:cs="Baskerville"/>
        </w:rPr>
        <w:t>Q</w:t>
      </w:r>
      <w:r w:rsidRPr="008D785C">
        <w:rPr>
          <w:rFonts w:ascii="Baskerville" w:hAnsi="Baskerville" w:cs="Baskerville"/>
        </w:rPr>
        <w:t xml:space="preserve">uality provisions) comprise a substantial portion of the number and complexity of the Agreement’s requirements. These provisions are designed with the goal of ensuring that all services are of good quality, meet individuals’ needs, and help individuals achieve positive outcomes. The Parties recognized that implementation of these provisions would involve building a statewide system that operates with multiple levels, variables, and sources of input. Although components of a </w:t>
      </w:r>
      <w:r>
        <w:rPr>
          <w:rFonts w:ascii="Baskerville" w:hAnsi="Baskerville" w:cs="Baskerville"/>
        </w:rPr>
        <w:t>Q</w:t>
      </w:r>
      <w:r w:rsidRPr="008D785C">
        <w:rPr>
          <w:rFonts w:ascii="Baskerville" w:hAnsi="Baskerville" w:cs="Baskerville"/>
        </w:rPr>
        <w:t>uality system had existed, the Agreement recognized that what existed fell far short of what should be</w:t>
      </w:r>
      <w:r>
        <w:rPr>
          <w:rFonts w:ascii="Baskerville" w:hAnsi="Baskerville" w:cs="Baskerville"/>
        </w:rPr>
        <w:t xml:space="preserve"> established</w:t>
      </w:r>
      <w:r w:rsidRPr="008D785C">
        <w:rPr>
          <w:rFonts w:ascii="Baskerville" w:hAnsi="Baskerville" w:cs="Baskerville"/>
        </w:rPr>
        <w:t xml:space="preserve">. When the Agreement was approved, the Commonwealth had an inadequate organizational infrastructure and </w:t>
      </w:r>
      <w:r>
        <w:rPr>
          <w:rFonts w:ascii="Baskerville" w:hAnsi="Baskerville" w:cs="Baskerville"/>
        </w:rPr>
        <w:t xml:space="preserve">insufficient </w:t>
      </w:r>
      <w:r w:rsidRPr="008D785C">
        <w:rPr>
          <w:rFonts w:ascii="Baskerville" w:hAnsi="Baskerville" w:cs="Baskerville"/>
        </w:rPr>
        <w:t xml:space="preserve">human resources to design, build and operate a statewide operating </w:t>
      </w:r>
      <w:r>
        <w:rPr>
          <w:rFonts w:ascii="Baskerville" w:hAnsi="Baskerville" w:cs="Baskerville"/>
        </w:rPr>
        <w:t>Q</w:t>
      </w:r>
      <w:r w:rsidRPr="008D785C">
        <w:rPr>
          <w:rFonts w:ascii="Baskerville" w:hAnsi="Baskerville" w:cs="Baskerville"/>
        </w:rPr>
        <w:t xml:space="preserve">uality and </w:t>
      </w:r>
      <w:r>
        <w:rPr>
          <w:rFonts w:ascii="Baskerville" w:hAnsi="Baskerville" w:cs="Baskerville"/>
        </w:rPr>
        <w:t>R</w:t>
      </w:r>
      <w:r w:rsidRPr="008D785C">
        <w:rPr>
          <w:rFonts w:ascii="Baskerville" w:hAnsi="Baskerville" w:cs="Baskerville"/>
        </w:rPr>
        <w:t xml:space="preserve">isk </w:t>
      </w:r>
      <w:r>
        <w:rPr>
          <w:rFonts w:ascii="Baskerville" w:hAnsi="Baskerville" w:cs="Baskerville"/>
        </w:rPr>
        <w:t>M</w:t>
      </w:r>
      <w:r w:rsidRPr="008D785C">
        <w:rPr>
          <w:rFonts w:ascii="Baskerville" w:hAnsi="Baskerville" w:cs="Baskerville"/>
        </w:rPr>
        <w:t xml:space="preserve">anagement system. All stakeholders want the Commonwealth to have achieved </w:t>
      </w:r>
      <w:r>
        <w:rPr>
          <w:rFonts w:ascii="Baskerville" w:hAnsi="Baskerville" w:cs="Baskerville"/>
        </w:rPr>
        <w:t xml:space="preserve">by now </w:t>
      </w:r>
      <w:r w:rsidRPr="008D785C">
        <w:rPr>
          <w:rFonts w:ascii="Baskerville" w:hAnsi="Baskerville" w:cs="Baskerville"/>
        </w:rPr>
        <w:t xml:space="preserve">the goals of the </w:t>
      </w:r>
      <w:r>
        <w:rPr>
          <w:rFonts w:ascii="Baskerville" w:hAnsi="Baskerville" w:cs="Baskerville"/>
        </w:rPr>
        <w:t>Q</w:t>
      </w:r>
      <w:r w:rsidRPr="008D785C">
        <w:rPr>
          <w:rFonts w:ascii="Baskerville" w:hAnsi="Baskerville" w:cs="Baskerville"/>
        </w:rPr>
        <w:t>uality provisions, but this is an enormous and complex undertaking.</w:t>
      </w:r>
      <w:r w:rsidRPr="008D785C">
        <w:rPr>
          <w:rFonts w:ascii="Baskerville" w:hAnsi="Baskerville" w:cs="Baskerville"/>
          <w:b/>
        </w:rPr>
        <w:t xml:space="preserve"> </w:t>
      </w:r>
      <w:r w:rsidRPr="008D785C">
        <w:rPr>
          <w:rFonts w:ascii="Baskerville" w:hAnsi="Baskerville" w:cs="Baskerville"/>
        </w:rPr>
        <w:t xml:space="preserve">The Commonwealth has now added leadership and staff and has implemented the structural components of a </w:t>
      </w:r>
      <w:r>
        <w:rPr>
          <w:rFonts w:ascii="Baskerville" w:hAnsi="Baskerville" w:cs="Baskerville"/>
        </w:rPr>
        <w:t>Q</w:t>
      </w:r>
      <w:r w:rsidRPr="008D785C">
        <w:rPr>
          <w:rFonts w:ascii="Baskerville" w:hAnsi="Baskerville" w:cs="Baskerville"/>
        </w:rPr>
        <w:t xml:space="preserve">uality system. It is now creating the organization processes and performance expectations needed to effectively implement a statewide </w:t>
      </w:r>
      <w:r>
        <w:rPr>
          <w:rFonts w:ascii="Baskerville" w:hAnsi="Baskerville" w:cs="Baskerville"/>
        </w:rPr>
        <w:t>Q</w:t>
      </w:r>
      <w:r w:rsidRPr="008D785C">
        <w:rPr>
          <w:rFonts w:ascii="Baskerville" w:hAnsi="Baskerville" w:cs="Baskerville"/>
        </w:rPr>
        <w:t>uality system. The Parties did not agree on due dates</w:t>
      </w:r>
      <w:r>
        <w:rPr>
          <w:rFonts w:ascii="Baskerville" w:hAnsi="Baskerville" w:cs="Baskerville"/>
        </w:rPr>
        <w:t xml:space="preserve">; </w:t>
      </w:r>
      <w:r w:rsidRPr="008D785C">
        <w:rPr>
          <w:rFonts w:ascii="Baskerville" w:hAnsi="Baskerville" w:cs="Baskerville"/>
        </w:rPr>
        <w:t xml:space="preserve">many of the provisions in this section do not have them. The IR prioritized monitoring the </w:t>
      </w:r>
      <w:r>
        <w:rPr>
          <w:rFonts w:ascii="Baskerville" w:hAnsi="Baskerville" w:cs="Baskerville"/>
        </w:rPr>
        <w:t>Q</w:t>
      </w:r>
      <w:r w:rsidRPr="008D785C">
        <w:rPr>
          <w:rFonts w:ascii="Baskerville" w:hAnsi="Baskerville" w:cs="Baskerville"/>
        </w:rPr>
        <w:t>uality provisions during the previous review period. The Commonwealth was in non-compliance with most of these provisions at that time. The IR decided not to prioritize monitoring these provisions during this current period. The four month</w:t>
      </w:r>
      <w:r>
        <w:rPr>
          <w:rFonts w:ascii="Baskerville" w:hAnsi="Baskerville" w:cs="Baskerville"/>
        </w:rPr>
        <w:t xml:space="preserve"> period</w:t>
      </w:r>
      <w:r w:rsidRPr="008D785C">
        <w:rPr>
          <w:rFonts w:ascii="Baskerville" w:hAnsi="Baskerville" w:cs="Baskerville"/>
        </w:rPr>
        <w:t xml:space="preserve"> since </w:t>
      </w:r>
      <w:r>
        <w:rPr>
          <w:rFonts w:ascii="Baskerville" w:hAnsi="Baskerville" w:cs="Baskerville"/>
        </w:rPr>
        <w:t>the IR’s</w:t>
      </w:r>
      <w:r w:rsidRPr="008D785C">
        <w:rPr>
          <w:rFonts w:ascii="Baskerville" w:hAnsi="Baskerville" w:cs="Baskerville"/>
        </w:rPr>
        <w:t xml:space="preserve"> December 6, 2014 Report and the April 6, 2015 end of the current review period was too brief to accomplish substantial systemic change. Updated compliance ratings are deferred until the next review period when the IR will prioritize monitoring the </w:t>
      </w:r>
      <w:r>
        <w:rPr>
          <w:rFonts w:ascii="Baskerville" w:hAnsi="Baskerville" w:cs="Baskerville"/>
        </w:rPr>
        <w:t>Q</w:t>
      </w:r>
      <w:r w:rsidRPr="008D785C">
        <w:rPr>
          <w:rFonts w:ascii="Baskerville" w:hAnsi="Baskerville" w:cs="Baskerville"/>
        </w:rPr>
        <w:t>uality provisions.</w:t>
      </w:r>
    </w:p>
    <w:p w:rsidR="004B3FA8" w:rsidRPr="00D91F36" w:rsidRDefault="004B3FA8" w:rsidP="004B3FA8">
      <w:pPr>
        <w:widowControl w:val="0"/>
        <w:numPr>
          <w:ilvl w:val="0"/>
          <w:numId w:val="35"/>
        </w:numPr>
        <w:tabs>
          <w:tab w:val="left" w:pos="0"/>
          <w:tab w:val="left" w:pos="220"/>
        </w:tabs>
        <w:autoSpaceDE w:val="0"/>
        <w:autoSpaceDN w:val="0"/>
        <w:adjustRightInd w:val="0"/>
        <w:spacing w:after="320"/>
        <w:ind w:left="0" w:right="-43" w:firstLine="0"/>
        <w:rPr>
          <w:rFonts w:ascii="Baskerville" w:hAnsi="Baskerville" w:cs="Baskerville"/>
        </w:rPr>
      </w:pPr>
      <w:r w:rsidRPr="008D785C">
        <w:rPr>
          <w:rFonts w:ascii="Baskerville" w:hAnsi="Baskerville" w:cs="Baskerville"/>
        </w:rPr>
        <w:t xml:space="preserve">This report also does not include updated ratings of compliance for most Discharge Planning and Transition provisions. The IR prioritized monitoring these provisions in the previous Report to the Court. </w:t>
      </w:r>
      <w:r>
        <w:rPr>
          <w:rFonts w:ascii="Baskerville" w:hAnsi="Baskerville" w:cs="Baskerville"/>
        </w:rPr>
        <w:t>At that time, the IR</w:t>
      </w:r>
      <w:r w:rsidRPr="008D785C">
        <w:rPr>
          <w:rFonts w:ascii="Baskerville" w:hAnsi="Baskerville" w:cs="Baskerville"/>
        </w:rPr>
        <w:t xml:space="preserve"> determined that the Commonwealth had achieved compliance with twenty-four of the thirty-three requirements. The IR has determined that the substantial changes needed to achieve compliance ratings in </w:t>
      </w:r>
      <w:r>
        <w:rPr>
          <w:rFonts w:ascii="Baskerville" w:hAnsi="Baskerville" w:cs="Baskerville"/>
        </w:rPr>
        <w:t xml:space="preserve">most </w:t>
      </w:r>
      <w:r w:rsidRPr="008D785C">
        <w:rPr>
          <w:rFonts w:ascii="Baskerville" w:hAnsi="Baskerville" w:cs="Baskerville"/>
        </w:rPr>
        <w:t xml:space="preserve">remaining areas would require more than one review period. </w:t>
      </w:r>
      <w:r>
        <w:rPr>
          <w:rFonts w:ascii="Baskerville" w:hAnsi="Baskerville" w:cs="Baskerville"/>
        </w:rPr>
        <w:t>Therefore, u</w:t>
      </w:r>
      <w:r w:rsidRPr="008D785C">
        <w:rPr>
          <w:rFonts w:ascii="Baskerville" w:hAnsi="Baskerville" w:cs="Baskerville"/>
        </w:rPr>
        <w:t>pdated compliance ratings are deferred until the next review period when the IR will prioritize mo</w:t>
      </w:r>
      <w:r>
        <w:rPr>
          <w:rFonts w:ascii="Baskerville" w:hAnsi="Baskerville" w:cs="Baskerville"/>
        </w:rPr>
        <w:t xml:space="preserve">nitoring the </w:t>
      </w:r>
      <w:r w:rsidRPr="008D785C">
        <w:rPr>
          <w:rFonts w:ascii="Baskerville" w:hAnsi="Baskerville" w:cs="Baskerville"/>
        </w:rPr>
        <w:t>Discharge Planning and Transition</w:t>
      </w:r>
      <w:r>
        <w:rPr>
          <w:rFonts w:ascii="Baskerville" w:hAnsi="Baskerville" w:cs="Baskerville"/>
        </w:rPr>
        <w:t xml:space="preserve"> provisions.</w:t>
      </w:r>
    </w:p>
    <w:p w:rsidR="004B3FA8" w:rsidRPr="00D91F36" w:rsidRDefault="004B3FA8" w:rsidP="004B3FA8">
      <w:pPr>
        <w:widowControl w:val="0"/>
        <w:numPr>
          <w:ilvl w:val="0"/>
          <w:numId w:val="35"/>
        </w:numPr>
        <w:tabs>
          <w:tab w:val="left" w:pos="0"/>
          <w:tab w:val="left" w:pos="220"/>
        </w:tabs>
        <w:autoSpaceDE w:val="0"/>
        <w:autoSpaceDN w:val="0"/>
        <w:adjustRightInd w:val="0"/>
        <w:spacing w:after="320"/>
        <w:ind w:left="0" w:right="-43" w:firstLine="0"/>
        <w:rPr>
          <w:rFonts w:ascii="Baskerville" w:hAnsi="Baskerville" w:cs="Baskerville"/>
        </w:rPr>
      </w:pPr>
      <w:r w:rsidRPr="00D91F36">
        <w:rPr>
          <w:rFonts w:ascii="Baskerville" w:hAnsi="Baskerville" w:cs="Baskerville"/>
        </w:rPr>
        <w:t>Under the Agreement, the Commonwealth has created 2005</w:t>
      </w:r>
      <w:r w:rsidRPr="00D91F36">
        <w:rPr>
          <w:rFonts w:ascii="Baskerville" w:hAnsi="Baskerville" w:cs="Baskerville"/>
          <w:b/>
        </w:rPr>
        <w:t xml:space="preserve"> </w:t>
      </w:r>
      <w:r w:rsidRPr="00D91F36">
        <w:rPr>
          <w:rFonts w:ascii="Baskerville" w:hAnsi="Baskerville" w:cs="Baskerville"/>
        </w:rPr>
        <w:t>HCBS waiver slots, 200 more than the minimum required. These waiver slots allowed individuals with ID and DD, most of whom had been on waitlists for many years</w:t>
      </w:r>
      <w:r>
        <w:rPr>
          <w:rFonts w:ascii="Baskerville" w:hAnsi="Baskerville" w:cs="Baskerville"/>
        </w:rPr>
        <w:t>,</w:t>
      </w:r>
      <w:r w:rsidRPr="00D91F36">
        <w:rPr>
          <w:rFonts w:ascii="Baskerville" w:hAnsi="Baskerville" w:cs="Baskerville"/>
        </w:rPr>
        <w:t xml:space="preserve"> to receive HCBS waiver-funded services. The IR found that receiving these services has significantly improved the quality of life for these individuals and their families. Between October 11, 2011 and April 30, 2015, the Commonwealth has assisted 443 individuals to transition from the Training Centers to more integrated community-based settings. The IR’s studies of more than 100 of these individual</w:t>
      </w:r>
      <w:r>
        <w:rPr>
          <w:rFonts w:ascii="Baskerville" w:hAnsi="Baskerville" w:cs="Baskerville"/>
        </w:rPr>
        <w:t>s’</w:t>
      </w:r>
      <w:r w:rsidRPr="00D91F36">
        <w:rPr>
          <w:rFonts w:ascii="Baskerville" w:hAnsi="Baskerville" w:cs="Baskerville"/>
        </w:rPr>
        <w:t xml:space="preserve"> services found that</w:t>
      </w:r>
      <w:r>
        <w:rPr>
          <w:rFonts w:ascii="Baskerville" w:hAnsi="Baskerville" w:cs="Baskerville"/>
        </w:rPr>
        <w:t>,</w:t>
      </w:r>
      <w:r w:rsidRPr="00D91F36">
        <w:rPr>
          <w:rFonts w:ascii="Baskerville" w:hAnsi="Baskerville" w:cs="Baskerville"/>
        </w:rPr>
        <w:t xml:space="preserve"> although there were exceptions, the vast majority of the individuals who have moved have adjusted well to their new homes and have experienced positive life outcomes. Notably, during this period, the number of children and adults with ID/DD on the Commonwealth’s waitlists has continued to increase to 9867, as of April 2015, with an increase of more than a thousand during the past year.</w:t>
      </w:r>
    </w:p>
    <w:p w:rsidR="004B3FA8" w:rsidRPr="0084234B" w:rsidRDefault="004B3FA8" w:rsidP="004B3FA8">
      <w:pPr>
        <w:ind w:right="-396"/>
        <w:rPr>
          <w:rFonts w:ascii="Baskerville" w:hAnsi="Baskerville" w:cs="Baskerville"/>
        </w:rPr>
      </w:pPr>
      <w:r>
        <w:rPr>
          <w:rFonts w:ascii="Baskerville" w:hAnsi="Baskerville" w:cs="Baskerville"/>
        </w:rPr>
        <w:t xml:space="preserve">During the next review period, the IR will prioritize monitoring </w:t>
      </w:r>
      <w:r w:rsidRPr="0084234B">
        <w:rPr>
          <w:rFonts w:ascii="Baskerville" w:hAnsi="Baskerville" w:cs="Baskerville"/>
        </w:rPr>
        <w:t xml:space="preserve">the </w:t>
      </w:r>
      <w:r>
        <w:rPr>
          <w:rFonts w:ascii="Baskerville" w:hAnsi="Baskerville" w:cs="Baskerville"/>
        </w:rPr>
        <w:t xml:space="preserve">status of the </w:t>
      </w:r>
      <w:r w:rsidRPr="0084234B">
        <w:rPr>
          <w:rFonts w:ascii="Baskerville" w:hAnsi="Baskerville" w:cs="Baskerville"/>
        </w:rPr>
        <w:t>Commonwealth</w:t>
      </w:r>
      <w:r>
        <w:rPr>
          <w:rFonts w:ascii="Baskerville" w:hAnsi="Baskerville" w:cs="Baskerville"/>
        </w:rPr>
        <w:t>’s</w:t>
      </w:r>
      <w:r w:rsidRPr="0084234B">
        <w:rPr>
          <w:rFonts w:ascii="Baskerville" w:hAnsi="Baskerville" w:cs="Baskerville"/>
        </w:rPr>
        <w:t xml:space="preserve"> </w:t>
      </w:r>
      <w:r>
        <w:rPr>
          <w:rFonts w:ascii="Baskerville" w:hAnsi="Baskerville" w:cs="Baskerville"/>
        </w:rPr>
        <w:t>compliance with the requirements of the Agreement in the following areas</w:t>
      </w:r>
      <w:r w:rsidRPr="0084234B">
        <w:rPr>
          <w:rFonts w:ascii="Baskerville" w:hAnsi="Baskerville" w:cs="Baskerville"/>
        </w:rPr>
        <w:t>: crisis services for individuals admitted to psychiatric and law enforcement facilities and long term hospitals</w:t>
      </w:r>
      <w:r>
        <w:rPr>
          <w:rFonts w:ascii="Baskerville" w:hAnsi="Baskerville" w:cs="Baskerville"/>
        </w:rPr>
        <w:t>;</w:t>
      </w:r>
      <w:r w:rsidRPr="0084234B">
        <w:rPr>
          <w:rFonts w:ascii="Baskerville" w:hAnsi="Baskerville" w:cs="Baskerville"/>
        </w:rPr>
        <w:t xml:space="preserve"> Quality and Risk Management</w:t>
      </w:r>
      <w:r>
        <w:rPr>
          <w:rFonts w:ascii="Baskerville" w:hAnsi="Baskerville" w:cs="Baskerville"/>
        </w:rPr>
        <w:t>;</w:t>
      </w:r>
      <w:r w:rsidRPr="0084234B">
        <w:rPr>
          <w:rFonts w:ascii="Baskerville" w:hAnsi="Baskerville" w:cs="Baskerville"/>
        </w:rPr>
        <w:t xml:space="preserve"> and Discharge Planning and Transition from Training Center</w:t>
      </w:r>
      <w:r>
        <w:rPr>
          <w:rFonts w:ascii="Baskerville" w:hAnsi="Baskerville" w:cs="Baskerville"/>
        </w:rPr>
        <w:t xml:space="preserve">s. The Individual Review </w:t>
      </w:r>
      <w:r w:rsidRPr="0084234B">
        <w:rPr>
          <w:rFonts w:ascii="Baskerville" w:hAnsi="Baskerville" w:cs="Baskerville"/>
        </w:rPr>
        <w:t>study will focus on individuals who have transitioned from T</w:t>
      </w:r>
      <w:r>
        <w:rPr>
          <w:rFonts w:ascii="Baskerville" w:hAnsi="Baskerville" w:cs="Baskerville"/>
        </w:rPr>
        <w:t>raining Centers to community-based living in</w:t>
      </w:r>
      <w:r w:rsidRPr="0084234B">
        <w:rPr>
          <w:rFonts w:ascii="Baskerville" w:hAnsi="Baskerville" w:cs="Baskerville"/>
        </w:rPr>
        <w:t xml:space="preserve"> Regions I and II.</w:t>
      </w:r>
    </w:p>
    <w:p w:rsidR="004B3FA8" w:rsidRPr="00DF1E2F" w:rsidRDefault="004B3FA8" w:rsidP="004B3FA8">
      <w:pPr>
        <w:ind w:right="-396"/>
        <w:rPr>
          <w:rFonts w:ascii="Baskerville" w:hAnsi="Baskerville" w:cs="Baskerville"/>
        </w:rPr>
      </w:pPr>
    </w:p>
    <w:p w:rsidR="004B3FA8" w:rsidRDefault="004B3FA8" w:rsidP="004B3FA8">
      <w:pPr>
        <w:tabs>
          <w:tab w:val="left" w:pos="1440"/>
          <w:tab w:val="left" w:pos="4920"/>
          <w:tab w:val="right" w:pos="8640"/>
          <w:tab w:val="left" w:pos="9540"/>
        </w:tabs>
        <w:ind w:right="-36"/>
        <w:rPr>
          <w:rFonts w:ascii="Baskerville" w:hAnsi="Baskerville" w:cs="Baskerville"/>
        </w:rPr>
      </w:pPr>
      <w:r w:rsidRPr="00DF1E2F">
        <w:rPr>
          <w:rFonts w:ascii="Baskerville" w:hAnsi="Baskerville" w:cs="Baskerville"/>
        </w:rPr>
        <w:t xml:space="preserve">In summary, the </w:t>
      </w:r>
      <w:r>
        <w:rPr>
          <w:rFonts w:ascii="Baskerville" w:hAnsi="Baskerville" w:cs="Baskerville"/>
        </w:rPr>
        <w:t xml:space="preserve">Commonwealth remains in compliance with many provisions of the Agreement. It is making progress toward achieving others. It also remains in continued non-compliance with many core provisions. Its strategy to come into compliance is the redesign of its HCBS waivers. However, during this review period, the Commonwealth’s redesigned waiver did not go into effect. The Commonwealth will remain in non-compliance until it effectively implements needed system reforms. </w:t>
      </w:r>
    </w:p>
    <w:p w:rsidR="004B3FA8" w:rsidRDefault="004B3FA8" w:rsidP="004B3FA8">
      <w:pPr>
        <w:tabs>
          <w:tab w:val="left" w:pos="1440"/>
          <w:tab w:val="left" w:pos="4920"/>
          <w:tab w:val="right" w:pos="8640"/>
          <w:tab w:val="left" w:pos="9540"/>
        </w:tabs>
        <w:ind w:right="-36"/>
        <w:rPr>
          <w:rFonts w:ascii="Baskerville" w:hAnsi="Baskerville" w:cs="Baskerville"/>
        </w:rPr>
      </w:pPr>
    </w:p>
    <w:p w:rsidR="004B295F" w:rsidRDefault="004B3FA8" w:rsidP="001C786E">
      <w:pPr>
        <w:tabs>
          <w:tab w:val="left" w:pos="1440"/>
          <w:tab w:val="left" w:pos="4920"/>
          <w:tab w:val="right" w:pos="8640"/>
          <w:tab w:val="left" w:pos="9540"/>
        </w:tabs>
        <w:ind w:right="-36"/>
        <w:rPr>
          <w:rFonts w:ascii="Baskerville" w:hAnsi="Baskerville" w:cs="Baskerville"/>
        </w:rPr>
      </w:pPr>
      <w:r w:rsidRPr="00DF1E2F">
        <w:rPr>
          <w:rFonts w:ascii="Baskerville" w:hAnsi="Baskerville" w:cs="Baskerville"/>
        </w:rPr>
        <w:t>Throughout the review period, the Commonwealth’s staff have been accessible, forthright, and responsive. Attorneys</w:t>
      </w:r>
      <w:r>
        <w:rPr>
          <w:rFonts w:ascii="Baskerville" w:hAnsi="Baskerville" w:cs="Baskerville"/>
        </w:rPr>
        <w:t xml:space="preserve"> and independent consultants</w:t>
      </w:r>
      <w:r w:rsidRPr="00DF1E2F">
        <w:rPr>
          <w:rFonts w:ascii="Baskerville" w:hAnsi="Baskerville" w:cs="Baskerville"/>
        </w:rPr>
        <w:t xml:space="preserve"> from the Department of Justice</w:t>
      </w:r>
      <w:r>
        <w:rPr>
          <w:rFonts w:ascii="Baskerville" w:hAnsi="Baskerville" w:cs="Baskerville"/>
        </w:rPr>
        <w:t xml:space="preserve"> have gathered information that will be helpful to effective implementation and have worked collaboratively </w:t>
      </w:r>
      <w:r w:rsidRPr="00DF1E2F">
        <w:rPr>
          <w:rFonts w:ascii="Baskerville" w:hAnsi="Baskerville" w:cs="Baskerville"/>
        </w:rPr>
        <w:t xml:space="preserve">with the Commonwealth. The Parties have </w:t>
      </w:r>
      <w:r>
        <w:rPr>
          <w:rFonts w:ascii="Baskerville" w:hAnsi="Baskerville" w:cs="Baskerville"/>
        </w:rPr>
        <w:t xml:space="preserve">openly and regularly </w:t>
      </w:r>
      <w:r w:rsidRPr="00DF1E2F">
        <w:rPr>
          <w:rFonts w:ascii="Baskerville" w:hAnsi="Baskerville" w:cs="Baskerville"/>
        </w:rPr>
        <w:t>discussed</w:t>
      </w:r>
      <w:r>
        <w:rPr>
          <w:rFonts w:ascii="Baskerville" w:hAnsi="Baskerville" w:cs="Baskerville"/>
        </w:rPr>
        <w:t xml:space="preserve"> implementation issues and </w:t>
      </w:r>
      <w:r w:rsidRPr="00DF1E2F">
        <w:rPr>
          <w:rFonts w:ascii="Baskerville" w:hAnsi="Baskerville" w:cs="Baskerville"/>
        </w:rPr>
        <w:t>concerns</w:t>
      </w:r>
      <w:r>
        <w:rPr>
          <w:rFonts w:ascii="Baskerville" w:hAnsi="Baskerville" w:cs="Baskerville"/>
        </w:rPr>
        <w:t xml:space="preserve"> with progress toward the shared goals embodied in the Agreement</w:t>
      </w:r>
      <w:r w:rsidRPr="00DF1E2F">
        <w:rPr>
          <w:rFonts w:ascii="Baskerville" w:hAnsi="Baskerville" w:cs="Baskerville"/>
        </w:rPr>
        <w:t>.  The involvement and contributions of the stakeholders</w:t>
      </w:r>
      <w:r>
        <w:rPr>
          <w:rFonts w:ascii="Baskerville" w:hAnsi="Baskerville" w:cs="Baskerville"/>
        </w:rPr>
        <w:t xml:space="preserve"> have been </w:t>
      </w:r>
      <w:r w:rsidRPr="00DF1E2F">
        <w:rPr>
          <w:rFonts w:ascii="Baskerville" w:hAnsi="Baskerville" w:cs="Baskerville"/>
        </w:rPr>
        <w:t xml:space="preserve">vitally important to </w:t>
      </w:r>
      <w:r>
        <w:rPr>
          <w:rFonts w:ascii="Baskerville" w:hAnsi="Baskerville" w:cs="Baskerville"/>
        </w:rPr>
        <w:t>progress that the Commonwealth has made to date; their involvement will continue to be important</w:t>
      </w:r>
      <w:r w:rsidRPr="00DF1E2F">
        <w:rPr>
          <w:rFonts w:ascii="Baskerville" w:hAnsi="Baskerville" w:cs="Baskerville"/>
        </w:rPr>
        <w:t xml:space="preserve">. </w:t>
      </w:r>
      <w:r>
        <w:rPr>
          <w:rFonts w:ascii="Baskerville" w:hAnsi="Baskerville" w:cs="Baskerville"/>
        </w:rPr>
        <w:t>The IR</w:t>
      </w:r>
      <w:r w:rsidRPr="00DF1E2F">
        <w:rPr>
          <w:rFonts w:ascii="Baskerville" w:hAnsi="Baskerville" w:cs="Baskerville"/>
        </w:rPr>
        <w:t xml:space="preserve"> appreciates greatly the assistance generously given by the individuals and their families, </w:t>
      </w:r>
      <w:r w:rsidRPr="00A03556">
        <w:rPr>
          <w:rFonts w:ascii="Baskerville" w:hAnsi="Baskerville" w:cs="Baskerville"/>
        </w:rPr>
        <w:t>their case man</w:t>
      </w:r>
      <w:r>
        <w:rPr>
          <w:rFonts w:ascii="Baskerville" w:hAnsi="Baskerville" w:cs="Baskerville"/>
        </w:rPr>
        <w:t>a</w:t>
      </w:r>
      <w:r w:rsidRPr="00A03556">
        <w:rPr>
          <w:rFonts w:ascii="Baskerville" w:hAnsi="Baskerville" w:cs="Baskerville"/>
        </w:rPr>
        <w:t xml:space="preserve">gers and </w:t>
      </w:r>
      <w:r>
        <w:rPr>
          <w:rFonts w:ascii="Baskerville" w:hAnsi="Baskerville" w:cs="Baskerville"/>
        </w:rPr>
        <w:t xml:space="preserve">their </w:t>
      </w:r>
      <w:r w:rsidRPr="00A03556">
        <w:rPr>
          <w:rFonts w:ascii="Baskerville" w:hAnsi="Baskerville" w:cs="Baskerville"/>
        </w:rPr>
        <w:t xml:space="preserve">service providers </w:t>
      </w:r>
      <w:r>
        <w:rPr>
          <w:rFonts w:ascii="Baskerville" w:hAnsi="Baskerville" w:cs="Baskerville"/>
        </w:rPr>
        <w:t>who helped to arrange</w:t>
      </w:r>
      <w:r w:rsidRPr="00DF1E2F">
        <w:rPr>
          <w:rFonts w:ascii="Baskerville" w:hAnsi="Baskerville" w:cs="Baskerville"/>
        </w:rPr>
        <w:t xml:space="preserve"> </w:t>
      </w:r>
      <w:r>
        <w:rPr>
          <w:rFonts w:ascii="Baskerville" w:hAnsi="Baskerville" w:cs="Baskerville"/>
        </w:rPr>
        <w:t>visits to family homes</w:t>
      </w:r>
      <w:r w:rsidRPr="00DF1E2F">
        <w:rPr>
          <w:rFonts w:ascii="Baskerville" w:hAnsi="Baskerville" w:cs="Baskerville"/>
        </w:rPr>
        <w:t xml:space="preserve"> and </w:t>
      </w:r>
      <w:r>
        <w:rPr>
          <w:rFonts w:ascii="Baskerville" w:hAnsi="Baskerville" w:cs="Baskerville"/>
        </w:rPr>
        <w:t>program settings and to respond to h</w:t>
      </w:r>
      <w:r w:rsidRPr="00DF1E2F">
        <w:rPr>
          <w:rFonts w:ascii="Baskerville" w:hAnsi="Baskerville" w:cs="Baskerville"/>
        </w:rPr>
        <w:t xml:space="preserve">is many requests for information. </w:t>
      </w:r>
      <w:r>
        <w:rPr>
          <w:rFonts w:ascii="Baskerville" w:hAnsi="Baskerville" w:cs="Baskerville"/>
        </w:rPr>
        <w:t>Finally, t</w:t>
      </w:r>
      <w:r w:rsidRPr="00DF1E2F">
        <w:rPr>
          <w:rFonts w:ascii="Baskerville" w:hAnsi="Baskerville" w:cs="Baskerville"/>
        </w:rPr>
        <w:t xml:space="preserve">he Parties and the stakeholders were very helpful with </w:t>
      </w:r>
      <w:r>
        <w:rPr>
          <w:rFonts w:ascii="Baskerville" w:hAnsi="Baskerville" w:cs="Baskerville"/>
        </w:rPr>
        <w:t xml:space="preserve">their </w:t>
      </w:r>
      <w:r w:rsidRPr="00DF1E2F">
        <w:rPr>
          <w:rFonts w:ascii="Baskerville" w:hAnsi="Baskerville" w:cs="Baskerville"/>
        </w:rPr>
        <w:t>candid assessments of the progress made and observations of the challenges ahead.</w:t>
      </w:r>
    </w:p>
    <w:p w:rsidR="004B295F" w:rsidRDefault="004B295F">
      <w:pPr>
        <w:rPr>
          <w:rFonts w:ascii="Baskerville" w:hAnsi="Baskerville" w:cs="Baskerville"/>
        </w:rPr>
      </w:pPr>
      <w:r>
        <w:rPr>
          <w:rFonts w:ascii="Baskerville" w:hAnsi="Baskerville" w:cs="Baskerville"/>
        </w:rPr>
        <w:br w:type="page"/>
      </w:r>
    </w:p>
    <w:p w:rsidR="00444D6B" w:rsidRDefault="00444D6B" w:rsidP="001C786E">
      <w:pPr>
        <w:tabs>
          <w:tab w:val="left" w:pos="1440"/>
          <w:tab w:val="left" w:pos="4920"/>
          <w:tab w:val="right" w:pos="8640"/>
          <w:tab w:val="left" w:pos="9540"/>
        </w:tabs>
        <w:ind w:right="-36"/>
        <w:rPr>
          <w:rFonts w:ascii="Baskerville" w:hAnsi="Baskerville" w:cs="Baskerville"/>
        </w:rPr>
      </w:pPr>
    </w:p>
    <w:p w:rsidR="00133481" w:rsidRPr="009B0B98" w:rsidRDefault="00133481" w:rsidP="00133481">
      <w:pPr>
        <w:rPr>
          <w:rFonts w:ascii="Baskerville" w:hAnsi="Baskerville" w:cs="Baskerville"/>
          <w:u w:val="single"/>
        </w:rPr>
      </w:pPr>
    </w:p>
    <w:p w:rsidR="00A46747" w:rsidRPr="009649DD" w:rsidRDefault="00861593" w:rsidP="00DE749C">
      <w:pPr>
        <w:jc w:val="center"/>
        <w:rPr>
          <w:rFonts w:ascii="Baskerville" w:hAnsi="Baskerville" w:cs="Baskerville"/>
          <w:b/>
          <w:sz w:val="28"/>
          <w:szCs w:val="28"/>
        </w:rPr>
      </w:pPr>
      <w:r w:rsidRPr="009B0B98">
        <w:rPr>
          <w:rFonts w:ascii="Baskerville" w:hAnsi="Baskerville" w:cs="Baskerville"/>
          <w:b/>
          <w:sz w:val="28"/>
          <w:szCs w:val="28"/>
          <w:u w:val="single"/>
        </w:rPr>
        <w:t xml:space="preserve">II. </w:t>
      </w:r>
      <w:r w:rsidR="00FB5AB1" w:rsidRPr="009B0B98">
        <w:rPr>
          <w:rFonts w:ascii="Baskerville" w:hAnsi="Baskerville" w:cs="Baskerville"/>
          <w:b/>
          <w:sz w:val="28"/>
          <w:szCs w:val="28"/>
          <w:u w:val="single"/>
        </w:rPr>
        <w:t>S</w:t>
      </w:r>
      <w:r w:rsidR="006C7270" w:rsidRPr="009B0B98">
        <w:rPr>
          <w:rFonts w:ascii="Baskerville" w:hAnsi="Baskerville" w:cs="Baskerville"/>
          <w:b/>
          <w:sz w:val="28"/>
          <w:szCs w:val="28"/>
          <w:u w:val="single"/>
        </w:rPr>
        <w:t>UMMARY OF COMPLIANCE: YEAR THREE</w:t>
      </w:r>
      <w:r w:rsidR="00924802" w:rsidRPr="009B0B98">
        <w:rPr>
          <w:rFonts w:ascii="Baskerville" w:hAnsi="Baskerville" w:cs="Baskerville"/>
          <w:b/>
          <w:sz w:val="28"/>
          <w:szCs w:val="28"/>
          <w:u w:val="single"/>
        </w:rPr>
        <w:t xml:space="preserve"> - </w:t>
      </w:r>
      <w:r w:rsidR="00477B74" w:rsidRPr="009B0B98">
        <w:rPr>
          <w:rFonts w:ascii="Baskerville" w:hAnsi="Baskerville" w:cs="Baskerville"/>
          <w:b/>
          <w:sz w:val="28"/>
          <w:szCs w:val="28"/>
          <w:u w:val="single"/>
        </w:rPr>
        <w:t>SECOND</w:t>
      </w:r>
      <w:r w:rsidR="00A053FE" w:rsidRPr="009B0B98">
        <w:rPr>
          <w:rFonts w:ascii="Baskerville" w:hAnsi="Baskerville" w:cs="Baskerville"/>
          <w:b/>
          <w:sz w:val="28"/>
          <w:szCs w:val="28"/>
          <w:u w:val="single"/>
        </w:rPr>
        <w:t xml:space="preserve"> HALF</w:t>
      </w:r>
    </w:p>
    <w:p w:rsidR="00A473F3" w:rsidRPr="00DF1E2F" w:rsidRDefault="00A473F3" w:rsidP="00AF31CD">
      <w:pPr>
        <w:tabs>
          <w:tab w:val="left" w:pos="1440"/>
          <w:tab w:val="left" w:pos="4920"/>
          <w:tab w:val="right" w:pos="8640"/>
        </w:tabs>
        <w:ind w:left="720" w:right="270" w:hanging="720"/>
        <w:rPr>
          <w:rFonts w:ascii="Baskerville" w:hAnsi="Baskerville" w:cs="Baskerville"/>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4320"/>
        <w:gridCol w:w="1440"/>
        <w:gridCol w:w="2880"/>
      </w:tblGrid>
      <w:tr w:rsidR="000E7C49" w:rsidRPr="00DF1E2F" w:rsidTr="0094744A">
        <w:trPr>
          <w:tblHeader/>
        </w:trPr>
        <w:tc>
          <w:tcPr>
            <w:tcW w:w="1530" w:type="dxa"/>
            <w:tcBorders>
              <w:bottom w:val="single" w:sz="4" w:space="0" w:color="auto"/>
            </w:tcBorders>
            <w:shd w:val="clear" w:color="auto" w:fill="7F7F7F"/>
            <w:vAlign w:val="center"/>
          </w:tcPr>
          <w:p w:rsidR="001C21AC" w:rsidRPr="00DF1E2F" w:rsidRDefault="001C21AC" w:rsidP="004B279A">
            <w:pPr>
              <w:tabs>
                <w:tab w:val="left" w:pos="1440"/>
                <w:tab w:val="left" w:pos="4920"/>
                <w:tab w:val="right" w:pos="8640"/>
              </w:tabs>
              <w:ind w:right="72"/>
              <w:jc w:val="center"/>
              <w:rPr>
                <w:rFonts w:ascii="Baskerville" w:hAnsi="Baskerville" w:cs="Baskerville"/>
                <w:b/>
                <w:sz w:val="22"/>
                <w:szCs w:val="22"/>
              </w:rPr>
            </w:pPr>
            <w:r w:rsidRPr="00DF1E2F">
              <w:rPr>
                <w:rFonts w:ascii="Baskerville" w:hAnsi="Baskerville" w:cs="Baskerville"/>
                <w:b/>
                <w:sz w:val="22"/>
                <w:szCs w:val="22"/>
              </w:rPr>
              <w:t>Settlement Agreement Reference</w:t>
            </w:r>
          </w:p>
        </w:tc>
        <w:tc>
          <w:tcPr>
            <w:tcW w:w="4320" w:type="dxa"/>
            <w:tcBorders>
              <w:bottom w:val="single" w:sz="4" w:space="0" w:color="auto"/>
            </w:tcBorders>
            <w:shd w:val="clear" w:color="auto" w:fill="7F7F7F"/>
            <w:vAlign w:val="center"/>
          </w:tcPr>
          <w:p w:rsidR="001C21AC" w:rsidRPr="00DF1E2F" w:rsidRDefault="001C21AC" w:rsidP="004B279A">
            <w:pPr>
              <w:tabs>
                <w:tab w:val="left" w:pos="4920"/>
                <w:tab w:val="right" w:pos="8640"/>
              </w:tabs>
              <w:ind w:right="72"/>
              <w:jc w:val="center"/>
              <w:rPr>
                <w:rFonts w:ascii="Baskerville" w:hAnsi="Baskerville" w:cs="Baskerville"/>
                <w:b/>
                <w:sz w:val="22"/>
                <w:szCs w:val="22"/>
              </w:rPr>
            </w:pPr>
            <w:r w:rsidRPr="00DF1E2F">
              <w:rPr>
                <w:rFonts w:ascii="Baskerville" w:hAnsi="Baskerville" w:cs="Baskerville"/>
                <w:b/>
                <w:sz w:val="22"/>
                <w:szCs w:val="22"/>
              </w:rPr>
              <w:t>Provision</w:t>
            </w:r>
          </w:p>
        </w:tc>
        <w:tc>
          <w:tcPr>
            <w:tcW w:w="1440" w:type="dxa"/>
            <w:tcBorders>
              <w:bottom w:val="single" w:sz="4" w:space="0" w:color="auto"/>
            </w:tcBorders>
            <w:shd w:val="clear" w:color="auto" w:fill="7F7F7F"/>
            <w:vAlign w:val="center"/>
          </w:tcPr>
          <w:p w:rsidR="001C21AC" w:rsidRPr="00DF1E2F" w:rsidRDefault="001C21AC" w:rsidP="00BE3C97">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Rating</w:t>
            </w:r>
          </w:p>
        </w:tc>
        <w:tc>
          <w:tcPr>
            <w:tcW w:w="2880" w:type="dxa"/>
            <w:tcBorders>
              <w:bottom w:val="single" w:sz="4" w:space="0" w:color="auto"/>
            </w:tcBorders>
            <w:shd w:val="clear" w:color="auto" w:fill="7F7F7F"/>
            <w:vAlign w:val="center"/>
          </w:tcPr>
          <w:p w:rsidR="001C21AC" w:rsidRPr="00DF1E2F" w:rsidRDefault="001C21AC" w:rsidP="00BE3C97">
            <w:pPr>
              <w:tabs>
                <w:tab w:val="left" w:pos="1440"/>
                <w:tab w:val="left" w:pos="4920"/>
                <w:tab w:val="right" w:pos="8640"/>
              </w:tabs>
              <w:jc w:val="center"/>
              <w:rPr>
                <w:rFonts w:ascii="Baskerville" w:hAnsi="Baskerville" w:cs="Baskerville"/>
                <w:b/>
                <w:sz w:val="22"/>
                <w:szCs w:val="22"/>
              </w:rPr>
            </w:pPr>
            <w:r w:rsidRPr="00DF1E2F">
              <w:rPr>
                <w:rFonts w:ascii="Baskerville" w:hAnsi="Baskerville" w:cs="Baskerville"/>
                <w:b/>
                <w:sz w:val="22"/>
                <w:szCs w:val="22"/>
              </w:rPr>
              <w:t>Comments</w:t>
            </w:r>
          </w:p>
        </w:tc>
      </w:tr>
      <w:tr w:rsidR="000E7C49" w:rsidRPr="00DF1E2F" w:rsidTr="0094744A">
        <w:tc>
          <w:tcPr>
            <w:tcW w:w="1530" w:type="dxa"/>
            <w:shd w:val="clear" w:color="auto" w:fill="FFFF00"/>
            <w:vAlign w:val="center"/>
          </w:tcPr>
          <w:p w:rsidR="001C21AC" w:rsidRPr="00650B43" w:rsidRDefault="001C21AC" w:rsidP="004B279A">
            <w:pPr>
              <w:tabs>
                <w:tab w:val="left" w:pos="1440"/>
                <w:tab w:val="left" w:pos="4920"/>
                <w:tab w:val="right" w:pos="8640"/>
              </w:tabs>
              <w:ind w:right="72"/>
              <w:jc w:val="center"/>
              <w:rPr>
                <w:rFonts w:ascii="Baskerville" w:hAnsi="Baskerville" w:cs="Baskerville"/>
                <w:b/>
                <w:highlight w:val="yellow"/>
              </w:rPr>
            </w:pPr>
            <w:r w:rsidRPr="00650B43">
              <w:rPr>
                <w:rFonts w:ascii="Baskerville" w:hAnsi="Baskerville" w:cs="Baskerville"/>
                <w:b/>
                <w:highlight w:val="yellow"/>
              </w:rPr>
              <w:t>III</w:t>
            </w:r>
          </w:p>
        </w:tc>
        <w:tc>
          <w:tcPr>
            <w:tcW w:w="4320" w:type="dxa"/>
            <w:shd w:val="clear" w:color="auto" w:fill="FFFF00"/>
            <w:vAlign w:val="center"/>
          </w:tcPr>
          <w:p w:rsidR="001C21AC" w:rsidRPr="00650B43" w:rsidRDefault="00BE0AC0" w:rsidP="004B279A">
            <w:pPr>
              <w:tabs>
                <w:tab w:val="left" w:pos="4920"/>
                <w:tab w:val="right" w:pos="8640"/>
              </w:tabs>
              <w:ind w:right="72"/>
              <w:jc w:val="center"/>
              <w:rPr>
                <w:rFonts w:ascii="Baskerville" w:hAnsi="Baskerville" w:cs="Baskerville"/>
                <w:b/>
                <w:highlight w:val="yellow"/>
              </w:rPr>
            </w:pPr>
            <w:r w:rsidRPr="00650B43">
              <w:rPr>
                <w:rFonts w:ascii="Baskerville" w:hAnsi="Baskerville" w:cs="Baskerville"/>
                <w:b/>
                <w:highlight w:val="yellow"/>
              </w:rPr>
              <w:t>Serving Individuals w</w:t>
            </w:r>
            <w:r w:rsidR="008606D0" w:rsidRPr="00650B43">
              <w:rPr>
                <w:rFonts w:ascii="Baskerville" w:hAnsi="Baskerville" w:cs="Baskerville"/>
                <w:b/>
                <w:highlight w:val="yellow"/>
              </w:rPr>
              <w:t>ith Developmental Disabilities I</w:t>
            </w:r>
            <w:r w:rsidRPr="00650B43">
              <w:rPr>
                <w:rFonts w:ascii="Baskerville" w:hAnsi="Baskerville" w:cs="Baskerville"/>
                <w:b/>
                <w:highlight w:val="yellow"/>
              </w:rPr>
              <w:t>n the</w:t>
            </w:r>
            <w:r w:rsidR="008606D0" w:rsidRPr="00650B43">
              <w:rPr>
                <w:rFonts w:ascii="Baskerville" w:hAnsi="Baskerville" w:cs="Baskerville"/>
                <w:b/>
                <w:highlight w:val="yellow"/>
              </w:rPr>
              <w:t xml:space="preserve"> Most Integrated Setting</w:t>
            </w:r>
          </w:p>
        </w:tc>
        <w:tc>
          <w:tcPr>
            <w:tcW w:w="1440" w:type="dxa"/>
            <w:shd w:val="clear" w:color="auto" w:fill="FFFF00"/>
          </w:tcPr>
          <w:p w:rsidR="001E75BD" w:rsidRDefault="00433567" w:rsidP="00941722">
            <w:pPr>
              <w:tabs>
                <w:tab w:val="left" w:pos="1314"/>
                <w:tab w:val="left" w:pos="4920"/>
                <w:tab w:val="right" w:pos="8640"/>
              </w:tabs>
              <w:ind w:right="-18"/>
              <w:rPr>
                <w:rFonts w:ascii="Baskerville" w:hAnsi="Baskerville" w:cs="Baskerville"/>
                <w:b/>
                <w:sz w:val="22"/>
                <w:szCs w:val="22"/>
                <w:highlight w:val="yellow"/>
              </w:rPr>
            </w:pPr>
            <w:r>
              <w:rPr>
                <w:rFonts w:ascii="Baskerville" w:hAnsi="Baskerville" w:cs="Baskerville"/>
                <w:b/>
                <w:sz w:val="22"/>
                <w:szCs w:val="22"/>
                <w:highlight w:val="yellow"/>
              </w:rPr>
              <w:t>C</w:t>
            </w:r>
            <w:r w:rsidR="00881E0B">
              <w:rPr>
                <w:rFonts w:ascii="Baskerville" w:hAnsi="Baskerville" w:cs="Baskerville"/>
                <w:b/>
                <w:sz w:val="22"/>
                <w:szCs w:val="22"/>
                <w:highlight w:val="yellow"/>
              </w:rPr>
              <w:t>ompliance</w:t>
            </w:r>
            <w:r w:rsidR="00650B43">
              <w:rPr>
                <w:rFonts w:ascii="Baskerville" w:hAnsi="Baskerville" w:cs="Baskerville"/>
                <w:b/>
                <w:sz w:val="22"/>
                <w:szCs w:val="22"/>
                <w:highlight w:val="yellow"/>
              </w:rPr>
              <w:t xml:space="preserve"> rating</w:t>
            </w:r>
            <w:r w:rsidR="001E75BD">
              <w:rPr>
                <w:rFonts w:ascii="Baskerville" w:hAnsi="Baskerville" w:cs="Baskerville"/>
                <w:b/>
                <w:sz w:val="22"/>
                <w:szCs w:val="22"/>
                <w:highlight w:val="yellow"/>
              </w:rPr>
              <w:t>s for the fourth, fifth and sixth</w:t>
            </w:r>
            <w:r w:rsidR="002E1792">
              <w:rPr>
                <w:rFonts w:ascii="Baskerville" w:hAnsi="Baskerville" w:cs="Baskerville"/>
                <w:b/>
                <w:sz w:val="22"/>
                <w:szCs w:val="22"/>
                <w:highlight w:val="yellow"/>
              </w:rPr>
              <w:t xml:space="preserve"> review periods are presented</w:t>
            </w:r>
            <w:r w:rsidR="001E75BD">
              <w:rPr>
                <w:rFonts w:ascii="Baskerville" w:hAnsi="Baskerville" w:cs="Baskerville"/>
                <w:b/>
                <w:sz w:val="22"/>
                <w:szCs w:val="22"/>
                <w:highlight w:val="yellow"/>
              </w:rPr>
              <w:t xml:space="preserve"> as:</w:t>
            </w:r>
          </w:p>
          <w:p w:rsidR="001C21AC" w:rsidRPr="00C56355" w:rsidRDefault="001E75BD" w:rsidP="00EF121D">
            <w:pPr>
              <w:tabs>
                <w:tab w:val="left" w:pos="1314"/>
                <w:tab w:val="left" w:pos="4920"/>
                <w:tab w:val="right" w:pos="8640"/>
              </w:tabs>
              <w:ind w:right="-18"/>
              <w:jc w:val="center"/>
              <w:rPr>
                <w:rFonts w:ascii="Baskerville" w:hAnsi="Baskerville" w:cs="Baskerville"/>
                <w:sz w:val="20"/>
                <w:szCs w:val="20"/>
                <w:highlight w:val="yellow"/>
              </w:rPr>
            </w:pPr>
            <w:r w:rsidRPr="00C56355">
              <w:rPr>
                <w:rFonts w:ascii="Baskerville" w:hAnsi="Baskerville" w:cs="Baskerville"/>
                <w:sz w:val="20"/>
                <w:szCs w:val="20"/>
                <w:highlight w:val="yellow"/>
              </w:rPr>
              <w:t>(</w:t>
            </w:r>
            <w:r w:rsidR="00C56355">
              <w:rPr>
                <w:rFonts w:ascii="Baskerville" w:hAnsi="Baskerville" w:cs="Baskerville"/>
                <w:sz w:val="20"/>
                <w:szCs w:val="20"/>
                <w:highlight w:val="yellow"/>
              </w:rPr>
              <w:t>4</w:t>
            </w:r>
            <w:r w:rsidR="00C56355" w:rsidRPr="00C56355">
              <w:rPr>
                <w:rFonts w:ascii="Baskerville" w:hAnsi="Baskerville" w:cs="Baskerville"/>
                <w:sz w:val="22"/>
                <w:szCs w:val="22"/>
                <w:highlight w:val="yellow"/>
                <w:vertAlign w:val="superscript"/>
              </w:rPr>
              <w:t>th</w:t>
            </w:r>
            <w:r w:rsidRPr="00C56355">
              <w:rPr>
                <w:rFonts w:ascii="Baskerville" w:hAnsi="Baskerville" w:cs="Baskerville"/>
                <w:sz w:val="20"/>
                <w:szCs w:val="20"/>
                <w:highlight w:val="yellow"/>
              </w:rPr>
              <w:t xml:space="preserve"> period)</w:t>
            </w:r>
          </w:p>
          <w:p w:rsidR="001E75BD" w:rsidRPr="00312B42" w:rsidRDefault="00B4252D" w:rsidP="00EF121D">
            <w:pPr>
              <w:tabs>
                <w:tab w:val="left" w:pos="1314"/>
                <w:tab w:val="left" w:pos="4920"/>
                <w:tab w:val="right" w:pos="8640"/>
              </w:tabs>
              <w:ind w:right="-18"/>
              <w:jc w:val="center"/>
              <w:rPr>
                <w:rFonts w:ascii="Baskerville" w:hAnsi="Baskerville" w:cs="Baskerville"/>
                <w:sz w:val="22"/>
                <w:szCs w:val="22"/>
                <w:highlight w:val="yellow"/>
                <w:u w:val="single"/>
              </w:rPr>
            </w:pPr>
            <w:r w:rsidRPr="00312B42">
              <w:rPr>
                <w:rFonts w:ascii="Baskerville" w:hAnsi="Baskerville" w:cs="Baskerville"/>
                <w:sz w:val="22"/>
                <w:szCs w:val="22"/>
                <w:highlight w:val="yellow"/>
                <w:u w:val="single"/>
              </w:rPr>
              <w:t>5</w:t>
            </w:r>
            <w:r w:rsidRPr="00312B42">
              <w:rPr>
                <w:rFonts w:ascii="Baskerville" w:hAnsi="Baskerville" w:cs="Baskerville"/>
                <w:sz w:val="22"/>
                <w:szCs w:val="22"/>
                <w:highlight w:val="yellow"/>
                <w:u w:val="single"/>
                <w:vertAlign w:val="superscript"/>
              </w:rPr>
              <w:t>th</w:t>
            </w:r>
            <w:r w:rsidRPr="00312B42">
              <w:rPr>
                <w:rFonts w:ascii="Baskerville" w:hAnsi="Baskerville" w:cs="Baskerville"/>
                <w:sz w:val="22"/>
                <w:szCs w:val="22"/>
                <w:highlight w:val="yellow"/>
                <w:u w:val="single"/>
              </w:rPr>
              <w:t xml:space="preserve"> period</w:t>
            </w:r>
          </w:p>
          <w:p w:rsidR="00B4252D" w:rsidRPr="00B4252D" w:rsidRDefault="00B4252D" w:rsidP="00EF121D">
            <w:pPr>
              <w:tabs>
                <w:tab w:val="left" w:pos="1314"/>
                <w:tab w:val="left" w:pos="4920"/>
                <w:tab w:val="right" w:pos="8640"/>
              </w:tabs>
              <w:ind w:right="-18"/>
              <w:jc w:val="center"/>
              <w:rPr>
                <w:rFonts w:ascii="Baskerville" w:hAnsi="Baskerville" w:cs="Baskerville"/>
                <w:b/>
                <w:sz w:val="22"/>
                <w:szCs w:val="22"/>
                <w:highlight w:val="yellow"/>
              </w:rPr>
            </w:pPr>
            <w:r>
              <w:rPr>
                <w:rFonts w:ascii="Baskerville" w:hAnsi="Baskerville" w:cs="Baskerville"/>
                <w:b/>
                <w:sz w:val="22"/>
                <w:szCs w:val="22"/>
                <w:highlight w:val="yellow"/>
              </w:rPr>
              <w:t>6</w:t>
            </w:r>
            <w:r w:rsidRPr="00B4252D">
              <w:rPr>
                <w:rFonts w:ascii="Baskerville" w:hAnsi="Baskerville" w:cs="Baskerville"/>
                <w:b/>
                <w:sz w:val="22"/>
                <w:szCs w:val="22"/>
                <w:highlight w:val="yellow"/>
                <w:vertAlign w:val="superscript"/>
              </w:rPr>
              <w:t>th</w:t>
            </w:r>
            <w:r>
              <w:rPr>
                <w:rFonts w:ascii="Baskerville" w:hAnsi="Baskerville" w:cs="Baskerville"/>
                <w:b/>
                <w:sz w:val="22"/>
                <w:szCs w:val="22"/>
                <w:highlight w:val="yellow"/>
              </w:rPr>
              <w:t xml:space="preserve"> period</w:t>
            </w:r>
          </w:p>
        </w:tc>
        <w:tc>
          <w:tcPr>
            <w:tcW w:w="2880" w:type="dxa"/>
            <w:shd w:val="clear" w:color="auto" w:fill="FFFF00"/>
          </w:tcPr>
          <w:p w:rsidR="001C21AC" w:rsidRPr="00650B43" w:rsidRDefault="00A404DD" w:rsidP="00C6423A">
            <w:pPr>
              <w:tabs>
                <w:tab w:val="left" w:pos="1440"/>
                <w:tab w:val="left" w:pos="4920"/>
                <w:tab w:val="right" w:pos="8640"/>
              </w:tabs>
              <w:ind w:right="270"/>
              <w:rPr>
                <w:rFonts w:ascii="Baskerville" w:hAnsi="Baskerville" w:cs="Baskerville"/>
                <w:b/>
                <w:sz w:val="22"/>
                <w:szCs w:val="22"/>
                <w:highlight w:val="yellow"/>
              </w:rPr>
            </w:pPr>
            <w:r>
              <w:rPr>
                <w:rFonts w:ascii="Baskerville" w:hAnsi="Baskerville" w:cs="Baskerville"/>
                <w:b/>
                <w:sz w:val="22"/>
                <w:szCs w:val="22"/>
              </w:rPr>
              <w:t xml:space="preserve">Comments </w:t>
            </w:r>
            <w:r w:rsidR="003E0685">
              <w:rPr>
                <w:rFonts w:ascii="Baskerville" w:hAnsi="Baskerville" w:cs="Baskerville"/>
                <w:b/>
                <w:sz w:val="22"/>
                <w:szCs w:val="22"/>
              </w:rPr>
              <w:t>include</w:t>
            </w:r>
            <w:r w:rsidR="005C5FD6">
              <w:rPr>
                <w:rFonts w:ascii="Baskerville" w:hAnsi="Baskerville" w:cs="Baskerville"/>
                <w:b/>
                <w:sz w:val="22"/>
                <w:szCs w:val="22"/>
              </w:rPr>
              <w:t xml:space="preserve"> examples</w:t>
            </w:r>
            <w:r w:rsidR="009174B1">
              <w:rPr>
                <w:rFonts w:ascii="Baskerville" w:hAnsi="Baskerville" w:cs="Baskerville"/>
                <w:b/>
                <w:sz w:val="22"/>
                <w:szCs w:val="22"/>
              </w:rPr>
              <w:t xml:space="preserve"> to explain the rating</w:t>
            </w:r>
            <w:r w:rsidR="005C5FD6">
              <w:rPr>
                <w:rFonts w:ascii="Baskerville" w:hAnsi="Baskerville" w:cs="Baskerville"/>
                <w:b/>
                <w:sz w:val="22"/>
                <w:szCs w:val="22"/>
              </w:rPr>
              <w:t>s</w:t>
            </w:r>
            <w:r w:rsidR="00D61F28">
              <w:rPr>
                <w:rFonts w:ascii="Baskerville" w:hAnsi="Baskerville" w:cs="Baskerville"/>
                <w:b/>
                <w:sz w:val="22"/>
                <w:szCs w:val="22"/>
              </w:rPr>
              <w:t xml:space="preserve"> and status</w:t>
            </w:r>
            <w:r w:rsidR="009174B1">
              <w:rPr>
                <w:rFonts w:ascii="Baskerville" w:hAnsi="Baskerville" w:cs="Baskerville"/>
                <w:b/>
                <w:sz w:val="22"/>
                <w:szCs w:val="22"/>
              </w:rPr>
              <w:t xml:space="preserve">. </w:t>
            </w:r>
            <w:r w:rsidR="006965FD">
              <w:rPr>
                <w:rFonts w:ascii="Baskerville" w:hAnsi="Baskerville" w:cs="Baskerville"/>
                <w:b/>
                <w:sz w:val="22"/>
                <w:szCs w:val="22"/>
              </w:rPr>
              <w:t>T</w:t>
            </w:r>
            <w:r w:rsidR="006965FD" w:rsidRPr="00650B43">
              <w:rPr>
                <w:rFonts w:ascii="Baskerville" w:hAnsi="Baskerville" w:cs="Baskerville"/>
                <w:b/>
                <w:sz w:val="22"/>
                <w:szCs w:val="22"/>
              </w:rPr>
              <w:t>he Findings Section and</w:t>
            </w:r>
            <w:r w:rsidR="006965FD">
              <w:rPr>
                <w:rFonts w:ascii="Baskerville" w:hAnsi="Baskerville" w:cs="Baskerville"/>
                <w:b/>
                <w:sz w:val="22"/>
                <w:szCs w:val="22"/>
              </w:rPr>
              <w:t xml:space="preserve"> attached </w:t>
            </w:r>
            <w:r w:rsidR="006965FD" w:rsidRPr="00650B43">
              <w:rPr>
                <w:rFonts w:ascii="Baskerville" w:hAnsi="Baskerville" w:cs="Baskerville"/>
                <w:b/>
                <w:sz w:val="22"/>
                <w:szCs w:val="22"/>
              </w:rPr>
              <w:t>consultant reports</w:t>
            </w:r>
            <w:r w:rsidR="006965FD">
              <w:rPr>
                <w:rFonts w:ascii="Baskerville" w:hAnsi="Baskerville" w:cs="Baskerville"/>
                <w:b/>
                <w:sz w:val="22"/>
                <w:szCs w:val="22"/>
              </w:rPr>
              <w:t xml:space="preserve"> include</w:t>
            </w:r>
            <w:r w:rsidR="006965FD" w:rsidRPr="00650B43">
              <w:rPr>
                <w:rFonts w:ascii="Baskerville" w:hAnsi="Baskerville" w:cs="Baskerville"/>
                <w:b/>
                <w:sz w:val="22"/>
                <w:szCs w:val="22"/>
              </w:rPr>
              <w:t xml:space="preserve"> </w:t>
            </w:r>
            <w:r w:rsidR="006965FD">
              <w:rPr>
                <w:rFonts w:ascii="Baskerville" w:hAnsi="Baskerville" w:cs="Baskerville"/>
                <w:b/>
                <w:sz w:val="22"/>
                <w:szCs w:val="22"/>
              </w:rPr>
              <w:t>a</w:t>
            </w:r>
            <w:r w:rsidR="00717CB6">
              <w:rPr>
                <w:rFonts w:ascii="Baskerville" w:hAnsi="Baskerville" w:cs="Baskerville"/>
                <w:b/>
                <w:sz w:val="22"/>
                <w:szCs w:val="22"/>
              </w:rPr>
              <w:t>ddi</w:t>
            </w:r>
            <w:r w:rsidR="00E74FE1">
              <w:rPr>
                <w:rFonts w:ascii="Baskerville" w:hAnsi="Baskerville" w:cs="Baskerville"/>
                <w:b/>
                <w:sz w:val="22"/>
                <w:szCs w:val="22"/>
              </w:rPr>
              <w:t>tional expla</w:t>
            </w:r>
            <w:r w:rsidR="00C213FD">
              <w:rPr>
                <w:rFonts w:ascii="Baskerville" w:hAnsi="Baskerville" w:cs="Baskerville"/>
                <w:b/>
                <w:sz w:val="22"/>
                <w:szCs w:val="22"/>
              </w:rPr>
              <w:t>natory information.</w:t>
            </w:r>
          </w:p>
        </w:tc>
      </w:tr>
      <w:tr w:rsidR="000E7C49" w:rsidRPr="00DF1E2F" w:rsidTr="0094744A">
        <w:trPr>
          <w:trHeight w:val="1340"/>
        </w:trPr>
        <w:tc>
          <w:tcPr>
            <w:tcW w:w="1530" w:type="dxa"/>
            <w:vAlign w:val="center"/>
          </w:tcPr>
          <w:p w:rsidR="00EE231C" w:rsidRPr="00DF1E2F" w:rsidRDefault="00AC788E" w:rsidP="008A7D3F">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w:t>
            </w:r>
            <w:r w:rsidR="00EE231C" w:rsidRPr="00DF1E2F">
              <w:rPr>
                <w:rFonts w:ascii="Baskerville" w:hAnsi="Baskerville" w:cs="Baskerville"/>
                <w:b/>
                <w:sz w:val="22"/>
                <w:szCs w:val="22"/>
              </w:rPr>
              <w:t>C.1.a.i-iii.</w:t>
            </w:r>
          </w:p>
        </w:tc>
        <w:tc>
          <w:tcPr>
            <w:tcW w:w="4320" w:type="dxa"/>
          </w:tcPr>
          <w:p w:rsidR="006719B1" w:rsidRPr="00DF1E2F" w:rsidRDefault="00391B00" w:rsidP="005B4160">
            <w:pPr>
              <w:tabs>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The Commonwealth shall create a minimum of 805 waiver slots to enable individuals in the target population in the Training Centers to transition to the community according to the following schedule:</w:t>
            </w:r>
          </w:p>
        </w:tc>
        <w:tc>
          <w:tcPr>
            <w:tcW w:w="1440" w:type="dxa"/>
          </w:tcPr>
          <w:p w:rsidR="009256F5" w:rsidRPr="0000799C" w:rsidRDefault="00FA1B0A" w:rsidP="00F211F8">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w:t>
            </w:r>
            <w:r w:rsidR="00B97E2C" w:rsidRPr="0000799C">
              <w:rPr>
                <w:rFonts w:ascii="Baskerville" w:hAnsi="Baskerville" w:cs="Baskerville"/>
                <w:sz w:val="20"/>
                <w:szCs w:val="20"/>
              </w:rPr>
              <w:t>Compliance</w:t>
            </w:r>
            <w:r w:rsidRPr="0000799C">
              <w:rPr>
                <w:rFonts w:ascii="Baskerville" w:hAnsi="Baskerville" w:cs="Baskerville"/>
                <w:sz w:val="20"/>
                <w:szCs w:val="20"/>
              </w:rPr>
              <w:t>)</w:t>
            </w:r>
          </w:p>
          <w:p w:rsidR="002F5678" w:rsidRPr="00D36295" w:rsidRDefault="009256F5" w:rsidP="009256F5">
            <w:pPr>
              <w:tabs>
                <w:tab w:val="left" w:pos="1692"/>
                <w:tab w:val="left" w:pos="4920"/>
                <w:tab w:val="right" w:pos="8640"/>
              </w:tabs>
              <w:ind w:left="-108" w:right="-108"/>
              <w:jc w:val="center"/>
              <w:rPr>
                <w:rFonts w:ascii="Baskerville" w:hAnsi="Baskerville" w:cs="Baskerville"/>
                <w:sz w:val="22"/>
                <w:szCs w:val="22"/>
                <w:u w:val="single"/>
              </w:rPr>
            </w:pPr>
            <w:r w:rsidRPr="00D36295">
              <w:rPr>
                <w:rFonts w:ascii="Baskerville" w:hAnsi="Baskerville" w:cs="Baskerville"/>
                <w:sz w:val="22"/>
                <w:szCs w:val="22"/>
                <w:u w:val="single"/>
              </w:rPr>
              <w:t>Compliance</w:t>
            </w:r>
          </w:p>
          <w:p w:rsidR="003044D3" w:rsidRPr="00DF1E2F" w:rsidRDefault="002F5678" w:rsidP="009256F5">
            <w:pPr>
              <w:tabs>
                <w:tab w:val="left" w:pos="1692"/>
                <w:tab w:val="left" w:pos="4920"/>
                <w:tab w:val="right" w:pos="8640"/>
              </w:tabs>
              <w:ind w:left="-108" w:right="-108"/>
              <w:jc w:val="center"/>
              <w:rPr>
                <w:rFonts w:ascii="Baskerville" w:hAnsi="Baskerville" w:cs="Baskerville"/>
                <w:b/>
                <w:sz w:val="22"/>
                <w:szCs w:val="22"/>
              </w:rPr>
            </w:pPr>
            <w:r w:rsidRPr="002F5678">
              <w:rPr>
                <w:rFonts w:ascii="Baskerville" w:hAnsi="Baskerville" w:cs="Baskerville"/>
                <w:b/>
                <w:sz w:val="22"/>
                <w:szCs w:val="22"/>
              </w:rPr>
              <w:t>Compliance</w:t>
            </w:r>
          </w:p>
          <w:p w:rsidR="009256F5" w:rsidRPr="00DF1E2F" w:rsidRDefault="009256F5" w:rsidP="009256F5">
            <w:pPr>
              <w:tabs>
                <w:tab w:val="left" w:pos="169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 xml:space="preserve"> </w:t>
            </w:r>
          </w:p>
        </w:tc>
        <w:tc>
          <w:tcPr>
            <w:tcW w:w="2880" w:type="dxa"/>
          </w:tcPr>
          <w:p w:rsidR="00EE231C" w:rsidRPr="00DF1E2F" w:rsidRDefault="00602063" w:rsidP="008A32A8">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w:t>
            </w:r>
            <w:r w:rsidR="00CB4676" w:rsidRPr="00DF1E2F">
              <w:rPr>
                <w:rFonts w:ascii="Baskerville" w:hAnsi="Baskerville" w:cs="Baskerville"/>
                <w:sz w:val="22"/>
                <w:szCs w:val="22"/>
              </w:rPr>
              <w:t xml:space="preserve"> created </w:t>
            </w:r>
            <w:r w:rsidR="005B4160">
              <w:rPr>
                <w:rFonts w:ascii="Baskerville" w:hAnsi="Baskerville" w:cs="Baskerville"/>
                <w:sz w:val="22"/>
                <w:szCs w:val="22"/>
              </w:rPr>
              <w:t>470</w:t>
            </w:r>
            <w:r w:rsidR="00633400" w:rsidRPr="00DF1E2F">
              <w:rPr>
                <w:rFonts w:ascii="Baskerville" w:hAnsi="Baskerville" w:cs="Baskerville"/>
                <w:sz w:val="22"/>
                <w:szCs w:val="22"/>
              </w:rPr>
              <w:t xml:space="preserve"> wa</w:t>
            </w:r>
            <w:r w:rsidR="00BA0D76" w:rsidRPr="00DF1E2F">
              <w:rPr>
                <w:rFonts w:ascii="Baskerville" w:hAnsi="Baskerville" w:cs="Baskerville"/>
                <w:sz w:val="22"/>
                <w:szCs w:val="22"/>
              </w:rPr>
              <w:t>iver slots during FY 2012 -20</w:t>
            </w:r>
            <w:r w:rsidR="005B4160">
              <w:rPr>
                <w:rFonts w:ascii="Baskerville" w:hAnsi="Baskerville" w:cs="Baskerville"/>
                <w:sz w:val="22"/>
                <w:szCs w:val="22"/>
              </w:rPr>
              <w:t xml:space="preserve">15, the minimum number </w:t>
            </w:r>
            <w:r w:rsidR="00EC7BFE" w:rsidRPr="00DF1E2F">
              <w:rPr>
                <w:rFonts w:ascii="Baskerville" w:hAnsi="Baskerville" w:cs="Baskerville"/>
                <w:sz w:val="22"/>
                <w:szCs w:val="22"/>
              </w:rPr>
              <w:t>required.</w:t>
            </w:r>
          </w:p>
        </w:tc>
      </w:tr>
      <w:tr w:rsidR="000E7C49" w:rsidRPr="00DF1E2F" w:rsidTr="0094744A">
        <w:trPr>
          <w:trHeight w:val="3392"/>
        </w:trPr>
        <w:tc>
          <w:tcPr>
            <w:tcW w:w="1530" w:type="dxa"/>
            <w:vAlign w:val="center"/>
          </w:tcPr>
          <w:p w:rsidR="00EE231C" w:rsidRPr="00DF1E2F" w:rsidRDefault="00FE2CB3" w:rsidP="008A7D3F">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III.C.1.b.i-iii</w:t>
            </w:r>
          </w:p>
        </w:tc>
        <w:tc>
          <w:tcPr>
            <w:tcW w:w="4320" w:type="dxa"/>
          </w:tcPr>
          <w:p w:rsidR="00264F2C" w:rsidRPr="00DF1E2F" w:rsidRDefault="00FE2CB3" w:rsidP="00925F81">
            <w:pPr>
              <w:tabs>
                <w:tab w:val="left" w:pos="4920"/>
                <w:tab w:val="right" w:pos="8640"/>
              </w:tabs>
              <w:ind w:right="-18"/>
              <w:rPr>
                <w:rFonts w:ascii="Baskerville" w:hAnsi="Baskerville" w:cs="Baskerville"/>
                <w:sz w:val="22"/>
                <w:szCs w:val="22"/>
              </w:rPr>
            </w:pPr>
            <w:r w:rsidRPr="00DF1E2F">
              <w:rPr>
                <w:rFonts w:ascii="Baskerville" w:hAnsi="Baskerville" w:cs="Baskerville"/>
                <w:sz w:val="22"/>
                <w:szCs w:val="22"/>
              </w:rPr>
              <w:t>The Commonwealth shall create a minimum of 2,915 waiver slots to prevent the institutionalization of individuals with intellectual disabilities in the target population who are on the urgent waitlist for a waiver, or to transition to the community individuals with intellectual disabilities under 22 years of age from institutions other than the Training Centers (i.e., ICFs and nursing facilities). In State Fiscal Year 2015, 225 waiver slots, including 25 slots prioritized for individuals under 22 years of age residing in nursing homes and the largest ICFs.</w:t>
            </w:r>
          </w:p>
        </w:tc>
        <w:tc>
          <w:tcPr>
            <w:tcW w:w="1440" w:type="dxa"/>
          </w:tcPr>
          <w:p w:rsidR="00E71C0D" w:rsidRDefault="00E71C0D" w:rsidP="00E71C0D">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Compliance)</w:t>
            </w:r>
          </w:p>
          <w:p w:rsidR="00ED2F63" w:rsidRPr="0059724C" w:rsidRDefault="00ED2F63" w:rsidP="00E71C0D">
            <w:pPr>
              <w:tabs>
                <w:tab w:val="left" w:pos="1404"/>
                <w:tab w:val="left" w:pos="1440"/>
                <w:tab w:val="left" w:pos="4920"/>
                <w:tab w:val="right" w:pos="8640"/>
              </w:tabs>
              <w:ind w:left="-108" w:right="-108"/>
              <w:jc w:val="center"/>
              <w:rPr>
                <w:rFonts w:ascii="Baskerville" w:hAnsi="Baskerville" w:cs="Baskerville"/>
                <w:sz w:val="20"/>
                <w:szCs w:val="20"/>
              </w:rPr>
            </w:pPr>
          </w:p>
          <w:p w:rsidR="00873B96" w:rsidRPr="00D36295" w:rsidRDefault="00873B96" w:rsidP="0098446B">
            <w:pPr>
              <w:tabs>
                <w:tab w:val="left" w:pos="1440"/>
                <w:tab w:val="left" w:pos="4920"/>
                <w:tab w:val="right" w:pos="8640"/>
              </w:tabs>
              <w:ind w:left="-108" w:right="-108"/>
              <w:jc w:val="center"/>
              <w:rPr>
                <w:rFonts w:ascii="Baskerville" w:hAnsi="Baskerville" w:cs="Baskerville"/>
                <w:sz w:val="22"/>
                <w:szCs w:val="22"/>
                <w:u w:val="single"/>
              </w:rPr>
            </w:pPr>
            <w:r w:rsidRPr="00D36295">
              <w:rPr>
                <w:rFonts w:ascii="Baskerville" w:hAnsi="Baskerville" w:cs="Baskerville"/>
                <w:sz w:val="22"/>
                <w:szCs w:val="22"/>
                <w:u w:val="single"/>
              </w:rPr>
              <w:t>Non</w:t>
            </w:r>
            <w:r w:rsidR="0098446B" w:rsidRPr="00D36295">
              <w:rPr>
                <w:rFonts w:ascii="Baskerville" w:hAnsi="Baskerville" w:cs="Baskerville"/>
                <w:sz w:val="22"/>
                <w:szCs w:val="22"/>
                <w:u w:val="single"/>
              </w:rPr>
              <w:t xml:space="preserve"> </w:t>
            </w:r>
            <w:r w:rsidRPr="00D36295">
              <w:rPr>
                <w:rFonts w:ascii="Baskerville" w:hAnsi="Baskerville" w:cs="Baskerville"/>
                <w:sz w:val="22"/>
                <w:szCs w:val="22"/>
                <w:u w:val="single"/>
              </w:rPr>
              <w:t>Compliance</w:t>
            </w:r>
          </w:p>
          <w:p w:rsidR="00224677" w:rsidRDefault="00224677" w:rsidP="00873B96">
            <w:pPr>
              <w:tabs>
                <w:tab w:val="left" w:pos="4920"/>
                <w:tab w:val="right" w:pos="8640"/>
              </w:tabs>
              <w:ind w:left="-108" w:right="-108"/>
              <w:jc w:val="center"/>
              <w:rPr>
                <w:rFonts w:ascii="Baskerville" w:hAnsi="Baskerville" w:cs="Baskerville"/>
                <w:sz w:val="22"/>
                <w:szCs w:val="22"/>
              </w:rPr>
            </w:pPr>
          </w:p>
          <w:p w:rsidR="00224677" w:rsidRDefault="00224677" w:rsidP="00873B96">
            <w:pPr>
              <w:tabs>
                <w:tab w:val="left" w:pos="4920"/>
                <w:tab w:val="right" w:pos="8640"/>
              </w:tabs>
              <w:ind w:left="-108" w:right="-108"/>
              <w:jc w:val="center"/>
              <w:rPr>
                <w:rFonts w:ascii="Baskerville" w:hAnsi="Baskerville" w:cs="Baskerville"/>
                <w:sz w:val="22"/>
                <w:szCs w:val="22"/>
              </w:rPr>
            </w:pPr>
          </w:p>
          <w:p w:rsidR="004B295F" w:rsidRDefault="004B295F" w:rsidP="00873B96">
            <w:pPr>
              <w:tabs>
                <w:tab w:val="left" w:pos="4920"/>
                <w:tab w:val="right" w:pos="8640"/>
              </w:tabs>
              <w:ind w:left="-108" w:right="-108"/>
              <w:jc w:val="center"/>
              <w:rPr>
                <w:rFonts w:ascii="Baskerville" w:hAnsi="Baskerville" w:cs="Baskerville"/>
                <w:b/>
                <w:sz w:val="22"/>
                <w:szCs w:val="22"/>
              </w:rPr>
            </w:pPr>
          </w:p>
          <w:p w:rsidR="004B295F" w:rsidRDefault="004B295F" w:rsidP="00873B96">
            <w:pPr>
              <w:tabs>
                <w:tab w:val="left" w:pos="4920"/>
                <w:tab w:val="right" w:pos="8640"/>
              </w:tabs>
              <w:ind w:left="-108" w:right="-108"/>
              <w:jc w:val="center"/>
              <w:rPr>
                <w:rFonts w:ascii="Baskerville" w:hAnsi="Baskerville" w:cs="Baskerville"/>
                <w:b/>
                <w:sz w:val="22"/>
                <w:szCs w:val="22"/>
              </w:rPr>
            </w:pPr>
          </w:p>
          <w:p w:rsidR="004B295F" w:rsidRDefault="004B295F" w:rsidP="00873B96">
            <w:pPr>
              <w:tabs>
                <w:tab w:val="left" w:pos="4920"/>
                <w:tab w:val="right" w:pos="8640"/>
              </w:tabs>
              <w:ind w:left="-108" w:right="-108"/>
              <w:jc w:val="center"/>
              <w:rPr>
                <w:rFonts w:ascii="Baskerville" w:hAnsi="Baskerville" w:cs="Baskerville"/>
                <w:b/>
                <w:sz w:val="22"/>
                <w:szCs w:val="22"/>
              </w:rPr>
            </w:pPr>
          </w:p>
          <w:p w:rsidR="004B295F" w:rsidRDefault="004B295F" w:rsidP="00873B96">
            <w:pPr>
              <w:tabs>
                <w:tab w:val="left" w:pos="4920"/>
                <w:tab w:val="right" w:pos="8640"/>
              </w:tabs>
              <w:ind w:left="-108" w:right="-108"/>
              <w:jc w:val="center"/>
              <w:rPr>
                <w:rFonts w:ascii="Baskerville" w:hAnsi="Baskerville" w:cs="Baskerville"/>
                <w:b/>
                <w:sz w:val="22"/>
                <w:szCs w:val="22"/>
              </w:rPr>
            </w:pPr>
          </w:p>
          <w:p w:rsidR="00224677" w:rsidRPr="00224677" w:rsidRDefault="00224677" w:rsidP="00873B96">
            <w:pPr>
              <w:tabs>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Non Compliance</w:t>
            </w:r>
          </w:p>
          <w:p w:rsidR="00873B96" w:rsidRPr="006D7545" w:rsidRDefault="00873B96" w:rsidP="009F3908">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CE174F" w:rsidRPr="00DF1E2F" w:rsidRDefault="00FE2CB3" w:rsidP="0006639C">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Commonwealth created 1175 waiver slots during FY 2012 - 2015, 200</w:t>
            </w:r>
            <w:r w:rsidRPr="00DF1E2F">
              <w:rPr>
                <w:rFonts w:ascii="Baskerville" w:hAnsi="Baskerville" w:cs="Baskerville"/>
                <w:sz w:val="22"/>
                <w:szCs w:val="22"/>
              </w:rPr>
              <w:t xml:space="preserve"> more than the minimum </w:t>
            </w:r>
            <w:r>
              <w:rPr>
                <w:rFonts w:ascii="Baskerville" w:hAnsi="Baskerville" w:cs="Baskerville"/>
                <w:sz w:val="22"/>
                <w:szCs w:val="22"/>
              </w:rPr>
              <w:t>required of 975</w:t>
            </w:r>
            <w:r w:rsidR="009D57D2">
              <w:rPr>
                <w:rFonts w:ascii="Baskerville" w:hAnsi="Baskerville" w:cs="Baskerville"/>
                <w:sz w:val="22"/>
                <w:szCs w:val="22"/>
              </w:rPr>
              <w:t xml:space="preserve">. It </w:t>
            </w:r>
            <w:r w:rsidRPr="00DF1E2F">
              <w:rPr>
                <w:rFonts w:ascii="Baskerville" w:hAnsi="Baskerville" w:cs="Baskerville"/>
                <w:sz w:val="22"/>
                <w:szCs w:val="22"/>
              </w:rPr>
              <w:t xml:space="preserve">created </w:t>
            </w:r>
            <w:r w:rsidR="009D57D2">
              <w:rPr>
                <w:rFonts w:ascii="Baskerville" w:hAnsi="Baskerville" w:cs="Baskerville"/>
                <w:sz w:val="22"/>
                <w:szCs w:val="22"/>
              </w:rPr>
              <w:t xml:space="preserve">only </w:t>
            </w:r>
            <w:r w:rsidRPr="00DF1E2F">
              <w:rPr>
                <w:rFonts w:ascii="Baskerville" w:hAnsi="Baskerville" w:cs="Baskerville"/>
                <w:sz w:val="22"/>
                <w:szCs w:val="22"/>
              </w:rPr>
              <w:t xml:space="preserve">25 in FY 2015. The Commonwealth maintained compliance by counting slots created above the requirement in the prior year, as allowed by </w:t>
            </w:r>
            <w:r w:rsidRPr="00DF1E2F">
              <w:rPr>
                <w:rFonts w:ascii="Baskerville" w:hAnsi="Baskerville" w:cs="Baskerville"/>
                <w:i/>
                <w:iCs/>
                <w:sz w:val="22"/>
                <w:szCs w:val="22"/>
              </w:rPr>
              <w:t xml:space="preserve">III.C.1.d </w:t>
            </w:r>
            <w:r w:rsidR="004B295F" w:rsidRPr="00DF1E2F">
              <w:rPr>
                <w:rFonts w:ascii="Baskerville" w:hAnsi="Baskerville" w:cs="Baskerville"/>
                <w:sz w:val="22"/>
                <w:szCs w:val="22"/>
              </w:rPr>
              <w:t xml:space="preserve">The Commonwealth </w:t>
            </w:r>
            <w:r w:rsidR="00BB7A0B">
              <w:rPr>
                <w:rFonts w:ascii="Baskerville" w:hAnsi="Baskerville" w:cs="Baskerville"/>
                <w:sz w:val="22"/>
                <w:szCs w:val="22"/>
              </w:rPr>
              <w:t>has not implemented its plan to transition</w:t>
            </w:r>
            <w:r w:rsidR="004B295F" w:rsidRPr="00DF1E2F">
              <w:rPr>
                <w:rFonts w:ascii="Baskerville" w:hAnsi="Baskerville" w:cs="Baskerville"/>
                <w:sz w:val="22"/>
                <w:szCs w:val="22"/>
              </w:rPr>
              <w:t xml:space="preserve"> indi</w:t>
            </w:r>
            <w:r w:rsidR="004B295F">
              <w:rPr>
                <w:rFonts w:ascii="Baskerville" w:hAnsi="Baskerville" w:cs="Baskerville"/>
                <w:sz w:val="22"/>
                <w:szCs w:val="22"/>
              </w:rPr>
              <w:t>viduals under 22 years of age.</w:t>
            </w:r>
            <w:r w:rsidR="00FE7A77">
              <w:rPr>
                <w:rFonts w:ascii="Baskerville" w:hAnsi="Baskerville" w:cs="Baskerville"/>
                <w:sz w:val="22"/>
                <w:szCs w:val="22"/>
              </w:rPr>
              <w:t xml:space="preserve"> </w:t>
            </w:r>
            <w:r w:rsidR="0006639C">
              <w:rPr>
                <w:rFonts w:ascii="Baskerville" w:hAnsi="Baskerville" w:cs="Baskerville"/>
                <w:sz w:val="22"/>
                <w:szCs w:val="22"/>
              </w:rPr>
              <w:t>See comment below.</w:t>
            </w:r>
          </w:p>
        </w:tc>
      </w:tr>
      <w:tr w:rsidR="0083366F" w:rsidRPr="00DF1E2F" w:rsidTr="0094744A">
        <w:trPr>
          <w:trHeight w:val="566"/>
        </w:trPr>
        <w:tc>
          <w:tcPr>
            <w:tcW w:w="1530" w:type="dxa"/>
            <w:vAlign w:val="center"/>
          </w:tcPr>
          <w:p w:rsidR="0083366F" w:rsidRPr="00051716" w:rsidRDefault="0083366F" w:rsidP="00EF29FE">
            <w:pPr>
              <w:tabs>
                <w:tab w:val="left" w:pos="1440"/>
                <w:tab w:val="left" w:pos="4920"/>
                <w:tab w:val="right" w:pos="8640"/>
              </w:tabs>
              <w:ind w:left="-108" w:right="-108"/>
              <w:jc w:val="center"/>
              <w:rPr>
                <w:rFonts w:ascii="Baskerville" w:hAnsi="Baskerville" w:cs="Baskerville"/>
                <w:b/>
                <w:sz w:val="22"/>
                <w:szCs w:val="22"/>
                <w:u w:val="single"/>
              </w:rPr>
            </w:pPr>
            <w:r w:rsidRPr="00051716">
              <w:rPr>
                <w:rFonts w:ascii="Baskerville" w:hAnsi="Baskerville" w:cs="Baskerville"/>
                <w:b/>
                <w:sz w:val="22"/>
                <w:szCs w:val="22"/>
                <w:u w:val="single"/>
              </w:rPr>
              <w:t>III.C.1.c.i-iii.</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create a minimum of 450 waiver slots to prevent the institutionalization of individuals with developmental disabilities other than intellectual disabilities in the target population who are on the waitlist for a waiver, or to transition to the community individuals with developmental disabilities other than intellectual disabilities under 22 years of age from institutions other than the Training Centers (i.e., ICFs and nursing facilities). In State Fiscal Year 2014, 25 waiver slots, including 15 prioritized for individuals under 22 years of age residing in nursing homes and the largest ICFs</w:t>
            </w:r>
          </w:p>
        </w:tc>
        <w:tc>
          <w:tcPr>
            <w:tcW w:w="1440" w:type="dxa"/>
          </w:tcPr>
          <w:p w:rsidR="0026362F"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Compliance)</w:t>
            </w:r>
          </w:p>
          <w:p w:rsidR="00ED2F63" w:rsidRPr="0059724C" w:rsidRDefault="00ED2F63" w:rsidP="0026362F">
            <w:pPr>
              <w:tabs>
                <w:tab w:val="left" w:pos="1404"/>
                <w:tab w:val="left" w:pos="1440"/>
                <w:tab w:val="left" w:pos="4920"/>
                <w:tab w:val="right" w:pos="8640"/>
              </w:tabs>
              <w:ind w:left="-108" w:right="-108"/>
              <w:jc w:val="center"/>
              <w:rPr>
                <w:rFonts w:ascii="Baskerville" w:hAnsi="Baskerville" w:cs="Baskerville"/>
                <w:sz w:val="20"/>
                <w:szCs w:val="20"/>
              </w:rPr>
            </w:pPr>
          </w:p>
          <w:p w:rsidR="00224677" w:rsidRPr="00D36295" w:rsidRDefault="0098446B" w:rsidP="0098446B">
            <w:pPr>
              <w:tabs>
                <w:tab w:val="left" w:pos="1440"/>
                <w:tab w:val="left" w:pos="4920"/>
                <w:tab w:val="right" w:pos="8640"/>
              </w:tabs>
              <w:ind w:left="-108" w:right="-108"/>
              <w:jc w:val="center"/>
              <w:rPr>
                <w:rFonts w:ascii="Baskerville" w:hAnsi="Baskerville" w:cs="Baskerville"/>
                <w:sz w:val="22"/>
                <w:szCs w:val="22"/>
                <w:u w:val="single"/>
              </w:rPr>
            </w:pPr>
            <w:r w:rsidRPr="00D36295">
              <w:rPr>
                <w:rFonts w:ascii="Baskerville" w:hAnsi="Baskerville" w:cs="Baskerville"/>
                <w:sz w:val="22"/>
                <w:szCs w:val="22"/>
                <w:u w:val="single"/>
              </w:rPr>
              <w:t xml:space="preserve">Non </w:t>
            </w:r>
            <w:r w:rsidR="00224677" w:rsidRPr="00D36295">
              <w:rPr>
                <w:rFonts w:ascii="Baskerville" w:hAnsi="Baskerville" w:cs="Baskerville"/>
                <w:sz w:val="22"/>
                <w:szCs w:val="22"/>
                <w:u w:val="single"/>
              </w:rPr>
              <w:t>Compliance</w:t>
            </w:r>
          </w:p>
          <w:p w:rsidR="00941722" w:rsidRDefault="00941722" w:rsidP="00BE23E1">
            <w:pPr>
              <w:tabs>
                <w:tab w:val="left" w:pos="1440"/>
                <w:tab w:val="left" w:pos="4920"/>
                <w:tab w:val="right" w:pos="8640"/>
              </w:tabs>
              <w:ind w:left="-108" w:right="-108"/>
              <w:jc w:val="center"/>
              <w:rPr>
                <w:rFonts w:ascii="Baskerville" w:hAnsi="Baskerville" w:cs="Baskerville"/>
                <w:b/>
                <w:sz w:val="22"/>
                <w:szCs w:val="22"/>
              </w:rPr>
            </w:pPr>
          </w:p>
          <w:p w:rsidR="00BE23E1" w:rsidRPr="00DF1E2F" w:rsidRDefault="00BE23E1" w:rsidP="00BE23E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w:t>
            </w:r>
          </w:p>
          <w:p w:rsidR="00BE23E1" w:rsidRDefault="00BE23E1" w:rsidP="00BE23E1">
            <w:pPr>
              <w:tabs>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83366F">
            <w:pPr>
              <w:tabs>
                <w:tab w:val="left" w:pos="4920"/>
                <w:tab w:val="right" w:pos="8640"/>
              </w:tabs>
              <w:ind w:left="-108" w:right="-108"/>
              <w:jc w:val="center"/>
              <w:rPr>
                <w:rFonts w:ascii="Baskerville" w:hAnsi="Baskerville" w:cs="Baskerville"/>
                <w:sz w:val="22"/>
                <w:szCs w:val="22"/>
              </w:rPr>
            </w:pPr>
          </w:p>
          <w:p w:rsidR="0083366F" w:rsidRPr="00DF1E2F" w:rsidRDefault="0083366F" w:rsidP="0083366F">
            <w:pPr>
              <w:tabs>
                <w:tab w:val="left" w:pos="4920"/>
                <w:tab w:val="right" w:pos="8640"/>
              </w:tabs>
              <w:ind w:left="-108" w:right="-108"/>
              <w:jc w:val="center"/>
              <w:rPr>
                <w:rFonts w:ascii="Baskerville" w:hAnsi="Baskerville" w:cs="Baskerville"/>
                <w:sz w:val="22"/>
                <w:szCs w:val="22"/>
              </w:rPr>
            </w:pPr>
          </w:p>
          <w:p w:rsidR="0083366F" w:rsidRPr="00DF1E2F" w:rsidRDefault="0083366F" w:rsidP="0083366F">
            <w:pPr>
              <w:tabs>
                <w:tab w:val="left" w:pos="4920"/>
                <w:tab w:val="right" w:pos="8640"/>
              </w:tabs>
              <w:ind w:left="-108" w:right="-108"/>
              <w:jc w:val="center"/>
              <w:rPr>
                <w:rFonts w:ascii="Baskerville" w:hAnsi="Baskerville" w:cs="Baskerville"/>
                <w:sz w:val="22"/>
                <w:szCs w:val="22"/>
              </w:rPr>
            </w:pPr>
          </w:p>
          <w:p w:rsidR="0083366F" w:rsidRPr="00DF1E2F" w:rsidRDefault="0083366F" w:rsidP="009F390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83366F">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created</w:t>
            </w:r>
            <w:r>
              <w:rPr>
                <w:rFonts w:ascii="Baskerville" w:hAnsi="Baskerville" w:cs="Baskerville"/>
                <w:sz w:val="22"/>
                <w:szCs w:val="22"/>
              </w:rPr>
              <w:t xml:space="preserve"> 36</w:t>
            </w:r>
            <w:r w:rsidRPr="00DF1E2F">
              <w:rPr>
                <w:rFonts w:ascii="Baskerville" w:hAnsi="Baskerville" w:cs="Baskerville"/>
                <w:sz w:val="22"/>
                <w:szCs w:val="22"/>
              </w:rPr>
              <w:t>0 waiver slots between FY 2012 and FY 2</w:t>
            </w:r>
            <w:r>
              <w:rPr>
                <w:rFonts w:ascii="Baskerville" w:hAnsi="Baskerville" w:cs="Baskerville"/>
                <w:sz w:val="22"/>
                <w:szCs w:val="22"/>
              </w:rPr>
              <w:t>015 for individuals with DD, other than</w:t>
            </w:r>
            <w:r w:rsidRPr="00DF1E2F">
              <w:rPr>
                <w:rFonts w:ascii="Baskerville" w:hAnsi="Baskerville" w:cs="Baskerville"/>
                <w:sz w:val="22"/>
                <w:szCs w:val="22"/>
              </w:rPr>
              <w:t xml:space="preserve"> ID, and met the quantitative requirements of this provision.</w:t>
            </w:r>
            <w:r>
              <w:rPr>
                <w:rFonts w:ascii="Baskerville" w:hAnsi="Baskerville" w:cs="Baskerville"/>
                <w:sz w:val="22"/>
                <w:szCs w:val="22"/>
              </w:rPr>
              <w:t xml:space="preserve"> This exceeds by 135 the minimum required 225 waiver slots.</w:t>
            </w:r>
          </w:p>
          <w:p w:rsidR="004B295F" w:rsidRPr="00DF1E2F" w:rsidRDefault="004B295F" w:rsidP="004B295F">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The Commonwealth has not </w:t>
            </w:r>
          </w:p>
          <w:p w:rsidR="006C404A" w:rsidRPr="00DF1E2F" w:rsidRDefault="004B295F" w:rsidP="004B295F">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Implemented its plan to transition individuals under 22 years of age.</w:t>
            </w:r>
            <w:r w:rsidR="00753669">
              <w:rPr>
                <w:rFonts w:ascii="Baskerville" w:hAnsi="Baskerville" w:cs="Baskerville"/>
                <w:sz w:val="22"/>
                <w:szCs w:val="22"/>
              </w:rPr>
              <w:t xml:space="preserve"> It has prioritized</w:t>
            </w:r>
            <w:r w:rsidR="00CC67A2">
              <w:rPr>
                <w:rFonts w:ascii="Baskerville" w:hAnsi="Baskerville" w:cs="Baskerville"/>
                <w:sz w:val="22"/>
                <w:szCs w:val="22"/>
              </w:rPr>
              <w:t xml:space="preserve"> </w:t>
            </w:r>
            <w:r w:rsidR="0006639C">
              <w:rPr>
                <w:rFonts w:ascii="Baskerville" w:hAnsi="Baskerville" w:cs="Baskerville"/>
                <w:sz w:val="22"/>
                <w:szCs w:val="22"/>
              </w:rPr>
              <w:t>diverting new admissions</w:t>
            </w:r>
            <w:r w:rsidR="00753669">
              <w:rPr>
                <w:rFonts w:ascii="Baskerville" w:hAnsi="Baskerville" w:cs="Baskerville"/>
                <w:sz w:val="22"/>
                <w:szCs w:val="22"/>
              </w:rPr>
              <w:t xml:space="preserve"> to nursing homes</w:t>
            </w:r>
            <w:r w:rsidR="00CC67A2">
              <w:rPr>
                <w:rFonts w:ascii="Baskerville" w:hAnsi="Baskerville" w:cs="Baskerville"/>
                <w:sz w:val="22"/>
                <w:szCs w:val="22"/>
              </w:rPr>
              <w:t>.</w:t>
            </w:r>
          </w:p>
        </w:tc>
      </w:tr>
      <w:tr w:rsidR="0083366F" w:rsidRPr="00DF1E2F" w:rsidTr="0094744A">
        <w:trPr>
          <w:trHeight w:val="3140"/>
        </w:trPr>
        <w:tc>
          <w:tcPr>
            <w:tcW w:w="1530" w:type="dxa"/>
            <w:vAlign w:val="center"/>
          </w:tcPr>
          <w:p w:rsidR="0083366F" w:rsidRPr="001D5973" w:rsidRDefault="0083366F" w:rsidP="00EF29FE">
            <w:pPr>
              <w:tabs>
                <w:tab w:val="left" w:pos="1440"/>
                <w:tab w:val="left" w:pos="4920"/>
                <w:tab w:val="right" w:pos="8640"/>
              </w:tabs>
              <w:ind w:left="-108" w:right="-108"/>
              <w:jc w:val="center"/>
              <w:rPr>
                <w:rFonts w:ascii="Baskerville" w:hAnsi="Baskerville" w:cs="Baskerville"/>
                <w:b/>
                <w:sz w:val="22"/>
                <w:szCs w:val="22"/>
                <w:u w:val="single"/>
              </w:rPr>
            </w:pPr>
            <w:r w:rsidRPr="001D5973">
              <w:rPr>
                <w:rFonts w:ascii="Baskerville" w:hAnsi="Baskerville" w:cs="Baskerville"/>
                <w:b/>
                <w:sz w:val="22"/>
                <w:szCs w:val="22"/>
                <w:u w:val="single"/>
              </w:rPr>
              <w:t>III.C.2.a-b</w:t>
            </w:r>
          </w:p>
        </w:tc>
        <w:tc>
          <w:tcPr>
            <w:tcW w:w="4320" w:type="dxa"/>
          </w:tcPr>
          <w:p w:rsidR="0083366F" w:rsidRPr="001D5973" w:rsidRDefault="0083366F" w:rsidP="004B279A">
            <w:pPr>
              <w:tabs>
                <w:tab w:val="left" w:pos="4920"/>
                <w:tab w:val="right" w:pos="8640"/>
              </w:tabs>
              <w:ind w:right="72"/>
              <w:rPr>
                <w:rFonts w:ascii="Baskerville" w:hAnsi="Baskerville" w:cs="Baskerville"/>
                <w:sz w:val="22"/>
                <w:szCs w:val="22"/>
              </w:rPr>
            </w:pPr>
            <w:r w:rsidRPr="001D5973">
              <w:rPr>
                <w:rFonts w:ascii="Baskerville" w:hAnsi="Baskerville" w:cs="Baskerville"/>
                <w:sz w:val="22"/>
                <w:szCs w:val="22"/>
              </w:rPr>
              <w:t>The Commonwealth shall create an individual and family support program for individuals with ID/DD whom the Commonwealth determines to be the most at risk of institutionalization. In the State Fiscal Year 2015, a minimum of 1000 individuals supported.</w:t>
            </w:r>
          </w:p>
        </w:tc>
        <w:tc>
          <w:tcPr>
            <w:tcW w:w="1440" w:type="dxa"/>
          </w:tcPr>
          <w:p w:rsid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ED2F63" w:rsidRDefault="00ED2F63" w:rsidP="0000799C">
            <w:pPr>
              <w:tabs>
                <w:tab w:val="left" w:pos="1692"/>
                <w:tab w:val="left" w:pos="4920"/>
                <w:tab w:val="right" w:pos="8640"/>
              </w:tabs>
              <w:ind w:left="-108" w:right="-108"/>
              <w:jc w:val="center"/>
              <w:rPr>
                <w:rFonts w:ascii="Baskerville" w:hAnsi="Baskerville" w:cs="Baskerville"/>
                <w:sz w:val="20"/>
                <w:szCs w:val="20"/>
              </w:rPr>
            </w:pPr>
          </w:p>
          <w:p w:rsidR="0098446B" w:rsidRPr="00D36295" w:rsidRDefault="0098446B" w:rsidP="0000799C">
            <w:pPr>
              <w:tabs>
                <w:tab w:val="left" w:pos="1692"/>
                <w:tab w:val="left" w:pos="4920"/>
                <w:tab w:val="right" w:pos="8640"/>
              </w:tabs>
              <w:ind w:left="-108" w:right="-108"/>
              <w:jc w:val="center"/>
              <w:rPr>
                <w:rFonts w:ascii="Baskerville" w:hAnsi="Baskerville" w:cs="Baskerville"/>
                <w:sz w:val="20"/>
                <w:szCs w:val="20"/>
                <w:u w:val="single"/>
              </w:rPr>
            </w:pPr>
            <w:r w:rsidRPr="00D36295">
              <w:rPr>
                <w:rFonts w:ascii="Baskerville" w:hAnsi="Baskerville" w:cs="Baskerville"/>
                <w:sz w:val="20"/>
                <w:szCs w:val="20"/>
                <w:u w:val="single"/>
              </w:rPr>
              <w:t>Compliance</w:t>
            </w:r>
          </w:p>
          <w:p w:rsidR="0083366F" w:rsidRPr="001D5973" w:rsidRDefault="0083366F" w:rsidP="009F3908">
            <w:pPr>
              <w:tabs>
                <w:tab w:val="left" w:pos="1440"/>
                <w:tab w:val="left" w:pos="4920"/>
                <w:tab w:val="right" w:pos="8640"/>
              </w:tabs>
              <w:ind w:left="-108" w:right="-108"/>
              <w:jc w:val="center"/>
              <w:rPr>
                <w:rFonts w:ascii="Baskerville" w:hAnsi="Baskerville" w:cs="Baskerville"/>
                <w:b/>
                <w:sz w:val="22"/>
                <w:szCs w:val="22"/>
              </w:rPr>
            </w:pPr>
          </w:p>
          <w:p w:rsidR="0083366F" w:rsidRPr="001D5973" w:rsidRDefault="0083366F" w:rsidP="009F3908">
            <w:pPr>
              <w:tabs>
                <w:tab w:val="left" w:pos="1440"/>
                <w:tab w:val="left" w:pos="4920"/>
                <w:tab w:val="right" w:pos="8640"/>
              </w:tabs>
              <w:ind w:left="-108" w:right="-108"/>
              <w:jc w:val="center"/>
              <w:rPr>
                <w:rFonts w:ascii="Baskerville" w:hAnsi="Baskerville" w:cs="Baskerville"/>
                <w:b/>
                <w:sz w:val="22"/>
                <w:szCs w:val="22"/>
              </w:rPr>
            </w:pPr>
          </w:p>
          <w:p w:rsidR="0098446B" w:rsidRDefault="0098446B" w:rsidP="009F3908">
            <w:pPr>
              <w:tabs>
                <w:tab w:val="left" w:pos="1440"/>
                <w:tab w:val="left" w:pos="4920"/>
                <w:tab w:val="right" w:pos="8640"/>
              </w:tabs>
              <w:ind w:left="-108" w:right="-108"/>
              <w:jc w:val="center"/>
              <w:rPr>
                <w:rFonts w:ascii="Baskerville" w:hAnsi="Baskerville" w:cs="Baskerville"/>
                <w:sz w:val="22"/>
                <w:szCs w:val="22"/>
              </w:rPr>
            </w:pPr>
          </w:p>
          <w:p w:rsidR="006C7B08" w:rsidRPr="001D5973" w:rsidRDefault="006C7B08" w:rsidP="009F3908">
            <w:pPr>
              <w:tabs>
                <w:tab w:val="left" w:pos="1440"/>
                <w:tab w:val="left" w:pos="4920"/>
                <w:tab w:val="right" w:pos="8640"/>
              </w:tabs>
              <w:ind w:left="-108" w:right="-108"/>
              <w:jc w:val="center"/>
              <w:rPr>
                <w:rFonts w:ascii="Baskerville" w:hAnsi="Baskerville" w:cs="Baskerville"/>
                <w:sz w:val="22"/>
                <w:szCs w:val="22"/>
              </w:rPr>
            </w:pPr>
          </w:p>
          <w:p w:rsidR="00FA6DEA" w:rsidRPr="00DF1E2F" w:rsidRDefault="00FA6DEA" w:rsidP="00FA6DEA">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w:t>
            </w:r>
          </w:p>
          <w:p w:rsidR="00FA6DEA" w:rsidRDefault="00FA6DEA" w:rsidP="00FA6DEA">
            <w:pPr>
              <w:tabs>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1D5973" w:rsidRDefault="0083366F" w:rsidP="009F390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6C404A" w:rsidRPr="001D5973" w:rsidRDefault="0083366F" w:rsidP="00971497">
            <w:pPr>
              <w:tabs>
                <w:tab w:val="left" w:pos="1440"/>
                <w:tab w:val="left" w:pos="4920"/>
                <w:tab w:val="right" w:pos="8640"/>
              </w:tabs>
              <w:rPr>
                <w:rFonts w:ascii="Baskerville" w:hAnsi="Baskerville" w:cs="Baskerville"/>
                <w:sz w:val="22"/>
                <w:szCs w:val="22"/>
              </w:rPr>
            </w:pPr>
            <w:r w:rsidRPr="001D5973">
              <w:rPr>
                <w:rFonts w:ascii="Baskerville" w:hAnsi="Baskerville" w:cs="Baskerville"/>
                <w:sz w:val="22"/>
                <w:szCs w:val="22"/>
              </w:rPr>
              <w:t>The Commonwealth met the quantitative requirement by supporti</w:t>
            </w:r>
            <w:r w:rsidR="004C3617" w:rsidRPr="001D5973">
              <w:rPr>
                <w:rFonts w:ascii="Baskerville" w:hAnsi="Baskerville" w:cs="Baskerville"/>
                <w:sz w:val="22"/>
                <w:szCs w:val="22"/>
              </w:rPr>
              <w:t>ng 1294 i</w:t>
            </w:r>
            <w:r w:rsidR="000D3362" w:rsidRPr="001D5973">
              <w:rPr>
                <w:rFonts w:ascii="Baskerville" w:hAnsi="Baskerville" w:cs="Baskerville"/>
                <w:sz w:val="22"/>
                <w:szCs w:val="22"/>
              </w:rPr>
              <w:t xml:space="preserve">ndividuals in FY 2014 and 600 in the first of two </w:t>
            </w:r>
            <w:r w:rsidR="00B2437F" w:rsidRPr="001D5973">
              <w:rPr>
                <w:rFonts w:ascii="Baskerville" w:hAnsi="Baskerville" w:cs="Baskerville"/>
                <w:sz w:val="22"/>
                <w:szCs w:val="22"/>
              </w:rPr>
              <w:t xml:space="preserve">equal funding </w:t>
            </w:r>
            <w:r w:rsidR="000D3362" w:rsidRPr="001D5973">
              <w:rPr>
                <w:rFonts w:ascii="Baskerville" w:hAnsi="Baskerville" w:cs="Baskerville"/>
                <w:sz w:val="22"/>
                <w:szCs w:val="22"/>
              </w:rPr>
              <w:t>cycles in FY 15</w:t>
            </w:r>
            <w:r w:rsidR="004C3617" w:rsidRPr="001D5973">
              <w:rPr>
                <w:rFonts w:ascii="Baskerville" w:hAnsi="Baskerville" w:cs="Baskerville"/>
                <w:sz w:val="22"/>
                <w:szCs w:val="22"/>
              </w:rPr>
              <w:t>.</w:t>
            </w:r>
            <w:r w:rsidR="000D3362" w:rsidRPr="001D5973">
              <w:rPr>
                <w:rFonts w:ascii="Baskerville" w:hAnsi="Baskerville" w:cs="Baskerville"/>
                <w:sz w:val="22"/>
                <w:szCs w:val="22"/>
              </w:rPr>
              <w:t xml:space="preserve"> </w:t>
            </w:r>
            <w:r w:rsidR="00FA6DEA">
              <w:rPr>
                <w:rFonts w:ascii="Baskerville" w:hAnsi="Baskerville" w:cs="Baskerville"/>
                <w:sz w:val="22"/>
                <w:szCs w:val="22"/>
              </w:rPr>
              <w:t xml:space="preserve">The individual and family support program </w:t>
            </w:r>
            <w:r w:rsidR="00EA4592" w:rsidRPr="001D5973">
              <w:rPr>
                <w:rFonts w:ascii="Baskerville" w:hAnsi="Baskerville" w:cs="Baskerville"/>
                <w:sz w:val="22"/>
                <w:szCs w:val="22"/>
              </w:rPr>
              <w:t xml:space="preserve">does not include </w:t>
            </w:r>
            <w:r w:rsidR="00C82A52">
              <w:rPr>
                <w:rFonts w:ascii="Baskerville" w:hAnsi="Baskerville" w:cs="Baskerville"/>
                <w:sz w:val="22"/>
                <w:szCs w:val="22"/>
              </w:rPr>
              <w:t xml:space="preserve">a </w:t>
            </w:r>
            <w:r w:rsidR="009427D9">
              <w:rPr>
                <w:rFonts w:ascii="Baskerville" w:hAnsi="Baskerville" w:cs="Baskerville"/>
                <w:sz w:val="22"/>
                <w:szCs w:val="22"/>
              </w:rPr>
              <w:t>comprehensive and coordinated set of strategies,</w:t>
            </w:r>
            <w:r w:rsidR="00EA4592" w:rsidRPr="001D5973">
              <w:rPr>
                <w:rFonts w:ascii="Baskerville" w:hAnsi="Baskerville" w:cs="Baskerville"/>
                <w:sz w:val="22"/>
                <w:szCs w:val="22"/>
              </w:rPr>
              <w:t xml:space="preserve"> </w:t>
            </w:r>
            <w:r w:rsidR="00F50008" w:rsidRPr="001D5973">
              <w:rPr>
                <w:rFonts w:ascii="Baskerville" w:hAnsi="Baskerville" w:cs="Baskerville"/>
                <w:sz w:val="22"/>
                <w:szCs w:val="22"/>
              </w:rPr>
              <w:t>as required by</w:t>
            </w:r>
            <w:r w:rsidR="0065497C" w:rsidRPr="001D5973">
              <w:rPr>
                <w:rFonts w:ascii="Baskerville" w:hAnsi="Baskerville" w:cs="Baskerville"/>
                <w:sz w:val="22"/>
                <w:szCs w:val="22"/>
              </w:rPr>
              <w:t xml:space="preserve"> the </w:t>
            </w:r>
            <w:r w:rsidR="00564235" w:rsidRPr="001D5973">
              <w:rPr>
                <w:rFonts w:ascii="Baskerville" w:hAnsi="Baskerville" w:cs="Baskerville"/>
                <w:sz w:val="22"/>
                <w:szCs w:val="22"/>
              </w:rPr>
              <w:t>program</w:t>
            </w:r>
            <w:r w:rsidR="00253070">
              <w:rPr>
                <w:rFonts w:ascii="Baskerville" w:hAnsi="Baskerville" w:cs="Baskerville"/>
                <w:sz w:val="22"/>
                <w:szCs w:val="22"/>
              </w:rPr>
              <w:t>’s</w:t>
            </w:r>
            <w:r w:rsidR="00564235" w:rsidRPr="001D5973">
              <w:rPr>
                <w:rFonts w:ascii="Baskerville" w:hAnsi="Baskerville" w:cs="Baskerville"/>
                <w:sz w:val="22"/>
                <w:szCs w:val="22"/>
              </w:rPr>
              <w:t xml:space="preserve"> </w:t>
            </w:r>
            <w:r w:rsidR="0065497C" w:rsidRPr="001D5973">
              <w:rPr>
                <w:rFonts w:ascii="Baskerville" w:hAnsi="Baskerville" w:cs="Baskerville"/>
                <w:sz w:val="22"/>
                <w:szCs w:val="22"/>
              </w:rPr>
              <w:t>definition</w:t>
            </w:r>
            <w:r w:rsidR="009427D9">
              <w:rPr>
                <w:rFonts w:ascii="Baskerville" w:hAnsi="Baskerville" w:cs="Baskerville"/>
                <w:sz w:val="22"/>
                <w:szCs w:val="22"/>
              </w:rPr>
              <w:t xml:space="preserve"> in Section II.D.</w:t>
            </w:r>
            <w:r w:rsidR="00F50008" w:rsidRPr="001D5973">
              <w:rPr>
                <w:rFonts w:ascii="Baskerville" w:hAnsi="Baskerville" w:cs="Baskerville"/>
                <w:sz w:val="22"/>
                <w:szCs w:val="22"/>
              </w:rPr>
              <w:t xml:space="preserve"> </w:t>
            </w:r>
          </w:p>
        </w:tc>
      </w:tr>
      <w:tr w:rsidR="0083366F" w:rsidRPr="00DF1E2F" w:rsidTr="0094744A">
        <w:trPr>
          <w:trHeight w:val="1610"/>
        </w:trPr>
        <w:tc>
          <w:tcPr>
            <w:tcW w:w="1530" w:type="dxa"/>
            <w:vAlign w:val="center"/>
          </w:tcPr>
          <w:p w:rsidR="0083366F" w:rsidRPr="001D5973" w:rsidRDefault="0083366F" w:rsidP="00EF29FE">
            <w:pPr>
              <w:tabs>
                <w:tab w:val="left" w:pos="1440"/>
                <w:tab w:val="left" w:pos="4920"/>
                <w:tab w:val="right" w:pos="8640"/>
              </w:tabs>
              <w:ind w:left="-108" w:right="-108"/>
              <w:jc w:val="center"/>
              <w:rPr>
                <w:rFonts w:ascii="Baskerville" w:hAnsi="Baskerville" w:cs="Baskerville"/>
                <w:b/>
                <w:sz w:val="22"/>
                <w:szCs w:val="22"/>
                <w:u w:val="single"/>
              </w:rPr>
            </w:pPr>
            <w:r w:rsidRPr="001D5973">
              <w:rPr>
                <w:rFonts w:ascii="Baskerville" w:hAnsi="Baskerville" w:cs="Baskerville"/>
                <w:b/>
                <w:sz w:val="22"/>
                <w:szCs w:val="22"/>
                <w:u w:val="single"/>
              </w:rPr>
              <w:t>III.C.5.a</w:t>
            </w:r>
          </w:p>
        </w:tc>
        <w:tc>
          <w:tcPr>
            <w:tcW w:w="4320" w:type="dxa"/>
          </w:tcPr>
          <w:p w:rsidR="0083366F" w:rsidRPr="001D5973" w:rsidRDefault="0083366F" w:rsidP="004B279A">
            <w:pPr>
              <w:tabs>
                <w:tab w:val="left" w:pos="4920"/>
                <w:tab w:val="right" w:pos="8640"/>
              </w:tabs>
              <w:ind w:right="72"/>
              <w:rPr>
                <w:rFonts w:ascii="Baskerville" w:hAnsi="Baskerville" w:cs="Baskerville"/>
                <w:sz w:val="22"/>
                <w:szCs w:val="22"/>
              </w:rPr>
            </w:pPr>
            <w:r w:rsidRPr="001D5973">
              <w:rPr>
                <w:rFonts w:ascii="Baskerville" w:hAnsi="Baskerville" w:cs="Baskerville"/>
                <w:sz w:val="22"/>
                <w:szCs w:val="22"/>
              </w:rPr>
              <w:t>The Commonwealth shall ensure that individuals receiving HCBS waiver services under this Agreement receive case management.</w:t>
            </w:r>
          </w:p>
        </w:tc>
        <w:tc>
          <w:tcPr>
            <w:tcW w:w="1440" w:type="dxa"/>
          </w:tcPr>
          <w:p w:rsid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ED2F63" w:rsidRDefault="00ED2F63" w:rsidP="0000799C">
            <w:pPr>
              <w:tabs>
                <w:tab w:val="left" w:pos="1692"/>
                <w:tab w:val="left" w:pos="4920"/>
                <w:tab w:val="right" w:pos="8640"/>
              </w:tabs>
              <w:ind w:left="-108" w:right="-108"/>
              <w:jc w:val="center"/>
              <w:rPr>
                <w:rFonts w:ascii="Baskerville" w:hAnsi="Baskerville" w:cs="Baskerville"/>
                <w:sz w:val="20"/>
                <w:szCs w:val="20"/>
              </w:rPr>
            </w:pPr>
          </w:p>
          <w:p w:rsidR="0004613C" w:rsidRPr="00D36295" w:rsidRDefault="0004613C" w:rsidP="0004613C">
            <w:pPr>
              <w:tabs>
                <w:tab w:val="left" w:pos="4920"/>
                <w:tab w:val="right" w:pos="8640"/>
              </w:tabs>
              <w:ind w:left="-108" w:right="-108"/>
              <w:jc w:val="center"/>
              <w:rPr>
                <w:rFonts w:ascii="Baskerville" w:hAnsi="Baskerville" w:cs="Baskerville"/>
                <w:sz w:val="22"/>
                <w:szCs w:val="22"/>
                <w:u w:val="single"/>
              </w:rPr>
            </w:pPr>
            <w:r w:rsidRPr="00D36295">
              <w:rPr>
                <w:rFonts w:ascii="Baskerville" w:hAnsi="Baskerville" w:cs="Baskerville"/>
                <w:sz w:val="22"/>
                <w:szCs w:val="22"/>
                <w:u w:val="single"/>
              </w:rPr>
              <w:t>Compliance</w:t>
            </w:r>
          </w:p>
          <w:p w:rsidR="00B53AC3" w:rsidRPr="001D5973" w:rsidRDefault="00B53AC3" w:rsidP="007C07CE">
            <w:pPr>
              <w:tabs>
                <w:tab w:val="left" w:pos="1790"/>
                <w:tab w:val="left" w:pos="4920"/>
                <w:tab w:val="right" w:pos="8640"/>
              </w:tabs>
              <w:ind w:left="-100" w:right="-108"/>
              <w:jc w:val="center"/>
              <w:rPr>
                <w:rFonts w:ascii="Baskerville" w:hAnsi="Baskerville" w:cs="Baskerville"/>
                <w:b/>
                <w:sz w:val="22"/>
                <w:szCs w:val="22"/>
              </w:rPr>
            </w:pPr>
          </w:p>
          <w:p w:rsidR="00B53AC3" w:rsidRDefault="00B53AC3" w:rsidP="00B53AC3">
            <w:pPr>
              <w:tabs>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1D5973" w:rsidRDefault="0083366F" w:rsidP="00710D83">
            <w:pPr>
              <w:tabs>
                <w:tab w:val="left" w:pos="1790"/>
                <w:tab w:val="left" w:pos="4920"/>
                <w:tab w:val="right" w:pos="8640"/>
              </w:tabs>
              <w:ind w:left="-100" w:right="-108"/>
              <w:jc w:val="center"/>
              <w:rPr>
                <w:rFonts w:ascii="Baskerville" w:hAnsi="Baskerville" w:cs="Baskerville"/>
                <w:b/>
                <w:sz w:val="22"/>
                <w:szCs w:val="22"/>
              </w:rPr>
            </w:pPr>
          </w:p>
        </w:tc>
        <w:tc>
          <w:tcPr>
            <w:tcW w:w="2880" w:type="dxa"/>
          </w:tcPr>
          <w:p w:rsidR="0083366F" w:rsidRPr="001D5973" w:rsidRDefault="0083366F" w:rsidP="007F0B91">
            <w:pPr>
              <w:tabs>
                <w:tab w:val="left" w:pos="1440"/>
                <w:tab w:val="left" w:pos="4920"/>
                <w:tab w:val="right" w:pos="8640"/>
              </w:tabs>
              <w:ind w:right="72"/>
              <w:rPr>
                <w:rFonts w:ascii="Baskerville" w:hAnsi="Baskerville" w:cs="Baskerville"/>
                <w:sz w:val="22"/>
                <w:szCs w:val="22"/>
              </w:rPr>
            </w:pPr>
            <w:r w:rsidRPr="001D5973">
              <w:rPr>
                <w:rFonts w:ascii="Baskerville" w:hAnsi="Baskerville" w:cs="Baskerville"/>
                <w:sz w:val="22"/>
                <w:szCs w:val="22"/>
              </w:rPr>
              <w:t></w:t>
            </w:r>
            <w:r w:rsidR="001A3DF2" w:rsidRPr="001D5973">
              <w:rPr>
                <w:rFonts w:ascii="Baskerville" w:hAnsi="Baskerville" w:cs="Baskerville"/>
                <w:sz w:val="22"/>
                <w:szCs w:val="22"/>
              </w:rPr>
              <w:t xml:space="preserve"> 80</w:t>
            </w:r>
            <w:r w:rsidRPr="001D5973">
              <w:rPr>
                <w:rFonts w:ascii="Baskerville" w:hAnsi="Baskerville" w:cs="Baskerville"/>
                <w:sz w:val="22"/>
                <w:szCs w:val="22"/>
              </w:rPr>
              <w:t xml:space="preserve"> (100%) of the individ</w:t>
            </w:r>
            <w:r w:rsidR="001A3DF2" w:rsidRPr="001D5973">
              <w:rPr>
                <w:rFonts w:ascii="Baskerville" w:hAnsi="Baskerville" w:cs="Baskerville"/>
                <w:sz w:val="22"/>
                <w:szCs w:val="22"/>
              </w:rPr>
              <w:t xml:space="preserve">uals studied </w:t>
            </w:r>
            <w:r w:rsidRPr="001D5973">
              <w:rPr>
                <w:rFonts w:ascii="Baskerville" w:hAnsi="Baskerville" w:cs="Baskerville"/>
                <w:sz w:val="22"/>
                <w:szCs w:val="22"/>
              </w:rPr>
              <w:t xml:space="preserve">were receiving case management. </w:t>
            </w:r>
          </w:p>
          <w:p w:rsidR="0083366F" w:rsidRPr="001D5973" w:rsidRDefault="0083366F" w:rsidP="00CF480E">
            <w:pPr>
              <w:tabs>
                <w:tab w:val="left" w:pos="1440"/>
                <w:tab w:val="left" w:pos="4920"/>
                <w:tab w:val="right" w:pos="8640"/>
              </w:tabs>
              <w:ind w:right="72"/>
              <w:rPr>
                <w:rFonts w:ascii="Baskerville" w:hAnsi="Baskerville" w:cs="Baskerville"/>
                <w:sz w:val="22"/>
                <w:szCs w:val="22"/>
              </w:rPr>
            </w:pPr>
            <w:r w:rsidRPr="001D5973">
              <w:rPr>
                <w:rFonts w:ascii="Baskerville" w:hAnsi="Baskerville" w:cs="Baskerville"/>
                <w:sz w:val="22"/>
                <w:szCs w:val="22"/>
              </w:rPr>
              <w:t></w:t>
            </w:r>
            <w:r w:rsidR="00FE706D" w:rsidRPr="001D5973">
              <w:rPr>
                <w:rFonts w:ascii="Baskerville" w:hAnsi="Baskerville" w:cs="Baskerville"/>
                <w:sz w:val="22"/>
                <w:szCs w:val="22"/>
              </w:rPr>
              <w:t xml:space="preserve"> 78 (97.5</w:t>
            </w:r>
            <w:r w:rsidR="001A3DF2" w:rsidRPr="001D5973">
              <w:rPr>
                <w:rFonts w:ascii="Baskerville" w:hAnsi="Baskerville" w:cs="Baskerville"/>
                <w:sz w:val="22"/>
                <w:szCs w:val="22"/>
              </w:rPr>
              <w:t xml:space="preserve">%) of </w:t>
            </w:r>
            <w:r w:rsidR="006C404A">
              <w:rPr>
                <w:rFonts w:ascii="Baskerville" w:hAnsi="Baskerville" w:cs="Baskerville"/>
                <w:sz w:val="22"/>
                <w:szCs w:val="22"/>
              </w:rPr>
              <w:t xml:space="preserve">the </w:t>
            </w:r>
            <w:r w:rsidR="001A3DF2" w:rsidRPr="001D5973">
              <w:rPr>
                <w:rFonts w:ascii="Baskerville" w:hAnsi="Baskerville" w:cs="Baskerville"/>
                <w:sz w:val="22"/>
                <w:szCs w:val="22"/>
              </w:rPr>
              <w:t>80</w:t>
            </w:r>
            <w:r w:rsidRPr="001D5973">
              <w:rPr>
                <w:rFonts w:ascii="Baskerville" w:hAnsi="Baskerville" w:cs="Baskerville"/>
                <w:sz w:val="22"/>
                <w:szCs w:val="22"/>
              </w:rPr>
              <w:t xml:space="preserve"> </w:t>
            </w:r>
            <w:r w:rsidR="006C404A">
              <w:rPr>
                <w:rFonts w:ascii="Baskerville" w:hAnsi="Baskerville" w:cs="Baskerville"/>
                <w:sz w:val="22"/>
                <w:szCs w:val="22"/>
              </w:rPr>
              <w:t xml:space="preserve">studied </w:t>
            </w:r>
            <w:r w:rsidRPr="001D5973">
              <w:rPr>
                <w:rFonts w:ascii="Baskerville" w:hAnsi="Baskerville" w:cs="Baskerville"/>
                <w:sz w:val="22"/>
                <w:szCs w:val="22"/>
              </w:rPr>
              <w:t>had current I</w:t>
            </w:r>
            <w:r w:rsidR="00CF480E">
              <w:rPr>
                <w:rFonts w:ascii="Baskerville" w:hAnsi="Baskerville" w:cs="Baskerville"/>
                <w:sz w:val="22"/>
                <w:szCs w:val="22"/>
              </w:rPr>
              <w:t>ndividual Support Plans</w:t>
            </w:r>
          </w:p>
        </w:tc>
      </w:tr>
      <w:tr w:rsidR="0083366F" w:rsidRPr="00DF1E2F" w:rsidTr="0094744A">
        <w:trPr>
          <w:trHeight w:val="539"/>
        </w:trPr>
        <w:tc>
          <w:tcPr>
            <w:tcW w:w="1530" w:type="dxa"/>
            <w:vAlign w:val="center"/>
          </w:tcPr>
          <w:p w:rsidR="0083366F" w:rsidRPr="00DF1E2F" w:rsidRDefault="0083366F" w:rsidP="00EF29F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III.C.5.b.</w:t>
            </w:r>
          </w:p>
        </w:tc>
        <w:tc>
          <w:tcPr>
            <w:tcW w:w="4320" w:type="dxa"/>
          </w:tcPr>
          <w:p w:rsidR="0083366F" w:rsidRPr="00DF1E2F" w:rsidRDefault="0083366F" w:rsidP="00E5199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For the purpose of this agreement, case management shall mean: </w:t>
            </w:r>
          </w:p>
        </w:tc>
        <w:tc>
          <w:tcPr>
            <w:tcW w:w="1440" w:type="dxa"/>
          </w:tcPr>
          <w:p w:rsidR="0083366F" w:rsidRPr="00DF1E2F" w:rsidRDefault="0083366F" w:rsidP="003C092E">
            <w:pPr>
              <w:tabs>
                <w:tab w:val="left" w:pos="1404"/>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4B279A">
            <w:pPr>
              <w:tabs>
                <w:tab w:val="left" w:pos="1440"/>
                <w:tab w:val="left" w:pos="4920"/>
                <w:tab w:val="right" w:pos="8640"/>
              </w:tabs>
              <w:ind w:right="270"/>
              <w:rPr>
                <w:rFonts w:ascii="Baskerville" w:hAnsi="Baskerville" w:cs="Baskerville"/>
                <w:sz w:val="22"/>
                <w:szCs w:val="22"/>
              </w:rPr>
            </w:pPr>
          </w:p>
        </w:tc>
      </w:tr>
      <w:tr w:rsidR="0083366F" w:rsidRPr="00DF1E2F" w:rsidTr="0094744A">
        <w:trPr>
          <w:trHeight w:val="3311"/>
        </w:trPr>
        <w:tc>
          <w:tcPr>
            <w:tcW w:w="1530" w:type="dxa"/>
            <w:vAlign w:val="center"/>
          </w:tcPr>
          <w:p w:rsidR="0083366F" w:rsidRPr="00DF1E2F" w:rsidRDefault="0083366F" w:rsidP="00EF29F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III.C.5.b.i.</w:t>
            </w:r>
          </w:p>
        </w:tc>
        <w:tc>
          <w:tcPr>
            <w:tcW w:w="4320" w:type="dxa"/>
          </w:tcPr>
          <w:p w:rsidR="0083366F" w:rsidRPr="00DF1E2F" w:rsidRDefault="0083366F" w:rsidP="002816AF">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Assembling professionals and nonprofessionals who provide individualized supports, as well as the individual being served and other persons important to the individual being served, who, through their combined expertise and involvement, develop Individual Support Plans (“ISP”) that are individualized, person-centered, and meet the individual’s needs.  </w:t>
            </w:r>
          </w:p>
        </w:tc>
        <w:tc>
          <w:tcPr>
            <w:tcW w:w="1440" w:type="dxa"/>
          </w:tcPr>
          <w:p w:rsidR="0026362F"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w:t>
            </w:r>
            <w:r w:rsidR="00D07647">
              <w:rPr>
                <w:rFonts w:ascii="Baskerville" w:hAnsi="Baskerville" w:cs="Baskerville"/>
                <w:sz w:val="20"/>
                <w:szCs w:val="20"/>
              </w:rPr>
              <w:t xml:space="preserve"> C</w:t>
            </w:r>
            <w:r w:rsidRPr="0059724C">
              <w:rPr>
                <w:rFonts w:ascii="Baskerville" w:hAnsi="Baskerville" w:cs="Baskerville"/>
                <w:sz w:val="20"/>
                <w:szCs w:val="20"/>
              </w:rPr>
              <w:t>ompliance)</w:t>
            </w:r>
          </w:p>
          <w:p w:rsidR="00D07647" w:rsidRDefault="00D07647" w:rsidP="0026362F">
            <w:pPr>
              <w:tabs>
                <w:tab w:val="left" w:pos="1404"/>
                <w:tab w:val="left" w:pos="1440"/>
                <w:tab w:val="left" w:pos="4920"/>
                <w:tab w:val="right" w:pos="8640"/>
              </w:tabs>
              <w:ind w:left="-108" w:right="-108"/>
              <w:jc w:val="center"/>
              <w:rPr>
                <w:rFonts w:ascii="Baskerville" w:hAnsi="Baskerville" w:cs="Baskerville"/>
                <w:sz w:val="20"/>
                <w:szCs w:val="20"/>
              </w:rPr>
            </w:pPr>
          </w:p>
          <w:p w:rsidR="00D07647" w:rsidRPr="00D36295" w:rsidRDefault="00D07647" w:rsidP="00D07647">
            <w:pPr>
              <w:tabs>
                <w:tab w:val="left" w:pos="1440"/>
                <w:tab w:val="left" w:pos="4920"/>
                <w:tab w:val="right" w:pos="8640"/>
              </w:tabs>
              <w:ind w:left="-108" w:right="-108"/>
              <w:jc w:val="center"/>
              <w:rPr>
                <w:rFonts w:ascii="Baskerville" w:hAnsi="Baskerville" w:cs="Baskerville"/>
                <w:sz w:val="22"/>
                <w:szCs w:val="22"/>
                <w:u w:val="single"/>
              </w:rPr>
            </w:pPr>
            <w:r w:rsidRPr="00D36295">
              <w:rPr>
                <w:rFonts w:ascii="Baskerville" w:hAnsi="Baskerville" w:cs="Baskerville"/>
                <w:sz w:val="22"/>
                <w:szCs w:val="22"/>
                <w:u w:val="single"/>
              </w:rPr>
              <w:t>Non Compliance</w:t>
            </w:r>
          </w:p>
          <w:p w:rsidR="00D07647" w:rsidRPr="0059724C" w:rsidRDefault="00D07647" w:rsidP="0026362F">
            <w:pPr>
              <w:tabs>
                <w:tab w:val="left" w:pos="1404"/>
                <w:tab w:val="left" w:pos="1440"/>
                <w:tab w:val="left" w:pos="4920"/>
                <w:tab w:val="right" w:pos="8640"/>
              </w:tabs>
              <w:ind w:left="-108" w:right="-108"/>
              <w:jc w:val="center"/>
              <w:rPr>
                <w:rFonts w:ascii="Baskerville" w:hAnsi="Baskerville" w:cs="Baskerville"/>
                <w:sz w:val="20"/>
                <w:szCs w:val="20"/>
              </w:rPr>
            </w:pPr>
          </w:p>
          <w:p w:rsidR="0083366F" w:rsidRPr="00DF1E2F" w:rsidRDefault="0083366F" w:rsidP="00615346">
            <w:pPr>
              <w:tabs>
                <w:tab w:val="left" w:pos="1440"/>
                <w:tab w:val="left" w:pos="4920"/>
                <w:tab w:val="right" w:pos="8640"/>
              </w:tabs>
              <w:ind w:left="-108" w:right="-108"/>
              <w:jc w:val="center"/>
              <w:rPr>
                <w:rFonts w:ascii="Baskerville" w:hAnsi="Baskerville" w:cs="Baskerville"/>
                <w:sz w:val="22"/>
                <w:szCs w:val="22"/>
              </w:rPr>
            </w:pPr>
          </w:p>
          <w:p w:rsidR="001D2A36" w:rsidRPr="00DF1E2F" w:rsidRDefault="001D2A36" w:rsidP="009904E3">
            <w:pPr>
              <w:tabs>
                <w:tab w:val="left" w:pos="1440"/>
                <w:tab w:val="left" w:pos="4920"/>
                <w:tab w:val="right" w:pos="8640"/>
              </w:tabs>
              <w:ind w:left="-108" w:right="-108"/>
              <w:jc w:val="center"/>
              <w:rPr>
                <w:rFonts w:ascii="Baskerville" w:hAnsi="Baskerville" w:cs="Baskerville"/>
                <w:b/>
                <w:sz w:val="22"/>
                <w:szCs w:val="22"/>
              </w:rPr>
            </w:pPr>
          </w:p>
          <w:p w:rsidR="0083366F" w:rsidRDefault="0083366F" w:rsidP="009904E3">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 Compliance</w:t>
            </w:r>
          </w:p>
          <w:p w:rsidR="0083366F" w:rsidRPr="00DF1E2F" w:rsidRDefault="0083366F" w:rsidP="009904E3">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9904E3">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9904E3">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61534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1534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943E72" w:rsidRDefault="000D37AA" w:rsidP="00480945">
            <w:pPr>
              <w:tabs>
                <w:tab w:val="left" w:pos="1440"/>
                <w:tab w:val="left" w:pos="4920"/>
                <w:tab w:val="right" w:pos="8640"/>
              </w:tabs>
              <w:ind w:right="-108"/>
              <w:rPr>
                <w:rFonts w:ascii="Baskerville" w:hAnsi="Baskerville" w:cs="Baskerville"/>
                <w:sz w:val="22"/>
                <w:szCs w:val="22"/>
              </w:rPr>
            </w:pPr>
            <w:r w:rsidRPr="001D5973">
              <w:rPr>
                <w:rFonts w:ascii="Baskerville" w:hAnsi="Baskerville" w:cs="Baskerville"/>
                <w:sz w:val="22"/>
                <w:szCs w:val="22"/>
              </w:rPr>
              <w:t xml:space="preserve"> </w:t>
            </w:r>
            <w:r w:rsidR="00CF480E">
              <w:rPr>
                <w:rFonts w:ascii="Baskerville" w:hAnsi="Baskerville" w:cs="Baskerville"/>
                <w:sz w:val="22"/>
                <w:szCs w:val="22"/>
              </w:rPr>
              <w:t xml:space="preserve">For </w:t>
            </w:r>
            <w:r>
              <w:rPr>
                <w:rFonts w:ascii="Baskerville" w:hAnsi="Baskerville" w:cs="Baskerville"/>
                <w:sz w:val="22"/>
                <w:szCs w:val="22"/>
              </w:rPr>
              <w:t xml:space="preserve">3 (12%) of </w:t>
            </w:r>
            <w:r w:rsidR="006C404A">
              <w:rPr>
                <w:rFonts w:ascii="Baskerville" w:hAnsi="Baskerville" w:cs="Baskerville"/>
                <w:sz w:val="22"/>
                <w:szCs w:val="22"/>
              </w:rPr>
              <w:t xml:space="preserve">24 </w:t>
            </w:r>
            <w:r w:rsidR="00097763">
              <w:rPr>
                <w:rFonts w:ascii="Baskerville" w:hAnsi="Baskerville" w:cs="Baskerville"/>
                <w:sz w:val="22"/>
                <w:szCs w:val="22"/>
              </w:rPr>
              <w:t xml:space="preserve">individuals studied </w:t>
            </w:r>
            <w:r w:rsidR="006C7E8B">
              <w:rPr>
                <w:rFonts w:ascii="Baskerville" w:hAnsi="Baskerville" w:cs="Baskerville"/>
                <w:sz w:val="22"/>
                <w:szCs w:val="22"/>
              </w:rPr>
              <w:t>eviden</w:t>
            </w:r>
            <w:r w:rsidR="001B3385">
              <w:rPr>
                <w:rFonts w:ascii="Baskerville" w:hAnsi="Baskerville" w:cs="Baskerville"/>
                <w:sz w:val="22"/>
                <w:szCs w:val="22"/>
              </w:rPr>
              <w:t>c</w:t>
            </w:r>
            <w:r w:rsidR="00785EC1">
              <w:rPr>
                <w:rFonts w:ascii="Baskerville" w:hAnsi="Baskerville" w:cs="Baskerville"/>
                <w:sz w:val="22"/>
                <w:szCs w:val="22"/>
              </w:rPr>
              <w:t>e of actual or potential harm</w:t>
            </w:r>
            <w:r w:rsidR="00943E72">
              <w:rPr>
                <w:rFonts w:ascii="Baskerville" w:hAnsi="Baskerville" w:cs="Baskerville"/>
                <w:sz w:val="22"/>
                <w:szCs w:val="22"/>
              </w:rPr>
              <w:t xml:space="preserve"> was found</w:t>
            </w:r>
            <w:r w:rsidR="00785EC1">
              <w:rPr>
                <w:rFonts w:ascii="Baskerville" w:hAnsi="Baskerville" w:cs="Baskerville"/>
                <w:sz w:val="22"/>
                <w:szCs w:val="22"/>
              </w:rPr>
              <w:t xml:space="preserve">. </w:t>
            </w:r>
          </w:p>
          <w:p w:rsidR="00943E72" w:rsidRDefault="00943E72" w:rsidP="00480945">
            <w:pPr>
              <w:tabs>
                <w:tab w:val="left" w:pos="1440"/>
                <w:tab w:val="left" w:pos="4920"/>
                <w:tab w:val="right" w:pos="8640"/>
              </w:tabs>
              <w:ind w:right="-108"/>
              <w:rPr>
                <w:rFonts w:ascii="Baskerville" w:hAnsi="Baskerville" w:cs="Baskerville"/>
                <w:sz w:val="22"/>
                <w:szCs w:val="22"/>
              </w:rPr>
            </w:pPr>
            <w:r w:rsidRPr="001D5973">
              <w:rPr>
                <w:rFonts w:ascii="Baskerville" w:hAnsi="Baskerville" w:cs="Baskerville"/>
                <w:sz w:val="22"/>
                <w:szCs w:val="22"/>
              </w:rPr>
              <w:t xml:space="preserve"> </w:t>
            </w:r>
            <w:r w:rsidR="00785EC1">
              <w:rPr>
                <w:rFonts w:ascii="Baskerville" w:hAnsi="Baskerville" w:cs="Baskerville"/>
                <w:sz w:val="22"/>
                <w:szCs w:val="22"/>
              </w:rPr>
              <w:t>F</w:t>
            </w:r>
            <w:r w:rsidR="00BD3C95">
              <w:rPr>
                <w:rFonts w:ascii="Baskerville" w:hAnsi="Baskerville" w:cs="Baskerville"/>
                <w:sz w:val="22"/>
                <w:szCs w:val="22"/>
              </w:rPr>
              <w:t xml:space="preserve">or </w:t>
            </w:r>
            <w:r>
              <w:rPr>
                <w:rFonts w:ascii="Baskerville" w:hAnsi="Baskerville" w:cs="Baskerville"/>
                <w:sz w:val="22"/>
                <w:szCs w:val="22"/>
              </w:rPr>
              <w:t xml:space="preserve">9 (60%) of 15 </w:t>
            </w:r>
            <w:r w:rsidR="004A2869">
              <w:rPr>
                <w:rFonts w:ascii="Baskerville" w:hAnsi="Baskerville" w:cs="Baskerville"/>
                <w:sz w:val="22"/>
                <w:szCs w:val="22"/>
              </w:rPr>
              <w:t>individuals</w:t>
            </w:r>
            <w:r w:rsidR="005E058F">
              <w:rPr>
                <w:rFonts w:ascii="Baskerville" w:hAnsi="Baskerville" w:cs="Baskerville"/>
                <w:sz w:val="22"/>
                <w:szCs w:val="22"/>
              </w:rPr>
              <w:t>,</w:t>
            </w:r>
            <w:r w:rsidR="004A2869">
              <w:rPr>
                <w:rFonts w:ascii="Baskerville" w:hAnsi="Baskerville" w:cs="Baskerville"/>
                <w:sz w:val="22"/>
                <w:szCs w:val="22"/>
              </w:rPr>
              <w:t xml:space="preserve"> employment goals were not developed or discussed</w:t>
            </w:r>
            <w:r w:rsidR="00BC2815">
              <w:rPr>
                <w:rFonts w:ascii="Baskerville" w:hAnsi="Baskerville" w:cs="Baskerville"/>
                <w:sz w:val="22"/>
                <w:szCs w:val="22"/>
              </w:rPr>
              <w:t xml:space="preserve">.  </w:t>
            </w:r>
          </w:p>
          <w:p w:rsidR="00487A62" w:rsidRPr="003C01A5" w:rsidRDefault="00560ED1" w:rsidP="003A0E1B">
            <w:pPr>
              <w:tabs>
                <w:tab w:val="left" w:pos="1440"/>
                <w:tab w:val="left" w:pos="4920"/>
                <w:tab w:val="right" w:pos="8640"/>
              </w:tabs>
              <w:ind w:right="-108"/>
              <w:rPr>
                <w:rFonts w:ascii="Baskerville" w:hAnsi="Baskerville" w:cs="Baskerville"/>
                <w:sz w:val="22"/>
                <w:szCs w:val="22"/>
              </w:rPr>
            </w:pPr>
            <w:r w:rsidRPr="001D5973">
              <w:rPr>
                <w:rFonts w:ascii="Baskerville" w:hAnsi="Baskerville" w:cs="Baskerville"/>
                <w:sz w:val="22"/>
                <w:szCs w:val="22"/>
              </w:rPr>
              <w:t xml:space="preserve"> </w:t>
            </w:r>
            <w:r>
              <w:rPr>
                <w:rFonts w:ascii="Baskerville" w:hAnsi="Baskerville" w:cs="Baskerville"/>
                <w:sz w:val="22"/>
                <w:szCs w:val="22"/>
              </w:rPr>
              <w:t xml:space="preserve">For </w:t>
            </w:r>
            <w:r w:rsidR="006403E2">
              <w:rPr>
                <w:rFonts w:ascii="Baskerville" w:hAnsi="Baskerville" w:cs="Baskerville"/>
                <w:sz w:val="22"/>
                <w:szCs w:val="22"/>
              </w:rPr>
              <w:t xml:space="preserve">16 (64%) </w:t>
            </w:r>
            <w:r>
              <w:rPr>
                <w:rFonts w:ascii="Baskerville" w:hAnsi="Baskerville" w:cs="Baskerville"/>
                <w:sz w:val="22"/>
                <w:szCs w:val="22"/>
              </w:rPr>
              <w:t xml:space="preserve">of 25 </w:t>
            </w:r>
            <w:r w:rsidR="006403E2">
              <w:rPr>
                <w:rFonts w:ascii="Baskerville" w:hAnsi="Baskerville" w:cs="Baskerville"/>
                <w:sz w:val="22"/>
                <w:szCs w:val="22"/>
              </w:rPr>
              <w:t>individuals</w:t>
            </w:r>
            <w:r w:rsidR="005E058F">
              <w:rPr>
                <w:rFonts w:ascii="Baskerville" w:hAnsi="Baskerville" w:cs="Baskerville"/>
                <w:sz w:val="22"/>
                <w:szCs w:val="22"/>
              </w:rPr>
              <w:t>,</w:t>
            </w:r>
            <w:r w:rsidR="003A6A7C" w:rsidRPr="006403E2">
              <w:rPr>
                <w:rFonts w:ascii="Baskerville" w:hAnsi="Baskerville" w:cs="Baskerville"/>
                <w:sz w:val="22"/>
                <w:szCs w:val="22"/>
              </w:rPr>
              <w:t xml:space="preserve"> the ISPs did not include activities that lead to skill development or</w:t>
            </w:r>
            <w:r w:rsidR="00B04EF5" w:rsidRPr="006403E2">
              <w:rPr>
                <w:rFonts w:ascii="Baskerville" w:hAnsi="Baskerville" w:cs="Baskerville"/>
                <w:sz w:val="22"/>
                <w:szCs w:val="22"/>
              </w:rPr>
              <w:t xml:space="preserve"> increased integration. </w:t>
            </w:r>
          </w:p>
        </w:tc>
      </w:tr>
      <w:tr w:rsidR="0083366F" w:rsidRPr="00DF1E2F" w:rsidTr="0094744A">
        <w:trPr>
          <w:trHeight w:val="386"/>
        </w:trPr>
        <w:tc>
          <w:tcPr>
            <w:tcW w:w="1530" w:type="dxa"/>
            <w:vAlign w:val="center"/>
          </w:tcPr>
          <w:p w:rsidR="0083366F" w:rsidRPr="00DF1E2F" w:rsidRDefault="0083366F" w:rsidP="00F256AF">
            <w:pPr>
              <w:tabs>
                <w:tab w:val="left" w:pos="1440"/>
                <w:tab w:val="left" w:pos="4920"/>
                <w:tab w:val="right" w:pos="8640"/>
              </w:tabs>
              <w:ind w:right="-108"/>
              <w:jc w:val="center"/>
              <w:rPr>
                <w:rFonts w:ascii="Baskerville" w:hAnsi="Baskerville" w:cs="Baskerville"/>
                <w:b/>
                <w:sz w:val="22"/>
                <w:szCs w:val="22"/>
              </w:rPr>
            </w:pPr>
            <w:r w:rsidRPr="00DF1E2F">
              <w:rPr>
                <w:rFonts w:ascii="Baskerville" w:hAnsi="Baskerville" w:cs="Baskerville"/>
                <w:b/>
                <w:sz w:val="22"/>
                <w:szCs w:val="22"/>
              </w:rPr>
              <w:t>III.C.5.b.ii</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Assisting the individual to gain access to needed medical, social, education, transportation, housing, nutritional, therapeutic, behavioral, psychiatric, nursing, personal care, respite, and other services identified in the ISP.</w:t>
            </w:r>
          </w:p>
          <w:p w:rsidR="0083366F" w:rsidRPr="00DF1E2F" w:rsidRDefault="0083366F" w:rsidP="004B279A">
            <w:pPr>
              <w:tabs>
                <w:tab w:val="left" w:pos="4920"/>
                <w:tab w:val="right" w:pos="8640"/>
              </w:tabs>
              <w:ind w:right="72"/>
              <w:rPr>
                <w:rFonts w:ascii="Baskerville" w:hAnsi="Baskerville" w:cs="Baskerville"/>
                <w:sz w:val="22"/>
                <w:szCs w:val="22"/>
              </w:rPr>
            </w:pPr>
          </w:p>
        </w:tc>
        <w:tc>
          <w:tcPr>
            <w:tcW w:w="1440" w:type="dxa"/>
          </w:tcPr>
          <w:p w:rsidR="0026362F"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 Compliance)</w:t>
            </w:r>
          </w:p>
          <w:p w:rsidR="00273AF2" w:rsidRDefault="00273AF2" w:rsidP="0026362F">
            <w:pPr>
              <w:tabs>
                <w:tab w:val="left" w:pos="1404"/>
                <w:tab w:val="left" w:pos="1440"/>
                <w:tab w:val="left" w:pos="4920"/>
                <w:tab w:val="right" w:pos="8640"/>
              </w:tabs>
              <w:ind w:left="-108" w:right="-108"/>
              <w:jc w:val="center"/>
              <w:rPr>
                <w:rFonts w:ascii="Baskerville" w:hAnsi="Baskerville" w:cs="Baskerville"/>
                <w:sz w:val="20"/>
                <w:szCs w:val="20"/>
              </w:rPr>
            </w:pPr>
          </w:p>
          <w:p w:rsidR="00273AF2" w:rsidRPr="00312B42" w:rsidRDefault="00273AF2" w:rsidP="00273AF2">
            <w:pPr>
              <w:tabs>
                <w:tab w:val="left" w:pos="1440"/>
                <w:tab w:val="left" w:pos="4920"/>
                <w:tab w:val="right" w:pos="8640"/>
              </w:tabs>
              <w:ind w:left="-108" w:right="-108"/>
              <w:jc w:val="center"/>
              <w:rPr>
                <w:rFonts w:ascii="Baskerville" w:hAnsi="Baskerville" w:cs="Baskerville"/>
                <w:sz w:val="22"/>
                <w:szCs w:val="22"/>
                <w:u w:val="single"/>
              </w:rPr>
            </w:pPr>
            <w:r w:rsidRPr="00312B42">
              <w:rPr>
                <w:rFonts w:ascii="Baskerville" w:hAnsi="Baskerville" w:cs="Baskerville"/>
                <w:sz w:val="22"/>
                <w:szCs w:val="22"/>
                <w:u w:val="single"/>
              </w:rPr>
              <w:t xml:space="preserve">Non </w:t>
            </w:r>
            <w:r w:rsidR="003C072E" w:rsidRPr="00312B42">
              <w:rPr>
                <w:rFonts w:ascii="Baskerville" w:hAnsi="Baskerville" w:cs="Baskerville"/>
                <w:sz w:val="22"/>
                <w:szCs w:val="22"/>
                <w:u w:val="single"/>
              </w:rPr>
              <w:t>C</w:t>
            </w:r>
            <w:r w:rsidRPr="00312B42">
              <w:rPr>
                <w:rFonts w:ascii="Baskerville" w:hAnsi="Baskerville" w:cs="Baskerville"/>
                <w:sz w:val="22"/>
                <w:szCs w:val="22"/>
                <w:u w:val="single"/>
              </w:rPr>
              <w:t>ompliance</w:t>
            </w:r>
          </w:p>
          <w:p w:rsidR="001D2A36" w:rsidRDefault="001D2A36" w:rsidP="00AD5E9D">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AD5E9D">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w:t>
            </w:r>
          </w:p>
          <w:p w:rsidR="0083366F" w:rsidRPr="00DF1E2F" w:rsidRDefault="0083366F" w:rsidP="001D479A">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1D479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1534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6E6515" w:rsidRDefault="00263F65" w:rsidP="005E058F">
            <w:pPr>
              <w:rPr>
                <w:rFonts w:ascii="Baskerville" w:hAnsi="Baskerville" w:cs="Baskerville"/>
                <w:color w:val="000000"/>
                <w:sz w:val="22"/>
                <w:szCs w:val="22"/>
              </w:rPr>
            </w:pPr>
            <w:r>
              <w:rPr>
                <w:rFonts w:ascii="Baskerville" w:hAnsi="Baskerville" w:cs="Baskerville"/>
                <w:color w:val="000000"/>
                <w:sz w:val="22"/>
                <w:szCs w:val="22"/>
              </w:rPr>
              <w:t xml:space="preserve">See answers immediately above. In addition </w:t>
            </w:r>
          </w:p>
          <w:p w:rsidR="006E6515" w:rsidRDefault="006E6515" w:rsidP="005E058F">
            <w:pPr>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 </w:t>
            </w:r>
            <w:r>
              <w:rPr>
                <w:rFonts w:ascii="Baskerville" w:hAnsi="Baskerville" w:cs="Baskerville"/>
                <w:color w:val="000000"/>
                <w:sz w:val="22"/>
                <w:szCs w:val="22"/>
              </w:rPr>
              <w:t>4 (40%) of 10</w:t>
            </w:r>
            <w:r w:rsidR="00263F65">
              <w:rPr>
                <w:rFonts w:ascii="Baskerville" w:hAnsi="Baskerville" w:cs="Baskerville"/>
                <w:color w:val="000000"/>
                <w:sz w:val="22"/>
                <w:szCs w:val="22"/>
              </w:rPr>
              <w:t xml:space="preserve"> individuals </w:t>
            </w:r>
            <w:r w:rsidR="00480945" w:rsidRPr="00DE3002">
              <w:rPr>
                <w:rFonts w:ascii="Baskerville" w:hAnsi="Baskerville" w:cs="Baskerville"/>
                <w:sz w:val="22"/>
                <w:szCs w:val="22"/>
              </w:rPr>
              <w:t>were not receiving needed communication/ assistive technology.</w:t>
            </w:r>
            <w:r w:rsidR="005C1C60" w:rsidRPr="00DE3002">
              <w:rPr>
                <w:rFonts w:ascii="Baskerville" w:hAnsi="Baskerville" w:cs="Baskerville"/>
                <w:sz w:val="22"/>
                <w:szCs w:val="22"/>
              </w:rPr>
              <w:t xml:space="preserve"> </w:t>
            </w:r>
          </w:p>
          <w:p w:rsidR="0051380A" w:rsidRPr="0051380A" w:rsidRDefault="006E6515" w:rsidP="005E058F">
            <w:pPr>
              <w:rPr>
                <w:rFonts w:ascii="Baskerville" w:hAnsi="Baskerville" w:cs="Baskerville"/>
                <w:i/>
                <w:sz w:val="22"/>
                <w:szCs w:val="22"/>
              </w:rPr>
            </w:pPr>
            <w:r w:rsidRPr="001D5973">
              <w:rPr>
                <w:rFonts w:ascii="Baskerville" w:hAnsi="Baskerville" w:cs="Baskerville"/>
                <w:sz w:val="22"/>
                <w:szCs w:val="22"/>
              </w:rPr>
              <w:t></w:t>
            </w:r>
            <w:r>
              <w:rPr>
                <w:rFonts w:ascii="Baskerville" w:hAnsi="Baskerville" w:cs="Baskerville"/>
                <w:sz w:val="22"/>
                <w:szCs w:val="22"/>
              </w:rPr>
              <w:t xml:space="preserve"> 8</w:t>
            </w:r>
            <w:r w:rsidR="001D3AB6" w:rsidRPr="00DE3002">
              <w:rPr>
                <w:rFonts w:ascii="Baskerville" w:hAnsi="Baskerville" w:cs="Baskerville"/>
                <w:sz w:val="22"/>
                <w:szCs w:val="22"/>
              </w:rPr>
              <w:t xml:space="preserve"> (33.3%)</w:t>
            </w:r>
            <w:r>
              <w:rPr>
                <w:rFonts w:ascii="Baskerville" w:hAnsi="Baskerville" w:cs="Baskerville"/>
                <w:sz w:val="22"/>
                <w:szCs w:val="22"/>
              </w:rPr>
              <w:t xml:space="preserve"> of 24</w:t>
            </w:r>
            <w:r w:rsidR="00DE3002" w:rsidRPr="00DE3002">
              <w:rPr>
                <w:rFonts w:ascii="Baskerville" w:hAnsi="Baskerville" w:cs="Baskerville"/>
                <w:sz w:val="22"/>
                <w:szCs w:val="22"/>
              </w:rPr>
              <w:t xml:space="preserve"> were not receiving </w:t>
            </w:r>
            <w:r w:rsidR="001D3AB6" w:rsidRPr="00DE3002">
              <w:rPr>
                <w:rFonts w:ascii="Baskerville" w:hAnsi="Baskerville" w:cs="Baskerville"/>
                <w:sz w:val="22"/>
                <w:szCs w:val="22"/>
              </w:rPr>
              <w:t xml:space="preserve">dental care. </w:t>
            </w:r>
          </w:p>
        </w:tc>
      </w:tr>
      <w:tr w:rsidR="0083366F" w:rsidRPr="00DF1E2F" w:rsidTr="0094744A">
        <w:trPr>
          <w:trHeight w:val="296"/>
        </w:trPr>
        <w:tc>
          <w:tcPr>
            <w:tcW w:w="1530" w:type="dxa"/>
            <w:vAlign w:val="center"/>
          </w:tcPr>
          <w:p w:rsidR="0083366F" w:rsidRPr="00DF1E2F" w:rsidRDefault="0083366F" w:rsidP="00C645FE">
            <w:pPr>
              <w:tabs>
                <w:tab w:val="left" w:pos="1440"/>
                <w:tab w:val="left" w:pos="4920"/>
                <w:tab w:val="right" w:pos="8640"/>
              </w:tabs>
              <w:ind w:right="-108"/>
              <w:jc w:val="center"/>
              <w:rPr>
                <w:rFonts w:ascii="Baskerville" w:hAnsi="Baskerville" w:cs="Baskerville"/>
                <w:b/>
                <w:sz w:val="22"/>
                <w:szCs w:val="22"/>
              </w:rPr>
            </w:pPr>
            <w:r w:rsidRPr="00DF1E2F">
              <w:rPr>
                <w:rFonts w:ascii="Baskerville" w:hAnsi="Baskerville" w:cs="Baskerville"/>
                <w:b/>
                <w:sz w:val="22"/>
                <w:szCs w:val="22"/>
              </w:rPr>
              <w:t>III.C.5.b.iii</w:t>
            </w:r>
          </w:p>
        </w:tc>
        <w:tc>
          <w:tcPr>
            <w:tcW w:w="4320" w:type="dxa"/>
          </w:tcPr>
          <w:p w:rsidR="0083366F" w:rsidRPr="00DF1E2F" w:rsidRDefault="0083366F" w:rsidP="002816AF">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Monitoring the ISP to make timely additional referrals, service changes, and amendments to the plans as needed.</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 Compliance)</w:t>
            </w:r>
          </w:p>
          <w:p w:rsidR="003C072E" w:rsidRPr="00AF01B2" w:rsidRDefault="003C072E" w:rsidP="00740BBE">
            <w:pPr>
              <w:tabs>
                <w:tab w:val="left" w:pos="1440"/>
                <w:tab w:val="left" w:pos="4920"/>
                <w:tab w:val="right" w:pos="8640"/>
              </w:tabs>
              <w:ind w:left="-108" w:right="-108"/>
              <w:jc w:val="center"/>
              <w:rPr>
                <w:rFonts w:ascii="Baskerville" w:hAnsi="Baskerville" w:cs="Baskerville"/>
                <w:b/>
                <w:sz w:val="22"/>
                <w:szCs w:val="22"/>
                <w:u w:val="single"/>
              </w:rPr>
            </w:pPr>
            <w:r w:rsidRPr="00AF01B2">
              <w:rPr>
                <w:rFonts w:ascii="Baskerville" w:hAnsi="Baskerville" w:cs="Baskerville"/>
                <w:sz w:val="22"/>
                <w:szCs w:val="22"/>
                <w:u w:val="single"/>
              </w:rPr>
              <w:t>Non Compliance</w:t>
            </w:r>
          </w:p>
          <w:p w:rsidR="0083366F" w:rsidRPr="00DF1E2F" w:rsidRDefault="0083366F" w:rsidP="00740BB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w:t>
            </w:r>
          </w:p>
          <w:p w:rsidR="0083366F" w:rsidRPr="00DF1E2F" w:rsidRDefault="0083366F" w:rsidP="009517A3">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tc>
        <w:tc>
          <w:tcPr>
            <w:tcW w:w="2880" w:type="dxa"/>
          </w:tcPr>
          <w:p w:rsidR="0083366F" w:rsidRPr="00DF1E2F" w:rsidRDefault="0097232A" w:rsidP="00097763">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See comments for the two provisions</w:t>
            </w:r>
            <w:r w:rsidR="006E6515">
              <w:rPr>
                <w:rFonts w:ascii="Baskerville" w:hAnsi="Baskerville" w:cs="Baskerville"/>
                <w:sz w:val="22"/>
                <w:szCs w:val="22"/>
              </w:rPr>
              <w:t xml:space="preserve"> directly above</w:t>
            </w:r>
            <w:r w:rsidR="00097763">
              <w:rPr>
                <w:rFonts w:ascii="Baskerville" w:hAnsi="Baskerville" w:cs="Baskerville"/>
                <w:sz w:val="22"/>
                <w:szCs w:val="22"/>
              </w:rPr>
              <w:t>.</w:t>
            </w:r>
          </w:p>
        </w:tc>
      </w:tr>
      <w:tr w:rsidR="0083366F" w:rsidRPr="00DF1E2F" w:rsidTr="0094744A">
        <w:trPr>
          <w:trHeight w:val="3284"/>
        </w:trPr>
        <w:tc>
          <w:tcPr>
            <w:tcW w:w="1530" w:type="dxa"/>
            <w:vAlign w:val="center"/>
          </w:tcPr>
          <w:p w:rsidR="0083366F" w:rsidRPr="00F817B7" w:rsidRDefault="0083366F" w:rsidP="00C645FE">
            <w:pPr>
              <w:tabs>
                <w:tab w:val="left" w:pos="1242"/>
                <w:tab w:val="left" w:pos="4920"/>
                <w:tab w:val="right" w:pos="8640"/>
              </w:tabs>
              <w:ind w:left="-108" w:right="-108"/>
              <w:jc w:val="center"/>
              <w:rPr>
                <w:rFonts w:ascii="Baskerville" w:hAnsi="Baskerville" w:cs="Baskerville"/>
                <w:b/>
                <w:sz w:val="22"/>
                <w:szCs w:val="22"/>
                <w:u w:val="single"/>
              </w:rPr>
            </w:pPr>
            <w:r w:rsidRPr="00F817B7">
              <w:rPr>
                <w:rFonts w:ascii="Baskerville" w:hAnsi="Baskerville" w:cs="Baskerville"/>
                <w:b/>
                <w:sz w:val="22"/>
                <w:szCs w:val="22"/>
                <w:u w:val="single"/>
              </w:rPr>
              <w:t>III.C.5.c</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Case management shall be provided to all individuals receiving HCBS waiver services under this Agreement by case managers who are not directly providing such services to the individual or supervising the provision of such services.  The Commonwealth shall include a provision in the Community Services Board (“CSB”) Performance Contract that requires CSB case managers to give individuals a choice of service providers from which the individual may receive approved waiver services and to present practicable options of service providers based on the preferences of the individual, including both CSB and non-CSB providers.</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Compliance)</w:t>
            </w:r>
          </w:p>
          <w:p w:rsidR="0083366F" w:rsidRPr="003C072E" w:rsidRDefault="0083366F" w:rsidP="002720EE">
            <w:pPr>
              <w:tabs>
                <w:tab w:val="left" w:pos="1440"/>
                <w:tab w:val="left" w:pos="4920"/>
                <w:tab w:val="right" w:pos="8640"/>
              </w:tabs>
              <w:ind w:left="-108" w:right="-108"/>
              <w:jc w:val="center"/>
              <w:rPr>
                <w:rFonts w:ascii="Baskerville" w:hAnsi="Baskerville" w:cs="Baskerville"/>
                <w:sz w:val="22"/>
                <w:szCs w:val="22"/>
              </w:rPr>
            </w:pPr>
          </w:p>
          <w:p w:rsidR="003C072E" w:rsidRPr="00AF01B2" w:rsidRDefault="00CA626C" w:rsidP="003C072E">
            <w:pPr>
              <w:tabs>
                <w:tab w:val="left" w:pos="1440"/>
                <w:tab w:val="left" w:pos="4920"/>
                <w:tab w:val="right" w:pos="8640"/>
              </w:tabs>
              <w:ind w:left="-108" w:right="-108"/>
              <w:jc w:val="center"/>
              <w:rPr>
                <w:rFonts w:ascii="Baskerville" w:hAnsi="Baskerville" w:cs="Baskerville"/>
                <w:sz w:val="22"/>
                <w:szCs w:val="22"/>
                <w:u w:val="single"/>
              </w:rPr>
            </w:pPr>
            <w:r w:rsidRPr="00AF01B2">
              <w:rPr>
                <w:rFonts w:ascii="Baskerville" w:hAnsi="Baskerville" w:cs="Baskerville"/>
                <w:sz w:val="22"/>
                <w:szCs w:val="22"/>
                <w:u w:val="single"/>
              </w:rPr>
              <w:t xml:space="preserve">Non </w:t>
            </w:r>
            <w:r w:rsidR="003C072E" w:rsidRPr="00AF01B2">
              <w:rPr>
                <w:rFonts w:ascii="Baskerville" w:hAnsi="Baskerville" w:cs="Baskerville"/>
                <w:sz w:val="22"/>
                <w:szCs w:val="22"/>
                <w:u w:val="single"/>
              </w:rPr>
              <w:t>Compliance</w:t>
            </w:r>
          </w:p>
          <w:p w:rsidR="0083366F" w:rsidRPr="00DF1E2F" w:rsidRDefault="0083366F" w:rsidP="002720EE">
            <w:pPr>
              <w:tabs>
                <w:tab w:val="left" w:pos="1440"/>
                <w:tab w:val="left" w:pos="4920"/>
                <w:tab w:val="right" w:pos="8640"/>
              </w:tabs>
              <w:ind w:left="-108" w:right="-108"/>
              <w:jc w:val="center"/>
              <w:rPr>
                <w:rFonts w:ascii="Baskerville" w:hAnsi="Baskerville" w:cs="Baskerville"/>
                <w:b/>
                <w:sz w:val="22"/>
                <w:szCs w:val="22"/>
              </w:rPr>
            </w:pPr>
          </w:p>
          <w:p w:rsidR="005B4FCA" w:rsidRDefault="005B4FCA" w:rsidP="002720EE">
            <w:pPr>
              <w:tabs>
                <w:tab w:val="left" w:pos="1440"/>
                <w:tab w:val="left" w:pos="4920"/>
                <w:tab w:val="right" w:pos="8640"/>
              </w:tabs>
              <w:ind w:left="-108" w:right="-108"/>
              <w:jc w:val="center"/>
              <w:rPr>
                <w:rFonts w:ascii="Baskerville" w:hAnsi="Baskerville" w:cs="Baskerville"/>
                <w:b/>
                <w:sz w:val="22"/>
                <w:szCs w:val="22"/>
              </w:rPr>
            </w:pPr>
          </w:p>
          <w:p w:rsidR="00DE0C55" w:rsidRDefault="00DE0C55" w:rsidP="002720EE">
            <w:pPr>
              <w:tabs>
                <w:tab w:val="left" w:pos="1440"/>
                <w:tab w:val="left" w:pos="4920"/>
                <w:tab w:val="right" w:pos="8640"/>
              </w:tabs>
              <w:ind w:left="-108" w:right="-108"/>
              <w:jc w:val="center"/>
              <w:rPr>
                <w:rFonts w:ascii="Baskerville" w:hAnsi="Baskerville" w:cs="Baskerville"/>
                <w:b/>
                <w:sz w:val="22"/>
                <w:szCs w:val="22"/>
              </w:rPr>
            </w:pPr>
          </w:p>
          <w:p w:rsidR="00A50F59" w:rsidRDefault="00A50F59" w:rsidP="002720EE">
            <w:pPr>
              <w:tabs>
                <w:tab w:val="left" w:pos="1440"/>
                <w:tab w:val="left" w:pos="4920"/>
                <w:tab w:val="right" w:pos="8640"/>
              </w:tabs>
              <w:ind w:left="-108" w:right="-108"/>
              <w:jc w:val="center"/>
              <w:rPr>
                <w:rFonts w:ascii="Baskerville" w:hAnsi="Baskerville" w:cs="Baskerville"/>
                <w:b/>
                <w:sz w:val="22"/>
                <w:szCs w:val="22"/>
              </w:rPr>
            </w:pPr>
          </w:p>
          <w:p w:rsidR="00A50F59" w:rsidRDefault="00A50F59" w:rsidP="002720EE">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017201" w:rsidP="002720EE">
            <w:pPr>
              <w:tabs>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Compliance</w:t>
            </w:r>
          </w:p>
          <w:p w:rsidR="0083366F" w:rsidRPr="00DF1E2F" w:rsidRDefault="0083366F" w:rsidP="002720EE">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2720EE">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2720EE">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A93D5C" w:rsidRDefault="00485FBE" w:rsidP="00811846">
            <w:pPr>
              <w:tabs>
                <w:tab w:val="left" w:pos="1440"/>
                <w:tab w:val="left" w:pos="4920"/>
                <w:tab w:val="right" w:pos="8640"/>
              </w:tabs>
              <w:ind w:right="-18"/>
              <w:rPr>
                <w:rFonts w:ascii="Baskerville" w:hAnsi="Baskerville" w:cs="Baskerville"/>
                <w:sz w:val="22"/>
                <w:szCs w:val="22"/>
              </w:rPr>
            </w:pPr>
            <w:r>
              <w:rPr>
                <w:rFonts w:ascii="Baskerville" w:hAnsi="Baskerville" w:cs="Baskerville"/>
                <w:sz w:val="22"/>
                <w:szCs w:val="22"/>
              </w:rPr>
              <w:t xml:space="preserve">The IR did </w:t>
            </w:r>
            <w:r w:rsidR="0083366F" w:rsidRPr="00A93D5C">
              <w:rPr>
                <w:rFonts w:ascii="Baskerville" w:hAnsi="Baskerville" w:cs="Baskerville"/>
                <w:sz w:val="22"/>
                <w:szCs w:val="22"/>
              </w:rPr>
              <w:t>no</w:t>
            </w:r>
            <w:r>
              <w:rPr>
                <w:rFonts w:ascii="Baskerville" w:hAnsi="Baskerville" w:cs="Baskerville"/>
                <w:sz w:val="22"/>
                <w:szCs w:val="22"/>
              </w:rPr>
              <w:t xml:space="preserve">t find evidence </w:t>
            </w:r>
            <w:r w:rsidR="0083366F" w:rsidRPr="00A93D5C">
              <w:rPr>
                <w:rFonts w:ascii="Baskerville" w:hAnsi="Baskerville" w:cs="Baskerville"/>
                <w:sz w:val="22"/>
                <w:szCs w:val="22"/>
              </w:rPr>
              <w:t xml:space="preserve">that case managers provided direct services, other than case management. </w:t>
            </w:r>
          </w:p>
          <w:p w:rsidR="0083366F" w:rsidRPr="00A93D5C" w:rsidRDefault="0083366F" w:rsidP="00811846">
            <w:pPr>
              <w:tabs>
                <w:tab w:val="left" w:pos="1440"/>
                <w:tab w:val="left" w:pos="4920"/>
                <w:tab w:val="right" w:pos="8640"/>
              </w:tabs>
              <w:ind w:right="-18"/>
              <w:rPr>
                <w:rFonts w:ascii="Baskerville" w:hAnsi="Baskerville" w:cs="Baskerville"/>
                <w:sz w:val="22"/>
                <w:szCs w:val="22"/>
              </w:rPr>
            </w:pPr>
            <w:r w:rsidRPr="00A93D5C">
              <w:rPr>
                <w:rFonts w:ascii="Baskerville" w:hAnsi="Baskerville" w:cs="Baskerville"/>
                <w:sz w:val="22"/>
                <w:szCs w:val="22"/>
              </w:rPr>
              <w:t xml:space="preserve">A provision is included in </w:t>
            </w:r>
            <w:r w:rsidR="005B4FCA" w:rsidRPr="00A93D5C">
              <w:rPr>
                <w:rFonts w:ascii="Baskerville" w:hAnsi="Baskerville" w:cs="Baskerville"/>
                <w:sz w:val="22"/>
                <w:szCs w:val="22"/>
              </w:rPr>
              <w:t xml:space="preserve">the “FY 2015 CSB </w:t>
            </w:r>
            <w:r w:rsidRPr="00A93D5C">
              <w:rPr>
                <w:rFonts w:ascii="Baskerville" w:hAnsi="Baskerville" w:cs="Baskerville"/>
                <w:sz w:val="22"/>
                <w:szCs w:val="22"/>
              </w:rPr>
              <w:t>Performance Contract” with the requirement to offer choice.</w:t>
            </w:r>
          </w:p>
          <w:p w:rsidR="0083366F" w:rsidRPr="00D7360D" w:rsidRDefault="00D7360D" w:rsidP="00811846">
            <w:pPr>
              <w:tabs>
                <w:tab w:val="left" w:pos="1440"/>
                <w:tab w:val="left" w:pos="4920"/>
                <w:tab w:val="right" w:pos="8640"/>
              </w:tabs>
              <w:ind w:right="-18"/>
              <w:rPr>
                <w:rFonts w:ascii="Baskerville" w:hAnsi="Baskerville" w:cs="Baskerville"/>
                <w:b/>
                <w:sz w:val="22"/>
                <w:szCs w:val="22"/>
              </w:rPr>
            </w:pPr>
            <w:r w:rsidRPr="00A93D5C">
              <w:rPr>
                <w:rFonts w:ascii="Baskerville" w:hAnsi="Baskerville" w:cs="Baskerville"/>
                <w:sz w:val="22"/>
                <w:szCs w:val="22"/>
              </w:rPr>
              <w:t>Eighty-one percent (81%)</w:t>
            </w:r>
            <w:r w:rsidR="004710B5" w:rsidRPr="00A93D5C">
              <w:rPr>
                <w:rFonts w:ascii="Baskerville" w:hAnsi="Baskerville" w:cs="Baskerville"/>
                <w:sz w:val="22"/>
                <w:szCs w:val="22"/>
              </w:rPr>
              <w:t xml:space="preserve"> of thirty-one individuals</w:t>
            </w:r>
            <w:r w:rsidR="005B4FCA" w:rsidRPr="00A93D5C">
              <w:rPr>
                <w:rFonts w:ascii="Baskerville" w:hAnsi="Baskerville" w:cs="Baskerville"/>
                <w:sz w:val="22"/>
                <w:szCs w:val="22"/>
              </w:rPr>
              <w:t xml:space="preserve"> </w:t>
            </w:r>
            <w:r w:rsidR="004710B5" w:rsidRPr="00A93D5C">
              <w:rPr>
                <w:rFonts w:ascii="Baskerville" w:hAnsi="Baskerville" w:cs="Baskerville"/>
                <w:sz w:val="22"/>
                <w:szCs w:val="22"/>
              </w:rPr>
              <w:t>/</w:t>
            </w:r>
            <w:r w:rsidR="00903604" w:rsidRPr="00A93D5C">
              <w:rPr>
                <w:rFonts w:ascii="Baskerville" w:hAnsi="Baskerville" w:cs="Baskerville"/>
                <w:sz w:val="22"/>
                <w:szCs w:val="22"/>
              </w:rPr>
              <w:t xml:space="preserve"> </w:t>
            </w:r>
            <w:r w:rsidR="004710B5" w:rsidRPr="00A93D5C">
              <w:rPr>
                <w:rFonts w:ascii="Baskerville" w:hAnsi="Baskerville" w:cs="Baskerville"/>
                <w:sz w:val="22"/>
                <w:szCs w:val="22"/>
              </w:rPr>
              <w:t xml:space="preserve">families </w:t>
            </w:r>
            <w:r w:rsidR="00903604" w:rsidRPr="00A93D5C">
              <w:rPr>
                <w:rFonts w:ascii="Baskerville" w:hAnsi="Baskerville" w:cs="Baskerville"/>
                <w:sz w:val="22"/>
                <w:szCs w:val="22"/>
              </w:rPr>
              <w:t>interviewed</w:t>
            </w:r>
            <w:r w:rsidRPr="00A93D5C">
              <w:rPr>
                <w:rFonts w:ascii="Baskerville" w:hAnsi="Baskerville" w:cs="Baskerville"/>
                <w:sz w:val="22"/>
                <w:szCs w:val="22"/>
              </w:rPr>
              <w:t xml:space="preserve"> knew that they had the choice of choosing /changing service providers, including the case manager.</w:t>
            </w:r>
          </w:p>
        </w:tc>
      </w:tr>
      <w:tr w:rsidR="0083366F" w:rsidRPr="00DF1E2F" w:rsidTr="0094744A">
        <w:trPr>
          <w:trHeight w:val="1286"/>
        </w:trPr>
        <w:tc>
          <w:tcPr>
            <w:tcW w:w="1530" w:type="dxa"/>
            <w:vAlign w:val="center"/>
          </w:tcPr>
          <w:p w:rsidR="0083366F" w:rsidRPr="00F817B7" w:rsidRDefault="0083366F" w:rsidP="000F3F63">
            <w:pPr>
              <w:tabs>
                <w:tab w:val="left" w:pos="1440"/>
                <w:tab w:val="left" w:pos="4920"/>
                <w:tab w:val="right" w:pos="8640"/>
              </w:tabs>
              <w:ind w:left="-108" w:right="-108"/>
              <w:jc w:val="center"/>
              <w:rPr>
                <w:rFonts w:ascii="Baskerville" w:hAnsi="Baskerville" w:cs="Baskerville"/>
                <w:b/>
                <w:sz w:val="22"/>
                <w:szCs w:val="22"/>
                <w:u w:val="single"/>
              </w:rPr>
            </w:pPr>
            <w:r w:rsidRPr="00F817B7">
              <w:rPr>
                <w:rFonts w:ascii="Baskerville" w:hAnsi="Baskerville" w:cs="Baskerville"/>
                <w:b/>
                <w:sz w:val="22"/>
                <w:szCs w:val="22"/>
                <w:u w:val="single"/>
              </w:rPr>
              <w:t>III.C.5.d</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establish a mechanism to monitor compliance with performance standards.</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w:t>
            </w:r>
            <w:r w:rsidR="00CA626C">
              <w:rPr>
                <w:rFonts w:ascii="Baskerville" w:hAnsi="Baskerville" w:cs="Baskerville"/>
                <w:sz w:val="20"/>
                <w:szCs w:val="20"/>
              </w:rPr>
              <w:t xml:space="preserve"> </w:t>
            </w:r>
            <w:r w:rsidRPr="0059724C">
              <w:rPr>
                <w:rFonts w:ascii="Baskerville" w:hAnsi="Baskerville" w:cs="Baskerville"/>
                <w:sz w:val="20"/>
                <w:szCs w:val="20"/>
              </w:rPr>
              <w:t>Compliance)</w:t>
            </w:r>
          </w:p>
          <w:p w:rsidR="00CA626C" w:rsidRPr="00AF01B2" w:rsidRDefault="008C1F6F" w:rsidP="0073297F">
            <w:pPr>
              <w:tabs>
                <w:tab w:val="left" w:pos="1314"/>
                <w:tab w:val="left" w:pos="1440"/>
                <w:tab w:val="left" w:pos="4920"/>
                <w:tab w:val="right" w:pos="8640"/>
              </w:tabs>
              <w:ind w:left="-108" w:right="-108"/>
              <w:jc w:val="center"/>
              <w:rPr>
                <w:rFonts w:ascii="Baskerville" w:hAnsi="Baskerville" w:cs="Baskerville"/>
                <w:b/>
                <w:sz w:val="22"/>
                <w:szCs w:val="22"/>
                <w:u w:val="single"/>
              </w:rPr>
            </w:pPr>
            <w:r w:rsidRPr="00AF01B2">
              <w:rPr>
                <w:rFonts w:ascii="Baskerville" w:hAnsi="Baskerville" w:cs="Baskerville"/>
                <w:sz w:val="22"/>
                <w:szCs w:val="22"/>
                <w:u w:val="single"/>
              </w:rPr>
              <w:t xml:space="preserve">Non </w:t>
            </w:r>
            <w:r w:rsidR="00CA626C" w:rsidRPr="00AF01B2">
              <w:rPr>
                <w:rFonts w:ascii="Baskerville" w:hAnsi="Baskerville" w:cs="Baskerville"/>
                <w:sz w:val="22"/>
                <w:szCs w:val="22"/>
                <w:u w:val="single"/>
              </w:rPr>
              <w:t>Compliance</w:t>
            </w:r>
          </w:p>
          <w:p w:rsidR="00D20ED7" w:rsidRDefault="00D20ED7" w:rsidP="0073297F">
            <w:pPr>
              <w:tabs>
                <w:tab w:val="left" w:pos="131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73297F">
            <w:pPr>
              <w:tabs>
                <w:tab w:val="left" w:pos="1314"/>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w:t>
            </w:r>
          </w:p>
          <w:p w:rsidR="0083366F" w:rsidRPr="00DF1E2F" w:rsidRDefault="0083366F" w:rsidP="00092713">
            <w:pPr>
              <w:tabs>
                <w:tab w:val="left" w:pos="1314"/>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tc>
        <w:tc>
          <w:tcPr>
            <w:tcW w:w="2880" w:type="dxa"/>
          </w:tcPr>
          <w:p w:rsidR="0083366F" w:rsidRPr="001B0A09" w:rsidRDefault="006E286D" w:rsidP="0085593E">
            <w:pPr>
              <w:tabs>
                <w:tab w:val="left" w:pos="1440"/>
                <w:tab w:val="left" w:pos="4920"/>
                <w:tab w:val="right" w:pos="8640"/>
              </w:tabs>
              <w:ind w:right="-18"/>
              <w:rPr>
                <w:rFonts w:ascii="Baskerville" w:hAnsi="Baskerville" w:cs="Baskerville"/>
                <w:sz w:val="22"/>
                <w:szCs w:val="22"/>
              </w:rPr>
            </w:pPr>
            <w:r>
              <w:rPr>
                <w:rFonts w:ascii="Baskerville" w:hAnsi="Baskerville" w:cs="Baskerville"/>
                <w:sz w:val="22"/>
                <w:szCs w:val="22"/>
              </w:rPr>
              <w:t xml:space="preserve">The DBHDS </w:t>
            </w:r>
            <w:r w:rsidR="00F17CC5">
              <w:rPr>
                <w:rFonts w:ascii="Baskerville" w:hAnsi="Baskerville" w:cs="Baskerville"/>
                <w:sz w:val="22"/>
                <w:szCs w:val="22"/>
              </w:rPr>
              <w:t>regulations and</w:t>
            </w:r>
            <w:r>
              <w:rPr>
                <w:rFonts w:ascii="Baskerville" w:hAnsi="Baskerville" w:cs="Baskerville"/>
                <w:sz w:val="22"/>
                <w:szCs w:val="22"/>
              </w:rPr>
              <w:t xml:space="preserve"> its Office of Licensing Services (OLS)</w:t>
            </w:r>
            <w:r w:rsidR="00F17CC5">
              <w:rPr>
                <w:rFonts w:ascii="Baskerville" w:hAnsi="Baskerville" w:cs="Baskerville"/>
                <w:sz w:val="22"/>
                <w:szCs w:val="22"/>
              </w:rPr>
              <w:t xml:space="preserve"> </w:t>
            </w:r>
            <w:r w:rsidR="0083366F" w:rsidRPr="001B0A09">
              <w:rPr>
                <w:rFonts w:ascii="Baskerville" w:hAnsi="Baskerville" w:cs="Baskerville"/>
                <w:sz w:val="22"/>
                <w:szCs w:val="22"/>
              </w:rPr>
              <w:t xml:space="preserve">monitoring protocols </w:t>
            </w:r>
            <w:r w:rsidR="002304CD">
              <w:rPr>
                <w:rFonts w:ascii="Baskerville" w:hAnsi="Baskerville" w:cs="Baskerville"/>
                <w:sz w:val="22"/>
                <w:szCs w:val="22"/>
              </w:rPr>
              <w:t xml:space="preserve">do </w:t>
            </w:r>
            <w:r w:rsidR="00092713">
              <w:rPr>
                <w:rFonts w:ascii="Baskerville" w:hAnsi="Baskerville" w:cs="Baskerville"/>
                <w:sz w:val="22"/>
                <w:szCs w:val="22"/>
              </w:rPr>
              <w:t>not align with Agreement</w:t>
            </w:r>
            <w:r w:rsidR="00F17CC5">
              <w:rPr>
                <w:rFonts w:ascii="Baskerville" w:hAnsi="Baskerville" w:cs="Baskerville"/>
                <w:sz w:val="22"/>
                <w:szCs w:val="22"/>
              </w:rPr>
              <w:t>’s</w:t>
            </w:r>
            <w:r w:rsidR="00092713">
              <w:rPr>
                <w:rFonts w:ascii="Baskerville" w:hAnsi="Baskerville" w:cs="Baskerville"/>
                <w:sz w:val="22"/>
                <w:szCs w:val="22"/>
              </w:rPr>
              <w:t xml:space="preserve"> </w:t>
            </w:r>
            <w:r w:rsidR="00124B63">
              <w:rPr>
                <w:rFonts w:ascii="Baskerville" w:hAnsi="Baskerville" w:cs="Baskerville"/>
                <w:sz w:val="22"/>
                <w:szCs w:val="22"/>
              </w:rPr>
              <w:t xml:space="preserve">requirements. </w:t>
            </w:r>
            <w:r w:rsidR="00F17CC5">
              <w:rPr>
                <w:rFonts w:ascii="Baskerville" w:hAnsi="Baskerville" w:cs="Baskerville"/>
                <w:sz w:val="22"/>
                <w:szCs w:val="22"/>
              </w:rPr>
              <w:t>DBHDS is</w:t>
            </w:r>
            <w:r w:rsidR="003431D5">
              <w:rPr>
                <w:rFonts w:ascii="Baskerville" w:hAnsi="Baskerville" w:cs="Baskerville"/>
                <w:sz w:val="22"/>
                <w:szCs w:val="22"/>
              </w:rPr>
              <w:t xml:space="preserve"> implementing additional </w:t>
            </w:r>
            <w:r w:rsidR="003E568C">
              <w:rPr>
                <w:rFonts w:ascii="Baskerville" w:hAnsi="Baskerville" w:cs="Baskerville"/>
                <w:sz w:val="22"/>
                <w:szCs w:val="22"/>
              </w:rPr>
              <w:t>monitoring processes.</w:t>
            </w:r>
            <w:r w:rsidR="003431D5">
              <w:rPr>
                <w:rFonts w:ascii="Baskerville" w:hAnsi="Baskerville" w:cs="Baskerville"/>
                <w:sz w:val="22"/>
                <w:szCs w:val="22"/>
              </w:rPr>
              <w:t xml:space="preserve"> </w:t>
            </w:r>
            <w:r w:rsidR="00F17CC5">
              <w:rPr>
                <w:rFonts w:ascii="Baskerville" w:hAnsi="Baskerville" w:cs="Baskerville"/>
                <w:sz w:val="22"/>
                <w:szCs w:val="22"/>
              </w:rPr>
              <w:t xml:space="preserve"> </w:t>
            </w:r>
          </w:p>
        </w:tc>
      </w:tr>
      <w:tr w:rsidR="0083366F" w:rsidRPr="00DF1E2F" w:rsidTr="0094744A">
        <w:trPr>
          <w:trHeight w:val="845"/>
        </w:trPr>
        <w:tc>
          <w:tcPr>
            <w:tcW w:w="1530" w:type="dxa"/>
            <w:vAlign w:val="center"/>
          </w:tcPr>
          <w:p w:rsidR="0083366F" w:rsidRPr="00AE689C" w:rsidRDefault="0083366F" w:rsidP="000F3F63">
            <w:pPr>
              <w:tabs>
                <w:tab w:val="left" w:pos="1440"/>
                <w:tab w:val="left" w:pos="4920"/>
                <w:tab w:val="right" w:pos="8640"/>
              </w:tabs>
              <w:ind w:left="-108" w:right="-108"/>
              <w:jc w:val="center"/>
              <w:rPr>
                <w:rFonts w:ascii="Baskerville" w:hAnsi="Baskerville" w:cs="Baskerville"/>
                <w:b/>
                <w:sz w:val="22"/>
                <w:szCs w:val="22"/>
                <w:u w:val="single"/>
              </w:rPr>
            </w:pPr>
            <w:r w:rsidRPr="00AE689C">
              <w:rPr>
                <w:rFonts w:ascii="Baskerville" w:hAnsi="Baskerville" w:cs="Baskerville"/>
                <w:b/>
                <w:sz w:val="22"/>
                <w:szCs w:val="22"/>
                <w:u w:val="single"/>
              </w:rPr>
              <w:t>III.C.6.a.i-iii</w:t>
            </w:r>
          </w:p>
        </w:tc>
        <w:tc>
          <w:tcPr>
            <w:tcW w:w="4320" w:type="dxa"/>
          </w:tcPr>
          <w:p w:rsidR="0083366F" w:rsidRPr="00DF1E2F" w:rsidRDefault="0083366F" w:rsidP="00976C7E">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Commonwealth shall develop a statewide crisis system for individuals with intellectual and developmental disabilities. </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 Compliance)</w:t>
            </w:r>
          </w:p>
          <w:p w:rsidR="008C1F6F" w:rsidRDefault="008C1F6F" w:rsidP="00207505">
            <w:pPr>
              <w:tabs>
                <w:tab w:val="left" w:pos="4920"/>
                <w:tab w:val="right" w:pos="8640"/>
              </w:tabs>
              <w:ind w:left="-108" w:right="-108"/>
              <w:jc w:val="center"/>
              <w:rPr>
                <w:rFonts w:ascii="Baskerville" w:hAnsi="Baskerville" w:cs="Baskerville"/>
                <w:sz w:val="20"/>
                <w:szCs w:val="20"/>
              </w:rPr>
            </w:pPr>
          </w:p>
          <w:p w:rsidR="001E0920" w:rsidRPr="002301B3" w:rsidRDefault="008C1F6F" w:rsidP="00207505">
            <w:pPr>
              <w:tabs>
                <w:tab w:val="left" w:pos="4920"/>
                <w:tab w:val="right" w:pos="8640"/>
              </w:tabs>
              <w:ind w:left="-108" w:right="-108"/>
              <w:jc w:val="center"/>
              <w:rPr>
                <w:rFonts w:ascii="Baskerville" w:hAnsi="Baskerville" w:cs="Baskerville"/>
                <w:sz w:val="22"/>
                <w:szCs w:val="22"/>
                <w:u w:val="single"/>
              </w:rPr>
            </w:pPr>
            <w:r w:rsidRPr="002301B3">
              <w:rPr>
                <w:rFonts w:ascii="Baskerville" w:hAnsi="Baskerville" w:cs="Baskerville"/>
                <w:sz w:val="22"/>
                <w:szCs w:val="22"/>
                <w:u w:val="single"/>
              </w:rPr>
              <w:t>Non Compliance</w:t>
            </w:r>
          </w:p>
          <w:p w:rsidR="001E0920" w:rsidRPr="00DF1E2F" w:rsidRDefault="001E0920" w:rsidP="00207505">
            <w:pPr>
              <w:tabs>
                <w:tab w:val="left" w:pos="4920"/>
                <w:tab w:val="right" w:pos="8640"/>
              </w:tabs>
              <w:ind w:left="-108" w:right="-108"/>
              <w:jc w:val="center"/>
              <w:rPr>
                <w:rFonts w:ascii="Baskerville" w:hAnsi="Baskerville" w:cs="Baskerville"/>
                <w:sz w:val="22"/>
                <w:szCs w:val="22"/>
              </w:rPr>
            </w:pPr>
          </w:p>
          <w:p w:rsidR="00D20ED7" w:rsidRDefault="00D20ED7" w:rsidP="00D20ED7">
            <w:pPr>
              <w:tabs>
                <w:tab w:val="left" w:pos="429"/>
                <w:tab w:val="center" w:pos="657"/>
                <w:tab w:val="left" w:pos="1440"/>
                <w:tab w:val="left" w:pos="4920"/>
                <w:tab w:val="right" w:pos="8640"/>
              </w:tabs>
              <w:ind w:left="-108" w:right="-108"/>
              <w:rPr>
                <w:rFonts w:ascii="Baskerville" w:hAnsi="Baskerville" w:cs="Baskerville"/>
                <w:b/>
                <w:sz w:val="22"/>
                <w:szCs w:val="22"/>
              </w:rPr>
            </w:pPr>
            <w:r>
              <w:rPr>
                <w:rFonts w:ascii="Baskerville" w:hAnsi="Baskerville" w:cs="Baskerville"/>
                <w:b/>
                <w:sz w:val="22"/>
                <w:szCs w:val="22"/>
              </w:rPr>
              <w:tab/>
            </w:r>
          </w:p>
          <w:p w:rsidR="00D20ED7" w:rsidRDefault="00D20ED7" w:rsidP="00D20ED7">
            <w:pPr>
              <w:tabs>
                <w:tab w:val="left" w:pos="429"/>
                <w:tab w:val="center" w:pos="657"/>
                <w:tab w:val="left" w:pos="1440"/>
                <w:tab w:val="left" w:pos="4920"/>
                <w:tab w:val="right" w:pos="8640"/>
              </w:tabs>
              <w:ind w:left="-108" w:right="-108"/>
              <w:rPr>
                <w:rFonts w:ascii="Baskerville" w:hAnsi="Baskerville" w:cs="Baskerville"/>
                <w:b/>
                <w:sz w:val="22"/>
                <w:szCs w:val="22"/>
              </w:rPr>
            </w:pPr>
          </w:p>
          <w:p w:rsidR="0083366F" w:rsidRPr="00DF1E2F" w:rsidRDefault="00D20ED7" w:rsidP="00D20ED7">
            <w:pPr>
              <w:tabs>
                <w:tab w:val="left" w:pos="429"/>
                <w:tab w:val="center" w:pos="657"/>
                <w:tab w:val="left" w:pos="1440"/>
                <w:tab w:val="left" w:pos="4920"/>
                <w:tab w:val="right" w:pos="8640"/>
              </w:tabs>
              <w:ind w:left="-108" w:right="-108"/>
              <w:rPr>
                <w:rFonts w:ascii="Baskerville" w:hAnsi="Baskerville" w:cs="Baskerville"/>
                <w:b/>
                <w:sz w:val="22"/>
                <w:szCs w:val="22"/>
              </w:rPr>
            </w:pPr>
            <w:r>
              <w:rPr>
                <w:rFonts w:ascii="Baskerville" w:hAnsi="Baskerville" w:cs="Baskerville"/>
                <w:b/>
                <w:sz w:val="22"/>
                <w:szCs w:val="22"/>
              </w:rPr>
              <w:tab/>
            </w:r>
            <w:r w:rsidR="0083366F" w:rsidRPr="00DF1E2F">
              <w:rPr>
                <w:rFonts w:ascii="Baskerville" w:hAnsi="Baskerville" w:cs="Baskerville"/>
                <w:b/>
                <w:sz w:val="22"/>
                <w:szCs w:val="22"/>
              </w:rPr>
              <w:t>Non</w:t>
            </w:r>
          </w:p>
          <w:p w:rsidR="0083366F" w:rsidRPr="00DF1E2F" w:rsidRDefault="0083366F" w:rsidP="00F636BF">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4E7E99">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936BA2" w:rsidRPr="001B0A09" w:rsidRDefault="00903542" w:rsidP="00686E02">
            <w:pPr>
              <w:tabs>
                <w:tab w:val="left" w:pos="1440"/>
                <w:tab w:val="left" w:pos="4920"/>
                <w:tab w:val="right" w:pos="8640"/>
              </w:tabs>
              <w:ind w:right="-18"/>
              <w:rPr>
                <w:rFonts w:ascii="Baskerville" w:hAnsi="Baskerville" w:cs="Baskerville"/>
                <w:sz w:val="22"/>
                <w:szCs w:val="22"/>
              </w:rPr>
            </w:pPr>
            <w:r>
              <w:rPr>
                <w:rFonts w:ascii="Baskerville" w:hAnsi="Baskerville" w:cs="Baskerville"/>
                <w:sz w:val="22"/>
                <w:szCs w:val="22"/>
              </w:rPr>
              <w:t xml:space="preserve">The Commonwealth </w:t>
            </w:r>
            <w:r w:rsidR="008C6DC9">
              <w:rPr>
                <w:rFonts w:ascii="Baskerville" w:hAnsi="Baskerville" w:cs="Baskerville"/>
                <w:sz w:val="22"/>
                <w:szCs w:val="22"/>
              </w:rPr>
              <w:t xml:space="preserve">has developed </w:t>
            </w:r>
            <w:r>
              <w:rPr>
                <w:rFonts w:ascii="Baskerville" w:hAnsi="Baskerville" w:cs="Baskerville"/>
                <w:sz w:val="22"/>
                <w:szCs w:val="22"/>
              </w:rPr>
              <w:t>the required program elements of a statewide c</w:t>
            </w:r>
            <w:r w:rsidR="0083366F" w:rsidRPr="001B0A09">
              <w:rPr>
                <w:rFonts w:ascii="Baskerville" w:hAnsi="Baskerville" w:cs="Baskerville"/>
                <w:sz w:val="22"/>
                <w:szCs w:val="22"/>
              </w:rPr>
              <w:t>risis s</w:t>
            </w:r>
            <w:r w:rsidR="008C6DC9">
              <w:rPr>
                <w:rFonts w:ascii="Baskerville" w:hAnsi="Baskerville" w:cs="Baskerville"/>
                <w:sz w:val="22"/>
                <w:szCs w:val="22"/>
              </w:rPr>
              <w:t>ystem</w:t>
            </w:r>
            <w:r w:rsidR="0083366F" w:rsidRPr="001B0A09">
              <w:rPr>
                <w:rFonts w:ascii="Baskerville" w:hAnsi="Baskerville" w:cs="Baskerville"/>
                <w:sz w:val="22"/>
                <w:szCs w:val="22"/>
              </w:rPr>
              <w:t xml:space="preserve"> for adults with ID/DD</w:t>
            </w:r>
            <w:r>
              <w:rPr>
                <w:rFonts w:ascii="Baskerville" w:hAnsi="Baskerville" w:cs="Baskerville"/>
                <w:sz w:val="22"/>
                <w:szCs w:val="22"/>
              </w:rPr>
              <w:t>. There are qualitative concerns that will be reviewed in the next period.</w:t>
            </w:r>
            <w:r w:rsidR="000350EA" w:rsidRPr="001B0A09">
              <w:rPr>
                <w:rFonts w:ascii="Baskerville" w:hAnsi="Baskerville" w:cs="Baskerville"/>
                <w:sz w:val="22"/>
                <w:szCs w:val="22"/>
              </w:rPr>
              <w:t xml:space="preserve"> </w:t>
            </w:r>
            <w:r w:rsidR="00F636BF" w:rsidRPr="001B0A09">
              <w:rPr>
                <w:rFonts w:ascii="Baskerville" w:hAnsi="Baskerville" w:cs="Baskerville"/>
                <w:sz w:val="22"/>
                <w:szCs w:val="22"/>
              </w:rPr>
              <w:t>DBHDS h</w:t>
            </w:r>
            <w:r w:rsidR="00C23FA2">
              <w:rPr>
                <w:rFonts w:ascii="Baskerville" w:hAnsi="Baskerville" w:cs="Baskerville"/>
                <w:sz w:val="22"/>
                <w:szCs w:val="22"/>
              </w:rPr>
              <w:t>as developed</w:t>
            </w:r>
            <w:r w:rsidR="00686E02">
              <w:rPr>
                <w:rFonts w:ascii="Baskerville" w:hAnsi="Baskerville" w:cs="Baskerville"/>
                <w:sz w:val="22"/>
                <w:szCs w:val="22"/>
              </w:rPr>
              <w:t xml:space="preserve"> </w:t>
            </w:r>
            <w:r w:rsidR="00C23FA2">
              <w:rPr>
                <w:rFonts w:ascii="Baskerville" w:hAnsi="Baskerville" w:cs="Baskerville"/>
                <w:sz w:val="22"/>
                <w:szCs w:val="22"/>
              </w:rPr>
              <w:t xml:space="preserve">a plan </w:t>
            </w:r>
            <w:r w:rsidR="00686E02">
              <w:rPr>
                <w:rFonts w:ascii="Baskerville" w:hAnsi="Baskerville" w:cs="Baskerville"/>
                <w:sz w:val="22"/>
                <w:szCs w:val="22"/>
              </w:rPr>
              <w:t xml:space="preserve">and </w:t>
            </w:r>
            <w:r w:rsidR="00560F48">
              <w:rPr>
                <w:rFonts w:ascii="Baskerville" w:hAnsi="Baskerville" w:cs="Baskerville"/>
                <w:sz w:val="22"/>
                <w:szCs w:val="22"/>
              </w:rPr>
              <w:t xml:space="preserve">begun </w:t>
            </w:r>
            <w:r w:rsidR="008C6DC9">
              <w:rPr>
                <w:rFonts w:ascii="Baskerville" w:hAnsi="Baskerville" w:cs="Baskerville"/>
                <w:sz w:val="22"/>
                <w:szCs w:val="22"/>
              </w:rPr>
              <w:t xml:space="preserve">to </w:t>
            </w:r>
            <w:r w:rsidR="00D20ED7">
              <w:rPr>
                <w:rFonts w:ascii="Baskerville" w:hAnsi="Baskerville" w:cs="Baskerville"/>
                <w:sz w:val="22"/>
                <w:szCs w:val="22"/>
              </w:rPr>
              <w:t xml:space="preserve">implement a </w:t>
            </w:r>
            <w:r w:rsidR="000350EA" w:rsidRPr="001B0A09">
              <w:rPr>
                <w:rFonts w:ascii="Baskerville" w:hAnsi="Baskerville" w:cs="Baskerville"/>
                <w:sz w:val="22"/>
                <w:szCs w:val="22"/>
              </w:rPr>
              <w:t>c</w:t>
            </w:r>
            <w:r w:rsidR="00C7150A" w:rsidRPr="001B0A09">
              <w:rPr>
                <w:rFonts w:ascii="Baskerville" w:hAnsi="Baskerville" w:cs="Baskerville"/>
                <w:sz w:val="22"/>
                <w:szCs w:val="22"/>
              </w:rPr>
              <w:t>risis s</w:t>
            </w:r>
            <w:r w:rsidR="008632C8" w:rsidRPr="001B0A09">
              <w:rPr>
                <w:rFonts w:ascii="Baskerville" w:hAnsi="Baskerville" w:cs="Baskerville"/>
                <w:sz w:val="22"/>
                <w:szCs w:val="22"/>
              </w:rPr>
              <w:t>ystem</w:t>
            </w:r>
            <w:r w:rsidR="00AE689C" w:rsidRPr="001B0A09">
              <w:rPr>
                <w:rFonts w:ascii="Baskerville" w:hAnsi="Baskerville" w:cs="Baskerville"/>
                <w:sz w:val="22"/>
                <w:szCs w:val="22"/>
              </w:rPr>
              <w:t xml:space="preserve"> for children and adolescents</w:t>
            </w:r>
            <w:r w:rsidR="00D20ED7">
              <w:rPr>
                <w:rFonts w:ascii="Baskerville" w:hAnsi="Baskerville" w:cs="Baskerville"/>
                <w:sz w:val="22"/>
                <w:szCs w:val="22"/>
              </w:rPr>
              <w:t>. T</w:t>
            </w:r>
            <w:r w:rsidR="008C6DC9">
              <w:rPr>
                <w:rFonts w:ascii="Baskerville" w:hAnsi="Baskerville" w:cs="Baskerville"/>
                <w:sz w:val="22"/>
                <w:szCs w:val="22"/>
              </w:rPr>
              <w:t>he</w:t>
            </w:r>
            <w:r w:rsidR="00D20ED7">
              <w:rPr>
                <w:rFonts w:ascii="Baskerville" w:hAnsi="Baskerville" w:cs="Baskerville"/>
                <w:sz w:val="22"/>
                <w:szCs w:val="22"/>
              </w:rPr>
              <w:t>se</w:t>
            </w:r>
            <w:r w:rsidR="008C6DC9">
              <w:rPr>
                <w:rFonts w:ascii="Baskerville" w:hAnsi="Baskerville" w:cs="Baskerville"/>
                <w:sz w:val="22"/>
                <w:szCs w:val="22"/>
              </w:rPr>
              <w:t xml:space="preserve"> serv</w:t>
            </w:r>
            <w:r w:rsidR="00C23FA2">
              <w:rPr>
                <w:rFonts w:ascii="Baskerville" w:hAnsi="Baskerville" w:cs="Baskerville"/>
                <w:sz w:val="22"/>
                <w:szCs w:val="22"/>
              </w:rPr>
              <w:t xml:space="preserve">ices are not yet fully in place. </w:t>
            </w:r>
            <w:r w:rsidR="008C6DC9">
              <w:rPr>
                <w:rFonts w:ascii="Baskerville" w:hAnsi="Baskerville" w:cs="Baskerville"/>
                <w:sz w:val="22"/>
                <w:szCs w:val="22"/>
              </w:rPr>
              <w:t>F</w:t>
            </w:r>
            <w:r w:rsidR="003C261F">
              <w:rPr>
                <w:rFonts w:ascii="Baskerville" w:hAnsi="Baskerville" w:cs="Baskerville"/>
                <w:sz w:val="22"/>
                <w:szCs w:val="22"/>
              </w:rPr>
              <w:t>unds have been appro</w:t>
            </w:r>
            <w:r w:rsidR="004246CC">
              <w:rPr>
                <w:rFonts w:ascii="Baskerville" w:hAnsi="Baskerville" w:cs="Baskerville"/>
                <w:sz w:val="22"/>
                <w:szCs w:val="22"/>
              </w:rPr>
              <w:t>priated</w:t>
            </w:r>
            <w:r w:rsidR="003C261F">
              <w:rPr>
                <w:rFonts w:ascii="Baskerville" w:hAnsi="Baskerville" w:cs="Baskerville"/>
                <w:sz w:val="22"/>
                <w:szCs w:val="22"/>
              </w:rPr>
              <w:t xml:space="preserve"> </w:t>
            </w:r>
            <w:r w:rsidR="001470F5">
              <w:rPr>
                <w:rFonts w:ascii="Baskerville" w:hAnsi="Baskerville" w:cs="Baskerville"/>
                <w:sz w:val="22"/>
                <w:szCs w:val="22"/>
              </w:rPr>
              <w:t>with a</w:t>
            </w:r>
            <w:r w:rsidR="00C23FA2">
              <w:rPr>
                <w:rFonts w:ascii="Baskerville" w:hAnsi="Baskerville" w:cs="Baskerville"/>
                <w:sz w:val="22"/>
                <w:szCs w:val="22"/>
              </w:rPr>
              <w:t xml:space="preserve"> Dec. 2016</w:t>
            </w:r>
            <w:r w:rsidR="00015BCB">
              <w:rPr>
                <w:rFonts w:ascii="Baskerville" w:hAnsi="Baskerville" w:cs="Baskerville"/>
                <w:sz w:val="22"/>
                <w:szCs w:val="22"/>
              </w:rPr>
              <w:t xml:space="preserve"> </w:t>
            </w:r>
            <w:r w:rsidR="001470F5">
              <w:rPr>
                <w:rFonts w:ascii="Baskerville" w:hAnsi="Baskerville" w:cs="Baskerville"/>
                <w:sz w:val="22"/>
                <w:szCs w:val="22"/>
              </w:rPr>
              <w:t>targe</w:t>
            </w:r>
            <w:r w:rsidR="00015BCB">
              <w:rPr>
                <w:rFonts w:ascii="Baskerville" w:hAnsi="Baskerville" w:cs="Baskerville"/>
                <w:sz w:val="22"/>
                <w:szCs w:val="22"/>
              </w:rPr>
              <w:t>t date for full implementation.</w:t>
            </w:r>
          </w:p>
        </w:tc>
      </w:tr>
      <w:tr w:rsidR="0083366F" w:rsidRPr="00DF1E2F" w:rsidTr="0094744A">
        <w:trPr>
          <w:trHeight w:val="1601"/>
        </w:trPr>
        <w:tc>
          <w:tcPr>
            <w:tcW w:w="1530" w:type="dxa"/>
            <w:vAlign w:val="center"/>
          </w:tcPr>
          <w:p w:rsidR="0083366F" w:rsidRPr="00DF4B2A" w:rsidRDefault="0083366F" w:rsidP="00D417C2">
            <w:pPr>
              <w:tabs>
                <w:tab w:val="left" w:pos="1440"/>
                <w:tab w:val="left" w:pos="4920"/>
                <w:tab w:val="right" w:pos="8640"/>
              </w:tabs>
              <w:ind w:left="-108" w:right="-108"/>
              <w:jc w:val="center"/>
              <w:rPr>
                <w:rFonts w:ascii="Baskerville" w:hAnsi="Baskerville" w:cs="Baskerville"/>
                <w:b/>
                <w:sz w:val="22"/>
                <w:szCs w:val="22"/>
                <w:u w:val="single"/>
              </w:rPr>
            </w:pPr>
            <w:r w:rsidRPr="00DF4B2A">
              <w:rPr>
                <w:rFonts w:ascii="Baskerville" w:hAnsi="Baskerville" w:cs="Baskerville"/>
                <w:b/>
                <w:sz w:val="22"/>
                <w:szCs w:val="22"/>
                <w:u w:val="single"/>
              </w:rPr>
              <w:t>III.C.6.b.i.A</w:t>
            </w:r>
          </w:p>
        </w:tc>
        <w:tc>
          <w:tcPr>
            <w:tcW w:w="4320" w:type="dxa"/>
          </w:tcPr>
          <w:p w:rsidR="0083366F" w:rsidRPr="00DF1E2F" w:rsidRDefault="0083366F" w:rsidP="00F63194">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utilize existing CSB Emergency Service, including existing CSB hotlines, for individuals to access information about referrals to local resources. Such hotlines shall be operated 24 hours per day, 7 days per week.</w:t>
            </w:r>
          </w:p>
        </w:tc>
        <w:tc>
          <w:tcPr>
            <w:tcW w:w="1440" w:type="dxa"/>
          </w:tcPr>
          <w:p w:rsid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6C67D1" w:rsidRPr="006C67D1" w:rsidRDefault="006C67D1" w:rsidP="0000799C">
            <w:pPr>
              <w:tabs>
                <w:tab w:val="left" w:pos="1692"/>
                <w:tab w:val="left" w:pos="4920"/>
                <w:tab w:val="right" w:pos="8640"/>
              </w:tabs>
              <w:ind w:left="-108" w:right="-108"/>
              <w:jc w:val="center"/>
              <w:rPr>
                <w:rFonts w:ascii="Baskerville" w:hAnsi="Baskerville" w:cs="Baskerville"/>
                <w:sz w:val="20"/>
                <w:szCs w:val="20"/>
              </w:rPr>
            </w:pPr>
          </w:p>
          <w:p w:rsidR="006C67D1" w:rsidRPr="002301B3" w:rsidRDefault="006C67D1" w:rsidP="0000799C">
            <w:pPr>
              <w:tabs>
                <w:tab w:val="left" w:pos="1692"/>
                <w:tab w:val="left" w:pos="4920"/>
                <w:tab w:val="right" w:pos="8640"/>
              </w:tabs>
              <w:ind w:left="-108" w:right="-108"/>
              <w:jc w:val="center"/>
              <w:rPr>
                <w:rFonts w:ascii="Baskerville" w:hAnsi="Baskerville" w:cs="Baskerville"/>
                <w:sz w:val="20"/>
                <w:szCs w:val="20"/>
                <w:u w:val="single"/>
              </w:rPr>
            </w:pPr>
            <w:r w:rsidRPr="002301B3">
              <w:rPr>
                <w:rFonts w:ascii="Baskerville" w:hAnsi="Baskerville" w:cs="Baskerville"/>
                <w:sz w:val="22"/>
                <w:szCs w:val="22"/>
                <w:u w:val="single"/>
              </w:rPr>
              <w:t>Compliance</w:t>
            </w:r>
          </w:p>
          <w:p w:rsidR="0083366F" w:rsidRPr="00DF1E2F" w:rsidRDefault="0083366F" w:rsidP="00833FDC">
            <w:pPr>
              <w:tabs>
                <w:tab w:val="left" w:pos="1494"/>
                <w:tab w:val="left" w:pos="4920"/>
                <w:tab w:val="right" w:pos="8640"/>
              </w:tabs>
              <w:ind w:left="-108"/>
              <w:jc w:val="center"/>
              <w:rPr>
                <w:rFonts w:ascii="Baskerville" w:hAnsi="Baskerville" w:cs="Baskerville"/>
                <w:sz w:val="22"/>
                <w:szCs w:val="22"/>
              </w:rPr>
            </w:pPr>
          </w:p>
          <w:p w:rsidR="0083366F" w:rsidRPr="00DF1E2F" w:rsidRDefault="0083366F" w:rsidP="000B15A4">
            <w:pPr>
              <w:tabs>
                <w:tab w:val="left" w:pos="1494"/>
                <w:tab w:val="left" w:pos="4920"/>
                <w:tab w:val="right" w:pos="8640"/>
              </w:tabs>
              <w:ind w:lef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936BA2" w:rsidRDefault="002F267D" w:rsidP="00E42147">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All R</w:t>
            </w:r>
            <w:r w:rsidR="0083366F" w:rsidRPr="00DF1E2F">
              <w:rPr>
                <w:rFonts w:ascii="Baskerville" w:hAnsi="Baskerville" w:cs="Baskerville"/>
                <w:sz w:val="22"/>
                <w:szCs w:val="22"/>
              </w:rPr>
              <w:t xml:space="preserve">egions’ REACH crisis response services continue to be </w:t>
            </w:r>
            <w:r w:rsidR="000B15A4">
              <w:rPr>
                <w:rFonts w:ascii="Baskerville" w:hAnsi="Baskerville" w:cs="Baskerville"/>
                <w:sz w:val="22"/>
                <w:szCs w:val="22"/>
              </w:rPr>
              <w:t>available 24 hours per day</w:t>
            </w:r>
            <w:r w:rsidR="0083366F" w:rsidRPr="00DF1E2F">
              <w:rPr>
                <w:rFonts w:ascii="Baskerville" w:hAnsi="Baskerville" w:cs="Baskerville"/>
                <w:sz w:val="22"/>
                <w:szCs w:val="22"/>
              </w:rPr>
              <w:t xml:space="preserve">. Referrals have occurred during business, evening and weekend hours.  </w:t>
            </w:r>
          </w:p>
          <w:p w:rsidR="00E42147" w:rsidRPr="00DF1E2F" w:rsidRDefault="00E42147" w:rsidP="00E42147">
            <w:pPr>
              <w:tabs>
                <w:tab w:val="left" w:pos="1440"/>
                <w:tab w:val="left" w:pos="4920"/>
                <w:tab w:val="right" w:pos="8640"/>
              </w:tabs>
              <w:rPr>
                <w:rFonts w:ascii="Baskerville" w:hAnsi="Baskerville" w:cs="Baskerville"/>
                <w:sz w:val="22"/>
                <w:szCs w:val="22"/>
              </w:rPr>
            </w:pPr>
          </w:p>
        </w:tc>
      </w:tr>
      <w:tr w:rsidR="0083366F" w:rsidRPr="00DF1E2F" w:rsidTr="0094744A">
        <w:trPr>
          <w:trHeight w:val="2123"/>
        </w:trPr>
        <w:tc>
          <w:tcPr>
            <w:tcW w:w="1530" w:type="dxa"/>
            <w:vAlign w:val="center"/>
          </w:tcPr>
          <w:p w:rsidR="0083366F" w:rsidRPr="0013643C" w:rsidRDefault="0083366F" w:rsidP="00D417C2">
            <w:pPr>
              <w:tabs>
                <w:tab w:val="left" w:pos="1440"/>
                <w:tab w:val="left" w:pos="4920"/>
                <w:tab w:val="right" w:pos="8640"/>
              </w:tabs>
              <w:ind w:left="-108" w:right="-108"/>
              <w:jc w:val="center"/>
              <w:rPr>
                <w:rFonts w:ascii="Baskerville" w:hAnsi="Baskerville" w:cs="Baskerville"/>
                <w:b/>
                <w:sz w:val="22"/>
                <w:szCs w:val="22"/>
                <w:u w:val="single"/>
              </w:rPr>
            </w:pPr>
            <w:r w:rsidRPr="0013643C">
              <w:rPr>
                <w:rFonts w:ascii="Baskerville" w:hAnsi="Baskerville" w:cs="Baskerville"/>
                <w:b/>
                <w:sz w:val="22"/>
                <w:szCs w:val="22"/>
                <w:u w:val="single"/>
              </w:rPr>
              <w:t>III.C.6.b.i.B</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By June 30, 2012, the Commonwealth shall train CSB Emergency Services personnel in each Health Planning Region on the new crisis response system it is establishing, how to make referrals, and the resources that are available.</w:t>
            </w:r>
          </w:p>
        </w:tc>
        <w:tc>
          <w:tcPr>
            <w:tcW w:w="1440" w:type="dxa"/>
          </w:tcPr>
          <w:p w:rsidR="0000799C" w:rsidRP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55775">
            <w:pPr>
              <w:tabs>
                <w:tab w:val="left" w:pos="1440"/>
                <w:tab w:val="left" w:pos="4920"/>
                <w:tab w:val="right" w:pos="8640"/>
              </w:tabs>
              <w:ind w:left="-108" w:right="-108"/>
              <w:jc w:val="center"/>
              <w:rPr>
                <w:rFonts w:ascii="Baskerville" w:hAnsi="Baskerville" w:cs="Baskerville"/>
                <w:sz w:val="22"/>
                <w:szCs w:val="22"/>
              </w:rPr>
            </w:pPr>
          </w:p>
          <w:p w:rsidR="00627672" w:rsidRPr="002301B3" w:rsidRDefault="00DE329B" w:rsidP="00655775">
            <w:pPr>
              <w:tabs>
                <w:tab w:val="left" w:pos="1440"/>
                <w:tab w:val="left" w:pos="4920"/>
                <w:tab w:val="right" w:pos="8640"/>
              </w:tabs>
              <w:ind w:left="-108" w:right="-108"/>
              <w:jc w:val="center"/>
              <w:rPr>
                <w:rFonts w:ascii="Baskerville" w:hAnsi="Baskerville" w:cs="Baskerville"/>
                <w:sz w:val="22"/>
                <w:szCs w:val="22"/>
                <w:u w:val="single"/>
              </w:rPr>
            </w:pPr>
            <w:r w:rsidRPr="002301B3">
              <w:rPr>
                <w:rFonts w:ascii="Baskerville" w:hAnsi="Baskerville" w:cs="Baskerville"/>
                <w:sz w:val="22"/>
                <w:szCs w:val="22"/>
                <w:u w:val="single"/>
              </w:rPr>
              <w:t>Compliance</w:t>
            </w:r>
          </w:p>
          <w:p w:rsidR="00DE329B" w:rsidRDefault="00DE329B" w:rsidP="0065577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655775">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65577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9051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F541F4" w:rsidRPr="001D130F" w:rsidRDefault="0083366F" w:rsidP="00F541F4">
            <w:pPr>
              <w:tabs>
                <w:tab w:val="left" w:pos="1440"/>
                <w:tab w:val="left" w:pos="4920"/>
                <w:tab w:val="right" w:pos="8640"/>
              </w:tabs>
              <w:ind w:right="-18"/>
              <w:rPr>
                <w:rFonts w:ascii="Baskerville" w:hAnsi="Baskerville" w:cs="Baskerville"/>
                <w:sz w:val="22"/>
                <w:szCs w:val="22"/>
              </w:rPr>
            </w:pPr>
            <w:r w:rsidRPr="001D130F">
              <w:rPr>
                <w:rFonts w:ascii="Baskerville" w:hAnsi="Baskerville" w:cs="Baskerville"/>
                <w:sz w:val="22"/>
                <w:szCs w:val="22"/>
              </w:rPr>
              <w:t>REACH programs continue to train CSB Emergency Services</w:t>
            </w:r>
            <w:r w:rsidR="00F84161">
              <w:rPr>
                <w:rFonts w:ascii="Baskerville" w:hAnsi="Baskerville" w:cs="Baskerville"/>
                <w:sz w:val="22"/>
                <w:szCs w:val="22"/>
              </w:rPr>
              <w:t xml:space="preserve"> (ES)</w:t>
            </w:r>
            <w:r w:rsidRPr="001D130F">
              <w:rPr>
                <w:rFonts w:ascii="Baskerville" w:hAnsi="Baskerville" w:cs="Baskerville"/>
                <w:sz w:val="22"/>
                <w:szCs w:val="22"/>
              </w:rPr>
              <w:t xml:space="preserve"> staff and report quarterly. </w:t>
            </w:r>
            <w:r w:rsidR="0013643C" w:rsidRPr="001D130F">
              <w:rPr>
                <w:rFonts w:ascii="Baskerville" w:hAnsi="Baskerville" w:cs="Baskerville"/>
                <w:sz w:val="22"/>
                <w:szCs w:val="22"/>
              </w:rPr>
              <w:t xml:space="preserve">The DBHDS has developed a standardized </w:t>
            </w:r>
            <w:r w:rsidR="00526395" w:rsidRPr="001D130F">
              <w:rPr>
                <w:rFonts w:ascii="Baskerville" w:hAnsi="Baskerville" w:cs="Baskerville"/>
                <w:sz w:val="22"/>
                <w:szCs w:val="22"/>
              </w:rPr>
              <w:t>curriculum.  A</w:t>
            </w:r>
            <w:r w:rsidR="0013643C" w:rsidRPr="001D130F">
              <w:rPr>
                <w:rFonts w:ascii="Baskerville" w:hAnsi="Baskerville" w:cs="Baskerville"/>
                <w:sz w:val="22"/>
                <w:szCs w:val="22"/>
              </w:rPr>
              <w:t xml:space="preserve">ll new </w:t>
            </w:r>
            <w:r w:rsidR="00F84161">
              <w:rPr>
                <w:rFonts w:ascii="Baskerville" w:hAnsi="Baskerville" w:cs="Baskerville"/>
                <w:sz w:val="22"/>
                <w:szCs w:val="22"/>
              </w:rPr>
              <w:t xml:space="preserve">CSB </w:t>
            </w:r>
            <w:r w:rsidR="0013643C" w:rsidRPr="001D130F">
              <w:rPr>
                <w:rFonts w:ascii="Baskerville" w:hAnsi="Baskerville" w:cs="Baskerville"/>
                <w:sz w:val="22"/>
                <w:szCs w:val="22"/>
              </w:rPr>
              <w:t>ES staff and case managers will be re</w:t>
            </w:r>
            <w:r w:rsidR="0049496B" w:rsidRPr="001D130F">
              <w:rPr>
                <w:rFonts w:ascii="Baskerville" w:hAnsi="Baskerville" w:cs="Baskerville"/>
                <w:sz w:val="22"/>
                <w:szCs w:val="22"/>
              </w:rPr>
              <w:t>quired to be trained</w:t>
            </w:r>
            <w:r w:rsidR="0013643C" w:rsidRPr="001D130F">
              <w:rPr>
                <w:rFonts w:ascii="Baskerville" w:hAnsi="Baskerville" w:cs="Baskerville"/>
                <w:sz w:val="22"/>
                <w:szCs w:val="22"/>
              </w:rPr>
              <w:t>.</w:t>
            </w:r>
          </w:p>
        </w:tc>
      </w:tr>
      <w:tr w:rsidR="0083366F" w:rsidRPr="00DF1E2F" w:rsidTr="0094744A">
        <w:trPr>
          <w:trHeight w:val="2186"/>
        </w:trPr>
        <w:tc>
          <w:tcPr>
            <w:tcW w:w="1530" w:type="dxa"/>
            <w:vAlign w:val="center"/>
          </w:tcPr>
          <w:p w:rsidR="0083366F" w:rsidRPr="005234C9"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5234C9">
              <w:rPr>
                <w:rFonts w:ascii="Baskerville" w:hAnsi="Baskerville" w:cs="Baskerville"/>
                <w:b/>
                <w:sz w:val="22"/>
                <w:szCs w:val="22"/>
                <w:u w:val="single"/>
              </w:rPr>
              <w:t>III.C.6.b.ii.A.</w:t>
            </w:r>
          </w:p>
        </w:tc>
        <w:tc>
          <w:tcPr>
            <w:tcW w:w="4320" w:type="dxa"/>
          </w:tcPr>
          <w:p w:rsidR="0083366F" w:rsidRPr="00DF1E2F" w:rsidRDefault="0083366F" w:rsidP="008E01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Mobile crisis team members adequately trained to address the crisis shall respond to individuals at their homes and in other community settings and offer timely assessment, services, support, and treatment to de-escalate crises without removing individuals from their current placement whenever possible.</w:t>
            </w:r>
          </w:p>
        </w:tc>
        <w:tc>
          <w:tcPr>
            <w:tcW w:w="1440" w:type="dxa"/>
          </w:tcPr>
          <w:p w:rsidR="0000799C" w:rsidRP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795035">
            <w:pPr>
              <w:tabs>
                <w:tab w:val="left" w:pos="1440"/>
                <w:tab w:val="left" w:pos="4920"/>
                <w:tab w:val="right" w:pos="8640"/>
              </w:tabs>
              <w:ind w:left="-108" w:right="-108"/>
              <w:jc w:val="center"/>
              <w:rPr>
                <w:rFonts w:ascii="Baskerville" w:hAnsi="Baskerville" w:cs="Baskerville"/>
                <w:sz w:val="22"/>
                <w:szCs w:val="22"/>
              </w:rPr>
            </w:pPr>
          </w:p>
          <w:p w:rsidR="00DE329B" w:rsidRPr="00F761DA" w:rsidRDefault="00DE329B" w:rsidP="00DE329B">
            <w:pPr>
              <w:tabs>
                <w:tab w:val="left" w:pos="1440"/>
                <w:tab w:val="left" w:pos="4920"/>
                <w:tab w:val="right" w:pos="8640"/>
              </w:tabs>
              <w:ind w:left="-108" w:right="-108"/>
              <w:jc w:val="center"/>
              <w:rPr>
                <w:rFonts w:ascii="Baskerville" w:hAnsi="Baskerville" w:cs="Baskerville"/>
                <w:sz w:val="20"/>
                <w:szCs w:val="20"/>
                <w:u w:val="single"/>
              </w:rPr>
            </w:pPr>
            <w:r w:rsidRPr="00F761DA">
              <w:rPr>
                <w:rFonts w:ascii="Baskerville" w:hAnsi="Baskerville" w:cs="Baskerville"/>
                <w:sz w:val="20"/>
                <w:szCs w:val="20"/>
                <w:u w:val="single"/>
              </w:rPr>
              <w:t>Compliance</w:t>
            </w:r>
          </w:p>
          <w:p w:rsidR="00645037" w:rsidRPr="00DF1E2F" w:rsidRDefault="00645037" w:rsidP="0079503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F541F4" w:rsidRPr="001D130F" w:rsidRDefault="000310B6" w:rsidP="0049496B">
            <w:pPr>
              <w:tabs>
                <w:tab w:val="left" w:pos="1440"/>
                <w:tab w:val="left" w:pos="4920"/>
                <w:tab w:val="right" w:pos="8640"/>
              </w:tabs>
              <w:ind w:right="72"/>
              <w:rPr>
                <w:rFonts w:ascii="Baskerville" w:hAnsi="Baskerville" w:cs="Baskerville"/>
                <w:sz w:val="22"/>
                <w:szCs w:val="22"/>
              </w:rPr>
            </w:pPr>
            <w:r w:rsidRPr="001D130F">
              <w:rPr>
                <w:rFonts w:ascii="Baskerville" w:hAnsi="Baskerville" w:cs="Baskerville"/>
                <w:sz w:val="22"/>
                <w:szCs w:val="22"/>
              </w:rPr>
              <w:t>Evidence-</w:t>
            </w:r>
            <w:r w:rsidR="0083366F" w:rsidRPr="001D130F">
              <w:rPr>
                <w:rFonts w:ascii="Baskerville" w:hAnsi="Baskerville" w:cs="Baskerville"/>
                <w:sz w:val="22"/>
                <w:szCs w:val="22"/>
              </w:rPr>
              <w:t>based training was provided</w:t>
            </w:r>
            <w:r w:rsidR="00936BA2">
              <w:rPr>
                <w:rFonts w:ascii="Baskerville" w:hAnsi="Baskerville" w:cs="Baskerville"/>
                <w:sz w:val="22"/>
                <w:szCs w:val="22"/>
              </w:rPr>
              <w:t xml:space="preserve"> to all </w:t>
            </w:r>
            <w:r w:rsidR="0083366F" w:rsidRPr="001D130F">
              <w:rPr>
                <w:rFonts w:ascii="Baskerville" w:hAnsi="Baskerville" w:cs="Baskerville"/>
                <w:sz w:val="22"/>
                <w:szCs w:val="22"/>
              </w:rPr>
              <w:t xml:space="preserve">REACH programs. </w:t>
            </w:r>
            <w:r w:rsidR="00F541F4">
              <w:rPr>
                <w:rFonts w:ascii="Baskerville" w:hAnsi="Baskerville" w:cs="Baskerville"/>
                <w:iCs/>
                <w:sz w:val="22"/>
                <w:szCs w:val="22"/>
              </w:rPr>
              <w:t xml:space="preserve">DBHDS developed a </w:t>
            </w:r>
            <w:r w:rsidR="005234C9" w:rsidRPr="001D130F">
              <w:rPr>
                <w:rFonts w:ascii="Baskerville" w:hAnsi="Baskerville" w:cs="Baskerville"/>
                <w:iCs/>
                <w:sz w:val="22"/>
                <w:szCs w:val="22"/>
              </w:rPr>
              <w:t>training program and a process to reinforce learning through supervision, team meeting discussions and peer review</w:t>
            </w:r>
            <w:r w:rsidR="00196D2A" w:rsidRPr="001D130F">
              <w:rPr>
                <w:rFonts w:ascii="Baskerville" w:hAnsi="Baskerville" w:cs="Baskerville"/>
                <w:sz w:val="22"/>
                <w:szCs w:val="22"/>
              </w:rPr>
              <w:t>.</w:t>
            </w:r>
            <w:r w:rsidR="00645037">
              <w:rPr>
                <w:rFonts w:ascii="Baskerville" w:hAnsi="Baskerville" w:cs="Baskerville"/>
                <w:sz w:val="22"/>
                <w:szCs w:val="22"/>
              </w:rPr>
              <w:t xml:space="preserve"> </w:t>
            </w:r>
          </w:p>
        </w:tc>
      </w:tr>
      <w:tr w:rsidR="0083366F" w:rsidRPr="00DF1E2F" w:rsidTr="0094744A">
        <w:trPr>
          <w:trHeight w:val="1961"/>
        </w:trPr>
        <w:tc>
          <w:tcPr>
            <w:tcW w:w="1530" w:type="dxa"/>
            <w:vAlign w:val="center"/>
          </w:tcPr>
          <w:p w:rsidR="0083366F" w:rsidRPr="00390BCE"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390BCE">
              <w:rPr>
                <w:rFonts w:ascii="Baskerville" w:hAnsi="Baskerville" w:cs="Baskerville"/>
                <w:b/>
                <w:sz w:val="22"/>
                <w:szCs w:val="22"/>
                <w:u w:val="single"/>
              </w:rPr>
              <w:t>III.C.6.b.ii.B</w:t>
            </w:r>
          </w:p>
        </w:tc>
        <w:tc>
          <w:tcPr>
            <w:tcW w:w="4320" w:type="dxa"/>
          </w:tcPr>
          <w:p w:rsidR="0083366F" w:rsidRPr="00DF1E2F" w:rsidRDefault="0083366F" w:rsidP="008E01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Mobile crisis teams shall assist with crisis planning and identifying strategies for preventing future crises and may also provide enhanced short-term capacity within an individual’s home or other community setting.</w:t>
            </w:r>
          </w:p>
        </w:tc>
        <w:tc>
          <w:tcPr>
            <w:tcW w:w="1440" w:type="dxa"/>
          </w:tcPr>
          <w:p w:rsidR="000A39EC" w:rsidRPr="00E56EB3" w:rsidRDefault="00F761DA" w:rsidP="001A5F8F">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00E56EB3" w:rsidRPr="00E56EB3">
              <w:rPr>
                <w:rFonts w:ascii="Baskerville" w:hAnsi="Baskerville" w:cs="Baskerville"/>
                <w:sz w:val="20"/>
                <w:szCs w:val="20"/>
              </w:rPr>
              <w:t>Compliance</w:t>
            </w:r>
            <w:r>
              <w:rPr>
                <w:rFonts w:ascii="Baskerville" w:hAnsi="Baskerville" w:cs="Baskerville"/>
                <w:sz w:val="20"/>
                <w:szCs w:val="20"/>
              </w:rPr>
              <w:t>)</w:t>
            </w:r>
          </w:p>
          <w:p w:rsidR="00E56EB3" w:rsidRDefault="00E56EB3" w:rsidP="0026362F">
            <w:pPr>
              <w:tabs>
                <w:tab w:val="left" w:pos="1404"/>
                <w:tab w:val="left" w:pos="1440"/>
                <w:tab w:val="left" w:pos="4920"/>
                <w:tab w:val="right" w:pos="8640"/>
              </w:tabs>
              <w:ind w:left="-108" w:right="-108"/>
              <w:jc w:val="center"/>
              <w:rPr>
                <w:rFonts w:ascii="Baskerville" w:hAnsi="Baskerville" w:cs="Baskerville"/>
                <w:sz w:val="20"/>
                <w:szCs w:val="20"/>
              </w:rPr>
            </w:pPr>
          </w:p>
          <w:p w:rsidR="0026362F" w:rsidRPr="00F761DA" w:rsidRDefault="0026362F" w:rsidP="0026362F">
            <w:pPr>
              <w:tabs>
                <w:tab w:val="left" w:pos="1404"/>
                <w:tab w:val="left" w:pos="1440"/>
                <w:tab w:val="left" w:pos="4920"/>
                <w:tab w:val="right" w:pos="8640"/>
              </w:tabs>
              <w:ind w:left="-108" w:right="-108"/>
              <w:jc w:val="center"/>
              <w:rPr>
                <w:rFonts w:ascii="Baskerville" w:hAnsi="Baskerville" w:cs="Baskerville"/>
                <w:sz w:val="22"/>
                <w:szCs w:val="22"/>
                <w:u w:val="single"/>
              </w:rPr>
            </w:pPr>
            <w:r w:rsidRPr="00F761DA">
              <w:rPr>
                <w:rFonts w:ascii="Baskerville" w:hAnsi="Baskerville" w:cs="Baskerville"/>
                <w:sz w:val="22"/>
                <w:szCs w:val="22"/>
                <w:u w:val="single"/>
              </w:rPr>
              <w:t>Non</w:t>
            </w:r>
            <w:r w:rsidR="00F761DA">
              <w:rPr>
                <w:rFonts w:ascii="Baskerville" w:hAnsi="Baskerville" w:cs="Baskerville"/>
                <w:sz w:val="22"/>
                <w:szCs w:val="22"/>
                <w:u w:val="single"/>
              </w:rPr>
              <w:t xml:space="preserve"> Compliance</w:t>
            </w:r>
          </w:p>
          <w:p w:rsidR="0083366F" w:rsidRPr="00DF1E2F" w:rsidRDefault="0083366F" w:rsidP="003A34C4">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1A5F8F">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1A5F8F">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1A5F8F">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0310B6" w:rsidP="003E55EB">
            <w:pPr>
              <w:tabs>
                <w:tab w:val="left" w:pos="1440"/>
                <w:tab w:val="left" w:pos="2844"/>
                <w:tab w:val="left" w:pos="4920"/>
                <w:tab w:val="right" w:pos="8640"/>
              </w:tabs>
              <w:ind w:right="72"/>
              <w:rPr>
                <w:rFonts w:ascii="Baskerville" w:hAnsi="Baskerville" w:cs="Baskerville"/>
                <w:sz w:val="22"/>
                <w:szCs w:val="22"/>
              </w:rPr>
            </w:pPr>
            <w:r>
              <w:rPr>
                <w:rFonts w:ascii="Baskerville" w:hAnsi="Baskerville" w:cs="Baskerville"/>
                <w:sz w:val="22"/>
                <w:szCs w:val="22"/>
              </w:rPr>
              <w:t>REACH t</w:t>
            </w:r>
            <w:r w:rsidR="0083366F" w:rsidRPr="00DF1E2F">
              <w:rPr>
                <w:rFonts w:ascii="Baskerville" w:hAnsi="Baskerville" w:cs="Baskerville"/>
                <w:sz w:val="22"/>
                <w:szCs w:val="22"/>
              </w:rPr>
              <w:t xml:space="preserve">eams continue to provide crisis response, crisis intervention, and crisis planning. </w:t>
            </w:r>
            <w:r w:rsidR="003E55EB">
              <w:rPr>
                <w:rFonts w:ascii="Baskerville" w:hAnsi="Baskerville" w:cs="Baskerville"/>
                <w:sz w:val="22"/>
                <w:szCs w:val="22"/>
              </w:rPr>
              <w:t>During this review period DBHDS provided</w:t>
            </w:r>
            <w:r w:rsidR="0083366F" w:rsidRPr="00DF1E2F">
              <w:rPr>
                <w:rFonts w:ascii="Baskerville" w:hAnsi="Baskerville" w:cs="Baskerville"/>
                <w:sz w:val="22"/>
                <w:szCs w:val="22"/>
              </w:rPr>
              <w:t xml:space="preserve"> </w:t>
            </w:r>
            <w:r w:rsidR="004066C6">
              <w:rPr>
                <w:rFonts w:ascii="Baskerville" w:hAnsi="Baskerville" w:cs="Baskerville"/>
                <w:sz w:val="22"/>
                <w:szCs w:val="22"/>
              </w:rPr>
              <w:t>data confirming</w:t>
            </w:r>
            <w:r w:rsidR="0083366F" w:rsidRPr="00DF1E2F">
              <w:rPr>
                <w:rFonts w:ascii="Baskerville" w:hAnsi="Baskerville" w:cs="Baskerville"/>
                <w:sz w:val="22"/>
                <w:szCs w:val="22"/>
              </w:rPr>
              <w:t xml:space="preserve"> the delivery </w:t>
            </w:r>
            <w:r w:rsidR="000A39EC">
              <w:rPr>
                <w:rFonts w:ascii="Baskerville" w:hAnsi="Baskerville" w:cs="Baskerville"/>
                <w:sz w:val="22"/>
                <w:szCs w:val="22"/>
              </w:rPr>
              <w:t>of these services</w:t>
            </w:r>
            <w:r w:rsidR="0083366F" w:rsidRPr="00DF1E2F">
              <w:rPr>
                <w:rFonts w:ascii="Baskerville" w:hAnsi="Baskerville" w:cs="Baskerville"/>
                <w:sz w:val="22"/>
                <w:szCs w:val="22"/>
              </w:rPr>
              <w:t>.</w:t>
            </w:r>
          </w:p>
        </w:tc>
      </w:tr>
      <w:tr w:rsidR="0083366F" w:rsidRPr="00DF1E2F" w:rsidTr="0094744A">
        <w:trPr>
          <w:trHeight w:val="296"/>
        </w:trPr>
        <w:tc>
          <w:tcPr>
            <w:tcW w:w="1530" w:type="dxa"/>
            <w:vAlign w:val="center"/>
          </w:tcPr>
          <w:p w:rsidR="0083366F" w:rsidRPr="000A39EC"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0A39EC">
              <w:rPr>
                <w:rFonts w:ascii="Baskerville" w:hAnsi="Baskerville" w:cs="Baskerville"/>
                <w:b/>
                <w:sz w:val="22"/>
                <w:szCs w:val="22"/>
                <w:u w:val="single"/>
              </w:rPr>
              <w:t>III.C.6.b.ii.C</w:t>
            </w:r>
          </w:p>
        </w:tc>
        <w:tc>
          <w:tcPr>
            <w:tcW w:w="4320" w:type="dxa"/>
          </w:tcPr>
          <w:p w:rsidR="0083366F" w:rsidRPr="00DF1E2F" w:rsidRDefault="0083366F" w:rsidP="005E7BE1">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Mobile crisis team members adequately trained to address the crisis also shall work with law enforcement personnel to respond if an individual with ID/DD comes into contact with law enforcement.</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w:t>
            </w:r>
            <w:r w:rsidR="00F761DA">
              <w:rPr>
                <w:rFonts w:ascii="Baskerville" w:hAnsi="Baskerville" w:cs="Baskerville"/>
                <w:sz w:val="20"/>
                <w:szCs w:val="20"/>
              </w:rPr>
              <w:t xml:space="preserve"> </w:t>
            </w:r>
            <w:r w:rsidRPr="0059724C">
              <w:rPr>
                <w:rFonts w:ascii="Baskerville" w:hAnsi="Baskerville" w:cs="Baskerville"/>
                <w:sz w:val="20"/>
                <w:szCs w:val="20"/>
              </w:rPr>
              <w:t>Compliance)</w:t>
            </w:r>
          </w:p>
          <w:p w:rsidR="0083366F" w:rsidRPr="00DF1E2F" w:rsidRDefault="0083366F" w:rsidP="006A7CFF">
            <w:pPr>
              <w:tabs>
                <w:tab w:val="left" w:pos="1314"/>
                <w:tab w:val="left" w:pos="1440"/>
                <w:tab w:val="left" w:pos="4920"/>
                <w:tab w:val="right" w:pos="8640"/>
              </w:tabs>
              <w:ind w:left="-108" w:right="-108"/>
              <w:jc w:val="center"/>
              <w:rPr>
                <w:rFonts w:ascii="Baskerville" w:hAnsi="Baskerville" w:cs="Baskerville"/>
                <w:b/>
                <w:sz w:val="22"/>
                <w:szCs w:val="22"/>
              </w:rPr>
            </w:pPr>
          </w:p>
          <w:p w:rsidR="00EE391A" w:rsidRPr="00F761DA" w:rsidRDefault="00EE391A" w:rsidP="00EE391A">
            <w:pPr>
              <w:tabs>
                <w:tab w:val="left" w:pos="1404"/>
                <w:tab w:val="left" w:pos="1440"/>
                <w:tab w:val="left" w:pos="4920"/>
                <w:tab w:val="right" w:pos="8640"/>
              </w:tabs>
              <w:ind w:left="-108" w:right="-108"/>
              <w:jc w:val="center"/>
              <w:rPr>
                <w:rFonts w:ascii="Baskerville" w:hAnsi="Baskerville" w:cs="Baskerville"/>
                <w:sz w:val="22"/>
                <w:szCs w:val="22"/>
                <w:u w:val="single"/>
              </w:rPr>
            </w:pPr>
            <w:r w:rsidRPr="00F761DA">
              <w:rPr>
                <w:rFonts w:ascii="Baskerville" w:hAnsi="Baskerville" w:cs="Baskerville"/>
                <w:sz w:val="22"/>
                <w:szCs w:val="22"/>
                <w:u w:val="single"/>
              </w:rPr>
              <w:t>Non</w:t>
            </w:r>
            <w:r>
              <w:rPr>
                <w:rFonts w:ascii="Baskerville" w:hAnsi="Baskerville" w:cs="Baskerville"/>
                <w:sz w:val="22"/>
                <w:szCs w:val="22"/>
                <w:u w:val="single"/>
              </w:rPr>
              <w:t xml:space="preserve"> Compliance</w:t>
            </w:r>
          </w:p>
          <w:p w:rsidR="00DE0C55" w:rsidRDefault="00DE0C55" w:rsidP="006A7CFF">
            <w:pPr>
              <w:tabs>
                <w:tab w:val="left" w:pos="1440"/>
                <w:tab w:val="left" w:pos="4920"/>
                <w:tab w:val="right" w:pos="8640"/>
              </w:tabs>
              <w:ind w:left="-108" w:right="-108"/>
              <w:jc w:val="center"/>
              <w:rPr>
                <w:rFonts w:ascii="Baskerville" w:hAnsi="Baskerville" w:cs="Baskerville"/>
                <w:b/>
                <w:sz w:val="22"/>
                <w:szCs w:val="22"/>
              </w:rPr>
            </w:pPr>
            <w:bookmarkStart w:id="0" w:name="_GoBack"/>
            <w:bookmarkEnd w:id="0"/>
          </w:p>
          <w:p w:rsidR="0083366F" w:rsidRDefault="0083366F" w:rsidP="006A7CFF">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6A7CFF">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E42147">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The Common</w:t>
            </w:r>
            <w:r w:rsidR="000310B6">
              <w:rPr>
                <w:rFonts w:ascii="Baskerville" w:hAnsi="Baskerville" w:cs="Baskerville"/>
                <w:sz w:val="22"/>
                <w:szCs w:val="22"/>
              </w:rPr>
              <w:t>wealth</w:t>
            </w:r>
            <w:r w:rsidRPr="00DF1E2F">
              <w:rPr>
                <w:rFonts w:ascii="Baskerville" w:hAnsi="Baskerville" w:cs="Baskerville"/>
                <w:sz w:val="22"/>
                <w:szCs w:val="22"/>
              </w:rPr>
              <w:t xml:space="preserve"> developed a plan, </w:t>
            </w:r>
            <w:r w:rsidR="00AF3BDE">
              <w:rPr>
                <w:rFonts w:ascii="Baskerville" w:hAnsi="Baskerville" w:cs="Baskerville"/>
                <w:sz w:val="22"/>
                <w:szCs w:val="22"/>
              </w:rPr>
              <w:t>communicated with,</w:t>
            </w:r>
            <w:r w:rsidR="00955EE4">
              <w:rPr>
                <w:rFonts w:ascii="Baskerville" w:hAnsi="Baskerville" w:cs="Baskerville"/>
                <w:sz w:val="22"/>
                <w:szCs w:val="22"/>
              </w:rPr>
              <w:t xml:space="preserve"> disseminated written materials</w:t>
            </w:r>
            <w:r w:rsidR="00DC3978">
              <w:rPr>
                <w:rFonts w:ascii="Baskerville" w:hAnsi="Baskerville" w:cs="Baskerville"/>
                <w:sz w:val="22"/>
                <w:szCs w:val="22"/>
              </w:rPr>
              <w:t xml:space="preserve"> to</w:t>
            </w:r>
            <w:r w:rsidR="00AF3BDE">
              <w:rPr>
                <w:rFonts w:ascii="Baskerville" w:hAnsi="Baskerville" w:cs="Baskerville"/>
                <w:sz w:val="22"/>
                <w:szCs w:val="22"/>
              </w:rPr>
              <w:t>,</w:t>
            </w:r>
            <w:r w:rsidR="00DC3978">
              <w:rPr>
                <w:rFonts w:ascii="Baskerville" w:hAnsi="Baskerville" w:cs="Baskerville"/>
                <w:sz w:val="22"/>
                <w:szCs w:val="22"/>
              </w:rPr>
              <w:t xml:space="preserve"> and</w:t>
            </w:r>
            <w:r w:rsidR="00955EE4">
              <w:rPr>
                <w:rFonts w:ascii="Baskerville" w:hAnsi="Baskerville" w:cs="Baskerville"/>
                <w:sz w:val="22"/>
                <w:szCs w:val="22"/>
              </w:rPr>
              <w:t xml:space="preserve"> </w:t>
            </w:r>
            <w:r w:rsidR="000E54EC">
              <w:rPr>
                <w:rFonts w:ascii="Baskerville" w:hAnsi="Baskerville" w:cs="Baskerville"/>
                <w:sz w:val="22"/>
                <w:szCs w:val="22"/>
              </w:rPr>
              <w:t>conducted regional meetings with law enforcement entities</w:t>
            </w:r>
            <w:r w:rsidR="00AF3BDE">
              <w:rPr>
                <w:rFonts w:ascii="Baskerville" w:hAnsi="Baskerville" w:cs="Baskerville"/>
                <w:sz w:val="22"/>
                <w:szCs w:val="22"/>
              </w:rPr>
              <w:t xml:space="preserve"> about crisis services</w:t>
            </w:r>
            <w:r w:rsidR="00D45656">
              <w:rPr>
                <w:rFonts w:ascii="Baskerville" w:hAnsi="Baskerville" w:cs="Baskerville"/>
                <w:sz w:val="22"/>
                <w:szCs w:val="22"/>
              </w:rPr>
              <w:t>. I</w:t>
            </w:r>
            <w:r w:rsidR="00767E94">
              <w:rPr>
                <w:rFonts w:ascii="Baskerville" w:hAnsi="Baskerville" w:cs="Baskerville"/>
                <w:sz w:val="22"/>
                <w:szCs w:val="22"/>
              </w:rPr>
              <w:t xml:space="preserve">t </w:t>
            </w:r>
            <w:r w:rsidR="00FB7230">
              <w:rPr>
                <w:rFonts w:ascii="Baskerville" w:hAnsi="Baskerville" w:cs="Baskerville"/>
                <w:sz w:val="22"/>
                <w:szCs w:val="22"/>
              </w:rPr>
              <w:t>developed an online</w:t>
            </w:r>
            <w:r w:rsidRPr="00DF1E2F">
              <w:rPr>
                <w:rFonts w:ascii="Baskerville" w:hAnsi="Baskerville" w:cs="Baskerville"/>
                <w:sz w:val="22"/>
                <w:szCs w:val="22"/>
              </w:rPr>
              <w:t xml:space="preserve"> </w:t>
            </w:r>
            <w:r w:rsidR="00FB7230">
              <w:rPr>
                <w:rFonts w:ascii="Baskerville" w:hAnsi="Baskerville" w:cs="Baskerville"/>
                <w:sz w:val="22"/>
                <w:szCs w:val="22"/>
              </w:rPr>
              <w:t xml:space="preserve">training module available to police. </w:t>
            </w:r>
            <w:r w:rsidR="00A40D4F">
              <w:rPr>
                <w:rFonts w:ascii="Baskerville" w:hAnsi="Baskerville" w:cs="Baskerville"/>
                <w:sz w:val="22"/>
                <w:szCs w:val="22"/>
              </w:rPr>
              <w:t>226 officers were trained during the review period.</w:t>
            </w:r>
          </w:p>
        </w:tc>
      </w:tr>
      <w:tr w:rsidR="0083366F" w:rsidRPr="00DF1E2F" w:rsidTr="0094744A">
        <w:trPr>
          <w:trHeight w:val="2096"/>
        </w:trPr>
        <w:tc>
          <w:tcPr>
            <w:tcW w:w="1530" w:type="dxa"/>
            <w:vAlign w:val="center"/>
          </w:tcPr>
          <w:p w:rsidR="0083366F" w:rsidRPr="003D735C"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3D735C">
              <w:rPr>
                <w:rFonts w:ascii="Baskerville" w:hAnsi="Baskerville" w:cs="Baskerville"/>
                <w:b/>
                <w:sz w:val="22"/>
                <w:szCs w:val="22"/>
                <w:u w:val="single"/>
              </w:rPr>
              <w:t>III.C.6.b.ii.D</w:t>
            </w:r>
          </w:p>
        </w:tc>
        <w:tc>
          <w:tcPr>
            <w:tcW w:w="4320" w:type="dxa"/>
          </w:tcPr>
          <w:p w:rsidR="0083366F" w:rsidRPr="00DF1E2F" w:rsidRDefault="0083366F" w:rsidP="008E01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Mobile crisis teams shall be available 24 hours per day, 7 days per week and to respond on-site to crises.</w:t>
            </w:r>
          </w:p>
        </w:tc>
        <w:tc>
          <w:tcPr>
            <w:tcW w:w="1440" w:type="dxa"/>
          </w:tcPr>
          <w:p w:rsidR="0026362F" w:rsidRPr="0059724C" w:rsidRDefault="00EE391A"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2"/>
                <w:szCs w:val="22"/>
              </w:rPr>
              <w:t>(</w:t>
            </w:r>
            <w:r w:rsidR="0026362F" w:rsidRPr="0059724C">
              <w:rPr>
                <w:rFonts w:ascii="Baskerville" w:hAnsi="Baskerville" w:cs="Baskerville"/>
                <w:sz w:val="20"/>
                <w:szCs w:val="20"/>
              </w:rPr>
              <w:t>Compliance)</w:t>
            </w:r>
          </w:p>
          <w:p w:rsidR="0083366F" w:rsidRPr="00DF1E2F" w:rsidRDefault="0083366F" w:rsidP="00EE6106">
            <w:pPr>
              <w:tabs>
                <w:tab w:val="left" w:pos="1314"/>
                <w:tab w:val="left" w:pos="1440"/>
                <w:tab w:val="left" w:pos="4920"/>
                <w:tab w:val="right" w:pos="8640"/>
              </w:tabs>
              <w:ind w:left="-108" w:right="-108"/>
              <w:jc w:val="center"/>
              <w:rPr>
                <w:rFonts w:ascii="Baskerville" w:hAnsi="Baskerville" w:cs="Baskerville"/>
                <w:b/>
                <w:sz w:val="22"/>
                <w:szCs w:val="22"/>
              </w:rPr>
            </w:pPr>
          </w:p>
          <w:p w:rsidR="00EE391A" w:rsidRPr="00EE391A" w:rsidRDefault="00EE391A" w:rsidP="00EE391A">
            <w:pPr>
              <w:tabs>
                <w:tab w:val="left" w:pos="1404"/>
                <w:tab w:val="left" w:pos="1440"/>
                <w:tab w:val="left" w:pos="4920"/>
                <w:tab w:val="right" w:pos="8640"/>
              </w:tabs>
              <w:ind w:left="-108" w:right="-108"/>
              <w:jc w:val="center"/>
              <w:rPr>
                <w:rFonts w:ascii="Baskerville" w:hAnsi="Baskerville" w:cs="Baskerville"/>
                <w:sz w:val="22"/>
                <w:szCs w:val="22"/>
                <w:u w:val="single"/>
              </w:rPr>
            </w:pPr>
            <w:r w:rsidRPr="00F761DA">
              <w:rPr>
                <w:rFonts w:ascii="Baskerville" w:hAnsi="Baskerville" w:cs="Baskerville"/>
                <w:sz w:val="22"/>
                <w:szCs w:val="22"/>
                <w:u w:val="single"/>
              </w:rPr>
              <w:t>Non</w:t>
            </w:r>
            <w:r>
              <w:rPr>
                <w:rFonts w:ascii="Baskerville" w:hAnsi="Baskerville" w:cs="Baskerville"/>
                <w:sz w:val="22"/>
                <w:szCs w:val="22"/>
                <w:u w:val="single"/>
              </w:rPr>
              <w:t xml:space="preserve"> Compliance</w:t>
            </w:r>
          </w:p>
          <w:p w:rsidR="00EE391A" w:rsidRDefault="00EE391A" w:rsidP="0079503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0936B3">
            <w:pPr>
              <w:rPr>
                <w:rFonts w:ascii="Baskerville" w:hAnsi="Baskerville" w:cs="Baskerville"/>
                <w:sz w:val="22"/>
                <w:szCs w:val="22"/>
              </w:rPr>
            </w:pPr>
            <w:r w:rsidRPr="00DF1E2F">
              <w:rPr>
                <w:rFonts w:ascii="Baskerville" w:hAnsi="Baskerville" w:cs="Baskerville"/>
                <w:sz w:val="22"/>
                <w:szCs w:val="22"/>
              </w:rPr>
              <w:t xml:space="preserve">All Regions’ REACH mobile crisis teams operate </w:t>
            </w:r>
            <w:r w:rsidR="00AD1C6E">
              <w:rPr>
                <w:rFonts w:ascii="Baskerville" w:hAnsi="Baskerville" w:cs="Baskerville"/>
                <w:sz w:val="22"/>
                <w:szCs w:val="22"/>
              </w:rPr>
              <w:t xml:space="preserve">and respond </w:t>
            </w:r>
            <w:r w:rsidRPr="00DF1E2F">
              <w:rPr>
                <w:rFonts w:ascii="Baskerville" w:hAnsi="Baskerville" w:cs="Baskerville"/>
                <w:sz w:val="22"/>
                <w:szCs w:val="22"/>
              </w:rPr>
              <w:t xml:space="preserve">at all hours. </w:t>
            </w:r>
            <w:r w:rsidR="000936B3">
              <w:rPr>
                <w:rFonts w:ascii="Baskerville" w:hAnsi="Baskerville" w:cs="Baskerville"/>
                <w:color w:val="000000" w:themeColor="text1"/>
                <w:sz w:val="22"/>
                <w:szCs w:val="22"/>
              </w:rPr>
              <w:t>DBHDS</w:t>
            </w:r>
            <w:r w:rsidRPr="00DF1E2F">
              <w:rPr>
                <w:rFonts w:ascii="Baskerville" w:hAnsi="Baskerville" w:cs="Baskerville"/>
                <w:color w:val="000000" w:themeColor="text1"/>
                <w:sz w:val="22"/>
                <w:szCs w:val="22"/>
              </w:rPr>
              <w:t xml:space="preserve"> report</w:t>
            </w:r>
            <w:r w:rsidR="000936B3">
              <w:rPr>
                <w:rFonts w:ascii="Baskerville" w:hAnsi="Baskerville" w:cs="Baskerville"/>
                <w:color w:val="000000" w:themeColor="text1"/>
                <w:sz w:val="22"/>
                <w:szCs w:val="22"/>
              </w:rPr>
              <w:t>ed</w:t>
            </w:r>
            <w:r w:rsidRPr="00DF1E2F">
              <w:rPr>
                <w:rFonts w:ascii="Baskerville" w:hAnsi="Baskerville" w:cs="Baskerville"/>
                <w:color w:val="000000" w:themeColor="text1"/>
                <w:sz w:val="22"/>
                <w:szCs w:val="22"/>
              </w:rPr>
              <w:t xml:space="preserve"> information </w:t>
            </w:r>
            <w:r w:rsidR="000936B3">
              <w:rPr>
                <w:rFonts w:ascii="Baskerville" w:hAnsi="Baskerville" w:cs="Baskerville"/>
                <w:color w:val="000000" w:themeColor="text1"/>
                <w:sz w:val="22"/>
                <w:szCs w:val="22"/>
              </w:rPr>
              <w:t xml:space="preserve">regarding </w:t>
            </w:r>
            <w:r w:rsidRPr="00DF1E2F">
              <w:rPr>
                <w:rFonts w:ascii="Baskerville" w:hAnsi="Baskerville" w:cs="Baskerville"/>
                <w:color w:val="000000" w:themeColor="text1"/>
                <w:sz w:val="22"/>
                <w:szCs w:val="22"/>
              </w:rPr>
              <w:t>where crisis assessments</w:t>
            </w:r>
            <w:r w:rsidR="000936B3">
              <w:rPr>
                <w:rFonts w:ascii="Baskerville" w:hAnsi="Baskerville" w:cs="Baskerville"/>
                <w:color w:val="000000" w:themeColor="text1"/>
                <w:sz w:val="22"/>
                <w:szCs w:val="22"/>
              </w:rPr>
              <w:t xml:space="preserve"> were conducted during second and third</w:t>
            </w:r>
            <w:r w:rsidRPr="00DF1E2F">
              <w:rPr>
                <w:rFonts w:ascii="Baskerville" w:hAnsi="Baskerville" w:cs="Baskerville"/>
                <w:color w:val="000000" w:themeColor="text1"/>
                <w:sz w:val="22"/>
                <w:szCs w:val="22"/>
              </w:rPr>
              <w:t xml:space="preserve"> quarter</w:t>
            </w:r>
            <w:r w:rsidR="000936B3">
              <w:rPr>
                <w:rFonts w:ascii="Baskerville" w:hAnsi="Baskerville" w:cs="Baskerville"/>
                <w:color w:val="000000" w:themeColor="text1"/>
                <w:sz w:val="22"/>
                <w:szCs w:val="22"/>
              </w:rPr>
              <w:t>s</w:t>
            </w:r>
            <w:r w:rsidRPr="00DF1E2F">
              <w:rPr>
                <w:rFonts w:ascii="Baskerville" w:hAnsi="Baskerville" w:cs="Baskerville"/>
                <w:color w:val="000000" w:themeColor="text1"/>
                <w:sz w:val="22"/>
                <w:szCs w:val="22"/>
              </w:rPr>
              <w:t xml:space="preserve"> of FY15. </w:t>
            </w:r>
          </w:p>
        </w:tc>
      </w:tr>
      <w:tr w:rsidR="0083366F" w:rsidRPr="00DF1E2F" w:rsidTr="0094744A">
        <w:trPr>
          <w:trHeight w:val="2078"/>
        </w:trPr>
        <w:tc>
          <w:tcPr>
            <w:tcW w:w="1530" w:type="dxa"/>
            <w:vAlign w:val="center"/>
          </w:tcPr>
          <w:p w:rsidR="0083366F" w:rsidRPr="00086096"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086096">
              <w:rPr>
                <w:rFonts w:ascii="Baskerville" w:hAnsi="Baskerville" w:cs="Baskerville"/>
                <w:b/>
                <w:sz w:val="22"/>
                <w:szCs w:val="22"/>
                <w:u w:val="single"/>
              </w:rPr>
              <w:t>III.C.6.b.ii.E</w:t>
            </w:r>
          </w:p>
        </w:tc>
        <w:tc>
          <w:tcPr>
            <w:tcW w:w="4320" w:type="dxa"/>
          </w:tcPr>
          <w:p w:rsidR="0083366F" w:rsidRPr="00DF1E2F" w:rsidRDefault="0083366F" w:rsidP="008E01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Mobile crisis teams shall provide local and timely in home crisis support for up to three days, with the possibility of an additional period of up to 3 days upon review by the Regional Mobile Crisis Team Coordinator</w:t>
            </w:r>
          </w:p>
        </w:tc>
        <w:tc>
          <w:tcPr>
            <w:tcW w:w="1440" w:type="dxa"/>
          </w:tcPr>
          <w:p w:rsidR="0000799C" w:rsidRPr="0000799C" w:rsidRDefault="0000799C" w:rsidP="0000799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w:t>
            </w:r>
            <w:r w:rsidR="00A030FC">
              <w:rPr>
                <w:rFonts w:ascii="Baskerville" w:hAnsi="Baskerville" w:cs="Baskerville"/>
                <w:sz w:val="20"/>
                <w:szCs w:val="20"/>
              </w:rPr>
              <w:t xml:space="preserve">Non </w:t>
            </w:r>
            <w:r w:rsidRPr="0000799C">
              <w:rPr>
                <w:rFonts w:ascii="Baskerville" w:hAnsi="Baskerville" w:cs="Baskerville"/>
                <w:sz w:val="20"/>
                <w:szCs w:val="20"/>
              </w:rPr>
              <w:t>Compliance)</w:t>
            </w:r>
          </w:p>
          <w:p w:rsidR="0083366F" w:rsidRPr="00DF1E2F" w:rsidRDefault="0083366F" w:rsidP="00577A3E">
            <w:pPr>
              <w:tabs>
                <w:tab w:val="left" w:pos="1440"/>
                <w:tab w:val="left" w:pos="4920"/>
                <w:tab w:val="right" w:pos="8640"/>
              </w:tabs>
              <w:ind w:left="-115" w:right="-115"/>
              <w:jc w:val="center"/>
              <w:rPr>
                <w:rFonts w:ascii="Baskerville" w:hAnsi="Baskerville" w:cs="Baskerville"/>
                <w:sz w:val="22"/>
                <w:szCs w:val="22"/>
              </w:rPr>
            </w:pPr>
          </w:p>
          <w:p w:rsidR="0083366F" w:rsidRPr="007C3B56" w:rsidRDefault="00A030FC" w:rsidP="00577A3E">
            <w:pPr>
              <w:tabs>
                <w:tab w:val="left" w:pos="1440"/>
                <w:tab w:val="left" w:pos="4920"/>
                <w:tab w:val="right" w:pos="8640"/>
              </w:tabs>
              <w:ind w:left="-115" w:right="-115"/>
              <w:jc w:val="center"/>
              <w:rPr>
                <w:rFonts w:ascii="Baskerville" w:hAnsi="Baskerville" w:cs="Baskerville"/>
                <w:sz w:val="22"/>
                <w:szCs w:val="22"/>
                <w:u w:val="single"/>
              </w:rPr>
            </w:pPr>
            <w:r w:rsidRPr="007C3B56">
              <w:rPr>
                <w:rFonts w:ascii="Baskerville" w:hAnsi="Baskerville" w:cs="Baskerville"/>
                <w:sz w:val="22"/>
                <w:szCs w:val="22"/>
                <w:u w:val="single"/>
              </w:rPr>
              <w:t>Compliance</w:t>
            </w:r>
          </w:p>
          <w:p w:rsidR="00A030FC" w:rsidRPr="00DF1E2F" w:rsidRDefault="00A030FC" w:rsidP="00577A3E">
            <w:pPr>
              <w:tabs>
                <w:tab w:val="left" w:pos="1440"/>
                <w:tab w:val="left" w:pos="4920"/>
                <w:tab w:val="right" w:pos="8640"/>
              </w:tabs>
              <w:ind w:left="-115" w:right="-115"/>
              <w:jc w:val="center"/>
              <w:rPr>
                <w:rFonts w:ascii="Baskerville" w:hAnsi="Baskerville" w:cs="Baskerville"/>
                <w:sz w:val="22"/>
                <w:szCs w:val="22"/>
              </w:rPr>
            </w:pPr>
          </w:p>
          <w:p w:rsidR="0083366F" w:rsidRPr="00DF1E2F" w:rsidRDefault="0083366F" w:rsidP="00577A3E">
            <w:pPr>
              <w:tabs>
                <w:tab w:val="left" w:pos="1440"/>
                <w:tab w:val="left" w:pos="4920"/>
                <w:tab w:val="right" w:pos="8640"/>
              </w:tabs>
              <w:ind w:left="-115" w:right="-115"/>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577A3E">
            <w:pPr>
              <w:tabs>
                <w:tab w:val="left" w:pos="1440"/>
                <w:tab w:val="left" w:pos="4920"/>
                <w:tab w:val="right" w:pos="8640"/>
              </w:tabs>
              <w:ind w:left="-115" w:right="-115"/>
              <w:jc w:val="center"/>
              <w:rPr>
                <w:rFonts w:ascii="Baskerville" w:hAnsi="Baskerville" w:cs="Baskerville"/>
                <w:b/>
                <w:sz w:val="22"/>
                <w:szCs w:val="22"/>
              </w:rPr>
            </w:pPr>
          </w:p>
          <w:p w:rsidR="0083366F" w:rsidRPr="00DF1E2F" w:rsidRDefault="0083366F" w:rsidP="00577A3E">
            <w:pPr>
              <w:tabs>
                <w:tab w:val="left" w:pos="1440"/>
                <w:tab w:val="left" w:pos="4920"/>
                <w:tab w:val="right" w:pos="8640"/>
              </w:tabs>
              <w:ind w:left="-115" w:right="-115"/>
              <w:jc w:val="center"/>
              <w:rPr>
                <w:rFonts w:ascii="Baskerville" w:hAnsi="Baskerville" w:cs="Baskerville"/>
                <w:sz w:val="22"/>
                <w:szCs w:val="22"/>
              </w:rPr>
            </w:pPr>
          </w:p>
        </w:tc>
        <w:tc>
          <w:tcPr>
            <w:tcW w:w="2880" w:type="dxa"/>
          </w:tcPr>
          <w:p w:rsidR="0083366F" w:rsidRPr="00DF1E2F" w:rsidRDefault="0083366F" w:rsidP="00424E9F">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The Commonwealth is now providing data on the amount of time that is devoted to a part</w:t>
            </w:r>
            <w:r w:rsidR="00D45656">
              <w:rPr>
                <w:rFonts w:ascii="Baskerville" w:hAnsi="Baskerville" w:cs="Baskerville"/>
                <w:sz w:val="22"/>
                <w:szCs w:val="22"/>
              </w:rPr>
              <w:t>icular individual. All but one R</w:t>
            </w:r>
            <w:r w:rsidRPr="00DF1E2F">
              <w:rPr>
                <w:rFonts w:ascii="Baskerville" w:hAnsi="Baskerville" w:cs="Baskerville"/>
                <w:sz w:val="22"/>
                <w:szCs w:val="22"/>
              </w:rPr>
              <w:t xml:space="preserve">egion provided individuals with more than an </w:t>
            </w:r>
            <w:r w:rsidRPr="00DF1E2F">
              <w:rPr>
                <w:rFonts w:ascii="Baskerville" w:hAnsi="Baskerville" w:cs="Baskerville"/>
                <w:sz w:val="22"/>
                <w:szCs w:val="22"/>
                <w:u w:val="single"/>
              </w:rPr>
              <w:t>average</w:t>
            </w:r>
            <w:r w:rsidRPr="00DF1E2F">
              <w:rPr>
                <w:rFonts w:ascii="Baskerville" w:hAnsi="Baskerville" w:cs="Baskerville"/>
                <w:sz w:val="22"/>
                <w:szCs w:val="22"/>
              </w:rPr>
              <w:t xml:space="preserve"> of three days of in-home support services.</w:t>
            </w:r>
          </w:p>
        </w:tc>
      </w:tr>
      <w:tr w:rsidR="0083366F" w:rsidRPr="00DF1E2F" w:rsidTr="00E507C3">
        <w:trPr>
          <w:trHeight w:val="1322"/>
        </w:trPr>
        <w:tc>
          <w:tcPr>
            <w:tcW w:w="1530" w:type="dxa"/>
            <w:vAlign w:val="center"/>
          </w:tcPr>
          <w:p w:rsidR="0083366F" w:rsidRPr="004F6504"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4F6504">
              <w:rPr>
                <w:rFonts w:ascii="Baskerville" w:hAnsi="Baskerville" w:cs="Baskerville"/>
                <w:b/>
                <w:sz w:val="22"/>
                <w:szCs w:val="22"/>
                <w:u w:val="single"/>
              </w:rPr>
              <w:t>III.C.6.b.ii.G</w:t>
            </w:r>
          </w:p>
        </w:tc>
        <w:tc>
          <w:tcPr>
            <w:tcW w:w="4320" w:type="dxa"/>
          </w:tcPr>
          <w:p w:rsidR="0083366F" w:rsidRPr="00DF1E2F" w:rsidRDefault="0083366F" w:rsidP="008E01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By June 30, 2013, the Commonwealth shall have at least two mobile crisis teams in each Region that shall respond to on-site crises within two hours.</w:t>
            </w:r>
          </w:p>
        </w:tc>
        <w:tc>
          <w:tcPr>
            <w:tcW w:w="1440" w:type="dxa"/>
          </w:tcPr>
          <w:p w:rsidR="0026362F" w:rsidRPr="0059724C" w:rsidRDefault="0026362F" w:rsidP="0026362F">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59724C">
              <w:rPr>
                <w:rFonts w:ascii="Baskerville" w:hAnsi="Baskerville" w:cs="Baskerville"/>
                <w:sz w:val="20"/>
                <w:szCs w:val="20"/>
              </w:rPr>
              <w:t>Non Compliance)</w:t>
            </w:r>
          </w:p>
          <w:p w:rsidR="007C3B56" w:rsidRDefault="007C3B56" w:rsidP="007C3B56">
            <w:pPr>
              <w:tabs>
                <w:tab w:val="left" w:pos="1440"/>
                <w:tab w:val="left" w:pos="4920"/>
                <w:tab w:val="right" w:pos="8640"/>
              </w:tabs>
              <w:ind w:left="-108" w:right="-108"/>
              <w:jc w:val="center"/>
              <w:rPr>
                <w:rFonts w:ascii="Baskerville" w:hAnsi="Baskerville" w:cs="Baskerville"/>
                <w:sz w:val="22"/>
                <w:szCs w:val="22"/>
              </w:rPr>
            </w:pPr>
          </w:p>
          <w:p w:rsidR="007C3B56" w:rsidRPr="007C3B56" w:rsidRDefault="007C3B56" w:rsidP="007C3B56">
            <w:pPr>
              <w:tabs>
                <w:tab w:val="left" w:pos="1440"/>
                <w:tab w:val="left" w:pos="4920"/>
                <w:tab w:val="right" w:pos="8640"/>
              </w:tabs>
              <w:ind w:left="-108" w:right="-108"/>
              <w:jc w:val="center"/>
              <w:rPr>
                <w:rFonts w:ascii="Baskerville" w:hAnsi="Baskerville" w:cs="Baskerville"/>
                <w:sz w:val="22"/>
                <w:szCs w:val="22"/>
                <w:u w:val="single"/>
              </w:rPr>
            </w:pPr>
            <w:r w:rsidRPr="007C3B56">
              <w:rPr>
                <w:rFonts w:ascii="Baskerville" w:hAnsi="Baskerville" w:cs="Baskerville"/>
                <w:sz w:val="22"/>
                <w:szCs w:val="22"/>
                <w:u w:val="single"/>
              </w:rPr>
              <w:t>Non Compliance</w:t>
            </w:r>
          </w:p>
          <w:p w:rsidR="007C3B56" w:rsidRPr="007C3B56" w:rsidRDefault="007C3B56" w:rsidP="00FC5C28">
            <w:pPr>
              <w:tabs>
                <w:tab w:val="left" w:pos="1440"/>
                <w:tab w:val="left" w:pos="4920"/>
                <w:tab w:val="right" w:pos="8640"/>
              </w:tabs>
              <w:ind w:left="-108" w:right="-108"/>
              <w:jc w:val="center"/>
              <w:rPr>
                <w:rFonts w:ascii="Baskerville" w:hAnsi="Baskerville" w:cs="Baskerville"/>
                <w:sz w:val="22"/>
                <w:szCs w:val="22"/>
                <w:u w:val="single"/>
              </w:rPr>
            </w:pPr>
          </w:p>
          <w:p w:rsidR="0083366F" w:rsidRPr="00DF1E2F" w:rsidRDefault="0083366F" w:rsidP="00FC5C28">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Non Compliance</w:t>
            </w:r>
          </w:p>
          <w:p w:rsidR="0083366F" w:rsidRPr="00DF1E2F" w:rsidRDefault="0083366F" w:rsidP="00FC5C2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5077BF">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The Commonwealth has no</w:t>
            </w:r>
            <w:r>
              <w:rPr>
                <w:rFonts w:ascii="Baskerville" w:hAnsi="Baskerville" w:cs="Baskerville"/>
                <w:sz w:val="22"/>
                <w:szCs w:val="22"/>
              </w:rPr>
              <w:t>t created new teams</w:t>
            </w:r>
            <w:r w:rsidRPr="00DF1E2F">
              <w:rPr>
                <w:rFonts w:ascii="Baskerville" w:hAnsi="Baskerville" w:cs="Baskerville"/>
                <w:sz w:val="22"/>
                <w:szCs w:val="22"/>
              </w:rPr>
              <w:t xml:space="preserve">. Regions added staff to existing teams to improve response time. </w:t>
            </w:r>
            <w:r w:rsidR="00F624C4">
              <w:rPr>
                <w:rFonts w:ascii="Baskerville" w:hAnsi="Baskerville" w:cs="Baskerville"/>
                <w:sz w:val="22"/>
                <w:szCs w:val="22"/>
              </w:rPr>
              <w:t xml:space="preserve">DBHDS records do not demonstrate compliance. </w:t>
            </w:r>
            <w:r w:rsidR="00CF413E">
              <w:rPr>
                <w:rFonts w:ascii="Baskerville" w:hAnsi="Baskerville" w:cs="Baskerville"/>
                <w:sz w:val="22"/>
                <w:szCs w:val="22"/>
              </w:rPr>
              <w:t>Three R</w:t>
            </w:r>
            <w:r w:rsidR="00666430">
              <w:rPr>
                <w:rFonts w:ascii="Baskerville" w:hAnsi="Baskerville" w:cs="Baskerville"/>
                <w:sz w:val="22"/>
                <w:szCs w:val="22"/>
              </w:rPr>
              <w:t>egions are</w:t>
            </w:r>
            <w:r w:rsidR="00E10A26">
              <w:rPr>
                <w:rFonts w:ascii="Baskerville" w:hAnsi="Baskerville" w:cs="Baskerville"/>
                <w:sz w:val="22"/>
                <w:szCs w:val="22"/>
              </w:rPr>
              <w:t xml:space="preserve"> m</w:t>
            </w:r>
            <w:r w:rsidR="00666430">
              <w:rPr>
                <w:rFonts w:ascii="Baskerville" w:hAnsi="Baskerville" w:cs="Baskerville"/>
                <w:sz w:val="22"/>
                <w:szCs w:val="22"/>
              </w:rPr>
              <w:t xml:space="preserve">issing data that </w:t>
            </w:r>
            <w:r w:rsidR="00B47A0C">
              <w:rPr>
                <w:rFonts w:ascii="Baskerville" w:hAnsi="Baskerville" w:cs="Baskerville"/>
                <w:sz w:val="22"/>
                <w:szCs w:val="22"/>
              </w:rPr>
              <w:t>responses are within the required time frame.</w:t>
            </w:r>
          </w:p>
        </w:tc>
      </w:tr>
      <w:tr w:rsidR="0083366F" w:rsidRPr="00DF1E2F" w:rsidTr="0094744A">
        <w:trPr>
          <w:trHeight w:val="1493"/>
        </w:trPr>
        <w:tc>
          <w:tcPr>
            <w:tcW w:w="1530" w:type="dxa"/>
            <w:vAlign w:val="center"/>
          </w:tcPr>
          <w:p w:rsidR="0083366F" w:rsidRPr="004F6504"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4F6504">
              <w:rPr>
                <w:rFonts w:ascii="Baskerville" w:hAnsi="Baskerville" w:cs="Baskerville"/>
                <w:b/>
                <w:sz w:val="22"/>
                <w:szCs w:val="22"/>
                <w:u w:val="single"/>
              </w:rPr>
              <w:t>III.C.6.b.ii.H</w:t>
            </w:r>
          </w:p>
        </w:tc>
        <w:tc>
          <w:tcPr>
            <w:tcW w:w="4320" w:type="dxa"/>
          </w:tcPr>
          <w:p w:rsidR="0083366F" w:rsidRPr="00DF1E2F" w:rsidRDefault="0083366F" w:rsidP="00B052BB">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By June 30, 2014, the Commonwealth shall have a sufficient number of mobile crisis teams in each Region to respond on site to crises as follows: in urban areas, within one hour, and in rural areas, within two hours, as measured by the average annual response time.</w:t>
            </w:r>
          </w:p>
        </w:tc>
        <w:tc>
          <w:tcPr>
            <w:tcW w:w="1440" w:type="dxa"/>
          </w:tcPr>
          <w:p w:rsidR="009B2D81" w:rsidRPr="00765FFD" w:rsidRDefault="00765FFD" w:rsidP="00795035">
            <w:pPr>
              <w:tabs>
                <w:tab w:val="left" w:pos="1440"/>
                <w:tab w:val="left" w:pos="4920"/>
                <w:tab w:val="right" w:pos="8640"/>
              </w:tabs>
              <w:ind w:left="-108" w:right="-108"/>
              <w:jc w:val="center"/>
              <w:rPr>
                <w:rFonts w:ascii="Baskerville" w:hAnsi="Baskerville" w:cs="Baskerville"/>
                <w:sz w:val="20"/>
                <w:szCs w:val="20"/>
              </w:rPr>
            </w:pPr>
            <w:r w:rsidRPr="00765FFD">
              <w:rPr>
                <w:rFonts w:ascii="Baskerville" w:hAnsi="Baskerville" w:cs="Baskerville"/>
                <w:sz w:val="20"/>
                <w:szCs w:val="20"/>
              </w:rPr>
              <w:t>(Not due)</w:t>
            </w:r>
          </w:p>
          <w:p w:rsidR="00765FFD" w:rsidRDefault="00765FFD" w:rsidP="0000799C">
            <w:pPr>
              <w:tabs>
                <w:tab w:val="left" w:pos="1692"/>
                <w:tab w:val="left" w:pos="4920"/>
                <w:tab w:val="right" w:pos="8640"/>
              </w:tabs>
              <w:ind w:left="-108" w:right="-108"/>
              <w:jc w:val="center"/>
              <w:rPr>
                <w:rFonts w:ascii="Baskerville" w:hAnsi="Baskerville" w:cs="Baskerville"/>
                <w:sz w:val="20"/>
                <w:szCs w:val="20"/>
              </w:rPr>
            </w:pPr>
          </w:p>
          <w:p w:rsidR="0000799C" w:rsidRPr="00765FFD" w:rsidRDefault="00765FFD" w:rsidP="0000799C">
            <w:pPr>
              <w:tabs>
                <w:tab w:val="left" w:pos="1692"/>
                <w:tab w:val="left" w:pos="4920"/>
                <w:tab w:val="right" w:pos="8640"/>
              </w:tabs>
              <w:ind w:left="-108" w:right="-108"/>
              <w:jc w:val="center"/>
              <w:rPr>
                <w:rFonts w:ascii="Baskerville" w:hAnsi="Baskerville" w:cs="Baskerville"/>
                <w:sz w:val="22"/>
                <w:szCs w:val="22"/>
                <w:u w:val="single"/>
              </w:rPr>
            </w:pPr>
            <w:r w:rsidRPr="00765FFD">
              <w:rPr>
                <w:rFonts w:ascii="Baskerville" w:hAnsi="Baskerville" w:cs="Baskerville"/>
                <w:sz w:val="22"/>
                <w:szCs w:val="22"/>
                <w:u w:val="single"/>
              </w:rPr>
              <w:t>Compliance</w:t>
            </w:r>
          </w:p>
          <w:p w:rsidR="004B3A70" w:rsidRPr="00DF1E2F" w:rsidRDefault="004B3A70" w:rsidP="00795035">
            <w:pPr>
              <w:tabs>
                <w:tab w:val="left" w:pos="1440"/>
                <w:tab w:val="left" w:pos="4920"/>
                <w:tab w:val="right" w:pos="8640"/>
              </w:tabs>
              <w:ind w:left="-108" w:right="-108"/>
              <w:jc w:val="center"/>
              <w:rPr>
                <w:rFonts w:ascii="Baskerville" w:hAnsi="Baskerville" w:cs="Baskerville"/>
                <w:sz w:val="22"/>
                <w:szCs w:val="22"/>
              </w:rPr>
            </w:pPr>
          </w:p>
          <w:p w:rsidR="008B3EF6" w:rsidRDefault="008B3EF6" w:rsidP="00795035">
            <w:pPr>
              <w:tabs>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Non</w:t>
            </w:r>
          </w:p>
          <w:p w:rsidR="0083366F" w:rsidRPr="009B2D81" w:rsidRDefault="009B2D81" w:rsidP="00795035">
            <w:pPr>
              <w:tabs>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Compliance</w:t>
            </w:r>
          </w:p>
        </w:tc>
        <w:tc>
          <w:tcPr>
            <w:tcW w:w="2880" w:type="dxa"/>
          </w:tcPr>
          <w:p w:rsidR="0083366F" w:rsidRPr="00854E12" w:rsidRDefault="003C3A81" w:rsidP="00854E12">
            <w:pPr>
              <w:tabs>
                <w:tab w:val="left" w:pos="1440"/>
                <w:tab w:val="left" w:pos="4920"/>
                <w:tab w:val="right" w:pos="8640"/>
              </w:tabs>
              <w:ind w:right="270"/>
              <w:rPr>
                <w:rFonts w:ascii="Baskerville" w:hAnsi="Baskerville" w:cs="Baskerville"/>
                <w:sz w:val="22"/>
                <w:szCs w:val="22"/>
              </w:rPr>
            </w:pPr>
            <w:r w:rsidRPr="00854E12">
              <w:rPr>
                <w:rFonts w:ascii="Baskerville" w:hAnsi="Baskerville" w:cs="Baskerville"/>
                <w:sz w:val="22"/>
                <w:szCs w:val="22"/>
              </w:rPr>
              <w:t xml:space="preserve">DBHDS cannot provide </w:t>
            </w:r>
            <w:r w:rsidR="00AD0F1F" w:rsidRPr="00854E12">
              <w:rPr>
                <w:rFonts w:ascii="Baskerville" w:hAnsi="Baskerville" w:cs="Baskerville"/>
                <w:sz w:val="22"/>
                <w:szCs w:val="22"/>
              </w:rPr>
              <w:t xml:space="preserve">data from the time between the crisis call and the </w:t>
            </w:r>
            <w:r w:rsidR="00500A9C" w:rsidRPr="00854E12">
              <w:rPr>
                <w:rFonts w:ascii="Baskerville" w:hAnsi="Baskerville" w:cs="Baskerville"/>
                <w:sz w:val="22"/>
                <w:szCs w:val="22"/>
              </w:rPr>
              <w:t>time of on-site</w:t>
            </w:r>
            <w:r w:rsidR="00854E12" w:rsidRPr="00854E12">
              <w:rPr>
                <w:rFonts w:ascii="Baskerville" w:hAnsi="Baskerville" w:cs="Baskerville"/>
                <w:sz w:val="22"/>
                <w:szCs w:val="22"/>
              </w:rPr>
              <w:t xml:space="preserve"> response</w:t>
            </w:r>
            <w:r w:rsidR="00500A9C" w:rsidRPr="00854E12">
              <w:rPr>
                <w:rFonts w:ascii="Baskerville" w:hAnsi="Baskerville" w:cs="Baskerville"/>
                <w:sz w:val="22"/>
                <w:szCs w:val="22"/>
              </w:rPr>
              <w:t>.</w:t>
            </w:r>
          </w:p>
        </w:tc>
      </w:tr>
      <w:tr w:rsidR="0083366F" w:rsidRPr="00DF1E2F" w:rsidTr="0094744A">
        <w:trPr>
          <w:trHeight w:val="989"/>
        </w:trPr>
        <w:tc>
          <w:tcPr>
            <w:tcW w:w="1530" w:type="dxa"/>
            <w:vAlign w:val="center"/>
          </w:tcPr>
          <w:p w:rsidR="0083366F" w:rsidRPr="00560038" w:rsidRDefault="00742B52"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560038">
              <w:rPr>
                <w:rFonts w:ascii="Baskerville" w:hAnsi="Baskerville" w:cs="Baskerville"/>
                <w:b/>
                <w:sz w:val="22"/>
                <w:szCs w:val="22"/>
                <w:u w:val="single"/>
              </w:rPr>
              <w:t>III.</w:t>
            </w:r>
            <w:r w:rsidR="00CD43F3" w:rsidRPr="00560038">
              <w:rPr>
                <w:rFonts w:ascii="Baskerville" w:hAnsi="Baskerville" w:cs="Baskerville"/>
                <w:b/>
                <w:sz w:val="22"/>
                <w:szCs w:val="22"/>
                <w:u w:val="single"/>
              </w:rPr>
              <w:t>C6.</w:t>
            </w:r>
            <w:r w:rsidR="0083366F" w:rsidRPr="00560038">
              <w:rPr>
                <w:rFonts w:ascii="Baskerville" w:hAnsi="Baskerville" w:cs="Baskerville"/>
                <w:b/>
                <w:sz w:val="22"/>
                <w:szCs w:val="22"/>
                <w:u w:val="single"/>
              </w:rPr>
              <w:t>b.iii.A.</w:t>
            </w:r>
          </w:p>
        </w:tc>
        <w:tc>
          <w:tcPr>
            <w:tcW w:w="4320" w:type="dxa"/>
          </w:tcPr>
          <w:p w:rsidR="0083366F" w:rsidRPr="00DF1E2F" w:rsidRDefault="0083366F" w:rsidP="001E2A16">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Crisis Stabilization programs offer a short-term alternative to institutionalization or hospitalization for individuals who need inpatient stabilization services</w:t>
            </w:r>
          </w:p>
        </w:tc>
        <w:tc>
          <w:tcPr>
            <w:tcW w:w="1440" w:type="dxa"/>
          </w:tcPr>
          <w:p w:rsidR="00EA0C77" w:rsidRPr="0000799C" w:rsidRDefault="00EA0C77" w:rsidP="00EA0C77">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D4651D">
            <w:pPr>
              <w:tabs>
                <w:tab w:val="left" w:pos="1440"/>
                <w:tab w:val="left" w:pos="4920"/>
                <w:tab w:val="right" w:pos="8640"/>
              </w:tabs>
              <w:ind w:left="-108" w:right="-108"/>
              <w:jc w:val="center"/>
              <w:rPr>
                <w:rFonts w:ascii="Baskerville" w:hAnsi="Baskerville" w:cs="Baskerville"/>
                <w:sz w:val="22"/>
                <w:szCs w:val="22"/>
                <w:u w:val="single"/>
              </w:rPr>
            </w:pPr>
            <w:r w:rsidRPr="002B1078">
              <w:rPr>
                <w:rFonts w:ascii="Baskerville" w:hAnsi="Baskerville" w:cs="Baskerville"/>
                <w:sz w:val="22"/>
                <w:szCs w:val="22"/>
                <w:u w:val="single"/>
              </w:rPr>
              <w:t>Compliance</w:t>
            </w:r>
          </w:p>
          <w:p w:rsidR="002B1078" w:rsidRPr="00DF1E2F" w:rsidRDefault="002B1078" w:rsidP="002B1078">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79503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34198E">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All Regions continue to have crisis stabilization programs that are providing short-term alternatives.</w:t>
            </w:r>
          </w:p>
        </w:tc>
      </w:tr>
      <w:tr w:rsidR="0083366F" w:rsidRPr="00DF1E2F" w:rsidTr="0094744A">
        <w:trPr>
          <w:trHeight w:val="386"/>
        </w:trPr>
        <w:tc>
          <w:tcPr>
            <w:tcW w:w="1530" w:type="dxa"/>
            <w:vAlign w:val="center"/>
          </w:tcPr>
          <w:p w:rsidR="0083366F" w:rsidRPr="00DF1E2F" w:rsidRDefault="0083366F" w:rsidP="00182A4B">
            <w:pPr>
              <w:tabs>
                <w:tab w:val="left" w:pos="1242"/>
                <w:tab w:val="left" w:pos="1440"/>
                <w:tab w:val="left" w:pos="4920"/>
                <w:tab w:val="right" w:pos="8640"/>
              </w:tabs>
              <w:ind w:left="-108" w:right="-108"/>
              <w:jc w:val="center"/>
              <w:rPr>
                <w:rFonts w:ascii="Baskerville" w:hAnsi="Baskerville" w:cs="Baskerville"/>
                <w:b/>
                <w:sz w:val="22"/>
                <w:szCs w:val="22"/>
              </w:rPr>
            </w:pPr>
            <w:r w:rsidRPr="00560038">
              <w:rPr>
                <w:rFonts w:ascii="Baskerville" w:hAnsi="Baskerville" w:cs="Baskerville"/>
                <w:b/>
                <w:sz w:val="22"/>
                <w:szCs w:val="22"/>
                <w:u w:val="single"/>
              </w:rPr>
              <w:t>III.C.6.b.iii.B</w:t>
            </w:r>
            <w:r w:rsidRPr="00DF1E2F">
              <w:rPr>
                <w:rFonts w:ascii="Baskerville" w:hAnsi="Baskerville" w:cs="Baskerville"/>
                <w:b/>
                <w:sz w:val="22"/>
                <w:szCs w:val="22"/>
              </w:rPr>
              <w:t>.</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Crisis stabilization programs shall be used as a last resort.  The State shall ensure that, prior to transferring an individual to a crisis stabilization program, the mobile crisis team, in collaboration with the provider, has first attempted to resolve the crisis to avoid an out-of-home placement and if that is not possible, has then attempted to locate another community-based placement that could serve as a short-term placement.</w:t>
            </w:r>
          </w:p>
        </w:tc>
        <w:tc>
          <w:tcPr>
            <w:tcW w:w="1440" w:type="dxa"/>
          </w:tcPr>
          <w:p w:rsidR="0083366F" w:rsidRPr="002B1078" w:rsidRDefault="00EA0C77" w:rsidP="002B1078">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Default="0083366F" w:rsidP="004112A8">
            <w:pPr>
              <w:tabs>
                <w:tab w:val="left" w:pos="1440"/>
                <w:tab w:val="left" w:pos="4920"/>
                <w:tab w:val="right" w:pos="8640"/>
              </w:tabs>
              <w:ind w:left="-108" w:right="-108"/>
              <w:jc w:val="center"/>
              <w:rPr>
                <w:rFonts w:ascii="Baskerville" w:hAnsi="Baskerville" w:cs="Baskerville"/>
                <w:sz w:val="22"/>
                <w:szCs w:val="22"/>
                <w:u w:val="single"/>
              </w:rPr>
            </w:pPr>
            <w:r w:rsidRPr="002B1078">
              <w:rPr>
                <w:rFonts w:ascii="Baskerville" w:hAnsi="Baskerville" w:cs="Baskerville"/>
                <w:sz w:val="22"/>
                <w:szCs w:val="22"/>
                <w:u w:val="single"/>
              </w:rPr>
              <w:t>Compliance</w:t>
            </w:r>
          </w:p>
          <w:p w:rsidR="002B1078" w:rsidRDefault="002B1078" w:rsidP="004112A8">
            <w:pPr>
              <w:tabs>
                <w:tab w:val="left" w:pos="1440"/>
                <w:tab w:val="left" w:pos="4920"/>
                <w:tab w:val="right" w:pos="8640"/>
              </w:tabs>
              <w:ind w:left="-108" w:right="-108"/>
              <w:jc w:val="center"/>
              <w:rPr>
                <w:rFonts w:ascii="Baskerville" w:hAnsi="Baskerville" w:cs="Baskerville"/>
                <w:sz w:val="22"/>
                <w:szCs w:val="22"/>
                <w:u w:val="single"/>
              </w:rPr>
            </w:pPr>
          </w:p>
          <w:p w:rsidR="00D81669" w:rsidRDefault="00D81669" w:rsidP="004112A8">
            <w:pPr>
              <w:tabs>
                <w:tab w:val="left" w:pos="1440"/>
                <w:tab w:val="left" w:pos="4920"/>
                <w:tab w:val="right" w:pos="8640"/>
              </w:tabs>
              <w:ind w:left="-108" w:right="-108"/>
              <w:jc w:val="center"/>
              <w:rPr>
                <w:rFonts w:ascii="Baskerville" w:hAnsi="Baskerville" w:cs="Baskerville"/>
                <w:sz w:val="22"/>
                <w:szCs w:val="22"/>
                <w:u w:val="single"/>
              </w:rPr>
            </w:pPr>
          </w:p>
          <w:p w:rsidR="002B1078" w:rsidRPr="00DF1E2F" w:rsidRDefault="002B1078" w:rsidP="002B1078">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2B1078" w:rsidRPr="002B1078" w:rsidRDefault="002B1078" w:rsidP="004112A8">
            <w:pPr>
              <w:tabs>
                <w:tab w:val="left" w:pos="1440"/>
                <w:tab w:val="left" w:pos="4920"/>
                <w:tab w:val="right" w:pos="8640"/>
              </w:tabs>
              <w:ind w:left="-108" w:right="-108"/>
              <w:jc w:val="center"/>
              <w:rPr>
                <w:rFonts w:ascii="Baskerville" w:hAnsi="Baskerville" w:cs="Baskerville"/>
                <w:b/>
                <w:sz w:val="22"/>
                <w:szCs w:val="22"/>
                <w:u w:val="single"/>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EC3F2D" w:rsidP="00EC3F2D">
            <w:pPr>
              <w:tabs>
                <w:tab w:val="left" w:pos="1440"/>
                <w:tab w:val="left" w:pos="4920"/>
                <w:tab w:val="right" w:pos="8640"/>
              </w:tabs>
              <w:ind w:right="-18"/>
              <w:rPr>
                <w:rFonts w:ascii="Baskerville" w:hAnsi="Baskerville" w:cs="Baskerville"/>
                <w:sz w:val="22"/>
                <w:szCs w:val="22"/>
              </w:rPr>
            </w:pPr>
            <w:r>
              <w:rPr>
                <w:rFonts w:ascii="Baskerville" w:hAnsi="Baskerville" w:cs="Baskerville"/>
                <w:sz w:val="22"/>
                <w:szCs w:val="22"/>
              </w:rPr>
              <w:t>For those admitted to the programs, c</w:t>
            </w:r>
            <w:r w:rsidR="0083366F" w:rsidRPr="00DF1E2F">
              <w:rPr>
                <w:rFonts w:ascii="Baskerville" w:hAnsi="Baskerville" w:cs="Baskerville"/>
                <w:sz w:val="22"/>
                <w:szCs w:val="22"/>
              </w:rPr>
              <w:t>risis stabilization programs cont</w:t>
            </w:r>
            <w:r w:rsidR="00903542">
              <w:rPr>
                <w:rFonts w:ascii="Baskerville" w:hAnsi="Baskerville" w:cs="Baskerville"/>
                <w:sz w:val="22"/>
                <w:szCs w:val="22"/>
              </w:rPr>
              <w:t>inue to be used as last r</w:t>
            </w:r>
            <w:r>
              <w:rPr>
                <w:rFonts w:ascii="Baskerville" w:hAnsi="Baskerville" w:cs="Baskerville"/>
                <w:sz w:val="22"/>
                <w:szCs w:val="22"/>
              </w:rPr>
              <w:t>esort. For t</w:t>
            </w:r>
            <w:r w:rsidR="00903542">
              <w:rPr>
                <w:rFonts w:ascii="Baskerville" w:hAnsi="Baskerville" w:cs="Baskerville"/>
                <w:sz w:val="22"/>
                <w:szCs w:val="22"/>
              </w:rPr>
              <w:t>he</w:t>
            </w:r>
            <w:r>
              <w:rPr>
                <w:rFonts w:ascii="Baskerville" w:hAnsi="Baskerville" w:cs="Baskerville"/>
                <w:sz w:val="22"/>
                <w:szCs w:val="22"/>
              </w:rPr>
              <w:t>se individuals</w:t>
            </w:r>
            <w:r w:rsidR="00903542">
              <w:rPr>
                <w:rFonts w:ascii="Baskerville" w:hAnsi="Baskerville" w:cs="Baskerville"/>
                <w:sz w:val="22"/>
                <w:szCs w:val="22"/>
              </w:rPr>
              <w:t xml:space="preserve"> </w:t>
            </w:r>
            <w:r w:rsidR="0083366F" w:rsidRPr="00DF1E2F">
              <w:rPr>
                <w:rFonts w:ascii="Baskerville" w:hAnsi="Baskerville" w:cs="Baskerville"/>
                <w:sz w:val="22"/>
                <w:szCs w:val="22"/>
              </w:rPr>
              <w:t xml:space="preserve">teams </w:t>
            </w:r>
            <w:r w:rsidR="00903542">
              <w:rPr>
                <w:rFonts w:ascii="Baskerville" w:hAnsi="Baskerville" w:cs="Baskerville"/>
                <w:sz w:val="22"/>
                <w:szCs w:val="22"/>
              </w:rPr>
              <w:t xml:space="preserve">have </w:t>
            </w:r>
            <w:r w:rsidR="0083366F" w:rsidRPr="00DF1E2F">
              <w:rPr>
                <w:rFonts w:ascii="Baskerville" w:hAnsi="Baskerville" w:cs="Baskerville"/>
                <w:sz w:val="22"/>
                <w:szCs w:val="22"/>
              </w:rPr>
              <w:t>attempt</w:t>
            </w:r>
            <w:r w:rsidR="00903542">
              <w:rPr>
                <w:rFonts w:ascii="Baskerville" w:hAnsi="Baskerville" w:cs="Baskerville"/>
                <w:sz w:val="22"/>
                <w:szCs w:val="22"/>
              </w:rPr>
              <w:t>ed</w:t>
            </w:r>
            <w:r w:rsidR="0083366F" w:rsidRPr="00DF1E2F">
              <w:rPr>
                <w:rFonts w:ascii="Baskerville" w:hAnsi="Baskerville" w:cs="Baskerville"/>
                <w:sz w:val="22"/>
                <w:szCs w:val="22"/>
              </w:rPr>
              <w:t xml:space="preserve"> to resolve crises and avoid out-of home placements. </w:t>
            </w:r>
          </w:p>
        </w:tc>
      </w:tr>
      <w:tr w:rsidR="0083366F" w:rsidRPr="00DF1E2F" w:rsidTr="0094744A">
        <w:trPr>
          <w:trHeight w:val="1988"/>
        </w:trPr>
        <w:tc>
          <w:tcPr>
            <w:tcW w:w="1530" w:type="dxa"/>
            <w:vAlign w:val="center"/>
          </w:tcPr>
          <w:p w:rsidR="0083366F" w:rsidRPr="001101CD"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1101CD">
              <w:rPr>
                <w:rFonts w:ascii="Baskerville" w:hAnsi="Baskerville" w:cs="Baskerville"/>
                <w:b/>
                <w:sz w:val="22"/>
                <w:szCs w:val="22"/>
                <w:u w:val="single"/>
              </w:rPr>
              <w:t>III.C.6.b.iii.C.</w:t>
            </w:r>
          </w:p>
        </w:tc>
        <w:tc>
          <w:tcPr>
            <w:tcW w:w="4320" w:type="dxa"/>
          </w:tcPr>
          <w:p w:rsidR="004332DF" w:rsidRPr="00DF1E2F" w:rsidRDefault="0083366F" w:rsidP="00CF672C">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If an individual receives crisis stabilization services in a community-based placement instead of a crisis stabilization unit, the individual may be given the option of remaining in the placement if the provider is willing and has capacity to serve the individual and the provider can meet the needs of the individual as determined by the provider and the individual’s case manager.</w:t>
            </w:r>
          </w:p>
        </w:tc>
        <w:tc>
          <w:tcPr>
            <w:tcW w:w="1440" w:type="dxa"/>
          </w:tcPr>
          <w:p w:rsidR="0083366F" w:rsidRPr="00DF1E2F" w:rsidRDefault="00EA0C77" w:rsidP="004112A8">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0083366F" w:rsidRPr="00DF1E2F">
              <w:rPr>
                <w:rFonts w:ascii="Baskerville" w:hAnsi="Baskerville" w:cs="Baskerville"/>
                <w:sz w:val="22"/>
                <w:szCs w:val="22"/>
              </w:rPr>
              <w:t>Deferred</w:t>
            </w:r>
            <w:r w:rsidR="0059724C">
              <w:rPr>
                <w:rFonts w:ascii="Baskerville" w:hAnsi="Baskerville" w:cs="Baskerville"/>
                <w:sz w:val="22"/>
                <w:szCs w:val="22"/>
              </w:rPr>
              <w:t>)</w:t>
            </w:r>
          </w:p>
          <w:p w:rsidR="00EA0C77" w:rsidRPr="00DF1E2F" w:rsidRDefault="00EA0C77" w:rsidP="004112A8">
            <w:pPr>
              <w:tabs>
                <w:tab w:val="left" w:pos="1440"/>
                <w:tab w:val="left" w:pos="4920"/>
                <w:tab w:val="right" w:pos="8640"/>
              </w:tabs>
              <w:ind w:left="-108" w:right="-108"/>
              <w:jc w:val="center"/>
              <w:rPr>
                <w:rFonts w:ascii="Baskerville" w:hAnsi="Baskerville" w:cs="Baskerville"/>
                <w:sz w:val="22"/>
                <w:szCs w:val="22"/>
              </w:rPr>
            </w:pPr>
          </w:p>
          <w:p w:rsidR="0083366F" w:rsidRDefault="0083366F" w:rsidP="004112A8">
            <w:pPr>
              <w:tabs>
                <w:tab w:val="left" w:pos="1440"/>
                <w:tab w:val="left" w:pos="4920"/>
                <w:tab w:val="right" w:pos="8640"/>
              </w:tabs>
              <w:ind w:left="-108" w:right="-108"/>
              <w:jc w:val="center"/>
              <w:rPr>
                <w:rFonts w:ascii="Baskerville" w:hAnsi="Baskerville" w:cs="Baskerville"/>
                <w:sz w:val="22"/>
                <w:szCs w:val="22"/>
                <w:u w:val="single"/>
              </w:rPr>
            </w:pPr>
            <w:r w:rsidRPr="00CF672C">
              <w:rPr>
                <w:rFonts w:ascii="Baskerville" w:hAnsi="Baskerville" w:cs="Baskerville"/>
                <w:sz w:val="22"/>
                <w:szCs w:val="22"/>
                <w:u w:val="single"/>
              </w:rPr>
              <w:t>Deferred</w:t>
            </w:r>
          </w:p>
          <w:p w:rsidR="00CF672C" w:rsidRDefault="00CF672C" w:rsidP="004112A8">
            <w:pPr>
              <w:tabs>
                <w:tab w:val="left" w:pos="1440"/>
                <w:tab w:val="left" w:pos="4920"/>
                <w:tab w:val="right" w:pos="8640"/>
              </w:tabs>
              <w:ind w:left="-108" w:right="-108"/>
              <w:jc w:val="center"/>
              <w:rPr>
                <w:rFonts w:ascii="Baskerville" w:hAnsi="Baskerville" w:cs="Baskerville"/>
                <w:sz w:val="22"/>
                <w:szCs w:val="22"/>
                <w:u w:val="single"/>
              </w:rPr>
            </w:pPr>
          </w:p>
          <w:p w:rsidR="0083366F" w:rsidRPr="00DF1E2F" w:rsidRDefault="00CF672C" w:rsidP="004112A8">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Deferred</w:t>
            </w: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112A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D83DD1">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The Parties have not yet determined whether this provision should remain. Placing individuals who are in crises into the homes of other individuals with ID/DD is not a recommended practice.</w:t>
            </w:r>
          </w:p>
        </w:tc>
      </w:tr>
      <w:tr w:rsidR="0083366F" w:rsidRPr="00DF1E2F" w:rsidTr="0094744A">
        <w:trPr>
          <w:trHeight w:val="728"/>
        </w:trPr>
        <w:tc>
          <w:tcPr>
            <w:tcW w:w="1530" w:type="dxa"/>
            <w:vAlign w:val="center"/>
          </w:tcPr>
          <w:p w:rsidR="0083366F" w:rsidRPr="00DF1E2F" w:rsidRDefault="001101CD" w:rsidP="007373E0">
            <w:pPr>
              <w:tabs>
                <w:tab w:val="left" w:pos="1242"/>
                <w:tab w:val="left" w:pos="1440"/>
                <w:tab w:val="left" w:pos="4920"/>
                <w:tab w:val="right" w:pos="8640"/>
              </w:tabs>
              <w:ind w:left="-108" w:right="-108"/>
              <w:jc w:val="center"/>
              <w:rPr>
                <w:rFonts w:ascii="Baskerville" w:hAnsi="Baskerville" w:cs="Baskerville"/>
                <w:b/>
                <w:sz w:val="22"/>
                <w:szCs w:val="22"/>
              </w:rPr>
            </w:pPr>
            <w:r w:rsidRPr="00A52DA8">
              <w:rPr>
                <w:rFonts w:ascii="Baskerville" w:hAnsi="Baskerville" w:cs="Baskerville"/>
                <w:b/>
                <w:sz w:val="22"/>
                <w:szCs w:val="22"/>
                <w:u w:val="single"/>
              </w:rPr>
              <w:t>III.C.6.b.iii.</w:t>
            </w:r>
            <w:r w:rsidR="0083366F" w:rsidRPr="00A52DA8">
              <w:rPr>
                <w:rFonts w:ascii="Baskerville" w:hAnsi="Baskerville" w:cs="Baskerville"/>
                <w:b/>
                <w:sz w:val="22"/>
                <w:szCs w:val="22"/>
                <w:u w:val="single"/>
              </w:rPr>
              <w:t>D</w:t>
            </w:r>
            <w:r w:rsidR="0083366F" w:rsidRPr="00DF1E2F">
              <w:rPr>
                <w:rFonts w:ascii="Baskerville" w:hAnsi="Baskerville" w:cs="Baskerville"/>
                <w:b/>
                <w:sz w:val="22"/>
                <w:szCs w:val="22"/>
              </w:rPr>
              <w:t>.</w:t>
            </w:r>
          </w:p>
        </w:tc>
        <w:tc>
          <w:tcPr>
            <w:tcW w:w="4320" w:type="dxa"/>
          </w:tcPr>
          <w:p w:rsidR="0083366F" w:rsidRPr="00DF1E2F" w:rsidRDefault="0083366F" w:rsidP="00186F70">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Crisis stabilization programs shall have no more than six beds and lengths of stay shall not exceed 30 days.</w:t>
            </w:r>
          </w:p>
        </w:tc>
        <w:tc>
          <w:tcPr>
            <w:tcW w:w="1440" w:type="dxa"/>
          </w:tcPr>
          <w:p w:rsidR="00EA0C77" w:rsidRPr="0000799C" w:rsidRDefault="00EA0C77" w:rsidP="00EA0C77">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C3507A">
            <w:pPr>
              <w:tabs>
                <w:tab w:val="left" w:pos="1440"/>
                <w:tab w:val="left" w:pos="4920"/>
                <w:tab w:val="right" w:pos="8640"/>
              </w:tabs>
              <w:ind w:left="-108" w:right="-108"/>
              <w:jc w:val="center"/>
              <w:rPr>
                <w:rFonts w:ascii="Baskerville" w:hAnsi="Baskerville" w:cs="Baskerville"/>
                <w:sz w:val="22"/>
                <w:szCs w:val="22"/>
                <w:u w:val="single"/>
              </w:rPr>
            </w:pPr>
            <w:r w:rsidRPr="008A2E9E">
              <w:rPr>
                <w:rFonts w:ascii="Baskerville" w:hAnsi="Baskerville" w:cs="Baskerville"/>
                <w:sz w:val="22"/>
                <w:szCs w:val="22"/>
                <w:u w:val="single"/>
              </w:rPr>
              <w:t>Compliance</w:t>
            </w:r>
          </w:p>
          <w:p w:rsidR="0083366F" w:rsidRPr="00DF1E2F" w:rsidRDefault="008A2E9E" w:rsidP="008A2E9E">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4332DF" w:rsidRPr="00DF1E2F" w:rsidRDefault="0083366F" w:rsidP="008A2E9E">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All five Regions’ crisis stabilization programs continue to comply.</w:t>
            </w:r>
          </w:p>
        </w:tc>
      </w:tr>
      <w:tr w:rsidR="0083366F" w:rsidRPr="00DF1E2F" w:rsidTr="0094744A">
        <w:trPr>
          <w:trHeight w:val="1970"/>
        </w:trPr>
        <w:tc>
          <w:tcPr>
            <w:tcW w:w="1530" w:type="dxa"/>
            <w:vAlign w:val="center"/>
          </w:tcPr>
          <w:p w:rsidR="0083366F" w:rsidRPr="00A52DA8"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A52DA8">
              <w:rPr>
                <w:rFonts w:ascii="Baskerville" w:hAnsi="Baskerville" w:cs="Baskerville"/>
                <w:b/>
                <w:sz w:val="22"/>
                <w:szCs w:val="22"/>
                <w:u w:val="single"/>
              </w:rPr>
              <w:t>III.C.6.b.iii.E.</w:t>
            </w:r>
          </w:p>
        </w:tc>
        <w:tc>
          <w:tcPr>
            <w:tcW w:w="4320" w:type="dxa"/>
          </w:tcPr>
          <w:p w:rsidR="0083366F" w:rsidRPr="00DF1E2F" w:rsidRDefault="0083366F" w:rsidP="00186F70">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With the exception of the Pathways Program at SWVTC … crisis stabilization programs shall not be located on the grounds of the Training Centers or hospitals with inpatient psychiatric beds. </w:t>
            </w:r>
          </w:p>
        </w:tc>
        <w:tc>
          <w:tcPr>
            <w:tcW w:w="1440" w:type="dxa"/>
          </w:tcPr>
          <w:p w:rsidR="0083366F" w:rsidRPr="00AA59B3" w:rsidRDefault="00E71C0D" w:rsidP="00100BE5">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2"/>
                <w:szCs w:val="22"/>
              </w:rPr>
              <w:t>(</w:t>
            </w:r>
            <w:r w:rsidR="0083366F" w:rsidRPr="00AA59B3">
              <w:rPr>
                <w:rFonts w:ascii="Baskerville" w:hAnsi="Baskerville" w:cs="Baskerville"/>
                <w:sz w:val="20"/>
                <w:szCs w:val="20"/>
              </w:rPr>
              <w:t>Substantial</w:t>
            </w:r>
          </w:p>
          <w:p w:rsidR="0083366F" w:rsidRPr="00AA59B3" w:rsidRDefault="0083366F" w:rsidP="00100BE5">
            <w:pPr>
              <w:tabs>
                <w:tab w:val="left" w:pos="1440"/>
                <w:tab w:val="left" w:pos="4920"/>
                <w:tab w:val="right" w:pos="8640"/>
              </w:tabs>
              <w:ind w:left="-108" w:right="-108"/>
              <w:jc w:val="center"/>
              <w:rPr>
                <w:rFonts w:ascii="Baskerville" w:hAnsi="Baskerville" w:cs="Baskerville"/>
                <w:sz w:val="20"/>
                <w:szCs w:val="20"/>
              </w:rPr>
            </w:pPr>
            <w:r w:rsidRPr="00AA59B3">
              <w:rPr>
                <w:rFonts w:ascii="Baskerville" w:hAnsi="Baskerville" w:cs="Baskerville"/>
                <w:sz w:val="20"/>
                <w:szCs w:val="20"/>
              </w:rPr>
              <w:t>Compliance</w:t>
            </w:r>
            <w:r w:rsidR="00AA59B3" w:rsidRPr="00AA59B3">
              <w:rPr>
                <w:rFonts w:ascii="Baskerville" w:hAnsi="Baskerville" w:cs="Baskerville"/>
                <w:sz w:val="20"/>
                <w:szCs w:val="20"/>
              </w:rPr>
              <w:t>)</w:t>
            </w:r>
          </w:p>
          <w:p w:rsidR="0083366F" w:rsidRPr="00DF1E2F" w:rsidRDefault="0083366F" w:rsidP="00100BE5">
            <w:pPr>
              <w:tabs>
                <w:tab w:val="left" w:pos="1440"/>
                <w:tab w:val="left" w:pos="4920"/>
                <w:tab w:val="right" w:pos="8640"/>
              </w:tabs>
              <w:ind w:left="-108" w:right="-108"/>
              <w:jc w:val="center"/>
              <w:rPr>
                <w:rFonts w:ascii="Baskerville" w:hAnsi="Baskerville" w:cs="Baskerville"/>
                <w:sz w:val="22"/>
                <w:szCs w:val="22"/>
              </w:rPr>
            </w:pPr>
          </w:p>
          <w:p w:rsidR="0083366F" w:rsidRPr="008A2E9E" w:rsidRDefault="0083366F" w:rsidP="009C063B">
            <w:pPr>
              <w:tabs>
                <w:tab w:val="left" w:pos="1440"/>
                <w:tab w:val="left" w:pos="4920"/>
                <w:tab w:val="right" w:pos="8640"/>
              </w:tabs>
              <w:ind w:left="-108" w:right="-108"/>
              <w:jc w:val="center"/>
              <w:rPr>
                <w:rFonts w:ascii="Baskerville" w:hAnsi="Baskerville" w:cs="Baskerville"/>
                <w:sz w:val="22"/>
                <w:szCs w:val="22"/>
                <w:u w:val="single"/>
              </w:rPr>
            </w:pPr>
            <w:r w:rsidRPr="008A2E9E">
              <w:rPr>
                <w:rFonts w:ascii="Baskerville" w:hAnsi="Baskerville" w:cs="Baskerville"/>
                <w:sz w:val="22"/>
                <w:szCs w:val="22"/>
                <w:u w:val="single"/>
              </w:rPr>
              <w:t>Substantial</w:t>
            </w:r>
          </w:p>
          <w:p w:rsidR="0083366F" w:rsidRDefault="0083366F" w:rsidP="00100BE5">
            <w:pPr>
              <w:tabs>
                <w:tab w:val="left" w:pos="1440"/>
                <w:tab w:val="left" w:pos="4920"/>
                <w:tab w:val="right" w:pos="8640"/>
              </w:tabs>
              <w:ind w:left="-108" w:right="-108"/>
              <w:jc w:val="center"/>
              <w:rPr>
                <w:rFonts w:ascii="Baskerville" w:hAnsi="Baskerville" w:cs="Baskerville"/>
                <w:sz w:val="22"/>
                <w:szCs w:val="22"/>
                <w:u w:val="single"/>
              </w:rPr>
            </w:pPr>
            <w:r w:rsidRPr="008A2E9E">
              <w:rPr>
                <w:rFonts w:ascii="Baskerville" w:hAnsi="Baskerville" w:cs="Baskerville"/>
                <w:sz w:val="22"/>
                <w:szCs w:val="22"/>
                <w:u w:val="single"/>
              </w:rPr>
              <w:t>Compliance</w:t>
            </w:r>
          </w:p>
          <w:p w:rsidR="00692888" w:rsidRDefault="00692888" w:rsidP="00100BE5">
            <w:pPr>
              <w:tabs>
                <w:tab w:val="left" w:pos="1440"/>
                <w:tab w:val="left" w:pos="4920"/>
                <w:tab w:val="right" w:pos="8640"/>
              </w:tabs>
              <w:ind w:left="-108" w:right="-108"/>
              <w:jc w:val="center"/>
              <w:rPr>
                <w:rFonts w:ascii="Baskerville" w:hAnsi="Baskerville" w:cs="Baskerville"/>
                <w:sz w:val="22"/>
                <w:szCs w:val="22"/>
                <w:u w:val="single"/>
              </w:rPr>
            </w:pPr>
          </w:p>
          <w:p w:rsidR="00692888" w:rsidRPr="00DF1E2F" w:rsidRDefault="00692888" w:rsidP="00692888">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Substantial</w:t>
            </w:r>
          </w:p>
          <w:p w:rsidR="0083366F" w:rsidRPr="00DF1E2F" w:rsidRDefault="00692888" w:rsidP="00100BE5">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100BE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4332DF" w:rsidRPr="00DF1E2F" w:rsidRDefault="001A3E7A" w:rsidP="00692888">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Four </w:t>
            </w:r>
            <w:r w:rsidR="0083366F" w:rsidRPr="00DF1E2F">
              <w:rPr>
                <w:rFonts w:ascii="Baskerville" w:hAnsi="Baskerville" w:cs="Baskerville"/>
                <w:sz w:val="22"/>
                <w:szCs w:val="22"/>
              </w:rPr>
              <w:t>Regions’ stabilization programs</w:t>
            </w:r>
            <w:r w:rsidR="006C5E71">
              <w:rPr>
                <w:rFonts w:ascii="Baskerville" w:hAnsi="Baskerville" w:cs="Baskerville"/>
                <w:sz w:val="22"/>
                <w:szCs w:val="22"/>
              </w:rPr>
              <w:t xml:space="preserve"> (Crisis Therapeutic Homes)</w:t>
            </w:r>
            <w:r w:rsidR="0083366F" w:rsidRPr="00DF1E2F">
              <w:rPr>
                <w:rFonts w:ascii="Baskerville" w:hAnsi="Baskerville" w:cs="Baskerville"/>
                <w:sz w:val="22"/>
                <w:szCs w:val="22"/>
              </w:rPr>
              <w:t xml:space="preserve"> are not located on institution grounds an</w:t>
            </w:r>
            <w:r w:rsidR="006C5E71">
              <w:rPr>
                <w:rFonts w:ascii="Baskerville" w:hAnsi="Baskerville" w:cs="Baskerville"/>
                <w:sz w:val="22"/>
                <w:szCs w:val="22"/>
              </w:rPr>
              <w:t>d are in compliance. Region IV has secured</w:t>
            </w:r>
            <w:r w:rsidR="000670BB">
              <w:rPr>
                <w:rFonts w:ascii="Baskerville" w:hAnsi="Baskerville" w:cs="Baskerville"/>
                <w:sz w:val="22"/>
                <w:szCs w:val="22"/>
              </w:rPr>
              <w:t xml:space="preserve"> land</w:t>
            </w:r>
            <w:r w:rsidR="00B30CEA">
              <w:rPr>
                <w:rFonts w:ascii="Baskerville" w:hAnsi="Baskerville" w:cs="Baskerville"/>
                <w:sz w:val="22"/>
                <w:szCs w:val="22"/>
              </w:rPr>
              <w:t xml:space="preserve"> and has </w:t>
            </w:r>
            <w:r w:rsidR="00356C0A">
              <w:rPr>
                <w:rFonts w:ascii="Baskerville" w:hAnsi="Baskerville" w:cs="Baskerville"/>
                <w:sz w:val="22"/>
                <w:szCs w:val="22"/>
              </w:rPr>
              <w:t>d</w:t>
            </w:r>
            <w:r w:rsidR="000670BB">
              <w:rPr>
                <w:rFonts w:ascii="Baskerville" w:hAnsi="Baskerville" w:cs="Baskerville"/>
                <w:sz w:val="22"/>
                <w:szCs w:val="22"/>
              </w:rPr>
              <w:t>eveloped architectural drawings</w:t>
            </w:r>
            <w:r w:rsidR="00253DC6">
              <w:rPr>
                <w:rFonts w:ascii="Baskerville" w:hAnsi="Baskerville" w:cs="Baskerville"/>
                <w:sz w:val="22"/>
                <w:szCs w:val="22"/>
              </w:rPr>
              <w:t xml:space="preserve"> to build </w:t>
            </w:r>
            <w:r w:rsidR="00692888">
              <w:rPr>
                <w:rFonts w:ascii="Baskerville" w:hAnsi="Baskerville" w:cs="Baskerville"/>
                <w:sz w:val="22"/>
                <w:szCs w:val="22"/>
              </w:rPr>
              <w:t xml:space="preserve">a </w:t>
            </w:r>
            <w:r w:rsidR="00B06649">
              <w:rPr>
                <w:rFonts w:ascii="Baskerville" w:hAnsi="Baskerville" w:cs="Baskerville"/>
                <w:sz w:val="22"/>
                <w:szCs w:val="22"/>
              </w:rPr>
              <w:t>crisis</w:t>
            </w:r>
            <w:r w:rsidR="00356C0A">
              <w:rPr>
                <w:rFonts w:ascii="Baskerville" w:hAnsi="Baskerville" w:cs="Baskerville"/>
                <w:sz w:val="22"/>
                <w:szCs w:val="22"/>
              </w:rPr>
              <w:t xml:space="preserve"> stabilization home</w:t>
            </w:r>
            <w:r w:rsidR="0083366F" w:rsidRPr="00DF1E2F">
              <w:rPr>
                <w:rFonts w:ascii="Baskerville" w:hAnsi="Baskerville" w:cs="Baskerville"/>
                <w:sz w:val="22"/>
                <w:szCs w:val="22"/>
              </w:rPr>
              <w:t xml:space="preserve">. </w:t>
            </w:r>
          </w:p>
        </w:tc>
      </w:tr>
      <w:tr w:rsidR="0083366F" w:rsidRPr="00DF1E2F" w:rsidTr="0094744A">
        <w:trPr>
          <w:trHeight w:val="530"/>
        </w:trPr>
        <w:tc>
          <w:tcPr>
            <w:tcW w:w="1530" w:type="dxa"/>
            <w:vAlign w:val="center"/>
          </w:tcPr>
          <w:p w:rsidR="0083366F" w:rsidRPr="00A52DA8"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A52DA8">
              <w:rPr>
                <w:rFonts w:ascii="Baskerville" w:hAnsi="Baskerville" w:cs="Baskerville"/>
                <w:b/>
                <w:sz w:val="22"/>
                <w:szCs w:val="22"/>
                <w:u w:val="single"/>
              </w:rPr>
              <w:t>III.C.6.b.iii.F.</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By June 30, 2012, the Commonwealth shall develop one crisis stabilization program in each Region.</w:t>
            </w:r>
          </w:p>
        </w:tc>
        <w:tc>
          <w:tcPr>
            <w:tcW w:w="1440" w:type="dxa"/>
          </w:tcPr>
          <w:p w:rsidR="00EA0C77" w:rsidRPr="0000799C" w:rsidRDefault="00EA0C77" w:rsidP="00EA0C77">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DD3173">
            <w:pPr>
              <w:tabs>
                <w:tab w:val="left" w:pos="1440"/>
                <w:tab w:val="left" w:pos="4920"/>
                <w:tab w:val="right" w:pos="8640"/>
              </w:tabs>
              <w:ind w:left="-108" w:right="-108"/>
              <w:jc w:val="center"/>
              <w:rPr>
                <w:rFonts w:ascii="Baskerville" w:hAnsi="Baskerville" w:cs="Baskerville"/>
                <w:sz w:val="22"/>
                <w:szCs w:val="22"/>
                <w:u w:val="single"/>
              </w:rPr>
            </w:pPr>
            <w:r w:rsidRPr="00692888">
              <w:rPr>
                <w:rFonts w:ascii="Baskerville" w:hAnsi="Baskerville" w:cs="Baskerville"/>
                <w:sz w:val="22"/>
                <w:szCs w:val="22"/>
                <w:u w:val="single"/>
              </w:rPr>
              <w:t>Compliance</w:t>
            </w:r>
          </w:p>
          <w:p w:rsidR="0083366F" w:rsidRPr="00DF1E2F" w:rsidRDefault="00692888" w:rsidP="00692888">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83366F" w:rsidRPr="00DF1E2F" w:rsidRDefault="0083366F" w:rsidP="006159C4">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Each Region developed and currently maintains a crisis stabilization program.</w:t>
            </w:r>
          </w:p>
        </w:tc>
      </w:tr>
      <w:tr w:rsidR="0083366F" w:rsidRPr="00DF1E2F" w:rsidTr="0094744A">
        <w:trPr>
          <w:trHeight w:val="2321"/>
        </w:trPr>
        <w:tc>
          <w:tcPr>
            <w:tcW w:w="1530" w:type="dxa"/>
            <w:vAlign w:val="center"/>
          </w:tcPr>
          <w:p w:rsidR="0083366F" w:rsidRPr="00A52DA8" w:rsidRDefault="0083366F" w:rsidP="007373E0">
            <w:pPr>
              <w:tabs>
                <w:tab w:val="left" w:pos="1242"/>
                <w:tab w:val="left" w:pos="1440"/>
                <w:tab w:val="left" w:pos="4920"/>
                <w:tab w:val="right" w:pos="8640"/>
              </w:tabs>
              <w:ind w:left="-108" w:right="-108"/>
              <w:jc w:val="center"/>
              <w:rPr>
                <w:rFonts w:ascii="Baskerville" w:hAnsi="Baskerville" w:cs="Baskerville"/>
                <w:b/>
                <w:sz w:val="22"/>
                <w:szCs w:val="22"/>
                <w:u w:val="single"/>
              </w:rPr>
            </w:pPr>
            <w:r w:rsidRPr="00A52DA8">
              <w:rPr>
                <w:rFonts w:ascii="Baskerville" w:hAnsi="Baskerville" w:cs="Baskerville"/>
                <w:b/>
                <w:sz w:val="22"/>
                <w:szCs w:val="22"/>
                <w:u w:val="single"/>
              </w:rPr>
              <w:t>III.C.6.b.iii.G.</w:t>
            </w:r>
          </w:p>
        </w:tc>
        <w:tc>
          <w:tcPr>
            <w:tcW w:w="4320" w:type="dxa"/>
          </w:tcPr>
          <w:p w:rsidR="0083366F" w:rsidRPr="00DF1E2F" w:rsidRDefault="0083366F" w:rsidP="00186F70">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By June 30, 2013, the Commonwealth shall develop an additional crisis stabilization program in each Region as determined necessary by the Commonwealth to meet the needs of the target population in that Region.</w:t>
            </w:r>
          </w:p>
        </w:tc>
        <w:tc>
          <w:tcPr>
            <w:tcW w:w="1440" w:type="dxa"/>
          </w:tcPr>
          <w:p w:rsidR="00280B4D" w:rsidRPr="0000799C"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C18CB" w:rsidRDefault="008C18CB" w:rsidP="00C3507A">
            <w:pPr>
              <w:tabs>
                <w:tab w:val="left" w:pos="1440"/>
                <w:tab w:val="left" w:pos="4920"/>
                <w:tab w:val="right" w:pos="8640"/>
              </w:tabs>
              <w:ind w:left="-108" w:right="-108"/>
              <w:jc w:val="center"/>
              <w:rPr>
                <w:rFonts w:ascii="Baskerville" w:hAnsi="Baskerville" w:cs="Baskerville"/>
                <w:b/>
                <w:sz w:val="22"/>
                <w:szCs w:val="22"/>
              </w:rPr>
            </w:pPr>
          </w:p>
          <w:p w:rsidR="0083366F" w:rsidRDefault="0083366F" w:rsidP="00C3507A">
            <w:pPr>
              <w:tabs>
                <w:tab w:val="left" w:pos="1440"/>
                <w:tab w:val="left" w:pos="4920"/>
                <w:tab w:val="right" w:pos="8640"/>
              </w:tabs>
              <w:ind w:left="-108" w:right="-108"/>
              <w:jc w:val="center"/>
              <w:rPr>
                <w:rFonts w:ascii="Baskerville" w:hAnsi="Baskerville" w:cs="Baskerville"/>
                <w:sz w:val="22"/>
                <w:szCs w:val="22"/>
                <w:u w:val="single"/>
              </w:rPr>
            </w:pPr>
            <w:r w:rsidRPr="00062E29">
              <w:rPr>
                <w:rFonts w:ascii="Baskerville" w:hAnsi="Baskerville" w:cs="Baskerville"/>
                <w:sz w:val="22"/>
                <w:szCs w:val="22"/>
                <w:u w:val="single"/>
              </w:rPr>
              <w:t>Compliance</w:t>
            </w:r>
          </w:p>
          <w:p w:rsidR="00062E29" w:rsidRDefault="00062E29" w:rsidP="00C3507A">
            <w:pPr>
              <w:tabs>
                <w:tab w:val="left" w:pos="1440"/>
                <w:tab w:val="left" w:pos="4920"/>
                <w:tab w:val="right" w:pos="8640"/>
              </w:tabs>
              <w:ind w:left="-108" w:right="-108"/>
              <w:jc w:val="center"/>
              <w:rPr>
                <w:rFonts w:ascii="Baskerville" w:hAnsi="Baskerville" w:cs="Baskerville"/>
                <w:sz w:val="22"/>
                <w:szCs w:val="22"/>
                <w:u w:val="single"/>
              </w:rPr>
            </w:pPr>
          </w:p>
          <w:p w:rsidR="00062E29" w:rsidRPr="00DF1E2F" w:rsidRDefault="00062E29" w:rsidP="00062E29">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062E29" w:rsidRPr="00062E29" w:rsidRDefault="00062E29" w:rsidP="00C3507A">
            <w:pPr>
              <w:tabs>
                <w:tab w:val="left" w:pos="1440"/>
                <w:tab w:val="left" w:pos="4920"/>
                <w:tab w:val="right" w:pos="8640"/>
              </w:tabs>
              <w:ind w:left="-108" w:right="-108"/>
              <w:jc w:val="center"/>
              <w:rPr>
                <w:rFonts w:ascii="Baskerville" w:hAnsi="Baskerville" w:cs="Baskerville"/>
                <w:sz w:val="22"/>
                <w:szCs w:val="22"/>
                <w:u w:val="single"/>
              </w:rPr>
            </w:pPr>
          </w:p>
          <w:p w:rsidR="0083366F" w:rsidRPr="00DF1E2F" w:rsidRDefault="0083366F" w:rsidP="00901E5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901E5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901E53">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4332DF" w:rsidRPr="00DF1E2F" w:rsidRDefault="0083366F" w:rsidP="000B19D7">
            <w:pPr>
              <w:tabs>
                <w:tab w:val="left" w:pos="1440"/>
                <w:tab w:val="left" w:pos="2772"/>
                <w:tab w:val="left" w:pos="4920"/>
                <w:tab w:val="right" w:pos="8640"/>
              </w:tabs>
              <w:rPr>
                <w:rFonts w:ascii="Baskerville" w:hAnsi="Baskerville" w:cs="Baskerville"/>
                <w:sz w:val="22"/>
                <w:szCs w:val="22"/>
              </w:rPr>
            </w:pPr>
            <w:r w:rsidRPr="00DF1E2F">
              <w:rPr>
                <w:rFonts w:ascii="Baskerville" w:hAnsi="Baskerville" w:cs="Baskerville"/>
                <w:sz w:val="22"/>
                <w:szCs w:val="22"/>
              </w:rPr>
              <w:t>Each Region’s existing crisis stabilization program had unu</w:t>
            </w:r>
            <w:r w:rsidR="005A75BF">
              <w:rPr>
                <w:rFonts w:ascii="Baskerville" w:hAnsi="Baskerville" w:cs="Baskerville"/>
                <w:sz w:val="22"/>
                <w:szCs w:val="22"/>
              </w:rPr>
              <w:t>sed bed days avail</w:t>
            </w:r>
            <w:r w:rsidR="007C366B">
              <w:rPr>
                <w:rFonts w:ascii="Baskerville" w:hAnsi="Baskerville" w:cs="Baskerville"/>
                <w:sz w:val="22"/>
                <w:szCs w:val="22"/>
              </w:rPr>
              <w:t>able during the second and third</w:t>
            </w:r>
            <w:r w:rsidR="005A75BF">
              <w:rPr>
                <w:rFonts w:ascii="Baskerville" w:hAnsi="Baskerville" w:cs="Baskerville"/>
                <w:sz w:val="22"/>
                <w:szCs w:val="22"/>
              </w:rPr>
              <w:t xml:space="preserve"> q</w:t>
            </w:r>
            <w:r w:rsidRPr="00DF1E2F">
              <w:rPr>
                <w:rFonts w:ascii="Baskerville" w:hAnsi="Baskerville" w:cs="Baskerville"/>
                <w:sz w:val="22"/>
                <w:szCs w:val="22"/>
              </w:rPr>
              <w:t>uarters</w:t>
            </w:r>
            <w:r w:rsidR="005A75BF">
              <w:rPr>
                <w:rFonts w:ascii="Baskerville" w:hAnsi="Baskerville" w:cs="Baskerville"/>
                <w:sz w:val="22"/>
                <w:szCs w:val="22"/>
              </w:rPr>
              <w:t xml:space="preserve"> of FY </w:t>
            </w:r>
            <w:r w:rsidR="008C18CB">
              <w:rPr>
                <w:rFonts w:ascii="Baskerville" w:hAnsi="Baskerville" w:cs="Baskerville"/>
                <w:sz w:val="22"/>
                <w:szCs w:val="22"/>
              </w:rPr>
              <w:t>20</w:t>
            </w:r>
            <w:r w:rsidR="005A75BF">
              <w:rPr>
                <w:rFonts w:ascii="Baskerville" w:hAnsi="Baskerville" w:cs="Baskerville"/>
                <w:sz w:val="22"/>
                <w:szCs w:val="22"/>
              </w:rPr>
              <w:t>15</w:t>
            </w:r>
            <w:r w:rsidR="00C307D9">
              <w:rPr>
                <w:rFonts w:ascii="Baskerville" w:hAnsi="Baskerville" w:cs="Baskerville"/>
                <w:sz w:val="22"/>
                <w:szCs w:val="22"/>
              </w:rPr>
              <w:t>. The Regions have the</w:t>
            </w:r>
            <w:r w:rsidRPr="00DF1E2F">
              <w:rPr>
                <w:rFonts w:ascii="Baskerville" w:hAnsi="Baskerville" w:cs="Baskerville"/>
                <w:sz w:val="22"/>
                <w:szCs w:val="22"/>
              </w:rPr>
              <w:t xml:space="preserve"> capacity to ass</w:t>
            </w:r>
            <w:r w:rsidR="00CF413E">
              <w:rPr>
                <w:rFonts w:ascii="Baskerville" w:hAnsi="Baskerville" w:cs="Baskerville"/>
                <w:sz w:val="22"/>
                <w:szCs w:val="22"/>
              </w:rPr>
              <w:t>ist other R</w:t>
            </w:r>
            <w:r w:rsidR="007C366B">
              <w:rPr>
                <w:rFonts w:ascii="Baskerville" w:hAnsi="Baskerville" w:cs="Baskerville"/>
                <w:sz w:val="22"/>
                <w:szCs w:val="22"/>
              </w:rPr>
              <w:t>egions</w:t>
            </w:r>
            <w:r w:rsidRPr="00DF1E2F">
              <w:rPr>
                <w:rFonts w:ascii="Baskerville" w:hAnsi="Baskerville" w:cs="Baskerville"/>
                <w:sz w:val="22"/>
                <w:szCs w:val="22"/>
              </w:rPr>
              <w:t xml:space="preserve"> </w:t>
            </w:r>
            <w:r w:rsidR="00C307D9">
              <w:rPr>
                <w:rFonts w:ascii="Baskerville" w:hAnsi="Baskerville" w:cs="Baskerville"/>
                <w:sz w:val="22"/>
                <w:szCs w:val="22"/>
              </w:rPr>
              <w:t xml:space="preserve">with </w:t>
            </w:r>
            <w:r w:rsidRPr="00DF1E2F">
              <w:rPr>
                <w:rFonts w:ascii="Baskerville" w:hAnsi="Baskerville" w:cs="Baskerville"/>
                <w:sz w:val="22"/>
                <w:szCs w:val="22"/>
              </w:rPr>
              <w:t>cr</w:t>
            </w:r>
            <w:r w:rsidR="007C366B">
              <w:rPr>
                <w:rFonts w:ascii="Baskerville" w:hAnsi="Baskerville" w:cs="Baskerville"/>
                <w:sz w:val="22"/>
                <w:szCs w:val="22"/>
              </w:rPr>
              <w:t>i</w:t>
            </w:r>
            <w:r w:rsidR="00C307D9">
              <w:rPr>
                <w:rFonts w:ascii="Baskerville" w:hAnsi="Baskerville" w:cs="Baskerville"/>
                <w:sz w:val="22"/>
                <w:szCs w:val="22"/>
              </w:rPr>
              <w:t xml:space="preserve">sis stabilization beds </w:t>
            </w:r>
            <w:r w:rsidR="00CF413E">
              <w:rPr>
                <w:rFonts w:ascii="Baskerville" w:hAnsi="Baskerville" w:cs="Baskerville"/>
                <w:sz w:val="22"/>
                <w:szCs w:val="22"/>
              </w:rPr>
              <w:t>fully</w:t>
            </w:r>
            <w:r w:rsidRPr="00DF1E2F">
              <w:rPr>
                <w:rFonts w:ascii="Baskerville" w:hAnsi="Baskerville" w:cs="Baskerville"/>
                <w:sz w:val="22"/>
                <w:szCs w:val="22"/>
              </w:rPr>
              <w:t xml:space="preserve"> occupied. </w:t>
            </w:r>
          </w:p>
        </w:tc>
      </w:tr>
      <w:tr w:rsidR="0083366F" w:rsidRPr="00DF1E2F" w:rsidTr="0094744A">
        <w:trPr>
          <w:trHeight w:val="2420"/>
        </w:trPr>
        <w:tc>
          <w:tcPr>
            <w:tcW w:w="1530" w:type="dxa"/>
            <w:vAlign w:val="center"/>
          </w:tcPr>
          <w:p w:rsidR="0083366F" w:rsidRPr="00121975" w:rsidRDefault="0083366F" w:rsidP="007373E0">
            <w:pPr>
              <w:tabs>
                <w:tab w:val="left" w:pos="1440"/>
                <w:tab w:val="left" w:pos="4920"/>
                <w:tab w:val="right" w:pos="8640"/>
              </w:tabs>
              <w:ind w:left="-108" w:right="-108"/>
              <w:jc w:val="center"/>
              <w:rPr>
                <w:rFonts w:ascii="Baskerville" w:hAnsi="Baskerville" w:cs="Baskerville"/>
                <w:b/>
                <w:sz w:val="22"/>
                <w:szCs w:val="22"/>
                <w:u w:val="single"/>
              </w:rPr>
            </w:pPr>
            <w:r w:rsidRPr="00121975">
              <w:rPr>
                <w:rFonts w:ascii="Baskerville" w:hAnsi="Baskerville" w:cs="Baskerville"/>
                <w:b/>
                <w:sz w:val="22"/>
                <w:szCs w:val="22"/>
                <w:u w:val="single"/>
              </w:rPr>
              <w:t>III.C.7.b</w:t>
            </w:r>
          </w:p>
        </w:tc>
        <w:tc>
          <w:tcPr>
            <w:tcW w:w="4320" w:type="dxa"/>
          </w:tcPr>
          <w:p w:rsidR="0083366F" w:rsidRPr="00DF1E2F" w:rsidRDefault="0083366F" w:rsidP="004362AC">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Commonwealth shall maintain its membership in the State Employment Leadership Network (“SELN”) established by the National Association of State Developmental Disabilities Directors.  The Commonwealth shall establish a state policy on Employment First for the target population and include a term in the CSB Performance Contract requiring application of this policy. </w:t>
            </w:r>
          </w:p>
        </w:tc>
        <w:tc>
          <w:tcPr>
            <w:tcW w:w="1440" w:type="dxa"/>
          </w:tcPr>
          <w:p w:rsidR="00DF6BC7" w:rsidRDefault="00144956" w:rsidP="009F3908">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(Compliance)</w:t>
            </w:r>
          </w:p>
          <w:p w:rsidR="00144956" w:rsidRPr="00144956" w:rsidRDefault="00144956" w:rsidP="009F3908">
            <w:pPr>
              <w:tabs>
                <w:tab w:val="left" w:pos="1440"/>
                <w:tab w:val="left" w:pos="4920"/>
                <w:tab w:val="right" w:pos="8640"/>
              </w:tabs>
              <w:ind w:left="-108" w:right="-108"/>
              <w:jc w:val="center"/>
              <w:rPr>
                <w:rFonts w:ascii="Baskerville" w:hAnsi="Baskerville" w:cs="Baskerville"/>
                <w:sz w:val="20"/>
                <w:szCs w:val="20"/>
              </w:rPr>
            </w:pPr>
          </w:p>
          <w:p w:rsidR="0059724C" w:rsidRPr="00144956" w:rsidRDefault="0059724C" w:rsidP="0059724C">
            <w:pPr>
              <w:tabs>
                <w:tab w:val="left" w:pos="1404"/>
                <w:tab w:val="left" w:pos="1440"/>
                <w:tab w:val="left" w:pos="4920"/>
                <w:tab w:val="right" w:pos="8640"/>
              </w:tabs>
              <w:ind w:left="-108" w:right="-108"/>
              <w:jc w:val="center"/>
              <w:rPr>
                <w:rFonts w:ascii="Baskerville" w:hAnsi="Baskerville" w:cs="Baskerville"/>
                <w:sz w:val="22"/>
                <w:szCs w:val="22"/>
                <w:u w:val="single"/>
              </w:rPr>
            </w:pPr>
            <w:r w:rsidRPr="00144956">
              <w:rPr>
                <w:rFonts w:ascii="Baskerville" w:hAnsi="Baskerville" w:cs="Baskerville"/>
                <w:sz w:val="22"/>
                <w:szCs w:val="22"/>
                <w:u w:val="single"/>
              </w:rPr>
              <w:t>Non</w:t>
            </w:r>
            <w:r w:rsidR="00144956">
              <w:rPr>
                <w:rFonts w:ascii="Baskerville" w:hAnsi="Baskerville" w:cs="Baskerville"/>
                <w:sz w:val="22"/>
                <w:szCs w:val="22"/>
                <w:u w:val="single"/>
              </w:rPr>
              <w:t xml:space="preserve"> Compliance</w:t>
            </w:r>
          </w:p>
          <w:p w:rsidR="0059724C" w:rsidRDefault="0059724C" w:rsidP="00A32012">
            <w:pPr>
              <w:tabs>
                <w:tab w:val="left" w:pos="1404"/>
                <w:tab w:val="left" w:pos="1440"/>
                <w:tab w:val="left" w:pos="4920"/>
                <w:tab w:val="right" w:pos="8640"/>
              </w:tabs>
              <w:ind w:left="-108" w:right="-108"/>
              <w:jc w:val="center"/>
              <w:rPr>
                <w:rFonts w:ascii="Baskerville" w:hAnsi="Baskerville" w:cs="Baskerville"/>
                <w:b/>
                <w:sz w:val="22"/>
                <w:szCs w:val="22"/>
              </w:rPr>
            </w:pPr>
          </w:p>
          <w:p w:rsidR="000B19D7" w:rsidRDefault="000B19D7" w:rsidP="00A32012">
            <w:pPr>
              <w:tabs>
                <w:tab w:val="left" w:pos="1404"/>
                <w:tab w:val="left" w:pos="1440"/>
                <w:tab w:val="left" w:pos="4920"/>
                <w:tab w:val="right" w:pos="8640"/>
              </w:tabs>
              <w:ind w:left="-108" w:right="-108"/>
              <w:jc w:val="center"/>
              <w:rPr>
                <w:rFonts w:ascii="Baskerville" w:hAnsi="Baskerville" w:cs="Baskerville"/>
                <w:b/>
                <w:sz w:val="22"/>
                <w:szCs w:val="22"/>
              </w:rPr>
            </w:pPr>
          </w:p>
          <w:p w:rsidR="000B19D7" w:rsidRDefault="000B19D7" w:rsidP="00A32012">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A32012">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Non Compliance</w:t>
            </w:r>
          </w:p>
          <w:p w:rsidR="0083366F" w:rsidRPr="00DF1E2F" w:rsidRDefault="0083366F" w:rsidP="009F3908">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190A0E" w:rsidRDefault="006A7172" w:rsidP="00230079">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F</w:t>
            </w:r>
            <w:r w:rsidR="00AD120F">
              <w:rPr>
                <w:rFonts w:ascii="Baskerville" w:hAnsi="Baskerville" w:cs="Baskerville"/>
                <w:sz w:val="22"/>
                <w:szCs w:val="22"/>
              </w:rPr>
              <w:t>or</w:t>
            </w:r>
            <w:r w:rsidR="00B07D1D">
              <w:rPr>
                <w:rFonts w:ascii="Baskerville" w:hAnsi="Baskerville" w:cs="Baskerville"/>
                <w:sz w:val="22"/>
                <w:szCs w:val="22"/>
              </w:rPr>
              <w:t xml:space="preserve"> </w:t>
            </w:r>
            <w:r w:rsidR="0024351A">
              <w:rPr>
                <w:rFonts w:ascii="Baskerville" w:hAnsi="Baskerville" w:cs="Baskerville"/>
                <w:sz w:val="22"/>
                <w:szCs w:val="22"/>
              </w:rPr>
              <w:t>9 (60%) of 15</w:t>
            </w:r>
            <w:r w:rsidR="008B379A">
              <w:rPr>
                <w:rFonts w:ascii="Baskerville" w:hAnsi="Baskerville" w:cs="Baskerville"/>
                <w:sz w:val="22"/>
                <w:szCs w:val="22"/>
              </w:rPr>
              <w:t xml:space="preserve"> individ</w:t>
            </w:r>
            <w:r w:rsidR="00285896">
              <w:rPr>
                <w:rFonts w:ascii="Baskerville" w:hAnsi="Baskerville" w:cs="Baskerville"/>
                <w:sz w:val="22"/>
                <w:szCs w:val="22"/>
              </w:rPr>
              <w:t>uals</w:t>
            </w:r>
            <w:r>
              <w:rPr>
                <w:rFonts w:ascii="Baskerville" w:hAnsi="Baskerville" w:cs="Baskerville"/>
                <w:sz w:val="22"/>
                <w:szCs w:val="22"/>
              </w:rPr>
              <w:t xml:space="preserve"> studied</w:t>
            </w:r>
            <w:r w:rsidR="00285896">
              <w:rPr>
                <w:rFonts w:ascii="Baskerville" w:hAnsi="Baskerville" w:cs="Baskerville"/>
                <w:sz w:val="22"/>
                <w:szCs w:val="22"/>
              </w:rPr>
              <w:t>,</w:t>
            </w:r>
            <w:r w:rsidR="00337486">
              <w:rPr>
                <w:rFonts w:ascii="Baskerville" w:hAnsi="Baskerville" w:cs="Baskerville"/>
                <w:sz w:val="22"/>
                <w:szCs w:val="22"/>
              </w:rPr>
              <w:t xml:space="preserve"> case managers did not develop </w:t>
            </w:r>
            <w:r w:rsidR="00285896">
              <w:rPr>
                <w:rFonts w:ascii="Baskerville" w:hAnsi="Baskerville" w:cs="Baskerville"/>
                <w:sz w:val="22"/>
                <w:szCs w:val="22"/>
              </w:rPr>
              <w:t xml:space="preserve">and discuss </w:t>
            </w:r>
            <w:r w:rsidR="00AD120F">
              <w:rPr>
                <w:rFonts w:ascii="Baskerville" w:hAnsi="Baskerville" w:cs="Baskerville"/>
                <w:sz w:val="22"/>
                <w:szCs w:val="22"/>
              </w:rPr>
              <w:t>employ</w:t>
            </w:r>
            <w:r w:rsidR="00285896">
              <w:rPr>
                <w:rFonts w:ascii="Baskerville" w:hAnsi="Baskerville" w:cs="Baskerville"/>
                <w:sz w:val="22"/>
                <w:szCs w:val="22"/>
              </w:rPr>
              <w:t xml:space="preserve">ment </w:t>
            </w:r>
            <w:r w:rsidR="00285896" w:rsidRPr="004B1BBC">
              <w:rPr>
                <w:rFonts w:ascii="Baskerville" w:hAnsi="Baskerville" w:cs="Baskerville"/>
                <w:sz w:val="22"/>
                <w:szCs w:val="22"/>
              </w:rPr>
              <w:t>goals and supports</w:t>
            </w:r>
            <w:r w:rsidR="00AD120F" w:rsidRPr="004B1BBC">
              <w:rPr>
                <w:rFonts w:ascii="Baskerville" w:hAnsi="Baskerville" w:cs="Baskerville"/>
                <w:sz w:val="22"/>
                <w:szCs w:val="22"/>
              </w:rPr>
              <w:t>.</w:t>
            </w:r>
            <w:r>
              <w:rPr>
                <w:rFonts w:ascii="Baskerville" w:hAnsi="Baskerville" w:cs="Baskerville"/>
                <w:sz w:val="22"/>
                <w:szCs w:val="22"/>
              </w:rPr>
              <w:t xml:space="preserve"> The </w:t>
            </w:r>
            <w:r w:rsidR="004B1BBC">
              <w:rPr>
                <w:rFonts w:ascii="Baskerville" w:hAnsi="Baskerville" w:cs="Baskerville"/>
                <w:sz w:val="22"/>
                <w:szCs w:val="22"/>
              </w:rPr>
              <w:t>consultant</w:t>
            </w:r>
            <w:r>
              <w:rPr>
                <w:rFonts w:ascii="Baskerville" w:hAnsi="Baskerville" w:cs="Baskerville"/>
                <w:sz w:val="22"/>
                <w:szCs w:val="22"/>
              </w:rPr>
              <w:t>’s study found that for</w:t>
            </w:r>
          </w:p>
          <w:p w:rsidR="0083366F" w:rsidRPr="00190A0E" w:rsidRDefault="006D32FA" w:rsidP="00230079">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16 (76%) </w:t>
            </w:r>
            <w:r w:rsidR="00724416" w:rsidRPr="004B1BBC">
              <w:rPr>
                <w:rFonts w:ascii="Baskerville" w:hAnsi="Baskerville" w:cs="Baskerville"/>
                <w:sz w:val="22"/>
                <w:szCs w:val="22"/>
              </w:rPr>
              <w:t xml:space="preserve">of 21 individuals </w:t>
            </w:r>
            <w:r w:rsidR="001D36F6">
              <w:rPr>
                <w:rFonts w:ascii="Baskerville" w:hAnsi="Baskerville" w:cs="Baskerville"/>
                <w:sz w:val="22"/>
                <w:szCs w:val="22"/>
              </w:rPr>
              <w:t xml:space="preserve">the ISP discussion </w:t>
            </w:r>
            <w:r w:rsidR="00A32012">
              <w:rPr>
                <w:rFonts w:ascii="Baskerville" w:hAnsi="Baskerville" w:cs="Baskerville"/>
                <w:sz w:val="22"/>
                <w:szCs w:val="22"/>
              </w:rPr>
              <w:t>did not include</w:t>
            </w:r>
            <w:r w:rsidR="001D36F6">
              <w:rPr>
                <w:rFonts w:ascii="Baskerville" w:hAnsi="Baskerville" w:cs="Baskerville"/>
                <w:sz w:val="22"/>
                <w:szCs w:val="22"/>
              </w:rPr>
              <w:t xml:space="preserve"> employment</w:t>
            </w:r>
            <w:r w:rsidR="004B1BBC" w:rsidRPr="004B1BBC">
              <w:rPr>
                <w:rFonts w:ascii="Baskerville" w:hAnsi="Baskerville" w:cs="Baskerville"/>
                <w:sz w:val="22"/>
                <w:szCs w:val="22"/>
              </w:rPr>
              <w:t>.</w:t>
            </w:r>
            <w:r w:rsidR="00245E81">
              <w:rPr>
                <w:rFonts w:ascii="Baskerville" w:hAnsi="Baskerville" w:cs="Baskerville"/>
                <w:sz w:val="22"/>
                <w:szCs w:val="22"/>
              </w:rPr>
              <w:t xml:space="preserve"> The CSBs </w:t>
            </w:r>
            <w:r w:rsidR="00F86012">
              <w:rPr>
                <w:rFonts w:ascii="Baskerville" w:hAnsi="Baskerville" w:cs="Baskerville"/>
                <w:sz w:val="22"/>
                <w:szCs w:val="22"/>
              </w:rPr>
              <w:t>have</w:t>
            </w:r>
            <w:r w:rsidR="00014236">
              <w:rPr>
                <w:rFonts w:ascii="Baskerville" w:hAnsi="Baskerville" w:cs="Baskerville"/>
                <w:sz w:val="22"/>
                <w:szCs w:val="22"/>
              </w:rPr>
              <w:t xml:space="preserve"> not effectively implemented the</w:t>
            </w:r>
            <w:r w:rsidR="00F86012">
              <w:rPr>
                <w:rFonts w:ascii="Baskerville" w:hAnsi="Baskerville" w:cs="Baskerville"/>
                <w:sz w:val="22"/>
                <w:szCs w:val="22"/>
              </w:rPr>
              <w:t xml:space="preserve"> </w:t>
            </w:r>
            <w:r w:rsidR="00245E81">
              <w:rPr>
                <w:rFonts w:ascii="Baskerville" w:hAnsi="Baskerville" w:cs="Baskerville"/>
                <w:sz w:val="22"/>
                <w:szCs w:val="22"/>
              </w:rPr>
              <w:t>Comm</w:t>
            </w:r>
            <w:r w:rsidR="00D168D3">
              <w:rPr>
                <w:rFonts w:ascii="Baskerville" w:hAnsi="Baskerville" w:cs="Baskerville"/>
                <w:sz w:val="22"/>
                <w:szCs w:val="22"/>
              </w:rPr>
              <w:t xml:space="preserve">onwealth’s performance </w:t>
            </w:r>
            <w:r w:rsidR="00014236">
              <w:rPr>
                <w:rFonts w:ascii="Baskerville" w:hAnsi="Baskerville" w:cs="Baskerville"/>
                <w:sz w:val="22"/>
                <w:szCs w:val="22"/>
              </w:rPr>
              <w:t>requirement</w:t>
            </w:r>
            <w:r w:rsidR="00230079">
              <w:rPr>
                <w:rFonts w:ascii="Baskerville" w:hAnsi="Baskerville" w:cs="Baskerville"/>
                <w:sz w:val="22"/>
                <w:szCs w:val="22"/>
              </w:rPr>
              <w:t>s r</w:t>
            </w:r>
            <w:r w:rsidR="00014236">
              <w:rPr>
                <w:rFonts w:ascii="Baskerville" w:hAnsi="Baskerville" w:cs="Baskerville"/>
                <w:sz w:val="22"/>
                <w:szCs w:val="22"/>
              </w:rPr>
              <w:t>e: Employment First.</w:t>
            </w:r>
          </w:p>
        </w:tc>
      </w:tr>
      <w:tr w:rsidR="0083366F" w:rsidRPr="00DF1E2F" w:rsidTr="0094744A">
        <w:trPr>
          <w:trHeight w:val="1934"/>
        </w:trPr>
        <w:tc>
          <w:tcPr>
            <w:tcW w:w="1530" w:type="dxa"/>
            <w:vAlign w:val="center"/>
          </w:tcPr>
          <w:p w:rsidR="0083366F" w:rsidRPr="00294F65" w:rsidRDefault="0083366F" w:rsidP="00C659F9">
            <w:pPr>
              <w:tabs>
                <w:tab w:val="left" w:pos="1440"/>
                <w:tab w:val="left" w:pos="4920"/>
                <w:tab w:val="right" w:pos="8640"/>
              </w:tabs>
              <w:ind w:left="-108" w:right="-108"/>
              <w:jc w:val="center"/>
              <w:rPr>
                <w:rFonts w:ascii="Baskerville" w:hAnsi="Baskerville" w:cs="Baskerville"/>
                <w:b/>
                <w:sz w:val="22"/>
                <w:szCs w:val="22"/>
                <w:u w:val="single"/>
              </w:rPr>
            </w:pPr>
            <w:r w:rsidRPr="00294F65">
              <w:rPr>
                <w:rFonts w:ascii="Baskerville" w:hAnsi="Baskerville" w:cs="Baskerville"/>
                <w:b/>
                <w:sz w:val="22"/>
                <w:szCs w:val="22"/>
                <w:u w:val="single"/>
              </w:rPr>
              <w:t>III.C.7.b.i.</w:t>
            </w:r>
          </w:p>
        </w:tc>
        <w:tc>
          <w:tcPr>
            <w:tcW w:w="4320" w:type="dxa"/>
          </w:tcPr>
          <w:p w:rsidR="0083366F" w:rsidRPr="00DF1E2F" w:rsidRDefault="0083366F" w:rsidP="007D7821">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Within 180 days of this Agreement, the Commonwealth shall develop, as part of its Employment First Policy, an implementation plan to increase integrated day opportunities for individuals in the target population, including supported employment, community volunteer ac</w:t>
            </w:r>
            <w:r w:rsidR="00A32012">
              <w:rPr>
                <w:rFonts w:ascii="Baskerville" w:hAnsi="Baskerville" w:cs="Baskerville"/>
                <w:sz w:val="22"/>
                <w:szCs w:val="22"/>
              </w:rPr>
              <w:t>tivities, community rec.</w:t>
            </w:r>
            <w:r w:rsidRPr="00DF1E2F">
              <w:rPr>
                <w:rFonts w:ascii="Baskerville" w:hAnsi="Baskerville" w:cs="Baskerville"/>
                <w:sz w:val="22"/>
                <w:szCs w:val="22"/>
              </w:rPr>
              <w:t xml:space="preserve"> opportunities, and other integrated day activities.  </w:t>
            </w:r>
          </w:p>
        </w:tc>
        <w:tc>
          <w:tcPr>
            <w:tcW w:w="1440" w:type="dxa"/>
            <w:tcBorders>
              <w:bottom w:val="single" w:sz="4" w:space="0" w:color="auto"/>
            </w:tcBorders>
          </w:tcPr>
          <w:p w:rsidR="0083366F" w:rsidRPr="0059724C" w:rsidRDefault="005666A5" w:rsidP="008A2415">
            <w:pPr>
              <w:tabs>
                <w:tab w:val="left" w:pos="1404"/>
                <w:tab w:val="left" w:pos="1440"/>
                <w:tab w:val="left" w:pos="4920"/>
                <w:tab w:val="right" w:pos="8640"/>
              </w:tabs>
              <w:ind w:left="-108" w:right="-108"/>
              <w:jc w:val="center"/>
              <w:rPr>
                <w:rFonts w:ascii="Baskerville" w:hAnsi="Baskerville" w:cs="Baskerville"/>
                <w:sz w:val="20"/>
                <w:szCs w:val="20"/>
              </w:rPr>
            </w:pPr>
            <w:r w:rsidRPr="0059724C">
              <w:rPr>
                <w:rFonts w:ascii="Baskerville" w:hAnsi="Baskerville" w:cs="Baskerville"/>
                <w:sz w:val="20"/>
                <w:szCs w:val="20"/>
              </w:rPr>
              <w:t>(</w:t>
            </w:r>
            <w:r w:rsidR="0083366F" w:rsidRPr="0059724C">
              <w:rPr>
                <w:rFonts w:ascii="Baskerville" w:hAnsi="Baskerville" w:cs="Baskerville"/>
                <w:sz w:val="20"/>
                <w:szCs w:val="20"/>
              </w:rPr>
              <w:t>Non Compliance</w:t>
            </w:r>
            <w:r w:rsidRPr="0059724C">
              <w:rPr>
                <w:rFonts w:ascii="Baskerville" w:hAnsi="Baskerville" w:cs="Baskerville"/>
                <w:sz w:val="20"/>
                <w:szCs w:val="20"/>
              </w:rPr>
              <w:t>)</w:t>
            </w:r>
          </w:p>
          <w:p w:rsidR="0083366F" w:rsidRPr="00DF1E2F" w:rsidRDefault="0083366F" w:rsidP="008A2415">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87702" w:rsidRDefault="0083366F" w:rsidP="008A2415">
            <w:pPr>
              <w:tabs>
                <w:tab w:val="left" w:pos="1404"/>
                <w:tab w:val="left" w:pos="1440"/>
                <w:tab w:val="left" w:pos="4920"/>
                <w:tab w:val="right" w:pos="8640"/>
              </w:tabs>
              <w:ind w:left="-108" w:right="-108"/>
              <w:jc w:val="center"/>
              <w:rPr>
                <w:rFonts w:ascii="Baskerville" w:hAnsi="Baskerville" w:cs="Baskerville"/>
                <w:sz w:val="22"/>
                <w:szCs w:val="22"/>
                <w:u w:val="single"/>
              </w:rPr>
            </w:pPr>
            <w:r w:rsidRPr="00D87702">
              <w:rPr>
                <w:rFonts w:ascii="Baskerville" w:hAnsi="Baskerville" w:cs="Baskerville"/>
                <w:sz w:val="22"/>
                <w:szCs w:val="22"/>
                <w:u w:val="single"/>
              </w:rPr>
              <w:t>Non Compliance</w:t>
            </w:r>
          </w:p>
          <w:p w:rsidR="0083366F" w:rsidRDefault="0083366F" w:rsidP="008A2415">
            <w:pPr>
              <w:tabs>
                <w:tab w:val="left" w:pos="1404"/>
                <w:tab w:val="left" w:pos="1440"/>
                <w:tab w:val="left" w:pos="4920"/>
                <w:tab w:val="right" w:pos="8640"/>
              </w:tabs>
              <w:ind w:left="-108" w:right="-108"/>
              <w:jc w:val="center"/>
              <w:rPr>
                <w:rFonts w:ascii="Baskerville" w:hAnsi="Baskerville" w:cs="Baskerville"/>
                <w:sz w:val="22"/>
                <w:szCs w:val="22"/>
              </w:rPr>
            </w:pPr>
          </w:p>
          <w:p w:rsidR="005D3FEB" w:rsidRPr="00DF1E2F" w:rsidRDefault="005D3FEB" w:rsidP="005D3FEB">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Non Compliance</w:t>
            </w:r>
          </w:p>
          <w:p w:rsidR="005D3FEB" w:rsidRPr="00DF1E2F" w:rsidRDefault="005D3FEB" w:rsidP="008A2415">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A2415">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8A2415">
            <w:pPr>
              <w:tabs>
                <w:tab w:val="left" w:pos="1404"/>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9D3236" w:rsidP="008C7CE9">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 xml:space="preserve">The Commonwealth </w:t>
            </w:r>
            <w:r w:rsidR="0083366F" w:rsidRPr="00DF1E2F">
              <w:rPr>
                <w:rFonts w:ascii="Baskerville" w:hAnsi="Baskerville" w:cs="Baskerville"/>
                <w:sz w:val="22"/>
                <w:szCs w:val="22"/>
              </w:rPr>
              <w:t xml:space="preserve">has </w:t>
            </w:r>
            <w:r>
              <w:rPr>
                <w:rFonts w:ascii="Baskerville" w:hAnsi="Baskerville" w:cs="Baskerville"/>
                <w:sz w:val="22"/>
                <w:szCs w:val="22"/>
              </w:rPr>
              <w:t xml:space="preserve">still </w:t>
            </w:r>
            <w:r w:rsidR="0083366F" w:rsidRPr="00DF1E2F">
              <w:rPr>
                <w:rFonts w:ascii="Baskerville" w:hAnsi="Baskerville" w:cs="Baskerville"/>
                <w:sz w:val="22"/>
                <w:szCs w:val="22"/>
              </w:rPr>
              <w:t xml:space="preserve">not developed a full implementation plan for integrated day activities. </w:t>
            </w:r>
            <w:r w:rsidR="00903BD3">
              <w:rPr>
                <w:rFonts w:ascii="Baskerville" w:hAnsi="Baskerville" w:cs="Baskerville"/>
                <w:sz w:val="22"/>
                <w:szCs w:val="22"/>
              </w:rPr>
              <w:t>The Commonwealth’s plan is largely o</w:t>
            </w:r>
            <w:r w:rsidR="00A13D28">
              <w:rPr>
                <w:rFonts w:ascii="Baskerville" w:hAnsi="Baskerville" w:cs="Baskerville"/>
                <w:sz w:val="22"/>
                <w:szCs w:val="22"/>
              </w:rPr>
              <w:t xml:space="preserve">n-hold until its </w:t>
            </w:r>
            <w:r w:rsidR="00670159">
              <w:rPr>
                <w:rFonts w:ascii="Baskerville" w:hAnsi="Baskerville" w:cs="Baskerville"/>
                <w:sz w:val="22"/>
                <w:szCs w:val="22"/>
              </w:rPr>
              <w:t xml:space="preserve">primary strategy for reform, i.e. the </w:t>
            </w:r>
            <w:r w:rsidR="00903BD3">
              <w:rPr>
                <w:rFonts w:ascii="Baskerville" w:hAnsi="Baskerville" w:cs="Baskerville"/>
                <w:sz w:val="22"/>
                <w:szCs w:val="22"/>
              </w:rPr>
              <w:t>redesigned HCBS waivers</w:t>
            </w:r>
            <w:r w:rsidR="008C7CE9">
              <w:rPr>
                <w:rFonts w:ascii="Baskerville" w:hAnsi="Baskerville" w:cs="Baskerville"/>
                <w:sz w:val="22"/>
                <w:szCs w:val="22"/>
              </w:rPr>
              <w:t xml:space="preserve"> </w:t>
            </w:r>
            <w:r w:rsidR="00903BD3">
              <w:rPr>
                <w:rFonts w:ascii="Baskerville" w:hAnsi="Baskerville" w:cs="Baskerville"/>
                <w:sz w:val="22"/>
                <w:szCs w:val="22"/>
              </w:rPr>
              <w:t>are in effect.</w:t>
            </w:r>
          </w:p>
        </w:tc>
      </w:tr>
      <w:tr w:rsidR="0083366F" w:rsidRPr="00DF1E2F" w:rsidTr="0094744A">
        <w:trPr>
          <w:trHeight w:val="1025"/>
        </w:trPr>
        <w:tc>
          <w:tcPr>
            <w:tcW w:w="1530" w:type="dxa"/>
            <w:vAlign w:val="center"/>
          </w:tcPr>
          <w:p w:rsidR="00DD2380" w:rsidRPr="00552A13" w:rsidRDefault="0083366F" w:rsidP="00AE3382">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AE3382">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A.</w:t>
            </w:r>
          </w:p>
        </w:tc>
        <w:tc>
          <w:tcPr>
            <w:tcW w:w="4320" w:type="dxa"/>
            <w:tcBorders>
              <w:bottom w:val="single" w:sz="4" w:space="0" w:color="auto"/>
            </w:tcBorders>
          </w:tcPr>
          <w:p w:rsidR="0083366F" w:rsidRPr="00DF1E2F" w:rsidRDefault="0083366F" w:rsidP="00B062E4">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Provide regional training on the Employment First policy and strategies through the Commonwealth.</w:t>
            </w:r>
          </w:p>
        </w:tc>
        <w:tc>
          <w:tcPr>
            <w:tcW w:w="1440" w:type="dxa"/>
            <w:tcBorders>
              <w:bottom w:val="single" w:sz="4" w:space="0" w:color="auto"/>
            </w:tcBorders>
          </w:tcPr>
          <w:p w:rsidR="00280B4D" w:rsidRPr="0000799C"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B1181A">
            <w:pPr>
              <w:tabs>
                <w:tab w:val="left" w:pos="1332"/>
                <w:tab w:val="left" w:pos="1404"/>
                <w:tab w:val="left" w:pos="1440"/>
                <w:tab w:val="left" w:pos="4920"/>
                <w:tab w:val="right" w:pos="8640"/>
              </w:tabs>
              <w:ind w:left="-108" w:right="-108"/>
              <w:jc w:val="center"/>
              <w:rPr>
                <w:rFonts w:ascii="Baskerville" w:hAnsi="Baskerville" w:cs="Baskerville"/>
                <w:sz w:val="22"/>
                <w:szCs w:val="22"/>
              </w:rPr>
            </w:pPr>
          </w:p>
          <w:p w:rsidR="0083366F" w:rsidRDefault="0083366F" w:rsidP="00B1181A">
            <w:pPr>
              <w:tabs>
                <w:tab w:val="left" w:pos="1332"/>
                <w:tab w:val="left" w:pos="1404"/>
                <w:tab w:val="left" w:pos="1440"/>
                <w:tab w:val="left" w:pos="4920"/>
                <w:tab w:val="right" w:pos="8640"/>
              </w:tabs>
              <w:ind w:left="-108" w:right="-108"/>
              <w:jc w:val="center"/>
              <w:rPr>
                <w:rFonts w:ascii="Baskerville" w:hAnsi="Baskerville" w:cs="Baskerville"/>
                <w:sz w:val="22"/>
                <w:szCs w:val="22"/>
                <w:u w:val="single"/>
              </w:rPr>
            </w:pPr>
            <w:r w:rsidRPr="005D3FEB">
              <w:rPr>
                <w:rFonts w:ascii="Baskerville" w:hAnsi="Baskerville" w:cs="Baskerville"/>
                <w:sz w:val="22"/>
                <w:szCs w:val="22"/>
                <w:u w:val="single"/>
              </w:rPr>
              <w:t>Compliance</w:t>
            </w:r>
          </w:p>
          <w:p w:rsidR="005D3FEB" w:rsidRDefault="005D3FEB" w:rsidP="00B1181A">
            <w:pPr>
              <w:tabs>
                <w:tab w:val="left" w:pos="1332"/>
                <w:tab w:val="left" w:pos="1404"/>
                <w:tab w:val="left" w:pos="1440"/>
                <w:tab w:val="left" w:pos="4920"/>
                <w:tab w:val="right" w:pos="8640"/>
              </w:tabs>
              <w:ind w:left="-108" w:right="-108"/>
              <w:jc w:val="center"/>
              <w:rPr>
                <w:rFonts w:ascii="Baskerville" w:hAnsi="Baskerville" w:cs="Baskerville"/>
                <w:sz w:val="22"/>
                <w:szCs w:val="22"/>
                <w:u w:val="single"/>
              </w:rPr>
            </w:pPr>
          </w:p>
          <w:p w:rsidR="0083366F" w:rsidRPr="00DF1E2F" w:rsidRDefault="005D3FEB" w:rsidP="005D3FEB">
            <w:pPr>
              <w:tabs>
                <w:tab w:val="left" w:pos="1332"/>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83366F" w:rsidRPr="00DF1E2F" w:rsidRDefault="0083366F" w:rsidP="003A4D63">
            <w:pPr>
              <w:tabs>
                <w:tab w:val="left" w:pos="1440"/>
                <w:tab w:val="left" w:pos="4920"/>
                <w:tab w:val="right" w:pos="8640"/>
              </w:tabs>
              <w:ind w:right="-18"/>
              <w:rPr>
                <w:rFonts w:ascii="Baskerville" w:hAnsi="Baskerville" w:cs="Baskerville"/>
                <w:sz w:val="22"/>
                <w:szCs w:val="22"/>
              </w:rPr>
            </w:pPr>
            <w:r w:rsidRPr="00DF1E2F">
              <w:rPr>
                <w:rFonts w:ascii="Baskerville" w:hAnsi="Baskerville" w:cs="Baskerville"/>
                <w:sz w:val="22"/>
                <w:szCs w:val="22"/>
              </w:rPr>
              <w:t>The employment services coordinator provided num</w:t>
            </w:r>
            <w:r w:rsidR="00263293">
              <w:rPr>
                <w:rFonts w:ascii="Baskerville" w:hAnsi="Baskerville" w:cs="Baskerville"/>
                <w:sz w:val="22"/>
                <w:szCs w:val="22"/>
              </w:rPr>
              <w:t>erous trainings t</w:t>
            </w:r>
            <w:r w:rsidR="00827F92">
              <w:rPr>
                <w:rFonts w:ascii="Baskerville" w:hAnsi="Baskerville" w:cs="Baskerville"/>
                <w:sz w:val="22"/>
                <w:szCs w:val="22"/>
              </w:rPr>
              <w:t>hroughout the Commonwealth</w:t>
            </w:r>
            <w:r w:rsidRPr="00DF1E2F">
              <w:rPr>
                <w:rFonts w:ascii="Baskerville" w:hAnsi="Baskerville" w:cs="Baskerville"/>
                <w:sz w:val="22"/>
                <w:szCs w:val="22"/>
              </w:rPr>
              <w:t>.</w:t>
            </w:r>
          </w:p>
        </w:tc>
      </w:tr>
      <w:tr w:rsidR="0083366F" w:rsidRPr="00DF1E2F" w:rsidTr="0094744A">
        <w:trPr>
          <w:trHeight w:val="737"/>
        </w:trPr>
        <w:tc>
          <w:tcPr>
            <w:tcW w:w="1530" w:type="dxa"/>
            <w:vAlign w:val="center"/>
          </w:tcPr>
          <w:p w:rsidR="00DD2380" w:rsidRPr="00552A13" w:rsidRDefault="0083366F" w:rsidP="00D06ACA">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D06ACA">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Establish, for individuals receiving services through the HCBS waivers annual baseline information re:</w:t>
            </w:r>
          </w:p>
        </w:tc>
        <w:tc>
          <w:tcPr>
            <w:tcW w:w="1440" w:type="dxa"/>
            <w:tcBorders>
              <w:top w:val="single" w:sz="4" w:space="0" w:color="auto"/>
            </w:tcBorders>
          </w:tcPr>
          <w:p w:rsidR="0083366F" w:rsidRPr="00DF1E2F" w:rsidRDefault="0083366F" w:rsidP="00257DC8">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51375C">
            <w:pPr>
              <w:tabs>
                <w:tab w:val="left" w:pos="1440"/>
                <w:tab w:val="left" w:pos="4920"/>
                <w:tab w:val="right" w:pos="8640"/>
              </w:tabs>
              <w:ind w:right="72"/>
              <w:rPr>
                <w:rFonts w:ascii="Baskerville" w:hAnsi="Baskerville" w:cs="Baskerville"/>
                <w:sz w:val="22"/>
                <w:szCs w:val="22"/>
              </w:rPr>
            </w:pPr>
          </w:p>
        </w:tc>
      </w:tr>
      <w:tr w:rsidR="0083366F" w:rsidRPr="00DF1E2F" w:rsidTr="0094744A">
        <w:trPr>
          <w:trHeight w:val="800"/>
        </w:trPr>
        <w:tc>
          <w:tcPr>
            <w:tcW w:w="1530" w:type="dxa"/>
          </w:tcPr>
          <w:p w:rsidR="00FC0D4C" w:rsidRDefault="00FC0D4C" w:rsidP="00C64C43">
            <w:pPr>
              <w:tabs>
                <w:tab w:val="left" w:pos="1440"/>
                <w:tab w:val="left" w:pos="4920"/>
                <w:tab w:val="right" w:pos="8640"/>
              </w:tabs>
              <w:ind w:left="-108" w:right="-108"/>
              <w:jc w:val="center"/>
              <w:rPr>
                <w:rFonts w:ascii="Baskerville" w:hAnsi="Baskerville" w:cs="Baskerville"/>
                <w:b/>
                <w:sz w:val="22"/>
                <w:szCs w:val="22"/>
                <w:u w:val="single"/>
              </w:rPr>
            </w:pPr>
          </w:p>
          <w:p w:rsidR="00FC0D4C" w:rsidRDefault="00FC0D4C" w:rsidP="00C64C43">
            <w:pPr>
              <w:tabs>
                <w:tab w:val="left" w:pos="1440"/>
                <w:tab w:val="left" w:pos="4920"/>
                <w:tab w:val="right" w:pos="8640"/>
              </w:tabs>
              <w:ind w:left="-108" w:right="-108"/>
              <w:jc w:val="center"/>
              <w:rPr>
                <w:rFonts w:ascii="Baskerville" w:hAnsi="Baskerville" w:cs="Baskerville"/>
                <w:b/>
                <w:sz w:val="22"/>
                <w:szCs w:val="22"/>
                <w:u w:val="single"/>
              </w:rPr>
            </w:pPr>
          </w:p>
          <w:p w:rsidR="00FC0D4C" w:rsidRDefault="00FC0D4C" w:rsidP="00C64C43">
            <w:pPr>
              <w:tabs>
                <w:tab w:val="left" w:pos="1440"/>
                <w:tab w:val="left" w:pos="4920"/>
                <w:tab w:val="right" w:pos="8640"/>
              </w:tabs>
              <w:ind w:left="-108" w:right="-108"/>
              <w:jc w:val="center"/>
              <w:rPr>
                <w:rFonts w:ascii="Baskerville" w:hAnsi="Baskerville" w:cs="Baskerville"/>
                <w:b/>
                <w:sz w:val="22"/>
                <w:szCs w:val="22"/>
                <w:u w:val="single"/>
              </w:rPr>
            </w:pPr>
          </w:p>
          <w:p w:rsidR="00FC0D4C" w:rsidRDefault="00FC0D4C" w:rsidP="00C64C43">
            <w:pPr>
              <w:tabs>
                <w:tab w:val="left" w:pos="1440"/>
                <w:tab w:val="left" w:pos="4920"/>
                <w:tab w:val="right" w:pos="8640"/>
              </w:tabs>
              <w:ind w:left="-108" w:right="-108"/>
              <w:jc w:val="center"/>
              <w:rPr>
                <w:rFonts w:ascii="Baskerville" w:hAnsi="Baskerville" w:cs="Baskerville"/>
                <w:b/>
                <w:sz w:val="22"/>
                <w:szCs w:val="22"/>
                <w:u w:val="single"/>
              </w:rPr>
            </w:pPr>
          </w:p>
          <w:p w:rsidR="00FC0D4C" w:rsidRDefault="00FC0D4C" w:rsidP="00C64C43">
            <w:pPr>
              <w:tabs>
                <w:tab w:val="left" w:pos="1440"/>
                <w:tab w:val="left" w:pos="4920"/>
                <w:tab w:val="right" w:pos="8640"/>
              </w:tabs>
              <w:ind w:left="-108" w:right="-108"/>
              <w:jc w:val="center"/>
              <w:rPr>
                <w:rFonts w:ascii="Baskerville" w:hAnsi="Baskerville" w:cs="Baskerville"/>
                <w:b/>
                <w:sz w:val="22"/>
                <w:szCs w:val="22"/>
                <w:u w:val="single"/>
              </w:rPr>
            </w:pPr>
          </w:p>
          <w:p w:rsidR="00DD2380"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B.1.a.</w:t>
            </w:r>
          </w:p>
        </w:tc>
        <w:tc>
          <w:tcPr>
            <w:tcW w:w="4320" w:type="dxa"/>
          </w:tcPr>
          <w:p w:rsidR="0083366F" w:rsidRPr="00DF1E2F" w:rsidRDefault="0083366F" w:rsidP="00056012">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number of individuals who are receiving supported employment</w:t>
            </w:r>
          </w:p>
        </w:tc>
        <w:tc>
          <w:tcPr>
            <w:tcW w:w="1440" w:type="dxa"/>
          </w:tcPr>
          <w:p w:rsidR="00280B4D" w:rsidRPr="0000799C"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B15C6" w:rsidRDefault="009B15C6" w:rsidP="00834547">
            <w:pPr>
              <w:tabs>
                <w:tab w:val="left" w:pos="1404"/>
                <w:tab w:val="left" w:pos="1440"/>
                <w:tab w:val="left" w:pos="4920"/>
                <w:tab w:val="right" w:pos="8640"/>
              </w:tabs>
              <w:ind w:left="-108" w:right="-108"/>
              <w:jc w:val="center"/>
              <w:rPr>
                <w:rFonts w:ascii="Baskerville" w:hAnsi="Baskerville" w:cs="Baskerville"/>
                <w:b/>
                <w:sz w:val="22"/>
                <w:szCs w:val="22"/>
              </w:rPr>
            </w:pPr>
          </w:p>
          <w:p w:rsidR="009B15C6" w:rsidRPr="00800A4B" w:rsidRDefault="00C3048B" w:rsidP="00834547">
            <w:pPr>
              <w:tabs>
                <w:tab w:val="left" w:pos="1404"/>
                <w:tab w:val="left" w:pos="1440"/>
                <w:tab w:val="left" w:pos="4920"/>
                <w:tab w:val="right" w:pos="8640"/>
              </w:tabs>
              <w:ind w:left="-108" w:right="-108"/>
              <w:jc w:val="center"/>
              <w:rPr>
                <w:rFonts w:ascii="Baskerville" w:hAnsi="Baskerville" w:cs="Baskerville"/>
                <w:b/>
                <w:sz w:val="22"/>
                <w:szCs w:val="22"/>
                <w:u w:val="single"/>
              </w:rPr>
            </w:pPr>
            <w:r w:rsidRPr="00800A4B">
              <w:rPr>
                <w:rFonts w:ascii="Baskerville" w:hAnsi="Baskerville" w:cs="Baskerville"/>
                <w:sz w:val="22"/>
                <w:szCs w:val="22"/>
                <w:u w:val="single"/>
              </w:rPr>
              <w:t>Compliance</w:t>
            </w:r>
          </w:p>
          <w:p w:rsidR="00FC0D4C" w:rsidRDefault="00FC0D4C" w:rsidP="00834547">
            <w:pPr>
              <w:tabs>
                <w:tab w:val="left" w:pos="1404"/>
                <w:tab w:val="left" w:pos="1440"/>
                <w:tab w:val="left" w:pos="4920"/>
                <w:tab w:val="right" w:pos="8640"/>
              </w:tabs>
              <w:ind w:left="-108" w:right="-108"/>
              <w:jc w:val="center"/>
              <w:rPr>
                <w:rFonts w:ascii="Baskerville" w:hAnsi="Baskerville" w:cs="Baskerville"/>
                <w:b/>
                <w:sz w:val="22"/>
                <w:szCs w:val="22"/>
              </w:rPr>
            </w:pPr>
          </w:p>
          <w:p w:rsidR="00C3048B" w:rsidRDefault="00C3048B" w:rsidP="00834547">
            <w:pPr>
              <w:tabs>
                <w:tab w:val="left" w:pos="1404"/>
                <w:tab w:val="left" w:pos="1440"/>
                <w:tab w:val="left" w:pos="4920"/>
                <w:tab w:val="right" w:pos="8640"/>
              </w:tabs>
              <w:ind w:left="-108" w:right="-108"/>
              <w:jc w:val="center"/>
              <w:rPr>
                <w:rFonts w:ascii="Baskerville" w:hAnsi="Baskerville" w:cs="Baskerville"/>
                <w:b/>
                <w:sz w:val="22"/>
                <w:szCs w:val="22"/>
              </w:rPr>
            </w:pPr>
          </w:p>
          <w:p w:rsidR="000A6C52" w:rsidRDefault="000A6C52" w:rsidP="00834547">
            <w:pPr>
              <w:tabs>
                <w:tab w:val="left" w:pos="1404"/>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Non</w:t>
            </w:r>
          </w:p>
          <w:p w:rsidR="0083366F" w:rsidRPr="00DF1E2F" w:rsidRDefault="0083366F" w:rsidP="00834547">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834547">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165DDC">
            <w:pPr>
              <w:tabs>
                <w:tab w:val="left" w:pos="1440"/>
                <w:tab w:val="left" w:pos="4920"/>
                <w:tab w:val="right" w:pos="8640"/>
              </w:tabs>
              <w:ind w:right="270"/>
              <w:rPr>
                <w:rFonts w:ascii="Baskerville" w:hAnsi="Baskerville" w:cs="Baskerville"/>
                <w:sz w:val="22"/>
                <w:szCs w:val="22"/>
              </w:rPr>
            </w:pPr>
            <w:r w:rsidRPr="00DF1E2F">
              <w:rPr>
                <w:rFonts w:ascii="Baskerville" w:hAnsi="Baskerville" w:cs="Baskerville"/>
                <w:sz w:val="22"/>
                <w:szCs w:val="22"/>
              </w:rPr>
              <w:t>The Com</w:t>
            </w:r>
            <w:r w:rsidR="00EA6768">
              <w:rPr>
                <w:rFonts w:ascii="Baskerville" w:hAnsi="Baskerville" w:cs="Baskerville"/>
                <w:sz w:val="22"/>
                <w:szCs w:val="22"/>
              </w:rPr>
              <w:t xml:space="preserve">monwealth </w:t>
            </w:r>
            <w:r w:rsidR="00205759">
              <w:rPr>
                <w:rFonts w:ascii="Baskerville" w:hAnsi="Baskerville" w:cs="Baskerville"/>
                <w:sz w:val="22"/>
                <w:szCs w:val="22"/>
              </w:rPr>
              <w:t xml:space="preserve">began a </w:t>
            </w:r>
            <w:r w:rsidR="0096490C">
              <w:rPr>
                <w:rFonts w:ascii="Baskerville" w:hAnsi="Baskerville" w:cs="Baskerville"/>
                <w:sz w:val="22"/>
                <w:szCs w:val="22"/>
              </w:rPr>
              <w:t xml:space="preserve">promising method of collecting data. It cannot, however, </w:t>
            </w:r>
            <w:r w:rsidR="00EA6768">
              <w:rPr>
                <w:rFonts w:ascii="Baskerville" w:hAnsi="Baskerville" w:cs="Baskerville"/>
                <w:sz w:val="22"/>
                <w:szCs w:val="22"/>
              </w:rPr>
              <w:t xml:space="preserve">determine the number of individuals who are </w:t>
            </w:r>
            <w:r w:rsidR="0096490C">
              <w:rPr>
                <w:rFonts w:ascii="Baskerville" w:hAnsi="Baskerville" w:cs="Baskerville"/>
                <w:sz w:val="22"/>
                <w:szCs w:val="22"/>
              </w:rPr>
              <w:t>receiving supported employment. D</w:t>
            </w:r>
            <w:r w:rsidR="008C7CE9">
              <w:rPr>
                <w:rFonts w:ascii="Baskerville" w:hAnsi="Baskerville" w:cs="Baskerville"/>
                <w:sz w:val="22"/>
                <w:szCs w:val="22"/>
              </w:rPr>
              <w:t>ata have</w:t>
            </w:r>
            <w:r w:rsidR="009A6A11">
              <w:rPr>
                <w:rFonts w:ascii="Baskerville" w:hAnsi="Baskerville" w:cs="Baskerville"/>
                <w:sz w:val="22"/>
                <w:szCs w:val="22"/>
              </w:rPr>
              <w:t xml:space="preserve"> been collected from </w:t>
            </w:r>
            <w:r w:rsidR="00C3048B">
              <w:rPr>
                <w:rFonts w:ascii="Baskerville" w:hAnsi="Baskerville" w:cs="Baskerville"/>
                <w:sz w:val="22"/>
                <w:szCs w:val="22"/>
              </w:rPr>
              <w:t xml:space="preserve">only </w:t>
            </w:r>
            <w:r w:rsidR="009A6A11">
              <w:rPr>
                <w:rFonts w:ascii="Baskerville" w:hAnsi="Baskerville" w:cs="Baskerville"/>
                <w:sz w:val="22"/>
                <w:szCs w:val="22"/>
              </w:rPr>
              <w:t xml:space="preserve">44% of the Employment Service </w:t>
            </w:r>
            <w:r w:rsidR="009B15C6">
              <w:rPr>
                <w:rFonts w:ascii="Baskerville" w:hAnsi="Baskerville" w:cs="Baskerville"/>
                <w:sz w:val="22"/>
                <w:szCs w:val="22"/>
              </w:rPr>
              <w:t>Organizations</w:t>
            </w:r>
            <w:r w:rsidR="00F87EE6">
              <w:rPr>
                <w:rFonts w:ascii="Baskerville" w:hAnsi="Baskerville" w:cs="Baskerville"/>
                <w:sz w:val="22"/>
                <w:szCs w:val="22"/>
              </w:rPr>
              <w:t xml:space="preserve"> and</w:t>
            </w:r>
            <w:r w:rsidR="009A6A11">
              <w:rPr>
                <w:rFonts w:ascii="Baskerville" w:hAnsi="Baskerville" w:cs="Baskerville"/>
                <w:sz w:val="22"/>
                <w:szCs w:val="22"/>
              </w:rPr>
              <w:t xml:space="preserve"> 70% of the individuals</w:t>
            </w:r>
            <w:r w:rsidR="009B15C6">
              <w:rPr>
                <w:rFonts w:ascii="Baskerville" w:hAnsi="Baskerville" w:cs="Baskerville"/>
                <w:sz w:val="22"/>
                <w:szCs w:val="22"/>
              </w:rPr>
              <w:t>.</w:t>
            </w:r>
          </w:p>
        </w:tc>
      </w:tr>
      <w:tr w:rsidR="0083366F" w:rsidRPr="00DF1E2F" w:rsidTr="0094744A">
        <w:trPr>
          <w:trHeight w:val="782"/>
        </w:trPr>
        <w:tc>
          <w:tcPr>
            <w:tcW w:w="1530" w:type="dxa"/>
            <w:vAlign w:val="center"/>
          </w:tcPr>
          <w:p w:rsidR="00DD2380"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B.1.b.</w:t>
            </w:r>
          </w:p>
        </w:tc>
        <w:tc>
          <w:tcPr>
            <w:tcW w:w="4320" w:type="dxa"/>
          </w:tcPr>
          <w:p w:rsidR="0083366F" w:rsidRPr="00DF1E2F" w:rsidRDefault="0083366F" w:rsidP="005C4658">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length of time individuals maintain employment in integrated work settings.</w:t>
            </w:r>
          </w:p>
        </w:tc>
        <w:tc>
          <w:tcPr>
            <w:tcW w:w="1440" w:type="dxa"/>
          </w:tcPr>
          <w:p w:rsidR="005666A5" w:rsidRDefault="005666A5" w:rsidP="005666A5">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w:t>
            </w:r>
            <w:r w:rsidR="004A5120">
              <w:rPr>
                <w:rFonts w:ascii="Baskerville" w:hAnsi="Baskerville" w:cs="Baskerville"/>
                <w:sz w:val="20"/>
                <w:szCs w:val="20"/>
              </w:rPr>
              <w:t>C</w:t>
            </w:r>
            <w:r w:rsidRPr="00B859E2">
              <w:rPr>
                <w:rFonts w:ascii="Baskerville" w:hAnsi="Baskerville" w:cs="Baskerville"/>
                <w:sz w:val="20"/>
                <w:szCs w:val="20"/>
              </w:rPr>
              <w:t>ompliance)</w:t>
            </w:r>
          </w:p>
          <w:p w:rsidR="004A5120" w:rsidRPr="00800A4B" w:rsidRDefault="004A5120" w:rsidP="005666A5">
            <w:pPr>
              <w:tabs>
                <w:tab w:val="left" w:pos="1440"/>
                <w:tab w:val="left" w:pos="4920"/>
                <w:tab w:val="right" w:pos="8640"/>
              </w:tabs>
              <w:ind w:left="-108" w:right="-108"/>
              <w:jc w:val="center"/>
              <w:rPr>
                <w:rFonts w:ascii="Baskerville" w:hAnsi="Baskerville" w:cs="Baskerville"/>
                <w:sz w:val="20"/>
                <w:szCs w:val="20"/>
                <w:u w:val="single"/>
              </w:rPr>
            </w:pPr>
            <w:r w:rsidRPr="00800A4B">
              <w:rPr>
                <w:rFonts w:ascii="Baskerville" w:hAnsi="Baskerville" w:cs="Baskerville"/>
                <w:sz w:val="20"/>
                <w:szCs w:val="20"/>
                <w:u w:val="single"/>
              </w:rPr>
              <w:t>Non Compliance</w:t>
            </w:r>
          </w:p>
          <w:p w:rsidR="0083366F" w:rsidRPr="00DF1E2F" w:rsidRDefault="0083366F" w:rsidP="00834547">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Non Compliance</w:t>
            </w:r>
          </w:p>
        </w:tc>
        <w:tc>
          <w:tcPr>
            <w:tcW w:w="2880" w:type="dxa"/>
          </w:tcPr>
          <w:p w:rsidR="0083366F" w:rsidRPr="002934E9" w:rsidRDefault="00A13D28" w:rsidP="00E95740">
            <w:pPr>
              <w:tabs>
                <w:tab w:val="left" w:pos="1440"/>
                <w:tab w:val="left" w:pos="4920"/>
                <w:tab w:val="right" w:pos="8640"/>
              </w:tabs>
              <w:ind w:right="-108"/>
              <w:rPr>
                <w:rFonts w:ascii="Baskerville" w:hAnsi="Baskerville" w:cs="Baskerville"/>
                <w:sz w:val="22"/>
                <w:szCs w:val="22"/>
                <w:u w:val="single"/>
              </w:rPr>
            </w:pPr>
            <w:r>
              <w:rPr>
                <w:rFonts w:ascii="Baskerville" w:hAnsi="Baskerville" w:cs="Baskerville"/>
                <w:sz w:val="22"/>
                <w:szCs w:val="22"/>
                <w:u w:val="single"/>
              </w:rPr>
              <w:t xml:space="preserve">See answer above </w:t>
            </w:r>
            <w:r w:rsidR="002934E9">
              <w:rPr>
                <w:rFonts w:ascii="Baskerville" w:hAnsi="Baskerville" w:cs="Baskerville"/>
                <w:sz w:val="22"/>
                <w:szCs w:val="22"/>
                <w:u w:val="single"/>
              </w:rPr>
              <w:t xml:space="preserve">for </w:t>
            </w:r>
            <w:r w:rsidR="002934E9" w:rsidRPr="002934E9">
              <w:rPr>
                <w:rFonts w:ascii="Baskerville" w:hAnsi="Baskerville" w:cs="Baskerville"/>
                <w:sz w:val="22"/>
                <w:szCs w:val="22"/>
                <w:u w:val="single"/>
              </w:rPr>
              <w:t>III.C.7.b.i.B.1.a.</w:t>
            </w:r>
          </w:p>
        </w:tc>
      </w:tr>
      <w:tr w:rsidR="0083366F" w:rsidRPr="00DF1E2F" w:rsidTr="0094744A">
        <w:trPr>
          <w:trHeight w:val="548"/>
        </w:trPr>
        <w:tc>
          <w:tcPr>
            <w:tcW w:w="1530" w:type="dxa"/>
            <w:vAlign w:val="center"/>
          </w:tcPr>
          <w:p w:rsidR="00DD2380"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B.1.c.</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Amount of earnings from supported employment;</w:t>
            </w:r>
          </w:p>
          <w:p w:rsidR="0083366F" w:rsidRPr="00DF1E2F" w:rsidRDefault="0083366F" w:rsidP="004B279A">
            <w:pPr>
              <w:tabs>
                <w:tab w:val="left" w:pos="4920"/>
                <w:tab w:val="right" w:pos="8640"/>
              </w:tabs>
              <w:ind w:right="72"/>
              <w:rPr>
                <w:rFonts w:ascii="Baskerville" w:hAnsi="Baskerville" w:cs="Baskerville"/>
                <w:sz w:val="22"/>
                <w:szCs w:val="22"/>
              </w:rPr>
            </w:pPr>
          </w:p>
        </w:tc>
        <w:tc>
          <w:tcPr>
            <w:tcW w:w="1440" w:type="dxa"/>
          </w:tcPr>
          <w:p w:rsidR="00C405DA" w:rsidRPr="00B859E2" w:rsidRDefault="00C405DA" w:rsidP="00C405DA">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5666A5">
              <w:rPr>
                <w:rFonts w:ascii="Baskerville" w:hAnsi="Baskerville" w:cs="Baskerville"/>
                <w:sz w:val="20"/>
                <w:szCs w:val="20"/>
              </w:rPr>
              <w:t xml:space="preserve"> </w:t>
            </w:r>
            <w:r w:rsidRPr="00B859E2">
              <w:rPr>
                <w:rFonts w:ascii="Baskerville" w:hAnsi="Baskerville" w:cs="Baskerville"/>
                <w:sz w:val="20"/>
                <w:szCs w:val="20"/>
              </w:rPr>
              <w:t>Compliance)</w:t>
            </w:r>
          </w:p>
          <w:p w:rsidR="00974F57" w:rsidRDefault="0083366F" w:rsidP="004A5120">
            <w:pPr>
              <w:tabs>
                <w:tab w:val="left" w:pos="1440"/>
                <w:tab w:val="left" w:pos="4920"/>
                <w:tab w:val="right" w:pos="8640"/>
              </w:tabs>
              <w:ind w:left="-108" w:right="-108"/>
              <w:jc w:val="center"/>
              <w:rPr>
                <w:rFonts w:ascii="Baskerville" w:hAnsi="Baskerville" w:cs="Baskerville"/>
                <w:sz w:val="22"/>
                <w:szCs w:val="22"/>
                <w:u w:val="single"/>
              </w:rPr>
            </w:pPr>
            <w:r w:rsidRPr="004A5120">
              <w:rPr>
                <w:rFonts w:ascii="Baskerville" w:hAnsi="Baskerville" w:cs="Baskerville"/>
                <w:sz w:val="22"/>
                <w:szCs w:val="22"/>
                <w:u w:val="single"/>
              </w:rPr>
              <w:t>Non</w:t>
            </w:r>
            <w:r w:rsidR="00974F57">
              <w:rPr>
                <w:rFonts w:ascii="Baskerville" w:hAnsi="Baskerville" w:cs="Baskerville"/>
                <w:sz w:val="22"/>
                <w:szCs w:val="22"/>
                <w:u w:val="single"/>
              </w:rPr>
              <w:t xml:space="preserve"> </w:t>
            </w:r>
            <w:r w:rsidRPr="004A5120">
              <w:rPr>
                <w:rFonts w:ascii="Baskerville" w:hAnsi="Baskerville" w:cs="Baskerville"/>
                <w:sz w:val="22"/>
                <w:szCs w:val="22"/>
                <w:u w:val="single"/>
              </w:rPr>
              <w:t>Com</w:t>
            </w:r>
            <w:r w:rsidR="00974F57" w:rsidRPr="004A5120">
              <w:rPr>
                <w:rFonts w:ascii="Baskerville" w:hAnsi="Baskerville" w:cs="Baskerville"/>
                <w:sz w:val="22"/>
                <w:szCs w:val="22"/>
                <w:u w:val="single"/>
              </w:rPr>
              <w:t>pliance</w:t>
            </w:r>
          </w:p>
          <w:p w:rsidR="0083366F" w:rsidRPr="00DF1E2F" w:rsidRDefault="00974F57" w:rsidP="00974F57">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 xml:space="preserve"> Non Compliance</w:t>
            </w:r>
            <w:r w:rsidRPr="004A5120">
              <w:rPr>
                <w:rFonts w:ascii="Baskerville" w:hAnsi="Baskerville" w:cs="Baskerville"/>
                <w:sz w:val="22"/>
                <w:szCs w:val="22"/>
                <w:u w:val="single"/>
              </w:rPr>
              <w:t xml:space="preserve"> </w:t>
            </w:r>
          </w:p>
        </w:tc>
        <w:tc>
          <w:tcPr>
            <w:tcW w:w="2880" w:type="dxa"/>
          </w:tcPr>
          <w:p w:rsidR="0083366F" w:rsidRPr="00DF1E2F" w:rsidRDefault="00A13D28" w:rsidP="0035050D">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u w:val="single"/>
              </w:rPr>
              <w:t xml:space="preserve">See answer above </w:t>
            </w:r>
            <w:r w:rsidR="002934E9">
              <w:rPr>
                <w:rFonts w:ascii="Baskerville" w:hAnsi="Baskerville" w:cs="Baskerville"/>
                <w:sz w:val="22"/>
                <w:szCs w:val="22"/>
                <w:u w:val="single"/>
              </w:rPr>
              <w:t xml:space="preserve">for </w:t>
            </w:r>
            <w:r w:rsidR="002934E9" w:rsidRPr="002934E9">
              <w:rPr>
                <w:rFonts w:ascii="Baskerville" w:hAnsi="Baskerville" w:cs="Baskerville"/>
                <w:sz w:val="22"/>
                <w:szCs w:val="22"/>
                <w:u w:val="single"/>
              </w:rPr>
              <w:t>III.C.7.b.i.B.1.a.</w:t>
            </w:r>
          </w:p>
        </w:tc>
      </w:tr>
      <w:tr w:rsidR="0083366F" w:rsidRPr="001E1416" w:rsidTr="0094744A">
        <w:trPr>
          <w:trHeight w:val="800"/>
        </w:trPr>
        <w:tc>
          <w:tcPr>
            <w:tcW w:w="1530" w:type="dxa"/>
            <w:vAlign w:val="center"/>
          </w:tcPr>
          <w:p w:rsidR="00DD2380"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B.1.d.</w:t>
            </w:r>
          </w:p>
        </w:tc>
        <w:tc>
          <w:tcPr>
            <w:tcW w:w="4320" w:type="dxa"/>
          </w:tcPr>
          <w:p w:rsidR="0083366F" w:rsidRPr="00DF1E2F" w:rsidRDefault="0083366F" w:rsidP="00215F99">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number of individuals in pre-vocational services</w:t>
            </w:r>
            <w:r w:rsidR="0059593D">
              <w:rPr>
                <w:rFonts w:ascii="Baskerville" w:hAnsi="Baskerville" w:cs="Baskerville"/>
                <w:sz w:val="22"/>
                <w:szCs w:val="22"/>
              </w:rPr>
              <w:t>.</w:t>
            </w:r>
          </w:p>
        </w:tc>
        <w:tc>
          <w:tcPr>
            <w:tcW w:w="1440" w:type="dxa"/>
          </w:tcPr>
          <w:p w:rsidR="00280B4D"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D81669" w:rsidRPr="0059593D" w:rsidRDefault="001E1416" w:rsidP="0059593D">
            <w:pPr>
              <w:tabs>
                <w:tab w:val="left" w:pos="1692"/>
                <w:tab w:val="left" w:pos="4920"/>
                <w:tab w:val="right" w:pos="8640"/>
              </w:tabs>
              <w:ind w:left="-108" w:right="-108"/>
              <w:jc w:val="center"/>
              <w:rPr>
                <w:rFonts w:ascii="Baskerville" w:hAnsi="Baskerville" w:cs="Baskerville"/>
                <w:sz w:val="22"/>
                <w:szCs w:val="22"/>
                <w:u w:val="single"/>
              </w:rPr>
            </w:pPr>
            <w:r>
              <w:rPr>
                <w:rFonts w:ascii="Baskerville" w:hAnsi="Baskerville" w:cs="Baskerville"/>
                <w:sz w:val="22"/>
                <w:szCs w:val="22"/>
                <w:u w:val="single"/>
              </w:rPr>
              <w:t>Compliance</w:t>
            </w:r>
          </w:p>
          <w:p w:rsidR="0083366F" w:rsidRPr="00DF1E2F" w:rsidRDefault="0083366F" w:rsidP="00574905">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83366F" w:rsidRPr="001E1416" w:rsidRDefault="001E1416" w:rsidP="0059593D">
            <w:pPr>
              <w:tabs>
                <w:tab w:val="left" w:pos="1440"/>
                <w:tab w:val="left" w:pos="4920"/>
                <w:tab w:val="right" w:pos="8640"/>
              </w:tabs>
              <w:ind w:right="162"/>
              <w:rPr>
                <w:rFonts w:ascii="Baskerville" w:hAnsi="Baskerville" w:cs="Baskerville"/>
                <w:sz w:val="22"/>
                <w:szCs w:val="22"/>
              </w:rPr>
            </w:pPr>
            <w:r w:rsidRPr="001E1416">
              <w:rPr>
                <w:rFonts w:ascii="Baskerville" w:hAnsi="Baskerville" w:cs="Baskerville"/>
                <w:sz w:val="22"/>
                <w:szCs w:val="22"/>
              </w:rPr>
              <w:t>The Commonwealth provided the number of indiv</w:t>
            </w:r>
            <w:r w:rsidR="009E01F1">
              <w:rPr>
                <w:rFonts w:ascii="Baskerville" w:hAnsi="Baskerville" w:cs="Baskerville"/>
                <w:sz w:val="22"/>
                <w:szCs w:val="22"/>
              </w:rPr>
              <w:t>iduals.</w:t>
            </w:r>
            <w:r w:rsidRPr="001E1416">
              <w:rPr>
                <w:rFonts w:ascii="Baskerville" w:hAnsi="Baskerville" w:cs="Baskerville"/>
                <w:sz w:val="22"/>
                <w:szCs w:val="22"/>
              </w:rPr>
              <w:t xml:space="preserve"> </w:t>
            </w:r>
          </w:p>
        </w:tc>
      </w:tr>
      <w:tr w:rsidR="0083366F" w:rsidRPr="001E1416" w:rsidTr="0094744A">
        <w:trPr>
          <w:trHeight w:val="782"/>
        </w:trPr>
        <w:tc>
          <w:tcPr>
            <w:tcW w:w="1530" w:type="dxa"/>
          </w:tcPr>
          <w:p w:rsidR="00A71188" w:rsidRPr="00552A13" w:rsidRDefault="00A71188" w:rsidP="00A71188">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III.C.7.b.i.</w:t>
            </w:r>
          </w:p>
          <w:p w:rsidR="0083366F" w:rsidRPr="00552A13" w:rsidRDefault="0083366F" w:rsidP="00C64C43">
            <w:pPr>
              <w:tabs>
                <w:tab w:val="left" w:pos="1440"/>
                <w:tab w:val="left" w:pos="4920"/>
                <w:tab w:val="right" w:pos="8640"/>
              </w:tabs>
              <w:ind w:left="-108" w:right="-108"/>
              <w:jc w:val="center"/>
              <w:rPr>
                <w:rFonts w:ascii="Baskerville" w:hAnsi="Baskerville" w:cs="Baskerville"/>
                <w:b/>
                <w:sz w:val="22"/>
                <w:szCs w:val="22"/>
                <w:u w:val="single"/>
              </w:rPr>
            </w:pPr>
            <w:r w:rsidRPr="00552A13">
              <w:rPr>
                <w:rFonts w:ascii="Baskerville" w:hAnsi="Baskerville" w:cs="Baskerville"/>
                <w:b/>
                <w:sz w:val="22"/>
                <w:szCs w:val="22"/>
                <w:u w:val="single"/>
              </w:rPr>
              <w:t>B.1.e.</w:t>
            </w:r>
          </w:p>
        </w:tc>
        <w:tc>
          <w:tcPr>
            <w:tcW w:w="4320" w:type="dxa"/>
          </w:tcPr>
          <w:p w:rsidR="0083366F" w:rsidRPr="00DF1E2F" w:rsidRDefault="00C53D55" w:rsidP="000F70AC">
            <w:pPr>
              <w:tabs>
                <w:tab w:val="left" w:pos="4014"/>
                <w:tab w:val="left" w:pos="4920"/>
                <w:tab w:val="right" w:pos="8640"/>
              </w:tabs>
              <w:ind w:right="72"/>
              <w:rPr>
                <w:rFonts w:ascii="Baskerville" w:hAnsi="Baskerville" w:cs="Baskerville"/>
                <w:sz w:val="22"/>
                <w:szCs w:val="22"/>
              </w:rPr>
            </w:pPr>
            <w:r>
              <w:rPr>
                <w:rFonts w:ascii="Baskerville" w:hAnsi="Baskerville" w:cs="Baskerville"/>
                <w:sz w:val="22"/>
                <w:szCs w:val="22"/>
              </w:rPr>
              <w:t>The length-of-</w:t>
            </w:r>
            <w:r w:rsidR="0083366F" w:rsidRPr="00DF1E2F">
              <w:rPr>
                <w:rFonts w:ascii="Baskerville" w:hAnsi="Baskerville" w:cs="Baskerville"/>
                <w:sz w:val="22"/>
                <w:szCs w:val="22"/>
              </w:rPr>
              <w:t>time individuals remain in pre-vocational services.</w:t>
            </w:r>
          </w:p>
        </w:tc>
        <w:tc>
          <w:tcPr>
            <w:tcW w:w="1440" w:type="dxa"/>
          </w:tcPr>
          <w:p w:rsidR="00280B4D"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C53D55" w:rsidRPr="001E1416" w:rsidRDefault="001E1416" w:rsidP="001E1416">
            <w:pPr>
              <w:tabs>
                <w:tab w:val="left" w:pos="1692"/>
                <w:tab w:val="left" w:pos="4920"/>
                <w:tab w:val="right" w:pos="8640"/>
              </w:tabs>
              <w:ind w:left="-108" w:right="-108"/>
              <w:jc w:val="center"/>
              <w:rPr>
                <w:rFonts w:ascii="Baskerville" w:hAnsi="Baskerville" w:cs="Baskerville"/>
                <w:sz w:val="22"/>
                <w:szCs w:val="22"/>
                <w:u w:val="single"/>
              </w:rPr>
            </w:pPr>
            <w:r>
              <w:rPr>
                <w:rFonts w:ascii="Baskerville" w:hAnsi="Baskerville" w:cs="Baskerville"/>
                <w:sz w:val="22"/>
                <w:szCs w:val="22"/>
                <w:u w:val="single"/>
              </w:rPr>
              <w:t>Compliance</w:t>
            </w:r>
          </w:p>
          <w:p w:rsidR="0083366F" w:rsidRPr="00DF1E2F" w:rsidRDefault="0083366F" w:rsidP="00574905">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83366F" w:rsidRPr="001E1416" w:rsidRDefault="009E01F1" w:rsidP="009E01F1">
            <w:pPr>
              <w:tabs>
                <w:tab w:val="left" w:pos="2356"/>
                <w:tab w:val="left" w:pos="2518"/>
                <w:tab w:val="left" w:pos="4920"/>
                <w:tab w:val="right" w:pos="8640"/>
              </w:tabs>
              <w:ind w:right="72"/>
              <w:rPr>
                <w:rFonts w:ascii="Baskerville" w:hAnsi="Baskerville" w:cs="Baskerville"/>
                <w:sz w:val="22"/>
                <w:szCs w:val="22"/>
              </w:rPr>
            </w:pPr>
            <w:r w:rsidRPr="001E1416">
              <w:rPr>
                <w:rFonts w:ascii="Baskerville" w:hAnsi="Baskerville" w:cs="Baskerville"/>
                <w:sz w:val="22"/>
                <w:szCs w:val="22"/>
              </w:rPr>
              <w:t>The Commonwealth provided the number who remain in such services</w:t>
            </w:r>
            <w:r>
              <w:rPr>
                <w:rFonts w:ascii="Baskerville" w:hAnsi="Baskerville" w:cs="Baskerville"/>
                <w:sz w:val="22"/>
                <w:szCs w:val="22"/>
              </w:rPr>
              <w:t>.</w:t>
            </w:r>
          </w:p>
        </w:tc>
      </w:tr>
      <w:tr w:rsidR="0083366F" w:rsidRPr="00DF1E2F" w:rsidTr="0094744A">
        <w:trPr>
          <w:trHeight w:val="3086"/>
        </w:trPr>
        <w:tc>
          <w:tcPr>
            <w:tcW w:w="1530" w:type="dxa"/>
            <w:vAlign w:val="center"/>
          </w:tcPr>
          <w:p w:rsidR="00DD2380" w:rsidRPr="00586F8E" w:rsidRDefault="0083366F" w:rsidP="007373E0">
            <w:pPr>
              <w:tabs>
                <w:tab w:val="left" w:pos="1440"/>
                <w:tab w:val="left" w:pos="4920"/>
                <w:tab w:val="right" w:pos="8640"/>
              </w:tabs>
              <w:ind w:left="-108" w:right="-108"/>
              <w:jc w:val="center"/>
              <w:rPr>
                <w:rFonts w:ascii="Baskerville" w:hAnsi="Baskerville" w:cs="Baskerville"/>
                <w:b/>
                <w:sz w:val="22"/>
                <w:szCs w:val="22"/>
                <w:u w:val="single"/>
              </w:rPr>
            </w:pPr>
            <w:r w:rsidRPr="00586F8E">
              <w:rPr>
                <w:rFonts w:ascii="Baskerville" w:hAnsi="Baskerville" w:cs="Baskerville"/>
                <w:b/>
                <w:sz w:val="22"/>
                <w:szCs w:val="22"/>
                <w:u w:val="single"/>
              </w:rPr>
              <w:t>III.C.7.b.i.</w:t>
            </w:r>
          </w:p>
          <w:p w:rsidR="0083366F" w:rsidRPr="00586F8E" w:rsidRDefault="0083366F" w:rsidP="007373E0">
            <w:pPr>
              <w:tabs>
                <w:tab w:val="left" w:pos="1440"/>
                <w:tab w:val="left" w:pos="4920"/>
                <w:tab w:val="right" w:pos="8640"/>
              </w:tabs>
              <w:ind w:left="-108" w:right="-108"/>
              <w:jc w:val="center"/>
              <w:rPr>
                <w:rFonts w:ascii="Baskerville" w:hAnsi="Baskerville" w:cs="Baskerville"/>
                <w:b/>
                <w:sz w:val="22"/>
                <w:szCs w:val="22"/>
                <w:u w:val="single"/>
              </w:rPr>
            </w:pPr>
            <w:r w:rsidRPr="00586F8E">
              <w:rPr>
                <w:rFonts w:ascii="Baskerville" w:hAnsi="Baskerville" w:cs="Baskerville"/>
                <w:b/>
                <w:sz w:val="22"/>
                <w:szCs w:val="22"/>
                <w:u w:val="single"/>
              </w:rPr>
              <w:t>B.2.a.</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Targets to meaningfully increase: the number of individuals who enroll in supported employment each year</w:t>
            </w:r>
          </w:p>
        </w:tc>
        <w:tc>
          <w:tcPr>
            <w:tcW w:w="1440" w:type="dxa"/>
          </w:tcPr>
          <w:p w:rsidR="00280B4D" w:rsidRPr="0000799C"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B56650" w:rsidRDefault="00B56650" w:rsidP="00574905">
            <w:pPr>
              <w:tabs>
                <w:tab w:val="left" w:pos="1512"/>
                <w:tab w:val="left" w:pos="4920"/>
                <w:tab w:val="right" w:pos="8640"/>
              </w:tabs>
              <w:ind w:left="-108" w:right="-108"/>
              <w:jc w:val="center"/>
              <w:rPr>
                <w:rFonts w:ascii="Baskerville" w:hAnsi="Baskerville" w:cs="Baskerville"/>
                <w:sz w:val="22"/>
                <w:szCs w:val="22"/>
                <w:u w:val="single"/>
              </w:rPr>
            </w:pPr>
          </w:p>
          <w:p w:rsidR="00B27309" w:rsidRPr="00C53D55" w:rsidRDefault="00C53D55" w:rsidP="00574905">
            <w:pPr>
              <w:tabs>
                <w:tab w:val="left" w:pos="1512"/>
                <w:tab w:val="left" w:pos="4920"/>
                <w:tab w:val="right" w:pos="8640"/>
              </w:tabs>
              <w:ind w:left="-108" w:right="-108"/>
              <w:jc w:val="center"/>
              <w:rPr>
                <w:rFonts w:ascii="Baskerville" w:hAnsi="Baskerville" w:cs="Baskerville"/>
                <w:b/>
                <w:sz w:val="22"/>
                <w:szCs w:val="22"/>
                <w:u w:val="single"/>
              </w:rPr>
            </w:pPr>
            <w:r w:rsidRPr="00C53D55">
              <w:rPr>
                <w:rFonts w:ascii="Baskerville" w:hAnsi="Baskerville" w:cs="Baskerville"/>
                <w:sz w:val="22"/>
                <w:szCs w:val="22"/>
                <w:u w:val="single"/>
              </w:rPr>
              <w:t>Compliance</w:t>
            </w:r>
          </w:p>
          <w:p w:rsidR="007E2A9B" w:rsidRDefault="007E2A9B" w:rsidP="00574905">
            <w:pPr>
              <w:tabs>
                <w:tab w:val="left" w:pos="1512"/>
                <w:tab w:val="left" w:pos="4920"/>
                <w:tab w:val="right" w:pos="8640"/>
              </w:tabs>
              <w:ind w:left="-108" w:right="-108"/>
              <w:jc w:val="center"/>
              <w:rPr>
                <w:rFonts w:ascii="Baskerville" w:hAnsi="Baskerville" w:cs="Baskerville"/>
                <w:b/>
                <w:sz w:val="22"/>
                <w:szCs w:val="22"/>
              </w:rPr>
            </w:pPr>
          </w:p>
          <w:p w:rsidR="00846588" w:rsidRDefault="00846588" w:rsidP="00574905">
            <w:pPr>
              <w:tabs>
                <w:tab w:val="left" w:pos="1512"/>
                <w:tab w:val="left" w:pos="4920"/>
                <w:tab w:val="right" w:pos="8640"/>
              </w:tabs>
              <w:ind w:left="-108" w:right="-108"/>
              <w:jc w:val="center"/>
              <w:rPr>
                <w:rFonts w:ascii="Baskerville" w:hAnsi="Baskerville" w:cs="Baskerville"/>
                <w:b/>
                <w:sz w:val="22"/>
                <w:szCs w:val="22"/>
              </w:rPr>
            </w:pPr>
          </w:p>
          <w:p w:rsidR="000D15F0" w:rsidRDefault="00B56650" w:rsidP="00B56650">
            <w:pPr>
              <w:tabs>
                <w:tab w:val="left" w:pos="380"/>
                <w:tab w:val="center" w:pos="657"/>
                <w:tab w:val="left" w:pos="1512"/>
                <w:tab w:val="left" w:pos="4920"/>
                <w:tab w:val="right" w:pos="8640"/>
              </w:tabs>
              <w:ind w:left="-108" w:right="-108"/>
              <w:rPr>
                <w:rFonts w:ascii="Baskerville" w:hAnsi="Baskerville" w:cs="Baskerville"/>
                <w:b/>
                <w:sz w:val="22"/>
                <w:szCs w:val="22"/>
              </w:rPr>
            </w:pPr>
            <w:r>
              <w:rPr>
                <w:rFonts w:ascii="Baskerville" w:hAnsi="Baskerville" w:cs="Baskerville"/>
                <w:b/>
                <w:sz w:val="22"/>
                <w:szCs w:val="22"/>
              </w:rPr>
              <w:t xml:space="preserve"> </w:t>
            </w:r>
            <w:r>
              <w:rPr>
                <w:rFonts w:ascii="Baskerville" w:hAnsi="Baskerville" w:cs="Baskerville"/>
                <w:b/>
                <w:sz w:val="22"/>
                <w:szCs w:val="22"/>
              </w:rPr>
              <w:tab/>
            </w:r>
            <w:r w:rsidR="000D15F0">
              <w:rPr>
                <w:rFonts w:ascii="Baskerville" w:hAnsi="Baskerville" w:cs="Baskerville"/>
                <w:b/>
                <w:sz w:val="22"/>
                <w:szCs w:val="22"/>
              </w:rPr>
              <w:t>Non</w:t>
            </w:r>
          </w:p>
          <w:p w:rsidR="0083366F" w:rsidRPr="00DF1E2F" w:rsidRDefault="0083366F" w:rsidP="00574905">
            <w:pPr>
              <w:tabs>
                <w:tab w:val="left" w:pos="1512"/>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574905">
            <w:pPr>
              <w:tabs>
                <w:tab w:val="left" w:pos="1512"/>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2841A0" w:rsidP="00046236">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The Com</w:t>
            </w:r>
            <w:r>
              <w:rPr>
                <w:rFonts w:ascii="Baskerville" w:hAnsi="Baskerville" w:cs="Baskerville"/>
                <w:sz w:val="22"/>
                <w:szCs w:val="22"/>
              </w:rPr>
              <w:t xml:space="preserve">monwealth </w:t>
            </w:r>
            <w:r w:rsidR="00046236">
              <w:rPr>
                <w:rFonts w:ascii="Baskerville" w:hAnsi="Baskerville" w:cs="Baskerville"/>
                <w:sz w:val="22"/>
                <w:szCs w:val="22"/>
              </w:rPr>
              <w:t>began</w:t>
            </w:r>
            <w:r w:rsidR="008C3B72">
              <w:rPr>
                <w:rFonts w:ascii="Baskerville" w:hAnsi="Baskerville" w:cs="Baskerville"/>
                <w:sz w:val="22"/>
                <w:szCs w:val="22"/>
              </w:rPr>
              <w:t xml:space="preserve"> a new and promising method of collecting data. </w:t>
            </w:r>
            <w:r w:rsidR="00046236">
              <w:rPr>
                <w:rFonts w:ascii="Baskerville" w:hAnsi="Baskerville" w:cs="Baskerville"/>
                <w:sz w:val="22"/>
                <w:szCs w:val="22"/>
              </w:rPr>
              <w:t>It also</w:t>
            </w:r>
            <w:r w:rsidR="00E3765F">
              <w:rPr>
                <w:rFonts w:ascii="Baskerville" w:hAnsi="Baskerville" w:cs="Baskerville"/>
                <w:sz w:val="22"/>
                <w:szCs w:val="22"/>
              </w:rPr>
              <w:t xml:space="preserve"> </w:t>
            </w:r>
            <w:r w:rsidR="00E3765F" w:rsidRPr="00B27309">
              <w:rPr>
                <w:rFonts w:ascii="Baskerville" w:hAnsi="Baskerville" w:cs="Baskerville"/>
                <w:sz w:val="22"/>
                <w:szCs w:val="22"/>
              </w:rPr>
              <w:t>expanded the definit</w:t>
            </w:r>
            <w:r w:rsidR="00B86301">
              <w:rPr>
                <w:rFonts w:ascii="Baskerville" w:hAnsi="Baskerville" w:cs="Baskerville"/>
                <w:sz w:val="22"/>
                <w:szCs w:val="22"/>
              </w:rPr>
              <w:t>io</w:t>
            </w:r>
            <w:r w:rsidR="00275458">
              <w:rPr>
                <w:rFonts w:ascii="Baskerville" w:hAnsi="Baskerville" w:cs="Baskerville"/>
                <w:sz w:val="22"/>
                <w:szCs w:val="22"/>
              </w:rPr>
              <w:t xml:space="preserve">n </w:t>
            </w:r>
            <w:r w:rsidR="00EB4AA8">
              <w:rPr>
                <w:rFonts w:ascii="Baskerville" w:hAnsi="Baskerville" w:cs="Baskerville"/>
                <w:sz w:val="22"/>
                <w:szCs w:val="22"/>
              </w:rPr>
              <w:t xml:space="preserve">of the cohort </w:t>
            </w:r>
            <w:r w:rsidR="00275458">
              <w:rPr>
                <w:rFonts w:ascii="Baskerville" w:hAnsi="Baskerville" w:cs="Baskerville"/>
                <w:sz w:val="22"/>
                <w:szCs w:val="22"/>
              </w:rPr>
              <w:t>to include a much</w:t>
            </w:r>
            <w:r w:rsidR="00B04986">
              <w:rPr>
                <w:rFonts w:ascii="Baskerville" w:hAnsi="Baskerville" w:cs="Baskerville"/>
                <w:sz w:val="22"/>
                <w:szCs w:val="22"/>
              </w:rPr>
              <w:t xml:space="preserve"> number</w:t>
            </w:r>
            <w:r w:rsidR="00B86301">
              <w:rPr>
                <w:rFonts w:ascii="Baskerville" w:hAnsi="Baskerville" w:cs="Baskerville"/>
                <w:sz w:val="22"/>
                <w:szCs w:val="22"/>
              </w:rPr>
              <w:t xml:space="preserve"> of individuals. </w:t>
            </w:r>
            <w:r w:rsidR="007A49BD">
              <w:rPr>
                <w:rFonts w:ascii="Baskerville" w:hAnsi="Baskerville" w:cs="Baskerville"/>
                <w:sz w:val="22"/>
                <w:szCs w:val="22"/>
              </w:rPr>
              <w:t>T</w:t>
            </w:r>
            <w:r w:rsidRPr="00B27309">
              <w:rPr>
                <w:rFonts w:ascii="Baskerville" w:hAnsi="Baskerville" w:cs="Baskerville"/>
                <w:sz w:val="22"/>
                <w:szCs w:val="22"/>
              </w:rPr>
              <w:t xml:space="preserve">he </w:t>
            </w:r>
            <w:r w:rsidR="00141899">
              <w:rPr>
                <w:rFonts w:ascii="Baskerville" w:hAnsi="Baskerville" w:cs="Baskerville"/>
                <w:sz w:val="22"/>
                <w:szCs w:val="22"/>
              </w:rPr>
              <w:t>Commonwealth</w:t>
            </w:r>
            <w:r w:rsidR="00046236">
              <w:rPr>
                <w:rFonts w:ascii="Baskerville" w:hAnsi="Baskerville" w:cs="Baskerville"/>
                <w:sz w:val="22"/>
                <w:szCs w:val="22"/>
              </w:rPr>
              <w:t xml:space="preserve">’ s </w:t>
            </w:r>
            <w:r w:rsidR="003572EF">
              <w:rPr>
                <w:rFonts w:ascii="Baskerville" w:hAnsi="Baskerville" w:cs="Baskerville"/>
                <w:sz w:val="22"/>
                <w:szCs w:val="22"/>
              </w:rPr>
              <w:t>p</w:t>
            </w:r>
            <w:r w:rsidR="00F902FB">
              <w:rPr>
                <w:rFonts w:ascii="Baskerville" w:hAnsi="Baskerville" w:cs="Baskerville"/>
                <w:sz w:val="22"/>
                <w:szCs w:val="22"/>
              </w:rPr>
              <w:t>revious targets</w:t>
            </w:r>
            <w:r w:rsidR="002B66D4">
              <w:rPr>
                <w:rFonts w:ascii="Baskerville" w:hAnsi="Baskerville" w:cs="Baskerville"/>
                <w:sz w:val="22"/>
                <w:szCs w:val="22"/>
              </w:rPr>
              <w:t xml:space="preserve"> </w:t>
            </w:r>
            <w:r w:rsidR="003572EF">
              <w:rPr>
                <w:rFonts w:ascii="Baskerville" w:hAnsi="Baskerville" w:cs="Baskerville"/>
                <w:sz w:val="22"/>
                <w:szCs w:val="22"/>
              </w:rPr>
              <w:t xml:space="preserve">were based </w:t>
            </w:r>
            <w:r w:rsidR="0038310C">
              <w:rPr>
                <w:rFonts w:ascii="Baskerville" w:hAnsi="Baskerville" w:cs="Baskerville"/>
                <w:sz w:val="22"/>
                <w:szCs w:val="22"/>
              </w:rPr>
              <w:t>on a</w:t>
            </w:r>
            <w:r w:rsidR="00486F38">
              <w:rPr>
                <w:rFonts w:ascii="Baskerville" w:hAnsi="Baskerville" w:cs="Baskerville"/>
                <w:sz w:val="22"/>
                <w:szCs w:val="22"/>
              </w:rPr>
              <w:t xml:space="preserve"> </w:t>
            </w:r>
            <w:r w:rsidR="00046236">
              <w:rPr>
                <w:rFonts w:ascii="Baskerville" w:hAnsi="Baskerville" w:cs="Baskerville"/>
                <w:sz w:val="22"/>
                <w:szCs w:val="22"/>
              </w:rPr>
              <w:t xml:space="preserve">much smaller number </w:t>
            </w:r>
            <w:r w:rsidR="000A1CDC">
              <w:rPr>
                <w:rFonts w:ascii="Baskerville" w:hAnsi="Baskerville" w:cs="Baskerville"/>
                <w:sz w:val="22"/>
                <w:szCs w:val="22"/>
              </w:rPr>
              <w:t>of individuals</w:t>
            </w:r>
            <w:r w:rsidR="00D75E87">
              <w:rPr>
                <w:rFonts w:ascii="Baskerville" w:hAnsi="Baskerville" w:cs="Baskerville"/>
                <w:sz w:val="22"/>
                <w:szCs w:val="22"/>
              </w:rPr>
              <w:t xml:space="preserve"> and do not represent a meaningfu</w:t>
            </w:r>
            <w:r w:rsidR="00846588">
              <w:rPr>
                <w:rFonts w:ascii="Baskerville" w:hAnsi="Baskerville" w:cs="Baskerville"/>
                <w:sz w:val="22"/>
                <w:szCs w:val="22"/>
              </w:rPr>
              <w:t>l increase for the larger cohort</w:t>
            </w:r>
            <w:r w:rsidR="0038310C">
              <w:rPr>
                <w:rFonts w:ascii="Baskerville" w:hAnsi="Baskerville" w:cs="Baskerville"/>
                <w:sz w:val="22"/>
                <w:szCs w:val="22"/>
              </w:rPr>
              <w:t xml:space="preserve">. </w:t>
            </w:r>
          </w:p>
        </w:tc>
      </w:tr>
      <w:tr w:rsidR="0083366F" w:rsidRPr="00DF1E2F" w:rsidTr="0094744A">
        <w:trPr>
          <w:trHeight w:val="2069"/>
        </w:trPr>
        <w:tc>
          <w:tcPr>
            <w:tcW w:w="1530" w:type="dxa"/>
            <w:vAlign w:val="center"/>
          </w:tcPr>
          <w:p w:rsidR="009636A7" w:rsidRPr="00586F8E" w:rsidRDefault="0083366F" w:rsidP="007373E0">
            <w:pPr>
              <w:tabs>
                <w:tab w:val="left" w:pos="1440"/>
                <w:tab w:val="left" w:pos="4920"/>
                <w:tab w:val="right" w:pos="8640"/>
              </w:tabs>
              <w:ind w:left="-108" w:right="-108"/>
              <w:jc w:val="center"/>
              <w:rPr>
                <w:rFonts w:ascii="Baskerville" w:hAnsi="Baskerville" w:cs="Baskerville"/>
                <w:b/>
                <w:sz w:val="22"/>
                <w:szCs w:val="22"/>
                <w:u w:val="single"/>
              </w:rPr>
            </w:pPr>
            <w:r w:rsidRPr="00586F8E">
              <w:rPr>
                <w:rFonts w:ascii="Baskerville" w:hAnsi="Baskerville" w:cs="Baskerville"/>
                <w:b/>
                <w:sz w:val="22"/>
                <w:szCs w:val="22"/>
                <w:u w:val="single"/>
              </w:rPr>
              <w:t>III.C.7.b.i.</w:t>
            </w:r>
          </w:p>
          <w:p w:rsidR="0083366F" w:rsidRPr="00586F8E" w:rsidRDefault="0083366F" w:rsidP="007373E0">
            <w:pPr>
              <w:tabs>
                <w:tab w:val="left" w:pos="1440"/>
                <w:tab w:val="left" w:pos="4920"/>
                <w:tab w:val="right" w:pos="8640"/>
              </w:tabs>
              <w:ind w:left="-108" w:right="-108"/>
              <w:jc w:val="center"/>
              <w:rPr>
                <w:rFonts w:ascii="Baskerville" w:hAnsi="Baskerville" w:cs="Baskerville"/>
                <w:b/>
                <w:sz w:val="22"/>
                <w:szCs w:val="22"/>
                <w:u w:val="single"/>
              </w:rPr>
            </w:pPr>
            <w:r w:rsidRPr="00586F8E">
              <w:rPr>
                <w:rFonts w:ascii="Baskerville" w:hAnsi="Baskerville" w:cs="Baskerville"/>
                <w:b/>
                <w:sz w:val="22"/>
                <w:szCs w:val="22"/>
                <w:u w:val="single"/>
              </w:rPr>
              <w:t>B.2.b.</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number of individuals who remain employed in integrated work settings at least 12 months after the start of supported employment.</w:t>
            </w:r>
          </w:p>
        </w:tc>
        <w:tc>
          <w:tcPr>
            <w:tcW w:w="1440" w:type="dxa"/>
          </w:tcPr>
          <w:p w:rsidR="00280B4D"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7E2A9B" w:rsidRPr="00C53D55" w:rsidRDefault="007E2A9B" w:rsidP="007E2A9B">
            <w:pPr>
              <w:tabs>
                <w:tab w:val="left" w:pos="1512"/>
                <w:tab w:val="left" w:pos="4920"/>
                <w:tab w:val="right" w:pos="8640"/>
              </w:tabs>
              <w:ind w:left="-108" w:right="-108"/>
              <w:jc w:val="center"/>
              <w:rPr>
                <w:rFonts w:ascii="Baskerville" w:hAnsi="Baskerville" w:cs="Baskerville"/>
                <w:b/>
                <w:sz w:val="22"/>
                <w:szCs w:val="22"/>
                <w:u w:val="single"/>
              </w:rPr>
            </w:pPr>
            <w:r w:rsidRPr="00C53D55">
              <w:rPr>
                <w:rFonts w:ascii="Baskerville" w:hAnsi="Baskerville" w:cs="Baskerville"/>
                <w:sz w:val="22"/>
                <w:szCs w:val="22"/>
                <w:u w:val="single"/>
              </w:rPr>
              <w:t>Compliance</w:t>
            </w:r>
          </w:p>
          <w:p w:rsidR="008A09A1" w:rsidRDefault="008A09A1" w:rsidP="00291607">
            <w:pPr>
              <w:tabs>
                <w:tab w:val="left" w:pos="1512"/>
                <w:tab w:val="left" w:pos="4920"/>
                <w:tab w:val="right" w:pos="8640"/>
              </w:tabs>
              <w:ind w:left="-108" w:right="-108"/>
              <w:jc w:val="center"/>
              <w:rPr>
                <w:rFonts w:ascii="Baskerville" w:hAnsi="Baskerville" w:cs="Baskerville"/>
                <w:b/>
                <w:sz w:val="22"/>
                <w:szCs w:val="22"/>
              </w:rPr>
            </w:pPr>
          </w:p>
          <w:p w:rsidR="0083366F" w:rsidRPr="00DF1E2F" w:rsidRDefault="000D15F0" w:rsidP="00291607">
            <w:pPr>
              <w:tabs>
                <w:tab w:val="left" w:pos="1512"/>
                <w:tab w:val="left" w:pos="4920"/>
                <w:tab w:val="right" w:pos="8640"/>
              </w:tabs>
              <w:ind w:left="-108" w:right="-108"/>
              <w:jc w:val="center"/>
              <w:rPr>
                <w:rFonts w:ascii="Baskerville" w:hAnsi="Baskerville" w:cs="Baskerville"/>
                <w:sz w:val="22"/>
                <w:szCs w:val="22"/>
              </w:rPr>
            </w:pPr>
            <w:r>
              <w:rPr>
                <w:rFonts w:ascii="Baskerville" w:hAnsi="Baskerville" w:cs="Baskerville"/>
                <w:b/>
                <w:sz w:val="22"/>
                <w:szCs w:val="22"/>
              </w:rPr>
              <w:t xml:space="preserve">Non </w:t>
            </w:r>
            <w:r w:rsidR="0083366F" w:rsidRPr="00DF1E2F">
              <w:rPr>
                <w:rFonts w:ascii="Baskerville" w:hAnsi="Baskerville" w:cs="Baskerville"/>
                <w:b/>
                <w:sz w:val="22"/>
                <w:szCs w:val="22"/>
              </w:rPr>
              <w:t>Compliance</w:t>
            </w:r>
          </w:p>
        </w:tc>
        <w:tc>
          <w:tcPr>
            <w:tcW w:w="2880" w:type="dxa"/>
          </w:tcPr>
          <w:p w:rsidR="0083366F" w:rsidRPr="00DF1E2F" w:rsidRDefault="00E43D62" w:rsidP="00757B22">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w:t>
            </w:r>
            <w:r>
              <w:rPr>
                <w:rFonts w:ascii="Baskerville" w:hAnsi="Baskerville" w:cs="Baskerville"/>
                <w:sz w:val="22"/>
                <w:szCs w:val="22"/>
              </w:rPr>
              <w:t xml:space="preserve">monwealth has </w:t>
            </w:r>
            <w:r w:rsidRPr="00B27309">
              <w:rPr>
                <w:rFonts w:ascii="Baskerville" w:hAnsi="Baskerville" w:cs="Baskerville"/>
                <w:sz w:val="22"/>
                <w:szCs w:val="22"/>
              </w:rPr>
              <w:t>expanded the definit</w:t>
            </w:r>
            <w:r w:rsidR="00EA13B8">
              <w:rPr>
                <w:rFonts w:ascii="Baskerville" w:hAnsi="Baskerville" w:cs="Baskerville"/>
                <w:sz w:val="22"/>
                <w:szCs w:val="22"/>
              </w:rPr>
              <w:t xml:space="preserve">ion </w:t>
            </w:r>
            <w:r w:rsidR="00421F57">
              <w:rPr>
                <w:rFonts w:ascii="Baskerville" w:hAnsi="Baskerville" w:cs="Baskerville"/>
                <w:sz w:val="22"/>
                <w:szCs w:val="22"/>
              </w:rPr>
              <w:t>to include a much higher number</w:t>
            </w:r>
            <w:r>
              <w:rPr>
                <w:rFonts w:ascii="Baskerville" w:hAnsi="Baskerville" w:cs="Baskerville"/>
                <w:sz w:val="22"/>
                <w:szCs w:val="22"/>
              </w:rPr>
              <w:t xml:space="preserve"> of individuals. T</w:t>
            </w:r>
            <w:r w:rsidRPr="00B27309">
              <w:rPr>
                <w:rFonts w:ascii="Baskerville" w:hAnsi="Baskerville" w:cs="Baskerville"/>
                <w:sz w:val="22"/>
                <w:szCs w:val="22"/>
              </w:rPr>
              <w:t>he new data</w:t>
            </w:r>
            <w:r>
              <w:rPr>
                <w:rFonts w:ascii="Baskerville" w:hAnsi="Baskerville" w:cs="Baskerville"/>
                <w:sz w:val="22"/>
                <w:szCs w:val="22"/>
              </w:rPr>
              <w:t xml:space="preserve"> cannot be compared to the o</w:t>
            </w:r>
            <w:r w:rsidR="008C68BD">
              <w:rPr>
                <w:rFonts w:ascii="Baskerville" w:hAnsi="Baskerville" w:cs="Baskerville"/>
                <w:sz w:val="22"/>
                <w:szCs w:val="22"/>
              </w:rPr>
              <w:t xml:space="preserve">ld data to determine </w:t>
            </w:r>
            <w:r w:rsidR="00757B22">
              <w:rPr>
                <w:rFonts w:ascii="Baskerville" w:hAnsi="Baskerville" w:cs="Baskerville"/>
                <w:sz w:val="22"/>
                <w:szCs w:val="22"/>
              </w:rPr>
              <w:t>the number who remain employed</w:t>
            </w:r>
            <w:r>
              <w:rPr>
                <w:rFonts w:ascii="Baskerville" w:hAnsi="Baskerville" w:cs="Baskerville"/>
                <w:sz w:val="22"/>
                <w:szCs w:val="22"/>
              </w:rPr>
              <w:t>.</w:t>
            </w:r>
          </w:p>
        </w:tc>
      </w:tr>
      <w:tr w:rsidR="0083366F" w:rsidRPr="00DF1E2F" w:rsidTr="0094744A">
        <w:trPr>
          <w:trHeight w:val="2861"/>
        </w:trPr>
        <w:tc>
          <w:tcPr>
            <w:tcW w:w="1530" w:type="dxa"/>
            <w:vAlign w:val="center"/>
          </w:tcPr>
          <w:p w:rsidR="0083366F" w:rsidRPr="00DF1E2F" w:rsidRDefault="0083366F" w:rsidP="007373E0">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III.C.7.c.</w:t>
            </w:r>
          </w:p>
        </w:tc>
        <w:tc>
          <w:tcPr>
            <w:tcW w:w="4320" w:type="dxa"/>
          </w:tcPr>
          <w:p w:rsidR="00291607" w:rsidRPr="00DF1E2F" w:rsidRDefault="0083366F" w:rsidP="00291607">
            <w:pPr>
              <w:tabs>
                <w:tab w:val="left" w:pos="3924"/>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Regional Quality Councils (RQC), described in V.D.5. … shall review data regarding the extent to which the targets identified in Section III.C.7.b.i.B.2 above are being met.  These data shall be provided quarterly … Regional Quality Co</w:t>
            </w:r>
            <w:r>
              <w:rPr>
                <w:rFonts w:ascii="Baskerville" w:hAnsi="Baskerville" w:cs="Baskerville"/>
                <w:sz w:val="22"/>
                <w:szCs w:val="22"/>
              </w:rPr>
              <w:t xml:space="preserve">uncils shall consult with </w:t>
            </w:r>
            <w:r w:rsidRPr="00DF1E2F">
              <w:rPr>
                <w:rFonts w:ascii="Baskerville" w:hAnsi="Baskerville" w:cs="Baskerville"/>
                <w:sz w:val="22"/>
                <w:szCs w:val="22"/>
              </w:rPr>
              <w:t>providers with the SELN regarding the need to take additional measures to further enhance these services.</w:t>
            </w:r>
          </w:p>
        </w:tc>
        <w:tc>
          <w:tcPr>
            <w:tcW w:w="1440" w:type="dxa"/>
          </w:tcPr>
          <w:p w:rsidR="0083366F" w:rsidRDefault="00F23F15" w:rsidP="00361866">
            <w:pPr>
              <w:tabs>
                <w:tab w:val="left" w:pos="1512"/>
                <w:tab w:val="left" w:pos="4920"/>
                <w:tab w:val="right" w:pos="8640"/>
              </w:tabs>
              <w:ind w:left="-108" w:right="-108"/>
              <w:jc w:val="center"/>
              <w:rPr>
                <w:rFonts w:ascii="Baskerville" w:hAnsi="Baskerville" w:cs="Baskerville"/>
                <w:sz w:val="20"/>
                <w:szCs w:val="20"/>
              </w:rPr>
            </w:pPr>
            <w:r>
              <w:rPr>
                <w:rFonts w:ascii="Baskerville" w:hAnsi="Baskerville" w:cs="Baskerville"/>
                <w:sz w:val="22"/>
                <w:szCs w:val="22"/>
              </w:rPr>
              <w:t>(</w:t>
            </w:r>
            <w:r>
              <w:rPr>
                <w:rFonts w:ascii="Baskerville" w:hAnsi="Baskerville" w:cs="Baskerville"/>
                <w:sz w:val="20"/>
                <w:szCs w:val="20"/>
              </w:rPr>
              <w:t>Def</w:t>
            </w:r>
            <w:r w:rsidRPr="00F23F15">
              <w:rPr>
                <w:rFonts w:ascii="Baskerville" w:hAnsi="Baskerville" w:cs="Baskerville"/>
                <w:sz w:val="20"/>
                <w:szCs w:val="20"/>
              </w:rPr>
              <w:t>er</w:t>
            </w:r>
            <w:r>
              <w:rPr>
                <w:rFonts w:ascii="Baskerville" w:hAnsi="Baskerville" w:cs="Baskerville"/>
                <w:sz w:val="20"/>
                <w:szCs w:val="20"/>
              </w:rPr>
              <w:t>r</w:t>
            </w:r>
            <w:r w:rsidRPr="00F23F15">
              <w:rPr>
                <w:rFonts w:ascii="Baskerville" w:hAnsi="Baskerville" w:cs="Baskerville"/>
                <w:sz w:val="20"/>
                <w:szCs w:val="20"/>
              </w:rPr>
              <w:t>ed)</w:t>
            </w:r>
          </w:p>
          <w:p w:rsidR="00B56650" w:rsidRDefault="00B56650" w:rsidP="00361866">
            <w:pPr>
              <w:tabs>
                <w:tab w:val="left" w:pos="1512"/>
                <w:tab w:val="left" w:pos="4920"/>
                <w:tab w:val="right" w:pos="8640"/>
              </w:tabs>
              <w:ind w:left="-108" w:right="-108"/>
              <w:jc w:val="center"/>
              <w:rPr>
                <w:rFonts w:ascii="Baskerville" w:hAnsi="Baskerville" w:cs="Baskerville"/>
                <w:sz w:val="22"/>
                <w:szCs w:val="22"/>
              </w:rPr>
            </w:pPr>
          </w:p>
          <w:p w:rsidR="00670FFB" w:rsidRPr="00126F32" w:rsidRDefault="00670FFB" w:rsidP="00361866">
            <w:pPr>
              <w:tabs>
                <w:tab w:val="left" w:pos="1512"/>
                <w:tab w:val="left" w:pos="4920"/>
                <w:tab w:val="right" w:pos="8640"/>
              </w:tabs>
              <w:ind w:left="-108" w:right="-108"/>
              <w:jc w:val="center"/>
              <w:rPr>
                <w:rFonts w:ascii="Baskerville" w:hAnsi="Baskerville" w:cs="Baskerville"/>
                <w:sz w:val="22"/>
                <w:szCs w:val="22"/>
                <w:u w:val="single"/>
              </w:rPr>
            </w:pPr>
            <w:r w:rsidRPr="00126F32">
              <w:rPr>
                <w:rFonts w:ascii="Baskerville" w:hAnsi="Baskerville" w:cs="Baskerville"/>
                <w:sz w:val="22"/>
                <w:szCs w:val="22"/>
                <w:u w:val="single"/>
              </w:rPr>
              <w:t>Non</w:t>
            </w:r>
            <w:r w:rsidR="00F23F15" w:rsidRPr="00126F32">
              <w:rPr>
                <w:rFonts w:ascii="Baskerville" w:hAnsi="Baskerville" w:cs="Baskerville"/>
                <w:sz w:val="22"/>
                <w:szCs w:val="22"/>
                <w:u w:val="single"/>
              </w:rPr>
              <w:t xml:space="preserve"> </w:t>
            </w:r>
            <w:r w:rsidRPr="00126F32">
              <w:rPr>
                <w:rFonts w:ascii="Baskerville" w:hAnsi="Baskerville" w:cs="Baskerville"/>
                <w:sz w:val="22"/>
                <w:szCs w:val="22"/>
                <w:u w:val="single"/>
              </w:rPr>
              <w:t>Compliance</w:t>
            </w:r>
          </w:p>
          <w:p w:rsidR="0083366F" w:rsidRPr="00DF1E2F" w:rsidRDefault="0083366F" w:rsidP="00361866">
            <w:pPr>
              <w:tabs>
                <w:tab w:val="left" w:pos="1512"/>
                <w:tab w:val="left" w:pos="4920"/>
                <w:tab w:val="right" w:pos="8640"/>
              </w:tabs>
              <w:ind w:left="-108" w:right="-108"/>
              <w:jc w:val="center"/>
              <w:rPr>
                <w:rFonts w:ascii="Baskerville" w:hAnsi="Baskerville" w:cs="Baskerville"/>
                <w:sz w:val="22"/>
                <w:szCs w:val="22"/>
              </w:rPr>
            </w:pPr>
          </w:p>
          <w:p w:rsidR="00E95740" w:rsidRDefault="00E95740" w:rsidP="00361866">
            <w:pPr>
              <w:tabs>
                <w:tab w:val="left" w:pos="1512"/>
                <w:tab w:val="left" w:pos="4920"/>
                <w:tab w:val="right" w:pos="8640"/>
              </w:tabs>
              <w:ind w:left="-108" w:right="-108"/>
              <w:jc w:val="center"/>
              <w:rPr>
                <w:rFonts w:ascii="Baskerville" w:hAnsi="Baskerville" w:cs="Baskerville"/>
                <w:b/>
                <w:sz w:val="22"/>
                <w:szCs w:val="22"/>
              </w:rPr>
            </w:pPr>
          </w:p>
          <w:p w:rsidR="0083366F" w:rsidRPr="00DF1E2F" w:rsidRDefault="0083366F" w:rsidP="00361866">
            <w:pPr>
              <w:tabs>
                <w:tab w:val="left" w:pos="1512"/>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361866">
            <w:pPr>
              <w:tabs>
                <w:tab w:val="left" w:pos="1512"/>
                <w:tab w:val="left" w:pos="4920"/>
                <w:tab w:val="right" w:pos="8640"/>
              </w:tabs>
              <w:ind w:left="-108" w:right="-108"/>
              <w:jc w:val="center"/>
              <w:rPr>
                <w:rFonts w:ascii="Baskerville" w:hAnsi="Baskerville" w:cs="Baskerville"/>
                <w:sz w:val="22"/>
                <w:szCs w:val="22"/>
              </w:rPr>
            </w:pPr>
          </w:p>
          <w:p w:rsidR="0083366F" w:rsidRPr="00DF1E2F" w:rsidRDefault="0083366F" w:rsidP="00361866">
            <w:pPr>
              <w:tabs>
                <w:tab w:val="left" w:pos="1512"/>
                <w:tab w:val="left" w:pos="4920"/>
                <w:tab w:val="right" w:pos="8640"/>
              </w:tabs>
              <w:ind w:left="-108" w:right="-108"/>
              <w:jc w:val="center"/>
              <w:rPr>
                <w:rFonts w:ascii="Baskerville" w:hAnsi="Baskerville" w:cs="Baskerville"/>
                <w:sz w:val="22"/>
                <w:szCs w:val="22"/>
              </w:rPr>
            </w:pPr>
          </w:p>
          <w:p w:rsidR="0083366F" w:rsidRPr="00DF1E2F" w:rsidRDefault="0083366F" w:rsidP="00361866">
            <w:pPr>
              <w:tabs>
                <w:tab w:val="left" w:pos="1512"/>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9733BE" w:rsidP="0017724D">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The </w:t>
            </w:r>
            <w:r w:rsidR="0083366F" w:rsidRPr="00DF1E2F">
              <w:rPr>
                <w:rFonts w:ascii="Baskerville" w:hAnsi="Baskerville" w:cs="Baskerville"/>
                <w:sz w:val="22"/>
                <w:szCs w:val="22"/>
              </w:rPr>
              <w:t>RQC</w:t>
            </w:r>
            <w:r>
              <w:rPr>
                <w:rFonts w:ascii="Baskerville" w:hAnsi="Baskerville" w:cs="Baskerville"/>
                <w:sz w:val="22"/>
                <w:szCs w:val="22"/>
              </w:rPr>
              <w:t>s met quarterly</w:t>
            </w:r>
            <w:r w:rsidR="0017724D">
              <w:rPr>
                <w:rFonts w:ascii="Baskerville" w:hAnsi="Baskerville" w:cs="Baskerville"/>
                <w:sz w:val="22"/>
                <w:szCs w:val="22"/>
              </w:rPr>
              <w:t xml:space="preserve">. The DBHDS Employment Coordinator, the liaison between the SELN </w:t>
            </w:r>
            <w:r w:rsidR="00CE2D0C">
              <w:rPr>
                <w:rFonts w:ascii="Baskerville" w:hAnsi="Baskerville" w:cs="Baskerville"/>
                <w:sz w:val="22"/>
                <w:szCs w:val="22"/>
              </w:rPr>
              <w:t xml:space="preserve">(Supported Employment Leadership Network) </w:t>
            </w:r>
            <w:r w:rsidR="0017724D">
              <w:rPr>
                <w:rFonts w:ascii="Baskerville" w:hAnsi="Baskerville" w:cs="Baskerville"/>
                <w:sz w:val="22"/>
                <w:szCs w:val="22"/>
              </w:rPr>
              <w:t>and the RQCs</w:t>
            </w:r>
            <w:r w:rsidR="00CE2D0C">
              <w:rPr>
                <w:rFonts w:ascii="Baskerville" w:hAnsi="Baskerville" w:cs="Baskerville"/>
                <w:sz w:val="22"/>
                <w:szCs w:val="22"/>
              </w:rPr>
              <w:t>,</w:t>
            </w:r>
            <w:r w:rsidR="0017724D">
              <w:rPr>
                <w:rFonts w:ascii="Baskerville" w:hAnsi="Baskerville" w:cs="Baskerville"/>
                <w:sz w:val="22"/>
                <w:szCs w:val="22"/>
              </w:rPr>
              <w:t xml:space="preserve"> presented employment</w:t>
            </w:r>
            <w:r w:rsidR="00FE4183">
              <w:rPr>
                <w:rFonts w:ascii="Baskerville" w:hAnsi="Baskerville" w:cs="Baskerville"/>
                <w:sz w:val="22"/>
                <w:szCs w:val="22"/>
              </w:rPr>
              <w:t xml:space="preserve"> data</w:t>
            </w:r>
            <w:r w:rsidR="00DB3689">
              <w:rPr>
                <w:rFonts w:ascii="Baskerville" w:hAnsi="Baskerville" w:cs="Baskerville"/>
                <w:sz w:val="22"/>
                <w:szCs w:val="22"/>
              </w:rPr>
              <w:t xml:space="preserve"> to them. Meeting minutes indicate that the</w:t>
            </w:r>
            <w:r w:rsidR="00FE4183">
              <w:rPr>
                <w:rFonts w:ascii="Baskerville" w:hAnsi="Baskerville" w:cs="Baskerville"/>
                <w:sz w:val="22"/>
                <w:szCs w:val="22"/>
              </w:rPr>
              <w:t xml:space="preserve"> RQCs </w:t>
            </w:r>
            <w:r w:rsidR="00DB3689">
              <w:rPr>
                <w:rFonts w:ascii="Baskerville" w:hAnsi="Baskerville" w:cs="Baskerville"/>
                <w:sz w:val="22"/>
                <w:szCs w:val="22"/>
              </w:rPr>
              <w:t>engaged in substantive discussions.</w:t>
            </w:r>
            <w:r w:rsidR="00FD24D2">
              <w:rPr>
                <w:rFonts w:ascii="Baskerville" w:hAnsi="Baskerville" w:cs="Baskerville"/>
                <w:sz w:val="22"/>
                <w:szCs w:val="22"/>
              </w:rPr>
              <w:t xml:space="preserve"> </w:t>
            </w:r>
          </w:p>
        </w:tc>
      </w:tr>
      <w:tr w:rsidR="0083366F" w:rsidRPr="00DF1E2F" w:rsidTr="0094744A">
        <w:trPr>
          <w:trHeight w:val="1619"/>
        </w:trPr>
        <w:tc>
          <w:tcPr>
            <w:tcW w:w="1530" w:type="dxa"/>
            <w:vAlign w:val="center"/>
          </w:tcPr>
          <w:p w:rsidR="0083366F" w:rsidRPr="00DF1E2F" w:rsidRDefault="0083366F" w:rsidP="00B1181A">
            <w:pPr>
              <w:tabs>
                <w:tab w:val="left" w:pos="1440"/>
                <w:tab w:val="left" w:pos="4920"/>
                <w:tab w:val="right" w:pos="8640"/>
              </w:tabs>
              <w:ind w:right="72"/>
              <w:jc w:val="center"/>
              <w:rPr>
                <w:rFonts w:ascii="Baskerville" w:hAnsi="Baskerville" w:cs="Baskerville"/>
                <w:b/>
                <w:sz w:val="22"/>
                <w:szCs w:val="22"/>
              </w:rPr>
            </w:pPr>
            <w:r w:rsidRPr="00DF1E2F">
              <w:rPr>
                <w:rFonts w:ascii="Baskerville" w:hAnsi="Baskerville" w:cs="Baskerville"/>
                <w:b/>
                <w:sz w:val="22"/>
                <w:szCs w:val="22"/>
              </w:rPr>
              <w:t>III.C.7.d</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Regional Quality Councils shall annually review the targets set pursuant to Section III.C.7.b.i.B.2 above and shall work with providers and the SELN in determining whether the targets should be adjusted upward.</w:t>
            </w:r>
          </w:p>
        </w:tc>
        <w:tc>
          <w:tcPr>
            <w:tcW w:w="1440" w:type="dxa"/>
          </w:tcPr>
          <w:p w:rsidR="007F00D1" w:rsidRDefault="00C16EE8" w:rsidP="001239D5">
            <w:pPr>
              <w:tabs>
                <w:tab w:val="left" w:pos="1512"/>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Pr>
                <w:rFonts w:ascii="Baskerville" w:hAnsi="Baskerville" w:cs="Baskerville"/>
                <w:sz w:val="20"/>
                <w:szCs w:val="20"/>
              </w:rPr>
              <w:t>Def</w:t>
            </w:r>
            <w:r w:rsidRPr="00F23F15">
              <w:rPr>
                <w:rFonts w:ascii="Baskerville" w:hAnsi="Baskerville" w:cs="Baskerville"/>
                <w:sz w:val="20"/>
                <w:szCs w:val="20"/>
              </w:rPr>
              <w:t>er</w:t>
            </w:r>
            <w:r>
              <w:rPr>
                <w:rFonts w:ascii="Baskerville" w:hAnsi="Baskerville" w:cs="Baskerville"/>
                <w:sz w:val="20"/>
                <w:szCs w:val="20"/>
              </w:rPr>
              <w:t>r</w:t>
            </w:r>
            <w:r w:rsidRPr="00F23F15">
              <w:rPr>
                <w:rFonts w:ascii="Baskerville" w:hAnsi="Baskerville" w:cs="Baskerville"/>
                <w:sz w:val="20"/>
                <w:szCs w:val="20"/>
              </w:rPr>
              <w:t>ed)</w:t>
            </w:r>
          </w:p>
          <w:p w:rsidR="00C405DA" w:rsidRDefault="00C16EE8" w:rsidP="00C405DA">
            <w:pPr>
              <w:tabs>
                <w:tab w:val="left" w:pos="1440"/>
                <w:tab w:val="left" w:pos="4920"/>
                <w:tab w:val="right" w:pos="8640"/>
              </w:tabs>
              <w:ind w:left="-108" w:right="-108"/>
              <w:jc w:val="center"/>
              <w:rPr>
                <w:rFonts w:ascii="Baskerville" w:hAnsi="Baskerville" w:cs="Baskerville"/>
                <w:sz w:val="20"/>
                <w:szCs w:val="20"/>
                <w:u w:val="single"/>
              </w:rPr>
            </w:pPr>
            <w:r w:rsidRPr="00C16EE8">
              <w:rPr>
                <w:rFonts w:ascii="Baskerville" w:hAnsi="Baskerville" w:cs="Baskerville"/>
                <w:sz w:val="20"/>
                <w:szCs w:val="20"/>
                <w:u w:val="single"/>
              </w:rPr>
              <w:t>Non Compliance</w:t>
            </w:r>
          </w:p>
          <w:p w:rsidR="00C16EE8" w:rsidRPr="00C16EE8" w:rsidRDefault="00C16EE8" w:rsidP="00C405DA">
            <w:pPr>
              <w:tabs>
                <w:tab w:val="left" w:pos="1440"/>
                <w:tab w:val="left" w:pos="4920"/>
                <w:tab w:val="right" w:pos="8640"/>
              </w:tabs>
              <w:ind w:left="-108" w:right="-108"/>
              <w:jc w:val="center"/>
              <w:rPr>
                <w:rFonts w:ascii="Baskerville" w:hAnsi="Baskerville" w:cs="Baskerville"/>
                <w:sz w:val="20"/>
                <w:szCs w:val="20"/>
                <w:u w:val="single"/>
              </w:rPr>
            </w:pPr>
          </w:p>
          <w:p w:rsidR="003E00BD" w:rsidRPr="00DF1E2F" w:rsidRDefault="003E00BD" w:rsidP="003E00BD">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3E00BD" w:rsidRPr="00DF1E2F" w:rsidRDefault="003E00BD" w:rsidP="00432097">
            <w:pPr>
              <w:tabs>
                <w:tab w:val="left" w:pos="1152"/>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E374A4">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Same as immediately above</w:t>
            </w:r>
          </w:p>
        </w:tc>
      </w:tr>
      <w:tr w:rsidR="0083366F" w:rsidRPr="00DF1E2F" w:rsidTr="0094744A">
        <w:trPr>
          <w:trHeight w:val="2681"/>
        </w:trPr>
        <w:tc>
          <w:tcPr>
            <w:tcW w:w="1530" w:type="dxa"/>
          </w:tcPr>
          <w:p w:rsidR="00AD135C" w:rsidRDefault="00AD135C" w:rsidP="00B1181A">
            <w:pPr>
              <w:tabs>
                <w:tab w:val="left" w:pos="1440"/>
                <w:tab w:val="left" w:pos="4920"/>
                <w:tab w:val="right" w:pos="8640"/>
              </w:tabs>
              <w:ind w:right="72"/>
              <w:jc w:val="center"/>
              <w:rPr>
                <w:rFonts w:ascii="Baskerville" w:hAnsi="Baskerville" w:cs="Baskerville"/>
                <w:b/>
                <w:sz w:val="22"/>
                <w:szCs w:val="22"/>
              </w:rPr>
            </w:pPr>
          </w:p>
          <w:p w:rsidR="00AD135C" w:rsidRDefault="00AD135C" w:rsidP="00B1181A">
            <w:pPr>
              <w:tabs>
                <w:tab w:val="left" w:pos="1440"/>
                <w:tab w:val="left" w:pos="4920"/>
                <w:tab w:val="right" w:pos="8640"/>
              </w:tabs>
              <w:ind w:right="72"/>
              <w:jc w:val="center"/>
              <w:rPr>
                <w:rFonts w:ascii="Baskerville" w:hAnsi="Baskerville" w:cs="Baskerville"/>
                <w:b/>
                <w:sz w:val="22"/>
                <w:szCs w:val="22"/>
              </w:rPr>
            </w:pPr>
          </w:p>
          <w:p w:rsidR="00AD135C" w:rsidRDefault="00AD135C" w:rsidP="00B1181A">
            <w:pPr>
              <w:tabs>
                <w:tab w:val="left" w:pos="1440"/>
                <w:tab w:val="left" w:pos="4920"/>
                <w:tab w:val="right" w:pos="8640"/>
              </w:tabs>
              <w:ind w:right="72"/>
              <w:jc w:val="center"/>
              <w:rPr>
                <w:rFonts w:ascii="Baskerville" w:hAnsi="Baskerville" w:cs="Baskerville"/>
                <w:b/>
                <w:sz w:val="22"/>
                <w:szCs w:val="22"/>
              </w:rPr>
            </w:pPr>
          </w:p>
          <w:p w:rsidR="007618D2" w:rsidRDefault="007618D2" w:rsidP="00B1181A">
            <w:pPr>
              <w:tabs>
                <w:tab w:val="left" w:pos="1440"/>
                <w:tab w:val="left" w:pos="4920"/>
                <w:tab w:val="right" w:pos="8640"/>
              </w:tabs>
              <w:ind w:right="72"/>
              <w:jc w:val="center"/>
              <w:rPr>
                <w:rFonts w:ascii="Baskerville" w:hAnsi="Baskerville" w:cs="Baskerville"/>
                <w:b/>
                <w:sz w:val="22"/>
                <w:szCs w:val="22"/>
              </w:rPr>
            </w:pPr>
          </w:p>
          <w:p w:rsidR="0083366F" w:rsidRPr="00DF1E2F" w:rsidRDefault="0083366F" w:rsidP="00B1181A">
            <w:pPr>
              <w:tabs>
                <w:tab w:val="left" w:pos="1440"/>
                <w:tab w:val="left" w:pos="4920"/>
                <w:tab w:val="right" w:pos="8640"/>
              </w:tabs>
              <w:ind w:right="72"/>
              <w:jc w:val="center"/>
              <w:rPr>
                <w:rFonts w:ascii="Baskerville" w:hAnsi="Baskerville" w:cs="Baskerville"/>
                <w:b/>
                <w:sz w:val="22"/>
                <w:szCs w:val="22"/>
              </w:rPr>
            </w:pPr>
            <w:r w:rsidRPr="00DF1E2F">
              <w:rPr>
                <w:rFonts w:ascii="Baskerville" w:hAnsi="Baskerville" w:cs="Baskerville"/>
                <w:b/>
                <w:sz w:val="22"/>
                <w:szCs w:val="22"/>
              </w:rPr>
              <w:t>III.C.8.a.</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provide transportation to individuals receiving HCBS waiver services in the target population in accordance with the Commonwealth’s HCBS Waivers.</w:t>
            </w:r>
          </w:p>
        </w:tc>
        <w:tc>
          <w:tcPr>
            <w:tcW w:w="1440" w:type="dxa"/>
          </w:tcPr>
          <w:p w:rsidR="00280B4D" w:rsidRDefault="00280B4D" w:rsidP="00280B4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B56650" w:rsidRPr="0000799C" w:rsidRDefault="00B56650" w:rsidP="00280B4D">
            <w:pPr>
              <w:tabs>
                <w:tab w:val="left" w:pos="1692"/>
                <w:tab w:val="left" w:pos="4920"/>
                <w:tab w:val="right" w:pos="8640"/>
              </w:tabs>
              <w:ind w:left="-108" w:right="-108"/>
              <w:jc w:val="center"/>
              <w:rPr>
                <w:rFonts w:ascii="Baskerville" w:hAnsi="Baskerville" w:cs="Baskerville"/>
                <w:sz w:val="20"/>
                <w:szCs w:val="20"/>
              </w:rPr>
            </w:pPr>
          </w:p>
          <w:p w:rsidR="0083366F" w:rsidRPr="004E6C0D" w:rsidRDefault="0083366F" w:rsidP="00BD1D01">
            <w:pPr>
              <w:tabs>
                <w:tab w:val="left" w:pos="1440"/>
                <w:tab w:val="left" w:pos="4920"/>
                <w:tab w:val="right" w:pos="8640"/>
              </w:tabs>
              <w:ind w:left="-108" w:right="-108"/>
              <w:jc w:val="center"/>
              <w:rPr>
                <w:rFonts w:ascii="Baskerville" w:hAnsi="Baskerville" w:cs="Baskerville"/>
                <w:sz w:val="22"/>
                <w:szCs w:val="22"/>
                <w:u w:val="single"/>
              </w:rPr>
            </w:pPr>
            <w:r w:rsidRPr="004E6C0D">
              <w:rPr>
                <w:rFonts w:ascii="Baskerville" w:hAnsi="Baskerville" w:cs="Baskerville"/>
                <w:sz w:val="22"/>
                <w:szCs w:val="22"/>
                <w:u w:val="single"/>
              </w:rPr>
              <w:t>Compliance</w:t>
            </w:r>
          </w:p>
          <w:p w:rsidR="004E6C0D" w:rsidRDefault="004E6C0D" w:rsidP="005D4EEA">
            <w:pPr>
              <w:tabs>
                <w:tab w:val="left" w:pos="1440"/>
                <w:tab w:val="left" w:pos="4920"/>
                <w:tab w:val="right" w:pos="8640"/>
              </w:tabs>
              <w:ind w:left="-108" w:right="-108"/>
              <w:jc w:val="center"/>
              <w:rPr>
                <w:rFonts w:ascii="Baskerville" w:hAnsi="Baskerville" w:cs="Baskerville"/>
                <w:sz w:val="22"/>
                <w:szCs w:val="22"/>
              </w:rPr>
            </w:pPr>
          </w:p>
          <w:p w:rsidR="004E6C0D" w:rsidRPr="00DF1E2F" w:rsidRDefault="004E6C0D" w:rsidP="004E6C0D">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4E6C0D" w:rsidRPr="00DF1E2F" w:rsidRDefault="004E6C0D" w:rsidP="005D4EEA">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35050D">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Of </w:t>
            </w:r>
            <w:r w:rsidR="00EC5A01">
              <w:rPr>
                <w:rFonts w:ascii="Baskerville" w:hAnsi="Baskerville" w:cs="Baskerville"/>
                <w:sz w:val="22"/>
                <w:szCs w:val="22"/>
              </w:rPr>
              <w:t>the Individuals studied over three</w:t>
            </w:r>
            <w:r w:rsidRPr="00DF1E2F">
              <w:rPr>
                <w:rFonts w:ascii="Baskerville" w:hAnsi="Baskerville" w:cs="Baskerville"/>
                <w:sz w:val="22"/>
                <w:szCs w:val="22"/>
              </w:rPr>
              <w:t xml:space="preserve"> review periods, </w:t>
            </w:r>
          </w:p>
          <w:p w:rsidR="00E0353C" w:rsidRDefault="00212A57" w:rsidP="0035050D">
            <w:pPr>
              <w:tabs>
                <w:tab w:val="left" w:pos="1440"/>
                <w:tab w:val="left" w:pos="4920"/>
                <w:tab w:val="right" w:pos="8640"/>
              </w:tabs>
              <w:ind w:right="72"/>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 </w:t>
            </w:r>
            <w:r w:rsidR="00EC5A01">
              <w:rPr>
                <w:rFonts w:ascii="Baskerville" w:hAnsi="Baskerville" w:cs="Baskerville"/>
                <w:sz w:val="22"/>
                <w:szCs w:val="22"/>
              </w:rPr>
              <w:t>61 (96.4%) of 66</w:t>
            </w:r>
            <w:r w:rsidR="0083366F" w:rsidRPr="00DF1E2F">
              <w:rPr>
                <w:rFonts w:ascii="Baskerville" w:hAnsi="Baskerville" w:cs="Baskerville"/>
                <w:sz w:val="22"/>
                <w:szCs w:val="22"/>
              </w:rPr>
              <w:t xml:space="preserve"> were receiving transportation services.</w:t>
            </w:r>
            <w:r w:rsidR="00162AFC">
              <w:rPr>
                <w:rFonts w:ascii="Baskerville" w:hAnsi="Baskerville" w:cs="Baskerville"/>
                <w:sz w:val="22"/>
                <w:szCs w:val="22"/>
              </w:rPr>
              <w:t xml:space="preserve"> </w:t>
            </w:r>
          </w:p>
          <w:p w:rsidR="00E0353C" w:rsidRPr="00DF1E2F" w:rsidRDefault="00162AFC" w:rsidP="00330FE1">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IR has not assessed the q</w:t>
            </w:r>
            <w:r w:rsidR="0083366F">
              <w:rPr>
                <w:rFonts w:ascii="Baskerville" w:hAnsi="Baskerville" w:cs="Baskerville"/>
                <w:sz w:val="22"/>
                <w:szCs w:val="22"/>
              </w:rPr>
              <w:t xml:space="preserve">uality </w:t>
            </w:r>
            <w:r>
              <w:rPr>
                <w:rFonts w:ascii="Baskerville" w:hAnsi="Baskerville" w:cs="Baskerville"/>
                <w:sz w:val="22"/>
                <w:szCs w:val="22"/>
              </w:rPr>
              <w:t>of the transportation</w:t>
            </w:r>
            <w:r w:rsidR="003E233E">
              <w:rPr>
                <w:rFonts w:ascii="Baskerville" w:hAnsi="Baskerville" w:cs="Baskerville"/>
                <w:sz w:val="22"/>
                <w:szCs w:val="22"/>
              </w:rPr>
              <w:t xml:space="preserve"> services. M</w:t>
            </w:r>
            <w:r w:rsidR="008C27DB">
              <w:rPr>
                <w:rFonts w:ascii="Baskerville" w:hAnsi="Baskerville" w:cs="Baskerville"/>
                <w:sz w:val="22"/>
                <w:szCs w:val="22"/>
              </w:rPr>
              <w:t>any families report problems with Logisticare subcontractors.</w:t>
            </w:r>
          </w:p>
        </w:tc>
      </w:tr>
      <w:tr w:rsidR="0083366F" w:rsidRPr="00DF1E2F" w:rsidTr="0094744A">
        <w:trPr>
          <w:trHeight w:val="296"/>
        </w:trPr>
        <w:tc>
          <w:tcPr>
            <w:tcW w:w="1530" w:type="dxa"/>
            <w:vAlign w:val="center"/>
          </w:tcPr>
          <w:p w:rsidR="0083366F" w:rsidRPr="00FA507F" w:rsidRDefault="0083366F" w:rsidP="00B1181A">
            <w:pPr>
              <w:tabs>
                <w:tab w:val="left" w:pos="1440"/>
                <w:tab w:val="left" w:pos="4920"/>
                <w:tab w:val="right" w:pos="8640"/>
              </w:tabs>
              <w:ind w:left="-108" w:right="-108"/>
              <w:jc w:val="center"/>
              <w:rPr>
                <w:rFonts w:ascii="Baskerville" w:hAnsi="Baskerville" w:cs="Baskerville"/>
                <w:b/>
                <w:sz w:val="22"/>
                <w:szCs w:val="22"/>
                <w:u w:val="single"/>
              </w:rPr>
            </w:pPr>
            <w:r w:rsidRPr="00FA507F">
              <w:rPr>
                <w:rFonts w:ascii="Baskerville" w:hAnsi="Baskerville" w:cs="Baskerville"/>
                <w:b/>
                <w:sz w:val="22"/>
                <w:szCs w:val="22"/>
                <w:u w:val="single"/>
              </w:rPr>
              <w:t>III.C.8.b.</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publish guidelines for families seeking intellectual and developmental disability services on how and where to apply for and obtain services.  The guidelines will be updated annually and will be provided to appropriate agencies for use in directing individuals in the target population to the correct point of entry to access services.</w:t>
            </w:r>
          </w:p>
        </w:tc>
        <w:tc>
          <w:tcPr>
            <w:tcW w:w="1440" w:type="dxa"/>
          </w:tcPr>
          <w:p w:rsidR="00C405DA" w:rsidRPr="00B859E2" w:rsidRDefault="00C405DA" w:rsidP="00C405DA">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A02B68">
              <w:rPr>
                <w:rFonts w:ascii="Baskerville" w:hAnsi="Baskerville" w:cs="Baskerville"/>
                <w:sz w:val="20"/>
                <w:szCs w:val="20"/>
              </w:rPr>
              <w:t xml:space="preserve"> </w:t>
            </w:r>
            <w:r w:rsidRPr="00B859E2">
              <w:rPr>
                <w:rFonts w:ascii="Baskerville" w:hAnsi="Baskerville" w:cs="Baskerville"/>
                <w:sz w:val="20"/>
                <w:szCs w:val="20"/>
              </w:rPr>
              <w:t>Compliance)</w:t>
            </w:r>
          </w:p>
          <w:p w:rsidR="00B56650" w:rsidRDefault="00B56650" w:rsidP="00AE3E23">
            <w:pPr>
              <w:tabs>
                <w:tab w:val="left" w:pos="1242"/>
                <w:tab w:val="left" w:pos="1332"/>
                <w:tab w:val="left" w:pos="1440"/>
                <w:tab w:val="left" w:pos="4920"/>
                <w:tab w:val="right" w:pos="8640"/>
              </w:tabs>
              <w:ind w:left="-108" w:right="-108"/>
              <w:jc w:val="center"/>
              <w:rPr>
                <w:rFonts w:ascii="Baskerville" w:hAnsi="Baskerville" w:cs="Baskerville"/>
                <w:sz w:val="22"/>
                <w:szCs w:val="22"/>
                <w:u w:val="single"/>
              </w:rPr>
            </w:pPr>
          </w:p>
          <w:p w:rsidR="0083366F" w:rsidRPr="00A02B68" w:rsidRDefault="0083366F" w:rsidP="00AE3E23">
            <w:pPr>
              <w:tabs>
                <w:tab w:val="left" w:pos="1242"/>
                <w:tab w:val="left" w:pos="1332"/>
                <w:tab w:val="left" w:pos="1440"/>
                <w:tab w:val="left" w:pos="4920"/>
                <w:tab w:val="right" w:pos="8640"/>
              </w:tabs>
              <w:ind w:left="-108" w:right="-108"/>
              <w:jc w:val="center"/>
              <w:rPr>
                <w:rFonts w:ascii="Baskerville" w:hAnsi="Baskerville" w:cs="Baskerville"/>
                <w:sz w:val="22"/>
                <w:szCs w:val="22"/>
                <w:u w:val="single"/>
              </w:rPr>
            </w:pPr>
            <w:r w:rsidRPr="00A02B68">
              <w:rPr>
                <w:rFonts w:ascii="Baskerville" w:hAnsi="Baskerville" w:cs="Baskerville"/>
                <w:sz w:val="22"/>
                <w:szCs w:val="22"/>
                <w:u w:val="single"/>
              </w:rPr>
              <w:t>Non</w:t>
            </w:r>
            <w:r w:rsidR="00A02B68">
              <w:rPr>
                <w:rFonts w:ascii="Baskerville" w:hAnsi="Baskerville" w:cs="Baskerville"/>
                <w:sz w:val="22"/>
                <w:szCs w:val="22"/>
                <w:u w:val="single"/>
              </w:rPr>
              <w:t xml:space="preserve"> </w:t>
            </w:r>
            <w:r w:rsidRPr="00A02B68">
              <w:rPr>
                <w:rFonts w:ascii="Baskerville" w:hAnsi="Baskerville" w:cs="Baskerville"/>
                <w:sz w:val="22"/>
                <w:szCs w:val="22"/>
                <w:u w:val="single"/>
              </w:rPr>
              <w:t>Compliance</w:t>
            </w:r>
          </w:p>
          <w:p w:rsidR="0083366F" w:rsidRDefault="0083366F" w:rsidP="00121E16">
            <w:pPr>
              <w:tabs>
                <w:tab w:val="left" w:pos="1440"/>
                <w:tab w:val="left" w:pos="4920"/>
                <w:tab w:val="right" w:pos="8640"/>
              </w:tabs>
              <w:ind w:left="-108" w:right="-108"/>
              <w:jc w:val="center"/>
              <w:rPr>
                <w:rFonts w:ascii="Baskerville" w:hAnsi="Baskerville" w:cs="Baskerville"/>
                <w:b/>
                <w:sz w:val="22"/>
                <w:szCs w:val="22"/>
              </w:rPr>
            </w:pPr>
          </w:p>
          <w:p w:rsidR="0083366F" w:rsidRDefault="0083366F" w:rsidP="00121E16">
            <w:pPr>
              <w:tabs>
                <w:tab w:val="left" w:pos="1440"/>
                <w:tab w:val="left" w:pos="4920"/>
                <w:tab w:val="right" w:pos="8640"/>
              </w:tabs>
              <w:ind w:left="-108" w:right="-108"/>
              <w:jc w:val="center"/>
              <w:rPr>
                <w:rFonts w:ascii="Baskerville" w:hAnsi="Baskerville" w:cs="Baskerville"/>
                <w:b/>
                <w:sz w:val="22"/>
                <w:szCs w:val="22"/>
              </w:rPr>
            </w:pPr>
          </w:p>
          <w:p w:rsidR="00A02B68" w:rsidRDefault="00A02B68" w:rsidP="00A02B68">
            <w:pPr>
              <w:tabs>
                <w:tab w:val="left" w:pos="1242"/>
                <w:tab w:val="left" w:pos="1332"/>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Non</w:t>
            </w:r>
          </w:p>
          <w:p w:rsidR="00A02B68" w:rsidRDefault="00A02B68" w:rsidP="00A02B68">
            <w:pPr>
              <w:tabs>
                <w:tab w:val="left" w:pos="1242"/>
                <w:tab w:val="left" w:pos="133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121E16">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121E1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BD124A" w:rsidP="00A751B3">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Commonwealth updated</w:t>
            </w:r>
            <w:r w:rsidR="00F815E4">
              <w:rPr>
                <w:rFonts w:ascii="Baskerville" w:hAnsi="Baskerville" w:cs="Baskerville"/>
                <w:sz w:val="22"/>
                <w:szCs w:val="22"/>
              </w:rPr>
              <w:t xml:space="preserve"> guidelines</w:t>
            </w:r>
            <w:r w:rsidR="00B3783D">
              <w:rPr>
                <w:rFonts w:ascii="Baskerville" w:hAnsi="Baskerville" w:cs="Baskerville"/>
                <w:sz w:val="22"/>
                <w:szCs w:val="22"/>
              </w:rPr>
              <w:t xml:space="preserve">  (“Just the Facts”) </w:t>
            </w:r>
            <w:r w:rsidR="00F815E4">
              <w:rPr>
                <w:rFonts w:ascii="Baskerville" w:hAnsi="Baskerville" w:cs="Baskerville"/>
                <w:sz w:val="22"/>
                <w:szCs w:val="22"/>
              </w:rPr>
              <w:t>for individuals with wai</w:t>
            </w:r>
            <w:r w:rsidR="00186C74">
              <w:rPr>
                <w:rFonts w:ascii="Baskerville" w:hAnsi="Baskerville" w:cs="Baskerville"/>
                <w:sz w:val="22"/>
                <w:szCs w:val="22"/>
              </w:rPr>
              <w:t>ver-</w:t>
            </w:r>
            <w:r w:rsidR="00B3783D">
              <w:rPr>
                <w:rFonts w:ascii="Baskerville" w:hAnsi="Baskerville" w:cs="Baskerville"/>
                <w:sz w:val="22"/>
                <w:szCs w:val="22"/>
              </w:rPr>
              <w:t xml:space="preserve">funded services. These guidelines did not include information regarding how and where to apply and </w:t>
            </w:r>
            <w:r w:rsidR="003E233E">
              <w:rPr>
                <w:rFonts w:ascii="Baskerville" w:hAnsi="Baskerville" w:cs="Baskerville"/>
                <w:sz w:val="22"/>
                <w:szCs w:val="22"/>
              </w:rPr>
              <w:t xml:space="preserve">how </w:t>
            </w:r>
            <w:r w:rsidR="00770384">
              <w:rPr>
                <w:rFonts w:ascii="Baskerville" w:hAnsi="Baskerville" w:cs="Baskerville"/>
                <w:sz w:val="22"/>
                <w:szCs w:val="22"/>
              </w:rPr>
              <w:t xml:space="preserve">to </w:t>
            </w:r>
            <w:r w:rsidR="00B3783D">
              <w:rPr>
                <w:rFonts w:ascii="Baskerville" w:hAnsi="Baskerville" w:cs="Baskerville"/>
                <w:sz w:val="22"/>
                <w:szCs w:val="22"/>
              </w:rPr>
              <w:t>obtain servi</w:t>
            </w:r>
            <w:r w:rsidR="00D61567">
              <w:rPr>
                <w:rFonts w:ascii="Baskerville" w:hAnsi="Baskerville" w:cs="Baskerville"/>
                <w:sz w:val="22"/>
                <w:szCs w:val="22"/>
              </w:rPr>
              <w:t xml:space="preserve">ces for 9,867 individuals / </w:t>
            </w:r>
            <w:r w:rsidR="00B3783D">
              <w:rPr>
                <w:rFonts w:ascii="Baskerville" w:hAnsi="Baskerville" w:cs="Baskerville"/>
                <w:sz w:val="22"/>
                <w:szCs w:val="22"/>
              </w:rPr>
              <w:t>families who are on the waitlists</w:t>
            </w:r>
            <w:r w:rsidR="0038299D">
              <w:rPr>
                <w:rFonts w:ascii="Baskerville" w:hAnsi="Baskerville" w:cs="Baskerville"/>
                <w:sz w:val="22"/>
                <w:szCs w:val="22"/>
              </w:rPr>
              <w:t xml:space="preserve"> or others</w:t>
            </w:r>
            <w:r w:rsidR="00770384">
              <w:rPr>
                <w:rFonts w:ascii="Baskerville" w:hAnsi="Baskerville" w:cs="Baskerville"/>
                <w:sz w:val="22"/>
                <w:szCs w:val="22"/>
              </w:rPr>
              <w:t xml:space="preserve"> seekin</w:t>
            </w:r>
            <w:r w:rsidR="0038299D">
              <w:rPr>
                <w:rFonts w:ascii="Baskerville" w:hAnsi="Baskerville" w:cs="Baskerville"/>
                <w:sz w:val="22"/>
                <w:szCs w:val="22"/>
              </w:rPr>
              <w:t>g services who</w:t>
            </w:r>
            <w:r w:rsidR="00770384">
              <w:rPr>
                <w:rFonts w:ascii="Baskerville" w:hAnsi="Baskerville" w:cs="Baskerville"/>
                <w:sz w:val="22"/>
                <w:szCs w:val="22"/>
              </w:rPr>
              <w:t xml:space="preserve"> do not know how to </w:t>
            </w:r>
            <w:r w:rsidR="00D61567">
              <w:rPr>
                <w:rFonts w:ascii="Baskerville" w:hAnsi="Baskerville" w:cs="Baskerville"/>
                <w:sz w:val="22"/>
                <w:szCs w:val="22"/>
              </w:rPr>
              <w:t>apply to get on it.</w:t>
            </w:r>
            <w:r w:rsidR="00B3783D" w:rsidRPr="00DF1E2F">
              <w:rPr>
                <w:rFonts w:ascii="Baskerville" w:hAnsi="Baskerville" w:cs="Baskerville"/>
                <w:sz w:val="22"/>
                <w:szCs w:val="22"/>
              </w:rPr>
              <w:t xml:space="preserve"> </w:t>
            </w:r>
            <w:r w:rsidR="00A506EF">
              <w:rPr>
                <w:rFonts w:ascii="Baskerville" w:hAnsi="Baskerville" w:cs="Baskerville"/>
                <w:sz w:val="22"/>
                <w:szCs w:val="22"/>
              </w:rPr>
              <w:t>DBHDS has not updated the</w:t>
            </w:r>
            <w:r w:rsidR="0038299D">
              <w:rPr>
                <w:rFonts w:ascii="Baskerville" w:hAnsi="Baskerville" w:cs="Baskerville"/>
                <w:sz w:val="22"/>
                <w:szCs w:val="22"/>
              </w:rPr>
              <w:t xml:space="preserve"> </w:t>
            </w:r>
            <w:r w:rsidR="00A751B3">
              <w:rPr>
                <w:rFonts w:ascii="Baskerville" w:hAnsi="Baskerville" w:cs="Baskerville"/>
                <w:sz w:val="22"/>
                <w:szCs w:val="22"/>
              </w:rPr>
              <w:t xml:space="preserve">outdated </w:t>
            </w:r>
            <w:r w:rsidR="0038299D">
              <w:rPr>
                <w:rFonts w:ascii="Baskerville" w:hAnsi="Baskerville" w:cs="Baskerville"/>
                <w:sz w:val="22"/>
                <w:szCs w:val="22"/>
              </w:rPr>
              <w:t>IFSP guidelines for those on waitlists</w:t>
            </w:r>
            <w:r w:rsidR="00A751B3">
              <w:rPr>
                <w:rFonts w:ascii="Baskerville" w:hAnsi="Baskerville" w:cs="Baskerville"/>
                <w:sz w:val="22"/>
                <w:szCs w:val="22"/>
              </w:rPr>
              <w:t xml:space="preserve">. </w:t>
            </w:r>
            <w:r w:rsidR="00350F1E">
              <w:rPr>
                <w:rFonts w:ascii="Baskerville" w:hAnsi="Baskerville" w:cs="Baskerville"/>
                <w:sz w:val="22"/>
                <w:szCs w:val="22"/>
              </w:rPr>
              <w:t xml:space="preserve"> </w:t>
            </w:r>
          </w:p>
        </w:tc>
      </w:tr>
      <w:tr w:rsidR="0083366F" w:rsidRPr="00DF1E2F" w:rsidTr="0094744A">
        <w:trPr>
          <w:trHeight w:val="1826"/>
        </w:trPr>
        <w:tc>
          <w:tcPr>
            <w:tcW w:w="1530" w:type="dxa"/>
            <w:vAlign w:val="center"/>
          </w:tcPr>
          <w:p w:rsidR="0083366F" w:rsidRPr="00543897"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543897">
              <w:rPr>
                <w:rFonts w:ascii="Baskerville" w:hAnsi="Baskerville" w:cs="Baskerville"/>
                <w:b/>
                <w:sz w:val="22"/>
                <w:szCs w:val="22"/>
                <w:u w:val="single"/>
              </w:rPr>
              <w:t>III.D.1.</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serve individuals in the target population in the most integrated setting consistent with their informed choice and needs.</w:t>
            </w:r>
          </w:p>
        </w:tc>
        <w:tc>
          <w:tcPr>
            <w:tcW w:w="1440" w:type="dxa"/>
          </w:tcPr>
          <w:p w:rsidR="00C405DA" w:rsidRPr="00B859E2" w:rsidRDefault="00C405DA" w:rsidP="00C405DA">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A6259A">
              <w:rPr>
                <w:rFonts w:ascii="Baskerville" w:hAnsi="Baskerville" w:cs="Baskerville"/>
                <w:sz w:val="20"/>
                <w:szCs w:val="20"/>
              </w:rPr>
              <w:t xml:space="preserve"> </w:t>
            </w:r>
            <w:r w:rsidRPr="00B859E2">
              <w:rPr>
                <w:rFonts w:ascii="Baskerville" w:hAnsi="Baskerville" w:cs="Baskerville"/>
                <w:sz w:val="20"/>
                <w:szCs w:val="20"/>
              </w:rPr>
              <w:t>Compliance)</w:t>
            </w:r>
          </w:p>
          <w:p w:rsidR="00B56650" w:rsidRDefault="00B56650" w:rsidP="00070639">
            <w:pPr>
              <w:tabs>
                <w:tab w:val="left" w:pos="1242"/>
                <w:tab w:val="left" w:pos="1332"/>
                <w:tab w:val="left" w:pos="1440"/>
                <w:tab w:val="left" w:pos="4920"/>
                <w:tab w:val="right" w:pos="8640"/>
              </w:tabs>
              <w:ind w:left="-108" w:right="-108"/>
              <w:jc w:val="center"/>
              <w:rPr>
                <w:rFonts w:ascii="Baskerville" w:hAnsi="Baskerville" w:cs="Baskerville"/>
                <w:sz w:val="22"/>
                <w:szCs w:val="22"/>
                <w:u w:val="single"/>
              </w:rPr>
            </w:pPr>
          </w:p>
          <w:p w:rsidR="0083366F" w:rsidRPr="00A6259A" w:rsidRDefault="0083366F" w:rsidP="00070639">
            <w:pPr>
              <w:tabs>
                <w:tab w:val="left" w:pos="1242"/>
                <w:tab w:val="left" w:pos="1332"/>
                <w:tab w:val="left" w:pos="1440"/>
                <w:tab w:val="left" w:pos="4920"/>
                <w:tab w:val="right" w:pos="8640"/>
              </w:tabs>
              <w:ind w:left="-108" w:right="-108"/>
              <w:jc w:val="center"/>
              <w:rPr>
                <w:rFonts w:ascii="Baskerville" w:hAnsi="Baskerville" w:cs="Baskerville"/>
                <w:sz w:val="22"/>
                <w:szCs w:val="22"/>
                <w:u w:val="single"/>
              </w:rPr>
            </w:pPr>
            <w:r w:rsidRPr="00A6259A">
              <w:rPr>
                <w:rFonts w:ascii="Baskerville" w:hAnsi="Baskerville" w:cs="Baskerville"/>
                <w:sz w:val="22"/>
                <w:szCs w:val="22"/>
                <w:u w:val="single"/>
              </w:rPr>
              <w:t>Non Compliance</w:t>
            </w:r>
          </w:p>
          <w:p w:rsidR="0083366F" w:rsidRDefault="0083366F"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A72F97" w:rsidRDefault="00A72F97" w:rsidP="00A6259A">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A72F97" w:rsidRDefault="00A72F97" w:rsidP="00A6259A">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A6259A" w:rsidRPr="00DF1E2F" w:rsidRDefault="00A6259A" w:rsidP="00A6259A">
            <w:pPr>
              <w:tabs>
                <w:tab w:val="left" w:pos="1242"/>
                <w:tab w:val="left" w:pos="1332"/>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 xml:space="preserve">Non </w:t>
            </w:r>
            <w:r w:rsidRPr="00DF1E2F">
              <w:rPr>
                <w:rFonts w:ascii="Baskerville" w:hAnsi="Baskerville" w:cs="Baskerville"/>
                <w:b/>
                <w:sz w:val="22"/>
                <w:szCs w:val="22"/>
              </w:rPr>
              <w:t>Compliance</w:t>
            </w:r>
          </w:p>
          <w:p w:rsidR="00A6259A" w:rsidRPr="00DF1E2F" w:rsidRDefault="00A6259A"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tc>
        <w:tc>
          <w:tcPr>
            <w:tcW w:w="2880" w:type="dxa"/>
          </w:tcPr>
          <w:p w:rsidR="00E005B3" w:rsidRDefault="0083366F" w:rsidP="00C5660A">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Individuals are primari</w:t>
            </w:r>
            <w:r w:rsidR="00E005B3">
              <w:rPr>
                <w:rFonts w:ascii="Baskerville" w:hAnsi="Baskerville" w:cs="Baskerville"/>
                <w:sz w:val="22"/>
                <w:szCs w:val="22"/>
              </w:rPr>
              <w:t>ly offered congregate settings. An increased percent of the individuals who transitioned from Training Centers have moved to homes with five or mo</w:t>
            </w:r>
            <w:r w:rsidR="00C8758F">
              <w:rPr>
                <w:rFonts w:ascii="Baskerville" w:hAnsi="Baskerville" w:cs="Baskerville"/>
                <w:sz w:val="22"/>
                <w:szCs w:val="22"/>
              </w:rPr>
              <w:t>re residents</w:t>
            </w:r>
            <w:r w:rsidR="00E005B3">
              <w:rPr>
                <w:rFonts w:ascii="Baskerville" w:hAnsi="Baskerville" w:cs="Baskerville"/>
                <w:sz w:val="22"/>
                <w:szCs w:val="22"/>
              </w:rPr>
              <w:t xml:space="preserve">. </w:t>
            </w:r>
          </w:p>
          <w:p w:rsidR="00C8758F" w:rsidRDefault="006511B4" w:rsidP="00C8758F">
            <w:pPr>
              <w:tabs>
                <w:tab w:val="left" w:pos="1440"/>
                <w:tab w:val="left" w:pos="4920"/>
                <w:tab w:val="right" w:pos="8640"/>
              </w:tabs>
              <w:rPr>
                <w:rFonts w:ascii="Baskerville" w:hAnsi="Baskerville" w:cs="Baskerville"/>
                <w:sz w:val="22"/>
                <w:szCs w:val="22"/>
              </w:rPr>
            </w:pPr>
            <w:r w:rsidRPr="001D5973">
              <w:rPr>
                <w:rFonts w:ascii="Baskerville" w:hAnsi="Baskerville" w:cs="Baskerville"/>
                <w:sz w:val="22"/>
                <w:szCs w:val="22"/>
              </w:rPr>
              <w:t></w:t>
            </w:r>
            <w:r w:rsidR="00E005B3">
              <w:rPr>
                <w:rFonts w:ascii="Baskerville" w:hAnsi="Baskerville" w:cs="Baskerville"/>
                <w:sz w:val="22"/>
                <w:szCs w:val="22"/>
              </w:rPr>
              <w:t>45% in FY 2014</w:t>
            </w:r>
            <w:r>
              <w:rPr>
                <w:rFonts w:ascii="Baskerville" w:hAnsi="Baskerville" w:cs="Baskerville"/>
                <w:sz w:val="22"/>
                <w:szCs w:val="22"/>
              </w:rPr>
              <w:t>, 84 of 185</w:t>
            </w:r>
          </w:p>
          <w:p w:rsidR="00E005B3" w:rsidRPr="00C267D4" w:rsidRDefault="006511B4" w:rsidP="00C8758F">
            <w:pPr>
              <w:tabs>
                <w:tab w:val="left" w:pos="1440"/>
                <w:tab w:val="left" w:pos="4920"/>
                <w:tab w:val="right" w:pos="8640"/>
              </w:tabs>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55% in FY 2015, </w:t>
            </w:r>
            <w:r w:rsidR="00E005B3">
              <w:rPr>
                <w:rFonts w:ascii="Baskerville" w:hAnsi="Baskerville" w:cs="Baskerville"/>
                <w:sz w:val="22"/>
                <w:szCs w:val="22"/>
              </w:rPr>
              <w:t xml:space="preserve">52 of 94. The </w:t>
            </w:r>
            <w:r w:rsidR="00C5660A">
              <w:rPr>
                <w:rFonts w:ascii="Baskerville" w:hAnsi="Baskerville" w:cs="Baskerville"/>
                <w:sz w:val="22"/>
                <w:szCs w:val="22"/>
              </w:rPr>
              <w:t>Commonwealth lacks capacity in n</w:t>
            </w:r>
            <w:r w:rsidR="00E005B3">
              <w:rPr>
                <w:rFonts w:ascii="Baskerville" w:hAnsi="Baskerville" w:cs="Baskerville"/>
                <w:sz w:val="22"/>
                <w:szCs w:val="22"/>
              </w:rPr>
              <w:t>o</w:t>
            </w:r>
            <w:r w:rsidR="00576B7B">
              <w:rPr>
                <w:rFonts w:ascii="Baskerville" w:hAnsi="Baskerville" w:cs="Baskerville"/>
                <w:sz w:val="22"/>
                <w:szCs w:val="22"/>
              </w:rPr>
              <w:t>rthern Virginia</w:t>
            </w:r>
            <w:r w:rsidR="00C8758F">
              <w:rPr>
                <w:rFonts w:ascii="Baskerville" w:hAnsi="Baskerville" w:cs="Baskerville"/>
                <w:sz w:val="22"/>
                <w:szCs w:val="22"/>
              </w:rPr>
              <w:t xml:space="preserve"> for </w:t>
            </w:r>
            <w:r w:rsidR="0052686B">
              <w:rPr>
                <w:rFonts w:ascii="Baskerville" w:hAnsi="Baskerville" w:cs="Baskerville"/>
                <w:sz w:val="22"/>
                <w:szCs w:val="22"/>
              </w:rPr>
              <w:t>residential settings with four or fewer beds</w:t>
            </w:r>
            <w:r w:rsidR="00576B7B">
              <w:rPr>
                <w:rFonts w:ascii="Baskerville" w:hAnsi="Baskerville" w:cs="Baskerville"/>
                <w:sz w:val="22"/>
                <w:szCs w:val="22"/>
              </w:rPr>
              <w:t>.</w:t>
            </w:r>
          </w:p>
        </w:tc>
      </w:tr>
      <w:tr w:rsidR="0083366F" w:rsidRPr="00DF1E2F" w:rsidTr="0094744A">
        <w:trPr>
          <w:trHeight w:val="3455"/>
        </w:trPr>
        <w:tc>
          <w:tcPr>
            <w:tcW w:w="1530" w:type="dxa"/>
            <w:vAlign w:val="center"/>
          </w:tcPr>
          <w:p w:rsidR="0083366F" w:rsidRPr="008949B8"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8949B8">
              <w:rPr>
                <w:rFonts w:ascii="Baskerville" w:hAnsi="Baskerville" w:cs="Baskerville"/>
                <w:b/>
                <w:sz w:val="22"/>
                <w:szCs w:val="22"/>
                <w:u w:val="single"/>
              </w:rPr>
              <w:t>III.D.2.</w:t>
            </w:r>
          </w:p>
        </w:tc>
        <w:tc>
          <w:tcPr>
            <w:tcW w:w="4320" w:type="dxa"/>
          </w:tcPr>
          <w:p w:rsidR="0083366F" w:rsidRPr="00DF1E2F" w:rsidRDefault="0083366F" w:rsidP="001D1FE7">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facilitate individuals receiving HCBS waivers under this Agreement to live in their own home, leased apartment, or family’s home, when such a placement is their informed choice and the most integrated setting appropriate to their needs.  To facilitate individuals living independently in their own home or apartment, the Commonwealth shall provide information about and make appropriate referrals for individuals to apply for rental or housing assistance and bridge funding through all existing sources</w:t>
            </w:r>
            <w:r>
              <w:rPr>
                <w:rFonts w:ascii="Baskerville" w:hAnsi="Baskerville" w:cs="Baskerville"/>
                <w:sz w:val="22"/>
                <w:szCs w:val="22"/>
              </w:rPr>
              <w:t>…</w:t>
            </w:r>
          </w:p>
        </w:tc>
        <w:tc>
          <w:tcPr>
            <w:tcW w:w="1440" w:type="dxa"/>
          </w:tcPr>
          <w:p w:rsidR="0083366F" w:rsidRPr="004F0934" w:rsidRDefault="00C405DA" w:rsidP="004F0934">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4F0934">
              <w:rPr>
                <w:rFonts w:ascii="Baskerville" w:hAnsi="Baskerville" w:cs="Baskerville"/>
                <w:sz w:val="20"/>
                <w:szCs w:val="20"/>
              </w:rPr>
              <w:t xml:space="preserve"> C</w:t>
            </w:r>
            <w:r w:rsidRPr="00B859E2">
              <w:rPr>
                <w:rFonts w:ascii="Baskerville" w:hAnsi="Baskerville" w:cs="Baskerville"/>
                <w:sz w:val="20"/>
                <w:szCs w:val="20"/>
              </w:rPr>
              <w:t>ompliance)</w:t>
            </w:r>
          </w:p>
          <w:p w:rsidR="00CC1211" w:rsidRDefault="00CC1211" w:rsidP="003C2B0E">
            <w:pPr>
              <w:tabs>
                <w:tab w:val="left" w:pos="1512"/>
                <w:tab w:val="left" w:pos="4920"/>
                <w:tab w:val="right" w:pos="8640"/>
              </w:tabs>
              <w:ind w:left="-108" w:right="-108"/>
              <w:jc w:val="center"/>
              <w:rPr>
                <w:rFonts w:ascii="Baskerville" w:hAnsi="Baskerville" w:cs="Baskerville"/>
                <w:sz w:val="22"/>
                <w:szCs w:val="22"/>
                <w:u w:val="single"/>
              </w:rPr>
            </w:pPr>
          </w:p>
          <w:p w:rsidR="0083366F" w:rsidRPr="004F0934" w:rsidRDefault="0083366F" w:rsidP="003C2B0E">
            <w:pPr>
              <w:tabs>
                <w:tab w:val="left" w:pos="1512"/>
                <w:tab w:val="left" w:pos="4920"/>
                <w:tab w:val="right" w:pos="8640"/>
              </w:tabs>
              <w:ind w:left="-108" w:right="-108"/>
              <w:jc w:val="center"/>
              <w:rPr>
                <w:rFonts w:ascii="Baskerville" w:hAnsi="Baskerville" w:cs="Baskerville"/>
                <w:sz w:val="22"/>
                <w:szCs w:val="22"/>
                <w:u w:val="single"/>
              </w:rPr>
            </w:pPr>
            <w:r w:rsidRPr="004F0934">
              <w:rPr>
                <w:rFonts w:ascii="Baskerville" w:hAnsi="Baskerville" w:cs="Baskerville"/>
                <w:sz w:val="22"/>
                <w:szCs w:val="22"/>
                <w:u w:val="single"/>
              </w:rPr>
              <w:t>Non Compliance</w:t>
            </w:r>
          </w:p>
          <w:p w:rsidR="0083366F" w:rsidRPr="00DF1E2F" w:rsidRDefault="0083366F"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p w:rsidR="004F0934" w:rsidRPr="00DF1E2F" w:rsidRDefault="004F0934" w:rsidP="004F0934">
            <w:pPr>
              <w:tabs>
                <w:tab w:val="left" w:pos="151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Non Compliance</w:t>
            </w:r>
          </w:p>
          <w:p w:rsidR="0083366F" w:rsidRPr="00DF1E2F" w:rsidRDefault="0083366F" w:rsidP="00070639">
            <w:pPr>
              <w:tabs>
                <w:tab w:val="left" w:pos="1242"/>
                <w:tab w:val="left" w:pos="1332"/>
                <w:tab w:val="left" w:pos="1440"/>
                <w:tab w:val="left" w:pos="4920"/>
                <w:tab w:val="right" w:pos="8640"/>
              </w:tabs>
              <w:ind w:left="-108" w:right="-108"/>
              <w:jc w:val="center"/>
              <w:rPr>
                <w:rFonts w:ascii="Baskerville" w:hAnsi="Baskerville" w:cs="Baskerville"/>
                <w:b/>
                <w:sz w:val="22"/>
                <w:szCs w:val="22"/>
              </w:rPr>
            </w:pPr>
          </w:p>
        </w:tc>
        <w:tc>
          <w:tcPr>
            <w:tcW w:w="2880" w:type="dxa"/>
          </w:tcPr>
          <w:p w:rsidR="00F2649C" w:rsidRPr="00DF1E2F" w:rsidRDefault="00C4776A" w:rsidP="00C8758F">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Commonwealth has not been able to facilitate individuals receiving waivers</w:t>
            </w:r>
            <w:r w:rsidR="00173CCF">
              <w:rPr>
                <w:rFonts w:ascii="Baskerville" w:hAnsi="Baskerville" w:cs="Baskerville"/>
                <w:sz w:val="22"/>
                <w:szCs w:val="22"/>
              </w:rPr>
              <w:t xml:space="preserve"> who would choose to live in their own home to do so. The Commonwealth is making multiple changes</w:t>
            </w:r>
            <w:r w:rsidR="005A66DC">
              <w:rPr>
                <w:rFonts w:ascii="Baskerville" w:hAnsi="Baskerville" w:cs="Baskerville"/>
                <w:sz w:val="22"/>
                <w:szCs w:val="22"/>
              </w:rPr>
              <w:t xml:space="preserve"> in its systems to move toward achieving compliance. </w:t>
            </w:r>
          </w:p>
        </w:tc>
      </w:tr>
      <w:tr w:rsidR="0083366F" w:rsidRPr="00DF1E2F" w:rsidTr="0094744A">
        <w:trPr>
          <w:trHeight w:val="485"/>
        </w:trPr>
        <w:tc>
          <w:tcPr>
            <w:tcW w:w="1530" w:type="dxa"/>
            <w:vAlign w:val="center"/>
          </w:tcPr>
          <w:p w:rsidR="0083366F" w:rsidRPr="008949B8"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8949B8">
              <w:rPr>
                <w:rFonts w:ascii="Baskerville" w:hAnsi="Baskerville" w:cs="Baskerville"/>
                <w:b/>
                <w:sz w:val="22"/>
                <w:szCs w:val="22"/>
                <w:u w:val="single"/>
              </w:rPr>
              <w:t>III.D.3.</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Within 365 days of this Agreement, the Commonwealth shall develop a plan to increase access to independent living options such as individuals’ own homes or apartments.</w:t>
            </w:r>
          </w:p>
        </w:tc>
        <w:tc>
          <w:tcPr>
            <w:tcW w:w="1440" w:type="dxa"/>
          </w:tcPr>
          <w:p w:rsidR="00C405DA" w:rsidRPr="00B859E2" w:rsidRDefault="00C405DA" w:rsidP="00C405DA">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 Compliance)</w:t>
            </w:r>
          </w:p>
          <w:p w:rsidR="0083366F" w:rsidRDefault="0083366F" w:rsidP="0066460E">
            <w:pPr>
              <w:tabs>
                <w:tab w:val="left" w:pos="1512"/>
                <w:tab w:val="left" w:pos="4920"/>
                <w:tab w:val="right" w:pos="8640"/>
              </w:tabs>
              <w:ind w:left="-108" w:right="-108"/>
              <w:jc w:val="center"/>
              <w:rPr>
                <w:rFonts w:ascii="Baskerville" w:hAnsi="Baskerville" w:cs="Baskerville"/>
                <w:sz w:val="22"/>
                <w:szCs w:val="22"/>
              </w:rPr>
            </w:pPr>
          </w:p>
          <w:p w:rsidR="0083366F" w:rsidRPr="004F0934" w:rsidRDefault="0083366F" w:rsidP="0066460E">
            <w:pPr>
              <w:tabs>
                <w:tab w:val="left" w:pos="1512"/>
                <w:tab w:val="left" w:pos="4920"/>
                <w:tab w:val="right" w:pos="8640"/>
              </w:tabs>
              <w:ind w:left="-108" w:right="-108"/>
              <w:jc w:val="center"/>
              <w:rPr>
                <w:rFonts w:ascii="Baskerville" w:hAnsi="Baskerville" w:cs="Baskerville"/>
                <w:sz w:val="22"/>
                <w:szCs w:val="22"/>
                <w:u w:val="single"/>
              </w:rPr>
            </w:pPr>
            <w:r w:rsidRPr="004F0934">
              <w:rPr>
                <w:rFonts w:ascii="Baskerville" w:hAnsi="Baskerville" w:cs="Baskerville"/>
                <w:sz w:val="22"/>
                <w:szCs w:val="22"/>
                <w:u w:val="single"/>
              </w:rPr>
              <w:t>Non Compliance</w:t>
            </w:r>
          </w:p>
          <w:p w:rsidR="0083366F" w:rsidRDefault="0083366F" w:rsidP="0066460E">
            <w:pPr>
              <w:tabs>
                <w:tab w:val="left" w:pos="1512"/>
                <w:tab w:val="left" w:pos="4920"/>
                <w:tab w:val="right" w:pos="8640"/>
              </w:tabs>
              <w:ind w:left="-108" w:right="-108"/>
              <w:jc w:val="center"/>
              <w:rPr>
                <w:rFonts w:ascii="Baskerville" w:hAnsi="Baskerville" w:cs="Baskerville"/>
                <w:b/>
                <w:sz w:val="22"/>
                <w:szCs w:val="22"/>
              </w:rPr>
            </w:pPr>
          </w:p>
          <w:p w:rsidR="004F0934" w:rsidRPr="00DF1E2F" w:rsidRDefault="004F0934" w:rsidP="004F0934">
            <w:pPr>
              <w:tabs>
                <w:tab w:val="left" w:pos="1512"/>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Non Compliance</w:t>
            </w:r>
          </w:p>
          <w:p w:rsidR="004F0934" w:rsidRPr="00DF1E2F" w:rsidRDefault="004F0934" w:rsidP="0066460E">
            <w:pPr>
              <w:tabs>
                <w:tab w:val="left" w:pos="1512"/>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D065B1">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developed</w:t>
            </w:r>
            <w:r w:rsidR="001F7D1C">
              <w:rPr>
                <w:rFonts w:ascii="Baskerville" w:hAnsi="Baskerville" w:cs="Baskerville"/>
                <w:sz w:val="22"/>
                <w:szCs w:val="22"/>
              </w:rPr>
              <w:t xml:space="preserve"> a plan. It has not substantively</w:t>
            </w:r>
            <w:r w:rsidRPr="00DF1E2F">
              <w:rPr>
                <w:rFonts w:ascii="Baskerville" w:hAnsi="Baskerville" w:cs="Baskerville"/>
                <w:sz w:val="22"/>
                <w:szCs w:val="22"/>
              </w:rPr>
              <w:t xml:space="preserve"> increased access to independent living options. </w:t>
            </w:r>
            <w:r w:rsidR="00403F00">
              <w:rPr>
                <w:rFonts w:ascii="Baskerville" w:hAnsi="Baskerville" w:cs="Baskerville"/>
                <w:sz w:val="22"/>
                <w:szCs w:val="22"/>
              </w:rPr>
              <w:t xml:space="preserve">The Commonwealth has created strategies </w:t>
            </w:r>
            <w:r w:rsidR="00BF1985">
              <w:rPr>
                <w:rFonts w:ascii="Baskerville" w:hAnsi="Baskerville" w:cs="Baskerville"/>
                <w:sz w:val="22"/>
                <w:szCs w:val="22"/>
              </w:rPr>
              <w:t>to improve</w:t>
            </w:r>
            <w:r w:rsidR="00CC3879">
              <w:rPr>
                <w:rFonts w:ascii="Baskerville" w:hAnsi="Baskerville" w:cs="Baskerville"/>
                <w:sz w:val="22"/>
                <w:szCs w:val="22"/>
              </w:rPr>
              <w:t xml:space="preserve"> access to independent living options</w:t>
            </w:r>
            <w:r w:rsidR="00BF1985">
              <w:rPr>
                <w:rFonts w:ascii="Baskerville" w:hAnsi="Baskerville" w:cs="Baskerville"/>
                <w:sz w:val="22"/>
                <w:szCs w:val="22"/>
              </w:rPr>
              <w:t xml:space="preserve">. Some individuals </w:t>
            </w:r>
            <w:r w:rsidR="00D065B1">
              <w:rPr>
                <w:rFonts w:ascii="Baskerville" w:hAnsi="Baskerville" w:cs="Baskerville"/>
                <w:sz w:val="22"/>
                <w:szCs w:val="22"/>
              </w:rPr>
              <w:t xml:space="preserve">have received rental assistance to live in their own apartments. </w:t>
            </w:r>
          </w:p>
        </w:tc>
      </w:tr>
      <w:tr w:rsidR="0083366F" w:rsidRPr="00DF1E2F" w:rsidTr="0094744A">
        <w:trPr>
          <w:trHeight w:val="566"/>
        </w:trPr>
        <w:tc>
          <w:tcPr>
            <w:tcW w:w="1530" w:type="dxa"/>
            <w:vAlign w:val="center"/>
          </w:tcPr>
          <w:p w:rsidR="0083366F" w:rsidRPr="00C82707"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C82707">
              <w:rPr>
                <w:rFonts w:ascii="Baskerville" w:hAnsi="Baskerville" w:cs="Baskerville"/>
                <w:b/>
                <w:sz w:val="22"/>
                <w:szCs w:val="22"/>
                <w:u w:val="single"/>
              </w:rPr>
              <w:t>III.D.3.a.</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plan will be developed under the direct supervision of a dedicated housing service coordinator for the Department of Behavioral Health and Developmental Services (“DBHDS”) and in coordination with representatives from the Department of Medical Assistance Services (“DMAS”), Virginia Board for People with Disabilities, Virginia Housing Development Authority, Virginia Department of Housing and Community Develop</w:t>
            </w:r>
            <w:r>
              <w:rPr>
                <w:rFonts w:ascii="Baskerville" w:hAnsi="Baskerville" w:cs="Baskerville"/>
                <w:sz w:val="22"/>
                <w:szCs w:val="22"/>
              </w:rPr>
              <w:t>ment, and other organizations ..</w:t>
            </w:r>
            <w:r w:rsidRPr="00DF1E2F">
              <w:rPr>
                <w:rFonts w:ascii="Baskerville" w:hAnsi="Baskerville" w:cs="Baskerville"/>
                <w:sz w:val="22"/>
                <w:szCs w:val="22"/>
              </w:rPr>
              <w:t>.</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6460E">
            <w:pPr>
              <w:tabs>
                <w:tab w:val="left" w:pos="1512"/>
                <w:tab w:val="left" w:pos="4920"/>
                <w:tab w:val="right" w:pos="8640"/>
              </w:tabs>
              <w:ind w:left="-108" w:right="-108"/>
              <w:jc w:val="center"/>
              <w:rPr>
                <w:rFonts w:ascii="Baskerville" w:hAnsi="Baskerville" w:cs="Baskerville"/>
                <w:b/>
                <w:sz w:val="22"/>
                <w:szCs w:val="22"/>
              </w:rPr>
            </w:pPr>
          </w:p>
          <w:p w:rsidR="0083366F" w:rsidRPr="00CC1211" w:rsidRDefault="0083366F" w:rsidP="0066460E">
            <w:pPr>
              <w:tabs>
                <w:tab w:val="left" w:pos="1512"/>
                <w:tab w:val="left" w:pos="4920"/>
                <w:tab w:val="right" w:pos="8640"/>
              </w:tabs>
              <w:ind w:left="-108" w:right="-108"/>
              <w:jc w:val="center"/>
              <w:rPr>
                <w:rFonts w:ascii="Baskerville" w:hAnsi="Baskerville" w:cs="Baskerville"/>
                <w:sz w:val="22"/>
                <w:szCs w:val="22"/>
                <w:u w:val="single"/>
              </w:rPr>
            </w:pPr>
            <w:r w:rsidRPr="00CC1211">
              <w:rPr>
                <w:rFonts w:ascii="Baskerville" w:hAnsi="Baskerville" w:cs="Baskerville"/>
                <w:sz w:val="22"/>
                <w:szCs w:val="22"/>
                <w:u w:val="single"/>
              </w:rPr>
              <w:t>Compliance</w:t>
            </w:r>
          </w:p>
          <w:p w:rsidR="0083366F" w:rsidRDefault="0083366F" w:rsidP="0066460E">
            <w:pPr>
              <w:tabs>
                <w:tab w:val="left" w:pos="1512"/>
                <w:tab w:val="left" w:pos="4920"/>
                <w:tab w:val="right" w:pos="8640"/>
              </w:tabs>
              <w:ind w:left="-108" w:right="-108"/>
              <w:jc w:val="center"/>
              <w:rPr>
                <w:rFonts w:ascii="Baskerville" w:hAnsi="Baskerville" w:cs="Baskerville"/>
                <w:b/>
                <w:sz w:val="22"/>
                <w:szCs w:val="22"/>
              </w:rPr>
            </w:pPr>
          </w:p>
          <w:p w:rsidR="00E507C3" w:rsidRPr="00DF1E2F" w:rsidRDefault="00E507C3" w:rsidP="0066460E">
            <w:pPr>
              <w:tabs>
                <w:tab w:val="left" w:pos="1512"/>
                <w:tab w:val="left" w:pos="4920"/>
                <w:tab w:val="right" w:pos="8640"/>
              </w:tabs>
              <w:ind w:left="-108" w:right="-108"/>
              <w:jc w:val="center"/>
              <w:rPr>
                <w:rFonts w:ascii="Baskerville" w:hAnsi="Baskerville" w:cs="Baskerville"/>
                <w:b/>
                <w:sz w:val="22"/>
                <w:szCs w:val="22"/>
              </w:rPr>
            </w:pPr>
          </w:p>
          <w:p w:rsidR="00CC1211" w:rsidRPr="00DF1E2F" w:rsidRDefault="00CC1211" w:rsidP="00CC1211">
            <w:pPr>
              <w:tabs>
                <w:tab w:val="left" w:pos="151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66460E">
            <w:pPr>
              <w:tabs>
                <w:tab w:val="left" w:pos="1512"/>
                <w:tab w:val="left" w:pos="4920"/>
                <w:tab w:val="right" w:pos="8640"/>
              </w:tabs>
              <w:ind w:left="-108" w:right="-108"/>
              <w:jc w:val="center"/>
              <w:rPr>
                <w:rFonts w:ascii="Baskerville" w:hAnsi="Baskerville" w:cs="Baskerville"/>
                <w:b/>
                <w:sz w:val="22"/>
                <w:szCs w:val="22"/>
              </w:rPr>
            </w:pPr>
          </w:p>
          <w:p w:rsidR="0083366F" w:rsidRPr="00DF1E2F" w:rsidRDefault="0083366F" w:rsidP="0066460E">
            <w:pPr>
              <w:tabs>
                <w:tab w:val="left" w:pos="1512"/>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2D239A">
            <w:pPr>
              <w:tabs>
                <w:tab w:val="left" w:pos="1440"/>
                <w:tab w:val="left" w:pos="4920"/>
                <w:tab w:val="right" w:pos="8640"/>
              </w:tabs>
              <w:ind w:right="-18"/>
              <w:rPr>
                <w:rFonts w:ascii="Baskerville" w:hAnsi="Baskerville" w:cs="Baskerville"/>
                <w:sz w:val="22"/>
                <w:szCs w:val="22"/>
              </w:rPr>
            </w:pPr>
            <w:r w:rsidRPr="00DF1E2F">
              <w:rPr>
                <w:rFonts w:ascii="Baskerville" w:hAnsi="Baskerville" w:cs="Baskerville"/>
                <w:sz w:val="22"/>
                <w:szCs w:val="22"/>
              </w:rPr>
              <w:t>A DBHDS housing service coordinator developed the plan with the</w:t>
            </w:r>
            <w:r w:rsidR="00C318CC">
              <w:rPr>
                <w:rFonts w:ascii="Baskerville" w:hAnsi="Baskerville" w:cs="Baskerville"/>
                <w:sz w:val="22"/>
                <w:szCs w:val="22"/>
              </w:rPr>
              <w:t xml:space="preserve">se representatives </w:t>
            </w:r>
            <w:r w:rsidRPr="00DF1E2F">
              <w:rPr>
                <w:rFonts w:ascii="Baskerville" w:hAnsi="Baskerville" w:cs="Baskerville"/>
                <w:sz w:val="22"/>
                <w:szCs w:val="22"/>
              </w:rPr>
              <w:t>and others.</w:t>
            </w:r>
          </w:p>
          <w:p w:rsidR="0083366F" w:rsidRPr="00DF1E2F" w:rsidRDefault="0083366F" w:rsidP="00FE4C1A">
            <w:pPr>
              <w:tabs>
                <w:tab w:val="left" w:pos="1440"/>
                <w:tab w:val="left" w:pos="4920"/>
                <w:tab w:val="right" w:pos="8640"/>
              </w:tabs>
              <w:ind w:right="-18"/>
              <w:rPr>
                <w:rFonts w:ascii="Baskerville" w:hAnsi="Baskerville" w:cs="Baskerville"/>
                <w:b/>
                <w:sz w:val="22"/>
                <w:szCs w:val="22"/>
                <w:u w:val="single"/>
              </w:rPr>
            </w:pPr>
          </w:p>
        </w:tc>
      </w:tr>
      <w:tr w:rsidR="0083366F" w:rsidRPr="00DF1E2F" w:rsidTr="0094744A">
        <w:trPr>
          <w:trHeight w:val="3095"/>
        </w:trPr>
        <w:tc>
          <w:tcPr>
            <w:tcW w:w="1530" w:type="dxa"/>
            <w:vAlign w:val="center"/>
          </w:tcPr>
          <w:p w:rsidR="0083366F" w:rsidRPr="008949B8"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8949B8">
              <w:rPr>
                <w:rFonts w:ascii="Baskerville" w:hAnsi="Baskerville" w:cs="Baskerville"/>
                <w:b/>
                <w:sz w:val="22"/>
                <w:szCs w:val="22"/>
                <w:u w:val="single"/>
              </w:rPr>
              <w:t>III.D.3.b.i-ii</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plan will establish, for individuals receiving or eligible to receive services through the HCBS waivers under this Agreement: Baseline information regarding the number of individuals who would choose the independent living options described above, if available; and</w:t>
            </w:r>
          </w:p>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Recommendations to provide access to these settings during each year of this Agreement.</w:t>
            </w:r>
          </w:p>
        </w:tc>
        <w:tc>
          <w:tcPr>
            <w:tcW w:w="1440" w:type="dxa"/>
          </w:tcPr>
          <w:p w:rsidR="00C405DA" w:rsidRPr="00B859E2" w:rsidRDefault="00C405DA" w:rsidP="00C405DA">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436368">
              <w:rPr>
                <w:rFonts w:ascii="Baskerville" w:hAnsi="Baskerville" w:cs="Baskerville"/>
                <w:sz w:val="20"/>
                <w:szCs w:val="20"/>
              </w:rPr>
              <w:t xml:space="preserve"> </w:t>
            </w:r>
            <w:r w:rsidRPr="00B859E2">
              <w:rPr>
                <w:rFonts w:ascii="Baskerville" w:hAnsi="Baskerville" w:cs="Baskerville"/>
                <w:sz w:val="20"/>
                <w:szCs w:val="20"/>
              </w:rPr>
              <w:t>Compliance)</w:t>
            </w:r>
          </w:p>
          <w:p w:rsidR="00436368" w:rsidRDefault="00436368" w:rsidP="003C2B0E">
            <w:pPr>
              <w:tabs>
                <w:tab w:val="left" w:pos="1512"/>
                <w:tab w:val="left" w:pos="4920"/>
                <w:tab w:val="right" w:pos="8640"/>
              </w:tabs>
              <w:ind w:left="-108" w:right="-108"/>
              <w:jc w:val="center"/>
              <w:rPr>
                <w:rFonts w:ascii="Baskerville" w:hAnsi="Baskerville" w:cs="Baskerville"/>
                <w:sz w:val="22"/>
                <w:szCs w:val="22"/>
                <w:u w:val="single"/>
              </w:rPr>
            </w:pPr>
          </w:p>
          <w:p w:rsidR="0083366F" w:rsidRPr="00436368" w:rsidRDefault="0083366F" w:rsidP="003C2B0E">
            <w:pPr>
              <w:tabs>
                <w:tab w:val="left" w:pos="1512"/>
                <w:tab w:val="left" w:pos="4920"/>
                <w:tab w:val="right" w:pos="8640"/>
              </w:tabs>
              <w:ind w:left="-108" w:right="-108"/>
              <w:jc w:val="center"/>
              <w:rPr>
                <w:rFonts w:ascii="Baskerville" w:hAnsi="Baskerville" w:cs="Baskerville"/>
                <w:sz w:val="22"/>
                <w:szCs w:val="22"/>
                <w:u w:val="single"/>
              </w:rPr>
            </w:pPr>
            <w:r w:rsidRPr="00436368">
              <w:rPr>
                <w:rFonts w:ascii="Baskerville" w:hAnsi="Baskerville" w:cs="Baskerville"/>
                <w:sz w:val="22"/>
                <w:szCs w:val="22"/>
                <w:u w:val="single"/>
              </w:rPr>
              <w:t xml:space="preserve"> Compliance</w:t>
            </w:r>
          </w:p>
          <w:p w:rsidR="0083366F" w:rsidRPr="00DF1E2F" w:rsidRDefault="0083366F" w:rsidP="006E49BC">
            <w:pPr>
              <w:tabs>
                <w:tab w:val="left" w:pos="1440"/>
                <w:tab w:val="left" w:pos="4920"/>
                <w:tab w:val="right" w:pos="8640"/>
              </w:tabs>
              <w:ind w:left="-108" w:right="-108"/>
              <w:jc w:val="center"/>
              <w:rPr>
                <w:rFonts w:ascii="Baskerville" w:hAnsi="Baskerville" w:cs="Baskerville"/>
                <w:b/>
                <w:sz w:val="22"/>
                <w:szCs w:val="22"/>
              </w:rPr>
            </w:pPr>
          </w:p>
          <w:p w:rsidR="00F91D65" w:rsidRDefault="00F91D65" w:rsidP="006E49BC">
            <w:pPr>
              <w:tabs>
                <w:tab w:val="left" w:pos="1440"/>
                <w:tab w:val="left" w:pos="4920"/>
                <w:tab w:val="right" w:pos="8640"/>
              </w:tabs>
              <w:ind w:left="-108" w:right="-108"/>
              <w:jc w:val="center"/>
              <w:rPr>
                <w:rFonts w:ascii="Baskerville" w:hAnsi="Baskerville" w:cs="Baskerville"/>
                <w:b/>
                <w:sz w:val="22"/>
                <w:szCs w:val="22"/>
              </w:rPr>
            </w:pPr>
          </w:p>
          <w:p w:rsidR="00F91D65" w:rsidRPr="00DF1E2F" w:rsidRDefault="00F91D65" w:rsidP="00F91D65">
            <w:pPr>
              <w:tabs>
                <w:tab w:val="left" w:pos="151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F91D65" w:rsidRPr="00DF1E2F" w:rsidRDefault="00F91D65" w:rsidP="006E49BC">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9629E0" w:rsidRPr="00220C65" w:rsidRDefault="0083366F" w:rsidP="00F535F6">
            <w:pPr>
              <w:rPr>
                <w:rFonts w:ascii="Baskerville" w:hAnsi="Baskerville" w:cs="Baskerville"/>
                <w:sz w:val="22"/>
                <w:szCs w:val="22"/>
              </w:rPr>
            </w:pPr>
            <w:r w:rsidRPr="00DF1E2F">
              <w:rPr>
                <w:rFonts w:ascii="Baskerville" w:hAnsi="Baskerville" w:cs="Baskerville"/>
                <w:sz w:val="22"/>
                <w:szCs w:val="22"/>
              </w:rPr>
              <w:t>The Commonwealth estimated the number of individuals who would choose independent living options</w:t>
            </w:r>
            <w:r w:rsidR="003004D0" w:rsidRPr="00DF1E2F">
              <w:rPr>
                <w:rFonts w:ascii="Baskerville" w:hAnsi="Baskerville" w:cs="Baskerville"/>
                <w:sz w:val="22"/>
                <w:szCs w:val="22"/>
              </w:rPr>
              <w:t xml:space="preserve"> through FY15</w:t>
            </w:r>
            <w:r w:rsidRPr="00DF1E2F">
              <w:rPr>
                <w:rFonts w:ascii="Baskerville" w:hAnsi="Baskerville" w:cs="Baskerville"/>
                <w:sz w:val="22"/>
                <w:szCs w:val="22"/>
              </w:rPr>
              <w:t xml:space="preserve">. </w:t>
            </w:r>
            <w:r w:rsidR="00F535F6">
              <w:rPr>
                <w:rFonts w:ascii="Baskerville" w:hAnsi="Baskerville" w:cs="Baskerville"/>
                <w:b/>
                <w:sz w:val="22"/>
                <w:szCs w:val="22"/>
              </w:rPr>
              <w:t xml:space="preserve">It </w:t>
            </w:r>
            <w:r w:rsidR="00857F81">
              <w:rPr>
                <w:rFonts w:ascii="Baskerville" w:hAnsi="Baskerville" w:cs="Baskerville"/>
                <w:sz w:val="22"/>
                <w:szCs w:val="22"/>
              </w:rPr>
              <w:t xml:space="preserve">revised its </w:t>
            </w:r>
            <w:r w:rsidR="00A50FEA" w:rsidRPr="00220C65">
              <w:rPr>
                <w:rFonts w:ascii="Baskerville" w:hAnsi="Baskerville" w:cs="Baskerville"/>
                <w:sz w:val="22"/>
                <w:szCs w:val="22"/>
              </w:rPr>
              <w:t>H</w:t>
            </w:r>
            <w:r w:rsidR="00857F81">
              <w:rPr>
                <w:rFonts w:ascii="Baskerville" w:hAnsi="Baskerville" w:cs="Baskerville"/>
                <w:sz w:val="22"/>
                <w:szCs w:val="22"/>
              </w:rPr>
              <w:t>ousing Plan with</w:t>
            </w:r>
            <w:r w:rsidR="00A50FEA" w:rsidRPr="00220C65">
              <w:rPr>
                <w:rFonts w:ascii="Baskerville" w:hAnsi="Baskerville" w:cs="Baskerville"/>
                <w:sz w:val="22"/>
                <w:szCs w:val="22"/>
              </w:rPr>
              <w:t xml:space="preserve"> new strategies and </w:t>
            </w:r>
            <w:r w:rsidR="00220C65" w:rsidRPr="00220C65">
              <w:rPr>
                <w:rFonts w:ascii="Baskerville" w:hAnsi="Baskerville" w:cs="Baskerville"/>
                <w:sz w:val="22"/>
                <w:szCs w:val="22"/>
              </w:rPr>
              <w:t>recommendations</w:t>
            </w:r>
            <w:r w:rsidR="00857F81">
              <w:rPr>
                <w:rFonts w:ascii="Baskerville" w:hAnsi="Baskerville" w:cs="Baskerville"/>
                <w:sz w:val="22"/>
                <w:szCs w:val="22"/>
              </w:rPr>
              <w:t xml:space="preserve"> to increase access</w:t>
            </w:r>
            <w:r w:rsidR="008616B9">
              <w:rPr>
                <w:rFonts w:ascii="Baskerville" w:hAnsi="Baskerville" w:cs="Baskerville"/>
                <w:sz w:val="22"/>
                <w:szCs w:val="22"/>
              </w:rPr>
              <w:t xml:space="preserve"> and improvements to </w:t>
            </w:r>
            <w:r w:rsidR="00F85BE0">
              <w:rPr>
                <w:rFonts w:ascii="Baskerville" w:hAnsi="Baskerville" w:cs="Baskerville"/>
                <w:sz w:val="22"/>
                <w:szCs w:val="22"/>
              </w:rPr>
              <w:t>Low Income Tax Housing Credit (</w:t>
            </w:r>
            <w:r w:rsidR="008616B9">
              <w:rPr>
                <w:rFonts w:ascii="Baskerville" w:hAnsi="Baskerville" w:cs="Baskerville"/>
                <w:sz w:val="22"/>
                <w:szCs w:val="22"/>
              </w:rPr>
              <w:t>LITHC</w:t>
            </w:r>
            <w:r w:rsidR="00F85BE0">
              <w:rPr>
                <w:rFonts w:ascii="Baskerville" w:hAnsi="Baskerville" w:cs="Baskerville"/>
                <w:sz w:val="22"/>
                <w:szCs w:val="22"/>
              </w:rPr>
              <w:t>)</w:t>
            </w:r>
            <w:r w:rsidR="008616B9">
              <w:rPr>
                <w:rFonts w:ascii="Baskerville" w:hAnsi="Baskerville" w:cs="Baskerville"/>
                <w:sz w:val="22"/>
                <w:szCs w:val="22"/>
              </w:rPr>
              <w:t xml:space="preserve"> and </w:t>
            </w:r>
            <w:r w:rsidR="001F7D1C">
              <w:rPr>
                <w:rFonts w:ascii="Baskerville" w:hAnsi="Baskerville" w:cs="Baskerville"/>
                <w:sz w:val="22"/>
                <w:szCs w:val="22"/>
              </w:rPr>
              <w:t>Rental Choice programs</w:t>
            </w:r>
            <w:r w:rsidR="00F535F6">
              <w:rPr>
                <w:rFonts w:ascii="Baskerville" w:hAnsi="Baskerville" w:cs="Baskerville"/>
                <w:sz w:val="22"/>
                <w:szCs w:val="22"/>
              </w:rPr>
              <w:t>.</w:t>
            </w:r>
          </w:p>
        </w:tc>
      </w:tr>
      <w:tr w:rsidR="0083366F" w:rsidRPr="00DF1E2F" w:rsidTr="0094744A">
        <w:trPr>
          <w:trHeight w:val="1745"/>
        </w:trPr>
        <w:tc>
          <w:tcPr>
            <w:tcW w:w="1530" w:type="dxa"/>
            <w:vAlign w:val="center"/>
          </w:tcPr>
          <w:p w:rsidR="0083366F" w:rsidRPr="008949B8"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8949B8">
              <w:rPr>
                <w:rFonts w:ascii="Baskerville" w:hAnsi="Baskerville" w:cs="Baskerville"/>
                <w:b/>
                <w:sz w:val="22"/>
                <w:szCs w:val="22"/>
                <w:u w:val="single"/>
              </w:rPr>
              <w:t>III.D.4</w:t>
            </w:r>
          </w:p>
        </w:tc>
        <w:tc>
          <w:tcPr>
            <w:tcW w:w="4320" w:type="dxa"/>
          </w:tcPr>
          <w:p w:rsidR="0083366F" w:rsidRPr="00DF1E2F" w:rsidRDefault="0083366F" w:rsidP="00912BBB">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Within 365 days of this Agreement, the Commonwealth shall establish and begin distributing, from a one-time fund of $800,000 to provide and administer rental assistance in accordance with the recommendations described above in Section III.D.3.b.ii.</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w:t>
            </w:r>
            <w:r w:rsidR="00F91D65">
              <w:rPr>
                <w:rFonts w:ascii="Baskerville" w:hAnsi="Baskerville" w:cs="Baskerville"/>
                <w:sz w:val="20"/>
                <w:szCs w:val="20"/>
              </w:rPr>
              <w:t xml:space="preserve">Non </w:t>
            </w:r>
            <w:r w:rsidRPr="0000799C">
              <w:rPr>
                <w:rFonts w:ascii="Baskerville" w:hAnsi="Baskerville" w:cs="Baskerville"/>
                <w:sz w:val="20"/>
                <w:szCs w:val="20"/>
              </w:rPr>
              <w:t>Compliance)</w:t>
            </w:r>
          </w:p>
          <w:p w:rsidR="0083366F" w:rsidRPr="00F91D65" w:rsidRDefault="00F91D65" w:rsidP="006377B8">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 xml:space="preserve"> </w:t>
            </w:r>
          </w:p>
          <w:p w:rsidR="0083366F" w:rsidRPr="00F91D65" w:rsidRDefault="0083366F" w:rsidP="00E853AB">
            <w:pPr>
              <w:tabs>
                <w:tab w:val="left" w:pos="1512"/>
                <w:tab w:val="left" w:pos="4920"/>
                <w:tab w:val="right" w:pos="8640"/>
              </w:tabs>
              <w:ind w:left="-108" w:right="-108"/>
              <w:jc w:val="center"/>
              <w:rPr>
                <w:rFonts w:ascii="Baskerville" w:hAnsi="Baskerville" w:cs="Baskerville"/>
                <w:sz w:val="22"/>
                <w:szCs w:val="22"/>
                <w:u w:val="single"/>
              </w:rPr>
            </w:pPr>
            <w:r w:rsidRPr="00F91D65">
              <w:rPr>
                <w:rFonts w:ascii="Baskerville" w:hAnsi="Baskerville" w:cs="Baskerville"/>
                <w:sz w:val="22"/>
                <w:szCs w:val="22"/>
                <w:u w:val="single"/>
              </w:rPr>
              <w:t>Compliance</w:t>
            </w:r>
          </w:p>
          <w:p w:rsidR="0083366F" w:rsidRPr="00DF1E2F" w:rsidRDefault="0083366F" w:rsidP="006377B8">
            <w:pPr>
              <w:tabs>
                <w:tab w:val="left" w:pos="1440"/>
                <w:tab w:val="left" w:pos="4920"/>
                <w:tab w:val="right" w:pos="8640"/>
              </w:tabs>
              <w:ind w:left="-108" w:right="-108"/>
              <w:jc w:val="center"/>
              <w:rPr>
                <w:rFonts w:ascii="Baskerville" w:hAnsi="Baskerville" w:cs="Baskerville"/>
                <w:b/>
                <w:sz w:val="22"/>
                <w:szCs w:val="22"/>
              </w:rPr>
            </w:pPr>
          </w:p>
          <w:p w:rsidR="00F91D65" w:rsidRPr="00DF1E2F" w:rsidRDefault="00F91D65" w:rsidP="00F91D65">
            <w:pPr>
              <w:tabs>
                <w:tab w:val="left" w:pos="151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6377B8">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Default="0083366F" w:rsidP="005125F3">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Commonwealth has established the one-time fund. Distribution of the funds </w:t>
            </w:r>
            <w:r w:rsidR="00AE204D">
              <w:rPr>
                <w:rFonts w:ascii="Baskerville" w:hAnsi="Baskerville" w:cs="Baskerville"/>
                <w:sz w:val="22"/>
                <w:szCs w:val="22"/>
              </w:rPr>
              <w:t xml:space="preserve">began. </w:t>
            </w:r>
            <w:r w:rsidR="005500F2">
              <w:rPr>
                <w:rFonts w:ascii="Baskerville" w:hAnsi="Baskerville" w:cs="Baskerville"/>
                <w:sz w:val="22"/>
                <w:szCs w:val="22"/>
              </w:rPr>
              <w:t>Nine</w:t>
            </w:r>
            <w:r>
              <w:rPr>
                <w:rFonts w:ascii="Baskerville" w:hAnsi="Baskerville" w:cs="Baskerville"/>
                <w:sz w:val="22"/>
                <w:szCs w:val="22"/>
              </w:rPr>
              <w:t xml:space="preserve"> individual</w:t>
            </w:r>
            <w:r w:rsidR="00C31E2D">
              <w:rPr>
                <w:rFonts w:ascii="Baskerville" w:hAnsi="Baskerville" w:cs="Baskerville"/>
                <w:sz w:val="22"/>
                <w:szCs w:val="22"/>
              </w:rPr>
              <w:t>s are now living in rental units with this</w:t>
            </w:r>
            <w:r w:rsidRPr="00DF1E2F">
              <w:rPr>
                <w:rFonts w:ascii="Baskerville" w:hAnsi="Baskerville" w:cs="Baskerville"/>
                <w:sz w:val="22"/>
                <w:szCs w:val="22"/>
              </w:rPr>
              <w:t xml:space="preserve"> rental assistance.</w:t>
            </w:r>
          </w:p>
          <w:p w:rsidR="009629E0" w:rsidRPr="00DF1E2F" w:rsidRDefault="009629E0" w:rsidP="005125F3">
            <w:pPr>
              <w:tabs>
                <w:tab w:val="left" w:pos="1440"/>
                <w:tab w:val="left" w:pos="4920"/>
                <w:tab w:val="right" w:pos="8640"/>
              </w:tabs>
              <w:ind w:right="72"/>
              <w:rPr>
                <w:rFonts w:ascii="Baskerville" w:hAnsi="Baskerville" w:cs="Baskerville"/>
                <w:sz w:val="22"/>
                <w:szCs w:val="22"/>
              </w:rPr>
            </w:pPr>
          </w:p>
        </w:tc>
      </w:tr>
      <w:tr w:rsidR="0083366F" w:rsidRPr="00DF1E2F" w:rsidTr="0094744A">
        <w:trPr>
          <w:trHeight w:val="2114"/>
        </w:trPr>
        <w:tc>
          <w:tcPr>
            <w:tcW w:w="1530" w:type="dxa"/>
            <w:vAlign w:val="center"/>
          </w:tcPr>
          <w:p w:rsidR="0083366F" w:rsidRPr="0097101F"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97101F">
              <w:rPr>
                <w:rFonts w:ascii="Baskerville" w:hAnsi="Baskerville" w:cs="Baskerville"/>
                <w:b/>
                <w:sz w:val="22"/>
                <w:szCs w:val="22"/>
                <w:u w:val="single"/>
              </w:rPr>
              <w:t>III.D.5</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Individuals in the target population shall not be served in a sponsored home or any congregate setting, unless such placement is consistent with the individual’s choice after receiving options for community placements, services, and supports consistent with the terms of Section IV.B.9 below.</w:t>
            </w:r>
          </w:p>
        </w:tc>
        <w:tc>
          <w:tcPr>
            <w:tcW w:w="1440" w:type="dxa"/>
          </w:tcPr>
          <w:p w:rsidR="00490623" w:rsidRDefault="00245B0C" w:rsidP="00D118C7">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3B3A77">
              <w:rPr>
                <w:rFonts w:ascii="Baskerville" w:hAnsi="Baskerville" w:cs="Baskerville"/>
                <w:sz w:val="20"/>
                <w:szCs w:val="20"/>
              </w:rPr>
              <w:t xml:space="preserve"> </w:t>
            </w:r>
            <w:r w:rsidRPr="00B859E2">
              <w:rPr>
                <w:rFonts w:ascii="Baskerville" w:hAnsi="Baskerville" w:cs="Baskerville"/>
                <w:sz w:val="20"/>
                <w:szCs w:val="20"/>
              </w:rPr>
              <w:t>Compliance)</w:t>
            </w:r>
          </w:p>
          <w:p w:rsidR="003B3A77" w:rsidRPr="003B3A77" w:rsidRDefault="003B3A77" w:rsidP="00D118C7">
            <w:pPr>
              <w:tabs>
                <w:tab w:val="left" w:pos="1440"/>
                <w:tab w:val="left" w:pos="4920"/>
                <w:tab w:val="right" w:pos="8640"/>
              </w:tabs>
              <w:ind w:left="-108" w:right="-108"/>
              <w:jc w:val="center"/>
              <w:rPr>
                <w:rFonts w:ascii="Baskerville" w:hAnsi="Baskerville" w:cs="Baskerville"/>
                <w:sz w:val="20"/>
                <w:szCs w:val="20"/>
              </w:rPr>
            </w:pPr>
          </w:p>
          <w:p w:rsidR="0083366F" w:rsidRPr="003B3A77" w:rsidRDefault="0083366F" w:rsidP="00DD7585">
            <w:pPr>
              <w:tabs>
                <w:tab w:val="left" w:pos="1440"/>
                <w:tab w:val="left" w:pos="4920"/>
                <w:tab w:val="right" w:pos="8640"/>
              </w:tabs>
              <w:ind w:left="-108" w:right="-108"/>
              <w:jc w:val="center"/>
              <w:rPr>
                <w:rFonts w:ascii="Baskerville" w:hAnsi="Baskerville" w:cs="Baskerville"/>
                <w:sz w:val="22"/>
                <w:szCs w:val="22"/>
                <w:u w:val="single"/>
              </w:rPr>
            </w:pPr>
            <w:r w:rsidRPr="003B3A77">
              <w:rPr>
                <w:rFonts w:ascii="Baskerville" w:hAnsi="Baskerville" w:cs="Baskerville"/>
                <w:sz w:val="22"/>
                <w:szCs w:val="22"/>
                <w:u w:val="single"/>
              </w:rPr>
              <w:t>Non Compliance</w:t>
            </w:r>
          </w:p>
          <w:p w:rsidR="0083366F" w:rsidRPr="00DF1E2F" w:rsidRDefault="0083366F" w:rsidP="00DD758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DD758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DD7585">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DD7585">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 xml:space="preserve"> </w:t>
            </w:r>
          </w:p>
        </w:tc>
        <w:tc>
          <w:tcPr>
            <w:tcW w:w="2880" w:type="dxa"/>
          </w:tcPr>
          <w:p w:rsidR="0083366F" w:rsidRPr="0097101F" w:rsidRDefault="00F70231" w:rsidP="001D0058">
            <w:pPr>
              <w:tabs>
                <w:tab w:val="left" w:pos="1440"/>
                <w:tab w:val="left" w:pos="4920"/>
                <w:tab w:val="right" w:pos="8640"/>
              </w:tabs>
              <w:ind w:right="-18"/>
              <w:rPr>
                <w:rFonts w:ascii="Baskerville" w:hAnsi="Baskerville" w:cs="Baskerville"/>
                <w:b/>
                <w:sz w:val="22"/>
                <w:szCs w:val="22"/>
              </w:rPr>
            </w:pPr>
            <w:r>
              <w:rPr>
                <w:rFonts w:ascii="Baskerville" w:hAnsi="Baskerville" w:cs="Baskerville"/>
                <w:sz w:val="22"/>
                <w:szCs w:val="22"/>
              </w:rPr>
              <w:t>The</w:t>
            </w:r>
            <w:r w:rsidR="0083366F" w:rsidRPr="0097101F">
              <w:rPr>
                <w:rFonts w:ascii="Baskerville" w:hAnsi="Baskerville" w:cs="Baskerville"/>
                <w:sz w:val="22"/>
                <w:szCs w:val="22"/>
              </w:rPr>
              <w:t xml:space="preserve"> </w:t>
            </w:r>
            <w:r w:rsidR="00872160">
              <w:rPr>
                <w:rFonts w:ascii="Baskerville" w:hAnsi="Baskerville" w:cs="Baskerville"/>
                <w:sz w:val="22"/>
                <w:szCs w:val="22"/>
              </w:rPr>
              <w:t xml:space="preserve">IR found </w:t>
            </w:r>
            <w:r>
              <w:rPr>
                <w:rFonts w:ascii="Baskerville" w:hAnsi="Baskerville" w:cs="Baskerville"/>
                <w:sz w:val="22"/>
                <w:szCs w:val="22"/>
              </w:rPr>
              <w:t xml:space="preserve">during the fourth and fifth period </w:t>
            </w:r>
            <w:r w:rsidR="000D5980">
              <w:rPr>
                <w:rFonts w:ascii="Baskerville" w:hAnsi="Baskerville" w:cs="Baskerville"/>
                <w:sz w:val="22"/>
                <w:szCs w:val="22"/>
              </w:rPr>
              <w:t xml:space="preserve">10 (35.7%) of 28 individuals and their ARs did not have an opportunity to speak with individuals </w:t>
            </w:r>
            <w:r w:rsidR="001D0058">
              <w:rPr>
                <w:rFonts w:ascii="Baskerville" w:hAnsi="Baskerville" w:cs="Baskerville"/>
                <w:sz w:val="22"/>
                <w:szCs w:val="22"/>
              </w:rPr>
              <w:t xml:space="preserve">currently living in their communities and their families. </w:t>
            </w:r>
            <w:r w:rsidR="00EB4A5A" w:rsidRPr="0097101F">
              <w:rPr>
                <w:rFonts w:ascii="Baskerville" w:hAnsi="Baskerville" w:cs="Baskerville"/>
                <w:sz w:val="22"/>
                <w:szCs w:val="22"/>
              </w:rPr>
              <w:t xml:space="preserve"> </w:t>
            </w:r>
          </w:p>
        </w:tc>
      </w:tr>
      <w:tr w:rsidR="0083366F" w:rsidRPr="00DF1E2F" w:rsidTr="0094744A">
        <w:trPr>
          <w:trHeight w:val="2915"/>
        </w:trPr>
        <w:tc>
          <w:tcPr>
            <w:tcW w:w="1530" w:type="dxa"/>
            <w:vAlign w:val="center"/>
          </w:tcPr>
          <w:p w:rsidR="0083366F" w:rsidRPr="00307795" w:rsidRDefault="0083366F" w:rsidP="00DA5D00">
            <w:pPr>
              <w:tabs>
                <w:tab w:val="left" w:pos="1242"/>
                <w:tab w:val="left" w:pos="1440"/>
                <w:tab w:val="left" w:pos="4920"/>
                <w:tab w:val="right" w:pos="8640"/>
              </w:tabs>
              <w:ind w:left="-108" w:right="-108"/>
              <w:jc w:val="center"/>
              <w:rPr>
                <w:rFonts w:ascii="Baskerville" w:hAnsi="Baskerville" w:cs="Baskerville"/>
                <w:b/>
                <w:sz w:val="22"/>
                <w:szCs w:val="22"/>
                <w:u w:val="single"/>
              </w:rPr>
            </w:pPr>
            <w:r w:rsidRPr="00307795">
              <w:rPr>
                <w:rFonts w:ascii="Baskerville" w:hAnsi="Baskerville" w:cs="Baskerville"/>
                <w:b/>
                <w:sz w:val="22"/>
                <w:szCs w:val="22"/>
                <w:u w:val="single"/>
              </w:rPr>
              <w:t>III.D.6</w:t>
            </w:r>
          </w:p>
        </w:tc>
        <w:tc>
          <w:tcPr>
            <w:tcW w:w="4320" w:type="dxa"/>
          </w:tcPr>
          <w:p w:rsidR="0083366F" w:rsidRPr="00DF1E2F" w:rsidRDefault="0083366F" w:rsidP="00D2220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No individual in the target population shall be placed in a nursing facility or congregate setting with five or more individuals unless such placement is consistent with the individual’s needs and informed choice and has been reviewed by the Region’s Community Resource Consultant </w:t>
            </w:r>
            <w:r w:rsidR="00D826B4">
              <w:rPr>
                <w:rFonts w:ascii="Baskerville" w:hAnsi="Baskerville" w:cs="Baskerville"/>
                <w:sz w:val="22"/>
                <w:szCs w:val="22"/>
              </w:rPr>
              <w:t xml:space="preserve">(CRC) </w:t>
            </w:r>
            <w:r w:rsidRPr="00DF1E2F">
              <w:rPr>
                <w:rFonts w:ascii="Baskerville" w:hAnsi="Baskerville" w:cs="Baskerville"/>
                <w:sz w:val="22"/>
                <w:szCs w:val="22"/>
              </w:rPr>
              <w:t>and, under circumstances descr</w:t>
            </w:r>
            <w:r>
              <w:rPr>
                <w:rFonts w:ascii="Baskerville" w:hAnsi="Baskerville" w:cs="Baskerville"/>
                <w:sz w:val="22"/>
                <w:szCs w:val="22"/>
              </w:rPr>
              <w:t xml:space="preserve">ibed in Section III.E below, </w:t>
            </w:r>
            <w:r w:rsidRPr="00DF1E2F">
              <w:rPr>
                <w:rFonts w:ascii="Baskerville" w:hAnsi="Baskerville" w:cs="Baskerville"/>
                <w:sz w:val="22"/>
                <w:szCs w:val="22"/>
              </w:rPr>
              <w:t>the Regional Support Team</w:t>
            </w:r>
            <w:r w:rsidR="00B72967">
              <w:rPr>
                <w:rFonts w:ascii="Baskerville" w:hAnsi="Baskerville" w:cs="Baskerville"/>
                <w:sz w:val="22"/>
                <w:szCs w:val="22"/>
              </w:rPr>
              <w:t xml:space="preserve"> (RST)</w:t>
            </w:r>
            <w:r w:rsidRPr="00DF1E2F">
              <w:rPr>
                <w:rFonts w:ascii="Baskerville" w:hAnsi="Baskerville" w:cs="Baskerville"/>
                <w:sz w:val="22"/>
                <w:szCs w:val="22"/>
              </w:rPr>
              <w:t>.</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B63655" w:rsidRPr="00DF1E2F" w:rsidRDefault="00B63655" w:rsidP="004A2208">
            <w:pPr>
              <w:tabs>
                <w:tab w:val="left" w:pos="916"/>
                <w:tab w:val="left" w:pos="4920"/>
                <w:tab w:val="right" w:pos="8640"/>
              </w:tabs>
              <w:ind w:left="-74" w:right="-142"/>
              <w:jc w:val="center"/>
              <w:rPr>
                <w:rFonts w:ascii="Baskerville" w:hAnsi="Baskerville" w:cs="Baskerville"/>
                <w:b/>
                <w:sz w:val="22"/>
                <w:szCs w:val="22"/>
              </w:rPr>
            </w:pPr>
          </w:p>
          <w:p w:rsidR="0083366F" w:rsidRPr="003B3A77" w:rsidRDefault="0083366F" w:rsidP="00E853AB">
            <w:pPr>
              <w:tabs>
                <w:tab w:val="left" w:pos="1404"/>
                <w:tab w:val="left" w:pos="1440"/>
                <w:tab w:val="left" w:pos="4920"/>
                <w:tab w:val="right" w:pos="8640"/>
              </w:tabs>
              <w:ind w:left="-108" w:right="-108"/>
              <w:jc w:val="center"/>
              <w:rPr>
                <w:rFonts w:ascii="Baskerville" w:hAnsi="Baskerville" w:cs="Baskerville"/>
                <w:sz w:val="22"/>
                <w:szCs w:val="22"/>
                <w:u w:val="single"/>
              </w:rPr>
            </w:pPr>
            <w:r w:rsidRPr="003B3A77">
              <w:rPr>
                <w:rFonts w:ascii="Baskerville" w:hAnsi="Baskerville" w:cs="Baskerville"/>
                <w:sz w:val="22"/>
                <w:szCs w:val="22"/>
                <w:u w:val="single"/>
              </w:rPr>
              <w:t>Compliance</w:t>
            </w:r>
          </w:p>
          <w:p w:rsidR="0083366F" w:rsidRPr="00DF1E2F" w:rsidRDefault="0083366F" w:rsidP="004A2208">
            <w:pPr>
              <w:tabs>
                <w:tab w:val="left" w:pos="916"/>
                <w:tab w:val="left" w:pos="4920"/>
                <w:tab w:val="right" w:pos="8640"/>
              </w:tabs>
              <w:ind w:left="-74" w:right="-142"/>
              <w:jc w:val="center"/>
              <w:rPr>
                <w:rFonts w:ascii="Baskerville" w:hAnsi="Baskerville" w:cs="Baskerville"/>
                <w:b/>
                <w:sz w:val="22"/>
                <w:szCs w:val="22"/>
              </w:rPr>
            </w:pPr>
          </w:p>
          <w:p w:rsidR="0083366F" w:rsidRPr="00DF1E2F" w:rsidRDefault="0083366F" w:rsidP="004A2208">
            <w:pPr>
              <w:tabs>
                <w:tab w:val="left" w:pos="916"/>
                <w:tab w:val="left" w:pos="4920"/>
                <w:tab w:val="right" w:pos="8640"/>
              </w:tabs>
              <w:ind w:left="-74" w:right="-142"/>
              <w:jc w:val="center"/>
              <w:rPr>
                <w:rFonts w:ascii="Baskerville" w:hAnsi="Baskerville" w:cs="Baskerville"/>
                <w:b/>
                <w:sz w:val="22"/>
                <w:szCs w:val="22"/>
              </w:rPr>
            </w:pPr>
          </w:p>
          <w:p w:rsidR="003B3A77" w:rsidRPr="00DF1E2F" w:rsidRDefault="003B3A77" w:rsidP="003B3A77">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4A2208">
            <w:pPr>
              <w:tabs>
                <w:tab w:val="left" w:pos="916"/>
                <w:tab w:val="left" w:pos="4920"/>
                <w:tab w:val="right" w:pos="8640"/>
              </w:tabs>
              <w:ind w:left="-74" w:right="-142"/>
              <w:jc w:val="center"/>
              <w:rPr>
                <w:rFonts w:ascii="Baskerville" w:hAnsi="Baskerville" w:cs="Baskerville"/>
                <w:b/>
                <w:sz w:val="22"/>
                <w:szCs w:val="22"/>
              </w:rPr>
            </w:pPr>
          </w:p>
        </w:tc>
        <w:tc>
          <w:tcPr>
            <w:tcW w:w="2880" w:type="dxa"/>
          </w:tcPr>
          <w:p w:rsidR="00EA0845" w:rsidRPr="0097101F" w:rsidRDefault="0083366F" w:rsidP="00F85BE0">
            <w:pPr>
              <w:tabs>
                <w:tab w:val="left" w:pos="1440"/>
                <w:tab w:val="left" w:pos="4920"/>
                <w:tab w:val="right" w:pos="8640"/>
              </w:tabs>
              <w:rPr>
                <w:rFonts w:ascii="Baskerville" w:hAnsi="Baskerville" w:cs="Baskerville"/>
                <w:sz w:val="22"/>
                <w:szCs w:val="22"/>
              </w:rPr>
            </w:pPr>
            <w:r w:rsidRPr="0097101F">
              <w:rPr>
                <w:rFonts w:ascii="Baskerville" w:hAnsi="Baskerville" w:cs="Baskerville"/>
                <w:sz w:val="22"/>
                <w:szCs w:val="22"/>
              </w:rPr>
              <w:t>The individuals reviewed</w:t>
            </w:r>
            <w:r w:rsidR="00A37FBD">
              <w:rPr>
                <w:rFonts w:ascii="Baskerville" w:hAnsi="Baskerville" w:cs="Baskerville"/>
                <w:sz w:val="22"/>
                <w:szCs w:val="22"/>
              </w:rPr>
              <w:t xml:space="preserve"> during the fourth and fifth review periods</w:t>
            </w:r>
            <w:r w:rsidRPr="0097101F">
              <w:rPr>
                <w:rFonts w:ascii="Baskerville" w:hAnsi="Baskerville" w:cs="Baskerville"/>
                <w:sz w:val="22"/>
                <w:szCs w:val="22"/>
              </w:rPr>
              <w:t xml:space="preserve"> moved to congregate settings that were consistent with the individuals’ needs and informed choice. For many individuals who chose larger congregate settings, </w:t>
            </w:r>
            <w:r w:rsidR="00B72967">
              <w:rPr>
                <w:rFonts w:ascii="Baskerville" w:hAnsi="Baskerville" w:cs="Baskerville"/>
                <w:sz w:val="22"/>
                <w:szCs w:val="22"/>
              </w:rPr>
              <w:t>the CRC and RST</w:t>
            </w:r>
            <w:r w:rsidRPr="0097101F">
              <w:rPr>
                <w:rFonts w:ascii="Baskerville" w:hAnsi="Baskerville" w:cs="Baskerville"/>
                <w:sz w:val="22"/>
                <w:szCs w:val="22"/>
              </w:rPr>
              <w:t xml:space="preserve"> identified </w:t>
            </w:r>
            <w:r w:rsidR="00D826B4">
              <w:rPr>
                <w:rFonts w:ascii="Baskerville" w:hAnsi="Baskerville" w:cs="Baskerville"/>
                <w:sz w:val="22"/>
                <w:szCs w:val="22"/>
              </w:rPr>
              <w:t>barrier</w:t>
            </w:r>
            <w:r w:rsidR="00B72967">
              <w:rPr>
                <w:rFonts w:ascii="Baskerville" w:hAnsi="Baskerville" w:cs="Baskerville"/>
                <w:sz w:val="22"/>
                <w:szCs w:val="22"/>
              </w:rPr>
              <w:t xml:space="preserve">s </w:t>
            </w:r>
            <w:r w:rsidRPr="0097101F">
              <w:rPr>
                <w:rFonts w:ascii="Baskerville" w:hAnsi="Baskerville" w:cs="Baskerville"/>
                <w:sz w:val="22"/>
                <w:szCs w:val="22"/>
              </w:rPr>
              <w:t>to less integrated settings.</w:t>
            </w:r>
          </w:p>
        </w:tc>
      </w:tr>
      <w:tr w:rsidR="0083366F" w:rsidRPr="00DF1E2F" w:rsidTr="0094744A">
        <w:trPr>
          <w:trHeight w:val="4166"/>
        </w:trPr>
        <w:tc>
          <w:tcPr>
            <w:tcW w:w="1530" w:type="dxa"/>
            <w:vAlign w:val="center"/>
          </w:tcPr>
          <w:p w:rsidR="0083366F" w:rsidRPr="00E734CE" w:rsidRDefault="0083366F" w:rsidP="00DA5D00">
            <w:pPr>
              <w:tabs>
                <w:tab w:val="left" w:pos="1440"/>
                <w:tab w:val="left" w:pos="4920"/>
                <w:tab w:val="right" w:pos="8640"/>
              </w:tabs>
              <w:ind w:left="-108" w:right="-108"/>
              <w:jc w:val="center"/>
              <w:rPr>
                <w:rFonts w:ascii="Baskerville" w:hAnsi="Baskerville" w:cs="Baskerville"/>
                <w:b/>
                <w:sz w:val="22"/>
                <w:szCs w:val="22"/>
                <w:u w:val="single"/>
              </w:rPr>
            </w:pPr>
            <w:r w:rsidRPr="00E734CE">
              <w:rPr>
                <w:rFonts w:ascii="Baskerville" w:hAnsi="Baskerville" w:cs="Baskerville"/>
                <w:b/>
                <w:sz w:val="22"/>
                <w:szCs w:val="22"/>
                <w:u w:val="single"/>
              </w:rPr>
              <w:t>III.D.7</w:t>
            </w:r>
          </w:p>
        </w:tc>
        <w:tc>
          <w:tcPr>
            <w:tcW w:w="4320" w:type="dxa"/>
          </w:tcPr>
          <w:p w:rsidR="0083366F" w:rsidRPr="00DF1E2F" w:rsidRDefault="0083366F" w:rsidP="001D3CCD">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Commonwealth shall include a term in the annual performance contract with the CSBs to require case managers to continue to offer education about less restrictive community options on at least an annual basis to any individuals living outside their own home or family’s home </w:t>
            </w:r>
            <w:r>
              <w:rPr>
                <w:rFonts w:ascii="Baskerville" w:hAnsi="Baskerville" w:cs="Baskerville"/>
                <w:sz w:val="22"/>
                <w:szCs w:val="22"/>
              </w:rPr>
              <w:t>…</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4614A7" w:rsidRDefault="004614A7" w:rsidP="001D3CCD">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285A74" w:rsidRDefault="0083366F" w:rsidP="001D3CCD">
            <w:pPr>
              <w:tabs>
                <w:tab w:val="left" w:pos="1404"/>
                <w:tab w:val="left" w:pos="1440"/>
                <w:tab w:val="left" w:pos="4920"/>
                <w:tab w:val="right" w:pos="8640"/>
              </w:tabs>
              <w:ind w:left="-108" w:right="-108"/>
              <w:jc w:val="center"/>
              <w:rPr>
                <w:rFonts w:ascii="Baskerville" w:hAnsi="Baskerville" w:cs="Baskerville"/>
                <w:sz w:val="22"/>
                <w:szCs w:val="22"/>
                <w:u w:val="single"/>
              </w:rPr>
            </w:pPr>
            <w:r w:rsidRPr="00285A74">
              <w:rPr>
                <w:rFonts w:ascii="Baskerville" w:hAnsi="Baskerville" w:cs="Baskerville"/>
                <w:sz w:val="22"/>
                <w:szCs w:val="22"/>
                <w:u w:val="single"/>
              </w:rPr>
              <w:t>Compliance</w:t>
            </w:r>
          </w:p>
          <w:p w:rsidR="0083366F" w:rsidRPr="00DF1E2F" w:rsidRDefault="0083366F" w:rsidP="00FC0939">
            <w:pPr>
              <w:tabs>
                <w:tab w:val="left" w:pos="1440"/>
                <w:tab w:val="left" w:pos="4920"/>
                <w:tab w:val="right" w:pos="8640"/>
              </w:tabs>
              <w:ind w:left="-108" w:right="-108"/>
              <w:jc w:val="center"/>
              <w:rPr>
                <w:rFonts w:ascii="Baskerville" w:hAnsi="Baskerville" w:cs="Baskerville"/>
                <w:b/>
                <w:sz w:val="22"/>
                <w:szCs w:val="22"/>
              </w:rPr>
            </w:pPr>
          </w:p>
          <w:p w:rsidR="0083366F" w:rsidRDefault="0083366F" w:rsidP="00FC0939">
            <w:pPr>
              <w:tabs>
                <w:tab w:val="left" w:pos="1440"/>
                <w:tab w:val="left" w:pos="4920"/>
                <w:tab w:val="right" w:pos="8640"/>
              </w:tabs>
              <w:ind w:left="-108" w:right="-108"/>
              <w:jc w:val="center"/>
              <w:rPr>
                <w:rFonts w:ascii="Baskerville" w:hAnsi="Baskerville" w:cs="Baskerville"/>
                <w:b/>
                <w:sz w:val="22"/>
                <w:szCs w:val="22"/>
              </w:rPr>
            </w:pPr>
          </w:p>
          <w:p w:rsidR="00890490" w:rsidRDefault="00890490" w:rsidP="00FC0939">
            <w:pPr>
              <w:tabs>
                <w:tab w:val="left" w:pos="1440"/>
                <w:tab w:val="left" w:pos="4920"/>
                <w:tab w:val="right" w:pos="8640"/>
              </w:tabs>
              <w:ind w:left="-108" w:right="-108"/>
              <w:jc w:val="center"/>
              <w:rPr>
                <w:rFonts w:ascii="Baskerville" w:hAnsi="Baskerville" w:cs="Baskerville"/>
                <w:b/>
                <w:sz w:val="22"/>
                <w:szCs w:val="22"/>
              </w:rPr>
            </w:pPr>
          </w:p>
          <w:p w:rsidR="00890490" w:rsidRDefault="00890490" w:rsidP="00FC0939">
            <w:pPr>
              <w:tabs>
                <w:tab w:val="left" w:pos="1440"/>
                <w:tab w:val="left" w:pos="4920"/>
                <w:tab w:val="right" w:pos="8640"/>
              </w:tabs>
              <w:ind w:left="-108" w:right="-108"/>
              <w:jc w:val="center"/>
              <w:rPr>
                <w:rFonts w:ascii="Baskerville" w:hAnsi="Baskerville" w:cs="Baskerville"/>
                <w:b/>
                <w:sz w:val="22"/>
                <w:szCs w:val="22"/>
              </w:rPr>
            </w:pPr>
          </w:p>
          <w:p w:rsidR="00890490" w:rsidRDefault="00890490" w:rsidP="00FC0939">
            <w:pPr>
              <w:tabs>
                <w:tab w:val="left" w:pos="1440"/>
                <w:tab w:val="left" w:pos="4920"/>
                <w:tab w:val="right" w:pos="8640"/>
              </w:tabs>
              <w:ind w:left="-108" w:right="-108"/>
              <w:jc w:val="center"/>
              <w:rPr>
                <w:rFonts w:ascii="Baskerville" w:hAnsi="Baskerville" w:cs="Baskerville"/>
                <w:b/>
                <w:sz w:val="22"/>
                <w:szCs w:val="22"/>
              </w:rPr>
            </w:pPr>
          </w:p>
          <w:p w:rsidR="00C142E8" w:rsidRDefault="00C142E8" w:rsidP="00FC0939">
            <w:pPr>
              <w:tabs>
                <w:tab w:val="left" w:pos="1440"/>
                <w:tab w:val="left" w:pos="4920"/>
                <w:tab w:val="right" w:pos="8640"/>
              </w:tabs>
              <w:ind w:left="-108" w:right="-108"/>
              <w:jc w:val="center"/>
              <w:rPr>
                <w:rFonts w:ascii="Baskerville" w:hAnsi="Baskerville" w:cs="Baskerville"/>
                <w:b/>
                <w:sz w:val="22"/>
                <w:szCs w:val="22"/>
              </w:rPr>
            </w:pPr>
          </w:p>
          <w:p w:rsidR="00890490" w:rsidRPr="00DF1E2F" w:rsidRDefault="00890490" w:rsidP="00890490">
            <w:pPr>
              <w:tabs>
                <w:tab w:val="left" w:pos="1404"/>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90490" w:rsidRPr="00DF1E2F" w:rsidRDefault="00890490" w:rsidP="00FC0939">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675FF9" w:rsidRDefault="00AB5D7B" w:rsidP="004614A7">
            <w:pPr>
              <w:tabs>
                <w:tab w:val="left" w:pos="1440"/>
                <w:tab w:val="left" w:pos="2446"/>
                <w:tab w:val="left" w:pos="4920"/>
                <w:tab w:val="right" w:pos="8640"/>
              </w:tabs>
              <w:rPr>
                <w:rFonts w:ascii="Baskerville" w:hAnsi="Baskerville" w:cs="Baskerville"/>
                <w:sz w:val="22"/>
                <w:szCs w:val="22"/>
              </w:rPr>
            </w:pPr>
            <w:r>
              <w:rPr>
                <w:rFonts w:ascii="Baskerville" w:hAnsi="Baskerville" w:cs="Baskerville"/>
                <w:sz w:val="22"/>
                <w:szCs w:val="22"/>
              </w:rPr>
              <w:t>The Commonwealth</w:t>
            </w:r>
            <w:r w:rsidR="00352F7B">
              <w:rPr>
                <w:rFonts w:ascii="Baskerville" w:hAnsi="Baskerville" w:cs="Baskerville"/>
                <w:sz w:val="22"/>
                <w:szCs w:val="22"/>
              </w:rPr>
              <w:t>:</w:t>
            </w:r>
            <w:r>
              <w:rPr>
                <w:rFonts w:ascii="Baskerville" w:hAnsi="Baskerville" w:cs="Baskerville"/>
                <w:sz w:val="22"/>
                <w:szCs w:val="22"/>
              </w:rPr>
              <w:t xml:space="preserve"> </w:t>
            </w:r>
          </w:p>
          <w:p w:rsidR="0083366F" w:rsidRPr="004614A7" w:rsidRDefault="00675FF9" w:rsidP="004614A7">
            <w:pPr>
              <w:tabs>
                <w:tab w:val="left" w:pos="1440"/>
                <w:tab w:val="left" w:pos="2446"/>
                <w:tab w:val="left" w:pos="4920"/>
                <w:tab w:val="right" w:pos="8640"/>
              </w:tabs>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 </w:t>
            </w:r>
            <w:r w:rsidR="00AB5D7B">
              <w:rPr>
                <w:rFonts w:ascii="Baskerville" w:hAnsi="Baskerville" w:cs="Baskerville"/>
                <w:sz w:val="22"/>
                <w:szCs w:val="22"/>
              </w:rPr>
              <w:t>included this</w:t>
            </w:r>
            <w:r w:rsidR="0083366F" w:rsidRPr="004614A7">
              <w:rPr>
                <w:rFonts w:ascii="Baskerville" w:hAnsi="Baskerville" w:cs="Baskerville"/>
                <w:sz w:val="22"/>
                <w:szCs w:val="22"/>
              </w:rPr>
              <w:t xml:space="preserve"> term </w:t>
            </w:r>
            <w:r w:rsidR="00AB5D7B">
              <w:rPr>
                <w:rFonts w:ascii="Baskerville" w:hAnsi="Baskerville" w:cs="Baskerville"/>
                <w:sz w:val="22"/>
                <w:szCs w:val="22"/>
              </w:rPr>
              <w:t>the</w:t>
            </w:r>
          </w:p>
          <w:p w:rsidR="00675FF9" w:rsidRDefault="0083366F" w:rsidP="004614A7">
            <w:pPr>
              <w:rPr>
                <w:rFonts w:ascii="Baskerville" w:hAnsi="Baskerville" w:cs="Baskerville"/>
                <w:sz w:val="22"/>
                <w:szCs w:val="22"/>
              </w:rPr>
            </w:pPr>
            <w:r w:rsidRPr="004614A7">
              <w:rPr>
                <w:rFonts w:ascii="Baskerville" w:hAnsi="Baskerville" w:cs="Baskerville"/>
                <w:sz w:val="22"/>
                <w:szCs w:val="22"/>
              </w:rPr>
              <w:t>“FY 2015 Communit</w:t>
            </w:r>
            <w:r w:rsidR="00675FF9">
              <w:rPr>
                <w:rFonts w:ascii="Baskerville" w:hAnsi="Baskerville" w:cs="Baskerville"/>
                <w:sz w:val="22"/>
                <w:szCs w:val="22"/>
              </w:rPr>
              <w:t>y Services Performance Contract</w:t>
            </w:r>
            <w:r w:rsidR="00027241">
              <w:rPr>
                <w:rFonts w:ascii="Baskerville" w:hAnsi="Baskerville" w:cs="Baskerville"/>
                <w:sz w:val="22"/>
                <w:szCs w:val="22"/>
              </w:rPr>
              <w:t>,</w:t>
            </w:r>
            <w:r w:rsidRPr="004614A7">
              <w:rPr>
                <w:rFonts w:ascii="Baskerville" w:hAnsi="Baskerville" w:cs="Baskerville"/>
                <w:sz w:val="22"/>
                <w:szCs w:val="22"/>
              </w:rPr>
              <w:t>”</w:t>
            </w:r>
          </w:p>
          <w:p w:rsidR="00675FF9" w:rsidRDefault="00675FF9" w:rsidP="004614A7">
            <w:pPr>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 </w:t>
            </w:r>
            <w:r w:rsidR="00D8378B">
              <w:rPr>
                <w:rFonts w:ascii="Baskerville" w:hAnsi="Baskerville" w:cs="Baskerville"/>
                <w:sz w:val="22"/>
                <w:szCs w:val="22"/>
              </w:rPr>
              <w:t xml:space="preserve">developed and </w:t>
            </w:r>
            <w:r w:rsidR="00463AE1">
              <w:rPr>
                <w:rFonts w:ascii="Baskerville" w:hAnsi="Baskerville" w:cs="Baskerville"/>
                <w:sz w:val="22"/>
                <w:szCs w:val="22"/>
              </w:rPr>
              <w:t>provided training to</w:t>
            </w:r>
            <w:r w:rsidR="00E8574C">
              <w:rPr>
                <w:rFonts w:ascii="Baskerville" w:hAnsi="Baskerville" w:cs="Baskerville"/>
                <w:sz w:val="22"/>
                <w:szCs w:val="22"/>
              </w:rPr>
              <w:t xml:space="preserve"> </w:t>
            </w:r>
            <w:r w:rsidR="00352F7B">
              <w:rPr>
                <w:rFonts w:ascii="Baskerville" w:hAnsi="Baskerville" w:cs="Baskerville"/>
                <w:sz w:val="22"/>
                <w:szCs w:val="22"/>
              </w:rPr>
              <w:t>case managers</w:t>
            </w:r>
          </w:p>
          <w:p w:rsidR="006E280C" w:rsidRDefault="00675FF9" w:rsidP="004614A7">
            <w:pPr>
              <w:rPr>
                <w:rFonts w:ascii="Baskerville" w:hAnsi="Baskerville" w:cs="Baskerville"/>
                <w:sz w:val="22"/>
                <w:szCs w:val="22"/>
              </w:rPr>
            </w:pPr>
            <w:r w:rsidRPr="001D5973">
              <w:rPr>
                <w:rFonts w:ascii="Baskerville" w:hAnsi="Baskerville" w:cs="Baskerville"/>
                <w:sz w:val="22"/>
                <w:szCs w:val="22"/>
              </w:rPr>
              <w:t></w:t>
            </w:r>
            <w:r>
              <w:rPr>
                <w:rFonts w:ascii="Baskerville" w:hAnsi="Baskerville" w:cs="Baskerville"/>
                <w:sz w:val="22"/>
                <w:szCs w:val="22"/>
              </w:rPr>
              <w:t xml:space="preserve"> </w:t>
            </w:r>
            <w:r w:rsidR="00E8574C">
              <w:rPr>
                <w:rFonts w:ascii="Baskerville" w:hAnsi="Baskerville" w:cs="Baskerville"/>
                <w:sz w:val="22"/>
                <w:szCs w:val="22"/>
              </w:rPr>
              <w:t xml:space="preserve">implemented </w:t>
            </w:r>
            <w:r w:rsidR="001F4ECD" w:rsidRPr="004614A7">
              <w:rPr>
                <w:rFonts w:ascii="Baskerville" w:hAnsi="Baskerville" w:cs="Baskerville"/>
                <w:sz w:val="22"/>
                <w:szCs w:val="22"/>
              </w:rPr>
              <w:t xml:space="preserve">a </w:t>
            </w:r>
            <w:r w:rsidR="00463AE1">
              <w:rPr>
                <w:rFonts w:ascii="Baskerville" w:hAnsi="Baskerville" w:cs="Baskerville"/>
                <w:sz w:val="22"/>
                <w:szCs w:val="22"/>
              </w:rPr>
              <w:t>revised ISP form that</w:t>
            </w:r>
            <w:r w:rsidR="00AB5D7B">
              <w:rPr>
                <w:rFonts w:ascii="Baskerville" w:hAnsi="Baskerville" w:cs="Baskerville"/>
                <w:sz w:val="22"/>
                <w:szCs w:val="22"/>
              </w:rPr>
              <w:t xml:space="preserve"> confirm</w:t>
            </w:r>
            <w:r w:rsidR="00463AE1">
              <w:rPr>
                <w:rFonts w:ascii="Baskerville" w:hAnsi="Baskerville" w:cs="Baskerville"/>
                <w:sz w:val="22"/>
                <w:szCs w:val="22"/>
              </w:rPr>
              <w:t>s</w:t>
            </w:r>
            <w:r w:rsidR="001F4ECD" w:rsidRPr="004614A7">
              <w:rPr>
                <w:rFonts w:ascii="Baskerville" w:hAnsi="Baskerville" w:cs="Baskerville"/>
                <w:sz w:val="22"/>
                <w:szCs w:val="22"/>
              </w:rPr>
              <w:t xml:space="preserve"> education about less restrictive </w:t>
            </w:r>
            <w:r w:rsidR="006E280C">
              <w:rPr>
                <w:rFonts w:ascii="Baskerville" w:hAnsi="Baskerville" w:cs="Baskerville"/>
                <w:sz w:val="22"/>
                <w:szCs w:val="22"/>
              </w:rPr>
              <w:t xml:space="preserve">community options. </w:t>
            </w:r>
          </w:p>
          <w:p w:rsidR="00EA0845" w:rsidRDefault="00CA577F" w:rsidP="00BD7BC4">
            <w:pPr>
              <w:rPr>
                <w:rFonts w:ascii="Baskerville" w:hAnsi="Baskerville" w:cs="Baskerville"/>
                <w:sz w:val="22"/>
                <w:szCs w:val="22"/>
              </w:rPr>
            </w:pPr>
            <w:r w:rsidRPr="00CA577F">
              <w:rPr>
                <w:rFonts w:ascii="Menlo Regular" w:eastAsia="MS Gothic" w:hAnsi="Menlo Regular" w:cs="Menlo Regular"/>
                <w:color w:val="000000"/>
                <w:sz w:val="22"/>
                <w:szCs w:val="22"/>
              </w:rPr>
              <w:t>☐</w:t>
            </w:r>
            <w:r w:rsidR="00BD7BC4">
              <w:rPr>
                <w:rFonts w:ascii="MS Gothic" w:eastAsia="MS Gothic" w:hAnsi="MS Gothic"/>
                <w:color w:val="000000"/>
                <w:sz w:val="22"/>
                <w:szCs w:val="22"/>
              </w:rPr>
              <w:t xml:space="preserve"> </w:t>
            </w:r>
            <w:r w:rsidR="006E280C">
              <w:rPr>
                <w:rFonts w:ascii="Baskerville" w:hAnsi="Baskerville" w:cs="Baskerville"/>
                <w:sz w:val="22"/>
                <w:szCs w:val="22"/>
              </w:rPr>
              <w:t>24 (78%) o</w:t>
            </w:r>
            <w:r w:rsidR="00771E93" w:rsidRPr="004614A7">
              <w:rPr>
                <w:rFonts w:ascii="Baskerville" w:hAnsi="Baskerville" w:cs="Baskerville"/>
                <w:sz w:val="22"/>
                <w:szCs w:val="22"/>
              </w:rPr>
              <w:t>f 31</w:t>
            </w:r>
            <w:r w:rsidR="0027064A" w:rsidRPr="004614A7">
              <w:rPr>
                <w:rFonts w:ascii="Baskerville" w:hAnsi="Baskerville" w:cs="Baskerville"/>
                <w:sz w:val="22"/>
                <w:szCs w:val="22"/>
              </w:rPr>
              <w:t xml:space="preserve"> </w:t>
            </w:r>
            <w:r w:rsidR="00BD2DF8" w:rsidRPr="004614A7">
              <w:rPr>
                <w:rFonts w:ascii="Baskerville" w:hAnsi="Baskerville" w:cs="Baskerville"/>
                <w:sz w:val="22"/>
                <w:szCs w:val="22"/>
              </w:rPr>
              <w:t xml:space="preserve">randomly selected </w:t>
            </w:r>
            <w:r w:rsidR="0027064A" w:rsidRPr="004614A7">
              <w:rPr>
                <w:rFonts w:ascii="Baskerville" w:hAnsi="Baskerville" w:cs="Baskerville"/>
                <w:sz w:val="22"/>
                <w:szCs w:val="22"/>
              </w:rPr>
              <w:t>families</w:t>
            </w:r>
            <w:r w:rsidR="00771E93" w:rsidRPr="004614A7">
              <w:rPr>
                <w:rFonts w:ascii="Baskerville" w:hAnsi="Baskerville" w:cs="Baskerville"/>
                <w:sz w:val="22"/>
                <w:szCs w:val="22"/>
              </w:rPr>
              <w:t xml:space="preserve"> </w:t>
            </w:r>
            <w:r w:rsidR="0027064A" w:rsidRPr="004614A7">
              <w:rPr>
                <w:rFonts w:ascii="Baskerville" w:hAnsi="Baskerville" w:cs="Baskerville"/>
                <w:sz w:val="22"/>
                <w:szCs w:val="22"/>
              </w:rPr>
              <w:t>/</w:t>
            </w:r>
            <w:r w:rsidR="00BD2DF8" w:rsidRPr="004614A7">
              <w:rPr>
                <w:rFonts w:ascii="Baskerville" w:hAnsi="Baskerville" w:cs="Baskerville"/>
                <w:sz w:val="22"/>
                <w:szCs w:val="22"/>
              </w:rPr>
              <w:t xml:space="preserve"> </w:t>
            </w:r>
            <w:r w:rsidR="0027064A" w:rsidRPr="004614A7">
              <w:rPr>
                <w:rFonts w:ascii="Baskerville" w:hAnsi="Baskerville" w:cs="Baskerville"/>
                <w:sz w:val="22"/>
                <w:szCs w:val="22"/>
              </w:rPr>
              <w:t>individuals who had</w:t>
            </w:r>
            <w:r w:rsidR="00BD2DF8" w:rsidRPr="004614A7">
              <w:rPr>
                <w:rFonts w:ascii="Baskerville" w:hAnsi="Baskerville" w:cs="Baskerville"/>
                <w:sz w:val="22"/>
                <w:szCs w:val="22"/>
              </w:rPr>
              <w:t xml:space="preserve"> a</w:t>
            </w:r>
            <w:r w:rsidR="0027064A" w:rsidRPr="004614A7">
              <w:rPr>
                <w:rFonts w:ascii="Baskerville" w:hAnsi="Baskerville" w:cs="Baskerville"/>
                <w:sz w:val="22"/>
                <w:szCs w:val="22"/>
              </w:rPr>
              <w:t xml:space="preserve"> recent annual ISP </w:t>
            </w:r>
            <w:r w:rsidR="00A15964" w:rsidRPr="001C5DF3">
              <w:rPr>
                <w:rFonts w:ascii="Baskerville" w:hAnsi="Baskerville" w:cs="Baskerville"/>
                <w:sz w:val="22"/>
                <w:szCs w:val="22"/>
                <w:u w:val="single"/>
              </w:rPr>
              <w:t>recalled</w:t>
            </w:r>
            <w:r w:rsidR="0027064A" w:rsidRPr="004614A7">
              <w:rPr>
                <w:rFonts w:ascii="Baskerville" w:hAnsi="Baskerville" w:cs="Baskerville"/>
                <w:sz w:val="22"/>
                <w:szCs w:val="22"/>
              </w:rPr>
              <w:t xml:space="preserve"> less restrictive </w:t>
            </w:r>
            <w:r w:rsidR="004614A7" w:rsidRPr="004614A7">
              <w:rPr>
                <w:rFonts w:ascii="Baskerville" w:hAnsi="Baskerville" w:cs="Baskerville"/>
                <w:sz w:val="22"/>
                <w:szCs w:val="22"/>
              </w:rPr>
              <w:t>service options being discussed.</w:t>
            </w:r>
          </w:p>
          <w:p w:rsidR="004511C6" w:rsidRPr="00C950C1" w:rsidRDefault="004511C6" w:rsidP="00BD7BC4">
            <w:pPr>
              <w:rPr>
                <w:rFonts w:ascii="Baskerville" w:hAnsi="Baskerville" w:cs="Baskerville"/>
                <w:b/>
                <w:sz w:val="22"/>
                <w:szCs w:val="22"/>
              </w:rPr>
            </w:pPr>
          </w:p>
        </w:tc>
      </w:tr>
      <w:tr w:rsidR="0083366F" w:rsidRPr="00DF1E2F" w:rsidTr="0094744A">
        <w:trPr>
          <w:trHeight w:val="2411"/>
        </w:trPr>
        <w:tc>
          <w:tcPr>
            <w:tcW w:w="1530" w:type="dxa"/>
            <w:vAlign w:val="center"/>
          </w:tcPr>
          <w:p w:rsidR="0083366F" w:rsidRPr="00DF1E2F" w:rsidRDefault="0083366F" w:rsidP="00DA5D00">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III.E.1</w:t>
            </w:r>
          </w:p>
        </w:tc>
        <w:tc>
          <w:tcPr>
            <w:tcW w:w="4320" w:type="dxa"/>
          </w:tcPr>
          <w:p w:rsidR="0083366F" w:rsidRPr="00DF1E2F" w:rsidRDefault="0083366F" w:rsidP="00E3310C">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shall utilize Community Resource Consultant (“CRC”) positions located in each Region to provide oversight and guidance to CBSs and community providers, and serve as a liaison between the CSB case managers and DBHDS Central Office…The CRCs shall be a member of the Regional Support Team in the appropriate Region.</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CC2979">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890490" w:rsidRDefault="0083366F" w:rsidP="00AC46E4">
            <w:pPr>
              <w:tabs>
                <w:tab w:val="left" w:pos="1404"/>
                <w:tab w:val="left" w:pos="1440"/>
                <w:tab w:val="left" w:pos="4920"/>
                <w:tab w:val="right" w:pos="8640"/>
              </w:tabs>
              <w:ind w:left="-108" w:right="-108"/>
              <w:jc w:val="center"/>
              <w:rPr>
                <w:rFonts w:ascii="Baskerville" w:hAnsi="Baskerville" w:cs="Baskerville"/>
                <w:sz w:val="22"/>
                <w:szCs w:val="22"/>
                <w:u w:val="single"/>
              </w:rPr>
            </w:pPr>
            <w:r w:rsidRPr="00890490">
              <w:rPr>
                <w:rFonts w:ascii="Baskerville" w:hAnsi="Baskerville" w:cs="Baskerville"/>
                <w:sz w:val="22"/>
                <w:szCs w:val="22"/>
                <w:u w:val="single"/>
              </w:rPr>
              <w:t>Compliance</w:t>
            </w:r>
          </w:p>
          <w:p w:rsidR="0083366F" w:rsidRPr="00DF1E2F" w:rsidRDefault="0083366F" w:rsidP="00CC2979">
            <w:pPr>
              <w:tabs>
                <w:tab w:val="left" w:pos="1404"/>
                <w:tab w:val="left" w:pos="1440"/>
                <w:tab w:val="left" w:pos="4920"/>
                <w:tab w:val="right" w:pos="8640"/>
              </w:tabs>
              <w:ind w:left="-108" w:right="-108"/>
              <w:jc w:val="center"/>
              <w:rPr>
                <w:rFonts w:ascii="Baskerville" w:hAnsi="Baskerville" w:cs="Baskerville"/>
                <w:b/>
                <w:sz w:val="22"/>
                <w:szCs w:val="22"/>
              </w:rPr>
            </w:pPr>
          </w:p>
          <w:p w:rsidR="00890490" w:rsidRPr="00DF1E2F" w:rsidRDefault="00890490" w:rsidP="00890490">
            <w:pPr>
              <w:tabs>
                <w:tab w:val="left" w:pos="1404"/>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Compliance</w:t>
            </w:r>
          </w:p>
          <w:p w:rsidR="0083366F" w:rsidRPr="00DF1E2F" w:rsidRDefault="0083366F" w:rsidP="00CC2979">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CC2979">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CC2979">
            <w:pPr>
              <w:tabs>
                <w:tab w:val="left" w:pos="1404"/>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3A5E8D">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Community Resource Consultant</w:t>
            </w:r>
            <w:r w:rsidRPr="00DF1E2F">
              <w:rPr>
                <w:rFonts w:ascii="Baskerville" w:hAnsi="Baskerville" w:cs="Baskerville"/>
                <w:sz w:val="22"/>
                <w:szCs w:val="22"/>
              </w:rPr>
              <w:t xml:space="preserve">s </w:t>
            </w:r>
            <w:r w:rsidR="00BD7BC4">
              <w:rPr>
                <w:rFonts w:ascii="Baskerville" w:hAnsi="Baskerville" w:cs="Baskerville"/>
                <w:sz w:val="22"/>
                <w:szCs w:val="22"/>
              </w:rPr>
              <w:t xml:space="preserve">(CRC) </w:t>
            </w:r>
            <w:r w:rsidRPr="00DF1E2F">
              <w:rPr>
                <w:rFonts w:ascii="Baskerville" w:hAnsi="Baskerville" w:cs="Baskerville"/>
                <w:sz w:val="22"/>
                <w:szCs w:val="22"/>
              </w:rPr>
              <w:t>are located in and are members of the Regional Support Team in each Region and are utilized for these functions.</w:t>
            </w:r>
          </w:p>
          <w:p w:rsidR="0083366F" w:rsidRPr="00DF1E2F" w:rsidRDefault="0083366F" w:rsidP="004B279A">
            <w:pPr>
              <w:tabs>
                <w:tab w:val="left" w:pos="1440"/>
                <w:tab w:val="left" w:pos="4920"/>
                <w:tab w:val="right" w:pos="8640"/>
              </w:tabs>
              <w:ind w:right="270"/>
              <w:rPr>
                <w:rFonts w:ascii="Baskerville" w:hAnsi="Baskerville" w:cs="Baskerville"/>
                <w:sz w:val="22"/>
                <w:szCs w:val="22"/>
              </w:rPr>
            </w:pPr>
          </w:p>
          <w:p w:rsidR="0083366F" w:rsidRPr="00DF1E2F" w:rsidRDefault="0083366F" w:rsidP="004B279A">
            <w:pPr>
              <w:tabs>
                <w:tab w:val="left" w:pos="1440"/>
                <w:tab w:val="left" w:pos="4920"/>
                <w:tab w:val="right" w:pos="8640"/>
              </w:tabs>
              <w:ind w:right="270"/>
              <w:rPr>
                <w:rFonts w:ascii="Baskerville" w:hAnsi="Baskerville" w:cs="Baskerville"/>
                <w:sz w:val="22"/>
                <w:szCs w:val="22"/>
              </w:rPr>
            </w:pPr>
          </w:p>
        </w:tc>
      </w:tr>
      <w:tr w:rsidR="0083366F" w:rsidRPr="00DF1E2F" w:rsidTr="0094744A">
        <w:trPr>
          <w:trHeight w:val="3158"/>
        </w:trPr>
        <w:tc>
          <w:tcPr>
            <w:tcW w:w="1530" w:type="dxa"/>
            <w:vAlign w:val="center"/>
          </w:tcPr>
          <w:p w:rsidR="0083366F" w:rsidRPr="00DF1E2F" w:rsidRDefault="0083366F" w:rsidP="00DA5D00">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III.E.2</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CRC may consult at any time with the Regional Support Team.  Upon referral to it, the Regional Support Team shall work with the Personal Support Team (“PST”) and CRC to review the case, resolve identified barriers, and ensure that the placement is the most integrated setting appropriate to the individual’s needs, consistent with the individual’s informed choice. The Regional Support Team shall have the authority to recommend additional steps by the PST and/or CRC.</w:t>
            </w:r>
          </w:p>
        </w:tc>
        <w:tc>
          <w:tcPr>
            <w:tcW w:w="1440" w:type="dxa"/>
          </w:tcPr>
          <w:p w:rsidR="00245B0C" w:rsidRPr="00B859E2" w:rsidRDefault="00245B0C" w:rsidP="00245B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FA73DE">
              <w:rPr>
                <w:rFonts w:ascii="Baskerville" w:hAnsi="Baskerville" w:cs="Baskerville"/>
                <w:sz w:val="20"/>
                <w:szCs w:val="20"/>
              </w:rPr>
              <w:t xml:space="preserve"> </w:t>
            </w:r>
            <w:r w:rsidRPr="00B859E2">
              <w:rPr>
                <w:rFonts w:ascii="Baskerville" w:hAnsi="Baskerville" w:cs="Baskerville"/>
                <w:sz w:val="20"/>
                <w:szCs w:val="20"/>
              </w:rPr>
              <w:t>Compliance)</w:t>
            </w:r>
          </w:p>
          <w:p w:rsidR="0083366F" w:rsidRDefault="0083366F" w:rsidP="00C9316D">
            <w:pPr>
              <w:tabs>
                <w:tab w:val="left" w:pos="1224"/>
                <w:tab w:val="left" w:pos="1440"/>
                <w:tab w:val="left" w:pos="4920"/>
                <w:tab w:val="right" w:pos="8640"/>
              </w:tabs>
              <w:ind w:left="-108" w:right="-108"/>
              <w:jc w:val="center"/>
              <w:rPr>
                <w:rFonts w:ascii="Baskerville" w:hAnsi="Baskerville" w:cs="Baskerville"/>
                <w:sz w:val="22"/>
                <w:szCs w:val="22"/>
              </w:rPr>
            </w:pPr>
          </w:p>
          <w:p w:rsidR="0083366F" w:rsidRPr="00FA73DE" w:rsidRDefault="0083366F" w:rsidP="00C9316D">
            <w:pPr>
              <w:tabs>
                <w:tab w:val="left" w:pos="1224"/>
                <w:tab w:val="left" w:pos="1440"/>
                <w:tab w:val="left" w:pos="4920"/>
                <w:tab w:val="right" w:pos="8640"/>
              </w:tabs>
              <w:ind w:left="-108" w:right="-108"/>
              <w:jc w:val="center"/>
              <w:rPr>
                <w:rFonts w:ascii="Baskerville" w:hAnsi="Baskerville" w:cs="Baskerville"/>
                <w:sz w:val="22"/>
                <w:szCs w:val="22"/>
                <w:u w:val="single"/>
              </w:rPr>
            </w:pPr>
            <w:r w:rsidRPr="00FA73DE">
              <w:rPr>
                <w:rFonts w:ascii="Baskerville" w:hAnsi="Baskerville" w:cs="Baskerville"/>
                <w:sz w:val="22"/>
                <w:szCs w:val="22"/>
                <w:u w:val="single"/>
              </w:rPr>
              <w:t>Non Compliance</w:t>
            </w:r>
          </w:p>
          <w:p w:rsidR="0083366F" w:rsidRDefault="0083366F" w:rsidP="00C9316D">
            <w:pPr>
              <w:tabs>
                <w:tab w:val="left" w:pos="1224"/>
                <w:tab w:val="left" w:pos="1440"/>
                <w:tab w:val="left" w:pos="4920"/>
                <w:tab w:val="right" w:pos="8640"/>
              </w:tabs>
              <w:ind w:left="-108" w:right="-108"/>
              <w:jc w:val="center"/>
              <w:rPr>
                <w:rFonts w:ascii="Baskerville" w:hAnsi="Baskerville" w:cs="Baskerville"/>
                <w:b/>
                <w:sz w:val="22"/>
                <w:szCs w:val="22"/>
              </w:rPr>
            </w:pPr>
          </w:p>
          <w:p w:rsidR="00FA73DE" w:rsidRDefault="00FA73DE" w:rsidP="00C9316D">
            <w:pPr>
              <w:tabs>
                <w:tab w:val="left" w:pos="1224"/>
                <w:tab w:val="left" w:pos="1440"/>
                <w:tab w:val="left" w:pos="4920"/>
                <w:tab w:val="right" w:pos="8640"/>
              </w:tabs>
              <w:ind w:left="-108" w:right="-108"/>
              <w:jc w:val="center"/>
              <w:rPr>
                <w:rFonts w:ascii="Baskerville" w:hAnsi="Baskerville" w:cs="Baskerville"/>
                <w:b/>
                <w:sz w:val="22"/>
                <w:szCs w:val="22"/>
              </w:rPr>
            </w:pPr>
          </w:p>
          <w:p w:rsidR="00FA73DE" w:rsidRPr="00DF1E2F" w:rsidRDefault="00FA73DE" w:rsidP="00FA73DE">
            <w:pPr>
              <w:tabs>
                <w:tab w:val="left" w:pos="1224"/>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b/>
                <w:sz w:val="22"/>
                <w:szCs w:val="22"/>
              </w:rPr>
              <w:t>Non</w:t>
            </w:r>
            <w:r w:rsidRPr="00476045">
              <w:rPr>
                <w:rFonts w:ascii="Baskerville" w:hAnsi="Baskerville" w:cs="Baskerville"/>
                <w:b/>
                <w:sz w:val="22"/>
                <w:szCs w:val="22"/>
              </w:rPr>
              <w:t xml:space="preserve"> Complianc</w:t>
            </w:r>
            <w:r>
              <w:rPr>
                <w:rFonts w:ascii="Baskerville" w:hAnsi="Baskerville" w:cs="Baskerville"/>
                <w:b/>
                <w:sz w:val="22"/>
                <w:szCs w:val="22"/>
              </w:rPr>
              <w:t>e</w:t>
            </w:r>
          </w:p>
          <w:p w:rsidR="00FA73DE" w:rsidRPr="00DF1E2F" w:rsidRDefault="00FA73DE" w:rsidP="00C9316D">
            <w:pPr>
              <w:tabs>
                <w:tab w:val="left" w:pos="1224"/>
                <w:tab w:val="left" w:pos="1440"/>
                <w:tab w:val="left" w:pos="4920"/>
                <w:tab w:val="right" w:pos="8640"/>
              </w:tabs>
              <w:ind w:left="-108" w:right="-108"/>
              <w:jc w:val="center"/>
              <w:rPr>
                <w:rFonts w:ascii="Baskerville" w:hAnsi="Baskerville" w:cs="Baskerville"/>
                <w:b/>
                <w:sz w:val="22"/>
                <w:szCs w:val="22"/>
              </w:rPr>
            </w:pPr>
          </w:p>
        </w:tc>
        <w:tc>
          <w:tcPr>
            <w:tcW w:w="2880" w:type="dxa"/>
          </w:tcPr>
          <w:p w:rsidR="00EA0845" w:rsidRPr="00DF1E2F" w:rsidRDefault="0083366F" w:rsidP="008F154F">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The CRC</w:t>
            </w:r>
            <w:r>
              <w:rPr>
                <w:rFonts w:ascii="Baskerville" w:hAnsi="Baskerville" w:cs="Baskerville"/>
                <w:sz w:val="22"/>
                <w:szCs w:val="22"/>
              </w:rPr>
              <w:t xml:space="preserve">s referred </w:t>
            </w:r>
            <w:r w:rsidRPr="00DF1E2F">
              <w:rPr>
                <w:rFonts w:ascii="Baskerville" w:hAnsi="Baskerville" w:cs="Baskerville"/>
                <w:sz w:val="22"/>
                <w:szCs w:val="22"/>
              </w:rPr>
              <w:t xml:space="preserve">individuals </w:t>
            </w:r>
            <w:r>
              <w:rPr>
                <w:rFonts w:ascii="Baskerville" w:hAnsi="Baskerville" w:cs="Baskerville"/>
                <w:sz w:val="22"/>
                <w:szCs w:val="22"/>
              </w:rPr>
              <w:t>to the RSTs</w:t>
            </w:r>
            <w:r w:rsidRPr="00DF1E2F">
              <w:rPr>
                <w:rFonts w:ascii="Baskerville" w:hAnsi="Baskerville" w:cs="Baskerville"/>
                <w:sz w:val="22"/>
                <w:szCs w:val="22"/>
              </w:rPr>
              <w:t xml:space="preserve">. </w:t>
            </w:r>
            <w:r w:rsidR="00027241">
              <w:rPr>
                <w:rFonts w:ascii="Baskerville" w:hAnsi="Baskerville" w:cs="Baskerville"/>
                <w:sz w:val="22"/>
                <w:szCs w:val="22"/>
              </w:rPr>
              <w:t>CRC</w:t>
            </w:r>
            <w:r>
              <w:rPr>
                <w:rFonts w:ascii="Baskerville" w:hAnsi="Baskerville" w:cs="Baskerville"/>
                <w:sz w:val="22"/>
                <w:szCs w:val="22"/>
              </w:rPr>
              <w:t xml:space="preserve">s and CIMs submitted some referrals after choices were made. </w:t>
            </w:r>
            <w:r w:rsidRPr="00DF1E2F">
              <w:rPr>
                <w:rFonts w:ascii="Baskerville" w:hAnsi="Baskerville" w:cs="Baskerville"/>
                <w:sz w:val="22"/>
                <w:szCs w:val="22"/>
              </w:rPr>
              <w:t>The</w:t>
            </w:r>
            <w:r w:rsidR="006064C8">
              <w:rPr>
                <w:rFonts w:ascii="Baskerville" w:hAnsi="Baskerville" w:cs="Baskerville"/>
                <w:sz w:val="22"/>
                <w:szCs w:val="22"/>
              </w:rPr>
              <w:t xml:space="preserve"> RSTs did not resolve</w:t>
            </w:r>
            <w:r w:rsidRPr="00DF1E2F">
              <w:rPr>
                <w:rFonts w:ascii="Baskerville" w:hAnsi="Baskerville" w:cs="Baskerville"/>
                <w:sz w:val="22"/>
                <w:szCs w:val="22"/>
              </w:rPr>
              <w:t xml:space="preserve"> barriers </w:t>
            </w:r>
            <w:r w:rsidR="006064C8">
              <w:rPr>
                <w:rFonts w:ascii="Baskerville" w:hAnsi="Baskerville" w:cs="Baskerville"/>
                <w:sz w:val="22"/>
                <w:szCs w:val="22"/>
              </w:rPr>
              <w:t xml:space="preserve">that were identified </w:t>
            </w:r>
            <w:r w:rsidRPr="00DF1E2F">
              <w:rPr>
                <w:rFonts w:ascii="Baskerville" w:hAnsi="Baskerville" w:cs="Baskerville"/>
                <w:sz w:val="22"/>
                <w:szCs w:val="22"/>
              </w:rPr>
              <w:t xml:space="preserve">to living in most integrated </w:t>
            </w:r>
            <w:r>
              <w:rPr>
                <w:rFonts w:ascii="Baskerville" w:hAnsi="Baskerville" w:cs="Baskerville"/>
                <w:sz w:val="22"/>
                <w:szCs w:val="22"/>
              </w:rPr>
              <w:t>residential or day options</w:t>
            </w:r>
            <w:r w:rsidRPr="00DF1E2F">
              <w:rPr>
                <w:rFonts w:ascii="Baskerville" w:hAnsi="Baskerville" w:cs="Baskerville"/>
                <w:sz w:val="22"/>
                <w:szCs w:val="22"/>
              </w:rPr>
              <w:t>.</w:t>
            </w:r>
            <w:r w:rsidR="004E47F7">
              <w:rPr>
                <w:rFonts w:ascii="Baskerville" w:hAnsi="Baskerville" w:cs="Baskerville"/>
                <w:sz w:val="22"/>
                <w:szCs w:val="22"/>
              </w:rPr>
              <w:t xml:space="preserve"> </w:t>
            </w:r>
          </w:p>
        </w:tc>
      </w:tr>
      <w:tr w:rsidR="0083366F" w:rsidRPr="00DF1E2F" w:rsidTr="0094744A">
        <w:trPr>
          <w:trHeight w:val="2384"/>
        </w:trPr>
        <w:tc>
          <w:tcPr>
            <w:tcW w:w="1530" w:type="dxa"/>
            <w:vAlign w:val="center"/>
          </w:tcPr>
          <w:p w:rsidR="0083366F" w:rsidRPr="00DF1E2F" w:rsidRDefault="0083366F" w:rsidP="00DA5D00">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III.E.3.a-d</w:t>
            </w:r>
          </w:p>
        </w:tc>
        <w:tc>
          <w:tcPr>
            <w:tcW w:w="4320" w:type="dxa"/>
          </w:tcPr>
          <w:p w:rsidR="0083366F" w:rsidRPr="00DF1E2F" w:rsidRDefault="0083366F" w:rsidP="000E6B5C">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CRC shall refer cases to the Regional Support Teams (RST) for review, assistance in resolving barriers, or recommendations whenever (specific criteria are met)</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8C58FC">
            <w:pPr>
              <w:tabs>
                <w:tab w:val="left" w:pos="1224"/>
                <w:tab w:val="left" w:pos="1440"/>
                <w:tab w:val="left" w:pos="4920"/>
                <w:tab w:val="right" w:pos="8640"/>
              </w:tabs>
              <w:ind w:left="-108" w:right="-108"/>
              <w:jc w:val="center"/>
              <w:rPr>
                <w:rFonts w:ascii="Baskerville" w:hAnsi="Baskerville" w:cs="Baskerville"/>
                <w:sz w:val="22"/>
                <w:szCs w:val="22"/>
              </w:rPr>
            </w:pPr>
          </w:p>
          <w:p w:rsidR="0083366F" w:rsidRPr="00FA73DE" w:rsidRDefault="0083366F" w:rsidP="008C58FC">
            <w:pPr>
              <w:tabs>
                <w:tab w:val="left" w:pos="1224"/>
                <w:tab w:val="left" w:pos="1440"/>
                <w:tab w:val="left" w:pos="4920"/>
                <w:tab w:val="right" w:pos="8640"/>
              </w:tabs>
              <w:ind w:left="-108" w:right="-108"/>
              <w:jc w:val="center"/>
              <w:rPr>
                <w:rFonts w:ascii="Baskerville" w:hAnsi="Baskerville" w:cs="Baskerville"/>
                <w:sz w:val="22"/>
                <w:szCs w:val="22"/>
                <w:u w:val="single"/>
              </w:rPr>
            </w:pPr>
            <w:r w:rsidRPr="00FA73DE">
              <w:rPr>
                <w:rFonts w:ascii="Baskerville" w:hAnsi="Baskerville" w:cs="Baskerville"/>
                <w:sz w:val="22"/>
                <w:szCs w:val="22"/>
                <w:u w:val="single"/>
              </w:rPr>
              <w:t>Compliance</w:t>
            </w:r>
          </w:p>
          <w:p w:rsidR="0083366F" w:rsidRPr="00DF1E2F" w:rsidRDefault="0083366F" w:rsidP="008C58FC">
            <w:pPr>
              <w:tabs>
                <w:tab w:val="left" w:pos="122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C58FC">
            <w:pPr>
              <w:tabs>
                <w:tab w:val="left" w:pos="1224"/>
                <w:tab w:val="left" w:pos="1440"/>
                <w:tab w:val="left" w:pos="4920"/>
                <w:tab w:val="right" w:pos="8640"/>
              </w:tabs>
              <w:ind w:left="-108" w:right="-108"/>
              <w:jc w:val="center"/>
              <w:rPr>
                <w:rFonts w:ascii="Baskerville" w:hAnsi="Baskerville" w:cs="Baskerville"/>
                <w:sz w:val="22"/>
                <w:szCs w:val="22"/>
              </w:rPr>
            </w:pPr>
          </w:p>
          <w:p w:rsidR="00FA73DE" w:rsidRDefault="00FA73DE" w:rsidP="00FA73DE">
            <w:pPr>
              <w:tabs>
                <w:tab w:val="left" w:pos="1224"/>
                <w:tab w:val="left" w:pos="1440"/>
                <w:tab w:val="left" w:pos="4920"/>
                <w:tab w:val="right" w:pos="8640"/>
              </w:tabs>
              <w:ind w:left="-108" w:right="-108"/>
              <w:jc w:val="center"/>
              <w:rPr>
                <w:rFonts w:ascii="Baskerville" w:hAnsi="Baskerville" w:cs="Baskerville"/>
                <w:b/>
                <w:sz w:val="22"/>
                <w:szCs w:val="22"/>
              </w:rPr>
            </w:pPr>
            <w:r w:rsidRPr="00F105A8">
              <w:rPr>
                <w:rFonts w:ascii="Baskerville" w:hAnsi="Baskerville" w:cs="Baskerville"/>
                <w:b/>
                <w:sz w:val="22"/>
                <w:szCs w:val="22"/>
              </w:rPr>
              <w:t>Compliance</w:t>
            </w:r>
          </w:p>
          <w:p w:rsidR="0083366F" w:rsidRPr="00DF1E2F" w:rsidRDefault="0083366F" w:rsidP="008C58FC">
            <w:pPr>
              <w:tabs>
                <w:tab w:val="left" w:pos="122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7B6358">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DBHDS established the RSTs, which</w:t>
            </w:r>
            <w:r>
              <w:rPr>
                <w:rFonts w:ascii="Baskerville" w:hAnsi="Baskerville" w:cs="Baskerville"/>
                <w:sz w:val="22"/>
                <w:szCs w:val="22"/>
              </w:rPr>
              <w:t xml:space="preserve"> </w:t>
            </w:r>
            <w:r w:rsidRPr="00DF1E2F">
              <w:rPr>
                <w:rFonts w:ascii="Baskerville" w:hAnsi="Baskerville" w:cs="Baskerville"/>
                <w:sz w:val="22"/>
                <w:szCs w:val="22"/>
              </w:rPr>
              <w:t>me</w:t>
            </w:r>
            <w:r>
              <w:rPr>
                <w:rFonts w:ascii="Baskerville" w:hAnsi="Baskerville" w:cs="Baskerville"/>
                <w:sz w:val="22"/>
                <w:szCs w:val="22"/>
              </w:rPr>
              <w:t>e</w:t>
            </w:r>
            <w:r w:rsidRPr="00DF1E2F">
              <w:rPr>
                <w:rFonts w:ascii="Baskerville" w:hAnsi="Baskerville" w:cs="Baskerville"/>
                <w:sz w:val="22"/>
                <w:szCs w:val="22"/>
              </w:rPr>
              <w:t xml:space="preserve">t </w:t>
            </w:r>
            <w:r>
              <w:rPr>
                <w:rFonts w:ascii="Baskerville" w:hAnsi="Baskerville" w:cs="Baskerville"/>
                <w:sz w:val="22"/>
                <w:szCs w:val="22"/>
              </w:rPr>
              <w:t>monthly</w:t>
            </w:r>
            <w:r w:rsidRPr="00DF1E2F">
              <w:rPr>
                <w:rFonts w:ascii="Baskerville" w:hAnsi="Baskerville" w:cs="Baskerville"/>
                <w:sz w:val="22"/>
                <w:szCs w:val="22"/>
              </w:rPr>
              <w:t xml:space="preserve">. The CRCs </w:t>
            </w:r>
            <w:r>
              <w:rPr>
                <w:rFonts w:ascii="Baskerville" w:hAnsi="Baskerville" w:cs="Baskerville"/>
                <w:sz w:val="22"/>
                <w:szCs w:val="22"/>
              </w:rPr>
              <w:t>refer</w:t>
            </w:r>
            <w:r w:rsidRPr="00DF1E2F">
              <w:rPr>
                <w:rFonts w:ascii="Baskerville" w:hAnsi="Baskerville" w:cs="Baskerville"/>
                <w:sz w:val="22"/>
                <w:szCs w:val="22"/>
              </w:rPr>
              <w:t xml:space="preserve"> cases to the RSTs regularly. RSTs frequently recommend more </w:t>
            </w:r>
            <w:r w:rsidR="0075253D">
              <w:rPr>
                <w:rFonts w:ascii="Baskerville" w:hAnsi="Baskerville" w:cs="Baskerville"/>
                <w:sz w:val="22"/>
                <w:szCs w:val="22"/>
              </w:rPr>
              <w:t>integrated options. See comment</w:t>
            </w:r>
            <w:r w:rsidRPr="00DF1E2F">
              <w:rPr>
                <w:rFonts w:ascii="Baskerville" w:hAnsi="Baskerville" w:cs="Baskerville"/>
                <w:sz w:val="22"/>
                <w:szCs w:val="22"/>
              </w:rPr>
              <w:t xml:space="preserve"> </w:t>
            </w:r>
            <w:r>
              <w:rPr>
                <w:rFonts w:ascii="Baskerville" w:hAnsi="Baskerville" w:cs="Baskerville"/>
                <w:sz w:val="22"/>
                <w:szCs w:val="22"/>
              </w:rPr>
              <w:t xml:space="preserve">immediately </w:t>
            </w:r>
            <w:r w:rsidRPr="00DF1E2F">
              <w:rPr>
                <w:rFonts w:ascii="Baskerville" w:hAnsi="Baskerville" w:cs="Baskerville"/>
                <w:sz w:val="22"/>
                <w:szCs w:val="22"/>
              </w:rPr>
              <w:t>above regarding the RST’s ability to resolve barriers.</w:t>
            </w:r>
          </w:p>
        </w:tc>
      </w:tr>
      <w:tr w:rsidR="0083366F" w:rsidRPr="00DF1E2F" w:rsidTr="0094744A">
        <w:tc>
          <w:tcPr>
            <w:tcW w:w="1530" w:type="dxa"/>
            <w:shd w:val="clear" w:color="auto" w:fill="FFFF00"/>
            <w:vAlign w:val="center"/>
          </w:tcPr>
          <w:p w:rsidR="0083366F" w:rsidRPr="005A0065" w:rsidRDefault="0083366F" w:rsidP="002161AE">
            <w:pPr>
              <w:tabs>
                <w:tab w:val="left" w:pos="1440"/>
                <w:tab w:val="left" w:pos="4920"/>
                <w:tab w:val="right" w:pos="8640"/>
              </w:tabs>
              <w:ind w:left="-108" w:right="-108"/>
              <w:jc w:val="center"/>
              <w:rPr>
                <w:rFonts w:ascii="Baskerville" w:hAnsi="Baskerville" w:cs="Baskerville"/>
                <w:b/>
                <w:highlight w:val="yellow"/>
              </w:rPr>
            </w:pPr>
            <w:r w:rsidRPr="005A0065">
              <w:rPr>
                <w:rFonts w:ascii="Baskerville" w:hAnsi="Baskerville" w:cs="Baskerville"/>
              </w:rPr>
              <w:br w:type="page"/>
            </w:r>
            <w:r w:rsidRPr="005A0065">
              <w:rPr>
                <w:rFonts w:ascii="Baskerville" w:hAnsi="Baskerville" w:cs="Baskerville"/>
                <w:b/>
                <w:highlight w:val="yellow"/>
              </w:rPr>
              <w:t>IV</w:t>
            </w:r>
          </w:p>
        </w:tc>
        <w:tc>
          <w:tcPr>
            <w:tcW w:w="4320" w:type="dxa"/>
            <w:shd w:val="clear" w:color="auto" w:fill="FFFF00"/>
            <w:vAlign w:val="center"/>
          </w:tcPr>
          <w:p w:rsidR="0083366F" w:rsidRPr="005A0065" w:rsidRDefault="0083366F" w:rsidP="004B279A">
            <w:pPr>
              <w:tabs>
                <w:tab w:val="left" w:pos="4920"/>
                <w:tab w:val="right" w:pos="8640"/>
              </w:tabs>
              <w:ind w:right="72"/>
              <w:jc w:val="center"/>
              <w:rPr>
                <w:rFonts w:ascii="Baskerville" w:hAnsi="Baskerville" w:cs="Baskerville"/>
                <w:b/>
                <w:highlight w:val="yellow"/>
              </w:rPr>
            </w:pPr>
            <w:r w:rsidRPr="005A0065">
              <w:rPr>
                <w:rFonts w:ascii="Baskerville" w:hAnsi="Baskerville" w:cs="Baskerville"/>
                <w:b/>
                <w:highlight w:val="yellow"/>
              </w:rPr>
              <w:t>Discharge Planning and Transition</w:t>
            </w:r>
          </w:p>
        </w:tc>
        <w:tc>
          <w:tcPr>
            <w:tcW w:w="1440" w:type="dxa"/>
            <w:shd w:val="clear" w:color="auto" w:fill="FFFF00"/>
            <w:vAlign w:val="center"/>
          </w:tcPr>
          <w:p w:rsidR="00C86046" w:rsidRDefault="00C86046" w:rsidP="00C86046">
            <w:pPr>
              <w:tabs>
                <w:tab w:val="left" w:pos="1314"/>
                <w:tab w:val="left" w:pos="4920"/>
                <w:tab w:val="right" w:pos="8640"/>
              </w:tabs>
              <w:ind w:right="-18"/>
              <w:rPr>
                <w:rFonts w:ascii="Baskerville" w:hAnsi="Baskerville" w:cs="Baskerville"/>
                <w:b/>
                <w:sz w:val="22"/>
                <w:szCs w:val="22"/>
                <w:highlight w:val="yellow"/>
              </w:rPr>
            </w:pPr>
            <w:r>
              <w:rPr>
                <w:rFonts w:ascii="Baskerville" w:hAnsi="Baskerville" w:cs="Baskerville"/>
                <w:b/>
                <w:sz w:val="22"/>
                <w:szCs w:val="22"/>
                <w:highlight w:val="yellow"/>
              </w:rPr>
              <w:t>The compliance ratings for the fourth, fifth and sixth</w:t>
            </w:r>
            <w:r w:rsidR="002E1792">
              <w:rPr>
                <w:rFonts w:ascii="Baskerville" w:hAnsi="Baskerville" w:cs="Baskerville"/>
                <w:b/>
                <w:sz w:val="22"/>
                <w:szCs w:val="22"/>
                <w:highlight w:val="yellow"/>
              </w:rPr>
              <w:t xml:space="preserve"> review periods are presented</w:t>
            </w:r>
            <w:r>
              <w:rPr>
                <w:rFonts w:ascii="Baskerville" w:hAnsi="Baskerville" w:cs="Baskerville"/>
                <w:b/>
                <w:sz w:val="22"/>
                <w:szCs w:val="22"/>
                <w:highlight w:val="yellow"/>
              </w:rPr>
              <w:t xml:space="preserve"> as:</w:t>
            </w:r>
          </w:p>
          <w:p w:rsidR="00C86046" w:rsidRPr="00C56355" w:rsidRDefault="00C86046" w:rsidP="008B01F8">
            <w:pPr>
              <w:tabs>
                <w:tab w:val="left" w:pos="1242"/>
                <w:tab w:val="left" w:pos="4920"/>
                <w:tab w:val="right" w:pos="8640"/>
              </w:tabs>
              <w:ind w:left="-18" w:right="-18"/>
              <w:jc w:val="center"/>
              <w:rPr>
                <w:rFonts w:ascii="Baskerville" w:hAnsi="Baskerville" w:cs="Baskerville"/>
                <w:sz w:val="20"/>
                <w:szCs w:val="20"/>
                <w:highlight w:val="yellow"/>
              </w:rPr>
            </w:pPr>
            <w:r w:rsidRPr="00C56355">
              <w:rPr>
                <w:rFonts w:ascii="Baskerville" w:hAnsi="Baskerville" w:cs="Baskerville"/>
                <w:sz w:val="20"/>
                <w:szCs w:val="20"/>
                <w:highlight w:val="yellow"/>
              </w:rPr>
              <w:t>(</w:t>
            </w:r>
            <w:r>
              <w:rPr>
                <w:rFonts w:ascii="Baskerville" w:hAnsi="Baskerville" w:cs="Baskerville"/>
                <w:sz w:val="20"/>
                <w:szCs w:val="20"/>
                <w:highlight w:val="yellow"/>
              </w:rPr>
              <w:t>4</w:t>
            </w:r>
            <w:r w:rsidRPr="00C56355">
              <w:rPr>
                <w:rFonts w:ascii="Baskerville" w:hAnsi="Baskerville" w:cs="Baskerville"/>
                <w:sz w:val="22"/>
                <w:szCs w:val="22"/>
                <w:highlight w:val="yellow"/>
                <w:vertAlign w:val="superscript"/>
              </w:rPr>
              <w:t>th</w:t>
            </w:r>
            <w:r w:rsidRPr="00C56355">
              <w:rPr>
                <w:rFonts w:ascii="Baskerville" w:hAnsi="Baskerville" w:cs="Baskerville"/>
                <w:sz w:val="20"/>
                <w:szCs w:val="20"/>
                <w:highlight w:val="yellow"/>
              </w:rPr>
              <w:t xml:space="preserve"> period)</w:t>
            </w:r>
          </w:p>
          <w:p w:rsidR="00C86046" w:rsidRPr="00312B42" w:rsidRDefault="00C86046" w:rsidP="008B01F8">
            <w:pPr>
              <w:tabs>
                <w:tab w:val="left" w:pos="1242"/>
                <w:tab w:val="left" w:pos="4920"/>
                <w:tab w:val="right" w:pos="8640"/>
              </w:tabs>
              <w:ind w:left="-18" w:right="-18"/>
              <w:jc w:val="center"/>
              <w:rPr>
                <w:rFonts w:ascii="Baskerville" w:hAnsi="Baskerville" w:cs="Baskerville"/>
                <w:sz w:val="22"/>
                <w:szCs w:val="22"/>
                <w:highlight w:val="yellow"/>
                <w:u w:val="single"/>
              </w:rPr>
            </w:pPr>
            <w:r w:rsidRPr="00312B42">
              <w:rPr>
                <w:rFonts w:ascii="Baskerville" w:hAnsi="Baskerville" w:cs="Baskerville"/>
                <w:sz w:val="22"/>
                <w:szCs w:val="22"/>
                <w:highlight w:val="yellow"/>
                <w:u w:val="single"/>
              </w:rPr>
              <w:t>5</w:t>
            </w:r>
            <w:r w:rsidRPr="00312B42">
              <w:rPr>
                <w:rFonts w:ascii="Baskerville" w:hAnsi="Baskerville" w:cs="Baskerville"/>
                <w:sz w:val="22"/>
                <w:szCs w:val="22"/>
                <w:highlight w:val="yellow"/>
                <w:u w:val="single"/>
                <w:vertAlign w:val="superscript"/>
              </w:rPr>
              <w:t>th</w:t>
            </w:r>
            <w:r w:rsidRPr="00312B42">
              <w:rPr>
                <w:rFonts w:ascii="Baskerville" w:hAnsi="Baskerville" w:cs="Baskerville"/>
                <w:sz w:val="22"/>
                <w:szCs w:val="22"/>
                <w:highlight w:val="yellow"/>
                <w:u w:val="single"/>
              </w:rPr>
              <w:t xml:space="preserve"> period</w:t>
            </w:r>
          </w:p>
          <w:p w:rsidR="0083366F" w:rsidRPr="00F26EA1" w:rsidRDefault="00C86046" w:rsidP="008B01F8">
            <w:pPr>
              <w:tabs>
                <w:tab w:val="left" w:pos="1440"/>
                <w:tab w:val="left" w:pos="4920"/>
                <w:tab w:val="right" w:pos="8640"/>
              </w:tabs>
              <w:ind w:left="-18"/>
              <w:jc w:val="center"/>
              <w:rPr>
                <w:rFonts w:ascii="Baskerville" w:hAnsi="Baskerville" w:cs="Baskerville"/>
                <w:b/>
                <w:highlight w:val="yellow"/>
              </w:rPr>
            </w:pPr>
            <w:r>
              <w:rPr>
                <w:rFonts w:ascii="Baskerville" w:hAnsi="Baskerville" w:cs="Baskerville"/>
                <w:b/>
                <w:sz w:val="22"/>
                <w:szCs w:val="22"/>
                <w:highlight w:val="yellow"/>
              </w:rPr>
              <w:t>6</w:t>
            </w:r>
            <w:r w:rsidRPr="00B4252D">
              <w:rPr>
                <w:rFonts w:ascii="Baskerville" w:hAnsi="Baskerville" w:cs="Baskerville"/>
                <w:b/>
                <w:sz w:val="22"/>
                <w:szCs w:val="22"/>
                <w:highlight w:val="yellow"/>
                <w:vertAlign w:val="superscript"/>
              </w:rPr>
              <w:t>th</w:t>
            </w:r>
            <w:r>
              <w:rPr>
                <w:rFonts w:ascii="Baskerville" w:hAnsi="Baskerville" w:cs="Baskerville"/>
                <w:b/>
                <w:sz w:val="22"/>
                <w:szCs w:val="22"/>
                <w:highlight w:val="yellow"/>
              </w:rPr>
              <w:t xml:space="preserve"> period</w:t>
            </w:r>
          </w:p>
        </w:tc>
        <w:tc>
          <w:tcPr>
            <w:tcW w:w="2880" w:type="dxa"/>
            <w:shd w:val="clear" w:color="auto" w:fill="FFFF00"/>
          </w:tcPr>
          <w:p w:rsidR="0083366F" w:rsidRPr="00DF1E2F" w:rsidRDefault="00E503A3" w:rsidP="00C77676">
            <w:pPr>
              <w:tabs>
                <w:tab w:val="left" w:pos="1440"/>
                <w:tab w:val="left" w:pos="4920"/>
                <w:tab w:val="right" w:pos="8640"/>
              </w:tabs>
              <w:ind w:right="270"/>
              <w:rPr>
                <w:rFonts w:ascii="Baskerville" w:hAnsi="Baskerville" w:cs="Baskerville"/>
                <w:b/>
                <w:sz w:val="22"/>
                <w:szCs w:val="22"/>
                <w:highlight w:val="yellow"/>
              </w:rPr>
            </w:pPr>
            <w:r>
              <w:rPr>
                <w:rFonts w:ascii="Baskerville" w:hAnsi="Baskerville" w:cs="Baskerville"/>
                <w:b/>
                <w:sz w:val="22"/>
                <w:szCs w:val="22"/>
                <w:highlight w:val="yellow"/>
              </w:rPr>
              <w:t xml:space="preserve">Note: </w:t>
            </w:r>
            <w:r w:rsidR="0033142C">
              <w:rPr>
                <w:rFonts w:ascii="Baskerville" w:hAnsi="Baskerville" w:cs="Baskerville"/>
                <w:b/>
                <w:sz w:val="22"/>
                <w:szCs w:val="22"/>
                <w:highlight w:val="yellow"/>
              </w:rPr>
              <w:t xml:space="preserve">The IR did not gather information </w:t>
            </w:r>
            <w:r w:rsidR="008B12E0">
              <w:rPr>
                <w:rFonts w:ascii="Baskerville" w:hAnsi="Baskerville" w:cs="Baskerville"/>
                <w:b/>
                <w:sz w:val="22"/>
                <w:szCs w:val="22"/>
                <w:highlight w:val="yellow"/>
              </w:rPr>
              <w:t>during this review period</w:t>
            </w:r>
            <w:r w:rsidR="0033142C">
              <w:rPr>
                <w:rFonts w:ascii="Baskerville" w:hAnsi="Baskerville" w:cs="Baskerville"/>
                <w:b/>
                <w:sz w:val="22"/>
                <w:szCs w:val="22"/>
                <w:highlight w:val="yellow"/>
              </w:rPr>
              <w:t xml:space="preserve"> about</w:t>
            </w:r>
            <w:r w:rsidR="00BF3BA9">
              <w:rPr>
                <w:rFonts w:ascii="Baskerville" w:hAnsi="Baskerville" w:cs="Baskerville"/>
                <w:b/>
                <w:sz w:val="22"/>
                <w:szCs w:val="22"/>
                <w:highlight w:val="yellow"/>
              </w:rPr>
              <w:t xml:space="preserve"> individuals who transitioned from Training Centers</w:t>
            </w:r>
            <w:r w:rsidR="008B12E0">
              <w:rPr>
                <w:rFonts w:ascii="Baskerville" w:hAnsi="Baskerville" w:cs="Baskerville"/>
                <w:b/>
                <w:sz w:val="22"/>
                <w:szCs w:val="22"/>
                <w:highlight w:val="yellow"/>
              </w:rPr>
              <w:t xml:space="preserve">. </w:t>
            </w:r>
          </w:p>
        </w:tc>
      </w:tr>
      <w:tr w:rsidR="0083366F" w:rsidRPr="00DF1E2F" w:rsidTr="0094744A">
        <w:trPr>
          <w:trHeight w:val="296"/>
        </w:trPr>
        <w:tc>
          <w:tcPr>
            <w:tcW w:w="1530" w:type="dxa"/>
            <w:tcBorders>
              <w:bottom w:val="single" w:sz="4" w:space="0" w:color="auto"/>
            </w:tcBorders>
            <w:vAlign w:val="center"/>
          </w:tcPr>
          <w:p w:rsidR="0083366F" w:rsidRPr="00DF1E2F" w:rsidRDefault="0083366F" w:rsidP="002161A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 xml:space="preserve">IV. </w:t>
            </w:r>
          </w:p>
        </w:tc>
        <w:tc>
          <w:tcPr>
            <w:tcW w:w="4320" w:type="dxa"/>
            <w:tcBorders>
              <w:bottom w:val="single" w:sz="4" w:space="0" w:color="auto"/>
            </w:tcBorders>
          </w:tcPr>
          <w:p w:rsidR="0083366F" w:rsidRPr="00DF1E2F" w:rsidRDefault="0083366F" w:rsidP="00987933">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By July 2012, the Commonwealth will have implemented Discharge and Transition Planning processes at all Training Centers consistent with the terms of this section </w:t>
            </w:r>
          </w:p>
        </w:tc>
        <w:tc>
          <w:tcPr>
            <w:tcW w:w="1440" w:type="dxa"/>
            <w:tcBorders>
              <w:bottom w:val="single" w:sz="4" w:space="0" w:color="auto"/>
            </w:tcBorders>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8466A9">
            <w:pPr>
              <w:tabs>
                <w:tab w:val="left" w:pos="1404"/>
                <w:tab w:val="left" w:pos="1440"/>
                <w:tab w:val="left" w:pos="4920"/>
                <w:tab w:val="right" w:pos="8640"/>
              </w:tabs>
              <w:ind w:left="-108" w:right="-108"/>
              <w:jc w:val="center"/>
              <w:rPr>
                <w:rFonts w:ascii="Baskerville" w:hAnsi="Baskerville" w:cs="Baskerville"/>
                <w:sz w:val="22"/>
                <w:szCs w:val="22"/>
              </w:rPr>
            </w:pPr>
          </w:p>
          <w:p w:rsidR="0083366F" w:rsidRPr="004028EC" w:rsidRDefault="0083366F" w:rsidP="008466A9">
            <w:pPr>
              <w:tabs>
                <w:tab w:val="left" w:pos="1404"/>
                <w:tab w:val="left" w:pos="1440"/>
                <w:tab w:val="left" w:pos="4920"/>
                <w:tab w:val="right" w:pos="8640"/>
              </w:tabs>
              <w:ind w:left="-108" w:right="-108"/>
              <w:jc w:val="center"/>
              <w:rPr>
                <w:rFonts w:ascii="Baskerville" w:hAnsi="Baskerville" w:cs="Baskerville"/>
                <w:sz w:val="22"/>
                <w:szCs w:val="22"/>
                <w:u w:val="single"/>
              </w:rPr>
            </w:pPr>
            <w:r w:rsidRPr="004028EC">
              <w:rPr>
                <w:rFonts w:ascii="Baskerville" w:hAnsi="Baskerville" w:cs="Baskerville"/>
                <w:sz w:val="22"/>
                <w:szCs w:val="22"/>
                <w:u w:val="single"/>
              </w:rPr>
              <w:t>Compliance</w:t>
            </w:r>
          </w:p>
          <w:p w:rsidR="0083366F" w:rsidRPr="00DF1E2F" w:rsidRDefault="0083366F" w:rsidP="008466A9">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466A9">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Borders>
              <w:bottom w:val="single" w:sz="4" w:space="0" w:color="auto"/>
            </w:tcBorders>
          </w:tcPr>
          <w:p w:rsidR="00362629" w:rsidRPr="00DF1E2F" w:rsidRDefault="008E452C" w:rsidP="003A5E8D">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Commonwealth developed and implemented d</w:t>
            </w:r>
            <w:r w:rsidR="0083366F" w:rsidRPr="00DF1E2F">
              <w:rPr>
                <w:rFonts w:ascii="Baskerville" w:hAnsi="Baskerville" w:cs="Baskerville"/>
                <w:sz w:val="22"/>
                <w:szCs w:val="22"/>
              </w:rPr>
              <w:t>ischarge planning and trans</w:t>
            </w:r>
            <w:r>
              <w:rPr>
                <w:rFonts w:ascii="Baskerville" w:hAnsi="Baskerville" w:cs="Baskerville"/>
                <w:sz w:val="22"/>
                <w:szCs w:val="22"/>
              </w:rPr>
              <w:t>ition processes prior to</w:t>
            </w:r>
            <w:r w:rsidR="0083366F" w:rsidRPr="00DF1E2F">
              <w:rPr>
                <w:rFonts w:ascii="Baskerville" w:hAnsi="Baskerville" w:cs="Baskerville"/>
                <w:sz w:val="22"/>
                <w:szCs w:val="22"/>
              </w:rPr>
              <w:t xml:space="preserve"> July </w:t>
            </w:r>
            <w:r w:rsidR="000C7341">
              <w:rPr>
                <w:rFonts w:ascii="Baskerville" w:hAnsi="Baskerville" w:cs="Baskerville"/>
                <w:sz w:val="22"/>
                <w:szCs w:val="22"/>
              </w:rPr>
              <w:t xml:space="preserve">2012. It made subsequent improvements </w:t>
            </w:r>
            <w:r w:rsidR="00832BF9">
              <w:rPr>
                <w:rFonts w:ascii="Baskerville" w:hAnsi="Baskerville" w:cs="Baskerville"/>
                <w:sz w:val="22"/>
                <w:szCs w:val="22"/>
              </w:rPr>
              <w:t>re: concerns the IR identified</w:t>
            </w:r>
            <w:r w:rsidR="0083366F" w:rsidRPr="00DF1E2F">
              <w:rPr>
                <w:rFonts w:ascii="Baskerville" w:hAnsi="Baskerville" w:cs="Baskerville"/>
                <w:sz w:val="22"/>
                <w:szCs w:val="22"/>
              </w:rPr>
              <w:t>.</w:t>
            </w:r>
          </w:p>
        </w:tc>
      </w:tr>
      <w:tr w:rsidR="0083366F" w:rsidRPr="00DF1E2F" w:rsidTr="0094744A">
        <w:trPr>
          <w:trHeight w:val="746"/>
        </w:trPr>
        <w:tc>
          <w:tcPr>
            <w:tcW w:w="1530" w:type="dxa"/>
            <w:tcBorders>
              <w:top w:val="single" w:sz="4" w:space="0" w:color="auto"/>
              <w:bottom w:val="single" w:sz="4" w:space="0" w:color="auto"/>
            </w:tcBorders>
            <w:vAlign w:val="center"/>
          </w:tcPr>
          <w:p w:rsidR="0083366F" w:rsidRPr="00DF1E2F" w:rsidRDefault="0083366F" w:rsidP="002161A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IV.A</w:t>
            </w:r>
          </w:p>
        </w:tc>
        <w:tc>
          <w:tcPr>
            <w:tcW w:w="4320" w:type="dxa"/>
            <w:tcBorders>
              <w:top w:val="single" w:sz="4" w:space="0" w:color="auto"/>
              <w:bottom w:val="single" w:sz="4" w:space="0" w:color="auto"/>
            </w:tcBorders>
          </w:tcPr>
          <w:p w:rsidR="0083366F" w:rsidRPr="00DF1E2F" w:rsidRDefault="0083366F" w:rsidP="00AF328F">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To ensure that individuals are served in the most integrated setting appropriate to their needs, the Commonwealth shall develop and implement discharge planning and transition processes at all Training Centers consistent with the terms of this Section and person-centered principles.</w:t>
            </w:r>
          </w:p>
        </w:tc>
        <w:tc>
          <w:tcPr>
            <w:tcW w:w="1440" w:type="dxa"/>
            <w:tcBorders>
              <w:top w:val="single" w:sz="4" w:space="0" w:color="auto"/>
              <w:bottom w:val="single" w:sz="4" w:space="0" w:color="auto"/>
            </w:tcBorders>
          </w:tcPr>
          <w:p w:rsidR="0083366F" w:rsidRPr="008D24E4" w:rsidRDefault="008D24E4" w:rsidP="008466A9">
            <w:pPr>
              <w:tabs>
                <w:tab w:val="left" w:pos="1404"/>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2"/>
                <w:szCs w:val="22"/>
              </w:rPr>
              <w:t>(</w:t>
            </w:r>
            <w:r w:rsidR="0083366F" w:rsidRPr="008D24E4">
              <w:rPr>
                <w:rFonts w:ascii="Baskerville" w:hAnsi="Baskerville" w:cs="Baskerville"/>
                <w:sz w:val="20"/>
                <w:szCs w:val="20"/>
              </w:rPr>
              <w:t>Non</w:t>
            </w:r>
            <w:r w:rsidR="004028EC">
              <w:rPr>
                <w:rFonts w:ascii="Baskerville" w:hAnsi="Baskerville" w:cs="Baskerville"/>
                <w:sz w:val="20"/>
                <w:szCs w:val="20"/>
              </w:rPr>
              <w:t xml:space="preserve"> </w:t>
            </w:r>
            <w:r w:rsidR="0083366F" w:rsidRPr="008D24E4">
              <w:rPr>
                <w:rFonts w:ascii="Baskerville" w:hAnsi="Baskerville" w:cs="Baskerville"/>
                <w:sz w:val="20"/>
                <w:szCs w:val="20"/>
              </w:rPr>
              <w:t>Compliance</w:t>
            </w:r>
            <w:r w:rsidRPr="008D24E4">
              <w:rPr>
                <w:rFonts w:ascii="Baskerville" w:hAnsi="Baskerville" w:cs="Baskerville"/>
                <w:sz w:val="20"/>
                <w:szCs w:val="20"/>
              </w:rPr>
              <w:t>)</w:t>
            </w:r>
          </w:p>
          <w:p w:rsidR="00F25443" w:rsidRDefault="00F25443" w:rsidP="000C3E99">
            <w:pPr>
              <w:tabs>
                <w:tab w:val="left" w:pos="1404"/>
                <w:tab w:val="left" w:pos="1440"/>
                <w:tab w:val="left" w:pos="4920"/>
                <w:tab w:val="right" w:pos="8640"/>
              </w:tabs>
              <w:ind w:left="-108" w:right="-108"/>
              <w:jc w:val="center"/>
              <w:rPr>
                <w:rFonts w:ascii="Baskerville" w:hAnsi="Baskerville" w:cs="Baskerville"/>
                <w:b/>
                <w:sz w:val="22"/>
                <w:szCs w:val="22"/>
              </w:rPr>
            </w:pPr>
          </w:p>
          <w:p w:rsidR="0083366F" w:rsidRDefault="0083366F" w:rsidP="008466A9">
            <w:pPr>
              <w:tabs>
                <w:tab w:val="left" w:pos="1404"/>
                <w:tab w:val="left" w:pos="1440"/>
                <w:tab w:val="left" w:pos="4920"/>
                <w:tab w:val="right" w:pos="8640"/>
              </w:tabs>
              <w:ind w:left="-108" w:right="-108"/>
              <w:jc w:val="center"/>
              <w:rPr>
                <w:rFonts w:ascii="Baskerville" w:hAnsi="Baskerville" w:cs="Baskerville"/>
                <w:sz w:val="22"/>
                <w:szCs w:val="22"/>
                <w:u w:val="single"/>
              </w:rPr>
            </w:pPr>
            <w:r w:rsidRPr="007E0954">
              <w:rPr>
                <w:rFonts w:ascii="Baskerville" w:hAnsi="Baskerville" w:cs="Baskerville"/>
                <w:sz w:val="22"/>
                <w:szCs w:val="22"/>
                <w:u w:val="single"/>
              </w:rPr>
              <w:t>Non</w:t>
            </w:r>
            <w:r w:rsidR="005A116C">
              <w:rPr>
                <w:rFonts w:ascii="Baskerville" w:hAnsi="Baskerville" w:cs="Baskerville"/>
                <w:sz w:val="22"/>
                <w:szCs w:val="22"/>
                <w:u w:val="single"/>
              </w:rPr>
              <w:t xml:space="preserve"> </w:t>
            </w:r>
            <w:r w:rsidRPr="007E0954">
              <w:rPr>
                <w:rFonts w:ascii="Baskerville" w:hAnsi="Baskerville" w:cs="Baskerville"/>
                <w:sz w:val="22"/>
                <w:szCs w:val="22"/>
                <w:u w:val="single"/>
              </w:rPr>
              <w:t>Compliance</w:t>
            </w:r>
          </w:p>
          <w:p w:rsidR="001D267A" w:rsidRDefault="001D267A" w:rsidP="008466A9">
            <w:pPr>
              <w:tabs>
                <w:tab w:val="left" w:pos="1404"/>
                <w:tab w:val="left" w:pos="1440"/>
                <w:tab w:val="left" w:pos="4920"/>
                <w:tab w:val="right" w:pos="8640"/>
              </w:tabs>
              <w:ind w:left="-108" w:right="-108"/>
              <w:jc w:val="center"/>
              <w:rPr>
                <w:rFonts w:ascii="Baskerville" w:hAnsi="Baskerville" w:cs="Baskerville"/>
                <w:sz w:val="22"/>
                <w:szCs w:val="22"/>
                <w:u w:val="single"/>
              </w:rPr>
            </w:pPr>
          </w:p>
          <w:p w:rsidR="001D267A" w:rsidRPr="000B086E" w:rsidRDefault="001D267A" w:rsidP="001D267A">
            <w:pPr>
              <w:tabs>
                <w:tab w:val="left" w:pos="1404"/>
                <w:tab w:val="left" w:pos="1440"/>
                <w:tab w:val="left" w:pos="4920"/>
                <w:tab w:val="right" w:pos="8640"/>
              </w:tabs>
              <w:ind w:left="-108" w:right="-108"/>
              <w:jc w:val="center"/>
              <w:rPr>
                <w:rFonts w:ascii="Baskerville" w:hAnsi="Baskerville" w:cs="Baskerville"/>
                <w:b/>
                <w:sz w:val="22"/>
                <w:szCs w:val="22"/>
              </w:rPr>
            </w:pPr>
            <w:r w:rsidRPr="000B086E">
              <w:rPr>
                <w:rFonts w:ascii="Baskerville" w:hAnsi="Baskerville" w:cs="Baskerville"/>
                <w:b/>
                <w:sz w:val="22"/>
                <w:szCs w:val="22"/>
              </w:rPr>
              <w:t>Non</w:t>
            </w:r>
          </w:p>
          <w:p w:rsidR="001D267A" w:rsidRPr="000B086E" w:rsidRDefault="001D267A" w:rsidP="001D267A">
            <w:pPr>
              <w:tabs>
                <w:tab w:val="left" w:pos="1404"/>
                <w:tab w:val="left" w:pos="1440"/>
                <w:tab w:val="left" w:pos="4920"/>
                <w:tab w:val="right" w:pos="8640"/>
              </w:tabs>
              <w:ind w:left="-108" w:right="-108"/>
              <w:jc w:val="center"/>
              <w:rPr>
                <w:rFonts w:ascii="Baskerville" w:hAnsi="Baskerville" w:cs="Baskerville"/>
                <w:b/>
                <w:sz w:val="22"/>
                <w:szCs w:val="22"/>
              </w:rPr>
            </w:pPr>
            <w:r w:rsidRPr="000B086E">
              <w:rPr>
                <w:rFonts w:ascii="Baskerville" w:hAnsi="Baskerville" w:cs="Baskerville"/>
                <w:b/>
                <w:sz w:val="22"/>
                <w:szCs w:val="22"/>
              </w:rPr>
              <w:t>Compliance</w:t>
            </w:r>
          </w:p>
          <w:p w:rsidR="001D267A" w:rsidRPr="007E0954" w:rsidRDefault="001D267A" w:rsidP="008466A9">
            <w:pPr>
              <w:tabs>
                <w:tab w:val="left" w:pos="1404"/>
                <w:tab w:val="left" w:pos="1440"/>
                <w:tab w:val="left" w:pos="4920"/>
                <w:tab w:val="right" w:pos="8640"/>
              </w:tabs>
              <w:ind w:left="-108" w:right="-108"/>
              <w:jc w:val="center"/>
              <w:rPr>
                <w:rFonts w:ascii="Baskerville" w:hAnsi="Baskerville" w:cs="Baskerville"/>
                <w:sz w:val="22"/>
                <w:szCs w:val="22"/>
                <w:u w:val="single"/>
              </w:rPr>
            </w:pPr>
          </w:p>
          <w:p w:rsidR="0083366F" w:rsidRDefault="0083366F" w:rsidP="000C3E99">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C3E99">
            <w:pPr>
              <w:tabs>
                <w:tab w:val="left" w:pos="1404"/>
                <w:tab w:val="left" w:pos="1440"/>
                <w:tab w:val="left" w:pos="4920"/>
                <w:tab w:val="right" w:pos="8640"/>
              </w:tabs>
              <w:ind w:left="-108" w:right="-108"/>
              <w:jc w:val="center"/>
              <w:rPr>
                <w:rFonts w:ascii="Baskerville" w:hAnsi="Baskerville" w:cs="Baskerville"/>
                <w:b/>
                <w:sz w:val="22"/>
                <w:szCs w:val="22"/>
              </w:rPr>
            </w:pPr>
          </w:p>
        </w:tc>
        <w:tc>
          <w:tcPr>
            <w:tcW w:w="2880" w:type="dxa"/>
            <w:tcBorders>
              <w:top w:val="single" w:sz="4" w:space="0" w:color="auto"/>
              <w:bottom w:val="single" w:sz="4" w:space="0" w:color="auto"/>
            </w:tcBorders>
          </w:tcPr>
          <w:p w:rsidR="0083366F" w:rsidRPr="00DF1E2F" w:rsidRDefault="0083366F" w:rsidP="00E5614D">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Most integrated </w:t>
            </w:r>
            <w:r>
              <w:rPr>
                <w:rFonts w:ascii="Baskerville" w:hAnsi="Baskerville" w:cs="Baskerville"/>
                <w:sz w:val="22"/>
                <w:szCs w:val="22"/>
              </w:rPr>
              <w:t>residential and day options</w:t>
            </w:r>
            <w:r w:rsidRPr="00DF1E2F" w:rsidDel="008A5024">
              <w:rPr>
                <w:rFonts w:ascii="Baskerville" w:hAnsi="Baskerville" w:cs="Baskerville"/>
                <w:sz w:val="22"/>
                <w:szCs w:val="22"/>
              </w:rPr>
              <w:t xml:space="preserve"> </w:t>
            </w:r>
            <w:r>
              <w:rPr>
                <w:rFonts w:ascii="Baskerville" w:hAnsi="Baskerville" w:cs="Baskerville"/>
                <w:sz w:val="22"/>
                <w:szCs w:val="22"/>
              </w:rPr>
              <w:t xml:space="preserve">for </w:t>
            </w:r>
            <w:r w:rsidRPr="00DF1E2F">
              <w:rPr>
                <w:rFonts w:ascii="Baskerville" w:hAnsi="Baskerville" w:cs="Baskerville"/>
                <w:sz w:val="22"/>
                <w:szCs w:val="22"/>
              </w:rPr>
              <w:t>individuals with comple</w:t>
            </w:r>
            <w:r>
              <w:rPr>
                <w:rFonts w:ascii="Baskerville" w:hAnsi="Baskerville" w:cs="Baskerville"/>
                <w:sz w:val="22"/>
                <w:szCs w:val="22"/>
              </w:rPr>
              <w:t>x need</w:t>
            </w:r>
            <w:r w:rsidRPr="00DF1E2F">
              <w:rPr>
                <w:rFonts w:ascii="Baskerville" w:hAnsi="Baskerville" w:cs="Baskerville"/>
                <w:sz w:val="22"/>
                <w:szCs w:val="22"/>
              </w:rPr>
              <w:t>s</w:t>
            </w:r>
            <w:r w:rsidRPr="00DF1E2F" w:rsidDel="008A5024">
              <w:rPr>
                <w:rFonts w:ascii="Baskerville" w:hAnsi="Baskerville" w:cs="Baskerville"/>
                <w:sz w:val="22"/>
                <w:szCs w:val="22"/>
              </w:rPr>
              <w:t xml:space="preserve"> </w:t>
            </w:r>
            <w:r w:rsidR="00A96761">
              <w:rPr>
                <w:rFonts w:ascii="Baskerville" w:hAnsi="Baskerville" w:cs="Baskerville"/>
                <w:sz w:val="22"/>
                <w:szCs w:val="22"/>
              </w:rPr>
              <w:t xml:space="preserve">are often not available. The Commonwealth’s </w:t>
            </w:r>
            <w:r w:rsidR="00AA746F">
              <w:rPr>
                <w:rFonts w:ascii="Baskerville" w:hAnsi="Baskerville" w:cs="Baskerville"/>
                <w:sz w:val="22"/>
                <w:szCs w:val="22"/>
              </w:rPr>
              <w:t xml:space="preserve">implementation of its redesigned </w:t>
            </w:r>
            <w:r w:rsidR="00E5614D">
              <w:rPr>
                <w:rFonts w:ascii="Baskerville" w:hAnsi="Baskerville" w:cs="Baskerville"/>
                <w:sz w:val="22"/>
                <w:szCs w:val="22"/>
              </w:rPr>
              <w:t xml:space="preserve">HCBS waiver is its </w:t>
            </w:r>
            <w:r w:rsidR="00A96761">
              <w:rPr>
                <w:rFonts w:ascii="Baskerville" w:hAnsi="Baskerville" w:cs="Baskerville"/>
                <w:sz w:val="22"/>
                <w:szCs w:val="22"/>
              </w:rPr>
              <w:t xml:space="preserve">strategy to come into compliance. </w:t>
            </w:r>
            <w:r w:rsidR="00E5614D">
              <w:rPr>
                <w:rFonts w:ascii="Baskerville" w:hAnsi="Baskerville" w:cs="Baskerville"/>
                <w:sz w:val="22"/>
                <w:szCs w:val="22"/>
              </w:rPr>
              <w:t>That restructure has not yet been put into effect.</w:t>
            </w:r>
          </w:p>
        </w:tc>
      </w:tr>
      <w:tr w:rsidR="0083366F" w:rsidRPr="00DF1E2F" w:rsidTr="0094744A">
        <w:trPr>
          <w:trHeight w:val="2438"/>
        </w:trPr>
        <w:tc>
          <w:tcPr>
            <w:tcW w:w="1530" w:type="dxa"/>
            <w:vAlign w:val="center"/>
          </w:tcPr>
          <w:p w:rsidR="0083366F" w:rsidRPr="00DF1E2F" w:rsidRDefault="0083366F" w:rsidP="0045460D">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IV.B.3.</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Individuals in Training Centers shall participate in their treatment and discharge planning to the maximum extent practicable, regardless of whether they have authorized representatives.  Individuals shall be provided the necessary support (including, but not limited to, communication supports) to ensure that they have a meaningful role in the process.</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0562B6">
            <w:pPr>
              <w:tabs>
                <w:tab w:val="left" w:pos="1404"/>
                <w:tab w:val="left" w:pos="1440"/>
                <w:tab w:val="left" w:pos="4920"/>
                <w:tab w:val="right" w:pos="8640"/>
              </w:tabs>
              <w:ind w:left="-108" w:right="-108"/>
              <w:jc w:val="center"/>
              <w:rPr>
                <w:rFonts w:ascii="Baskerville" w:hAnsi="Baskerville" w:cs="Baskerville"/>
                <w:sz w:val="22"/>
                <w:szCs w:val="22"/>
              </w:rPr>
            </w:pPr>
          </w:p>
          <w:p w:rsidR="0083366F" w:rsidRPr="007E0954" w:rsidRDefault="0083366F" w:rsidP="000562B6">
            <w:pPr>
              <w:tabs>
                <w:tab w:val="left" w:pos="1404"/>
                <w:tab w:val="left" w:pos="1440"/>
                <w:tab w:val="left" w:pos="4920"/>
                <w:tab w:val="right" w:pos="8640"/>
              </w:tabs>
              <w:ind w:left="-108" w:right="-108"/>
              <w:jc w:val="center"/>
              <w:rPr>
                <w:rFonts w:ascii="Baskerville" w:hAnsi="Baskerville" w:cs="Baskerville"/>
                <w:sz w:val="22"/>
                <w:szCs w:val="22"/>
                <w:u w:val="single"/>
              </w:rPr>
            </w:pPr>
            <w:r w:rsidRPr="007E0954">
              <w:rPr>
                <w:rFonts w:ascii="Baskerville" w:hAnsi="Baskerville" w:cs="Baskerville"/>
                <w:sz w:val="22"/>
                <w:szCs w:val="22"/>
                <w:u w:val="single"/>
              </w:rPr>
              <w:t>Compliance</w:t>
            </w:r>
          </w:p>
          <w:p w:rsidR="0083366F" w:rsidRPr="00DF1E2F" w:rsidRDefault="0083366F" w:rsidP="000562B6">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0562B6">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0562B6">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257C9">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9211DE" w:rsidRDefault="00243806" w:rsidP="00243806">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 xml:space="preserve">The IR </w:t>
            </w:r>
            <w:r w:rsidRPr="00DF1E2F">
              <w:rPr>
                <w:rFonts w:ascii="Baskerville" w:hAnsi="Baskerville" w:cs="Baskerville"/>
                <w:sz w:val="22"/>
                <w:szCs w:val="22"/>
              </w:rPr>
              <w:t xml:space="preserve">found that </w:t>
            </w:r>
          </w:p>
          <w:p w:rsidR="0083366F" w:rsidRPr="00DF1E2F" w:rsidRDefault="009211DE" w:rsidP="00134362">
            <w:pPr>
              <w:tabs>
                <w:tab w:val="left" w:pos="1440"/>
                <w:tab w:val="left" w:pos="2502"/>
                <w:tab w:val="left" w:pos="4920"/>
                <w:tab w:val="right" w:pos="8640"/>
              </w:tabs>
              <w:ind w:right="-108"/>
              <w:rPr>
                <w:rFonts w:ascii="Baskerville" w:hAnsi="Baskerville" w:cs="Baskerville"/>
                <w:sz w:val="22"/>
                <w:szCs w:val="22"/>
              </w:rPr>
            </w:pPr>
            <w:r w:rsidRPr="00897163">
              <w:rPr>
                <w:rFonts w:ascii="MS Gothic" w:eastAsia="MS Gothic" w:hAnsi="MS Gothic"/>
                <w:color w:val="000000"/>
                <w:sz w:val="16"/>
                <w:szCs w:val="16"/>
              </w:rPr>
              <w:t>☐</w:t>
            </w:r>
            <w:r>
              <w:rPr>
                <w:rFonts w:ascii="Baskerville" w:hAnsi="Baskerville" w:cs="Baskerville"/>
                <w:sz w:val="22"/>
                <w:szCs w:val="22"/>
              </w:rPr>
              <w:t xml:space="preserve"> </w:t>
            </w:r>
            <w:r w:rsidR="00E5614D">
              <w:rPr>
                <w:rFonts w:ascii="Baskerville" w:hAnsi="Baskerville" w:cs="Baskerville"/>
                <w:sz w:val="22"/>
                <w:szCs w:val="22"/>
              </w:rPr>
              <w:t>55 (100%)</w:t>
            </w:r>
            <w:r w:rsidR="0083366F" w:rsidRPr="00DF1E2F">
              <w:rPr>
                <w:rFonts w:ascii="Baskerville" w:hAnsi="Baskerville" w:cs="Baskerville"/>
                <w:sz w:val="22"/>
                <w:szCs w:val="22"/>
              </w:rPr>
              <w:t xml:space="preserve"> </w:t>
            </w:r>
            <w:r w:rsidR="00134362">
              <w:rPr>
                <w:rFonts w:ascii="Baskerville" w:hAnsi="Baskerville" w:cs="Baskerville"/>
                <w:sz w:val="22"/>
                <w:szCs w:val="22"/>
              </w:rPr>
              <w:t xml:space="preserve">of the </w:t>
            </w:r>
            <w:r w:rsidR="0083366F" w:rsidRPr="00DF1E2F">
              <w:rPr>
                <w:rFonts w:ascii="Baskerville" w:hAnsi="Baskerville" w:cs="Baskerville"/>
                <w:sz w:val="22"/>
                <w:szCs w:val="22"/>
              </w:rPr>
              <w:t xml:space="preserve">individuals </w:t>
            </w:r>
            <w:r w:rsidR="00134362">
              <w:rPr>
                <w:rFonts w:ascii="Baskerville" w:hAnsi="Baskerville" w:cs="Baskerville"/>
                <w:sz w:val="22"/>
                <w:szCs w:val="22"/>
              </w:rPr>
              <w:t>whose services were studied</w:t>
            </w:r>
            <w:r w:rsidR="00243806" w:rsidRPr="00DF1E2F">
              <w:rPr>
                <w:rFonts w:ascii="Baskerville" w:hAnsi="Baskerville" w:cs="Baskerville"/>
                <w:sz w:val="22"/>
                <w:szCs w:val="22"/>
              </w:rPr>
              <w:t xml:space="preserve"> </w:t>
            </w:r>
            <w:r w:rsidR="00243806">
              <w:rPr>
                <w:rFonts w:ascii="Baskerville" w:hAnsi="Baskerville" w:cs="Baskerville"/>
                <w:sz w:val="22"/>
                <w:szCs w:val="22"/>
              </w:rPr>
              <w:t xml:space="preserve">during the fourth and fifth review periods </w:t>
            </w:r>
            <w:r w:rsidR="0083366F" w:rsidRPr="00DF1E2F">
              <w:rPr>
                <w:rFonts w:ascii="Baskerville" w:hAnsi="Baskerville" w:cs="Baskerville"/>
                <w:sz w:val="22"/>
                <w:szCs w:val="22"/>
              </w:rPr>
              <w:t>and their authorized representatives participated</w:t>
            </w:r>
            <w:r w:rsidR="009C3935">
              <w:rPr>
                <w:rFonts w:ascii="Baskerville" w:hAnsi="Baskerville" w:cs="Baskerville"/>
                <w:sz w:val="22"/>
                <w:szCs w:val="22"/>
              </w:rPr>
              <w:t xml:space="preserve"> in such planning. DBHDS</w:t>
            </w:r>
            <w:r w:rsidR="0083366F" w:rsidRPr="00DF1E2F">
              <w:rPr>
                <w:rFonts w:ascii="Baskerville" w:hAnsi="Baskerville" w:cs="Baskerville"/>
                <w:sz w:val="22"/>
                <w:szCs w:val="22"/>
              </w:rPr>
              <w:t xml:space="preserve"> t</w:t>
            </w:r>
            <w:r w:rsidR="009C3935">
              <w:rPr>
                <w:rFonts w:ascii="Baskerville" w:hAnsi="Baskerville" w:cs="Baskerville"/>
                <w:sz w:val="22"/>
                <w:szCs w:val="22"/>
              </w:rPr>
              <w:t>rains staff</w:t>
            </w:r>
            <w:r w:rsidR="00AA7296">
              <w:rPr>
                <w:rFonts w:ascii="Baskerville" w:hAnsi="Baskerville" w:cs="Baskerville"/>
                <w:sz w:val="22"/>
                <w:szCs w:val="22"/>
              </w:rPr>
              <w:t xml:space="preserve"> to present information. </w:t>
            </w:r>
          </w:p>
        </w:tc>
      </w:tr>
      <w:tr w:rsidR="0083366F" w:rsidRPr="00DF1E2F" w:rsidTr="0094744A">
        <w:trPr>
          <w:trHeight w:val="1016"/>
        </w:trPr>
        <w:tc>
          <w:tcPr>
            <w:tcW w:w="1530" w:type="dxa"/>
            <w:vAlign w:val="center"/>
          </w:tcPr>
          <w:p w:rsidR="0083366F" w:rsidRPr="007C1456" w:rsidRDefault="0083366F" w:rsidP="0045460D">
            <w:pPr>
              <w:tabs>
                <w:tab w:val="left" w:pos="1440"/>
                <w:tab w:val="left" w:pos="4920"/>
                <w:tab w:val="right" w:pos="8640"/>
              </w:tabs>
              <w:ind w:left="-108" w:right="-108"/>
              <w:jc w:val="center"/>
              <w:rPr>
                <w:rFonts w:ascii="Baskerville" w:hAnsi="Baskerville" w:cs="Baskerville"/>
                <w:b/>
                <w:sz w:val="22"/>
                <w:szCs w:val="22"/>
                <w:u w:val="single"/>
              </w:rPr>
            </w:pPr>
            <w:r w:rsidRPr="007C1456">
              <w:rPr>
                <w:rFonts w:ascii="Baskerville" w:hAnsi="Baskerville" w:cs="Baskerville"/>
                <w:b/>
                <w:sz w:val="22"/>
                <w:szCs w:val="22"/>
                <w:u w:val="single"/>
              </w:rPr>
              <w:t>IV.B.4.</w:t>
            </w:r>
          </w:p>
        </w:tc>
        <w:tc>
          <w:tcPr>
            <w:tcW w:w="4320" w:type="dxa"/>
          </w:tcPr>
          <w:p w:rsidR="0083366F" w:rsidRPr="00DF1E2F" w:rsidRDefault="0083366F" w:rsidP="004B279A">
            <w:pPr>
              <w:tabs>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goal of treatment and discharge planning shall be to assist the individual in achieving outcomes that promote the individual’s growth, well being, and independence, based on the individual’s strengths, needs, goals, and preferences, in the most integrated settings in all domains of the individual’s life (including community living, activities, employment, education, recreation, healthcare, and relationships).</w:t>
            </w:r>
          </w:p>
        </w:tc>
        <w:tc>
          <w:tcPr>
            <w:tcW w:w="1440" w:type="dxa"/>
          </w:tcPr>
          <w:p w:rsidR="00245B0C" w:rsidRPr="00B859E2" w:rsidRDefault="00245B0C" w:rsidP="00245B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w:t>
            </w:r>
            <w:r w:rsidR="007E0954">
              <w:rPr>
                <w:rFonts w:ascii="Baskerville" w:hAnsi="Baskerville" w:cs="Baskerville"/>
                <w:sz w:val="20"/>
                <w:szCs w:val="20"/>
              </w:rPr>
              <w:t xml:space="preserve"> </w:t>
            </w:r>
            <w:r w:rsidRPr="00B859E2">
              <w:rPr>
                <w:rFonts w:ascii="Baskerville" w:hAnsi="Baskerville" w:cs="Baskerville"/>
                <w:sz w:val="20"/>
                <w:szCs w:val="20"/>
              </w:rPr>
              <w:t>Compliance)</w:t>
            </w:r>
          </w:p>
          <w:p w:rsidR="000D363C" w:rsidRDefault="000D363C" w:rsidP="003C3A18">
            <w:pPr>
              <w:tabs>
                <w:tab w:val="left" w:pos="1440"/>
                <w:tab w:val="left" w:pos="4920"/>
                <w:tab w:val="right" w:pos="8640"/>
              </w:tabs>
              <w:ind w:left="-108" w:right="-108"/>
              <w:jc w:val="center"/>
              <w:rPr>
                <w:rFonts w:ascii="Baskerville" w:hAnsi="Baskerville" w:cs="Baskerville"/>
                <w:sz w:val="22"/>
                <w:szCs w:val="22"/>
                <w:u w:val="single"/>
              </w:rPr>
            </w:pPr>
          </w:p>
          <w:p w:rsidR="0083366F" w:rsidRPr="000D363C" w:rsidRDefault="0083366F" w:rsidP="003C3A18">
            <w:pPr>
              <w:tabs>
                <w:tab w:val="left" w:pos="1440"/>
                <w:tab w:val="left" w:pos="4920"/>
                <w:tab w:val="right" w:pos="8640"/>
              </w:tabs>
              <w:ind w:left="-108" w:right="-108"/>
              <w:jc w:val="center"/>
              <w:rPr>
                <w:rFonts w:ascii="Baskerville" w:hAnsi="Baskerville" w:cs="Baskerville"/>
                <w:sz w:val="22"/>
                <w:szCs w:val="22"/>
                <w:u w:val="single"/>
              </w:rPr>
            </w:pPr>
            <w:r w:rsidRPr="000D363C">
              <w:rPr>
                <w:rFonts w:ascii="Baskerville" w:hAnsi="Baskerville" w:cs="Baskerville"/>
                <w:sz w:val="22"/>
                <w:szCs w:val="22"/>
                <w:u w:val="single"/>
              </w:rPr>
              <w:t>Non</w:t>
            </w:r>
          </w:p>
          <w:p w:rsidR="0083366F" w:rsidRPr="000D363C" w:rsidRDefault="0083366F" w:rsidP="003C3A18">
            <w:pPr>
              <w:tabs>
                <w:tab w:val="left" w:pos="1440"/>
                <w:tab w:val="left" w:pos="4920"/>
                <w:tab w:val="right" w:pos="8640"/>
              </w:tabs>
              <w:ind w:left="-108" w:right="-108"/>
              <w:jc w:val="center"/>
              <w:rPr>
                <w:rFonts w:ascii="Baskerville" w:hAnsi="Baskerville" w:cs="Baskerville"/>
                <w:sz w:val="22"/>
                <w:szCs w:val="22"/>
                <w:u w:val="single"/>
              </w:rPr>
            </w:pPr>
            <w:r w:rsidRPr="000D363C">
              <w:rPr>
                <w:rFonts w:ascii="Baskerville" w:hAnsi="Baskerville" w:cs="Baskerville"/>
                <w:sz w:val="22"/>
                <w:szCs w:val="22"/>
                <w:u w:val="single"/>
              </w:rPr>
              <w:t>Compliance</w:t>
            </w:r>
          </w:p>
          <w:p w:rsidR="0083366F" w:rsidRPr="00DF1E2F" w:rsidRDefault="0083366F" w:rsidP="003C3A1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C3A1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C3A18">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C3A18">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E04AA1" w:rsidRDefault="00C726FD" w:rsidP="00426506">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The</w:t>
            </w:r>
            <w:r w:rsidR="00243806">
              <w:rPr>
                <w:rFonts w:ascii="Baskerville" w:hAnsi="Baskerville" w:cs="Baskerville"/>
                <w:sz w:val="22"/>
                <w:szCs w:val="22"/>
              </w:rPr>
              <w:t xml:space="preserve"> IR</w:t>
            </w:r>
            <w:r w:rsidRPr="00DF1E2F">
              <w:rPr>
                <w:rFonts w:ascii="Baskerville" w:hAnsi="Baskerville" w:cs="Baskerville"/>
                <w:sz w:val="22"/>
                <w:szCs w:val="22"/>
              </w:rPr>
              <w:t xml:space="preserve"> </w:t>
            </w:r>
            <w:r w:rsidR="0083366F" w:rsidRPr="00DF1E2F">
              <w:rPr>
                <w:rFonts w:ascii="Baskerville" w:hAnsi="Baskerville" w:cs="Baskerville"/>
                <w:sz w:val="22"/>
                <w:szCs w:val="22"/>
              </w:rPr>
              <w:t xml:space="preserve">found that </w:t>
            </w:r>
          </w:p>
          <w:p w:rsidR="009211DE" w:rsidRDefault="00E04AA1" w:rsidP="00426506">
            <w:pPr>
              <w:tabs>
                <w:tab w:val="left" w:pos="1440"/>
                <w:tab w:val="left" w:pos="4920"/>
                <w:tab w:val="right" w:pos="8640"/>
              </w:tabs>
              <w:rPr>
                <w:rFonts w:ascii="Baskerville" w:hAnsi="Baskerville" w:cs="Baskerville"/>
                <w:sz w:val="22"/>
                <w:szCs w:val="22"/>
              </w:rPr>
            </w:pPr>
            <w:r w:rsidRPr="00897163">
              <w:rPr>
                <w:rFonts w:ascii="MS Gothic" w:eastAsia="MS Gothic" w:hAnsi="MS Gothic"/>
                <w:color w:val="000000"/>
                <w:sz w:val="16"/>
                <w:szCs w:val="16"/>
              </w:rPr>
              <w:t>☐</w:t>
            </w:r>
            <w:r w:rsidR="00024804">
              <w:rPr>
                <w:rFonts w:ascii="Baskerville" w:hAnsi="Baskerville" w:cs="Baskerville"/>
                <w:sz w:val="22"/>
                <w:szCs w:val="22"/>
              </w:rPr>
              <w:t xml:space="preserve"> </w:t>
            </w:r>
            <w:r w:rsidR="0083366F" w:rsidRPr="00DF1E2F">
              <w:rPr>
                <w:rFonts w:ascii="Baskerville" w:hAnsi="Baskerville" w:cs="Baskerville"/>
                <w:sz w:val="22"/>
                <w:szCs w:val="22"/>
              </w:rPr>
              <w:t xml:space="preserve">35 (63.6%) of 55 individuals </w:t>
            </w:r>
            <w:r w:rsidR="00AF4D3A">
              <w:rPr>
                <w:rFonts w:ascii="Baskerville" w:hAnsi="Baskerville" w:cs="Baskerville"/>
                <w:sz w:val="22"/>
                <w:szCs w:val="22"/>
              </w:rPr>
              <w:t>whose services were studied</w:t>
            </w:r>
            <w:r w:rsidRPr="00DF1E2F">
              <w:rPr>
                <w:rFonts w:ascii="Baskerville" w:hAnsi="Baskerville" w:cs="Baskerville"/>
                <w:sz w:val="22"/>
                <w:szCs w:val="22"/>
              </w:rPr>
              <w:t xml:space="preserve"> </w:t>
            </w:r>
            <w:r>
              <w:rPr>
                <w:rFonts w:ascii="Baskerville" w:hAnsi="Baskerville" w:cs="Baskerville"/>
                <w:sz w:val="22"/>
                <w:szCs w:val="22"/>
              </w:rPr>
              <w:t xml:space="preserve">during the fourth and fifth review periods </w:t>
            </w:r>
            <w:r w:rsidR="0083366F" w:rsidRPr="00DF1E2F">
              <w:rPr>
                <w:rFonts w:ascii="Baskerville" w:hAnsi="Baskerville" w:cs="Baskerville"/>
                <w:sz w:val="22"/>
                <w:szCs w:val="22"/>
              </w:rPr>
              <w:t>did n</w:t>
            </w:r>
            <w:r w:rsidR="00EA4A75">
              <w:rPr>
                <w:rFonts w:ascii="Baskerville" w:hAnsi="Baskerville" w:cs="Baskerville"/>
                <w:sz w:val="22"/>
                <w:szCs w:val="22"/>
              </w:rPr>
              <w:t xml:space="preserve">ot have </w:t>
            </w:r>
            <w:r w:rsidR="009211DE">
              <w:rPr>
                <w:rFonts w:ascii="Baskerville" w:hAnsi="Baskerville" w:cs="Baskerville"/>
                <w:sz w:val="22"/>
                <w:szCs w:val="22"/>
              </w:rPr>
              <w:t xml:space="preserve">treatment goals with </w:t>
            </w:r>
            <w:r w:rsidR="0083366F">
              <w:rPr>
                <w:rFonts w:ascii="Baskerville" w:hAnsi="Baskerville" w:cs="Baskerville"/>
                <w:sz w:val="22"/>
                <w:szCs w:val="22"/>
              </w:rPr>
              <w:t>outcomes that le</w:t>
            </w:r>
            <w:r w:rsidR="0083366F" w:rsidRPr="00DF1E2F">
              <w:rPr>
                <w:rFonts w:ascii="Baskerville" w:hAnsi="Baskerville" w:cs="Baskerville"/>
                <w:sz w:val="22"/>
                <w:szCs w:val="22"/>
              </w:rPr>
              <w:t>d to skill development</w:t>
            </w:r>
            <w:r w:rsidR="009211DE">
              <w:rPr>
                <w:rFonts w:ascii="Baskerville" w:hAnsi="Baskerville" w:cs="Baskerville"/>
                <w:sz w:val="22"/>
                <w:szCs w:val="22"/>
              </w:rPr>
              <w:t xml:space="preserve"> and increased self-</w:t>
            </w:r>
            <w:r w:rsidR="0078683E">
              <w:rPr>
                <w:rFonts w:ascii="Baskerville" w:hAnsi="Baskerville" w:cs="Baskerville"/>
                <w:sz w:val="22"/>
                <w:szCs w:val="22"/>
              </w:rPr>
              <w:t>sufficiency</w:t>
            </w:r>
            <w:r w:rsidR="0083366F" w:rsidRPr="00DF1E2F">
              <w:rPr>
                <w:rFonts w:ascii="Baskerville" w:hAnsi="Baskerville" w:cs="Baskerville"/>
                <w:sz w:val="22"/>
                <w:szCs w:val="22"/>
              </w:rPr>
              <w:t xml:space="preserve">. </w:t>
            </w:r>
          </w:p>
          <w:p w:rsidR="0083366F" w:rsidRPr="00DF1E2F" w:rsidRDefault="00426506" w:rsidP="00426506">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The Commonwea</w:t>
            </w:r>
            <w:r w:rsidR="00986EED">
              <w:rPr>
                <w:rFonts w:ascii="Baskerville" w:hAnsi="Baskerville" w:cs="Baskerville"/>
                <w:sz w:val="22"/>
                <w:szCs w:val="22"/>
              </w:rPr>
              <w:t>lth acknowledges its inability</w:t>
            </w:r>
            <w:r>
              <w:rPr>
                <w:rFonts w:ascii="Baskerville" w:hAnsi="Baskerville" w:cs="Baskerville"/>
                <w:sz w:val="22"/>
                <w:szCs w:val="22"/>
              </w:rPr>
              <w:t xml:space="preserve"> to provide integrated day services</w:t>
            </w:r>
            <w:r w:rsidR="007C1456">
              <w:rPr>
                <w:rFonts w:ascii="Baskerville" w:hAnsi="Baskerville" w:cs="Baskerville"/>
                <w:sz w:val="22"/>
                <w:szCs w:val="22"/>
              </w:rPr>
              <w:t xml:space="preserve"> without the restructure of the HCBS waivers.</w:t>
            </w:r>
          </w:p>
        </w:tc>
      </w:tr>
      <w:tr w:rsidR="0083366F" w:rsidRPr="00DF1E2F" w:rsidTr="0094744A">
        <w:trPr>
          <w:trHeight w:val="566"/>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w:t>
            </w:r>
          </w:p>
        </w:tc>
        <w:tc>
          <w:tcPr>
            <w:tcW w:w="4320" w:type="dxa"/>
          </w:tcPr>
          <w:p w:rsidR="0083366F" w:rsidRPr="00DF1E2F" w:rsidRDefault="0083366F" w:rsidP="008455E0">
            <w:pPr>
              <w:rPr>
                <w:rFonts w:ascii="Baskerville" w:hAnsi="Baskerville" w:cs="Baskerville"/>
                <w:sz w:val="22"/>
                <w:szCs w:val="22"/>
              </w:rPr>
            </w:pPr>
            <w:r w:rsidRPr="00DF1E2F">
              <w:rPr>
                <w:rFonts w:ascii="Baskerville" w:hAnsi="Baskerville" w:cs="Baskerville"/>
                <w:sz w:val="22"/>
                <w:szCs w:val="22"/>
              </w:rPr>
              <w:t>The Commonwealth shall ensure that discharge plans are developed for all individuals in its Training Centers through a documented person-centered planning and implementation process and consistent with the terms of this Section.  The discharge plan shall be an individualized support plan for transition into the most integrated setting consistent with informed individual choice and needs and shall be implemented accordingly.  The final discharge plan (developed within 30 days p</w:t>
            </w:r>
            <w:r w:rsidR="00C66B7D">
              <w:rPr>
                <w:rFonts w:ascii="Baskerville" w:hAnsi="Baskerville" w:cs="Baskerville"/>
                <w:sz w:val="22"/>
                <w:szCs w:val="22"/>
              </w:rPr>
              <w:t xml:space="preserve">rior to discharge) </w:t>
            </w:r>
            <w:r w:rsidRPr="00DF1E2F">
              <w:rPr>
                <w:rFonts w:ascii="Baskerville" w:hAnsi="Baskerville" w:cs="Baskerville"/>
                <w:sz w:val="22"/>
                <w:szCs w:val="22"/>
              </w:rPr>
              <w:t xml:space="preserve"> </w:t>
            </w:r>
          </w:p>
        </w:tc>
        <w:tc>
          <w:tcPr>
            <w:tcW w:w="1440" w:type="dxa"/>
          </w:tcPr>
          <w:p w:rsidR="00781ABF" w:rsidRPr="0000799C" w:rsidRDefault="00781ABF" w:rsidP="00781ABF">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p w:rsidR="0083366F" w:rsidRPr="000D363C" w:rsidRDefault="0083366F" w:rsidP="006A5F65">
            <w:pPr>
              <w:tabs>
                <w:tab w:val="left" w:pos="882"/>
                <w:tab w:val="left" w:pos="1440"/>
                <w:tab w:val="left" w:pos="4920"/>
                <w:tab w:val="right" w:pos="8640"/>
              </w:tabs>
              <w:ind w:left="-108" w:right="-108"/>
              <w:jc w:val="center"/>
              <w:rPr>
                <w:rFonts w:ascii="Baskerville" w:hAnsi="Baskerville" w:cs="Baskerville"/>
                <w:sz w:val="22"/>
                <w:szCs w:val="22"/>
                <w:u w:val="single"/>
              </w:rPr>
            </w:pPr>
            <w:r w:rsidRPr="000D363C">
              <w:rPr>
                <w:rFonts w:ascii="Baskerville" w:hAnsi="Baskerville" w:cs="Baskerville"/>
                <w:sz w:val="22"/>
                <w:szCs w:val="22"/>
                <w:u w:val="single"/>
              </w:rPr>
              <w:t>Compliance</w:t>
            </w: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882"/>
                <w:tab w:val="left" w:pos="1440"/>
                <w:tab w:val="left" w:pos="4920"/>
                <w:tab w:val="right" w:pos="8640"/>
              </w:tabs>
              <w:ind w:left="-108" w:right="-108"/>
              <w:jc w:val="center"/>
              <w:rPr>
                <w:rFonts w:ascii="Baskerville" w:hAnsi="Baskerville" w:cs="Baskerville"/>
                <w:sz w:val="22"/>
                <w:szCs w:val="22"/>
              </w:rPr>
            </w:pPr>
          </w:p>
        </w:tc>
        <w:tc>
          <w:tcPr>
            <w:tcW w:w="2880" w:type="dxa"/>
          </w:tcPr>
          <w:p w:rsidR="0038117F" w:rsidRDefault="00C726FD" w:rsidP="0038117F">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w:t>
            </w:r>
            <w:r w:rsidR="00910988">
              <w:rPr>
                <w:rFonts w:ascii="Baskerville" w:hAnsi="Baskerville" w:cs="Baskerville"/>
                <w:sz w:val="22"/>
                <w:szCs w:val="22"/>
              </w:rPr>
              <w:t xml:space="preserve"> IR</w:t>
            </w:r>
            <w:r w:rsidRPr="00DF1E2F">
              <w:rPr>
                <w:rFonts w:ascii="Baskerville" w:hAnsi="Baskerville" w:cs="Baskerville"/>
                <w:sz w:val="22"/>
                <w:szCs w:val="22"/>
              </w:rPr>
              <w:t xml:space="preserve"> studies </w:t>
            </w:r>
            <w:r>
              <w:rPr>
                <w:rFonts w:ascii="Baskerville" w:hAnsi="Baskerville" w:cs="Baskerville"/>
                <w:sz w:val="22"/>
                <w:szCs w:val="22"/>
              </w:rPr>
              <w:t xml:space="preserve">during the fourth and fifth review periods </w:t>
            </w:r>
            <w:r w:rsidR="0038117F">
              <w:rPr>
                <w:rFonts w:ascii="Baskerville" w:hAnsi="Baskerville" w:cs="Baskerville"/>
                <w:sz w:val="22"/>
                <w:szCs w:val="22"/>
              </w:rPr>
              <w:t xml:space="preserve">found that </w:t>
            </w:r>
          </w:p>
          <w:p w:rsidR="00F66ACE" w:rsidRDefault="0038117F" w:rsidP="008B7F5C">
            <w:pPr>
              <w:tabs>
                <w:tab w:val="left" w:pos="1440"/>
                <w:tab w:val="left" w:pos="4920"/>
                <w:tab w:val="right" w:pos="8640"/>
              </w:tabs>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sidR="0083366F" w:rsidRPr="00DF1E2F">
              <w:rPr>
                <w:rFonts w:ascii="Baskerville" w:hAnsi="Baskerville" w:cs="Baskerville"/>
                <w:sz w:val="22"/>
                <w:szCs w:val="22"/>
              </w:rPr>
              <w:t>30 (100%) of the individuals studied had discharge plans.</w:t>
            </w:r>
          </w:p>
          <w:p w:rsidR="00F66ACE" w:rsidRDefault="00F66ACE" w:rsidP="008B7F5C">
            <w:pPr>
              <w:tabs>
                <w:tab w:val="left" w:pos="1440"/>
                <w:tab w:val="left" w:pos="4920"/>
                <w:tab w:val="right" w:pos="8640"/>
              </w:tabs>
              <w:rPr>
                <w:rFonts w:ascii="Baskerville" w:hAnsi="Baskerville" w:cs="Baskerville"/>
                <w:sz w:val="22"/>
                <w:szCs w:val="22"/>
              </w:rPr>
            </w:pPr>
          </w:p>
          <w:p w:rsidR="0083366F" w:rsidRPr="00DF1E2F" w:rsidRDefault="0083366F" w:rsidP="008B7F5C">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DBHDS tracks this information and reports that all residents of Training Centers have discharge plans. </w:t>
            </w:r>
          </w:p>
        </w:tc>
      </w:tr>
      <w:tr w:rsidR="0083366F" w:rsidRPr="00DF1E2F" w:rsidTr="0094744A">
        <w:trPr>
          <w:trHeight w:val="296"/>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IV.B.5.a.</w:t>
            </w:r>
          </w:p>
        </w:tc>
        <w:tc>
          <w:tcPr>
            <w:tcW w:w="4320" w:type="dxa"/>
          </w:tcPr>
          <w:p w:rsidR="0083366F" w:rsidRPr="00DF1E2F" w:rsidRDefault="0083366F" w:rsidP="00E9718D">
            <w:pPr>
              <w:rPr>
                <w:rFonts w:ascii="Baskerville" w:hAnsi="Baskerville" w:cs="Baskerville"/>
                <w:sz w:val="22"/>
                <w:szCs w:val="22"/>
              </w:rPr>
            </w:pPr>
            <w:r w:rsidRPr="00DF1E2F">
              <w:rPr>
                <w:rFonts w:ascii="Baskerville" w:hAnsi="Baskerville" w:cs="Baskerville"/>
                <w:sz w:val="22"/>
                <w:szCs w:val="22"/>
              </w:rPr>
              <w:t>Provision of reliable information to the individual and, where applicable, the authorized representative, regarding community options in accordance with Section IV.B.9;</w:t>
            </w:r>
          </w:p>
          <w:p w:rsidR="0083366F" w:rsidRPr="00DF1E2F" w:rsidRDefault="0083366F" w:rsidP="00E9718D">
            <w:pPr>
              <w:rPr>
                <w:rFonts w:ascii="Baskerville" w:hAnsi="Baskerville" w:cs="Baskerville"/>
                <w:sz w:val="22"/>
                <w:szCs w:val="22"/>
              </w:rPr>
            </w:pPr>
          </w:p>
        </w:tc>
        <w:tc>
          <w:tcPr>
            <w:tcW w:w="1440" w:type="dxa"/>
          </w:tcPr>
          <w:p w:rsidR="00101D9E"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F26EA1" w:rsidRPr="00DF1E2F" w:rsidRDefault="00F26EA1" w:rsidP="00F40678">
            <w:pPr>
              <w:tabs>
                <w:tab w:val="left" w:pos="1404"/>
                <w:tab w:val="left" w:pos="1440"/>
                <w:tab w:val="left" w:pos="4920"/>
                <w:tab w:val="right" w:pos="8640"/>
              </w:tabs>
              <w:ind w:left="-108" w:right="-108"/>
              <w:jc w:val="center"/>
              <w:rPr>
                <w:rFonts w:ascii="Baskerville" w:hAnsi="Baskerville" w:cs="Baskerville"/>
                <w:sz w:val="22"/>
                <w:szCs w:val="22"/>
              </w:rPr>
            </w:pPr>
          </w:p>
          <w:p w:rsidR="0083366F" w:rsidRPr="00BA15A7" w:rsidRDefault="0083366F" w:rsidP="00F40678">
            <w:pPr>
              <w:tabs>
                <w:tab w:val="left" w:pos="1404"/>
                <w:tab w:val="left" w:pos="1440"/>
                <w:tab w:val="left" w:pos="4920"/>
                <w:tab w:val="right" w:pos="8640"/>
              </w:tabs>
              <w:ind w:left="-108" w:right="-108"/>
              <w:jc w:val="center"/>
              <w:rPr>
                <w:rFonts w:ascii="Baskerville" w:hAnsi="Baskerville" w:cs="Baskerville"/>
                <w:sz w:val="22"/>
                <w:szCs w:val="22"/>
                <w:u w:val="single"/>
              </w:rPr>
            </w:pPr>
            <w:r w:rsidRPr="00BA15A7">
              <w:rPr>
                <w:rFonts w:ascii="Baskerville" w:hAnsi="Baskerville" w:cs="Baskerville"/>
                <w:sz w:val="22"/>
                <w:szCs w:val="22"/>
                <w:u w:val="single"/>
              </w:rPr>
              <w:t>Compliance</w:t>
            </w:r>
          </w:p>
          <w:p w:rsidR="0083366F" w:rsidRPr="00DF1E2F" w:rsidRDefault="0083366F" w:rsidP="00F40678">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11258D" w:rsidRDefault="003D358B" w:rsidP="00701CF9">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The IR found that d</w:t>
            </w:r>
            <w:r w:rsidR="0083366F" w:rsidRPr="00DF1E2F">
              <w:rPr>
                <w:rFonts w:ascii="Baskerville" w:hAnsi="Baskerville" w:cs="Baskerville"/>
                <w:sz w:val="22"/>
                <w:szCs w:val="22"/>
              </w:rPr>
              <w:t>ocumentation of information provided was present in the disc</w:t>
            </w:r>
            <w:r w:rsidR="00701CF9">
              <w:rPr>
                <w:rFonts w:ascii="Baskerville" w:hAnsi="Baskerville" w:cs="Baskerville"/>
                <w:sz w:val="22"/>
                <w:szCs w:val="22"/>
              </w:rPr>
              <w:t xml:space="preserve">harge records </w:t>
            </w:r>
          </w:p>
          <w:p w:rsidR="0083366F" w:rsidRPr="00DF1E2F" w:rsidRDefault="0011258D" w:rsidP="00701CF9">
            <w:pPr>
              <w:tabs>
                <w:tab w:val="left" w:pos="1440"/>
                <w:tab w:val="left" w:pos="4920"/>
                <w:tab w:val="right" w:pos="8640"/>
              </w:tabs>
              <w:ind w:right="-108"/>
              <w:rPr>
                <w:rFonts w:ascii="Baskerville" w:hAnsi="Baskerville" w:cs="Baskerville"/>
                <w:sz w:val="22"/>
                <w:szCs w:val="22"/>
              </w:rPr>
            </w:pPr>
            <w:r w:rsidRPr="00897163">
              <w:rPr>
                <w:rFonts w:ascii="MS Gothic" w:eastAsia="MS Gothic" w:hAnsi="MS Gothic"/>
                <w:color w:val="000000"/>
                <w:sz w:val="16"/>
                <w:szCs w:val="16"/>
              </w:rPr>
              <w:t>☐</w:t>
            </w:r>
            <w:r w:rsidR="00F66ACE">
              <w:rPr>
                <w:rFonts w:ascii="Baskerville" w:hAnsi="Baskerville" w:cs="Baskerville"/>
                <w:sz w:val="22"/>
                <w:szCs w:val="22"/>
              </w:rPr>
              <w:t xml:space="preserve"> f</w:t>
            </w:r>
            <w:r w:rsidR="0038117F">
              <w:rPr>
                <w:rFonts w:ascii="Baskerville" w:hAnsi="Baskerville" w:cs="Baskerville"/>
                <w:sz w:val="22"/>
                <w:szCs w:val="22"/>
              </w:rPr>
              <w:t>or</w:t>
            </w:r>
            <w:r w:rsidR="0083366F" w:rsidRPr="00DF1E2F">
              <w:rPr>
                <w:rFonts w:ascii="Baskerville" w:hAnsi="Baskerville" w:cs="Baskerville"/>
                <w:sz w:val="22"/>
                <w:szCs w:val="22"/>
              </w:rPr>
              <w:t xml:space="preserve"> 55 (94.8%) of the 58 individuals</w:t>
            </w:r>
            <w:r w:rsidR="00701CF9">
              <w:rPr>
                <w:rFonts w:ascii="Baskerville" w:hAnsi="Baskerville" w:cs="Baskerville"/>
                <w:sz w:val="22"/>
                <w:szCs w:val="22"/>
              </w:rPr>
              <w:t xml:space="preserve"> studied</w:t>
            </w:r>
            <w:r w:rsidR="0083366F" w:rsidRPr="00DF1E2F">
              <w:rPr>
                <w:rFonts w:ascii="Baskerville" w:hAnsi="Baskerville" w:cs="Baskerville"/>
                <w:sz w:val="22"/>
                <w:szCs w:val="22"/>
              </w:rPr>
              <w:t xml:space="preserve"> during the three review periods. </w:t>
            </w:r>
          </w:p>
        </w:tc>
      </w:tr>
      <w:tr w:rsidR="0083366F" w:rsidRPr="00DF1E2F" w:rsidTr="0094744A">
        <w:trPr>
          <w:trHeight w:val="764"/>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IV.B.5.b.</w:t>
            </w:r>
          </w:p>
        </w:tc>
        <w:tc>
          <w:tcPr>
            <w:tcW w:w="4320" w:type="dxa"/>
          </w:tcPr>
          <w:p w:rsidR="0083366F" w:rsidRPr="00DF1E2F" w:rsidRDefault="0083366F" w:rsidP="00464C8E">
            <w:pPr>
              <w:rPr>
                <w:rFonts w:ascii="Baskerville" w:hAnsi="Baskerville" w:cs="Baskerville"/>
                <w:sz w:val="22"/>
                <w:szCs w:val="22"/>
              </w:rPr>
            </w:pPr>
            <w:r w:rsidRPr="00DF1E2F">
              <w:rPr>
                <w:rFonts w:ascii="Baskerville" w:hAnsi="Baskerville" w:cs="Baskerville"/>
                <w:sz w:val="22"/>
                <w:szCs w:val="22"/>
              </w:rPr>
              <w:t>Identification of the individual’s strengths, preferences, needs (clinical and support), and desired outcomes;</w:t>
            </w:r>
          </w:p>
        </w:tc>
        <w:tc>
          <w:tcPr>
            <w:tcW w:w="1440" w:type="dxa"/>
          </w:tcPr>
          <w:p w:rsidR="00101D9E"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BA15A7" w:rsidRDefault="0083366F" w:rsidP="008740CF">
            <w:pPr>
              <w:tabs>
                <w:tab w:val="left" w:pos="1404"/>
                <w:tab w:val="left" w:pos="1440"/>
                <w:tab w:val="left" w:pos="4920"/>
                <w:tab w:val="right" w:pos="8640"/>
              </w:tabs>
              <w:ind w:left="-108" w:right="-108"/>
              <w:jc w:val="center"/>
              <w:rPr>
                <w:rFonts w:ascii="Baskerville" w:hAnsi="Baskerville" w:cs="Baskerville"/>
                <w:sz w:val="22"/>
                <w:szCs w:val="22"/>
                <w:u w:val="single"/>
              </w:rPr>
            </w:pPr>
            <w:r w:rsidRPr="00BA15A7">
              <w:rPr>
                <w:rFonts w:ascii="Baskerville" w:hAnsi="Baskerville" w:cs="Baskerville"/>
                <w:sz w:val="22"/>
                <w:szCs w:val="22"/>
                <w:u w:val="single"/>
              </w:rPr>
              <w:t>Compliance</w:t>
            </w:r>
          </w:p>
        </w:tc>
        <w:tc>
          <w:tcPr>
            <w:tcW w:w="2880" w:type="dxa"/>
          </w:tcPr>
          <w:p w:rsidR="0083366F" w:rsidRPr="00DF1E2F" w:rsidRDefault="0038117F" w:rsidP="006F7AE5">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discharge plans</w:t>
            </w:r>
            <w:r w:rsidR="0083366F" w:rsidRPr="00DF1E2F">
              <w:rPr>
                <w:rFonts w:ascii="Baskerville" w:hAnsi="Baskerville" w:cs="Baskerville"/>
                <w:sz w:val="22"/>
                <w:szCs w:val="22"/>
              </w:rPr>
              <w:t xml:space="preserve"> include</w:t>
            </w:r>
            <w:r>
              <w:rPr>
                <w:rFonts w:ascii="Baskerville" w:hAnsi="Baskerville" w:cs="Baskerville"/>
                <w:sz w:val="22"/>
                <w:szCs w:val="22"/>
              </w:rPr>
              <w:t>d</w:t>
            </w:r>
            <w:r w:rsidR="0083366F" w:rsidRPr="00DF1E2F">
              <w:rPr>
                <w:rFonts w:ascii="Baskerville" w:hAnsi="Baskerville" w:cs="Baskerville"/>
                <w:sz w:val="22"/>
                <w:szCs w:val="22"/>
              </w:rPr>
              <w:t xml:space="preserve"> this information.</w:t>
            </w:r>
          </w:p>
        </w:tc>
      </w:tr>
      <w:tr w:rsidR="0083366F" w:rsidRPr="00DF1E2F" w:rsidTr="0094744A">
        <w:trPr>
          <w:trHeight w:val="1610"/>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IV.B.5.c.</w:t>
            </w:r>
          </w:p>
        </w:tc>
        <w:tc>
          <w:tcPr>
            <w:tcW w:w="4320" w:type="dxa"/>
          </w:tcPr>
          <w:p w:rsidR="0083366F" w:rsidRPr="00DF1E2F" w:rsidRDefault="0083366F" w:rsidP="00A25C85">
            <w:pPr>
              <w:rPr>
                <w:rFonts w:ascii="Baskerville" w:hAnsi="Baskerville" w:cs="Baskerville"/>
                <w:sz w:val="22"/>
                <w:szCs w:val="22"/>
              </w:rPr>
            </w:pPr>
            <w:r w:rsidRPr="00DF1E2F">
              <w:rPr>
                <w:rFonts w:ascii="Baskerville" w:hAnsi="Baskerville" w:cs="Baskerville"/>
                <w:sz w:val="22"/>
                <w:szCs w:val="22"/>
              </w:rPr>
              <w:t>Assessment of the specific supports and services that build on the individual’s strengths and preferences to meet the individual’s needs and achieve desired outcomes, regardless of whether those services and supports are currently available;</w:t>
            </w:r>
          </w:p>
        </w:tc>
        <w:tc>
          <w:tcPr>
            <w:tcW w:w="1440" w:type="dxa"/>
          </w:tcPr>
          <w:p w:rsidR="009521B2" w:rsidRDefault="00101D9E" w:rsidP="009521B2">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Default="009521B2" w:rsidP="009521B2">
            <w:pPr>
              <w:tabs>
                <w:tab w:val="left" w:pos="1692"/>
                <w:tab w:val="left" w:pos="4920"/>
                <w:tab w:val="right" w:pos="8640"/>
              </w:tabs>
              <w:ind w:left="-108" w:right="-108"/>
              <w:jc w:val="center"/>
              <w:rPr>
                <w:rFonts w:ascii="Baskerville" w:hAnsi="Baskerville" w:cs="Baskerville"/>
                <w:sz w:val="20"/>
                <w:szCs w:val="20"/>
              </w:rPr>
            </w:pPr>
          </w:p>
          <w:p w:rsidR="0083366F" w:rsidRPr="00BA15A7" w:rsidRDefault="0083366F" w:rsidP="009521B2">
            <w:pPr>
              <w:tabs>
                <w:tab w:val="left" w:pos="1692"/>
                <w:tab w:val="left" w:pos="4920"/>
                <w:tab w:val="right" w:pos="8640"/>
              </w:tabs>
              <w:ind w:left="-108" w:right="-108"/>
              <w:jc w:val="center"/>
              <w:rPr>
                <w:rFonts w:ascii="Baskerville" w:hAnsi="Baskerville" w:cs="Baskerville"/>
                <w:sz w:val="22"/>
                <w:szCs w:val="22"/>
                <w:u w:val="single"/>
              </w:rPr>
            </w:pPr>
            <w:r w:rsidRPr="00BA15A7">
              <w:rPr>
                <w:rFonts w:ascii="Baskerville" w:hAnsi="Baskerville" w:cs="Baskerville"/>
                <w:sz w:val="22"/>
                <w:szCs w:val="22"/>
                <w:u w:val="single"/>
              </w:rPr>
              <w:t>Compliance</w:t>
            </w:r>
          </w:p>
          <w:p w:rsidR="0083366F" w:rsidRPr="00DF1E2F" w:rsidRDefault="0083366F" w:rsidP="00676F09">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91194">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3F3CBB" w:rsidP="00AC1F77">
            <w:pPr>
              <w:tabs>
                <w:tab w:val="left" w:pos="1440"/>
                <w:tab w:val="left" w:pos="4920"/>
                <w:tab w:val="right" w:pos="8640"/>
              </w:tabs>
              <w:ind w:right="72"/>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sidR="0083366F" w:rsidRPr="00DF1E2F">
              <w:rPr>
                <w:rFonts w:ascii="Baskerville" w:hAnsi="Baskerville" w:cs="Baskerville"/>
                <w:sz w:val="22"/>
                <w:szCs w:val="22"/>
              </w:rPr>
              <w:t xml:space="preserve">for 26 (96.3%) of 27 individuals </w:t>
            </w:r>
            <w:r w:rsidR="0011258D">
              <w:rPr>
                <w:rFonts w:ascii="Baskerville" w:hAnsi="Baskerville" w:cs="Baskerville"/>
                <w:sz w:val="22"/>
                <w:szCs w:val="22"/>
              </w:rPr>
              <w:t>studied</w:t>
            </w:r>
            <w:r w:rsidR="00AC1F77">
              <w:rPr>
                <w:rFonts w:ascii="Baskerville" w:hAnsi="Baskerville" w:cs="Baskerville"/>
                <w:sz w:val="22"/>
                <w:szCs w:val="22"/>
              </w:rPr>
              <w:t xml:space="preserve"> during </w:t>
            </w:r>
            <w:r w:rsidR="005442D8">
              <w:rPr>
                <w:rFonts w:ascii="Baskerville" w:hAnsi="Baskerville" w:cs="Baskerville"/>
                <w:sz w:val="22"/>
                <w:szCs w:val="22"/>
              </w:rPr>
              <w:t xml:space="preserve">the fifth </w:t>
            </w:r>
            <w:r w:rsidR="00AC1F77">
              <w:rPr>
                <w:rFonts w:ascii="Baskerville" w:hAnsi="Baskerville" w:cs="Baskerville"/>
                <w:sz w:val="22"/>
                <w:szCs w:val="22"/>
              </w:rPr>
              <w:t xml:space="preserve">review </w:t>
            </w:r>
            <w:r w:rsidR="005442D8">
              <w:rPr>
                <w:rFonts w:ascii="Baskerville" w:hAnsi="Baskerville" w:cs="Baskerville"/>
                <w:sz w:val="22"/>
                <w:szCs w:val="22"/>
              </w:rPr>
              <w:t>period</w:t>
            </w:r>
            <w:r w:rsidR="0011258D">
              <w:rPr>
                <w:rFonts w:ascii="Baskerville" w:hAnsi="Baskerville" w:cs="Baskerville"/>
                <w:sz w:val="22"/>
                <w:szCs w:val="22"/>
              </w:rPr>
              <w:t>, t</w:t>
            </w:r>
            <w:r w:rsidR="0011258D" w:rsidRPr="00DF1E2F">
              <w:rPr>
                <w:rFonts w:ascii="Baskerville" w:hAnsi="Baskerville" w:cs="Baskerville"/>
                <w:sz w:val="22"/>
                <w:szCs w:val="22"/>
              </w:rPr>
              <w:t xml:space="preserve">he discharge records </w:t>
            </w:r>
            <w:r w:rsidR="0083366F" w:rsidRPr="00DF1E2F">
              <w:rPr>
                <w:rFonts w:ascii="Baskerville" w:hAnsi="Baskerville" w:cs="Baskerville"/>
                <w:sz w:val="22"/>
                <w:szCs w:val="22"/>
              </w:rPr>
              <w:t>included the assessments.</w:t>
            </w:r>
          </w:p>
        </w:tc>
      </w:tr>
      <w:tr w:rsidR="0083366F" w:rsidRPr="00DF1E2F" w:rsidTr="0094744A">
        <w:trPr>
          <w:trHeight w:val="386"/>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IV.B.5.d.</w:t>
            </w:r>
          </w:p>
        </w:tc>
        <w:tc>
          <w:tcPr>
            <w:tcW w:w="4320" w:type="dxa"/>
          </w:tcPr>
          <w:p w:rsidR="0083366F" w:rsidRPr="00DF1E2F" w:rsidRDefault="0083366F" w:rsidP="00E9718D">
            <w:pPr>
              <w:rPr>
                <w:rFonts w:ascii="Baskerville" w:hAnsi="Baskerville" w:cs="Baskerville"/>
                <w:sz w:val="22"/>
                <w:szCs w:val="22"/>
              </w:rPr>
            </w:pPr>
            <w:r w:rsidRPr="00DF1E2F">
              <w:rPr>
                <w:rFonts w:ascii="Baskerville" w:hAnsi="Baskerville" w:cs="Baskerville"/>
                <w:sz w:val="22"/>
                <w:szCs w:val="22"/>
              </w:rPr>
              <w:t>Listing of specific providers that can provide the identified supports and services that build on the individual’s strengths and preferences to meet the individual’s needs and achieve desired outcomes;</w:t>
            </w:r>
          </w:p>
        </w:tc>
        <w:tc>
          <w:tcPr>
            <w:tcW w:w="1440" w:type="dxa"/>
          </w:tcPr>
          <w:p w:rsidR="00BA15A7"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Default="009521B2" w:rsidP="002076F5">
            <w:pPr>
              <w:tabs>
                <w:tab w:val="left" w:pos="1440"/>
                <w:tab w:val="left" w:pos="4920"/>
                <w:tab w:val="right" w:pos="8640"/>
              </w:tabs>
              <w:ind w:left="-108" w:right="-108"/>
              <w:jc w:val="center"/>
              <w:rPr>
                <w:rFonts w:ascii="Baskerville" w:hAnsi="Baskerville" w:cs="Baskerville"/>
                <w:sz w:val="22"/>
                <w:szCs w:val="22"/>
                <w:u w:val="single"/>
              </w:rPr>
            </w:pPr>
          </w:p>
          <w:p w:rsidR="0083366F" w:rsidRPr="00BA15A7" w:rsidRDefault="0083366F" w:rsidP="002076F5">
            <w:pPr>
              <w:tabs>
                <w:tab w:val="left" w:pos="1440"/>
                <w:tab w:val="left" w:pos="4920"/>
                <w:tab w:val="right" w:pos="8640"/>
              </w:tabs>
              <w:ind w:left="-108" w:right="-108"/>
              <w:jc w:val="center"/>
              <w:rPr>
                <w:rFonts w:ascii="Baskerville" w:hAnsi="Baskerville" w:cs="Baskerville"/>
                <w:sz w:val="22"/>
                <w:szCs w:val="22"/>
                <w:u w:val="single"/>
              </w:rPr>
            </w:pPr>
            <w:r w:rsidRPr="00BA15A7">
              <w:rPr>
                <w:rFonts w:ascii="Baskerville" w:hAnsi="Baskerville" w:cs="Baskerville"/>
                <w:sz w:val="22"/>
                <w:szCs w:val="22"/>
                <w:u w:val="single"/>
              </w:rPr>
              <w:t>Compliance</w:t>
            </w:r>
          </w:p>
          <w:p w:rsidR="0083366F" w:rsidRPr="00DF1E2F" w:rsidRDefault="0083366F" w:rsidP="002076F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EA4A75" w:rsidP="006F7AE5">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The PST</w:t>
            </w:r>
            <w:r w:rsidR="0083366F">
              <w:rPr>
                <w:rFonts w:ascii="Baskerville" w:hAnsi="Baskerville" w:cs="Baskerville"/>
                <w:sz w:val="22"/>
                <w:szCs w:val="22"/>
              </w:rPr>
              <w:t>s select and list specific providers that can</w:t>
            </w:r>
            <w:r w:rsidR="0083366F" w:rsidRPr="00DF1E2F">
              <w:rPr>
                <w:rFonts w:ascii="Baskerville" w:hAnsi="Baskerville" w:cs="Baskerville"/>
                <w:sz w:val="22"/>
                <w:szCs w:val="22"/>
              </w:rPr>
              <w:t xml:space="preserve"> provide identified supports and services. </w:t>
            </w:r>
          </w:p>
        </w:tc>
      </w:tr>
      <w:tr w:rsidR="0083366F" w:rsidRPr="00DF1E2F" w:rsidTr="0094744A">
        <w:trPr>
          <w:trHeight w:val="1133"/>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IV.B.5.e.</w:t>
            </w:r>
          </w:p>
        </w:tc>
        <w:tc>
          <w:tcPr>
            <w:tcW w:w="4320" w:type="dxa"/>
          </w:tcPr>
          <w:p w:rsidR="0083366F" w:rsidRPr="00DF1E2F" w:rsidRDefault="0083366F" w:rsidP="00F61A39">
            <w:pPr>
              <w:rPr>
                <w:rFonts w:ascii="Baskerville" w:hAnsi="Baskerville" w:cs="Baskerville"/>
                <w:sz w:val="22"/>
                <w:szCs w:val="22"/>
              </w:rPr>
            </w:pPr>
            <w:r w:rsidRPr="00DF1E2F">
              <w:rPr>
                <w:rFonts w:ascii="Baskerville" w:hAnsi="Baskerville" w:cs="Baskerville"/>
                <w:sz w:val="22"/>
                <w:szCs w:val="22"/>
              </w:rPr>
              <w:t>Documentation of barriers preventing the individual from transitioning to a more integrated setting and a plan for addressing those barriers.</w:t>
            </w:r>
          </w:p>
        </w:tc>
        <w:tc>
          <w:tcPr>
            <w:tcW w:w="1440" w:type="dxa"/>
          </w:tcPr>
          <w:p w:rsidR="00A826E1"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Default="009521B2" w:rsidP="00220E11">
            <w:pPr>
              <w:tabs>
                <w:tab w:val="left" w:pos="1440"/>
                <w:tab w:val="left" w:pos="4920"/>
                <w:tab w:val="right" w:pos="8640"/>
              </w:tabs>
              <w:ind w:left="-18" w:right="-108"/>
              <w:jc w:val="center"/>
              <w:rPr>
                <w:rFonts w:ascii="Baskerville" w:hAnsi="Baskerville" w:cs="Baskerville"/>
                <w:sz w:val="22"/>
                <w:szCs w:val="22"/>
                <w:u w:val="single"/>
              </w:rPr>
            </w:pPr>
          </w:p>
          <w:p w:rsidR="0083366F" w:rsidRDefault="0083366F" w:rsidP="00220E11">
            <w:pPr>
              <w:tabs>
                <w:tab w:val="left" w:pos="1440"/>
                <w:tab w:val="left" w:pos="4920"/>
                <w:tab w:val="right" w:pos="8640"/>
              </w:tabs>
              <w:ind w:left="-18" w:right="-108"/>
              <w:jc w:val="center"/>
              <w:rPr>
                <w:rFonts w:ascii="Baskerville" w:hAnsi="Baskerville" w:cs="Baskerville"/>
                <w:sz w:val="22"/>
                <w:szCs w:val="22"/>
                <w:u w:val="single"/>
              </w:rPr>
            </w:pPr>
            <w:r w:rsidRPr="00A826E1">
              <w:rPr>
                <w:rFonts w:ascii="Baskerville" w:hAnsi="Baskerville" w:cs="Baskerville"/>
                <w:sz w:val="22"/>
                <w:szCs w:val="22"/>
                <w:u w:val="single"/>
              </w:rPr>
              <w:t>Compliance</w:t>
            </w:r>
          </w:p>
          <w:p w:rsidR="00E02FE5" w:rsidRPr="00A826E1" w:rsidRDefault="00E02FE5" w:rsidP="00220E11">
            <w:pPr>
              <w:tabs>
                <w:tab w:val="left" w:pos="1440"/>
                <w:tab w:val="left" w:pos="4920"/>
                <w:tab w:val="right" w:pos="8640"/>
              </w:tabs>
              <w:ind w:left="-18" w:right="-108"/>
              <w:jc w:val="center"/>
              <w:rPr>
                <w:rFonts w:ascii="Baskerville" w:hAnsi="Baskerville" w:cs="Baskerville"/>
                <w:sz w:val="22"/>
                <w:szCs w:val="22"/>
                <w:u w:val="single"/>
              </w:rPr>
            </w:pPr>
          </w:p>
        </w:tc>
        <w:tc>
          <w:tcPr>
            <w:tcW w:w="2880" w:type="dxa"/>
          </w:tcPr>
          <w:p w:rsidR="0083366F" w:rsidRPr="00DF1E2F" w:rsidRDefault="005D6B97" w:rsidP="005D6B97">
            <w:pPr>
              <w:tabs>
                <w:tab w:val="left" w:pos="1440"/>
                <w:tab w:val="left" w:pos="4920"/>
                <w:tab w:val="right" w:pos="8640"/>
              </w:tabs>
              <w:ind w:right="270"/>
              <w:rPr>
                <w:rFonts w:ascii="Baskerville" w:hAnsi="Baskerville" w:cs="Baskerville"/>
                <w:sz w:val="22"/>
                <w:szCs w:val="22"/>
              </w:rPr>
            </w:pPr>
            <w:r>
              <w:rPr>
                <w:rFonts w:ascii="Baskerville" w:hAnsi="Baskerville" w:cs="Baskerville"/>
                <w:sz w:val="22"/>
                <w:szCs w:val="22"/>
              </w:rPr>
              <w:t xml:space="preserve">The CIMs and </w:t>
            </w:r>
            <w:r w:rsidRPr="00DF1E2F">
              <w:rPr>
                <w:rFonts w:ascii="Baskerville" w:hAnsi="Baskerville" w:cs="Baskerville"/>
                <w:sz w:val="22"/>
                <w:szCs w:val="22"/>
              </w:rPr>
              <w:t xml:space="preserve">Regional Support Team </w:t>
            </w:r>
            <w:r>
              <w:rPr>
                <w:rFonts w:ascii="Baskerville" w:hAnsi="Baskerville" w:cs="Baskerville"/>
                <w:sz w:val="22"/>
                <w:szCs w:val="22"/>
              </w:rPr>
              <w:t>document barriers</w:t>
            </w:r>
            <w:r w:rsidR="0083366F" w:rsidRPr="00DF1E2F">
              <w:rPr>
                <w:rFonts w:ascii="Baskerville" w:hAnsi="Baskerville" w:cs="Baskerville"/>
                <w:sz w:val="22"/>
                <w:szCs w:val="22"/>
              </w:rPr>
              <w:t xml:space="preserve"> on the data collection sheet.</w:t>
            </w:r>
          </w:p>
        </w:tc>
      </w:tr>
      <w:tr w:rsidR="0083366F" w:rsidRPr="00DF1E2F" w:rsidTr="0094744A">
        <w:trPr>
          <w:trHeight w:val="1385"/>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IV.B.5.e.i.</w:t>
            </w:r>
          </w:p>
        </w:tc>
        <w:tc>
          <w:tcPr>
            <w:tcW w:w="4320" w:type="dxa"/>
          </w:tcPr>
          <w:p w:rsidR="0083366F" w:rsidRPr="00DF1E2F" w:rsidRDefault="0083366F" w:rsidP="00E9718D">
            <w:pPr>
              <w:rPr>
                <w:rFonts w:ascii="Baskerville" w:hAnsi="Baskerville" w:cs="Baskerville"/>
                <w:sz w:val="22"/>
                <w:szCs w:val="22"/>
              </w:rPr>
            </w:pPr>
            <w:r w:rsidRPr="00DF1E2F">
              <w:rPr>
                <w:rFonts w:ascii="Baskerville" w:hAnsi="Baskerville" w:cs="Baskerville"/>
                <w:sz w:val="22"/>
                <w:szCs w:val="22"/>
              </w:rPr>
              <w:t>Such barriers shall not include the individual’s disability or the severity of the disability.</w:t>
            </w:r>
          </w:p>
          <w:p w:rsidR="0083366F" w:rsidRPr="00DF1E2F" w:rsidRDefault="0083366F" w:rsidP="00E9718D">
            <w:pPr>
              <w:rPr>
                <w:rFonts w:ascii="Baskerville" w:hAnsi="Baskerville" w:cs="Baskerville"/>
                <w:sz w:val="22"/>
                <w:szCs w:val="22"/>
              </w:rPr>
            </w:pPr>
          </w:p>
        </w:tc>
        <w:tc>
          <w:tcPr>
            <w:tcW w:w="1440" w:type="dxa"/>
          </w:tcPr>
          <w:p w:rsidR="00101D9E"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Pr="0000799C" w:rsidRDefault="009521B2" w:rsidP="00101D9E">
            <w:pPr>
              <w:tabs>
                <w:tab w:val="left" w:pos="1692"/>
                <w:tab w:val="left" w:pos="4920"/>
                <w:tab w:val="right" w:pos="8640"/>
              </w:tabs>
              <w:ind w:left="-108" w:right="-108"/>
              <w:jc w:val="center"/>
              <w:rPr>
                <w:rFonts w:ascii="Baskerville" w:hAnsi="Baskerville" w:cs="Baskerville"/>
                <w:sz w:val="20"/>
                <w:szCs w:val="20"/>
              </w:rPr>
            </w:pPr>
          </w:p>
          <w:p w:rsidR="0083366F" w:rsidRPr="00A826E1" w:rsidRDefault="0083366F" w:rsidP="00D250C5">
            <w:pPr>
              <w:tabs>
                <w:tab w:val="left" w:pos="1404"/>
                <w:tab w:val="left" w:pos="1440"/>
                <w:tab w:val="left" w:pos="4920"/>
                <w:tab w:val="right" w:pos="8640"/>
              </w:tabs>
              <w:ind w:left="-108" w:right="-108"/>
              <w:jc w:val="center"/>
              <w:rPr>
                <w:rFonts w:ascii="Baskerville" w:hAnsi="Baskerville" w:cs="Baskerville"/>
                <w:sz w:val="22"/>
                <w:szCs w:val="22"/>
                <w:u w:val="single"/>
              </w:rPr>
            </w:pPr>
            <w:r w:rsidRPr="00A826E1">
              <w:rPr>
                <w:rFonts w:ascii="Baskerville" w:hAnsi="Baskerville" w:cs="Baskerville"/>
                <w:sz w:val="22"/>
                <w:szCs w:val="22"/>
                <w:u w:val="single"/>
              </w:rPr>
              <w:t>Compliance</w:t>
            </w:r>
          </w:p>
          <w:p w:rsidR="0083366F" w:rsidRPr="00DF1E2F" w:rsidRDefault="0083366F" w:rsidP="00D250C5">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28471E" w:rsidP="0028471E">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The IR has not found evidence </w:t>
            </w:r>
            <w:r w:rsidR="0083366F" w:rsidRPr="00DF1E2F">
              <w:rPr>
                <w:rFonts w:ascii="Baskerville" w:hAnsi="Baskerville" w:cs="Baskerville"/>
                <w:sz w:val="22"/>
                <w:szCs w:val="22"/>
              </w:rPr>
              <w:t>that an individual’s disability</w:t>
            </w:r>
            <w:r>
              <w:rPr>
                <w:rFonts w:ascii="Baskerville" w:hAnsi="Baskerville" w:cs="Baskerville"/>
                <w:sz w:val="22"/>
                <w:szCs w:val="22"/>
              </w:rPr>
              <w:t>,</w:t>
            </w:r>
            <w:r w:rsidR="0083366F" w:rsidRPr="00DF1E2F">
              <w:rPr>
                <w:rFonts w:ascii="Baskerville" w:hAnsi="Baskerville" w:cs="Baskerville"/>
                <w:sz w:val="22"/>
                <w:szCs w:val="22"/>
              </w:rPr>
              <w:t xml:space="preserve"> or the severity of the disability</w:t>
            </w:r>
            <w:r>
              <w:rPr>
                <w:rFonts w:ascii="Baskerville" w:hAnsi="Baskerville" w:cs="Baskerville"/>
                <w:sz w:val="22"/>
                <w:szCs w:val="22"/>
              </w:rPr>
              <w:t>,</w:t>
            </w:r>
            <w:r w:rsidR="0083366F" w:rsidRPr="00DF1E2F">
              <w:rPr>
                <w:rFonts w:ascii="Baskerville" w:hAnsi="Baskerville" w:cs="Baskerville"/>
                <w:sz w:val="22"/>
                <w:szCs w:val="22"/>
              </w:rPr>
              <w:t xml:space="preserve"> is a barrier</w:t>
            </w:r>
            <w:r w:rsidR="0083366F">
              <w:rPr>
                <w:rFonts w:ascii="Baskerville" w:hAnsi="Baskerville" w:cs="Baskerville"/>
                <w:sz w:val="22"/>
                <w:szCs w:val="22"/>
              </w:rPr>
              <w:t xml:space="preserve"> in the discharge plans</w:t>
            </w:r>
            <w:r w:rsidR="0083366F" w:rsidRPr="00DF1E2F">
              <w:rPr>
                <w:rFonts w:ascii="Baskerville" w:hAnsi="Baskerville" w:cs="Baskerville"/>
                <w:sz w:val="22"/>
                <w:szCs w:val="22"/>
              </w:rPr>
              <w:t xml:space="preserve">. </w:t>
            </w:r>
          </w:p>
        </w:tc>
      </w:tr>
      <w:tr w:rsidR="0083366F" w:rsidRPr="00DF1E2F" w:rsidTr="0094744A">
        <w:trPr>
          <w:trHeight w:val="3167"/>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IV.B.5.e.ii.</w:t>
            </w:r>
          </w:p>
        </w:tc>
        <w:tc>
          <w:tcPr>
            <w:tcW w:w="4320" w:type="dxa"/>
          </w:tcPr>
          <w:p w:rsidR="0083366F" w:rsidRPr="00DF1E2F" w:rsidRDefault="0083366F" w:rsidP="00E9718D">
            <w:pPr>
              <w:rPr>
                <w:rFonts w:ascii="Baskerville" w:hAnsi="Baskerville" w:cs="Baskerville"/>
                <w:sz w:val="22"/>
                <w:szCs w:val="22"/>
              </w:rPr>
            </w:pPr>
            <w:r w:rsidRPr="00DF1E2F">
              <w:rPr>
                <w:rFonts w:ascii="Baskerville" w:hAnsi="Baskerville" w:cs="Baskerville"/>
                <w:sz w:val="22"/>
                <w:szCs w:val="22"/>
              </w:rPr>
              <w:t>For individuals with a history of re-admission or crises, the factors that led to re-admission or crises shall be identified and addressed.</w:t>
            </w:r>
          </w:p>
        </w:tc>
        <w:tc>
          <w:tcPr>
            <w:tcW w:w="1440" w:type="dxa"/>
          </w:tcPr>
          <w:p w:rsidR="0083366F" w:rsidRDefault="008D24E4" w:rsidP="006A5F6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754ACA" w:rsidRPr="00DF1E2F" w:rsidRDefault="00754ACA" w:rsidP="006A5F65">
            <w:pPr>
              <w:tabs>
                <w:tab w:val="left" w:pos="1440"/>
                <w:tab w:val="left" w:pos="4920"/>
                <w:tab w:val="right" w:pos="8640"/>
              </w:tabs>
              <w:ind w:left="-108" w:right="-108"/>
              <w:jc w:val="center"/>
              <w:rPr>
                <w:rFonts w:ascii="Baskerville" w:hAnsi="Baskerville" w:cs="Baskerville"/>
                <w:sz w:val="22"/>
                <w:szCs w:val="22"/>
              </w:rPr>
            </w:pPr>
          </w:p>
          <w:p w:rsidR="00A826E1" w:rsidRDefault="0083366F" w:rsidP="006A5F65">
            <w:pPr>
              <w:tabs>
                <w:tab w:val="left" w:pos="1440"/>
                <w:tab w:val="left" w:pos="4920"/>
                <w:tab w:val="right" w:pos="8640"/>
              </w:tabs>
              <w:ind w:left="-108" w:right="-108"/>
              <w:jc w:val="center"/>
              <w:rPr>
                <w:rFonts w:ascii="Baskerville" w:hAnsi="Baskerville" w:cs="Baskerville"/>
                <w:sz w:val="22"/>
                <w:szCs w:val="22"/>
                <w:u w:val="single"/>
              </w:rPr>
            </w:pPr>
            <w:r w:rsidRPr="00A826E1">
              <w:rPr>
                <w:rFonts w:ascii="Baskerville" w:hAnsi="Baskerville" w:cs="Baskerville"/>
                <w:sz w:val="22"/>
                <w:szCs w:val="22"/>
                <w:u w:val="single"/>
              </w:rPr>
              <w:t>Non</w:t>
            </w:r>
          </w:p>
          <w:p w:rsidR="0083366F" w:rsidRPr="00A826E1" w:rsidRDefault="0083366F" w:rsidP="006A5F65">
            <w:pPr>
              <w:tabs>
                <w:tab w:val="left" w:pos="1440"/>
                <w:tab w:val="left" w:pos="4920"/>
                <w:tab w:val="right" w:pos="8640"/>
              </w:tabs>
              <w:ind w:left="-108" w:right="-108"/>
              <w:jc w:val="center"/>
              <w:rPr>
                <w:rFonts w:ascii="Baskerville" w:hAnsi="Baskerville" w:cs="Baskerville"/>
                <w:sz w:val="22"/>
                <w:szCs w:val="22"/>
                <w:u w:val="single"/>
              </w:rPr>
            </w:pPr>
            <w:r w:rsidRPr="00A826E1">
              <w:rPr>
                <w:rFonts w:ascii="Baskerville" w:hAnsi="Baskerville" w:cs="Baskerville"/>
                <w:sz w:val="22"/>
                <w:szCs w:val="22"/>
                <w:u w:val="single"/>
              </w:rPr>
              <w:t xml:space="preserve"> Compliance</w:t>
            </w:r>
          </w:p>
          <w:p w:rsidR="0083366F" w:rsidRPr="00DF1E2F" w:rsidRDefault="0083366F" w:rsidP="006A5F6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A5F6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6D038D" w:rsidRDefault="0083366F" w:rsidP="00930CDD">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Reviews of the factors that led to readmission did not occur </w:t>
            </w:r>
          </w:p>
          <w:p w:rsidR="0083366F" w:rsidRPr="00DF1E2F" w:rsidRDefault="006D038D" w:rsidP="00930CDD">
            <w:pPr>
              <w:tabs>
                <w:tab w:val="left" w:pos="1440"/>
                <w:tab w:val="left" w:pos="4920"/>
                <w:tab w:val="right" w:pos="8640"/>
              </w:tabs>
              <w:ind w:right="72"/>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Pr>
                <w:rFonts w:ascii="Baskerville" w:hAnsi="Baskerville" w:cs="Baskerville"/>
                <w:sz w:val="22"/>
                <w:szCs w:val="22"/>
              </w:rPr>
              <w:t>for 2 (66.7%) of the 3</w:t>
            </w:r>
            <w:r w:rsidR="0083366F" w:rsidRPr="00DF1E2F">
              <w:rPr>
                <w:rFonts w:ascii="Baskerville" w:hAnsi="Baskerville" w:cs="Baskerville"/>
                <w:sz w:val="22"/>
                <w:szCs w:val="22"/>
              </w:rPr>
              <w:t xml:space="preserve"> individuals who were readmitted during the previous two report periods. </w:t>
            </w:r>
            <w:r w:rsidR="00053577">
              <w:rPr>
                <w:rFonts w:ascii="Baskerville" w:hAnsi="Baskerville" w:cs="Baskerville"/>
                <w:sz w:val="22"/>
                <w:szCs w:val="22"/>
              </w:rPr>
              <w:t xml:space="preserve">The results of the Commonwealth’s </w:t>
            </w:r>
            <w:r w:rsidR="0083366F">
              <w:rPr>
                <w:rFonts w:ascii="Baskerville" w:hAnsi="Baskerville" w:cs="Baskerville"/>
                <w:sz w:val="22"/>
                <w:szCs w:val="22"/>
              </w:rPr>
              <w:t>new process</w:t>
            </w:r>
            <w:r w:rsidR="002103AB">
              <w:rPr>
                <w:rFonts w:ascii="Baskerville" w:hAnsi="Baskerville" w:cs="Baskerville"/>
                <w:sz w:val="22"/>
                <w:szCs w:val="22"/>
              </w:rPr>
              <w:t>es will be reviewed and reported</w:t>
            </w:r>
            <w:r w:rsidR="00053577">
              <w:rPr>
                <w:rFonts w:ascii="Baskerville" w:hAnsi="Baskerville" w:cs="Baskerville"/>
                <w:sz w:val="22"/>
                <w:szCs w:val="22"/>
              </w:rPr>
              <w:t xml:space="preserve"> the next review period</w:t>
            </w:r>
            <w:r w:rsidR="0083366F">
              <w:rPr>
                <w:rFonts w:ascii="Baskerville" w:hAnsi="Baskerville" w:cs="Baskerville"/>
                <w:sz w:val="22"/>
                <w:szCs w:val="22"/>
              </w:rPr>
              <w:t>.</w:t>
            </w:r>
          </w:p>
        </w:tc>
      </w:tr>
      <w:tr w:rsidR="0083366F" w:rsidRPr="00DF1E2F" w:rsidTr="0094744A">
        <w:trPr>
          <w:trHeight w:val="2888"/>
        </w:trPr>
        <w:tc>
          <w:tcPr>
            <w:tcW w:w="1530" w:type="dxa"/>
            <w:vAlign w:val="center"/>
          </w:tcPr>
          <w:p w:rsidR="0083366F" w:rsidRPr="00DF1E2F" w:rsidRDefault="0083366F" w:rsidP="001C036E">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IV.B.6</w:t>
            </w:r>
          </w:p>
        </w:tc>
        <w:tc>
          <w:tcPr>
            <w:tcW w:w="4320" w:type="dxa"/>
          </w:tcPr>
          <w:p w:rsidR="0083366F" w:rsidRPr="00DF1E2F" w:rsidRDefault="0083366F" w:rsidP="006A5F65">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Discharge planning will be done by the individual’s PST…Through a person-centered planning process, the PST will assess an individual’s treatment, training, and </w:t>
            </w:r>
            <w:r w:rsidRPr="0084545D">
              <w:rPr>
                <w:rFonts w:ascii="Baskerville" w:hAnsi="Baskerville" w:cs="Baskerville"/>
                <w:sz w:val="22"/>
                <w:szCs w:val="22"/>
              </w:rPr>
              <w:t>habilitation needs and make recommendations for services,</w:t>
            </w:r>
            <w:r w:rsidRPr="00DF1E2F">
              <w:rPr>
                <w:rFonts w:ascii="Baskerville" w:hAnsi="Baskerville" w:cs="Baskerville"/>
                <w:sz w:val="22"/>
                <w:szCs w:val="22"/>
              </w:rPr>
              <w:t xml:space="preserve"> including recommendations of how the individual can be best served.</w:t>
            </w:r>
          </w:p>
        </w:tc>
        <w:tc>
          <w:tcPr>
            <w:tcW w:w="1440" w:type="dxa"/>
          </w:tcPr>
          <w:p w:rsidR="008D24E4" w:rsidRPr="00754ACA" w:rsidRDefault="008D24E4" w:rsidP="008D24E4">
            <w:pPr>
              <w:tabs>
                <w:tab w:val="left" w:pos="1440"/>
                <w:tab w:val="left" w:pos="4920"/>
                <w:tab w:val="right" w:pos="8640"/>
              </w:tabs>
              <w:ind w:left="-108" w:right="-108"/>
              <w:jc w:val="center"/>
              <w:rPr>
                <w:rFonts w:ascii="Baskerville" w:hAnsi="Baskerville" w:cs="Baskerville"/>
                <w:sz w:val="22"/>
                <w:szCs w:val="22"/>
                <w:u w:val="single"/>
              </w:rPr>
            </w:pPr>
            <w:r w:rsidRPr="00754ACA">
              <w:rPr>
                <w:rFonts w:ascii="Baskerville" w:hAnsi="Baskerville" w:cs="Baskerville"/>
                <w:b/>
                <w:sz w:val="22"/>
                <w:szCs w:val="22"/>
                <w:u w:val="single"/>
              </w:rPr>
              <w:t>(</w:t>
            </w:r>
            <w:r w:rsidRPr="00754ACA">
              <w:rPr>
                <w:rFonts w:ascii="Baskerville" w:hAnsi="Baskerville" w:cs="Baskerville"/>
                <w:sz w:val="22"/>
                <w:szCs w:val="22"/>
              </w:rPr>
              <w:t>Deferred)</w:t>
            </w:r>
          </w:p>
          <w:p w:rsidR="0083366F" w:rsidRPr="00754ACA" w:rsidRDefault="0083366F" w:rsidP="003321B8">
            <w:pPr>
              <w:tabs>
                <w:tab w:val="left" w:pos="1404"/>
                <w:tab w:val="left" w:pos="1440"/>
                <w:tab w:val="left" w:pos="4920"/>
                <w:tab w:val="right" w:pos="8640"/>
              </w:tabs>
              <w:ind w:left="-108" w:right="-108"/>
              <w:jc w:val="center"/>
              <w:rPr>
                <w:rFonts w:ascii="Baskerville" w:hAnsi="Baskerville" w:cs="Baskerville"/>
                <w:sz w:val="22"/>
                <w:szCs w:val="22"/>
                <w:u w:val="single"/>
              </w:rPr>
            </w:pPr>
          </w:p>
          <w:p w:rsidR="00754ACA" w:rsidRDefault="0083366F" w:rsidP="003321B8">
            <w:pPr>
              <w:tabs>
                <w:tab w:val="left" w:pos="1404"/>
                <w:tab w:val="left" w:pos="1440"/>
                <w:tab w:val="left" w:pos="4920"/>
                <w:tab w:val="right" w:pos="8640"/>
              </w:tabs>
              <w:ind w:left="-108" w:right="-108"/>
              <w:jc w:val="center"/>
              <w:rPr>
                <w:rFonts w:ascii="Baskerville" w:hAnsi="Baskerville" w:cs="Baskerville"/>
                <w:sz w:val="22"/>
                <w:szCs w:val="22"/>
                <w:u w:val="single"/>
              </w:rPr>
            </w:pPr>
            <w:r w:rsidRPr="00754ACA">
              <w:rPr>
                <w:rFonts w:ascii="Baskerville" w:hAnsi="Baskerville" w:cs="Baskerville"/>
                <w:sz w:val="22"/>
                <w:szCs w:val="22"/>
                <w:u w:val="single"/>
              </w:rPr>
              <w:t xml:space="preserve">Non </w:t>
            </w:r>
          </w:p>
          <w:p w:rsidR="0083366F" w:rsidRPr="00754ACA" w:rsidRDefault="0083366F" w:rsidP="003321B8">
            <w:pPr>
              <w:tabs>
                <w:tab w:val="left" w:pos="1404"/>
                <w:tab w:val="left" w:pos="1440"/>
                <w:tab w:val="left" w:pos="4920"/>
                <w:tab w:val="right" w:pos="8640"/>
              </w:tabs>
              <w:ind w:left="-108" w:right="-108"/>
              <w:jc w:val="center"/>
              <w:rPr>
                <w:rFonts w:ascii="Baskerville" w:hAnsi="Baskerville" w:cs="Baskerville"/>
                <w:sz w:val="22"/>
                <w:szCs w:val="22"/>
                <w:u w:val="single"/>
              </w:rPr>
            </w:pPr>
            <w:r w:rsidRPr="00754ACA">
              <w:rPr>
                <w:rFonts w:ascii="Baskerville" w:hAnsi="Baskerville" w:cs="Baskerville"/>
                <w:sz w:val="22"/>
                <w:szCs w:val="22"/>
                <w:u w:val="single"/>
              </w:rPr>
              <w:t>Compliance</w:t>
            </w:r>
          </w:p>
          <w:p w:rsidR="0083366F" w:rsidRPr="00301DCD" w:rsidRDefault="0083366F" w:rsidP="003321B8">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3321B8">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321B8">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3321B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301DCD">
            <w:pPr>
              <w:tabs>
                <w:tab w:val="left" w:pos="1440"/>
                <w:tab w:val="left" w:pos="4920"/>
                <w:tab w:val="right" w:pos="8640"/>
              </w:tabs>
              <w:ind w:right="-108"/>
              <w:rPr>
                <w:rFonts w:ascii="Baskerville" w:hAnsi="Baskerville" w:cs="Baskerville"/>
                <w:b/>
                <w:sz w:val="22"/>
                <w:szCs w:val="22"/>
              </w:rPr>
            </w:pPr>
            <w:r>
              <w:rPr>
                <w:rFonts w:ascii="Baskerville" w:hAnsi="Baskerville" w:cs="Baskerville"/>
                <w:sz w:val="22"/>
                <w:szCs w:val="22"/>
              </w:rPr>
              <w:t>The individual review study found that the discharge plans lacked recommendations for how individuals can be best served. Discharge plan descriptions of what was importan</w:t>
            </w:r>
            <w:r w:rsidR="00024804">
              <w:rPr>
                <w:rFonts w:ascii="Baskerville" w:hAnsi="Baskerville" w:cs="Baskerville"/>
                <w:sz w:val="22"/>
                <w:szCs w:val="22"/>
              </w:rPr>
              <w:t>t “to” and “for” the individual</w:t>
            </w:r>
            <w:r>
              <w:rPr>
                <w:rFonts w:ascii="Baskerville" w:hAnsi="Baskerville" w:cs="Baskerville"/>
                <w:sz w:val="22"/>
                <w:szCs w:val="22"/>
              </w:rPr>
              <w:t xml:space="preserve"> did not include skill development to increase self-sufficiency or integrated day opportunities. </w:t>
            </w:r>
          </w:p>
        </w:tc>
      </w:tr>
      <w:tr w:rsidR="0083366F" w:rsidRPr="00DF1E2F" w:rsidTr="0094744A">
        <w:trPr>
          <w:trHeight w:val="1655"/>
        </w:trPr>
        <w:tc>
          <w:tcPr>
            <w:tcW w:w="1530" w:type="dxa"/>
            <w:vAlign w:val="center"/>
          </w:tcPr>
          <w:p w:rsidR="0083366F" w:rsidRPr="00DF1E2F" w:rsidRDefault="0083366F" w:rsidP="00D35DB6">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IV.B.7</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Discharge planning shall be based on the presumption that, with sufficient supports and services, all individuals (including individuals with complex behavioral and/or medical needs) can live in an integrated setting.</w:t>
            </w:r>
          </w:p>
        </w:tc>
        <w:tc>
          <w:tcPr>
            <w:tcW w:w="1440" w:type="dxa"/>
          </w:tcPr>
          <w:p w:rsidR="00101D9E"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5838C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5802E5" w:rsidRDefault="0083366F" w:rsidP="005838CE">
            <w:pPr>
              <w:tabs>
                <w:tab w:val="left" w:pos="1404"/>
                <w:tab w:val="left" w:pos="1440"/>
                <w:tab w:val="left" w:pos="4920"/>
                <w:tab w:val="right" w:pos="8640"/>
              </w:tabs>
              <w:ind w:left="-108" w:right="-108"/>
              <w:jc w:val="center"/>
              <w:rPr>
                <w:rFonts w:ascii="Baskerville" w:hAnsi="Baskerville" w:cs="Baskerville"/>
                <w:sz w:val="22"/>
                <w:szCs w:val="22"/>
                <w:u w:val="single"/>
              </w:rPr>
            </w:pPr>
            <w:r w:rsidRPr="005802E5">
              <w:rPr>
                <w:rFonts w:ascii="Baskerville" w:hAnsi="Baskerville" w:cs="Baskerville"/>
                <w:sz w:val="22"/>
                <w:szCs w:val="22"/>
                <w:u w:val="single"/>
              </w:rPr>
              <w:t>Compliance</w:t>
            </w:r>
          </w:p>
          <w:p w:rsidR="0083366F" w:rsidRPr="00DF1E2F" w:rsidRDefault="0083366F" w:rsidP="00DF2AE4">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DF2AE4">
            <w:pPr>
              <w:tabs>
                <w:tab w:val="left" w:pos="1404"/>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1B00D3">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Individual review studies have not found evidence </w:t>
            </w:r>
            <w:r>
              <w:rPr>
                <w:rFonts w:ascii="Baskerville" w:hAnsi="Baskerville" w:cs="Baskerville"/>
                <w:sz w:val="22"/>
                <w:szCs w:val="22"/>
              </w:rPr>
              <w:t xml:space="preserve">in discharge plans </w:t>
            </w:r>
            <w:r w:rsidRPr="00DF1E2F">
              <w:rPr>
                <w:rFonts w:ascii="Baskerville" w:hAnsi="Baskerville" w:cs="Baskerville"/>
                <w:sz w:val="22"/>
                <w:szCs w:val="22"/>
              </w:rPr>
              <w:t>that complex needs are considered barriers to living in an integrated setting.</w:t>
            </w:r>
          </w:p>
        </w:tc>
      </w:tr>
      <w:tr w:rsidR="0083366F" w:rsidRPr="00DF1E2F" w:rsidTr="0094744A">
        <w:trPr>
          <w:trHeight w:val="296"/>
        </w:trPr>
        <w:tc>
          <w:tcPr>
            <w:tcW w:w="1530" w:type="dxa"/>
            <w:vAlign w:val="center"/>
          </w:tcPr>
          <w:p w:rsidR="0083366F" w:rsidRPr="00DF1E2F" w:rsidRDefault="0083366F" w:rsidP="00D35DB6">
            <w:pPr>
              <w:tabs>
                <w:tab w:val="left" w:pos="133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IV.B.9.</w:t>
            </w:r>
          </w:p>
        </w:tc>
        <w:tc>
          <w:tcPr>
            <w:tcW w:w="4320" w:type="dxa"/>
          </w:tcPr>
          <w:p w:rsidR="0083366F" w:rsidRPr="00DF1E2F" w:rsidRDefault="0083366F" w:rsidP="004B279A">
            <w:pPr>
              <w:pStyle w:val="ListParagraph"/>
              <w:ind w:left="0"/>
              <w:rPr>
                <w:rFonts w:ascii="Baskerville" w:hAnsi="Baskerville" w:cs="Baskerville"/>
                <w:sz w:val="22"/>
                <w:szCs w:val="22"/>
              </w:rPr>
            </w:pPr>
            <w:r w:rsidRPr="00DF1E2F">
              <w:rPr>
                <w:rFonts w:ascii="Baskerville" w:hAnsi="Baskerville" w:cs="Baskerville"/>
                <w:sz w:val="22"/>
                <w:szCs w:val="22"/>
              </w:rPr>
              <w:t>In developing discharge plans, PSTs, in collaboration with the CSB case manager, shall provide to individuals and, where applicable, their authorized representatives, specific options for types of community placements, services, and supports based on the discharge plan as described above, and the opportunity to discuss and meaningfully consider these options.</w:t>
            </w:r>
          </w:p>
        </w:tc>
        <w:tc>
          <w:tcPr>
            <w:tcW w:w="1440" w:type="dxa"/>
          </w:tcPr>
          <w:p w:rsidR="00101D9E" w:rsidRPr="0000799C"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A45F1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5802E5" w:rsidRDefault="0083366F" w:rsidP="00A45F1B">
            <w:pPr>
              <w:tabs>
                <w:tab w:val="left" w:pos="1404"/>
                <w:tab w:val="left" w:pos="1440"/>
                <w:tab w:val="left" w:pos="4920"/>
                <w:tab w:val="right" w:pos="8640"/>
              </w:tabs>
              <w:ind w:left="-108" w:right="-108"/>
              <w:jc w:val="center"/>
              <w:rPr>
                <w:rFonts w:ascii="Baskerville" w:hAnsi="Baskerville" w:cs="Baskerville"/>
                <w:sz w:val="22"/>
                <w:szCs w:val="22"/>
                <w:u w:val="single"/>
              </w:rPr>
            </w:pPr>
            <w:r w:rsidRPr="005802E5">
              <w:rPr>
                <w:rFonts w:ascii="Baskerville" w:hAnsi="Baskerville" w:cs="Baskerville"/>
                <w:sz w:val="22"/>
                <w:szCs w:val="22"/>
                <w:u w:val="single"/>
              </w:rPr>
              <w:t>Compliance</w:t>
            </w:r>
          </w:p>
          <w:p w:rsidR="0083366F" w:rsidRPr="00DF1E2F" w:rsidRDefault="0083366F" w:rsidP="00A45F1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A45F1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B279A">
            <w:pPr>
              <w:tabs>
                <w:tab w:val="left" w:pos="1440"/>
                <w:tab w:val="left" w:pos="4920"/>
                <w:tab w:val="right" w:pos="8640"/>
              </w:tabs>
              <w:ind w:right="270"/>
              <w:jc w:val="center"/>
              <w:rPr>
                <w:rFonts w:ascii="Baskerville" w:hAnsi="Baskerville" w:cs="Baskerville"/>
                <w:sz w:val="22"/>
                <w:szCs w:val="22"/>
              </w:rPr>
            </w:pPr>
          </w:p>
        </w:tc>
        <w:tc>
          <w:tcPr>
            <w:tcW w:w="2880" w:type="dxa"/>
          </w:tcPr>
          <w:p w:rsidR="0083366F" w:rsidRPr="00DF1E2F" w:rsidRDefault="00DA2665" w:rsidP="006F7AE5">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The individual</w:t>
            </w:r>
            <w:r w:rsidR="00761131">
              <w:rPr>
                <w:rFonts w:ascii="Baskerville" w:hAnsi="Baskerville" w:cs="Baskerville"/>
                <w:sz w:val="22"/>
                <w:szCs w:val="22"/>
              </w:rPr>
              <w:t xml:space="preserve"> reviews during the fifth review period</w:t>
            </w:r>
            <w:r w:rsidR="0083366F" w:rsidRPr="00DF1E2F">
              <w:rPr>
                <w:rFonts w:ascii="Baskerville" w:hAnsi="Baskerville" w:cs="Baskerville"/>
                <w:sz w:val="22"/>
                <w:szCs w:val="22"/>
              </w:rPr>
              <w:t xml:space="preserve"> found that </w:t>
            </w:r>
            <w:r w:rsidR="003F3CBB" w:rsidRPr="00897163">
              <w:rPr>
                <w:rFonts w:ascii="MS Gothic" w:eastAsia="MS Gothic" w:hAnsi="MS Gothic"/>
                <w:color w:val="000000"/>
                <w:sz w:val="16"/>
                <w:szCs w:val="16"/>
              </w:rPr>
              <w:t>☐</w:t>
            </w:r>
            <w:r w:rsidR="003F3CBB">
              <w:rPr>
                <w:rFonts w:ascii="MS Gothic" w:eastAsia="MS Gothic" w:hAnsi="MS Gothic"/>
                <w:color w:val="000000"/>
                <w:sz w:val="16"/>
                <w:szCs w:val="16"/>
              </w:rPr>
              <w:t xml:space="preserve"> </w:t>
            </w:r>
            <w:r w:rsidR="0083366F" w:rsidRPr="00DF1E2F">
              <w:rPr>
                <w:rFonts w:ascii="Baskerville" w:hAnsi="Baskerville" w:cs="Baskerville"/>
                <w:sz w:val="22"/>
                <w:szCs w:val="22"/>
              </w:rPr>
              <w:t>28 (1</w:t>
            </w:r>
            <w:r w:rsidR="0083366F">
              <w:rPr>
                <w:rFonts w:ascii="Baskerville" w:hAnsi="Baskerville" w:cs="Baskerville"/>
                <w:sz w:val="22"/>
                <w:szCs w:val="22"/>
              </w:rPr>
              <w:t>0</w:t>
            </w:r>
            <w:r w:rsidR="0028471E">
              <w:rPr>
                <w:rFonts w:ascii="Baskerville" w:hAnsi="Baskerville" w:cs="Baskerville"/>
                <w:sz w:val="22"/>
                <w:szCs w:val="22"/>
              </w:rPr>
              <w:t>0%)</w:t>
            </w:r>
            <w:r w:rsidR="00761131">
              <w:rPr>
                <w:rFonts w:ascii="Baskerville" w:hAnsi="Baskerville" w:cs="Baskerville"/>
                <w:sz w:val="22"/>
                <w:szCs w:val="22"/>
              </w:rPr>
              <w:t xml:space="preserve"> individuals</w:t>
            </w:r>
            <w:r w:rsidR="0083366F" w:rsidRPr="00DF1E2F">
              <w:rPr>
                <w:rFonts w:ascii="Baskerville" w:hAnsi="Baskerville" w:cs="Baskerville"/>
                <w:sz w:val="22"/>
                <w:szCs w:val="22"/>
              </w:rPr>
              <w:t xml:space="preserve"> and their ARs were provided with information regarding community options and </w:t>
            </w:r>
            <w:r w:rsidR="00761131">
              <w:rPr>
                <w:rFonts w:ascii="Baskerville" w:hAnsi="Baskerville" w:cs="Baskerville"/>
                <w:sz w:val="22"/>
                <w:szCs w:val="22"/>
              </w:rPr>
              <w:t xml:space="preserve">had </w:t>
            </w:r>
            <w:r w:rsidR="0083366F" w:rsidRPr="00DF1E2F">
              <w:rPr>
                <w:rFonts w:ascii="Baskerville" w:hAnsi="Baskerville" w:cs="Baskerville"/>
                <w:sz w:val="22"/>
                <w:szCs w:val="22"/>
              </w:rPr>
              <w:t>the opportunity to discuss them with the PST.</w:t>
            </w:r>
          </w:p>
        </w:tc>
      </w:tr>
      <w:tr w:rsidR="0083366F" w:rsidRPr="00DF1E2F" w:rsidTr="0094744A">
        <w:trPr>
          <w:trHeight w:val="1313"/>
        </w:trPr>
        <w:tc>
          <w:tcPr>
            <w:tcW w:w="1530" w:type="dxa"/>
            <w:vAlign w:val="center"/>
          </w:tcPr>
          <w:p w:rsidR="0083366F" w:rsidRPr="00DF1E2F" w:rsidRDefault="00DE1939" w:rsidP="00D35DB6">
            <w:pPr>
              <w:tabs>
                <w:tab w:val="left" w:pos="133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IV.B.9.</w:t>
            </w:r>
            <w:r>
              <w:rPr>
                <w:rFonts w:ascii="Baskerville" w:hAnsi="Baskerville" w:cs="Baskerville"/>
                <w:b/>
                <w:sz w:val="22"/>
                <w:szCs w:val="22"/>
              </w:rPr>
              <w:t>a.</w:t>
            </w:r>
            <w:r w:rsidR="0083366F" w:rsidRPr="00DF1E2F">
              <w:rPr>
                <w:rFonts w:ascii="Baskerville" w:hAnsi="Baskerville" w:cs="Baskerville"/>
                <w:b/>
                <w:sz w:val="22"/>
                <w:szCs w:val="22"/>
              </w:rPr>
              <w:t xml:space="preserve"> </w:t>
            </w:r>
          </w:p>
        </w:tc>
        <w:tc>
          <w:tcPr>
            <w:tcW w:w="4320" w:type="dxa"/>
          </w:tcPr>
          <w:p w:rsidR="0083366F" w:rsidRPr="00DF1E2F" w:rsidRDefault="0083366F" w:rsidP="004B279A">
            <w:pPr>
              <w:pStyle w:val="ListParagraph"/>
              <w:ind w:left="0"/>
              <w:rPr>
                <w:rFonts w:ascii="Baskerville" w:hAnsi="Baskerville" w:cs="Baskerville"/>
                <w:sz w:val="22"/>
                <w:szCs w:val="22"/>
              </w:rPr>
            </w:pPr>
            <w:r w:rsidRPr="00DF1E2F">
              <w:rPr>
                <w:rFonts w:ascii="Baskerville" w:hAnsi="Baskerville" w:cs="Baskerville"/>
                <w:sz w:val="22"/>
                <w:szCs w:val="22"/>
              </w:rPr>
              <w:t>The individual shall be offered a choice of providers consistent with the individual’s identified needs and preferences.</w:t>
            </w:r>
          </w:p>
        </w:tc>
        <w:tc>
          <w:tcPr>
            <w:tcW w:w="1440" w:type="dxa"/>
          </w:tcPr>
          <w:p w:rsidR="005802E5" w:rsidRDefault="00101D9E" w:rsidP="00101D9E">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Pr="0000799C" w:rsidRDefault="009521B2" w:rsidP="00101D9E">
            <w:pPr>
              <w:tabs>
                <w:tab w:val="left" w:pos="1692"/>
                <w:tab w:val="left" w:pos="4920"/>
                <w:tab w:val="right" w:pos="8640"/>
              </w:tabs>
              <w:ind w:left="-108" w:right="-108"/>
              <w:jc w:val="center"/>
              <w:rPr>
                <w:rFonts w:ascii="Baskerville" w:hAnsi="Baskerville" w:cs="Baskerville"/>
                <w:sz w:val="20"/>
                <w:szCs w:val="20"/>
              </w:rPr>
            </w:pPr>
          </w:p>
          <w:p w:rsidR="0083366F" w:rsidRPr="005802E5" w:rsidRDefault="0083366F" w:rsidP="00854464">
            <w:pPr>
              <w:tabs>
                <w:tab w:val="left" w:pos="1404"/>
                <w:tab w:val="left" w:pos="1440"/>
                <w:tab w:val="left" w:pos="4920"/>
                <w:tab w:val="right" w:pos="8640"/>
              </w:tabs>
              <w:ind w:left="-108" w:right="-108"/>
              <w:jc w:val="center"/>
              <w:rPr>
                <w:rFonts w:ascii="Baskerville" w:hAnsi="Baskerville" w:cs="Baskerville"/>
                <w:sz w:val="22"/>
                <w:szCs w:val="22"/>
                <w:u w:val="single"/>
              </w:rPr>
            </w:pPr>
            <w:r w:rsidRPr="005802E5">
              <w:rPr>
                <w:rFonts w:ascii="Baskerville" w:hAnsi="Baskerville" w:cs="Baskerville"/>
                <w:sz w:val="22"/>
                <w:szCs w:val="22"/>
                <w:u w:val="single"/>
              </w:rPr>
              <w:t>Compliance</w:t>
            </w:r>
          </w:p>
          <w:p w:rsidR="0083366F" w:rsidRPr="00DF1E2F" w:rsidRDefault="0083366F" w:rsidP="00854464">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9522CE" w:rsidP="00470EC8">
            <w:pPr>
              <w:tabs>
                <w:tab w:val="left" w:pos="1440"/>
                <w:tab w:val="left" w:pos="4920"/>
                <w:tab w:val="right" w:pos="8640"/>
              </w:tabs>
              <w:rPr>
                <w:rFonts w:ascii="Baskerville" w:hAnsi="Baskerville" w:cs="Baskerville"/>
                <w:b/>
                <w:sz w:val="22"/>
                <w:szCs w:val="22"/>
              </w:rPr>
            </w:pPr>
            <w:r>
              <w:rPr>
                <w:rFonts w:ascii="Baskerville" w:hAnsi="Baskerville" w:cs="Baskerville"/>
                <w:sz w:val="22"/>
                <w:szCs w:val="22"/>
              </w:rPr>
              <w:t>The IR found that d</w:t>
            </w:r>
            <w:r w:rsidR="0083366F" w:rsidRPr="00DF1E2F">
              <w:rPr>
                <w:rFonts w:ascii="Baskerville" w:hAnsi="Baskerville" w:cs="Baskerville"/>
                <w:sz w:val="22"/>
                <w:szCs w:val="22"/>
              </w:rPr>
              <w:t xml:space="preserve">ischarge records of individuals reviewed included evidence that </w:t>
            </w:r>
            <w:r w:rsidR="000C3EC1">
              <w:rPr>
                <w:rFonts w:ascii="Baskerville" w:hAnsi="Baskerville" w:cs="Baskerville"/>
                <w:sz w:val="22"/>
                <w:szCs w:val="22"/>
              </w:rPr>
              <w:t xml:space="preserve">the Commonwealth had offered </w:t>
            </w:r>
            <w:r w:rsidR="0083366F" w:rsidRPr="00DF1E2F">
              <w:rPr>
                <w:rFonts w:ascii="Baskerville" w:hAnsi="Baskerville" w:cs="Baskerville"/>
                <w:sz w:val="22"/>
                <w:szCs w:val="22"/>
              </w:rPr>
              <w:t>a</w:t>
            </w:r>
            <w:r w:rsidR="000C3EC1">
              <w:rPr>
                <w:rFonts w:ascii="Baskerville" w:hAnsi="Baskerville" w:cs="Baskerville"/>
                <w:sz w:val="22"/>
                <w:szCs w:val="22"/>
              </w:rPr>
              <w:t xml:space="preserve"> choice of providers</w:t>
            </w:r>
            <w:r w:rsidR="0083366F" w:rsidRPr="00DF1E2F">
              <w:rPr>
                <w:rFonts w:ascii="Baskerville" w:hAnsi="Baskerville" w:cs="Baskerville"/>
                <w:sz w:val="22"/>
                <w:szCs w:val="22"/>
              </w:rPr>
              <w:t xml:space="preserve">. </w:t>
            </w:r>
          </w:p>
        </w:tc>
      </w:tr>
      <w:tr w:rsidR="0083366F" w:rsidRPr="00DF1E2F" w:rsidTr="0094744A">
        <w:trPr>
          <w:trHeight w:val="4589"/>
        </w:trPr>
        <w:tc>
          <w:tcPr>
            <w:tcW w:w="1530" w:type="dxa"/>
            <w:vAlign w:val="center"/>
          </w:tcPr>
          <w:p w:rsidR="008203C7" w:rsidRDefault="008203C7" w:rsidP="00D35DB6">
            <w:pPr>
              <w:tabs>
                <w:tab w:val="left" w:pos="1332"/>
                <w:tab w:val="left" w:pos="1440"/>
                <w:tab w:val="left" w:pos="4920"/>
                <w:tab w:val="right" w:pos="8640"/>
              </w:tabs>
              <w:ind w:left="-108" w:right="-108"/>
              <w:jc w:val="center"/>
              <w:rPr>
                <w:rFonts w:ascii="Baskerville" w:hAnsi="Baskerville" w:cs="Baskerville"/>
                <w:b/>
                <w:sz w:val="22"/>
                <w:szCs w:val="22"/>
              </w:rPr>
            </w:pPr>
          </w:p>
          <w:p w:rsidR="008203C7" w:rsidRDefault="008203C7" w:rsidP="00D35DB6">
            <w:pPr>
              <w:tabs>
                <w:tab w:val="left" w:pos="1332"/>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D35DB6">
            <w:pPr>
              <w:tabs>
                <w:tab w:val="left" w:pos="133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IV.B.9.b.</w:t>
            </w:r>
          </w:p>
        </w:tc>
        <w:tc>
          <w:tcPr>
            <w:tcW w:w="4320" w:type="dxa"/>
          </w:tcPr>
          <w:p w:rsidR="0083366F" w:rsidRPr="00DF1E2F" w:rsidRDefault="0083366F" w:rsidP="00A068D8">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PSTs and the CSB case manager shall coordinate with the specific type of community providers identified in the discharge plan as providing appropriate community-based services for the individual, to provide individuals, their families, and, where applicable, their authorized representatives with opportunities to speak with those providers, visit community placements (including, where feasible, for overnight visits) and programs, and facilitate conversations and meetings with individuals currently living in the community and their families, before being asked to make a choice regarding options.  The Commonwealth shall develop family-to-family peer programs to facilitate these opportunities.</w:t>
            </w:r>
          </w:p>
        </w:tc>
        <w:tc>
          <w:tcPr>
            <w:tcW w:w="1440" w:type="dxa"/>
          </w:tcPr>
          <w:p w:rsidR="00245B0C" w:rsidRPr="00B859E2" w:rsidRDefault="00245B0C" w:rsidP="00245B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(Non Compliance)</w:t>
            </w:r>
          </w:p>
          <w:p w:rsidR="000C3EC1" w:rsidRDefault="000C3EC1" w:rsidP="00DB6C8D">
            <w:pPr>
              <w:tabs>
                <w:tab w:val="left" w:pos="1404"/>
                <w:tab w:val="left" w:pos="1440"/>
                <w:tab w:val="left" w:pos="4920"/>
                <w:tab w:val="right" w:pos="8640"/>
              </w:tabs>
              <w:ind w:left="-108" w:right="-108"/>
              <w:jc w:val="center"/>
              <w:rPr>
                <w:rFonts w:ascii="Baskerville" w:hAnsi="Baskerville" w:cs="Baskerville"/>
                <w:b/>
                <w:sz w:val="22"/>
                <w:szCs w:val="22"/>
              </w:rPr>
            </w:pPr>
          </w:p>
          <w:p w:rsidR="00583B59" w:rsidRDefault="0083366F" w:rsidP="00672257">
            <w:pPr>
              <w:tabs>
                <w:tab w:val="left" w:pos="1404"/>
                <w:tab w:val="left" w:pos="1440"/>
                <w:tab w:val="left" w:pos="4920"/>
                <w:tab w:val="right" w:pos="8640"/>
              </w:tabs>
              <w:ind w:left="-108" w:right="-108"/>
              <w:jc w:val="center"/>
              <w:rPr>
                <w:rFonts w:ascii="Baskerville" w:hAnsi="Baskerville" w:cs="Baskerville"/>
                <w:sz w:val="22"/>
                <w:szCs w:val="22"/>
                <w:u w:val="single"/>
              </w:rPr>
            </w:pPr>
            <w:r w:rsidRPr="005802E5">
              <w:rPr>
                <w:rFonts w:ascii="Baskerville" w:hAnsi="Baskerville" w:cs="Baskerville"/>
                <w:sz w:val="22"/>
                <w:szCs w:val="22"/>
                <w:u w:val="single"/>
              </w:rPr>
              <w:t xml:space="preserve">Non </w:t>
            </w:r>
          </w:p>
          <w:p w:rsidR="0083366F" w:rsidRPr="005802E5" w:rsidRDefault="0083366F" w:rsidP="00672257">
            <w:pPr>
              <w:tabs>
                <w:tab w:val="left" w:pos="1404"/>
                <w:tab w:val="left" w:pos="1440"/>
                <w:tab w:val="left" w:pos="4920"/>
                <w:tab w:val="right" w:pos="8640"/>
              </w:tabs>
              <w:ind w:left="-108" w:right="-108"/>
              <w:jc w:val="center"/>
              <w:rPr>
                <w:rFonts w:ascii="Baskerville" w:hAnsi="Baskerville" w:cs="Baskerville"/>
                <w:sz w:val="22"/>
                <w:szCs w:val="22"/>
                <w:u w:val="single"/>
              </w:rPr>
            </w:pPr>
            <w:r w:rsidRPr="005802E5">
              <w:rPr>
                <w:rFonts w:ascii="Baskerville" w:hAnsi="Baskerville" w:cs="Baskerville"/>
                <w:sz w:val="22"/>
                <w:szCs w:val="22"/>
                <w:u w:val="single"/>
              </w:rPr>
              <w:t>Compliance</w:t>
            </w: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72257">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30764">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97163" w:rsidRDefault="00910988" w:rsidP="00925DA4">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The IR’s review</w:t>
            </w:r>
            <w:r w:rsidR="0083366F" w:rsidRPr="00DF1E2F">
              <w:rPr>
                <w:rFonts w:ascii="Baskerville" w:hAnsi="Baskerville" w:cs="Baskerville"/>
                <w:sz w:val="22"/>
                <w:szCs w:val="22"/>
              </w:rPr>
              <w:t xml:space="preserve">s found that </w:t>
            </w:r>
          </w:p>
          <w:p w:rsidR="0083366F" w:rsidRPr="00DF1E2F" w:rsidRDefault="00897163" w:rsidP="00925DA4">
            <w:pPr>
              <w:tabs>
                <w:tab w:val="left" w:pos="1440"/>
                <w:tab w:val="left" w:pos="4920"/>
                <w:tab w:val="right" w:pos="8640"/>
              </w:tabs>
              <w:rPr>
                <w:rFonts w:ascii="Baskerville" w:hAnsi="Baskerville" w:cs="Baskerville"/>
                <w:sz w:val="22"/>
                <w:szCs w:val="22"/>
              </w:rPr>
            </w:pPr>
            <w:r w:rsidRPr="00897163">
              <w:rPr>
                <w:rFonts w:ascii="MS Gothic" w:eastAsia="MS Gothic" w:hAnsi="MS Gothic"/>
                <w:color w:val="000000"/>
                <w:sz w:val="16"/>
                <w:szCs w:val="16"/>
              </w:rPr>
              <w:t>☐</w:t>
            </w:r>
            <w:r w:rsidR="0083366F" w:rsidRPr="00DF1E2F">
              <w:rPr>
                <w:rFonts w:ascii="Baskerville" w:hAnsi="Baskerville" w:cs="Baskerville"/>
                <w:sz w:val="22"/>
                <w:szCs w:val="22"/>
              </w:rPr>
              <w:t>10 (35.7%) of 28 individuals and their ARs did not have an opportunity to speak with individuals currently living in their communities and</w:t>
            </w:r>
            <w:r w:rsidR="00716C68">
              <w:rPr>
                <w:rFonts w:ascii="Baskerville" w:hAnsi="Baskerville" w:cs="Baskerville"/>
                <w:sz w:val="22"/>
                <w:szCs w:val="22"/>
              </w:rPr>
              <w:t xml:space="preserve"> their family members. DBHDS</w:t>
            </w:r>
            <w:r w:rsidR="0083366F" w:rsidRPr="00DF1E2F">
              <w:rPr>
                <w:rFonts w:ascii="Baskerville" w:hAnsi="Baskerville" w:cs="Baskerville"/>
                <w:sz w:val="22"/>
                <w:szCs w:val="22"/>
              </w:rPr>
              <w:t xml:space="preserve"> developed a family-to-family and peer</w:t>
            </w:r>
            <w:r w:rsidR="00E91406">
              <w:rPr>
                <w:rFonts w:ascii="Baskerville" w:hAnsi="Baskerville" w:cs="Baskerville"/>
                <w:sz w:val="22"/>
                <w:szCs w:val="22"/>
              </w:rPr>
              <w:t xml:space="preserve"> program </w:t>
            </w:r>
            <w:r w:rsidR="00716C68">
              <w:rPr>
                <w:rFonts w:ascii="Baskerville" w:hAnsi="Baskerville" w:cs="Baskerville"/>
                <w:sz w:val="22"/>
                <w:szCs w:val="22"/>
              </w:rPr>
              <w:t>and it send</w:t>
            </w:r>
            <w:r w:rsidR="00E91406">
              <w:rPr>
                <w:rFonts w:ascii="Baskerville" w:hAnsi="Baskerville" w:cs="Baskerville"/>
                <w:sz w:val="22"/>
                <w:szCs w:val="22"/>
              </w:rPr>
              <w:t>s</w:t>
            </w:r>
            <w:r w:rsidR="00716C68">
              <w:rPr>
                <w:rFonts w:ascii="Baskerville" w:hAnsi="Baskerville" w:cs="Baskerville"/>
                <w:sz w:val="22"/>
                <w:szCs w:val="22"/>
              </w:rPr>
              <w:t xml:space="preserve"> p</w:t>
            </w:r>
            <w:r w:rsidR="00E91406">
              <w:rPr>
                <w:rFonts w:ascii="Baskerville" w:hAnsi="Baskerville" w:cs="Baskerville"/>
                <w:sz w:val="22"/>
                <w:szCs w:val="22"/>
              </w:rPr>
              <w:t xml:space="preserve">ackets of information </w:t>
            </w:r>
            <w:r w:rsidR="0083366F" w:rsidRPr="00DF1E2F">
              <w:rPr>
                <w:rFonts w:ascii="Baskerville" w:hAnsi="Baskerville" w:cs="Baskerville"/>
                <w:sz w:val="22"/>
                <w:szCs w:val="22"/>
              </w:rPr>
              <w:t xml:space="preserve">to ARs. </w:t>
            </w:r>
            <w:r w:rsidR="00783480">
              <w:rPr>
                <w:rFonts w:ascii="Baskerville" w:hAnsi="Baskerville" w:cs="Baskerville"/>
                <w:sz w:val="22"/>
                <w:szCs w:val="22"/>
              </w:rPr>
              <w:t xml:space="preserve">The IR found that the </w:t>
            </w:r>
            <w:r w:rsidR="0083366F" w:rsidRPr="00DF1E2F">
              <w:rPr>
                <w:rFonts w:ascii="Baskerville" w:hAnsi="Baskerville" w:cs="Baskerville"/>
                <w:sz w:val="22"/>
                <w:szCs w:val="22"/>
              </w:rPr>
              <w:t>Case Managers’</w:t>
            </w:r>
            <w:r w:rsidR="0083366F">
              <w:rPr>
                <w:rFonts w:ascii="Baskerville" w:hAnsi="Baskerville" w:cs="Baskerville"/>
                <w:sz w:val="22"/>
                <w:szCs w:val="22"/>
              </w:rPr>
              <w:t xml:space="preserve"> and Social Worker</w:t>
            </w:r>
            <w:r w:rsidR="008C4730">
              <w:rPr>
                <w:rFonts w:ascii="Baskerville" w:hAnsi="Baskerville" w:cs="Baskerville"/>
                <w:sz w:val="22"/>
                <w:szCs w:val="22"/>
              </w:rPr>
              <w:t>s’</w:t>
            </w:r>
            <w:r w:rsidR="0083366F" w:rsidRPr="00DF1E2F">
              <w:rPr>
                <w:rFonts w:ascii="Baskerville" w:hAnsi="Baskerville" w:cs="Baskerville"/>
                <w:sz w:val="22"/>
                <w:szCs w:val="22"/>
              </w:rPr>
              <w:t xml:space="preserve"> notes, however, </w:t>
            </w:r>
            <w:r w:rsidR="008C4730">
              <w:rPr>
                <w:rFonts w:ascii="Baskerville" w:hAnsi="Baskerville" w:cs="Baskerville"/>
                <w:sz w:val="22"/>
                <w:szCs w:val="22"/>
              </w:rPr>
              <w:t xml:space="preserve">frequently </w:t>
            </w:r>
            <w:r w:rsidR="0083366F">
              <w:rPr>
                <w:rFonts w:ascii="Baskerville" w:hAnsi="Baskerville" w:cs="Baskerville"/>
                <w:sz w:val="22"/>
                <w:szCs w:val="22"/>
              </w:rPr>
              <w:t>did</w:t>
            </w:r>
            <w:r w:rsidR="00783480">
              <w:rPr>
                <w:rFonts w:ascii="Baskerville" w:hAnsi="Baskerville" w:cs="Baskerville"/>
                <w:sz w:val="22"/>
                <w:szCs w:val="22"/>
              </w:rPr>
              <w:t xml:space="preserve"> not document discussions that</w:t>
            </w:r>
            <w:r w:rsidR="0083366F" w:rsidRPr="00DF1E2F">
              <w:rPr>
                <w:rFonts w:ascii="Baskerville" w:hAnsi="Baskerville" w:cs="Baskerville"/>
                <w:sz w:val="22"/>
                <w:szCs w:val="22"/>
              </w:rPr>
              <w:t xml:space="preserve"> facilitate</w:t>
            </w:r>
            <w:r w:rsidR="00783480">
              <w:rPr>
                <w:rFonts w:ascii="Baskerville" w:hAnsi="Baskerville" w:cs="Baskerville"/>
                <w:sz w:val="22"/>
                <w:szCs w:val="22"/>
              </w:rPr>
              <w:t>d</w:t>
            </w:r>
            <w:r w:rsidR="0083366F" w:rsidRPr="00DF1E2F">
              <w:rPr>
                <w:rFonts w:ascii="Baskerville" w:hAnsi="Baskerville" w:cs="Baskerville"/>
                <w:sz w:val="22"/>
                <w:szCs w:val="22"/>
              </w:rPr>
              <w:t xml:space="preserve"> opportunities to speak with individuals and their families. </w:t>
            </w:r>
          </w:p>
        </w:tc>
      </w:tr>
      <w:tr w:rsidR="0083366F" w:rsidRPr="00DF1E2F" w:rsidTr="0094744A">
        <w:trPr>
          <w:trHeight w:val="566"/>
        </w:trPr>
        <w:tc>
          <w:tcPr>
            <w:tcW w:w="1530" w:type="dxa"/>
            <w:vAlign w:val="center"/>
          </w:tcPr>
          <w:p w:rsidR="0083366F" w:rsidRPr="00727BED" w:rsidRDefault="0083366F" w:rsidP="00D35DB6">
            <w:pPr>
              <w:tabs>
                <w:tab w:val="left" w:pos="1332"/>
                <w:tab w:val="left" w:pos="1440"/>
                <w:tab w:val="left" w:pos="4920"/>
                <w:tab w:val="right" w:pos="8640"/>
              </w:tabs>
              <w:ind w:left="-108" w:right="-108"/>
              <w:jc w:val="center"/>
              <w:rPr>
                <w:rFonts w:ascii="Baskerville" w:hAnsi="Baskerville" w:cs="Baskerville"/>
                <w:b/>
                <w:sz w:val="22"/>
                <w:szCs w:val="22"/>
                <w:u w:val="single"/>
              </w:rPr>
            </w:pPr>
            <w:r w:rsidRPr="00727BED">
              <w:rPr>
                <w:rFonts w:ascii="Baskerville" w:hAnsi="Baskerville" w:cs="Baskerville"/>
                <w:b/>
                <w:sz w:val="22"/>
                <w:szCs w:val="22"/>
                <w:u w:val="single"/>
              </w:rPr>
              <w:t>IV.B.9.c.</w:t>
            </w:r>
          </w:p>
        </w:tc>
        <w:tc>
          <w:tcPr>
            <w:tcW w:w="4320" w:type="dxa"/>
          </w:tcPr>
          <w:p w:rsidR="0083366F" w:rsidRPr="00DF1E2F" w:rsidRDefault="0083366F" w:rsidP="004B279A">
            <w:pPr>
              <w:pStyle w:val="ListParagraph"/>
              <w:ind w:left="0"/>
              <w:rPr>
                <w:rFonts w:ascii="Baskerville" w:hAnsi="Baskerville" w:cs="Baskerville"/>
                <w:sz w:val="22"/>
                <w:szCs w:val="22"/>
              </w:rPr>
            </w:pPr>
            <w:r w:rsidRPr="00DF1E2F">
              <w:rPr>
                <w:rFonts w:ascii="Baskerville" w:hAnsi="Baskerville" w:cs="Baskerville"/>
                <w:sz w:val="22"/>
                <w:szCs w:val="22"/>
              </w:rPr>
              <w:t>PSTs and the CSB case managers shall assist the individual and, where applicable, their authorized representative in choosing a provider after providing the opportunities described above and ensure that providers are timely identified and engaged in preparing for the individual’s transition.</w:t>
            </w:r>
          </w:p>
        </w:tc>
        <w:tc>
          <w:tcPr>
            <w:tcW w:w="1440" w:type="dxa"/>
          </w:tcPr>
          <w:p w:rsidR="0083366F" w:rsidRPr="00583B59" w:rsidRDefault="004A1BE2" w:rsidP="00583B59">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583B59" w:rsidRDefault="0083366F" w:rsidP="00ED74EC">
            <w:pPr>
              <w:tabs>
                <w:tab w:val="left" w:pos="1404"/>
                <w:tab w:val="left" w:pos="1440"/>
                <w:tab w:val="left" w:pos="4920"/>
                <w:tab w:val="right" w:pos="8640"/>
              </w:tabs>
              <w:ind w:left="-108" w:right="-108"/>
              <w:jc w:val="center"/>
              <w:rPr>
                <w:rFonts w:ascii="Baskerville" w:hAnsi="Baskerville" w:cs="Baskerville"/>
                <w:sz w:val="22"/>
                <w:szCs w:val="22"/>
                <w:u w:val="single"/>
              </w:rPr>
            </w:pPr>
            <w:r w:rsidRPr="00583B59">
              <w:rPr>
                <w:rFonts w:ascii="Baskerville" w:hAnsi="Baskerville" w:cs="Baskerville"/>
                <w:sz w:val="22"/>
                <w:szCs w:val="22"/>
                <w:u w:val="single"/>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3F3CBB" w:rsidRDefault="00B67A7C" w:rsidP="00EE6E83">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The individual reviews</w:t>
            </w:r>
            <w:r w:rsidR="00B171FC">
              <w:rPr>
                <w:rFonts w:ascii="Baskerville" w:hAnsi="Baskerville" w:cs="Baskerville"/>
                <w:sz w:val="22"/>
                <w:szCs w:val="22"/>
              </w:rPr>
              <w:t xml:space="preserve"> found that discharge records document</w:t>
            </w:r>
            <w:r w:rsidR="009C76D4">
              <w:rPr>
                <w:rFonts w:ascii="Baskerville" w:hAnsi="Baskerville" w:cs="Baskerville"/>
                <w:sz w:val="22"/>
                <w:szCs w:val="22"/>
              </w:rPr>
              <w:t xml:space="preserve"> that individuals and their Authorized R</w:t>
            </w:r>
            <w:r w:rsidR="0083366F" w:rsidRPr="00DF1E2F">
              <w:rPr>
                <w:rFonts w:ascii="Baskerville" w:hAnsi="Baskerville" w:cs="Baskerville"/>
                <w:sz w:val="22"/>
                <w:szCs w:val="22"/>
              </w:rPr>
              <w:t xml:space="preserve">epresentative were </w:t>
            </w:r>
            <w:r w:rsidR="00727BED">
              <w:rPr>
                <w:rFonts w:ascii="Baskerville" w:hAnsi="Baskerville" w:cs="Baskerville"/>
                <w:sz w:val="22"/>
                <w:szCs w:val="22"/>
              </w:rPr>
              <w:t xml:space="preserve">assisted and that </w:t>
            </w:r>
            <w:r w:rsidR="0083366F" w:rsidRPr="00DF1E2F">
              <w:rPr>
                <w:rFonts w:ascii="Baskerville" w:hAnsi="Baskerville" w:cs="Baskerville"/>
                <w:sz w:val="22"/>
                <w:szCs w:val="22"/>
              </w:rPr>
              <w:t>provider</w:t>
            </w:r>
            <w:r w:rsidR="00834BE3">
              <w:rPr>
                <w:rFonts w:ascii="Baskerville" w:hAnsi="Baskerville" w:cs="Baskerville"/>
                <w:sz w:val="22"/>
                <w:szCs w:val="22"/>
              </w:rPr>
              <w:t xml:space="preserve">s were identified and engaged; </w:t>
            </w:r>
          </w:p>
          <w:p w:rsidR="0083366F" w:rsidRPr="00DF1E2F" w:rsidRDefault="003F3CBB" w:rsidP="00EE6E83">
            <w:pPr>
              <w:tabs>
                <w:tab w:val="left" w:pos="1440"/>
                <w:tab w:val="left" w:pos="4920"/>
                <w:tab w:val="right" w:pos="8640"/>
              </w:tabs>
              <w:ind w:right="-108"/>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sidR="00834BE3">
              <w:rPr>
                <w:rFonts w:ascii="Baskerville" w:hAnsi="Baskerville" w:cs="Baskerville"/>
                <w:sz w:val="22"/>
                <w:szCs w:val="22"/>
              </w:rPr>
              <w:t>f</w:t>
            </w:r>
            <w:r w:rsidR="0083366F" w:rsidRPr="00DF1E2F">
              <w:rPr>
                <w:rFonts w:ascii="Baskerville" w:hAnsi="Baskerville" w:cs="Baskerville"/>
                <w:sz w:val="22"/>
                <w:szCs w:val="22"/>
              </w:rPr>
              <w:t>or 27 (96.4%</w:t>
            </w:r>
            <w:r w:rsidR="00727BED">
              <w:rPr>
                <w:rFonts w:ascii="Baskerville" w:hAnsi="Baskerville" w:cs="Baskerville"/>
                <w:sz w:val="22"/>
                <w:szCs w:val="22"/>
              </w:rPr>
              <w:t xml:space="preserve">) of 28 individuals studied </w:t>
            </w:r>
            <w:r w:rsidR="00EF71CF">
              <w:rPr>
                <w:rFonts w:ascii="Baskerville" w:hAnsi="Baskerville" w:cs="Baskerville"/>
                <w:sz w:val="22"/>
                <w:szCs w:val="22"/>
              </w:rPr>
              <w:t xml:space="preserve">during </w:t>
            </w:r>
            <w:r w:rsidR="00727BED">
              <w:rPr>
                <w:rFonts w:ascii="Baskerville" w:hAnsi="Baskerville" w:cs="Baskerville"/>
                <w:sz w:val="22"/>
                <w:szCs w:val="22"/>
              </w:rPr>
              <w:t>the fifth</w:t>
            </w:r>
            <w:r w:rsidR="00834BE3">
              <w:rPr>
                <w:rFonts w:ascii="Baskerville" w:hAnsi="Baskerville" w:cs="Baskerville"/>
                <w:sz w:val="22"/>
                <w:szCs w:val="22"/>
              </w:rPr>
              <w:t xml:space="preserve"> period, the provider staff were</w:t>
            </w:r>
            <w:r w:rsidR="0083366F" w:rsidRPr="00DF1E2F">
              <w:rPr>
                <w:rFonts w:ascii="Baskerville" w:hAnsi="Baskerville" w:cs="Baskerville"/>
                <w:sz w:val="22"/>
                <w:szCs w:val="22"/>
              </w:rPr>
              <w:t xml:space="preserve"> trained in support plan protocols that were transferred to the community.</w:t>
            </w:r>
          </w:p>
        </w:tc>
      </w:tr>
      <w:tr w:rsidR="0083366F" w:rsidRPr="00DF1E2F" w:rsidTr="0094744A">
        <w:trPr>
          <w:trHeight w:val="2861"/>
        </w:trPr>
        <w:tc>
          <w:tcPr>
            <w:tcW w:w="1530" w:type="dxa"/>
            <w:tcBorders>
              <w:bottom w:val="single" w:sz="4" w:space="0" w:color="auto"/>
            </w:tcBorders>
            <w:vAlign w:val="center"/>
          </w:tcPr>
          <w:p w:rsidR="0083366F" w:rsidRPr="000126CD" w:rsidRDefault="0083366F" w:rsidP="00E91BB4">
            <w:pPr>
              <w:tabs>
                <w:tab w:val="left" w:pos="1332"/>
                <w:tab w:val="left" w:pos="1440"/>
                <w:tab w:val="left" w:pos="4920"/>
                <w:tab w:val="right" w:pos="8640"/>
              </w:tabs>
              <w:ind w:left="-108" w:right="-108"/>
              <w:jc w:val="center"/>
              <w:rPr>
                <w:rFonts w:ascii="Baskerville" w:hAnsi="Baskerville" w:cs="Baskerville"/>
                <w:b/>
                <w:sz w:val="22"/>
                <w:szCs w:val="22"/>
                <w:u w:val="single"/>
              </w:rPr>
            </w:pPr>
            <w:r w:rsidRPr="000126CD">
              <w:rPr>
                <w:rFonts w:ascii="Baskerville" w:hAnsi="Baskerville" w:cs="Baskerville"/>
                <w:b/>
                <w:sz w:val="22"/>
                <w:szCs w:val="22"/>
                <w:u w:val="single"/>
              </w:rPr>
              <w:t>IV.B.11.</w:t>
            </w:r>
          </w:p>
        </w:tc>
        <w:tc>
          <w:tcPr>
            <w:tcW w:w="4320" w:type="dxa"/>
            <w:tcBorders>
              <w:bottom w:val="single" w:sz="4" w:space="0" w:color="auto"/>
            </w:tcBorders>
          </w:tcPr>
          <w:p w:rsidR="0083366F" w:rsidRPr="00DF1E2F" w:rsidRDefault="0083366F" w:rsidP="001454F3">
            <w:pPr>
              <w:pStyle w:val="ListParagraph"/>
              <w:ind w:left="0"/>
              <w:rPr>
                <w:rFonts w:ascii="Baskerville" w:hAnsi="Baskerville" w:cs="Baskerville"/>
                <w:sz w:val="22"/>
                <w:szCs w:val="22"/>
              </w:rPr>
            </w:pPr>
            <w:r w:rsidRPr="00DF1E2F">
              <w:rPr>
                <w:rFonts w:ascii="Baskerville" w:hAnsi="Baskerville" w:cs="Baskerville"/>
                <w:sz w:val="22"/>
                <w:szCs w:val="22"/>
              </w:rPr>
              <w:t>The Commonwealth shall ensure that Training Center PST’s have sufficient knowledge about community services and supports to: propose appropriate options about how an individual’s needs could be met in a more integrated setting; present individuals and their families with specific options for community placements, services, and supports; and, together with providers, answer individuals’ and families’ questions about community living.</w:t>
            </w:r>
          </w:p>
        </w:tc>
        <w:tc>
          <w:tcPr>
            <w:tcW w:w="1440" w:type="dxa"/>
            <w:tcBorders>
              <w:bottom w:val="single" w:sz="4" w:space="0" w:color="auto"/>
            </w:tcBorders>
          </w:tcPr>
          <w:p w:rsidR="0083366F" w:rsidRPr="00583B59" w:rsidRDefault="004A1BE2" w:rsidP="00583B59">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583B59" w:rsidRDefault="0083366F" w:rsidP="00ED74EC">
            <w:pPr>
              <w:tabs>
                <w:tab w:val="left" w:pos="1404"/>
                <w:tab w:val="left" w:pos="1440"/>
                <w:tab w:val="left" w:pos="4920"/>
                <w:tab w:val="right" w:pos="8640"/>
              </w:tabs>
              <w:ind w:left="-108" w:right="-108"/>
              <w:jc w:val="center"/>
              <w:rPr>
                <w:rFonts w:ascii="Baskerville" w:hAnsi="Baskerville" w:cs="Baskerville"/>
                <w:sz w:val="22"/>
                <w:szCs w:val="22"/>
                <w:u w:val="single"/>
              </w:rPr>
            </w:pPr>
            <w:r w:rsidRPr="00583B59">
              <w:rPr>
                <w:rFonts w:ascii="Baskerville" w:hAnsi="Baskerville" w:cs="Baskerville"/>
                <w:sz w:val="22"/>
                <w:szCs w:val="22"/>
                <w:u w:val="single"/>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Borders>
              <w:bottom w:val="single" w:sz="4" w:space="0" w:color="auto"/>
            </w:tcBorders>
          </w:tcPr>
          <w:p w:rsidR="0083366F" w:rsidRPr="00DF1E2F" w:rsidRDefault="00942091" w:rsidP="00834BE3">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During the fifth review period, t</w:t>
            </w:r>
            <w:r w:rsidR="0083366F" w:rsidRPr="00DF1E2F">
              <w:rPr>
                <w:rFonts w:ascii="Baskerville" w:hAnsi="Baskerville" w:cs="Baskerville"/>
                <w:sz w:val="22"/>
                <w:szCs w:val="22"/>
              </w:rPr>
              <w:t xml:space="preserve">he </w:t>
            </w:r>
            <w:r>
              <w:rPr>
                <w:rFonts w:ascii="Baskerville" w:hAnsi="Baskerville" w:cs="Baskerville"/>
                <w:sz w:val="22"/>
                <w:szCs w:val="22"/>
              </w:rPr>
              <w:t xml:space="preserve">IR found </w:t>
            </w:r>
            <w:r w:rsidR="0083366F" w:rsidRPr="00DF1E2F">
              <w:rPr>
                <w:rFonts w:ascii="Baskerville" w:hAnsi="Baskerville" w:cs="Baskerville"/>
                <w:sz w:val="22"/>
                <w:szCs w:val="22"/>
              </w:rPr>
              <w:t xml:space="preserve">that 28 (100%) </w:t>
            </w:r>
            <w:r w:rsidR="00B67A7C">
              <w:rPr>
                <w:rFonts w:ascii="Baskerville" w:hAnsi="Baskerville" w:cs="Baskerville"/>
                <w:sz w:val="22"/>
                <w:szCs w:val="22"/>
              </w:rPr>
              <w:t>individuals/Authorized Representatives (AR)</w:t>
            </w:r>
            <w:r w:rsidR="00C06820">
              <w:rPr>
                <w:rFonts w:ascii="Baskerville" w:hAnsi="Baskerville" w:cs="Baskerville"/>
                <w:sz w:val="22"/>
                <w:szCs w:val="22"/>
              </w:rPr>
              <w:t xml:space="preserve"> </w:t>
            </w:r>
            <w:r w:rsidR="0083366F" w:rsidRPr="00DF1E2F">
              <w:rPr>
                <w:rFonts w:ascii="Baskerville" w:hAnsi="Baskerville" w:cs="Baskerville"/>
                <w:sz w:val="22"/>
                <w:szCs w:val="22"/>
              </w:rPr>
              <w:t>who transitioned from Training Centers were provided with information regarding community options.</w:t>
            </w:r>
          </w:p>
        </w:tc>
      </w:tr>
      <w:tr w:rsidR="0083366F" w:rsidRPr="00DF1E2F" w:rsidTr="0094744A">
        <w:trPr>
          <w:trHeight w:val="2861"/>
        </w:trPr>
        <w:tc>
          <w:tcPr>
            <w:tcW w:w="1530" w:type="dxa"/>
            <w:tcBorders>
              <w:top w:val="single" w:sz="4" w:space="0" w:color="auto"/>
            </w:tcBorders>
            <w:vAlign w:val="center"/>
          </w:tcPr>
          <w:p w:rsidR="0083366F" w:rsidRPr="00DF1E2F" w:rsidRDefault="0083366F" w:rsidP="00D35DB6">
            <w:pPr>
              <w:tabs>
                <w:tab w:val="left" w:pos="133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IV.B.11.a.</w:t>
            </w:r>
          </w:p>
        </w:tc>
        <w:tc>
          <w:tcPr>
            <w:tcW w:w="4320" w:type="dxa"/>
            <w:tcBorders>
              <w:top w:val="single" w:sz="4" w:space="0" w:color="auto"/>
            </w:tcBorders>
          </w:tcPr>
          <w:p w:rsidR="0083366F" w:rsidRPr="00DF1E2F" w:rsidRDefault="0083366F" w:rsidP="00BE0255">
            <w:pPr>
              <w:pStyle w:val="ListParagraph"/>
              <w:ind w:left="0"/>
              <w:rPr>
                <w:rFonts w:ascii="Baskerville" w:hAnsi="Baskerville" w:cs="Baskerville"/>
                <w:sz w:val="22"/>
                <w:szCs w:val="22"/>
              </w:rPr>
            </w:pPr>
            <w:r w:rsidRPr="00DF1E2F">
              <w:rPr>
                <w:rFonts w:ascii="Baskerville" w:hAnsi="Baskerville" w:cs="Baskerville"/>
                <w:sz w:val="22"/>
                <w:szCs w:val="22"/>
              </w:rPr>
              <w:t>In collaboration with the CSB and Community providers, the Commonwealth shall develop and provide training and information for Training Center staff about the provisions of the Agreement, staff obligations under the Agreement, current community living options, the principles of person-centered planning, and any related departmental instructions. The training will be provided to all applicable disciplines and all PSTs.</w:t>
            </w:r>
          </w:p>
        </w:tc>
        <w:tc>
          <w:tcPr>
            <w:tcW w:w="1440" w:type="dxa"/>
            <w:tcBorders>
              <w:top w:val="single" w:sz="4" w:space="0" w:color="auto"/>
            </w:tcBorders>
          </w:tcPr>
          <w:p w:rsidR="004A1BE2" w:rsidRPr="0000799C" w:rsidRDefault="004A1BE2" w:rsidP="004A1BE2">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D1483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E130A7" w:rsidRDefault="0083366F" w:rsidP="00D1483B">
            <w:pPr>
              <w:tabs>
                <w:tab w:val="left" w:pos="1404"/>
                <w:tab w:val="left" w:pos="1440"/>
                <w:tab w:val="left" w:pos="4920"/>
                <w:tab w:val="right" w:pos="8640"/>
              </w:tabs>
              <w:ind w:left="-108" w:right="-108"/>
              <w:jc w:val="center"/>
              <w:rPr>
                <w:rFonts w:ascii="Baskerville" w:hAnsi="Baskerville" w:cs="Baskerville"/>
                <w:sz w:val="22"/>
                <w:szCs w:val="22"/>
                <w:u w:val="single"/>
              </w:rPr>
            </w:pPr>
            <w:r w:rsidRPr="00E130A7">
              <w:rPr>
                <w:rFonts w:ascii="Baskerville" w:hAnsi="Baskerville" w:cs="Baskerville"/>
                <w:sz w:val="22"/>
                <w:szCs w:val="22"/>
                <w:u w:val="single"/>
              </w:rPr>
              <w:t>Compliance</w:t>
            </w:r>
          </w:p>
          <w:p w:rsidR="0083366F" w:rsidRPr="00DF1E2F" w:rsidRDefault="0083366F" w:rsidP="00D1483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D1483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D1483B">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2704B4">
            <w:pPr>
              <w:tabs>
                <w:tab w:val="left" w:pos="1440"/>
                <w:tab w:val="left" w:pos="4920"/>
                <w:tab w:val="right" w:pos="8640"/>
              </w:tabs>
              <w:ind w:left="-108" w:right="-108"/>
              <w:jc w:val="center"/>
              <w:rPr>
                <w:rFonts w:ascii="Baskerville" w:hAnsi="Baskerville" w:cs="Baskerville"/>
                <w:b/>
                <w:sz w:val="22"/>
                <w:szCs w:val="22"/>
              </w:rPr>
            </w:pPr>
          </w:p>
        </w:tc>
        <w:tc>
          <w:tcPr>
            <w:tcW w:w="2880" w:type="dxa"/>
            <w:tcBorders>
              <w:top w:val="single" w:sz="4" w:space="0" w:color="auto"/>
            </w:tcBorders>
          </w:tcPr>
          <w:p w:rsidR="0083366F" w:rsidRPr="00DF1E2F" w:rsidRDefault="00942091" w:rsidP="00ED5B79">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 xml:space="preserve">The IR confirmed that at </w:t>
            </w:r>
            <w:r w:rsidR="0083366F" w:rsidRPr="00DF1E2F">
              <w:rPr>
                <w:rFonts w:ascii="Baskerville" w:hAnsi="Baskerville" w:cs="Baskerville"/>
                <w:sz w:val="22"/>
                <w:szCs w:val="22"/>
              </w:rPr>
              <w:t>all Training Centers, training has been provided v</w:t>
            </w:r>
            <w:r w:rsidR="009C76D4">
              <w:rPr>
                <w:rFonts w:ascii="Baskerville" w:hAnsi="Baskerville" w:cs="Baskerville"/>
                <w:sz w:val="22"/>
                <w:szCs w:val="22"/>
              </w:rPr>
              <w:t>ia regular orientation, monthly</w:t>
            </w:r>
            <w:r w:rsidR="0083366F" w:rsidRPr="00DF1E2F">
              <w:rPr>
                <w:rFonts w:ascii="Baskerville" w:hAnsi="Baskerville" w:cs="Baskerville"/>
                <w:sz w:val="22"/>
                <w:szCs w:val="22"/>
              </w:rPr>
              <w:t xml:space="preserve"> and ad hoc events, and ongoing information sharing. </w:t>
            </w:r>
          </w:p>
        </w:tc>
      </w:tr>
      <w:tr w:rsidR="0083366F" w:rsidRPr="00DF1E2F" w:rsidTr="0094744A">
        <w:trPr>
          <w:trHeight w:val="4688"/>
        </w:trPr>
        <w:tc>
          <w:tcPr>
            <w:tcW w:w="1530" w:type="dxa"/>
            <w:vAlign w:val="center"/>
          </w:tcPr>
          <w:p w:rsidR="0083366F" w:rsidRPr="005878C2" w:rsidRDefault="0083366F" w:rsidP="00D35DB6">
            <w:pPr>
              <w:tabs>
                <w:tab w:val="left" w:pos="1332"/>
                <w:tab w:val="left" w:pos="1440"/>
                <w:tab w:val="left" w:pos="4920"/>
                <w:tab w:val="right" w:pos="8640"/>
              </w:tabs>
              <w:ind w:left="-108" w:right="-108"/>
              <w:jc w:val="center"/>
              <w:rPr>
                <w:rFonts w:ascii="Baskerville" w:hAnsi="Baskerville" w:cs="Baskerville"/>
                <w:b/>
                <w:sz w:val="22"/>
                <w:szCs w:val="22"/>
                <w:u w:val="single"/>
              </w:rPr>
            </w:pPr>
            <w:r w:rsidRPr="005878C2">
              <w:rPr>
                <w:rFonts w:ascii="Baskerville" w:hAnsi="Baskerville" w:cs="Baskerville"/>
                <w:b/>
                <w:sz w:val="22"/>
                <w:szCs w:val="22"/>
                <w:u w:val="single"/>
              </w:rPr>
              <w:t>IV.B.11.b.</w:t>
            </w:r>
          </w:p>
        </w:tc>
        <w:tc>
          <w:tcPr>
            <w:tcW w:w="4320" w:type="dxa"/>
          </w:tcPr>
          <w:p w:rsidR="0083366F" w:rsidRPr="00DF1E2F" w:rsidRDefault="0083366F" w:rsidP="004B279A">
            <w:pPr>
              <w:pStyle w:val="ListParagraph"/>
              <w:ind w:left="0"/>
              <w:rPr>
                <w:rFonts w:ascii="Baskerville" w:hAnsi="Baskerville" w:cs="Baskerville"/>
                <w:sz w:val="22"/>
                <w:szCs w:val="22"/>
              </w:rPr>
            </w:pPr>
            <w:r w:rsidRPr="00DF1E2F">
              <w:rPr>
                <w:rFonts w:ascii="Baskerville" w:hAnsi="Baskerville" w:cs="Baskerville"/>
                <w:sz w:val="22"/>
                <w:szCs w:val="22"/>
              </w:rPr>
              <w:t>Person-centered training will occur during initial orientation and through annual refresher courses. Competency will be determined through documented observation of PST meeting and through the use of person-centered thinking coaches and mentors. Each Training Center will have designated coaches who receive additional training. The coaches will provide guidance to PSTs to ensure implementation of the person-centered tools and skills. Coaches throughout the state will have regular and structured sessions and person-centered thinking mentors. These sessions will be designed to foster additional skill development and ensure implementation of person centered thinking practices throughout all levels of the Training Centers</w:t>
            </w:r>
          </w:p>
        </w:tc>
        <w:tc>
          <w:tcPr>
            <w:tcW w:w="1440" w:type="dxa"/>
          </w:tcPr>
          <w:p w:rsidR="0083366F" w:rsidRPr="00E130A7" w:rsidRDefault="004A1BE2" w:rsidP="00E130A7">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E130A7" w:rsidRDefault="0083366F" w:rsidP="00ED74EC">
            <w:pPr>
              <w:tabs>
                <w:tab w:val="left" w:pos="1404"/>
                <w:tab w:val="left" w:pos="1440"/>
                <w:tab w:val="left" w:pos="4920"/>
                <w:tab w:val="right" w:pos="8640"/>
              </w:tabs>
              <w:ind w:left="-108" w:right="-108"/>
              <w:jc w:val="center"/>
              <w:rPr>
                <w:rFonts w:ascii="Baskerville" w:hAnsi="Baskerville" w:cs="Baskerville"/>
                <w:sz w:val="22"/>
                <w:szCs w:val="22"/>
                <w:u w:val="single"/>
              </w:rPr>
            </w:pPr>
            <w:r w:rsidRPr="00E130A7">
              <w:rPr>
                <w:rFonts w:ascii="Baskerville" w:hAnsi="Baskerville" w:cs="Baskerville"/>
                <w:sz w:val="22"/>
                <w:szCs w:val="22"/>
                <w:u w:val="single"/>
              </w:rPr>
              <w:t>Compliance</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sz w:val="22"/>
                <w:szCs w:val="22"/>
              </w:rPr>
              <w:t xml:space="preserve"> </w:t>
            </w: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D74EC">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50641C" w:rsidP="00E955FF">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The IR confirmed that</w:t>
            </w:r>
            <w:r w:rsidR="0083366F" w:rsidRPr="00DF1E2F">
              <w:rPr>
                <w:rFonts w:ascii="Baskerville" w:hAnsi="Baskerville" w:cs="Baskerville"/>
                <w:sz w:val="22"/>
                <w:szCs w:val="22"/>
              </w:rPr>
              <w:t xml:space="preserve"> staff receive required person-centered training</w:t>
            </w:r>
            <w:r w:rsidR="0050336D">
              <w:rPr>
                <w:rFonts w:ascii="Baskerville" w:hAnsi="Baskerville" w:cs="Baskerville"/>
                <w:sz w:val="22"/>
                <w:szCs w:val="22"/>
              </w:rPr>
              <w:t xml:space="preserve"> during orientation and receive</w:t>
            </w:r>
            <w:r w:rsidR="0083366F" w:rsidRPr="00DF1E2F">
              <w:rPr>
                <w:rFonts w:ascii="Baskerville" w:hAnsi="Baskerville" w:cs="Baskerville"/>
                <w:sz w:val="22"/>
                <w:szCs w:val="22"/>
              </w:rPr>
              <w:t xml:space="preserve"> annual refresher training. All Training Centers have person-centered coaches. DBHDS reports that regularly scheduled conferences provide opportunities to meet with mentors.</w:t>
            </w:r>
          </w:p>
        </w:tc>
      </w:tr>
      <w:tr w:rsidR="0083366F" w:rsidRPr="00DF1E2F" w:rsidTr="0094744A">
        <w:trPr>
          <w:trHeight w:val="3905"/>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IV.B.15</w:t>
            </w:r>
          </w:p>
        </w:tc>
        <w:tc>
          <w:tcPr>
            <w:tcW w:w="4320" w:type="dxa"/>
          </w:tcPr>
          <w:p w:rsidR="0083366F" w:rsidRPr="00DF1E2F" w:rsidRDefault="0083366F" w:rsidP="00F94D91">
            <w:pPr>
              <w:pStyle w:val="ListParagraph"/>
              <w:ind w:left="0"/>
              <w:contextualSpacing w:val="0"/>
              <w:rPr>
                <w:rFonts w:ascii="Baskerville" w:hAnsi="Baskerville" w:cs="Baskerville"/>
                <w:b/>
                <w:sz w:val="22"/>
                <w:szCs w:val="22"/>
              </w:rPr>
            </w:pPr>
            <w:r w:rsidRPr="00DF1E2F">
              <w:rPr>
                <w:rFonts w:ascii="Baskerville" w:hAnsi="Baskerville" w:cs="Baskerville"/>
                <w:sz w:val="22"/>
                <w:szCs w:val="22"/>
              </w:rPr>
              <w:t xml:space="preserve">In the event that a PST makes a recommendation to maintain placement at a Training Center or to place an individual in a nursing home or congregate setting with five or more individuals, the decision shall be documented, and the PST shall identify the barriers to placement in a more integrated setting and describe in the discharge plan the steps the team will take to address the barriers. The case shall be referred to the Community Integration Manager and Regional Support </w:t>
            </w:r>
            <w:r>
              <w:rPr>
                <w:rFonts w:ascii="Baskerville" w:hAnsi="Baskerville" w:cs="Baskerville"/>
                <w:sz w:val="22"/>
                <w:szCs w:val="22"/>
              </w:rPr>
              <w:t>Team</w:t>
            </w:r>
            <w:r w:rsidRPr="0084117E">
              <w:rPr>
                <w:rFonts w:ascii="Baskerville" w:hAnsi="Baskerville" w:cs="Baskerville"/>
                <w:sz w:val="22"/>
                <w:szCs w:val="22"/>
              </w:rPr>
              <w:t xml:space="preserve"> in accordance with Sections IV.D.2.a and f and IV.D.3 and such placements shall only occur as permitted by Section IV.C.6.</w:t>
            </w:r>
          </w:p>
        </w:tc>
        <w:tc>
          <w:tcPr>
            <w:tcW w:w="1440" w:type="dxa"/>
          </w:tcPr>
          <w:p w:rsidR="008D24E4" w:rsidRPr="00DF1E2F" w:rsidRDefault="008D24E4" w:rsidP="008D24E4">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E130A7" w:rsidRDefault="0083366F" w:rsidP="008E2886">
            <w:pPr>
              <w:tabs>
                <w:tab w:val="left" w:pos="1440"/>
                <w:tab w:val="left" w:pos="4920"/>
                <w:tab w:val="right" w:pos="8640"/>
              </w:tabs>
              <w:ind w:left="-108" w:right="-108"/>
              <w:jc w:val="center"/>
              <w:rPr>
                <w:rFonts w:ascii="Baskerville" w:hAnsi="Baskerville" w:cs="Baskerville"/>
                <w:sz w:val="22"/>
                <w:szCs w:val="22"/>
                <w:u w:val="single"/>
              </w:rPr>
            </w:pPr>
          </w:p>
          <w:p w:rsidR="0083366F" w:rsidRPr="00E130A7" w:rsidRDefault="0083366F" w:rsidP="008E2886">
            <w:pPr>
              <w:tabs>
                <w:tab w:val="left" w:pos="1440"/>
                <w:tab w:val="left" w:pos="4920"/>
                <w:tab w:val="right" w:pos="8640"/>
              </w:tabs>
              <w:ind w:left="-108" w:right="-108"/>
              <w:jc w:val="center"/>
              <w:rPr>
                <w:rFonts w:ascii="Baskerville" w:hAnsi="Baskerville" w:cs="Baskerville"/>
                <w:sz w:val="22"/>
                <w:szCs w:val="22"/>
                <w:u w:val="single"/>
              </w:rPr>
            </w:pPr>
            <w:r w:rsidRPr="00E130A7">
              <w:rPr>
                <w:rFonts w:ascii="Baskerville" w:hAnsi="Baskerville" w:cs="Baskerville"/>
                <w:sz w:val="22"/>
                <w:szCs w:val="22"/>
                <w:u w:val="single"/>
              </w:rPr>
              <w:t>Non</w:t>
            </w:r>
          </w:p>
          <w:p w:rsidR="0083366F" w:rsidRPr="00E130A7" w:rsidRDefault="0083366F" w:rsidP="008E2886">
            <w:pPr>
              <w:tabs>
                <w:tab w:val="left" w:pos="1440"/>
                <w:tab w:val="left" w:pos="4920"/>
                <w:tab w:val="right" w:pos="8640"/>
              </w:tabs>
              <w:ind w:left="-108" w:right="-108"/>
              <w:jc w:val="center"/>
              <w:rPr>
                <w:rFonts w:ascii="Baskerville" w:hAnsi="Baskerville" w:cs="Baskerville"/>
                <w:sz w:val="22"/>
                <w:szCs w:val="22"/>
                <w:u w:val="single"/>
              </w:rPr>
            </w:pPr>
            <w:r w:rsidRPr="00E130A7">
              <w:rPr>
                <w:rFonts w:ascii="Baskerville" w:hAnsi="Baskerville" w:cs="Baskerville"/>
                <w:sz w:val="22"/>
                <w:szCs w:val="22"/>
                <w:u w:val="single"/>
              </w:rPr>
              <w:t>Compliance</w:t>
            </w: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8E2886">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EE1661">
            <w:pPr>
              <w:tabs>
                <w:tab w:val="left" w:pos="1440"/>
                <w:tab w:val="left" w:pos="4920"/>
                <w:tab w:val="right" w:pos="8640"/>
              </w:tabs>
              <w:ind w:right="72"/>
              <w:rPr>
                <w:rFonts w:ascii="Baskerville" w:hAnsi="Baskerville" w:cs="Baskerville"/>
                <w:b/>
                <w:sz w:val="22"/>
                <w:szCs w:val="22"/>
              </w:rPr>
            </w:pPr>
            <w:r>
              <w:rPr>
                <w:rFonts w:ascii="Baskerville" w:hAnsi="Baskerville" w:cs="Baskerville"/>
                <w:sz w:val="22"/>
                <w:szCs w:val="22"/>
              </w:rPr>
              <w:t xml:space="preserve">See Comment for IV.D.3. </w:t>
            </w:r>
          </w:p>
          <w:p w:rsidR="0083366F" w:rsidRPr="00DF1E2F" w:rsidRDefault="0083366F" w:rsidP="00E7485B">
            <w:pPr>
              <w:tabs>
                <w:tab w:val="left" w:pos="1440"/>
                <w:tab w:val="left" w:pos="4920"/>
                <w:tab w:val="right" w:pos="8640"/>
              </w:tabs>
              <w:ind w:right="72"/>
              <w:rPr>
                <w:rFonts w:ascii="Baskerville" w:hAnsi="Baskerville" w:cs="Baskerville"/>
                <w:b/>
                <w:sz w:val="22"/>
                <w:szCs w:val="22"/>
              </w:rPr>
            </w:pPr>
          </w:p>
        </w:tc>
      </w:tr>
      <w:tr w:rsidR="0083366F" w:rsidRPr="00DF1E2F" w:rsidTr="0094744A">
        <w:trPr>
          <w:trHeight w:val="2600"/>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IV.C.1</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Once a specific provider is selected by an individual, the Commonwealth shall invite and encourage the provider to actively participate in the transition of the individual from the Training Center to the community placement.</w:t>
            </w:r>
          </w:p>
        </w:tc>
        <w:tc>
          <w:tcPr>
            <w:tcW w:w="1440" w:type="dxa"/>
          </w:tcPr>
          <w:p w:rsidR="0083366F" w:rsidRPr="00AF0F4C" w:rsidRDefault="004A1BE2" w:rsidP="00AF0F4C">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AF0F4C" w:rsidRDefault="0083366F" w:rsidP="00E40B68">
            <w:pPr>
              <w:tabs>
                <w:tab w:val="left" w:pos="1404"/>
                <w:tab w:val="left" w:pos="1440"/>
                <w:tab w:val="left" w:pos="4920"/>
                <w:tab w:val="right" w:pos="8640"/>
              </w:tabs>
              <w:ind w:left="-108" w:right="-108"/>
              <w:jc w:val="center"/>
              <w:rPr>
                <w:rFonts w:ascii="Baskerville" w:hAnsi="Baskerville" w:cs="Baskerville"/>
                <w:sz w:val="22"/>
                <w:szCs w:val="22"/>
                <w:u w:val="single"/>
              </w:rPr>
            </w:pPr>
            <w:r w:rsidRPr="00AF0F4C">
              <w:rPr>
                <w:rFonts w:ascii="Baskerville" w:hAnsi="Baskerville" w:cs="Baskerville"/>
                <w:sz w:val="22"/>
                <w:szCs w:val="22"/>
                <w:u w:val="single"/>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C06820" w:rsidRDefault="0050641C" w:rsidP="007F66FC">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During the fifth period</w:t>
            </w:r>
            <w:r w:rsidRPr="00DF1E2F">
              <w:rPr>
                <w:rFonts w:ascii="Baskerville" w:hAnsi="Baskerville" w:cs="Baskerville"/>
                <w:sz w:val="22"/>
                <w:szCs w:val="22"/>
              </w:rPr>
              <w:t xml:space="preserve">, </w:t>
            </w:r>
            <w:r w:rsidR="007F66FC">
              <w:rPr>
                <w:rFonts w:ascii="Baskerville" w:hAnsi="Baskerville" w:cs="Baskerville"/>
                <w:sz w:val="22"/>
                <w:szCs w:val="22"/>
              </w:rPr>
              <w:t xml:space="preserve">the IR </w:t>
            </w:r>
            <w:r w:rsidR="00AD3220">
              <w:rPr>
                <w:rFonts w:ascii="Baskerville" w:hAnsi="Baskerville" w:cs="Baskerville"/>
                <w:sz w:val="22"/>
                <w:szCs w:val="22"/>
              </w:rPr>
              <w:t xml:space="preserve">found </w:t>
            </w:r>
            <w:r>
              <w:rPr>
                <w:rFonts w:ascii="Baskerville" w:hAnsi="Baskerville" w:cs="Baskerville"/>
                <w:sz w:val="22"/>
                <w:szCs w:val="22"/>
              </w:rPr>
              <w:t xml:space="preserve">that </w:t>
            </w:r>
            <w:r w:rsidR="007F66FC" w:rsidRPr="00DF1E2F">
              <w:rPr>
                <w:rFonts w:ascii="Baskerville" w:hAnsi="Baskerville" w:cs="Baskerville"/>
                <w:sz w:val="22"/>
                <w:szCs w:val="22"/>
              </w:rPr>
              <w:t xml:space="preserve">the residential </w:t>
            </w:r>
            <w:r w:rsidR="007F66FC">
              <w:rPr>
                <w:rFonts w:ascii="Baskerville" w:hAnsi="Baskerville" w:cs="Baskerville"/>
                <w:sz w:val="22"/>
                <w:szCs w:val="22"/>
              </w:rPr>
              <w:t xml:space="preserve">provider staff for </w:t>
            </w:r>
          </w:p>
          <w:p w:rsidR="0083366F" w:rsidRPr="00DF1E2F" w:rsidRDefault="00C06820" w:rsidP="007F66FC">
            <w:pPr>
              <w:tabs>
                <w:tab w:val="left" w:pos="1440"/>
                <w:tab w:val="left" w:pos="4920"/>
                <w:tab w:val="right" w:pos="8640"/>
              </w:tabs>
              <w:ind w:right="72"/>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sidR="0083366F" w:rsidRPr="00DF1E2F">
              <w:rPr>
                <w:rFonts w:ascii="Baskerville" w:hAnsi="Baskerville" w:cs="Baskerville"/>
                <w:sz w:val="22"/>
                <w:szCs w:val="22"/>
              </w:rPr>
              <w:t>27 (</w:t>
            </w:r>
            <w:r w:rsidR="007F66FC">
              <w:rPr>
                <w:rFonts w:ascii="Baskerville" w:hAnsi="Baskerville" w:cs="Baskerville"/>
                <w:sz w:val="22"/>
                <w:szCs w:val="22"/>
              </w:rPr>
              <w:t>96.4%) of 28 individuals</w:t>
            </w:r>
            <w:r w:rsidR="0083366F">
              <w:rPr>
                <w:rFonts w:ascii="Baskerville" w:hAnsi="Baskerville" w:cs="Baskerville"/>
                <w:sz w:val="22"/>
                <w:szCs w:val="22"/>
              </w:rPr>
              <w:t xml:space="preserve"> </w:t>
            </w:r>
            <w:r w:rsidR="006A5121" w:rsidRPr="00DF1E2F">
              <w:rPr>
                <w:rFonts w:ascii="Baskerville" w:hAnsi="Baskerville" w:cs="Baskerville"/>
                <w:sz w:val="22"/>
                <w:szCs w:val="22"/>
              </w:rPr>
              <w:t>participa</w:t>
            </w:r>
            <w:r w:rsidR="006A5121">
              <w:rPr>
                <w:rFonts w:ascii="Baskerville" w:hAnsi="Baskerville" w:cs="Baskerville"/>
                <w:sz w:val="22"/>
                <w:szCs w:val="22"/>
              </w:rPr>
              <w:t xml:space="preserve">ted in the pre-move ISP meeting and </w:t>
            </w:r>
            <w:r w:rsidR="0083366F">
              <w:rPr>
                <w:rFonts w:ascii="Baskerville" w:hAnsi="Baskerville" w:cs="Baskerville"/>
                <w:sz w:val="22"/>
                <w:szCs w:val="22"/>
              </w:rPr>
              <w:t>were</w:t>
            </w:r>
            <w:r w:rsidR="0083366F" w:rsidRPr="00DF1E2F">
              <w:rPr>
                <w:rFonts w:ascii="Baskerville" w:hAnsi="Baskerville" w:cs="Baskerville"/>
                <w:sz w:val="22"/>
                <w:szCs w:val="22"/>
              </w:rPr>
              <w:t xml:space="preserve"> trained in </w:t>
            </w:r>
            <w:r w:rsidR="007F66FC">
              <w:rPr>
                <w:rFonts w:ascii="Baskerville" w:hAnsi="Baskerville" w:cs="Baskerville"/>
                <w:sz w:val="22"/>
                <w:szCs w:val="22"/>
              </w:rPr>
              <w:t xml:space="preserve">the </w:t>
            </w:r>
            <w:r w:rsidR="0083366F" w:rsidRPr="00DF1E2F">
              <w:rPr>
                <w:rFonts w:ascii="Baskerville" w:hAnsi="Baskerville" w:cs="Baskerville"/>
                <w:sz w:val="22"/>
                <w:szCs w:val="22"/>
              </w:rPr>
              <w:t xml:space="preserve">support plan protocols that were </w:t>
            </w:r>
            <w:r w:rsidR="00AD3220">
              <w:rPr>
                <w:rFonts w:ascii="Baskerville" w:hAnsi="Baskerville" w:cs="Baskerville"/>
                <w:sz w:val="22"/>
                <w:szCs w:val="22"/>
              </w:rPr>
              <w:t>transferred to the community.</w:t>
            </w:r>
            <w:r w:rsidR="0083366F" w:rsidRPr="00DF1E2F">
              <w:rPr>
                <w:rFonts w:ascii="Baskerville" w:hAnsi="Baskerville" w:cs="Baskerville"/>
                <w:sz w:val="22"/>
                <w:szCs w:val="22"/>
              </w:rPr>
              <w:t xml:space="preserve"> </w:t>
            </w:r>
          </w:p>
        </w:tc>
      </w:tr>
      <w:tr w:rsidR="0083366F" w:rsidRPr="00DF1E2F" w:rsidTr="0094744A">
        <w:trPr>
          <w:trHeight w:val="2321"/>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IV.C.2</w:t>
            </w:r>
          </w:p>
        </w:tc>
        <w:tc>
          <w:tcPr>
            <w:tcW w:w="4320" w:type="dxa"/>
          </w:tcPr>
          <w:p w:rsidR="0083366F" w:rsidRPr="00DF1E2F" w:rsidRDefault="0083366F" w:rsidP="009D1B8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Once trial visits are completed, the individual has selected a provider, and the provider agrees to serve the individual, discharge will occur within 6 weeks, absent conditions beyond the Commonwealth’s control.  If discharge does not occur within 6 weeks, the reasons it did not occur will be documented and a new time frame for discharge will be developed by the PST. </w:t>
            </w:r>
          </w:p>
        </w:tc>
        <w:tc>
          <w:tcPr>
            <w:tcW w:w="1440" w:type="dxa"/>
          </w:tcPr>
          <w:p w:rsidR="004A1BE2" w:rsidRPr="0000799C" w:rsidRDefault="004A1BE2" w:rsidP="004A1BE2">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AF0F4C" w:rsidRDefault="0083366F" w:rsidP="0062715E">
            <w:pPr>
              <w:tabs>
                <w:tab w:val="left" w:pos="1404"/>
                <w:tab w:val="left" w:pos="1440"/>
                <w:tab w:val="left" w:pos="4920"/>
                <w:tab w:val="right" w:pos="8640"/>
              </w:tabs>
              <w:ind w:left="-108" w:right="-108"/>
              <w:jc w:val="center"/>
              <w:rPr>
                <w:rFonts w:ascii="Baskerville" w:hAnsi="Baskerville" w:cs="Baskerville"/>
                <w:sz w:val="22"/>
                <w:szCs w:val="22"/>
                <w:u w:val="single"/>
              </w:rPr>
            </w:pPr>
            <w:r w:rsidRPr="00AF0F4C">
              <w:rPr>
                <w:rFonts w:ascii="Baskerville" w:hAnsi="Baskerville" w:cs="Baskerville"/>
                <w:sz w:val="22"/>
                <w:szCs w:val="22"/>
                <w:u w:val="single"/>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C06820" w:rsidRDefault="00AD3220" w:rsidP="00D70274">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During the fifth period</w:t>
            </w:r>
            <w:r w:rsidRPr="00DF1E2F">
              <w:rPr>
                <w:rFonts w:ascii="Baskerville" w:hAnsi="Baskerville" w:cs="Baskerville"/>
                <w:sz w:val="22"/>
                <w:szCs w:val="22"/>
              </w:rPr>
              <w:t xml:space="preserve">, </w:t>
            </w:r>
            <w:r>
              <w:rPr>
                <w:rFonts w:ascii="Baskerville" w:hAnsi="Baskerville" w:cs="Baskerville"/>
                <w:sz w:val="22"/>
                <w:szCs w:val="22"/>
              </w:rPr>
              <w:t xml:space="preserve">the IR found that </w:t>
            </w:r>
          </w:p>
          <w:p w:rsidR="0083366F" w:rsidRPr="00DF1E2F" w:rsidRDefault="00C06820" w:rsidP="00D70274">
            <w:pPr>
              <w:tabs>
                <w:tab w:val="left" w:pos="1440"/>
                <w:tab w:val="left" w:pos="4920"/>
                <w:tab w:val="right" w:pos="8640"/>
              </w:tabs>
              <w:ind w:right="72"/>
              <w:rPr>
                <w:rFonts w:ascii="Baskerville" w:hAnsi="Baskerville" w:cs="Baskerville"/>
                <w:sz w:val="22"/>
                <w:szCs w:val="22"/>
              </w:rPr>
            </w:pPr>
            <w:r w:rsidRPr="00897163">
              <w:rPr>
                <w:rFonts w:ascii="MS Gothic" w:eastAsia="MS Gothic" w:hAnsi="MS Gothic"/>
                <w:color w:val="000000"/>
                <w:sz w:val="16"/>
                <w:szCs w:val="16"/>
              </w:rPr>
              <w:t>☐</w:t>
            </w:r>
            <w:r>
              <w:rPr>
                <w:rFonts w:ascii="MS Gothic" w:eastAsia="MS Gothic" w:hAnsi="MS Gothic"/>
                <w:color w:val="000000"/>
                <w:sz w:val="16"/>
                <w:szCs w:val="16"/>
              </w:rPr>
              <w:t xml:space="preserve"> </w:t>
            </w:r>
            <w:r w:rsidR="0083366F" w:rsidRPr="00DF1E2F">
              <w:rPr>
                <w:rFonts w:ascii="Baskerville" w:hAnsi="Baskerville" w:cs="Baskerville"/>
                <w:sz w:val="22"/>
                <w:szCs w:val="22"/>
              </w:rPr>
              <w:t>25 (</w:t>
            </w:r>
            <w:r w:rsidR="00AD3220">
              <w:rPr>
                <w:rFonts w:ascii="Baskerville" w:hAnsi="Baskerville" w:cs="Baskerville"/>
                <w:sz w:val="22"/>
                <w:szCs w:val="22"/>
              </w:rPr>
              <w:t>89.3%) of 28 individuals had</w:t>
            </w:r>
            <w:r w:rsidR="00882728" w:rsidRPr="00DF1E2F">
              <w:rPr>
                <w:rFonts w:ascii="Baskerville" w:hAnsi="Baskerville" w:cs="Baskerville"/>
                <w:sz w:val="22"/>
                <w:szCs w:val="22"/>
              </w:rPr>
              <w:t xml:space="preserve"> </w:t>
            </w:r>
            <w:r w:rsidR="0083366F" w:rsidRPr="00DF1E2F">
              <w:rPr>
                <w:rFonts w:ascii="Baskerville" w:hAnsi="Baskerville" w:cs="Baskerville"/>
                <w:sz w:val="22"/>
                <w:szCs w:val="22"/>
              </w:rPr>
              <w:t>moved within 6 weeks, or reasons were documented and new time frames developed.</w:t>
            </w:r>
          </w:p>
        </w:tc>
      </w:tr>
      <w:tr w:rsidR="0083366F" w:rsidRPr="00DF1E2F" w:rsidTr="0094744A">
        <w:trPr>
          <w:trHeight w:val="5075"/>
        </w:trPr>
        <w:tc>
          <w:tcPr>
            <w:tcW w:w="1530" w:type="dxa"/>
            <w:vAlign w:val="center"/>
          </w:tcPr>
          <w:p w:rsidR="0083366F" w:rsidRPr="00DF1E2F" w:rsidRDefault="0083366F" w:rsidP="00E84C91">
            <w:pPr>
              <w:tabs>
                <w:tab w:val="left" w:pos="124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IV.C.3</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develop and implement a system to follow up with individuals after discharge from the Training Centers to identify gaps in care and address proactively any such gaps to reduce the risk of re-admission, crises, or other negative outcomes.  The Post Move Monitor, in coordination with the CSB, will conduct post-move monitoring visits within each of three (3) intervals (30, 60, and 90 days) following an individual’s movement to the community setting.  Documentation of the monitoring visit will be made using the Post Move Monitoring Checklist.  The Commonwealth shall ensure those conducting Post Move Monitoring are adequately trained and a reasonable sample of look-behind Post Move Monitoring is completed to validate the reliability of the Post Move Monitoring process. </w:t>
            </w:r>
          </w:p>
        </w:tc>
        <w:tc>
          <w:tcPr>
            <w:tcW w:w="1440" w:type="dxa"/>
          </w:tcPr>
          <w:p w:rsidR="00245B0C" w:rsidRPr="00B859E2" w:rsidRDefault="00AF0F4C" w:rsidP="00245B0C">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00245B0C" w:rsidRPr="00B859E2">
              <w:rPr>
                <w:rFonts w:ascii="Baskerville" w:hAnsi="Baskerville" w:cs="Baskerville"/>
                <w:sz w:val="20"/>
                <w:szCs w:val="20"/>
              </w:rPr>
              <w:t>Compliance)</w:t>
            </w:r>
          </w:p>
          <w:p w:rsidR="00FD6867" w:rsidRDefault="00FD6867" w:rsidP="0062715E">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176637" w:rsidRDefault="00176637" w:rsidP="0062715E">
            <w:pPr>
              <w:tabs>
                <w:tab w:val="left" w:pos="1404"/>
                <w:tab w:val="left" w:pos="1440"/>
                <w:tab w:val="left" w:pos="4920"/>
                <w:tab w:val="right" w:pos="8640"/>
              </w:tabs>
              <w:ind w:left="-108" w:right="-108"/>
              <w:jc w:val="center"/>
              <w:rPr>
                <w:rFonts w:ascii="Baskerville" w:hAnsi="Baskerville" w:cs="Baskerville"/>
                <w:sz w:val="22"/>
                <w:szCs w:val="22"/>
                <w:u w:val="single"/>
              </w:rPr>
            </w:pPr>
            <w:r>
              <w:rPr>
                <w:rFonts w:ascii="Baskerville" w:hAnsi="Baskerville" w:cs="Baskerville"/>
                <w:sz w:val="22"/>
                <w:szCs w:val="22"/>
                <w:u w:val="single"/>
              </w:rPr>
              <w:t xml:space="preserve">Non </w:t>
            </w:r>
            <w:r w:rsidR="0083366F" w:rsidRPr="00176637">
              <w:rPr>
                <w:rFonts w:ascii="Baskerville" w:hAnsi="Baskerville" w:cs="Baskerville"/>
                <w:sz w:val="22"/>
                <w:szCs w:val="22"/>
                <w:u w:val="single"/>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176637" w:rsidRPr="00DF1E2F" w:rsidRDefault="00176637" w:rsidP="00176637">
            <w:pPr>
              <w:tabs>
                <w:tab w:val="left" w:pos="1404"/>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83366F" w:rsidRPr="00DF1E2F" w:rsidRDefault="0083366F" w:rsidP="0062715E">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BB0016" w:rsidRPr="00C92058" w:rsidRDefault="0083366F" w:rsidP="008A1608">
            <w:pPr>
              <w:tabs>
                <w:tab w:val="left" w:pos="1440"/>
                <w:tab w:val="left" w:pos="4920"/>
                <w:tab w:val="right" w:pos="8640"/>
              </w:tabs>
              <w:ind w:right="-108"/>
              <w:rPr>
                <w:rFonts w:ascii="Baskerville" w:hAnsi="Baskerville" w:cs="Baskerville"/>
                <w:sz w:val="22"/>
                <w:szCs w:val="22"/>
              </w:rPr>
            </w:pPr>
            <w:r w:rsidRPr="00C92058">
              <w:rPr>
                <w:rFonts w:ascii="Baskerville" w:hAnsi="Baskerville" w:cs="Baskerville"/>
                <w:sz w:val="22"/>
                <w:szCs w:val="22"/>
              </w:rPr>
              <w:t xml:space="preserve">The </w:t>
            </w:r>
            <w:r w:rsidR="00C01CDC" w:rsidRPr="00C92058">
              <w:rPr>
                <w:rFonts w:ascii="Baskerville" w:hAnsi="Baskerville" w:cs="Baskerville"/>
                <w:sz w:val="22"/>
                <w:szCs w:val="22"/>
              </w:rPr>
              <w:t xml:space="preserve">IR determined that the </w:t>
            </w:r>
            <w:r w:rsidRPr="00C92058">
              <w:rPr>
                <w:rFonts w:ascii="Baskerville" w:hAnsi="Baskerville" w:cs="Baskerville"/>
                <w:sz w:val="22"/>
                <w:szCs w:val="22"/>
              </w:rPr>
              <w:t>Com</w:t>
            </w:r>
            <w:r w:rsidR="00C06820">
              <w:rPr>
                <w:rFonts w:ascii="Baskerville" w:hAnsi="Baskerville" w:cs="Baskerville"/>
                <w:sz w:val="22"/>
                <w:szCs w:val="22"/>
              </w:rPr>
              <w:t>monwealth has a well-organized Post M</w:t>
            </w:r>
            <w:r w:rsidRPr="00C92058">
              <w:rPr>
                <w:rFonts w:ascii="Baskerville" w:hAnsi="Baskerville" w:cs="Baskerville"/>
                <w:sz w:val="22"/>
                <w:szCs w:val="22"/>
              </w:rPr>
              <w:t>ov</w:t>
            </w:r>
            <w:r w:rsidR="00C06820">
              <w:rPr>
                <w:rFonts w:ascii="Baskerville" w:hAnsi="Baskerville" w:cs="Baskerville"/>
                <w:sz w:val="22"/>
                <w:szCs w:val="22"/>
              </w:rPr>
              <w:t>e M</w:t>
            </w:r>
            <w:r w:rsidRPr="00C92058">
              <w:rPr>
                <w:rFonts w:ascii="Baskerville" w:hAnsi="Baskerville" w:cs="Baskerville"/>
                <w:sz w:val="22"/>
                <w:szCs w:val="22"/>
              </w:rPr>
              <w:t>onitoring (PMM) process</w:t>
            </w:r>
            <w:r w:rsidR="009845DC">
              <w:rPr>
                <w:rFonts w:ascii="Baskerville" w:hAnsi="Baskerville" w:cs="Baskerville"/>
                <w:sz w:val="22"/>
                <w:szCs w:val="22"/>
              </w:rPr>
              <w:t xml:space="preserve"> with </w:t>
            </w:r>
            <w:r w:rsidRPr="00C92058">
              <w:rPr>
                <w:rFonts w:ascii="Baskerville" w:hAnsi="Baskerville" w:cs="Baskerville"/>
                <w:sz w:val="22"/>
                <w:szCs w:val="22"/>
              </w:rPr>
              <w:t xml:space="preserve">increased frequency during the first weeks after </w:t>
            </w:r>
            <w:r w:rsidR="00C01CDC" w:rsidRPr="00C92058">
              <w:rPr>
                <w:rFonts w:ascii="Baskerville" w:hAnsi="Baskerville" w:cs="Baskerville"/>
                <w:sz w:val="22"/>
                <w:szCs w:val="22"/>
              </w:rPr>
              <w:t xml:space="preserve">transitions. </w:t>
            </w:r>
            <w:r w:rsidR="004808AC">
              <w:rPr>
                <w:rFonts w:ascii="Baskerville" w:hAnsi="Baskerville" w:cs="Baskerville"/>
                <w:sz w:val="22"/>
                <w:szCs w:val="22"/>
              </w:rPr>
              <w:t xml:space="preserve">The IR </w:t>
            </w:r>
            <w:r w:rsidRPr="00C92058">
              <w:rPr>
                <w:rFonts w:ascii="Baskerville" w:hAnsi="Baskerville" w:cs="Baskerville"/>
                <w:sz w:val="22"/>
                <w:szCs w:val="22"/>
              </w:rPr>
              <w:t xml:space="preserve">found that for 28 (100%) individuals, PMM visits had occurred and </w:t>
            </w:r>
            <w:r w:rsidR="0065145F" w:rsidRPr="00C92058">
              <w:rPr>
                <w:rFonts w:ascii="Baskerville" w:hAnsi="Baskerville" w:cs="Baskerville"/>
                <w:sz w:val="22"/>
                <w:szCs w:val="22"/>
              </w:rPr>
              <w:t xml:space="preserve">that the monitors </w:t>
            </w:r>
            <w:r w:rsidR="004808AC">
              <w:rPr>
                <w:rFonts w:ascii="Baskerville" w:hAnsi="Baskerville" w:cs="Baskerville"/>
                <w:sz w:val="22"/>
                <w:szCs w:val="22"/>
              </w:rPr>
              <w:t xml:space="preserve">had been trained and </w:t>
            </w:r>
            <w:r w:rsidR="0065145F" w:rsidRPr="00C92058">
              <w:rPr>
                <w:rFonts w:ascii="Baskerville" w:hAnsi="Baskerville" w:cs="Baskerville"/>
                <w:sz w:val="22"/>
                <w:szCs w:val="22"/>
              </w:rPr>
              <w:t xml:space="preserve">utilized </w:t>
            </w:r>
            <w:r w:rsidRPr="00C92058">
              <w:rPr>
                <w:rFonts w:ascii="Baskerville" w:hAnsi="Baskerville" w:cs="Baskerville"/>
                <w:sz w:val="22"/>
                <w:szCs w:val="22"/>
              </w:rPr>
              <w:t>monitoring checklist</w:t>
            </w:r>
            <w:r w:rsidR="0065145F" w:rsidRPr="00C92058">
              <w:rPr>
                <w:rFonts w:ascii="Baskerville" w:hAnsi="Baskerville" w:cs="Baskerville"/>
                <w:sz w:val="22"/>
                <w:szCs w:val="22"/>
              </w:rPr>
              <w:t>s</w:t>
            </w:r>
            <w:r w:rsidRPr="00C92058">
              <w:rPr>
                <w:rFonts w:ascii="Baskerville" w:hAnsi="Baskerville" w:cs="Baskerville"/>
                <w:sz w:val="22"/>
                <w:szCs w:val="22"/>
              </w:rPr>
              <w:t xml:space="preserve">. </w:t>
            </w:r>
          </w:p>
          <w:p w:rsidR="00BB0016" w:rsidRPr="00C92058" w:rsidRDefault="00BB0016" w:rsidP="008A1608">
            <w:pPr>
              <w:tabs>
                <w:tab w:val="left" w:pos="1440"/>
                <w:tab w:val="left" w:pos="4920"/>
                <w:tab w:val="right" w:pos="8640"/>
              </w:tabs>
              <w:ind w:right="-108"/>
              <w:rPr>
                <w:rFonts w:ascii="Baskerville" w:hAnsi="Baskerville" w:cs="Baskerville"/>
                <w:sz w:val="22"/>
                <w:szCs w:val="22"/>
              </w:rPr>
            </w:pPr>
          </w:p>
          <w:p w:rsidR="0083366F" w:rsidRPr="00C92058" w:rsidRDefault="0065145F" w:rsidP="00BB0016">
            <w:pPr>
              <w:tabs>
                <w:tab w:val="left" w:pos="1440"/>
                <w:tab w:val="left" w:pos="4920"/>
                <w:tab w:val="right" w:pos="8640"/>
              </w:tabs>
              <w:ind w:right="-108"/>
              <w:rPr>
                <w:rFonts w:ascii="Baskerville" w:hAnsi="Baskerville" w:cs="Baskerville"/>
                <w:sz w:val="22"/>
                <w:szCs w:val="22"/>
              </w:rPr>
            </w:pPr>
            <w:r w:rsidRPr="00C92058">
              <w:rPr>
                <w:rFonts w:ascii="Baskerville" w:hAnsi="Baskerville" w:cs="Baskerville"/>
                <w:sz w:val="22"/>
                <w:szCs w:val="22"/>
              </w:rPr>
              <w:t>The Commonwealth came into compliance d</w:t>
            </w:r>
            <w:r w:rsidR="00DA1215" w:rsidRPr="00C92058">
              <w:rPr>
                <w:rFonts w:ascii="Baskerville" w:hAnsi="Baskerville" w:cs="Baskerville"/>
                <w:sz w:val="22"/>
                <w:szCs w:val="22"/>
              </w:rPr>
              <w:t>uring the sixth review period as a result of designing and implementing</w:t>
            </w:r>
            <w:r w:rsidR="008A1608" w:rsidRPr="00C92058">
              <w:rPr>
                <w:rFonts w:ascii="Baskerville" w:hAnsi="Baskerville" w:cs="Baskerville"/>
                <w:sz w:val="22"/>
                <w:szCs w:val="22"/>
              </w:rPr>
              <w:t xml:space="preserve"> a</w:t>
            </w:r>
            <w:r w:rsidR="00BB0016" w:rsidRPr="00C92058">
              <w:rPr>
                <w:rFonts w:ascii="Baskerville" w:hAnsi="Baskerville" w:cs="Baskerville"/>
                <w:sz w:val="22"/>
                <w:szCs w:val="22"/>
              </w:rPr>
              <w:t xml:space="preserve"> Post Move Mo</w:t>
            </w:r>
            <w:r w:rsidR="00CF2657" w:rsidRPr="00C92058">
              <w:rPr>
                <w:rFonts w:ascii="Baskerville" w:hAnsi="Baskerville" w:cs="Baskerville"/>
                <w:sz w:val="22"/>
                <w:szCs w:val="22"/>
              </w:rPr>
              <w:t xml:space="preserve">nitoring </w:t>
            </w:r>
            <w:r w:rsidR="00DA1215" w:rsidRPr="00C92058">
              <w:rPr>
                <w:rFonts w:ascii="Baskerville" w:hAnsi="Baskerville" w:cs="Baskerville"/>
                <w:sz w:val="22"/>
                <w:szCs w:val="22"/>
              </w:rPr>
              <w:t>look-</w:t>
            </w:r>
            <w:r w:rsidR="00BB0016" w:rsidRPr="00C92058">
              <w:rPr>
                <w:rFonts w:ascii="Baskerville" w:hAnsi="Baskerville" w:cs="Baskerville"/>
                <w:sz w:val="22"/>
                <w:szCs w:val="22"/>
              </w:rPr>
              <w:t xml:space="preserve">behind </w:t>
            </w:r>
            <w:r w:rsidR="00CF2657" w:rsidRPr="00C92058">
              <w:rPr>
                <w:rFonts w:ascii="Baskerville" w:hAnsi="Baskerville" w:cs="Baskerville"/>
                <w:sz w:val="22"/>
                <w:szCs w:val="22"/>
              </w:rPr>
              <w:t>process with a significant sample siz</w:t>
            </w:r>
            <w:r w:rsidR="00BB0016" w:rsidRPr="00C92058">
              <w:rPr>
                <w:rFonts w:ascii="Baskerville" w:hAnsi="Baskerville" w:cs="Baskerville"/>
                <w:sz w:val="22"/>
                <w:szCs w:val="22"/>
              </w:rPr>
              <w:t xml:space="preserve">e. </w:t>
            </w:r>
          </w:p>
        </w:tc>
      </w:tr>
      <w:tr w:rsidR="0083366F" w:rsidRPr="00DF1E2F" w:rsidTr="0094744A">
        <w:trPr>
          <w:trHeight w:val="2159"/>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IV.C.4</w:t>
            </w:r>
          </w:p>
        </w:tc>
        <w:tc>
          <w:tcPr>
            <w:tcW w:w="4320" w:type="dxa"/>
          </w:tcPr>
          <w:p w:rsidR="0083366F" w:rsidRPr="00DF1E2F" w:rsidRDefault="0083366F" w:rsidP="004B279A">
            <w:pPr>
              <w:pStyle w:val="Level1"/>
              <w:numPr>
                <w:ilvl w:val="0"/>
                <w:numId w:val="0"/>
              </w:numPr>
              <w:overflowPunct w:val="0"/>
              <w:autoSpaceDE w:val="0"/>
              <w:autoSpaceDN w:val="0"/>
              <w:spacing w:before="0" w:after="0"/>
              <w:outlineLvl w:val="9"/>
              <w:rPr>
                <w:rFonts w:ascii="Baskerville" w:hAnsi="Baskerville" w:cs="Baskerville"/>
                <w:sz w:val="22"/>
                <w:szCs w:val="22"/>
              </w:rPr>
            </w:pPr>
            <w:r w:rsidRPr="00DF1E2F">
              <w:rPr>
                <w:rFonts w:ascii="Baskerville" w:hAnsi="Baskerville" w:cs="Baskerville"/>
                <w:color w:val="000000"/>
                <w:sz w:val="22"/>
                <w:szCs w:val="22"/>
              </w:rPr>
              <w:t xml:space="preserve">The Commonwealth shall ensure that each individual transitioning from a Training Center shall have a current discharge plan, updated within 30 days prior to the </w:t>
            </w:r>
            <w:r w:rsidRPr="00DF1E2F">
              <w:rPr>
                <w:rFonts w:ascii="Baskerville" w:hAnsi="Baskerville" w:cs="Baskerville"/>
                <w:sz w:val="22"/>
                <w:szCs w:val="22"/>
              </w:rPr>
              <w:t xml:space="preserve">individual’s discharge.  </w:t>
            </w:r>
          </w:p>
        </w:tc>
        <w:tc>
          <w:tcPr>
            <w:tcW w:w="1440" w:type="dxa"/>
          </w:tcPr>
          <w:p w:rsidR="003032DD" w:rsidRPr="0000799C" w:rsidRDefault="003032DD" w:rsidP="003032D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176637" w:rsidRDefault="00176637" w:rsidP="0062715E">
            <w:pPr>
              <w:tabs>
                <w:tab w:val="left" w:pos="1404"/>
                <w:tab w:val="left" w:pos="1440"/>
                <w:tab w:val="left" w:pos="4920"/>
                <w:tab w:val="right" w:pos="8640"/>
              </w:tabs>
              <w:ind w:left="-108" w:right="-108"/>
              <w:jc w:val="center"/>
              <w:rPr>
                <w:rFonts w:ascii="Baskerville" w:hAnsi="Baskerville" w:cs="Baskerville"/>
                <w:sz w:val="22"/>
                <w:szCs w:val="22"/>
                <w:u w:val="single"/>
              </w:rPr>
            </w:pPr>
          </w:p>
          <w:p w:rsidR="0083366F" w:rsidRPr="00176637" w:rsidRDefault="0083366F" w:rsidP="0062715E">
            <w:pPr>
              <w:tabs>
                <w:tab w:val="left" w:pos="1404"/>
                <w:tab w:val="left" w:pos="1440"/>
                <w:tab w:val="left" w:pos="4920"/>
                <w:tab w:val="right" w:pos="8640"/>
              </w:tabs>
              <w:ind w:left="-108" w:right="-108"/>
              <w:jc w:val="center"/>
              <w:rPr>
                <w:rFonts w:ascii="Baskerville" w:hAnsi="Baskerville" w:cs="Baskerville"/>
                <w:sz w:val="22"/>
                <w:szCs w:val="22"/>
                <w:u w:val="single"/>
              </w:rPr>
            </w:pPr>
            <w:r w:rsidRPr="00176637">
              <w:rPr>
                <w:rFonts w:ascii="Baskerville" w:hAnsi="Baskerville" w:cs="Baskerville"/>
                <w:sz w:val="22"/>
                <w:szCs w:val="22"/>
                <w:u w:val="single"/>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742AD9">
            <w:pPr>
              <w:tabs>
                <w:tab w:val="left" w:pos="1404"/>
                <w:tab w:val="left" w:pos="1440"/>
                <w:tab w:val="left" w:pos="4920"/>
                <w:tab w:val="right" w:pos="8640"/>
              </w:tabs>
              <w:ind w:left="-108" w:right="-108"/>
              <w:jc w:val="center"/>
              <w:rPr>
                <w:rFonts w:ascii="Baskerville" w:hAnsi="Baskerville" w:cs="Baskerville"/>
                <w:sz w:val="22"/>
                <w:szCs w:val="22"/>
              </w:rPr>
            </w:pPr>
          </w:p>
        </w:tc>
        <w:tc>
          <w:tcPr>
            <w:tcW w:w="2880" w:type="dxa"/>
          </w:tcPr>
          <w:p w:rsidR="00405722" w:rsidRPr="00C92058" w:rsidRDefault="008E4536" w:rsidP="002F323B">
            <w:pPr>
              <w:tabs>
                <w:tab w:val="left" w:pos="1440"/>
                <w:tab w:val="left" w:pos="4920"/>
                <w:tab w:val="right" w:pos="8640"/>
              </w:tabs>
              <w:rPr>
                <w:rFonts w:ascii="Baskerville" w:hAnsi="Baskerville" w:cs="Baskerville"/>
                <w:sz w:val="22"/>
                <w:szCs w:val="22"/>
              </w:rPr>
            </w:pPr>
            <w:r w:rsidRPr="00C92058">
              <w:rPr>
                <w:rFonts w:ascii="Baskerville" w:hAnsi="Baskerville" w:cs="Baskerville"/>
                <w:sz w:val="22"/>
                <w:szCs w:val="22"/>
              </w:rPr>
              <w:t>The</w:t>
            </w:r>
            <w:r w:rsidR="00405722" w:rsidRPr="00C92058">
              <w:rPr>
                <w:rFonts w:ascii="Baskerville" w:hAnsi="Baskerville" w:cs="Baskerville"/>
                <w:sz w:val="22"/>
                <w:szCs w:val="22"/>
              </w:rPr>
              <w:t xml:space="preserve"> IR review</w:t>
            </w:r>
            <w:r w:rsidR="00913126">
              <w:rPr>
                <w:rFonts w:ascii="Baskerville" w:hAnsi="Baskerville" w:cs="Baskerville"/>
                <w:sz w:val="22"/>
                <w:szCs w:val="22"/>
              </w:rPr>
              <w:t xml:space="preserve"> studies </w:t>
            </w:r>
            <w:r w:rsidRPr="00C92058">
              <w:rPr>
                <w:rFonts w:ascii="Baskerville" w:hAnsi="Baskerville" w:cs="Baskerville"/>
                <w:sz w:val="22"/>
                <w:szCs w:val="22"/>
              </w:rPr>
              <w:t xml:space="preserve">during the fourth and fifth review periods </w:t>
            </w:r>
            <w:r w:rsidR="0083366F" w:rsidRPr="00C92058">
              <w:rPr>
                <w:rFonts w:ascii="Baskerville" w:hAnsi="Baskerville" w:cs="Baskerville"/>
                <w:sz w:val="22"/>
                <w:szCs w:val="22"/>
              </w:rPr>
              <w:t xml:space="preserve">found that </w:t>
            </w:r>
          </w:p>
          <w:p w:rsidR="0083366F" w:rsidRPr="00C92058" w:rsidRDefault="00405722" w:rsidP="002F323B">
            <w:pPr>
              <w:tabs>
                <w:tab w:val="left" w:pos="1440"/>
                <w:tab w:val="left" w:pos="4920"/>
                <w:tab w:val="right" w:pos="8640"/>
              </w:tabs>
              <w:rPr>
                <w:rFonts w:ascii="Baskerville" w:hAnsi="Baskerville" w:cs="Baskerville"/>
                <w:sz w:val="22"/>
                <w:szCs w:val="22"/>
              </w:rPr>
            </w:pPr>
            <w:r w:rsidRPr="00C92058">
              <w:rPr>
                <w:rFonts w:ascii="Menlo Regular" w:eastAsia="MS Gothic" w:hAnsi="Menlo Regular" w:cs="Menlo Regular"/>
                <w:color w:val="000000"/>
                <w:sz w:val="16"/>
                <w:szCs w:val="16"/>
              </w:rPr>
              <w:t>☐</w:t>
            </w:r>
            <w:r w:rsidRPr="00C92058">
              <w:rPr>
                <w:rFonts w:ascii="Baskerville" w:eastAsia="MS Gothic" w:hAnsi="Baskerville" w:cs="Baskerville"/>
                <w:color w:val="000000"/>
                <w:sz w:val="16"/>
                <w:szCs w:val="16"/>
              </w:rPr>
              <w:t xml:space="preserve"> </w:t>
            </w:r>
            <w:r w:rsidR="0083366F" w:rsidRPr="00C92058">
              <w:rPr>
                <w:rFonts w:ascii="Baskerville" w:hAnsi="Baskerville" w:cs="Baskerville"/>
                <w:sz w:val="22"/>
                <w:szCs w:val="22"/>
              </w:rPr>
              <w:t xml:space="preserve">for </w:t>
            </w:r>
            <w:r w:rsidR="008E4536" w:rsidRPr="00C92058">
              <w:rPr>
                <w:rFonts w:ascii="Baskerville" w:hAnsi="Baskerville" w:cs="Baskerville"/>
                <w:sz w:val="22"/>
                <w:szCs w:val="22"/>
              </w:rPr>
              <w:t>28 (93.3%) of 30 individuals, t</w:t>
            </w:r>
            <w:r w:rsidR="0083366F" w:rsidRPr="00C92058">
              <w:rPr>
                <w:rFonts w:ascii="Baskerville" w:hAnsi="Baskerville" w:cs="Baskerville"/>
                <w:sz w:val="22"/>
                <w:szCs w:val="22"/>
              </w:rPr>
              <w:t xml:space="preserve">he Commonwealth updated discharge plans within 30 days prior to discharge. </w:t>
            </w:r>
          </w:p>
        </w:tc>
      </w:tr>
      <w:tr w:rsidR="0083366F" w:rsidRPr="00DF1E2F" w:rsidTr="0094744A">
        <w:trPr>
          <w:trHeight w:val="3662"/>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IV.C.5</w:t>
            </w:r>
          </w:p>
        </w:tc>
        <w:tc>
          <w:tcPr>
            <w:tcW w:w="4320" w:type="dxa"/>
          </w:tcPr>
          <w:p w:rsidR="0083366F" w:rsidRPr="00DF1E2F" w:rsidRDefault="0083366F" w:rsidP="004D4B13">
            <w:pPr>
              <w:pStyle w:val="Level1"/>
              <w:numPr>
                <w:ilvl w:val="0"/>
                <w:numId w:val="0"/>
              </w:numPr>
              <w:overflowPunct w:val="0"/>
              <w:autoSpaceDE w:val="0"/>
              <w:autoSpaceDN w:val="0"/>
              <w:spacing w:before="0" w:after="0"/>
              <w:outlineLvl w:val="9"/>
              <w:rPr>
                <w:rFonts w:ascii="Baskerville" w:hAnsi="Baskerville" w:cs="Baskerville"/>
                <w:sz w:val="22"/>
                <w:szCs w:val="22"/>
              </w:rPr>
            </w:pPr>
            <w:r w:rsidRPr="00DF1E2F">
              <w:rPr>
                <w:rFonts w:ascii="Baskerville" w:hAnsi="Baskerville" w:cs="Baskerville"/>
                <w:sz w:val="22"/>
                <w:szCs w:val="22"/>
              </w:rPr>
              <w:t>The Commonwealth shall ensure that the PST will identify all needed supports, protections, and services to ensure successful transition in the new living environment, including what is most important to the individual as it relates to community placement.  The Commonwealth, in consultation with the PST, will determine the essential supports needed for successful and optimal community placement.  The Commonwealth shall ensure that essential supports are in place at the individual’s community placement prior to the individua</w:t>
            </w:r>
            <w:r>
              <w:rPr>
                <w:rFonts w:ascii="Baskerville" w:hAnsi="Baskerville" w:cs="Baskerville"/>
                <w:sz w:val="22"/>
                <w:szCs w:val="22"/>
              </w:rPr>
              <w:t>l’s discharge ..</w:t>
            </w:r>
            <w:r w:rsidRPr="00DF1E2F">
              <w:rPr>
                <w:rFonts w:ascii="Baskerville" w:hAnsi="Baskerville" w:cs="Baskerville"/>
                <w:sz w:val="22"/>
                <w:szCs w:val="22"/>
              </w:rPr>
              <w:t xml:space="preserve">.  </w:t>
            </w:r>
          </w:p>
        </w:tc>
        <w:tc>
          <w:tcPr>
            <w:tcW w:w="1440" w:type="dxa"/>
          </w:tcPr>
          <w:p w:rsidR="003032DD" w:rsidRPr="0000799C" w:rsidRDefault="003032DD" w:rsidP="003032D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176637" w:rsidRDefault="001162CD" w:rsidP="0062715E">
            <w:pPr>
              <w:tabs>
                <w:tab w:val="left" w:pos="1404"/>
                <w:tab w:val="left" w:pos="1440"/>
                <w:tab w:val="left" w:pos="4920"/>
                <w:tab w:val="right" w:pos="8640"/>
              </w:tabs>
              <w:ind w:left="-108" w:right="-108"/>
              <w:jc w:val="center"/>
              <w:rPr>
                <w:rFonts w:ascii="Baskerville" w:hAnsi="Baskerville" w:cs="Baskerville"/>
                <w:sz w:val="22"/>
                <w:szCs w:val="22"/>
                <w:u w:val="single"/>
              </w:rPr>
            </w:pPr>
            <w:r w:rsidRPr="00176637">
              <w:rPr>
                <w:rFonts w:ascii="Baskerville" w:hAnsi="Baskerville" w:cs="Baskerville"/>
                <w:sz w:val="22"/>
                <w:szCs w:val="22"/>
                <w:u w:val="single"/>
              </w:rPr>
              <w:t>Non Compliance</w:t>
            </w: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2715E">
            <w:pPr>
              <w:tabs>
                <w:tab w:val="left" w:pos="1404"/>
                <w:tab w:val="left" w:pos="1440"/>
                <w:tab w:val="left" w:pos="4920"/>
                <w:tab w:val="right" w:pos="8640"/>
              </w:tabs>
              <w:ind w:left="-108" w:right="-108"/>
              <w:jc w:val="center"/>
              <w:rPr>
                <w:rFonts w:ascii="Baskerville" w:hAnsi="Baskerville" w:cs="Baskerville"/>
                <w:sz w:val="22"/>
                <w:szCs w:val="22"/>
              </w:rPr>
            </w:pPr>
          </w:p>
          <w:p w:rsidR="009B4800" w:rsidRDefault="009B4800" w:rsidP="0062715E">
            <w:pPr>
              <w:tabs>
                <w:tab w:val="left" w:pos="1440"/>
                <w:tab w:val="left" w:pos="4920"/>
                <w:tab w:val="right" w:pos="8640"/>
              </w:tabs>
              <w:ind w:left="-108" w:right="-108"/>
              <w:jc w:val="center"/>
              <w:rPr>
                <w:rFonts w:ascii="Baskerville" w:hAnsi="Baskerville" w:cs="Baskerville"/>
                <w:b/>
                <w:sz w:val="22"/>
                <w:szCs w:val="22"/>
              </w:rPr>
            </w:pPr>
          </w:p>
          <w:p w:rsidR="0083366F" w:rsidRPr="009B4800" w:rsidRDefault="0083366F" w:rsidP="009B4800">
            <w:pPr>
              <w:jc w:val="center"/>
              <w:rPr>
                <w:rFonts w:ascii="Baskerville" w:hAnsi="Baskerville" w:cs="Baskerville"/>
                <w:sz w:val="22"/>
                <w:szCs w:val="22"/>
              </w:rPr>
            </w:pPr>
          </w:p>
        </w:tc>
        <w:tc>
          <w:tcPr>
            <w:tcW w:w="2880" w:type="dxa"/>
          </w:tcPr>
          <w:p w:rsidR="00405722" w:rsidRPr="00C92058" w:rsidRDefault="00C92058" w:rsidP="00AE11C8">
            <w:pPr>
              <w:tabs>
                <w:tab w:val="left" w:pos="1440"/>
                <w:tab w:val="left" w:pos="4920"/>
                <w:tab w:val="right" w:pos="8640"/>
              </w:tabs>
              <w:ind w:right="-108"/>
              <w:rPr>
                <w:rFonts w:ascii="Baskerville" w:eastAsia="MS Gothic" w:hAnsi="Baskerville" w:cs="Baskerville"/>
                <w:color w:val="000000"/>
                <w:sz w:val="22"/>
                <w:szCs w:val="22"/>
              </w:rPr>
            </w:pPr>
            <w:r w:rsidRPr="00C92058">
              <w:rPr>
                <w:rFonts w:ascii="Baskerville" w:eastAsia="MS Gothic" w:hAnsi="Baskerville" w:cs="Baskerville"/>
                <w:color w:val="000000"/>
                <w:sz w:val="22"/>
                <w:szCs w:val="22"/>
              </w:rPr>
              <w:t xml:space="preserve">The IR </w:t>
            </w:r>
            <w:r>
              <w:rPr>
                <w:rFonts w:ascii="Baskerville" w:eastAsia="MS Gothic" w:hAnsi="Baskerville" w:cs="Baskerville"/>
                <w:color w:val="000000"/>
                <w:sz w:val="22"/>
                <w:szCs w:val="22"/>
              </w:rPr>
              <w:t>review studies</w:t>
            </w:r>
            <w:r w:rsidR="00913126" w:rsidRPr="00C92058">
              <w:rPr>
                <w:rFonts w:ascii="Baskerville" w:hAnsi="Baskerville" w:cs="Baskerville"/>
                <w:sz w:val="22"/>
                <w:szCs w:val="22"/>
              </w:rPr>
              <w:t xml:space="preserve"> during the fourth and fifth review periods</w:t>
            </w:r>
            <w:r>
              <w:rPr>
                <w:rFonts w:ascii="Baskerville" w:eastAsia="MS Gothic" w:hAnsi="Baskerville" w:cs="Baskerville"/>
                <w:color w:val="000000"/>
                <w:sz w:val="22"/>
                <w:szCs w:val="22"/>
              </w:rPr>
              <w:t xml:space="preserve"> found </w:t>
            </w:r>
            <w:r w:rsidR="00FC2B7D">
              <w:rPr>
                <w:rFonts w:ascii="Baskerville" w:eastAsia="MS Gothic" w:hAnsi="Baskerville" w:cs="Baskerville"/>
                <w:color w:val="000000"/>
                <w:sz w:val="22"/>
                <w:szCs w:val="22"/>
              </w:rPr>
              <w:t>that</w:t>
            </w:r>
          </w:p>
          <w:p w:rsidR="0083366F" w:rsidRPr="00C92058" w:rsidRDefault="00405722" w:rsidP="00AE11C8">
            <w:pPr>
              <w:tabs>
                <w:tab w:val="left" w:pos="1440"/>
                <w:tab w:val="left" w:pos="4920"/>
                <w:tab w:val="right" w:pos="8640"/>
              </w:tabs>
              <w:ind w:right="-108"/>
              <w:rPr>
                <w:rFonts w:ascii="Baskerville" w:hAnsi="Baskerville" w:cs="Baskerville"/>
                <w:sz w:val="22"/>
                <w:szCs w:val="22"/>
              </w:rPr>
            </w:pPr>
            <w:r w:rsidRPr="00C92058">
              <w:rPr>
                <w:rFonts w:ascii="Menlo Regular" w:eastAsia="MS Gothic" w:hAnsi="Menlo Regular" w:cs="Menlo Regular"/>
                <w:color w:val="000000"/>
                <w:sz w:val="16"/>
                <w:szCs w:val="16"/>
              </w:rPr>
              <w:t>☐</w:t>
            </w:r>
            <w:r w:rsidR="00C92058">
              <w:rPr>
                <w:rFonts w:ascii="Menlo Regular" w:eastAsia="MS Gothic" w:hAnsi="Menlo Regular" w:cs="Menlo Regular"/>
                <w:color w:val="000000"/>
                <w:sz w:val="16"/>
                <w:szCs w:val="16"/>
              </w:rPr>
              <w:t xml:space="preserve"> </w:t>
            </w:r>
            <w:r w:rsidR="00FC2B7D">
              <w:rPr>
                <w:rFonts w:ascii="Baskerville" w:hAnsi="Baskerville" w:cs="Baskerville"/>
                <w:sz w:val="22"/>
                <w:szCs w:val="22"/>
              </w:rPr>
              <w:t>f</w:t>
            </w:r>
            <w:r w:rsidR="0083366F" w:rsidRPr="00C92058">
              <w:rPr>
                <w:rFonts w:ascii="Baskerville" w:hAnsi="Baskerville" w:cs="Baskerville"/>
                <w:sz w:val="22"/>
                <w:szCs w:val="22"/>
              </w:rPr>
              <w:t>or 8 (28.6%) of 28 individ</w:t>
            </w:r>
            <w:r w:rsidR="00FC2B7D">
              <w:rPr>
                <w:rFonts w:ascii="Baskerville" w:hAnsi="Baskerville" w:cs="Baskerville"/>
                <w:sz w:val="22"/>
                <w:szCs w:val="22"/>
              </w:rPr>
              <w:t xml:space="preserve">uals the </w:t>
            </w:r>
            <w:r w:rsidR="0083366F" w:rsidRPr="00C92058">
              <w:rPr>
                <w:rFonts w:ascii="Baskerville" w:hAnsi="Baskerville" w:cs="Baskerville"/>
                <w:sz w:val="22"/>
                <w:szCs w:val="22"/>
              </w:rPr>
              <w:t xml:space="preserve">Commonwealth did not ensure that all essential supports were in place prior to discharge. </w:t>
            </w:r>
            <w:r w:rsidR="0078576D" w:rsidRPr="00C92058">
              <w:rPr>
                <w:rFonts w:ascii="Baskerville" w:hAnsi="Baskerville" w:cs="Baskerville"/>
                <w:sz w:val="22"/>
                <w:szCs w:val="22"/>
              </w:rPr>
              <w:t xml:space="preserve"> </w:t>
            </w:r>
          </w:p>
        </w:tc>
      </w:tr>
      <w:tr w:rsidR="0083366F" w:rsidRPr="00DF1E2F" w:rsidTr="0094744A">
        <w:trPr>
          <w:trHeight w:val="2915"/>
        </w:trPr>
        <w:tc>
          <w:tcPr>
            <w:tcW w:w="1530" w:type="dxa"/>
            <w:vAlign w:val="center"/>
          </w:tcPr>
          <w:p w:rsidR="0083366F" w:rsidRPr="00DF1E2F" w:rsidRDefault="0083366F" w:rsidP="00E84C91">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IV.C.6</w:t>
            </w:r>
          </w:p>
        </w:tc>
        <w:tc>
          <w:tcPr>
            <w:tcW w:w="4320" w:type="dxa"/>
          </w:tcPr>
          <w:p w:rsidR="0083366F" w:rsidRPr="00DF1E2F" w:rsidRDefault="0083366F" w:rsidP="004B279A">
            <w:pPr>
              <w:pStyle w:val="Level1"/>
              <w:numPr>
                <w:ilvl w:val="0"/>
                <w:numId w:val="0"/>
              </w:numPr>
              <w:overflowPunct w:val="0"/>
              <w:autoSpaceDE w:val="0"/>
              <w:autoSpaceDN w:val="0"/>
              <w:spacing w:before="0" w:after="0"/>
              <w:outlineLvl w:val="9"/>
              <w:rPr>
                <w:rFonts w:ascii="Baskerville" w:hAnsi="Baskerville" w:cs="Baskerville"/>
                <w:sz w:val="22"/>
                <w:szCs w:val="22"/>
              </w:rPr>
            </w:pPr>
            <w:r w:rsidRPr="00DF1E2F">
              <w:rPr>
                <w:rFonts w:ascii="Baskerville" w:hAnsi="Baskerville" w:cs="Baskerville"/>
                <w:sz w:val="22"/>
                <w:szCs w:val="22"/>
              </w:rPr>
              <w:t>No individual shall be transferred from a Training Center to a nursing home or congregate setting with five or more individuals unless placement in such a facility is in accordance with the individual’s informed choice after receiving options for community placements, services, and supports and is reviewed by the Community Integration Manager to ensure such placement is consistent with the individual’s informed choice.</w:t>
            </w:r>
          </w:p>
        </w:tc>
        <w:tc>
          <w:tcPr>
            <w:tcW w:w="1440" w:type="dxa"/>
          </w:tcPr>
          <w:p w:rsidR="003032DD" w:rsidRPr="0000799C" w:rsidRDefault="003032DD" w:rsidP="003032D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FE275A" w:rsidRDefault="0083366F" w:rsidP="00425C4A">
            <w:pPr>
              <w:tabs>
                <w:tab w:val="left" w:pos="1404"/>
                <w:tab w:val="left" w:pos="1440"/>
                <w:tab w:val="left" w:pos="4920"/>
                <w:tab w:val="right" w:pos="8640"/>
              </w:tabs>
              <w:ind w:left="-108" w:right="-108"/>
              <w:jc w:val="center"/>
              <w:rPr>
                <w:rFonts w:ascii="Baskerville" w:hAnsi="Baskerville" w:cs="Baskerville"/>
                <w:sz w:val="22"/>
                <w:szCs w:val="22"/>
                <w:u w:val="single"/>
              </w:rPr>
            </w:pPr>
          </w:p>
          <w:p w:rsidR="0083366F" w:rsidRPr="00FE275A" w:rsidRDefault="0083366F" w:rsidP="000A3A1E">
            <w:pPr>
              <w:tabs>
                <w:tab w:val="left" w:pos="1404"/>
                <w:tab w:val="left" w:pos="1440"/>
                <w:tab w:val="left" w:pos="4920"/>
                <w:tab w:val="right" w:pos="8640"/>
              </w:tabs>
              <w:ind w:left="-108" w:right="-108"/>
              <w:jc w:val="center"/>
              <w:rPr>
                <w:rFonts w:ascii="Baskerville" w:hAnsi="Baskerville" w:cs="Baskerville"/>
                <w:sz w:val="22"/>
                <w:szCs w:val="22"/>
                <w:u w:val="single"/>
              </w:rPr>
            </w:pPr>
            <w:r w:rsidRPr="00FE275A">
              <w:rPr>
                <w:rFonts w:ascii="Baskerville" w:hAnsi="Baskerville" w:cs="Baskerville"/>
                <w:sz w:val="22"/>
                <w:szCs w:val="22"/>
                <w:u w:val="single"/>
              </w:rPr>
              <w:t>Compliance</w:t>
            </w: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400497">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The discharge</w:t>
            </w:r>
            <w:r w:rsidR="00971B0F">
              <w:rPr>
                <w:rFonts w:ascii="Baskerville" w:hAnsi="Baskerville" w:cs="Baskerville"/>
                <w:sz w:val="22"/>
                <w:szCs w:val="22"/>
              </w:rPr>
              <w:t xml:space="preserve"> records reviewed throughout fourth and fifth</w:t>
            </w:r>
            <w:r w:rsidRPr="00DF1E2F">
              <w:rPr>
                <w:rFonts w:ascii="Baskerville" w:hAnsi="Baskerville" w:cs="Baskerville"/>
                <w:sz w:val="22"/>
                <w:szCs w:val="22"/>
              </w:rPr>
              <w:t xml:space="preserve"> review per</w:t>
            </w:r>
            <w:r w:rsidR="00DA1215">
              <w:rPr>
                <w:rFonts w:ascii="Baskerville" w:hAnsi="Baskerville" w:cs="Baskerville"/>
                <w:sz w:val="22"/>
                <w:szCs w:val="22"/>
              </w:rPr>
              <w:t>iods indicated that individuals</w:t>
            </w:r>
            <w:r w:rsidRPr="00DF1E2F">
              <w:rPr>
                <w:rFonts w:ascii="Baskerville" w:hAnsi="Baskerville" w:cs="Baskerville"/>
                <w:sz w:val="22"/>
                <w:szCs w:val="22"/>
              </w:rPr>
              <w:t xml:space="preserve"> who mov</w:t>
            </w:r>
            <w:r w:rsidR="00DA1215">
              <w:rPr>
                <w:rFonts w:ascii="Baskerville" w:hAnsi="Baskerville" w:cs="Baskerville"/>
                <w:sz w:val="22"/>
                <w:szCs w:val="22"/>
              </w:rPr>
              <w:t xml:space="preserve">ed to settings of five or more </w:t>
            </w:r>
            <w:r w:rsidRPr="00DF1E2F">
              <w:rPr>
                <w:rFonts w:ascii="Baskerville" w:hAnsi="Baskerville" w:cs="Baskerville"/>
                <w:sz w:val="22"/>
                <w:szCs w:val="22"/>
              </w:rPr>
              <w:t>did so based on their informed choice after receiving options.</w:t>
            </w:r>
          </w:p>
        </w:tc>
      </w:tr>
      <w:tr w:rsidR="0083366F" w:rsidRPr="00DF1E2F" w:rsidTr="0094744A">
        <w:trPr>
          <w:trHeight w:val="2861"/>
        </w:trPr>
        <w:tc>
          <w:tcPr>
            <w:tcW w:w="1530" w:type="dxa"/>
            <w:vAlign w:val="center"/>
          </w:tcPr>
          <w:p w:rsidR="0083366F" w:rsidRPr="00DF1E2F" w:rsidRDefault="0083366F" w:rsidP="00956F46">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IV.C.7</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color w:val="000000"/>
                <w:sz w:val="22"/>
                <w:szCs w:val="22"/>
              </w:rPr>
              <w:t>The Commonwealth shall develop and implement quality assurance processes to ensure that discharge plans are developed and implemented, in a documented manner, consistent with the terms of this Agreement.  These quality assurance processes shall be sufficient to show whether the objectives of this Agreement are being achieved.  Whenever problems are identified, the Commonwealth shall develop and implement plans to remedy the problems.</w:t>
            </w:r>
          </w:p>
        </w:tc>
        <w:tc>
          <w:tcPr>
            <w:tcW w:w="1440" w:type="dxa"/>
          </w:tcPr>
          <w:p w:rsidR="003032DD" w:rsidRPr="0000799C" w:rsidRDefault="003032DD" w:rsidP="003032D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FE275A" w:rsidRDefault="0083366F" w:rsidP="00B841FF">
            <w:pPr>
              <w:tabs>
                <w:tab w:val="left" w:pos="1404"/>
                <w:tab w:val="left" w:pos="1440"/>
                <w:tab w:val="left" w:pos="4920"/>
                <w:tab w:val="right" w:pos="8640"/>
              </w:tabs>
              <w:ind w:left="-108" w:right="-108"/>
              <w:jc w:val="center"/>
              <w:rPr>
                <w:rFonts w:ascii="Baskerville" w:hAnsi="Baskerville" w:cs="Baskerville"/>
                <w:sz w:val="22"/>
                <w:szCs w:val="22"/>
                <w:u w:val="single"/>
              </w:rPr>
            </w:pPr>
            <w:r w:rsidRPr="00FE275A">
              <w:rPr>
                <w:rFonts w:ascii="Baskerville" w:hAnsi="Baskerville" w:cs="Baskerville"/>
                <w:sz w:val="22"/>
                <w:szCs w:val="22"/>
                <w:u w:val="single"/>
              </w:rPr>
              <w:t>Compliance</w:t>
            </w: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425C4A">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CE3444" w:rsidP="00EF0E82">
            <w:pPr>
              <w:tabs>
                <w:tab w:val="left" w:pos="1440"/>
                <w:tab w:val="left" w:pos="2518"/>
                <w:tab w:val="left" w:pos="4920"/>
                <w:tab w:val="right" w:pos="8640"/>
              </w:tabs>
              <w:ind w:right="72"/>
              <w:rPr>
                <w:rFonts w:ascii="Baskerville" w:hAnsi="Baskerville" w:cs="Baskerville"/>
                <w:sz w:val="22"/>
                <w:szCs w:val="22"/>
              </w:rPr>
            </w:pPr>
            <w:r>
              <w:rPr>
                <w:rFonts w:ascii="Baskerville" w:hAnsi="Baskerville" w:cs="Baskerville"/>
                <w:sz w:val="22"/>
                <w:szCs w:val="22"/>
              </w:rPr>
              <w:t>The IR confirmed that d</w:t>
            </w:r>
            <w:r w:rsidR="0083366F" w:rsidRPr="00DF1E2F">
              <w:rPr>
                <w:rFonts w:ascii="Baskerville" w:hAnsi="Baskerville" w:cs="Baskerville"/>
                <w:sz w:val="22"/>
                <w:szCs w:val="22"/>
              </w:rPr>
              <w:t>ocumented Quality Assurance processes have been implemented consistent with the terms of the Agreement. When problems have been identified, corrective actions have occurred with the discharge plans.</w:t>
            </w:r>
          </w:p>
        </w:tc>
      </w:tr>
      <w:tr w:rsidR="0083366F" w:rsidRPr="00DF1E2F" w:rsidTr="0094744A">
        <w:trPr>
          <w:trHeight w:val="881"/>
        </w:trPr>
        <w:tc>
          <w:tcPr>
            <w:tcW w:w="1530" w:type="dxa"/>
            <w:vAlign w:val="center"/>
          </w:tcPr>
          <w:p w:rsidR="0083366F" w:rsidRPr="00DF1E2F" w:rsidRDefault="0083366F" w:rsidP="00956F46">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IV.D.1</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will create Community Integration Manager (“CIM”) positions at each operating Training Center.</w:t>
            </w:r>
          </w:p>
        </w:tc>
        <w:tc>
          <w:tcPr>
            <w:tcW w:w="1440" w:type="dxa"/>
          </w:tcPr>
          <w:p w:rsidR="003032DD" w:rsidRPr="0000799C" w:rsidRDefault="003032DD" w:rsidP="003032DD">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FE275A" w:rsidRDefault="0083366F" w:rsidP="005B3002">
            <w:pPr>
              <w:tabs>
                <w:tab w:val="left" w:pos="1404"/>
                <w:tab w:val="left" w:pos="1440"/>
                <w:tab w:val="left" w:pos="4920"/>
                <w:tab w:val="right" w:pos="8640"/>
              </w:tabs>
              <w:ind w:left="-108" w:right="-108"/>
              <w:jc w:val="center"/>
              <w:rPr>
                <w:rFonts w:ascii="Baskerville" w:hAnsi="Baskerville" w:cs="Baskerville"/>
                <w:sz w:val="22"/>
                <w:szCs w:val="22"/>
                <w:u w:val="single"/>
              </w:rPr>
            </w:pPr>
            <w:r w:rsidRPr="00FE275A">
              <w:rPr>
                <w:rFonts w:ascii="Baskerville" w:hAnsi="Baskerville" w:cs="Baskerville"/>
                <w:sz w:val="22"/>
                <w:szCs w:val="22"/>
                <w:u w:val="single"/>
              </w:rPr>
              <w:t>Compliance</w:t>
            </w:r>
          </w:p>
        </w:tc>
        <w:tc>
          <w:tcPr>
            <w:tcW w:w="2880" w:type="dxa"/>
          </w:tcPr>
          <w:p w:rsidR="0083366F" w:rsidRPr="00DF1E2F" w:rsidRDefault="0083366F" w:rsidP="00101E3E">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Community Integration Managers are working at each Training Center.</w:t>
            </w:r>
          </w:p>
        </w:tc>
      </w:tr>
      <w:tr w:rsidR="0083366F" w:rsidRPr="00DF1E2F" w:rsidTr="0094744A">
        <w:trPr>
          <w:trHeight w:val="1547"/>
        </w:trPr>
        <w:tc>
          <w:tcPr>
            <w:tcW w:w="1530" w:type="dxa"/>
            <w:vAlign w:val="center"/>
          </w:tcPr>
          <w:p w:rsidR="0083366F" w:rsidRPr="00DF1E2F" w:rsidRDefault="0083366F" w:rsidP="00956F46">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IV.D.2.a</w:t>
            </w:r>
          </w:p>
        </w:tc>
        <w:tc>
          <w:tcPr>
            <w:tcW w:w="4320" w:type="dxa"/>
          </w:tcPr>
          <w:p w:rsidR="00507EF6" w:rsidRPr="00DF1E2F" w:rsidRDefault="0083366F" w:rsidP="00FF78DB">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CIMs shall be engaged in addressing barriers to discharge, including in all of the following circumstances: The PST recommends that an individual be transferred from a Training Center to a nursing home or congregate setting with five or more individuals;</w:t>
            </w:r>
          </w:p>
        </w:tc>
        <w:tc>
          <w:tcPr>
            <w:tcW w:w="1440" w:type="dxa"/>
          </w:tcPr>
          <w:p w:rsidR="009521B2" w:rsidRDefault="00E36BE1" w:rsidP="009521B2">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521B2" w:rsidRDefault="009521B2" w:rsidP="009521B2">
            <w:pPr>
              <w:tabs>
                <w:tab w:val="left" w:pos="1692"/>
                <w:tab w:val="left" w:pos="4920"/>
                <w:tab w:val="right" w:pos="8640"/>
              </w:tabs>
              <w:ind w:left="-108" w:right="-108"/>
              <w:jc w:val="center"/>
              <w:rPr>
                <w:rFonts w:ascii="Baskerville" w:hAnsi="Baskerville" w:cs="Baskerville"/>
                <w:sz w:val="20"/>
                <w:szCs w:val="20"/>
              </w:rPr>
            </w:pPr>
          </w:p>
          <w:p w:rsidR="0083366F" w:rsidRPr="00FE275A" w:rsidRDefault="0083366F" w:rsidP="009521B2">
            <w:pPr>
              <w:tabs>
                <w:tab w:val="left" w:pos="1692"/>
                <w:tab w:val="left" w:pos="4920"/>
                <w:tab w:val="right" w:pos="8640"/>
              </w:tabs>
              <w:ind w:left="-108" w:right="-108"/>
              <w:jc w:val="center"/>
              <w:rPr>
                <w:rFonts w:ascii="Baskerville" w:hAnsi="Baskerville" w:cs="Baskerville"/>
                <w:sz w:val="22"/>
                <w:szCs w:val="22"/>
                <w:u w:val="single"/>
              </w:rPr>
            </w:pPr>
            <w:r w:rsidRPr="00FE275A">
              <w:rPr>
                <w:rFonts w:ascii="Baskerville" w:hAnsi="Baskerville" w:cs="Baskerville"/>
                <w:sz w:val="22"/>
                <w:szCs w:val="22"/>
                <w:u w:val="single"/>
              </w:rPr>
              <w:t>Compliance</w:t>
            </w:r>
          </w:p>
          <w:p w:rsidR="0083366F" w:rsidRPr="00DF1E2F" w:rsidRDefault="0083366F" w:rsidP="00BC5B00">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BC5B00">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0A12F6">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CIMs have reviewed PST recommendations for individuals to be transferred to settings of five or more.</w:t>
            </w:r>
          </w:p>
        </w:tc>
      </w:tr>
      <w:tr w:rsidR="0083366F" w:rsidRPr="00DF1E2F" w:rsidTr="0094744A">
        <w:trPr>
          <w:trHeight w:val="4139"/>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IV.D.3</w:t>
            </w:r>
          </w:p>
        </w:tc>
        <w:tc>
          <w:tcPr>
            <w:tcW w:w="4320" w:type="dxa"/>
          </w:tcPr>
          <w:p w:rsidR="0083366F" w:rsidRPr="00DF1E2F" w:rsidRDefault="0083366F" w:rsidP="00AB7E20">
            <w:pPr>
              <w:widowControl w:val="0"/>
              <w:autoSpaceDE w:val="0"/>
              <w:autoSpaceDN w:val="0"/>
              <w:adjustRightInd w:val="0"/>
              <w:spacing w:after="240"/>
              <w:rPr>
                <w:rFonts w:ascii="Baskerville" w:hAnsi="Baskerville" w:cs="Baskerville"/>
                <w:sz w:val="22"/>
                <w:szCs w:val="22"/>
              </w:rPr>
            </w:pPr>
            <w:r w:rsidRPr="00DF1E2F">
              <w:rPr>
                <w:rFonts w:ascii="Baskerville" w:hAnsi="Baskerville" w:cs="Baskerville"/>
                <w:sz w:val="22"/>
                <w:szCs w:val="22"/>
              </w:rPr>
              <w:t xml:space="preserve">The Commonwealth will create five </w:t>
            </w:r>
            <w:r w:rsidRPr="00AB7E20">
              <w:rPr>
                <w:rFonts w:ascii="Baskerville" w:hAnsi="Baskerville" w:cs="Baskerville"/>
                <w:sz w:val="22"/>
                <w:szCs w:val="22"/>
              </w:rPr>
              <w:t>Regional Support</w:t>
            </w:r>
            <w:r w:rsidRPr="00AB7E20">
              <w:rPr>
                <w:rFonts w:ascii="Baskerville" w:hAnsi="Baskerville" w:cs="Baskerville"/>
                <w:color w:val="FF0000"/>
                <w:sz w:val="22"/>
                <w:szCs w:val="22"/>
              </w:rPr>
              <w:t xml:space="preserve"> </w:t>
            </w:r>
            <w:r w:rsidRPr="00AB7E20">
              <w:rPr>
                <w:rFonts w:ascii="Baskerville" w:hAnsi="Baskerville" w:cs="Baskerville"/>
                <w:sz w:val="22"/>
                <w:szCs w:val="22"/>
              </w:rPr>
              <w:t>Teams</w:t>
            </w:r>
            <w:r w:rsidRPr="00AB7E20">
              <w:rPr>
                <w:rFonts w:ascii="Baskerville" w:hAnsi="Baskerville" w:cs="Baskerville"/>
                <w:iCs/>
                <w:sz w:val="22"/>
                <w:szCs w:val="22"/>
              </w:rPr>
              <w:t>, each coordinated by the CIM. The Regional Support Teams shall be composed of professionals with expertise in serving individuals with developmental disabilities in the community, including individuals with complex behavioral and medical needs. Upon referral to it, the Regional Support Team shall work with the PST and CIM to review the case and resolve identified barriers. The Regional Support Team shall have the authority to recommend additional steps by the PST and/or CIM.</w:t>
            </w:r>
          </w:p>
        </w:tc>
        <w:tc>
          <w:tcPr>
            <w:tcW w:w="1440" w:type="dxa"/>
          </w:tcPr>
          <w:p w:rsidR="00E36BE1" w:rsidRPr="0000799C" w:rsidRDefault="00E36BE1" w:rsidP="00E36BE1">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Default="0083366F" w:rsidP="00E90A1A">
            <w:pPr>
              <w:tabs>
                <w:tab w:val="left" w:pos="1440"/>
                <w:tab w:val="left" w:pos="4920"/>
                <w:tab w:val="right" w:pos="8640"/>
              </w:tabs>
              <w:ind w:left="-108" w:right="-108"/>
              <w:jc w:val="center"/>
              <w:rPr>
                <w:rFonts w:ascii="Baskerville" w:hAnsi="Baskerville" w:cs="Baskerville"/>
                <w:sz w:val="22"/>
                <w:szCs w:val="22"/>
              </w:rPr>
            </w:pPr>
          </w:p>
          <w:p w:rsidR="009521B2" w:rsidRDefault="0083366F" w:rsidP="00E90A1A">
            <w:pPr>
              <w:tabs>
                <w:tab w:val="left" w:pos="1440"/>
                <w:tab w:val="left" w:pos="4920"/>
                <w:tab w:val="right" w:pos="8640"/>
              </w:tabs>
              <w:ind w:left="-108" w:right="-108"/>
              <w:jc w:val="center"/>
              <w:rPr>
                <w:rFonts w:ascii="Baskerville" w:hAnsi="Baskerville" w:cs="Baskerville"/>
                <w:sz w:val="22"/>
                <w:szCs w:val="22"/>
                <w:u w:val="single"/>
              </w:rPr>
            </w:pPr>
            <w:r w:rsidRPr="00060B6A">
              <w:rPr>
                <w:rFonts w:ascii="Baskerville" w:hAnsi="Baskerville" w:cs="Baskerville"/>
                <w:sz w:val="22"/>
                <w:szCs w:val="22"/>
                <w:u w:val="single"/>
              </w:rPr>
              <w:t>Non</w:t>
            </w:r>
            <w:r w:rsidR="009521B2">
              <w:rPr>
                <w:rFonts w:ascii="Baskerville" w:hAnsi="Baskerville" w:cs="Baskerville"/>
                <w:sz w:val="22"/>
                <w:szCs w:val="22"/>
                <w:u w:val="single"/>
              </w:rPr>
              <w:t xml:space="preserve"> </w:t>
            </w:r>
          </w:p>
          <w:p w:rsidR="0083366F" w:rsidRPr="00060B6A" w:rsidRDefault="0083366F" w:rsidP="00E90A1A">
            <w:pPr>
              <w:tabs>
                <w:tab w:val="left" w:pos="1440"/>
                <w:tab w:val="left" w:pos="4920"/>
                <w:tab w:val="right" w:pos="8640"/>
              </w:tabs>
              <w:ind w:left="-108" w:right="-108"/>
              <w:jc w:val="center"/>
              <w:rPr>
                <w:rFonts w:ascii="Baskerville" w:hAnsi="Baskerville" w:cs="Baskerville"/>
                <w:sz w:val="22"/>
                <w:szCs w:val="22"/>
                <w:u w:val="single"/>
              </w:rPr>
            </w:pPr>
            <w:r w:rsidRPr="00060B6A">
              <w:rPr>
                <w:rFonts w:ascii="Baskerville" w:hAnsi="Baskerville" w:cs="Baskerville"/>
                <w:sz w:val="22"/>
                <w:szCs w:val="22"/>
                <w:u w:val="single"/>
              </w:rPr>
              <w:t>Compliance</w:t>
            </w:r>
          </w:p>
          <w:p w:rsidR="0083366F" w:rsidRDefault="0083366F" w:rsidP="00E90A1A">
            <w:pPr>
              <w:tabs>
                <w:tab w:val="left" w:pos="1440"/>
                <w:tab w:val="left" w:pos="4920"/>
                <w:tab w:val="right" w:pos="8640"/>
              </w:tabs>
              <w:ind w:left="-108" w:right="-108"/>
              <w:jc w:val="center"/>
              <w:rPr>
                <w:rFonts w:ascii="Baskerville" w:hAnsi="Baskerville" w:cs="Baskerville"/>
                <w:b/>
                <w:sz w:val="22"/>
                <w:szCs w:val="22"/>
              </w:rPr>
            </w:pPr>
          </w:p>
          <w:p w:rsidR="0083366F" w:rsidRDefault="0083366F" w:rsidP="00E90A1A">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E90A1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90A1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90A1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90A1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90A1A">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F64FFA">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791707" w:rsidRDefault="0083366F" w:rsidP="000818A9">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Commonwealth has created five Regional Support Teams. All RSTs are operating and receiving referrals. </w:t>
            </w:r>
            <w:r w:rsidRPr="007544F9">
              <w:rPr>
                <w:rFonts w:ascii="Baskerville" w:hAnsi="Baskerville" w:cs="Baskerville"/>
                <w:sz w:val="22"/>
                <w:szCs w:val="22"/>
              </w:rPr>
              <w:t>The I</w:t>
            </w:r>
            <w:r w:rsidR="00CE3444">
              <w:rPr>
                <w:rFonts w:ascii="Baskerville" w:hAnsi="Baskerville" w:cs="Baskerville"/>
                <w:sz w:val="22"/>
                <w:szCs w:val="22"/>
              </w:rPr>
              <w:t>R found</w:t>
            </w:r>
            <w:r w:rsidR="003410F4">
              <w:rPr>
                <w:rFonts w:ascii="Baskerville" w:hAnsi="Baskerville" w:cs="Baskerville"/>
                <w:sz w:val="22"/>
                <w:szCs w:val="22"/>
              </w:rPr>
              <w:t>,</w:t>
            </w:r>
            <w:r w:rsidR="00CE3444">
              <w:rPr>
                <w:rFonts w:ascii="Baskerville" w:hAnsi="Baskerville" w:cs="Baskerville"/>
                <w:sz w:val="22"/>
                <w:szCs w:val="22"/>
              </w:rPr>
              <w:t xml:space="preserve"> </w:t>
            </w:r>
            <w:r w:rsidR="00A7225E">
              <w:rPr>
                <w:rFonts w:ascii="Baskerville" w:hAnsi="Baskerville" w:cs="Baskerville"/>
                <w:sz w:val="22"/>
                <w:szCs w:val="22"/>
              </w:rPr>
              <w:t>during the fifth</w:t>
            </w:r>
            <w:r w:rsidR="00A7225E" w:rsidRPr="00DF1E2F">
              <w:rPr>
                <w:rFonts w:ascii="Baskerville" w:hAnsi="Baskerville" w:cs="Baskerville"/>
                <w:sz w:val="22"/>
                <w:szCs w:val="22"/>
              </w:rPr>
              <w:t xml:space="preserve"> period, </w:t>
            </w:r>
            <w:r w:rsidRPr="007544F9">
              <w:rPr>
                <w:rFonts w:ascii="Baskerville" w:hAnsi="Baskerville" w:cs="Baskerville"/>
                <w:sz w:val="22"/>
                <w:szCs w:val="22"/>
              </w:rPr>
              <w:t xml:space="preserve">that </w:t>
            </w:r>
          </w:p>
          <w:p w:rsidR="0083366F" w:rsidRPr="00DF1E2F" w:rsidRDefault="00791707" w:rsidP="000818A9">
            <w:pPr>
              <w:tabs>
                <w:tab w:val="left" w:pos="1440"/>
                <w:tab w:val="left" w:pos="4920"/>
                <w:tab w:val="right" w:pos="8640"/>
              </w:tabs>
              <w:rPr>
                <w:rFonts w:ascii="Baskerville" w:hAnsi="Baskerville" w:cs="Baskerville"/>
                <w:sz w:val="22"/>
                <w:szCs w:val="22"/>
              </w:rPr>
            </w:pPr>
            <w:r w:rsidRPr="00405722">
              <w:rPr>
                <w:rFonts w:ascii="MS Gothic" w:eastAsia="MS Gothic" w:hAnsi="MS Gothic"/>
                <w:color w:val="000000"/>
                <w:sz w:val="16"/>
                <w:szCs w:val="16"/>
              </w:rPr>
              <w:t>☐</w:t>
            </w:r>
            <w:r>
              <w:rPr>
                <w:rFonts w:ascii="MS Gothic" w:eastAsia="MS Gothic" w:hAnsi="MS Gothic"/>
                <w:color w:val="000000"/>
                <w:sz w:val="16"/>
                <w:szCs w:val="16"/>
              </w:rPr>
              <w:t xml:space="preserve"> </w:t>
            </w:r>
            <w:r>
              <w:rPr>
                <w:rFonts w:ascii="Baskerville" w:hAnsi="Baskerville" w:cs="Baskerville"/>
                <w:sz w:val="22"/>
                <w:szCs w:val="22"/>
              </w:rPr>
              <w:t>for 1 (16.6%) of 6</w:t>
            </w:r>
            <w:r w:rsidR="00507EF6">
              <w:rPr>
                <w:rFonts w:ascii="Baskerville" w:hAnsi="Baskerville" w:cs="Baskerville"/>
                <w:sz w:val="22"/>
                <w:szCs w:val="22"/>
              </w:rPr>
              <w:t xml:space="preserve"> individuals referred </w:t>
            </w:r>
            <w:r w:rsidR="0083366F" w:rsidRPr="007544F9">
              <w:rPr>
                <w:rFonts w:ascii="Baskerville" w:hAnsi="Baskerville" w:cs="Baskerville"/>
                <w:sz w:val="22"/>
                <w:szCs w:val="22"/>
              </w:rPr>
              <w:t>s</w:t>
            </w:r>
            <w:r w:rsidR="00507EF6">
              <w:rPr>
                <w:rFonts w:ascii="Baskerville" w:hAnsi="Baskerville" w:cs="Baskerville"/>
                <w:sz w:val="22"/>
                <w:szCs w:val="22"/>
              </w:rPr>
              <w:t>teps were t</w:t>
            </w:r>
            <w:r w:rsidR="000818A9">
              <w:rPr>
                <w:rFonts w:ascii="Baskerville" w:hAnsi="Baskerville" w:cs="Baskerville"/>
                <w:sz w:val="22"/>
                <w:szCs w:val="22"/>
              </w:rPr>
              <w:t>aken to resolve barriers, that referrals occurred after individuals had</w:t>
            </w:r>
            <w:r w:rsidR="0083366F" w:rsidRPr="007544F9">
              <w:rPr>
                <w:rFonts w:ascii="Baskerville" w:hAnsi="Baskerville" w:cs="Baskerville"/>
                <w:sz w:val="22"/>
                <w:szCs w:val="22"/>
              </w:rPr>
              <w:t xml:space="preserve"> moved to </w:t>
            </w:r>
            <w:r w:rsidR="000818A9">
              <w:rPr>
                <w:rFonts w:ascii="Baskerville" w:hAnsi="Baskerville" w:cs="Baskerville"/>
                <w:sz w:val="22"/>
                <w:szCs w:val="22"/>
              </w:rPr>
              <w:t>less integrated settings, afte</w:t>
            </w:r>
            <w:r w:rsidR="008E09F5">
              <w:rPr>
                <w:rFonts w:ascii="Baskerville" w:hAnsi="Baskerville" w:cs="Baskerville"/>
                <w:sz w:val="22"/>
                <w:szCs w:val="22"/>
              </w:rPr>
              <w:t xml:space="preserve">r the Commonwealth recommended </w:t>
            </w:r>
            <w:r w:rsidR="000818A9">
              <w:rPr>
                <w:rFonts w:ascii="Baskerville" w:hAnsi="Baskerville" w:cs="Baskerville"/>
                <w:sz w:val="22"/>
                <w:szCs w:val="22"/>
              </w:rPr>
              <w:t>a</w:t>
            </w:r>
            <w:r w:rsidR="0083366F">
              <w:rPr>
                <w:rFonts w:ascii="Baskerville" w:hAnsi="Baskerville" w:cs="Baskerville"/>
                <w:sz w:val="22"/>
                <w:szCs w:val="22"/>
              </w:rPr>
              <w:t xml:space="preserve"> s</w:t>
            </w:r>
            <w:r w:rsidR="008E09F5">
              <w:rPr>
                <w:rFonts w:ascii="Baskerville" w:hAnsi="Baskerville" w:cs="Baskerville"/>
                <w:sz w:val="22"/>
                <w:szCs w:val="22"/>
              </w:rPr>
              <w:t xml:space="preserve">elected list of providers and after the AR had </w:t>
            </w:r>
            <w:r w:rsidR="0083366F" w:rsidRPr="007544F9">
              <w:rPr>
                <w:rFonts w:ascii="Baskerville" w:hAnsi="Baskerville" w:cs="Baskerville"/>
                <w:sz w:val="22"/>
                <w:szCs w:val="22"/>
              </w:rPr>
              <w:t xml:space="preserve">made a choice. </w:t>
            </w:r>
          </w:p>
        </w:tc>
      </w:tr>
      <w:tr w:rsidR="0083366F" w:rsidRPr="00DF1E2F" w:rsidTr="0094744A">
        <w:trPr>
          <w:trHeight w:val="1376"/>
        </w:trPr>
        <w:tc>
          <w:tcPr>
            <w:tcW w:w="1530" w:type="dxa"/>
            <w:vAlign w:val="center"/>
          </w:tcPr>
          <w:p w:rsidR="009B2CB9" w:rsidRDefault="009B2CB9" w:rsidP="00CD6372">
            <w:pPr>
              <w:tabs>
                <w:tab w:val="left" w:pos="1440"/>
                <w:tab w:val="left" w:pos="4920"/>
                <w:tab w:val="right" w:pos="8640"/>
              </w:tabs>
              <w:ind w:left="-108" w:right="-108"/>
              <w:jc w:val="center"/>
              <w:rPr>
                <w:rFonts w:ascii="Baskerville" w:hAnsi="Baskerville" w:cs="Baskerville"/>
                <w:b/>
                <w:sz w:val="22"/>
                <w:szCs w:val="22"/>
              </w:rPr>
            </w:pPr>
          </w:p>
          <w:p w:rsidR="009B2CB9" w:rsidRDefault="009B2CB9" w:rsidP="00CD6372">
            <w:pPr>
              <w:tabs>
                <w:tab w:val="left" w:pos="1440"/>
                <w:tab w:val="left" w:pos="4920"/>
                <w:tab w:val="right" w:pos="8640"/>
              </w:tabs>
              <w:ind w:left="-108" w:right="-108"/>
              <w:jc w:val="center"/>
              <w:rPr>
                <w:rFonts w:ascii="Baskerville" w:hAnsi="Baskerville" w:cs="Baskerville"/>
                <w:b/>
                <w:sz w:val="22"/>
                <w:szCs w:val="22"/>
              </w:rPr>
            </w:pPr>
          </w:p>
          <w:p w:rsidR="009B2CB9" w:rsidRDefault="009B2CB9" w:rsidP="00CD6372">
            <w:pPr>
              <w:tabs>
                <w:tab w:val="left" w:pos="1440"/>
                <w:tab w:val="left" w:pos="4920"/>
                <w:tab w:val="right" w:pos="8640"/>
              </w:tabs>
              <w:ind w:left="-108" w:right="-108"/>
              <w:jc w:val="center"/>
              <w:rPr>
                <w:rFonts w:ascii="Baskerville" w:hAnsi="Baskerville" w:cs="Baskerville"/>
                <w:b/>
                <w:sz w:val="22"/>
                <w:szCs w:val="22"/>
              </w:rPr>
            </w:pPr>
          </w:p>
          <w:p w:rsidR="009B2CB9" w:rsidRDefault="009B2CB9" w:rsidP="00CD6372">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IV.D.4.</w:t>
            </w:r>
          </w:p>
        </w:tc>
        <w:tc>
          <w:tcPr>
            <w:tcW w:w="4320" w:type="dxa"/>
          </w:tcPr>
          <w:p w:rsidR="0083366F" w:rsidRPr="00DF1E2F" w:rsidRDefault="0083366F" w:rsidP="00066BA3">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CIM shall provide monthly reports to DBHDS Central Office regarding the types of placements to which individuals have been placed …</w:t>
            </w:r>
          </w:p>
        </w:tc>
        <w:tc>
          <w:tcPr>
            <w:tcW w:w="1440" w:type="dxa"/>
          </w:tcPr>
          <w:p w:rsidR="00E36BE1" w:rsidRPr="0000799C" w:rsidRDefault="00E36BE1" w:rsidP="00E36BE1">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53C1F" w:rsidRDefault="00853C1F" w:rsidP="00066BA3">
            <w:pPr>
              <w:tabs>
                <w:tab w:val="left" w:pos="1440"/>
                <w:tab w:val="left" w:pos="4920"/>
                <w:tab w:val="right" w:pos="8640"/>
              </w:tabs>
              <w:ind w:left="-18" w:right="-108"/>
              <w:jc w:val="center"/>
              <w:rPr>
                <w:rFonts w:ascii="Baskerville" w:hAnsi="Baskerville" w:cs="Baskerville"/>
                <w:sz w:val="22"/>
                <w:szCs w:val="22"/>
                <w:u w:val="single"/>
              </w:rPr>
            </w:pPr>
          </w:p>
          <w:p w:rsidR="0083366F" w:rsidRPr="000F7239" w:rsidRDefault="0083366F" w:rsidP="00066BA3">
            <w:pPr>
              <w:tabs>
                <w:tab w:val="left" w:pos="1440"/>
                <w:tab w:val="left" w:pos="4920"/>
                <w:tab w:val="right" w:pos="8640"/>
              </w:tabs>
              <w:ind w:left="-18" w:right="-108"/>
              <w:jc w:val="center"/>
              <w:rPr>
                <w:rFonts w:ascii="Baskerville" w:hAnsi="Baskerville" w:cs="Baskerville"/>
                <w:sz w:val="22"/>
                <w:szCs w:val="22"/>
                <w:u w:val="single"/>
              </w:rPr>
            </w:pPr>
            <w:r w:rsidRPr="000F7239">
              <w:rPr>
                <w:rFonts w:ascii="Baskerville" w:hAnsi="Baskerville" w:cs="Baskerville"/>
                <w:sz w:val="22"/>
                <w:szCs w:val="22"/>
                <w:u w:val="single"/>
              </w:rPr>
              <w:t>Compliance</w:t>
            </w:r>
          </w:p>
          <w:p w:rsidR="0083366F" w:rsidRPr="00DF1E2F" w:rsidRDefault="0083366F" w:rsidP="00066BA3">
            <w:pPr>
              <w:tabs>
                <w:tab w:val="left" w:pos="1440"/>
                <w:tab w:val="left" w:pos="4920"/>
                <w:tab w:val="right" w:pos="8640"/>
              </w:tabs>
              <w:ind w:left="-18" w:right="-108"/>
              <w:jc w:val="center"/>
              <w:rPr>
                <w:rFonts w:ascii="Baskerville" w:hAnsi="Baskerville" w:cs="Baskerville"/>
                <w:sz w:val="22"/>
                <w:szCs w:val="22"/>
              </w:rPr>
            </w:pPr>
          </w:p>
          <w:p w:rsidR="0083366F" w:rsidRPr="00DF1E2F" w:rsidRDefault="0083366F" w:rsidP="00066BA3">
            <w:pPr>
              <w:tabs>
                <w:tab w:val="left" w:pos="1440"/>
                <w:tab w:val="left" w:pos="4920"/>
                <w:tab w:val="right" w:pos="8640"/>
              </w:tabs>
              <w:ind w:left="-18" w:right="-108"/>
              <w:jc w:val="center"/>
              <w:rPr>
                <w:rFonts w:ascii="Baskerville" w:hAnsi="Baskerville" w:cs="Baskerville"/>
                <w:sz w:val="22"/>
                <w:szCs w:val="22"/>
              </w:rPr>
            </w:pPr>
            <w:r w:rsidRPr="00DF1E2F">
              <w:rPr>
                <w:rFonts w:ascii="Baskerville" w:hAnsi="Baskerville" w:cs="Baskerville"/>
                <w:sz w:val="22"/>
                <w:szCs w:val="22"/>
              </w:rPr>
              <w:t xml:space="preserve"> </w:t>
            </w:r>
          </w:p>
        </w:tc>
        <w:tc>
          <w:tcPr>
            <w:tcW w:w="2880" w:type="dxa"/>
          </w:tcPr>
          <w:p w:rsidR="009B2CB9" w:rsidRPr="00DF1E2F" w:rsidRDefault="0083366F" w:rsidP="00950DE1">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CIMs provide monthly reports and the Commonwealth provides the aggregated information to the Reviewer and DOJ. </w:t>
            </w:r>
          </w:p>
        </w:tc>
      </w:tr>
      <w:tr w:rsidR="0083366F" w:rsidRPr="00DF1E2F" w:rsidTr="0094744A">
        <w:tc>
          <w:tcPr>
            <w:tcW w:w="1530" w:type="dxa"/>
            <w:shd w:val="clear" w:color="auto" w:fill="FFFF00"/>
            <w:vAlign w:val="center"/>
          </w:tcPr>
          <w:p w:rsidR="0083366F" w:rsidRPr="005A0065" w:rsidRDefault="0083366F" w:rsidP="00CD6372">
            <w:pPr>
              <w:tabs>
                <w:tab w:val="left" w:pos="1242"/>
                <w:tab w:val="left" w:pos="1440"/>
                <w:tab w:val="left" w:pos="4920"/>
                <w:tab w:val="right" w:pos="8640"/>
              </w:tabs>
              <w:ind w:left="-108" w:right="-108"/>
              <w:jc w:val="center"/>
              <w:rPr>
                <w:rFonts w:ascii="Baskerville" w:hAnsi="Baskerville" w:cs="Baskerville"/>
                <w:b/>
              </w:rPr>
            </w:pPr>
            <w:r w:rsidRPr="005A0065">
              <w:rPr>
                <w:rFonts w:ascii="Baskerville" w:hAnsi="Baskerville" w:cs="Baskerville"/>
              </w:rPr>
              <w:br w:type="page"/>
            </w:r>
            <w:r w:rsidRPr="005A0065">
              <w:rPr>
                <w:rFonts w:ascii="Baskerville" w:hAnsi="Baskerville" w:cs="Baskerville"/>
                <w:b/>
              </w:rPr>
              <w:t>V.</w:t>
            </w:r>
          </w:p>
        </w:tc>
        <w:tc>
          <w:tcPr>
            <w:tcW w:w="4320" w:type="dxa"/>
            <w:shd w:val="clear" w:color="auto" w:fill="FFFF00"/>
            <w:vAlign w:val="center"/>
          </w:tcPr>
          <w:p w:rsidR="0083366F" w:rsidRPr="005A0065" w:rsidRDefault="0083366F" w:rsidP="004B279A">
            <w:pPr>
              <w:tabs>
                <w:tab w:val="left" w:pos="4920"/>
                <w:tab w:val="right" w:pos="8640"/>
              </w:tabs>
              <w:ind w:right="72"/>
              <w:jc w:val="center"/>
              <w:rPr>
                <w:rFonts w:ascii="Baskerville" w:hAnsi="Baskerville" w:cs="Baskerville"/>
                <w:b/>
              </w:rPr>
            </w:pPr>
          </w:p>
          <w:p w:rsidR="0083366F" w:rsidRPr="005A0065" w:rsidRDefault="0083366F" w:rsidP="004B279A">
            <w:pPr>
              <w:tabs>
                <w:tab w:val="left" w:pos="4920"/>
                <w:tab w:val="right" w:pos="8640"/>
              </w:tabs>
              <w:ind w:right="72"/>
              <w:jc w:val="center"/>
              <w:rPr>
                <w:rFonts w:ascii="Baskerville" w:hAnsi="Baskerville" w:cs="Baskerville"/>
                <w:b/>
              </w:rPr>
            </w:pPr>
            <w:r w:rsidRPr="005A0065">
              <w:rPr>
                <w:rFonts w:ascii="Baskerville" w:hAnsi="Baskerville" w:cs="Baskerville"/>
                <w:b/>
              </w:rPr>
              <w:t>Quality and Risk Management</w:t>
            </w:r>
          </w:p>
          <w:p w:rsidR="0083366F" w:rsidRPr="005A0065" w:rsidRDefault="0083366F" w:rsidP="004B279A">
            <w:pPr>
              <w:tabs>
                <w:tab w:val="left" w:pos="4920"/>
                <w:tab w:val="right" w:pos="8640"/>
              </w:tabs>
              <w:ind w:right="72"/>
              <w:jc w:val="center"/>
              <w:rPr>
                <w:rFonts w:ascii="Baskerville" w:hAnsi="Baskerville" w:cs="Baskerville"/>
                <w:b/>
              </w:rPr>
            </w:pPr>
          </w:p>
        </w:tc>
        <w:tc>
          <w:tcPr>
            <w:tcW w:w="1440" w:type="dxa"/>
            <w:shd w:val="clear" w:color="auto" w:fill="FFFF00"/>
            <w:vAlign w:val="center"/>
          </w:tcPr>
          <w:p w:rsidR="00C86046" w:rsidRDefault="00C86046" w:rsidP="00C86046">
            <w:pPr>
              <w:tabs>
                <w:tab w:val="left" w:pos="1314"/>
                <w:tab w:val="left" w:pos="4920"/>
                <w:tab w:val="right" w:pos="8640"/>
              </w:tabs>
              <w:ind w:right="-18"/>
              <w:rPr>
                <w:rFonts w:ascii="Baskerville" w:hAnsi="Baskerville" w:cs="Baskerville"/>
                <w:b/>
                <w:sz w:val="22"/>
                <w:szCs w:val="22"/>
                <w:highlight w:val="yellow"/>
              </w:rPr>
            </w:pPr>
            <w:r>
              <w:rPr>
                <w:rFonts w:ascii="Baskerville" w:hAnsi="Baskerville" w:cs="Baskerville"/>
                <w:b/>
                <w:sz w:val="22"/>
                <w:szCs w:val="22"/>
                <w:highlight w:val="yellow"/>
              </w:rPr>
              <w:t>The compliance ratings for the fourth, fifth and sixth</w:t>
            </w:r>
            <w:r w:rsidR="00341CCC">
              <w:rPr>
                <w:rFonts w:ascii="Baskerville" w:hAnsi="Baskerville" w:cs="Baskerville"/>
                <w:b/>
                <w:sz w:val="22"/>
                <w:szCs w:val="22"/>
                <w:highlight w:val="yellow"/>
              </w:rPr>
              <w:t xml:space="preserve"> review periods are presented</w:t>
            </w:r>
            <w:r>
              <w:rPr>
                <w:rFonts w:ascii="Baskerville" w:hAnsi="Baskerville" w:cs="Baskerville"/>
                <w:b/>
                <w:sz w:val="22"/>
                <w:szCs w:val="22"/>
                <w:highlight w:val="yellow"/>
              </w:rPr>
              <w:t xml:space="preserve"> as:</w:t>
            </w:r>
          </w:p>
          <w:p w:rsidR="00C86046" w:rsidRPr="00C56355" w:rsidRDefault="00C86046" w:rsidP="00C86046">
            <w:pPr>
              <w:tabs>
                <w:tab w:val="left" w:pos="1314"/>
                <w:tab w:val="left" w:pos="4920"/>
                <w:tab w:val="right" w:pos="8640"/>
              </w:tabs>
              <w:ind w:right="-18"/>
              <w:jc w:val="center"/>
              <w:rPr>
                <w:rFonts w:ascii="Baskerville" w:hAnsi="Baskerville" w:cs="Baskerville"/>
                <w:sz w:val="20"/>
                <w:szCs w:val="20"/>
                <w:highlight w:val="yellow"/>
              </w:rPr>
            </w:pPr>
            <w:r w:rsidRPr="00C56355">
              <w:rPr>
                <w:rFonts w:ascii="Baskerville" w:hAnsi="Baskerville" w:cs="Baskerville"/>
                <w:sz w:val="20"/>
                <w:szCs w:val="20"/>
                <w:highlight w:val="yellow"/>
              </w:rPr>
              <w:t>(</w:t>
            </w:r>
            <w:r>
              <w:rPr>
                <w:rFonts w:ascii="Baskerville" w:hAnsi="Baskerville" w:cs="Baskerville"/>
                <w:sz w:val="20"/>
                <w:szCs w:val="20"/>
                <w:highlight w:val="yellow"/>
              </w:rPr>
              <w:t>4</w:t>
            </w:r>
            <w:r w:rsidRPr="00C56355">
              <w:rPr>
                <w:rFonts w:ascii="Baskerville" w:hAnsi="Baskerville" w:cs="Baskerville"/>
                <w:sz w:val="22"/>
                <w:szCs w:val="22"/>
                <w:highlight w:val="yellow"/>
                <w:vertAlign w:val="superscript"/>
              </w:rPr>
              <w:t>th</w:t>
            </w:r>
            <w:r w:rsidRPr="00C56355">
              <w:rPr>
                <w:rFonts w:ascii="Baskerville" w:hAnsi="Baskerville" w:cs="Baskerville"/>
                <w:sz w:val="20"/>
                <w:szCs w:val="20"/>
                <w:highlight w:val="yellow"/>
              </w:rPr>
              <w:t xml:space="preserve"> period)</w:t>
            </w:r>
          </w:p>
          <w:p w:rsidR="00C86046" w:rsidRPr="00312B42" w:rsidRDefault="00C86046" w:rsidP="00C86046">
            <w:pPr>
              <w:tabs>
                <w:tab w:val="left" w:pos="1314"/>
                <w:tab w:val="left" w:pos="4920"/>
                <w:tab w:val="right" w:pos="8640"/>
              </w:tabs>
              <w:ind w:right="-18"/>
              <w:jc w:val="center"/>
              <w:rPr>
                <w:rFonts w:ascii="Baskerville" w:hAnsi="Baskerville" w:cs="Baskerville"/>
                <w:sz w:val="22"/>
                <w:szCs w:val="22"/>
                <w:highlight w:val="yellow"/>
                <w:u w:val="single"/>
              </w:rPr>
            </w:pPr>
            <w:r w:rsidRPr="00312B42">
              <w:rPr>
                <w:rFonts w:ascii="Baskerville" w:hAnsi="Baskerville" w:cs="Baskerville"/>
                <w:sz w:val="22"/>
                <w:szCs w:val="22"/>
                <w:highlight w:val="yellow"/>
                <w:u w:val="single"/>
              </w:rPr>
              <w:t>5</w:t>
            </w:r>
            <w:r w:rsidRPr="00312B42">
              <w:rPr>
                <w:rFonts w:ascii="Baskerville" w:hAnsi="Baskerville" w:cs="Baskerville"/>
                <w:sz w:val="22"/>
                <w:szCs w:val="22"/>
                <w:highlight w:val="yellow"/>
                <w:u w:val="single"/>
                <w:vertAlign w:val="superscript"/>
              </w:rPr>
              <w:t>th</w:t>
            </w:r>
            <w:r w:rsidRPr="00312B42">
              <w:rPr>
                <w:rFonts w:ascii="Baskerville" w:hAnsi="Baskerville" w:cs="Baskerville"/>
                <w:sz w:val="22"/>
                <w:szCs w:val="22"/>
                <w:highlight w:val="yellow"/>
                <w:u w:val="single"/>
              </w:rPr>
              <w:t xml:space="preserve"> period</w:t>
            </w:r>
          </w:p>
          <w:p w:rsidR="00030F7F" w:rsidRPr="00D440FD" w:rsidRDefault="00341CCC" w:rsidP="00341CCC">
            <w:pPr>
              <w:tabs>
                <w:tab w:val="left" w:pos="1440"/>
                <w:tab w:val="left" w:pos="4920"/>
                <w:tab w:val="right" w:pos="8640"/>
              </w:tabs>
              <w:rPr>
                <w:rFonts w:ascii="Baskerville" w:hAnsi="Baskerville" w:cs="Baskerville"/>
                <w:b/>
                <w:sz w:val="22"/>
                <w:szCs w:val="22"/>
              </w:rPr>
            </w:pPr>
            <w:r>
              <w:rPr>
                <w:rFonts w:ascii="Baskerville" w:hAnsi="Baskerville" w:cs="Baskerville"/>
                <w:b/>
                <w:sz w:val="22"/>
                <w:szCs w:val="22"/>
                <w:highlight w:val="yellow"/>
              </w:rPr>
              <w:t xml:space="preserve">   </w:t>
            </w:r>
            <w:r w:rsidR="00C86046">
              <w:rPr>
                <w:rFonts w:ascii="Baskerville" w:hAnsi="Baskerville" w:cs="Baskerville"/>
                <w:b/>
                <w:sz w:val="22"/>
                <w:szCs w:val="22"/>
                <w:highlight w:val="yellow"/>
              </w:rPr>
              <w:t>6</w:t>
            </w:r>
            <w:r w:rsidR="00C86046" w:rsidRPr="00B4252D">
              <w:rPr>
                <w:rFonts w:ascii="Baskerville" w:hAnsi="Baskerville" w:cs="Baskerville"/>
                <w:b/>
                <w:sz w:val="22"/>
                <w:szCs w:val="22"/>
                <w:highlight w:val="yellow"/>
                <w:vertAlign w:val="superscript"/>
              </w:rPr>
              <w:t>th</w:t>
            </w:r>
            <w:r w:rsidR="00C86046">
              <w:rPr>
                <w:rFonts w:ascii="Baskerville" w:hAnsi="Baskerville" w:cs="Baskerville"/>
                <w:b/>
                <w:sz w:val="22"/>
                <w:szCs w:val="22"/>
                <w:highlight w:val="yellow"/>
              </w:rPr>
              <w:t xml:space="preserve"> period</w:t>
            </w:r>
          </w:p>
        </w:tc>
        <w:tc>
          <w:tcPr>
            <w:tcW w:w="2880" w:type="dxa"/>
            <w:shd w:val="clear" w:color="auto" w:fill="FFFF00"/>
          </w:tcPr>
          <w:p w:rsidR="0083366F" w:rsidRPr="00EC5241" w:rsidRDefault="009726F8" w:rsidP="00A40D5F">
            <w:pPr>
              <w:tabs>
                <w:tab w:val="left" w:pos="1440"/>
                <w:tab w:val="left" w:pos="4920"/>
                <w:tab w:val="right" w:pos="8640"/>
              </w:tabs>
              <w:ind w:right="270"/>
              <w:rPr>
                <w:rFonts w:ascii="Baskerville" w:hAnsi="Baskerville" w:cs="Baskerville"/>
                <w:b/>
                <w:sz w:val="22"/>
                <w:szCs w:val="22"/>
              </w:rPr>
            </w:pPr>
            <w:r>
              <w:rPr>
                <w:rFonts w:ascii="Baskerville" w:hAnsi="Baskerville" w:cs="Baskerville"/>
                <w:b/>
                <w:sz w:val="22"/>
                <w:szCs w:val="22"/>
                <w:highlight w:val="yellow"/>
              </w:rPr>
              <w:t xml:space="preserve">The IR did not </w:t>
            </w:r>
            <w:r w:rsidR="007D7E54">
              <w:rPr>
                <w:rFonts w:ascii="Baskerville" w:hAnsi="Baskerville" w:cs="Baskerville"/>
                <w:b/>
                <w:sz w:val="22"/>
                <w:szCs w:val="22"/>
                <w:highlight w:val="yellow"/>
              </w:rPr>
              <w:t>prioritize monitorin</w:t>
            </w:r>
            <w:r>
              <w:rPr>
                <w:rFonts w:ascii="Baskerville" w:hAnsi="Baskerville" w:cs="Baskerville"/>
                <w:b/>
                <w:sz w:val="22"/>
                <w:szCs w:val="22"/>
                <w:highlight w:val="yellow"/>
              </w:rPr>
              <w:t>g</w:t>
            </w:r>
            <w:r w:rsidR="00507EF6">
              <w:rPr>
                <w:rFonts w:ascii="Baskerville" w:hAnsi="Baskerville" w:cs="Baskerville"/>
                <w:b/>
                <w:sz w:val="22"/>
                <w:szCs w:val="22"/>
                <w:highlight w:val="yellow"/>
              </w:rPr>
              <w:t xml:space="preserve"> the Q</w:t>
            </w:r>
            <w:r w:rsidR="007D7E54">
              <w:rPr>
                <w:rFonts w:ascii="Baskerville" w:hAnsi="Baskerville" w:cs="Baskerville"/>
                <w:b/>
                <w:sz w:val="22"/>
                <w:szCs w:val="22"/>
                <w:highlight w:val="yellow"/>
              </w:rPr>
              <w:t>ual</w:t>
            </w:r>
            <w:r w:rsidR="00840806">
              <w:rPr>
                <w:rFonts w:ascii="Baskerville" w:hAnsi="Baskerville" w:cs="Baskerville"/>
                <w:b/>
                <w:sz w:val="22"/>
                <w:szCs w:val="22"/>
                <w:highlight w:val="yellow"/>
              </w:rPr>
              <w:t>ity provisions without due dates</w:t>
            </w:r>
            <w:r w:rsidR="00F818BF">
              <w:rPr>
                <w:rFonts w:ascii="Baskerville" w:hAnsi="Baskerville" w:cs="Baskerville"/>
                <w:b/>
                <w:sz w:val="22"/>
                <w:szCs w:val="22"/>
                <w:highlight w:val="yellow"/>
              </w:rPr>
              <w:t xml:space="preserve"> during this review period</w:t>
            </w:r>
            <w:r w:rsidR="003410F4">
              <w:rPr>
                <w:rFonts w:ascii="Baskerville" w:hAnsi="Baskerville" w:cs="Baskerville"/>
                <w:b/>
                <w:sz w:val="22"/>
                <w:szCs w:val="22"/>
                <w:highlight w:val="yellow"/>
              </w:rPr>
              <w:t>. Updated</w:t>
            </w:r>
            <w:r w:rsidR="00ED5E1A">
              <w:rPr>
                <w:rFonts w:ascii="Baskerville" w:hAnsi="Baskerville" w:cs="Baskerville"/>
                <w:b/>
                <w:sz w:val="22"/>
                <w:szCs w:val="22"/>
                <w:highlight w:val="yellow"/>
              </w:rPr>
              <w:t xml:space="preserve"> </w:t>
            </w:r>
            <w:r w:rsidR="00840806">
              <w:rPr>
                <w:rFonts w:ascii="Baskerville" w:hAnsi="Baskerville" w:cs="Baskerville"/>
                <w:b/>
                <w:sz w:val="22"/>
                <w:szCs w:val="22"/>
                <w:highlight w:val="yellow"/>
              </w:rPr>
              <w:t xml:space="preserve">compliance ratings </w:t>
            </w:r>
            <w:r w:rsidR="003410F4">
              <w:rPr>
                <w:rFonts w:ascii="Baskerville" w:hAnsi="Baskerville" w:cs="Baskerville"/>
                <w:b/>
                <w:sz w:val="22"/>
                <w:szCs w:val="22"/>
                <w:highlight w:val="yellow"/>
              </w:rPr>
              <w:t xml:space="preserve">will be </w:t>
            </w:r>
            <w:r w:rsidR="00ED5E1A">
              <w:rPr>
                <w:rFonts w:ascii="Baskerville" w:hAnsi="Baskerville" w:cs="Baskerville"/>
                <w:b/>
                <w:sz w:val="22"/>
                <w:szCs w:val="22"/>
                <w:highlight w:val="yellow"/>
              </w:rPr>
              <w:t>determined during the next review period</w:t>
            </w:r>
            <w:r>
              <w:rPr>
                <w:rFonts w:ascii="Baskerville" w:hAnsi="Baskerville" w:cs="Baskerville"/>
                <w:b/>
                <w:sz w:val="22"/>
                <w:szCs w:val="22"/>
                <w:highlight w:val="yellow"/>
              </w:rPr>
              <w:t>.</w:t>
            </w:r>
          </w:p>
        </w:tc>
      </w:tr>
      <w:tr w:rsidR="0083366F" w:rsidRPr="00DF1E2F" w:rsidTr="0094744A">
        <w:trPr>
          <w:trHeight w:val="3086"/>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V.B.</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Commonwealth’s Quality Management System shall:  identify and address risks of harm; ensure the sufficiency, accessibility, and quality of services to meet individuals’ needs in integrated settings; and collect and evaluate data to identify and respond to trends to ensure continuous quality improvement.</w:t>
            </w:r>
          </w:p>
        </w:tc>
        <w:tc>
          <w:tcPr>
            <w:tcW w:w="1440" w:type="dxa"/>
          </w:tcPr>
          <w:p w:rsidR="008D24E4" w:rsidRPr="00DF1E2F" w:rsidRDefault="008D24E4" w:rsidP="008D24E4">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685734">
            <w:pPr>
              <w:tabs>
                <w:tab w:val="left" w:pos="1440"/>
                <w:tab w:val="left" w:pos="4920"/>
                <w:tab w:val="right" w:pos="8640"/>
              </w:tabs>
              <w:ind w:left="-108" w:right="-108"/>
              <w:jc w:val="center"/>
              <w:rPr>
                <w:rFonts w:ascii="Baskerville" w:hAnsi="Baskerville" w:cs="Baskerville"/>
                <w:sz w:val="22"/>
                <w:szCs w:val="22"/>
              </w:rPr>
            </w:pPr>
          </w:p>
          <w:p w:rsidR="00890C19" w:rsidRDefault="0083366F" w:rsidP="00282106">
            <w:pPr>
              <w:tabs>
                <w:tab w:val="left" w:pos="1440"/>
                <w:tab w:val="left" w:pos="4920"/>
                <w:tab w:val="right" w:pos="8640"/>
              </w:tabs>
              <w:ind w:left="-108" w:right="-108"/>
              <w:jc w:val="center"/>
              <w:rPr>
                <w:rFonts w:ascii="Baskerville" w:hAnsi="Baskerville" w:cs="Baskerville"/>
                <w:sz w:val="22"/>
                <w:szCs w:val="22"/>
                <w:u w:val="single"/>
              </w:rPr>
            </w:pPr>
            <w:r w:rsidRPr="00890C19">
              <w:rPr>
                <w:rFonts w:ascii="Baskerville" w:hAnsi="Baskerville" w:cs="Baskerville"/>
                <w:sz w:val="22"/>
                <w:szCs w:val="22"/>
                <w:u w:val="single"/>
              </w:rPr>
              <w:t xml:space="preserve">Non </w:t>
            </w:r>
          </w:p>
          <w:p w:rsidR="0083366F" w:rsidRPr="00890C19" w:rsidRDefault="0083366F" w:rsidP="00282106">
            <w:pPr>
              <w:tabs>
                <w:tab w:val="left" w:pos="1440"/>
                <w:tab w:val="left" w:pos="4920"/>
                <w:tab w:val="right" w:pos="8640"/>
              </w:tabs>
              <w:ind w:left="-108" w:right="-108"/>
              <w:jc w:val="center"/>
              <w:rPr>
                <w:rFonts w:ascii="Baskerville" w:hAnsi="Baskerville" w:cs="Baskerville"/>
                <w:sz w:val="22"/>
                <w:szCs w:val="22"/>
                <w:u w:val="single"/>
              </w:rPr>
            </w:pPr>
            <w:r w:rsidRPr="00890C19">
              <w:rPr>
                <w:rFonts w:ascii="Baskerville" w:hAnsi="Baskerville" w:cs="Baskerville"/>
                <w:sz w:val="22"/>
                <w:szCs w:val="22"/>
                <w:u w:val="single"/>
              </w:rPr>
              <w:t>Compliance</w:t>
            </w:r>
          </w:p>
          <w:p w:rsidR="0083366F" w:rsidRDefault="0083366F" w:rsidP="00685734">
            <w:pPr>
              <w:tabs>
                <w:tab w:val="left" w:pos="1440"/>
                <w:tab w:val="left" w:pos="4920"/>
                <w:tab w:val="right" w:pos="8640"/>
              </w:tabs>
              <w:ind w:left="-108" w:right="-108"/>
              <w:jc w:val="center"/>
              <w:rPr>
                <w:rFonts w:ascii="Baskerville" w:hAnsi="Baskerville" w:cs="Baskerville"/>
                <w:sz w:val="22"/>
                <w:szCs w:val="22"/>
              </w:rPr>
            </w:pPr>
          </w:p>
          <w:p w:rsidR="0083366F" w:rsidRDefault="0083366F" w:rsidP="0068573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8573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8573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85734">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577A93" w:rsidRPr="00DF1E2F" w:rsidRDefault="0083366F" w:rsidP="00577A93">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The </w:t>
            </w:r>
            <w:r w:rsidR="00FB667D">
              <w:rPr>
                <w:rFonts w:ascii="Baskerville" w:hAnsi="Baskerville" w:cs="Baskerville"/>
                <w:sz w:val="22"/>
                <w:szCs w:val="22"/>
              </w:rPr>
              <w:t xml:space="preserve">IR determined that the </w:t>
            </w:r>
            <w:r w:rsidRPr="00DF1E2F">
              <w:rPr>
                <w:rFonts w:ascii="Baskerville" w:hAnsi="Baskerville" w:cs="Baskerville"/>
                <w:sz w:val="22"/>
                <w:szCs w:val="22"/>
              </w:rPr>
              <w:t xml:space="preserve">Commonwealth’s </w:t>
            </w:r>
            <w:r>
              <w:rPr>
                <w:rFonts w:ascii="Baskerville" w:hAnsi="Baskerville" w:cs="Baskerville"/>
                <w:sz w:val="22"/>
                <w:szCs w:val="22"/>
              </w:rPr>
              <w:t>planning documents</w:t>
            </w:r>
            <w:r w:rsidRPr="00DF1E2F">
              <w:rPr>
                <w:rFonts w:ascii="Baskerville" w:hAnsi="Baskerville" w:cs="Baskerville"/>
                <w:sz w:val="22"/>
                <w:szCs w:val="22"/>
              </w:rPr>
              <w:t xml:space="preserve"> continue to indicate that providers will not be required to report a complete list of </w:t>
            </w:r>
            <w:r>
              <w:rPr>
                <w:rFonts w:ascii="Baskerville" w:hAnsi="Baskerville" w:cs="Baskerville"/>
                <w:sz w:val="22"/>
                <w:szCs w:val="22"/>
              </w:rPr>
              <w:t xml:space="preserve">significant </w:t>
            </w:r>
            <w:r w:rsidR="002919E7">
              <w:rPr>
                <w:rFonts w:ascii="Baskerville" w:hAnsi="Baskerville" w:cs="Baskerville"/>
                <w:sz w:val="22"/>
                <w:szCs w:val="22"/>
              </w:rPr>
              <w:t xml:space="preserve">risks of harm. DBHDS reported that it will revise </w:t>
            </w:r>
            <w:r w:rsidR="004B6724">
              <w:rPr>
                <w:rFonts w:ascii="Baskerville" w:hAnsi="Baskerville" w:cs="Baskerville"/>
                <w:sz w:val="22"/>
                <w:szCs w:val="22"/>
              </w:rPr>
              <w:t>regulations</w:t>
            </w:r>
            <w:r w:rsidR="008917CA">
              <w:rPr>
                <w:rFonts w:ascii="Baskerville" w:hAnsi="Baskerville" w:cs="Baskerville"/>
                <w:sz w:val="22"/>
                <w:szCs w:val="22"/>
              </w:rPr>
              <w:t xml:space="preserve"> </w:t>
            </w:r>
            <w:r w:rsidR="00725F91">
              <w:rPr>
                <w:rFonts w:ascii="Baskerville" w:hAnsi="Baskerville" w:cs="Baskerville"/>
                <w:sz w:val="22"/>
                <w:szCs w:val="22"/>
              </w:rPr>
              <w:t>to clarify expectations of providers. A Risk Management Review process</w:t>
            </w:r>
            <w:r w:rsidR="00E17E8F">
              <w:rPr>
                <w:rFonts w:ascii="Baskerville" w:hAnsi="Baskerville" w:cs="Baskerville"/>
                <w:sz w:val="22"/>
                <w:szCs w:val="22"/>
              </w:rPr>
              <w:t xml:space="preserve"> has been established</w:t>
            </w:r>
            <w:r w:rsidR="00577A93">
              <w:rPr>
                <w:rFonts w:ascii="Baskerville" w:hAnsi="Baskerville" w:cs="Baskerville"/>
                <w:sz w:val="22"/>
                <w:szCs w:val="22"/>
              </w:rPr>
              <w:t>.</w:t>
            </w:r>
          </w:p>
        </w:tc>
      </w:tr>
      <w:tr w:rsidR="0083366F" w:rsidRPr="00DF1E2F" w:rsidTr="0094744A">
        <w:trPr>
          <w:trHeight w:val="2366"/>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V.C.1</w:t>
            </w:r>
          </w:p>
        </w:tc>
        <w:tc>
          <w:tcPr>
            <w:tcW w:w="4320" w:type="dxa"/>
          </w:tcPr>
          <w:p w:rsidR="0083366F" w:rsidRPr="00DF1E2F" w:rsidRDefault="0083366F" w:rsidP="00621778">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require that all Training Centers, CSBs, and other community providers of residential and day services implement risk management processes, including establishment of uniform risk triggers and thresholds, that enable them to adequately address harms and risks of harm.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890C19" w:rsidRDefault="0083366F" w:rsidP="00685734">
            <w:pPr>
              <w:tabs>
                <w:tab w:val="left" w:pos="1440"/>
                <w:tab w:val="left" w:pos="4920"/>
                <w:tab w:val="right" w:pos="8640"/>
              </w:tabs>
              <w:ind w:left="-108" w:right="-108"/>
              <w:jc w:val="center"/>
              <w:rPr>
                <w:rFonts w:ascii="Baskerville" w:hAnsi="Baskerville" w:cs="Baskerville"/>
                <w:sz w:val="22"/>
                <w:szCs w:val="22"/>
                <w:u w:val="single"/>
              </w:rPr>
            </w:pPr>
          </w:p>
          <w:p w:rsidR="00890C19" w:rsidRDefault="0083366F" w:rsidP="007748FB">
            <w:pPr>
              <w:tabs>
                <w:tab w:val="left" w:pos="1440"/>
                <w:tab w:val="left" w:pos="4920"/>
                <w:tab w:val="right" w:pos="8640"/>
              </w:tabs>
              <w:ind w:left="-108" w:right="-108"/>
              <w:jc w:val="center"/>
              <w:rPr>
                <w:rFonts w:ascii="Baskerville" w:hAnsi="Baskerville" w:cs="Baskerville"/>
                <w:sz w:val="22"/>
                <w:szCs w:val="22"/>
                <w:u w:val="single"/>
              </w:rPr>
            </w:pPr>
            <w:r w:rsidRPr="00890C19">
              <w:rPr>
                <w:rFonts w:ascii="Baskerville" w:hAnsi="Baskerville" w:cs="Baskerville"/>
                <w:sz w:val="22"/>
                <w:szCs w:val="22"/>
                <w:u w:val="single"/>
              </w:rPr>
              <w:t>Non</w:t>
            </w:r>
          </w:p>
          <w:p w:rsidR="0083366F" w:rsidRPr="00890C19" w:rsidRDefault="0083366F" w:rsidP="007748FB">
            <w:pPr>
              <w:tabs>
                <w:tab w:val="left" w:pos="1440"/>
                <w:tab w:val="left" w:pos="4920"/>
                <w:tab w:val="right" w:pos="8640"/>
              </w:tabs>
              <w:ind w:left="-108" w:right="-108"/>
              <w:jc w:val="center"/>
              <w:rPr>
                <w:rFonts w:ascii="Baskerville" w:hAnsi="Baskerville" w:cs="Baskerville"/>
                <w:sz w:val="22"/>
                <w:szCs w:val="22"/>
                <w:u w:val="single"/>
              </w:rPr>
            </w:pPr>
            <w:r w:rsidRPr="00890C19">
              <w:rPr>
                <w:rFonts w:ascii="Baskerville" w:hAnsi="Baskerville" w:cs="Baskerville"/>
                <w:sz w:val="22"/>
                <w:szCs w:val="22"/>
                <w:u w:val="single"/>
              </w:rPr>
              <w:t xml:space="preserve"> Compliance</w:t>
            </w:r>
          </w:p>
          <w:p w:rsidR="0083366F" w:rsidRPr="00DF1E2F" w:rsidRDefault="0083366F" w:rsidP="0068573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85734">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577A93" w:rsidRPr="00DF1E2F" w:rsidRDefault="0083366F" w:rsidP="00240453">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w:t>
            </w:r>
            <w:r w:rsidR="00DB621A">
              <w:rPr>
                <w:rFonts w:ascii="Baskerville" w:hAnsi="Baskerville" w:cs="Baskerville"/>
                <w:sz w:val="22"/>
                <w:szCs w:val="22"/>
              </w:rPr>
              <w:t xml:space="preserve"> IR determined that the</w:t>
            </w:r>
            <w:r w:rsidRPr="00DF1E2F">
              <w:rPr>
                <w:rFonts w:ascii="Baskerville" w:hAnsi="Baskerville" w:cs="Baskerville"/>
                <w:sz w:val="22"/>
                <w:szCs w:val="22"/>
              </w:rPr>
              <w:t xml:space="preserve"> required list of risks and triggers does not include all signi</w:t>
            </w:r>
            <w:r w:rsidR="00DB621A">
              <w:rPr>
                <w:rFonts w:ascii="Baskerville" w:hAnsi="Baskerville" w:cs="Baskerville"/>
                <w:sz w:val="22"/>
                <w:szCs w:val="22"/>
              </w:rPr>
              <w:t>ficant harm</w:t>
            </w:r>
            <w:r w:rsidR="00001AD9">
              <w:rPr>
                <w:rFonts w:ascii="Baskerville" w:hAnsi="Baskerville" w:cs="Baskerville"/>
                <w:sz w:val="22"/>
                <w:szCs w:val="22"/>
              </w:rPr>
              <w:t xml:space="preserve"> and risks of harm. M</w:t>
            </w:r>
            <w:r w:rsidRPr="00DF1E2F">
              <w:rPr>
                <w:rFonts w:ascii="Baskerville" w:hAnsi="Baskerville" w:cs="Baskerville"/>
                <w:sz w:val="22"/>
                <w:szCs w:val="22"/>
              </w:rPr>
              <w:t>any of the identified “risks,” actually require harm to have occurred, rather than identifying events that increase risk of harm.</w:t>
            </w:r>
            <w:r w:rsidR="00A42BBA">
              <w:rPr>
                <w:rFonts w:ascii="Baskerville" w:hAnsi="Baskerville" w:cs="Baskerville"/>
                <w:sz w:val="22"/>
                <w:szCs w:val="22"/>
              </w:rPr>
              <w:t xml:space="preserve"> </w:t>
            </w:r>
          </w:p>
        </w:tc>
      </w:tr>
      <w:tr w:rsidR="0083366F" w:rsidRPr="00DF1E2F" w:rsidTr="0094744A">
        <w:trPr>
          <w:trHeight w:val="3140"/>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V.C.2</w:t>
            </w:r>
          </w:p>
        </w:tc>
        <w:tc>
          <w:tcPr>
            <w:tcW w:w="4320" w:type="dxa"/>
          </w:tcPr>
          <w:p w:rsidR="0083366F" w:rsidRPr="00DF1E2F" w:rsidRDefault="0083366F" w:rsidP="000E02F6">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have and implement a real time, web-based incident reporting system and reporting protocol. </w:t>
            </w:r>
          </w:p>
        </w:tc>
        <w:tc>
          <w:tcPr>
            <w:tcW w:w="1440" w:type="dxa"/>
          </w:tcPr>
          <w:p w:rsidR="00E36BE1" w:rsidRDefault="00E36BE1" w:rsidP="00E36BE1">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9C5EB1" w:rsidRPr="0000799C" w:rsidRDefault="009C5EB1" w:rsidP="00E36BE1">
            <w:pPr>
              <w:tabs>
                <w:tab w:val="left" w:pos="1692"/>
                <w:tab w:val="left" w:pos="4920"/>
                <w:tab w:val="right" w:pos="8640"/>
              </w:tabs>
              <w:ind w:left="-108" w:right="-108"/>
              <w:jc w:val="center"/>
              <w:rPr>
                <w:rFonts w:ascii="Baskerville" w:hAnsi="Baskerville" w:cs="Baskerville"/>
                <w:sz w:val="20"/>
                <w:szCs w:val="20"/>
              </w:rPr>
            </w:pPr>
          </w:p>
          <w:p w:rsidR="009C5EB1" w:rsidRDefault="0083366F" w:rsidP="00415A57">
            <w:pPr>
              <w:tabs>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 xml:space="preserve">Non </w:t>
            </w:r>
          </w:p>
          <w:p w:rsidR="0083366F" w:rsidRPr="009C5EB1" w:rsidRDefault="0083366F" w:rsidP="00415A57">
            <w:pPr>
              <w:tabs>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Compliance</w:t>
            </w:r>
          </w:p>
          <w:p w:rsidR="0083366F" w:rsidRPr="00DF1E2F" w:rsidRDefault="0083366F" w:rsidP="00415A57">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415A57">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415A57">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415A57">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2919E7" w:rsidP="00A71BBA">
            <w:pPr>
              <w:tabs>
                <w:tab w:val="left" w:pos="1440"/>
                <w:tab w:val="left" w:pos="4920"/>
                <w:tab w:val="right" w:pos="8640"/>
              </w:tabs>
              <w:rPr>
                <w:rFonts w:ascii="Baskerville" w:hAnsi="Baskerville" w:cs="Baskerville"/>
                <w:sz w:val="22"/>
                <w:szCs w:val="22"/>
              </w:rPr>
            </w:pPr>
            <w:r>
              <w:rPr>
                <w:rFonts w:ascii="Baskerville" w:hAnsi="Baskerville" w:cs="Baskerville"/>
                <w:sz w:val="22"/>
                <w:szCs w:val="22"/>
              </w:rPr>
              <w:t>The IR det</w:t>
            </w:r>
            <w:r w:rsidR="004E5844">
              <w:rPr>
                <w:rFonts w:ascii="Baskerville" w:hAnsi="Baskerville" w:cs="Baskerville"/>
                <w:sz w:val="22"/>
                <w:szCs w:val="22"/>
              </w:rPr>
              <w:t>e</w:t>
            </w:r>
            <w:r>
              <w:rPr>
                <w:rFonts w:ascii="Baskerville" w:hAnsi="Baskerville" w:cs="Baskerville"/>
                <w:sz w:val="22"/>
                <w:szCs w:val="22"/>
              </w:rPr>
              <w:t>rmined that a</w:t>
            </w:r>
            <w:r w:rsidR="0083366F" w:rsidRPr="00DF1E2F">
              <w:rPr>
                <w:rFonts w:ascii="Baskerville" w:hAnsi="Baskerville" w:cs="Baskerville"/>
                <w:sz w:val="22"/>
                <w:szCs w:val="22"/>
              </w:rPr>
              <w:t xml:space="preserve"> web based incident reporting system and repo</w:t>
            </w:r>
            <w:r w:rsidR="00A71BBA">
              <w:rPr>
                <w:rFonts w:ascii="Baskerville" w:hAnsi="Baskerville" w:cs="Baskerville"/>
                <w:sz w:val="22"/>
                <w:szCs w:val="22"/>
              </w:rPr>
              <w:t>rting protocol was implemented. T</w:t>
            </w:r>
            <w:r w:rsidR="008517E7">
              <w:rPr>
                <w:rFonts w:ascii="Baskerville" w:hAnsi="Baskerville" w:cs="Baskerville"/>
                <w:sz w:val="22"/>
                <w:szCs w:val="22"/>
              </w:rPr>
              <w:t>he DBHDS</w:t>
            </w:r>
            <w:r w:rsidR="008517E7" w:rsidRPr="00DF1E2F">
              <w:rPr>
                <w:rFonts w:ascii="Baskerville" w:hAnsi="Baskerville" w:cs="Baskerville"/>
                <w:sz w:val="22"/>
                <w:szCs w:val="22"/>
              </w:rPr>
              <w:t xml:space="preserve"> </w:t>
            </w:r>
            <w:r w:rsidR="008517E7">
              <w:rPr>
                <w:rFonts w:ascii="Baskerville" w:hAnsi="Baskerville" w:cs="Baskerville"/>
                <w:sz w:val="22"/>
                <w:szCs w:val="22"/>
              </w:rPr>
              <w:t>system</w:t>
            </w:r>
            <w:r w:rsidR="00A71BBA">
              <w:rPr>
                <w:rFonts w:ascii="Baskerville" w:hAnsi="Baskerville" w:cs="Baskerville"/>
                <w:sz w:val="22"/>
                <w:szCs w:val="22"/>
              </w:rPr>
              <w:t>, however,</w:t>
            </w:r>
            <w:r w:rsidR="008517E7">
              <w:rPr>
                <w:rFonts w:ascii="Baskerville" w:hAnsi="Baskerville" w:cs="Baskerville"/>
                <w:sz w:val="22"/>
                <w:szCs w:val="22"/>
              </w:rPr>
              <w:t xml:space="preserve"> </w:t>
            </w:r>
            <w:r w:rsidR="0083366F" w:rsidRPr="00DF1E2F">
              <w:rPr>
                <w:rFonts w:ascii="Baskerville" w:hAnsi="Baskerville" w:cs="Baskerville"/>
                <w:sz w:val="22"/>
                <w:szCs w:val="22"/>
              </w:rPr>
              <w:t xml:space="preserve">does not comply with the </w:t>
            </w:r>
            <w:r w:rsidR="004E5844">
              <w:rPr>
                <w:rFonts w:ascii="Baskerville" w:hAnsi="Baskerville" w:cs="Baskerville"/>
                <w:sz w:val="22"/>
                <w:szCs w:val="22"/>
              </w:rPr>
              <w:t>real-</w:t>
            </w:r>
            <w:r w:rsidR="0083366F" w:rsidRPr="00DF1E2F">
              <w:rPr>
                <w:rFonts w:ascii="Baskerville" w:hAnsi="Baskerville" w:cs="Baskerville"/>
                <w:sz w:val="22"/>
                <w:szCs w:val="22"/>
              </w:rPr>
              <w:t>time reporting</w:t>
            </w:r>
            <w:r w:rsidR="008517E7">
              <w:rPr>
                <w:rFonts w:ascii="Baskerville" w:hAnsi="Baskerville" w:cs="Baskerville"/>
                <w:sz w:val="22"/>
                <w:szCs w:val="22"/>
              </w:rPr>
              <w:t xml:space="preserve"> requirement</w:t>
            </w:r>
            <w:r w:rsidR="0083366F" w:rsidRPr="00DF1E2F">
              <w:rPr>
                <w:rFonts w:ascii="Baskerville" w:hAnsi="Baskerville" w:cs="Baskerville"/>
                <w:sz w:val="22"/>
                <w:szCs w:val="22"/>
              </w:rPr>
              <w:t xml:space="preserve">. </w:t>
            </w:r>
            <w:r w:rsidR="00166C43">
              <w:rPr>
                <w:rFonts w:ascii="Baskerville" w:hAnsi="Baskerville" w:cs="Baskerville"/>
                <w:sz w:val="22"/>
                <w:szCs w:val="22"/>
              </w:rPr>
              <w:t xml:space="preserve">A rating of non-compliance </w:t>
            </w:r>
            <w:r w:rsidR="004E5844">
              <w:rPr>
                <w:rFonts w:ascii="Baskerville" w:hAnsi="Baskerville" w:cs="Baskerville"/>
                <w:sz w:val="22"/>
                <w:szCs w:val="22"/>
              </w:rPr>
              <w:t xml:space="preserve">will remain </w:t>
            </w:r>
            <w:r w:rsidR="008517E7">
              <w:rPr>
                <w:rFonts w:ascii="Baskerville" w:hAnsi="Baskerville" w:cs="Baskerville"/>
                <w:sz w:val="22"/>
                <w:szCs w:val="22"/>
              </w:rPr>
              <w:t>until the web-based</w:t>
            </w:r>
            <w:r w:rsidR="0063173A">
              <w:rPr>
                <w:rFonts w:ascii="Baskerville" w:hAnsi="Baskerville" w:cs="Baskerville"/>
                <w:sz w:val="22"/>
                <w:szCs w:val="22"/>
              </w:rPr>
              <w:t xml:space="preserve"> system</w:t>
            </w:r>
            <w:r w:rsidR="004A1791">
              <w:rPr>
                <w:rFonts w:ascii="Baskerville" w:hAnsi="Baskerville" w:cs="Baskerville"/>
                <w:sz w:val="22"/>
                <w:szCs w:val="22"/>
              </w:rPr>
              <w:t xml:space="preserve"> </w:t>
            </w:r>
            <w:r w:rsidR="008243F3">
              <w:rPr>
                <w:rFonts w:ascii="Baskerville" w:hAnsi="Baskerville" w:cs="Baskerville"/>
                <w:sz w:val="22"/>
                <w:szCs w:val="22"/>
              </w:rPr>
              <w:t>operate</w:t>
            </w:r>
            <w:r w:rsidR="004A1791">
              <w:rPr>
                <w:rFonts w:ascii="Baskerville" w:hAnsi="Baskerville" w:cs="Baskerville"/>
                <w:sz w:val="22"/>
                <w:szCs w:val="22"/>
              </w:rPr>
              <w:t>s</w:t>
            </w:r>
            <w:r w:rsidR="008243F3">
              <w:rPr>
                <w:rFonts w:ascii="Baskerville" w:hAnsi="Baskerville" w:cs="Baskerville"/>
                <w:sz w:val="22"/>
                <w:szCs w:val="22"/>
              </w:rPr>
              <w:t xml:space="preserve"> in real time</w:t>
            </w:r>
            <w:r w:rsidR="004A1791">
              <w:rPr>
                <w:rFonts w:ascii="Baskerville" w:hAnsi="Baskerville" w:cs="Baskerville"/>
                <w:sz w:val="22"/>
                <w:szCs w:val="22"/>
              </w:rPr>
              <w:t xml:space="preserve"> (i.e. within 24 hours of the incident)</w:t>
            </w:r>
            <w:r w:rsidR="00166C43">
              <w:rPr>
                <w:rFonts w:ascii="Baskerville" w:hAnsi="Baskerville" w:cs="Baskerville"/>
                <w:sz w:val="22"/>
                <w:szCs w:val="22"/>
              </w:rPr>
              <w:t>.</w:t>
            </w:r>
            <w:r w:rsidR="006A5A3B">
              <w:rPr>
                <w:rFonts w:ascii="Baskerville" w:hAnsi="Baskerville" w:cs="Baskerville"/>
                <w:sz w:val="22"/>
                <w:szCs w:val="22"/>
              </w:rPr>
              <w:t xml:space="preserve"> </w:t>
            </w:r>
            <w:r w:rsidR="0083366F">
              <w:rPr>
                <w:rFonts w:ascii="Baskerville" w:hAnsi="Baskerville" w:cs="Baskerville"/>
                <w:sz w:val="22"/>
                <w:szCs w:val="22"/>
              </w:rPr>
              <w:t xml:space="preserve"> </w:t>
            </w:r>
          </w:p>
        </w:tc>
      </w:tr>
      <w:tr w:rsidR="0083366F" w:rsidRPr="00DF1E2F" w:rsidTr="0094744A">
        <w:trPr>
          <w:trHeight w:val="3635"/>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V.C.3</w:t>
            </w:r>
          </w:p>
        </w:tc>
        <w:tc>
          <w:tcPr>
            <w:tcW w:w="4320" w:type="dxa"/>
          </w:tcPr>
          <w:p w:rsidR="0083366F" w:rsidRPr="00DF1E2F" w:rsidRDefault="0083366F" w:rsidP="0025740E">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have and implement a process to investigate reports of suspected or alleged abuse, neglect, critical incidents, or deaths and identify remediation steps taken.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Default="0083366F" w:rsidP="00DD36D9">
            <w:pPr>
              <w:tabs>
                <w:tab w:val="left" w:pos="1224"/>
                <w:tab w:val="left" w:pos="1440"/>
                <w:tab w:val="left" w:pos="4920"/>
                <w:tab w:val="right" w:pos="8640"/>
              </w:tabs>
              <w:ind w:left="-108" w:right="-108"/>
              <w:jc w:val="center"/>
              <w:rPr>
                <w:rFonts w:ascii="Baskerville" w:hAnsi="Baskerville" w:cs="Baskerville"/>
                <w:sz w:val="22"/>
                <w:szCs w:val="22"/>
              </w:rPr>
            </w:pPr>
          </w:p>
          <w:p w:rsidR="009C5EB1" w:rsidRDefault="0083366F" w:rsidP="00DD36D9">
            <w:pPr>
              <w:tabs>
                <w:tab w:val="left" w:pos="1224"/>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 xml:space="preserve">Non </w:t>
            </w:r>
          </w:p>
          <w:p w:rsidR="0083366F" w:rsidRPr="009C5EB1" w:rsidRDefault="0083366F" w:rsidP="00DD36D9">
            <w:pPr>
              <w:tabs>
                <w:tab w:val="left" w:pos="1224"/>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Compliance</w:t>
            </w:r>
          </w:p>
          <w:p w:rsidR="0083366F" w:rsidRPr="00DF1E2F" w:rsidRDefault="0083366F" w:rsidP="00DD36D9">
            <w:pPr>
              <w:tabs>
                <w:tab w:val="left" w:pos="122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D61BDA">
            <w:pPr>
              <w:tabs>
                <w:tab w:val="left" w:pos="1440"/>
                <w:tab w:val="left" w:pos="4920"/>
                <w:tab w:val="right" w:pos="8640"/>
              </w:tabs>
              <w:jc w:val="center"/>
              <w:rPr>
                <w:rFonts w:ascii="Baskerville" w:hAnsi="Baskerville" w:cs="Baskerville"/>
                <w:b/>
                <w:sz w:val="22"/>
                <w:szCs w:val="22"/>
              </w:rPr>
            </w:pPr>
          </w:p>
          <w:p w:rsidR="0083366F" w:rsidRPr="00DF1E2F" w:rsidRDefault="0083366F" w:rsidP="00D61BDA">
            <w:pPr>
              <w:tabs>
                <w:tab w:val="left" w:pos="1440"/>
                <w:tab w:val="left" w:pos="4920"/>
                <w:tab w:val="right" w:pos="8640"/>
              </w:tabs>
              <w:jc w:val="center"/>
              <w:rPr>
                <w:rFonts w:ascii="Baskerville" w:hAnsi="Baskerville" w:cs="Baskerville"/>
                <w:b/>
                <w:sz w:val="22"/>
                <w:szCs w:val="22"/>
              </w:rPr>
            </w:pPr>
          </w:p>
          <w:p w:rsidR="0083366F" w:rsidRPr="00DF1E2F" w:rsidRDefault="0083366F" w:rsidP="00EF7C3C">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A71BBA">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w:t>
            </w:r>
            <w:r w:rsidR="00B04F88">
              <w:rPr>
                <w:rFonts w:ascii="Baskerville" w:hAnsi="Baskerville" w:cs="Baskerville"/>
                <w:sz w:val="22"/>
                <w:szCs w:val="22"/>
              </w:rPr>
              <w:t>he IR determined that t</w:t>
            </w:r>
            <w:r w:rsidRPr="00DF1E2F">
              <w:rPr>
                <w:rFonts w:ascii="Baskerville" w:hAnsi="Baskerville" w:cs="Baskerville"/>
                <w:sz w:val="22"/>
                <w:szCs w:val="22"/>
              </w:rPr>
              <w:t>he Commonwealth established a repo</w:t>
            </w:r>
            <w:r w:rsidR="008B118D">
              <w:rPr>
                <w:rFonts w:ascii="Baskerville" w:hAnsi="Baskerville" w:cs="Baskerville"/>
                <w:sz w:val="22"/>
                <w:szCs w:val="22"/>
              </w:rPr>
              <w:t>rting and</w:t>
            </w:r>
            <w:r w:rsidR="00A71BBA">
              <w:rPr>
                <w:rFonts w:ascii="Baskerville" w:hAnsi="Baskerville" w:cs="Baskerville"/>
                <w:sz w:val="22"/>
                <w:szCs w:val="22"/>
              </w:rPr>
              <w:t xml:space="preserve"> investigative process. T</w:t>
            </w:r>
            <w:r>
              <w:rPr>
                <w:rFonts w:ascii="Baskerville" w:hAnsi="Baskerville" w:cs="Baskerville"/>
                <w:sz w:val="22"/>
                <w:szCs w:val="22"/>
              </w:rPr>
              <w:t xml:space="preserve">he </w:t>
            </w:r>
            <w:r w:rsidR="008B118D">
              <w:rPr>
                <w:rFonts w:ascii="Baskerville" w:hAnsi="Baskerville" w:cs="Baskerville"/>
                <w:sz w:val="22"/>
                <w:szCs w:val="22"/>
              </w:rPr>
              <w:t xml:space="preserve">DBHDS </w:t>
            </w:r>
            <w:r w:rsidRPr="00DF1E2F">
              <w:rPr>
                <w:rFonts w:ascii="Baskerville" w:hAnsi="Baskerville" w:cs="Baskerville"/>
                <w:sz w:val="22"/>
                <w:szCs w:val="22"/>
              </w:rPr>
              <w:t>Office of Human</w:t>
            </w:r>
            <w:r w:rsidR="00622DE0">
              <w:rPr>
                <w:rFonts w:ascii="Baskerville" w:hAnsi="Baskerville" w:cs="Baskerville"/>
                <w:sz w:val="22"/>
                <w:szCs w:val="22"/>
              </w:rPr>
              <w:t xml:space="preserve"> Rights</w:t>
            </w:r>
            <w:r w:rsidR="00240453">
              <w:rPr>
                <w:rFonts w:ascii="Baskerville" w:hAnsi="Baskerville" w:cs="Baskerville"/>
                <w:sz w:val="22"/>
                <w:szCs w:val="22"/>
              </w:rPr>
              <w:t xml:space="preserve"> (OHR)</w:t>
            </w:r>
            <w:r w:rsidR="00622DE0">
              <w:rPr>
                <w:rFonts w:ascii="Baskerville" w:hAnsi="Baskerville" w:cs="Baskerville"/>
                <w:sz w:val="22"/>
                <w:szCs w:val="22"/>
              </w:rPr>
              <w:t xml:space="preserve"> investigation reports</w:t>
            </w:r>
            <w:r w:rsidR="00A71BBA">
              <w:rPr>
                <w:rFonts w:ascii="Baskerville" w:hAnsi="Baskerville" w:cs="Baskerville"/>
                <w:sz w:val="22"/>
                <w:szCs w:val="22"/>
              </w:rPr>
              <w:t>, however,</w:t>
            </w:r>
            <w:r w:rsidR="00A71BBA" w:rsidRPr="00DF1E2F">
              <w:rPr>
                <w:rFonts w:ascii="Baskerville" w:hAnsi="Baskerville" w:cs="Baskerville"/>
                <w:sz w:val="22"/>
                <w:szCs w:val="22"/>
              </w:rPr>
              <w:t xml:space="preserve"> </w:t>
            </w:r>
            <w:r w:rsidR="00622DE0">
              <w:rPr>
                <w:rFonts w:ascii="Baskerville" w:hAnsi="Baskerville" w:cs="Baskerville"/>
                <w:sz w:val="22"/>
                <w:szCs w:val="22"/>
              </w:rPr>
              <w:t>are</w:t>
            </w:r>
            <w:r w:rsidRPr="00DF1E2F">
              <w:rPr>
                <w:rFonts w:ascii="Baskerville" w:hAnsi="Baskerville" w:cs="Baskerville"/>
                <w:sz w:val="22"/>
                <w:szCs w:val="22"/>
              </w:rPr>
              <w:t xml:space="preserve"> not</w:t>
            </w:r>
            <w:r w:rsidR="00C959ED">
              <w:rPr>
                <w:rFonts w:ascii="Baskerville" w:hAnsi="Baskerville" w:cs="Baskerville"/>
                <w:sz w:val="22"/>
                <w:szCs w:val="22"/>
              </w:rPr>
              <w:t xml:space="preserve"> </w:t>
            </w:r>
            <w:r w:rsidR="00622DE0">
              <w:rPr>
                <w:rFonts w:ascii="Baskerville" w:hAnsi="Baskerville" w:cs="Baskerville"/>
                <w:sz w:val="22"/>
                <w:szCs w:val="22"/>
              </w:rPr>
              <w:t>adequate</w:t>
            </w:r>
            <w:r w:rsidRPr="00DF1E2F">
              <w:rPr>
                <w:rFonts w:ascii="Baskerville" w:hAnsi="Baskerville" w:cs="Baskerville"/>
                <w:sz w:val="22"/>
                <w:szCs w:val="22"/>
              </w:rPr>
              <w:t xml:space="preserve">. </w:t>
            </w:r>
            <w:r w:rsidR="00436C37">
              <w:rPr>
                <w:rFonts w:ascii="Baskerville" w:hAnsi="Baskerville" w:cs="Baskerville"/>
                <w:sz w:val="22"/>
                <w:szCs w:val="22"/>
              </w:rPr>
              <w:t>A f</w:t>
            </w:r>
            <w:r w:rsidR="00CA0137">
              <w:rPr>
                <w:rFonts w:ascii="Baskerville" w:hAnsi="Baskerville" w:cs="Baskerville"/>
                <w:sz w:val="22"/>
                <w:szCs w:val="22"/>
              </w:rPr>
              <w:t xml:space="preserve">uture </w:t>
            </w:r>
            <w:r w:rsidR="00436C37">
              <w:rPr>
                <w:rFonts w:ascii="Baskerville" w:hAnsi="Baskerville" w:cs="Baskerville"/>
                <w:sz w:val="22"/>
                <w:szCs w:val="22"/>
              </w:rPr>
              <w:t xml:space="preserve">rating of </w:t>
            </w:r>
            <w:r w:rsidR="009430CC">
              <w:rPr>
                <w:rFonts w:ascii="Baskerville" w:hAnsi="Baskerville" w:cs="Baskerville"/>
                <w:sz w:val="22"/>
                <w:szCs w:val="22"/>
              </w:rPr>
              <w:t>compliance</w:t>
            </w:r>
            <w:r w:rsidR="008B118D">
              <w:rPr>
                <w:rFonts w:ascii="Baskerville" w:hAnsi="Baskerville" w:cs="Baskerville"/>
                <w:sz w:val="22"/>
                <w:szCs w:val="22"/>
              </w:rPr>
              <w:t xml:space="preserve"> will require that the Commonwealth</w:t>
            </w:r>
            <w:r w:rsidR="009430CC">
              <w:rPr>
                <w:rFonts w:ascii="Baskerville" w:hAnsi="Baskerville" w:cs="Baskerville"/>
                <w:sz w:val="22"/>
                <w:szCs w:val="22"/>
              </w:rPr>
              <w:t xml:space="preserve"> </w:t>
            </w:r>
            <w:r w:rsidR="00156F9D">
              <w:rPr>
                <w:rFonts w:ascii="Baskerville" w:hAnsi="Baskerville" w:cs="Baskerville"/>
                <w:sz w:val="22"/>
                <w:szCs w:val="22"/>
              </w:rPr>
              <w:t>imp</w:t>
            </w:r>
            <w:r w:rsidR="008B118D">
              <w:rPr>
                <w:rFonts w:ascii="Baskerville" w:hAnsi="Baskerville" w:cs="Baskerville"/>
                <w:sz w:val="22"/>
                <w:szCs w:val="22"/>
              </w:rPr>
              <w:t>lement</w:t>
            </w:r>
            <w:r w:rsidR="00CA1506">
              <w:rPr>
                <w:rFonts w:ascii="Baskerville" w:hAnsi="Baskerville" w:cs="Baskerville"/>
                <w:sz w:val="22"/>
                <w:szCs w:val="22"/>
              </w:rPr>
              <w:t xml:space="preserve"> </w:t>
            </w:r>
            <w:r w:rsidR="00CA0137">
              <w:rPr>
                <w:rFonts w:ascii="Baskerville" w:hAnsi="Baskerville" w:cs="Baskerville"/>
                <w:sz w:val="22"/>
                <w:szCs w:val="22"/>
              </w:rPr>
              <w:t>investigation process</w:t>
            </w:r>
            <w:r w:rsidR="00B04F88">
              <w:rPr>
                <w:rFonts w:ascii="Baskerville" w:hAnsi="Baskerville" w:cs="Baskerville"/>
                <w:sz w:val="22"/>
                <w:szCs w:val="22"/>
              </w:rPr>
              <w:t>es</w:t>
            </w:r>
            <w:r w:rsidR="00CA0137">
              <w:rPr>
                <w:rFonts w:ascii="Baskerville" w:hAnsi="Baskerville" w:cs="Baskerville"/>
                <w:sz w:val="22"/>
                <w:szCs w:val="22"/>
              </w:rPr>
              <w:t xml:space="preserve"> and</w:t>
            </w:r>
            <w:r w:rsidR="00CA1506">
              <w:rPr>
                <w:rFonts w:ascii="Baskerville" w:hAnsi="Baskerville" w:cs="Baskerville"/>
                <w:sz w:val="22"/>
                <w:szCs w:val="22"/>
              </w:rPr>
              <w:t xml:space="preserve"> produce</w:t>
            </w:r>
            <w:r w:rsidR="00CA0137">
              <w:rPr>
                <w:rFonts w:ascii="Baskerville" w:hAnsi="Baskerville" w:cs="Baskerville"/>
                <w:sz w:val="22"/>
                <w:szCs w:val="22"/>
              </w:rPr>
              <w:t xml:space="preserve"> </w:t>
            </w:r>
            <w:r w:rsidR="009430CC">
              <w:rPr>
                <w:rFonts w:ascii="Baskerville" w:hAnsi="Baskerville" w:cs="Baskerville"/>
                <w:sz w:val="22"/>
                <w:szCs w:val="22"/>
              </w:rPr>
              <w:t>report</w:t>
            </w:r>
            <w:r w:rsidR="00C959ED">
              <w:rPr>
                <w:rFonts w:ascii="Baskerville" w:hAnsi="Baskerville" w:cs="Baskerville"/>
                <w:sz w:val="22"/>
                <w:szCs w:val="22"/>
              </w:rPr>
              <w:t>s</w:t>
            </w:r>
            <w:r w:rsidR="009430CC">
              <w:rPr>
                <w:rFonts w:ascii="Baskerville" w:hAnsi="Baskerville" w:cs="Baskerville"/>
                <w:sz w:val="22"/>
                <w:szCs w:val="22"/>
              </w:rPr>
              <w:t xml:space="preserve"> that meet</w:t>
            </w:r>
            <w:r w:rsidR="00436C37">
              <w:rPr>
                <w:rFonts w:ascii="Baskerville" w:hAnsi="Baskerville" w:cs="Baskerville"/>
                <w:sz w:val="22"/>
                <w:szCs w:val="22"/>
              </w:rPr>
              <w:t xml:space="preserve"> standards</w:t>
            </w:r>
            <w:r w:rsidR="009430CC">
              <w:rPr>
                <w:rFonts w:ascii="Baskerville" w:hAnsi="Baskerville" w:cs="Baskerville"/>
                <w:sz w:val="22"/>
                <w:szCs w:val="22"/>
              </w:rPr>
              <w:t xml:space="preserve"> and that</w:t>
            </w:r>
            <w:r w:rsidR="00C959ED">
              <w:rPr>
                <w:rFonts w:ascii="Baskerville" w:hAnsi="Baskerville" w:cs="Baskerville"/>
                <w:sz w:val="22"/>
                <w:szCs w:val="22"/>
              </w:rPr>
              <w:t xml:space="preserve"> identify</w:t>
            </w:r>
            <w:r w:rsidR="002C2C99">
              <w:rPr>
                <w:rFonts w:ascii="Baskerville" w:hAnsi="Baskerville" w:cs="Baskerville"/>
                <w:sz w:val="22"/>
                <w:szCs w:val="22"/>
              </w:rPr>
              <w:t xml:space="preserve"> remedial actions.</w:t>
            </w:r>
          </w:p>
        </w:tc>
      </w:tr>
      <w:tr w:rsidR="0083366F" w:rsidRPr="00DF1E2F" w:rsidTr="0094744A">
        <w:trPr>
          <w:trHeight w:val="2870"/>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V.C.4</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offer guidance and training to providers on proactively identifying and addressing risks of harm, conducting root cause analysis, and developing and monitoring corrective actions.</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3A25D3" w:rsidRDefault="003A25D3" w:rsidP="002A6816">
            <w:pPr>
              <w:tabs>
                <w:tab w:val="left" w:pos="1224"/>
                <w:tab w:val="left" w:pos="1440"/>
                <w:tab w:val="left" w:pos="4920"/>
                <w:tab w:val="right" w:pos="8640"/>
              </w:tabs>
              <w:ind w:left="-108" w:right="-108"/>
              <w:jc w:val="center"/>
              <w:rPr>
                <w:rFonts w:ascii="Baskerville" w:hAnsi="Baskerville" w:cs="Baskerville"/>
                <w:b/>
                <w:sz w:val="22"/>
                <w:szCs w:val="22"/>
              </w:rPr>
            </w:pPr>
          </w:p>
          <w:p w:rsidR="009C5EB1" w:rsidRDefault="0083366F" w:rsidP="002A6816">
            <w:pPr>
              <w:tabs>
                <w:tab w:val="left" w:pos="1224"/>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 xml:space="preserve">Non </w:t>
            </w:r>
          </w:p>
          <w:p w:rsidR="0083366F" w:rsidRPr="009C5EB1" w:rsidRDefault="0083366F" w:rsidP="002A6816">
            <w:pPr>
              <w:tabs>
                <w:tab w:val="left" w:pos="1224"/>
                <w:tab w:val="left" w:pos="1440"/>
                <w:tab w:val="left" w:pos="4920"/>
                <w:tab w:val="right" w:pos="8640"/>
              </w:tabs>
              <w:ind w:left="-108" w:right="-108"/>
              <w:jc w:val="center"/>
              <w:rPr>
                <w:rFonts w:ascii="Baskerville" w:hAnsi="Baskerville" w:cs="Baskerville"/>
                <w:sz w:val="22"/>
                <w:szCs w:val="22"/>
                <w:u w:val="single"/>
              </w:rPr>
            </w:pPr>
            <w:r w:rsidRPr="009C5EB1">
              <w:rPr>
                <w:rFonts w:ascii="Baskerville" w:hAnsi="Baskerville" w:cs="Baskerville"/>
                <w:sz w:val="22"/>
                <w:szCs w:val="22"/>
                <w:u w:val="single"/>
              </w:rPr>
              <w:t>Compliance</w:t>
            </w:r>
          </w:p>
          <w:p w:rsidR="0083366F" w:rsidRPr="00DF1E2F" w:rsidRDefault="0083366F" w:rsidP="00867A23">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E421E3">
            <w:pPr>
              <w:tabs>
                <w:tab w:val="left" w:pos="1440"/>
                <w:tab w:val="left" w:pos="4920"/>
                <w:tab w:val="right" w:pos="8640"/>
              </w:tabs>
              <w:ind w:left="-18" w:right="-108"/>
              <w:rPr>
                <w:rFonts w:ascii="Baskerville" w:hAnsi="Baskerville" w:cs="Baskerville"/>
                <w:sz w:val="22"/>
                <w:szCs w:val="22"/>
              </w:rPr>
            </w:pPr>
            <w:r w:rsidRPr="00DF1E2F">
              <w:rPr>
                <w:rFonts w:ascii="Baskerville" w:hAnsi="Baskerville" w:cs="Baskerville"/>
                <w:sz w:val="22"/>
                <w:szCs w:val="22"/>
              </w:rPr>
              <w:t>The Commonwealth has developed, but has not yet offered, the required trainings to providers.</w:t>
            </w:r>
            <w:r w:rsidR="00D21F97">
              <w:rPr>
                <w:rFonts w:ascii="Baskerville" w:hAnsi="Baskerville" w:cs="Baskerville"/>
                <w:sz w:val="22"/>
                <w:szCs w:val="22"/>
              </w:rPr>
              <w:t xml:space="preserve"> The</w:t>
            </w:r>
            <w:r w:rsidR="0043635D">
              <w:rPr>
                <w:rFonts w:ascii="Baskerville" w:hAnsi="Baskerville" w:cs="Baskerville"/>
                <w:sz w:val="22"/>
                <w:szCs w:val="22"/>
              </w:rPr>
              <w:t xml:space="preserve"> C</w:t>
            </w:r>
            <w:r w:rsidR="00D21F97">
              <w:rPr>
                <w:rFonts w:ascii="Baskerville" w:hAnsi="Baskerville" w:cs="Baskerville"/>
                <w:sz w:val="22"/>
                <w:szCs w:val="22"/>
              </w:rPr>
              <w:t xml:space="preserve">ommonwealth has drafted </w:t>
            </w:r>
            <w:r w:rsidR="0043635D">
              <w:rPr>
                <w:rFonts w:ascii="Baskerville" w:hAnsi="Baskerville" w:cs="Baskerville"/>
                <w:sz w:val="22"/>
                <w:szCs w:val="22"/>
              </w:rPr>
              <w:t>s</w:t>
            </w:r>
            <w:r w:rsidR="00D21F97">
              <w:rPr>
                <w:rFonts w:ascii="Baskerville" w:hAnsi="Baskerville" w:cs="Baskerville"/>
                <w:sz w:val="22"/>
                <w:szCs w:val="22"/>
              </w:rPr>
              <w:t>ta</w:t>
            </w:r>
            <w:r w:rsidR="0043635D">
              <w:rPr>
                <w:rFonts w:ascii="Baskerville" w:hAnsi="Baskerville" w:cs="Baskerville"/>
                <w:sz w:val="22"/>
                <w:szCs w:val="22"/>
              </w:rPr>
              <w:t xml:space="preserve">ndards for what constitutes </w:t>
            </w:r>
            <w:r w:rsidR="00C23488">
              <w:rPr>
                <w:rFonts w:ascii="Baskerville" w:hAnsi="Baskerville" w:cs="Baskerville"/>
                <w:sz w:val="22"/>
                <w:szCs w:val="22"/>
              </w:rPr>
              <w:t xml:space="preserve">a </w:t>
            </w:r>
            <w:r w:rsidR="007D57C3">
              <w:rPr>
                <w:rFonts w:ascii="Baskerville" w:hAnsi="Baskerville" w:cs="Baskerville"/>
                <w:sz w:val="22"/>
                <w:szCs w:val="22"/>
              </w:rPr>
              <w:t>trained investigator</w:t>
            </w:r>
            <w:r w:rsidR="0043635D">
              <w:rPr>
                <w:rFonts w:ascii="Baskerville" w:hAnsi="Baskerville" w:cs="Baskerville"/>
                <w:sz w:val="22"/>
                <w:szCs w:val="22"/>
              </w:rPr>
              <w:t>, an adequate investigation, and</w:t>
            </w:r>
            <w:r w:rsidR="007D57C3">
              <w:rPr>
                <w:rFonts w:ascii="Baskerville" w:hAnsi="Baskerville" w:cs="Baskerville"/>
                <w:sz w:val="22"/>
                <w:szCs w:val="22"/>
              </w:rPr>
              <w:t xml:space="preserve"> the components of an</w:t>
            </w:r>
            <w:r w:rsidR="00C23488">
              <w:rPr>
                <w:rFonts w:ascii="Baskerville" w:hAnsi="Baskerville" w:cs="Baskerville"/>
                <w:sz w:val="22"/>
                <w:szCs w:val="22"/>
              </w:rPr>
              <w:t xml:space="preserve"> investigation report. </w:t>
            </w:r>
            <w:r w:rsidR="008A6A16">
              <w:rPr>
                <w:rFonts w:ascii="Baskerville" w:hAnsi="Baskerville" w:cs="Baskerville"/>
                <w:sz w:val="22"/>
                <w:szCs w:val="22"/>
              </w:rPr>
              <w:t>August 2015</w:t>
            </w:r>
            <w:r w:rsidR="007D57C3">
              <w:rPr>
                <w:rFonts w:ascii="Baskerville" w:hAnsi="Baskerville" w:cs="Baskerville"/>
                <w:sz w:val="22"/>
                <w:szCs w:val="22"/>
              </w:rPr>
              <w:t xml:space="preserve"> is the expected implementation date</w:t>
            </w:r>
            <w:r w:rsidR="00712AD9">
              <w:rPr>
                <w:rFonts w:ascii="Baskerville" w:hAnsi="Baskerville" w:cs="Baskerville"/>
                <w:sz w:val="22"/>
                <w:szCs w:val="22"/>
              </w:rPr>
              <w:t>.</w:t>
            </w:r>
          </w:p>
        </w:tc>
      </w:tr>
      <w:tr w:rsidR="0083366F" w:rsidRPr="00DF1E2F" w:rsidTr="0094744A">
        <w:trPr>
          <w:trHeight w:val="2915"/>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V.C.5</w:t>
            </w:r>
          </w:p>
        </w:tc>
        <w:tc>
          <w:tcPr>
            <w:tcW w:w="4320" w:type="dxa"/>
          </w:tcPr>
          <w:p w:rsidR="0083366F" w:rsidRPr="00DF1E2F" w:rsidRDefault="0083366F" w:rsidP="00D37613">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conduct monthly mortality reviews for unexplained or unexpected deaths reported through its incident reporting system.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2A6816">
            <w:pPr>
              <w:tabs>
                <w:tab w:val="left" w:pos="1440"/>
                <w:tab w:val="left" w:pos="4920"/>
                <w:tab w:val="right" w:pos="8640"/>
              </w:tabs>
              <w:ind w:left="-108" w:right="-108"/>
              <w:jc w:val="center"/>
              <w:rPr>
                <w:rFonts w:ascii="Baskerville" w:hAnsi="Baskerville" w:cs="Baskerville"/>
                <w:sz w:val="22"/>
                <w:szCs w:val="22"/>
              </w:rPr>
            </w:pPr>
          </w:p>
          <w:p w:rsidR="00231864" w:rsidRDefault="0083366F" w:rsidP="002A6816">
            <w:pPr>
              <w:tabs>
                <w:tab w:val="left" w:pos="1440"/>
                <w:tab w:val="left" w:pos="4920"/>
                <w:tab w:val="right" w:pos="8640"/>
              </w:tabs>
              <w:ind w:left="-108" w:right="-108"/>
              <w:jc w:val="center"/>
              <w:rPr>
                <w:rFonts w:ascii="Baskerville" w:hAnsi="Baskerville" w:cs="Baskerville"/>
                <w:sz w:val="22"/>
                <w:szCs w:val="22"/>
                <w:u w:val="single"/>
              </w:rPr>
            </w:pPr>
            <w:r w:rsidRPr="00231864">
              <w:rPr>
                <w:rFonts w:ascii="Baskerville" w:hAnsi="Baskerville" w:cs="Baskerville"/>
                <w:sz w:val="22"/>
                <w:szCs w:val="22"/>
                <w:u w:val="single"/>
              </w:rPr>
              <w:t xml:space="preserve">Non </w:t>
            </w:r>
          </w:p>
          <w:p w:rsidR="0083366F" w:rsidRPr="00231864" w:rsidRDefault="0083366F" w:rsidP="002A6816">
            <w:pPr>
              <w:tabs>
                <w:tab w:val="left" w:pos="1440"/>
                <w:tab w:val="left" w:pos="4920"/>
                <w:tab w:val="right" w:pos="8640"/>
              </w:tabs>
              <w:ind w:left="-108" w:right="-108"/>
              <w:jc w:val="center"/>
              <w:rPr>
                <w:rFonts w:ascii="Baskerville" w:hAnsi="Baskerville" w:cs="Baskerville"/>
                <w:sz w:val="22"/>
                <w:szCs w:val="22"/>
                <w:u w:val="single"/>
              </w:rPr>
            </w:pPr>
            <w:r w:rsidRPr="00231864">
              <w:rPr>
                <w:rFonts w:ascii="Baskerville" w:hAnsi="Baskerville" w:cs="Baskerville"/>
                <w:sz w:val="22"/>
                <w:szCs w:val="22"/>
                <w:u w:val="single"/>
              </w:rPr>
              <w:t>Compliance</w:t>
            </w:r>
          </w:p>
          <w:p w:rsidR="0083366F" w:rsidRPr="00DF1E2F" w:rsidRDefault="0083366F" w:rsidP="002A681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2A681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2A6816">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2A681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1557CF">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A Mortality Revie</w:t>
            </w:r>
            <w:r w:rsidR="00592F28">
              <w:rPr>
                <w:rFonts w:ascii="Baskerville" w:hAnsi="Baskerville" w:cs="Baskerville"/>
                <w:sz w:val="22"/>
                <w:szCs w:val="22"/>
              </w:rPr>
              <w:t xml:space="preserve">w Committee completed </w:t>
            </w:r>
            <w:r w:rsidRPr="00DF1E2F">
              <w:rPr>
                <w:rFonts w:ascii="Baskerville" w:hAnsi="Baskerville" w:cs="Baskerville"/>
                <w:sz w:val="22"/>
                <w:szCs w:val="22"/>
              </w:rPr>
              <w:t>reviews of unexpected and unexplained deaths</w:t>
            </w:r>
            <w:r w:rsidR="001557CF">
              <w:rPr>
                <w:rFonts w:ascii="Baskerville" w:hAnsi="Baskerville" w:cs="Baskerville"/>
                <w:sz w:val="22"/>
                <w:szCs w:val="22"/>
              </w:rPr>
              <w:t>, as required</w:t>
            </w:r>
            <w:r w:rsidRPr="00DF1E2F">
              <w:rPr>
                <w:rFonts w:ascii="Baskerville" w:hAnsi="Baskerville" w:cs="Baskerville"/>
                <w:sz w:val="22"/>
                <w:szCs w:val="22"/>
              </w:rPr>
              <w:t xml:space="preserve">. Limited reporting requirements </w:t>
            </w:r>
            <w:r>
              <w:rPr>
                <w:rFonts w:ascii="Baskerville" w:hAnsi="Baskerville" w:cs="Baskerville"/>
                <w:sz w:val="22"/>
                <w:szCs w:val="22"/>
              </w:rPr>
              <w:t xml:space="preserve">and information flow </w:t>
            </w:r>
            <w:r w:rsidRPr="00DF1E2F">
              <w:rPr>
                <w:rFonts w:ascii="Baskerville" w:hAnsi="Baskerville" w:cs="Baskerville"/>
                <w:sz w:val="22"/>
                <w:szCs w:val="22"/>
              </w:rPr>
              <w:t>undermine</w:t>
            </w:r>
            <w:r w:rsidR="001557CF">
              <w:rPr>
                <w:rFonts w:ascii="Baskerville" w:hAnsi="Baskerville" w:cs="Baskerville"/>
                <w:sz w:val="22"/>
                <w:szCs w:val="22"/>
              </w:rPr>
              <w:t>d</w:t>
            </w:r>
            <w:r w:rsidRPr="00DF1E2F">
              <w:rPr>
                <w:rFonts w:ascii="Baskerville" w:hAnsi="Baskerville" w:cs="Baskerville"/>
                <w:sz w:val="22"/>
                <w:szCs w:val="22"/>
              </w:rPr>
              <w:t xml:space="preserve"> the ability to identify trends and to determine corrective actions to reduce mortality rates.</w:t>
            </w:r>
            <w:r w:rsidR="003A25D3">
              <w:rPr>
                <w:rFonts w:ascii="Baskerville" w:hAnsi="Baskerville" w:cs="Baskerville"/>
                <w:sz w:val="22"/>
                <w:szCs w:val="22"/>
              </w:rPr>
              <w:t xml:space="preserve"> </w:t>
            </w:r>
            <w:r w:rsidR="00CA1506">
              <w:rPr>
                <w:rFonts w:ascii="Baskerville" w:hAnsi="Baskerville" w:cs="Baskerville"/>
                <w:sz w:val="22"/>
                <w:szCs w:val="22"/>
              </w:rPr>
              <w:t>DBHDS has assigned a</w:t>
            </w:r>
            <w:r w:rsidR="002408C0">
              <w:rPr>
                <w:rFonts w:ascii="Baskerville" w:hAnsi="Baskerville" w:cs="Baskerville"/>
                <w:sz w:val="22"/>
                <w:szCs w:val="22"/>
              </w:rPr>
              <w:t xml:space="preserve"> nurse</w:t>
            </w:r>
            <w:r w:rsidR="00CA1506">
              <w:rPr>
                <w:rFonts w:ascii="Baskerville" w:hAnsi="Baskerville" w:cs="Baskerville"/>
                <w:sz w:val="22"/>
                <w:szCs w:val="22"/>
              </w:rPr>
              <w:t xml:space="preserve"> </w:t>
            </w:r>
            <w:r w:rsidR="001265EC">
              <w:rPr>
                <w:rFonts w:ascii="Baskerville" w:hAnsi="Baskerville" w:cs="Baskerville"/>
                <w:sz w:val="22"/>
                <w:szCs w:val="22"/>
              </w:rPr>
              <w:t>to assist and to</w:t>
            </w:r>
            <w:r w:rsidR="00CA1506">
              <w:rPr>
                <w:rFonts w:ascii="Baskerville" w:hAnsi="Baskerville" w:cs="Baskerville"/>
                <w:sz w:val="22"/>
                <w:szCs w:val="22"/>
              </w:rPr>
              <w:t xml:space="preserve"> gather</w:t>
            </w:r>
            <w:r w:rsidR="002408C0">
              <w:rPr>
                <w:rFonts w:ascii="Baskerville" w:hAnsi="Baskerville" w:cs="Baskerville"/>
                <w:sz w:val="22"/>
                <w:szCs w:val="22"/>
              </w:rPr>
              <w:t xml:space="preserve"> more information.</w:t>
            </w:r>
          </w:p>
        </w:tc>
      </w:tr>
      <w:tr w:rsidR="0083366F" w:rsidRPr="00DF1E2F" w:rsidTr="0094744A">
        <w:trPr>
          <w:trHeight w:val="2573"/>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V.C.6</w:t>
            </w:r>
          </w:p>
        </w:tc>
        <w:tc>
          <w:tcPr>
            <w:tcW w:w="4320" w:type="dxa"/>
          </w:tcPr>
          <w:p w:rsidR="0083366F" w:rsidRPr="00DF1E2F" w:rsidRDefault="0083366F" w:rsidP="00D37613">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If the Training Center, CSBs, or other community provider fails to report harms and implement corrective actions, the Commonwealth shall take appropriate action with the provider. </w:t>
            </w:r>
          </w:p>
        </w:tc>
        <w:tc>
          <w:tcPr>
            <w:tcW w:w="1440" w:type="dxa"/>
          </w:tcPr>
          <w:p w:rsidR="00DC4305"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231864" w:rsidRPr="00DF1E2F" w:rsidRDefault="00231864" w:rsidP="00DC4305">
            <w:pPr>
              <w:tabs>
                <w:tab w:val="left" w:pos="1440"/>
                <w:tab w:val="left" w:pos="4920"/>
                <w:tab w:val="right" w:pos="8640"/>
              </w:tabs>
              <w:ind w:left="-108" w:right="-108"/>
              <w:jc w:val="center"/>
              <w:rPr>
                <w:rFonts w:ascii="Baskerville" w:hAnsi="Baskerville" w:cs="Baskerville"/>
                <w:sz w:val="22"/>
                <w:szCs w:val="22"/>
              </w:rPr>
            </w:pPr>
          </w:p>
          <w:p w:rsidR="00231864" w:rsidRDefault="0083366F" w:rsidP="008C7619">
            <w:pPr>
              <w:tabs>
                <w:tab w:val="left" w:pos="1440"/>
                <w:tab w:val="left" w:pos="4920"/>
                <w:tab w:val="right" w:pos="8640"/>
              </w:tabs>
              <w:ind w:left="-108" w:right="-108"/>
              <w:jc w:val="center"/>
              <w:rPr>
                <w:rFonts w:ascii="Baskerville" w:hAnsi="Baskerville" w:cs="Baskerville"/>
                <w:sz w:val="22"/>
                <w:szCs w:val="22"/>
                <w:u w:val="single"/>
              </w:rPr>
            </w:pPr>
            <w:r w:rsidRPr="00231864">
              <w:rPr>
                <w:rFonts w:ascii="Baskerville" w:hAnsi="Baskerville" w:cs="Baskerville"/>
                <w:sz w:val="22"/>
                <w:szCs w:val="22"/>
                <w:u w:val="single"/>
              </w:rPr>
              <w:t xml:space="preserve">Non </w:t>
            </w:r>
          </w:p>
          <w:p w:rsidR="0083366F" w:rsidRPr="00231864" w:rsidRDefault="0083366F" w:rsidP="008C7619">
            <w:pPr>
              <w:tabs>
                <w:tab w:val="left" w:pos="1440"/>
                <w:tab w:val="left" w:pos="4920"/>
                <w:tab w:val="right" w:pos="8640"/>
              </w:tabs>
              <w:ind w:left="-108" w:right="-108"/>
              <w:jc w:val="center"/>
              <w:rPr>
                <w:rFonts w:ascii="Baskerville" w:hAnsi="Baskerville" w:cs="Baskerville"/>
                <w:sz w:val="22"/>
                <w:szCs w:val="22"/>
                <w:u w:val="single"/>
              </w:rPr>
            </w:pPr>
            <w:r w:rsidRPr="00231864">
              <w:rPr>
                <w:rFonts w:ascii="Baskerville" w:hAnsi="Baskerville" w:cs="Baskerville"/>
                <w:sz w:val="22"/>
                <w:szCs w:val="22"/>
                <w:u w:val="single"/>
              </w:rPr>
              <w:t>Compliance</w:t>
            </w:r>
          </w:p>
          <w:p w:rsidR="0083366F" w:rsidRPr="00DF1E2F" w:rsidRDefault="0083366F" w:rsidP="002A6816">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2A6816">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2A681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CA11A7" w:rsidP="00465CA9">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DBHDS</w:t>
            </w:r>
            <w:r w:rsidR="0083366F" w:rsidRPr="00DF1E2F">
              <w:rPr>
                <w:rFonts w:ascii="Baskerville" w:hAnsi="Baskerville" w:cs="Baskerville"/>
                <w:sz w:val="22"/>
                <w:szCs w:val="22"/>
              </w:rPr>
              <w:t xml:space="preserve"> is not able to take appropriate action because it cannot effectively utilize the mechanisms to sanction providers, beyond use of Corrective Action Plans and provisional status.</w:t>
            </w:r>
            <w:r w:rsidR="001E6AFB">
              <w:rPr>
                <w:rFonts w:ascii="Baskerville" w:hAnsi="Baskerville" w:cs="Baskerville"/>
                <w:sz w:val="22"/>
                <w:szCs w:val="22"/>
              </w:rPr>
              <w:t xml:space="preserve"> The Commonwealth reports</w:t>
            </w:r>
            <w:r w:rsidR="001265EC">
              <w:rPr>
                <w:rFonts w:ascii="Baskerville" w:hAnsi="Baskerville" w:cs="Baskerville"/>
                <w:sz w:val="22"/>
                <w:szCs w:val="22"/>
              </w:rPr>
              <w:t xml:space="preserve"> exploring options to utilize the sanctions process</w:t>
            </w:r>
            <w:r w:rsidR="001E6AFB">
              <w:rPr>
                <w:rFonts w:ascii="Baskerville" w:hAnsi="Baskerville" w:cs="Baskerville"/>
                <w:sz w:val="22"/>
                <w:szCs w:val="22"/>
              </w:rPr>
              <w:t>.</w:t>
            </w:r>
          </w:p>
        </w:tc>
      </w:tr>
      <w:tr w:rsidR="0083366F" w:rsidRPr="00DF1E2F" w:rsidTr="0094744A">
        <w:trPr>
          <w:trHeight w:val="2636"/>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V.D.1</w:t>
            </w:r>
          </w:p>
        </w:tc>
        <w:tc>
          <w:tcPr>
            <w:tcW w:w="4320" w:type="dxa"/>
          </w:tcPr>
          <w:p w:rsidR="0083366F" w:rsidRPr="00DF1E2F" w:rsidRDefault="0083366F" w:rsidP="005B5DB7">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Commonwealth’s HCBS waivers shall operate in accordance with the Commonwealth’s CMS-approved waiver quality improvement plan to ensure the needs of individuals enrolled in a waiver are met, that individuals have choice in all aspects of their selection of goals and supports, and that there</w:t>
            </w:r>
            <w:r w:rsidRPr="00353751">
              <w:rPr>
                <w:rFonts w:ascii="Baskerville" w:hAnsi="Baskerville" w:cs="Baskerville"/>
                <w:sz w:val="22"/>
                <w:szCs w:val="22"/>
              </w:rPr>
              <w:t xml:space="preserve"> are effective processes in place to monitor participant health and safety.  </w:t>
            </w:r>
          </w:p>
        </w:tc>
        <w:tc>
          <w:tcPr>
            <w:tcW w:w="1440" w:type="dxa"/>
          </w:tcPr>
          <w:p w:rsidR="002C2C99" w:rsidRDefault="00231864" w:rsidP="001D2EF2">
            <w:pPr>
              <w:tabs>
                <w:tab w:val="left" w:pos="702"/>
                <w:tab w:val="left" w:pos="4920"/>
                <w:tab w:val="right" w:pos="8640"/>
              </w:tabs>
              <w:ind w:left="-108" w:right="-108"/>
              <w:jc w:val="center"/>
              <w:rPr>
                <w:rFonts w:ascii="Baskerville" w:hAnsi="Baskerville" w:cs="Baskerville"/>
                <w:sz w:val="20"/>
                <w:szCs w:val="20"/>
              </w:rPr>
            </w:pPr>
            <w:r>
              <w:rPr>
                <w:rFonts w:ascii="Baskerville" w:hAnsi="Baskerville" w:cs="Baskerville"/>
                <w:sz w:val="22"/>
                <w:szCs w:val="22"/>
              </w:rPr>
              <w:t>(</w:t>
            </w:r>
            <w:r w:rsidRPr="00231864">
              <w:rPr>
                <w:rFonts w:ascii="Baskerville" w:hAnsi="Baskerville" w:cs="Baskerville"/>
                <w:sz w:val="20"/>
                <w:szCs w:val="20"/>
              </w:rPr>
              <w:t>Deferred)</w:t>
            </w:r>
          </w:p>
          <w:p w:rsidR="00195935" w:rsidRPr="00231864" w:rsidRDefault="00195935" w:rsidP="001D2EF2">
            <w:pPr>
              <w:tabs>
                <w:tab w:val="left" w:pos="702"/>
                <w:tab w:val="left" w:pos="4920"/>
                <w:tab w:val="right" w:pos="8640"/>
              </w:tabs>
              <w:ind w:left="-108" w:right="-108"/>
              <w:jc w:val="center"/>
              <w:rPr>
                <w:rFonts w:ascii="Baskerville" w:hAnsi="Baskerville" w:cs="Baskerville"/>
                <w:sz w:val="20"/>
                <w:szCs w:val="20"/>
              </w:rPr>
            </w:pPr>
          </w:p>
          <w:p w:rsidR="00245B0C" w:rsidRPr="00231864" w:rsidRDefault="00245B0C" w:rsidP="00245B0C">
            <w:pPr>
              <w:tabs>
                <w:tab w:val="left" w:pos="1440"/>
                <w:tab w:val="left" w:pos="4920"/>
                <w:tab w:val="right" w:pos="8640"/>
              </w:tabs>
              <w:ind w:left="-108" w:right="-108"/>
              <w:jc w:val="center"/>
              <w:rPr>
                <w:rFonts w:ascii="Baskerville" w:hAnsi="Baskerville" w:cs="Baskerville"/>
                <w:sz w:val="20"/>
                <w:szCs w:val="20"/>
                <w:u w:val="single"/>
              </w:rPr>
            </w:pPr>
            <w:r w:rsidRPr="00231864">
              <w:rPr>
                <w:rFonts w:ascii="Baskerville" w:hAnsi="Baskerville" w:cs="Baskerville"/>
                <w:sz w:val="20"/>
                <w:szCs w:val="20"/>
                <w:u w:val="single"/>
              </w:rPr>
              <w:t xml:space="preserve">Non </w:t>
            </w:r>
          </w:p>
          <w:p w:rsidR="00245B0C" w:rsidRPr="00231864" w:rsidRDefault="00231864" w:rsidP="00245B0C">
            <w:pPr>
              <w:tabs>
                <w:tab w:val="left" w:pos="1440"/>
                <w:tab w:val="left" w:pos="4920"/>
                <w:tab w:val="right" w:pos="8640"/>
              </w:tabs>
              <w:ind w:left="-108" w:right="-108"/>
              <w:jc w:val="center"/>
              <w:rPr>
                <w:rFonts w:ascii="Baskerville" w:hAnsi="Baskerville" w:cs="Baskerville"/>
                <w:sz w:val="20"/>
                <w:szCs w:val="20"/>
                <w:u w:val="single"/>
              </w:rPr>
            </w:pPr>
            <w:r w:rsidRPr="00231864">
              <w:rPr>
                <w:rFonts w:ascii="Baskerville" w:hAnsi="Baskerville" w:cs="Baskerville"/>
                <w:sz w:val="20"/>
                <w:szCs w:val="20"/>
                <w:u w:val="single"/>
              </w:rPr>
              <w:t>Compliance</w:t>
            </w:r>
          </w:p>
          <w:p w:rsidR="0083366F" w:rsidRPr="00DF1E2F" w:rsidRDefault="0083366F" w:rsidP="001D2EF2">
            <w:pPr>
              <w:tabs>
                <w:tab w:val="left" w:pos="702"/>
                <w:tab w:val="left" w:pos="4920"/>
                <w:tab w:val="right" w:pos="8640"/>
              </w:tabs>
              <w:ind w:left="-108" w:right="-108"/>
              <w:jc w:val="center"/>
              <w:rPr>
                <w:rFonts w:ascii="Baskerville" w:hAnsi="Baskerville" w:cs="Baskerville"/>
                <w:sz w:val="22"/>
                <w:szCs w:val="22"/>
              </w:rPr>
            </w:pPr>
          </w:p>
          <w:p w:rsidR="001E6AFB" w:rsidRDefault="001E6AFB" w:rsidP="00EA349E">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A349E">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 xml:space="preserve"> </w:t>
            </w:r>
          </w:p>
          <w:p w:rsidR="0083366F" w:rsidRPr="00DF1E2F" w:rsidRDefault="0083366F" w:rsidP="001D2EF2">
            <w:pPr>
              <w:tabs>
                <w:tab w:val="left" w:pos="702"/>
                <w:tab w:val="left" w:pos="4920"/>
                <w:tab w:val="right" w:pos="8640"/>
              </w:tabs>
              <w:ind w:left="-108" w:right="-108"/>
              <w:jc w:val="center"/>
              <w:rPr>
                <w:rFonts w:ascii="Baskerville" w:hAnsi="Baskerville" w:cs="Baskerville"/>
                <w:sz w:val="22"/>
                <w:szCs w:val="22"/>
              </w:rPr>
            </w:pPr>
          </w:p>
          <w:p w:rsidR="0083366F" w:rsidRPr="00DF1E2F" w:rsidRDefault="0083366F" w:rsidP="001D2EF2">
            <w:pPr>
              <w:tabs>
                <w:tab w:val="left" w:pos="702"/>
                <w:tab w:val="left" w:pos="4920"/>
                <w:tab w:val="right" w:pos="8640"/>
              </w:tabs>
              <w:ind w:left="-108" w:right="-108"/>
              <w:jc w:val="center"/>
              <w:rPr>
                <w:rFonts w:ascii="Baskerville" w:hAnsi="Baskerville" w:cs="Baskerville"/>
                <w:sz w:val="22"/>
                <w:szCs w:val="22"/>
              </w:rPr>
            </w:pPr>
          </w:p>
          <w:p w:rsidR="0083366F" w:rsidRPr="00DF1E2F" w:rsidRDefault="0083366F" w:rsidP="001D2EF2">
            <w:pPr>
              <w:tabs>
                <w:tab w:val="left" w:pos="702"/>
                <w:tab w:val="left" w:pos="4920"/>
                <w:tab w:val="right" w:pos="8640"/>
              </w:tabs>
              <w:ind w:left="-108" w:right="-108"/>
              <w:jc w:val="center"/>
              <w:rPr>
                <w:rFonts w:ascii="Baskerville" w:hAnsi="Baskerville" w:cs="Baskerville"/>
                <w:sz w:val="22"/>
                <w:szCs w:val="22"/>
              </w:rPr>
            </w:pPr>
          </w:p>
        </w:tc>
        <w:tc>
          <w:tcPr>
            <w:tcW w:w="2880" w:type="dxa"/>
          </w:tcPr>
          <w:p w:rsidR="0035369C" w:rsidRDefault="009C3E71" w:rsidP="000A5714">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 xml:space="preserve">The IR confirmed that </w:t>
            </w:r>
            <w:r w:rsidR="000C5B26">
              <w:rPr>
                <w:rFonts w:ascii="Baskerville" w:hAnsi="Baskerville" w:cs="Baskerville"/>
                <w:sz w:val="22"/>
                <w:szCs w:val="22"/>
              </w:rPr>
              <w:t>DBHDS revised its Informed Choice form</w:t>
            </w:r>
            <w:r>
              <w:rPr>
                <w:rFonts w:ascii="Baskerville" w:hAnsi="Baskerville" w:cs="Baskerville"/>
                <w:sz w:val="22"/>
                <w:szCs w:val="22"/>
              </w:rPr>
              <w:t xml:space="preserve"> and has</w:t>
            </w:r>
            <w:r w:rsidR="002A4C09">
              <w:rPr>
                <w:rFonts w:ascii="Baskerville" w:hAnsi="Baskerville" w:cs="Baskerville"/>
                <w:sz w:val="22"/>
                <w:szCs w:val="22"/>
              </w:rPr>
              <w:t xml:space="preserve"> implem</w:t>
            </w:r>
            <w:r w:rsidR="00D578A6">
              <w:rPr>
                <w:rFonts w:ascii="Baskerville" w:hAnsi="Baskerville" w:cs="Baskerville"/>
                <w:sz w:val="22"/>
                <w:szCs w:val="22"/>
              </w:rPr>
              <w:t>ent</w:t>
            </w:r>
            <w:r w:rsidR="000D0798">
              <w:rPr>
                <w:rFonts w:ascii="Baskerville" w:hAnsi="Baskerville" w:cs="Baskerville"/>
                <w:sz w:val="22"/>
                <w:szCs w:val="22"/>
              </w:rPr>
              <w:t>ed</w:t>
            </w:r>
            <w:r w:rsidR="00D578A6">
              <w:rPr>
                <w:rFonts w:ascii="Baskerville" w:hAnsi="Baskerville" w:cs="Baskerville"/>
                <w:sz w:val="22"/>
                <w:szCs w:val="22"/>
              </w:rPr>
              <w:t xml:space="preserve"> ISP changes. </w:t>
            </w:r>
          </w:p>
          <w:p w:rsidR="0083366F" w:rsidRPr="000B086E" w:rsidRDefault="00F62370" w:rsidP="000A5714">
            <w:pPr>
              <w:tabs>
                <w:tab w:val="left" w:pos="1440"/>
                <w:tab w:val="left" w:pos="4920"/>
                <w:tab w:val="right" w:pos="8640"/>
              </w:tabs>
              <w:ind w:right="-108"/>
              <w:rPr>
                <w:rFonts w:ascii="Baskerville" w:hAnsi="Baskerville" w:cs="Baskerville"/>
                <w:b/>
                <w:sz w:val="22"/>
                <w:szCs w:val="22"/>
              </w:rPr>
            </w:pPr>
            <w:r w:rsidRPr="00405722">
              <w:rPr>
                <w:rFonts w:ascii="MS Gothic" w:eastAsia="MS Gothic" w:hAnsi="MS Gothic"/>
                <w:color w:val="000000"/>
                <w:sz w:val="16"/>
                <w:szCs w:val="16"/>
              </w:rPr>
              <w:t>☐</w:t>
            </w:r>
            <w:r>
              <w:rPr>
                <w:rFonts w:ascii="MS Gothic" w:eastAsia="MS Gothic" w:hAnsi="MS Gothic"/>
                <w:color w:val="000000"/>
                <w:sz w:val="16"/>
                <w:szCs w:val="16"/>
              </w:rPr>
              <w:t xml:space="preserve"> </w:t>
            </w:r>
            <w:r w:rsidR="0035369C">
              <w:rPr>
                <w:rFonts w:ascii="Baskerville" w:hAnsi="Baskerville" w:cs="Baskerville"/>
                <w:sz w:val="22"/>
                <w:szCs w:val="22"/>
              </w:rPr>
              <w:t>25 (81%) of 31</w:t>
            </w:r>
            <w:r w:rsidR="00A54F42" w:rsidRPr="00A93D5C">
              <w:rPr>
                <w:rFonts w:ascii="Baskerville" w:hAnsi="Baskerville" w:cs="Baskerville"/>
                <w:sz w:val="22"/>
                <w:szCs w:val="22"/>
              </w:rPr>
              <w:t xml:space="preserve"> individuals / families interviewed knew that they had the choice of choosing /changing service providers, including the case manager.</w:t>
            </w:r>
            <w:r w:rsidR="00241528">
              <w:rPr>
                <w:rFonts w:ascii="Baskerville" w:hAnsi="Baskerville" w:cs="Baskerville"/>
                <w:b/>
                <w:sz w:val="22"/>
                <w:szCs w:val="22"/>
              </w:rPr>
              <w:t xml:space="preserve"> </w:t>
            </w:r>
          </w:p>
        </w:tc>
      </w:tr>
      <w:tr w:rsidR="0083366F" w:rsidRPr="00DF1E2F" w:rsidTr="0094744A">
        <w:trPr>
          <w:trHeight w:val="3815"/>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V.D.2.a-d</w:t>
            </w:r>
          </w:p>
        </w:tc>
        <w:tc>
          <w:tcPr>
            <w:tcW w:w="4320" w:type="dxa"/>
          </w:tcPr>
          <w:p w:rsidR="0083366F" w:rsidRPr="00DF1E2F" w:rsidRDefault="0083366F" w:rsidP="00756219">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collect and analyze consistent, reliable data to improve the availability and accessibility of services for individuals in the target population and the quality of services offered to individuals receiving services under this Agreement.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7C19C6" w:rsidRDefault="007C19C6" w:rsidP="006D6855">
            <w:pPr>
              <w:tabs>
                <w:tab w:val="left" w:pos="1440"/>
                <w:tab w:val="left" w:pos="4920"/>
                <w:tab w:val="right" w:pos="8640"/>
              </w:tabs>
              <w:ind w:left="-108" w:right="-108"/>
              <w:jc w:val="center"/>
              <w:rPr>
                <w:rFonts w:ascii="Baskerville" w:hAnsi="Baskerville" w:cs="Baskerville"/>
                <w:b/>
                <w:sz w:val="22"/>
                <w:szCs w:val="22"/>
              </w:rPr>
            </w:pPr>
          </w:p>
          <w:p w:rsidR="00195935" w:rsidRDefault="0083366F" w:rsidP="006D6855">
            <w:pPr>
              <w:tabs>
                <w:tab w:val="left" w:pos="1440"/>
                <w:tab w:val="left" w:pos="4920"/>
                <w:tab w:val="right" w:pos="8640"/>
              </w:tabs>
              <w:ind w:left="-108" w:right="-108"/>
              <w:jc w:val="center"/>
              <w:rPr>
                <w:rFonts w:ascii="Baskerville" w:hAnsi="Baskerville" w:cs="Baskerville"/>
                <w:sz w:val="22"/>
                <w:szCs w:val="22"/>
                <w:u w:val="single"/>
              </w:rPr>
            </w:pPr>
            <w:r w:rsidRPr="00195935">
              <w:rPr>
                <w:rFonts w:ascii="Baskerville" w:hAnsi="Baskerville" w:cs="Baskerville"/>
                <w:sz w:val="22"/>
                <w:szCs w:val="22"/>
                <w:u w:val="single"/>
              </w:rPr>
              <w:t xml:space="preserve">Non </w:t>
            </w:r>
          </w:p>
          <w:p w:rsidR="0083366F" w:rsidRPr="00195935" w:rsidRDefault="0083366F" w:rsidP="006D6855">
            <w:pPr>
              <w:tabs>
                <w:tab w:val="left" w:pos="1440"/>
                <w:tab w:val="left" w:pos="4920"/>
                <w:tab w:val="right" w:pos="8640"/>
              </w:tabs>
              <w:ind w:left="-108" w:right="-108"/>
              <w:jc w:val="center"/>
              <w:rPr>
                <w:rFonts w:ascii="Baskerville" w:hAnsi="Baskerville" w:cs="Baskerville"/>
                <w:sz w:val="22"/>
                <w:szCs w:val="22"/>
                <w:u w:val="single"/>
              </w:rPr>
            </w:pPr>
            <w:r w:rsidRPr="00195935">
              <w:rPr>
                <w:rFonts w:ascii="Baskerville" w:hAnsi="Baskerville" w:cs="Baskerville"/>
                <w:sz w:val="22"/>
                <w:szCs w:val="22"/>
                <w:u w:val="single"/>
              </w:rPr>
              <w:t>Compliance</w:t>
            </w: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0D0798" w:rsidP="00546D79">
            <w:pPr>
              <w:rPr>
                <w:rFonts w:ascii="Baskerville" w:hAnsi="Baskerville" w:cs="Baskerville"/>
                <w:sz w:val="22"/>
                <w:szCs w:val="22"/>
              </w:rPr>
            </w:pPr>
            <w:r>
              <w:rPr>
                <w:rFonts w:ascii="Baskerville" w:hAnsi="Baskerville" w:cs="Baskerville"/>
                <w:sz w:val="22"/>
                <w:szCs w:val="22"/>
              </w:rPr>
              <w:t xml:space="preserve">The IR found that </w:t>
            </w:r>
            <w:r w:rsidR="0083366F" w:rsidRPr="00DF1E2F">
              <w:rPr>
                <w:rFonts w:ascii="Baskerville" w:hAnsi="Baskerville" w:cs="Baskerville"/>
                <w:sz w:val="22"/>
                <w:szCs w:val="22"/>
              </w:rPr>
              <w:t>data are not available, not reliably collected, not consistently provided, or do n</w:t>
            </w:r>
            <w:r>
              <w:rPr>
                <w:rFonts w:ascii="Baskerville" w:hAnsi="Baskerville" w:cs="Baskerville"/>
                <w:sz w:val="22"/>
                <w:szCs w:val="22"/>
              </w:rPr>
              <w:t xml:space="preserve">ot </w:t>
            </w:r>
            <w:r w:rsidR="00BC32F6">
              <w:rPr>
                <w:rFonts w:ascii="Baskerville" w:hAnsi="Baskerville" w:cs="Baskerville"/>
                <w:sz w:val="22"/>
                <w:szCs w:val="22"/>
              </w:rPr>
              <w:t xml:space="preserve">represent an adequate sample for </w:t>
            </w:r>
            <w:r w:rsidRPr="00DF1E2F">
              <w:rPr>
                <w:rFonts w:ascii="Baskerville" w:hAnsi="Baskerville" w:cs="Baskerville"/>
                <w:sz w:val="22"/>
                <w:szCs w:val="22"/>
              </w:rPr>
              <w:t>employment, case management, crisis services, invest</w:t>
            </w:r>
            <w:r w:rsidR="004A1691">
              <w:rPr>
                <w:rFonts w:ascii="Baskerville" w:hAnsi="Baskerville" w:cs="Baskerville"/>
                <w:sz w:val="22"/>
                <w:szCs w:val="22"/>
              </w:rPr>
              <w:t>igations, and mortality reviews.</w:t>
            </w:r>
            <w:r w:rsidRPr="00DF1E2F">
              <w:rPr>
                <w:rFonts w:ascii="Baskerville" w:hAnsi="Baskerville" w:cs="Baskerville"/>
                <w:sz w:val="22"/>
                <w:szCs w:val="22"/>
              </w:rPr>
              <w:t xml:space="preserve"> </w:t>
            </w:r>
            <w:r w:rsidR="0025641B">
              <w:rPr>
                <w:rFonts w:ascii="Baskerville" w:hAnsi="Baskerville" w:cs="Baskerville"/>
                <w:sz w:val="22"/>
                <w:szCs w:val="22"/>
              </w:rPr>
              <w:t xml:space="preserve">The Commonwealth </w:t>
            </w:r>
            <w:r w:rsidR="00BC32F6">
              <w:rPr>
                <w:rFonts w:ascii="Baskerville" w:hAnsi="Baskerville" w:cs="Baskerville"/>
                <w:sz w:val="22"/>
                <w:szCs w:val="22"/>
              </w:rPr>
              <w:t xml:space="preserve">has </w:t>
            </w:r>
            <w:r w:rsidR="0025641B">
              <w:rPr>
                <w:rFonts w:ascii="Baskerville" w:hAnsi="Baskerville" w:cs="Baskerville"/>
                <w:sz w:val="22"/>
                <w:szCs w:val="22"/>
              </w:rPr>
              <w:t xml:space="preserve">established </w:t>
            </w:r>
            <w:r w:rsidR="00A40127">
              <w:rPr>
                <w:rFonts w:ascii="Baskerville" w:hAnsi="Baskerville" w:cs="Baskerville"/>
                <w:sz w:val="22"/>
                <w:szCs w:val="22"/>
              </w:rPr>
              <w:t xml:space="preserve">a work group </w:t>
            </w:r>
            <w:r w:rsidR="0025641B">
              <w:rPr>
                <w:rFonts w:ascii="Baskerville" w:hAnsi="Baskerville" w:cs="Baskerville"/>
                <w:sz w:val="22"/>
                <w:szCs w:val="22"/>
              </w:rPr>
              <w:t>with CSB representatives</w:t>
            </w:r>
            <w:r w:rsidR="00A40127">
              <w:rPr>
                <w:rFonts w:ascii="Baskerville" w:hAnsi="Baskerville" w:cs="Baskerville"/>
                <w:sz w:val="22"/>
                <w:szCs w:val="22"/>
              </w:rPr>
              <w:t xml:space="preserve"> to identify improvement</w:t>
            </w:r>
            <w:r w:rsidR="006E4EBD">
              <w:rPr>
                <w:rFonts w:ascii="Baskerville" w:hAnsi="Baskerville" w:cs="Baskerville"/>
                <w:sz w:val="22"/>
                <w:szCs w:val="22"/>
              </w:rPr>
              <w:t>s. New systems are reported to have been implemented</w:t>
            </w:r>
            <w:r w:rsidR="00712AD9">
              <w:rPr>
                <w:rFonts w:ascii="Baskerville" w:hAnsi="Baskerville" w:cs="Baskerville"/>
                <w:sz w:val="22"/>
                <w:szCs w:val="22"/>
              </w:rPr>
              <w:t xml:space="preserve">, but </w:t>
            </w:r>
            <w:r w:rsidR="00A40127">
              <w:rPr>
                <w:rFonts w:ascii="Baskerville" w:hAnsi="Baskerville" w:cs="Baskerville"/>
                <w:sz w:val="22"/>
                <w:szCs w:val="22"/>
              </w:rPr>
              <w:t>not yet evaluated</w:t>
            </w:r>
            <w:r w:rsidR="00546D79">
              <w:rPr>
                <w:rFonts w:ascii="Baskerville" w:hAnsi="Baskerville" w:cs="Baskerville"/>
                <w:sz w:val="22"/>
                <w:szCs w:val="22"/>
              </w:rPr>
              <w:t>.</w:t>
            </w:r>
          </w:p>
        </w:tc>
      </w:tr>
      <w:tr w:rsidR="0083366F" w:rsidRPr="00DF1E2F" w:rsidTr="0094744A">
        <w:trPr>
          <w:trHeight w:val="3356"/>
        </w:trPr>
        <w:tc>
          <w:tcPr>
            <w:tcW w:w="1530" w:type="dxa"/>
            <w:vAlign w:val="center"/>
          </w:tcPr>
          <w:p w:rsidR="0083366F" w:rsidRPr="00DF1E2F" w:rsidRDefault="0083366F" w:rsidP="001F3B37">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V.D.3.a-h</w:t>
            </w:r>
          </w:p>
        </w:tc>
        <w:tc>
          <w:tcPr>
            <w:tcW w:w="4320" w:type="dxa"/>
          </w:tcPr>
          <w:p w:rsidR="0083366F" w:rsidRPr="00DF1E2F" w:rsidRDefault="0083366F" w:rsidP="00412C1B">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begin collecting and analyzing reliable data about individuals receiving services under this Agreement selected from the following areas in State Fiscal Year 2012 and will ensure reliable data is collected and analyzed from each of these areas by June 30, 2014.  Multiple types of sources (e.g., providers, case managers, licensing, risk management, Quality Service Reviews) can provide data in each area, though any individual type of source need not provide data in every area (as specified):</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6E743B" w:rsidRDefault="006E743B" w:rsidP="002C5B86">
            <w:pPr>
              <w:tabs>
                <w:tab w:val="left" w:pos="1440"/>
                <w:tab w:val="left" w:pos="4920"/>
                <w:tab w:val="right" w:pos="8640"/>
              </w:tabs>
              <w:ind w:left="-108" w:right="-108"/>
              <w:jc w:val="center"/>
              <w:rPr>
                <w:rFonts w:ascii="Baskerville" w:hAnsi="Baskerville" w:cs="Baskerville"/>
                <w:b/>
                <w:sz w:val="22"/>
                <w:szCs w:val="22"/>
              </w:rPr>
            </w:pPr>
          </w:p>
          <w:p w:rsidR="0083366F" w:rsidRPr="005B7CFE" w:rsidRDefault="0083366F" w:rsidP="002C5B86">
            <w:pPr>
              <w:tabs>
                <w:tab w:val="left" w:pos="1440"/>
                <w:tab w:val="left" w:pos="4920"/>
                <w:tab w:val="right" w:pos="8640"/>
              </w:tabs>
              <w:ind w:left="-108" w:right="-108"/>
              <w:jc w:val="center"/>
              <w:rPr>
                <w:rFonts w:ascii="Baskerville" w:hAnsi="Baskerville" w:cs="Baskerville"/>
                <w:sz w:val="22"/>
                <w:szCs w:val="22"/>
                <w:u w:val="single"/>
              </w:rPr>
            </w:pPr>
            <w:r w:rsidRPr="005B7CFE">
              <w:rPr>
                <w:rFonts w:ascii="Baskerville" w:hAnsi="Baskerville" w:cs="Baskerville"/>
                <w:sz w:val="22"/>
                <w:szCs w:val="22"/>
                <w:u w:val="single"/>
              </w:rPr>
              <w:t>Non</w:t>
            </w:r>
          </w:p>
          <w:p w:rsidR="0083366F" w:rsidRPr="005B7CFE" w:rsidRDefault="0083366F" w:rsidP="002C5B86">
            <w:pPr>
              <w:tabs>
                <w:tab w:val="left" w:pos="1440"/>
                <w:tab w:val="left" w:pos="4920"/>
                <w:tab w:val="right" w:pos="8640"/>
              </w:tabs>
              <w:ind w:left="-108" w:right="-108"/>
              <w:jc w:val="center"/>
              <w:rPr>
                <w:rFonts w:ascii="Baskerville" w:hAnsi="Baskerville" w:cs="Baskerville"/>
                <w:sz w:val="22"/>
                <w:szCs w:val="22"/>
                <w:u w:val="single"/>
              </w:rPr>
            </w:pPr>
            <w:r w:rsidRPr="005B7CFE">
              <w:rPr>
                <w:rFonts w:ascii="Baskerville" w:hAnsi="Baskerville" w:cs="Baskerville"/>
                <w:sz w:val="22"/>
                <w:szCs w:val="22"/>
                <w:u w:val="single"/>
              </w:rPr>
              <w:t>Compliance</w:t>
            </w: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D685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0C0F31">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The Commonwealth began collecting and</w:t>
            </w:r>
            <w:r>
              <w:rPr>
                <w:rFonts w:ascii="Baskerville" w:hAnsi="Baskerville" w:cs="Baskerville"/>
                <w:sz w:val="22"/>
                <w:szCs w:val="22"/>
              </w:rPr>
              <w:t xml:space="preserve"> analyzing information in </w:t>
            </w:r>
            <w:r w:rsidR="0002663C">
              <w:rPr>
                <w:rFonts w:ascii="Baskerville" w:hAnsi="Baskerville" w:cs="Baskerville"/>
                <w:sz w:val="22"/>
                <w:szCs w:val="22"/>
              </w:rPr>
              <w:t xml:space="preserve">FY </w:t>
            </w:r>
            <w:r w:rsidRPr="00DF1E2F">
              <w:rPr>
                <w:rFonts w:ascii="Baskerville" w:hAnsi="Baskerville" w:cs="Baskerville"/>
                <w:sz w:val="22"/>
                <w:szCs w:val="22"/>
              </w:rPr>
              <w:t>2012. Data collection for some measures began as of June 30, 20</w:t>
            </w:r>
            <w:r w:rsidR="002919F7">
              <w:rPr>
                <w:rFonts w:ascii="Baskerville" w:hAnsi="Baskerville" w:cs="Baskerville"/>
                <w:sz w:val="22"/>
                <w:szCs w:val="22"/>
              </w:rPr>
              <w:t>14</w:t>
            </w:r>
            <w:r w:rsidR="00DC1680">
              <w:rPr>
                <w:rFonts w:ascii="Baskerville" w:hAnsi="Baskerville" w:cs="Baskerville"/>
                <w:sz w:val="22"/>
                <w:szCs w:val="22"/>
              </w:rPr>
              <w:t xml:space="preserve">.For other </w:t>
            </w:r>
            <w:r w:rsidR="006A2283">
              <w:rPr>
                <w:rFonts w:ascii="Baskerville" w:hAnsi="Baskerville" w:cs="Baskerville"/>
                <w:sz w:val="22"/>
                <w:szCs w:val="22"/>
              </w:rPr>
              <w:t>measures</w:t>
            </w:r>
            <w:r w:rsidR="00DC1680">
              <w:rPr>
                <w:rFonts w:ascii="Baskerville" w:hAnsi="Baskerville" w:cs="Baskerville"/>
                <w:sz w:val="22"/>
                <w:szCs w:val="22"/>
              </w:rPr>
              <w:t>, it has not begun</w:t>
            </w:r>
            <w:r w:rsidR="00C2717A">
              <w:rPr>
                <w:rFonts w:ascii="Baskerville" w:hAnsi="Baskerville" w:cs="Baskerville"/>
                <w:sz w:val="22"/>
                <w:szCs w:val="22"/>
              </w:rPr>
              <w:t xml:space="preserve">. </w:t>
            </w:r>
            <w:r w:rsidR="00816F68">
              <w:rPr>
                <w:rFonts w:ascii="Baskerville" w:hAnsi="Baskerville" w:cs="Baskerville"/>
                <w:sz w:val="22"/>
                <w:szCs w:val="22"/>
              </w:rPr>
              <w:t xml:space="preserve">Case management, </w:t>
            </w:r>
            <w:r w:rsidRPr="00DF1E2F">
              <w:rPr>
                <w:rFonts w:ascii="Baskerville" w:hAnsi="Baskerville" w:cs="Baskerville"/>
                <w:sz w:val="22"/>
                <w:szCs w:val="22"/>
              </w:rPr>
              <w:t xml:space="preserve">employment </w:t>
            </w:r>
            <w:r w:rsidR="00816F68">
              <w:rPr>
                <w:rFonts w:ascii="Baskerville" w:hAnsi="Baskerville" w:cs="Baskerville"/>
                <w:sz w:val="22"/>
                <w:szCs w:val="22"/>
              </w:rPr>
              <w:t xml:space="preserve">and crisis </w:t>
            </w:r>
            <w:r w:rsidRPr="00DF1E2F">
              <w:rPr>
                <w:rFonts w:ascii="Baskerville" w:hAnsi="Baskerville" w:cs="Baskerville"/>
                <w:sz w:val="22"/>
                <w:szCs w:val="22"/>
              </w:rPr>
              <w:t xml:space="preserve">data are </w:t>
            </w:r>
            <w:r>
              <w:rPr>
                <w:rFonts w:ascii="Baskerville" w:hAnsi="Baskerville" w:cs="Baskerville"/>
                <w:sz w:val="22"/>
                <w:szCs w:val="22"/>
              </w:rPr>
              <w:t xml:space="preserve">not </w:t>
            </w:r>
            <w:r w:rsidRPr="00DF1E2F">
              <w:rPr>
                <w:rFonts w:ascii="Baskerville" w:hAnsi="Baskerville" w:cs="Baskerville"/>
                <w:sz w:val="22"/>
                <w:szCs w:val="22"/>
              </w:rPr>
              <w:t xml:space="preserve">complete </w:t>
            </w:r>
            <w:r>
              <w:rPr>
                <w:rFonts w:ascii="Baskerville" w:hAnsi="Baskerville" w:cs="Baskerville"/>
                <w:sz w:val="22"/>
                <w:szCs w:val="22"/>
              </w:rPr>
              <w:t>or reliable</w:t>
            </w:r>
            <w:r w:rsidRPr="00DF1E2F">
              <w:rPr>
                <w:rFonts w:ascii="Baskerville" w:hAnsi="Baskerville" w:cs="Baskerville"/>
                <w:sz w:val="22"/>
                <w:szCs w:val="22"/>
              </w:rPr>
              <w:t xml:space="preserve">. </w:t>
            </w:r>
            <w:r w:rsidR="0041004D">
              <w:rPr>
                <w:rFonts w:ascii="Baskerville" w:hAnsi="Baskerville" w:cs="Baskerville"/>
                <w:sz w:val="22"/>
                <w:szCs w:val="22"/>
              </w:rPr>
              <w:t xml:space="preserve">DBHDS </w:t>
            </w:r>
            <w:r w:rsidR="00FD4947">
              <w:rPr>
                <w:rFonts w:ascii="Baskerville" w:hAnsi="Baskerville" w:cs="Baskerville"/>
                <w:sz w:val="22"/>
                <w:szCs w:val="22"/>
              </w:rPr>
              <w:t xml:space="preserve">has begun a </w:t>
            </w:r>
            <w:r w:rsidR="006E743B">
              <w:rPr>
                <w:rFonts w:ascii="Baskerville" w:hAnsi="Baskerville" w:cs="Baskerville"/>
                <w:sz w:val="22"/>
                <w:szCs w:val="22"/>
              </w:rPr>
              <w:t xml:space="preserve">promising </w:t>
            </w:r>
            <w:r w:rsidR="00A40127">
              <w:rPr>
                <w:rFonts w:ascii="Baskerville" w:hAnsi="Baskerville" w:cs="Baskerville"/>
                <w:sz w:val="22"/>
                <w:szCs w:val="22"/>
              </w:rPr>
              <w:t>new method of collecting</w:t>
            </w:r>
            <w:r w:rsidR="00FD4947">
              <w:rPr>
                <w:rFonts w:ascii="Baskerville" w:hAnsi="Baskerville" w:cs="Baskerville"/>
                <w:sz w:val="22"/>
                <w:szCs w:val="22"/>
              </w:rPr>
              <w:t xml:space="preserve"> emplo</w:t>
            </w:r>
            <w:r w:rsidR="00A40127">
              <w:rPr>
                <w:rFonts w:ascii="Baskerville" w:hAnsi="Baskerville" w:cs="Baskerville"/>
                <w:sz w:val="22"/>
                <w:szCs w:val="22"/>
              </w:rPr>
              <w:t>yment data</w:t>
            </w:r>
            <w:r w:rsidR="006E743B">
              <w:rPr>
                <w:rFonts w:ascii="Baskerville" w:hAnsi="Baskerville" w:cs="Baskerville"/>
                <w:sz w:val="22"/>
                <w:szCs w:val="22"/>
              </w:rPr>
              <w:t>.</w:t>
            </w:r>
          </w:p>
        </w:tc>
      </w:tr>
      <w:tr w:rsidR="0083366F" w:rsidRPr="00DF1E2F" w:rsidTr="0094744A">
        <w:trPr>
          <w:trHeight w:val="2510"/>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V.D.4</w:t>
            </w:r>
          </w:p>
        </w:tc>
        <w:tc>
          <w:tcPr>
            <w:tcW w:w="4320" w:type="dxa"/>
          </w:tcPr>
          <w:p w:rsidR="0083366F" w:rsidRDefault="0083366F" w:rsidP="00C64D52">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collect and analyze data from available sources, including the risk management system described in …(specified sections of the Agreement).</w:t>
            </w:r>
          </w:p>
          <w:p w:rsidR="00B82254" w:rsidRPr="00DF1E2F" w:rsidRDefault="00B82254" w:rsidP="00C64D52">
            <w:pPr>
              <w:pStyle w:val="ListParagraph"/>
              <w:ind w:left="0"/>
              <w:contextualSpacing w:val="0"/>
              <w:rPr>
                <w:rFonts w:ascii="Baskerville" w:hAnsi="Baskerville" w:cs="Baskerville"/>
                <w:sz w:val="22"/>
                <w:szCs w:val="22"/>
              </w:rPr>
            </w:pP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A40127" w:rsidRDefault="00A40127" w:rsidP="002C5B86">
            <w:pPr>
              <w:tabs>
                <w:tab w:val="left" w:pos="1440"/>
                <w:tab w:val="left" w:pos="4920"/>
                <w:tab w:val="right" w:pos="8640"/>
              </w:tabs>
              <w:ind w:left="-108" w:right="-108"/>
              <w:jc w:val="center"/>
              <w:rPr>
                <w:rFonts w:ascii="Baskerville" w:hAnsi="Baskerville" w:cs="Baskerville"/>
                <w:b/>
                <w:sz w:val="22"/>
                <w:szCs w:val="22"/>
              </w:rPr>
            </w:pPr>
          </w:p>
          <w:p w:rsidR="0083366F" w:rsidRPr="00047234" w:rsidRDefault="0083366F" w:rsidP="002C5B86">
            <w:pPr>
              <w:tabs>
                <w:tab w:val="left" w:pos="1440"/>
                <w:tab w:val="left" w:pos="4920"/>
                <w:tab w:val="right" w:pos="8640"/>
              </w:tabs>
              <w:ind w:left="-108" w:right="-108"/>
              <w:jc w:val="center"/>
              <w:rPr>
                <w:rFonts w:ascii="Baskerville" w:hAnsi="Baskerville" w:cs="Baskerville"/>
                <w:sz w:val="22"/>
                <w:szCs w:val="22"/>
                <w:u w:val="single"/>
              </w:rPr>
            </w:pPr>
            <w:r w:rsidRPr="00047234">
              <w:rPr>
                <w:rFonts w:ascii="Baskerville" w:hAnsi="Baskerville" w:cs="Baskerville"/>
                <w:sz w:val="22"/>
                <w:szCs w:val="22"/>
                <w:u w:val="single"/>
              </w:rPr>
              <w:t>Non</w:t>
            </w:r>
          </w:p>
          <w:p w:rsidR="0083366F" w:rsidRPr="00047234" w:rsidRDefault="0083366F" w:rsidP="00AE3FB3">
            <w:pPr>
              <w:tabs>
                <w:tab w:val="left" w:pos="1440"/>
                <w:tab w:val="left" w:pos="4920"/>
                <w:tab w:val="right" w:pos="8640"/>
              </w:tabs>
              <w:ind w:left="-108" w:right="-108"/>
              <w:jc w:val="center"/>
              <w:rPr>
                <w:rFonts w:ascii="Baskerville" w:hAnsi="Baskerville" w:cs="Baskerville"/>
                <w:sz w:val="22"/>
                <w:szCs w:val="22"/>
                <w:u w:val="single"/>
              </w:rPr>
            </w:pPr>
            <w:r w:rsidRPr="00047234">
              <w:rPr>
                <w:rFonts w:ascii="Baskerville" w:hAnsi="Baskerville" w:cs="Baskerville"/>
                <w:sz w:val="22"/>
                <w:szCs w:val="22"/>
                <w:u w:val="single"/>
              </w:rPr>
              <w:t>Compliance</w:t>
            </w:r>
          </w:p>
          <w:p w:rsidR="0083366F" w:rsidRPr="00DF1E2F" w:rsidRDefault="0083366F" w:rsidP="00AE3FB3">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067874" w:rsidRPr="00DF1E2F" w:rsidRDefault="0083366F" w:rsidP="00F61439">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w:t>
            </w:r>
            <w:r w:rsidR="00FE3A95">
              <w:rPr>
                <w:rFonts w:ascii="Baskerville" w:hAnsi="Baskerville" w:cs="Baskerville"/>
                <w:sz w:val="22"/>
                <w:szCs w:val="22"/>
              </w:rPr>
              <w:t xml:space="preserve">IR found that the </w:t>
            </w:r>
            <w:r w:rsidRPr="00DF1E2F">
              <w:rPr>
                <w:rFonts w:ascii="Baskerville" w:hAnsi="Baskerville" w:cs="Baskerville"/>
                <w:sz w:val="22"/>
                <w:szCs w:val="22"/>
              </w:rPr>
              <w:t xml:space="preserve">data collected </w:t>
            </w:r>
            <w:r w:rsidR="00FE3A95">
              <w:rPr>
                <w:rFonts w:ascii="Baskerville" w:hAnsi="Baskerville" w:cs="Baskerville"/>
                <w:sz w:val="22"/>
                <w:szCs w:val="22"/>
              </w:rPr>
              <w:t xml:space="preserve">by DBHDS </w:t>
            </w:r>
            <w:r w:rsidR="0041004D" w:rsidRPr="00DF1E2F">
              <w:rPr>
                <w:rFonts w:ascii="Baskerville" w:hAnsi="Baskerville" w:cs="Baskerville"/>
                <w:sz w:val="22"/>
                <w:szCs w:val="22"/>
              </w:rPr>
              <w:t xml:space="preserve">are frequently incomplete </w:t>
            </w:r>
            <w:r w:rsidR="0041004D">
              <w:rPr>
                <w:rFonts w:ascii="Baskerville" w:hAnsi="Baskerville" w:cs="Baskerville"/>
                <w:sz w:val="22"/>
                <w:szCs w:val="22"/>
              </w:rPr>
              <w:t xml:space="preserve">or </w:t>
            </w:r>
            <w:r w:rsidR="0041004D" w:rsidRPr="00DF1E2F">
              <w:rPr>
                <w:rFonts w:ascii="Baskerville" w:hAnsi="Baskerville" w:cs="Baskerville"/>
                <w:sz w:val="22"/>
                <w:szCs w:val="22"/>
              </w:rPr>
              <w:t>not reliable</w:t>
            </w:r>
            <w:r w:rsidR="0041004D">
              <w:rPr>
                <w:rFonts w:ascii="Baskerville" w:hAnsi="Baskerville" w:cs="Baskerville"/>
                <w:sz w:val="22"/>
                <w:szCs w:val="22"/>
              </w:rPr>
              <w:t xml:space="preserve"> </w:t>
            </w:r>
            <w:r w:rsidR="00F61439">
              <w:rPr>
                <w:rFonts w:ascii="Baskerville" w:hAnsi="Baskerville" w:cs="Baskerville"/>
                <w:sz w:val="22"/>
                <w:szCs w:val="22"/>
              </w:rPr>
              <w:t xml:space="preserve">and </w:t>
            </w:r>
            <w:r w:rsidR="00E277A9">
              <w:rPr>
                <w:rFonts w:ascii="Baskerville" w:hAnsi="Baskerville" w:cs="Baskerville"/>
                <w:sz w:val="22"/>
                <w:szCs w:val="22"/>
              </w:rPr>
              <w:t xml:space="preserve">could </w:t>
            </w:r>
            <w:r w:rsidRPr="00DF1E2F">
              <w:rPr>
                <w:rFonts w:ascii="Baskerville" w:hAnsi="Baskerville" w:cs="Baskerville"/>
                <w:sz w:val="22"/>
                <w:szCs w:val="22"/>
              </w:rPr>
              <w:t>not b</w:t>
            </w:r>
            <w:r w:rsidR="00F61439">
              <w:rPr>
                <w:rFonts w:ascii="Baskerville" w:hAnsi="Baskerville" w:cs="Baskerville"/>
                <w:sz w:val="22"/>
                <w:szCs w:val="22"/>
              </w:rPr>
              <w:t xml:space="preserve">e effectively analyzed. DBHDS </w:t>
            </w:r>
            <w:r w:rsidR="00342D26">
              <w:rPr>
                <w:rFonts w:ascii="Baskerville" w:hAnsi="Baskerville" w:cs="Baskerville"/>
                <w:sz w:val="22"/>
                <w:szCs w:val="22"/>
              </w:rPr>
              <w:t xml:space="preserve">reports that it </w:t>
            </w:r>
            <w:r w:rsidR="00974ECD">
              <w:rPr>
                <w:rFonts w:ascii="Baskerville" w:hAnsi="Baskerville" w:cs="Baskerville"/>
                <w:sz w:val="22"/>
                <w:szCs w:val="22"/>
              </w:rPr>
              <w:t>implemented</w:t>
            </w:r>
            <w:r w:rsidR="00B76CFC">
              <w:rPr>
                <w:rFonts w:ascii="Baskerville" w:hAnsi="Baskerville" w:cs="Baskerville"/>
                <w:sz w:val="22"/>
                <w:szCs w:val="22"/>
              </w:rPr>
              <w:t xml:space="preserve"> a new </w:t>
            </w:r>
            <w:r w:rsidR="00E17CA4">
              <w:rPr>
                <w:rFonts w:ascii="Baskerville" w:hAnsi="Baskerville" w:cs="Baskerville"/>
                <w:sz w:val="22"/>
                <w:szCs w:val="22"/>
              </w:rPr>
              <w:t>risk management</w:t>
            </w:r>
            <w:r w:rsidR="00D23C8D">
              <w:rPr>
                <w:rFonts w:ascii="Baskerville" w:hAnsi="Baskerville" w:cs="Baskerville"/>
                <w:sz w:val="22"/>
                <w:szCs w:val="22"/>
              </w:rPr>
              <w:t xml:space="preserve"> </w:t>
            </w:r>
            <w:r w:rsidR="00592FBB">
              <w:rPr>
                <w:rFonts w:ascii="Baskerville" w:hAnsi="Baskerville" w:cs="Baskerville"/>
                <w:sz w:val="22"/>
                <w:szCs w:val="22"/>
              </w:rPr>
              <w:t>report and expects f</w:t>
            </w:r>
            <w:r w:rsidR="00974ECD">
              <w:rPr>
                <w:rFonts w:ascii="Baskerville" w:hAnsi="Baskerville" w:cs="Baskerville"/>
                <w:sz w:val="22"/>
                <w:szCs w:val="22"/>
              </w:rPr>
              <w:t>utu</w:t>
            </w:r>
            <w:r w:rsidR="00592FBB">
              <w:rPr>
                <w:rFonts w:ascii="Baskerville" w:hAnsi="Baskerville" w:cs="Baskerville"/>
                <w:sz w:val="22"/>
                <w:szCs w:val="22"/>
              </w:rPr>
              <w:t xml:space="preserve">re summary reports </w:t>
            </w:r>
            <w:r w:rsidR="00974ECD">
              <w:rPr>
                <w:rFonts w:ascii="Baskerville" w:hAnsi="Baskerville" w:cs="Baskerville"/>
                <w:sz w:val="22"/>
                <w:szCs w:val="22"/>
              </w:rPr>
              <w:t xml:space="preserve">to </w:t>
            </w:r>
            <w:r w:rsidR="00E17CA4">
              <w:rPr>
                <w:rFonts w:ascii="Baskerville" w:hAnsi="Baskerville" w:cs="Baskerville"/>
                <w:sz w:val="22"/>
                <w:szCs w:val="22"/>
              </w:rPr>
              <w:t>include more detailed information</w:t>
            </w:r>
            <w:r w:rsidR="00974ECD">
              <w:rPr>
                <w:rFonts w:ascii="Baskerville" w:hAnsi="Baskerville" w:cs="Baskerville"/>
                <w:sz w:val="22"/>
                <w:szCs w:val="22"/>
              </w:rPr>
              <w:t xml:space="preserve">. </w:t>
            </w:r>
          </w:p>
        </w:tc>
      </w:tr>
      <w:tr w:rsidR="0083366F" w:rsidRPr="00DF1E2F" w:rsidTr="0094744A">
        <w:trPr>
          <w:trHeight w:val="2321"/>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V.D.5</w:t>
            </w:r>
          </w:p>
        </w:tc>
        <w:tc>
          <w:tcPr>
            <w:tcW w:w="4320" w:type="dxa"/>
          </w:tcPr>
          <w:p w:rsidR="0083366F" w:rsidRPr="00DF1E2F" w:rsidRDefault="0083366F" w:rsidP="003E68DE">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implement Regional Quality Councils that shall be responsible for assessing relevant data, identifying trends, and recommending responsive actions in their respective Regions of the Commonwealth.</w:t>
            </w:r>
          </w:p>
          <w:p w:rsidR="0083366F" w:rsidRPr="00DF1E2F" w:rsidRDefault="0083366F" w:rsidP="003469B9">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 </w:t>
            </w:r>
          </w:p>
        </w:tc>
        <w:tc>
          <w:tcPr>
            <w:tcW w:w="1440" w:type="dxa"/>
          </w:tcPr>
          <w:p w:rsidR="00245B0C" w:rsidRPr="00B859E2" w:rsidRDefault="00047234" w:rsidP="00245B0C">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(Deferred</w:t>
            </w:r>
            <w:r w:rsidR="00245B0C" w:rsidRPr="00B859E2">
              <w:rPr>
                <w:rFonts w:ascii="Baskerville" w:hAnsi="Baskerville" w:cs="Baskerville"/>
                <w:sz w:val="20"/>
                <w:szCs w:val="20"/>
              </w:rPr>
              <w:t>)</w:t>
            </w:r>
          </w:p>
          <w:p w:rsidR="0083366F" w:rsidRPr="00DF1E2F" w:rsidRDefault="0083366F" w:rsidP="0009449F">
            <w:pPr>
              <w:tabs>
                <w:tab w:val="left" w:pos="1440"/>
                <w:tab w:val="left" w:pos="4920"/>
                <w:tab w:val="right" w:pos="8640"/>
              </w:tabs>
              <w:ind w:left="-108" w:right="-108"/>
              <w:jc w:val="center"/>
              <w:rPr>
                <w:rFonts w:ascii="Baskerville" w:hAnsi="Baskerville" w:cs="Baskerville"/>
                <w:b/>
                <w:sz w:val="22"/>
                <w:szCs w:val="22"/>
              </w:rPr>
            </w:pPr>
          </w:p>
          <w:p w:rsidR="00047234" w:rsidRDefault="00047234" w:rsidP="002E0A1D">
            <w:pPr>
              <w:tabs>
                <w:tab w:val="left" w:pos="1440"/>
                <w:tab w:val="left" w:pos="4920"/>
                <w:tab w:val="right" w:pos="8640"/>
              </w:tabs>
              <w:ind w:left="-108" w:right="-108"/>
              <w:jc w:val="center"/>
              <w:rPr>
                <w:rFonts w:ascii="Baskerville" w:hAnsi="Baskerville" w:cs="Baskerville"/>
                <w:sz w:val="22"/>
                <w:szCs w:val="22"/>
                <w:u w:val="single"/>
              </w:rPr>
            </w:pPr>
            <w:r w:rsidRPr="00047234">
              <w:rPr>
                <w:rFonts w:ascii="Baskerville" w:hAnsi="Baskerville" w:cs="Baskerville"/>
                <w:sz w:val="22"/>
                <w:szCs w:val="22"/>
                <w:u w:val="single"/>
              </w:rPr>
              <w:t>Non</w:t>
            </w:r>
          </w:p>
          <w:p w:rsidR="0083366F" w:rsidRPr="00047234" w:rsidRDefault="00047234" w:rsidP="002E0A1D">
            <w:pPr>
              <w:tabs>
                <w:tab w:val="left" w:pos="1440"/>
                <w:tab w:val="left" w:pos="4920"/>
                <w:tab w:val="right" w:pos="8640"/>
              </w:tabs>
              <w:ind w:left="-108" w:right="-108"/>
              <w:jc w:val="center"/>
              <w:rPr>
                <w:rFonts w:ascii="Baskerville" w:hAnsi="Baskerville" w:cs="Baskerville"/>
                <w:sz w:val="22"/>
                <w:szCs w:val="22"/>
                <w:u w:val="single"/>
              </w:rPr>
            </w:pPr>
            <w:r w:rsidRPr="00047234">
              <w:rPr>
                <w:rFonts w:ascii="Baskerville" w:hAnsi="Baskerville" w:cs="Baskerville"/>
                <w:sz w:val="22"/>
                <w:szCs w:val="22"/>
                <w:u w:val="single"/>
              </w:rPr>
              <w:t xml:space="preserve"> </w:t>
            </w:r>
            <w:r w:rsidR="0083366F" w:rsidRPr="00047234">
              <w:rPr>
                <w:rFonts w:ascii="Baskerville" w:hAnsi="Baskerville" w:cs="Baskerville"/>
                <w:sz w:val="22"/>
                <w:szCs w:val="22"/>
                <w:u w:val="single"/>
              </w:rPr>
              <w:t>Compliance</w:t>
            </w:r>
          </w:p>
          <w:p w:rsidR="0083366F" w:rsidRDefault="0083366F" w:rsidP="002E0A1D">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30A29">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E30A29">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067874" w:rsidRPr="00DF1E2F" w:rsidRDefault="00E277A9" w:rsidP="00C5662E">
            <w:pPr>
              <w:tabs>
                <w:tab w:val="left" w:pos="1440"/>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The IR confirmed that </w:t>
            </w:r>
            <w:r w:rsidR="0083366F" w:rsidRPr="00DF1E2F">
              <w:rPr>
                <w:rFonts w:ascii="Baskerville" w:hAnsi="Baskerville" w:cs="Baskerville"/>
                <w:sz w:val="22"/>
                <w:szCs w:val="22"/>
              </w:rPr>
              <w:t xml:space="preserve">Regional Quality Councils </w:t>
            </w:r>
            <w:r w:rsidR="009D442F">
              <w:rPr>
                <w:rFonts w:ascii="Baskerville" w:hAnsi="Baskerville" w:cs="Baskerville"/>
                <w:sz w:val="22"/>
                <w:szCs w:val="22"/>
              </w:rPr>
              <w:t>met twi</w:t>
            </w:r>
            <w:r>
              <w:rPr>
                <w:rFonts w:ascii="Baskerville" w:hAnsi="Baskerville" w:cs="Baskerville"/>
                <w:sz w:val="22"/>
                <w:szCs w:val="22"/>
              </w:rPr>
              <w:t>ce during the sixth</w:t>
            </w:r>
            <w:r w:rsidR="00656A02">
              <w:rPr>
                <w:rFonts w:ascii="Baskerville" w:hAnsi="Baskerville" w:cs="Baskerville"/>
                <w:sz w:val="22"/>
                <w:szCs w:val="22"/>
              </w:rPr>
              <w:t xml:space="preserve"> review period, </w:t>
            </w:r>
            <w:r w:rsidR="006A2283">
              <w:rPr>
                <w:rFonts w:ascii="Baskerville" w:hAnsi="Baskerville" w:cs="Baskerville"/>
                <w:sz w:val="22"/>
                <w:szCs w:val="22"/>
              </w:rPr>
              <w:t>received</w:t>
            </w:r>
            <w:r w:rsidR="006B1F58">
              <w:rPr>
                <w:rFonts w:ascii="Baskerville" w:hAnsi="Baskerville" w:cs="Baskerville"/>
                <w:sz w:val="22"/>
                <w:szCs w:val="22"/>
              </w:rPr>
              <w:t xml:space="preserve"> a presentation from the Employment Coor</w:t>
            </w:r>
            <w:r w:rsidR="00A22082">
              <w:rPr>
                <w:rFonts w:ascii="Baskerville" w:hAnsi="Baskerville" w:cs="Baskerville"/>
                <w:sz w:val="22"/>
                <w:szCs w:val="22"/>
              </w:rPr>
              <w:t xml:space="preserve">dinator/ </w:t>
            </w:r>
            <w:r w:rsidR="006B1F58">
              <w:rPr>
                <w:rFonts w:ascii="Baskerville" w:hAnsi="Baskerville" w:cs="Baskerville"/>
                <w:sz w:val="22"/>
                <w:szCs w:val="22"/>
              </w:rPr>
              <w:t xml:space="preserve">SELN liaison, </w:t>
            </w:r>
            <w:r w:rsidR="00A22082">
              <w:rPr>
                <w:rFonts w:ascii="Baskerville" w:hAnsi="Baskerville" w:cs="Baskerville"/>
                <w:sz w:val="22"/>
                <w:szCs w:val="22"/>
              </w:rPr>
              <w:t>reviewed</w:t>
            </w:r>
            <w:r w:rsidR="009D442F">
              <w:rPr>
                <w:rFonts w:ascii="Baskerville" w:hAnsi="Baskerville" w:cs="Baskerville"/>
                <w:sz w:val="22"/>
                <w:szCs w:val="22"/>
              </w:rPr>
              <w:t xml:space="preserve"> employment</w:t>
            </w:r>
            <w:r w:rsidR="00841C3B">
              <w:rPr>
                <w:rFonts w:ascii="Baskerville" w:hAnsi="Baskerville" w:cs="Baskerville"/>
                <w:sz w:val="22"/>
                <w:szCs w:val="22"/>
              </w:rPr>
              <w:t xml:space="preserve"> data</w:t>
            </w:r>
            <w:r w:rsidR="000935C6">
              <w:rPr>
                <w:rFonts w:ascii="Baskerville" w:hAnsi="Baskerville" w:cs="Baskerville"/>
                <w:sz w:val="22"/>
                <w:szCs w:val="22"/>
              </w:rPr>
              <w:t>,</w:t>
            </w:r>
            <w:r w:rsidR="00841C3B">
              <w:rPr>
                <w:rFonts w:ascii="Baskerville" w:hAnsi="Baskerville" w:cs="Baskerville"/>
                <w:sz w:val="22"/>
                <w:szCs w:val="22"/>
              </w:rPr>
              <w:t xml:space="preserve"> and</w:t>
            </w:r>
            <w:r w:rsidR="009D442F">
              <w:rPr>
                <w:rFonts w:ascii="Baskerville" w:hAnsi="Baskerville" w:cs="Baskerville"/>
                <w:sz w:val="22"/>
                <w:szCs w:val="22"/>
              </w:rPr>
              <w:t xml:space="preserve"> </w:t>
            </w:r>
            <w:r w:rsidR="00D0497C">
              <w:rPr>
                <w:rFonts w:ascii="Baskerville" w:hAnsi="Baskerville" w:cs="Baskerville"/>
                <w:sz w:val="22"/>
                <w:szCs w:val="22"/>
              </w:rPr>
              <w:t>recommended</w:t>
            </w:r>
            <w:r w:rsidR="00203FB6">
              <w:rPr>
                <w:rFonts w:ascii="Baskerville" w:hAnsi="Baskerville" w:cs="Baskerville"/>
                <w:sz w:val="22"/>
                <w:szCs w:val="22"/>
              </w:rPr>
              <w:t xml:space="preserve"> actions</w:t>
            </w:r>
            <w:r w:rsidR="00A22082">
              <w:rPr>
                <w:rFonts w:ascii="Baskerville" w:hAnsi="Baskerville" w:cs="Baskerville"/>
                <w:sz w:val="22"/>
                <w:szCs w:val="22"/>
              </w:rPr>
              <w:t xml:space="preserve">. </w:t>
            </w:r>
          </w:p>
        </w:tc>
      </w:tr>
      <w:tr w:rsidR="0083366F" w:rsidRPr="00DF1E2F" w:rsidTr="0094744A">
        <w:trPr>
          <w:trHeight w:val="1331"/>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V.D.5.a</w:t>
            </w:r>
          </w:p>
        </w:tc>
        <w:tc>
          <w:tcPr>
            <w:tcW w:w="4320" w:type="dxa"/>
          </w:tcPr>
          <w:p w:rsidR="0083366F" w:rsidRPr="00DF1E2F" w:rsidRDefault="0083366F" w:rsidP="00656A02">
            <w:pPr>
              <w:widowControl w:val="0"/>
              <w:numPr>
                <w:ilvl w:val="0"/>
                <w:numId w:val="35"/>
              </w:numPr>
              <w:tabs>
                <w:tab w:val="left" w:pos="220"/>
              </w:tabs>
              <w:autoSpaceDE w:val="0"/>
              <w:autoSpaceDN w:val="0"/>
              <w:adjustRightInd w:val="0"/>
              <w:ind w:left="0" w:firstLine="0"/>
              <w:rPr>
                <w:rFonts w:ascii="Baskerville" w:hAnsi="Baskerville" w:cs="Baskerville"/>
                <w:sz w:val="22"/>
                <w:szCs w:val="22"/>
              </w:rPr>
            </w:pPr>
            <w:r w:rsidRPr="00DF1E2F">
              <w:rPr>
                <w:rFonts w:ascii="Baskerville" w:hAnsi="Baskerville" w:cs="Baskerville"/>
                <w:iCs/>
                <w:sz w:val="22"/>
                <w:szCs w:val="22"/>
              </w:rPr>
              <w:t>The councils shall include individuals experienced in data analysis, residential and other providers, CSBs, individuals receiving services, and families, and may incl</w:t>
            </w:r>
            <w:r w:rsidR="0047329E">
              <w:rPr>
                <w:rFonts w:ascii="Baskerville" w:hAnsi="Baskerville" w:cs="Baskerville"/>
                <w:iCs/>
                <w:sz w:val="22"/>
                <w:szCs w:val="22"/>
              </w:rPr>
              <w:t xml:space="preserve">ude other relevant </w:t>
            </w:r>
            <w:r w:rsidR="00993BEE">
              <w:rPr>
                <w:rFonts w:ascii="Baskerville" w:hAnsi="Baskerville" w:cs="Baskerville"/>
                <w:iCs/>
                <w:sz w:val="22"/>
                <w:szCs w:val="22"/>
              </w:rPr>
              <w:t>stake</w:t>
            </w:r>
            <w:r w:rsidR="0047329E">
              <w:rPr>
                <w:rFonts w:ascii="Baskerville" w:hAnsi="Baskerville" w:cs="Baskerville"/>
                <w:iCs/>
                <w:sz w:val="22"/>
                <w:szCs w:val="22"/>
              </w:rPr>
              <w:t>holders.</w:t>
            </w:r>
          </w:p>
        </w:tc>
        <w:tc>
          <w:tcPr>
            <w:tcW w:w="1440" w:type="dxa"/>
          </w:tcPr>
          <w:p w:rsidR="0083366F" w:rsidRPr="007C2A74" w:rsidRDefault="007C2A74" w:rsidP="00172CF2">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Pr="007C2A74">
              <w:rPr>
                <w:rFonts w:ascii="Baskerville" w:hAnsi="Baskerville" w:cs="Baskerville"/>
                <w:sz w:val="20"/>
                <w:szCs w:val="20"/>
              </w:rPr>
              <w:t>Deferred</w:t>
            </w:r>
            <w:r>
              <w:rPr>
                <w:rFonts w:ascii="Baskerville" w:hAnsi="Baskerville" w:cs="Baskerville"/>
                <w:sz w:val="20"/>
                <w:szCs w:val="20"/>
              </w:rPr>
              <w:t>)</w:t>
            </w:r>
          </w:p>
          <w:p w:rsidR="00245B0C" w:rsidRDefault="00245B0C" w:rsidP="00245B0C">
            <w:pPr>
              <w:tabs>
                <w:tab w:val="left" w:pos="1440"/>
                <w:tab w:val="left" w:pos="4920"/>
                <w:tab w:val="right" w:pos="8640"/>
              </w:tabs>
              <w:ind w:left="-108" w:right="-108"/>
              <w:jc w:val="center"/>
              <w:rPr>
                <w:rFonts w:ascii="Baskerville" w:hAnsi="Baskerville" w:cs="Baskerville"/>
                <w:sz w:val="20"/>
                <w:szCs w:val="20"/>
                <w:u w:val="single"/>
              </w:rPr>
            </w:pPr>
            <w:r w:rsidRPr="007C2A74">
              <w:rPr>
                <w:rFonts w:ascii="Baskerville" w:hAnsi="Baskerville" w:cs="Baskerville"/>
                <w:sz w:val="20"/>
                <w:szCs w:val="20"/>
                <w:u w:val="single"/>
              </w:rPr>
              <w:t xml:space="preserve">Non </w:t>
            </w:r>
            <w:r w:rsidR="007C2A74" w:rsidRPr="007C2A74">
              <w:rPr>
                <w:rFonts w:ascii="Baskerville" w:hAnsi="Baskerville" w:cs="Baskerville"/>
                <w:sz w:val="20"/>
                <w:szCs w:val="20"/>
                <w:u w:val="single"/>
              </w:rPr>
              <w:t>Compliance</w:t>
            </w:r>
          </w:p>
          <w:p w:rsidR="00D03089" w:rsidRPr="007C2A74" w:rsidRDefault="00D03089" w:rsidP="00245B0C">
            <w:pPr>
              <w:tabs>
                <w:tab w:val="left" w:pos="1440"/>
                <w:tab w:val="left" w:pos="4920"/>
                <w:tab w:val="right" w:pos="8640"/>
              </w:tabs>
              <w:ind w:left="-108" w:right="-108"/>
              <w:jc w:val="center"/>
              <w:rPr>
                <w:rFonts w:ascii="Baskerville" w:hAnsi="Baskerville" w:cs="Baskerville"/>
                <w:sz w:val="20"/>
                <w:szCs w:val="20"/>
                <w:u w:val="single"/>
              </w:rPr>
            </w:pPr>
          </w:p>
          <w:p w:rsidR="0083366F" w:rsidRPr="00DF1E2F" w:rsidRDefault="0083366F" w:rsidP="0047329E">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tc>
        <w:tc>
          <w:tcPr>
            <w:tcW w:w="2880" w:type="dxa"/>
          </w:tcPr>
          <w:p w:rsidR="0083366F" w:rsidRPr="00146DDD" w:rsidRDefault="00C205F4" w:rsidP="00146DDD">
            <w:pPr>
              <w:tabs>
                <w:tab w:val="left" w:pos="1440"/>
                <w:tab w:val="left" w:pos="2772"/>
                <w:tab w:val="left" w:pos="4920"/>
                <w:tab w:val="right" w:pos="8640"/>
              </w:tabs>
              <w:rPr>
                <w:rFonts w:ascii="Baskerville" w:hAnsi="Baskerville" w:cs="Baskerville"/>
                <w:sz w:val="22"/>
                <w:szCs w:val="22"/>
              </w:rPr>
            </w:pPr>
            <w:r w:rsidRPr="00146DDD">
              <w:rPr>
                <w:rFonts w:ascii="Baskerville" w:hAnsi="Baskerville" w:cs="Baskerville"/>
                <w:sz w:val="22"/>
                <w:szCs w:val="22"/>
              </w:rPr>
              <w:t xml:space="preserve">The </w:t>
            </w:r>
            <w:r w:rsidR="0083366F" w:rsidRPr="00146DDD">
              <w:rPr>
                <w:rFonts w:ascii="Baskerville" w:hAnsi="Baskerville" w:cs="Baskerville"/>
                <w:sz w:val="22"/>
                <w:szCs w:val="22"/>
              </w:rPr>
              <w:t>five Re</w:t>
            </w:r>
            <w:r w:rsidR="00146DDD" w:rsidRPr="00146DDD">
              <w:rPr>
                <w:rFonts w:ascii="Baskerville" w:hAnsi="Baskerville" w:cs="Baskerville"/>
                <w:sz w:val="22"/>
                <w:szCs w:val="22"/>
              </w:rPr>
              <w:t xml:space="preserve">gional Quality Councils now include </w:t>
            </w:r>
            <w:r w:rsidR="0083366F" w:rsidRPr="00146DDD">
              <w:rPr>
                <w:rFonts w:ascii="Baskerville" w:hAnsi="Baskerville" w:cs="Baskerville"/>
                <w:sz w:val="22"/>
                <w:szCs w:val="22"/>
              </w:rPr>
              <w:t xml:space="preserve">all the required members. </w:t>
            </w:r>
          </w:p>
        </w:tc>
      </w:tr>
      <w:tr w:rsidR="0083366F" w:rsidRPr="00DF1E2F" w:rsidTr="0094744A">
        <w:trPr>
          <w:trHeight w:val="386"/>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V.D.5.b</w:t>
            </w:r>
          </w:p>
        </w:tc>
        <w:tc>
          <w:tcPr>
            <w:tcW w:w="4320" w:type="dxa"/>
          </w:tcPr>
          <w:p w:rsidR="0083366F" w:rsidRPr="00DF1E2F" w:rsidRDefault="0083366F" w:rsidP="00BB5024">
            <w:pPr>
              <w:widowControl w:val="0"/>
              <w:numPr>
                <w:ilvl w:val="0"/>
                <w:numId w:val="35"/>
              </w:numPr>
              <w:tabs>
                <w:tab w:val="left" w:pos="220"/>
                <w:tab w:val="left" w:pos="252"/>
              </w:tabs>
              <w:autoSpaceDE w:val="0"/>
              <w:autoSpaceDN w:val="0"/>
              <w:adjustRightInd w:val="0"/>
              <w:spacing w:after="320"/>
              <w:ind w:left="0" w:hanging="18"/>
              <w:rPr>
                <w:rFonts w:ascii="Baskerville" w:hAnsi="Baskerville" w:cs="Baskerville"/>
                <w:sz w:val="22"/>
                <w:szCs w:val="22"/>
              </w:rPr>
            </w:pPr>
            <w:r w:rsidRPr="00DF1E2F">
              <w:rPr>
                <w:rFonts w:ascii="Baskerville" w:hAnsi="Baskerville" w:cs="Baskerville"/>
                <w:iCs/>
                <w:sz w:val="22"/>
                <w:szCs w:val="22"/>
              </w:rPr>
              <w:t>Each council shall meet on a quarterly basis to share regional data, trends, and monitoring efforts and plan and recommend regional quality impr</w:t>
            </w:r>
            <w:r>
              <w:rPr>
                <w:rFonts w:ascii="Baskerville" w:hAnsi="Baskerville" w:cs="Baskerville"/>
                <w:iCs/>
                <w:sz w:val="22"/>
                <w:szCs w:val="22"/>
              </w:rPr>
              <w:t>ovement initiatives. The work o</w:t>
            </w:r>
            <w:r w:rsidRPr="00DF1E2F">
              <w:rPr>
                <w:rFonts w:ascii="Baskerville" w:hAnsi="Baskerville" w:cs="Baskerville"/>
                <w:iCs/>
                <w:sz w:val="22"/>
                <w:szCs w:val="22"/>
              </w:rPr>
              <w:t>f the Regional Quality Councils shall be directed by a DBHDS quality</w:t>
            </w:r>
            <w:r>
              <w:rPr>
                <w:rFonts w:ascii="Baskerville" w:hAnsi="Baskerville" w:cs="Baskerville"/>
                <w:iCs/>
                <w:sz w:val="22"/>
                <w:szCs w:val="22"/>
              </w:rPr>
              <w:t xml:space="preserve"> i</w:t>
            </w:r>
            <w:r w:rsidRPr="00DF1E2F">
              <w:rPr>
                <w:rFonts w:ascii="Baskerville" w:hAnsi="Baskerville" w:cs="Baskerville"/>
                <w:iCs/>
                <w:sz w:val="22"/>
                <w:szCs w:val="22"/>
              </w:rPr>
              <w:t xml:space="preserve">mprovement committee.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E65C80" w:rsidRDefault="00E65C80" w:rsidP="00992CFD">
            <w:pPr>
              <w:tabs>
                <w:tab w:val="left" w:pos="1440"/>
                <w:tab w:val="left" w:pos="4920"/>
                <w:tab w:val="right" w:pos="8640"/>
              </w:tabs>
              <w:ind w:left="-108" w:right="-108"/>
              <w:jc w:val="center"/>
              <w:rPr>
                <w:rFonts w:ascii="Baskerville" w:hAnsi="Baskerville" w:cs="Baskerville"/>
                <w:b/>
                <w:sz w:val="22"/>
                <w:szCs w:val="22"/>
              </w:rPr>
            </w:pPr>
          </w:p>
          <w:p w:rsidR="0094744A" w:rsidRDefault="00E8040A" w:rsidP="00992CFD">
            <w:pPr>
              <w:tabs>
                <w:tab w:val="left" w:pos="1440"/>
                <w:tab w:val="left" w:pos="4920"/>
                <w:tab w:val="right" w:pos="8640"/>
              </w:tabs>
              <w:ind w:left="-108" w:right="-108"/>
              <w:jc w:val="center"/>
              <w:rPr>
                <w:rFonts w:ascii="Baskerville" w:hAnsi="Baskerville" w:cs="Baskerville"/>
                <w:sz w:val="22"/>
                <w:szCs w:val="22"/>
                <w:u w:val="single"/>
              </w:rPr>
            </w:pPr>
            <w:r w:rsidRPr="00D03089">
              <w:rPr>
                <w:rFonts w:ascii="Baskerville" w:hAnsi="Baskerville" w:cs="Baskerville"/>
                <w:sz w:val="22"/>
                <w:szCs w:val="22"/>
                <w:u w:val="single"/>
              </w:rPr>
              <w:t>Non</w:t>
            </w:r>
            <w:r w:rsidR="0094744A">
              <w:rPr>
                <w:rFonts w:ascii="Baskerville" w:hAnsi="Baskerville" w:cs="Baskerville"/>
                <w:sz w:val="22"/>
                <w:szCs w:val="22"/>
                <w:u w:val="single"/>
              </w:rPr>
              <w:t xml:space="preserve"> </w:t>
            </w:r>
          </w:p>
          <w:p w:rsidR="0083366F" w:rsidRPr="00D03089" w:rsidRDefault="0083366F" w:rsidP="00992CFD">
            <w:pPr>
              <w:tabs>
                <w:tab w:val="left" w:pos="1440"/>
                <w:tab w:val="left" w:pos="4920"/>
                <w:tab w:val="right" w:pos="8640"/>
              </w:tabs>
              <w:ind w:left="-108" w:right="-108"/>
              <w:jc w:val="center"/>
              <w:rPr>
                <w:rFonts w:ascii="Baskerville" w:hAnsi="Baskerville" w:cs="Baskerville"/>
                <w:sz w:val="22"/>
                <w:szCs w:val="22"/>
                <w:u w:val="single"/>
              </w:rPr>
            </w:pPr>
            <w:r w:rsidRPr="00D03089">
              <w:rPr>
                <w:rFonts w:ascii="Baskerville" w:hAnsi="Baskerville" w:cs="Baskerville"/>
                <w:sz w:val="22"/>
                <w:szCs w:val="22"/>
                <w:u w:val="single"/>
              </w:rPr>
              <w:t>Compliance</w:t>
            </w:r>
          </w:p>
          <w:p w:rsidR="0083366F" w:rsidRPr="00DF1E2F" w:rsidRDefault="0083366F" w:rsidP="00172CF2">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172CF2">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B540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067874" w:rsidRPr="00DF1E2F" w:rsidRDefault="0083366F" w:rsidP="00BF753E">
            <w:pPr>
              <w:tabs>
                <w:tab w:val="left" w:pos="1440"/>
                <w:tab w:val="left" w:pos="2772"/>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w:t>
            </w:r>
            <w:r w:rsidR="00A81BC4">
              <w:rPr>
                <w:rFonts w:ascii="Baskerville" w:hAnsi="Baskerville" w:cs="Baskerville"/>
                <w:sz w:val="22"/>
                <w:szCs w:val="22"/>
              </w:rPr>
              <w:t xml:space="preserve">IR confirmed that the </w:t>
            </w:r>
            <w:r w:rsidRPr="00DF1E2F">
              <w:rPr>
                <w:rFonts w:ascii="Baskerville" w:hAnsi="Baskerville" w:cs="Baskerville"/>
                <w:sz w:val="22"/>
                <w:szCs w:val="22"/>
              </w:rPr>
              <w:t xml:space="preserve">RQCs met during the past two quarters and </w:t>
            </w:r>
            <w:r w:rsidR="00A81BC4">
              <w:rPr>
                <w:rFonts w:ascii="Baskerville" w:hAnsi="Baskerville" w:cs="Baskerville"/>
                <w:sz w:val="22"/>
                <w:szCs w:val="22"/>
              </w:rPr>
              <w:t xml:space="preserve">that they </w:t>
            </w:r>
            <w:r w:rsidRPr="00DF1E2F">
              <w:rPr>
                <w:rFonts w:ascii="Baskerville" w:hAnsi="Baskerville" w:cs="Baskerville"/>
                <w:sz w:val="22"/>
                <w:szCs w:val="22"/>
              </w:rPr>
              <w:t>are directed by a DBHDS Q</w:t>
            </w:r>
            <w:r w:rsidR="005F6D0A">
              <w:rPr>
                <w:rFonts w:ascii="Baskerville" w:hAnsi="Baskerville" w:cs="Baskerville"/>
                <w:sz w:val="22"/>
                <w:szCs w:val="22"/>
              </w:rPr>
              <w:t xml:space="preserve">uality Improvement Committee. </w:t>
            </w:r>
            <w:r w:rsidR="00BF753E">
              <w:rPr>
                <w:rFonts w:ascii="Baskerville" w:hAnsi="Baskerville" w:cs="Baskerville"/>
                <w:sz w:val="22"/>
                <w:szCs w:val="22"/>
              </w:rPr>
              <w:t xml:space="preserve">DBHDS </w:t>
            </w:r>
            <w:r w:rsidR="00E65C80">
              <w:rPr>
                <w:rFonts w:ascii="Baskerville" w:hAnsi="Baskerville" w:cs="Baskerville"/>
                <w:sz w:val="22"/>
                <w:szCs w:val="22"/>
              </w:rPr>
              <w:t>reports improvement in RQC</w:t>
            </w:r>
            <w:r w:rsidR="00784EA7">
              <w:rPr>
                <w:rFonts w:ascii="Baskerville" w:hAnsi="Baskerville" w:cs="Baskerville"/>
                <w:sz w:val="22"/>
                <w:szCs w:val="22"/>
              </w:rPr>
              <w:t xml:space="preserve"> a</w:t>
            </w:r>
            <w:r w:rsidR="00A46819">
              <w:rPr>
                <w:rFonts w:ascii="Baskerville" w:hAnsi="Baskerville" w:cs="Baskerville"/>
                <w:sz w:val="22"/>
                <w:szCs w:val="22"/>
              </w:rPr>
              <w:t>bility to review data. F</w:t>
            </w:r>
            <w:r w:rsidR="00784EA7">
              <w:rPr>
                <w:rFonts w:ascii="Baskerville" w:hAnsi="Baskerville" w:cs="Baskerville"/>
                <w:sz w:val="22"/>
                <w:szCs w:val="22"/>
              </w:rPr>
              <w:t>urther improvements are expected</w:t>
            </w:r>
            <w:r w:rsidR="00A46819">
              <w:rPr>
                <w:rFonts w:ascii="Baskerville" w:hAnsi="Baskerville" w:cs="Baskerville"/>
                <w:sz w:val="22"/>
                <w:szCs w:val="22"/>
              </w:rPr>
              <w:t xml:space="preserve"> to be evident during the next review period. </w:t>
            </w:r>
          </w:p>
        </w:tc>
      </w:tr>
      <w:tr w:rsidR="0083366F" w:rsidRPr="00DF1E2F" w:rsidTr="0094744A">
        <w:trPr>
          <w:trHeight w:val="1826"/>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V.D.6</w:t>
            </w:r>
          </w:p>
        </w:tc>
        <w:tc>
          <w:tcPr>
            <w:tcW w:w="4320" w:type="dxa"/>
          </w:tcPr>
          <w:p w:rsidR="0083366F" w:rsidRPr="00DF1E2F" w:rsidRDefault="0083366F" w:rsidP="004A6300">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At least annually, the Commonwealth shall report publically, through new or existing mechanisms, on the availability … and quality of supports and services in the community and gaps in services, and shall make recommendations for improvement.</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EB5405">
            <w:pPr>
              <w:tabs>
                <w:tab w:val="left" w:pos="1440"/>
                <w:tab w:val="left" w:pos="4920"/>
                <w:tab w:val="right" w:pos="8640"/>
              </w:tabs>
              <w:ind w:left="-108" w:right="-108"/>
              <w:jc w:val="center"/>
              <w:rPr>
                <w:rFonts w:ascii="Baskerville" w:hAnsi="Baskerville" w:cs="Baskerville"/>
                <w:sz w:val="22"/>
                <w:szCs w:val="22"/>
              </w:rPr>
            </w:pPr>
          </w:p>
          <w:p w:rsidR="0083366F" w:rsidRPr="001179E1" w:rsidRDefault="0083366F" w:rsidP="0019798A">
            <w:pPr>
              <w:tabs>
                <w:tab w:val="left" w:pos="1440"/>
                <w:tab w:val="left" w:pos="4920"/>
                <w:tab w:val="right" w:pos="8640"/>
              </w:tabs>
              <w:ind w:left="-108" w:right="-108"/>
              <w:jc w:val="center"/>
              <w:rPr>
                <w:rFonts w:ascii="Baskerville" w:hAnsi="Baskerville" w:cs="Baskerville"/>
                <w:sz w:val="22"/>
                <w:szCs w:val="22"/>
                <w:u w:val="single"/>
              </w:rPr>
            </w:pPr>
            <w:r w:rsidRPr="001179E1">
              <w:rPr>
                <w:rFonts w:ascii="Baskerville" w:hAnsi="Baskerville" w:cs="Baskerville"/>
                <w:sz w:val="22"/>
                <w:szCs w:val="22"/>
                <w:u w:val="single"/>
              </w:rPr>
              <w:t>Non</w:t>
            </w:r>
          </w:p>
          <w:p w:rsidR="0083366F" w:rsidRPr="001179E1" w:rsidRDefault="0083366F" w:rsidP="00EB5405">
            <w:pPr>
              <w:tabs>
                <w:tab w:val="left" w:pos="1440"/>
                <w:tab w:val="left" w:pos="4920"/>
                <w:tab w:val="right" w:pos="8640"/>
              </w:tabs>
              <w:ind w:left="-108" w:right="-108"/>
              <w:jc w:val="center"/>
              <w:rPr>
                <w:rFonts w:ascii="Baskerville" w:hAnsi="Baskerville" w:cs="Baskerville"/>
                <w:sz w:val="22"/>
                <w:szCs w:val="22"/>
                <w:u w:val="single"/>
              </w:rPr>
            </w:pPr>
            <w:r w:rsidRPr="001179E1">
              <w:rPr>
                <w:rFonts w:ascii="Baskerville" w:hAnsi="Baskerville" w:cs="Baskerville"/>
                <w:sz w:val="22"/>
                <w:szCs w:val="22"/>
                <w:u w:val="single"/>
              </w:rPr>
              <w:t>Compliance</w:t>
            </w:r>
          </w:p>
          <w:p w:rsidR="0083366F" w:rsidRPr="00DF1E2F" w:rsidRDefault="0083366F" w:rsidP="00EB5405">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B5405">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Default="0083366F" w:rsidP="004D1C6B">
            <w:pPr>
              <w:tabs>
                <w:tab w:val="left" w:pos="1440"/>
                <w:tab w:val="left" w:pos="2772"/>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DBHDS </w:t>
            </w:r>
            <w:r>
              <w:rPr>
                <w:rFonts w:ascii="Baskerville" w:hAnsi="Baskerville" w:cs="Baskerville"/>
                <w:sz w:val="22"/>
                <w:szCs w:val="22"/>
              </w:rPr>
              <w:t xml:space="preserve">has not annually </w:t>
            </w:r>
            <w:r w:rsidRPr="00DF1E2F">
              <w:rPr>
                <w:rFonts w:ascii="Baskerville" w:hAnsi="Baskerville" w:cs="Baskerville"/>
                <w:sz w:val="22"/>
                <w:szCs w:val="22"/>
              </w:rPr>
              <w:t>report</w:t>
            </w:r>
            <w:r>
              <w:rPr>
                <w:rFonts w:ascii="Baskerville" w:hAnsi="Baskerville" w:cs="Baskerville"/>
                <w:sz w:val="22"/>
                <w:szCs w:val="22"/>
              </w:rPr>
              <w:t xml:space="preserve">ed publically as required. The Commonwealth produces reports with some of this information. </w:t>
            </w:r>
          </w:p>
          <w:p w:rsidR="00067874" w:rsidRPr="00DF1E2F" w:rsidRDefault="00067874" w:rsidP="004D1C6B">
            <w:pPr>
              <w:tabs>
                <w:tab w:val="left" w:pos="1440"/>
                <w:tab w:val="left" w:pos="2772"/>
                <w:tab w:val="left" w:pos="4920"/>
                <w:tab w:val="right" w:pos="8640"/>
              </w:tabs>
              <w:rPr>
                <w:rFonts w:ascii="Baskerville" w:hAnsi="Baskerville" w:cs="Baskerville"/>
                <w:sz w:val="22"/>
                <w:szCs w:val="22"/>
              </w:rPr>
            </w:pPr>
          </w:p>
        </w:tc>
      </w:tr>
      <w:tr w:rsidR="0083366F" w:rsidRPr="00DF1E2F" w:rsidTr="0094744A">
        <w:trPr>
          <w:trHeight w:val="1043"/>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V.E.1</w:t>
            </w:r>
          </w:p>
        </w:tc>
        <w:tc>
          <w:tcPr>
            <w:tcW w:w="4320" w:type="dxa"/>
          </w:tcPr>
          <w:p w:rsidR="0083366F" w:rsidRPr="00DF1E2F" w:rsidRDefault="0083366F" w:rsidP="004A6300">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require all providers (including Training Centers, CSBs, and other community providers) to develop and implement a quality improvement (“QI”) program including root cause analysis, that is sufficient to identify and address significant issues.</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BE3C97">
            <w:pPr>
              <w:tabs>
                <w:tab w:val="left" w:pos="1440"/>
                <w:tab w:val="left" w:pos="4920"/>
                <w:tab w:val="right" w:pos="8640"/>
              </w:tabs>
              <w:ind w:left="-108" w:right="-108"/>
              <w:jc w:val="center"/>
              <w:rPr>
                <w:rFonts w:ascii="Baskerville" w:hAnsi="Baskerville" w:cs="Baskerville"/>
                <w:b/>
                <w:sz w:val="22"/>
                <w:szCs w:val="22"/>
              </w:rPr>
            </w:pPr>
          </w:p>
          <w:p w:rsidR="001179E1" w:rsidRDefault="0083366F" w:rsidP="00BE3C97">
            <w:pPr>
              <w:tabs>
                <w:tab w:val="left" w:pos="1440"/>
                <w:tab w:val="left" w:pos="4920"/>
                <w:tab w:val="right" w:pos="8640"/>
              </w:tabs>
              <w:ind w:left="-108" w:right="-108"/>
              <w:jc w:val="center"/>
              <w:rPr>
                <w:rFonts w:ascii="Baskerville" w:hAnsi="Baskerville" w:cs="Baskerville"/>
                <w:sz w:val="22"/>
                <w:szCs w:val="22"/>
                <w:u w:val="single"/>
              </w:rPr>
            </w:pPr>
            <w:r w:rsidRPr="001179E1">
              <w:rPr>
                <w:rFonts w:ascii="Baskerville" w:hAnsi="Baskerville" w:cs="Baskerville"/>
                <w:sz w:val="22"/>
                <w:szCs w:val="22"/>
                <w:u w:val="single"/>
              </w:rPr>
              <w:t xml:space="preserve">Non </w:t>
            </w:r>
          </w:p>
          <w:p w:rsidR="0083366F" w:rsidRPr="001179E1" w:rsidRDefault="0083366F" w:rsidP="00BE3C97">
            <w:pPr>
              <w:tabs>
                <w:tab w:val="left" w:pos="1440"/>
                <w:tab w:val="left" w:pos="4920"/>
                <w:tab w:val="right" w:pos="8640"/>
              </w:tabs>
              <w:ind w:left="-108" w:right="-108"/>
              <w:jc w:val="center"/>
              <w:rPr>
                <w:rFonts w:ascii="Baskerville" w:hAnsi="Baskerville" w:cs="Baskerville"/>
                <w:sz w:val="22"/>
                <w:szCs w:val="22"/>
                <w:u w:val="single"/>
              </w:rPr>
            </w:pPr>
            <w:r w:rsidRPr="001179E1">
              <w:rPr>
                <w:rFonts w:ascii="Baskerville" w:hAnsi="Baskerville" w:cs="Baskerville"/>
                <w:sz w:val="22"/>
                <w:szCs w:val="22"/>
                <w:u w:val="single"/>
              </w:rPr>
              <w:t>Compliance</w:t>
            </w: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62BB0">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 xml:space="preserve"> </w:t>
            </w: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Default="0083366F" w:rsidP="0046148D">
            <w:pPr>
              <w:tabs>
                <w:tab w:val="left" w:pos="1440"/>
                <w:tab w:val="left" w:pos="2772"/>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Commonwealth </w:t>
            </w:r>
            <w:r w:rsidR="00977B30">
              <w:rPr>
                <w:rFonts w:ascii="Baskerville" w:hAnsi="Baskerville" w:cs="Baskerville"/>
                <w:sz w:val="22"/>
                <w:szCs w:val="22"/>
              </w:rPr>
              <w:t xml:space="preserve">reports that it </w:t>
            </w:r>
            <w:r w:rsidR="00D03A5A">
              <w:rPr>
                <w:rFonts w:ascii="Baskerville" w:hAnsi="Baskerville" w:cs="Baskerville"/>
                <w:sz w:val="22"/>
                <w:szCs w:val="22"/>
              </w:rPr>
              <w:t>has drafted expectations</w:t>
            </w:r>
            <w:r w:rsidR="00101EFF">
              <w:rPr>
                <w:rFonts w:ascii="Baskerville" w:hAnsi="Baskerville" w:cs="Baskerville"/>
                <w:sz w:val="22"/>
                <w:szCs w:val="22"/>
              </w:rPr>
              <w:t xml:space="preserve"> of providers</w:t>
            </w:r>
            <w:r w:rsidR="000475D3">
              <w:rPr>
                <w:rFonts w:ascii="Baskerville" w:hAnsi="Baskerville" w:cs="Baskerville"/>
                <w:sz w:val="22"/>
                <w:szCs w:val="22"/>
              </w:rPr>
              <w:t>’</w:t>
            </w:r>
            <w:r w:rsidR="00101EFF">
              <w:rPr>
                <w:rFonts w:ascii="Baskerville" w:hAnsi="Baskerville" w:cs="Baskerville"/>
                <w:sz w:val="22"/>
                <w:szCs w:val="22"/>
              </w:rPr>
              <w:t xml:space="preserve"> </w:t>
            </w:r>
            <w:r w:rsidR="00896315">
              <w:rPr>
                <w:rFonts w:ascii="Baskerville" w:hAnsi="Baskerville" w:cs="Baskerville"/>
                <w:sz w:val="22"/>
                <w:szCs w:val="22"/>
              </w:rPr>
              <w:t xml:space="preserve">risk management programs. </w:t>
            </w:r>
            <w:r w:rsidR="00977B30">
              <w:rPr>
                <w:rFonts w:ascii="Baskerville" w:hAnsi="Baskerville" w:cs="Baskerville"/>
                <w:sz w:val="22"/>
                <w:szCs w:val="22"/>
              </w:rPr>
              <w:t xml:space="preserve">These expectations will begin to be put in place </w:t>
            </w:r>
            <w:r w:rsidR="000475D3">
              <w:rPr>
                <w:rFonts w:ascii="Baskerville" w:hAnsi="Baskerville" w:cs="Baskerville"/>
                <w:sz w:val="22"/>
                <w:szCs w:val="22"/>
              </w:rPr>
              <w:t>duri</w:t>
            </w:r>
            <w:r w:rsidR="00CA1105">
              <w:rPr>
                <w:rFonts w:ascii="Baskerville" w:hAnsi="Baskerville" w:cs="Baskerville"/>
                <w:sz w:val="22"/>
                <w:szCs w:val="22"/>
              </w:rPr>
              <w:t xml:space="preserve">ng the </w:t>
            </w:r>
            <w:r w:rsidR="00470130">
              <w:rPr>
                <w:rFonts w:ascii="Baskerville" w:hAnsi="Baskerville" w:cs="Baskerville"/>
                <w:sz w:val="22"/>
                <w:szCs w:val="22"/>
              </w:rPr>
              <w:t>next</w:t>
            </w:r>
            <w:r w:rsidR="0046148D">
              <w:rPr>
                <w:rFonts w:ascii="Baskerville" w:hAnsi="Baskerville" w:cs="Baskerville"/>
                <w:sz w:val="22"/>
                <w:szCs w:val="22"/>
              </w:rPr>
              <w:t xml:space="preserve"> review period. The </w:t>
            </w:r>
            <w:r w:rsidR="0046148D">
              <w:rPr>
                <w:rFonts w:ascii="Baskerville" w:hAnsi="Baskerville" w:cs="Baskerville"/>
                <w:sz w:val="22"/>
                <w:szCs w:val="22"/>
              </w:rPr>
              <w:br/>
              <w:t xml:space="preserve">Commonwealth does not expect results to be evident until the following review period. </w:t>
            </w:r>
          </w:p>
          <w:p w:rsidR="00067874" w:rsidRPr="00DF1E2F" w:rsidRDefault="00067874" w:rsidP="0046148D">
            <w:pPr>
              <w:tabs>
                <w:tab w:val="left" w:pos="1440"/>
                <w:tab w:val="left" w:pos="2772"/>
                <w:tab w:val="left" w:pos="4920"/>
                <w:tab w:val="right" w:pos="8640"/>
              </w:tabs>
              <w:rPr>
                <w:rFonts w:ascii="Baskerville" w:hAnsi="Baskerville" w:cs="Baskerville"/>
                <w:sz w:val="22"/>
                <w:szCs w:val="22"/>
              </w:rPr>
            </w:pPr>
          </w:p>
        </w:tc>
      </w:tr>
      <w:tr w:rsidR="0083366F" w:rsidRPr="00DF1E2F" w:rsidTr="0094744A">
        <w:trPr>
          <w:trHeight w:val="1934"/>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V.E.2</w:t>
            </w:r>
          </w:p>
        </w:tc>
        <w:tc>
          <w:tcPr>
            <w:tcW w:w="4320" w:type="dxa"/>
          </w:tcPr>
          <w:p w:rsidR="0083366F" w:rsidRPr="00DF1E2F" w:rsidRDefault="0083366F" w:rsidP="002E3E71">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Within 12 months of the effective date of this Agreement, the Commonwealth shall develop measures that CSBs and other community providers are required to report to DBHDS on a regular basis, either through their risk management/critical incident reporting requirements or through their QI program. </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p w:rsidR="003F37A0" w:rsidRDefault="0083366F" w:rsidP="00BE3C97">
            <w:pPr>
              <w:tabs>
                <w:tab w:val="left" w:pos="1440"/>
                <w:tab w:val="left" w:pos="4920"/>
                <w:tab w:val="right" w:pos="8640"/>
              </w:tabs>
              <w:ind w:left="-108" w:right="-108"/>
              <w:jc w:val="center"/>
              <w:rPr>
                <w:rFonts w:ascii="Baskerville" w:hAnsi="Baskerville" w:cs="Baskerville"/>
                <w:sz w:val="22"/>
                <w:szCs w:val="22"/>
                <w:u w:val="single"/>
              </w:rPr>
            </w:pPr>
            <w:r w:rsidRPr="003F37A0">
              <w:rPr>
                <w:rFonts w:ascii="Baskerville" w:hAnsi="Baskerville" w:cs="Baskerville"/>
                <w:sz w:val="22"/>
                <w:szCs w:val="22"/>
                <w:u w:val="single"/>
              </w:rPr>
              <w:t xml:space="preserve">Non </w:t>
            </w:r>
          </w:p>
          <w:p w:rsidR="0083366F" w:rsidRPr="003F37A0" w:rsidRDefault="0083366F" w:rsidP="00BE3C97">
            <w:pPr>
              <w:tabs>
                <w:tab w:val="left" w:pos="1440"/>
                <w:tab w:val="left" w:pos="4920"/>
                <w:tab w:val="right" w:pos="8640"/>
              </w:tabs>
              <w:ind w:left="-108" w:right="-108"/>
              <w:jc w:val="center"/>
              <w:rPr>
                <w:rFonts w:ascii="Baskerville" w:hAnsi="Baskerville" w:cs="Baskerville"/>
                <w:sz w:val="22"/>
                <w:szCs w:val="22"/>
                <w:u w:val="single"/>
              </w:rPr>
            </w:pPr>
            <w:r w:rsidRPr="003F37A0">
              <w:rPr>
                <w:rFonts w:ascii="Baskerville" w:hAnsi="Baskerville" w:cs="Baskerville"/>
                <w:sz w:val="22"/>
                <w:szCs w:val="22"/>
                <w:u w:val="single"/>
              </w:rPr>
              <w:t>Compliance</w:t>
            </w: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BE3C97">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Default="00B656FD" w:rsidP="00CD3940">
            <w:pPr>
              <w:tabs>
                <w:tab w:val="left" w:pos="1440"/>
                <w:tab w:val="left" w:pos="2772"/>
                <w:tab w:val="left" w:pos="4920"/>
                <w:tab w:val="right" w:pos="8640"/>
              </w:tabs>
              <w:rPr>
                <w:rFonts w:ascii="Baskerville" w:hAnsi="Baskerville" w:cs="Baskerville"/>
                <w:sz w:val="22"/>
                <w:szCs w:val="22"/>
              </w:rPr>
            </w:pPr>
            <w:r>
              <w:rPr>
                <w:rFonts w:ascii="Baskerville" w:hAnsi="Baskerville" w:cs="Baskerville"/>
                <w:sz w:val="22"/>
                <w:szCs w:val="22"/>
              </w:rPr>
              <w:t xml:space="preserve">The </w:t>
            </w:r>
            <w:r w:rsidR="00330172">
              <w:rPr>
                <w:rFonts w:ascii="Baskerville" w:hAnsi="Baskerville" w:cs="Baskerville"/>
                <w:sz w:val="22"/>
                <w:szCs w:val="22"/>
              </w:rPr>
              <w:t xml:space="preserve">IR has confirmed that the </w:t>
            </w:r>
            <w:r>
              <w:rPr>
                <w:rFonts w:ascii="Baskerville" w:hAnsi="Baskerville" w:cs="Baskerville"/>
                <w:sz w:val="22"/>
                <w:szCs w:val="22"/>
              </w:rPr>
              <w:t xml:space="preserve">Commonwealth requires </w:t>
            </w:r>
            <w:r w:rsidR="00916063">
              <w:rPr>
                <w:rFonts w:ascii="Baskerville" w:hAnsi="Baskerville" w:cs="Baskerville"/>
                <w:sz w:val="22"/>
                <w:szCs w:val="22"/>
              </w:rPr>
              <w:t xml:space="preserve">providers to report </w:t>
            </w:r>
            <w:r w:rsidR="00F42EE2">
              <w:rPr>
                <w:rFonts w:ascii="Baskerville" w:hAnsi="Baskerville" w:cs="Baskerville"/>
                <w:sz w:val="22"/>
                <w:szCs w:val="22"/>
              </w:rPr>
              <w:t>deaths, serious injuries and allegations of abuse</w:t>
            </w:r>
            <w:r w:rsidR="007C13DF">
              <w:rPr>
                <w:rFonts w:ascii="Baskerville" w:hAnsi="Baskerville" w:cs="Baskerville"/>
                <w:sz w:val="22"/>
                <w:szCs w:val="22"/>
              </w:rPr>
              <w:t xml:space="preserve"> and neglect. DBHDS will require r</w:t>
            </w:r>
            <w:r w:rsidR="00EC75DA">
              <w:rPr>
                <w:rFonts w:ascii="Baskerville" w:hAnsi="Baskerville" w:cs="Baskerville"/>
                <w:sz w:val="22"/>
                <w:szCs w:val="22"/>
              </w:rPr>
              <w:t>eporting through</w:t>
            </w:r>
            <w:r w:rsidR="00F42EE2">
              <w:rPr>
                <w:rFonts w:ascii="Baskerville" w:hAnsi="Baskerville" w:cs="Baskerville"/>
                <w:sz w:val="22"/>
                <w:szCs w:val="22"/>
              </w:rPr>
              <w:t xml:space="preserve"> the risk management and provid</w:t>
            </w:r>
            <w:r w:rsidR="007C13DF">
              <w:rPr>
                <w:rFonts w:ascii="Baskerville" w:hAnsi="Baskerville" w:cs="Baskerville"/>
                <w:sz w:val="22"/>
                <w:szCs w:val="22"/>
              </w:rPr>
              <w:t xml:space="preserve">er QI programs </w:t>
            </w:r>
            <w:r w:rsidR="005C5C14">
              <w:rPr>
                <w:rFonts w:ascii="Baskerville" w:hAnsi="Baskerville" w:cs="Baskerville"/>
                <w:sz w:val="22"/>
                <w:szCs w:val="22"/>
              </w:rPr>
              <w:t xml:space="preserve">as </w:t>
            </w:r>
            <w:r w:rsidR="001E78A3">
              <w:rPr>
                <w:rFonts w:ascii="Baskerville" w:hAnsi="Baskerville" w:cs="Baskerville"/>
                <w:sz w:val="22"/>
                <w:szCs w:val="22"/>
              </w:rPr>
              <w:t>described in</w:t>
            </w:r>
            <w:r w:rsidR="0083366F" w:rsidRPr="00DF1E2F">
              <w:rPr>
                <w:rFonts w:ascii="Baskerville" w:hAnsi="Baskerville" w:cs="Baskerville"/>
                <w:sz w:val="22"/>
                <w:szCs w:val="22"/>
              </w:rPr>
              <w:t xml:space="preserve"> V.E.1</w:t>
            </w:r>
            <w:r w:rsidR="001E78A3">
              <w:rPr>
                <w:rFonts w:ascii="Baskerville" w:hAnsi="Baskerville" w:cs="Baskerville"/>
                <w:sz w:val="22"/>
                <w:szCs w:val="22"/>
              </w:rPr>
              <w:t>,</w:t>
            </w:r>
            <w:r w:rsidR="0083366F" w:rsidRPr="00DF1E2F">
              <w:rPr>
                <w:rFonts w:ascii="Baskerville" w:hAnsi="Baskerville" w:cs="Baskerville"/>
                <w:sz w:val="22"/>
                <w:szCs w:val="22"/>
              </w:rPr>
              <w:t xml:space="preserve"> immediately above</w:t>
            </w:r>
            <w:r>
              <w:rPr>
                <w:rFonts w:ascii="Baskerville" w:hAnsi="Baskerville" w:cs="Baskerville"/>
                <w:sz w:val="22"/>
                <w:szCs w:val="22"/>
              </w:rPr>
              <w:t xml:space="preserve">. </w:t>
            </w:r>
          </w:p>
          <w:p w:rsidR="00067874" w:rsidRPr="00DF1E2F" w:rsidRDefault="00067874" w:rsidP="00CD3940">
            <w:pPr>
              <w:tabs>
                <w:tab w:val="left" w:pos="1440"/>
                <w:tab w:val="left" w:pos="2772"/>
                <w:tab w:val="left" w:pos="4920"/>
                <w:tab w:val="right" w:pos="8640"/>
              </w:tabs>
              <w:rPr>
                <w:rFonts w:ascii="Baskerville" w:hAnsi="Baskerville" w:cs="Baskerville"/>
                <w:sz w:val="22"/>
                <w:szCs w:val="22"/>
              </w:rPr>
            </w:pPr>
          </w:p>
        </w:tc>
      </w:tr>
      <w:tr w:rsidR="0083366F" w:rsidRPr="00DF1E2F" w:rsidTr="0094744A">
        <w:trPr>
          <w:trHeight w:val="2150"/>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V.E.3</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use Quality Service Reviews and other mechanisms to assess the adequacy of providers’ quality improvement strategies and shall provide technical assistance and other oversight to providers whose quality improvement strategies the Commonwealth determines to be inadequate.</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BE42CD">
            <w:pPr>
              <w:tabs>
                <w:tab w:val="left" w:pos="1242"/>
                <w:tab w:val="left" w:pos="1440"/>
                <w:tab w:val="left" w:pos="4920"/>
                <w:tab w:val="right" w:pos="8640"/>
              </w:tabs>
              <w:ind w:left="-108" w:right="-108"/>
              <w:jc w:val="center"/>
              <w:rPr>
                <w:rFonts w:ascii="Baskerville" w:hAnsi="Baskerville" w:cs="Baskerville"/>
                <w:sz w:val="22"/>
                <w:szCs w:val="22"/>
              </w:rPr>
            </w:pPr>
          </w:p>
          <w:p w:rsidR="003F37A0" w:rsidRDefault="0083366F" w:rsidP="006246FC">
            <w:pPr>
              <w:tabs>
                <w:tab w:val="left" w:pos="1440"/>
                <w:tab w:val="left" w:pos="4920"/>
                <w:tab w:val="right" w:pos="8640"/>
              </w:tabs>
              <w:ind w:left="-108" w:right="-108"/>
              <w:jc w:val="center"/>
              <w:rPr>
                <w:rFonts w:ascii="Baskerville" w:hAnsi="Baskerville" w:cs="Baskerville"/>
                <w:sz w:val="22"/>
                <w:szCs w:val="22"/>
                <w:u w:val="single"/>
              </w:rPr>
            </w:pPr>
            <w:r w:rsidRPr="003F37A0">
              <w:rPr>
                <w:rFonts w:ascii="Baskerville" w:hAnsi="Baskerville" w:cs="Baskerville"/>
                <w:sz w:val="22"/>
                <w:szCs w:val="22"/>
                <w:u w:val="single"/>
              </w:rPr>
              <w:t>Non</w:t>
            </w:r>
          </w:p>
          <w:p w:rsidR="0083366F" w:rsidRPr="003F37A0" w:rsidRDefault="0083366F" w:rsidP="006246FC">
            <w:pPr>
              <w:tabs>
                <w:tab w:val="left" w:pos="1440"/>
                <w:tab w:val="left" w:pos="4920"/>
                <w:tab w:val="right" w:pos="8640"/>
              </w:tabs>
              <w:ind w:left="-108" w:right="-108"/>
              <w:jc w:val="center"/>
              <w:rPr>
                <w:rFonts w:ascii="Baskerville" w:hAnsi="Baskerville" w:cs="Baskerville"/>
                <w:sz w:val="22"/>
                <w:szCs w:val="22"/>
                <w:u w:val="single"/>
              </w:rPr>
            </w:pPr>
            <w:r w:rsidRPr="003F37A0">
              <w:rPr>
                <w:rFonts w:ascii="Baskerville" w:hAnsi="Baskerville" w:cs="Baskerville"/>
                <w:sz w:val="22"/>
                <w:szCs w:val="22"/>
                <w:u w:val="single"/>
              </w:rPr>
              <w:t xml:space="preserve"> Compliance</w:t>
            </w:r>
          </w:p>
          <w:p w:rsidR="0083366F" w:rsidRPr="00DF1E2F" w:rsidRDefault="0083366F" w:rsidP="00BE42CD">
            <w:pPr>
              <w:tabs>
                <w:tab w:val="left" w:pos="124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BE42CD">
            <w:pPr>
              <w:tabs>
                <w:tab w:val="left" w:pos="1242"/>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BE42CD">
            <w:pPr>
              <w:tabs>
                <w:tab w:val="left" w:pos="1242"/>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1E78A3" w:rsidP="009F7FDB">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w:t>
            </w:r>
            <w:r w:rsidR="0083366F" w:rsidRPr="00DF1E2F">
              <w:rPr>
                <w:rFonts w:ascii="Baskerville" w:hAnsi="Baskerville" w:cs="Baskerville"/>
                <w:sz w:val="22"/>
                <w:szCs w:val="22"/>
              </w:rPr>
              <w:t xml:space="preserve">he Commonwealth </w:t>
            </w:r>
            <w:r w:rsidR="008F7AA6">
              <w:rPr>
                <w:rFonts w:ascii="Baskerville" w:hAnsi="Baskerville" w:cs="Baskerville"/>
                <w:sz w:val="22"/>
                <w:szCs w:val="22"/>
              </w:rPr>
              <w:t>reports that it now exp</w:t>
            </w:r>
            <w:r w:rsidR="00A71BBA">
              <w:rPr>
                <w:rFonts w:ascii="Baskerville" w:hAnsi="Baskerville" w:cs="Baskerville"/>
                <w:sz w:val="22"/>
                <w:szCs w:val="22"/>
              </w:rPr>
              <w:t>ects that it will implement QSR</w:t>
            </w:r>
            <w:r w:rsidR="008F7AA6">
              <w:rPr>
                <w:rFonts w:ascii="Baskerville" w:hAnsi="Baskerville" w:cs="Baskerville"/>
                <w:sz w:val="22"/>
                <w:szCs w:val="22"/>
              </w:rPr>
              <w:t>s</w:t>
            </w:r>
            <w:r w:rsidR="009F7FDB">
              <w:rPr>
                <w:rFonts w:ascii="Baskerville" w:hAnsi="Baskerville" w:cs="Baskerville"/>
                <w:sz w:val="22"/>
                <w:szCs w:val="22"/>
              </w:rPr>
              <w:t xml:space="preserve"> during the </w:t>
            </w:r>
            <w:r w:rsidR="008F7AA6">
              <w:rPr>
                <w:rFonts w:ascii="Baskerville" w:hAnsi="Baskerville" w:cs="Baskerville"/>
                <w:sz w:val="22"/>
                <w:szCs w:val="22"/>
              </w:rPr>
              <w:t xml:space="preserve">next </w:t>
            </w:r>
            <w:r w:rsidR="009F7FDB">
              <w:rPr>
                <w:rFonts w:ascii="Baskerville" w:hAnsi="Baskerville" w:cs="Baskerville"/>
                <w:sz w:val="22"/>
                <w:szCs w:val="22"/>
              </w:rPr>
              <w:t>review period.</w:t>
            </w:r>
          </w:p>
        </w:tc>
      </w:tr>
      <w:tr w:rsidR="00627091" w:rsidRPr="00DF1E2F" w:rsidTr="0094744A">
        <w:trPr>
          <w:trHeight w:val="1520"/>
        </w:trPr>
        <w:tc>
          <w:tcPr>
            <w:tcW w:w="1530" w:type="dxa"/>
            <w:vAlign w:val="center"/>
          </w:tcPr>
          <w:p w:rsidR="00627091" w:rsidRPr="00E734CE" w:rsidRDefault="00CD35F3" w:rsidP="00CD6372">
            <w:pPr>
              <w:tabs>
                <w:tab w:val="left" w:pos="1440"/>
                <w:tab w:val="left" w:pos="4920"/>
                <w:tab w:val="right" w:pos="8640"/>
              </w:tabs>
              <w:ind w:left="-108" w:right="-108"/>
              <w:jc w:val="center"/>
              <w:rPr>
                <w:rFonts w:ascii="Baskerville" w:hAnsi="Baskerville" w:cs="Baskerville"/>
                <w:b/>
                <w:sz w:val="22"/>
                <w:szCs w:val="22"/>
                <w:u w:val="single"/>
              </w:rPr>
            </w:pPr>
            <w:r w:rsidRPr="00E734CE">
              <w:rPr>
                <w:rFonts w:ascii="Baskerville" w:hAnsi="Baskerville" w:cs="Baskerville"/>
                <w:b/>
                <w:sz w:val="22"/>
                <w:szCs w:val="22"/>
                <w:u w:val="single"/>
              </w:rPr>
              <w:t>V.F.1</w:t>
            </w:r>
          </w:p>
        </w:tc>
        <w:tc>
          <w:tcPr>
            <w:tcW w:w="4320" w:type="dxa"/>
          </w:tcPr>
          <w:p w:rsidR="00627091" w:rsidRPr="00DF1E2F" w:rsidRDefault="00CD35F3"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For individuals receiving case management services pursuant to this Agreement, the individual’s case manager shall meet with the individual face-to-face on a regular basis and shall conduct regular visits to the individual’s residence, as dictated by the individual’s needs.</w:t>
            </w:r>
          </w:p>
        </w:tc>
        <w:tc>
          <w:tcPr>
            <w:tcW w:w="1440" w:type="dxa"/>
          </w:tcPr>
          <w:p w:rsidR="00F50FD5" w:rsidRPr="0000799C" w:rsidRDefault="00F50FD5" w:rsidP="00F50FD5">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AE52C1" w:rsidRDefault="000067DB" w:rsidP="00CD35F3">
            <w:pPr>
              <w:tabs>
                <w:tab w:val="left" w:pos="1440"/>
                <w:tab w:val="left" w:pos="4920"/>
                <w:tab w:val="right" w:pos="8640"/>
              </w:tabs>
              <w:ind w:left="-108" w:right="-198"/>
              <w:jc w:val="center"/>
              <w:rPr>
                <w:rFonts w:ascii="Baskerville" w:hAnsi="Baskerville" w:cs="Baskerville"/>
                <w:sz w:val="22"/>
                <w:szCs w:val="22"/>
              </w:rPr>
            </w:pPr>
            <w:r>
              <w:rPr>
                <w:rFonts w:ascii="Baskerville" w:hAnsi="Baskerville" w:cs="Baskerville"/>
                <w:sz w:val="22"/>
                <w:szCs w:val="22"/>
              </w:rPr>
              <w:t xml:space="preserve"> </w:t>
            </w:r>
          </w:p>
          <w:p w:rsidR="00627091" w:rsidRPr="003F37A0" w:rsidRDefault="000067DB" w:rsidP="00CD35F3">
            <w:pPr>
              <w:tabs>
                <w:tab w:val="left" w:pos="1440"/>
                <w:tab w:val="left" w:pos="4920"/>
                <w:tab w:val="right" w:pos="8640"/>
              </w:tabs>
              <w:ind w:left="-108" w:right="-198"/>
              <w:jc w:val="center"/>
              <w:rPr>
                <w:rFonts w:ascii="Baskerville" w:hAnsi="Baskerville" w:cs="Baskerville"/>
                <w:sz w:val="22"/>
                <w:szCs w:val="22"/>
                <w:u w:val="single"/>
              </w:rPr>
            </w:pPr>
            <w:r w:rsidRPr="003F37A0">
              <w:rPr>
                <w:rFonts w:ascii="Baskerville" w:hAnsi="Baskerville" w:cs="Baskerville"/>
                <w:sz w:val="22"/>
                <w:szCs w:val="22"/>
                <w:u w:val="single"/>
              </w:rPr>
              <w:t>Compliance</w:t>
            </w:r>
            <w:r w:rsidR="00CD35F3" w:rsidRPr="003F37A0">
              <w:rPr>
                <w:rFonts w:ascii="Baskerville" w:hAnsi="Baskerville" w:cs="Baskerville"/>
                <w:sz w:val="22"/>
                <w:szCs w:val="22"/>
                <w:u w:val="single"/>
              </w:rPr>
              <w:t xml:space="preserve"> </w:t>
            </w:r>
          </w:p>
        </w:tc>
        <w:tc>
          <w:tcPr>
            <w:tcW w:w="2880" w:type="dxa"/>
          </w:tcPr>
          <w:p w:rsidR="0035369C" w:rsidRDefault="0088154A" w:rsidP="0088154A">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 xml:space="preserve">The IR found that </w:t>
            </w:r>
          </w:p>
          <w:p w:rsidR="00082D0D" w:rsidRDefault="0035369C" w:rsidP="0088154A">
            <w:pPr>
              <w:tabs>
                <w:tab w:val="left" w:pos="1440"/>
                <w:tab w:val="left" w:pos="4920"/>
                <w:tab w:val="right" w:pos="8640"/>
              </w:tabs>
              <w:ind w:right="-108"/>
              <w:rPr>
                <w:rFonts w:ascii="Baskerville" w:hAnsi="Baskerville" w:cs="Baskerville"/>
                <w:sz w:val="22"/>
                <w:szCs w:val="22"/>
              </w:rPr>
            </w:pPr>
            <w:r w:rsidRPr="00405722">
              <w:rPr>
                <w:rFonts w:ascii="MS Gothic" w:eastAsia="MS Gothic" w:hAnsi="MS Gothic"/>
                <w:color w:val="000000"/>
                <w:sz w:val="16"/>
                <w:szCs w:val="16"/>
              </w:rPr>
              <w:t>☐</w:t>
            </w:r>
            <w:r>
              <w:rPr>
                <w:rFonts w:ascii="MS Gothic" w:eastAsia="MS Gothic" w:hAnsi="MS Gothic"/>
                <w:color w:val="000000"/>
                <w:sz w:val="16"/>
                <w:szCs w:val="16"/>
              </w:rPr>
              <w:t xml:space="preserve"> </w:t>
            </w:r>
            <w:r w:rsidR="00CD35F3" w:rsidRPr="00DF1E2F">
              <w:rPr>
                <w:rFonts w:ascii="Baskerville" w:hAnsi="Baskerville" w:cs="Baskerville"/>
                <w:sz w:val="22"/>
                <w:szCs w:val="22"/>
              </w:rPr>
              <w:t xml:space="preserve">55 (100%) </w:t>
            </w:r>
            <w:r w:rsidR="0088154A">
              <w:rPr>
                <w:rFonts w:ascii="Baskerville" w:hAnsi="Baskerville" w:cs="Baskerville"/>
                <w:sz w:val="22"/>
                <w:szCs w:val="22"/>
              </w:rPr>
              <w:t xml:space="preserve">individuals </w:t>
            </w:r>
            <w:r w:rsidR="00CD35F3" w:rsidRPr="00DF1E2F">
              <w:rPr>
                <w:rFonts w:ascii="Baskerville" w:hAnsi="Baskerville" w:cs="Baskerville"/>
                <w:sz w:val="22"/>
                <w:szCs w:val="22"/>
              </w:rPr>
              <w:t>were receiving case management services.</w:t>
            </w:r>
            <w:r w:rsidR="00045A06">
              <w:rPr>
                <w:rFonts w:ascii="Baskerville" w:hAnsi="Baskerville" w:cs="Baskerville"/>
                <w:sz w:val="22"/>
                <w:szCs w:val="22"/>
              </w:rPr>
              <w:t xml:space="preserve"> </w:t>
            </w:r>
          </w:p>
          <w:p w:rsidR="000A74F4" w:rsidRDefault="00045A06" w:rsidP="0088154A">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 xml:space="preserve">The DBHDS data dashboard indicates </w:t>
            </w:r>
            <w:r w:rsidR="00E23B5B">
              <w:rPr>
                <w:rFonts w:ascii="Baskerville" w:hAnsi="Baskerville" w:cs="Baskerville"/>
                <w:sz w:val="22"/>
                <w:szCs w:val="22"/>
              </w:rPr>
              <w:t>that 89% of case mana</w:t>
            </w:r>
            <w:r w:rsidR="0088154A">
              <w:rPr>
                <w:rFonts w:ascii="Baskerville" w:hAnsi="Baskerville" w:cs="Baskerville"/>
                <w:sz w:val="22"/>
                <w:szCs w:val="22"/>
              </w:rPr>
              <w:t>gers meet the standard for face-to-</w:t>
            </w:r>
            <w:r w:rsidR="00E23B5B">
              <w:rPr>
                <w:rFonts w:ascii="Baskerville" w:hAnsi="Baskerville" w:cs="Baskerville"/>
                <w:sz w:val="22"/>
                <w:szCs w:val="22"/>
              </w:rPr>
              <w:t>face meetings.</w:t>
            </w:r>
          </w:p>
          <w:p w:rsidR="00067874" w:rsidRPr="00045A06" w:rsidRDefault="00067874" w:rsidP="0088154A">
            <w:pPr>
              <w:tabs>
                <w:tab w:val="left" w:pos="1440"/>
                <w:tab w:val="left" w:pos="4920"/>
                <w:tab w:val="right" w:pos="8640"/>
              </w:tabs>
              <w:ind w:right="-108"/>
              <w:rPr>
                <w:rFonts w:ascii="Baskerville" w:hAnsi="Baskerville" w:cs="Baskerville"/>
                <w:sz w:val="22"/>
                <w:szCs w:val="22"/>
              </w:rPr>
            </w:pPr>
          </w:p>
        </w:tc>
      </w:tr>
      <w:tr w:rsidR="0083366F" w:rsidRPr="00DF1E2F" w:rsidTr="0094744A">
        <w:trPr>
          <w:trHeight w:val="1655"/>
        </w:trPr>
        <w:tc>
          <w:tcPr>
            <w:tcW w:w="1530" w:type="dxa"/>
            <w:vAlign w:val="center"/>
          </w:tcPr>
          <w:p w:rsidR="0083366F" w:rsidRPr="00E734CE" w:rsidRDefault="0083366F" w:rsidP="00CD6372">
            <w:pPr>
              <w:tabs>
                <w:tab w:val="left" w:pos="1440"/>
                <w:tab w:val="left" w:pos="4920"/>
                <w:tab w:val="right" w:pos="8640"/>
              </w:tabs>
              <w:ind w:left="-108" w:right="-108"/>
              <w:jc w:val="center"/>
              <w:rPr>
                <w:rFonts w:ascii="Baskerville" w:hAnsi="Baskerville" w:cs="Baskerville"/>
                <w:b/>
                <w:sz w:val="22"/>
                <w:szCs w:val="22"/>
                <w:u w:val="single"/>
              </w:rPr>
            </w:pPr>
            <w:r w:rsidRPr="00E734CE">
              <w:rPr>
                <w:rFonts w:ascii="Baskerville" w:hAnsi="Baskerville" w:cs="Baskerville"/>
                <w:b/>
                <w:sz w:val="22"/>
                <w:szCs w:val="22"/>
                <w:u w:val="single"/>
              </w:rPr>
              <w:t>V.F.2</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At these face-to-face meetings, the case manager shall: observe the individual and the individual’s environment to assess for previously unidentified risks, injuries, needs, or other changes in status; assess the status of previously identified risks, injuries, needs, or other change in status; assess whether the individual’s support plan is being implemented appropriately and remains appropriate for the individual; and ascertain whether supports and services are being implemented consistent with the individual’s strengths and preferences and in the most integrated setting appropriate to the individual’s needs.  If any of these observations or assessments identifies an unidentified or inadequately addressed risk, injury, need, or change in status; a deficiency in the individual’s support plan or its implementation; or a discrepancy between the implementation of supports and services and the individual’s strengths and preferences, then the case manager shall report and document the issue, convene the individual’s service planning team to address it, and documents its resolution.</w:t>
            </w:r>
          </w:p>
        </w:tc>
        <w:tc>
          <w:tcPr>
            <w:tcW w:w="1440" w:type="dxa"/>
          </w:tcPr>
          <w:p w:rsidR="00245B0C" w:rsidRPr="00B859E2" w:rsidRDefault="00245B0C" w:rsidP="00245B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 xml:space="preserve">(Non </w:t>
            </w:r>
          </w:p>
          <w:p w:rsidR="00245B0C" w:rsidRPr="00B859E2" w:rsidRDefault="00245B0C" w:rsidP="00245B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Compliance)</w:t>
            </w:r>
          </w:p>
          <w:p w:rsidR="0083366F" w:rsidRPr="00DF1E2F" w:rsidRDefault="0083366F" w:rsidP="000A0CB1">
            <w:pPr>
              <w:tabs>
                <w:tab w:val="left" w:pos="1440"/>
                <w:tab w:val="left" w:pos="4920"/>
                <w:tab w:val="right" w:pos="8640"/>
              </w:tabs>
              <w:ind w:left="-108" w:right="-108"/>
              <w:jc w:val="center"/>
              <w:rPr>
                <w:rFonts w:ascii="Baskerville" w:hAnsi="Baskerville" w:cs="Baskerville"/>
                <w:sz w:val="22"/>
                <w:szCs w:val="22"/>
              </w:rPr>
            </w:pPr>
          </w:p>
          <w:p w:rsidR="0083366F" w:rsidRPr="00DA39BE" w:rsidRDefault="0083366F" w:rsidP="005C19FA">
            <w:pPr>
              <w:tabs>
                <w:tab w:val="left" w:pos="1440"/>
                <w:tab w:val="left" w:pos="4920"/>
                <w:tab w:val="right" w:pos="8640"/>
              </w:tabs>
              <w:ind w:left="-108" w:right="-108"/>
              <w:jc w:val="center"/>
              <w:rPr>
                <w:rFonts w:ascii="Baskerville" w:hAnsi="Baskerville" w:cs="Baskerville"/>
                <w:sz w:val="22"/>
                <w:szCs w:val="22"/>
                <w:u w:val="single"/>
              </w:rPr>
            </w:pPr>
            <w:r w:rsidRPr="00DA39BE">
              <w:rPr>
                <w:rFonts w:ascii="Baskerville" w:hAnsi="Baskerville" w:cs="Baskerville"/>
                <w:sz w:val="22"/>
                <w:szCs w:val="22"/>
                <w:u w:val="single"/>
              </w:rPr>
              <w:t>Non</w:t>
            </w:r>
          </w:p>
          <w:p w:rsidR="0083366F" w:rsidRPr="00DA39BE" w:rsidRDefault="0083366F" w:rsidP="005C19FA">
            <w:pPr>
              <w:tabs>
                <w:tab w:val="left" w:pos="1440"/>
                <w:tab w:val="left" w:pos="4920"/>
                <w:tab w:val="right" w:pos="8640"/>
              </w:tabs>
              <w:ind w:left="-108" w:right="-108"/>
              <w:jc w:val="center"/>
              <w:rPr>
                <w:rFonts w:ascii="Baskerville" w:hAnsi="Baskerville" w:cs="Baskerville"/>
                <w:sz w:val="22"/>
                <w:szCs w:val="22"/>
                <w:u w:val="single"/>
              </w:rPr>
            </w:pPr>
            <w:r w:rsidRPr="00DA39BE">
              <w:rPr>
                <w:rFonts w:ascii="Baskerville" w:hAnsi="Baskerville" w:cs="Baskerville"/>
                <w:sz w:val="22"/>
                <w:szCs w:val="22"/>
                <w:u w:val="single"/>
              </w:rPr>
              <w:t>Compliance</w:t>
            </w: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0A0CB1">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8154A" w:rsidP="00BE0689">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The IR determined that of the</w:t>
            </w:r>
            <w:r w:rsidR="0083366F" w:rsidRPr="00DF1E2F">
              <w:rPr>
                <w:rFonts w:ascii="Baskerville" w:hAnsi="Baskerville" w:cs="Baskerville"/>
                <w:sz w:val="22"/>
                <w:szCs w:val="22"/>
              </w:rPr>
              <w:t xml:space="preserve"> individua</w:t>
            </w:r>
            <w:r w:rsidR="00025E95">
              <w:rPr>
                <w:rFonts w:ascii="Baskerville" w:hAnsi="Baskerville" w:cs="Baskerville"/>
                <w:sz w:val="22"/>
                <w:szCs w:val="22"/>
              </w:rPr>
              <w:t xml:space="preserve">ls studied during the fourth and fifth review </w:t>
            </w:r>
            <w:r w:rsidR="0083366F" w:rsidRPr="00DF1E2F">
              <w:rPr>
                <w:rFonts w:ascii="Baskerville" w:hAnsi="Baskerville" w:cs="Baskerville"/>
                <w:sz w:val="22"/>
                <w:szCs w:val="22"/>
              </w:rPr>
              <w:t>periods:</w:t>
            </w:r>
          </w:p>
          <w:p w:rsidR="0083366F" w:rsidRPr="00DF1E2F" w:rsidRDefault="00067874" w:rsidP="006424E1">
            <w:pPr>
              <w:rPr>
                <w:rFonts w:ascii="Baskerville" w:hAnsi="Baskerville" w:cs="Baskerville"/>
                <w:sz w:val="22"/>
                <w:szCs w:val="22"/>
              </w:rPr>
            </w:pPr>
            <w:r w:rsidRPr="00E32D50">
              <w:rPr>
                <w:rFonts w:ascii="MS Gothic" w:eastAsia="MS Gothic" w:hAnsi="MS Gothic"/>
                <w:color w:val="000000"/>
                <w:sz w:val="16"/>
                <w:szCs w:val="16"/>
              </w:rPr>
              <w:t>☐</w:t>
            </w:r>
            <w:r w:rsidR="0083366F" w:rsidRPr="00DF1E2F">
              <w:rPr>
                <w:rFonts w:ascii="Baskerville" w:hAnsi="Baskerville" w:cs="Baskerville"/>
                <w:sz w:val="22"/>
                <w:szCs w:val="22"/>
              </w:rPr>
              <w:t>12 (64%) of 18 individuals did not have an individual support plan modified as necessary.</w:t>
            </w:r>
          </w:p>
          <w:p w:rsidR="0083366F" w:rsidRDefault="0083366F" w:rsidP="006424E1">
            <w:pPr>
              <w:rPr>
                <w:rFonts w:ascii="Baskerville" w:hAnsi="Baskerville" w:cs="Baskerville"/>
                <w:sz w:val="22"/>
                <w:szCs w:val="22"/>
              </w:rPr>
            </w:pPr>
          </w:p>
          <w:p w:rsidR="0083366F" w:rsidRPr="0086181C" w:rsidRDefault="00BD327D" w:rsidP="004E4562">
            <w:pPr>
              <w:rPr>
                <w:rFonts w:ascii="Baskerville" w:hAnsi="Baskerville" w:cs="Baskerville"/>
                <w:b/>
                <w:sz w:val="22"/>
                <w:szCs w:val="22"/>
              </w:rPr>
            </w:pPr>
            <w:r>
              <w:rPr>
                <w:rFonts w:ascii="Baskerville" w:hAnsi="Baskerville" w:cs="Baskerville"/>
                <w:sz w:val="22"/>
                <w:szCs w:val="22"/>
              </w:rPr>
              <w:t>DBHDS has described several changes in initia</w:t>
            </w:r>
            <w:r w:rsidR="008F1FF5">
              <w:rPr>
                <w:rFonts w:ascii="Baskerville" w:hAnsi="Baskerville" w:cs="Baskerville"/>
                <w:sz w:val="22"/>
                <w:szCs w:val="22"/>
              </w:rPr>
              <w:t xml:space="preserve">l implementation: </w:t>
            </w:r>
            <w:r w:rsidR="0083366F">
              <w:rPr>
                <w:rFonts w:ascii="Baskerville" w:hAnsi="Baskerville" w:cs="Baskerville"/>
                <w:sz w:val="22"/>
                <w:szCs w:val="22"/>
              </w:rPr>
              <w:t xml:space="preserve">changes in </w:t>
            </w:r>
            <w:r w:rsidR="002F7A36">
              <w:rPr>
                <w:rFonts w:ascii="Baskerville" w:hAnsi="Baskerville" w:cs="Baskerville"/>
                <w:sz w:val="22"/>
                <w:szCs w:val="22"/>
              </w:rPr>
              <w:t>the ISP,</w:t>
            </w:r>
            <w:r w:rsidR="00F47CB5">
              <w:rPr>
                <w:rFonts w:ascii="Baskerville" w:hAnsi="Baskerville" w:cs="Baskerville"/>
                <w:sz w:val="22"/>
                <w:szCs w:val="22"/>
              </w:rPr>
              <w:t xml:space="preserve"> monitoring changes</w:t>
            </w:r>
            <w:r w:rsidR="004E4562">
              <w:rPr>
                <w:rFonts w:ascii="Baskerville" w:hAnsi="Baskerville" w:cs="Baskerville"/>
                <w:sz w:val="22"/>
                <w:szCs w:val="22"/>
              </w:rPr>
              <w:t>,</w:t>
            </w:r>
            <w:r w:rsidR="00F47CB5">
              <w:rPr>
                <w:rFonts w:ascii="Baskerville" w:hAnsi="Baskerville" w:cs="Baskerville"/>
                <w:sz w:val="22"/>
                <w:szCs w:val="22"/>
              </w:rPr>
              <w:t xml:space="preserve"> and </w:t>
            </w:r>
            <w:r w:rsidR="0083366F">
              <w:rPr>
                <w:rFonts w:ascii="Baskerville" w:hAnsi="Baskerville" w:cs="Baskerville"/>
                <w:sz w:val="22"/>
                <w:szCs w:val="22"/>
              </w:rPr>
              <w:t>training of case manage</w:t>
            </w:r>
            <w:r w:rsidR="0086181C">
              <w:rPr>
                <w:rFonts w:ascii="Baskerville" w:hAnsi="Baskerville" w:cs="Baskerville"/>
                <w:sz w:val="22"/>
                <w:szCs w:val="22"/>
              </w:rPr>
              <w:t>ment supervisors</w:t>
            </w:r>
            <w:r w:rsidR="00F47CB5">
              <w:rPr>
                <w:rFonts w:ascii="Baskerville" w:hAnsi="Baskerville" w:cs="Baskerville"/>
                <w:sz w:val="22"/>
                <w:szCs w:val="22"/>
              </w:rPr>
              <w:t xml:space="preserve">. </w:t>
            </w:r>
            <w:r w:rsidR="00DC7737" w:rsidRPr="00DC7737">
              <w:rPr>
                <w:rFonts w:ascii="Baskerville" w:hAnsi="Baskerville" w:cs="Baskerville"/>
                <w:sz w:val="22"/>
                <w:szCs w:val="22"/>
              </w:rPr>
              <w:t xml:space="preserve">The Commonwealth </w:t>
            </w:r>
            <w:r w:rsidR="00F47CB5" w:rsidRPr="00DC7737">
              <w:rPr>
                <w:rFonts w:ascii="Baskerville" w:hAnsi="Baskerville" w:cs="Baskerville"/>
                <w:sz w:val="22"/>
                <w:szCs w:val="22"/>
              </w:rPr>
              <w:t>expect</w:t>
            </w:r>
            <w:r w:rsidR="00DC7737" w:rsidRPr="00DC7737">
              <w:rPr>
                <w:rFonts w:ascii="Baskerville" w:hAnsi="Baskerville" w:cs="Baskerville"/>
                <w:sz w:val="22"/>
                <w:szCs w:val="22"/>
              </w:rPr>
              <w:t xml:space="preserve">s that meaningful changes </w:t>
            </w:r>
            <w:r w:rsidR="00B21B79">
              <w:rPr>
                <w:rFonts w:ascii="Baskerville" w:hAnsi="Baskerville" w:cs="Baskerville"/>
                <w:sz w:val="22"/>
                <w:szCs w:val="22"/>
              </w:rPr>
              <w:t>in the ISP will be evident</w:t>
            </w:r>
            <w:r w:rsidR="00082D0D">
              <w:rPr>
                <w:rFonts w:ascii="Baskerville" w:hAnsi="Baskerville" w:cs="Baskerville"/>
                <w:sz w:val="22"/>
                <w:szCs w:val="22"/>
              </w:rPr>
              <w:t xml:space="preserve"> </w:t>
            </w:r>
            <w:r w:rsidR="00082D0D" w:rsidRPr="00082D0D">
              <w:rPr>
                <w:rFonts w:ascii="Baskerville" w:hAnsi="Baskerville" w:cs="Baskerville"/>
                <w:sz w:val="22"/>
                <w:szCs w:val="22"/>
                <w:u w:val="single"/>
              </w:rPr>
              <w:t>after</w:t>
            </w:r>
            <w:r w:rsidR="00082D0D">
              <w:rPr>
                <w:rFonts w:ascii="Baskerville" w:hAnsi="Baskerville" w:cs="Baskerville"/>
                <w:sz w:val="22"/>
                <w:szCs w:val="22"/>
              </w:rPr>
              <w:t xml:space="preserve"> the next </w:t>
            </w:r>
            <w:r w:rsidR="00DC7737" w:rsidRPr="00DC7737">
              <w:rPr>
                <w:rFonts w:ascii="Baskerville" w:hAnsi="Baskerville" w:cs="Baskerville"/>
                <w:sz w:val="22"/>
                <w:szCs w:val="22"/>
              </w:rPr>
              <w:t>review period.</w:t>
            </w:r>
            <w:r w:rsidR="00F47CB5">
              <w:rPr>
                <w:rFonts w:ascii="Baskerville" w:hAnsi="Baskerville" w:cs="Baskerville"/>
                <w:b/>
                <w:sz w:val="22"/>
                <w:szCs w:val="22"/>
              </w:rPr>
              <w:t xml:space="preserve"> </w:t>
            </w:r>
          </w:p>
        </w:tc>
      </w:tr>
      <w:tr w:rsidR="0083366F" w:rsidRPr="00DF1E2F" w:rsidTr="0094744A">
        <w:trPr>
          <w:trHeight w:val="1817"/>
        </w:trPr>
        <w:tc>
          <w:tcPr>
            <w:tcW w:w="1530" w:type="dxa"/>
            <w:vAlign w:val="center"/>
          </w:tcPr>
          <w:p w:rsidR="0083366F" w:rsidRPr="00DB77A7" w:rsidRDefault="0083366F" w:rsidP="00CD6372">
            <w:pPr>
              <w:tabs>
                <w:tab w:val="left" w:pos="1440"/>
                <w:tab w:val="left" w:pos="4920"/>
                <w:tab w:val="right" w:pos="8640"/>
              </w:tabs>
              <w:ind w:left="-108" w:right="-108"/>
              <w:jc w:val="center"/>
              <w:rPr>
                <w:rFonts w:ascii="Baskerville" w:hAnsi="Baskerville" w:cs="Baskerville"/>
                <w:b/>
                <w:sz w:val="22"/>
                <w:szCs w:val="22"/>
                <w:u w:val="single"/>
              </w:rPr>
            </w:pPr>
            <w:r w:rsidRPr="00DB77A7">
              <w:rPr>
                <w:rFonts w:ascii="Baskerville" w:hAnsi="Baskerville" w:cs="Baskerville"/>
                <w:b/>
                <w:sz w:val="22"/>
                <w:szCs w:val="22"/>
                <w:u w:val="single"/>
              </w:rPr>
              <w:t>V.F.3.a-f</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Within 12 months of the effective date of this Agreement, the individual’s case manager shall meet with the individual face-to-face at least every 30 days, and at least one such visit every two months must be in the individual’s place of residence, for any individuals (who meet specific criteria).</w:t>
            </w:r>
          </w:p>
        </w:tc>
        <w:tc>
          <w:tcPr>
            <w:tcW w:w="1440" w:type="dxa"/>
          </w:tcPr>
          <w:p w:rsidR="00F50FD5" w:rsidRPr="0000799C" w:rsidRDefault="00F50FD5" w:rsidP="00F50FD5">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ED28A0">
            <w:pPr>
              <w:tabs>
                <w:tab w:val="left" w:pos="1440"/>
                <w:tab w:val="left" w:pos="4920"/>
                <w:tab w:val="right" w:pos="8640"/>
              </w:tabs>
              <w:ind w:left="-108" w:right="-108"/>
              <w:jc w:val="center"/>
              <w:rPr>
                <w:rFonts w:ascii="Baskerville" w:hAnsi="Baskerville" w:cs="Baskerville"/>
                <w:sz w:val="22"/>
                <w:szCs w:val="22"/>
              </w:rPr>
            </w:pPr>
          </w:p>
          <w:p w:rsidR="0083366F" w:rsidRPr="00B15E49" w:rsidRDefault="0083366F" w:rsidP="00ED28A0">
            <w:pPr>
              <w:tabs>
                <w:tab w:val="left" w:pos="1440"/>
                <w:tab w:val="left" w:pos="4920"/>
                <w:tab w:val="right" w:pos="8640"/>
              </w:tabs>
              <w:ind w:left="-108" w:right="-108"/>
              <w:jc w:val="center"/>
              <w:rPr>
                <w:rFonts w:ascii="Baskerville" w:hAnsi="Baskerville" w:cs="Baskerville"/>
                <w:sz w:val="22"/>
                <w:szCs w:val="22"/>
                <w:u w:val="single"/>
              </w:rPr>
            </w:pPr>
            <w:r w:rsidRPr="00B15E49">
              <w:rPr>
                <w:rFonts w:ascii="Baskerville" w:hAnsi="Baskerville" w:cs="Baskerville"/>
                <w:sz w:val="22"/>
                <w:szCs w:val="22"/>
                <w:u w:val="single"/>
              </w:rPr>
              <w:t>Compliance</w:t>
            </w:r>
          </w:p>
          <w:p w:rsidR="0083366F" w:rsidRPr="00DF1E2F" w:rsidRDefault="0083366F" w:rsidP="00ED28A0">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ED28A0">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E32D50" w:rsidRDefault="002B7C37" w:rsidP="00152BAC">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 xml:space="preserve">The IR found that </w:t>
            </w:r>
          </w:p>
          <w:p w:rsidR="0083366F" w:rsidRPr="00DF1E2F" w:rsidRDefault="00E32D50" w:rsidP="00152BAC">
            <w:pPr>
              <w:tabs>
                <w:tab w:val="left" w:pos="1440"/>
                <w:tab w:val="left" w:pos="4920"/>
                <w:tab w:val="right" w:pos="8640"/>
              </w:tabs>
              <w:ind w:right="-108"/>
              <w:rPr>
                <w:rFonts w:ascii="Baskerville" w:hAnsi="Baskerville" w:cs="Baskerville"/>
                <w:sz w:val="22"/>
                <w:szCs w:val="22"/>
              </w:rPr>
            </w:pPr>
            <w:r w:rsidRPr="00E32D50">
              <w:rPr>
                <w:rFonts w:ascii="MS Gothic" w:eastAsia="MS Gothic" w:hAnsi="MS Gothic"/>
                <w:color w:val="000000"/>
                <w:sz w:val="16"/>
                <w:szCs w:val="16"/>
              </w:rPr>
              <w:t>☐</w:t>
            </w:r>
            <w:r>
              <w:rPr>
                <w:rFonts w:ascii="MS Gothic" w:eastAsia="MS Gothic" w:hAnsi="MS Gothic"/>
                <w:color w:val="000000"/>
                <w:sz w:val="16"/>
                <w:szCs w:val="16"/>
              </w:rPr>
              <w:t xml:space="preserve"> </w:t>
            </w:r>
            <w:r w:rsidR="0083366F" w:rsidRPr="00DF1E2F">
              <w:rPr>
                <w:rFonts w:ascii="Baskerville" w:hAnsi="Baskerville" w:cs="Baskerville"/>
                <w:sz w:val="22"/>
                <w:szCs w:val="22"/>
              </w:rPr>
              <w:t xml:space="preserve">47 (100%) </w:t>
            </w:r>
            <w:r w:rsidR="002B7C37">
              <w:rPr>
                <w:rFonts w:ascii="Baskerville" w:hAnsi="Baskerville" w:cs="Baskerville"/>
                <w:sz w:val="22"/>
                <w:szCs w:val="22"/>
              </w:rPr>
              <w:t xml:space="preserve">individuals </w:t>
            </w:r>
            <w:r w:rsidR="0083366F" w:rsidRPr="00DF1E2F">
              <w:rPr>
                <w:rFonts w:ascii="Baskerville" w:hAnsi="Baskerville" w:cs="Baskerville"/>
                <w:sz w:val="22"/>
                <w:szCs w:val="22"/>
              </w:rPr>
              <w:t>who met the eligibility criteria for enhanced cas</w:t>
            </w:r>
            <w:r w:rsidR="00152BAC">
              <w:rPr>
                <w:rFonts w:ascii="Baskerville" w:hAnsi="Baskerville" w:cs="Baskerville"/>
                <w:sz w:val="22"/>
                <w:szCs w:val="22"/>
              </w:rPr>
              <w:t xml:space="preserve">e management received </w:t>
            </w:r>
            <w:r w:rsidR="0083366F" w:rsidRPr="00DF1E2F">
              <w:rPr>
                <w:rFonts w:ascii="Baskerville" w:hAnsi="Baskerville" w:cs="Baskerville"/>
                <w:sz w:val="22"/>
                <w:szCs w:val="22"/>
              </w:rPr>
              <w:t>monthly face-to-face meetings</w:t>
            </w:r>
            <w:r w:rsidR="00152BAC">
              <w:rPr>
                <w:rFonts w:ascii="Baskerville" w:hAnsi="Baskerville" w:cs="Baskerville"/>
                <w:sz w:val="22"/>
                <w:szCs w:val="22"/>
              </w:rPr>
              <w:t xml:space="preserve"> as required</w:t>
            </w:r>
            <w:r w:rsidR="0083366F" w:rsidRPr="00DF1E2F">
              <w:rPr>
                <w:rFonts w:ascii="Baskerville" w:hAnsi="Baskerville" w:cs="Baskerville"/>
                <w:sz w:val="22"/>
                <w:szCs w:val="22"/>
              </w:rPr>
              <w:t>.</w:t>
            </w:r>
          </w:p>
        </w:tc>
      </w:tr>
      <w:tr w:rsidR="0083366F" w:rsidRPr="00DF1E2F" w:rsidTr="0094744A">
        <w:trPr>
          <w:trHeight w:val="3653"/>
        </w:trPr>
        <w:tc>
          <w:tcPr>
            <w:tcW w:w="1530" w:type="dxa"/>
            <w:vAlign w:val="center"/>
          </w:tcPr>
          <w:p w:rsidR="0083366F" w:rsidRPr="00B508ED" w:rsidRDefault="0083366F" w:rsidP="00CD6372">
            <w:pPr>
              <w:tabs>
                <w:tab w:val="left" w:pos="1440"/>
                <w:tab w:val="left" w:pos="4920"/>
                <w:tab w:val="right" w:pos="8640"/>
              </w:tabs>
              <w:ind w:left="-108" w:right="-108"/>
              <w:jc w:val="center"/>
              <w:rPr>
                <w:rFonts w:ascii="Baskerville" w:hAnsi="Baskerville" w:cs="Baskerville"/>
                <w:b/>
                <w:sz w:val="22"/>
                <w:szCs w:val="22"/>
                <w:u w:val="single"/>
              </w:rPr>
            </w:pPr>
            <w:r w:rsidRPr="00B508ED">
              <w:rPr>
                <w:rFonts w:ascii="Baskerville" w:hAnsi="Baskerville" w:cs="Baskerville"/>
                <w:b/>
                <w:sz w:val="22"/>
                <w:szCs w:val="22"/>
                <w:u w:val="single"/>
              </w:rPr>
              <w:t>V.F.4</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Within 12 months from the effective date of this Agreement, the Commonwealth shall establish a mechanism to collect reliable data from the case managers on the number, type, and frequency of case manager contacts with the individual.</w:t>
            </w:r>
          </w:p>
        </w:tc>
        <w:tc>
          <w:tcPr>
            <w:tcW w:w="1440" w:type="dxa"/>
          </w:tcPr>
          <w:p w:rsidR="00245B0C" w:rsidRPr="00B859E2" w:rsidRDefault="00B15E49" w:rsidP="00245B0C">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sz w:val="20"/>
                <w:szCs w:val="20"/>
              </w:rPr>
              <w:t>(</w:t>
            </w:r>
            <w:r w:rsidR="00245B0C" w:rsidRPr="00B859E2">
              <w:rPr>
                <w:rFonts w:ascii="Baskerville" w:hAnsi="Baskerville" w:cs="Baskerville"/>
                <w:sz w:val="20"/>
                <w:szCs w:val="20"/>
              </w:rPr>
              <w:t>Compliance)</w:t>
            </w:r>
          </w:p>
          <w:p w:rsidR="002A05AC" w:rsidRDefault="002A05AC" w:rsidP="00AA09A1">
            <w:pPr>
              <w:tabs>
                <w:tab w:val="left" w:pos="1440"/>
                <w:tab w:val="left" w:pos="4920"/>
                <w:tab w:val="right" w:pos="8640"/>
              </w:tabs>
              <w:ind w:left="-108" w:right="-108"/>
              <w:jc w:val="center"/>
              <w:rPr>
                <w:rFonts w:ascii="Baskerville" w:hAnsi="Baskerville" w:cs="Baskerville"/>
                <w:b/>
                <w:sz w:val="22"/>
                <w:szCs w:val="22"/>
              </w:rPr>
            </w:pPr>
          </w:p>
          <w:p w:rsidR="0083366F" w:rsidRPr="00B15E49" w:rsidRDefault="0083366F" w:rsidP="00AA09A1">
            <w:pPr>
              <w:tabs>
                <w:tab w:val="left" w:pos="1440"/>
                <w:tab w:val="left" w:pos="4920"/>
                <w:tab w:val="right" w:pos="8640"/>
              </w:tabs>
              <w:ind w:left="-108" w:right="-108"/>
              <w:jc w:val="center"/>
              <w:rPr>
                <w:rFonts w:ascii="Baskerville" w:hAnsi="Baskerville" w:cs="Baskerville"/>
                <w:sz w:val="22"/>
                <w:szCs w:val="22"/>
                <w:u w:val="single"/>
              </w:rPr>
            </w:pPr>
            <w:r w:rsidRPr="00B15E49">
              <w:rPr>
                <w:rFonts w:ascii="Baskerville" w:hAnsi="Baskerville" w:cs="Baskerville"/>
                <w:sz w:val="22"/>
                <w:szCs w:val="22"/>
                <w:u w:val="single"/>
              </w:rPr>
              <w:t>Non</w:t>
            </w:r>
          </w:p>
          <w:p w:rsidR="0083366F" w:rsidRPr="00B15E49" w:rsidRDefault="0083366F" w:rsidP="00A45874">
            <w:pPr>
              <w:tabs>
                <w:tab w:val="left" w:pos="1440"/>
                <w:tab w:val="left" w:pos="4920"/>
                <w:tab w:val="right" w:pos="8640"/>
              </w:tabs>
              <w:ind w:left="-108" w:right="-108"/>
              <w:jc w:val="center"/>
              <w:rPr>
                <w:rFonts w:ascii="Baskerville" w:hAnsi="Baskerville" w:cs="Baskerville"/>
                <w:sz w:val="22"/>
                <w:szCs w:val="22"/>
                <w:u w:val="single"/>
              </w:rPr>
            </w:pPr>
            <w:r w:rsidRPr="00B15E49">
              <w:rPr>
                <w:rFonts w:ascii="Baskerville" w:hAnsi="Baskerville" w:cs="Baskerville"/>
                <w:sz w:val="22"/>
                <w:szCs w:val="22"/>
                <w:u w:val="single"/>
              </w:rPr>
              <w:t>Compliance</w:t>
            </w:r>
          </w:p>
          <w:p w:rsidR="0083366F" w:rsidRDefault="0083366F" w:rsidP="00A45874">
            <w:pPr>
              <w:tabs>
                <w:tab w:val="left" w:pos="1440"/>
                <w:tab w:val="left" w:pos="4920"/>
                <w:tab w:val="right" w:pos="8640"/>
              </w:tabs>
              <w:ind w:left="-108" w:right="-108"/>
              <w:jc w:val="center"/>
              <w:rPr>
                <w:rFonts w:ascii="Baskerville" w:hAnsi="Baskerville" w:cs="Baskerville"/>
                <w:sz w:val="22"/>
                <w:szCs w:val="22"/>
              </w:rPr>
            </w:pPr>
          </w:p>
          <w:p w:rsidR="00B15E49" w:rsidRDefault="00B15E49" w:rsidP="00A45874">
            <w:pPr>
              <w:tabs>
                <w:tab w:val="left" w:pos="1440"/>
                <w:tab w:val="left" w:pos="4920"/>
                <w:tab w:val="right" w:pos="8640"/>
              </w:tabs>
              <w:ind w:left="-108" w:right="-108"/>
              <w:jc w:val="center"/>
              <w:rPr>
                <w:rFonts w:ascii="Baskerville" w:hAnsi="Baskerville" w:cs="Baskerville"/>
                <w:sz w:val="22"/>
                <w:szCs w:val="22"/>
              </w:rPr>
            </w:pPr>
          </w:p>
          <w:p w:rsidR="00B15E49" w:rsidRDefault="00B15E49" w:rsidP="00B15E49">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N</w:t>
            </w:r>
            <w:r>
              <w:rPr>
                <w:rFonts w:ascii="Baskerville" w:hAnsi="Baskerville" w:cs="Baskerville"/>
                <w:b/>
                <w:sz w:val="22"/>
                <w:szCs w:val="22"/>
              </w:rPr>
              <w:t>on</w:t>
            </w:r>
          </w:p>
          <w:p w:rsidR="00B15E49" w:rsidRPr="00DF1E2F" w:rsidRDefault="00B15E49" w:rsidP="00B15E49">
            <w:pPr>
              <w:tabs>
                <w:tab w:val="left" w:pos="1440"/>
                <w:tab w:val="left" w:pos="4920"/>
                <w:tab w:val="right" w:pos="8640"/>
              </w:tabs>
              <w:ind w:left="-108" w:right="-108"/>
              <w:jc w:val="center"/>
              <w:rPr>
                <w:rFonts w:ascii="Baskerville" w:hAnsi="Baskerville" w:cs="Baskerville"/>
                <w:sz w:val="22"/>
                <w:szCs w:val="22"/>
              </w:rPr>
            </w:pPr>
            <w:r w:rsidRPr="00DF1E2F">
              <w:rPr>
                <w:rFonts w:ascii="Baskerville" w:hAnsi="Baskerville" w:cs="Baskerville"/>
                <w:b/>
                <w:sz w:val="22"/>
                <w:szCs w:val="22"/>
              </w:rPr>
              <w:t>Compliance</w:t>
            </w:r>
          </w:p>
          <w:p w:rsidR="00B15E49" w:rsidRPr="00DF1E2F" w:rsidRDefault="00B15E49" w:rsidP="00A45874">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C22AFB" w:rsidRDefault="00152BAC" w:rsidP="00152BAC">
            <w:pPr>
              <w:tabs>
                <w:tab w:val="left" w:pos="1440"/>
                <w:tab w:val="left" w:pos="2682"/>
                <w:tab w:val="left" w:pos="4920"/>
                <w:tab w:val="right" w:pos="8640"/>
              </w:tabs>
              <w:ind w:right="72"/>
              <w:rPr>
                <w:rFonts w:ascii="Baskerville" w:hAnsi="Baskerville" w:cs="Baskerville"/>
                <w:sz w:val="22"/>
                <w:szCs w:val="22"/>
              </w:rPr>
            </w:pPr>
            <w:r>
              <w:rPr>
                <w:rFonts w:ascii="Baskerville" w:hAnsi="Baskerville" w:cs="Baskerville"/>
                <w:sz w:val="22"/>
                <w:szCs w:val="22"/>
              </w:rPr>
              <w:t xml:space="preserve">The IR determined that </w:t>
            </w:r>
            <w:r w:rsidR="0069369F" w:rsidRPr="00C22AFB">
              <w:rPr>
                <w:rFonts w:ascii="Baskerville" w:hAnsi="Baskerville" w:cs="Baskerville"/>
                <w:sz w:val="22"/>
                <w:szCs w:val="22"/>
              </w:rPr>
              <w:t xml:space="preserve">DBHDS does not yet have evidence at the policy level that it has reliable mechanism/s to assess CSB compliance with their performance standards relative to case manager contacts. </w:t>
            </w:r>
            <w:r w:rsidR="00B238FE" w:rsidRPr="00C22AFB">
              <w:rPr>
                <w:rFonts w:ascii="Baskerville" w:hAnsi="Baskerville" w:cs="Baskerville"/>
                <w:sz w:val="22"/>
                <w:szCs w:val="22"/>
              </w:rPr>
              <w:t xml:space="preserve">The </w:t>
            </w:r>
            <w:r w:rsidR="00565280" w:rsidRPr="00C22AFB">
              <w:rPr>
                <w:rFonts w:ascii="Baskerville" w:hAnsi="Baskerville" w:cs="Baskerville"/>
                <w:sz w:val="22"/>
                <w:szCs w:val="22"/>
              </w:rPr>
              <w:t xml:space="preserve">DBHDS </w:t>
            </w:r>
            <w:r w:rsidR="00302B5F">
              <w:rPr>
                <w:rFonts w:ascii="Baskerville" w:hAnsi="Baskerville" w:cs="Baskerville"/>
                <w:sz w:val="22"/>
                <w:szCs w:val="22"/>
              </w:rPr>
              <w:t xml:space="preserve">reports that its </w:t>
            </w:r>
            <w:r w:rsidR="00B238FE" w:rsidRPr="00C22AFB">
              <w:rPr>
                <w:rFonts w:ascii="Baskerville" w:hAnsi="Baskerville" w:cs="Baskerville"/>
                <w:sz w:val="22"/>
                <w:szCs w:val="22"/>
              </w:rPr>
              <w:t>Data Dashboard does not yet reliably</w:t>
            </w:r>
            <w:r w:rsidR="00565280" w:rsidRPr="00C22AFB">
              <w:rPr>
                <w:rFonts w:ascii="Baskerville" w:hAnsi="Baskerville" w:cs="Baskerville"/>
                <w:sz w:val="22"/>
                <w:szCs w:val="22"/>
              </w:rPr>
              <w:t xml:space="preserve"> reflect CSB </w:t>
            </w:r>
            <w:r w:rsidR="00302B5F">
              <w:rPr>
                <w:rFonts w:ascii="Baskerville" w:hAnsi="Baskerville" w:cs="Baskerville"/>
                <w:sz w:val="22"/>
                <w:szCs w:val="22"/>
              </w:rPr>
              <w:t>performance due to</w:t>
            </w:r>
            <w:r w:rsidR="00565280" w:rsidRPr="00C22AFB">
              <w:rPr>
                <w:rFonts w:ascii="Baskerville" w:hAnsi="Baskerville" w:cs="Baskerville"/>
                <w:sz w:val="22"/>
                <w:szCs w:val="22"/>
              </w:rPr>
              <w:t xml:space="preserve"> </w:t>
            </w:r>
            <w:r w:rsidR="00131473">
              <w:rPr>
                <w:rFonts w:ascii="Baskerville" w:hAnsi="Baskerville" w:cs="Baskerville"/>
                <w:sz w:val="22"/>
                <w:szCs w:val="22"/>
              </w:rPr>
              <w:t xml:space="preserve">inadequate CSB data </w:t>
            </w:r>
            <w:r w:rsidR="00EC1393">
              <w:rPr>
                <w:rFonts w:ascii="Baskerville" w:hAnsi="Baskerville" w:cs="Baskerville"/>
                <w:sz w:val="22"/>
                <w:szCs w:val="22"/>
              </w:rPr>
              <w:t xml:space="preserve">entry. </w:t>
            </w:r>
          </w:p>
        </w:tc>
      </w:tr>
      <w:tr w:rsidR="0083366F" w:rsidRPr="00DF1E2F" w:rsidTr="0094744A">
        <w:trPr>
          <w:trHeight w:val="3185"/>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V.F.5</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Within 24 months from the date of this Agreement, key indicators from the case manager’s face-to-face visits with the individual, and the case manager’s observation and assessments, shall be reported to the Commonwealth for its review and assessment of data.  Reported key indicators shall capture information regarding both positive and negative outcomes for both health and safety and community integration and will be selected from the relevant domai</w:t>
            </w:r>
            <w:r>
              <w:rPr>
                <w:rFonts w:ascii="Baskerville" w:hAnsi="Baskerville" w:cs="Baskerville"/>
                <w:sz w:val="22"/>
                <w:szCs w:val="22"/>
              </w:rPr>
              <w:t>ns listed in</w:t>
            </w:r>
            <w:r w:rsidRPr="00DF1E2F">
              <w:rPr>
                <w:rFonts w:ascii="Baskerville" w:hAnsi="Baskerville" w:cs="Baskerville"/>
                <w:sz w:val="22"/>
                <w:szCs w:val="22"/>
              </w:rPr>
              <w:t xml:space="preserve"> V.D.3.</w:t>
            </w:r>
          </w:p>
        </w:tc>
        <w:tc>
          <w:tcPr>
            <w:tcW w:w="1440" w:type="dxa"/>
          </w:tcPr>
          <w:p w:rsidR="00DC4305" w:rsidRPr="00DF1E2F" w:rsidRDefault="00DC4305" w:rsidP="00DC4305">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B859E2" w:rsidRDefault="00B859E2" w:rsidP="005C19FA">
            <w:pPr>
              <w:tabs>
                <w:tab w:val="left" w:pos="1440"/>
                <w:tab w:val="left" w:pos="4920"/>
                <w:tab w:val="right" w:pos="8640"/>
              </w:tabs>
              <w:ind w:left="-108" w:right="-108"/>
              <w:jc w:val="center"/>
              <w:rPr>
                <w:rFonts w:ascii="Baskerville" w:hAnsi="Baskerville" w:cs="Baskerville"/>
                <w:b/>
                <w:sz w:val="22"/>
                <w:szCs w:val="22"/>
              </w:rPr>
            </w:pPr>
          </w:p>
          <w:p w:rsidR="0083366F" w:rsidRPr="007A5EF5" w:rsidRDefault="0083366F" w:rsidP="005C19FA">
            <w:pPr>
              <w:tabs>
                <w:tab w:val="left" w:pos="1440"/>
                <w:tab w:val="left" w:pos="4920"/>
                <w:tab w:val="right" w:pos="8640"/>
              </w:tabs>
              <w:ind w:left="-108" w:right="-108"/>
              <w:jc w:val="center"/>
              <w:rPr>
                <w:rFonts w:ascii="Baskerville" w:hAnsi="Baskerville" w:cs="Baskerville"/>
                <w:sz w:val="22"/>
                <w:szCs w:val="22"/>
                <w:u w:val="single"/>
              </w:rPr>
            </w:pPr>
            <w:r w:rsidRPr="007A5EF5">
              <w:rPr>
                <w:rFonts w:ascii="Baskerville" w:hAnsi="Baskerville" w:cs="Baskerville"/>
                <w:sz w:val="22"/>
                <w:szCs w:val="22"/>
                <w:u w:val="single"/>
              </w:rPr>
              <w:t>Non</w:t>
            </w:r>
          </w:p>
          <w:p w:rsidR="0083366F" w:rsidRPr="007A5EF5" w:rsidRDefault="0083366F" w:rsidP="00A45874">
            <w:pPr>
              <w:tabs>
                <w:tab w:val="left" w:pos="1440"/>
                <w:tab w:val="left" w:pos="4920"/>
                <w:tab w:val="right" w:pos="8640"/>
              </w:tabs>
              <w:ind w:left="-108" w:right="-108"/>
              <w:jc w:val="center"/>
              <w:rPr>
                <w:rFonts w:ascii="Baskerville" w:hAnsi="Baskerville" w:cs="Baskerville"/>
                <w:sz w:val="22"/>
                <w:szCs w:val="22"/>
                <w:u w:val="single"/>
              </w:rPr>
            </w:pPr>
            <w:r w:rsidRPr="007A5EF5">
              <w:rPr>
                <w:rFonts w:ascii="Baskerville" w:hAnsi="Baskerville" w:cs="Baskerville"/>
                <w:sz w:val="22"/>
                <w:szCs w:val="22"/>
                <w:u w:val="single"/>
              </w:rPr>
              <w:t>Compliance</w:t>
            </w:r>
          </w:p>
          <w:p w:rsidR="0083366F" w:rsidRPr="00DF1E2F" w:rsidRDefault="0083366F" w:rsidP="00A4587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A45874">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A45874">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782189" w:rsidRDefault="0083366F" w:rsidP="000E198B">
            <w:pPr>
              <w:rPr>
                <w:rFonts w:ascii="Baskerville" w:hAnsi="Baskerville" w:cs="Baskerville"/>
                <w:i/>
                <w:sz w:val="22"/>
                <w:szCs w:val="22"/>
              </w:rPr>
            </w:pPr>
            <w:r w:rsidRPr="00DF1E2F">
              <w:rPr>
                <w:rFonts w:ascii="Baskerville" w:hAnsi="Baskerville" w:cs="Baskerville"/>
                <w:sz w:val="22"/>
                <w:szCs w:val="22"/>
              </w:rPr>
              <w:t>The</w:t>
            </w:r>
            <w:r w:rsidR="00936BD3">
              <w:rPr>
                <w:rFonts w:ascii="Baskerville" w:hAnsi="Baskerville" w:cs="Baskerville"/>
                <w:sz w:val="22"/>
                <w:szCs w:val="22"/>
              </w:rPr>
              <w:t xml:space="preserve"> IR determined that the</w:t>
            </w:r>
            <w:r w:rsidRPr="00DF1E2F">
              <w:rPr>
                <w:rFonts w:ascii="Baskerville" w:hAnsi="Baskerville" w:cs="Baskerville"/>
                <w:sz w:val="22"/>
                <w:szCs w:val="22"/>
              </w:rPr>
              <w:t xml:space="preserve"> key indicators </w:t>
            </w:r>
            <w:r w:rsidR="00936BD3">
              <w:rPr>
                <w:rFonts w:ascii="Baskerville" w:hAnsi="Baskerville" w:cs="Baskerville"/>
                <w:sz w:val="22"/>
                <w:szCs w:val="22"/>
              </w:rPr>
              <w:t xml:space="preserve">developed by DBHDS </w:t>
            </w:r>
            <w:r w:rsidRPr="00DF1E2F">
              <w:rPr>
                <w:rFonts w:ascii="Baskerville" w:hAnsi="Baskerville" w:cs="Baskerville"/>
                <w:sz w:val="22"/>
                <w:szCs w:val="22"/>
              </w:rPr>
              <w:t>do not address specific elements of the case manager’s face-to-face visit observation and assessment</w:t>
            </w:r>
            <w:r>
              <w:rPr>
                <w:rFonts w:ascii="Baskerville" w:hAnsi="Baskerville" w:cs="Baskerville"/>
                <w:sz w:val="22"/>
                <w:szCs w:val="22"/>
              </w:rPr>
              <w:t>s</w:t>
            </w:r>
            <w:r w:rsidRPr="00DF1E2F">
              <w:rPr>
                <w:rFonts w:ascii="Baskerville" w:hAnsi="Baskerville" w:cs="Baskerville"/>
                <w:sz w:val="22"/>
                <w:szCs w:val="22"/>
              </w:rPr>
              <w:t xml:space="preserve">. </w:t>
            </w:r>
            <w:r>
              <w:rPr>
                <w:rFonts w:ascii="Baskerville" w:hAnsi="Baskerville" w:cs="Baskerville"/>
                <w:sz w:val="22"/>
                <w:szCs w:val="22"/>
              </w:rPr>
              <w:t>For example, t</w:t>
            </w:r>
            <w:r w:rsidRPr="00DF1E2F">
              <w:rPr>
                <w:rFonts w:ascii="Baskerville" w:hAnsi="Baskerville" w:cs="Baskerville"/>
                <w:sz w:val="22"/>
                <w:szCs w:val="22"/>
              </w:rPr>
              <w:t>here are no plans to address the halo effect of case managers skewing reports to the positive.</w:t>
            </w:r>
            <w:r w:rsidR="008A3328">
              <w:rPr>
                <w:rFonts w:ascii="Baskerville" w:hAnsi="Baskerville" w:cs="Baskerville"/>
                <w:sz w:val="22"/>
                <w:szCs w:val="22"/>
              </w:rPr>
              <w:t xml:space="preserve"> </w:t>
            </w:r>
          </w:p>
          <w:p w:rsidR="00E32D50" w:rsidRPr="00DF1E2F" w:rsidRDefault="00E32D50" w:rsidP="000E198B">
            <w:pPr>
              <w:rPr>
                <w:rFonts w:ascii="Baskerville" w:hAnsi="Baskerville" w:cs="Baskerville"/>
                <w:sz w:val="22"/>
                <w:szCs w:val="22"/>
              </w:rPr>
            </w:pPr>
          </w:p>
        </w:tc>
      </w:tr>
      <w:tr w:rsidR="0083366F" w:rsidRPr="00DF1E2F" w:rsidTr="0094744A">
        <w:trPr>
          <w:trHeight w:val="1889"/>
        </w:trPr>
        <w:tc>
          <w:tcPr>
            <w:tcW w:w="1530" w:type="dxa"/>
            <w:vAlign w:val="center"/>
          </w:tcPr>
          <w:p w:rsidR="0083366F" w:rsidRPr="00DF1E2F" w:rsidRDefault="0083366F" w:rsidP="00CD6372">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V.F.6</w:t>
            </w:r>
          </w:p>
        </w:tc>
        <w:tc>
          <w:tcPr>
            <w:tcW w:w="4320" w:type="dxa"/>
          </w:tcPr>
          <w:p w:rsidR="00E32D50" w:rsidRPr="00DF1E2F" w:rsidRDefault="0083366F" w:rsidP="007E3542">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develop a statewide core competency-based training curriculum for case managers within 12 months of the effective date of this Agreement.  This training shall be built on the principles of self-determination and person-centeredness.</w:t>
            </w:r>
          </w:p>
        </w:tc>
        <w:tc>
          <w:tcPr>
            <w:tcW w:w="1440" w:type="dxa"/>
          </w:tcPr>
          <w:p w:rsidR="00F50FD5" w:rsidRPr="0000799C" w:rsidRDefault="00F50FD5" w:rsidP="00F50FD5">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C702ED">
            <w:pPr>
              <w:tabs>
                <w:tab w:val="left" w:pos="1440"/>
                <w:tab w:val="left" w:pos="4920"/>
                <w:tab w:val="right" w:pos="8640"/>
              </w:tabs>
              <w:ind w:left="-108" w:right="-108"/>
              <w:jc w:val="center"/>
              <w:rPr>
                <w:rFonts w:ascii="Baskerville" w:hAnsi="Baskerville" w:cs="Baskerville"/>
                <w:sz w:val="22"/>
                <w:szCs w:val="22"/>
              </w:rPr>
            </w:pPr>
          </w:p>
          <w:p w:rsidR="0083366F" w:rsidRPr="001D75C1" w:rsidRDefault="0083366F" w:rsidP="006464DF">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Compliance</w:t>
            </w:r>
          </w:p>
          <w:p w:rsidR="0083366F" w:rsidRPr="00DF1E2F" w:rsidRDefault="0083366F" w:rsidP="006464DF">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6464DF">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F37639">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The Commonwealth developed the curriculum with training modules that include the principles of self- determination.</w:t>
            </w:r>
          </w:p>
        </w:tc>
      </w:tr>
      <w:tr w:rsidR="0083366F" w:rsidRPr="00DF1E2F" w:rsidTr="0094744A">
        <w:trPr>
          <w:trHeight w:val="1106"/>
        </w:trPr>
        <w:tc>
          <w:tcPr>
            <w:tcW w:w="1530" w:type="dxa"/>
            <w:vAlign w:val="center"/>
          </w:tcPr>
          <w:p w:rsidR="0083366F" w:rsidRPr="00D515EA" w:rsidRDefault="0083366F" w:rsidP="00CD6372">
            <w:pPr>
              <w:tabs>
                <w:tab w:val="left" w:pos="1440"/>
                <w:tab w:val="left" w:pos="4920"/>
                <w:tab w:val="right" w:pos="8640"/>
              </w:tabs>
              <w:ind w:left="-108" w:right="-108"/>
              <w:jc w:val="center"/>
              <w:rPr>
                <w:rFonts w:ascii="Baskerville" w:hAnsi="Baskerville" w:cs="Baskerville"/>
                <w:b/>
                <w:sz w:val="22"/>
                <w:szCs w:val="22"/>
                <w:u w:val="single"/>
              </w:rPr>
            </w:pPr>
            <w:r w:rsidRPr="00D515EA">
              <w:rPr>
                <w:rFonts w:ascii="Baskerville" w:hAnsi="Baskerville" w:cs="Baskerville"/>
                <w:b/>
                <w:sz w:val="22"/>
                <w:szCs w:val="22"/>
                <w:u w:val="single"/>
              </w:rPr>
              <w:t>V.G.1</w:t>
            </w:r>
          </w:p>
        </w:tc>
        <w:tc>
          <w:tcPr>
            <w:tcW w:w="4320" w:type="dxa"/>
          </w:tcPr>
          <w:p w:rsidR="00E32D50" w:rsidRPr="00DF1E2F" w:rsidRDefault="0083366F" w:rsidP="00416B46">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conduct regular, unannounced licensing inspections of community providers serving individuals receiving services under this Agreement.</w:t>
            </w:r>
          </w:p>
        </w:tc>
        <w:tc>
          <w:tcPr>
            <w:tcW w:w="1440" w:type="dxa"/>
          </w:tcPr>
          <w:p w:rsidR="00F50FD5" w:rsidRDefault="00F50FD5" w:rsidP="00F50FD5">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1D75C1" w:rsidRPr="0000799C" w:rsidRDefault="001D75C1" w:rsidP="00F50FD5">
            <w:pPr>
              <w:tabs>
                <w:tab w:val="left" w:pos="1692"/>
                <w:tab w:val="left" w:pos="4920"/>
                <w:tab w:val="right" w:pos="8640"/>
              </w:tabs>
              <w:ind w:left="-108" w:right="-108"/>
              <w:jc w:val="center"/>
              <w:rPr>
                <w:rFonts w:ascii="Baskerville" w:hAnsi="Baskerville" w:cs="Baskerville"/>
                <w:sz w:val="20"/>
                <w:szCs w:val="20"/>
              </w:rPr>
            </w:pPr>
          </w:p>
          <w:p w:rsidR="0083366F" w:rsidRPr="001D75C1" w:rsidRDefault="0083366F" w:rsidP="006F6966">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Compliance</w:t>
            </w:r>
          </w:p>
          <w:p w:rsidR="0083366F" w:rsidRPr="00DF1E2F" w:rsidRDefault="0083366F" w:rsidP="006F6966">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F37639">
            <w:pPr>
              <w:tabs>
                <w:tab w:val="left" w:pos="1440"/>
                <w:tab w:val="left" w:pos="4920"/>
                <w:tab w:val="right" w:pos="8640"/>
              </w:tabs>
              <w:ind w:right="72"/>
              <w:rPr>
                <w:rFonts w:ascii="Baskerville" w:hAnsi="Baskerville" w:cs="Baskerville"/>
                <w:sz w:val="22"/>
                <w:szCs w:val="22"/>
              </w:rPr>
            </w:pPr>
            <w:r w:rsidRPr="00DF1E2F">
              <w:rPr>
                <w:rFonts w:ascii="Baskerville" w:hAnsi="Baskerville" w:cs="Baskerville"/>
                <w:sz w:val="22"/>
                <w:szCs w:val="22"/>
              </w:rPr>
              <w:t xml:space="preserve">DBHDS unannounced licensing inspections </w:t>
            </w:r>
            <w:r w:rsidR="00EE23EB">
              <w:rPr>
                <w:rFonts w:ascii="Baskerville" w:hAnsi="Baskerville" w:cs="Baskerville"/>
                <w:sz w:val="22"/>
                <w:szCs w:val="22"/>
              </w:rPr>
              <w:t xml:space="preserve">continue to </w:t>
            </w:r>
            <w:r w:rsidRPr="00DF1E2F">
              <w:rPr>
                <w:rFonts w:ascii="Baskerville" w:hAnsi="Baskerville" w:cs="Baskerville"/>
                <w:sz w:val="22"/>
                <w:szCs w:val="22"/>
              </w:rPr>
              <w:t>occur regularly.</w:t>
            </w:r>
          </w:p>
        </w:tc>
      </w:tr>
      <w:tr w:rsidR="0083366F" w:rsidRPr="00DF1E2F" w:rsidTr="0094744A">
        <w:trPr>
          <w:trHeight w:val="1349"/>
        </w:trPr>
        <w:tc>
          <w:tcPr>
            <w:tcW w:w="1530" w:type="dxa"/>
            <w:vAlign w:val="center"/>
          </w:tcPr>
          <w:p w:rsidR="0083366F" w:rsidRPr="00D515EA" w:rsidRDefault="0083366F" w:rsidP="00CD6372">
            <w:pPr>
              <w:tabs>
                <w:tab w:val="left" w:pos="1242"/>
                <w:tab w:val="left" w:pos="1440"/>
                <w:tab w:val="left" w:pos="4920"/>
                <w:tab w:val="right" w:pos="8640"/>
              </w:tabs>
              <w:ind w:left="-108" w:right="-108"/>
              <w:jc w:val="center"/>
              <w:rPr>
                <w:rFonts w:ascii="Baskerville" w:hAnsi="Baskerville" w:cs="Baskerville"/>
                <w:b/>
                <w:sz w:val="22"/>
                <w:szCs w:val="22"/>
                <w:u w:val="single"/>
              </w:rPr>
            </w:pPr>
            <w:r w:rsidRPr="00D515EA">
              <w:rPr>
                <w:rFonts w:ascii="Baskerville" w:hAnsi="Baskerville" w:cs="Baskerville"/>
                <w:b/>
                <w:sz w:val="22"/>
                <w:szCs w:val="22"/>
                <w:u w:val="single"/>
              </w:rPr>
              <w:t>V.G.2.a-f</w:t>
            </w:r>
          </w:p>
        </w:tc>
        <w:tc>
          <w:tcPr>
            <w:tcW w:w="4320" w:type="dxa"/>
          </w:tcPr>
          <w:p w:rsidR="00E32D50" w:rsidRPr="00DF1E2F" w:rsidRDefault="0083366F" w:rsidP="00B274A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Within 12 months of the effective date of this Agreement, the Commonwealth shall have and implement a process to conduct more frequent licensure inspections of community providers serving </w:t>
            </w:r>
            <w:r>
              <w:rPr>
                <w:rFonts w:ascii="Baskerville" w:hAnsi="Baskerville" w:cs="Baskerville"/>
                <w:sz w:val="22"/>
                <w:szCs w:val="22"/>
              </w:rPr>
              <w:t>individuals ..</w:t>
            </w:r>
            <w:r w:rsidRPr="00DF1E2F">
              <w:rPr>
                <w:rFonts w:ascii="Baskerville" w:hAnsi="Baskerville" w:cs="Baskerville"/>
                <w:sz w:val="22"/>
                <w:szCs w:val="22"/>
              </w:rPr>
              <w:t>.</w:t>
            </w:r>
          </w:p>
        </w:tc>
        <w:tc>
          <w:tcPr>
            <w:tcW w:w="1440" w:type="dxa"/>
          </w:tcPr>
          <w:p w:rsidR="00F50FD5" w:rsidRPr="0000799C" w:rsidRDefault="00F50FD5" w:rsidP="00F50FD5">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83366F" w:rsidRPr="00DF1E2F" w:rsidRDefault="0083366F" w:rsidP="00570C5F">
            <w:pPr>
              <w:tabs>
                <w:tab w:val="left" w:pos="1440"/>
                <w:tab w:val="left" w:pos="4920"/>
                <w:tab w:val="right" w:pos="8640"/>
              </w:tabs>
              <w:ind w:left="-108" w:right="-108"/>
              <w:jc w:val="center"/>
              <w:rPr>
                <w:rFonts w:ascii="Baskerville" w:hAnsi="Baskerville" w:cs="Baskerville"/>
                <w:sz w:val="22"/>
                <w:szCs w:val="22"/>
              </w:rPr>
            </w:pPr>
          </w:p>
          <w:p w:rsidR="0083366F" w:rsidRPr="001D75C1" w:rsidRDefault="0083366F" w:rsidP="00570C5F">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Compliance</w:t>
            </w:r>
          </w:p>
          <w:p w:rsidR="0083366F" w:rsidRPr="00DF1E2F" w:rsidRDefault="0083366F" w:rsidP="00E317DA">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83366F" w:rsidP="00EE23EB">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DBHDS </w:t>
            </w:r>
            <w:r w:rsidR="00EE23EB">
              <w:rPr>
                <w:rFonts w:ascii="Baskerville" w:hAnsi="Baskerville" w:cs="Baskerville"/>
                <w:sz w:val="22"/>
                <w:szCs w:val="22"/>
              </w:rPr>
              <w:t xml:space="preserve">has maintained </w:t>
            </w:r>
            <w:r w:rsidRPr="00DF1E2F">
              <w:rPr>
                <w:rFonts w:ascii="Baskerville" w:hAnsi="Baskerville" w:cs="Baskerville"/>
                <w:sz w:val="22"/>
                <w:szCs w:val="22"/>
              </w:rPr>
              <w:t>a licensing inspection process with more frequent inspections.</w:t>
            </w:r>
          </w:p>
        </w:tc>
      </w:tr>
      <w:tr w:rsidR="0083366F" w:rsidRPr="00DF1E2F" w:rsidTr="0094744A">
        <w:trPr>
          <w:trHeight w:val="3140"/>
        </w:trPr>
        <w:tc>
          <w:tcPr>
            <w:tcW w:w="1530" w:type="dxa"/>
            <w:vAlign w:val="center"/>
          </w:tcPr>
          <w:p w:rsidR="0083366F" w:rsidRPr="00EE23EB" w:rsidRDefault="0083366F" w:rsidP="00CD6372">
            <w:pPr>
              <w:tabs>
                <w:tab w:val="left" w:pos="1242"/>
                <w:tab w:val="left" w:pos="1440"/>
                <w:tab w:val="left" w:pos="4920"/>
                <w:tab w:val="right" w:pos="8640"/>
              </w:tabs>
              <w:ind w:left="-108" w:right="-108"/>
              <w:jc w:val="center"/>
              <w:rPr>
                <w:rFonts w:ascii="Baskerville" w:hAnsi="Baskerville" w:cs="Baskerville"/>
                <w:b/>
                <w:sz w:val="22"/>
                <w:szCs w:val="22"/>
                <w:u w:val="single"/>
              </w:rPr>
            </w:pPr>
            <w:r w:rsidRPr="00EE23EB">
              <w:rPr>
                <w:rFonts w:ascii="Baskerville" w:hAnsi="Baskerville" w:cs="Baskerville"/>
                <w:b/>
                <w:sz w:val="22"/>
                <w:szCs w:val="22"/>
                <w:u w:val="single"/>
              </w:rPr>
              <w:t>V.G.3</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Within 12 months of the effective date of this Agreement, the Commonwealth shall ensure that the licensure process assesses the adequacy of the individualized supports and services provided to persons receiving services under this Agreement in each of the domains listed in Section V.D.3 above and that these data and assessments are reported to DBHDS.</w:t>
            </w:r>
          </w:p>
        </w:tc>
        <w:tc>
          <w:tcPr>
            <w:tcW w:w="1440" w:type="dxa"/>
          </w:tcPr>
          <w:p w:rsidR="00B859E2" w:rsidRPr="00B859E2" w:rsidRDefault="00B859E2" w:rsidP="00B859E2">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 xml:space="preserve">(Non </w:t>
            </w:r>
          </w:p>
          <w:p w:rsidR="0083366F" w:rsidRPr="001D75C1" w:rsidRDefault="00B859E2" w:rsidP="006B280C">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Compliance)</w:t>
            </w:r>
          </w:p>
          <w:p w:rsidR="0083366F" w:rsidRDefault="0083366F" w:rsidP="006B280C">
            <w:pPr>
              <w:tabs>
                <w:tab w:val="left" w:pos="1440"/>
                <w:tab w:val="left" w:pos="4920"/>
                <w:tab w:val="right" w:pos="8640"/>
              </w:tabs>
              <w:ind w:left="-108" w:right="-108"/>
              <w:jc w:val="center"/>
              <w:rPr>
                <w:rFonts w:ascii="Baskerville" w:hAnsi="Baskerville" w:cs="Baskerville"/>
                <w:b/>
                <w:sz w:val="22"/>
                <w:szCs w:val="22"/>
              </w:rPr>
            </w:pPr>
          </w:p>
          <w:p w:rsidR="0083366F" w:rsidRPr="001D75C1" w:rsidRDefault="0083366F" w:rsidP="00570C5F">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Non</w:t>
            </w:r>
          </w:p>
          <w:p w:rsidR="0083366F" w:rsidRPr="001D75C1" w:rsidRDefault="0083366F" w:rsidP="00570C5F">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Compliance</w:t>
            </w:r>
          </w:p>
          <w:p w:rsidR="0083366F" w:rsidRPr="00DF1E2F" w:rsidRDefault="0083366F" w:rsidP="006B280C">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6B280C">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7E3542" w:rsidRPr="00DF1E2F" w:rsidRDefault="0083366F" w:rsidP="00B274AA">
            <w:pPr>
              <w:rPr>
                <w:rFonts w:ascii="Baskerville" w:hAnsi="Baskerville" w:cs="Baskerville"/>
                <w:sz w:val="22"/>
                <w:szCs w:val="22"/>
              </w:rPr>
            </w:pPr>
            <w:r w:rsidRPr="00BC264E">
              <w:rPr>
                <w:rFonts w:ascii="Baskerville" w:hAnsi="Baskerville" w:cs="Baskerville"/>
                <w:sz w:val="22"/>
                <w:szCs w:val="22"/>
              </w:rPr>
              <w:t xml:space="preserve">The DBHDS Licensing protocol does not align with the Agreement’s requirements. </w:t>
            </w:r>
            <w:r w:rsidR="00A952E7" w:rsidRPr="00BC264E">
              <w:rPr>
                <w:rFonts w:ascii="Baskerville" w:hAnsi="Baskerville" w:cs="Baskerville"/>
                <w:sz w:val="22"/>
                <w:szCs w:val="22"/>
              </w:rPr>
              <w:t xml:space="preserve">DBHDS has created a </w:t>
            </w:r>
            <w:r w:rsidR="00F84AA3" w:rsidRPr="00BC264E">
              <w:rPr>
                <w:rFonts w:ascii="Baskerville" w:hAnsi="Baskerville" w:cs="Baskerville"/>
                <w:sz w:val="22"/>
                <w:szCs w:val="22"/>
              </w:rPr>
              <w:t xml:space="preserve">new </w:t>
            </w:r>
            <w:r w:rsidR="0035369C">
              <w:rPr>
                <w:rFonts w:ascii="Baskerville" w:hAnsi="Baskerville" w:cs="Baskerville"/>
                <w:sz w:val="22"/>
                <w:szCs w:val="22"/>
              </w:rPr>
              <w:t>three</w:t>
            </w:r>
            <w:r w:rsidR="00A952E7" w:rsidRPr="00BC264E">
              <w:rPr>
                <w:rFonts w:ascii="Baskerville" w:hAnsi="Baskerville" w:cs="Baskerville"/>
                <w:sz w:val="22"/>
                <w:szCs w:val="22"/>
              </w:rPr>
              <w:t>-part monitoring process</w:t>
            </w:r>
            <w:r w:rsidR="0046656E" w:rsidRPr="00BC264E">
              <w:rPr>
                <w:rFonts w:ascii="Baskerville" w:hAnsi="Baskerville" w:cs="Baskerville"/>
                <w:sz w:val="22"/>
                <w:szCs w:val="22"/>
              </w:rPr>
              <w:t xml:space="preserve"> </w:t>
            </w:r>
            <w:r w:rsidR="00F84AA3" w:rsidRPr="00BC264E">
              <w:rPr>
                <w:rFonts w:ascii="Baskerville" w:hAnsi="Baskerville" w:cs="Baskerville"/>
                <w:sz w:val="22"/>
                <w:szCs w:val="22"/>
              </w:rPr>
              <w:t xml:space="preserve">focused </w:t>
            </w:r>
            <w:r w:rsidR="00BC264E">
              <w:rPr>
                <w:rFonts w:ascii="Baskerville" w:hAnsi="Baskerville" w:cs="Baskerville"/>
                <w:sz w:val="22"/>
                <w:szCs w:val="22"/>
              </w:rPr>
              <w:t xml:space="preserve">in part </w:t>
            </w:r>
            <w:r w:rsidR="00F84AA3" w:rsidRPr="00BC264E">
              <w:rPr>
                <w:rFonts w:ascii="Baskerville" w:hAnsi="Baskerville" w:cs="Baskerville"/>
                <w:sz w:val="22"/>
                <w:szCs w:val="22"/>
              </w:rPr>
              <w:t>on the adequacy of supports. The outcomes of these revised processes will determine their effectiveness.</w:t>
            </w:r>
            <w:r w:rsidR="0046656E" w:rsidRPr="00BC264E">
              <w:rPr>
                <w:rFonts w:ascii="Baskerville" w:hAnsi="Baskerville" w:cs="Baskerville"/>
                <w:sz w:val="22"/>
                <w:szCs w:val="22"/>
              </w:rPr>
              <w:t xml:space="preserve"> </w:t>
            </w:r>
            <w:r w:rsidR="00F84AA3" w:rsidRPr="00BC264E">
              <w:rPr>
                <w:rFonts w:ascii="Baskerville" w:hAnsi="Baskerville" w:cs="Baskerville"/>
                <w:sz w:val="22"/>
                <w:szCs w:val="22"/>
              </w:rPr>
              <w:t>T</w:t>
            </w:r>
            <w:r w:rsidR="00BC264E" w:rsidRPr="00BC264E">
              <w:rPr>
                <w:rFonts w:ascii="Baskerville" w:hAnsi="Baskerville" w:cs="Baskerville"/>
                <w:sz w:val="22"/>
                <w:szCs w:val="22"/>
              </w:rPr>
              <w:t>o date there are</w:t>
            </w:r>
            <w:r w:rsidR="00F84AA3" w:rsidRPr="00BC264E">
              <w:rPr>
                <w:rFonts w:ascii="Baskerville" w:hAnsi="Baskerville" w:cs="Baskerville"/>
                <w:sz w:val="22"/>
                <w:szCs w:val="22"/>
              </w:rPr>
              <w:t xml:space="preserve"> no data to confirm that this is the case.</w:t>
            </w:r>
          </w:p>
        </w:tc>
      </w:tr>
      <w:tr w:rsidR="0083366F" w:rsidRPr="00DF1E2F" w:rsidTr="0094744A">
        <w:trPr>
          <w:trHeight w:val="4490"/>
        </w:trPr>
        <w:tc>
          <w:tcPr>
            <w:tcW w:w="1530" w:type="dxa"/>
            <w:vAlign w:val="center"/>
          </w:tcPr>
          <w:p w:rsidR="0083366F" w:rsidRPr="00DF1E2F" w:rsidRDefault="0083366F" w:rsidP="0046479A">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V.H.1</w:t>
            </w:r>
          </w:p>
        </w:tc>
        <w:tc>
          <w:tcPr>
            <w:tcW w:w="4320" w:type="dxa"/>
          </w:tcPr>
          <w:p w:rsidR="0083366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have a statewide core competency-based training curriculum for all staff who provide services under this Agreement.  The training shall include person-centered practices, community integration and self –determination awareness, and required elements of service training.</w:t>
            </w:r>
          </w:p>
          <w:p w:rsidR="008D471C" w:rsidRPr="00DF1E2F" w:rsidRDefault="008D471C" w:rsidP="004B279A">
            <w:pPr>
              <w:pStyle w:val="ListParagraph"/>
              <w:ind w:left="0"/>
              <w:contextualSpacing w:val="0"/>
              <w:rPr>
                <w:rFonts w:ascii="Baskerville" w:hAnsi="Baskerville" w:cs="Baskerville"/>
                <w:sz w:val="22"/>
                <w:szCs w:val="22"/>
              </w:rPr>
            </w:pPr>
          </w:p>
        </w:tc>
        <w:tc>
          <w:tcPr>
            <w:tcW w:w="1440" w:type="dxa"/>
          </w:tcPr>
          <w:p w:rsidR="003F62E6" w:rsidRDefault="00DC4305" w:rsidP="00BC08BB">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2E1792" w:rsidRDefault="002E1792" w:rsidP="00BC08BB">
            <w:pPr>
              <w:tabs>
                <w:tab w:val="left" w:pos="1440"/>
                <w:tab w:val="left" w:pos="4920"/>
                <w:tab w:val="right" w:pos="8640"/>
              </w:tabs>
              <w:ind w:left="-108" w:right="-108"/>
              <w:jc w:val="center"/>
              <w:rPr>
                <w:rFonts w:ascii="Baskerville" w:hAnsi="Baskerville" w:cs="Baskerville"/>
                <w:b/>
                <w:sz w:val="22"/>
                <w:szCs w:val="22"/>
              </w:rPr>
            </w:pPr>
          </w:p>
          <w:p w:rsidR="0083366F" w:rsidRPr="001D75C1" w:rsidRDefault="0083366F" w:rsidP="008D471C">
            <w:pPr>
              <w:tabs>
                <w:tab w:val="left" w:pos="1440"/>
                <w:tab w:val="left" w:pos="4920"/>
                <w:tab w:val="right" w:pos="8640"/>
              </w:tabs>
              <w:ind w:left="-108" w:right="-108"/>
              <w:jc w:val="center"/>
              <w:rPr>
                <w:rFonts w:ascii="Baskerville" w:hAnsi="Baskerville" w:cs="Baskerville"/>
                <w:sz w:val="22"/>
                <w:szCs w:val="22"/>
                <w:u w:val="single"/>
              </w:rPr>
            </w:pPr>
            <w:r w:rsidRPr="001D75C1">
              <w:rPr>
                <w:rFonts w:ascii="Baskerville" w:hAnsi="Baskerville" w:cs="Baskerville"/>
                <w:sz w:val="22"/>
                <w:szCs w:val="22"/>
                <w:u w:val="single"/>
              </w:rPr>
              <w:t>Non</w:t>
            </w:r>
            <w:r w:rsidR="008D471C">
              <w:rPr>
                <w:rFonts w:ascii="Baskerville" w:hAnsi="Baskerville" w:cs="Baskerville"/>
                <w:sz w:val="22"/>
                <w:szCs w:val="22"/>
                <w:u w:val="single"/>
              </w:rPr>
              <w:t xml:space="preserve"> </w:t>
            </w:r>
            <w:r w:rsidRPr="001D75C1">
              <w:rPr>
                <w:rFonts w:ascii="Baskerville" w:hAnsi="Baskerville" w:cs="Baskerville"/>
                <w:sz w:val="22"/>
                <w:szCs w:val="22"/>
                <w:u w:val="single"/>
              </w:rPr>
              <w:t>Compliance</w:t>
            </w:r>
          </w:p>
          <w:p w:rsidR="0083366F" w:rsidRPr="00DF1E2F" w:rsidRDefault="0083366F" w:rsidP="00C329D6">
            <w:pPr>
              <w:tabs>
                <w:tab w:val="left" w:pos="1404"/>
                <w:tab w:val="left" w:pos="1440"/>
                <w:tab w:val="left" w:pos="4920"/>
                <w:tab w:val="right" w:pos="8640"/>
              </w:tabs>
              <w:ind w:left="-108" w:right="-108"/>
              <w:jc w:val="center"/>
              <w:rPr>
                <w:rFonts w:ascii="Baskerville" w:hAnsi="Baskerville" w:cs="Baskerville"/>
                <w:sz w:val="22"/>
                <w:szCs w:val="22"/>
              </w:rPr>
            </w:pPr>
          </w:p>
          <w:p w:rsidR="002E1792" w:rsidRDefault="002E1792" w:rsidP="00C329D6">
            <w:pPr>
              <w:tabs>
                <w:tab w:val="left" w:pos="1404"/>
                <w:tab w:val="left" w:pos="1440"/>
                <w:tab w:val="left" w:pos="4920"/>
                <w:tab w:val="right" w:pos="8640"/>
              </w:tabs>
              <w:ind w:left="-108" w:right="-108"/>
              <w:jc w:val="center"/>
              <w:rPr>
                <w:rFonts w:ascii="Baskerville" w:hAnsi="Baskerville" w:cs="Baskerville"/>
                <w:b/>
                <w:sz w:val="22"/>
                <w:szCs w:val="22"/>
              </w:rPr>
            </w:pPr>
          </w:p>
          <w:p w:rsidR="002E1792" w:rsidRDefault="002E1792" w:rsidP="00C329D6">
            <w:pPr>
              <w:tabs>
                <w:tab w:val="left" w:pos="1404"/>
                <w:tab w:val="left" w:pos="1440"/>
                <w:tab w:val="left" w:pos="4920"/>
                <w:tab w:val="right" w:pos="8640"/>
              </w:tabs>
              <w:ind w:left="-108" w:right="-108"/>
              <w:jc w:val="center"/>
              <w:rPr>
                <w:rFonts w:ascii="Baskerville" w:hAnsi="Baskerville" w:cs="Baskerville"/>
                <w:b/>
                <w:sz w:val="22"/>
                <w:szCs w:val="22"/>
              </w:rPr>
            </w:pPr>
          </w:p>
          <w:p w:rsidR="002E1792" w:rsidRDefault="002E1792" w:rsidP="00C329D6">
            <w:pPr>
              <w:tabs>
                <w:tab w:val="left" w:pos="1404"/>
                <w:tab w:val="left" w:pos="1440"/>
                <w:tab w:val="left" w:pos="4920"/>
                <w:tab w:val="right" w:pos="8640"/>
              </w:tabs>
              <w:ind w:left="-108" w:right="-108"/>
              <w:jc w:val="center"/>
              <w:rPr>
                <w:rFonts w:ascii="Baskerville" w:hAnsi="Baskerville" w:cs="Baskerville"/>
                <w:b/>
                <w:sz w:val="22"/>
                <w:szCs w:val="22"/>
              </w:rPr>
            </w:pPr>
          </w:p>
          <w:p w:rsidR="002E1792" w:rsidRDefault="002E1792" w:rsidP="00C329D6">
            <w:pPr>
              <w:tabs>
                <w:tab w:val="left" w:pos="1404"/>
                <w:tab w:val="left" w:pos="1440"/>
                <w:tab w:val="left" w:pos="4920"/>
                <w:tab w:val="right" w:pos="8640"/>
              </w:tabs>
              <w:ind w:left="-108" w:right="-108"/>
              <w:jc w:val="center"/>
              <w:rPr>
                <w:rFonts w:ascii="Baskerville" w:hAnsi="Baskerville" w:cs="Baskerville"/>
                <w:b/>
                <w:sz w:val="22"/>
                <w:szCs w:val="22"/>
              </w:rPr>
            </w:pPr>
          </w:p>
          <w:p w:rsidR="0083366F" w:rsidRPr="008D471C" w:rsidRDefault="008D471C" w:rsidP="00C329D6">
            <w:pPr>
              <w:tabs>
                <w:tab w:val="left" w:pos="1404"/>
                <w:tab w:val="left" w:pos="1440"/>
                <w:tab w:val="left" w:pos="4920"/>
                <w:tab w:val="right" w:pos="8640"/>
              </w:tabs>
              <w:ind w:left="-108" w:right="-108"/>
              <w:jc w:val="center"/>
              <w:rPr>
                <w:rFonts w:ascii="Baskerville" w:hAnsi="Baskerville" w:cs="Baskerville"/>
                <w:b/>
                <w:sz w:val="22"/>
                <w:szCs w:val="22"/>
              </w:rPr>
            </w:pPr>
            <w:r w:rsidRPr="008D471C">
              <w:rPr>
                <w:rFonts w:ascii="Baskerville" w:hAnsi="Baskerville" w:cs="Baskerville"/>
                <w:b/>
                <w:sz w:val="22"/>
                <w:szCs w:val="22"/>
              </w:rPr>
              <w:t>Non</w:t>
            </w:r>
          </w:p>
          <w:p w:rsidR="008D471C" w:rsidRPr="008D471C" w:rsidRDefault="008D471C" w:rsidP="00C329D6">
            <w:pPr>
              <w:tabs>
                <w:tab w:val="left" w:pos="1404"/>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Compliance</w:t>
            </w:r>
          </w:p>
          <w:p w:rsidR="0083366F" w:rsidRPr="00DF1E2F" w:rsidRDefault="0083366F" w:rsidP="00C329D6">
            <w:pPr>
              <w:tabs>
                <w:tab w:val="left" w:pos="1404"/>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6B6608">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41044A" w:rsidRDefault="0083366F" w:rsidP="0041044A">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 xml:space="preserve">The Commonwealth is </w:t>
            </w:r>
            <w:r>
              <w:rPr>
                <w:rFonts w:ascii="Baskerville" w:hAnsi="Baskerville" w:cs="Baskerville"/>
                <w:sz w:val="22"/>
                <w:szCs w:val="22"/>
              </w:rPr>
              <w:t xml:space="preserve">offering trainings in </w:t>
            </w:r>
            <w:r w:rsidRPr="00DF1E2F">
              <w:rPr>
                <w:rFonts w:ascii="Baskerville" w:hAnsi="Baskerville" w:cs="Baskerville"/>
                <w:sz w:val="22"/>
                <w:szCs w:val="22"/>
              </w:rPr>
              <w:t>person-centered practices, community integration and self –determination awareness</w:t>
            </w:r>
            <w:r>
              <w:rPr>
                <w:rFonts w:ascii="Baskerville" w:hAnsi="Baskerville" w:cs="Baskerville"/>
                <w:sz w:val="22"/>
                <w:szCs w:val="22"/>
              </w:rPr>
              <w:t>.</w:t>
            </w:r>
            <w:r w:rsidRPr="00DF1E2F">
              <w:rPr>
                <w:rFonts w:ascii="Baskerville" w:hAnsi="Baskerville" w:cs="Baskerville"/>
                <w:sz w:val="22"/>
                <w:szCs w:val="22"/>
              </w:rPr>
              <w:t xml:space="preserve"> </w:t>
            </w:r>
            <w:r w:rsidR="005A22D2">
              <w:rPr>
                <w:rFonts w:ascii="Baskerville" w:hAnsi="Baskerville" w:cs="Baskerville"/>
                <w:sz w:val="22"/>
                <w:szCs w:val="22"/>
              </w:rPr>
              <w:t>The Commonwealth</w:t>
            </w:r>
            <w:r w:rsidR="0036076C">
              <w:rPr>
                <w:rFonts w:ascii="Baskerville" w:hAnsi="Baskerville" w:cs="Baskerville"/>
                <w:sz w:val="22"/>
                <w:szCs w:val="22"/>
              </w:rPr>
              <w:t xml:space="preserve"> </w:t>
            </w:r>
            <w:r w:rsidR="00FB2AE6">
              <w:rPr>
                <w:rFonts w:ascii="Baskerville" w:hAnsi="Baskerville" w:cs="Baskerville"/>
                <w:sz w:val="22"/>
                <w:szCs w:val="22"/>
              </w:rPr>
              <w:t>has not yet</w:t>
            </w:r>
            <w:r w:rsidR="006416D4">
              <w:rPr>
                <w:rFonts w:ascii="Baskerville" w:hAnsi="Baskerville" w:cs="Baskerville"/>
                <w:sz w:val="22"/>
                <w:szCs w:val="22"/>
              </w:rPr>
              <w:t>:</w:t>
            </w:r>
            <w:r w:rsidR="00FB2AE6">
              <w:rPr>
                <w:rFonts w:ascii="Baskerville" w:hAnsi="Baskerville" w:cs="Baskerville"/>
                <w:sz w:val="22"/>
                <w:szCs w:val="22"/>
              </w:rPr>
              <w:t xml:space="preserve"> </w:t>
            </w:r>
            <w:r w:rsidR="006416D4">
              <w:rPr>
                <w:rFonts w:ascii="Baskerville" w:hAnsi="Baskerville" w:cs="Baskerville"/>
                <w:sz w:val="22"/>
                <w:szCs w:val="22"/>
              </w:rPr>
              <w:t xml:space="preserve"> </w:t>
            </w:r>
            <w:r w:rsidR="003D30A6" w:rsidRPr="0089467E">
              <w:rPr>
                <w:rFonts w:ascii="Wingdings" w:hAnsi="Wingdings"/>
                <w:color w:val="000000"/>
              </w:rPr>
              <w:t></w:t>
            </w:r>
            <w:r w:rsidR="003D30A6">
              <w:rPr>
                <w:rFonts w:ascii="Baskerville" w:hAnsi="Baskerville" w:cs="Baskerville"/>
                <w:sz w:val="22"/>
                <w:szCs w:val="22"/>
              </w:rPr>
              <w:t xml:space="preserve"> </w:t>
            </w:r>
            <w:r w:rsidR="00FB2AE6">
              <w:rPr>
                <w:rFonts w:ascii="Baskerville" w:hAnsi="Baskerville" w:cs="Baskerville"/>
                <w:sz w:val="22"/>
                <w:szCs w:val="22"/>
              </w:rPr>
              <w:t>developed the</w:t>
            </w:r>
            <w:r w:rsidR="007D095B">
              <w:rPr>
                <w:rFonts w:ascii="Baskerville" w:hAnsi="Baskerville" w:cs="Baskerville"/>
                <w:sz w:val="22"/>
                <w:szCs w:val="22"/>
              </w:rPr>
              <w:t xml:space="preserve"> </w:t>
            </w:r>
            <w:r w:rsidR="00F14558">
              <w:rPr>
                <w:rFonts w:ascii="Baskerville" w:hAnsi="Baskerville" w:cs="Baskerville"/>
                <w:sz w:val="22"/>
                <w:szCs w:val="22"/>
              </w:rPr>
              <w:t xml:space="preserve">curriculum </w:t>
            </w:r>
            <w:r w:rsidR="00560303">
              <w:rPr>
                <w:rFonts w:ascii="Baskerville" w:hAnsi="Baskerville" w:cs="Baskerville"/>
                <w:sz w:val="22"/>
                <w:szCs w:val="22"/>
              </w:rPr>
              <w:t>to train st</w:t>
            </w:r>
            <w:r w:rsidR="00AA58B3">
              <w:rPr>
                <w:rFonts w:ascii="Baskerville" w:hAnsi="Baskerville" w:cs="Baskerville"/>
                <w:sz w:val="22"/>
                <w:szCs w:val="22"/>
              </w:rPr>
              <w:t xml:space="preserve">aff in the </w:t>
            </w:r>
            <w:r w:rsidR="006416D4">
              <w:rPr>
                <w:rFonts w:ascii="Baskerville" w:hAnsi="Baskerville" w:cs="Baskerville"/>
                <w:sz w:val="22"/>
                <w:szCs w:val="22"/>
              </w:rPr>
              <w:t xml:space="preserve">required </w:t>
            </w:r>
            <w:r w:rsidRPr="00DF1E2F">
              <w:rPr>
                <w:rFonts w:ascii="Baskerville" w:hAnsi="Baskerville" w:cs="Baskerville"/>
                <w:sz w:val="22"/>
                <w:szCs w:val="22"/>
              </w:rPr>
              <w:t>elements of service</w:t>
            </w:r>
            <w:r w:rsidR="00D219F6">
              <w:rPr>
                <w:rFonts w:ascii="Baskerville" w:hAnsi="Baskerville" w:cs="Baskerville"/>
                <w:sz w:val="22"/>
                <w:szCs w:val="22"/>
              </w:rPr>
              <w:t xml:space="preserve"> for the individual</w:t>
            </w:r>
            <w:r w:rsidR="003A439D">
              <w:rPr>
                <w:rFonts w:ascii="Baskerville" w:hAnsi="Baskerville" w:cs="Baskerville"/>
                <w:sz w:val="22"/>
                <w:szCs w:val="22"/>
              </w:rPr>
              <w:t>s</w:t>
            </w:r>
            <w:r w:rsidR="006416D4">
              <w:rPr>
                <w:rFonts w:ascii="Baskerville" w:hAnsi="Baskerville" w:cs="Baskerville"/>
                <w:sz w:val="22"/>
                <w:szCs w:val="22"/>
              </w:rPr>
              <w:t xml:space="preserve">, </w:t>
            </w:r>
          </w:p>
          <w:p w:rsidR="0041044A" w:rsidRPr="0041044A" w:rsidRDefault="003D30A6" w:rsidP="0041044A">
            <w:pPr>
              <w:pStyle w:val="ListParagraph"/>
              <w:numPr>
                <w:ilvl w:val="0"/>
                <w:numId w:val="77"/>
              </w:numPr>
              <w:tabs>
                <w:tab w:val="left" w:pos="1440"/>
                <w:tab w:val="left" w:pos="4920"/>
                <w:tab w:val="right" w:pos="8640"/>
              </w:tabs>
              <w:ind w:left="0"/>
              <w:rPr>
                <w:rFonts w:ascii="Baskerville" w:hAnsi="Baskerville" w:cs="Baskerville"/>
                <w:sz w:val="22"/>
                <w:szCs w:val="22"/>
              </w:rPr>
            </w:pPr>
            <w:r w:rsidRPr="0089467E">
              <w:rPr>
                <w:rFonts w:ascii="Wingdings" w:hAnsi="Wingdings"/>
                <w:color w:val="000000"/>
              </w:rPr>
              <w:t></w:t>
            </w:r>
            <w:r>
              <w:rPr>
                <w:rFonts w:ascii="Baskerville" w:hAnsi="Baskerville" w:cs="Baskerville"/>
                <w:sz w:val="22"/>
                <w:szCs w:val="22"/>
              </w:rPr>
              <w:t xml:space="preserve"> </w:t>
            </w:r>
            <w:r w:rsidR="00FB2AE6" w:rsidRPr="0041044A">
              <w:rPr>
                <w:rFonts w:ascii="Baskerville" w:hAnsi="Baskerville" w:cs="Baskerville"/>
                <w:sz w:val="22"/>
                <w:szCs w:val="22"/>
              </w:rPr>
              <w:t>d</w:t>
            </w:r>
            <w:r w:rsidR="0041044A" w:rsidRPr="0041044A">
              <w:rPr>
                <w:rFonts w:ascii="Baskerville" w:hAnsi="Baskerville" w:cs="Baskerville"/>
                <w:sz w:val="22"/>
                <w:szCs w:val="22"/>
              </w:rPr>
              <w:t>etermined</w:t>
            </w:r>
            <w:r w:rsidR="00FB2AE6" w:rsidRPr="0041044A">
              <w:rPr>
                <w:rFonts w:ascii="Baskerville" w:hAnsi="Baskerville" w:cs="Baskerville"/>
                <w:sz w:val="22"/>
                <w:szCs w:val="22"/>
              </w:rPr>
              <w:t xml:space="preserve"> the </w:t>
            </w:r>
            <w:r w:rsidR="00044BEA" w:rsidRPr="0041044A">
              <w:rPr>
                <w:rFonts w:ascii="Baskerville" w:hAnsi="Baskerville" w:cs="Baskerville"/>
                <w:sz w:val="22"/>
                <w:szCs w:val="22"/>
              </w:rPr>
              <w:t xml:space="preserve">required </w:t>
            </w:r>
            <w:r w:rsidR="00FB2AE6" w:rsidRPr="0041044A">
              <w:rPr>
                <w:rFonts w:ascii="Baskerville" w:hAnsi="Baskerville" w:cs="Baskerville"/>
                <w:sz w:val="22"/>
                <w:szCs w:val="22"/>
              </w:rPr>
              <w:t xml:space="preserve">competencies </w:t>
            </w:r>
            <w:r w:rsidR="00044BEA" w:rsidRPr="0041044A">
              <w:rPr>
                <w:rFonts w:ascii="Baskerville" w:hAnsi="Baskerville" w:cs="Baskerville"/>
                <w:sz w:val="22"/>
                <w:szCs w:val="22"/>
              </w:rPr>
              <w:t>to provide these elements</w:t>
            </w:r>
            <w:r w:rsidR="0041044A" w:rsidRPr="0041044A">
              <w:rPr>
                <w:rFonts w:ascii="Baskerville" w:hAnsi="Baskerville" w:cs="Baskerville"/>
                <w:sz w:val="22"/>
                <w:szCs w:val="22"/>
              </w:rPr>
              <w:t>,</w:t>
            </w:r>
            <w:r w:rsidR="00231F4C" w:rsidRPr="0041044A">
              <w:rPr>
                <w:rFonts w:ascii="Baskerville" w:hAnsi="Baskerville" w:cs="Baskerville"/>
                <w:sz w:val="22"/>
                <w:szCs w:val="22"/>
              </w:rPr>
              <w:t xml:space="preserve"> or</w:t>
            </w:r>
            <w:r w:rsidR="00F14558" w:rsidRPr="0041044A">
              <w:rPr>
                <w:rFonts w:ascii="Baskerville" w:hAnsi="Baskerville" w:cs="Baskerville"/>
                <w:sz w:val="22"/>
                <w:szCs w:val="22"/>
              </w:rPr>
              <w:t xml:space="preserve"> </w:t>
            </w:r>
          </w:p>
          <w:p w:rsidR="0083366F" w:rsidRPr="0041044A" w:rsidRDefault="003D30A6" w:rsidP="0041044A">
            <w:pPr>
              <w:pStyle w:val="ListParagraph"/>
              <w:numPr>
                <w:ilvl w:val="0"/>
                <w:numId w:val="77"/>
              </w:numPr>
              <w:tabs>
                <w:tab w:val="left" w:pos="1440"/>
                <w:tab w:val="left" w:pos="4920"/>
                <w:tab w:val="right" w:pos="8640"/>
              </w:tabs>
              <w:ind w:left="0"/>
              <w:rPr>
                <w:rFonts w:ascii="Baskerville" w:hAnsi="Baskerville" w:cs="Baskerville"/>
                <w:sz w:val="22"/>
                <w:szCs w:val="22"/>
              </w:rPr>
            </w:pPr>
            <w:r w:rsidRPr="0089467E">
              <w:rPr>
                <w:rFonts w:ascii="Wingdings" w:hAnsi="Wingdings"/>
                <w:color w:val="000000"/>
              </w:rPr>
              <w:t></w:t>
            </w:r>
            <w:r>
              <w:rPr>
                <w:rFonts w:ascii="Baskerville" w:hAnsi="Baskerville" w:cs="Baskerville"/>
                <w:sz w:val="22"/>
                <w:szCs w:val="22"/>
              </w:rPr>
              <w:t xml:space="preserve"> </w:t>
            </w:r>
            <w:r w:rsidR="00F14558" w:rsidRPr="0041044A">
              <w:rPr>
                <w:rFonts w:ascii="Baskerville" w:hAnsi="Baskerville" w:cs="Baskerville"/>
                <w:sz w:val="22"/>
                <w:szCs w:val="22"/>
              </w:rPr>
              <w:t xml:space="preserve">the </w:t>
            </w:r>
            <w:r w:rsidR="0084268B" w:rsidRPr="0041044A">
              <w:rPr>
                <w:rFonts w:ascii="Baskerville" w:hAnsi="Baskerville" w:cs="Baskerville"/>
                <w:sz w:val="22"/>
                <w:szCs w:val="22"/>
              </w:rPr>
              <w:t>methods and frequency of determining staff</w:t>
            </w:r>
            <w:r w:rsidR="002B3DD8" w:rsidRPr="0041044A">
              <w:rPr>
                <w:rFonts w:ascii="Baskerville" w:hAnsi="Baskerville" w:cs="Baskerville"/>
                <w:sz w:val="22"/>
                <w:szCs w:val="22"/>
              </w:rPr>
              <w:t xml:space="preserve"> </w:t>
            </w:r>
            <w:r>
              <w:rPr>
                <w:rFonts w:ascii="Baskerville" w:hAnsi="Baskerville" w:cs="Baskerville"/>
                <w:sz w:val="22"/>
                <w:szCs w:val="22"/>
              </w:rPr>
              <w:t>competency</w:t>
            </w:r>
          </w:p>
        </w:tc>
      </w:tr>
      <w:tr w:rsidR="0083366F" w:rsidRPr="00DF1E2F" w:rsidTr="0094744A">
        <w:trPr>
          <w:trHeight w:val="1637"/>
        </w:trPr>
        <w:tc>
          <w:tcPr>
            <w:tcW w:w="1530" w:type="dxa"/>
            <w:vAlign w:val="center"/>
          </w:tcPr>
          <w:p w:rsidR="0083366F" w:rsidRPr="00DF1E2F" w:rsidRDefault="0083366F" w:rsidP="0046479A">
            <w:pPr>
              <w:tabs>
                <w:tab w:val="left" w:pos="1242"/>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V.H.2</w:t>
            </w:r>
          </w:p>
        </w:tc>
        <w:tc>
          <w:tcPr>
            <w:tcW w:w="4320" w:type="dxa"/>
          </w:tcPr>
          <w:p w:rsidR="00356A65"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ensure that the statewide training program includes adequate coaching and supervision of staff trainees.  Coaches and supervisors must have demonstrated competency in providing the service they are coaching and supervising.</w:t>
            </w:r>
          </w:p>
        </w:tc>
        <w:tc>
          <w:tcPr>
            <w:tcW w:w="1440" w:type="dxa"/>
          </w:tcPr>
          <w:p w:rsidR="0083366F" w:rsidRDefault="00506026" w:rsidP="00545FD9">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00DC4305" w:rsidRPr="00DF1E2F">
              <w:rPr>
                <w:rFonts w:ascii="Baskerville" w:hAnsi="Baskerville" w:cs="Baskerville"/>
                <w:sz w:val="22"/>
                <w:szCs w:val="22"/>
              </w:rPr>
              <w:t>Deferred</w:t>
            </w:r>
            <w:r w:rsidR="00DC4305">
              <w:rPr>
                <w:rFonts w:ascii="Baskerville" w:hAnsi="Baskerville" w:cs="Baskerville"/>
                <w:sz w:val="22"/>
                <w:szCs w:val="22"/>
              </w:rPr>
              <w:t>)</w:t>
            </w:r>
          </w:p>
          <w:p w:rsidR="0094744A" w:rsidRPr="00DF1E2F" w:rsidRDefault="0094744A" w:rsidP="00545FD9">
            <w:pPr>
              <w:tabs>
                <w:tab w:val="left" w:pos="1440"/>
                <w:tab w:val="left" w:pos="4920"/>
                <w:tab w:val="right" w:pos="8640"/>
              </w:tabs>
              <w:ind w:left="-108" w:right="-108"/>
              <w:jc w:val="center"/>
              <w:rPr>
                <w:rFonts w:ascii="Baskerville" w:hAnsi="Baskerville" w:cs="Baskerville"/>
                <w:sz w:val="22"/>
                <w:szCs w:val="22"/>
              </w:rPr>
            </w:pPr>
          </w:p>
          <w:p w:rsidR="0083366F" w:rsidRPr="00506026" w:rsidRDefault="0083366F" w:rsidP="00CE12F0">
            <w:pPr>
              <w:tabs>
                <w:tab w:val="left" w:pos="1440"/>
                <w:tab w:val="left" w:pos="4920"/>
                <w:tab w:val="right" w:pos="8640"/>
              </w:tabs>
              <w:ind w:left="-108" w:right="-108"/>
              <w:jc w:val="center"/>
              <w:rPr>
                <w:rFonts w:ascii="Baskerville" w:hAnsi="Baskerville" w:cs="Baskerville"/>
                <w:sz w:val="22"/>
                <w:szCs w:val="22"/>
                <w:u w:val="single"/>
              </w:rPr>
            </w:pPr>
            <w:r w:rsidRPr="00506026">
              <w:rPr>
                <w:rFonts w:ascii="Baskerville" w:hAnsi="Baskerville" w:cs="Baskerville"/>
                <w:sz w:val="22"/>
                <w:szCs w:val="22"/>
                <w:u w:val="single"/>
              </w:rPr>
              <w:t>Non</w:t>
            </w:r>
          </w:p>
          <w:p w:rsidR="0083366F" w:rsidRPr="00506026" w:rsidRDefault="0083366F" w:rsidP="00545FD9">
            <w:pPr>
              <w:tabs>
                <w:tab w:val="left" w:pos="1440"/>
                <w:tab w:val="left" w:pos="4920"/>
                <w:tab w:val="right" w:pos="8640"/>
              </w:tabs>
              <w:ind w:left="-108" w:right="-108"/>
              <w:jc w:val="center"/>
              <w:rPr>
                <w:rFonts w:ascii="Baskerville" w:hAnsi="Baskerville" w:cs="Baskerville"/>
                <w:sz w:val="22"/>
                <w:szCs w:val="22"/>
                <w:u w:val="single"/>
              </w:rPr>
            </w:pPr>
            <w:r w:rsidRPr="00506026">
              <w:rPr>
                <w:rFonts w:ascii="Baskerville" w:hAnsi="Baskerville" w:cs="Baskerville"/>
                <w:sz w:val="22"/>
                <w:szCs w:val="22"/>
                <w:u w:val="single"/>
              </w:rPr>
              <w:t>Compliance</w:t>
            </w:r>
          </w:p>
          <w:p w:rsidR="0083366F" w:rsidRPr="00DF1E2F" w:rsidRDefault="0083366F" w:rsidP="00CE12F0">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9005A2">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 xml:space="preserve">Same as V.E.1 immediately </w:t>
            </w:r>
          </w:p>
          <w:p w:rsidR="0083366F" w:rsidRPr="00DF1E2F" w:rsidRDefault="0083366F" w:rsidP="009005A2">
            <w:pPr>
              <w:tabs>
                <w:tab w:val="left" w:pos="1440"/>
                <w:tab w:val="left" w:pos="4920"/>
                <w:tab w:val="right" w:pos="8640"/>
              </w:tabs>
              <w:ind w:right="-108"/>
              <w:rPr>
                <w:rFonts w:ascii="Baskerville" w:hAnsi="Baskerville" w:cs="Baskerville"/>
                <w:sz w:val="22"/>
                <w:szCs w:val="22"/>
              </w:rPr>
            </w:pPr>
            <w:r w:rsidRPr="00DF1E2F">
              <w:rPr>
                <w:rFonts w:ascii="Baskerville" w:hAnsi="Baskerville" w:cs="Baskerville"/>
                <w:sz w:val="22"/>
                <w:szCs w:val="22"/>
              </w:rPr>
              <w:t>Above.</w:t>
            </w:r>
          </w:p>
        </w:tc>
      </w:tr>
      <w:tr w:rsidR="0083366F" w:rsidRPr="00DF1E2F" w:rsidTr="0094744A">
        <w:trPr>
          <w:trHeight w:val="1916"/>
        </w:trPr>
        <w:tc>
          <w:tcPr>
            <w:tcW w:w="1530" w:type="dxa"/>
            <w:vAlign w:val="center"/>
          </w:tcPr>
          <w:p w:rsidR="0083366F" w:rsidRPr="00DF1E2F" w:rsidRDefault="0083366F" w:rsidP="0046479A">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V.I.1.a-b</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The Commonwealth shall use Quality Service Reviews (“QSRs”) to evaluate the quality of services at an individual, provider, and system-wide level and the extent to which services are provided in the most integrated setting appropriate to individuals’ needs and choice. </w:t>
            </w:r>
          </w:p>
        </w:tc>
        <w:tc>
          <w:tcPr>
            <w:tcW w:w="1440" w:type="dxa"/>
          </w:tcPr>
          <w:p w:rsidR="0083366F" w:rsidRDefault="002762D9" w:rsidP="005E5EF3">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94744A" w:rsidRPr="00DF1E2F" w:rsidRDefault="0094744A" w:rsidP="005E5EF3">
            <w:pPr>
              <w:tabs>
                <w:tab w:val="left" w:pos="1440"/>
                <w:tab w:val="left" w:pos="4920"/>
                <w:tab w:val="right" w:pos="8640"/>
              </w:tabs>
              <w:ind w:left="-108" w:right="-108"/>
              <w:jc w:val="center"/>
              <w:rPr>
                <w:rFonts w:ascii="Baskerville" w:hAnsi="Baskerville" w:cs="Baskerville"/>
                <w:sz w:val="22"/>
                <w:szCs w:val="22"/>
              </w:rPr>
            </w:pPr>
          </w:p>
          <w:p w:rsidR="0083366F" w:rsidRPr="00506026" w:rsidRDefault="0083366F" w:rsidP="00E24B22">
            <w:pPr>
              <w:tabs>
                <w:tab w:val="left" w:pos="1440"/>
                <w:tab w:val="left" w:pos="4920"/>
                <w:tab w:val="right" w:pos="8640"/>
              </w:tabs>
              <w:ind w:left="-108" w:right="-108"/>
              <w:jc w:val="center"/>
              <w:rPr>
                <w:rFonts w:ascii="Baskerville" w:hAnsi="Baskerville" w:cs="Baskerville"/>
                <w:sz w:val="22"/>
                <w:szCs w:val="22"/>
                <w:u w:val="single"/>
              </w:rPr>
            </w:pPr>
            <w:r w:rsidRPr="00506026">
              <w:rPr>
                <w:rFonts w:ascii="Baskerville" w:hAnsi="Baskerville" w:cs="Baskerville"/>
                <w:sz w:val="22"/>
                <w:szCs w:val="22"/>
                <w:u w:val="single"/>
              </w:rPr>
              <w:t>Non</w:t>
            </w:r>
          </w:p>
          <w:p w:rsidR="0083366F" w:rsidRPr="00506026" w:rsidRDefault="0083366F" w:rsidP="005E5EF3">
            <w:pPr>
              <w:tabs>
                <w:tab w:val="left" w:pos="1440"/>
                <w:tab w:val="left" w:pos="4920"/>
                <w:tab w:val="right" w:pos="8640"/>
              </w:tabs>
              <w:ind w:left="-108" w:right="-108"/>
              <w:jc w:val="center"/>
              <w:rPr>
                <w:rFonts w:ascii="Baskerville" w:hAnsi="Baskerville" w:cs="Baskerville"/>
                <w:sz w:val="22"/>
                <w:szCs w:val="22"/>
                <w:u w:val="single"/>
              </w:rPr>
            </w:pPr>
            <w:r w:rsidRPr="00506026">
              <w:rPr>
                <w:rFonts w:ascii="Baskerville" w:hAnsi="Baskerville" w:cs="Baskerville"/>
                <w:sz w:val="22"/>
                <w:szCs w:val="22"/>
                <w:u w:val="single"/>
              </w:rPr>
              <w:t>Compliance</w:t>
            </w: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E24B22">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8321DB">
            <w:pPr>
              <w:tabs>
                <w:tab w:val="left" w:pos="1440"/>
                <w:tab w:val="left" w:pos="4920"/>
                <w:tab w:val="right" w:pos="8640"/>
              </w:tabs>
              <w:ind w:right="-18"/>
              <w:rPr>
                <w:rFonts w:ascii="Baskerville" w:hAnsi="Baskerville" w:cs="Baskerville"/>
                <w:sz w:val="22"/>
                <w:szCs w:val="22"/>
              </w:rPr>
            </w:pPr>
            <w:r w:rsidRPr="00DF1E2F">
              <w:rPr>
                <w:rFonts w:ascii="Baskerville" w:hAnsi="Baskerville" w:cs="Baskerville"/>
                <w:sz w:val="22"/>
                <w:szCs w:val="22"/>
              </w:rPr>
              <w:t xml:space="preserve">The Commonwealth </w:t>
            </w:r>
            <w:r w:rsidR="008321DB">
              <w:rPr>
                <w:rFonts w:ascii="Baskerville" w:hAnsi="Baskerville" w:cs="Baskerville"/>
                <w:sz w:val="22"/>
                <w:szCs w:val="22"/>
              </w:rPr>
              <w:t>experienced delays implementing the QSR process. It now</w:t>
            </w:r>
            <w:r w:rsidR="008E5283">
              <w:rPr>
                <w:rFonts w:ascii="Baskerville" w:hAnsi="Baskerville" w:cs="Baskerville"/>
                <w:sz w:val="22"/>
                <w:szCs w:val="22"/>
              </w:rPr>
              <w:t xml:space="preserve"> anticipates implementation during the next review period.</w:t>
            </w:r>
          </w:p>
        </w:tc>
      </w:tr>
      <w:tr w:rsidR="0083366F" w:rsidRPr="00DF1E2F" w:rsidTr="0094744A">
        <w:trPr>
          <w:trHeight w:val="3680"/>
        </w:trPr>
        <w:tc>
          <w:tcPr>
            <w:tcW w:w="1530" w:type="dxa"/>
            <w:vAlign w:val="center"/>
          </w:tcPr>
          <w:p w:rsidR="0083366F" w:rsidRPr="00DF1E2F" w:rsidRDefault="0083366F" w:rsidP="0046479A">
            <w:pPr>
              <w:tabs>
                <w:tab w:val="left" w:pos="1242"/>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V.I.2</w:t>
            </w:r>
          </w:p>
        </w:tc>
        <w:tc>
          <w:tcPr>
            <w:tcW w:w="4320" w:type="dxa"/>
          </w:tcPr>
          <w:p w:rsidR="0083366F" w:rsidRPr="00DF1E2F" w:rsidRDefault="0083366F" w:rsidP="004A6300">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 xml:space="preserve">QSRs shall evaluate whether individuals’ needs are being identified and met through person-centered planning and thinking (including building on individuals’ strengths, preferences, and goals), whether services are being provided in the most integrated setting appropriate to the individuals’ needs and consistent with their informed choice, and whether individuals are having opportunities for integration in all aspects of their lives (e.g., living arrangements, work and other day activities, access to community services and activities, and opportunities for relationships with non-paid individuals).  </w:t>
            </w:r>
          </w:p>
        </w:tc>
        <w:tc>
          <w:tcPr>
            <w:tcW w:w="1440" w:type="dxa"/>
          </w:tcPr>
          <w:p w:rsidR="002762D9" w:rsidRPr="00DF1E2F" w:rsidRDefault="002762D9" w:rsidP="002762D9">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E068BB" w:rsidRDefault="0083366F" w:rsidP="005E5EF3">
            <w:pPr>
              <w:tabs>
                <w:tab w:val="left" w:pos="1440"/>
                <w:tab w:val="left" w:pos="4920"/>
                <w:tab w:val="right" w:pos="8640"/>
              </w:tabs>
              <w:ind w:left="-108" w:right="-108"/>
              <w:jc w:val="center"/>
              <w:rPr>
                <w:rFonts w:ascii="Baskerville" w:hAnsi="Baskerville" w:cs="Baskerville"/>
                <w:sz w:val="22"/>
                <w:szCs w:val="22"/>
                <w:u w:val="single"/>
              </w:rPr>
            </w:pPr>
            <w:r w:rsidRPr="00E068BB">
              <w:rPr>
                <w:rFonts w:ascii="Baskerville" w:hAnsi="Baskerville" w:cs="Baskerville"/>
                <w:sz w:val="22"/>
                <w:szCs w:val="22"/>
                <w:u w:val="single"/>
              </w:rPr>
              <w:t>Non</w:t>
            </w:r>
          </w:p>
          <w:p w:rsidR="0083366F" w:rsidRPr="00E068BB" w:rsidRDefault="0083366F" w:rsidP="005E5EF3">
            <w:pPr>
              <w:tabs>
                <w:tab w:val="left" w:pos="1440"/>
                <w:tab w:val="left" w:pos="4920"/>
                <w:tab w:val="right" w:pos="8640"/>
              </w:tabs>
              <w:ind w:left="-108" w:right="-108"/>
              <w:jc w:val="center"/>
              <w:rPr>
                <w:rFonts w:ascii="Baskerville" w:hAnsi="Baskerville" w:cs="Baskerville"/>
                <w:sz w:val="22"/>
                <w:szCs w:val="22"/>
                <w:u w:val="single"/>
              </w:rPr>
            </w:pPr>
            <w:r w:rsidRPr="00E068BB">
              <w:rPr>
                <w:rFonts w:ascii="Baskerville" w:hAnsi="Baskerville" w:cs="Baskerville"/>
                <w:sz w:val="22"/>
                <w:szCs w:val="22"/>
                <w:u w:val="single"/>
              </w:rPr>
              <w:t>Compliance</w:t>
            </w: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3278BE" w:rsidP="008D24E5">
            <w:pPr>
              <w:rPr>
                <w:rFonts w:ascii="Baskerville" w:hAnsi="Baskerville" w:cs="Baskerville"/>
                <w:sz w:val="22"/>
                <w:szCs w:val="22"/>
              </w:rPr>
            </w:pPr>
            <w:r>
              <w:rPr>
                <w:rFonts w:ascii="Baskerville" w:hAnsi="Baskerville" w:cs="Baskerville"/>
                <w:sz w:val="22"/>
                <w:szCs w:val="22"/>
              </w:rPr>
              <w:t>DBHDS did not implement QSRs</w:t>
            </w:r>
            <w:r w:rsidR="0083366F" w:rsidRPr="00DF1E2F">
              <w:rPr>
                <w:rFonts w:ascii="Baskerville" w:hAnsi="Baskerville" w:cs="Baskerville"/>
                <w:sz w:val="22"/>
                <w:szCs w:val="22"/>
              </w:rPr>
              <w:t xml:space="preserve"> during the </w:t>
            </w:r>
            <w:r>
              <w:rPr>
                <w:rFonts w:ascii="Baskerville" w:hAnsi="Baskerville" w:cs="Baskerville"/>
                <w:sz w:val="22"/>
                <w:szCs w:val="22"/>
              </w:rPr>
              <w:t xml:space="preserve">sixth </w:t>
            </w:r>
            <w:r w:rsidR="0083366F" w:rsidRPr="00DF1E2F">
              <w:rPr>
                <w:rFonts w:ascii="Baskerville" w:hAnsi="Baskerville" w:cs="Baskerville"/>
                <w:sz w:val="22"/>
                <w:szCs w:val="22"/>
              </w:rPr>
              <w:t xml:space="preserve">review period. The framework of the revised QSR plan appears to include </w:t>
            </w:r>
            <w:r>
              <w:rPr>
                <w:rFonts w:ascii="Baskerville" w:hAnsi="Baskerville" w:cs="Baskerville"/>
                <w:sz w:val="22"/>
                <w:szCs w:val="22"/>
              </w:rPr>
              <w:t xml:space="preserve">elements that are required. The </w:t>
            </w:r>
            <w:r w:rsidR="0083366F">
              <w:rPr>
                <w:rFonts w:ascii="Baskerville" w:hAnsi="Baskerville" w:cs="Baskerville"/>
                <w:sz w:val="22"/>
                <w:szCs w:val="22"/>
              </w:rPr>
              <w:t xml:space="preserve">Commonwealth </w:t>
            </w:r>
            <w:r>
              <w:rPr>
                <w:rFonts w:ascii="Baskerville" w:hAnsi="Baskerville" w:cs="Baskerville"/>
                <w:sz w:val="22"/>
                <w:szCs w:val="22"/>
              </w:rPr>
              <w:t xml:space="preserve">reports that it </w:t>
            </w:r>
            <w:r w:rsidR="0024201B">
              <w:rPr>
                <w:rFonts w:ascii="Baskerville" w:hAnsi="Baskerville" w:cs="Baskerville"/>
                <w:sz w:val="22"/>
                <w:szCs w:val="22"/>
              </w:rPr>
              <w:t>plans to implement QSRs</w:t>
            </w:r>
            <w:r w:rsidR="008D24E5">
              <w:rPr>
                <w:rFonts w:ascii="Baskerville" w:hAnsi="Baskerville" w:cs="Baskerville"/>
                <w:sz w:val="22"/>
                <w:szCs w:val="22"/>
              </w:rPr>
              <w:t xml:space="preserve"> during the next review period.</w:t>
            </w:r>
          </w:p>
        </w:tc>
      </w:tr>
      <w:tr w:rsidR="0083366F" w:rsidRPr="00DF1E2F" w:rsidTr="0094744A">
        <w:trPr>
          <w:trHeight w:val="1439"/>
        </w:trPr>
        <w:tc>
          <w:tcPr>
            <w:tcW w:w="1530" w:type="dxa"/>
            <w:vAlign w:val="center"/>
          </w:tcPr>
          <w:p w:rsidR="0083366F" w:rsidRPr="00DF1E2F" w:rsidRDefault="0083366F" w:rsidP="0046479A">
            <w:pPr>
              <w:tabs>
                <w:tab w:val="left" w:pos="1440"/>
                <w:tab w:val="left" w:pos="4920"/>
                <w:tab w:val="right" w:pos="8640"/>
              </w:tabs>
              <w:ind w:left="-108" w:right="-108"/>
              <w:jc w:val="center"/>
              <w:rPr>
                <w:rFonts w:ascii="Baskerville" w:hAnsi="Baskerville" w:cs="Baskerville"/>
                <w:b/>
                <w:sz w:val="22"/>
                <w:szCs w:val="22"/>
              </w:rPr>
            </w:pPr>
            <w:r w:rsidRPr="00DF1E2F">
              <w:rPr>
                <w:rFonts w:ascii="Baskerville" w:hAnsi="Baskerville" w:cs="Baskerville"/>
                <w:b/>
                <w:sz w:val="22"/>
                <w:szCs w:val="22"/>
              </w:rPr>
              <w:t>V.I.3</w:t>
            </w:r>
          </w:p>
        </w:tc>
        <w:tc>
          <w:tcPr>
            <w:tcW w:w="4320" w:type="dxa"/>
          </w:tcPr>
          <w:p w:rsidR="0083366F" w:rsidRPr="00DF1E2F" w:rsidRDefault="0083366F" w:rsidP="004B279A">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ensure those conducting QSRs are adequately trained and a reasonable sample of look-behind QSRs are completed to validate the reliability of the QSR process.</w:t>
            </w:r>
          </w:p>
        </w:tc>
        <w:tc>
          <w:tcPr>
            <w:tcW w:w="1440" w:type="dxa"/>
          </w:tcPr>
          <w:p w:rsidR="0083366F" w:rsidRDefault="002762D9" w:rsidP="005E5EF3">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94744A" w:rsidRDefault="0094744A" w:rsidP="005E5EF3">
            <w:pPr>
              <w:tabs>
                <w:tab w:val="left" w:pos="1440"/>
                <w:tab w:val="left" w:pos="4920"/>
                <w:tab w:val="right" w:pos="8640"/>
              </w:tabs>
              <w:ind w:left="-108" w:right="-108"/>
              <w:jc w:val="center"/>
              <w:rPr>
                <w:rFonts w:ascii="Baskerville" w:hAnsi="Baskerville" w:cs="Baskerville"/>
                <w:sz w:val="22"/>
                <w:szCs w:val="22"/>
              </w:rPr>
            </w:pPr>
          </w:p>
          <w:p w:rsidR="00BE7190" w:rsidRDefault="0083366F" w:rsidP="00A02903">
            <w:pPr>
              <w:tabs>
                <w:tab w:val="left" w:pos="1440"/>
                <w:tab w:val="left" w:pos="4920"/>
                <w:tab w:val="right" w:pos="8640"/>
              </w:tabs>
              <w:ind w:left="-108" w:right="-108"/>
              <w:jc w:val="center"/>
              <w:rPr>
                <w:rFonts w:ascii="Baskerville" w:hAnsi="Baskerville" w:cs="Baskerville"/>
                <w:sz w:val="22"/>
                <w:szCs w:val="22"/>
                <w:u w:val="single"/>
              </w:rPr>
            </w:pPr>
            <w:r w:rsidRPr="00E068BB">
              <w:rPr>
                <w:rFonts w:ascii="Baskerville" w:hAnsi="Baskerville" w:cs="Baskerville"/>
                <w:sz w:val="22"/>
                <w:szCs w:val="22"/>
                <w:u w:val="single"/>
              </w:rPr>
              <w:t>Non</w:t>
            </w:r>
            <w:r w:rsidR="00E068BB">
              <w:rPr>
                <w:rFonts w:ascii="Baskerville" w:hAnsi="Baskerville" w:cs="Baskerville"/>
                <w:sz w:val="22"/>
                <w:szCs w:val="22"/>
                <w:u w:val="single"/>
              </w:rPr>
              <w:t xml:space="preserve"> </w:t>
            </w:r>
          </w:p>
          <w:p w:rsidR="0083366F" w:rsidRPr="00E068BB" w:rsidRDefault="0083366F" w:rsidP="00A02903">
            <w:pPr>
              <w:tabs>
                <w:tab w:val="left" w:pos="1440"/>
                <w:tab w:val="left" w:pos="4920"/>
                <w:tab w:val="right" w:pos="8640"/>
              </w:tabs>
              <w:ind w:left="-108" w:right="-108"/>
              <w:jc w:val="center"/>
              <w:rPr>
                <w:rFonts w:ascii="Baskerville" w:hAnsi="Baskerville" w:cs="Baskerville"/>
                <w:sz w:val="22"/>
                <w:szCs w:val="22"/>
                <w:u w:val="single"/>
              </w:rPr>
            </w:pPr>
            <w:r w:rsidRPr="00E068BB">
              <w:rPr>
                <w:rFonts w:ascii="Baskerville" w:hAnsi="Baskerville" w:cs="Baskerville"/>
                <w:sz w:val="22"/>
                <w:szCs w:val="22"/>
                <w:u w:val="single"/>
              </w:rPr>
              <w:t>Compliance</w:t>
            </w:r>
          </w:p>
          <w:p w:rsidR="0083366F" w:rsidRPr="00DF1E2F" w:rsidRDefault="0083366F" w:rsidP="00556FC1">
            <w:pPr>
              <w:tabs>
                <w:tab w:val="left" w:pos="1440"/>
                <w:tab w:val="left" w:pos="4920"/>
                <w:tab w:val="right" w:pos="8640"/>
              </w:tabs>
              <w:ind w:left="-108" w:right="-108"/>
              <w:jc w:val="center"/>
              <w:rPr>
                <w:rFonts w:ascii="Baskerville" w:hAnsi="Baskerville" w:cs="Baskerville"/>
                <w:sz w:val="22"/>
                <w:szCs w:val="22"/>
              </w:rPr>
            </w:pPr>
          </w:p>
        </w:tc>
        <w:tc>
          <w:tcPr>
            <w:tcW w:w="2880" w:type="dxa"/>
          </w:tcPr>
          <w:p w:rsidR="0083366F" w:rsidRPr="00DF1E2F" w:rsidRDefault="0083366F" w:rsidP="006E6E0C">
            <w:pPr>
              <w:rPr>
                <w:rFonts w:ascii="Baskerville" w:hAnsi="Baskerville" w:cs="Baskerville"/>
                <w:sz w:val="22"/>
                <w:szCs w:val="22"/>
              </w:rPr>
            </w:pPr>
            <w:r w:rsidRPr="00DF1E2F">
              <w:rPr>
                <w:rFonts w:ascii="Baskerville" w:hAnsi="Baskerville" w:cs="Baskerville"/>
                <w:sz w:val="22"/>
                <w:szCs w:val="22"/>
              </w:rPr>
              <w:t>Same as V.I.2.immediately above.</w:t>
            </w:r>
          </w:p>
        </w:tc>
      </w:tr>
      <w:tr w:rsidR="0083366F" w:rsidRPr="00DF1E2F" w:rsidTr="0094744A">
        <w:trPr>
          <w:trHeight w:val="1376"/>
        </w:trPr>
        <w:tc>
          <w:tcPr>
            <w:tcW w:w="1530" w:type="dxa"/>
            <w:tcBorders>
              <w:bottom w:val="single" w:sz="4" w:space="0" w:color="auto"/>
            </w:tcBorders>
            <w:vAlign w:val="center"/>
          </w:tcPr>
          <w:p w:rsidR="006D0D79" w:rsidRDefault="006D0D79" w:rsidP="0046479A">
            <w:pPr>
              <w:tabs>
                <w:tab w:val="left" w:pos="1440"/>
                <w:tab w:val="left" w:pos="4920"/>
                <w:tab w:val="right" w:pos="8640"/>
              </w:tabs>
              <w:ind w:left="-108" w:right="-108"/>
              <w:jc w:val="center"/>
              <w:rPr>
                <w:rFonts w:ascii="Baskerville" w:hAnsi="Baskerville" w:cs="Baskerville"/>
                <w:b/>
                <w:sz w:val="22"/>
                <w:szCs w:val="22"/>
              </w:rPr>
            </w:pPr>
          </w:p>
          <w:p w:rsidR="0083366F" w:rsidRPr="00DF1E2F" w:rsidRDefault="0083366F" w:rsidP="0024201B">
            <w:pPr>
              <w:tabs>
                <w:tab w:val="left" w:pos="1440"/>
                <w:tab w:val="left" w:pos="4920"/>
                <w:tab w:val="right" w:pos="8640"/>
              </w:tabs>
              <w:ind w:left="-108" w:right="-108"/>
              <w:jc w:val="center"/>
              <w:rPr>
                <w:rFonts w:ascii="Baskerville" w:hAnsi="Baskerville" w:cs="Baskerville"/>
                <w:b/>
                <w:sz w:val="22"/>
                <w:szCs w:val="22"/>
              </w:rPr>
            </w:pPr>
            <w:r>
              <w:rPr>
                <w:rFonts w:ascii="Baskerville" w:hAnsi="Baskerville" w:cs="Baskerville"/>
                <w:b/>
                <w:sz w:val="22"/>
                <w:szCs w:val="22"/>
              </w:rPr>
              <w:t>V.I.</w:t>
            </w:r>
          </w:p>
        </w:tc>
        <w:tc>
          <w:tcPr>
            <w:tcW w:w="4320" w:type="dxa"/>
            <w:tcBorders>
              <w:bottom w:val="single" w:sz="4" w:space="0" w:color="auto"/>
            </w:tcBorders>
          </w:tcPr>
          <w:p w:rsidR="0083366F" w:rsidRPr="00DF1E2F" w:rsidRDefault="0083366F" w:rsidP="00FD02F9">
            <w:pPr>
              <w:pStyle w:val="ListParagraph"/>
              <w:ind w:left="0"/>
              <w:contextualSpacing w:val="0"/>
              <w:rPr>
                <w:rFonts w:ascii="Baskerville" w:hAnsi="Baskerville" w:cs="Baskerville"/>
                <w:sz w:val="22"/>
                <w:szCs w:val="22"/>
              </w:rPr>
            </w:pPr>
            <w:r w:rsidRPr="00DF1E2F">
              <w:rPr>
                <w:rFonts w:ascii="Baskerville" w:hAnsi="Baskerville" w:cs="Baskerville"/>
                <w:sz w:val="22"/>
                <w:szCs w:val="22"/>
              </w:rPr>
              <w:t>The Commonwealth shall conduct QSRs annually of a statistically significant sample of individuals receiving services under this Agreement.</w:t>
            </w:r>
          </w:p>
        </w:tc>
        <w:tc>
          <w:tcPr>
            <w:tcW w:w="1440" w:type="dxa"/>
            <w:tcBorders>
              <w:bottom w:val="single" w:sz="4" w:space="0" w:color="auto"/>
            </w:tcBorders>
          </w:tcPr>
          <w:p w:rsidR="00E02CC9" w:rsidRDefault="002762D9" w:rsidP="002762D9">
            <w:pPr>
              <w:tabs>
                <w:tab w:val="left" w:pos="1440"/>
                <w:tab w:val="left" w:pos="4920"/>
                <w:tab w:val="right" w:pos="8640"/>
              </w:tabs>
              <w:ind w:left="-108" w:right="-108"/>
              <w:jc w:val="center"/>
              <w:rPr>
                <w:rFonts w:ascii="Baskerville" w:hAnsi="Baskerville" w:cs="Baskerville"/>
                <w:sz w:val="22"/>
                <w:szCs w:val="22"/>
              </w:rPr>
            </w:pPr>
            <w:r>
              <w:rPr>
                <w:rFonts w:ascii="Baskerville" w:hAnsi="Baskerville" w:cs="Baskerville"/>
                <w:sz w:val="22"/>
                <w:szCs w:val="22"/>
              </w:rPr>
              <w:t>(</w:t>
            </w:r>
            <w:r w:rsidRPr="00DF1E2F">
              <w:rPr>
                <w:rFonts w:ascii="Baskerville" w:hAnsi="Baskerville" w:cs="Baskerville"/>
                <w:sz w:val="22"/>
                <w:szCs w:val="22"/>
              </w:rPr>
              <w:t>Deferred</w:t>
            </w:r>
            <w:r>
              <w:rPr>
                <w:rFonts w:ascii="Baskerville" w:hAnsi="Baskerville" w:cs="Baskerville"/>
                <w:sz w:val="22"/>
                <w:szCs w:val="22"/>
              </w:rPr>
              <w:t>)</w:t>
            </w:r>
          </w:p>
          <w:p w:rsidR="0094744A" w:rsidRPr="002762D9" w:rsidRDefault="0094744A" w:rsidP="002762D9">
            <w:pPr>
              <w:tabs>
                <w:tab w:val="left" w:pos="1440"/>
                <w:tab w:val="left" w:pos="4920"/>
                <w:tab w:val="right" w:pos="8640"/>
              </w:tabs>
              <w:ind w:left="-108" w:right="-108"/>
              <w:jc w:val="center"/>
              <w:rPr>
                <w:rFonts w:ascii="Baskerville" w:hAnsi="Baskerville" w:cs="Baskerville"/>
                <w:sz w:val="22"/>
                <w:szCs w:val="22"/>
              </w:rPr>
            </w:pPr>
          </w:p>
          <w:p w:rsidR="00BE7190" w:rsidRDefault="0083366F" w:rsidP="004F6507">
            <w:pPr>
              <w:tabs>
                <w:tab w:val="left" w:pos="1224"/>
                <w:tab w:val="left" w:pos="1440"/>
                <w:tab w:val="left" w:pos="4920"/>
                <w:tab w:val="right" w:pos="8640"/>
              </w:tabs>
              <w:ind w:left="-108" w:right="-108"/>
              <w:jc w:val="center"/>
              <w:rPr>
                <w:rFonts w:ascii="Baskerville" w:hAnsi="Baskerville" w:cs="Baskerville"/>
                <w:sz w:val="22"/>
                <w:szCs w:val="22"/>
                <w:u w:val="single"/>
              </w:rPr>
            </w:pPr>
            <w:r w:rsidRPr="00BE7190">
              <w:rPr>
                <w:rFonts w:ascii="Baskerville" w:hAnsi="Baskerville" w:cs="Baskerville"/>
                <w:sz w:val="22"/>
                <w:szCs w:val="22"/>
                <w:u w:val="single"/>
              </w:rPr>
              <w:t xml:space="preserve">Non </w:t>
            </w:r>
          </w:p>
          <w:p w:rsidR="0083366F" w:rsidRPr="00BE7190" w:rsidRDefault="0083366F" w:rsidP="004F6507">
            <w:pPr>
              <w:tabs>
                <w:tab w:val="left" w:pos="1224"/>
                <w:tab w:val="left" w:pos="1440"/>
                <w:tab w:val="left" w:pos="4920"/>
                <w:tab w:val="right" w:pos="8640"/>
              </w:tabs>
              <w:ind w:left="-108" w:right="-108"/>
              <w:jc w:val="center"/>
              <w:rPr>
                <w:rFonts w:ascii="Baskerville" w:hAnsi="Baskerville" w:cs="Baskerville"/>
                <w:sz w:val="22"/>
                <w:szCs w:val="22"/>
                <w:u w:val="single"/>
              </w:rPr>
            </w:pPr>
            <w:r w:rsidRPr="00BE7190">
              <w:rPr>
                <w:rFonts w:ascii="Baskerville" w:hAnsi="Baskerville" w:cs="Baskerville"/>
                <w:sz w:val="22"/>
                <w:szCs w:val="22"/>
                <w:u w:val="single"/>
              </w:rPr>
              <w:t>Compliance</w:t>
            </w:r>
          </w:p>
          <w:p w:rsidR="0083366F" w:rsidRPr="00DF1E2F" w:rsidRDefault="0083366F" w:rsidP="00556FC1">
            <w:pPr>
              <w:tabs>
                <w:tab w:val="left" w:pos="1224"/>
                <w:tab w:val="left" w:pos="1440"/>
                <w:tab w:val="left" w:pos="4920"/>
                <w:tab w:val="right" w:pos="8640"/>
              </w:tabs>
              <w:ind w:left="-108" w:right="-108"/>
              <w:jc w:val="center"/>
              <w:rPr>
                <w:rFonts w:ascii="Baskerville" w:hAnsi="Baskerville" w:cs="Baskerville"/>
                <w:b/>
                <w:sz w:val="22"/>
                <w:szCs w:val="22"/>
              </w:rPr>
            </w:pPr>
          </w:p>
        </w:tc>
        <w:tc>
          <w:tcPr>
            <w:tcW w:w="2880" w:type="dxa"/>
            <w:tcBorders>
              <w:bottom w:val="single" w:sz="4" w:space="0" w:color="auto"/>
            </w:tcBorders>
          </w:tcPr>
          <w:p w:rsidR="0083366F" w:rsidRPr="00DF1E2F" w:rsidRDefault="0083366F" w:rsidP="00BE7190">
            <w:pPr>
              <w:tabs>
                <w:tab w:val="left" w:pos="1440"/>
                <w:tab w:val="left" w:pos="4920"/>
                <w:tab w:val="right" w:pos="8640"/>
              </w:tabs>
              <w:ind w:right="270"/>
              <w:rPr>
                <w:rFonts w:ascii="Baskerville" w:hAnsi="Baskerville" w:cs="Baskerville"/>
                <w:sz w:val="22"/>
                <w:szCs w:val="22"/>
              </w:rPr>
            </w:pPr>
            <w:r w:rsidRPr="00DF1E2F">
              <w:rPr>
                <w:rFonts w:ascii="Baskerville" w:hAnsi="Baskerville" w:cs="Baskerville"/>
                <w:sz w:val="22"/>
                <w:szCs w:val="22"/>
              </w:rPr>
              <w:t xml:space="preserve">Same as V.I.2. above.  The </w:t>
            </w:r>
            <w:r w:rsidR="00E02CC9">
              <w:rPr>
                <w:rFonts w:ascii="Baskerville" w:hAnsi="Baskerville" w:cs="Baskerville"/>
                <w:sz w:val="22"/>
                <w:szCs w:val="22"/>
              </w:rPr>
              <w:t xml:space="preserve">previous </w:t>
            </w:r>
            <w:r w:rsidRPr="00DF1E2F">
              <w:rPr>
                <w:rFonts w:ascii="Baskerville" w:hAnsi="Baskerville" w:cs="Baskerville"/>
                <w:sz w:val="22"/>
                <w:szCs w:val="22"/>
              </w:rPr>
              <w:t>draft</w:t>
            </w:r>
            <w:r w:rsidR="00E02CC9">
              <w:rPr>
                <w:rFonts w:ascii="Baskerville" w:hAnsi="Baskerville" w:cs="Baskerville"/>
                <w:sz w:val="22"/>
                <w:szCs w:val="22"/>
              </w:rPr>
              <w:t xml:space="preserve"> contract included</w:t>
            </w:r>
            <w:r w:rsidRPr="00DF1E2F">
              <w:rPr>
                <w:rFonts w:ascii="Baskerville" w:hAnsi="Baskerville" w:cs="Baskerville"/>
                <w:sz w:val="22"/>
                <w:szCs w:val="22"/>
              </w:rPr>
              <w:t xml:space="preserve"> determining a statistically significant sample.</w:t>
            </w:r>
          </w:p>
        </w:tc>
      </w:tr>
      <w:tr w:rsidR="0083366F" w:rsidRPr="00DF1E2F" w:rsidTr="0094744A">
        <w:trPr>
          <w:trHeight w:val="254"/>
        </w:trPr>
        <w:tc>
          <w:tcPr>
            <w:tcW w:w="1530" w:type="dxa"/>
            <w:shd w:val="clear" w:color="auto" w:fill="FFFF00"/>
            <w:vAlign w:val="center"/>
          </w:tcPr>
          <w:p w:rsidR="0083366F" w:rsidRPr="00556FC1" w:rsidRDefault="0083366F" w:rsidP="0046479A">
            <w:pPr>
              <w:tabs>
                <w:tab w:val="left" w:pos="1440"/>
                <w:tab w:val="left" w:pos="4920"/>
                <w:tab w:val="right" w:pos="8640"/>
              </w:tabs>
              <w:ind w:left="-108" w:right="-108"/>
              <w:jc w:val="center"/>
              <w:rPr>
                <w:rFonts w:ascii="Baskerville" w:hAnsi="Baskerville" w:cs="Baskerville"/>
                <w:b/>
                <w:highlight w:val="yellow"/>
              </w:rPr>
            </w:pPr>
            <w:r w:rsidRPr="00556FC1">
              <w:rPr>
                <w:rFonts w:ascii="Baskerville" w:hAnsi="Baskerville" w:cs="Baskerville"/>
                <w:b/>
                <w:bCs/>
                <w:highlight w:val="yellow"/>
              </w:rPr>
              <w:t>VI</w:t>
            </w:r>
          </w:p>
        </w:tc>
        <w:tc>
          <w:tcPr>
            <w:tcW w:w="4320" w:type="dxa"/>
            <w:shd w:val="clear" w:color="auto" w:fill="FFFF00"/>
          </w:tcPr>
          <w:p w:rsidR="0083366F" w:rsidRPr="00556FC1" w:rsidRDefault="0083366F" w:rsidP="00FD02F9">
            <w:pPr>
              <w:pStyle w:val="ListParagraph"/>
              <w:ind w:left="0"/>
              <w:rPr>
                <w:rFonts w:ascii="Baskerville" w:hAnsi="Baskerville" w:cs="Baskerville"/>
              </w:rPr>
            </w:pPr>
            <w:r w:rsidRPr="00556FC1">
              <w:rPr>
                <w:rFonts w:ascii="Baskerville" w:hAnsi="Baskerville" w:cs="Baskerville"/>
                <w:b/>
                <w:bCs/>
                <w:highlight w:val="yellow"/>
              </w:rPr>
              <w:t>Independent Reviewer</w:t>
            </w:r>
          </w:p>
        </w:tc>
        <w:tc>
          <w:tcPr>
            <w:tcW w:w="1440" w:type="dxa"/>
            <w:shd w:val="clear" w:color="auto" w:fill="FFFF00"/>
            <w:vAlign w:val="center"/>
          </w:tcPr>
          <w:p w:rsidR="0083366F" w:rsidRPr="00DF1E2F" w:rsidRDefault="0083366F" w:rsidP="005E5EF3">
            <w:pPr>
              <w:tabs>
                <w:tab w:val="left" w:pos="1440"/>
                <w:tab w:val="left" w:pos="4920"/>
                <w:tab w:val="right" w:pos="8640"/>
              </w:tabs>
              <w:ind w:left="-108" w:right="-108"/>
              <w:jc w:val="center"/>
              <w:rPr>
                <w:rFonts w:ascii="Baskerville" w:hAnsi="Baskerville" w:cs="Baskerville"/>
                <w:b/>
                <w:sz w:val="22"/>
                <w:szCs w:val="22"/>
              </w:rPr>
            </w:pPr>
          </w:p>
        </w:tc>
        <w:tc>
          <w:tcPr>
            <w:tcW w:w="2880" w:type="dxa"/>
            <w:shd w:val="clear" w:color="auto" w:fill="FFFF00"/>
          </w:tcPr>
          <w:p w:rsidR="0083366F" w:rsidRPr="00DF1E2F" w:rsidRDefault="0083366F" w:rsidP="004B279A">
            <w:pPr>
              <w:tabs>
                <w:tab w:val="left" w:pos="1440"/>
                <w:tab w:val="left" w:pos="4920"/>
                <w:tab w:val="right" w:pos="8640"/>
              </w:tabs>
              <w:ind w:right="270"/>
              <w:rPr>
                <w:rFonts w:ascii="Baskerville" w:hAnsi="Baskerville" w:cs="Baskerville"/>
                <w:sz w:val="22"/>
                <w:szCs w:val="22"/>
              </w:rPr>
            </w:pPr>
          </w:p>
        </w:tc>
      </w:tr>
      <w:tr w:rsidR="0083366F" w:rsidRPr="00DF1E2F" w:rsidTr="0094744A">
        <w:trPr>
          <w:trHeight w:val="3293"/>
        </w:trPr>
        <w:tc>
          <w:tcPr>
            <w:tcW w:w="1530" w:type="dxa"/>
            <w:tcBorders>
              <w:bottom w:val="single" w:sz="4" w:space="0" w:color="auto"/>
            </w:tcBorders>
          </w:tcPr>
          <w:p w:rsidR="00AC34C9" w:rsidRDefault="00AC34C9" w:rsidP="002031EC">
            <w:pPr>
              <w:tabs>
                <w:tab w:val="left" w:pos="4920"/>
                <w:tab w:val="right" w:pos="8640"/>
              </w:tabs>
              <w:ind w:right="72"/>
              <w:jc w:val="center"/>
              <w:rPr>
                <w:rFonts w:ascii="Baskerville" w:hAnsi="Baskerville" w:cs="Baskerville"/>
                <w:b/>
                <w:sz w:val="22"/>
                <w:szCs w:val="22"/>
              </w:rPr>
            </w:pPr>
          </w:p>
          <w:p w:rsidR="00AC34C9" w:rsidRDefault="00AC34C9" w:rsidP="002031EC">
            <w:pPr>
              <w:tabs>
                <w:tab w:val="left" w:pos="4920"/>
                <w:tab w:val="right" w:pos="8640"/>
              </w:tabs>
              <w:ind w:right="72"/>
              <w:jc w:val="center"/>
              <w:rPr>
                <w:rFonts w:ascii="Baskerville" w:hAnsi="Baskerville" w:cs="Baskerville"/>
                <w:b/>
                <w:sz w:val="22"/>
                <w:szCs w:val="22"/>
              </w:rPr>
            </w:pPr>
          </w:p>
          <w:p w:rsidR="00AC34C9" w:rsidRDefault="00AC34C9" w:rsidP="002031EC">
            <w:pPr>
              <w:tabs>
                <w:tab w:val="left" w:pos="4920"/>
                <w:tab w:val="right" w:pos="8640"/>
              </w:tabs>
              <w:ind w:right="72"/>
              <w:jc w:val="center"/>
              <w:rPr>
                <w:rFonts w:ascii="Baskerville" w:hAnsi="Baskerville" w:cs="Baskerville"/>
                <w:b/>
                <w:sz w:val="22"/>
                <w:szCs w:val="22"/>
              </w:rPr>
            </w:pPr>
          </w:p>
          <w:p w:rsidR="00AC34C9" w:rsidRDefault="00AC34C9" w:rsidP="002031EC">
            <w:pPr>
              <w:tabs>
                <w:tab w:val="left" w:pos="4920"/>
                <w:tab w:val="right" w:pos="8640"/>
              </w:tabs>
              <w:ind w:right="72"/>
              <w:jc w:val="center"/>
              <w:rPr>
                <w:rFonts w:ascii="Baskerville" w:hAnsi="Baskerville" w:cs="Baskerville"/>
                <w:b/>
                <w:sz w:val="22"/>
                <w:szCs w:val="22"/>
              </w:rPr>
            </w:pPr>
          </w:p>
          <w:p w:rsidR="00AC34C9" w:rsidRDefault="00AC34C9" w:rsidP="002031EC">
            <w:pPr>
              <w:tabs>
                <w:tab w:val="left" w:pos="4920"/>
                <w:tab w:val="right" w:pos="8640"/>
              </w:tabs>
              <w:ind w:right="72"/>
              <w:jc w:val="center"/>
              <w:rPr>
                <w:rFonts w:ascii="Baskerville" w:hAnsi="Baskerville" w:cs="Baskerville"/>
                <w:b/>
                <w:sz w:val="22"/>
                <w:szCs w:val="22"/>
              </w:rPr>
            </w:pPr>
          </w:p>
          <w:p w:rsidR="0083366F" w:rsidRPr="00AC34C9" w:rsidRDefault="0083366F" w:rsidP="002031EC">
            <w:pPr>
              <w:tabs>
                <w:tab w:val="left" w:pos="4920"/>
                <w:tab w:val="right" w:pos="8640"/>
              </w:tabs>
              <w:ind w:right="72"/>
              <w:jc w:val="center"/>
              <w:rPr>
                <w:rFonts w:ascii="Baskerville" w:hAnsi="Baskerville" w:cs="Baskerville"/>
                <w:b/>
                <w:sz w:val="22"/>
                <w:szCs w:val="22"/>
                <w:u w:val="single"/>
              </w:rPr>
            </w:pPr>
            <w:r w:rsidRPr="00AC34C9">
              <w:rPr>
                <w:rFonts w:ascii="Baskerville" w:hAnsi="Baskerville" w:cs="Baskerville"/>
                <w:b/>
                <w:sz w:val="22"/>
                <w:szCs w:val="22"/>
                <w:u w:val="single"/>
              </w:rPr>
              <w:t>VI.D.</w:t>
            </w:r>
          </w:p>
          <w:p w:rsidR="0083366F" w:rsidRPr="00DF1E2F" w:rsidRDefault="0083366F" w:rsidP="002031EC">
            <w:pPr>
              <w:tabs>
                <w:tab w:val="left" w:pos="4920"/>
                <w:tab w:val="right" w:pos="8640"/>
              </w:tabs>
              <w:ind w:right="72"/>
              <w:jc w:val="center"/>
              <w:rPr>
                <w:rFonts w:ascii="Baskerville" w:hAnsi="Baskerville" w:cs="Baskerville"/>
                <w:b/>
                <w:sz w:val="22"/>
                <w:szCs w:val="22"/>
              </w:rPr>
            </w:pPr>
          </w:p>
          <w:p w:rsidR="0083366F" w:rsidRPr="00DF1E2F" w:rsidRDefault="0083366F" w:rsidP="002031EC">
            <w:pPr>
              <w:tabs>
                <w:tab w:val="left" w:pos="4920"/>
                <w:tab w:val="right" w:pos="8640"/>
              </w:tabs>
              <w:ind w:right="72"/>
              <w:jc w:val="center"/>
              <w:rPr>
                <w:rFonts w:ascii="Baskerville" w:hAnsi="Baskerville" w:cs="Baskerville"/>
                <w:b/>
                <w:sz w:val="22"/>
                <w:szCs w:val="22"/>
              </w:rPr>
            </w:pPr>
          </w:p>
        </w:tc>
        <w:tc>
          <w:tcPr>
            <w:tcW w:w="4320" w:type="dxa"/>
            <w:tcBorders>
              <w:bottom w:val="single" w:sz="4" w:space="0" w:color="auto"/>
            </w:tcBorders>
          </w:tcPr>
          <w:p w:rsidR="0083366F" w:rsidRPr="00DF1E2F" w:rsidRDefault="0083366F" w:rsidP="002031EC">
            <w:pPr>
              <w:pStyle w:val="ListParagraph"/>
              <w:ind w:left="0" w:right="72"/>
              <w:rPr>
                <w:rFonts w:ascii="Baskerville" w:hAnsi="Baskerville" w:cs="Baskerville"/>
                <w:sz w:val="22"/>
                <w:szCs w:val="22"/>
              </w:rPr>
            </w:pPr>
            <w:r w:rsidRPr="00DF1E2F">
              <w:rPr>
                <w:rFonts w:ascii="Baskerville" w:hAnsi="Baskerville" w:cs="Baskerville"/>
                <w:sz w:val="22"/>
                <w:szCs w:val="22"/>
              </w:rPr>
              <w:t>Upon receipt of notification, the Commonwealth shall immediately report to the Independent Reviewer the death or serious injury resulting in ongoing medical care of any former resident of a Training Center. The Independent Reviewer shall forthwith review any such death or injury and report his findings to the Court in a special report, to be filed under seal with the Parties … shared with Intervenor’s counsel.</w:t>
            </w:r>
          </w:p>
        </w:tc>
        <w:tc>
          <w:tcPr>
            <w:tcW w:w="1440" w:type="dxa"/>
            <w:tcBorders>
              <w:bottom w:val="single" w:sz="4" w:space="0" w:color="auto"/>
            </w:tcBorders>
          </w:tcPr>
          <w:p w:rsidR="0083366F" w:rsidRDefault="002D3B03" w:rsidP="00BE7190">
            <w:pPr>
              <w:tabs>
                <w:tab w:val="left" w:pos="1692"/>
                <w:tab w:val="left" w:pos="4920"/>
                <w:tab w:val="right" w:pos="8640"/>
              </w:tabs>
              <w:ind w:left="-108" w:right="-108"/>
              <w:jc w:val="center"/>
              <w:rPr>
                <w:rFonts w:ascii="Baskerville" w:hAnsi="Baskerville" w:cs="Baskerville"/>
                <w:sz w:val="20"/>
                <w:szCs w:val="20"/>
              </w:rPr>
            </w:pPr>
            <w:r w:rsidRPr="0000799C">
              <w:rPr>
                <w:rFonts w:ascii="Baskerville" w:hAnsi="Baskerville" w:cs="Baskerville"/>
                <w:sz w:val="20"/>
                <w:szCs w:val="20"/>
              </w:rPr>
              <w:t>(Compliance)</w:t>
            </w:r>
          </w:p>
          <w:p w:rsidR="0019421E" w:rsidRPr="00BE7190" w:rsidRDefault="0019421E" w:rsidP="00BE7190">
            <w:pPr>
              <w:tabs>
                <w:tab w:val="left" w:pos="1692"/>
                <w:tab w:val="left" w:pos="4920"/>
                <w:tab w:val="right" w:pos="8640"/>
              </w:tabs>
              <w:ind w:left="-108" w:right="-108"/>
              <w:jc w:val="center"/>
              <w:rPr>
                <w:rFonts w:ascii="Baskerville" w:hAnsi="Baskerville" w:cs="Baskerville"/>
                <w:sz w:val="20"/>
                <w:szCs w:val="20"/>
              </w:rPr>
            </w:pPr>
          </w:p>
          <w:p w:rsidR="0083366F" w:rsidRDefault="0083366F" w:rsidP="005E5EF3">
            <w:pPr>
              <w:tabs>
                <w:tab w:val="left" w:pos="1440"/>
                <w:tab w:val="left" w:pos="4920"/>
                <w:tab w:val="right" w:pos="8640"/>
              </w:tabs>
              <w:ind w:left="-108" w:right="-108"/>
              <w:jc w:val="center"/>
              <w:rPr>
                <w:rFonts w:ascii="Baskerville" w:hAnsi="Baskerville" w:cs="Baskerville"/>
                <w:sz w:val="22"/>
                <w:szCs w:val="22"/>
                <w:u w:val="single"/>
              </w:rPr>
            </w:pPr>
            <w:r w:rsidRPr="00BE7190">
              <w:rPr>
                <w:rFonts w:ascii="Baskerville" w:hAnsi="Baskerville" w:cs="Baskerville"/>
                <w:sz w:val="22"/>
                <w:szCs w:val="22"/>
                <w:u w:val="single"/>
              </w:rPr>
              <w:t>Compliance</w:t>
            </w:r>
          </w:p>
          <w:p w:rsidR="00BE7190" w:rsidRDefault="00BE7190" w:rsidP="005E5EF3">
            <w:pPr>
              <w:tabs>
                <w:tab w:val="left" w:pos="1440"/>
                <w:tab w:val="left" w:pos="4920"/>
                <w:tab w:val="right" w:pos="8640"/>
              </w:tabs>
              <w:ind w:left="-108" w:right="-108"/>
              <w:jc w:val="center"/>
              <w:rPr>
                <w:rFonts w:ascii="Baskerville" w:hAnsi="Baskerville" w:cs="Baskerville"/>
                <w:sz w:val="22"/>
                <w:szCs w:val="22"/>
                <w:u w:val="single"/>
              </w:rPr>
            </w:pPr>
          </w:p>
          <w:p w:rsidR="00BE7190" w:rsidRDefault="00BE7190" w:rsidP="005E5EF3">
            <w:pPr>
              <w:tabs>
                <w:tab w:val="left" w:pos="1440"/>
                <w:tab w:val="left" w:pos="4920"/>
                <w:tab w:val="right" w:pos="8640"/>
              </w:tabs>
              <w:ind w:left="-108" w:right="-108"/>
              <w:jc w:val="center"/>
              <w:rPr>
                <w:rFonts w:ascii="Baskerville" w:hAnsi="Baskerville" w:cs="Baskerville"/>
                <w:sz w:val="22"/>
                <w:szCs w:val="22"/>
                <w:u w:val="single"/>
              </w:rPr>
            </w:pPr>
          </w:p>
          <w:p w:rsidR="00BE7190" w:rsidRPr="00BE7190" w:rsidRDefault="00BE7190" w:rsidP="00BE7190">
            <w:pPr>
              <w:tabs>
                <w:tab w:val="left" w:pos="1440"/>
                <w:tab w:val="left" w:pos="4920"/>
                <w:tab w:val="right" w:pos="8640"/>
              </w:tabs>
              <w:ind w:left="-108" w:right="-108"/>
              <w:jc w:val="center"/>
              <w:rPr>
                <w:rFonts w:ascii="Baskerville" w:hAnsi="Baskerville" w:cs="Baskerville"/>
                <w:b/>
                <w:sz w:val="22"/>
                <w:szCs w:val="22"/>
              </w:rPr>
            </w:pPr>
            <w:r w:rsidRPr="00BE7190">
              <w:rPr>
                <w:rFonts w:ascii="Baskerville" w:hAnsi="Baskerville" w:cs="Baskerville"/>
                <w:b/>
                <w:sz w:val="22"/>
                <w:szCs w:val="22"/>
              </w:rPr>
              <w:t>Compliance</w:t>
            </w:r>
          </w:p>
          <w:p w:rsidR="00BE7190" w:rsidRPr="00BE7190" w:rsidRDefault="00BE7190" w:rsidP="005E5EF3">
            <w:pPr>
              <w:tabs>
                <w:tab w:val="left" w:pos="1440"/>
                <w:tab w:val="left" w:pos="4920"/>
                <w:tab w:val="right" w:pos="8640"/>
              </w:tabs>
              <w:ind w:left="-108" w:right="-108"/>
              <w:jc w:val="center"/>
              <w:rPr>
                <w:rFonts w:ascii="Baskerville" w:hAnsi="Baskerville" w:cs="Baskerville"/>
                <w:sz w:val="22"/>
                <w:szCs w:val="22"/>
                <w:u w:val="single"/>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b/>
                <w:sz w:val="22"/>
                <w:szCs w:val="22"/>
              </w:rPr>
            </w:pPr>
          </w:p>
        </w:tc>
        <w:tc>
          <w:tcPr>
            <w:tcW w:w="2880" w:type="dxa"/>
            <w:tcBorders>
              <w:bottom w:val="single" w:sz="4" w:space="0" w:color="auto"/>
            </w:tcBorders>
          </w:tcPr>
          <w:p w:rsidR="00521EA1" w:rsidRPr="00DF1E2F" w:rsidRDefault="0083366F" w:rsidP="00BF753E">
            <w:pPr>
              <w:tabs>
                <w:tab w:val="left" w:pos="1440"/>
                <w:tab w:val="left" w:pos="4920"/>
                <w:tab w:val="right" w:pos="8640"/>
              </w:tabs>
              <w:rPr>
                <w:rFonts w:ascii="Baskerville" w:hAnsi="Baskerville" w:cs="Baskerville"/>
                <w:sz w:val="22"/>
                <w:szCs w:val="22"/>
              </w:rPr>
            </w:pPr>
            <w:r w:rsidRPr="00DF1E2F">
              <w:rPr>
                <w:rFonts w:ascii="Baskerville" w:hAnsi="Baskerville" w:cs="Baskerville"/>
                <w:sz w:val="22"/>
                <w:szCs w:val="22"/>
              </w:rPr>
              <w:t>The DHBDS promptly repo</w:t>
            </w:r>
            <w:r w:rsidR="00E11146">
              <w:rPr>
                <w:rFonts w:ascii="Baskerville" w:hAnsi="Baskerville" w:cs="Baskerville"/>
                <w:sz w:val="22"/>
                <w:szCs w:val="22"/>
              </w:rPr>
              <w:t>rts to the IR. The IR</w:t>
            </w:r>
            <w:r w:rsidRPr="00DF1E2F">
              <w:rPr>
                <w:rFonts w:ascii="Baskerville" w:hAnsi="Baskerville" w:cs="Baskerville"/>
                <w:sz w:val="22"/>
                <w:szCs w:val="22"/>
              </w:rPr>
              <w:t>, in co</w:t>
            </w:r>
            <w:r w:rsidR="005C5B71">
              <w:rPr>
                <w:rFonts w:ascii="Baskerville" w:hAnsi="Baskerville" w:cs="Baskerville"/>
                <w:sz w:val="22"/>
                <w:szCs w:val="22"/>
              </w:rPr>
              <w:t xml:space="preserve">llaboration with a nurse and </w:t>
            </w:r>
            <w:r w:rsidRPr="00DF1E2F">
              <w:rPr>
                <w:rFonts w:ascii="Baskerville" w:hAnsi="Baskerville" w:cs="Baskerville"/>
                <w:sz w:val="22"/>
                <w:szCs w:val="22"/>
              </w:rPr>
              <w:t>independent consultant</w:t>
            </w:r>
            <w:r w:rsidR="00E11146">
              <w:rPr>
                <w:rFonts w:ascii="Baskerville" w:hAnsi="Baskerville" w:cs="Baskerville"/>
                <w:sz w:val="22"/>
                <w:szCs w:val="22"/>
              </w:rPr>
              <w:t>s</w:t>
            </w:r>
            <w:r w:rsidR="005C5B71">
              <w:rPr>
                <w:rFonts w:ascii="Baskerville" w:hAnsi="Baskerville" w:cs="Baskerville"/>
                <w:sz w:val="22"/>
                <w:szCs w:val="22"/>
              </w:rPr>
              <w:t>, reviewed and submitted thirteen</w:t>
            </w:r>
            <w:r w:rsidRPr="00DF1E2F">
              <w:rPr>
                <w:rFonts w:ascii="Baskerville" w:hAnsi="Baskerville" w:cs="Baskerville"/>
                <w:sz w:val="22"/>
                <w:szCs w:val="22"/>
              </w:rPr>
              <w:t xml:space="preserve"> reports to the Court with copies provided to the Parties. </w:t>
            </w:r>
            <w:r w:rsidR="005C5B71">
              <w:rPr>
                <w:rFonts w:ascii="Baskerville" w:hAnsi="Baskerville" w:cs="Baskerville"/>
                <w:sz w:val="22"/>
                <w:szCs w:val="22"/>
              </w:rPr>
              <w:t xml:space="preserve">DBHDS has established an internal working group to review and follow-up on </w:t>
            </w:r>
            <w:r w:rsidR="00A973D7">
              <w:rPr>
                <w:rFonts w:ascii="Baskerville" w:hAnsi="Baskerville" w:cs="Baskerville"/>
                <w:sz w:val="22"/>
                <w:szCs w:val="22"/>
              </w:rPr>
              <w:t>the IR’s conclusions and recommendations.</w:t>
            </w:r>
          </w:p>
        </w:tc>
      </w:tr>
      <w:tr w:rsidR="0083366F" w:rsidRPr="00DF1E2F" w:rsidTr="0094744A">
        <w:trPr>
          <w:trHeight w:val="134"/>
        </w:trPr>
        <w:tc>
          <w:tcPr>
            <w:tcW w:w="1530" w:type="dxa"/>
            <w:shd w:val="clear" w:color="auto" w:fill="FFFF00"/>
            <w:vAlign w:val="center"/>
          </w:tcPr>
          <w:p w:rsidR="0083366F" w:rsidRPr="00556FC1" w:rsidRDefault="0083366F" w:rsidP="002031EC">
            <w:pPr>
              <w:tabs>
                <w:tab w:val="left" w:pos="4920"/>
                <w:tab w:val="right" w:pos="8640"/>
              </w:tabs>
              <w:ind w:right="72"/>
              <w:jc w:val="center"/>
              <w:rPr>
                <w:rFonts w:ascii="Baskerville" w:hAnsi="Baskerville" w:cs="Baskerville"/>
                <w:b/>
                <w:bCs/>
                <w:highlight w:val="yellow"/>
              </w:rPr>
            </w:pPr>
            <w:r w:rsidRPr="00556FC1">
              <w:rPr>
                <w:rFonts w:ascii="Baskerville" w:hAnsi="Baskerville" w:cs="Baskerville"/>
                <w:b/>
                <w:bCs/>
                <w:highlight w:val="yellow"/>
              </w:rPr>
              <w:t>IX</w:t>
            </w:r>
          </w:p>
        </w:tc>
        <w:tc>
          <w:tcPr>
            <w:tcW w:w="4320" w:type="dxa"/>
            <w:shd w:val="clear" w:color="auto" w:fill="FFFF00"/>
          </w:tcPr>
          <w:p w:rsidR="0083366F" w:rsidRPr="00556FC1" w:rsidRDefault="0083366F" w:rsidP="002031EC">
            <w:pPr>
              <w:pStyle w:val="ListParagraph"/>
              <w:ind w:left="0" w:right="72"/>
              <w:rPr>
                <w:rFonts w:ascii="Baskerville" w:hAnsi="Baskerville" w:cs="Baskerville"/>
                <w:b/>
                <w:bCs/>
                <w:highlight w:val="yellow"/>
              </w:rPr>
            </w:pPr>
            <w:r w:rsidRPr="00556FC1">
              <w:rPr>
                <w:rFonts w:ascii="Baskerville" w:hAnsi="Baskerville" w:cs="Baskerville"/>
                <w:b/>
                <w:bCs/>
                <w:highlight w:val="yellow"/>
              </w:rPr>
              <w:t>Implementation of the Agreement</w:t>
            </w:r>
          </w:p>
        </w:tc>
        <w:tc>
          <w:tcPr>
            <w:tcW w:w="1440" w:type="dxa"/>
            <w:shd w:val="clear" w:color="auto" w:fill="FFFF00"/>
            <w:vAlign w:val="center"/>
          </w:tcPr>
          <w:p w:rsidR="0083366F" w:rsidRPr="00DF1E2F" w:rsidRDefault="0083366F" w:rsidP="005E5EF3">
            <w:pPr>
              <w:tabs>
                <w:tab w:val="left" w:pos="1440"/>
                <w:tab w:val="left" w:pos="4920"/>
                <w:tab w:val="right" w:pos="8640"/>
              </w:tabs>
              <w:ind w:left="-108" w:right="-108"/>
              <w:jc w:val="center"/>
              <w:rPr>
                <w:rFonts w:ascii="Baskerville" w:hAnsi="Baskerville" w:cs="Baskerville"/>
                <w:b/>
                <w:bCs/>
                <w:sz w:val="22"/>
                <w:szCs w:val="22"/>
                <w:highlight w:val="yellow"/>
              </w:rPr>
            </w:pPr>
          </w:p>
        </w:tc>
        <w:tc>
          <w:tcPr>
            <w:tcW w:w="2880" w:type="dxa"/>
            <w:shd w:val="clear" w:color="auto" w:fill="FFFF00"/>
          </w:tcPr>
          <w:p w:rsidR="0083366F" w:rsidRPr="00DF1E2F" w:rsidRDefault="0083366F" w:rsidP="006178A1">
            <w:pPr>
              <w:tabs>
                <w:tab w:val="left" w:pos="1440"/>
                <w:tab w:val="left" w:pos="4920"/>
                <w:tab w:val="right" w:pos="8640"/>
              </w:tabs>
              <w:ind w:right="270"/>
              <w:rPr>
                <w:rFonts w:ascii="Baskerville" w:hAnsi="Baskerville" w:cs="Baskerville"/>
                <w:bCs/>
                <w:sz w:val="22"/>
                <w:szCs w:val="22"/>
                <w:highlight w:val="yellow"/>
              </w:rPr>
            </w:pPr>
          </w:p>
        </w:tc>
      </w:tr>
      <w:tr w:rsidR="0083366F" w:rsidRPr="00DF1E2F" w:rsidTr="0094744A">
        <w:trPr>
          <w:trHeight w:val="3923"/>
        </w:trPr>
        <w:tc>
          <w:tcPr>
            <w:tcW w:w="1530" w:type="dxa"/>
            <w:vAlign w:val="center"/>
          </w:tcPr>
          <w:p w:rsidR="0083366F" w:rsidRPr="009D5271" w:rsidRDefault="0083366F" w:rsidP="0046479A">
            <w:pPr>
              <w:tabs>
                <w:tab w:val="left" w:pos="1440"/>
                <w:tab w:val="left" w:pos="4920"/>
                <w:tab w:val="right" w:pos="8640"/>
              </w:tabs>
              <w:ind w:left="-108" w:right="-108"/>
              <w:jc w:val="center"/>
              <w:rPr>
                <w:rFonts w:ascii="Baskerville" w:hAnsi="Baskerville" w:cs="Baskerville"/>
                <w:b/>
                <w:sz w:val="22"/>
                <w:szCs w:val="22"/>
                <w:u w:val="single"/>
              </w:rPr>
            </w:pPr>
            <w:r w:rsidRPr="009D5271">
              <w:rPr>
                <w:rFonts w:ascii="Baskerville" w:hAnsi="Baskerville" w:cs="Baskerville"/>
                <w:b/>
                <w:sz w:val="22"/>
                <w:szCs w:val="22"/>
                <w:u w:val="single"/>
              </w:rPr>
              <w:t xml:space="preserve">IX.C. </w:t>
            </w:r>
          </w:p>
        </w:tc>
        <w:tc>
          <w:tcPr>
            <w:tcW w:w="4320" w:type="dxa"/>
          </w:tcPr>
          <w:p w:rsidR="0083366F" w:rsidRPr="00DF1E2F" w:rsidRDefault="0083366F" w:rsidP="00225C6E">
            <w:pPr>
              <w:pStyle w:val="ListParagraph"/>
              <w:ind w:left="0"/>
              <w:rPr>
                <w:rFonts w:ascii="Baskerville" w:hAnsi="Baskerville" w:cs="Baskerville"/>
                <w:sz w:val="22"/>
                <w:szCs w:val="22"/>
              </w:rPr>
            </w:pPr>
            <w:r w:rsidRPr="00DF1E2F">
              <w:rPr>
                <w:rFonts w:ascii="Baskerville" w:hAnsi="Baskerville" w:cs="Baskerville"/>
                <w:sz w:val="22"/>
                <w:szCs w:val="22"/>
              </w:rPr>
              <w:t>The Commonwealth shall maintain sufficient records to document that the requirements of this Agreement are being properly implemented …</w:t>
            </w:r>
          </w:p>
        </w:tc>
        <w:tc>
          <w:tcPr>
            <w:tcW w:w="1440" w:type="dxa"/>
          </w:tcPr>
          <w:p w:rsidR="009D5271" w:rsidRPr="00D86EC5" w:rsidRDefault="002D3B03" w:rsidP="005E71C2">
            <w:pPr>
              <w:tabs>
                <w:tab w:val="left" w:pos="1440"/>
                <w:tab w:val="left" w:pos="4920"/>
                <w:tab w:val="right" w:pos="8640"/>
              </w:tabs>
              <w:ind w:left="-108" w:right="-108"/>
              <w:jc w:val="center"/>
              <w:rPr>
                <w:rFonts w:ascii="Baskerville" w:hAnsi="Baskerville" w:cs="Baskerville"/>
                <w:sz w:val="20"/>
                <w:szCs w:val="20"/>
              </w:rPr>
            </w:pPr>
            <w:r w:rsidRPr="00B859E2">
              <w:rPr>
                <w:rFonts w:ascii="Baskerville" w:hAnsi="Baskerville" w:cs="Baskerville"/>
                <w:sz w:val="20"/>
                <w:szCs w:val="20"/>
              </w:rPr>
              <w:t>(</w:t>
            </w:r>
            <w:r w:rsidR="0083366F" w:rsidRPr="00B859E2">
              <w:rPr>
                <w:rFonts w:ascii="Baskerville" w:hAnsi="Baskerville" w:cs="Baskerville"/>
                <w:sz w:val="20"/>
                <w:szCs w:val="20"/>
              </w:rPr>
              <w:t>Non Compliance</w:t>
            </w:r>
            <w:r w:rsidRPr="00B859E2">
              <w:rPr>
                <w:rFonts w:ascii="Baskerville" w:hAnsi="Baskerville" w:cs="Baskerville"/>
                <w:sz w:val="20"/>
                <w:szCs w:val="20"/>
              </w:rPr>
              <w:t>)</w:t>
            </w:r>
          </w:p>
          <w:p w:rsidR="00D86EC5" w:rsidRDefault="00D86EC5" w:rsidP="005E71C2">
            <w:pPr>
              <w:tabs>
                <w:tab w:val="left" w:pos="1440"/>
                <w:tab w:val="left" w:pos="4920"/>
                <w:tab w:val="right" w:pos="8640"/>
              </w:tabs>
              <w:ind w:left="-108" w:right="-108"/>
              <w:jc w:val="center"/>
              <w:rPr>
                <w:rFonts w:ascii="Baskerville" w:hAnsi="Baskerville" w:cs="Baskerville"/>
                <w:sz w:val="22"/>
                <w:szCs w:val="22"/>
                <w:u w:val="single"/>
              </w:rPr>
            </w:pPr>
          </w:p>
          <w:p w:rsidR="0083366F" w:rsidRPr="00D86EC5" w:rsidRDefault="0083366F" w:rsidP="005E71C2">
            <w:pPr>
              <w:tabs>
                <w:tab w:val="left" w:pos="1440"/>
                <w:tab w:val="left" w:pos="4920"/>
                <w:tab w:val="right" w:pos="8640"/>
              </w:tabs>
              <w:ind w:left="-108" w:right="-108"/>
              <w:jc w:val="center"/>
              <w:rPr>
                <w:rFonts w:ascii="Baskerville" w:hAnsi="Baskerville" w:cs="Baskerville"/>
                <w:sz w:val="22"/>
                <w:szCs w:val="22"/>
                <w:u w:val="single"/>
              </w:rPr>
            </w:pPr>
            <w:r w:rsidRPr="00D86EC5">
              <w:rPr>
                <w:rFonts w:ascii="Baskerville" w:hAnsi="Baskerville" w:cs="Baskerville"/>
                <w:sz w:val="22"/>
                <w:szCs w:val="22"/>
                <w:u w:val="single"/>
              </w:rPr>
              <w:t>Non</w:t>
            </w:r>
            <w:r w:rsidR="00D86EC5">
              <w:rPr>
                <w:rFonts w:ascii="Baskerville" w:hAnsi="Baskerville" w:cs="Baskerville"/>
                <w:sz w:val="22"/>
                <w:szCs w:val="22"/>
                <w:u w:val="single"/>
              </w:rPr>
              <w:t xml:space="preserve"> </w:t>
            </w:r>
            <w:r w:rsidRPr="00D86EC5">
              <w:rPr>
                <w:rFonts w:ascii="Baskerville" w:hAnsi="Baskerville" w:cs="Baskerville"/>
                <w:sz w:val="22"/>
                <w:szCs w:val="22"/>
                <w:u w:val="single"/>
              </w:rPr>
              <w:t>Compliance</w:t>
            </w: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D86EC5" w:rsidRPr="00D86EC5" w:rsidRDefault="00D86EC5" w:rsidP="00D86EC5">
            <w:pPr>
              <w:tabs>
                <w:tab w:val="left" w:pos="1440"/>
                <w:tab w:val="left" w:pos="4920"/>
                <w:tab w:val="right" w:pos="8640"/>
              </w:tabs>
              <w:ind w:left="-108" w:right="-108"/>
              <w:jc w:val="center"/>
              <w:rPr>
                <w:rFonts w:ascii="Baskerville" w:hAnsi="Baskerville" w:cs="Baskerville"/>
                <w:b/>
                <w:sz w:val="22"/>
                <w:szCs w:val="22"/>
              </w:rPr>
            </w:pPr>
            <w:r w:rsidRPr="00D86EC5">
              <w:rPr>
                <w:rFonts w:ascii="Baskerville" w:hAnsi="Baskerville" w:cs="Baskerville"/>
                <w:b/>
                <w:sz w:val="22"/>
                <w:szCs w:val="22"/>
              </w:rPr>
              <w:t xml:space="preserve">Non </w:t>
            </w:r>
          </w:p>
          <w:p w:rsidR="00D86EC5" w:rsidRPr="00D86EC5" w:rsidRDefault="00D86EC5" w:rsidP="00D86EC5">
            <w:pPr>
              <w:tabs>
                <w:tab w:val="left" w:pos="1440"/>
                <w:tab w:val="left" w:pos="4920"/>
                <w:tab w:val="right" w:pos="8640"/>
              </w:tabs>
              <w:ind w:left="-108" w:right="-108"/>
              <w:jc w:val="center"/>
              <w:rPr>
                <w:rFonts w:ascii="Baskerville" w:hAnsi="Baskerville" w:cs="Baskerville"/>
                <w:b/>
                <w:sz w:val="22"/>
                <w:szCs w:val="22"/>
              </w:rPr>
            </w:pPr>
            <w:r w:rsidRPr="00D86EC5">
              <w:rPr>
                <w:rFonts w:ascii="Baskerville" w:hAnsi="Baskerville" w:cs="Baskerville"/>
                <w:b/>
                <w:sz w:val="22"/>
                <w:szCs w:val="22"/>
              </w:rPr>
              <w:t>Compliance</w:t>
            </w:r>
          </w:p>
          <w:p w:rsidR="0083366F" w:rsidRPr="00DF1E2F" w:rsidRDefault="0083366F" w:rsidP="005E5EF3">
            <w:pPr>
              <w:tabs>
                <w:tab w:val="left" w:pos="1440"/>
                <w:tab w:val="left" w:pos="4920"/>
                <w:tab w:val="right" w:pos="8640"/>
              </w:tabs>
              <w:ind w:left="-108" w:right="-108"/>
              <w:jc w:val="center"/>
              <w:rPr>
                <w:rFonts w:ascii="Baskerville" w:hAnsi="Baskerville" w:cs="Baskerville"/>
                <w:sz w:val="22"/>
                <w:szCs w:val="22"/>
              </w:rPr>
            </w:pPr>
          </w:p>
          <w:p w:rsidR="0083366F" w:rsidRPr="00DF1E2F" w:rsidRDefault="0083366F" w:rsidP="005E5EF3">
            <w:pPr>
              <w:tabs>
                <w:tab w:val="left" w:pos="1440"/>
                <w:tab w:val="left" w:pos="4920"/>
                <w:tab w:val="right" w:pos="8640"/>
              </w:tabs>
              <w:ind w:left="-108" w:right="-108"/>
              <w:jc w:val="center"/>
              <w:rPr>
                <w:rFonts w:ascii="Baskerville" w:hAnsi="Baskerville" w:cs="Baskerville"/>
                <w:b/>
                <w:sz w:val="22"/>
                <w:szCs w:val="22"/>
              </w:rPr>
            </w:pPr>
          </w:p>
        </w:tc>
        <w:tc>
          <w:tcPr>
            <w:tcW w:w="2880" w:type="dxa"/>
          </w:tcPr>
          <w:p w:rsidR="0083366F" w:rsidRPr="00DF1E2F" w:rsidRDefault="002817B6" w:rsidP="00BD51C1">
            <w:pPr>
              <w:tabs>
                <w:tab w:val="left" w:pos="1440"/>
                <w:tab w:val="left" w:pos="4920"/>
                <w:tab w:val="right" w:pos="8640"/>
              </w:tabs>
              <w:ind w:right="-108"/>
              <w:rPr>
                <w:rFonts w:ascii="Baskerville" w:hAnsi="Baskerville" w:cs="Baskerville"/>
                <w:sz w:val="22"/>
                <w:szCs w:val="22"/>
              </w:rPr>
            </w:pPr>
            <w:r>
              <w:rPr>
                <w:rFonts w:ascii="Baskerville" w:hAnsi="Baskerville" w:cs="Baskerville"/>
                <w:sz w:val="22"/>
                <w:szCs w:val="22"/>
              </w:rPr>
              <w:t>The IR has determined that the Commonwealth did not maintain s</w:t>
            </w:r>
            <w:r w:rsidR="0083366F" w:rsidRPr="00DF1E2F">
              <w:rPr>
                <w:rFonts w:ascii="Baskerville" w:hAnsi="Baskerville" w:cs="Baskerville"/>
                <w:sz w:val="22"/>
                <w:szCs w:val="22"/>
              </w:rPr>
              <w:t>ufficient r</w:t>
            </w:r>
            <w:r w:rsidR="00ED1008">
              <w:rPr>
                <w:rFonts w:ascii="Baskerville" w:hAnsi="Baskerville" w:cs="Baskerville"/>
                <w:sz w:val="22"/>
                <w:szCs w:val="22"/>
              </w:rPr>
              <w:t xml:space="preserve">ecords </w:t>
            </w:r>
            <w:r w:rsidR="00BD51C1">
              <w:rPr>
                <w:rFonts w:ascii="Baskerville" w:hAnsi="Baskerville" w:cs="Baskerville"/>
                <w:sz w:val="22"/>
                <w:szCs w:val="22"/>
              </w:rPr>
              <w:t xml:space="preserve">to document </w:t>
            </w:r>
            <w:r w:rsidR="002F2F0C">
              <w:rPr>
                <w:rFonts w:ascii="Baskerville" w:hAnsi="Baskerville" w:cs="Baskerville"/>
                <w:sz w:val="22"/>
                <w:szCs w:val="22"/>
              </w:rPr>
              <w:t xml:space="preserve">proper implementation of the </w:t>
            </w:r>
            <w:r w:rsidR="00BD51C1" w:rsidRPr="003B197C">
              <w:rPr>
                <w:rFonts w:ascii="Baskerville" w:hAnsi="Baskerville" w:cs="Baskerville"/>
                <w:sz w:val="22"/>
                <w:szCs w:val="22"/>
              </w:rPr>
              <w:t xml:space="preserve">individual and family support program, </w:t>
            </w:r>
            <w:r w:rsidR="00BD51C1">
              <w:rPr>
                <w:rFonts w:ascii="Baskerville" w:hAnsi="Baskerville" w:cs="Baskerville"/>
                <w:sz w:val="22"/>
                <w:szCs w:val="22"/>
              </w:rPr>
              <w:t xml:space="preserve">case management, </w:t>
            </w:r>
            <w:r w:rsidR="0096076A">
              <w:rPr>
                <w:rFonts w:ascii="Baskerville" w:hAnsi="Baskerville" w:cs="Baskerville"/>
                <w:sz w:val="22"/>
                <w:szCs w:val="22"/>
              </w:rPr>
              <w:t xml:space="preserve">crisis services, employment, </w:t>
            </w:r>
            <w:r w:rsidR="00BD51C1">
              <w:rPr>
                <w:rFonts w:ascii="Baskerville" w:hAnsi="Baskerville" w:cs="Baskerville"/>
                <w:sz w:val="22"/>
                <w:szCs w:val="22"/>
              </w:rPr>
              <w:t>and licensing</w:t>
            </w:r>
            <w:r w:rsidR="00BD51C1" w:rsidRPr="003B197C">
              <w:rPr>
                <w:rFonts w:ascii="Baskerville" w:hAnsi="Baskerville" w:cs="Baskerville"/>
                <w:sz w:val="22"/>
                <w:szCs w:val="22"/>
              </w:rPr>
              <w:t>.</w:t>
            </w:r>
            <w:r w:rsidR="0096076A">
              <w:rPr>
                <w:rFonts w:ascii="Baskerville" w:hAnsi="Baskerville" w:cs="Baskerville"/>
                <w:sz w:val="22"/>
                <w:szCs w:val="22"/>
              </w:rPr>
              <w:t xml:space="preserve"> </w:t>
            </w:r>
            <w:r w:rsidR="002B5224" w:rsidRPr="003B197C">
              <w:rPr>
                <w:rFonts w:ascii="Baskerville" w:hAnsi="Baskerville" w:cs="Baskerville"/>
                <w:sz w:val="22"/>
                <w:szCs w:val="22"/>
              </w:rPr>
              <w:t>DBHDS has not established indicators of compliance or how it</w:t>
            </w:r>
            <w:r w:rsidR="001909D2" w:rsidRPr="003B197C">
              <w:rPr>
                <w:rFonts w:ascii="Baskerville" w:hAnsi="Baskerville" w:cs="Baskerville"/>
                <w:sz w:val="22"/>
                <w:szCs w:val="22"/>
              </w:rPr>
              <w:t xml:space="preserve"> will measure</w:t>
            </w:r>
            <w:r w:rsidR="001D5FFC">
              <w:rPr>
                <w:rFonts w:ascii="Baskerville" w:hAnsi="Baskerville" w:cs="Baskerville"/>
                <w:sz w:val="22"/>
                <w:szCs w:val="22"/>
              </w:rPr>
              <w:t xml:space="preserve"> performance related to </w:t>
            </w:r>
            <w:r w:rsidR="00B46968">
              <w:rPr>
                <w:rFonts w:ascii="Baskerville" w:hAnsi="Baskerville" w:cs="Baskerville"/>
                <w:sz w:val="22"/>
                <w:szCs w:val="22"/>
              </w:rPr>
              <w:t>these indicators</w:t>
            </w:r>
            <w:r w:rsidR="0096076A">
              <w:rPr>
                <w:rFonts w:ascii="Baskerville" w:hAnsi="Baskerville" w:cs="Baskerville"/>
                <w:sz w:val="22"/>
                <w:szCs w:val="22"/>
              </w:rPr>
              <w:t xml:space="preserve">, and, </w:t>
            </w:r>
            <w:r w:rsidR="001909D2" w:rsidRPr="003B197C">
              <w:rPr>
                <w:rFonts w:ascii="Baskerville" w:hAnsi="Baskerville" w:cs="Baskerville"/>
                <w:sz w:val="22"/>
                <w:szCs w:val="22"/>
              </w:rPr>
              <w:t xml:space="preserve">therefore, </w:t>
            </w:r>
            <w:r w:rsidR="0096076A">
              <w:rPr>
                <w:rFonts w:ascii="Baskerville" w:hAnsi="Baskerville" w:cs="Baskerville"/>
                <w:sz w:val="22"/>
                <w:szCs w:val="22"/>
              </w:rPr>
              <w:t xml:space="preserve">are </w:t>
            </w:r>
            <w:r w:rsidR="00A944F8" w:rsidRPr="003B197C">
              <w:rPr>
                <w:rFonts w:ascii="Baskerville" w:hAnsi="Baskerville" w:cs="Baskerville"/>
                <w:sz w:val="22"/>
                <w:szCs w:val="22"/>
              </w:rPr>
              <w:t xml:space="preserve">not able to determine the </w:t>
            </w:r>
            <w:r w:rsidR="00C15366" w:rsidRPr="003B197C">
              <w:rPr>
                <w:rFonts w:ascii="Baskerville" w:hAnsi="Baskerville" w:cs="Baskerville"/>
                <w:sz w:val="22"/>
                <w:szCs w:val="22"/>
              </w:rPr>
              <w:t>records needed</w:t>
            </w:r>
            <w:r w:rsidR="00CE308D">
              <w:rPr>
                <w:rFonts w:ascii="Baskerville" w:hAnsi="Baskerville" w:cs="Baskerville"/>
                <w:sz w:val="22"/>
                <w:szCs w:val="22"/>
              </w:rPr>
              <w:t>.</w:t>
            </w:r>
          </w:p>
        </w:tc>
      </w:tr>
    </w:tbl>
    <w:p w:rsidR="0031175B" w:rsidRPr="00DF1E2F" w:rsidRDefault="0031175B">
      <w:pPr>
        <w:rPr>
          <w:rFonts w:ascii="Baskerville" w:hAnsi="Baskerville" w:cs="Baskerville"/>
        </w:rPr>
      </w:pPr>
    </w:p>
    <w:p w:rsidR="00BB026B" w:rsidRPr="00DF1E2F" w:rsidRDefault="00030D35" w:rsidP="007D5A8E">
      <w:pPr>
        <w:tabs>
          <w:tab w:val="left" w:pos="1671"/>
        </w:tabs>
        <w:ind w:left="-180" w:right="-396"/>
        <w:rPr>
          <w:rFonts w:ascii="Baskerville" w:hAnsi="Baskerville" w:cs="Baskerville"/>
        </w:rPr>
      </w:pPr>
      <w:r w:rsidRPr="00DF1E2F">
        <w:rPr>
          <w:rFonts w:ascii="Baskerville" w:hAnsi="Baskerville" w:cs="Baskerville"/>
        </w:rPr>
        <w:t>Note</w:t>
      </w:r>
      <w:r w:rsidR="00BB026B" w:rsidRPr="00DF1E2F">
        <w:rPr>
          <w:rFonts w:ascii="Baskerville" w:hAnsi="Baskerville" w:cs="Baskerville"/>
        </w:rPr>
        <w:t>s</w:t>
      </w:r>
      <w:r w:rsidRPr="00DF1E2F">
        <w:rPr>
          <w:rFonts w:ascii="Baskerville" w:hAnsi="Baskerville" w:cs="Baskerville"/>
        </w:rPr>
        <w:t xml:space="preserve">: </w:t>
      </w:r>
    </w:p>
    <w:p w:rsidR="00F17130" w:rsidRPr="00CE0D1B" w:rsidRDefault="00BB026B" w:rsidP="00CE0D1B">
      <w:pPr>
        <w:tabs>
          <w:tab w:val="left" w:pos="1671"/>
        </w:tabs>
        <w:ind w:left="-180" w:right="-396"/>
        <w:rPr>
          <w:rFonts w:ascii="Baskerville" w:hAnsi="Baskerville" w:cs="Baskerville"/>
        </w:rPr>
      </w:pPr>
      <w:r w:rsidRPr="00DF1E2F">
        <w:rPr>
          <w:rFonts w:ascii="Baskerville" w:hAnsi="Baskerville" w:cs="Baskerville"/>
        </w:rPr>
        <w:t xml:space="preserve">1. </w:t>
      </w:r>
      <w:r w:rsidR="00A9519D" w:rsidRPr="00DF1E2F">
        <w:rPr>
          <w:rFonts w:ascii="Baskerville" w:hAnsi="Baskerville" w:cs="Baskerville"/>
        </w:rPr>
        <w:t xml:space="preserve">The independent Reviewer </w:t>
      </w:r>
      <w:r w:rsidR="001D14CB" w:rsidRPr="00DF1E2F">
        <w:rPr>
          <w:rFonts w:ascii="Baskerville" w:hAnsi="Baskerville" w:cs="Baskerville"/>
        </w:rPr>
        <w:t>does not monitor</w:t>
      </w:r>
      <w:r w:rsidR="00A9519D" w:rsidRPr="00DF1E2F">
        <w:rPr>
          <w:rFonts w:ascii="Baskerville" w:hAnsi="Baskerville" w:cs="Baskerville"/>
        </w:rPr>
        <w:t xml:space="preserve"> services</w:t>
      </w:r>
      <w:r w:rsidR="001D14CB" w:rsidRPr="00DF1E2F">
        <w:rPr>
          <w:rFonts w:ascii="Baskerville" w:hAnsi="Baskerville" w:cs="Baskerville"/>
        </w:rPr>
        <w:t xml:space="preserve"> provided</w:t>
      </w:r>
      <w:r w:rsidR="0093436A" w:rsidRPr="00DF1E2F">
        <w:rPr>
          <w:rFonts w:ascii="Baskerville" w:hAnsi="Baskerville" w:cs="Baskerville"/>
        </w:rPr>
        <w:t xml:space="preserve"> in the </w:t>
      </w:r>
      <w:r w:rsidR="00B70A14" w:rsidRPr="00DF1E2F">
        <w:rPr>
          <w:rFonts w:ascii="Baskerville" w:hAnsi="Baskerville" w:cs="Baskerville"/>
        </w:rPr>
        <w:t>Training Cent</w:t>
      </w:r>
      <w:r w:rsidR="00634512">
        <w:rPr>
          <w:rFonts w:ascii="Baskerville" w:hAnsi="Baskerville" w:cs="Baskerville"/>
        </w:rPr>
        <w:t>ers. T</w:t>
      </w:r>
      <w:r w:rsidR="00B70A14" w:rsidRPr="00DF1E2F">
        <w:rPr>
          <w:rFonts w:ascii="Baskerville" w:hAnsi="Baskerville" w:cs="Baskerville"/>
        </w:rPr>
        <w:t>he</w:t>
      </w:r>
      <w:r w:rsidR="00A9519D" w:rsidRPr="00DF1E2F">
        <w:rPr>
          <w:rFonts w:ascii="Baskerville" w:hAnsi="Baskerville" w:cs="Baskerville"/>
        </w:rPr>
        <w:t xml:space="preserve"> following </w:t>
      </w:r>
      <w:r w:rsidR="0061214A" w:rsidRPr="00DF1E2F">
        <w:rPr>
          <w:rFonts w:ascii="Baskerville" w:hAnsi="Baskerville" w:cs="Baskerville"/>
        </w:rPr>
        <w:t xml:space="preserve">provisions </w:t>
      </w:r>
      <w:r w:rsidR="007E46B0">
        <w:rPr>
          <w:rFonts w:ascii="Baskerville" w:hAnsi="Baskerville" w:cs="Baskerville"/>
        </w:rPr>
        <w:t xml:space="preserve"> are </w:t>
      </w:r>
      <w:r w:rsidR="00EA50E8" w:rsidRPr="00DF1E2F">
        <w:rPr>
          <w:rFonts w:ascii="Baskerville" w:hAnsi="Baskerville" w:cs="Baskerville"/>
        </w:rPr>
        <w:t xml:space="preserve">related to internal operations of Training Centers </w:t>
      </w:r>
      <w:r w:rsidR="007E46B0">
        <w:rPr>
          <w:rFonts w:ascii="Baskerville" w:hAnsi="Baskerville" w:cs="Baskerville"/>
        </w:rPr>
        <w:t xml:space="preserve">and </w:t>
      </w:r>
      <w:r w:rsidR="0061214A" w:rsidRPr="00DF1E2F">
        <w:rPr>
          <w:rFonts w:ascii="Baskerville" w:hAnsi="Baskerville" w:cs="Baskerville"/>
        </w:rPr>
        <w:t>were not monitored</w:t>
      </w:r>
      <w:r w:rsidR="00B538F2" w:rsidRPr="00DF1E2F">
        <w:rPr>
          <w:rFonts w:ascii="Baskerville" w:hAnsi="Baskerville" w:cs="Baskerville"/>
        </w:rPr>
        <w:t>:</w:t>
      </w:r>
      <w:r w:rsidR="00B30F99" w:rsidRPr="00DF1E2F">
        <w:rPr>
          <w:rFonts w:ascii="Baskerville" w:hAnsi="Baskerville" w:cs="Baskerville"/>
        </w:rPr>
        <w:t xml:space="preserve"> III.C.9</w:t>
      </w:r>
      <w:r w:rsidR="009775CF" w:rsidRPr="00DF1E2F">
        <w:rPr>
          <w:rFonts w:ascii="Baskerville" w:hAnsi="Baskerville" w:cs="Baskerville"/>
        </w:rPr>
        <w:t xml:space="preserve">, </w:t>
      </w:r>
      <w:r w:rsidR="00E40AC1" w:rsidRPr="00DF1E2F">
        <w:rPr>
          <w:rFonts w:ascii="Baskerville" w:hAnsi="Baskerville" w:cs="Baskerville"/>
        </w:rPr>
        <w:t xml:space="preserve">IV.B.1, </w:t>
      </w:r>
      <w:r w:rsidR="000F1714" w:rsidRPr="00DF1E2F">
        <w:rPr>
          <w:rFonts w:ascii="Baskerville" w:hAnsi="Baskerville" w:cs="Baskerville"/>
        </w:rPr>
        <w:t xml:space="preserve">IV.B.2, </w:t>
      </w:r>
      <w:r w:rsidR="00E11903" w:rsidRPr="00DF1E2F">
        <w:rPr>
          <w:rFonts w:ascii="Baskerville" w:hAnsi="Baskerville" w:cs="Baskerville"/>
        </w:rPr>
        <w:t>IV.</w:t>
      </w:r>
      <w:r w:rsidR="00E40AC1" w:rsidRPr="00DF1E2F">
        <w:rPr>
          <w:rFonts w:ascii="Baskerville" w:hAnsi="Baskerville" w:cs="Baskerville"/>
        </w:rPr>
        <w:t>B.8, IV.B.12, IV.B.13</w:t>
      </w:r>
      <w:r w:rsidR="00CA2CF0" w:rsidRPr="00DF1E2F">
        <w:rPr>
          <w:rFonts w:ascii="Baskerville" w:hAnsi="Baskerville" w:cs="Baskerville"/>
        </w:rPr>
        <w:t>, IV.D.2.</w:t>
      </w:r>
      <w:r w:rsidR="00EF142B" w:rsidRPr="00DF1E2F">
        <w:rPr>
          <w:rFonts w:ascii="Baskerville" w:hAnsi="Baskerville" w:cs="Baskerville"/>
        </w:rPr>
        <w:t>b.c.</w:t>
      </w:r>
      <w:r w:rsidR="001718E6" w:rsidRPr="00DF1E2F">
        <w:rPr>
          <w:rFonts w:ascii="Baskerville" w:hAnsi="Baskerville" w:cs="Baskerville"/>
        </w:rPr>
        <w:t>d.</w:t>
      </w:r>
      <w:r w:rsidR="00EF142B" w:rsidRPr="00DF1E2F">
        <w:rPr>
          <w:rFonts w:ascii="Baskerville" w:hAnsi="Baskerville" w:cs="Baskerville"/>
        </w:rPr>
        <w:t>e.</w:t>
      </w:r>
      <w:r w:rsidR="00B70A14" w:rsidRPr="00DF1E2F">
        <w:rPr>
          <w:rFonts w:ascii="Baskerville" w:hAnsi="Baskerville" w:cs="Baskerville"/>
        </w:rPr>
        <w:t>f.</w:t>
      </w:r>
      <w:r w:rsidR="0093436A" w:rsidRPr="00DF1E2F">
        <w:rPr>
          <w:rFonts w:ascii="Baskerville" w:hAnsi="Baskerville" w:cs="Baskerville"/>
        </w:rPr>
        <w:t xml:space="preserve">and </w:t>
      </w:r>
      <w:r w:rsidR="00CE0D1B">
        <w:rPr>
          <w:rFonts w:ascii="Baskerville" w:hAnsi="Baskerville" w:cs="Baskerville"/>
        </w:rPr>
        <w:t>IV.D.3.a-</w:t>
      </w:r>
    </w:p>
    <w:p w:rsidR="000C1831" w:rsidRDefault="000C1831">
      <w:pPr>
        <w:rPr>
          <w:rFonts w:ascii="Baskerville" w:hAnsi="Baskerville" w:cs="Baskerville"/>
          <w:b/>
          <w:sz w:val="28"/>
          <w:szCs w:val="28"/>
        </w:rPr>
      </w:pPr>
      <w:r>
        <w:rPr>
          <w:rFonts w:ascii="Baskerville" w:hAnsi="Baskerville" w:cs="Baskerville"/>
          <w:b/>
          <w:sz w:val="28"/>
          <w:szCs w:val="28"/>
        </w:rPr>
        <w:br w:type="page"/>
      </w:r>
    </w:p>
    <w:p w:rsidR="00F17130" w:rsidRDefault="00F17130" w:rsidP="00B52665">
      <w:pPr>
        <w:tabs>
          <w:tab w:val="left" w:pos="1671"/>
        </w:tabs>
        <w:ind w:right="-216"/>
        <w:jc w:val="center"/>
        <w:rPr>
          <w:rFonts w:ascii="Baskerville" w:hAnsi="Baskerville" w:cs="Baskerville"/>
          <w:b/>
          <w:sz w:val="28"/>
          <w:szCs w:val="28"/>
        </w:rPr>
      </w:pPr>
    </w:p>
    <w:p w:rsidR="008467F8" w:rsidRPr="002E1792" w:rsidRDefault="00AF2974" w:rsidP="003518FC">
      <w:pPr>
        <w:tabs>
          <w:tab w:val="left" w:pos="1671"/>
        </w:tabs>
        <w:ind w:right="-216"/>
        <w:jc w:val="center"/>
        <w:rPr>
          <w:rFonts w:ascii="Baskerville" w:hAnsi="Baskerville" w:cs="Baskerville"/>
          <w:b/>
          <w:sz w:val="28"/>
          <w:szCs w:val="28"/>
          <w:u w:val="single"/>
        </w:rPr>
      </w:pPr>
      <w:r w:rsidRPr="002E1792">
        <w:rPr>
          <w:rFonts w:ascii="Baskerville" w:hAnsi="Baskerville" w:cs="Baskerville"/>
          <w:b/>
          <w:sz w:val="28"/>
          <w:szCs w:val="28"/>
          <w:u w:val="single"/>
        </w:rPr>
        <w:t xml:space="preserve">III. </w:t>
      </w:r>
      <w:r w:rsidR="008467F8" w:rsidRPr="002E1792">
        <w:rPr>
          <w:rFonts w:ascii="Baskerville" w:hAnsi="Baskerville" w:cs="Baskerville"/>
          <w:b/>
          <w:sz w:val="28"/>
          <w:szCs w:val="28"/>
          <w:u w:val="single"/>
        </w:rPr>
        <w:t>DISCUSSION OF COMPLIANCE FINDINGS</w:t>
      </w:r>
    </w:p>
    <w:p w:rsidR="008467F8" w:rsidRDefault="008467F8" w:rsidP="003518FC">
      <w:pPr>
        <w:tabs>
          <w:tab w:val="left" w:pos="1671"/>
        </w:tabs>
        <w:ind w:right="-216"/>
        <w:jc w:val="center"/>
        <w:rPr>
          <w:rFonts w:ascii="Baskerville" w:hAnsi="Baskerville" w:cs="Baskerville"/>
          <w:b/>
        </w:rPr>
      </w:pPr>
    </w:p>
    <w:p w:rsidR="008467F8" w:rsidRPr="00EC3670" w:rsidRDefault="008467F8" w:rsidP="00EA0845">
      <w:pPr>
        <w:pStyle w:val="ListParagraph"/>
        <w:numPr>
          <w:ilvl w:val="0"/>
          <w:numId w:val="43"/>
        </w:numPr>
        <w:tabs>
          <w:tab w:val="left" w:pos="1671"/>
        </w:tabs>
        <w:ind w:right="-216" w:hanging="720"/>
        <w:rPr>
          <w:rFonts w:ascii="Baskerville" w:hAnsi="Baskerville" w:cs="Baskerville"/>
          <w:u w:val="single"/>
        </w:rPr>
      </w:pPr>
      <w:r w:rsidRPr="00EC3670">
        <w:rPr>
          <w:rFonts w:ascii="Baskerville" w:hAnsi="Baskerville" w:cs="Baskerville"/>
          <w:b/>
          <w:u w:val="single"/>
        </w:rPr>
        <w:t>Methodology</w:t>
      </w:r>
      <w:r w:rsidRPr="00EC3670">
        <w:rPr>
          <w:rFonts w:ascii="Baskerville" w:hAnsi="Baskerville" w:cs="Baskerville"/>
          <w:u w:val="single"/>
        </w:rPr>
        <w:t>:</w:t>
      </w:r>
    </w:p>
    <w:p w:rsidR="00EC3670" w:rsidRPr="00EC3670" w:rsidRDefault="00EC3670" w:rsidP="003518FC">
      <w:pPr>
        <w:tabs>
          <w:tab w:val="left" w:pos="1671"/>
        </w:tabs>
        <w:ind w:right="-216"/>
        <w:rPr>
          <w:rFonts w:ascii="Baskerville" w:hAnsi="Baskerville" w:cs="Baskerville"/>
        </w:rPr>
      </w:pPr>
    </w:p>
    <w:p w:rsidR="00B84942" w:rsidRDefault="00A45EC8" w:rsidP="003518FC">
      <w:pPr>
        <w:tabs>
          <w:tab w:val="left" w:pos="1671"/>
        </w:tabs>
        <w:ind w:right="-216"/>
        <w:rPr>
          <w:rFonts w:ascii="Baskerville" w:hAnsi="Baskerville" w:cs="Baskerville"/>
        </w:rPr>
      </w:pPr>
      <w:r>
        <w:rPr>
          <w:rFonts w:ascii="Baskerville" w:hAnsi="Baskerville" w:cs="Baskerville"/>
        </w:rPr>
        <w:t>The Independent R</w:t>
      </w:r>
      <w:r w:rsidR="00EC3670" w:rsidRPr="00EC3670">
        <w:rPr>
          <w:rFonts w:ascii="Baskerville" w:hAnsi="Baskerville" w:cs="Baskerville"/>
        </w:rPr>
        <w:t>eviewer</w:t>
      </w:r>
      <w:r w:rsidR="00A51C07">
        <w:rPr>
          <w:rFonts w:ascii="Baskerville" w:hAnsi="Baskerville" w:cs="Baskerville"/>
        </w:rPr>
        <w:t xml:space="preserve"> (IR)</w:t>
      </w:r>
      <w:r>
        <w:rPr>
          <w:rFonts w:ascii="Baskerville" w:hAnsi="Baskerville" w:cs="Baskerville"/>
        </w:rPr>
        <w:t xml:space="preserve"> </w:t>
      </w:r>
      <w:r w:rsidR="00EF06B3">
        <w:rPr>
          <w:rFonts w:ascii="Baskerville" w:hAnsi="Baskerville" w:cs="Baskerville"/>
        </w:rPr>
        <w:t xml:space="preserve">and </w:t>
      </w:r>
      <w:r w:rsidR="00A87E29">
        <w:rPr>
          <w:rFonts w:ascii="Baskerville" w:hAnsi="Baskerville" w:cs="Baskerville"/>
        </w:rPr>
        <w:t>independent consultants</w:t>
      </w:r>
      <w:r w:rsidR="00EF06B3">
        <w:rPr>
          <w:rFonts w:ascii="Baskerville" w:hAnsi="Baskerville" w:cs="Baskerville"/>
        </w:rPr>
        <w:t xml:space="preserve"> </w:t>
      </w:r>
      <w:r>
        <w:rPr>
          <w:rFonts w:ascii="Baskerville" w:hAnsi="Baskerville" w:cs="Baskerville"/>
        </w:rPr>
        <w:t>monitored the Commonwealth’s compliance with the requirements of the Agreement</w:t>
      </w:r>
      <w:r w:rsidR="00A5439B">
        <w:rPr>
          <w:rFonts w:ascii="Baskerville" w:hAnsi="Baskerville" w:cs="Baskerville"/>
        </w:rPr>
        <w:t xml:space="preserve"> in several </w:t>
      </w:r>
      <w:r w:rsidR="00B84942">
        <w:rPr>
          <w:rFonts w:ascii="Baskerville" w:hAnsi="Baskerville" w:cs="Baskerville"/>
        </w:rPr>
        <w:t xml:space="preserve">ways: </w:t>
      </w:r>
    </w:p>
    <w:p w:rsidR="000B2774" w:rsidRDefault="00976D2A" w:rsidP="00B607BE">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7C61FA">
        <w:rPr>
          <w:rFonts w:ascii="Baskerville" w:hAnsi="Baskerville" w:cs="Baskerville"/>
        </w:rPr>
        <w:t xml:space="preserve">by reviewing </w:t>
      </w:r>
      <w:r w:rsidR="002E40C1">
        <w:rPr>
          <w:rFonts w:ascii="Baskerville" w:hAnsi="Baskerville" w:cs="Baskerville"/>
        </w:rPr>
        <w:t>data and documentation</w:t>
      </w:r>
      <w:r w:rsidR="007C61FA">
        <w:rPr>
          <w:rFonts w:ascii="Baskerville" w:hAnsi="Baskerville" w:cs="Baskerville"/>
        </w:rPr>
        <w:t xml:space="preserve"> produced by the Commonwealth in response to </w:t>
      </w:r>
      <w:r w:rsidR="00E14EBD">
        <w:rPr>
          <w:rFonts w:ascii="Baskerville" w:hAnsi="Baskerville" w:cs="Baskerville"/>
        </w:rPr>
        <w:t xml:space="preserve">requests </w:t>
      </w:r>
      <w:r w:rsidR="00606377">
        <w:rPr>
          <w:rFonts w:ascii="Baskerville" w:hAnsi="Baskerville" w:cs="Baskerville"/>
        </w:rPr>
        <w:t>by the Independent Reviewer</w:t>
      </w:r>
      <w:r w:rsidR="00E14EBD">
        <w:rPr>
          <w:rFonts w:ascii="Baskerville" w:hAnsi="Baskerville" w:cs="Baskerville"/>
        </w:rPr>
        <w:t xml:space="preserve"> and </w:t>
      </w:r>
      <w:r w:rsidR="00A5439B">
        <w:rPr>
          <w:rFonts w:ascii="Baskerville" w:hAnsi="Baskerville" w:cs="Baskerville"/>
        </w:rPr>
        <w:t>the Department of Justice</w:t>
      </w:r>
      <w:r>
        <w:rPr>
          <w:rFonts w:ascii="Baskerville" w:hAnsi="Baskerville" w:cs="Baskerville"/>
        </w:rPr>
        <w:t>;</w:t>
      </w:r>
      <w:r w:rsidR="005637FA">
        <w:rPr>
          <w:rFonts w:ascii="Baskerville" w:hAnsi="Baskerville" w:cs="Baskerville"/>
        </w:rPr>
        <w:t xml:space="preserve"> </w:t>
      </w:r>
    </w:p>
    <w:p w:rsidR="000B2774" w:rsidRDefault="000B2774" w:rsidP="00B607BE">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51651A">
        <w:rPr>
          <w:rFonts w:ascii="Baskerville" w:hAnsi="Baskerville" w:cs="Baskerville"/>
        </w:rPr>
        <w:t>by</w:t>
      </w:r>
      <w:r w:rsidR="00E14EBD">
        <w:rPr>
          <w:rFonts w:ascii="Baskerville" w:hAnsi="Baskerville" w:cs="Baskerville"/>
        </w:rPr>
        <w:t xml:space="preserve"> </w:t>
      </w:r>
      <w:r w:rsidR="00C108B1">
        <w:rPr>
          <w:rFonts w:ascii="Baskerville" w:hAnsi="Baskerville" w:cs="Baskerville"/>
        </w:rPr>
        <w:t>discussions</w:t>
      </w:r>
      <w:r w:rsidR="00A5439B">
        <w:rPr>
          <w:rFonts w:ascii="Baskerville" w:hAnsi="Baskerville" w:cs="Baskerville"/>
        </w:rPr>
        <w:t xml:space="preserve"> in regularly scheduled Parties’ meetings and in work session</w:t>
      </w:r>
      <w:r w:rsidR="00C108B1">
        <w:rPr>
          <w:rFonts w:ascii="Baskerville" w:hAnsi="Baskerville" w:cs="Baskerville"/>
        </w:rPr>
        <w:t>s with Commonwealth officials</w:t>
      </w:r>
      <w:r w:rsidR="005637FA">
        <w:rPr>
          <w:rFonts w:ascii="Baskerville" w:hAnsi="Baskerville" w:cs="Baskerville"/>
        </w:rPr>
        <w:t xml:space="preserve">; </w:t>
      </w:r>
    </w:p>
    <w:p w:rsidR="000C76FA" w:rsidRDefault="000B2774" w:rsidP="00B607BE">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0823D3">
        <w:rPr>
          <w:rFonts w:ascii="Baskerville" w:hAnsi="Baskerville" w:cs="Baskerville"/>
        </w:rPr>
        <w:t xml:space="preserve">by examining and evaluating </w:t>
      </w:r>
      <w:r w:rsidR="00B55C54">
        <w:rPr>
          <w:rFonts w:ascii="Baskerville" w:hAnsi="Baskerville" w:cs="Baskerville"/>
        </w:rPr>
        <w:t xml:space="preserve">documentation of </w:t>
      </w:r>
      <w:r w:rsidR="000823D3">
        <w:rPr>
          <w:rFonts w:ascii="Baskerville" w:hAnsi="Baskerville" w:cs="Baskerville"/>
        </w:rPr>
        <w:t xml:space="preserve">supports provided </w:t>
      </w:r>
      <w:r w:rsidR="00B55C54">
        <w:rPr>
          <w:rFonts w:ascii="Baskerville" w:hAnsi="Baskerville" w:cs="Baskerville"/>
        </w:rPr>
        <w:t xml:space="preserve">to </w:t>
      </w:r>
      <w:r w:rsidR="000823D3">
        <w:rPr>
          <w:rFonts w:ascii="Baskerville" w:hAnsi="Baskerville" w:cs="Baskerville"/>
        </w:rPr>
        <w:t>individuals and their families</w:t>
      </w:r>
      <w:r w:rsidR="00702D2C">
        <w:rPr>
          <w:rFonts w:ascii="Baskerville" w:hAnsi="Baskerville" w:cs="Baskerville"/>
        </w:rPr>
        <w:t>;</w:t>
      </w:r>
      <w:r w:rsidR="000823D3">
        <w:rPr>
          <w:rFonts w:ascii="Baskerville" w:hAnsi="Baskerville" w:cs="Baskerville"/>
        </w:rPr>
        <w:t xml:space="preserve"> </w:t>
      </w:r>
    </w:p>
    <w:p w:rsidR="000B2774" w:rsidRDefault="00EF0618" w:rsidP="003518FC">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0C76FA">
        <w:rPr>
          <w:rFonts w:ascii="Baskerville" w:hAnsi="Baskerville" w:cs="Baskerville"/>
        </w:rPr>
        <w:t xml:space="preserve">by interviewing </w:t>
      </w:r>
      <w:r>
        <w:rPr>
          <w:rFonts w:ascii="Baskerville" w:hAnsi="Baskerville" w:cs="Baskerville"/>
        </w:rPr>
        <w:t xml:space="preserve">individuals and/or their families, </w:t>
      </w:r>
      <w:r w:rsidR="005637FA">
        <w:rPr>
          <w:rFonts w:ascii="Baskerville" w:hAnsi="Baskerville" w:cs="Baskerville"/>
        </w:rPr>
        <w:t>p</w:t>
      </w:r>
      <w:r w:rsidR="00460D26">
        <w:rPr>
          <w:rFonts w:ascii="Baskerville" w:hAnsi="Baskerville" w:cs="Baskerville"/>
        </w:rPr>
        <w:t xml:space="preserve">roviders, </w:t>
      </w:r>
      <w:r w:rsidR="00854DBB">
        <w:rPr>
          <w:rFonts w:ascii="Baskerville" w:hAnsi="Baskerville" w:cs="Baskerville"/>
        </w:rPr>
        <w:t xml:space="preserve">and </w:t>
      </w:r>
      <w:r w:rsidR="000B2774">
        <w:rPr>
          <w:rFonts w:ascii="Baskerville" w:hAnsi="Baskerville" w:cs="Baskerville"/>
        </w:rPr>
        <w:t>other stakeholders;</w:t>
      </w:r>
      <w:r w:rsidR="00460D26">
        <w:rPr>
          <w:rFonts w:ascii="Baskerville" w:hAnsi="Baskerville" w:cs="Baskerville"/>
        </w:rPr>
        <w:t xml:space="preserve"> and</w:t>
      </w:r>
      <w:r w:rsidR="000B2774">
        <w:rPr>
          <w:rFonts w:ascii="Baskerville" w:hAnsi="Baskerville" w:cs="Baskerville"/>
        </w:rPr>
        <w:t xml:space="preserve"> </w:t>
      </w:r>
    </w:p>
    <w:p w:rsidR="00EC3670" w:rsidRDefault="000B2774" w:rsidP="003518FC">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0C76FA">
        <w:rPr>
          <w:rFonts w:ascii="Baskerville" w:hAnsi="Baskerville" w:cs="Baskerville"/>
        </w:rPr>
        <w:t xml:space="preserve">by </w:t>
      </w:r>
      <w:r w:rsidR="00B639E7">
        <w:rPr>
          <w:rFonts w:ascii="Baskerville" w:hAnsi="Baskerville" w:cs="Baskerville"/>
        </w:rPr>
        <w:t xml:space="preserve">site visits </w:t>
      </w:r>
      <w:r w:rsidR="00E1701C">
        <w:rPr>
          <w:rFonts w:ascii="Baskerville" w:hAnsi="Baskerville" w:cs="Baskerville"/>
        </w:rPr>
        <w:t>to individuals’ home</w:t>
      </w:r>
      <w:r w:rsidR="009B1216">
        <w:rPr>
          <w:rFonts w:ascii="Baskerville" w:hAnsi="Baskerville" w:cs="Baskerville"/>
        </w:rPr>
        <w:t xml:space="preserve">s, to community based residential, </w:t>
      </w:r>
      <w:r w:rsidR="00E1701C">
        <w:rPr>
          <w:rFonts w:ascii="Baskerville" w:hAnsi="Baskerville" w:cs="Baskerville"/>
        </w:rPr>
        <w:t xml:space="preserve">day </w:t>
      </w:r>
      <w:r w:rsidR="009B1216">
        <w:rPr>
          <w:rFonts w:ascii="Baskerville" w:hAnsi="Baskerville" w:cs="Baskerville"/>
        </w:rPr>
        <w:t xml:space="preserve">and other </w:t>
      </w:r>
      <w:r w:rsidR="00E1701C">
        <w:rPr>
          <w:rFonts w:ascii="Baskerville" w:hAnsi="Baskerville" w:cs="Baskerville"/>
        </w:rPr>
        <w:t>progr</w:t>
      </w:r>
      <w:r w:rsidR="009B1216">
        <w:rPr>
          <w:rFonts w:ascii="Baskerville" w:hAnsi="Baskerville" w:cs="Baskerville"/>
        </w:rPr>
        <w:t>ams.</w:t>
      </w:r>
    </w:p>
    <w:p w:rsidR="009B1216" w:rsidRDefault="009B1216" w:rsidP="003518FC">
      <w:pPr>
        <w:tabs>
          <w:tab w:val="left" w:pos="1671"/>
        </w:tabs>
        <w:ind w:right="-216"/>
        <w:rPr>
          <w:rFonts w:ascii="Baskerville" w:hAnsi="Baskerville" w:cs="Baskerville"/>
        </w:rPr>
      </w:pPr>
    </w:p>
    <w:p w:rsidR="00FA7233" w:rsidRDefault="009B1216" w:rsidP="003518FC">
      <w:pPr>
        <w:tabs>
          <w:tab w:val="left" w:pos="1671"/>
        </w:tabs>
        <w:ind w:right="-216"/>
        <w:rPr>
          <w:rFonts w:ascii="Baskerville" w:hAnsi="Baskerville" w:cs="Baskerville"/>
        </w:rPr>
      </w:pPr>
      <w:r>
        <w:rPr>
          <w:rFonts w:ascii="Baskerville" w:hAnsi="Baskerville" w:cs="Baskerville"/>
        </w:rPr>
        <w:t xml:space="preserve">During this sixth review period, the second half of the third year of </w:t>
      </w:r>
      <w:r w:rsidR="00854DBB">
        <w:rPr>
          <w:rFonts w:ascii="Baskerville" w:hAnsi="Baskerville" w:cs="Baskerville"/>
        </w:rPr>
        <w:t xml:space="preserve">implementation, </w:t>
      </w:r>
      <w:r w:rsidR="007D5858">
        <w:rPr>
          <w:rFonts w:ascii="Baskerville" w:hAnsi="Baskerville" w:cs="Baskerville"/>
        </w:rPr>
        <w:t>the following areas were prioritized for review and evaluation.</w:t>
      </w:r>
      <w:r w:rsidR="0029449A">
        <w:rPr>
          <w:rFonts w:ascii="Baskerville" w:hAnsi="Baskerville" w:cs="Baskerville"/>
        </w:rPr>
        <w:t xml:space="preserve"> Seven </w:t>
      </w:r>
      <w:r w:rsidR="00FA7233">
        <w:rPr>
          <w:rFonts w:ascii="Baskerville" w:hAnsi="Baskerville" w:cs="Baskerville"/>
        </w:rPr>
        <w:t>independent consultants were retained to complete studies of:</w:t>
      </w:r>
    </w:p>
    <w:p w:rsidR="00C11F1A" w:rsidRDefault="002C54FB" w:rsidP="003518FC">
      <w:pPr>
        <w:tabs>
          <w:tab w:val="left" w:pos="1671"/>
        </w:tabs>
        <w:ind w:left="630" w:right="-216" w:hanging="630"/>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FA7233">
        <w:rPr>
          <w:rFonts w:ascii="Baskerville" w:hAnsi="Baskerville" w:cs="Baskerville"/>
        </w:rPr>
        <w:t>Services for individuals with developmental disabilities, other than intellectual disabilitie</w:t>
      </w:r>
      <w:r>
        <w:rPr>
          <w:rFonts w:ascii="Baskerville" w:hAnsi="Baskerville" w:cs="Baskerville"/>
        </w:rPr>
        <w:t>s;</w:t>
      </w:r>
    </w:p>
    <w:p w:rsidR="00C11F1A" w:rsidRDefault="002C54FB" w:rsidP="003518FC">
      <w:pPr>
        <w:tabs>
          <w:tab w:val="left" w:pos="1671"/>
        </w:tabs>
        <w:ind w:right="-216"/>
        <w:rPr>
          <w:rFonts w:ascii="Baskerville" w:hAnsi="Baskerville" w:cs="Baskerville"/>
        </w:rPr>
      </w:pPr>
      <w:r>
        <w:rPr>
          <w:rFonts w:ascii="Wingdings" w:hAnsi="Wingdings"/>
          <w:color w:val="000000"/>
        </w:rPr>
        <w:t></w:t>
      </w:r>
      <w:r w:rsidR="00643F78" w:rsidRPr="00C53B5C">
        <w:rPr>
          <w:rFonts w:ascii="Wingdings" w:hAnsi="Wingdings"/>
          <w:color w:val="000000"/>
        </w:rPr>
        <w:t></w:t>
      </w:r>
      <w:r w:rsidR="00643F78">
        <w:rPr>
          <w:rFonts w:ascii="Baskerville" w:hAnsi="Baskerville" w:cs="Baskerville"/>
        </w:rPr>
        <w:t xml:space="preserve">    </w:t>
      </w:r>
      <w:r w:rsidR="00C11F1A">
        <w:rPr>
          <w:rFonts w:ascii="Baskerville" w:hAnsi="Baskerville" w:cs="Baskerville"/>
        </w:rPr>
        <w:t>Case Management and Licensing;</w:t>
      </w:r>
    </w:p>
    <w:p w:rsidR="00C11F1A" w:rsidRDefault="002C54FB" w:rsidP="003518FC">
      <w:pPr>
        <w:tabs>
          <w:tab w:val="left" w:pos="1671"/>
        </w:tabs>
        <w:ind w:right="-216"/>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C11F1A">
        <w:rPr>
          <w:rFonts w:ascii="Baskerville" w:hAnsi="Baskerville" w:cs="Baskerville"/>
        </w:rPr>
        <w:t>Crisis Services</w:t>
      </w:r>
    </w:p>
    <w:p w:rsidR="00C11F1A" w:rsidRDefault="002C54FB" w:rsidP="003518FC">
      <w:pPr>
        <w:tabs>
          <w:tab w:val="left" w:pos="1671"/>
        </w:tabs>
        <w:ind w:right="-216"/>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C11F1A">
        <w:rPr>
          <w:rFonts w:ascii="Baskerville" w:hAnsi="Baskerville" w:cs="Baskerville"/>
        </w:rPr>
        <w:t>Integrated Day and Supported Employment</w:t>
      </w:r>
    </w:p>
    <w:p w:rsidR="00C11F1A" w:rsidRDefault="002C54FB" w:rsidP="003518FC">
      <w:pPr>
        <w:tabs>
          <w:tab w:val="left" w:pos="1671"/>
        </w:tabs>
        <w:ind w:right="-216"/>
        <w:rPr>
          <w:rFonts w:ascii="Baskerville" w:hAnsi="Baskerville" w:cs="Baskerville"/>
        </w:rPr>
      </w:pPr>
      <w:r>
        <w:rPr>
          <w:rFonts w:ascii="Wingdings" w:hAnsi="Wingdings"/>
          <w:color w:val="000000"/>
        </w:rPr>
        <w:t></w:t>
      </w:r>
      <w:r w:rsidRPr="00C53B5C">
        <w:rPr>
          <w:rFonts w:ascii="Wingdings" w:hAnsi="Wingdings"/>
          <w:color w:val="000000"/>
        </w:rPr>
        <w:t></w:t>
      </w:r>
      <w:r>
        <w:rPr>
          <w:rFonts w:ascii="Baskerville" w:hAnsi="Baskerville" w:cs="Baskerville"/>
        </w:rPr>
        <w:t xml:space="preserve">    </w:t>
      </w:r>
      <w:r w:rsidR="00427E56">
        <w:rPr>
          <w:rFonts w:ascii="Baskerville" w:hAnsi="Baskerville" w:cs="Baskerville"/>
        </w:rPr>
        <w:t>Individual and Family Support and Guidelines</w:t>
      </w:r>
      <w:r w:rsidR="005B4FD5">
        <w:rPr>
          <w:rFonts w:ascii="Baskerville" w:hAnsi="Baskerville" w:cs="Baskerville"/>
        </w:rPr>
        <w:t xml:space="preserve"> for Families Seeking Services</w:t>
      </w:r>
    </w:p>
    <w:p w:rsidR="00417AC7" w:rsidRDefault="00417AC7" w:rsidP="003518FC">
      <w:pPr>
        <w:tabs>
          <w:tab w:val="left" w:pos="1671"/>
        </w:tabs>
        <w:ind w:right="-216"/>
        <w:rPr>
          <w:rFonts w:ascii="Baskerville" w:hAnsi="Baskerville" w:cs="Baskerville"/>
        </w:rPr>
      </w:pPr>
    </w:p>
    <w:p w:rsidR="00417AC7" w:rsidRDefault="00417AC7" w:rsidP="003518FC">
      <w:pPr>
        <w:tabs>
          <w:tab w:val="left" w:pos="1671"/>
        </w:tabs>
        <w:ind w:right="-216"/>
        <w:rPr>
          <w:rFonts w:ascii="Baskerville" w:hAnsi="Baskerville" w:cs="Baskerville"/>
        </w:rPr>
      </w:pPr>
      <w:r>
        <w:rPr>
          <w:rFonts w:ascii="Baskerville" w:hAnsi="Baskerville" w:cs="Baskerville"/>
        </w:rPr>
        <w:t xml:space="preserve">For the sixth time, the </w:t>
      </w:r>
      <w:r w:rsidR="002A5CD4">
        <w:rPr>
          <w:rFonts w:ascii="Baskerville" w:hAnsi="Baskerville" w:cs="Baskerville"/>
        </w:rPr>
        <w:t xml:space="preserve">IR utilized his </w:t>
      </w:r>
      <w:r>
        <w:rPr>
          <w:rFonts w:ascii="Baskerville" w:hAnsi="Baskerville" w:cs="Baskerville"/>
        </w:rPr>
        <w:t xml:space="preserve">Individual Review </w:t>
      </w:r>
      <w:r w:rsidR="002A5CD4">
        <w:rPr>
          <w:rFonts w:ascii="Baskerville" w:hAnsi="Baskerville" w:cs="Baskerville"/>
        </w:rPr>
        <w:t xml:space="preserve">Study </w:t>
      </w:r>
      <w:r>
        <w:rPr>
          <w:rFonts w:ascii="Baskerville" w:hAnsi="Baskerville" w:cs="Baskerville"/>
        </w:rPr>
        <w:t xml:space="preserve">process </w:t>
      </w:r>
      <w:r w:rsidR="002A5CD4">
        <w:rPr>
          <w:rFonts w:ascii="Baskerville" w:hAnsi="Baskerville" w:cs="Baskerville"/>
        </w:rPr>
        <w:t xml:space="preserve">and Monitoring Questionnaire </w:t>
      </w:r>
      <w:r w:rsidR="00742A71">
        <w:rPr>
          <w:rFonts w:ascii="Baskerville" w:hAnsi="Baskerville" w:cs="Baskerville"/>
        </w:rPr>
        <w:t>to evaluate the status of services for a sample of individuals</w:t>
      </w:r>
      <w:r w:rsidR="005C594A">
        <w:rPr>
          <w:rFonts w:ascii="Baskerville" w:hAnsi="Baskerville" w:cs="Baskerville"/>
        </w:rPr>
        <w:t xml:space="preserve">. </w:t>
      </w:r>
      <w:r w:rsidR="009036F5">
        <w:rPr>
          <w:rFonts w:ascii="Baskerville" w:hAnsi="Baskerville" w:cs="Baskerville"/>
        </w:rPr>
        <w:t xml:space="preserve">By utilizing the same questions </w:t>
      </w:r>
      <w:r w:rsidR="00C31445">
        <w:rPr>
          <w:rFonts w:ascii="Baskerville" w:hAnsi="Baskerville" w:cs="Baskerville"/>
        </w:rPr>
        <w:t>over several review periods, for different subgroups, in different geographic areas</w:t>
      </w:r>
      <w:r w:rsidR="008A51B6">
        <w:rPr>
          <w:rFonts w:ascii="Baskerville" w:hAnsi="Baskerville" w:cs="Baskerville"/>
        </w:rPr>
        <w:t>, the IR identifies bot</w:t>
      </w:r>
      <w:r w:rsidR="00645898">
        <w:rPr>
          <w:rFonts w:ascii="Baskerville" w:hAnsi="Baskerville" w:cs="Baskerville"/>
        </w:rPr>
        <w:t>h positive outcomes and areas of</w:t>
      </w:r>
      <w:r w:rsidR="008A51B6">
        <w:rPr>
          <w:rFonts w:ascii="Baskerville" w:hAnsi="Baskerville" w:cs="Baskerville"/>
        </w:rPr>
        <w:t xml:space="preserve"> concern</w:t>
      </w:r>
      <w:r w:rsidR="00645898">
        <w:rPr>
          <w:rFonts w:ascii="Baskerville" w:hAnsi="Baskerville" w:cs="Baskerville"/>
        </w:rPr>
        <w:t>. By reviewing the fin</w:t>
      </w:r>
      <w:r w:rsidR="00593FCB">
        <w:rPr>
          <w:rFonts w:ascii="Baskerville" w:hAnsi="Baskerville" w:cs="Baskerville"/>
        </w:rPr>
        <w:t>dings from this review period</w:t>
      </w:r>
      <w:r w:rsidR="00723728">
        <w:rPr>
          <w:rFonts w:ascii="Baskerville" w:hAnsi="Baskerville" w:cs="Baskerville"/>
        </w:rPr>
        <w:t>’</w:t>
      </w:r>
      <w:r w:rsidR="00593FCB">
        <w:rPr>
          <w:rFonts w:ascii="Baskerville" w:hAnsi="Baskerville" w:cs="Baskerville"/>
        </w:rPr>
        <w:t>s Individual Review S</w:t>
      </w:r>
      <w:r w:rsidR="00645898">
        <w:rPr>
          <w:rFonts w:ascii="Baskerville" w:hAnsi="Baskerville" w:cs="Baskerville"/>
        </w:rPr>
        <w:t xml:space="preserve">tudy, the IR </w:t>
      </w:r>
      <w:r w:rsidR="003211F4">
        <w:rPr>
          <w:rFonts w:ascii="Baskerville" w:hAnsi="Baskerville" w:cs="Baskerville"/>
        </w:rPr>
        <w:t xml:space="preserve">identified </w:t>
      </w:r>
      <w:r w:rsidR="00A71A56">
        <w:rPr>
          <w:rFonts w:ascii="Baskerville" w:hAnsi="Baskerville" w:cs="Baskerville"/>
        </w:rPr>
        <w:t>patte</w:t>
      </w:r>
      <w:r w:rsidR="00F23D1D">
        <w:rPr>
          <w:rFonts w:ascii="Baskerville" w:hAnsi="Baskerville" w:cs="Baskerville"/>
        </w:rPr>
        <w:t xml:space="preserve">rns and trends that </w:t>
      </w:r>
      <w:r w:rsidR="003211F4">
        <w:rPr>
          <w:rFonts w:ascii="Baskerville" w:hAnsi="Baskerville" w:cs="Baskerville"/>
        </w:rPr>
        <w:t>related to these outcomes</w:t>
      </w:r>
      <w:r w:rsidR="00BF6E36">
        <w:rPr>
          <w:rFonts w:ascii="Baskerville" w:hAnsi="Baskerville" w:cs="Baskerville"/>
        </w:rPr>
        <w:t xml:space="preserve">. </w:t>
      </w:r>
      <w:r w:rsidR="00647F22">
        <w:rPr>
          <w:rFonts w:ascii="Baskerville" w:hAnsi="Baskerville" w:cs="Baskerville"/>
        </w:rPr>
        <w:t>F</w:t>
      </w:r>
      <w:r w:rsidR="00467112">
        <w:rPr>
          <w:rFonts w:ascii="Baskerville" w:hAnsi="Baskerville" w:cs="Baskerville"/>
        </w:rPr>
        <w:t>or this report</w:t>
      </w:r>
      <w:r w:rsidR="00647F22">
        <w:rPr>
          <w:rFonts w:ascii="Baskerville" w:hAnsi="Baskerville" w:cs="Baskerville"/>
        </w:rPr>
        <w:t>,</w:t>
      </w:r>
      <w:r w:rsidR="00462AE6">
        <w:rPr>
          <w:rFonts w:ascii="Baskerville" w:hAnsi="Baskerville" w:cs="Baskerville"/>
        </w:rPr>
        <w:t xml:space="preserve"> and for </w:t>
      </w:r>
      <w:r w:rsidR="0046337F">
        <w:rPr>
          <w:rFonts w:ascii="Baskerville" w:hAnsi="Baskerville" w:cs="Baskerville"/>
        </w:rPr>
        <w:t>the first time</w:t>
      </w:r>
      <w:r w:rsidR="009A1D45">
        <w:rPr>
          <w:rFonts w:ascii="Baskerville" w:hAnsi="Baskerville" w:cs="Baskerville"/>
        </w:rPr>
        <w:t xml:space="preserve">, the IR focused the individual review study on the services for </w:t>
      </w:r>
      <w:r w:rsidR="00467112">
        <w:rPr>
          <w:rFonts w:ascii="Baskerville" w:hAnsi="Baskerville" w:cs="Baskerville"/>
        </w:rPr>
        <w:t xml:space="preserve">individuals with DD, </w:t>
      </w:r>
      <w:r w:rsidR="00467112" w:rsidRPr="00536133">
        <w:rPr>
          <w:rFonts w:ascii="Baskerville" w:hAnsi="Baskerville" w:cs="Baskerville"/>
          <w:u w:val="single"/>
        </w:rPr>
        <w:t>other than ID</w:t>
      </w:r>
      <w:r w:rsidR="009A1D45">
        <w:rPr>
          <w:rFonts w:ascii="Baskerville" w:hAnsi="Baskerville" w:cs="Baskerville"/>
        </w:rPr>
        <w:t>. The individuals</w:t>
      </w:r>
      <w:r w:rsidR="00B607BE">
        <w:rPr>
          <w:rFonts w:ascii="Baskerville" w:hAnsi="Baskerville" w:cs="Baskerville"/>
        </w:rPr>
        <w:t>,</w:t>
      </w:r>
      <w:r w:rsidR="00C400A1">
        <w:rPr>
          <w:rFonts w:ascii="Baskerville" w:hAnsi="Baskerville" w:cs="Baskerville"/>
        </w:rPr>
        <w:t xml:space="preserve"> </w:t>
      </w:r>
      <w:r w:rsidR="009A1D45">
        <w:rPr>
          <w:rFonts w:ascii="Baskerville" w:hAnsi="Baskerville" w:cs="Baskerville"/>
        </w:rPr>
        <w:t>randomly selected for review</w:t>
      </w:r>
      <w:r w:rsidR="00DE29BB">
        <w:rPr>
          <w:rFonts w:ascii="Baskerville" w:hAnsi="Baskerville" w:cs="Baskerville"/>
        </w:rPr>
        <w:t>,</w:t>
      </w:r>
      <w:r w:rsidR="00F4304F">
        <w:rPr>
          <w:rFonts w:ascii="Baskerville" w:hAnsi="Baskerville" w:cs="Baskerville"/>
        </w:rPr>
        <w:t xml:space="preserve"> rec</w:t>
      </w:r>
      <w:r w:rsidR="00EB5B5B">
        <w:rPr>
          <w:rFonts w:ascii="Baskerville" w:hAnsi="Baskerville" w:cs="Baskerville"/>
        </w:rPr>
        <w:t xml:space="preserve">eived new waiver slots over a </w:t>
      </w:r>
      <w:r w:rsidR="00EC1393">
        <w:rPr>
          <w:rFonts w:ascii="Baskerville" w:hAnsi="Baskerville" w:cs="Baskerville"/>
        </w:rPr>
        <w:t>fifteen-month</w:t>
      </w:r>
      <w:r w:rsidR="00F4304F">
        <w:rPr>
          <w:rFonts w:ascii="Baskerville" w:hAnsi="Baskerville" w:cs="Baskerville"/>
        </w:rPr>
        <w:t xml:space="preserve"> time</w:t>
      </w:r>
      <w:r w:rsidR="00EB5B5B">
        <w:rPr>
          <w:rFonts w:ascii="Baskerville" w:hAnsi="Baskerville" w:cs="Baskerville"/>
        </w:rPr>
        <w:t xml:space="preserve"> period </w:t>
      </w:r>
      <w:r w:rsidR="00593FCB">
        <w:rPr>
          <w:rFonts w:ascii="Baskerville" w:hAnsi="Baskerville" w:cs="Baskerville"/>
        </w:rPr>
        <w:t>and</w:t>
      </w:r>
      <w:r w:rsidR="0046337F">
        <w:rPr>
          <w:rFonts w:ascii="Baskerville" w:hAnsi="Baskerville" w:cs="Baskerville"/>
        </w:rPr>
        <w:t xml:space="preserve"> live in </w:t>
      </w:r>
      <w:r w:rsidR="00467112">
        <w:rPr>
          <w:rFonts w:ascii="Baskerville" w:hAnsi="Baskerville" w:cs="Baskerville"/>
        </w:rPr>
        <w:t>Region I</w:t>
      </w:r>
      <w:r w:rsidR="00645DA3">
        <w:rPr>
          <w:rFonts w:ascii="Baskerville" w:hAnsi="Baskerville" w:cs="Baskerville"/>
        </w:rPr>
        <w:t xml:space="preserve"> (northwest Virginia) and</w:t>
      </w:r>
      <w:r w:rsidR="007C1530">
        <w:rPr>
          <w:rFonts w:ascii="Baskerville" w:hAnsi="Baskerville" w:cs="Baskerville"/>
        </w:rPr>
        <w:t xml:space="preserve"> Regio</w:t>
      </w:r>
      <w:r w:rsidR="00645DA3">
        <w:rPr>
          <w:rFonts w:ascii="Baskerville" w:hAnsi="Baskerville" w:cs="Baskerville"/>
        </w:rPr>
        <w:t>n V (Tidewater)</w:t>
      </w:r>
      <w:r w:rsidR="00536133">
        <w:rPr>
          <w:rFonts w:ascii="Baskerville" w:hAnsi="Baskerville" w:cs="Baskerville"/>
        </w:rPr>
        <w:t xml:space="preserve">. </w:t>
      </w:r>
    </w:p>
    <w:p w:rsidR="001F1132" w:rsidRDefault="001F1132" w:rsidP="003518FC">
      <w:pPr>
        <w:tabs>
          <w:tab w:val="left" w:pos="1671"/>
        </w:tabs>
        <w:ind w:right="-216"/>
        <w:rPr>
          <w:rFonts w:ascii="Baskerville" w:hAnsi="Baskerville" w:cs="Baskerville"/>
        </w:rPr>
      </w:pPr>
    </w:p>
    <w:p w:rsidR="00D272D0" w:rsidRDefault="00D5297D" w:rsidP="003518FC">
      <w:pPr>
        <w:tabs>
          <w:tab w:val="left" w:pos="1671"/>
        </w:tabs>
        <w:ind w:right="-216"/>
        <w:rPr>
          <w:rFonts w:ascii="Baskerville" w:hAnsi="Baskerville" w:cs="Baskerville"/>
        </w:rPr>
      </w:pPr>
      <w:r>
        <w:rPr>
          <w:rFonts w:ascii="Baskerville" w:hAnsi="Baskerville" w:cs="Baskerville"/>
        </w:rPr>
        <w:t>The studies completed by the I</w:t>
      </w:r>
      <w:r w:rsidR="001F1132">
        <w:rPr>
          <w:rFonts w:ascii="Baskerville" w:hAnsi="Baskerville" w:cs="Baskerville"/>
        </w:rPr>
        <w:t xml:space="preserve">ndependent </w:t>
      </w:r>
      <w:r>
        <w:rPr>
          <w:rFonts w:ascii="Baskerville" w:hAnsi="Baskerville" w:cs="Baskerville"/>
        </w:rPr>
        <w:t xml:space="preserve">Reviewer’s </w:t>
      </w:r>
      <w:r w:rsidR="001F1132">
        <w:rPr>
          <w:rFonts w:ascii="Baskerville" w:hAnsi="Baskerville" w:cs="Baskerville"/>
        </w:rPr>
        <w:t>consultant</w:t>
      </w:r>
      <w:r w:rsidR="00BA63B1">
        <w:rPr>
          <w:rFonts w:ascii="Baskerville" w:hAnsi="Baskerville" w:cs="Baskerville"/>
        </w:rPr>
        <w:t xml:space="preserve">s </w:t>
      </w:r>
      <w:r w:rsidR="001F1132">
        <w:rPr>
          <w:rFonts w:ascii="Baskerville" w:hAnsi="Baskerville" w:cs="Baskerville"/>
        </w:rPr>
        <w:t xml:space="preserve">for this report </w:t>
      </w:r>
      <w:r w:rsidR="00BA63B1">
        <w:rPr>
          <w:rFonts w:ascii="Baskerville" w:hAnsi="Baskerville" w:cs="Baskerville"/>
        </w:rPr>
        <w:t>each involved reviewing the status of the Commonwealth’s compliance with</w:t>
      </w:r>
      <w:r w:rsidR="00A43044">
        <w:rPr>
          <w:rFonts w:ascii="Baskerville" w:hAnsi="Baskerville" w:cs="Baskerville"/>
        </w:rPr>
        <w:t xml:space="preserve"> specific </w:t>
      </w:r>
      <w:r w:rsidR="00BD7494">
        <w:rPr>
          <w:rFonts w:ascii="Baskerville" w:hAnsi="Baskerville" w:cs="Baskerville"/>
        </w:rPr>
        <w:t xml:space="preserve">prioritized </w:t>
      </w:r>
      <w:r w:rsidR="00A43044">
        <w:rPr>
          <w:rFonts w:ascii="Baskerville" w:hAnsi="Baskerville" w:cs="Baskerville"/>
        </w:rPr>
        <w:t xml:space="preserve">provisions </w:t>
      </w:r>
      <w:r w:rsidR="00BD7494">
        <w:rPr>
          <w:rFonts w:ascii="Baskerville" w:hAnsi="Baskerville" w:cs="Baskerville"/>
        </w:rPr>
        <w:t xml:space="preserve">that the IR </w:t>
      </w:r>
      <w:r w:rsidR="00A43044">
        <w:rPr>
          <w:rFonts w:ascii="Baskerville" w:hAnsi="Baskerville" w:cs="Baskerville"/>
        </w:rPr>
        <w:t>targeted</w:t>
      </w:r>
      <w:r w:rsidR="004F3F3E">
        <w:rPr>
          <w:rFonts w:ascii="Baskerville" w:hAnsi="Baskerville" w:cs="Baskerville"/>
        </w:rPr>
        <w:t xml:space="preserve"> </w:t>
      </w:r>
      <w:r w:rsidR="00BD7494">
        <w:rPr>
          <w:rFonts w:ascii="Baskerville" w:hAnsi="Baskerville" w:cs="Baskerville"/>
        </w:rPr>
        <w:t>for review and evaluation. T</w:t>
      </w:r>
      <w:r w:rsidR="000A124D">
        <w:rPr>
          <w:rFonts w:ascii="Baskerville" w:hAnsi="Baskerville" w:cs="Baskerville"/>
        </w:rPr>
        <w:t xml:space="preserve">he </w:t>
      </w:r>
      <w:r w:rsidR="00DF647A">
        <w:rPr>
          <w:rFonts w:ascii="Baskerville" w:hAnsi="Baskerville" w:cs="Baskerville"/>
        </w:rPr>
        <w:t>Independent Revie</w:t>
      </w:r>
      <w:r w:rsidR="00943A7D">
        <w:rPr>
          <w:rFonts w:ascii="Baskerville" w:hAnsi="Baskerville" w:cs="Baskerville"/>
        </w:rPr>
        <w:t xml:space="preserve">wer and expert consultants defined </w:t>
      </w:r>
      <w:r w:rsidR="008035AA">
        <w:rPr>
          <w:rFonts w:ascii="Baskerville" w:hAnsi="Baskerville" w:cs="Baskerville"/>
        </w:rPr>
        <w:t>t</w:t>
      </w:r>
      <w:r w:rsidR="00A43044">
        <w:rPr>
          <w:rFonts w:ascii="Baskerville" w:hAnsi="Baskerville" w:cs="Baskerville"/>
        </w:rPr>
        <w:t xml:space="preserve">he </w:t>
      </w:r>
      <w:r w:rsidR="00EC15F0">
        <w:rPr>
          <w:rFonts w:ascii="Baskerville" w:hAnsi="Baskerville" w:cs="Baskerville"/>
        </w:rPr>
        <w:t>scope</w:t>
      </w:r>
      <w:r w:rsidR="00943A7D">
        <w:rPr>
          <w:rFonts w:ascii="Baskerville" w:hAnsi="Baskerville" w:cs="Baskerville"/>
        </w:rPr>
        <w:t xml:space="preserve"> of the planned study</w:t>
      </w:r>
      <w:r w:rsidR="00EC15F0">
        <w:rPr>
          <w:rFonts w:ascii="Baskerville" w:hAnsi="Baskerville" w:cs="Baskerville"/>
        </w:rPr>
        <w:t>,</w:t>
      </w:r>
      <w:r w:rsidR="008035AA">
        <w:rPr>
          <w:rFonts w:ascii="Baskerville" w:hAnsi="Baskerville" w:cs="Baskerville"/>
        </w:rPr>
        <w:t xml:space="preserve"> </w:t>
      </w:r>
      <w:r w:rsidR="00943A7D">
        <w:rPr>
          <w:rFonts w:ascii="Baskerville" w:hAnsi="Baskerville" w:cs="Baskerville"/>
        </w:rPr>
        <w:t xml:space="preserve">the </w:t>
      </w:r>
      <w:r w:rsidR="00A43044">
        <w:rPr>
          <w:rFonts w:ascii="Baskerville" w:hAnsi="Baskerville" w:cs="Baskerville"/>
        </w:rPr>
        <w:t xml:space="preserve">methodology </w:t>
      </w:r>
      <w:r w:rsidR="00C712E0">
        <w:rPr>
          <w:rFonts w:ascii="Baskerville" w:hAnsi="Baskerville" w:cs="Baskerville"/>
        </w:rPr>
        <w:t xml:space="preserve">to be followed, </w:t>
      </w:r>
      <w:r w:rsidR="00943A7D">
        <w:rPr>
          <w:rFonts w:ascii="Baskerville" w:hAnsi="Baskerville" w:cs="Baskerville"/>
        </w:rPr>
        <w:t xml:space="preserve">the documents </w:t>
      </w:r>
      <w:r w:rsidR="00B5326D">
        <w:rPr>
          <w:rFonts w:ascii="Baskerville" w:hAnsi="Baskerville" w:cs="Baskerville"/>
        </w:rPr>
        <w:t xml:space="preserve">to be reviewed, </w:t>
      </w:r>
      <w:r w:rsidR="00C712E0">
        <w:rPr>
          <w:rFonts w:ascii="Baskerville" w:hAnsi="Baskerville" w:cs="Baskerville"/>
        </w:rPr>
        <w:t xml:space="preserve">the </w:t>
      </w:r>
      <w:r w:rsidR="00943A7D">
        <w:rPr>
          <w:rFonts w:ascii="Baskerville" w:hAnsi="Baskerville" w:cs="Baskerville"/>
        </w:rPr>
        <w:t xml:space="preserve">interviews </w:t>
      </w:r>
      <w:r w:rsidR="00C712E0">
        <w:rPr>
          <w:rFonts w:ascii="Baskerville" w:hAnsi="Baskerville" w:cs="Baskerville"/>
        </w:rPr>
        <w:t>to be conducted</w:t>
      </w:r>
      <w:r w:rsidR="00B5326D">
        <w:rPr>
          <w:rFonts w:ascii="Baskerville" w:hAnsi="Baskerville" w:cs="Baskerville"/>
        </w:rPr>
        <w:t xml:space="preserve">, and an estimated time line for each study. The IR </w:t>
      </w:r>
      <w:r w:rsidR="00591C01">
        <w:rPr>
          <w:rFonts w:ascii="Baskerville" w:hAnsi="Baskerville" w:cs="Baskerville"/>
        </w:rPr>
        <w:t xml:space="preserve">and the consultant shared </w:t>
      </w:r>
      <w:r w:rsidR="008035AA">
        <w:rPr>
          <w:rFonts w:ascii="Baskerville" w:hAnsi="Baskerville" w:cs="Baskerville"/>
        </w:rPr>
        <w:t xml:space="preserve">with </w:t>
      </w:r>
      <w:r w:rsidR="00C553DB">
        <w:rPr>
          <w:rFonts w:ascii="Baskerville" w:hAnsi="Baskerville" w:cs="Baskerville"/>
        </w:rPr>
        <w:t xml:space="preserve">its plans with </w:t>
      </w:r>
      <w:r w:rsidR="008035AA">
        <w:rPr>
          <w:rFonts w:ascii="Baskerville" w:hAnsi="Baskerville" w:cs="Baskerville"/>
        </w:rPr>
        <w:t>the Commonwealth</w:t>
      </w:r>
      <w:r w:rsidR="00C553DB">
        <w:rPr>
          <w:rFonts w:ascii="Baskerville" w:hAnsi="Baskerville" w:cs="Baskerville"/>
        </w:rPr>
        <w:t xml:space="preserve">. The Commonwealth </w:t>
      </w:r>
      <w:r w:rsidR="003E0845">
        <w:rPr>
          <w:rFonts w:ascii="Baskerville" w:hAnsi="Baskerville" w:cs="Baskerville"/>
        </w:rPr>
        <w:t>was</w:t>
      </w:r>
      <w:r w:rsidR="00A2556A">
        <w:rPr>
          <w:rFonts w:ascii="Baskerville" w:hAnsi="Baskerville" w:cs="Baskerville"/>
        </w:rPr>
        <w:t xml:space="preserve"> invited to suggest refinements a</w:t>
      </w:r>
      <w:r w:rsidR="00CB5109">
        <w:rPr>
          <w:rFonts w:ascii="Baskerville" w:hAnsi="Baskerville" w:cs="Baskerville"/>
        </w:rPr>
        <w:t xml:space="preserve">nd other documents that </w:t>
      </w:r>
      <w:r w:rsidR="00591C01">
        <w:rPr>
          <w:rFonts w:ascii="Baskerville" w:hAnsi="Baskerville" w:cs="Baskerville"/>
        </w:rPr>
        <w:t xml:space="preserve">would </w:t>
      </w:r>
      <w:r w:rsidR="00CB5109">
        <w:rPr>
          <w:rFonts w:ascii="Baskerville" w:hAnsi="Baskerville" w:cs="Baskerville"/>
        </w:rPr>
        <w:t xml:space="preserve">indicate </w:t>
      </w:r>
      <w:r w:rsidR="00A2556A">
        <w:rPr>
          <w:rFonts w:ascii="Baskerville" w:hAnsi="Baskerville" w:cs="Baskerville"/>
        </w:rPr>
        <w:t xml:space="preserve">the Commonwealth’s </w:t>
      </w:r>
      <w:r w:rsidR="00613511">
        <w:rPr>
          <w:rFonts w:ascii="Baskerville" w:hAnsi="Baskerville" w:cs="Baskerville"/>
        </w:rPr>
        <w:t xml:space="preserve">achievements putting staff, policy, program and process elements in place and </w:t>
      </w:r>
      <w:r w:rsidR="00EE0C8A">
        <w:rPr>
          <w:rFonts w:ascii="Baskerville" w:hAnsi="Baskerville" w:cs="Baskerville"/>
        </w:rPr>
        <w:t xml:space="preserve">by </w:t>
      </w:r>
      <w:r w:rsidR="006329FC">
        <w:rPr>
          <w:rFonts w:ascii="Baskerville" w:hAnsi="Baskerville" w:cs="Baskerville"/>
        </w:rPr>
        <w:t xml:space="preserve">determining </w:t>
      </w:r>
      <w:r w:rsidR="00CB5109">
        <w:rPr>
          <w:rFonts w:ascii="Baskerville" w:hAnsi="Baskerville" w:cs="Baskerville"/>
        </w:rPr>
        <w:t xml:space="preserve">measurable </w:t>
      </w:r>
      <w:r w:rsidR="00A2556A">
        <w:rPr>
          <w:rFonts w:ascii="Baskerville" w:hAnsi="Baskerville" w:cs="Baskerville"/>
        </w:rPr>
        <w:t>outcomes</w:t>
      </w:r>
      <w:r w:rsidR="00D14B81">
        <w:rPr>
          <w:rFonts w:ascii="Baskerville" w:hAnsi="Baskerville" w:cs="Baskerville"/>
        </w:rPr>
        <w:t xml:space="preserve"> </w:t>
      </w:r>
      <w:r w:rsidR="00702D2C">
        <w:rPr>
          <w:rFonts w:ascii="Baskerville" w:hAnsi="Baskerville" w:cs="Baskerville"/>
        </w:rPr>
        <w:t xml:space="preserve">related to the provisions </w:t>
      </w:r>
      <w:r w:rsidR="004243C4">
        <w:rPr>
          <w:rFonts w:ascii="Baskerville" w:hAnsi="Baskerville" w:cs="Baskerville"/>
        </w:rPr>
        <w:t>studied</w:t>
      </w:r>
      <w:r w:rsidR="00EC15F0">
        <w:rPr>
          <w:rFonts w:ascii="Baskerville" w:hAnsi="Baskerville" w:cs="Baskerville"/>
        </w:rPr>
        <w:t xml:space="preserve">. </w:t>
      </w:r>
      <w:r w:rsidR="00F80B1F">
        <w:rPr>
          <w:rFonts w:ascii="Baskerville" w:hAnsi="Baskerville" w:cs="Baskerville"/>
        </w:rPr>
        <w:t>The consultants then review</w:t>
      </w:r>
      <w:r w:rsidR="003071C1">
        <w:rPr>
          <w:rFonts w:ascii="Baskerville" w:hAnsi="Baskerville" w:cs="Baskerville"/>
        </w:rPr>
        <w:t>ed</w:t>
      </w:r>
      <w:r w:rsidR="00F80B1F">
        <w:rPr>
          <w:rFonts w:ascii="Baskerville" w:hAnsi="Baskerville" w:cs="Baskerville"/>
        </w:rPr>
        <w:t xml:space="preserve"> the status of program planning, program development, and </w:t>
      </w:r>
      <w:r w:rsidR="00702D2C">
        <w:rPr>
          <w:rFonts w:ascii="Baskerville" w:hAnsi="Baskerville" w:cs="Baskerville"/>
        </w:rPr>
        <w:t xml:space="preserve">program </w:t>
      </w:r>
      <w:r w:rsidR="00613511">
        <w:rPr>
          <w:rFonts w:ascii="Baskerville" w:hAnsi="Baskerville" w:cs="Baskerville"/>
        </w:rPr>
        <w:t>operations</w:t>
      </w:r>
      <w:r w:rsidR="003071C1">
        <w:rPr>
          <w:rFonts w:ascii="Baskerville" w:hAnsi="Baskerville" w:cs="Baskerville"/>
        </w:rPr>
        <w:t xml:space="preserve">, </w:t>
      </w:r>
      <w:r w:rsidR="00135A34">
        <w:rPr>
          <w:rFonts w:ascii="Baskerville" w:hAnsi="Baskerville" w:cs="Baskerville"/>
        </w:rPr>
        <w:t>to find whether</w:t>
      </w:r>
      <w:r w:rsidR="00416620">
        <w:rPr>
          <w:rFonts w:ascii="Baskerville" w:hAnsi="Baskerville" w:cs="Baskerville"/>
        </w:rPr>
        <w:t xml:space="preserve"> the Commonwealth’s initiative had been implemented</w:t>
      </w:r>
      <w:r w:rsidR="00265F31">
        <w:rPr>
          <w:rFonts w:ascii="Baskerville" w:hAnsi="Baskerville" w:cs="Baskerville"/>
        </w:rPr>
        <w:t xml:space="preserve"> sufficiently </w:t>
      </w:r>
      <w:r w:rsidR="00416620">
        <w:rPr>
          <w:rFonts w:ascii="Baskerville" w:hAnsi="Baskerville" w:cs="Baskerville"/>
        </w:rPr>
        <w:t xml:space="preserve">for </w:t>
      </w:r>
      <w:r w:rsidR="00613511">
        <w:rPr>
          <w:rFonts w:ascii="Baskerville" w:hAnsi="Baskerville" w:cs="Baskerville"/>
        </w:rPr>
        <w:t>measurable</w:t>
      </w:r>
      <w:r w:rsidR="00702D2C">
        <w:rPr>
          <w:rFonts w:ascii="Baskerville" w:hAnsi="Baskerville" w:cs="Baskerville"/>
        </w:rPr>
        <w:t xml:space="preserve"> </w:t>
      </w:r>
      <w:r w:rsidR="00416620">
        <w:rPr>
          <w:rFonts w:ascii="Baskerville" w:hAnsi="Baskerville" w:cs="Baskerville"/>
        </w:rPr>
        <w:t>results to be evident</w:t>
      </w:r>
      <w:r w:rsidR="00AD01A3">
        <w:rPr>
          <w:rFonts w:ascii="Baskerville" w:hAnsi="Baskerville" w:cs="Baskerville"/>
        </w:rPr>
        <w:t xml:space="preserve">. </w:t>
      </w:r>
      <w:r w:rsidR="00416620">
        <w:rPr>
          <w:rFonts w:ascii="Baskerville" w:hAnsi="Baskerville" w:cs="Baskerville"/>
        </w:rPr>
        <w:t xml:space="preserve">For each study, the expert consultant conducted </w:t>
      </w:r>
      <w:r w:rsidR="00E97A3D">
        <w:rPr>
          <w:rFonts w:ascii="Baskerville" w:hAnsi="Baskerville" w:cs="Baskerville"/>
        </w:rPr>
        <w:t>i</w:t>
      </w:r>
      <w:r w:rsidR="00643CD1">
        <w:rPr>
          <w:rFonts w:ascii="Baskerville" w:hAnsi="Baskerville" w:cs="Baskerville"/>
        </w:rPr>
        <w:t>nter</w:t>
      </w:r>
      <w:r w:rsidR="00E97A3D">
        <w:rPr>
          <w:rFonts w:ascii="Baskerville" w:hAnsi="Baskerville" w:cs="Baskerville"/>
        </w:rPr>
        <w:t xml:space="preserve">views </w:t>
      </w:r>
      <w:r w:rsidR="00761CEB">
        <w:rPr>
          <w:rFonts w:ascii="Baskerville" w:hAnsi="Baskerville" w:cs="Baskerville"/>
        </w:rPr>
        <w:t>with</w:t>
      </w:r>
      <w:r w:rsidR="0036147B">
        <w:rPr>
          <w:rFonts w:ascii="Baskerville" w:hAnsi="Baskerville" w:cs="Baskerville"/>
        </w:rPr>
        <w:t xml:space="preserve"> selected Commonwealth officials, staff at the state and local levels, workgroup members, providers, families</w:t>
      </w:r>
      <w:r w:rsidR="008A2646">
        <w:rPr>
          <w:rFonts w:ascii="Baskerville" w:hAnsi="Baskerville" w:cs="Baskerville"/>
        </w:rPr>
        <w:t xml:space="preserve"> of individuals served</w:t>
      </w:r>
      <w:r w:rsidR="00E97A3D">
        <w:rPr>
          <w:rFonts w:ascii="Baskerville" w:hAnsi="Baskerville" w:cs="Baskerville"/>
        </w:rPr>
        <w:t>,</w:t>
      </w:r>
      <w:r w:rsidR="00153528">
        <w:rPr>
          <w:rFonts w:ascii="Baskerville" w:hAnsi="Baskerville" w:cs="Baskerville"/>
        </w:rPr>
        <w:t xml:space="preserve"> and other stakeholders. The </w:t>
      </w:r>
      <w:r w:rsidR="00613511">
        <w:rPr>
          <w:rFonts w:ascii="Baskerville" w:hAnsi="Baskerville" w:cs="Baskerville"/>
        </w:rPr>
        <w:t xml:space="preserve">primary focus of these studies, and the </w:t>
      </w:r>
      <w:r w:rsidR="00702F09">
        <w:rPr>
          <w:rFonts w:ascii="Baskerville" w:hAnsi="Baskerville" w:cs="Baskerville"/>
        </w:rPr>
        <w:t>IR</w:t>
      </w:r>
      <w:r w:rsidR="00613511">
        <w:rPr>
          <w:rFonts w:ascii="Baskerville" w:hAnsi="Baskerville" w:cs="Baskerville"/>
        </w:rPr>
        <w:t>’s determinations of com</w:t>
      </w:r>
      <w:r w:rsidR="002430C9">
        <w:rPr>
          <w:rFonts w:ascii="Baskerville" w:hAnsi="Baskerville" w:cs="Baskerville"/>
        </w:rPr>
        <w:t>pliance ratings is whether the C</w:t>
      </w:r>
      <w:r w:rsidR="00613511">
        <w:rPr>
          <w:rFonts w:ascii="Baskerville" w:hAnsi="Baskerville" w:cs="Baskerville"/>
        </w:rPr>
        <w:t>ommonwealth has complied with the quanti</w:t>
      </w:r>
      <w:r w:rsidR="002430C9">
        <w:rPr>
          <w:rFonts w:ascii="Baskerville" w:hAnsi="Baskerville" w:cs="Baskerville"/>
        </w:rPr>
        <w:t>tative measures of compliance. T</w:t>
      </w:r>
      <w:r w:rsidR="00613511">
        <w:rPr>
          <w:rFonts w:ascii="Baskerville" w:hAnsi="Baskerville" w:cs="Baskerville"/>
        </w:rPr>
        <w:t xml:space="preserve">he </w:t>
      </w:r>
      <w:r w:rsidR="00702F09">
        <w:rPr>
          <w:rFonts w:ascii="Baskerville" w:hAnsi="Baskerville" w:cs="Baskerville"/>
        </w:rPr>
        <w:t>IR</w:t>
      </w:r>
      <w:r w:rsidR="00613511">
        <w:rPr>
          <w:rFonts w:ascii="Baskerville" w:hAnsi="Baskerville" w:cs="Baskerville"/>
        </w:rPr>
        <w:t xml:space="preserve"> </w:t>
      </w:r>
      <w:r w:rsidR="00153528">
        <w:rPr>
          <w:rFonts w:ascii="Baskerville" w:hAnsi="Baskerville" w:cs="Baskerville"/>
        </w:rPr>
        <w:t>considers the f</w:t>
      </w:r>
      <w:r w:rsidR="008A2646">
        <w:rPr>
          <w:rFonts w:ascii="Baskerville" w:hAnsi="Baskerville" w:cs="Baskerville"/>
        </w:rPr>
        <w:t>indin</w:t>
      </w:r>
      <w:r w:rsidR="005D46DA">
        <w:rPr>
          <w:rFonts w:ascii="Baskerville" w:hAnsi="Baskerville" w:cs="Baskerville"/>
        </w:rPr>
        <w:t>gs from these studies,</w:t>
      </w:r>
      <w:r w:rsidR="00153528">
        <w:rPr>
          <w:rFonts w:ascii="Baskerville" w:hAnsi="Baskerville" w:cs="Baskerville"/>
        </w:rPr>
        <w:t xml:space="preserve"> information </w:t>
      </w:r>
      <w:r w:rsidR="002430C9">
        <w:rPr>
          <w:rFonts w:ascii="Baskerville" w:hAnsi="Baskerville" w:cs="Baskerville"/>
        </w:rPr>
        <w:t>from the Individual Review S</w:t>
      </w:r>
      <w:r w:rsidR="005D46DA">
        <w:rPr>
          <w:rFonts w:ascii="Baskerville" w:hAnsi="Baskerville" w:cs="Baskerville"/>
        </w:rPr>
        <w:t xml:space="preserve">tudy and </w:t>
      </w:r>
      <w:r w:rsidR="00153528">
        <w:rPr>
          <w:rFonts w:ascii="Baskerville" w:hAnsi="Baskerville" w:cs="Baskerville"/>
        </w:rPr>
        <w:t>from various other sources</w:t>
      </w:r>
      <w:r w:rsidR="00184A2A">
        <w:rPr>
          <w:rFonts w:ascii="Baskerville" w:hAnsi="Baskerville" w:cs="Baskerville"/>
        </w:rPr>
        <w:t xml:space="preserve"> to</w:t>
      </w:r>
      <w:r w:rsidR="00BC1DA4">
        <w:rPr>
          <w:rFonts w:ascii="Baskerville" w:hAnsi="Baskerville" w:cs="Baskerville"/>
        </w:rPr>
        <w:t xml:space="preserve"> determine</w:t>
      </w:r>
      <w:r w:rsidR="00DD08EF">
        <w:rPr>
          <w:rFonts w:ascii="Baskerville" w:hAnsi="Baskerville" w:cs="Baskerville"/>
        </w:rPr>
        <w:t xml:space="preserve"> </w:t>
      </w:r>
      <w:r w:rsidR="00184A2A">
        <w:rPr>
          <w:rFonts w:ascii="Baskerville" w:hAnsi="Baskerville" w:cs="Baskerville"/>
        </w:rPr>
        <w:t xml:space="preserve">the ratings of compliance, </w:t>
      </w:r>
      <w:r w:rsidR="002430C9">
        <w:rPr>
          <w:rFonts w:ascii="Baskerville" w:hAnsi="Baskerville" w:cs="Baskerville"/>
        </w:rPr>
        <w:t xml:space="preserve">the </w:t>
      </w:r>
      <w:r w:rsidR="00DD08EF">
        <w:rPr>
          <w:rFonts w:ascii="Baskerville" w:hAnsi="Baskerville" w:cs="Baskerville"/>
        </w:rPr>
        <w:t xml:space="preserve">conclusion, and the recommendations in this report. </w:t>
      </w:r>
      <w:r w:rsidR="008A2646">
        <w:rPr>
          <w:rFonts w:ascii="Baskerville" w:hAnsi="Baskerville" w:cs="Baskerville"/>
        </w:rPr>
        <w:t xml:space="preserve"> </w:t>
      </w:r>
      <w:r w:rsidR="00702F09">
        <w:rPr>
          <w:rFonts w:ascii="Baskerville" w:hAnsi="Baskerville" w:cs="Baskerville"/>
        </w:rPr>
        <w:t>The IR</w:t>
      </w:r>
      <w:r w:rsidR="00124D6A">
        <w:rPr>
          <w:rFonts w:ascii="Baskerville" w:hAnsi="Baskerville" w:cs="Baskerville"/>
        </w:rPr>
        <w:t>’s c</w:t>
      </w:r>
      <w:r w:rsidR="00706637">
        <w:rPr>
          <w:rFonts w:ascii="Baskerville" w:hAnsi="Baskerville" w:cs="Baskerville"/>
        </w:rPr>
        <w:t xml:space="preserve">ompliance determinations are best understood by reviewing the comments in the </w:t>
      </w:r>
      <w:r w:rsidR="00BC1DA4">
        <w:rPr>
          <w:rFonts w:ascii="Baskerville" w:hAnsi="Baskerville" w:cs="Baskerville"/>
        </w:rPr>
        <w:t>Summary</w:t>
      </w:r>
      <w:r w:rsidR="00706637">
        <w:rPr>
          <w:rFonts w:ascii="Baskerville" w:hAnsi="Baskerville" w:cs="Baskerville"/>
        </w:rPr>
        <w:t xml:space="preserve"> of Compliance</w:t>
      </w:r>
      <w:r w:rsidR="00BC1DA4">
        <w:rPr>
          <w:rFonts w:ascii="Baskerville" w:hAnsi="Baskerville" w:cs="Baskerville"/>
        </w:rPr>
        <w:t xml:space="preserve"> table</w:t>
      </w:r>
      <w:r w:rsidR="00160C00">
        <w:rPr>
          <w:rFonts w:ascii="Baskerville" w:hAnsi="Baskerville" w:cs="Baskerville"/>
        </w:rPr>
        <w:t xml:space="preserve">, </w:t>
      </w:r>
      <w:r w:rsidR="008D22B5">
        <w:rPr>
          <w:rFonts w:ascii="Baskerville" w:hAnsi="Baskerville" w:cs="Baskerville"/>
        </w:rPr>
        <w:t xml:space="preserve">the Findings section of this report, and the </w:t>
      </w:r>
      <w:r w:rsidR="00160C00">
        <w:rPr>
          <w:rFonts w:ascii="Baskerville" w:hAnsi="Baskerville" w:cs="Baskerville"/>
        </w:rPr>
        <w:t>consultant reports</w:t>
      </w:r>
      <w:r w:rsidR="008D22B5">
        <w:rPr>
          <w:rFonts w:ascii="Baskerville" w:hAnsi="Baskerville" w:cs="Baskerville"/>
        </w:rPr>
        <w:t xml:space="preserve"> included in the Appendices</w:t>
      </w:r>
      <w:r w:rsidR="00160C00">
        <w:rPr>
          <w:rFonts w:ascii="Baskerville" w:hAnsi="Baskerville" w:cs="Baskerville"/>
        </w:rPr>
        <w:t>.</w:t>
      </w:r>
    </w:p>
    <w:p w:rsidR="00D272D0" w:rsidRDefault="00D272D0" w:rsidP="003518FC">
      <w:pPr>
        <w:tabs>
          <w:tab w:val="left" w:pos="1671"/>
        </w:tabs>
        <w:ind w:right="-216"/>
        <w:rPr>
          <w:rFonts w:ascii="Baskerville" w:hAnsi="Baskerville" w:cs="Baskerville"/>
        </w:rPr>
      </w:pPr>
    </w:p>
    <w:p w:rsidR="001F1132" w:rsidRDefault="00F93065" w:rsidP="003518FC">
      <w:pPr>
        <w:tabs>
          <w:tab w:val="left" w:pos="1671"/>
        </w:tabs>
        <w:ind w:right="-216"/>
        <w:rPr>
          <w:rFonts w:ascii="Baskerville" w:hAnsi="Baskerville" w:cs="Baskerville"/>
        </w:rPr>
      </w:pPr>
      <w:r>
        <w:rPr>
          <w:rFonts w:ascii="Baskerville" w:hAnsi="Baskerville" w:cs="Baskerville"/>
        </w:rPr>
        <w:t xml:space="preserve">The provisions in the Discharge Planning and Transition and the Quality and Risk Management </w:t>
      </w:r>
      <w:r w:rsidR="00D272D0">
        <w:rPr>
          <w:rFonts w:ascii="Baskerville" w:hAnsi="Baskerville" w:cs="Baskerville"/>
        </w:rPr>
        <w:t>sections of the Agreement we</w:t>
      </w:r>
      <w:r w:rsidR="008A3B6A">
        <w:rPr>
          <w:rFonts w:ascii="Baskerville" w:hAnsi="Baskerville" w:cs="Baskerville"/>
        </w:rPr>
        <w:t>re closely studied during</w:t>
      </w:r>
      <w:r w:rsidR="00932929">
        <w:rPr>
          <w:rFonts w:ascii="Baskerville" w:hAnsi="Baskerville" w:cs="Baskerville"/>
        </w:rPr>
        <w:t xml:space="preserve"> the fifth </w:t>
      </w:r>
      <w:r w:rsidR="008A3B6A">
        <w:rPr>
          <w:rFonts w:ascii="Baskerville" w:hAnsi="Baskerville" w:cs="Baskerville"/>
        </w:rPr>
        <w:t xml:space="preserve">reporting period </w:t>
      </w:r>
      <w:r w:rsidR="00932929">
        <w:rPr>
          <w:rFonts w:ascii="Baskerville" w:hAnsi="Baskerville" w:cs="Baskerville"/>
        </w:rPr>
        <w:t xml:space="preserve">and </w:t>
      </w:r>
      <w:r w:rsidR="008A3B6A">
        <w:rPr>
          <w:rFonts w:ascii="Baskerville" w:hAnsi="Baskerville" w:cs="Baskerville"/>
        </w:rPr>
        <w:t xml:space="preserve">described in the </w:t>
      </w:r>
      <w:r w:rsidR="00932929">
        <w:rPr>
          <w:rFonts w:ascii="Baskerville" w:hAnsi="Baskerville" w:cs="Baskerville"/>
        </w:rPr>
        <w:t>previous</w:t>
      </w:r>
      <w:r w:rsidR="00D272D0">
        <w:rPr>
          <w:rFonts w:ascii="Baskerville" w:hAnsi="Baskerville" w:cs="Baskerville"/>
        </w:rPr>
        <w:t xml:space="preserve"> Report to the Court</w:t>
      </w:r>
      <w:r w:rsidR="000F4A8C">
        <w:rPr>
          <w:rFonts w:ascii="Baskerville" w:hAnsi="Baskerville" w:cs="Baskerville"/>
        </w:rPr>
        <w:t xml:space="preserve">. The </w:t>
      </w:r>
      <w:r w:rsidR="00E9411B">
        <w:rPr>
          <w:rFonts w:ascii="Baskerville" w:hAnsi="Baskerville" w:cs="Baskerville"/>
        </w:rPr>
        <w:t xml:space="preserve">compliance ratings for most of </w:t>
      </w:r>
      <w:r w:rsidR="00932929">
        <w:rPr>
          <w:rFonts w:ascii="Baskerville" w:hAnsi="Baskerville" w:cs="Baskerville"/>
        </w:rPr>
        <w:t xml:space="preserve">the provisions in these sections were not expected to change substantially </w:t>
      </w:r>
      <w:r w:rsidR="00E9411B">
        <w:rPr>
          <w:rFonts w:ascii="Baskerville" w:hAnsi="Baskerville" w:cs="Baskerville"/>
        </w:rPr>
        <w:t>during t</w:t>
      </w:r>
      <w:r w:rsidR="002430C9">
        <w:rPr>
          <w:rFonts w:ascii="Baskerville" w:hAnsi="Baskerville" w:cs="Baskerville"/>
        </w:rPr>
        <w:t>he four months between the</w:t>
      </w:r>
      <w:r w:rsidR="00AE24DE">
        <w:rPr>
          <w:rFonts w:ascii="Baskerville" w:hAnsi="Baskerville" w:cs="Baskerville"/>
        </w:rPr>
        <w:t xml:space="preserve"> last R</w:t>
      </w:r>
      <w:r w:rsidR="00E9411B">
        <w:rPr>
          <w:rFonts w:ascii="Baskerville" w:hAnsi="Baskerville" w:cs="Baskerville"/>
        </w:rPr>
        <w:t>eport to the Court and the end of this review period</w:t>
      </w:r>
      <w:r w:rsidR="00FE1F4B">
        <w:rPr>
          <w:rFonts w:ascii="Baskerville" w:hAnsi="Baskerville" w:cs="Baskerville"/>
        </w:rPr>
        <w:t xml:space="preserve">. The </w:t>
      </w:r>
      <w:r w:rsidR="00702F09">
        <w:rPr>
          <w:rFonts w:ascii="Baskerville" w:hAnsi="Baskerville" w:cs="Baskerville"/>
        </w:rPr>
        <w:t xml:space="preserve">IR, </w:t>
      </w:r>
      <w:r w:rsidR="00FE1F4B">
        <w:rPr>
          <w:rFonts w:ascii="Baskerville" w:hAnsi="Baskerville" w:cs="Baskerville"/>
        </w:rPr>
        <w:t>therefore</w:t>
      </w:r>
      <w:r w:rsidR="00702F09">
        <w:rPr>
          <w:rFonts w:ascii="Baskerville" w:hAnsi="Baskerville" w:cs="Baskerville"/>
        </w:rPr>
        <w:t>,</w:t>
      </w:r>
      <w:r w:rsidR="00FE1F4B">
        <w:rPr>
          <w:rFonts w:ascii="Baskerville" w:hAnsi="Baskerville" w:cs="Baskerville"/>
        </w:rPr>
        <w:t xml:space="preserve"> prioritized other areas for monitoring during this revi</w:t>
      </w:r>
      <w:r w:rsidR="009525E1">
        <w:rPr>
          <w:rFonts w:ascii="Baskerville" w:hAnsi="Baskerville" w:cs="Baskerville"/>
        </w:rPr>
        <w:t xml:space="preserve">ew period. </w:t>
      </w:r>
      <w:r w:rsidR="00F34B4E">
        <w:rPr>
          <w:rFonts w:ascii="Baskerville" w:hAnsi="Baskerville" w:cs="Baskerville"/>
        </w:rPr>
        <w:t xml:space="preserve">These provisions will </w:t>
      </w:r>
      <w:r w:rsidR="002430C9">
        <w:rPr>
          <w:rFonts w:ascii="Baskerville" w:hAnsi="Baskerville" w:cs="Baskerville"/>
        </w:rPr>
        <w:t>be prioritized for review for the</w:t>
      </w:r>
      <w:r w:rsidR="00A14999">
        <w:rPr>
          <w:rFonts w:ascii="Baskerville" w:hAnsi="Baskerville" w:cs="Baskerville"/>
        </w:rPr>
        <w:t xml:space="preserve"> next Report to the Court. </w:t>
      </w:r>
      <w:r w:rsidR="00AE24DE">
        <w:rPr>
          <w:rFonts w:ascii="Baskerville" w:hAnsi="Baskerville" w:cs="Baskerville"/>
        </w:rPr>
        <w:t>The Compliance ratings for nearly all provisions in these sections therefore have not changed.</w:t>
      </w:r>
    </w:p>
    <w:p w:rsidR="00A14999" w:rsidRDefault="00A14999" w:rsidP="003518FC">
      <w:pPr>
        <w:tabs>
          <w:tab w:val="left" w:pos="1671"/>
        </w:tabs>
        <w:ind w:right="-216"/>
        <w:rPr>
          <w:rFonts w:ascii="Baskerville" w:hAnsi="Baskerville" w:cs="Baskerville"/>
        </w:rPr>
      </w:pPr>
    </w:p>
    <w:p w:rsidR="00A14999" w:rsidRPr="00EC3670" w:rsidRDefault="00A14999" w:rsidP="003518FC">
      <w:pPr>
        <w:tabs>
          <w:tab w:val="left" w:pos="1671"/>
        </w:tabs>
        <w:ind w:right="-216"/>
        <w:rPr>
          <w:rFonts w:ascii="Baskerville" w:hAnsi="Baskerville" w:cs="Baskerville"/>
        </w:rPr>
      </w:pPr>
      <w:r>
        <w:rPr>
          <w:rFonts w:ascii="Baskerville" w:hAnsi="Baskerville" w:cs="Baskerville"/>
        </w:rPr>
        <w:t>Finally, a</w:t>
      </w:r>
      <w:r w:rsidR="00702F09">
        <w:rPr>
          <w:rFonts w:ascii="Baskerville" w:hAnsi="Baskerville" w:cs="Baskerville"/>
        </w:rPr>
        <w:t>s required, the IR</w:t>
      </w:r>
      <w:r>
        <w:rPr>
          <w:rFonts w:ascii="Baskerville" w:hAnsi="Baskerville" w:cs="Baskerville"/>
        </w:rPr>
        <w:t xml:space="preserve"> </w:t>
      </w:r>
      <w:r w:rsidR="00D6585A">
        <w:rPr>
          <w:rFonts w:ascii="Baskerville" w:hAnsi="Baskerville" w:cs="Baskerville"/>
        </w:rPr>
        <w:t xml:space="preserve">submitted this </w:t>
      </w:r>
      <w:r>
        <w:rPr>
          <w:rFonts w:ascii="Baskerville" w:hAnsi="Baskerville" w:cs="Baskerville"/>
        </w:rPr>
        <w:t>Rep</w:t>
      </w:r>
      <w:r w:rsidR="00D6585A">
        <w:rPr>
          <w:rFonts w:ascii="Baskerville" w:hAnsi="Baskerville" w:cs="Baskerville"/>
        </w:rPr>
        <w:t xml:space="preserve">ort to the Parties, in draft form, </w:t>
      </w:r>
      <w:r w:rsidR="00B352ED">
        <w:rPr>
          <w:rFonts w:ascii="Baskerville" w:hAnsi="Baskerville" w:cs="Baskerville"/>
        </w:rPr>
        <w:t>for comment</w:t>
      </w:r>
      <w:r w:rsidR="00653B05">
        <w:rPr>
          <w:rFonts w:ascii="Baskerville" w:hAnsi="Baskerville" w:cs="Baskerville"/>
        </w:rPr>
        <w:t>s</w:t>
      </w:r>
      <w:r w:rsidR="00B352ED">
        <w:rPr>
          <w:rFonts w:ascii="Baskerville" w:hAnsi="Baskerville" w:cs="Baskerville"/>
        </w:rPr>
        <w:t xml:space="preserve"> prior to submission to the Court.</w:t>
      </w:r>
    </w:p>
    <w:p w:rsidR="008A1DB6" w:rsidRDefault="008A1DB6" w:rsidP="003518FC">
      <w:pPr>
        <w:tabs>
          <w:tab w:val="left" w:pos="1671"/>
        </w:tabs>
        <w:ind w:right="-216"/>
        <w:jc w:val="center"/>
        <w:rPr>
          <w:rFonts w:ascii="Baskerville" w:hAnsi="Baskerville" w:cs="Baskerville"/>
          <w:b/>
          <w:sz w:val="28"/>
          <w:szCs w:val="28"/>
        </w:rPr>
      </w:pPr>
    </w:p>
    <w:p w:rsidR="008467F8" w:rsidRPr="00DF5F3A" w:rsidRDefault="008467F8" w:rsidP="00D16FEB">
      <w:pPr>
        <w:pStyle w:val="ListParagraph"/>
        <w:numPr>
          <w:ilvl w:val="0"/>
          <w:numId w:val="43"/>
        </w:numPr>
        <w:tabs>
          <w:tab w:val="left" w:pos="0"/>
        </w:tabs>
        <w:ind w:right="-216" w:hanging="720"/>
        <w:rPr>
          <w:rFonts w:ascii="Baskerville" w:hAnsi="Baskerville" w:cs="Baskerville"/>
          <w:b/>
          <w:u w:val="single"/>
        </w:rPr>
      </w:pPr>
      <w:r w:rsidRPr="00DF5F3A">
        <w:rPr>
          <w:rFonts w:ascii="Baskerville" w:hAnsi="Baskerville" w:cs="Baskerville"/>
          <w:b/>
          <w:u w:val="single"/>
        </w:rPr>
        <w:t>Compliance Findings</w:t>
      </w:r>
    </w:p>
    <w:p w:rsidR="00DF5F3A" w:rsidRPr="00DF5F3A" w:rsidRDefault="00DF5F3A" w:rsidP="003518FC">
      <w:pPr>
        <w:tabs>
          <w:tab w:val="left" w:pos="0"/>
        </w:tabs>
        <w:ind w:left="360" w:right="-216"/>
        <w:rPr>
          <w:rFonts w:ascii="Baskerville" w:hAnsi="Baskerville" w:cs="Baskerville"/>
        </w:rPr>
      </w:pPr>
    </w:p>
    <w:p w:rsidR="008467F8" w:rsidRPr="00A52590" w:rsidRDefault="008467F8" w:rsidP="003518FC">
      <w:pPr>
        <w:pStyle w:val="ListParagraph"/>
        <w:numPr>
          <w:ilvl w:val="0"/>
          <w:numId w:val="44"/>
        </w:numPr>
        <w:tabs>
          <w:tab w:val="left" w:pos="1671"/>
        </w:tabs>
        <w:ind w:left="360" w:right="-216"/>
        <w:rPr>
          <w:rFonts w:ascii="Baskerville" w:hAnsi="Baskerville" w:cs="Baskerville"/>
          <w:b/>
        </w:rPr>
      </w:pPr>
      <w:r w:rsidRPr="00A52590">
        <w:rPr>
          <w:rFonts w:ascii="Baskerville" w:hAnsi="Baskerville" w:cs="Baskerville"/>
          <w:b/>
        </w:rPr>
        <w:t>Providing Waivers</w:t>
      </w:r>
    </w:p>
    <w:p w:rsidR="00482D5D" w:rsidRDefault="00BC04AE" w:rsidP="003518FC">
      <w:pPr>
        <w:tabs>
          <w:tab w:val="left" w:pos="1671"/>
        </w:tabs>
        <w:ind w:right="-216"/>
        <w:rPr>
          <w:rFonts w:ascii="Baskerville" w:hAnsi="Baskerville" w:cs="Baskerville"/>
        </w:rPr>
      </w:pPr>
      <w:r>
        <w:rPr>
          <w:rFonts w:ascii="Baskerville" w:hAnsi="Baskerville" w:cs="Baskerville"/>
        </w:rPr>
        <w:t xml:space="preserve">The Independent Reviewer </w:t>
      </w:r>
      <w:r w:rsidR="00627176" w:rsidRPr="00DC5825">
        <w:rPr>
          <w:rFonts w:ascii="Baskerville" w:hAnsi="Baskerville" w:cs="Baskerville"/>
        </w:rPr>
        <w:t xml:space="preserve">reported </w:t>
      </w:r>
      <w:r w:rsidR="0048489B">
        <w:rPr>
          <w:rFonts w:ascii="Baskerville" w:hAnsi="Baskerville" w:cs="Baskerville"/>
        </w:rPr>
        <w:t>in the</w:t>
      </w:r>
      <w:r>
        <w:rPr>
          <w:rFonts w:ascii="Baskerville" w:hAnsi="Baskerville" w:cs="Baskerville"/>
        </w:rPr>
        <w:t xml:space="preserve"> last Report to the Court that </w:t>
      </w:r>
      <w:r w:rsidR="00627176" w:rsidRPr="00DC5825">
        <w:rPr>
          <w:rFonts w:ascii="Baskerville" w:hAnsi="Baskerville" w:cs="Baskerville"/>
        </w:rPr>
        <w:t>t</w:t>
      </w:r>
      <w:r w:rsidR="00072BF6">
        <w:rPr>
          <w:rFonts w:ascii="Baskerville" w:hAnsi="Baskerville" w:cs="Baskerville"/>
        </w:rPr>
        <w:t>he Commonwealth has creat</w:t>
      </w:r>
      <w:r w:rsidR="00857A44" w:rsidRPr="00DC5825">
        <w:rPr>
          <w:rFonts w:ascii="Baskerville" w:hAnsi="Baskerville" w:cs="Baskerville"/>
        </w:rPr>
        <w:t>ed the required number of waiver</w:t>
      </w:r>
      <w:r w:rsidR="003A11F1" w:rsidRPr="00DC5825">
        <w:rPr>
          <w:rFonts w:ascii="Baskerville" w:hAnsi="Baskerville" w:cs="Baskerville"/>
        </w:rPr>
        <w:t xml:space="preserve"> slots </w:t>
      </w:r>
      <w:r w:rsidR="00F86A1D" w:rsidRPr="00DC5825">
        <w:rPr>
          <w:rFonts w:ascii="Baskerville" w:hAnsi="Baskerville" w:cs="Baskerville"/>
        </w:rPr>
        <w:t xml:space="preserve">and </w:t>
      </w:r>
      <w:r w:rsidR="00EC58E9" w:rsidRPr="00DC5825">
        <w:rPr>
          <w:rFonts w:ascii="Baskerville" w:hAnsi="Baskerville" w:cs="Baskerville"/>
        </w:rPr>
        <w:t xml:space="preserve">the </w:t>
      </w:r>
      <w:r w:rsidR="00F86A1D" w:rsidRPr="00DC5825">
        <w:rPr>
          <w:rFonts w:ascii="Baskerville" w:hAnsi="Baskerville" w:cs="Baskerville"/>
        </w:rPr>
        <w:t xml:space="preserve">funding </w:t>
      </w:r>
      <w:r w:rsidR="00E60BC5" w:rsidRPr="00DC5825">
        <w:rPr>
          <w:rFonts w:ascii="Baskerville" w:hAnsi="Baskerville" w:cs="Baskerville"/>
        </w:rPr>
        <w:t xml:space="preserve">for an individual and family support program for </w:t>
      </w:r>
      <w:r w:rsidR="003A11F1" w:rsidRPr="00DC5825">
        <w:rPr>
          <w:rFonts w:ascii="Baskerville" w:hAnsi="Baskerville" w:cs="Baskerville"/>
        </w:rPr>
        <w:t>FY 2015.</w:t>
      </w:r>
      <w:r w:rsidR="00857A44" w:rsidRPr="00DC5825">
        <w:rPr>
          <w:rFonts w:ascii="Baskerville" w:hAnsi="Baskerville" w:cs="Baskerville"/>
        </w:rPr>
        <w:t xml:space="preserve"> </w:t>
      </w:r>
      <w:r w:rsidR="0037082A">
        <w:rPr>
          <w:rFonts w:ascii="Baskerville" w:hAnsi="Baskerville" w:cs="Baskerville"/>
        </w:rPr>
        <w:t>The Commonwealth has now created a</w:t>
      </w:r>
      <w:r w:rsidR="00F22ABB">
        <w:rPr>
          <w:rFonts w:ascii="Baskerville" w:hAnsi="Baskerville" w:cs="Baskerville"/>
        </w:rPr>
        <w:t xml:space="preserve"> total of</w:t>
      </w:r>
      <w:r w:rsidR="00F22ABB" w:rsidRPr="00565434">
        <w:rPr>
          <w:rFonts w:ascii="Baskerville" w:hAnsi="Baskerville" w:cs="Baskerville"/>
        </w:rPr>
        <w:t xml:space="preserve"> </w:t>
      </w:r>
      <w:r w:rsidR="00565434" w:rsidRPr="00565434">
        <w:rPr>
          <w:rFonts w:ascii="Baskerville" w:hAnsi="Baskerville" w:cs="Baskerville"/>
        </w:rPr>
        <w:t>2005</w:t>
      </w:r>
      <w:r w:rsidR="0011011E">
        <w:rPr>
          <w:rFonts w:ascii="Baskerville" w:hAnsi="Baskerville" w:cs="Baskerville"/>
        </w:rPr>
        <w:t xml:space="preserve"> new waiver slots</w:t>
      </w:r>
      <w:r w:rsidR="0037082A">
        <w:rPr>
          <w:rFonts w:ascii="Baskerville" w:hAnsi="Baskerville" w:cs="Baskerville"/>
        </w:rPr>
        <w:t xml:space="preserve"> under the Agreement</w:t>
      </w:r>
      <w:r w:rsidR="007F0E6B">
        <w:rPr>
          <w:rFonts w:ascii="Baskerville" w:hAnsi="Baskerville" w:cs="Baskerville"/>
        </w:rPr>
        <w:t>.</w:t>
      </w:r>
      <w:r w:rsidR="0011011E">
        <w:rPr>
          <w:rFonts w:ascii="Baskerville" w:hAnsi="Baskerville" w:cs="Baskerville"/>
        </w:rPr>
        <w:t xml:space="preserve"> </w:t>
      </w:r>
      <w:r w:rsidR="005D14A7">
        <w:rPr>
          <w:rFonts w:ascii="Baskerville" w:hAnsi="Baskerville" w:cs="Baskerville"/>
        </w:rPr>
        <w:t xml:space="preserve">Under the Agreement, these slots were created </w:t>
      </w:r>
      <w:r w:rsidR="00B40F6F">
        <w:rPr>
          <w:rFonts w:ascii="Baskerville" w:hAnsi="Baskerville" w:cs="Baskerville"/>
        </w:rPr>
        <w:t xml:space="preserve">to prevent institutionalization of individuals with intellectual and developmental </w:t>
      </w:r>
      <w:r w:rsidR="00EE4C82">
        <w:rPr>
          <w:rFonts w:ascii="Baskerville" w:hAnsi="Baskerville" w:cs="Baskerville"/>
        </w:rPr>
        <w:t>disabilities, to enable children to transition to the community from nursing homes and large Inter</w:t>
      </w:r>
      <w:r w:rsidR="00E160C2">
        <w:rPr>
          <w:rFonts w:ascii="Baskerville" w:hAnsi="Baskerville" w:cs="Baskerville"/>
        </w:rPr>
        <w:t>mediate Care Facilities (ICF</w:t>
      </w:r>
      <w:r w:rsidR="00EE4C82">
        <w:rPr>
          <w:rFonts w:ascii="Baskerville" w:hAnsi="Baskerville" w:cs="Baskerville"/>
        </w:rPr>
        <w:t>)</w:t>
      </w:r>
      <w:r w:rsidR="00E160C2">
        <w:rPr>
          <w:rFonts w:ascii="Baskerville" w:hAnsi="Baskerville" w:cs="Baskerville"/>
        </w:rPr>
        <w:t xml:space="preserve">, and </w:t>
      </w:r>
      <w:r w:rsidR="005D14A7">
        <w:rPr>
          <w:rFonts w:ascii="Baskerville" w:hAnsi="Baskerville" w:cs="Baskerville"/>
        </w:rPr>
        <w:t xml:space="preserve">to enable </w:t>
      </w:r>
      <w:r w:rsidR="00E160C2">
        <w:rPr>
          <w:rFonts w:ascii="Baskerville" w:hAnsi="Baskerville" w:cs="Baskerville"/>
        </w:rPr>
        <w:t>individuals to move from Training Centers to community-based living with needed services and supports.</w:t>
      </w:r>
      <w:r w:rsidR="00CA01DC">
        <w:rPr>
          <w:rFonts w:ascii="Baskerville" w:hAnsi="Baskerville" w:cs="Baskerville"/>
        </w:rPr>
        <w:t xml:space="preserve"> The </w:t>
      </w:r>
      <w:r w:rsidR="0048489B">
        <w:rPr>
          <w:rFonts w:ascii="Baskerville" w:hAnsi="Baskerville" w:cs="Baskerville"/>
        </w:rPr>
        <w:t>IR’s Individual Review S</w:t>
      </w:r>
      <w:r w:rsidR="000B4A07">
        <w:rPr>
          <w:rFonts w:ascii="Baskerville" w:hAnsi="Baskerville" w:cs="Baskerville"/>
        </w:rPr>
        <w:t>tudies have</w:t>
      </w:r>
      <w:r w:rsidR="00CA01DC">
        <w:rPr>
          <w:rFonts w:ascii="Baskerville" w:hAnsi="Baskerville" w:cs="Baskerville"/>
        </w:rPr>
        <w:t xml:space="preserve"> consistently found that waiver slots provide individuals and families critical supports that significantly </w:t>
      </w:r>
      <w:r w:rsidR="000B4A07">
        <w:rPr>
          <w:rFonts w:ascii="Baskerville" w:hAnsi="Baskerville" w:cs="Baskerville"/>
        </w:rPr>
        <w:t>improve</w:t>
      </w:r>
      <w:r w:rsidR="00997963">
        <w:rPr>
          <w:rFonts w:ascii="Baskerville" w:hAnsi="Baskerville" w:cs="Baskerville"/>
        </w:rPr>
        <w:t xml:space="preserve"> their quality of life. F</w:t>
      </w:r>
      <w:r w:rsidR="00474ECD">
        <w:rPr>
          <w:rFonts w:ascii="Baskerville" w:hAnsi="Baskerville" w:cs="Baskerville"/>
        </w:rPr>
        <w:t>or those</w:t>
      </w:r>
      <w:r w:rsidR="000B4A07">
        <w:rPr>
          <w:rFonts w:ascii="Baskerville" w:hAnsi="Baskerville" w:cs="Baskerville"/>
        </w:rPr>
        <w:t xml:space="preserve"> </w:t>
      </w:r>
      <w:r w:rsidR="00997963">
        <w:rPr>
          <w:rFonts w:ascii="Baskerville" w:hAnsi="Baskerville" w:cs="Baskerville"/>
        </w:rPr>
        <w:t xml:space="preserve">individuals </w:t>
      </w:r>
      <w:r w:rsidR="000B4A07">
        <w:rPr>
          <w:rFonts w:ascii="Baskerville" w:hAnsi="Baskerville" w:cs="Baskerville"/>
        </w:rPr>
        <w:t>previously</w:t>
      </w:r>
      <w:r w:rsidR="00474ECD">
        <w:rPr>
          <w:rFonts w:ascii="Baskerville" w:hAnsi="Baskerville" w:cs="Baskerville"/>
        </w:rPr>
        <w:t xml:space="preserve"> on wait lists,</w:t>
      </w:r>
      <w:r w:rsidR="00EA0D6F">
        <w:rPr>
          <w:rFonts w:ascii="Baskerville" w:hAnsi="Baskerville" w:cs="Baskerville"/>
        </w:rPr>
        <w:t xml:space="preserve"> </w:t>
      </w:r>
      <w:r w:rsidR="006A7501">
        <w:rPr>
          <w:rFonts w:ascii="Baskerville" w:hAnsi="Baskerville" w:cs="Baskerville"/>
        </w:rPr>
        <w:t xml:space="preserve">their access to waiver funded services is </w:t>
      </w:r>
      <w:r w:rsidR="00C85126">
        <w:rPr>
          <w:rFonts w:ascii="Baskerville" w:hAnsi="Baskerville" w:cs="Baskerville"/>
        </w:rPr>
        <w:t xml:space="preserve">vital to their good health, </w:t>
      </w:r>
      <w:r w:rsidR="00F51666">
        <w:rPr>
          <w:rFonts w:ascii="Baskerville" w:hAnsi="Baskerville" w:cs="Baskerville"/>
        </w:rPr>
        <w:t>to protect</w:t>
      </w:r>
      <w:r w:rsidR="00C85126">
        <w:rPr>
          <w:rFonts w:ascii="Baskerville" w:hAnsi="Baskerville" w:cs="Baskerville"/>
        </w:rPr>
        <w:t xml:space="preserve">ing them from </w:t>
      </w:r>
      <w:r w:rsidR="00EA0D6F">
        <w:rPr>
          <w:rFonts w:ascii="Baskerville" w:hAnsi="Baskerville" w:cs="Baskerville"/>
        </w:rPr>
        <w:t>harm</w:t>
      </w:r>
      <w:r w:rsidR="00C85126">
        <w:rPr>
          <w:rFonts w:ascii="Baskerville" w:hAnsi="Baskerville" w:cs="Baskerville"/>
        </w:rPr>
        <w:t xml:space="preserve">, and </w:t>
      </w:r>
      <w:r w:rsidR="0048489B">
        <w:rPr>
          <w:rFonts w:ascii="Baskerville" w:hAnsi="Baskerville" w:cs="Baskerville"/>
        </w:rPr>
        <w:t>to prevent</w:t>
      </w:r>
      <w:r w:rsidR="00C85126">
        <w:rPr>
          <w:rFonts w:ascii="Baskerville" w:hAnsi="Baskerville" w:cs="Baskerville"/>
        </w:rPr>
        <w:t xml:space="preserve"> their institutionalization</w:t>
      </w:r>
      <w:r w:rsidR="00F51666">
        <w:rPr>
          <w:rFonts w:ascii="Baskerville" w:hAnsi="Baskerville" w:cs="Baskerville"/>
        </w:rPr>
        <w:t>.</w:t>
      </w:r>
      <w:r w:rsidR="006E1D7A">
        <w:rPr>
          <w:rFonts w:ascii="Baskerville" w:hAnsi="Baskerville" w:cs="Baskerville"/>
        </w:rPr>
        <w:t xml:space="preserve"> While these new slots have been created and the census of the Training Centers has declined, the number of individuals on Virginia’s wait lists cont</w:t>
      </w:r>
      <w:r w:rsidR="00EC1393">
        <w:rPr>
          <w:rFonts w:ascii="Baskerville" w:hAnsi="Baskerville" w:cs="Baskerville"/>
        </w:rPr>
        <w:t>inues to increase</w:t>
      </w:r>
      <w:r w:rsidR="00F65007">
        <w:rPr>
          <w:rFonts w:ascii="Baskerville" w:hAnsi="Baskerville" w:cs="Baskerville"/>
        </w:rPr>
        <w:t xml:space="preserve">. The </w:t>
      </w:r>
      <w:r w:rsidR="00582EB4">
        <w:rPr>
          <w:rFonts w:ascii="Baskerville" w:hAnsi="Baskerville" w:cs="Baskerville"/>
        </w:rPr>
        <w:t xml:space="preserve">number of individuals with ID or DD, other than ID, on the HCBS </w:t>
      </w:r>
      <w:r w:rsidR="00F65007">
        <w:rPr>
          <w:rFonts w:ascii="Baskerville" w:hAnsi="Baskerville" w:cs="Baskerville"/>
        </w:rPr>
        <w:t xml:space="preserve">waiver waitlists totaled 9867 as of April 30, 2015, an increase of </w:t>
      </w:r>
      <w:r w:rsidR="00EC1393">
        <w:rPr>
          <w:rFonts w:ascii="Baskerville" w:hAnsi="Baskerville" w:cs="Baskerville"/>
        </w:rPr>
        <w:t>more than a t</w:t>
      </w:r>
      <w:r w:rsidR="00F65007">
        <w:rPr>
          <w:rFonts w:ascii="Baskerville" w:hAnsi="Baskerville" w:cs="Baskerville"/>
        </w:rPr>
        <w:t>h</w:t>
      </w:r>
      <w:r w:rsidR="00582EB4">
        <w:rPr>
          <w:rFonts w:ascii="Baskerville" w:hAnsi="Baskerville" w:cs="Baskerville"/>
        </w:rPr>
        <w:t>ousand individuals in one year</w:t>
      </w:r>
      <w:r w:rsidR="00D45B3D">
        <w:rPr>
          <w:rFonts w:ascii="Baskerville" w:hAnsi="Baskerville" w:cs="Baskerville"/>
        </w:rPr>
        <w:t>.</w:t>
      </w:r>
    </w:p>
    <w:p w:rsidR="00DC5825" w:rsidRDefault="00DC5825" w:rsidP="003518FC">
      <w:pPr>
        <w:tabs>
          <w:tab w:val="left" w:pos="1671"/>
        </w:tabs>
        <w:ind w:right="-216"/>
        <w:rPr>
          <w:rFonts w:ascii="Baskerville" w:hAnsi="Baskerville" w:cs="Baskerville"/>
        </w:rPr>
      </w:pPr>
    </w:p>
    <w:p w:rsidR="00E42A3A" w:rsidRDefault="00DC2580" w:rsidP="003518FC">
      <w:pPr>
        <w:pStyle w:val="ListParagraph"/>
        <w:numPr>
          <w:ilvl w:val="0"/>
          <w:numId w:val="44"/>
        </w:numPr>
        <w:tabs>
          <w:tab w:val="left" w:pos="1671"/>
        </w:tabs>
        <w:ind w:left="360" w:right="-216"/>
        <w:rPr>
          <w:rFonts w:ascii="Baskerville" w:hAnsi="Baskerville" w:cs="Baskerville"/>
          <w:b/>
        </w:rPr>
      </w:pPr>
      <w:r>
        <w:rPr>
          <w:rFonts w:ascii="Baskerville" w:hAnsi="Baskerville" w:cs="Baskerville"/>
          <w:b/>
        </w:rPr>
        <w:t xml:space="preserve">Discharge Planning and Transition from Training Centers </w:t>
      </w:r>
    </w:p>
    <w:p w:rsidR="00E42A3A" w:rsidRPr="00E42A3A" w:rsidRDefault="00E42A3A" w:rsidP="003518FC">
      <w:pPr>
        <w:tabs>
          <w:tab w:val="left" w:pos="1671"/>
        </w:tabs>
        <w:ind w:left="360" w:right="-216"/>
        <w:rPr>
          <w:rFonts w:ascii="Baskerville" w:hAnsi="Baskerville" w:cs="Baskerville"/>
          <w:b/>
        </w:rPr>
      </w:pPr>
    </w:p>
    <w:p w:rsidR="00412FF2" w:rsidRDefault="002978EC" w:rsidP="003518FC">
      <w:pPr>
        <w:tabs>
          <w:tab w:val="left" w:pos="1671"/>
        </w:tabs>
        <w:ind w:right="-216"/>
        <w:rPr>
          <w:rFonts w:ascii="Baskerville" w:hAnsi="Baskerville" w:cs="Baskerville"/>
        </w:rPr>
      </w:pPr>
      <w:r w:rsidRPr="00060425">
        <w:rPr>
          <w:rFonts w:ascii="Baskerville" w:hAnsi="Baskerville" w:cs="Baskerville"/>
        </w:rPr>
        <w:t>Overall, t</w:t>
      </w:r>
      <w:r w:rsidR="00941F2E" w:rsidRPr="00060425">
        <w:rPr>
          <w:rFonts w:ascii="Baskerville" w:hAnsi="Baskerville" w:cs="Baskerville"/>
        </w:rPr>
        <w:t xml:space="preserve">he discharge </w:t>
      </w:r>
      <w:r w:rsidR="006469C8">
        <w:rPr>
          <w:rFonts w:ascii="Baskerville" w:hAnsi="Baskerville" w:cs="Baskerville"/>
        </w:rPr>
        <w:t xml:space="preserve">planning </w:t>
      </w:r>
      <w:r w:rsidR="00941F2E" w:rsidRPr="00060425">
        <w:rPr>
          <w:rFonts w:ascii="Baskerville" w:hAnsi="Baskerville" w:cs="Baskerville"/>
        </w:rPr>
        <w:t xml:space="preserve">and transition process has been </w:t>
      </w:r>
      <w:r w:rsidR="00917781" w:rsidRPr="00060425">
        <w:rPr>
          <w:rFonts w:ascii="Baskerville" w:hAnsi="Baskerville" w:cs="Baskerville"/>
        </w:rPr>
        <w:t xml:space="preserve">effectively implemented </w:t>
      </w:r>
      <w:r w:rsidRPr="00060425">
        <w:rPr>
          <w:rFonts w:ascii="Baskerville" w:hAnsi="Baskerville" w:cs="Baskerville"/>
        </w:rPr>
        <w:t xml:space="preserve">to support individuals who move from </w:t>
      </w:r>
      <w:r w:rsidR="00B450E4" w:rsidRPr="00060425">
        <w:rPr>
          <w:rFonts w:ascii="Baskerville" w:hAnsi="Baskerville" w:cs="Baskerville"/>
        </w:rPr>
        <w:t xml:space="preserve">the </w:t>
      </w:r>
      <w:r w:rsidRPr="00060425">
        <w:rPr>
          <w:rFonts w:ascii="Baskerville" w:hAnsi="Baskerville" w:cs="Baskerville"/>
        </w:rPr>
        <w:t>Training</w:t>
      </w:r>
      <w:r w:rsidR="00B450E4" w:rsidRPr="00060425">
        <w:rPr>
          <w:rFonts w:ascii="Baskerville" w:hAnsi="Baskerville" w:cs="Baskerville"/>
        </w:rPr>
        <w:t xml:space="preserve"> Centers.</w:t>
      </w:r>
      <w:r w:rsidR="00793FE3" w:rsidRPr="00060425">
        <w:rPr>
          <w:rFonts w:ascii="Baskerville" w:hAnsi="Baskerville" w:cs="Baskerville"/>
        </w:rPr>
        <w:t xml:space="preserve"> </w:t>
      </w:r>
      <w:r w:rsidR="00B450E4" w:rsidRPr="00060425">
        <w:rPr>
          <w:rFonts w:ascii="Baskerville" w:hAnsi="Baskerville" w:cs="Baskerville"/>
        </w:rPr>
        <w:t xml:space="preserve"> </w:t>
      </w:r>
      <w:r w:rsidR="0012693A" w:rsidRPr="00060425">
        <w:rPr>
          <w:rFonts w:ascii="Baskerville" w:hAnsi="Baskerville" w:cs="Baskerville"/>
        </w:rPr>
        <w:t>This process and the provision of waiver slots</w:t>
      </w:r>
      <w:r w:rsidR="0015738E">
        <w:rPr>
          <w:rFonts w:ascii="Baskerville" w:hAnsi="Baskerville" w:cs="Baskerville"/>
        </w:rPr>
        <w:t xml:space="preserve"> have</w:t>
      </w:r>
      <w:r w:rsidR="003A573F" w:rsidRPr="00060425">
        <w:rPr>
          <w:rFonts w:ascii="Baskerville" w:hAnsi="Baskerville" w:cs="Baskerville"/>
        </w:rPr>
        <w:t xml:space="preserve"> </w:t>
      </w:r>
      <w:r w:rsidR="0012693A" w:rsidRPr="00FF0660">
        <w:rPr>
          <w:rFonts w:ascii="Baskerville" w:hAnsi="Baskerville" w:cs="Baskerville"/>
        </w:rPr>
        <w:t>enabled</w:t>
      </w:r>
      <w:r w:rsidR="0012693A" w:rsidRPr="00060425">
        <w:rPr>
          <w:rFonts w:ascii="Baskerville" w:hAnsi="Baskerville" w:cs="Baskerville"/>
        </w:rPr>
        <w:t xml:space="preserve"> </w:t>
      </w:r>
      <w:r w:rsidR="00C56355">
        <w:rPr>
          <w:rFonts w:ascii="Baskerville" w:hAnsi="Baskerville" w:cs="Baskerville"/>
        </w:rPr>
        <w:t>443</w:t>
      </w:r>
      <w:r w:rsidR="00563966">
        <w:rPr>
          <w:rFonts w:ascii="Baskerville" w:hAnsi="Baskerville" w:cs="Baskerville"/>
          <w:b/>
        </w:rPr>
        <w:t xml:space="preserve"> </w:t>
      </w:r>
      <w:r w:rsidR="00207196">
        <w:rPr>
          <w:rFonts w:ascii="Baskerville" w:hAnsi="Baskerville" w:cs="Baskerville"/>
        </w:rPr>
        <w:t>i</w:t>
      </w:r>
      <w:r w:rsidR="00207196" w:rsidRPr="00060425">
        <w:rPr>
          <w:rFonts w:ascii="Baskerville" w:hAnsi="Baskerville" w:cs="Baskerville"/>
        </w:rPr>
        <w:t>ndividuals</w:t>
      </w:r>
      <w:r w:rsidR="0012693A" w:rsidRPr="00060425">
        <w:rPr>
          <w:rFonts w:ascii="Baskerville" w:hAnsi="Baskerville" w:cs="Baskerville"/>
        </w:rPr>
        <w:t xml:space="preserve"> to move from Training Centers to community</w:t>
      </w:r>
      <w:r w:rsidR="00FF6326" w:rsidRPr="00060425">
        <w:rPr>
          <w:rFonts w:ascii="Baskerville" w:hAnsi="Baskerville" w:cs="Baskerville"/>
        </w:rPr>
        <w:t>-based living</w:t>
      </w:r>
      <w:r w:rsidR="00E8574C">
        <w:rPr>
          <w:rFonts w:ascii="Baskerville" w:hAnsi="Baskerville" w:cs="Baskerville"/>
        </w:rPr>
        <w:t xml:space="preserve"> </w:t>
      </w:r>
      <w:r w:rsidR="00F03411">
        <w:rPr>
          <w:rFonts w:ascii="Baskerville" w:hAnsi="Baskerville" w:cs="Baskerville"/>
        </w:rPr>
        <w:t>between October 11, 2011 and April</w:t>
      </w:r>
      <w:r w:rsidR="00E8574C">
        <w:rPr>
          <w:rFonts w:ascii="Baskerville" w:hAnsi="Baskerville" w:cs="Baskerville"/>
        </w:rPr>
        <w:t xml:space="preserve"> 30, 2015</w:t>
      </w:r>
      <w:r w:rsidR="00FF6326" w:rsidRPr="00060425">
        <w:rPr>
          <w:rFonts w:ascii="Baskerville" w:hAnsi="Baskerville" w:cs="Baskerville"/>
        </w:rPr>
        <w:t xml:space="preserve">. </w:t>
      </w:r>
      <w:r w:rsidR="007F2CBF">
        <w:rPr>
          <w:rFonts w:ascii="Baskerville" w:hAnsi="Baskerville" w:cs="Baskerville"/>
        </w:rPr>
        <w:t>By that date, t</w:t>
      </w:r>
      <w:r w:rsidR="00793FE3" w:rsidRPr="00060425">
        <w:rPr>
          <w:rFonts w:ascii="Baskerville" w:hAnsi="Baskerville" w:cs="Baskerville"/>
        </w:rPr>
        <w:t>he c</w:t>
      </w:r>
      <w:r w:rsidR="003A573F" w:rsidRPr="00060425">
        <w:rPr>
          <w:rFonts w:ascii="Baskerville" w:hAnsi="Baskerville" w:cs="Baskerville"/>
        </w:rPr>
        <w:t>ensus of the Training Centers ha</w:t>
      </w:r>
      <w:r w:rsidR="00207196">
        <w:rPr>
          <w:rFonts w:ascii="Baskerville" w:hAnsi="Baskerville" w:cs="Baskerville"/>
        </w:rPr>
        <w:t xml:space="preserve">d </w:t>
      </w:r>
      <w:r w:rsidR="00FF6326" w:rsidRPr="00060425">
        <w:rPr>
          <w:rFonts w:ascii="Baskerville" w:hAnsi="Baskerville" w:cs="Baskerville"/>
        </w:rPr>
        <w:t>declined</w:t>
      </w:r>
      <w:r w:rsidR="003A573F" w:rsidRPr="00060425">
        <w:rPr>
          <w:rFonts w:ascii="Baskerville" w:hAnsi="Baskerville" w:cs="Baskerville"/>
        </w:rPr>
        <w:t xml:space="preserve"> to </w:t>
      </w:r>
      <w:r w:rsidR="00B227DF" w:rsidRPr="00060425">
        <w:rPr>
          <w:rFonts w:ascii="Baskerville" w:hAnsi="Baskerville" w:cs="Baskerville"/>
        </w:rPr>
        <w:t>501</w:t>
      </w:r>
      <w:r w:rsidR="00793FE3" w:rsidRPr="00060425">
        <w:rPr>
          <w:rFonts w:ascii="Baskerville" w:hAnsi="Baskerville" w:cs="Baskerville"/>
        </w:rPr>
        <w:t>.</w:t>
      </w:r>
      <w:r w:rsidR="00F03411">
        <w:rPr>
          <w:rFonts w:ascii="Baskerville" w:hAnsi="Baskerville" w:cs="Baskerville"/>
        </w:rPr>
        <w:t xml:space="preserve"> The IR’</w:t>
      </w:r>
      <w:r w:rsidR="00D63817" w:rsidRPr="00060425">
        <w:rPr>
          <w:rFonts w:ascii="Baskerville" w:hAnsi="Baskerville" w:cs="Baskerville"/>
        </w:rPr>
        <w:t xml:space="preserve">s </w:t>
      </w:r>
      <w:r w:rsidR="00997963">
        <w:rPr>
          <w:rFonts w:ascii="Baskerville" w:hAnsi="Baskerville" w:cs="Baskerville"/>
        </w:rPr>
        <w:t xml:space="preserve">Individual </w:t>
      </w:r>
      <w:r w:rsidR="0015738E">
        <w:rPr>
          <w:rFonts w:ascii="Baskerville" w:hAnsi="Baskerville" w:cs="Baskerville"/>
        </w:rPr>
        <w:t>Review S</w:t>
      </w:r>
      <w:r w:rsidR="00D63817" w:rsidRPr="00060425">
        <w:rPr>
          <w:rFonts w:ascii="Baskerville" w:hAnsi="Baskerville" w:cs="Baskerville"/>
        </w:rPr>
        <w:t>tudy</w:t>
      </w:r>
      <w:r w:rsidR="007D55CA">
        <w:rPr>
          <w:rFonts w:ascii="Baskerville" w:hAnsi="Baskerville" w:cs="Baskerville"/>
        </w:rPr>
        <w:t xml:space="preserve"> during the fifth review period</w:t>
      </w:r>
      <w:r w:rsidR="00C3627D" w:rsidRPr="00060425">
        <w:rPr>
          <w:rFonts w:ascii="Baskerville" w:hAnsi="Baskerville" w:cs="Baskerville"/>
        </w:rPr>
        <w:t xml:space="preserve"> </w:t>
      </w:r>
      <w:r w:rsidR="007D55CA">
        <w:rPr>
          <w:rFonts w:ascii="Baskerville" w:hAnsi="Baskerville" w:cs="Baskerville"/>
        </w:rPr>
        <w:t xml:space="preserve">focused exclusively on individuals who </w:t>
      </w:r>
      <w:r w:rsidR="00D63817" w:rsidRPr="00060425">
        <w:rPr>
          <w:rFonts w:ascii="Baskerville" w:hAnsi="Baskerville" w:cs="Baskerville"/>
        </w:rPr>
        <w:t>moved from the Training Center</w:t>
      </w:r>
      <w:r w:rsidR="007D55CA">
        <w:rPr>
          <w:rFonts w:ascii="Baskerville" w:hAnsi="Baskerville" w:cs="Baskerville"/>
        </w:rPr>
        <w:t xml:space="preserve">s, as did the </w:t>
      </w:r>
      <w:r w:rsidR="0015738E">
        <w:rPr>
          <w:rFonts w:ascii="Baskerville" w:hAnsi="Baskerville" w:cs="Baskerville"/>
        </w:rPr>
        <w:t xml:space="preserve">Individual Review Study </w:t>
      </w:r>
      <w:r w:rsidR="0024490C">
        <w:rPr>
          <w:rFonts w:ascii="Baskerville" w:hAnsi="Baskerville" w:cs="Baskerville"/>
        </w:rPr>
        <w:t>during the first and third review periods</w:t>
      </w:r>
      <w:r w:rsidR="006841BE" w:rsidRPr="00060425">
        <w:rPr>
          <w:rFonts w:ascii="Baskerville" w:hAnsi="Baskerville" w:cs="Baskerville"/>
        </w:rPr>
        <w:t>. In total, t</w:t>
      </w:r>
      <w:r w:rsidR="00A011CE" w:rsidRPr="00060425">
        <w:rPr>
          <w:rFonts w:ascii="Baskerville" w:hAnsi="Baskerville" w:cs="Baskerville"/>
        </w:rPr>
        <w:t xml:space="preserve">he </w:t>
      </w:r>
      <w:r w:rsidR="0024490C">
        <w:rPr>
          <w:rFonts w:ascii="Baskerville" w:hAnsi="Baskerville" w:cs="Baskerville"/>
        </w:rPr>
        <w:t xml:space="preserve">IR’s </w:t>
      </w:r>
      <w:r w:rsidR="002A0213" w:rsidRPr="00060425">
        <w:rPr>
          <w:rFonts w:ascii="Baskerville" w:hAnsi="Baskerville" w:cs="Baskerville"/>
        </w:rPr>
        <w:t>review teams</w:t>
      </w:r>
      <w:r w:rsidR="00A011CE" w:rsidRPr="00060425">
        <w:rPr>
          <w:rFonts w:ascii="Baskerville" w:hAnsi="Baskerville" w:cs="Baskerville"/>
        </w:rPr>
        <w:t xml:space="preserve"> have studied the discharge and t</w:t>
      </w:r>
      <w:r w:rsidR="00E83E7F" w:rsidRPr="00060425">
        <w:rPr>
          <w:rFonts w:ascii="Baskerville" w:hAnsi="Baskerville" w:cs="Baskerville"/>
        </w:rPr>
        <w:t xml:space="preserve">ransition process and the </w:t>
      </w:r>
      <w:r w:rsidR="00955861" w:rsidRPr="00060425">
        <w:rPr>
          <w:rFonts w:ascii="Baskerville" w:hAnsi="Baskerville" w:cs="Baskerville"/>
        </w:rPr>
        <w:t>commu</w:t>
      </w:r>
      <w:r w:rsidR="00021681" w:rsidRPr="00060425">
        <w:rPr>
          <w:rFonts w:ascii="Baskerville" w:hAnsi="Baskerville" w:cs="Baskerville"/>
        </w:rPr>
        <w:t xml:space="preserve">nity based-services for </w:t>
      </w:r>
      <w:r w:rsidR="0024490C">
        <w:rPr>
          <w:rFonts w:ascii="Baskerville" w:hAnsi="Baskerville" w:cs="Baskerville"/>
        </w:rPr>
        <w:t>more than 100</w:t>
      </w:r>
      <w:r w:rsidR="00021681" w:rsidRPr="00060425">
        <w:rPr>
          <w:rFonts w:ascii="Baskerville" w:hAnsi="Baskerville" w:cs="Baskerville"/>
        </w:rPr>
        <w:t xml:space="preserve"> </w:t>
      </w:r>
      <w:r w:rsidR="006A6AF5" w:rsidRPr="00060425">
        <w:rPr>
          <w:rFonts w:ascii="Baskerville" w:hAnsi="Baskerville" w:cs="Baskerville"/>
        </w:rPr>
        <w:t>former residents of Training Centers</w:t>
      </w:r>
      <w:r w:rsidR="00467E63" w:rsidRPr="00060425">
        <w:rPr>
          <w:rFonts w:ascii="Baskerville" w:hAnsi="Baskerville" w:cs="Baskerville"/>
        </w:rPr>
        <w:t xml:space="preserve"> who</w:t>
      </w:r>
      <w:r w:rsidR="009612BF">
        <w:rPr>
          <w:rFonts w:ascii="Baskerville" w:hAnsi="Baskerville" w:cs="Baskerville"/>
        </w:rPr>
        <w:t xml:space="preserve"> moved to community settings</w:t>
      </w:r>
      <w:r w:rsidR="00615314" w:rsidRPr="00060425">
        <w:rPr>
          <w:rFonts w:ascii="Baskerville" w:hAnsi="Baskerville" w:cs="Baskerville"/>
        </w:rPr>
        <w:t xml:space="preserve"> in all five Regions. Because</w:t>
      </w:r>
      <w:r w:rsidR="00FE584C" w:rsidRPr="00060425">
        <w:rPr>
          <w:rFonts w:ascii="Baskerville" w:hAnsi="Baskerville" w:cs="Baskerville"/>
        </w:rPr>
        <w:t xml:space="preserve"> most </w:t>
      </w:r>
      <w:r w:rsidR="00615314" w:rsidRPr="00060425">
        <w:rPr>
          <w:rFonts w:ascii="Baskerville" w:hAnsi="Baskerville" w:cs="Baskerville"/>
        </w:rPr>
        <w:t>individuals moved from the Southside Training Center</w:t>
      </w:r>
      <w:r w:rsidR="00FE584C" w:rsidRPr="00060425">
        <w:rPr>
          <w:rFonts w:ascii="Baskerville" w:hAnsi="Baskerville" w:cs="Baskerville"/>
        </w:rPr>
        <w:t>,</w:t>
      </w:r>
      <w:r w:rsidR="00615314" w:rsidRPr="00060425">
        <w:rPr>
          <w:rFonts w:ascii="Baskerville" w:hAnsi="Baskerville" w:cs="Baskerville"/>
        </w:rPr>
        <w:t xml:space="preserve"> most </w:t>
      </w:r>
      <w:r w:rsidR="009612BF">
        <w:rPr>
          <w:rFonts w:ascii="Baskerville" w:hAnsi="Baskerville" w:cs="Baskerville"/>
        </w:rPr>
        <w:t xml:space="preserve">of these individual </w:t>
      </w:r>
      <w:r w:rsidR="00615314" w:rsidRPr="00060425">
        <w:rPr>
          <w:rFonts w:ascii="Baskerville" w:hAnsi="Baskerville" w:cs="Baskerville"/>
        </w:rPr>
        <w:t>reviews occurred</w:t>
      </w:r>
      <w:r w:rsidR="00467E63" w:rsidRPr="00060425">
        <w:rPr>
          <w:rFonts w:ascii="Baskerville" w:hAnsi="Baskerville" w:cs="Baskerville"/>
        </w:rPr>
        <w:t xml:space="preserve"> in Regions IV (greater Capitol) and Region V (Tidewater)</w:t>
      </w:r>
      <w:r w:rsidR="006A6AF5" w:rsidRPr="00060425">
        <w:rPr>
          <w:rFonts w:ascii="Baskerville" w:hAnsi="Baskerville" w:cs="Baskerville"/>
        </w:rPr>
        <w:t xml:space="preserve">. </w:t>
      </w:r>
      <w:r w:rsidR="000641FE" w:rsidRPr="00060425">
        <w:rPr>
          <w:rFonts w:ascii="Baskerville" w:hAnsi="Baskerville" w:cs="Baskerville"/>
        </w:rPr>
        <w:t xml:space="preserve"> </w:t>
      </w:r>
      <w:r w:rsidR="00FE584C" w:rsidRPr="00060425">
        <w:rPr>
          <w:rFonts w:ascii="Baskerville" w:hAnsi="Baskerville" w:cs="Baskerville"/>
        </w:rPr>
        <w:t xml:space="preserve">The </w:t>
      </w:r>
      <w:r w:rsidR="003F63AA">
        <w:rPr>
          <w:rFonts w:ascii="Baskerville" w:hAnsi="Baskerville" w:cs="Baskerville"/>
        </w:rPr>
        <w:t xml:space="preserve">IR has previously determined that the </w:t>
      </w:r>
      <w:r w:rsidR="00FE584C" w:rsidRPr="00060425">
        <w:rPr>
          <w:rFonts w:ascii="Baskerville" w:hAnsi="Baskerville" w:cs="Baskerville"/>
        </w:rPr>
        <w:t xml:space="preserve">Commonwealth is in </w:t>
      </w:r>
      <w:r w:rsidR="000641FE" w:rsidRPr="00060425">
        <w:rPr>
          <w:rFonts w:ascii="Baskerville" w:hAnsi="Baskerville" w:cs="Baskerville"/>
        </w:rPr>
        <w:t xml:space="preserve">compliance </w:t>
      </w:r>
      <w:r w:rsidR="00FE584C" w:rsidRPr="00060425">
        <w:rPr>
          <w:rFonts w:ascii="Baskerville" w:hAnsi="Baskerville" w:cs="Baskerville"/>
        </w:rPr>
        <w:t xml:space="preserve">with most </w:t>
      </w:r>
      <w:r w:rsidR="000641FE" w:rsidRPr="00060425">
        <w:rPr>
          <w:rFonts w:ascii="Baskerville" w:hAnsi="Baskerville" w:cs="Baskerville"/>
        </w:rPr>
        <w:t xml:space="preserve">ratings for the Discharge </w:t>
      </w:r>
      <w:r w:rsidR="003F63AA">
        <w:rPr>
          <w:rFonts w:ascii="Baskerville" w:hAnsi="Baskerville" w:cs="Baskerville"/>
        </w:rPr>
        <w:t xml:space="preserve">Planning </w:t>
      </w:r>
      <w:r w:rsidR="000641FE" w:rsidRPr="00060425">
        <w:rPr>
          <w:rFonts w:ascii="Baskerville" w:hAnsi="Baskerville" w:cs="Baskerville"/>
        </w:rPr>
        <w:t>and Trans</w:t>
      </w:r>
      <w:r w:rsidR="003F63AA">
        <w:rPr>
          <w:rFonts w:ascii="Baskerville" w:hAnsi="Baskerville" w:cs="Baskerville"/>
        </w:rPr>
        <w:t>ition provision. The IR’s</w:t>
      </w:r>
      <w:r w:rsidR="00F109B7" w:rsidRPr="00060425">
        <w:rPr>
          <w:rFonts w:ascii="Baskerville" w:hAnsi="Baskerville" w:cs="Baskerville"/>
        </w:rPr>
        <w:t xml:space="preserve"> </w:t>
      </w:r>
      <w:r w:rsidR="00FA5139">
        <w:rPr>
          <w:rFonts w:ascii="Baskerville" w:hAnsi="Baskerville" w:cs="Baskerville"/>
        </w:rPr>
        <w:t xml:space="preserve">previous </w:t>
      </w:r>
      <w:r w:rsidR="00B04564">
        <w:rPr>
          <w:rFonts w:ascii="Baskerville" w:hAnsi="Baskerville" w:cs="Baskerville"/>
        </w:rPr>
        <w:t>rating</w:t>
      </w:r>
      <w:r w:rsidR="00E572D1">
        <w:rPr>
          <w:rFonts w:ascii="Baskerville" w:hAnsi="Baskerville" w:cs="Baskerville"/>
        </w:rPr>
        <w:t>s</w:t>
      </w:r>
      <w:r w:rsidR="00B04564">
        <w:rPr>
          <w:rFonts w:ascii="Baskerville" w:hAnsi="Baskerville" w:cs="Baskerville"/>
        </w:rPr>
        <w:t xml:space="preserve"> of </w:t>
      </w:r>
      <w:r w:rsidR="00F109B7" w:rsidRPr="00060425">
        <w:rPr>
          <w:rFonts w:ascii="Baskerville" w:hAnsi="Baskerville" w:cs="Baskerville"/>
        </w:rPr>
        <w:t>c</w:t>
      </w:r>
      <w:r w:rsidR="00B04564">
        <w:rPr>
          <w:rFonts w:ascii="Baskerville" w:hAnsi="Baskerville" w:cs="Baskerville"/>
        </w:rPr>
        <w:t xml:space="preserve">ompliance in this section have </w:t>
      </w:r>
      <w:r w:rsidR="00E572D1">
        <w:rPr>
          <w:rFonts w:ascii="Baskerville" w:hAnsi="Baskerville" w:cs="Baskerville"/>
        </w:rPr>
        <w:t xml:space="preserve">largely </w:t>
      </w:r>
      <w:r w:rsidR="00B04564">
        <w:rPr>
          <w:rFonts w:ascii="Baskerville" w:hAnsi="Baskerville" w:cs="Baskerville"/>
        </w:rPr>
        <w:t>remained</w:t>
      </w:r>
      <w:r w:rsidR="00F109B7" w:rsidRPr="00060425">
        <w:rPr>
          <w:rFonts w:ascii="Baskerville" w:hAnsi="Baskerville" w:cs="Baskerville"/>
        </w:rPr>
        <w:t xml:space="preserve"> stable </w:t>
      </w:r>
      <w:r w:rsidR="00B97D24">
        <w:rPr>
          <w:rFonts w:ascii="Baskerville" w:hAnsi="Baskerville" w:cs="Baskerville"/>
        </w:rPr>
        <w:t>thro</w:t>
      </w:r>
      <w:r w:rsidR="00E572D1">
        <w:rPr>
          <w:rFonts w:ascii="Baskerville" w:hAnsi="Baskerville" w:cs="Baskerville"/>
        </w:rPr>
        <w:t>ugh multiple review periods. T</w:t>
      </w:r>
      <w:r w:rsidR="00F951BE">
        <w:rPr>
          <w:rFonts w:ascii="Baskerville" w:hAnsi="Baskerville" w:cs="Baskerville"/>
        </w:rPr>
        <w:t>he ratings</w:t>
      </w:r>
      <w:r w:rsidR="00E572D1">
        <w:rPr>
          <w:rFonts w:ascii="Baskerville" w:hAnsi="Baskerville" w:cs="Baskerville"/>
        </w:rPr>
        <w:t xml:space="preserve"> </w:t>
      </w:r>
      <w:r w:rsidR="000641FE" w:rsidRPr="00060425">
        <w:rPr>
          <w:rFonts w:ascii="Baskerville" w:hAnsi="Baskerville" w:cs="Baskerville"/>
        </w:rPr>
        <w:t>were not expected to change</w:t>
      </w:r>
      <w:r w:rsidR="00257FDC" w:rsidRPr="00060425">
        <w:rPr>
          <w:rFonts w:ascii="Baskerville" w:hAnsi="Baskerville" w:cs="Baskerville"/>
        </w:rPr>
        <w:t xml:space="preserve"> substantially</w:t>
      </w:r>
      <w:r w:rsidR="00FA5139">
        <w:rPr>
          <w:rFonts w:ascii="Baskerville" w:hAnsi="Baskerville" w:cs="Baskerville"/>
        </w:rPr>
        <w:t xml:space="preserve"> during this review period. T</w:t>
      </w:r>
      <w:r w:rsidR="002F3CBC">
        <w:rPr>
          <w:rFonts w:ascii="Baskerville" w:hAnsi="Baskerville" w:cs="Baskerville"/>
        </w:rPr>
        <w:t>he IR did not prioritize these provisions</w:t>
      </w:r>
      <w:r w:rsidR="00D35D9D">
        <w:rPr>
          <w:rFonts w:ascii="Baskerville" w:hAnsi="Baskerville" w:cs="Baskerville"/>
        </w:rPr>
        <w:t xml:space="preserve"> for monitoring</w:t>
      </w:r>
      <w:r w:rsidR="007F2CBF">
        <w:rPr>
          <w:rFonts w:ascii="Baskerville" w:hAnsi="Baskerville" w:cs="Baskerville"/>
        </w:rPr>
        <w:t xml:space="preserve"> and has not updated</w:t>
      </w:r>
      <w:r w:rsidR="00AB11F1">
        <w:rPr>
          <w:rFonts w:ascii="Baskerville" w:hAnsi="Baskerville" w:cs="Baskerville"/>
        </w:rPr>
        <w:t xml:space="preserve"> the complia</w:t>
      </w:r>
      <w:r w:rsidR="00F22ABB">
        <w:rPr>
          <w:rFonts w:ascii="Baskerville" w:hAnsi="Baskerville" w:cs="Baskerville"/>
        </w:rPr>
        <w:t xml:space="preserve">nce ratings </w:t>
      </w:r>
      <w:r w:rsidR="007870FE">
        <w:rPr>
          <w:rFonts w:ascii="Baskerville" w:hAnsi="Baskerville" w:cs="Baskerville"/>
        </w:rPr>
        <w:t xml:space="preserve">with the </w:t>
      </w:r>
      <w:r w:rsidR="00520044" w:rsidRPr="00060425">
        <w:rPr>
          <w:rFonts w:ascii="Baskerville" w:hAnsi="Baskerville" w:cs="Baskerville"/>
        </w:rPr>
        <w:t>exce</w:t>
      </w:r>
      <w:r w:rsidR="007870FE">
        <w:rPr>
          <w:rFonts w:ascii="Baskerville" w:hAnsi="Baskerville" w:cs="Baskerville"/>
        </w:rPr>
        <w:t>ption of</w:t>
      </w:r>
      <w:r w:rsidR="00520044" w:rsidRPr="00060425">
        <w:rPr>
          <w:rFonts w:ascii="Baskerville" w:hAnsi="Baskerville" w:cs="Baskerville"/>
        </w:rPr>
        <w:t xml:space="preserve"> a new rating of compliance for</w:t>
      </w:r>
      <w:r w:rsidR="00BE4C3D" w:rsidRPr="00BE4C3D">
        <w:rPr>
          <w:rFonts w:ascii="Baskerville" w:hAnsi="Baskerville" w:cs="Baskerville"/>
        </w:rPr>
        <w:t xml:space="preserve"> </w:t>
      </w:r>
      <w:r w:rsidR="00BE4C3D">
        <w:rPr>
          <w:rFonts w:ascii="Baskerville" w:hAnsi="Baskerville" w:cs="Baskerville"/>
        </w:rPr>
        <w:t>the</w:t>
      </w:r>
      <w:r w:rsidR="00BE4C3D" w:rsidRPr="00060425">
        <w:rPr>
          <w:rFonts w:ascii="Baskerville" w:hAnsi="Baskerville" w:cs="Baskerville"/>
        </w:rPr>
        <w:t xml:space="preserve"> Post-Move-Monitoring program. </w:t>
      </w:r>
      <w:r w:rsidR="00C867A2">
        <w:rPr>
          <w:rFonts w:ascii="Baskerville" w:hAnsi="Baskerville" w:cs="Baskerville"/>
        </w:rPr>
        <w:t xml:space="preserve">The IR confirmed that DBHDS had developed and implemented </w:t>
      </w:r>
      <w:r w:rsidR="00305D24">
        <w:rPr>
          <w:rFonts w:ascii="Baskerville" w:hAnsi="Baskerville" w:cs="Baskerville"/>
        </w:rPr>
        <w:t xml:space="preserve">the </w:t>
      </w:r>
      <w:r w:rsidR="00F22ABB">
        <w:rPr>
          <w:rFonts w:ascii="Baskerville" w:hAnsi="Baskerville" w:cs="Baskerville"/>
        </w:rPr>
        <w:t xml:space="preserve">elements of </w:t>
      </w:r>
      <w:r w:rsidR="00C867A2">
        <w:rPr>
          <w:rFonts w:ascii="Baskerville" w:hAnsi="Baskerville" w:cs="Baskerville"/>
        </w:rPr>
        <w:t>a</w:t>
      </w:r>
      <w:r w:rsidR="00BE4C3D" w:rsidRPr="00060425">
        <w:rPr>
          <w:rFonts w:ascii="Baskerville" w:hAnsi="Baskerville" w:cs="Baskerville"/>
        </w:rPr>
        <w:t xml:space="preserve"> look-behind </w:t>
      </w:r>
      <w:r w:rsidR="00C867A2">
        <w:rPr>
          <w:rFonts w:ascii="Baskerville" w:hAnsi="Baskerville" w:cs="Baskerville"/>
        </w:rPr>
        <w:t xml:space="preserve">review </w:t>
      </w:r>
      <w:r w:rsidR="00BE4C3D" w:rsidRPr="00060425">
        <w:rPr>
          <w:rFonts w:ascii="Baskerville" w:hAnsi="Baskerville" w:cs="Baskerville"/>
        </w:rPr>
        <w:t>process</w:t>
      </w:r>
      <w:r w:rsidR="00093E7A">
        <w:rPr>
          <w:rFonts w:ascii="Baskerville" w:hAnsi="Baskerville" w:cs="Baskerville"/>
        </w:rPr>
        <w:t>,</w:t>
      </w:r>
      <w:r w:rsidR="0007028C">
        <w:rPr>
          <w:rFonts w:ascii="Baskerville" w:hAnsi="Baskerville" w:cs="Baskerville"/>
        </w:rPr>
        <w:t xml:space="preserve"> </w:t>
      </w:r>
      <w:r w:rsidR="00093E7A">
        <w:rPr>
          <w:rFonts w:ascii="Baskerville" w:hAnsi="Baskerville" w:cs="Baskerville"/>
        </w:rPr>
        <w:t>which are</w:t>
      </w:r>
      <w:r w:rsidR="00305D24">
        <w:rPr>
          <w:rFonts w:ascii="Baskerville" w:hAnsi="Baskerville" w:cs="Baskerville"/>
        </w:rPr>
        <w:t xml:space="preserve"> required </w:t>
      </w:r>
      <w:r w:rsidR="0007028C">
        <w:rPr>
          <w:rFonts w:ascii="Baskerville" w:hAnsi="Baskerville" w:cs="Baskerville"/>
        </w:rPr>
        <w:t>to valida</w:t>
      </w:r>
      <w:r w:rsidR="00F951BE">
        <w:rPr>
          <w:rFonts w:ascii="Baskerville" w:hAnsi="Baskerville" w:cs="Baskerville"/>
        </w:rPr>
        <w:t>te the reliability of the Post-Move M</w:t>
      </w:r>
      <w:r w:rsidR="0007028C">
        <w:rPr>
          <w:rFonts w:ascii="Baskerville" w:hAnsi="Baskerville" w:cs="Baskerville"/>
        </w:rPr>
        <w:t>onitoring process</w:t>
      </w:r>
      <w:r w:rsidR="00412FF2">
        <w:rPr>
          <w:rFonts w:ascii="Baskerville" w:hAnsi="Baskerville" w:cs="Baskerville"/>
        </w:rPr>
        <w:t>.</w:t>
      </w:r>
      <w:r w:rsidR="00BE4C3D" w:rsidRPr="00060425">
        <w:rPr>
          <w:rFonts w:ascii="Baskerville" w:hAnsi="Baskerville" w:cs="Baskerville"/>
        </w:rPr>
        <w:t xml:space="preserve"> </w:t>
      </w:r>
      <w:r w:rsidR="007870FE">
        <w:rPr>
          <w:rFonts w:ascii="Baskerville" w:hAnsi="Baskerville" w:cs="Baskerville"/>
        </w:rPr>
        <w:t xml:space="preserve">  </w:t>
      </w:r>
    </w:p>
    <w:p w:rsidR="00E42A3A" w:rsidRDefault="00E42A3A" w:rsidP="003518FC">
      <w:pPr>
        <w:tabs>
          <w:tab w:val="left" w:pos="1671"/>
        </w:tabs>
        <w:ind w:right="-216"/>
        <w:rPr>
          <w:rFonts w:ascii="Baskerville" w:hAnsi="Baskerville" w:cs="Baskerville"/>
        </w:rPr>
      </w:pPr>
    </w:p>
    <w:p w:rsidR="000731FA" w:rsidRDefault="00702F20" w:rsidP="003518FC">
      <w:pPr>
        <w:tabs>
          <w:tab w:val="left" w:pos="1671"/>
        </w:tabs>
        <w:ind w:right="-216"/>
        <w:rPr>
          <w:rFonts w:ascii="Baskerville" w:hAnsi="Baskerville" w:cs="Baskerville"/>
        </w:rPr>
      </w:pPr>
      <w:r>
        <w:rPr>
          <w:rFonts w:ascii="Baskerville" w:hAnsi="Baskerville" w:cs="Baskerville"/>
        </w:rPr>
        <w:t>During the next</w:t>
      </w:r>
      <w:r w:rsidR="009203B7">
        <w:rPr>
          <w:rFonts w:ascii="Baskerville" w:hAnsi="Baskerville" w:cs="Baskerville"/>
        </w:rPr>
        <w:t xml:space="preserve"> review per</w:t>
      </w:r>
      <w:r w:rsidR="00CB5E06">
        <w:rPr>
          <w:rFonts w:ascii="Baskerville" w:hAnsi="Baskerville" w:cs="Baskerville"/>
        </w:rPr>
        <w:t>i</w:t>
      </w:r>
      <w:r w:rsidR="009203B7">
        <w:rPr>
          <w:rFonts w:ascii="Baskerville" w:hAnsi="Baskerville" w:cs="Baskerville"/>
        </w:rPr>
        <w:t>od</w:t>
      </w:r>
      <w:r>
        <w:rPr>
          <w:rFonts w:ascii="Baskerville" w:hAnsi="Baskerville" w:cs="Baskerville"/>
        </w:rPr>
        <w:t>, t</w:t>
      </w:r>
      <w:r w:rsidR="006A6AF5" w:rsidRPr="00060425">
        <w:rPr>
          <w:rFonts w:ascii="Baskerville" w:hAnsi="Baskerville" w:cs="Baskerville"/>
        </w:rPr>
        <w:t xml:space="preserve">he </w:t>
      </w:r>
      <w:r w:rsidR="00181820">
        <w:rPr>
          <w:rFonts w:ascii="Baskerville" w:hAnsi="Baskerville" w:cs="Baskerville"/>
        </w:rPr>
        <w:t>IR</w:t>
      </w:r>
      <w:r w:rsidR="00627CB1">
        <w:rPr>
          <w:rFonts w:ascii="Baskerville" w:hAnsi="Baskerville" w:cs="Baskerville"/>
        </w:rPr>
        <w:t xml:space="preserve"> will prioritize the </w:t>
      </w:r>
      <w:r w:rsidR="00093E7A" w:rsidRPr="00060425">
        <w:rPr>
          <w:rFonts w:ascii="Baskerville" w:hAnsi="Baskerville" w:cs="Baskerville"/>
        </w:rPr>
        <w:t xml:space="preserve">Individual Review Study </w:t>
      </w:r>
      <w:r>
        <w:rPr>
          <w:rFonts w:ascii="Baskerville" w:hAnsi="Baskerville" w:cs="Baskerville"/>
        </w:rPr>
        <w:t xml:space="preserve">that </w:t>
      </w:r>
      <w:r w:rsidR="006D2CCC" w:rsidRPr="00060425">
        <w:rPr>
          <w:rFonts w:ascii="Baskerville" w:hAnsi="Baskerville" w:cs="Baskerville"/>
        </w:rPr>
        <w:t>focus</w:t>
      </w:r>
      <w:r>
        <w:rPr>
          <w:rFonts w:ascii="Baskerville" w:hAnsi="Baskerville" w:cs="Baskerville"/>
        </w:rPr>
        <w:t>es</w:t>
      </w:r>
      <w:r w:rsidR="006D2CCC" w:rsidRPr="00060425">
        <w:rPr>
          <w:rFonts w:ascii="Baskerville" w:hAnsi="Baskerville" w:cs="Baskerville"/>
        </w:rPr>
        <w:t xml:space="preserve"> </w:t>
      </w:r>
      <w:r w:rsidR="00627CB1">
        <w:rPr>
          <w:rFonts w:ascii="Baskerville" w:hAnsi="Baskerville" w:cs="Baskerville"/>
        </w:rPr>
        <w:t xml:space="preserve">exclusively </w:t>
      </w:r>
      <w:r w:rsidR="006D2CCC" w:rsidRPr="00060425">
        <w:rPr>
          <w:rFonts w:ascii="Baskerville" w:hAnsi="Baskerville" w:cs="Baskerville"/>
        </w:rPr>
        <w:t>on</w:t>
      </w:r>
      <w:r w:rsidR="00DF4765" w:rsidRPr="00060425">
        <w:rPr>
          <w:rFonts w:ascii="Baskerville" w:hAnsi="Baskerville" w:cs="Baskerville"/>
        </w:rPr>
        <w:t xml:space="preserve"> the services </w:t>
      </w:r>
      <w:r w:rsidR="00114DB7">
        <w:rPr>
          <w:rFonts w:ascii="Baskerville" w:hAnsi="Baskerville" w:cs="Baskerville"/>
        </w:rPr>
        <w:t>an</w:t>
      </w:r>
      <w:r w:rsidR="008528B5">
        <w:rPr>
          <w:rFonts w:ascii="Baskerville" w:hAnsi="Baskerville" w:cs="Baskerville"/>
        </w:rPr>
        <w:t>d</w:t>
      </w:r>
      <w:r w:rsidR="00114DB7">
        <w:rPr>
          <w:rFonts w:ascii="Baskerville" w:hAnsi="Baskerville" w:cs="Baskerville"/>
        </w:rPr>
        <w:t xml:space="preserve"> supports </w:t>
      </w:r>
      <w:r w:rsidR="00DF4765" w:rsidRPr="00060425">
        <w:rPr>
          <w:rFonts w:ascii="Baskerville" w:hAnsi="Baskerville" w:cs="Baskerville"/>
        </w:rPr>
        <w:t>of individual</w:t>
      </w:r>
      <w:r w:rsidR="003C480A" w:rsidRPr="00060425">
        <w:rPr>
          <w:rFonts w:ascii="Baskerville" w:hAnsi="Baskerville" w:cs="Baskerville"/>
        </w:rPr>
        <w:t>s who</w:t>
      </w:r>
      <w:r w:rsidR="00467E63" w:rsidRPr="00060425">
        <w:rPr>
          <w:rFonts w:ascii="Baskerville" w:hAnsi="Baskerville" w:cs="Baskerville"/>
        </w:rPr>
        <w:t xml:space="preserve"> transition</w:t>
      </w:r>
      <w:r w:rsidR="003C480A" w:rsidRPr="00060425">
        <w:rPr>
          <w:rFonts w:ascii="Baskerville" w:hAnsi="Baskerville" w:cs="Baskerville"/>
        </w:rPr>
        <w:t>ed from Training Centers</w:t>
      </w:r>
      <w:r w:rsidR="00F228C5">
        <w:rPr>
          <w:rFonts w:ascii="Baskerville" w:hAnsi="Baskerville" w:cs="Baskerville"/>
        </w:rPr>
        <w:t xml:space="preserve">. </w:t>
      </w:r>
      <w:r w:rsidR="007F2CBF">
        <w:rPr>
          <w:rFonts w:ascii="Baskerville" w:hAnsi="Baskerville" w:cs="Baskerville"/>
        </w:rPr>
        <w:t xml:space="preserve">Updated compliance ratings are deferred until the next review period. </w:t>
      </w:r>
      <w:r w:rsidR="00F228C5">
        <w:rPr>
          <w:rFonts w:ascii="Baskerville" w:hAnsi="Baskerville" w:cs="Baskerville"/>
        </w:rPr>
        <w:t>The review will center on individuals who moved</w:t>
      </w:r>
      <w:r w:rsidR="00320C14" w:rsidRPr="00060425">
        <w:rPr>
          <w:rFonts w:ascii="Baskerville" w:hAnsi="Baskerville" w:cs="Baskerville"/>
        </w:rPr>
        <w:t xml:space="preserve"> to community settings in Region</w:t>
      </w:r>
      <w:r w:rsidR="00A97AFE" w:rsidRPr="00060425">
        <w:rPr>
          <w:rFonts w:ascii="Baskerville" w:hAnsi="Baskerville" w:cs="Baskerville"/>
        </w:rPr>
        <w:t xml:space="preserve"> I (central-northwest Virginia) and Region II </w:t>
      </w:r>
      <w:r w:rsidR="00C54814" w:rsidRPr="00060425">
        <w:rPr>
          <w:rFonts w:ascii="Baskerville" w:hAnsi="Baskerville" w:cs="Baskerville"/>
        </w:rPr>
        <w:t>(northern Vi</w:t>
      </w:r>
      <w:r w:rsidR="00A97AFE" w:rsidRPr="00060425">
        <w:rPr>
          <w:rFonts w:ascii="Baskerville" w:hAnsi="Baskerville" w:cs="Baskerville"/>
        </w:rPr>
        <w:t>rginia)</w:t>
      </w:r>
      <w:r w:rsidR="003003B7">
        <w:rPr>
          <w:rFonts w:ascii="Baskerville" w:hAnsi="Baskerville" w:cs="Baskerville"/>
        </w:rPr>
        <w:t xml:space="preserve"> d</w:t>
      </w:r>
      <w:r w:rsidR="00280F64">
        <w:rPr>
          <w:rFonts w:ascii="Baskerville" w:hAnsi="Baskerville" w:cs="Baskerville"/>
        </w:rPr>
        <w:t xml:space="preserve">uring </w:t>
      </w:r>
      <w:r w:rsidR="00CC0C14">
        <w:rPr>
          <w:rFonts w:ascii="Baskerville" w:hAnsi="Baskerville" w:cs="Baskerville"/>
        </w:rPr>
        <w:t>2014</w:t>
      </w:r>
      <w:r w:rsidR="00280F64">
        <w:rPr>
          <w:rFonts w:ascii="Baskerville" w:hAnsi="Baskerville" w:cs="Baskerville"/>
        </w:rPr>
        <w:t xml:space="preserve"> and early 2015</w:t>
      </w:r>
      <w:r w:rsidR="003003B7">
        <w:rPr>
          <w:rFonts w:ascii="Baskerville" w:hAnsi="Baskerville" w:cs="Baskerville"/>
        </w:rPr>
        <w:t>.</w:t>
      </w:r>
    </w:p>
    <w:p w:rsidR="00A3460A" w:rsidRDefault="00A3460A" w:rsidP="003518FC">
      <w:pPr>
        <w:tabs>
          <w:tab w:val="left" w:pos="1671"/>
        </w:tabs>
        <w:ind w:right="-216"/>
        <w:rPr>
          <w:rFonts w:ascii="Baskerville" w:hAnsi="Baskerville" w:cs="Baskerville"/>
        </w:rPr>
      </w:pPr>
    </w:p>
    <w:p w:rsidR="00A52590" w:rsidRPr="00A52590" w:rsidRDefault="00A52590" w:rsidP="003518FC">
      <w:pPr>
        <w:tabs>
          <w:tab w:val="left" w:pos="1671"/>
        </w:tabs>
        <w:ind w:right="-216"/>
        <w:rPr>
          <w:rFonts w:ascii="Baskerville" w:hAnsi="Baskerville" w:cs="Baskerville"/>
          <w:b/>
        </w:rPr>
      </w:pPr>
      <w:r>
        <w:rPr>
          <w:rFonts w:ascii="Baskerville" w:hAnsi="Baskerville" w:cs="Baskerville"/>
          <w:b/>
        </w:rPr>
        <w:t>3. T</w:t>
      </w:r>
      <w:r w:rsidR="00E77991">
        <w:rPr>
          <w:rFonts w:ascii="Baskerville" w:hAnsi="Baskerville" w:cs="Baskerville"/>
          <w:b/>
        </w:rPr>
        <w:t>ransition of</w:t>
      </w:r>
      <w:r w:rsidRPr="00A52590">
        <w:rPr>
          <w:rFonts w:ascii="Baskerville" w:hAnsi="Baskerville" w:cs="Baskerville"/>
          <w:b/>
        </w:rPr>
        <w:t xml:space="preserve"> Children from Nursing Facilities and Large ICF’s</w:t>
      </w:r>
    </w:p>
    <w:p w:rsidR="00E77991" w:rsidRDefault="00A3460A" w:rsidP="003518FC">
      <w:pPr>
        <w:tabs>
          <w:tab w:val="left" w:pos="1671"/>
        </w:tabs>
        <w:ind w:right="-216"/>
        <w:rPr>
          <w:rFonts w:ascii="Baskerville" w:hAnsi="Baskerville" w:cs="Baskerville"/>
        </w:rPr>
      </w:pPr>
      <w:r w:rsidRPr="00987B26">
        <w:rPr>
          <w:rFonts w:ascii="Baskerville" w:hAnsi="Baskerville" w:cs="Baskerville"/>
        </w:rPr>
        <w:t>For children with ID and DD, other than ID, who live in nursing facilities and the largest ICFs, the</w:t>
      </w:r>
      <w:r w:rsidR="007D124C">
        <w:rPr>
          <w:rFonts w:ascii="Baskerville" w:hAnsi="Baskerville" w:cs="Baskerville"/>
        </w:rPr>
        <w:t xml:space="preserve"> DBHDS</w:t>
      </w:r>
      <w:r w:rsidRPr="00987B26">
        <w:rPr>
          <w:rFonts w:ascii="Baskerville" w:hAnsi="Baskerville" w:cs="Baskerville"/>
        </w:rPr>
        <w:t xml:space="preserve"> </w:t>
      </w:r>
      <w:r w:rsidR="00717D42" w:rsidRPr="00987B26">
        <w:rPr>
          <w:rFonts w:ascii="Baskerville" w:hAnsi="Baskerville" w:cs="Baskerville"/>
        </w:rPr>
        <w:t>ha</w:t>
      </w:r>
      <w:r w:rsidR="00717D42">
        <w:rPr>
          <w:rFonts w:ascii="Baskerville" w:hAnsi="Baskerville" w:cs="Baskerville"/>
        </w:rPr>
        <w:t>s not yet been implemented</w:t>
      </w:r>
      <w:r w:rsidR="00717D42" w:rsidRPr="00987B26">
        <w:rPr>
          <w:rFonts w:ascii="Baskerville" w:hAnsi="Baskerville" w:cs="Baskerville"/>
        </w:rPr>
        <w:t xml:space="preserve"> </w:t>
      </w:r>
      <w:r w:rsidR="00717D42">
        <w:rPr>
          <w:rFonts w:ascii="Baskerville" w:hAnsi="Baskerville" w:cs="Baskerville"/>
        </w:rPr>
        <w:t xml:space="preserve">its </w:t>
      </w:r>
      <w:r w:rsidRPr="00987B26">
        <w:rPr>
          <w:rFonts w:ascii="Baskerville" w:hAnsi="Baskerville" w:cs="Baskerville"/>
        </w:rPr>
        <w:t>planned process</w:t>
      </w:r>
      <w:r w:rsidR="003B1786" w:rsidRPr="00987B26">
        <w:rPr>
          <w:rFonts w:ascii="Baskerville" w:hAnsi="Baskerville" w:cs="Baskerville"/>
        </w:rPr>
        <w:t xml:space="preserve"> to facilitate their transition to community homes</w:t>
      </w:r>
      <w:r w:rsidR="006806EF">
        <w:rPr>
          <w:rFonts w:ascii="Baskerville" w:hAnsi="Baskerville" w:cs="Baskerville"/>
        </w:rPr>
        <w:t xml:space="preserve">. </w:t>
      </w:r>
      <w:r w:rsidR="007512E6">
        <w:rPr>
          <w:rFonts w:ascii="Baskerville" w:hAnsi="Baskerville" w:cs="Baskerville"/>
        </w:rPr>
        <w:t xml:space="preserve">The Commonwealth reports that </w:t>
      </w:r>
      <w:r w:rsidR="00BC0CC0">
        <w:rPr>
          <w:rFonts w:ascii="Baskerville" w:hAnsi="Baskerville" w:cs="Baskerville"/>
        </w:rPr>
        <w:t xml:space="preserve">it prioritized </w:t>
      </w:r>
      <w:r w:rsidR="007512E6">
        <w:rPr>
          <w:rFonts w:ascii="Baskerville" w:hAnsi="Baskerville" w:cs="Baskerville"/>
        </w:rPr>
        <w:t>t</w:t>
      </w:r>
      <w:r w:rsidR="00BC0CC0">
        <w:rPr>
          <w:rFonts w:ascii="Baskerville" w:hAnsi="Baskerville" w:cs="Baskerville"/>
        </w:rPr>
        <w:t>he waiver slots</w:t>
      </w:r>
      <w:r w:rsidR="00677028">
        <w:rPr>
          <w:rFonts w:ascii="Baskerville" w:hAnsi="Baskerville" w:cs="Baskerville"/>
        </w:rPr>
        <w:t xml:space="preserve"> and </w:t>
      </w:r>
      <w:r w:rsidR="00BC0CC0">
        <w:rPr>
          <w:rFonts w:ascii="Baskerville" w:hAnsi="Baskerville" w:cs="Baskerville"/>
        </w:rPr>
        <w:t xml:space="preserve">that slots </w:t>
      </w:r>
      <w:r w:rsidR="00677028">
        <w:rPr>
          <w:rFonts w:ascii="Baskerville" w:hAnsi="Baskerville" w:cs="Baskerville"/>
        </w:rPr>
        <w:t>are</w:t>
      </w:r>
      <w:r w:rsidR="00B70D35">
        <w:rPr>
          <w:rFonts w:ascii="Baskerville" w:hAnsi="Baskerville" w:cs="Baskerville"/>
        </w:rPr>
        <w:t xml:space="preserve"> available</w:t>
      </w:r>
      <w:r w:rsidR="00717D42">
        <w:rPr>
          <w:rFonts w:ascii="Baskerville" w:hAnsi="Baskerville" w:cs="Baskerville"/>
        </w:rPr>
        <w:t xml:space="preserve"> for these children</w:t>
      </w:r>
      <w:r w:rsidR="00BC0CC0">
        <w:rPr>
          <w:rFonts w:ascii="Baskerville" w:hAnsi="Baskerville" w:cs="Baskerville"/>
        </w:rPr>
        <w:t>. The Commonwealth has decided, h</w:t>
      </w:r>
      <w:r w:rsidR="00A81C00">
        <w:rPr>
          <w:rFonts w:ascii="Baskerville" w:hAnsi="Baskerville" w:cs="Baskerville"/>
        </w:rPr>
        <w:t xml:space="preserve">owever, </w:t>
      </w:r>
      <w:r w:rsidR="00717D42">
        <w:rPr>
          <w:rFonts w:ascii="Baskerville" w:hAnsi="Baskerville" w:cs="Baskerville"/>
        </w:rPr>
        <w:t xml:space="preserve">to implement the </w:t>
      </w:r>
      <w:r w:rsidR="00B70D35">
        <w:rPr>
          <w:rFonts w:ascii="Baskerville" w:hAnsi="Baskerville" w:cs="Baskerville"/>
        </w:rPr>
        <w:t>plan</w:t>
      </w:r>
      <w:r w:rsidR="00A81C00">
        <w:rPr>
          <w:rFonts w:ascii="Baskerville" w:hAnsi="Baskerville" w:cs="Baskerville"/>
        </w:rPr>
        <w:t xml:space="preserve"> sequentially, rath</w:t>
      </w:r>
      <w:r w:rsidR="00E44F27">
        <w:rPr>
          <w:rFonts w:ascii="Baskerville" w:hAnsi="Baskerville" w:cs="Baskerville"/>
        </w:rPr>
        <w:t>er than simultaneously</w:t>
      </w:r>
      <w:r w:rsidR="00A81C00">
        <w:rPr>
          <w:rFonts w:ascii="Baskerville" w:hAnsi="Baskerville" w:cs="Baskerville"/>
        </w:rPr>
        <w:t xml:space="preserve">. </w:t>
      </w:r>
      <w:r w:rsidR="0064461E">
        <w:rPr>
          <w:rFonts w:ascii="Baskerville" w:hAnsi="Baskerville" w:cs="Baskerville"/>
        </w:rPr>
        <w:t xml:space="preserve">It </w:t>
      </w:r>
      <w:r w:rsidR="00E44F27">
        <w:rPr>
          <w:rFonts w:ascii="Baskerville" w:hAnsi="Baskerville" w:cs="Baskerville"/>
        </w:rPr>
        <w:t>will focus</w:t>
      </w:r>
      <w:r w:rsidR="00C25345" w:rsidRPr="00987B26">
        <w:rPr>
          <w:rFonts w:ascii="Baskerville" w:hAnsi="Baskerville" w:cs="Baskerville"/>
        </w:rPr>
        <w:t xml:space="preserve"> </w:t>
      </w:r>
      <w:r w:rsidR="00987B26">
        <w:rPr>
          <w:rFonts w:ascii="Baskerville" w:hAnsi="Baskerville" w:cs="Baskerville"/>
        </w:rPr>
        <w:t xml:space="preserve">first </w:t>
      </w:r>
      <w:r w:rsidR="00E44F27">
        <w:rPr>
          <w:rFonts w:ascii="Baskerville" w:hAnsi="Baskerville" w:cs="Baskerville"/>
        </w:rPr>
        <w:t xml:space="preserve">on </w:t>
      </w:r>
      <w:r w:rsidR="00A30148">
        <w:rPr>
          <w:rFonts w:ascii="Baskerville" w:hAnsi="Baskerville" w:cs="Baskerville"/>
        </w:rPr>
        <w:t>divert</w:t>
      </w:r>
      <w:r w:rsidR="00B70D35">
        <w:rPr>
          <w:rFonts w:ascii="Baskerville" w:hAnsi="Baskerville" w:cs="Baskerville"/>
        </w:rPr>
        <w:t>ing</w:t>
      </w:r>
      <w:r w:rsidR="00A30148">
        <w:rPr>
          <w:rFonts w:ascii="Baskerville" w:hAnsi="Baskerville" w:cs="Baskerville"/>
        </w:rPr>
        <w:t xml:space="preserve"> </w:t>
      </w:r>
      <w:r w:rsidR="00A30417">
        <w:rPr>
          <w:rFonts w:ascii="Baskerville" w:hAnsi="Baskerville" w:cs="Baskerville"/>
        </w:rPr>
        <w:t xml:space="preserve">possible </w:t>
      </w:r>
      <w:r w:rsidR="00A30148">
        <w:rPr>
          <w:rFonts w:ascii="Baskerville" w:hAnsi="Baskerville" w:cs="Baskerville"/>
        </w:rPr>
        <w:t>new admissions away from</w:t>
      </w:r>
      <w:r w:rsidR="00A30148" w:rsidRPr="00987B26">
        <w:rPr>
          <w:rFonts w:ascii="Baskerville" w:hAnsi="Baskerville" w:cs="Baskerville"/>
        </w:rPr>
        <w:t xml:space="preserve"> nursing facilities</w:t>
      </w:r>
      <w:r w:rsidR="00A30148">
        <w:rPr>
          <w:rFonts w:ascii="Baskerville" w:hAnsi="Baskerville" w:cs="Baskerville"/>
        </w:rPr>
        <w:t xml:space="preserve"> by developing </w:t>
      </w:r>
      <w:r w:rsidR="0061335D">
        <w:rPr>
          <w:rFonts w:ascii="Baskerville" w:hAnsi="Baskerville" w:cs="Baskerville"/>
        </w:rPr>
        <w:t>community based services for children who are at risk of u</w:t>
      </w:r>
      <w:r w:rsidR="005E610C">
        <w:rPr>
          <w:rFonts w:ascii="Baskerville" w:hAnsi="Baskerville" w:cs="Baskerville"/>
        </w:rPr>
        <w:t xml:space="preserve">nnecessary institutionalization. </w:t>
      </w:r>
      <w:r w:rsidR="00113624">
        <w:rPr>
          <w:rFonts w:ascii="Baskerville" w:hAnsi="Baskerville" w:cs="Baskerville"/>
        </w:rPr>
        <w:t>If a child is admitted to a nursing facility, then the Commo</w:t>
      </w:r>
      <w:r w:rsidR="005B5D83">
        <w:rPr>
          <w:rFonts w:ascii="Baskerville" w:hAnsi="Baskerville" w:cs="Baskerville"/>
        </w:rPr>
        <w:t>nwealth plans to perform a 90-</w:t>
      </w:r>
      <w:r w:rsidR="00113624">
        <w:rPr>
          <w:rFonts w:ascii="Baskerville" w:hAnsi="Baskerville" w:cs="Baskerville"/>
        </w:rPr>
        <w:t>day review</w:t>
      </w:r>
      <w:r w:rsidR="005B5D83">
        <w:rPr>
          <w:rFonts w:ascii="Baskerville" w:hAnsi="Baskerville" w:cs="Baskerville"/>
        </w:rPr>
        <w:t xml:space="preserve"> to determine whether the individual continues to need nursing home level of services. </w:t>
      </w:r>
      <w:r w:rsidR="00557848">
        <w:rPr>
          <w:rFonts w:ascii="Baskerville" w:hAnsi="Baskerville" w:cs="Baskerville"/>
        </w:rPr>
        <w:t>During this and the previous review period, the Commonwealth</w:t>
      </w:r>
      <w:r w:rsidR="00723BEF">
        <w:rPr>
          <w:rFonts w:ascii="Baskerville" w:hAnsi="Baskerville" w:cs="Baskerville"/>
        </w:rPr>
        <w:t xml:space="preserve"> added staff resources and expertise to improve services for individuals with complex medical needs.  </w:t>
      </w:r>
      <w:r w:rsidR="00A212B4">
        <w:rPr>
          <w:rFonts w:ascii="Baskerville" w:hAnsi="Baskerville" w:cs="Baskerville"/>
        </w:rPr>
        <w:t>By focusing first on diverting possible admissions to needed community-based services, t</w:t>
      </w:r>
      <w:r w:rsidR="005E610C">
        <w:rPr>
          <w:rFonts w:ascii="Baskerville" w:hAnsi="Baskerville" w:cs="Baskerville"/>
        </w:rPr>
        <w:t xml:space="preserve">he Commonwealth </w:t>
      </w:r>
      <w:r w:rsidR="004F28B5">
        <w:rPr>
          <w:rFonts w:ascii="Baskerville" w:hAnsi="Baskerville" w:cs="Baskerville"/>
        </w:rPr>
        <w:t>believes that it will learn</w:t>
      </w:r>
      <w:r w:rsidR="005E610C">
        <w:rPr>
          <w:rFonts w:ascii="Baskerville" w:hAnsi="Baskerville" w:cs="Baskerville"/>
        </w:rPr>
        <w:t xml:space="preserve"> important lessons </w:t>
      </w:r>
      <w:r w:rsidR="00FE3B59">
        <w:rPr>
          <w:rFonts w:ascii="Baskerville" w:hAnsi="Baskerville" w:cs="Baskerville"/>
        </w:rPr>
        <w:t>that will improve its effective</w:t>
      </w:r>
      <w:r w:rsidR="00B35F15">
        <w:rPr>
          <w:rFonts w:ascii="Baskerville" w:hAnsi="Baskerville" w:cs="Baskerville"/>
        </w:rPr>
        <w:t xml:space="preserve"> implementation of</w:t>
      </w:r>
      <w:r w:rsidR="00C25345" w:rsidRPr="00987B26">
        <w:rPr>
          <w:rFonts w:ascii="Baskerville" w:hAnsi="Baskerville" w:cs="Baskerville"/>
        </w:rPr>
        <w:t xml:space="preserve"> </w:t>
      </w:r>
      <w:r w:rsidR="0080520F">
        <w:rPr>
          <w:rFonts w:ascii="Baskerville" w:hAnsi="Baskerville" w:cs="Baskerville"/>
        </w:rPr>
        <w:t xml:space="preserve">the second phase of </w:t>
      </w:r>
      <w:r w:rsidR="00C25345" w:rsidRPr="00987B26">
        <w:rPr>
          <w:rFonts w:ascii="Baskerville" w:hAnsi="Baskerville" w:cs="Baskerville"/>
        </w:rPr>
        <w:t>its plan to transition individuals with ID</w:t>
      </w:r>
      <w:r w:rsidR="0080520F">
        <w:rPr>
          <w:rFonts w:ascii="Baskerville" w:hAnsi="Baskerville" w:cs="Baskerville"/>
        </w:rPr>
        <w:t xml:space="preserve"> and DD</w:t>
      </w:r>
      <w:r w:rsidR="00C25345" w:rsidRPr="00987B26">
        <w:rPr>
          <w:rFonts w:ascii="Baskerville" w:hAnsi="Baskerville" w:cs="Baskerville"/>
        </w:rPr>
        <w:t xml:space="preserve"> under age 22 years</w:t>
      </w:r>
      <w:r w:rsidR="0080520F">
        <w:rPr>
          <w:rFonts w:ascii="Baskerville" w:hAnsi="Baskerville" w:cs="Baskerville"/>
        </w:rPr>
        <w:t xml:space="preserve"> in future years</w:t>
      </w:r>
      <w:r w:rsidR="00C25345" w:rsidRPr="00987B26">
        <w:rPr>
          <w:rFonts w:ascii="Baskerville" w:hAnsi="Baskerville" w:cs="Baskerville"/>
        </w:rPr>
        <w:t>.</w:t>
      </w:r>
      <w:r w:rsidR="00B35F15">
        <w:rPr>
          <w:rFonts w:ascii="Baskerville" w:hAnsi="Baskerville" w:cs="Baskerville"/>
        </w:rPr>
        <w:t xml:space="preserve"> Although lessons learned are always helpful</w:t>
      </w:r>
      <w:r w:rsidR="00F544A9">
        <w:rPr>
          <w:rFonts w:ascii="Baskerville" w:hAnsi="Baskerville" w:cs="Baskerville"/>
        </w:rPr>
        <w:t>, it is the IR</w:t>
      </w:r>
      <w:r w:rsidR="00B35F15">
        <w:rPr>
          <w:rFonts w:ascii="Baskerville" w:hAnsi="Baskerville" w:cs="Baskerville"/>
        </w:rPr>
        <w:t>’s opinion</w:t>
      </w:r>
      <w:r w:rsidR="00D35D9D">
        <w:rPr>
          <w:rFonts w:ascii="Baskerville" w:hAnsi="Baskerville" w:cs="Baskerville"/>
        </w:rPr>
        <w:t xml:space="preserve"> </w:t>
      </w:r>
      <w:r w:rsidR="00B35F15">
        <w:rPr>
          <w:rFonts w:ascii="Baskerville" w:hAnsi="Baskerville" w:cs="Baskerville"/>
        </w:rPr>
        <w:t xml:space="preserve">that the children living in nursing </w:t>
      </w:r>
      <w:r w:rsidR="009D577F">
        <w:rPr>
          <w:rFonts w:ascii="Baskerville" w:hAnsi="Baskerville" w:cs="Baskerville"/>
        </w:rPr>
        <w:t>facilitie</w:t>
      </w:r>
      <w:r w:rsidR="00B35F15">
        <w:rPr>
          <w:rFonts w:ascii="Baskerville" w:hAnsi="Baskerville" w:cs="Baskerville"/>
        </w:rPr>
        <w:t>s</w:t>
      </w:r>
      <w:r w:rsidR="007D0769">
        <w:rPr>
          <w:rFonts w:ascii="Baskerville" w:hAnsi="Baskerville" w:cs="Baskerville"/>
        </w:rPr>
        <w:t xml:space="preserve"> should have an</w:t>
      </w:r>
      <w:r w:rsidR="0080520F">
        <w:rPr>
          <w:rFonts w:ascii="Baskerville" w:hAnsi="Baskerville" w:cs="Baskerville"/>
        </w:rPr>
        <w:t xml:space="preserve"> equal opportunity to</w:t>
      </w:r>
      <w:r w:rsidR="00813432">
        <w:rPr>
          <w:rFonts w:ascii="Baskerville" w:hAnsi="Baskerville" w:cs="Baskerville"/>
        </w:rPr>
        <w:t xml:space="preserve"> transition to community homes with needed services and supports</w:t>
      </w:r>
      <w:r w:rsidR="00F2276B">
        <w:rPr>
          <w:rFonts w:ascii="Baskerville" w:hAnsi="Baskerville" w:cs="Baskerville"/>
        </w:rPr>
        <w:t xml:space="preserve">, as have the residents of the </w:t>
      </w:r>
      <w:r w:rsidR="00CE1AEF">
        <w:rPr>
          <w:rFonts w:ascii="Baskerville" w:hAnsi="Baskerville" w:cs="Baskerville"/>
        </w:rPr>
        <w:t xml:space="preserve">state owned </w:t>
      </w:r>
      <w:r w:rsidR="00F2276B">
        <w:rPr>
          <w:rFonts w:ascii="Baskerville" w:hAnsi="Baskerville" w:cs="Baskerville"/>
        </w:rPr>
        <w:t>Training Centers</w:t>
      </w:r>
      <w:r w:rsidR="007342D7">
        <w:rPr>
          <w:rFonts w:ascii="Baskerville" w:hAnsi="Baskerville" w:cs="Baskerville"/>
        </w:rPr>
        <w:t xml:space="preserve"> and those the Commonwealth is diverting</w:t>
      </w:r>
      <w:r w:rsidR="00BD6265">
        <w:rPr>
          <w:rFonts w:ascii="Baskerville" w:hAnsi="Baskerville" w:cs="Baskerville"/>
        </w:rPr>
        <w:t xml:space="preserve"> to community-based services</w:t>
      </w:r>
      <w:r w:rsidR="00F2276B">
        <w:rPr>
          <w:rFonts w:ascii="Baskerville" w:hAnsi="Baskerville" w:cs="Baskerville"/>
        </w:rPr>
        <w:t>.</w:t>
      </w:r>
      <w:r w:rsidR="000D60BE">
        <w:rPr>
          <w:rFonts w:ascii="Baskerville" w:hAnsi="Baskerville" w:cs="Baskerville"/>
        </w:rPr>
        <w:t xml:space="preserve"> </w:t>
      </w:r>
    </w:p>
    <w:p w:rsidR="006806EF" w:rsidRDefault="006806EF" w:rsidP="003518FC">
      <w:pPr>
        <w:tabs>
          <w:tab w:val="left" w:pos="1671"/>
        </w:tabs>
        <w:ind w:right="-216"/>
        <w:rPr>
          <w:rFonts w:ascii="Baskerville" w:hAnsi="Baskerville" w:cs="Baskerville"/>
        </w:rPr>
      </w:pPr>
    </w:p>
    <w:p w:rsidR="0092552F" w:rsidRDefault="00E77991" w:rsidP="003518FC">
      <w:pPr>
        <w:tabs>
          <w:tab w:val="left" w:pos="1671"/>
        </w:tabs>
        <w:ind w:right="-216"/>
        <w:rPr>
          <w:rFonts w:ascii="Baskerville" w:hAnsi="Baskerville" w:cs="Baskerville"/>
          <w:b/>
        </w:rPr>
      </w:pPr>
      <w:r w:rsidRPr="00E77991">
        <w:rPr>
          <w:rFonts w:ascii="Baskerville" w:hAnsi="Baskerville" w:cs="Baskerville"/>
          <w:b/>
        </w:rPr>
        <w:t>4.</w:t>
      </w:r>
      <w:r>
        <w:rPr>
          <w:rFonts w:ascii="Baskerville" w:hAnsi="Baskerville" w:cs="Baskerville"/>
          <w:b/>
        </w:rPr>
        <w:t xml:space="preserve">  </w:t>
      </w:r>
      <w:r w:rsidR="004F092B">
        <w:rPr>
          <w:rFonts w:ascii="Baskerville" w:hAnsi="Baskerville" w:cs="Baskerville"/>
          <w:b/>
        </w:rPr>
        <w:t>Individual Reviews</w:t>
      </w:r>
    </w:p>
    <w:p w:rsidR="0092552F" w:rsidRDefault="0092552F" w:rsidP="003518FC">
      <w:pPr>
        <w:tabs>
          <w:tab w:val="left" w:pos="1671"/>
        </w:tabs>
        <w:ind w:right="-216"/>
        <w:rPr>
          <w:rFonts w:ascii="Baskerville" w:hAnsi="Baskerville" w:cs="Baskerville"/>
        </w:rPr>
      </w:pPr>
      <w:r w:rsidRPr="0092552F">
        <w:rPr>
          <w:rFonts w:ascii="Baskerville" w:hAnsi="Baskerville" w:cs="Baskerville"/>
        </w:rPr>
        <w:t>By the second half of the third year of implementation, the Agreement expected</w:t>
      </w:r>
      <w:r w:rsidR="00E652BA">
        <w:rPr>
          <w:rFonts w:ascii="Baskerville" w:hAnsi="Baskerville" w:cs="Baskerville"/>
        </w:rPr>
        <w:t xml:space="preserve"> individuals to receive HCBS services in the most integrated settings, consistent with their informed choice and needs.</w:t>
      </w:r>
      <w:r w:rsidR="002B613B">
        <w:rPr>
          <w:rFonts w:ascii="Baskerville" w:hAnsi="Baskerville" w:cs="Baskerville"/>
        </w:rPr>
        <w:t xml:space="preserve"> The Agreement</w:t>
      </w:r>
      <w:r w:rsidR="007D5972">
        <w:rPr>
          <w:rFonts w:ascii="Baskerville" w:hAnsi="Baskerville" w:cs="Baskerville"/>
        </w:rPr>
        <w:t xml:space="preserve"> anticipated </w:t>
      </w:r>
      <w:r w:rsidR="00A84F3C">
        <w:rPr>
          <w:rFonts w:ascii="Baskerville" w:hAnsi="Baskerville" w:cs="Baskerville"/>
        </w:rPr>
        <w:t xml:space="preserve">that </w:t>
      </w:r>
      <w:r w:rsidR="007D5972">
        <w:rPr>
          <w:rFonts w:ascii="Baskerville" w:hAnsi="Baskerville" w:cs="Baskerville"/>
        </w:rPr>
        <w:t xml:space="preserve">these individuals </w:t>
      </w:r>
      <w:r w:rsidR="00A84F3C">
        <w:rPr>
          <w:rFonts w:ascii="Baskerville" w:hAnsi="Baskerville" w:cs="Baskerville"/>
        </w:rPr>
        <w:t xml:space="preserve">would be </w:t>
      </w:r>
      <w:r w:rsidR="007D5972">
        <w:rPr>
          <w:rFonts w:ascii="Baskerville" w:hAnsi="Baskerville" w:cs="Baskerville"/>
        </w:rPr>
        <w:t>receiving core services, including case management, integrated day opportunities, and referrals for rental and housing assistance</w:t>
      </w:r>
      <w:r w:rsidR="00D45B49">
        <w:rPr>
          <w:rFonts w:ascii="Baskerville" w:hAnsi="Baskerville" w:cs="Baskerville"/>
        </w:rPr>
        <w:t>. During this r</w:t>
      </w:r>
      <w:r w:rsidR="00A84F3C">
        <w:rPr>
          <w:rFonts w:ascii="Baskerville" w:hAnsi="Baskerville" w:cs="Baskerville"/>
        </w:rPr>
        <w:t>eview period, the study focused</w:t>
      </w:r>
      <w:r w:rsidR="00D45B49">
        <w:rPr>
          <w:rFonts w:ascii="Baskerville" w:hAnsi="Baskerville" w:cs="Baskerville"/>
        </w:rPr>
        <w:t xml:space="preserve"> for the first time on individuals with </w:t>
      </w:r>
      <w:r w:rsidR="00B37C53">
        <w:rPr>
          <w:rFonts w:ascii="Baskerville" w:hAnsi="Baskerville" w:cs="Baskerville"/>
        </w:rPr>
        <w:t>Developmental Disabilities, other than Intellectual Di</w:t>
      </w:r>
      <w:r w:rsidR="00EA3F7D">
        <w:rPr>
          <w:rFonts w:ascii="Baskerville" w:hAnsi="Baskerville" w:cs="Baskerville"/>
        </w:rPr>
        <w:t xml:space="preserve">sabilities. The study focused </w:t>
      </w:r>
      <w:r w:rsidR="00A84F3C">
        <w:rPr>
          <w:rFonts w:ascii="Baskerville" w:hAnsi="Baskerville" w:cs="Baskerville"/>
        </w:rPr>
        <w:t xml:space="preserve">on </w:t>
      </w:r>
      <w:r w:rsidR="00EA3F7D">
        <w:rPr>
          <w:rFonts w:ascii="Baskerville" w:hAnsi="Baskerville" w:cs="Baskerville"/>
        </w:rPr>
        <w:t>the</w:t>
      </w:r>
      <w:r w:rsidR="00B37C53">
        <w:rPr>
          <w:rFonts w:ascii="Baskerville" w:hAnsi="Baskerville" w:cs="Baskerville"/>
        </w:rPr>
        <w:t xml:space="preserve"> forty individuals</w:t>
      </w:r>
      <w:r w:rsidR="00EA3F7D">
        <w:rPr>
          <w:rFonts w:ascii="Baskerville" w:hAnsi="Baskerville" w:cs="Baskerville"/>
        </w:rPr>
        <w:t xml:space="preserve"> who received </w:t>
      </w:r>
      <w:r w:rsidR="002123C4">
        <w:rPr>
          <w:rFonts w:ascii="Baskerville" w:hAnsi="Baskerville" w:cs="Baskerville"/>
        </w:rPr>
        <w:t xml:space="preserve">IFDDS </w:t>
      </w:r>
      <w:r w:rsidR="00A67A27">
        <w:rPr>
          <w:rFonts w:ascii="Baskerville" w:hAnsi="Baskerville" w:cs="Baskerville"/>
        </w:rPr>
        <w:t xml:space="preserve">(DD) </w:t>
      </w:r>
      <w:r w:rsidR="00EA3F7D">
        <w:rPr>
          <w:rFonts w:ascii="Baskerville" w:hAnsi="Baskerville" w:cs="Baskerville"/>
        </w:rPr>
        <w:t>waiver slots between July 2012 and November 2013</w:t>
      </w:r>
      <w:r w:rsidR="00A67A27">
        <w:rPr>
          <w:rFonts w:ascii="Baskerville" w:hAnsi="Baskerville" w:cs="Baskerville"/>
        </w:rPr>
        <w:t xml:space="preserve"> who live in two of the five Regions. A random</w:t>
      </w:r>
      <w:r w:rsidR="00BE6E28">
        <w:rPr>
          <w:rFonts w:ascii="Baskerville" w:hAnsi="Baskerville" w:cs="Baskerville"/>
        </w:rPr>
        <w:t>ly</w:t>
      </w:r>
      <w:r w:rsidR="00D04407">
        <w:rPr>
          <w:rFonts w:ascii="Baskerville" w:hAnsi="Baskerville" w:cs="Baskerville"/>
        </w:rPr>
        <w:t xml:space="preserve"> selected</w:t>
      </w:r>
      <w:r w:rsidR="00A67A27">
        <w:rPr>
          <w:rFonts w:ascii="Baskerville" w:hAnsi="Baskerville" w:cs="Baskerville"/>
        </w:rPr>
        <w:t xml:space="preserve"> </w:t>
      </w:r>
      <w:r w:rsidR="00BE6E28">
        <w:rPr>
          <w:rFonts w:ascii="Baskerville" w:hAnsi="Baskerville" w:cs="Baskerville"/>
        </w:rPr>
        <w:t xml:space="preserve">sample </w:t>
      </w:r>
      <w:r w:rsidR="00A67A27">
        <w:rPr>
          <w:rFonts w:ascii="Baskerville" w:hAnsi="Baskerville" w:cs="Baskerville"/>
        </w:rPr>
        <w:t>of twenty-five of thes</w:t>
      </w:r>
      <w:r w:rsidR="00BE6E28">
        <w:rPr>
          <w:rFonts w:ascii="Baskerville" w:hAnsi="Baskerville" w:cs="Baskerville"/>
        </w:rPr>
        <w:t>e individuals</w:t>
      </w:r>
      <w:r w:rsidR="00EA3F7D">
        <w:rPr>
          <w:rFonts w:ascii="Baskerville" w:hAnsi="Baskerville" w:cs="Baskerville"/>
        </w:rPr>
        <w:t xml:space="preserve"> </w:t>
      </w:r>
      <w:r w:rsidR="00BE6E28">
        <w:rPr>
          <w:rFonts w:ascii="Baskerville" w:hAnsi="Baskerville" w:cs="Baskerville"/>
        </w:rPr>
        <w:t>provides sufficient confidence that findings from the sample can be generalized to the</w:t>
      </w:r>
      <w:r w:rsidR="00A2027D">
        <w:rPr>
          <w:rFonts w:ascii="Baskerville" w:hAnsi="Baskerville" w:cs="Baskerville"/>
        </w:rPr>
        <w:t xml:space="preserve"> forty individuals.</w:t>
      </w:r>
    </w:p>
    <w:p w:rsidR="0095309D" w:rsidRPr="004C7927" w:rsidRDefault="0095309D" w:rsidP="003518FC">
      <w:pPr>
        <w:tabs>
          <w:tab w:val="left" w:pos="1671"/>
        </w:tabs>
        <w:ind w:right="-216"/>
        <w:rPr>
          <w:rFonts w:ascii="Baskerville" w:hAnsi="Baskerville" w:cs="Baskerville"/>
        </w:rPr>
      </w:pPr>
    </w:p>
    <w:p w:rsidR="008751EF" w:rsidRDefault="00334C78" w:rsidP="003518FC">
      <w:pPr>
        <w:tabs>
          <w:tab w:val="left" w:pos="1671"/>
        </w:tabs>
        <w:ind w:right="-216"/>
        <w:rPr>
          <w:rFonts w:ascii="Baskerville" w:hAnsi="Baskerville" w:cs="Baskerville"/>
        </w:rPr>
      </w:pPr>
      <w:r w:rsidRPr="004C7927">
        <w:rPr>
          <w:rFonts w:ascii="Baskerville" w:hAnsi="Baskerville" w:cs="Baskerville"/>
        </w:rPr>
        <w:t>Of t</w:t>
      </w:r>
      <w:r w:rsidR="00AE3843" w:rsidRPr="004C7927">
        <w:rPr>
          <w:rFonts w:ascii="Baskerville" w:hAnsi="Baskerville" w:cs="Baskerville"/>
        </w:rPr>
        <w:t>he twenty-five randomly selected individuals</w:t>
      </w:r>
      <w:r w:rsidRPr="004C7927">
        <w:rPr>
          <w:rFonts w:ascii="Baskerville" w:hAnsi="Baskerville" w:cs="Baskerville"/>
        </w:rPr>
        <w:t>, nine (36%) lived in Region 1 (N</w:t>
      </w:r>
      <w:r w:rsidR="00D04407">
        <w:rPr>
          <w:rFonts w:ascii="Baskerville" w:hAnsi="Baskerville" w:cs="Baskerville"/>
        </w:rPr>
        <w:t>W Virginia), sixteen (64%) live</w:t>
      </w:r>
      <w:r w:rsidRPr="004C7927">
        <w:rPr>
          <w:rFonts w:ascii="Baskerville" w:hAnsi="Baskerville" w:cs="Baskerville"/>
        </w:rPr>
        <w:t xml:space="preserve"> in</w:t>
      </w:r>
      <w:r w:rsidR="00282AAE" w:rsidRPr="004C7927">
        <w:rPr>
          <w:rFonts w:ascii="Baskerville" w:hAnsi="Baskerville" w:cs="Baskerville"/>
        </w:rPr>
        <w:t xml:space="preserve"> Region V (Tidewater). Overall, these </w:t>
      </w:r>
      <w:r w:rsidR="00340DCB">
        <w:rPr>
          <w:rFonts w:ascii="Baskerville" w:hAnsi="Baskerville" w:cs="Baskerville"/>
        </w:rPr>
        <w:t xml:space="preserve">randomly selected </w:t>
      </w:r>
      <w:r w:rsidR="00282AAE" w:rsidRPr="004C7927">
        <w:rPr>
          <w:rFonts w:ascii="Baskerville" w:hAnsi="Baskerville" w:cs="Baskerville"/>
        </w:rPr>
        <w:t>individua</w:t>
      </w:r>
      <w:r w:rsidR="00FB01D2" w:rsidRPr="004C7927">
        <w:rPr>
          <w:rFonts w:ascii="Baskerville" w:hAnsi="Baskerville" w:cs="Baskerville"/>
        </w:rPr>
        <w:t>ls with DD, other than ID</w:t>
      </w:r>
      <w:r w:rsidR="00340DCB">
        <w:rPr>
          <w:rFonts w:ascii="Baskerville" w:hAnsi="Baskerville" w:cs="Baskerville"/>
        </w:rPr>
        <w:t xml:space="preserve"> whose services </w:t>
      </w:r>
      <w:r w:rsidR="00C322E2">
        <w:rPr>
          <w:rFonts w:ascii="Baskerville" w:hAnsi="Baskerville" w:cs="Baskerville"/>
        </w:rPr>
        <w:t xml:space="preserve">the IR </w:t>
      </w:r>
      <w:r w:rsidR="00340DCB">
        <w:rPr>
          <w:rFonts w:ascii="Baskerville" w:hAnsi="Baskerville" w:cs="Baskerville"/>
        </w:rPr>
        <w:t>studied during the sixth review period</w:t>
      </w:r>
      <w:r w:rsidR="00E8228E">
        <w:rPr>
          <w:rFonts w:ascii="Baskerville" w:hAnsi="Baskerville" w:cs="Baskerville"/>
        </w:rPr>
        <w:t xml:space="preserve"> </w:t>
      </w:r>
      <w:r w:rsidR="00FB01D2" w:rsidRPr="004C7927">
        <w:rPr>
          <w:rFonts w:ascii="Baskerville" w:hAnsi="Baskerville" w:cs="Baskerville"/>
        </w:rPr>
        <w:t>differ</w:t>
      </w:r>
      <w:r w:rsidR="00E8228E">
        <w:rPr>
          <w:rFonts w:ascii="Baskerville" w:hAnsi="Baskerville" w:cs="Baskerville"/>
        </w:rPr>
        <w:t>ed</w:t>
      </w:r>
      <w:r w:rsidR="00FB01D2" w:rsidRPr="004C7927">
        <w:rPr>
          <w:rFonts w:ascii="Baskerville" w:hAnsi="Baskerville" w:cs="Baskerville"/>
        </w:rPr>
        <w:t xml:space="preserve"> fro</w:t>
      </w:r>
      <w:r w:rsidR="00130A59">
        <w:rPr>
          <w:rFonts w:ascii="Baskerville" w:hAnsi="Baskerville" w:cs="Baskerville"/>
        </w:rPr>
        <w:t xml:space="preserve">m the group of individuals who </w:t>
      </w:r>
      <w:r w:rsidR="00FB3ADC" w:rsidRPr="004C7927">
        <w:rPr>
          <w:rFonts w:ascii="Baskerville" w:hAnsi="Baskerville" w:cs="Baskerville"/>
        </w:rPr>
        <w:t>moved from Training Centers</w:t>
      </w:r>
      <w:r w:rsidR="00E8228E">
        <w:rPr>
          <w:rFonts w:ascii="Baskerville" w:hAnsi="Baskerville" w:cs="Baskerville"/>
        </w:rPr>
        <w:t xml:space="preserve"> whose services were studied during the fifth review period</w:t>
      </w:r>
      <w:r w:rsidR="00FB3ADC" w:rsidRPr="004C7927">
        <w:rPr>
          <w:rFonts w:ascii="Baskerville" w:hAnsi="Baskerville" w:cs="Baskerville"/>
        </w:rPr>
        <w:t>:</w:t>
      </w:r>
      <w:r w:rsidR="00294967">
        <w:rPr>
          <w:rFonts w:ascii="Baskerville" w:hAnsi="Baskerville" w:cs="Baskerville"/>
        </w:rPr>
        <w:t xml:space="preserve"> </w:t>
      </w:r>
    </w:p>
    <w:p w:rsidR="00F3688B" w:rsidRDefault="00F3688B" w:rsidP="003518FC">
      <w:pPr>
        <w:tabs>
          <w:tab w:val="left" w:pos="1671"/>
        </w:tabs>
        <w:ind w:right="-216"/>
        <w:rPr>
          <w:rFonts w:ascii="Baskerville" w:hAnsi="Baskerville" w:cs="Baskerville"/>
        </w:rPr>
      </w:pPr>
    </w:p>
    <w:tbl>
      <w:tblPr>
        <w:tblStyle w:val="TableGrid"/>
        <w:tblW w:w="9900" w:type="dxa"/>
        <w:tblInd w:w="108" w:type="dxa"/>
        <w:tblLook w:val="04A0"/>
      </w:tblPr>
      <w:tblGrid>
        <w:gridCol w:w="2160"/>
        <w:gridCol w:w="3870"/>
        <w:gridCol w:w="3870"/>
      </w:tblGrid>
      <w:tr w:rsidR="001535A3" w:rsidTr="00130A59">
        <w:tc>
          <w:tcPr>
            <w:tcW w:w="2160" w:type="dxa"/>
          </w:tcPr>
          <w:p w:rsidR="001535A3" w:rsidRPr="000C5634" w:rsidRDefault="001535A3" w:rsidP="003518FC">
            <w:pPr>
              <w:tabs>
                <w:tab w:val="left" w:pos="1671"/>
              </w:tabs>
              <w:ind w:right="-216"/>
              <w:rPr>
                <w:rFonts w:ascii="Baskerville" w:hAnsi="Baskerville" w:cs="Baskerville"/>
                <w:b/>
                <w:sz w:val="22"/>
                <w:szCs w:val="22"/>
              </w:rPr>
            </w:pPr>
            <w:r w:rsidRPr="000C5634">
              <w:rPr>
                <w:rFonts w:ascii="Baskerville" w:hAnsi="Baskerville" w:cs="Baskerville"/>
                <w:b/>
                <w:sz w:val="22"/>
                <w:szCs w:val="22"/>
              </w:rPr>
              <w:t>Demographic information</w:t>
            </w:r>
          </w:p>
        </w:tc>
        <w:tc>
          <w:tcPr>
            <w:tcW w:w="3870" w:type="dxa"/>
          </w:tcPr>
          <w:p w:rsidR="001535A3" w:rsidRPr="000C5634" w:rsidRDefault="001535A3" w:rsidP="000C5634">
            <w:pPr>
              <w:tabs>
                <w:tab w:val="left" w:pos="1671"/>
              </w:tabs>
              <w:ind w:right="-216"/>
              <w:jc w:val="center"/>
              <w:rPr>
                <w:rFonts w:ascii="Baskerville" w:hAnsi="Baskerville" w:cs="Baskerville"/>
                <w:b/>
                <w:sz w:val="22"/>
                <w:szCs w:val="22"/>
              </w:rPr>
            </w:pPr>
            <w:r w:rsidRPr="000C5634">
              <w:rPr>
                <w:rFonts w:ascii="Baskerville" w:hAnsi="Baskerville" w:cs="Baskerville"/>
                <w:b/>
                <w:sz w:val="22"/>
                <w:szCs w:val="22"/>
              </w:rPr>
              <w:t>Twenty-eight</w:t>
            </w:r>
            <w:r w:rsidR="00851E13" w:rsidRPr="000C5634">
              <w:rPr>
                <w:rFonts w:ascii="Baskerville" w:hAnsi="Baskerville" w:cs="Baskerville"/>
                <w:b/>
                <w:sz w:val="22"/>
                <w:szCs w:val="22"/>
              </w:rPr>
              <w:t xml:space="preserve"> (28)</w:t>
            </w:r>
            <w:r w:rsidRPr="000C5634">
              <w:rPr>
                <w:rFonts w:ascii="Baskerville" w:hAnsi="Baskerville" w:cs="Baskerville"/>
                <w:b/>
                <w:sz w:val="22"/>
                <w:szCs w:val="22"/>
              </w:rPr>
              <w:t xml:space="preserve"> individuals who moved from Training Centers</w:t>
            </w:r>
          </w:p>
          <w:p w:rsidR="001535A3" w:rsidRPr="000C5634" w:rsidRDefault="001535A3" w:rsidP="000C5634">
            <w:pPr>
              <w:tabs>
                <w:tab w:val="left" w:pos="1671"/>
              </w:tabs>
              <w:ind w:right="-216"/>
              <w:jc w:val="center"/>
              <w:rPr>
                <w:rFonts w:ascii="Baskerville" w:hAnsi="Baskerville" w:cs="Baskerville"/>
                <w:b/>
                <w:sz w:val="22"/>
                <w:szCs w:val="22"/>
              </w:rPr>
            </w:pPr>
          </w:p>
          <w:p w:rsidR="001535A3" w:rsidRPr="000C5634" w:rsidRDefault="001535A3" w:rsidP="000C5634">
            <w:pPr>
              <w:tabs>
                <w:tab w:val="left" w:pos="1671"/>
              </w:tabs>
              <w:ind w:right="-216"/>
              <w:jc w:val="center"/>
              <w:rPr>
                <w:rFonts w:ascii="Baskerville" w:hAnsi="Baskerville" w:cs="Baskerville"/>
                <w:b/>
                <w:sz w:val="22"/>
                <w:szCs w:val="22"/>
              </w:rPr>
            </w:pPr>
            <w:r w:rsidRPr="000C5634">
              <w:rPr>
                <w:rFonts w:ascii="Baskerville" w:hAnsi="Baskerville" w:cs="Baskerville"/>
                <w:b/>
                <w:sz w:val="22"/>
                <w:szCs w:val="22"/>
              </w:rPr>
              <w:t>5</w:t>
            </w:r>
            <w:r w:rsidRPr="000C5634">
              <w:rPr>
                <w:rFonts w:ascii="Baskerville" w:hAnsi="Baskerville" w:cs="Baskerville"/>
                <w:b/>
                <w:sz w:val="22"/>
                <w:szCs w:val="22"/>
                <w:vertAlign w:val="superscript"/>
              </w:rPr>
              <w:t>th</w:t>
            </w:r>
            <w:r w:rsidRPr="000C5634">
              <w:rPr>
                <w:rFonts w:ascii="Baskerville" w:hAnsi="Baskerville" w:cs="Baskerville"/>
                <w:b/>
                <w:sz w:val="22"/>
                <w:szCs w:val="22"/>
              </w:rPr>
              <w:t xml:space="preserve"> period study</w:t>
            </w:r>
          </w:p>
        </w:tc>
        <w:tc>
          <w:tcPr>
            <w:tcW w:w="3870" w:type="dxa"/>
          </w:tcPr>
          <w:p w:rsidR="001535A3" w:rsidRPr="000C5634" w:rsidRDefault="001535A3" w:rsidP="000C5634">
            <w:pPr>
              <w:tabs>
                <w:tab w:val="left" w:pos="1671"/>
              </w:tabs>
              <w:ind w:right="-216"/>
              <w:jc w:val="center"/>
              <w:rPr>
                <w:rFonts w:ascii="Baskerville" w:hAnsi="Baskerville" w:cs="Baskerville"/>
                <w:b/>
                <w:sz w:val="22"/>
                <w:szCs w:val="22"/>
              </w:rPr>
            </w:pPr>
            <w:r w:rsidRPr="000C5634">
              <w:rPr>
                <w:rFonts w:ascii="Baskerville" w:hAnsi="Baskerville" w:cs="Baskerville"/>
                <w:b/>
                <w:sz w:val="22"/>
                <w:szCs w:val="22"/>
              </w:rPr>
              <w:t>Twenty-five</w:t>
            </w:r>
            <w:r w:rsidR="00851E13" w:rsidRPr="000C5634">
              <w:rPr>
                <w:rFonts w:ascii="Baskerville" w:hAnsi="Baskerville" w:cs="Baskerville"/>
                <w:b/>
                <w:sz w:val="22"/>
                <w:szCs w:val="22"/>
              </w:rPr>
              <w:t xml:space="preserve"> (25)</w:t>
            </w:r>
            <w:r w:rsidRPr="000C5634">
              <w:rPr>
                <w:rFonts w:ascii="Baskerville" w:hAnsi="Baskerville" w:cs="Baskerville"/>
                <w:b/>
                <w:sz w:val="22"/>
                <w:szCs w:val="22"/>
              </w:rPr>
              <w:t xml:space="preserve"> individuals with DD, other than ID,</w:t>
            </w:r>
          </w:p>
          <w:p w:rsidR="001535A3" w:rsidRPr="000C5634" w:rsidRDefault="001535A3" w:rsidP="000C5634">
            <w:pPr>
              <w:tabs>
                <w:tab w:val="left" w:pos="1671"/>
              </w:tabs>
              <w:ind w:right="-216"/>
              <w:jc w:val="center"/>
              <w:rPr>
                <w:rFonts w:ascii="Baskerville" w:hAnsi="Baskerville" w:cs="Baskerville"/>
                <w:b/>
                <w:sz w:val="22"/>
                <w:szCs w:val="22"/>
              </w:rPr>
            </w:pPr>
          </w:p>
          <w:p w:rsidR="001535A3" w:rsidRPr="000C5634" w:rsidRDefault="001535A3" w:rsidP="000C5634">
            <w:pPr>
              <w:tabs>
                <w:tab w:val="left" w:pos="1671"/>
              </w:tabs>
              <w:ind w:right="-216"/>
              <w:jc w:val="center"/>
              <w:rPr>
                <w:rFonts w:ascii="Baskerville" w:hAnsi="Baskerville" w:cs="Baskerville"/>
                <w:b/>
                <w:sz w:val="22"/>
                <w:szCs w:val="22"/>
              </w:rPr>
            </w:pPr>
            <w:r w:rsidRPr="000C5634">
              <w:rPr>
                <w:rFonts w:ascii="Baskerville" w:hAnsi="Baskerville" w:cs="Baskerville"/>
                <w:b/>
                <w:sz w:val="22"/>
                <w:szCs w:val="22"/>
              </w:rPr>
              <w:t>6</w:t>
            </w:r>
            <w:r w:rsidRPr="000C5634">
              <w:rPr>
                <w:rFonts w:ascii="Baskerville" w:hAnsi="Baskerville" w:cs="Baskerville"/>
                <w:b/>
                <w:sz w:val="22"/>
                <w:szCs w:val="22"/>
                <w:vertAlign w:val="superscript"/>
              </w:rPr>
              <w:t>th</w:t>
            </w:r>
            <w:r w:rsidRPr="000C5634">
              <w:rPr>
                <w:rFonts w:ascii="Baskerville" w:hAnsi="Baskerville" w:cs="Baskerville"/>
                <w:b/>
                <w:sz w:val="22"/>
                <w:szCs w:val="22"/>
              </w:rPr>
              <w:t xml:space="preserve"> period study</w:t>
            </w:r>
          </w:p>
        </w:tc>
      </w:tr>
      <w:tr w:rsidR="001535A3" w:rsidTr="00130A59">
        <w:tc>
          <w:tcPr>
            <w:tcW w:w="2160" w:type="dxa"/>
            <w:vAlign w:val="center"/>
          </w:tcPr>
          <w:p w:rsidR="001535A3" w:rsidRDefault="001535A3" w:rsidP="00130A59">
            <w:pPr>
              <w:tabs>
                <w:tab w:val="left" w:pos="1671"/>
              </w:tabs>
              <w:ind w:right="-216"/>
              <w:jc w:val="center"/>
              <w:rPr>
                <w:rFonts w:ascii="Baskerville" w:hAnsi="Baskerville" w:cs="Baskerville"/>
              </w:rPr>
            </w:pPr>
            <w:r>
              <w:rPr>
                <w:rFonts w:ascii="Baskerville" w:hAnsi="Baskerville" w:cs="Baskerville"/>
              </w:rPr>
              <w:t>Gender</w:t>
            </w:r>
          </w:p>
        </w:tc>
        <w:tc>
          <w:tcPr>
            <w:tcW w:w="3870" w:type="dxa"/>
          </w:tcPr>
          <w:p w:rsidR="001535A3" w:rsidRDefault="005E4F45" w:rsidP="003518FC">
            <w:pPr>
              <w:tabs>
                <w:tab w:val="left" w:pos="1671"/>
              </w:tabs>
              <w:ind w:right="-216"/>
              <w:rPr>
                <w:rFonts w:ascii="Baskerville" w:hAnsi="Baskerville" w:cs="Baskerville"/>
              </w:rPr>
            </w:pPr>
            <w:r>
              <w:rPr>
                <w:rFonts w:ascii="Baskerville" w:hAnsi="Baskerville" w:cs="Baskerville"/>
              </w:rPr>
              <w:t>13 (46.4%) were males</w:t>
            </w:r>
          </w:p>
        </w:tc>
        <w:tc>
          <w:tcPr>
            <w:tcW w:w="3870" w:type="dxa"/>
          </w:tcPr>
          <w:p w:rsidR="001535A3" w:rsidRDefault="00940460" w:rsidP="003518FC">
            <w:pPr>
              <w:tabs>
                <w:tab w:val="left" w:pos="1671"/>
              </w:tabs>
              <w:ind w:right="-216"/>
              <w:rPr>
                <w:rFonts w:ascii="Baskerville" w:hAnsi="Baskerville" w:cs="Baskerville"/>
              </w:rPr>
            </w:pPr>
            <w:r>
              <w:rPr>
                <w:rFonts w:ascii="Baskerville" w:hAnsi="Baskerville" w:cs="Baskerville"/>
              </w:rPr>
              <w:t>16 (64%) were males</w:t>
            </w:r>
          </w:p>
          <w:p w:rsidR="000C5634" w:rsidRDefault="000C5634" w:rsidP="003518FC">
            <w:pPr>
              <w:tabs>
                <w:tab w:val="left" w:pos="1671"/>
              </w:tabs>
              <w:ind w:right="-216"/>
              <w:rPr>
                <w:rFonts w:ascii="Baskerville" w:hAnsi="Baskerville" w:cs="Baskerville"/>
              </w:rPr>
            </w:pPr>
          </w:p>
        </w:tc>
      </w:tr>
      <w:tr w:rsidR="001535A3" w:rsidTr="00130A59">
        <w:tc>
          <w:tcPr>
            <w:tcW w:w="2160" w:type="dxa"/>
            <w:vAlign w:val="center"/>
          </w:tcPr>
          <w:p w:rsidR="001535A3" w:rsidRDefault="001535A3" w:rsidP="00130A59">
            <w:pPr>
              <w:tabs>
                <w:tab w:val="left" w:pos="1671"/>
              </w:tabs>
              <w:ind w:right="-216"/>
              <w:jc w:val="center"/>
              <w:rPr>
                <w:rFonts w:ascii="Baskerville" w:hAnsi="Baskerville" w:cs="Baskerville"/>
              </w:rPr>
            </w:pPr>
            <w:r>
              <w:rPr>
                <w:rFonts w:ascii="Baskerville" w:hAnsi="Baskerville" w:cs="Baskerville"/>
              </w:rPr>
              <w:t>Age Ranges</w:t>
            </w:r>
          </w:p>
        </w:tc>
        <w:tc>
          <w:tcPr>
            <w:tcW w:w="3870" w:type="dxa"/>
          </w:tcPr>
          <w:p w:rsidR="001535A3" w:rsidRDefault="008C4B62" w:rsidP="003518FC">
            <w:pPr>
              <w:tabs>
                <w:tab w:val="left" w:pos="1671"/>
              </w:tabs>
              <w:ind w:right="-216"/>
              <w:rPr>
                <w:rFonts w:ascii="Baskerville" w:hAnsi="Baskerville" w:cs="Baskerville"/>
              </w:rPr>
            </w:pPr>
            <w:r>
              <w:rPr>
                <w:rFonts w:ascii="Baskerville" w:hAnsi="Baskerville" w:cs="Baskerville"/>
              </w:rPr>
              <w:t>22 (78.5%) were age fifty one or older</w:t>
            </w:r>
          </w:p>
        </w:tc>
        <w:tc>
          <w:tcPr>
            <w:tcW w:w="3870" w:type="dxa"/>
          </w:tcPr>
          <w:p w:rsidR="001535A3" w:rsidRDefault="005E4F45" w:rsidP="003518FC">
            <w:pPr>
              <w:tabs>
                <w:tab w:val="left" w:pos="1671"/>
              </w:tabs>
              <w:ind w:right="-216"/>
              <w:rPr>
                <w:rFonts w:ascii="Baskerville" w:hAnsi="Baskerville" w:cs="Baskerville"/>
              </w:rPr>
            </w:pPr>
            <w:r>
              <w:rPr>
                <w:rFonts w:ascii="Baskerville" w:hAnsi="Baskerville" w:cs="Baskerville"/>
              </w:rPr>
              <w:t>20 (80%) were age thirty or younger</w:t>
            </w:r>
          </w:p>
          <w:p w:rsidR="000C5634" w:rsidRDefault="000C5634" w:rsidP="003518FC">
            <w:pPr>
              <w:tabs>
                <w:tab w:val="left" w:pos="1671"/>
              </w:tabs>
              <w:ind w:right="-216"/>
              <w:rPr>
                <w:rFonts w:ascii="Baskerville" w:hAnsi="Baskerville" w:cs="Baskerville"/>
              </w:rPr>
            </w:pPr>
          </w:p>
        </w:tc>
      </w:tr>
      <w:tr w:rsidR="001535A3" w:rsidTr="00130A59">
        <w:tc>
          <w:tcPr>
            <w:tcW w:w="2160" w:type="dxa"/>
            <w:vAlign w:val="center"/>
          </w:tcPr>
          <w:p w:rsidR="001535A3" w:rsidRDefault="001535A3" w:rsidP="00130A59">
            <w:pPr>
              <w:tabs>
                <w:tab w:val="left" w:pos="1671"/>
              </w:tabs>
              <w:ind w:right="-216"/>
              <w:jc w:val="center"/>
              <w:rPr>
                <w:rFonts w:ascii="Baskerville" w:hAnsi="Baskerville" w:cs="Baskerville"/>
              </w:rPr>
            </w:pPr>
            <w:r>
              <w:rPr>
                <w:rFonts w:ascii="Baskerville" w:hAnsi="Baskerville" w:cs="Baskerville"/>
              </w:rPr>
              <w:t>Levels of Mobility</w:t>
            </w:r>
          </w:p>
        </w:tc>
        <w:tc>
          <w:tcPr>
            <w:tcW w:w="3870" w:type="dxa"/>
          </w:tcPr>
          <w:p w:rsidR="001535A3" w:rsidRDefault="00751470" w:rsidP="003518FC">
            <w:pPr>
              <w:tabs>
                <w:tab w:val="left" w:pos="1671"/>
              </w:tabs>
              <w:ind w:right="-216"/>
              <w:rPr>
                <w:rFonts w:ascii="Baskerville" w:hAnsi="Baskerville" w:cs="Baskerville"/>
              </w:rPr>
            </w:pPr>
            <w:r>
              <w:rPr>
                <w:rFonts w:ascii="Baskerville" w:hAnsi="Baskerville" w:cs="Baskerville"/>
              </w:rPr>
              <w:t>11 (39.3%) use wheelchairs</w:t>
            </w:r>
          </w:p>
        </w:tc>
        <w:tc>
          <w:tcPr>
            <w:tcW w:w="3870" w:type="dxa"/>
          </w:tcPr>
          <w:p w:rsidR="001535A3" w:rsidRDefault="00B529F2" w:rsidP="003518FC">
            <w:pPr>
              <w:tabs>
                <w:tab w:val="left" w:pos="1671"/>
              </w:tabs>
              <w:ind w:right="-216"/>
              <w:rPr>
                <w:rFonts w:ascii="Baskerville" w:hAnsi="Baskerville" w:cs="Baskerville"/>
              </w:rPr>
            </w:pPr>
            <w:r>
              <w:rPr>
                <w:rFonts w:ascii="Baskerville" w:hAnsi="Baskerville" w:cs="Baskerville"/>
              </w:rPr>
              <w:t xml:space="preserve">19 (76%) were ambulatory without </w:t>
            </w:r>
            <w:r w:rsidR="00BA5C86">
              <w:rPr>
                <w:rFonts w:ascii="Baskerville" w:hAnsi="Baskerville" w:cs="Baskerville"/>
              </w:rPr>
              <w:t>support</w:t>
            </w:r>
          </w:p>
        </w:tc>
      </w:tr>
      <w:tr w:rsidR="001535A3" w:rsidTr="00130A59">
        <w:tc>
          <w:tcPr>
            <w:tcW w:w="2160" w:type="dxa"/>
            <w:vAlign w:val="center"/>
          </w:tcPr>
          <w:p w:rsidR="001535A3" w:rsidRDefault="001535A3" w:rsidP="00130A59">
            <w:pPr>
              <w:tabs>
                <w:tab w:val="left" w:pos="1671"/>
              </w:tabs>
              <w:ind w:right="-216"/>
              <w:jc w:val="center"/>
              <w:rPr>
                <w:rFonts w:ascii="Baskerville" w:hAnsi="Baskerville" w:cs="Baskerville"/>
              </w:rPr>
            </w:pPr>
            <w:r>
              <w:rPr>
                <w:rFonts w:ascii="Baskerville" w:hAnsi="Baskerville" w:cs="Baskerville"/>
              </w:rPr>
              <w:t>Highest Level of Communication</w:t>
            </w:r>
          </w:p>
        </w:tc>
        <w:tc>
          <w:tcPr>
            <w:tcW w:w="3870" w:type="dxa"/>
          </w:tcPr>
          <w:p w:rsidR="001535A3" w:rsidRDefault="00B529F2" w:rsidP="003518FC">
            <w:pPr>
              <w:tabs>
                <w:tab w:val="left" w:pos="1671"/>
              </w:tabs>
              <w:ind w:right="-216"/>
              <w:rPr>
                <w:rFonts w:ascii="Baskerville" w:hAnsi="Baskerville" w:cs="Baskerville"/>
              </w:rPr>
            </w:pPr>
            <w:r>
              <w:rPr>
                <w:rFonts w:ascii="Baskerville" w:hAnsi="Baskerville" w:cs="Baskerville"/>
              </w:rPr>
              <w:t>18 (64.3%) use gestures</w:t>
            </w:r>
          </w:p>
        </w:tc>
        <w:tc>
          <w:tcPr>
            <w:tcW w:w="3870" w:type="dxa"/>
          </w:tcPr>
          <w:p w:rsidR="001535A3" w:rsidRDefault="00BA5C86" w:rsidP="003518FC">
            <w:pPr>
              <w:tabs>
                <w:tab w:val="left" w:pos="1671"/>
              </w:tabs>
              <w:ind w:right="-216"/>
              <w:rPr>
                <w:rFonts w:ascii="Baskerville" w:hAnsi="Baskerville" w:cs="Baskerville"/>
              </w:rPr>
            </w:pPr>
            <w:r>
              <w:rPr>
                <w:rFonts w:ascii="Baskerville" w:hAnsi="Baskerville" w:cs="Baskerville"/>
              </w:rPr>
              <w:t>20</w:t>
            </w:r>
            <w:r w:rsidR="007342D7">
              <w:rPr>
                <w:rFonts w:ascii="Baskerville" w:hAnsi="Baskerville" w:cs="Baskerville"/>
              </w:rPr>
              <w:t xml:space="preserve"> (80%) fully articulate</w:t>
            </w:r>
            <w:r w:rsidR="00B529F2">
              <w:rPr>
                <w:rFonts w:ascii="Baskerville" w:hAnsi="Baskerville" w:cs="Baskerville"/>
              </w:rPr>
              <w:t xml:space="preserve"> without</w:t>
            </w:r>
            <w:r w:rsidRPr="004C7927">
              <w:rPr>
                <w:rFonts w:ascii="Baskerville" w:hAnsi="Baskerville" w:cs="Baskerville"/>
              </w:rPr>
              <w:t xml:space="preserve"> assistance</w:t>
            </w:r>
          </w:p>
        </w:tc>
      </w:tr>
      <w:tr w:rsidR="001535A3" w:rsidTr="00130A59">
        <w:tc>
          <w:tcPr>
            <w:tcW w:w="2160" w:type="dxa"/>
            <w:vAlign w:val="center"/>
          </w:tcPr>
          <w:p w:rsidR="001535A3" w:rsidRDefault="001535A3" w:rsidP="00130A59">
            <w:pPr>
              <w:tabs>
                <w:tab w:val="left" w:pos="1671"/>
              </w:tabs>
              <w:ind w:right="-216"/>
              <w:jc w:val="center"/>
              <w:rPr>
                <w:rFonts w:ascii="Baskerville" w:hAnsi="Baskerville" w:cs="Baskerville"/>
              </w:rPr>
            </w:pPr>
            <w:r>
              <w:rPr>
                <w:rFonts w:ascii="Baskerville" w:hAnsi="Baskerville" w:cs="Baskerville"/>
              </w:rPr>
              <w:t>Type of Residence</w:t>
            </w:r>
          </w:p>
        </w:tc>
        <w:tc>
          <w:tcPr>
            <w:tcW w:w="3870" w:type="dxa"/>
          </w:tcPr>
          <w:p w:rsidR="00DF23FD" w:rsidRDefault="00851E13" w:rsidP="003518FC">
            <w:pPr>
              <w:tabs>
                <w:tab w:val="left" w:pos="1671"/>
              </w:tabs>
              <w:ind w:right="-216"/>
              <w:rPr>
                <w:rFonts w:ascii="Baskerville" w:hAnsi="Baskerville" w:cs="Baskerville"/>
              </w:rPr>
            </w:pPr>
            <w:r>
              <w:rPr>
                <w:rFonts w:ascii="Baskerville" w:hAnsi="Baskerville" w:cs="Baskerville"/>
              </w:rPr>
              <w:t xml:space="preserve">26 </w:t>
            </w:r>
            <w:r w:rsidR="00DF23FD">
              <w:rPr>
                <w:rFonts w:ascii="Baskerville" w:hAnsi="Baskerville" w:cs="Baskerville"/>
              </w:rPr>
              <w:t xml:space="preserve">(92.9%) live in congregate </w:t>
            </w:r>
          </w:p>
          <w:p w:rsidR="001535A3" w:rsidRDefault="00DF23FD" w:rsidP="003518FC">
            <w:pPr>
              <w:tabs>
                <w:tab w:val="left" w:pos="1671"/>
              </w:tabs>
              <w:ind w:right="-216"/>
              <w:rPr>
                <w:rFonts w:ascii="Baskerville" w:hAnsi="Baskerville" w:cs="Baskerville"/>
              </w:rPr>
            </w:pPr>
            <w:r>
              <w:rPr>
                <w:rFonts w:ascii="Baskerville" w:hAnsi="Baskerville" w:cs="Baskerville"/>
              </w:rPr>
              <w:t>residential programs</w:t>
            </w:r>
          </w:p>
        </w:tc>
        <w:tc>
          <w:tcPr>
            <w:tcW w:w="3870" w:type="dxa"/>
          </w:tcPr>
          <w:p w:rsidR="001535A3" w:rsidRDefault="00DF23FD" w:rsidP="003518FC">
            <w:pPr>
              <w:tabs>
                <w:tab w:val="left" w:pos="1671"/>
              </w:tabs>
              <w:ind w:right="-216"/>
              <w:rPr>
                <w:rFonts w:ascii="Baskerville" w:hAnsi="Baskerville" w:cs="Baskerville"/>
              </w:rPr>
            </w:pPr>
            <w:r>
              <w:rPr>
                <w:rFonts w:ascii="Baskerville" w:hAnsi="Baskerville" w:cs="Baskerville"/>
              </w:rPr>
              <w:t>23 (92</w:t>
            </w:r>
            <w:r w:rsidR="004903B6">
              <w:rPr>
                <w:rFonts w:ascii="Baskerville" w:hAnsi="Baskerville" w:cs="Baskerville"/>
              </w:rPr>
              <w:t>%) live in his or her own or family’s home</w:t>
            </w:r>
          </w:p>
        </w:tc>
      </w:tr>
    </w:tbl>
    <w:p w:rsidR="00F3688B" w:rsidRDefault="00F3688B" w:rsidP="003518FC">
      <w:pPr>
        <w:tabs>
          <w:tab w:val="left" w:pos="1671"/>
        </w:tabs>
        <w:ind w:right="-216"/>
        <w:rPr>
          <w:rFonts w:ascii="Baskerville" w:hAnsi="Baskerville" w:cs="Baskerville"/>
        </w:rPr>
      </w:pPr>
    </w:p>
    <w:p w:rsidR="00C173E3" w:rsidRPr="004C7927" w:rsidRDefault="008751EF" w:rsidP="003518FC">
      <w:pPr>
        <w:tabs>
          <w:tab w:val="left" w:pos="1671"/>
        </w:tabs>
        <w:ind w:right="-216"/>
        <w:rPr>
          <w:rFonts w:ascii="Baskerville" w:hAnsi="Baskerville" w:cs="Baskerville"/>
        </w:rPr>
      </w:pPr>
      <w:r w:rsidRPr="004C7927">
        <w:rPr>
          <w:rFonts w:ascii="Baskerville" w:hAnsi="Baskerville" w:cs="Baskerville"/>
        </w:rPr>
        <w:t xml:space="preserve">Many of the individuals </w:t>
      </w:r>
      <w:r w:rsidR="003C733E">
        <w:rPr>
          <w:rFonts w:ascii="Baskerville" w:hAnsi="Baskerville" w:cs="Baskerville"/>
        </w:rPr>
        <w:t xml:space="preserve">with DD, other than ID, </w:t>
      </w:r>
      <w:r w:rsidRPr="004C7927">
        <w:rPr>
          <w:rFonts w:ascii="Baskerville" w:hAnsi="Baskerville" w:cs="Baskerville"/>
        </w:rPr>
        <w:t>were diagnosed with Autism Spectrum Disorders</w:t>
      </w:r>
      <w:r w:rsidR="00C173E3" w:rsidRPr="004C7927">
        <w:rPr>
          <w:rFonts w:ascii="Baskerville" w:hAnsi="Baskerville" w:cs="Baskerville"/>
        </w:rPr>
        <w:t>, which is like</w:t>
      </w:r>
      <w:r w:rsidR="00CB28CF">
        <w:rPr>
          <w:rFonts w:ascii="Baskerville" w:hAnsi="Baskerville" w:cs="Baskerville"/>
        </w:rPr>
        <w:t xml:space="preserve">ly the reason for </w:t>
      </w:r>
      <w:r w:rsidR="00C746E7">
        <w:rPr>
          <w:rFonts w:ascii="Baskerville" w:hAnsi="Baskerville" w:cs="Baskerville"/>
        </w:rPr>
        <w:t>the higher</w:t>
      </w:r>
      <w:r w:rsidR="00C173E3" w:rsidRPr="004C7927">
        <w:rPr>
          <w:rFonts w:ascii="Baskerville" w:hAnsi="Baskerville" w:cs="Baskerville"/>
        </w:rPr>
        <w:t xml:space="preserve"> percent of males. The</w:t>
      </w:r>
      <w:r w:rsidR="007D68E2" w:rsidRPr="004C7927">
        <w:rPr>
          <w:rFonts w:ascii="Baskerville" w:hAnsi="Baskerville" w:cs="Baskerville"/>
        </w:rPr>
        <w:t xml:space="preserve"> age profile of those selected</w:t>
      </w:r>
      <w:r w:rsidR="00C746E7">
        <w:rPr>
          <w:rFonts w:ascii="Baskerville" w:hAnsi="Baskerville" w:cs="Baskerville"/>
        </w:rPr>
        <w:t>,</w:t>
      </w:r>
      <w:r w:rsidR="007D68E2" w:rsidRPr="004C7927">
        <w:rPr>
          <w:rFonts w:ascii="Baskerville" w:hAnsi="Baskerville" w:cs="Baskerville"/>
        </w:rPr>
        <w:t xml:space="preserve"> </w:t>
      </w:r>
      <w:r w:rsidR="00AE11B4" w:rsidRPr="004C7927">
        <w:rPr>
          <w:rFonts w:ascii="Baskerville" w:hAnsi="Baskerville" w:cs="Baskerville"/>
        </w:rPr>
        <w:t>and the fact that the</w:t>
      </w:r>
      <w:r w:rsidR="003C733E">
        <w:rPr>
          <w:rFonts w:ascii="Baskerville" w:hAnsi="Baskerville" w:cs="Baskerville"/>
        </w:rPr>
        <w:t xml:space="preserve"> IF</w:t>
      </w:r>
      <w:r w:rsidR="00C173E3" w:rsidRPr="004C7927">
        <w:rPr>
          <w:rFonts w:ascii="Baskerville" w:hAnsi="Baskerville" w:cs="Baskerville"/>
        </w:rPr>
        <w:t>DD</w:t>
      </w:r>
      <w:r w:rsidR="003C733E">
        <w:rPr>
          <w:rFonts w:ascii="Baskerville" w:hAnsi="Baskerville" w:cs="Baskerville"/>
        </w:rPr>
        <w:t>S</w:t>
      </w:r>
      <w:r w:rsidR="00C173E3" w:rsidRPr="004C7927">
        <w:rPr>
          <w:rFonts w:ascii="Baskerville" w:hAnsi="Baskerville" w:cs="Baskerville"/>
        </w:rPr>
        <w:t xml:space="preserve"> waiver slots do not</w:t>
      </w:r>
      <w:r w:rsidR="007D68E2" w:rsidRPr="004C7927">
        <w:rPr>
          <w:rFonts w:ascii="Baskerville" w:hAnsi="Baskerville" w:cs="Baskerville"/>
        </w:rPr>
        <w:t xml:space="preserve"> of</w:t>
      </w:r>
      <w:r w:rsidR="00576B7B">
        <w:rPr>
          <w:rFonts w:ascii="Baskerville" w:hAnsi="Baskerville" w:cs="Baskerville"/>
        </w:rPr>
        <w:t>fer residential programs</w:t>
      </w:r>
      <w:r w:rsidR="00C746E7">
        <w:rPr>
          <w:rFonts w:ascii="Baskerville" w:hAnsi="Baskerville" w:cs="Baskerville"/>
        </w:rPr>
        <w:t>,</w:t>
      </w:r>
      <w:r w:rsidR="00AE11B4" w:rsidRPr="004C7927">
        <w:rPr>
          <w:rFonts w:ascii="Baskerville" w:hAnsi="Baskerville" w:cs="Baskerville"/>
        </w:rPr>
        <w:t xml:space="preserve"> is consistent with </w:t>
      </w:r>
      <w:r w:rsidR="007D68E2" w:rsidRPr="004C7927">
        <w:rPr>
          <w:rFonts w:ascii="Baskerville" w:hAnsi="Baskerville" w:cs="Baskerville"/>
        </w:rPr>
        <w:t>the high</w:t>
      </w:r>
      <w:r w:rsidR="00C746E7">
        <w:rPr>
          <w:rFonts w:ascii="Baskerville" w:hAnsi="Baskerville" w:cs="Baskerville"/>
        </w:rPr>
        <w:t>er</w:t>
      </w:r>
      <w:r w:rsidR="007D68E2" w:rsidRPr="004C7927">
        <w:rPr>
          <w:rFonts w:ascii="Baskerville" w:hAnsi="Baskerville" w:cs="Baskerville"/>
        </w:rPr>
        <w:t xml:space="preserve"> percent</w:t>
      </w:r>
      <w:r w:rsidR="00C746E7">
        <w:rPr>
          <w:rFonts w:ascii="Baskerville" w:hAnsi="Baskerville" w:cs="Baskerville"/>
        </w:rPr>
        <w:t>age</w:t>
      </w:r>
      <w:r w:rsidR="00AE11B4" w:rsidRPr="004C7927">
        <w:rPr>
          <w:rFonts w:ascii="Baskerville" w:hAnsi="Baskerville" w:cs="Baskerville"/>
        </w:rPr>
        <w:t xml:space="preserve"> of the sample living with their families.</w:t>
      </w:r>
    </w:p>
    <w:p w:rsidR="00402FDC" w:rsidRPr="004C7927" w:rsidRDefault="00402FDC" w:rsidP="003518FC">
      <w:pPr>
        <w:tabs>
          <w:tab w:val="left" w:pos="1671"/>
        </w:tabs>
        <w:ind w:right="-216"/>
        <w:rPr>
          <w:rFonts w:ascii="Baskerville" w:hAnsi="Baskerville" w:cs="Baskerville"/>
        </w:rPr>
      </w:pPr>
    </w:p>
    <w:p w:rsidR="00402FDC" w:rsidRPr="004C7927" w:rsidRDefault="00402FDC" w:rsidP="003518FC">
      <w:pPr>
        <w:tabs>
          <w:tab w:val="left" w:pos="1671"/>
        </w:tabs>
        <w:ind w:right="-216"/>
        <w:rPr>
          <w:rFonts w:ascii="Baskerville" w:hAnsi="Baskerville" w:cs="Baskerville"/>
        </w:rPr>
      </w:pPr>
      <w:r w:rsidRPr="004C7927">
        <w:rPr>
          <w:rFonts w:ascii="Baskerville" w:hAnsi="Baskerville" w:cs="Baskerville"/>
        </w:rPr>
        <w:t>Although there were individual exceptions, the study of services for indi</w:t>
      </w:r>
      <w:r w:rsidR="00517ED6" w:rsidRPr="004C7927">
        <w:rPr>
          <w:rFonts w:ascii="Baskerville" w:hAnsi="Baskerville" w:cs="Baskerville"/>
        </w:rPr>
        <w:t>viduals with DD, other than ID, found the following them</w:t>
      </w:r>
      <w:r w:rsidR="00D222D3" w:rsidRPr="004C7927">
        <w:rPr>
          <w:rFonts w:ascii="Baskerville" w:hAnsi="Baskerville" w:cs="Baskerville"/>
        </w:rPr>
        <w:t>e</w:t>
      </w:r>
      <w:r w:rsidR="00517ED6" w:rsidRPr="004C7927">
        <w:rPr>
          <w:rFonts w:ascii="Baskerville" w:hAnsi="Baskerville" w:cs="Baskerville"/>
        </w:rPr>
        <w:t>s</w:t>
      </w:r>
      <w:r w:rsidR="00D222D3" w:rsidRPr="004C7927">
        <w:rPr>
          <w:rFonts w:ascii="Baskerville" w:hAnsi="Baskerville" w:cs="Baskerville"/>
        </w:rPr>
        <w:t>:</w:t>
      </w:r>
    </w:p>
    <w:p w:rsidR="00346FB0" w:rsidRPr="004C7927" w:rsidRDefault="00346FB0" w:rsidP="003518FC">
      <w:pPr>
        <w:tabs>
          <w:tab w:val="left" w:pos="1671"/>
        </w:tabs>
        <w:ind w:right="-216"/>
        <w:rPr>
          <w:rFonts w:ascii="Baskerville" w:hAnsi="Baskerville" w:cs="Baskerville"/>
        </w:rPr>
      </w:pPr>
    </w:p>
    <w:p w:rsidR="00346FB0" w:rsidRPr="004C7927" w:rsidRDefault="00346FB0" w:rsidP="003518FC">
      <w:pPr>
        <w:ind w:right="-216"/>
        <w:rPr>
          <w:rFonts w:ascii="Baskerville" w:hAnsi="Baskerville" w:cs="Baskerville"/>
        </w:rPr>
      </w:pPr>
      <w:r w:rsidRPr="00422F25">
        <w:rPr>
          <w:rFonts w:ascii="Baskerville" w:hAnsi="Baskerville" w:cs="Baskerville"/>
          <w:b/>
        </w:rPr>
        <w:t>a. New waiver services significantly improved the quality of life for individuals with DD, other than ID and their families.</w:t>
      </w:r>
      <w:r w:rsidRPr="004C7927">
        <w:rPr>
          <w:rFonts w:ascii="Baskerville" w:hAnsi="Baskerville" w:cs="Baskerville"/>
        </w:rPr>
        <w:t xml:space="preserve"> The Individual Review teams again found that families demonstrated strengths, often making incredible efforts, while providing loving support for their family members. The level of support required often took physical, emotional, employment and financial tolls </w:t>
      </w:r>
      <w:r w:rsidR="00805A2D">
        <w:rPr>
          <w:rFonts w:ascii="Baskerville" w:hAnsi="Baskerville" w:cs="Baskerville"/>
        </w:rPr>
        <w:t xml:space="preserve">on these </w:t>
      </w:r>
      <w:r w:rsidRPr="004C7927">
        <w:rPr>
          <w:rFonts w:ascii="Baskerville" w:hAnsi="Baskerville" w:cs="Baskerville"/>
        </w:rPr>
        <w:t xml:space="preserve">families. These burdens </w:t>
      </w:r>
      <w:r w:rsidR="00793903">
        <w:rPr>
          <w:rFonts w:ascii="Baskerville" w:hAnsi="Baskerville" w:cs="Baskerville"/>
        </w:rPr>
        <w:t>were eased when a family member</w:t>
      </w:r>
      <w:r w:rsidR="005B347F">
        <w:rPr>
          <w:rFonts w:ascii="Baskerville" w:hAnsi="Baskerville" w:cs="Baskerville"/>
        </w:rPr>
        <w:t xml:space="preserve"> </w:t>
      </w:r>
      <w:r w:rsidR="005B347F" w:rsidRPr="004C7927">
        <w:rPr>
          <w:rFonts w:ascii="Baskerville" w:hAnsi="Baskerville" w:cs="Baskerville"/>
        </w:rPr>
        <w:t>provided the staff support to the individual</w:t>
      </w:r>
      <w:r w:rsidR="005B347F">
        <w:rPr>
          <w:rFonts w:ascii="Baskerville" w:hAnsi="Baskerville" w:cs="Baskerville"/>
        </w:rPr>
        <w:t xml:space="preserve"> because the family member </w:t>
      </w:r>
      <w:r w:rsidR="00793903">
        <w:rPr>
          <w:rFonts w:ascii="Baskerville" w:hAnsi="Baskerville" w:cs="Baskerville"/>
        </w:rPr>
        <w:t>knew the individual well</w:t>
      </w:r>
      <w:r w:rsidR="005B347F">
        <w:rPr>
          <w:rFonts w:ascii="Baskerville" w:hAnsi="Baskerville" w:cs="Baskerville"/>
        </w:rPr>
        <w:t>, understood what providing needed supports involved,</w:t>
      </w:r>
      <w:r w:rsidR="00793903">
        <w:rPr>
          <w:rFonts w:ascii="Baskerville" w:hAnsi="Baskerville" w:cs="Baskerville"/>
        </w:rPr>
        <w:t xml:space="preserve"> and was less likely to resign after a short period of time</w:t>
      </w:r>
      <w:r w:rsidR="00AD2F6B">
        <w:rPr>
          <w:rFonts w:ascii="Baskerville" w:hAnsi="Baskerville" w:cs="Baskerville"/>
        </w:rPr>
        <w:t>.</w:t>
      </w:r>
    </w:p>
    <w:p w:rsidR="00346FB0" w:rsidRPr="004C7927" w:rsidRDefault="00346FB0" w:rsidP="003518FC">
      <w:pPr>
        <w:ind w:right="-216"/>
        <w:rPr>
          <w:rFonts w:ascii="Baskerville" w:hAnsi="Baskerville" w:cs="Baskerville"/>
        </w:rPr>
      </w:pPr>
    </w:p>
    <w:p w:rsidR="00346FB0" w:rsidRDefault="00346FB0" w:rsidP="003518FC">
      <w:pPr>
        <w:ind w:right="-216"/>
        <w:rPr>
          <w:rFonts w:ascii="Baskerville" w:hAnsi="Baskerville" w:cs="Baskerville"/>
        </w:rPr>
      </w:pPr>
      <w:r w:rsidRPr="004C7927">
        <w:rPr>
          <w:rFonts w:ascii="Baskerville" w:hAnsi="Baskerville" w:cs="Baskerville"/>
        </w:rPr>
        <w:t>The positive outcomes included that all twenty-five individuals (100%) were rec</w:t>
      </w:r>
      <w:r w:rsidR="008853C6">
        <w:rPr>
          <w:rFonts w:ascii="Baskerville" w:hAnsi="Baskerville" w:cs="Baskerville"/>
        </w:rPr>
        <w:t>eiving case management services;</w:t>
      </w:r>
      <w:r w:rsidR="00576B7B">
        <w:rPr>
          <w:rFonts w:ascii="Baskerville" w:hAnsi="Baskerville" w:cs="Baskerville"/>
        </w:rPr>
        <w:t xml:space="preserve"> the Individual Support Plans (ISP)/</w:t>
      </w:r>
      <w:r w:rsidRPr="004C7927">
        <w:rPr>
          <w:rFonts w:ascii="Baskerville" w:hAnsi="Baskerville" w:cs="Baskerville"/>
        </w:rPr>
        <w:t>Plans of Care (POC) were current (92%) person-centered (96%), and related to the individuals’ talents, preferences, and needs (92%). Face-to face case management review (96%) occurred every ninety days, as required.  The individuals had a physical examination (92%) within the past twelve months and all were receiving the medical and mental health supports identified in the individuals’ POC recommendations. Overall, the individuals who were living with their families were more engaged with their neighbors and their co</w:t>
      </w:r>
      <w:r w:rsidR="008853C6">
        <w:rPr>
          <w:rFonts w:ascii="Baskerville" w:hAnsi="Baskerville" w:cs="Baskerville"/>
        </w:rPr>
        <w:t>mmunities than</w:t>
      </w:r>
      <w:r w:rsidRPr="004C7927">
        <w:rPr>
          <w:rFonts w:ascii="Baskerville" w:hAnsi="Baskerville" w:cs="Baskerville"/>
        </w:rPr>
        <w:t xml:space="preserve"> individuals studied previously who live in congregate residential programs.</w:t>
      </w:r>
      <w:r w:rsidR="00777FAC">
        <w:rPr>
          <w:rFonts w:ascii="Baskerville" w:hAnsi="Baskerville" w:cs="Baskerville"/>
        </w:rPr>
        <w:t xml:space="preserve"> </w:t>
      </w:r>
      <w:r w:rsidR="002D5C54">
        <w:rPr>
          <w:rFonts w:ascii="Baskerville" w:hAnsi="Baskerville" w:cs="Baskerville"/>
        </w:rPr>
        <w:t>(</w:t>
      </w:r>
      <w:r w:rsidR="00777FAC">
        <w:rPr>
          <w:rFonts w:ascii="Baskerville" w:hAnsi="Baskerville" w:cs="Baskerville"/>
        </w:rPr>
        <w:t xml:space="preserve">The </w:t>
      </w:r>
      <w:r w:rsidR="001748FD">
        <w:rPr>
          <w:rFonts w:ascii="Baskerville" w:hAnsi="Baskerville" w:cs="Baskerville"/>
        </w:rPr>
        <w:t xml:space="preserve">IR was not able to answer most questions related to one individual who was living </w:t>
      </w:r>
      <w:r w:rsidR="00960FBE">
        <w:rPr>
          <w:rFonts w:ascii="Baskerville" w:hAnsi="Baskerville" w:cs="Baskerville"/>
        </w:rPr>
        <w:t xml:space="preserve">away </w:t>
      </w:r>
      <w:r w:rsidR="001748FD">
        <w:rPr>
          <w:rFonts w:ascii="Baskerville" w:hAnsi="Baskerville" w:cs="Baskerville"/>
        </w:rPr>
        <w:t xml:space="preserve">at a </w:t>
      </w:r>
      <w:r w:rsidR="00960FBE">
        <w:rPr>
          <w:rFonts w:ascii="Baskerville" w:hAnsi="Baskerville" w:cs="Baskerville"/>
        </w:rPr>
        <w:t>rehabilitation</w:t>
      </w:r>
      <w:r w:rsidR="001748FD">
        <w:rPr>
          <w:rFonts w:ascii="Baskerville" w:hAnsi="Baskerville" w:cs="Baskerville"/>
        </w:rPr>
        <w:t xml:space="preserve"> </w:t>
      </w:r>
      <w:r w:rsidR="00960FBE">
        <w:rPr>
          <w:rFonts w:ascii="Baskerville" w:hAnsi="Baskerville" w:cs="Baskerville"/>
        </w:rPr>
        <w:t>fac</w:t>
      </w:r>
      <w:r w:rsidR="00BC5D11">
        <w:rPr>
          <w:rFonts w:ascii="Baskerville" w:hAnsi="Baskerville" w:cs="Baskerville"/>
        </w:rPr>
        <w:t>ility. Many answers pertained</w:t>
      </w:r>
      <w:r w:rsidR="00960FBE">
        <w:rPr>
          <w:rFonts w:ascii="Baskerville" w:hAnsi="Baskerville" w:cs="Baskerville"/>
        </w:rPr>
        <w:t xml:space="preserve"> to twenty-four individuals.</w:t>
      </w:r>
      <w:r w:rsidR="002D5C54">
        <w:rPr>
          <w:rFonts w:ascii="Baskerville" w:hAnsi="Baskerville" w:cs="Baskerville"/>
        </w:rPr>
        <w:t>)</w:t>
      </w:r>
    </w:p>
    <w:p w:rsidR="006907DE" w:rsidRDefault="006907DE" w:rsidP="003518FC">
      <w:pPr>
        <w:ind w:right="-216"/>
        <w:rPr>
          <w:rFonts w:ascii="Baskerville" w:hAnsi="Baskerville" w:cs="Baskerville"/>
        </w:rPr>
      </w:pPr>
    </w:p>
    <w:p w:rsidR="006907DE" w:rsidRDefault="006907DE" w:rsidP="003518FC">
      <w:pPr>
        <w:ind w:right="-216"/>
        <w:rPr>
          <w:rFonts w:ascii="Baskerville" w:hAnsi="Baskerville" w:cs="Baskerville"/>
        </w:rPr>
      </w:pPr>
    </w:p>
    <w:p w:rsidR="006907DE" w:rsidRPr="004C7927" w:rsidRDefault="006907DE" w:rsidP="003518FC">
      <w:pPr>
        <w:ind w:right="-216"/>
        <w:rPr>
          <w:rFonts w:ascii="Baskerville" w:hAnsi="Baskerville" w:cs="Baskerville"/>
        </w:rPr>
      </w:pPr>
    </w:p>
    <w:p w:rsidR="006F14FF" w:rsidRDefault="006A3B20" w:rsidP="006F14FF">
      <w:pPr>
        <w:ind w:right="-216"/>
        <w:rPr>
          <w:rFonts w:ascii="Baskerville" w:hAnsi="Baskerville" w:cs="Baskerville"/>
        </w:rPr>
      </w:pPr>
      <w:r>
        <w:rPr>
          <w:rFonts w:ascii="Baskerville" w:hAnsi="Baskerville" w:cs="Baskerville"/>
        </w:rPr>
        <w:t xml:space="preserve">The IR identified </w:t>
      </w:r>
      <w:r w:rsidR="006E15BD">
        <w:rPr>
          <w:rFonts w:ascii="Baskerville" w:hAnsi="Baskerville" w:cs="Baskerville"/>
        </w:rPr>
        <w:t>a</w:t>
      </w:r>
      <w:r w:rsidR="00346FB0" w:rsidRPr="004C7927">
        <w:rPr>
          <w:rFonts w:ascii="Baskerville" w:hAnsi="Baskerville" w:cs="Baskerville"/>
        </w:rPr>
        <w:t xml:space="preserve">reas of concern </w:t>
      </w:r>
      <w:r>
        <w:rPr>
          <w:rFonts w:ascii="Baskerville" w:hAnsi="Baskerville" w:cs="Baskerville"/>
        </w:rPr>
        <w:t>including that s</w:t>
      </w:r>
      <w:r w:rsidR="00DC2941">
        <w:rPr>
          <w:rFonts w:ascii="Baskerville" w:hAnsi="Baskerville" w:cs="Baskerville"/>
        </w:rPr>
        <w:t>everal</w:t>
      </w:r>
      <w:r w:rsidR="00346FB0" w:rsidRPr="004C7927">
        <w:rPr>
          <w:rFonts w:ascii="Baskerville" w:hAnsi="Baskerville" w:cs="Baskerville"/>
        </w:rPr>
        <w:t xml:space="preserve"> individuals </w:t>
      </w:r>
      <w:r w:rsidR="00DC2941">
        <w:rPr>
          <w:rFonts w:ascii="Baskerville" w:hAnsi="Baskerville" w:cs="Baskerville"/>
        </w:rPr>
        <w:t xml:space="preserve">were </w:t>
      </w:r>
      <w:r w:rsidR="00346FB0" w:rsidRPr="004C7927">
        <w:rPr>
          <w:rFonts w:ascii="Baskerville" w:hAnsi="Baskerville" w:cs="Baskerville"/>
        </w:rPr>
        <w:t>not receiving services identified in the</w:t>
      </w:r>
      <w:r w:rsidR="00DC2941">
        <w:rPr>
          <w:rFonts w:ascii="Baskerville" w:hAnsi="Baskerville" w:cs="Baskerville"/>
        </w:rPr>
        <w:t>ir</w:t>
      </w:r>
      <w:r w:rsidR="00346FB0" w:rsidRPr="004C7927">
        <w:rPr>
          <w:rFonts w:ascii="Baskerville" w:hAnsi="Baskerville" w:cs="Baskerville"/>
        </w:rPr>
        <w:t xml:space="preserve"> ISP</w:t>
      </w:r>
      <w:r>
        <w:rPr>
          <w:rFonts w:ascii="Baskerville" w:hAnsi="Baskerville" w:cs="Baskerville"/>
        </w:rPr>
        <w:t>s</w:t>
      </w:r>
      <w:r w:rsidR="00576B7B">
        <w:rPr>
          <w:rFonts w:ascii="Baskerville" w:hAnsi="Baskerville" w:cs="Baskerville"/>
        </w:rPr>
        <w:t>/POCs</w:t>
      </w:r>
      <w:r>
        <w:rPr>
          <w:rFonts w:ascii="Baskerville" w:hAnsi="Baskerville" w:cs="Baskerville"/>
        </w:rPr>
        <w:t>, as follows:</w:t>
      </w:r>
      <w:r w:rsidR="00DC2941">
        <w:rPr>
          <w:rFonts w:ascii="Baskerville" w:hAnsi="Baskerville" w:cs="Baskerville"/>
        </w:rPr>
        <w:t xml:space="preserve"> </w:t>
      </w:r>
    </w:p>
    <w:p w:rsidR="00934B2F" w:rsidRDefault="006F14FF" w:rsidP="00F73F28">
      <w:pPr>
        <w:ind w:left="630" w:right="-216" w:hanging="630"/>
        <w:rPr>
          <w:rFonts w:ascii="Baskerville" w:hAnsi="Baskerville" w:cs="Baskerville"/>
        </w:rPr>
      </w:pPr>
      <w:r>
        <w:rPr>
          <w:rFonts w:ascii="Wingdings" w:hAnsi="Wingdings"/>
          <w:color w:val="000000"/>
        </w:rPr>
        <w:t></w:t>
      </w:r>
      <w:r w:rsidRPr="002C000C">
        <w:rPr>
          <w:rFonts w:ascii="Wingdings" w:hAnsi="Wingdings"/>
          <w:color w:val="000000"/>
        </w:rPr>
        <w:t></w:t>
      </w:r>
      <w:r w:rsidRPr="004C7927">
        <w:rPr>
          <w:rFonts w:ascii="Baskerville" w:hAnsi="Baskerville" w:cs="Baskerville"/>
        </w:rPr>
        <w:t xml:space="preserve"> </w:t>
      </w:r>
      <w:r>
        <w:rPr>
          <w:rFonts w:ascii="Baskerville" w:hAnsi="Baskerville" w:cs="Baskerville"/>
        </w:rPr>
        <w:t xml:space="preserve">   </w:t>
      </w:r>
      <w:r w:rsidR="00934B2F">
        <w:rPr>
          <w:rFonts w:ascii="Baskerville" w:hAnsi="Baskerville" w:cs="Baskerville"/>
        </w:rPr>
        <w:t>e</w:t>
      </w:r>
      <w:r w:rsidR="003821F4">
        <w:rPr>
          <w:rFonts w:ascii="Baskerville" w:hAnsi="Baskerville" w:cs="Baskerville"/>
        </w:rPr>
        <w:t xml:space="preserve">ight </w:t>
      </w:r>
      <w:r w:rsidR="003821F4" w:rsidRPr="004C7927">
        <w:rPr>
          <w:rFonts w:ascii="Baskerville" w:hAnsi="Baskerville" w:cs="Baskerville"/>
        </w:rPr>
        <w:t xml:space="preserve">(33.3%) </w:t>
      </w:r>
      <w:r w:rsidR="003821F4">
        <w:rPr>
          <w:rFonts w:ascii="Baskerville" w:hAnsi="Baskerville" w:cs="Baskerville"/>
        </w:rPr>
        <w:t xml:space="preserve">of twenty-four individuals had </w:t>
      </w:r>
      <w:r w:rsidR="00346FB0" w:rsidRPr="004C7927">
        <w:rPr>
          <w:rFonts w:ascii="Baskerville" w:hAnsi="Baskerville" w:cs="Baskerville"/>
        </w:rPr>
        <w:t>not been examined by a dentist wit</w:t>
      </w:r>
      <w:r w:rsidR="00934B2F">
        <w:rPr>
          <w:rFonts w:ascii="Baskerville" w:hAnsi="Baskerville" w:cs="Baskerville"/>
        </w:rPr>
        <w:t xml:space="preserve">hin the last </w:t>
      </w:r>
      <w:r w:rsidR="002D5C54">
        <w:rPr>
          <w:rFonts w:ascii="Baskerville" w:hAnsi="Baskerville" w:cs="Baskerville"/>
        </w:rPr>
        <w:t xml:space="preserve"> </w:t>
      </w:r>
      <w:r w:rsidR="00F73F28">
        <w:rPr>
          <w:rFonts w:ascii="Baskerville" w:hAnsi="Baskerville" w:cs="Baskerville"/>
        </w:rPr>
        <w:t xml:space="preserve">        t</w:t>
      </w:r>
      <w:r w:rsidR="00934B2F">
        <w:rPr>
          <w:rFonts w:ascii="Baskerville" w:hAnsi="Baskerville" w:cs="Baskerville"/>
        </w:rPr>
        <w:t>we</w:t>
      </w:r>
      <w:r w:rsidR="002D5C54">
        <w:rPr>
          <w:rFonts w:ascii="Baskerville" w:hAnsi="Baskerville" w:cs="Baskerville"/>
        </w:rPr>
        <w:t>lve months;</w:t>
      </w:r>
      <w:r w:rsidR="00934B2F">
        <w:rPr>
          <w:rFonts w:ascii="Baskerville" w:hAnsi="Baskerville" w:cs="Baskerville"/>
        </w:rPr>
        <w:t xml:space="preserve"> </w:t>
      </w:r>
    </w:p>
    <w:p w:rsidR="00934B2F" w:rsidRDefault="00D1405C" w:rsidP="00410AE7">
      <w:pPr>
        <w:ind w:right="-216"/>
        <w:rPr>
          <w:rFonts w:ascii="Baskerville" w:hAnsi="Baskerville" w:cs="Baskerville"/>
        </w:rPr>
      </w:pPr>
      <w:r>
        <w:rPr>
          <w:rFonts w:ascii="Wingdings" w:hAnsi="Wingdings"/>
          <w:color w:val="000000"/>
        </w:rPr>
        <w:t></w:t>
      </w:r>
      <w:r w:rsidRPr="002C000C">
        <w:rPr>
          <w:rFonts w:ascii="Wingdings" w:hAnsi="Wingdings"/>
          <w:color w:val="000000"/>
        </w:rPr>
        <w:t></w:t>
      </w:r>
      <w:r w:rsidRPr="004C7927">
        <w:rPr>
          <w:rFonts w:ascii="Baskerville" w:hAnsi="Baskerville" w:cs="Baskerville"/>
        </w:rPr>
        <w:t xml:space="preserve"> </w:t>
      </w:r>
      <w:r>
        <w:rPr>
          <w:rFonts w:ascii="Baskerville" w:hAnsi="Baskerville" w:cs="Baskerville"/>
        </w:rPr>
        <w:t xml:space="preserve">  </w:t>
      </w:r>
      <w:r w:rsidR="00410AE7">
        <w:rPr>
          <w:rFonts w:ascii="Baskerville" w:hAnsi="Baskerville" w:cs="Baskerville"/>
        </w:rPr>
        <w:t xml:space="preserve"> </w:t>
      </w:r>
      <w:r w:rsidR="00934B2F">
        <w:rPr>
          <w:rFonts w:ascii="Baskerville" w:hAnsi="Baskerville" w:cs="Baskerville"/>
        </w:rPr>
        <w:t xml:space="preserve">five (41.7%) of </w:t>
      </w:r>
      <w:r w:rsidR="00346FB0" w:rsidRPr="004C7927">
        <w:rPr>
          <w:rFonts w:ascii="Baskerville" w:hAnsi="Baskerville" w:cs="Baskerville"/>
        </w:rPr>
        <w:t xml:space="preserve">twelve adults </w:t>
      </w:r>
      <w:r w:rsidR="0002756A">
        <w:rPr>
          <w:rFonts w:ascii="Baskerville" w:hAnsi="Baskerville" w:cs="Baskerville"/>
        </w:rPr>
        <w:t xml:space="preserve">were </w:t>
      </w:r>
      <w:r w:rsidR="00346FB0" w:rsidRPr="004C7927">
        <w:rPr>
          <w:rFonts w:ascii="Baskerville" w:hAnsi="Baskerville" w:cs="Baskerville"/>
        </w:rPr>
        <w:t>not receiving recreati</w:t>
      </w:r>
      <w:r w:rsidR="00934B2F">
        <w:rPr>
          <w:rFonts w:ascii="Baskerville" w:hAnsi="Baskerville" w:cs="Baskerville"/>
        </w:rPr>
        <w:t>on or day/employment services</w:t>
      </w:r>
      <w:r w:rsidR="00611119">
        <w:rPr>
          <w:rFonts w:ascii="Baskerville" w:hAnsi="Baskerville" w:cs="Baskerville"/>
        </w:rPr>
        <w:t>;</w:t>
      </w:r>
    </w:p>
    <w:p w:rsidR="00B22E04" w:rsidRDefault="00D1405C" w:rsidP="00410AE7">
      <w:pPr>
        <w:ind w:right="-216"/>
        <w:rPr>
          <w:rFonts w:ascii="Baskerville" w:hAnsi="Baskerville" w:cs="Baskerville"/>
        </w:rPr>
      </w:pPr>
      <w:r>
        <w:rPr>
          <w:rFonts w:ascii="Wingdings" w:hAnsi="Wingdings"/>
          <w:color w:val="000000"/>
        </w:rPr>
        <w:t></w:t>
      </w:r>
      <w:r w:rsidRPr="002C000C">
        <w:rPr>
          <w:rFonts w:ascii="Wingdings" w:hAnsi="Wingdings"/>
          <w:color w:val="000000"/>
        </w:rPr>
        <w:t></w:t>
      </w:r>
      <w:r w:rsidRPr="004C7927">
        <w:rPr>
          <w:rFonts w:ascii="Baskerville" w:hAnsi="Baskerville" w:cs="Baskerville"/>
        </w:rPr>
        <w:t xml:space="preserve"> </w:t>
      </w:r>
      <w:r>
        <w:rPr>
          <w:rFonts w:ascii="Baskerville" w:hAnsi="Baskerville" w:cs="Baskerville"/>
        </w:rPr>
        <w:t xml:space="preserve">  </w:t>
      </w:r>
      <w:r w:rsidR="00410AE7">
        <w:rPr>
          <w:rFonts w:ascii="Baskerville" w:hAnsi="Baskerville" w:cs="Baskerville"/>
        </w:rPr>
        <w:t xml:space="preserve"> </w:t>
      </w:r>
      <w:r w:rsidR="00934B2F">
        <w:rPr>
          <w:rFonts w:ascii="Baskerville" w:hAnsi="Baskerville" w:cs="Baskerville"/>
        </w:rPr>
        <w:t>f</w:t>
      </w:r>
      <w:r w:rsidR="009F701E">
        <w:rPr>
          <w:rFonts w:ascii="Baskerville" w:hAnsi="Baskerville" w:cs="Baskerville"/>
        </w:rPr>
        <w:t xml:space="preserve">ive (55.6%) of nine </w:t>
      </w:r>
      <w:r w:rsidR="009F701E" w:rsidRPr="004C7927">
        <w:rPr>
          <w:rFonts w:ascii="Baskerville" w:hAnsi="Baskerville" w:cs="Baskerville"/>
        </w:rPr>
        <w:t>adults</w:t>
      </w:r>
      <w:r w:rsidR="009F701E">
        <w:rPr>
          <w:rFonts w:ascii="Baskerville" w:hAnsi="Baskerville" w:cs="Baskerville"/>
        </w:rPr>
        <w:t xml:space="preserve"> were not offered i</w:t>
      </w:r>
      <w:r w:rsidR="00346FB0" w:rsidRPr="004C7927">
        <w:rPr>
          <w:rFonts w:ascii="Baskerville" w:hAnsi="Baskerville" w:cs="Baskerville"/>
        </w:rPr>
        <w:t>ntegrated day</w:t>
      </w:r>
      <w:r w:rsidR="00611119">
        <w:rPr>
          <w:rFonts w:ascii="Baskerville" w:hAnsi="Baskerville" w:cs="Baskerville"/>
        </w:rPr>
        <w:t xml:space="preserve"> opportunities;</w:t>
      </w:r>
    </w:p>
    <w:p w:rsidR="00C53AE8" w:rsidRDefault="00410AE7" w:rsidP="00C53AE8">
      <w:pPr>
        <w:ind w:right="-216" w:hanging="270"/>
        <w:rPr>
          <w:rFonts w:ascii="Baskerville" w:hAnsi="Baskerville" w:cs="Baskerville"/>
        </w:rPr>
      </w:pPr>
      <w:r>
        <w:rPr>
          <w:rFonts w:ascii="Wingdings" w:hAnsi="Wingdings"/>
          <w:color w:val="000000"/>
        </w:rPr>
        <w:tab/>
      </w:r>
      <w:r w:rsidR="00B22E04">
        <w:rPr>
          <w:rFonts w:ascii="Wingdings" w:hAnsi="Wingdings"/>
          <w:color w:val="000000"/>
        </w:rPr>
        <w:t></w:t>
      </w:r>
      <w:r w:rsidR="00B22E04" w:rsidRPr="002C000C">
        <w:rPr>
          <w:rFonts w:ascii="Wingdings" w:hAnsi="Wingdings"/>
          <w:color w:val="000000"/>
        </w:rPr>
        <w:t></w:t>
      </w:r>
      <w:r w:rsidR="00B22E04" w:rsidRPr="004C7927">
        <w:rPr>
          <w:rFonts w:ascii="Baskerville" w:hAnsi="Baskerville" w:cs="Baskerville"/>
        </w:rPr>
        <w:t xml:space="preserve"> </w:t>
      </w:r>
      <w:r w:rsidR="00B22E04">
        <w:rPr>
          <w:rFonts w:ascii="Baskerville" w:hAnsi="Baskerville" w:cs="Baskerville"/>
        </w:rPr>
        <w:t xml:space="preserve">  </w:t>
      </w:r>
      <w:r>
        <w:rPr>
          <w:rFonts w:ascii="Baskerville" w:hAnsi="Baskerville" w:cs="Baskerville"/>
        </w:rPr>
        <w:t xml:space="preserve"> </w:t>
      </w:r>
      <w:r w:rsidR="00AC3D99">
        <w:rPr>
          <w:rFonts w:ascii="Baskerville" w:hAnsi="Baskerville" w:cs="Baskerville"/>
        </w:rPr>
        <w:t>six</w:t>
      </w:r>
      <w:r w:rsidR="00AD2F6B">
        <w:rPr>
          <w:rFonts w:ascii="Baskerville" w:hAnsi="Baskerville" w:cs="Baskerville"/>
        </w:rPr>
        <w:t>teen</w:t>
      </w:r>
      <w:r w:rsidR="00FB35FF">
        <w:rPr>
          <w:rFonts w:ascii="Baskerville" w:hAnsi="Baskerville" w:cs="Baskerville"/>
        </w:rPr>
        <w:t xml:space="preserve"> </w:t>
      </w:r>
      <w:r w:rsidR="00B22E04">
        <w:rPr>
          <w:rFonts w:ascii="Baskerville" w:hAnsi="Baskerville" w:cs="Baskerville"/>
        </w:rPr>
        <w:t>(64%)</w:t>
      </w:r>
      <w:r w:rsidR="00AD2F6B">
        <w:rPr>
          <w:rFonts w:ascii="Baskerville" w:hAnsi="Baskerville" w:cs="Baskerville"/>
        </w:rPr>
        <w:t xml:space="preserve"> of twenty-four individuals</w:t>
      </w:r>
      <w:r w:rsidR="00B22E04">
        <w:rPr>
          <w:rFonts w:ascii="Baskerville" w:hAnsi="Baskerville" w:cs="Baskerville"/>
        </w:rPr>
        <w:t xml:space="preserve"> had Plans of Care that </w:t>
      </w:r>
      <w:r w:rsidR="00346FB0" w:rsidRPr="004C7927">
        <w:rPr>
          <w:rFonts w:ascii="Baskerville" w:hAnsi="Baskerville" w:cs="Baskerville"/>
        </w:rPr>
        <w:t>lacked specific outcome</w:t>
      </w:r>
      <w:r w:rsidR="00B22E04">
        <w:rPr>
          <w:rFonts w:ascii="Baskerville" w:hAnsi="Baskerville" w:cs="Baskerville"/>
        </w:rPr>
        <w:t>s</w:t>
      </w:r>
    </w:p>
    <w:p w:rsidR="00346FB0" w:rsidRPr="004C7927" w:rsidRDefault="00C53AE8" w:rsidP="00C53AE8">
      <w:pPr>
        <w:ind w:right="-216" w:hanging="270"/>
        <w:rPr>
          <w:rFonts w:ascii="Baskerville" w:hAnsi="Baskerville" w:cs="Baskerville"/>
        </w:rPr>
      </w:pPr>
      <w:r>
        <w:rPr>
          <w:rFonts w:ascii="Baskerville" w:hAnsi="Baskerville" w:cs="Baskerville"/>
        </w:rPr>
        <w:t xml:space="preserve">           </w:t>
      </w:r>
      <w:r w:rsidR="00B22E04">
        <w:rPr>
          <w:rFonts w:ascii="Baskerville" w:hAnsi="Baskerville" w:cs="Baskerville"/>
        </w:rPr>
        <w:t xml:space="preserve">   </w:t>
      </w:r>
      <w:r w:rsidR="006A2283" w:rsidRPr="004C7927">
        <w:rPr>
          <w:rFonts w:ascii="Baskerville" w:hAnsi="Baskerville" w:cs="Baskerville"/>
        </w:rPr>
        <w:t>that leads</w:t>
      </w:r>
      <w:r w:rsidR="00346FB0" w:rsidRPr="004C7927">
        <w:rPr>
          <w:rFonts w:ascii="Baskerville" w:hAnsi="Baskerville" w:cs="Baskerville"/>
        </w:rPr>
        <w:t xml:space="preserve"> to skill development and increased independence.</w:t>
      </w:r>
    </w:p>
    <w:p w:rsidR="0091647D" w:rsidRPr="004C7927" w:rsidRDefault="0091647D" w:rsidP="003518FC">
      <w:pPr>
        <w:ind w:left="720" w:right="-216"/>
        <w:rPr>
          <w:rFonts w:ascii="Baskerville" w:hAnsi="Baskerville" w:cs="Baskerville"/>
        </w:rPr>
      </w:pPr>
    </w:p>
    <w:p w:rsidR="00346FB0" w:rsidRDefault="00346FB0" w:rsidP="003518FC">
      <w:pPr>
        <w:tabs>
          <w:tab w:val="left" w:pos="1671"/>
        </w:tabs>
        <w:ind w:right="-216"/>
        <w:rPr>
          <w:rFonts w:ascii="Baskerville" w:hAnsi="Baskerville" w:cs="Baskerville"/>
        </w:rPr>
      </w:pPr>
      <w:r w:rsidRPr="00422F25">
        <w:rPr>
          <w:rFonts w:ascii="Baskerville" w:hAnsi="Baskerville" w:cs="Baskerville"/>
          <w:b/>
        </w:rPr>
        <w:t>b. Families often have great difficulty recruiting and retaining support staff to provide essential in-home support services.</w:t>
      </w:r>
      <w:r w:rsidRPr="004C7927">
        <w:rPr>
          <w:rFonts w:ascii="Baskerville" w:hAnsi="Baskerville" w:cs="Baskerville"/>
        </w:rPr>
        <w:t xml:space="preserve"> Families report th</w:t>
      </w:r>
      <w:r w:rsidR="00E71AF6">
        <w:rPr>
          <w:rFonts w:ascii="Baskerville" w:hAnsi="Baskerville" w:cs="Baskerville"/>
        </w:rPr>
        <w:t>at agency-</w:t>
      </w:r>
      <w:r w:rsidRPr="004C7927">
        <w:rPr>
          <w:rFonts w:ascii="Baskerville" w:hAnsi="Baskerville" w:cs="Baskerville"/>
        </w:rPr>
        <w:t>provided support staff lack training in the elements of the individual’s service needs, including basic understanding of the unique issues associated with supporting an individual w</w:t>
      </w:r>
      <w:r w:rsidR="00E9669F">
        <w:rPr>
          <w:rFonts w:ascii="Baskerville" w:hAnsi="Baskerville" w:cs="Baskerville"/>
        </w:rPr>
        <w:t>ith an Autism Spectrum Disorder</w:t>
      </w:r>
      <w:r w:rsidRPr="004C7927">
        <w:rPr>
          <w:rFonts w:ascii="Baskerville" w:hAnsi="Baskerville" w:cs="Baskerville"/>
        </w:rPr>
        <w:t xml:space="preserve"> or traumatic brain injury. Several families reported deciding to stop trying to recruit needed support staff. The burden of the efforts to find staff and to make sure they were competent was compounded when the staff soon resigned without notice lea</w:t>
      </w:r>
      <w:r w:rsidR="00FB35FF">
        <w:rPr>
          <w:rFonts w:ascii="Baskerville" w:hAnsi="Baskerville" w:cs="Baskerville"/>
        </w:rPr>
        <w:t xml:space="preserve">ving their family member, </w:t>
      </w:r>
      <w:r w:rsidRPr="004C7927">
        <w:rPr>
          <w:rFonts w:ascii="Baskerville" w:hAnsi="Baskerville" w:cs="Baskerville"/>
        </w:rPr>
        <w:t>who has difficulty with change,</w:t>
      </w:r>
      <w:r>
        <w:rPr>
          <w:rFonts w:ascii="Baskerville" w:hAnsi="Baskerville" w:cs="Baskerville"/>
        </w:rPr>
        <w:t xml:space="preserve"> in emotional turmoil. Many families, again during this review period, reported delays with their support staff being paid in a reas</w:t>
      </w:r>
      <w:r w:rsidR="00E9669F">
        <w:rPr>
          <w:rFonts w:ascii="Baskerville" w:hAnsi="Baskerville" w:cs="Baskerville"/>
        </w:rPr>
        <w:t xml:space="preserve">onable time. One family said, “It just wasn’t worth it.” </w:t>
      </w:r>
      <w:r>
        <w:rPr>
          <w:rFonts w:ascii="Baskerville" w:hAnsi="Baskerville" w:cs="Baskerville"/>
        </w:rPr>
        <w:t xml:space="preserve"> This problem of maintaining consistent staff was more pronounced in rural areas. </w:t>
      </w:r>
    </w:p>
    <w:p w:rsidR="00346FB0" w:rsidRDefault="00346FB0" w:rsidP="003518FC">
      <w:pPr>
        <w:tabs>
          <w:tab w:val="left" w:pos="1671"/>
        </w:tabs>
        <w:ind w:right="-216"/>
        <w:rPr>
          <w:rFonts w:ascii="Baskerville" w:hAnsi="Baskerville" w:cs="Baskerville"/>
        </w:rPr>
      </w:pPr>
    </w:p>
    <w:p w:rsidR="00346FB0" w:rsidRDefault="00346FB0" w:rsidP="003518FC">
      <w:pPr>
        <w:tabs>
          <w:tab w:val="left" w:pos="1671"/>
        </w:tabs>
        <w:ind w:right="-216"/>
        <w:rPr>
          <w:rFonts w:ascii="Baskerville" w:hAnsi="Baskerville" w:cs="Baskerville"/>
        </w:rPr>
      </w:pPr>
      <w:r>
        <w:rPr>
          <w:rFonts w:ascii="Baskerville" w:hAnsi="Baskerville" w:cs="Baskerville"/>
          <w:b/>
        </w:rPr>
        <w:t xml:space="preserve">c. </w:t>
      </w:r>
      <w:r w:rsidRPr="00DC78B5">
        <w:rPr>
          <w:rFonts w:ascii="Baskerville" w:hAnsi="Baskerville" w:cs="Baskerville"/>
          <w:b/>
        </w:rPr>
        <w:t xml:space="preserve">Children and adults with DD, other than ID, </w:t>
      </w:r>
      <w:r>
        <w:rPr>
          <w:rFonts w:ascii="Baskerville" w:hAnsi="Baskerville" w:cs="Baskerville"/>
          <w:b/>
        </w:rPr>
        <w:t>who also have</w:t>
      </w:r>
      <w:r w:rsidRPr="00DC78B5">
        <w:rPr>
          <w:rFonts w:ascii="Baskerville" w:hAnsi="Baskerville" w:cs="Baskerville"/>
          <w:b/>
        </w:rPr>
        <w:t xml:space="preserve"> significant medical needs</w:t>
      </w:r>
      <w:r w:rsidR="00422F25">
        <w:rPr>
          <w:rFonts w:ascii="Baskerville" w:hAnsi="Baskerville" w:cs="Baskerville"/>
          <w:b/>
        </w:rPr>
        <w:t>,</w:t>
      </w:r>
      <w:r w:rsidRPr="00DC78B5">
        <w:rPr>
          <w:rFonts w:ascii="Baskerville" w:hAnsi="Baskerville" w:cs="Baskerville"/>
          <w:b/>
        </w:rPr>
        <w:t xml:space="preserve"> were not able to access crisis stabilization (out of home) or in-patient psychiatric services.</w:t>
      </w:r>
      <w:r w:rsidR="00E71AF6">
        <w:rPr>
          <w:rFonts w:ascii="Baskerville" w:hAnsi="Baskerville" w:cs="Baskerville"/>
        </w:rPr>
        <w:t xml:space="preserve"> Children with DD</w:t>
      </w:r>
      <w:r>
        <w:rPr>
          <w:rFonts w:ascii="Baskerville" w:hAnsi="Baskerville" w:cs="Baskerville"/>
        </w:rPr>
        <w:t xml:space="preserve"> and co-occurring beha</w:t>
      </w:r>
      <w:r w:rsidR="00E71AF6">
        <w:rPr>
          <w:rFonts w:ascii="Baskerville" w:hAnsi="Baskerville" w:cs="Baskerville"/>
        </w:rPr>
        <w:t>vioral and/or psychiatric needs</w:t>
      </w:r>
      <w:r w:rsidRPr="00E465AC">
        <w:rPr>
          <w:rFonts w:ascii="Baskerville" w:hAnsi="Baskerville" w:cs="Baskerville"/>
        </w:rPr>
        <w:t xml:space="preserve"> </w:t>
      </w:r>
      <w:r>
        <w:rPr>
          <w:rFonts w:ascii="Baskerville" w:hAnsi="Baskerville" w:cs="Baskerville"/>
        </w:rPr>
        <w:t>lack available and accessible crisis services.  Many individuals lacked available and accessible behavioral support services.</w:t>
      </w:r>
    </w:p>
    <w:p w:rsidR="00346FB0" w:rsidRDefault="00346FB0" w:rsidP="003518FC">
      <w:pPr>
        <w:tabs>
          <w:tab w:val="left" w:pos="1671"/>
        </w:tabs>
        <w:ind w:right="-216"/>
        <w:rPr>
          <w:rFonts w:ascii="Baskerville" w:hAnsi="Baskerville" w:cs="Baskerville"/>
        </w:rPr>
      </w:pPr>
    </w:p>
    <w:p w:rsidR="00346FB0" w:rsidRDefault="00346FB0" w:rsidP="003518FC">
      <w:pPr>
        <w:tabs>
          <w:tab w:val="left" w:pos="1671"/>
        </w:tabs>
        <w:ind w:right="-216"/>
        <w:rPr>
          <w:rFonts w:ascii="Baskerville" w:hAnsi="Baskerville" w:cs="Baskerville"/>
        </w:rPr>
      </w:pPr>
      <w:r w:rsidRPr="00516573">
        <w:rPr>
          <w:rFonts w:ascii="Baskerville" w:hAnsi="Baskerville" w:cs="Baskerville"/>
          <w:b/>
        </w:rPr>
        <w:t>d. Families</w:t>
      </w:r>
      <w:r>
        <w:rPr>
          <w:rFonts w:ascii="Baskerville" w:hAnsi="Baskerville" w:cs="Baskerville"/>
          <w:b/>
        </w:rPr>
        <w:t xml:space="preserve"> lack </w:t>
      </w:r>
      <w:r w:rsidRPr="00516573">
        <w:rPr>
          <w:rFonts w:ascii="Baskerville" w:hAnsi="Baskerville" w:cs="Baskerville"/>
          <w:b/>
        </w:rPr>
        <w:t xml:space="preserve">accessible guidelines and case management supports to know how to seek </w:t>
      </w:r>
      <w:r>
        <w:rPr>
          <w:rFonts w:ascii="Baskerville" w:hAnsi="Baskerville" w:cs="Baskerville"/>
          <w:b/>
        </w:rPr>
        <w:t xml:space="preserve">and obtain </w:t>
      </w:r>
      <w:r w:rsidRPr="00516573">
        <w:rPr>
          <w:rFonts w:ascii="Baskerville" w:hAnsi="Baskerville" w:cs="Baskerville"/>
          <w:b/>
        </w:rPr>
        <w:t>services.</w:t>
      </w:r>
      <w:r>
        <w:rPr>
          <w:rFonts w:ascii="Baskerville" w:hAnsi="Baskerville" w:cs="Baskerville"/>
        </w:rPr>
        <w:t xml:space="preserve"> Two families reported nearly losing their waiver slots because they did not know how to obtain needed services, thinking that the case manager was responsible. Many families were not aware o</w:t>
      </w:r>
      <w:r w:rsidR="00FB35FF">
        <w:rPr>
          <w:rFonts w:ascii="Baskerville" w:hAnsi="Baskerville" w:cs="Baskerville"/>
        </w:rPr>
        <w:t>f REACH crisis services and all</w:t>
      </w:r>
      <w:r>
        <w:rPr>
          <w:rFonts w:ascii="Baskerville" w:hAnsi="Baskerville" w:cs="Baskerville"/>
        </w:rPr>
        <w:t xml:space="preserve"> reported being </w:t>
      </w:r>
      <w:r w:rsidR="00FB35FF">
        <w:rPr>
          <w:rFonts w:ascii="Baskerville" w:hAnsi="Baskerville" w:cs="Baskerville"/>
        </w:rPr>
        <w:t>un</w:t>
      </w:r>
      <w:r>
        <w:rPr>
          <w:rFonts w:ascii="Baskerville" w:hAnsi="Baskerville" w:cs="Baskerville"/>
        </w:rPr>
        <w:t xml:space="preserve">aware of the Individual and Family Support Program. Many families reported difficulty securing the services they need including dental, recreation, day/employment, and behavioral supports. Many families </w:t>
      </w:r>
      <w:r w:rsidR="001272A8">
        <w:rPr>
          <w:rFonts w:ascii="Baskerville" w:hAnsi="Baskerville" w:cs="Baskerville"/>
        </w:rPr>
        <w:t>reported learning</w:t>
      </w:r>
      <w:r>
        <w:rPr>
          <w:rFonts w:ascii="Baskerville" w:hAnsi="Baskerville" w:cs="Baskerville"/>
        </w:rPr>
        <w:t xml:space="preserve"> about the importance of available service options from friends or advocacy organizations.</w:t>
      </w:r>
    </w:p>
    <w:p w:rsidR="00346FB0" w:rsidRDefault="00346FB0" w:rsidP="003518FC">
      <w:pPr>
        <w:tabs>
          <w:tab w:val="left" w:pos="1671"/>
        </w:tabs>
        <w:ind w:right="-216"/>
        <w:rPr>
          <w:rFonts w:ascii="Baskerville" w:hAnsi="Baskerville" w:cs="Baskerville"/>
        </w:rPr>
      </w:pPr>
    </w:p>
    <w:p w:rsidR="00346FB0" w:rsidRDefault="00346FB0" w:rsidP="003518FC">
      <w:pPr>
        <w:tabs>
          <w:tab w:val="left" w:pos="1671"/>
        </w:tabs>
        <w:ind w:right="-216"/>
        <w:rPr>
          <w:rFonts w:ascii="Baskerville" w:hAnsi="Baskerville" w:cs="Baskerville"/>
        </w:rPr>
      </w:pPr>
      <w:r w:rsidRPr="003B2FA0">
        <w:rPr>
          <w:rFonts w:ascii="Baskerville" w:hAnsi="Baskerville" w:cs="Baskerville"/>
          <w:b/>
        </w:rPr>
        <w:t>e. Individuals have been exposed to significant and avoidable risks due to the inadequate oversight and management of adaptive equipment.</w:t>
      </w:r>
      <w:r>
        <w:rPr>
          <w:rFonts w:ascii="Baskerville" w:hAnsi="Baskerville" w:cs="Baskerville"/>
        </w:rPr>
        <w:t xml:space="preserve"> </w:t>
      </w:r>
      <w:r w:rsidRPr="00CA5AD7">
        <w:rPr>
          <w:rFonts w:ascii="Baskerville" w:hAnsi="Baskerville" w:cs="Baskerville"/>
        </w:rPr>
        <w:t xml:space="preserve">One </w:t>
      </w:r>
      <w:r w:rsidR="00C5731D">
        <w:rPr>
          <w:rFonts w:ascii="Baskerville" w:hAnsi="Baskerville" w:cs="Baskerville"/>
        </w:rPr>
        <w:t>individual is unnecessarily bed-</w:t>
      </w:r>
      <w:r w:rsidRPr="00CA5AD7">
        <w:rPr>
          <w:rFonts w:ascii="Baskerville" w:hAnsi="Baskerville" w:cs="Baskerville"/>
        </w:rPr>
        <w:t>ridden because her mechanical li</w:t>
      </w:r>
      <w:r w:rsidR="00C5731D">
        <w:rPr>
          <w:rFonts w:ascii="Baskerville" w:hAnsi="Baskerville" w:cs="Baskerville"/>
        </w:rPr>
        <w:t xml:space="preserve">ft requires two staff but </w:t>
      </w:r>
      <w:r w:rsidRPr="00CA5AD7">
        <w:rPr>
          <w:rFonts w:ascii="Baskerville" w:hAnsi="Baskerville" w:cs="Baskerville"/>
        </w:rPr>
        <w:t xml:space="preserve">no more than one is ever on duty. Another individual stays in his apartment and does not engage his community because his motorized wheel chair stalls and he is afraid </w:t>
      </w:r>
      <w:r>
        <w:rPr>
          <w:rFonts w:ascii="Baskerville" w:hAnsi="Baskerville" w:cs="Baskerville"/>
        </w:rPr>
        <w:t>that it will stall in the community and</w:t>
      </w:r>
      <w:r w:rsidRPr="00CA5AD7">
        <w:rPr>
          <w:rFonts w:ascii="Baskerville" w:hAnsi="Baskerville" w:cs="Baskerville"/>
        </w:rPr>
        <w:t xml:space="preserve"> </w:t>
      </w:r>
      <w:r>
        <w:rPr>
          <w:rFonts w:ascii="Baskerville" w:hAnsi="Baskerville" w:cs="Baskerville"/>
        </w:rPr>
        <w:t>put him at risk</w:t>
      </w:r>
      <w:r w:rsidRPr="00CA5AD7">
        <w:rPr>
          <w:rFonts w:ascii="Baskerville" w:hAnsi="Baskerville" w:cs="Baskerville"/>
        </w:rPr>
        <w:t xml:space="preserve">. </w:t>
      </w:r>
      <w:r>
        <w:rPr>
          <w:rFonts w:ascii="Baskerville" w:hAnsi="Baskerville" w:cs="Baskerville"/>
        </w:rPr>
        <w:t>F</w:t>
      </w:r>
      <w:r w:rsidRPr="00CA5AD7">
        <w:rPr>
          <w:rFonts w:ascii="Baskerville" w:hAnsi="Baskerville" w:cs="Baskerville"/>
        </w:rPr>
        <w:t xml:space="preserve">ollowing </w:t>
      </w:r>
      <w:r>
        <w:rPr>
          <w:rFonts w:ascii="Baskerville" w:hAnsi="Baskerville" w:cs="Baskerville"/>
        </w:rPr>
        <w:t>one boy</w:t>
      </w:r>
      <w:r w:rsidR="001272A8">
        <w:rPr>
          <w:rFonts w:ascii="Baskerville" w:hAnsi="Baskerville" w:cs="Baskerville"/>
        </w:rPr>
        <w:t>’</w:t>
      </w:r>
      <w:r>
        <w:rPr>
          <w:rFonts w:ascii="Baskerville" w:hAnsi="Baskerville" w:cs="Baskerville"/>
        </w:rPr>
        <w:t xml:space="preserve">s orthopedic </w:t>
      </w:r>
      <w:r w:rsidRPr="00CA5AD7">
        <w:rPr>
          <w:rFonts w:ascii="Baskerville" w:hAnsi="Baskerville" w:cs="Baskerville"/>
        </w:rPr>
        <w:t>surgery</w:t>
      </w:r>
      <w:r w:rsidR="001272A8">
        <w:rPr>
          <w:rFonts w:ascii="Baskerville" w:hAnsi="Baskerville" w:cs="Baskerville"/>
        </w:rPr>
        <w:t>,</w:t>
      </w:r>
      <w:r>
        <w:rPr>
          <w:rFonts w:ascii="Baskerville" w:hAnsi="Baskerville" w:cs="Baskerville"/>
        </w:rPr>
        <w:t xml:space="preserve"> his </w:t>
      </w:r>
      <w:r w:rsidRPr="00CA5AD7">
        <w:rPr>
          <w:rFonts w:ascii="Baskerville" w:hAnsi="Baskerville" w:cs="Baskerville"/>
        </w:rPr>
        <w:t xml:space="preserve">wheel </w:t>
      </w:r>
      <w:r>
        <w:rPr>
          <w:rFonts w:ascii="Baskerville" w:hAnsi="Baskerville" w:cs="Baskerville"/>
        </w:rPr>
        <w:t xml:space="preserve">chair adaptations were delayed </w:t>
      </w:r>
      <w:r w:rsidRPr="00CA5AD7">
        <w:rPr>
          <w:rFonts w:ascii="Baskerville" w:hAnsi="Baskerville" w:cs="Baskerville"/>
        </w:rPr>
        <w:t>excessive</w:t>
      </w:r>
      <w:r>
        <w:rPr>
          <w:rFonts w:ascii="Baskerville" w:hAnsi="Baskerville" w:cs="Baskerville"/>
        </w:rPr>
        <w:t xml:space="preserve">ly. The delay </w:t>
      </w:r>
      <w:r w:rsidRPr="00CA5AD7">
        <w:rPr>
          <w:rFonts w:ascii="Baskerville" w:hAnsi="Baskerville" w:cs="Baskerville"/>
        </w:rPr>
        <w:t xml:space="preserve">put him at risk of harm and </w:t>
      </w:r>
      <w:r w:rsidR="0009600C">
        <w:rPr>
          <w:rFonts w:ascii="Baskerville" w:hAnsi="Baskerville" w:cs="Baskerville"/>
        </w:rPr>
        <w:t xml:space="preserve">of required </w:t>
      </w:r>
      <w:r w:rsidRPr="00CA5AD7">
        <w:rPr>
          <w:rFonts w:ascii="Baskerville" w:hAnsi="Baskerville" w:cs="Baskerville"/>
        </w:rPr>
        <w:t xml:space="preserve">additional, unnecessary surgery to correct </w:t>
      </w:r>
      <w:r>
        <w:rPr>
          <w:rFonts w:ascii="Baskerville" w:hAnsi="Baskerville" w:cs="Baskerville"/>
        </w:rPr>
        <w:t xml:space="preserve">a problem that the adaptations were intended </w:t>
      </w:r>
      <w:r w:rsidRPr="00CA5AD7">
        <w:rPr>
          <w:rFonts w:ascii="Baskerville" w:hAnsi="Baskerville" w:cs="Baskerville"/>
        </w:rPr>
        <w:t>to prevent.</w:t>
      </w:r>
    </w:p>
    <w:p w:rsidR="00346FB0" w:rsidRDefault="00346FB0" w:rsidP="003518FC">
      <w:pPr>
        <w:ind w:right="-216"/>
        <w:rPr>
          <w:rFonts w:ascii="Baskerville" w:hAnsi="Baskerville" w:cs="Baskerville"/>
        </w:rPr>
      </w:pPr>
    </w:p>
    <w:p w:rsidR="004C7927" w:rsidRPr="004C7927" w:rsidRDefault="00B51427" w:rsidP="003518FC">
      <w:pPr>
        <w:tabs>
          <w:tab w:val="left" w:pos="1671"/>
        </w:tabs>
        <w:ind w:right="-216"/>
        <w:rPr>
          <w:rFonts w:ascii="Baskerville" w:hAnsi="Baskerville" w:cs="Baskerville"/>
        </w:rPr>
      </w:pPr>
      <w:r>
        <w:rPr>
          <w:rFonts w:ascii="Baskerville" w:hAnsi="Baskerville" w:cs="Baskerville"/>
        </w:rPr>
        <w:t>By themselves, f</w:t>
      </w:r>
      <w:r w:rsidR="004C7927" w:rsidRPr="004C7927">
        <w:rPr>
          <w:rFonts w:ascii="Baskerville" w:hAnsi="Baskerville" w:cs="Baskerville"/>
        </w:rPr>
        <w:t>indings f</w:t>
      </w:r>
      <w:r w:rsidR="00F60080">
        <w:rPr>
          <w:rFonts w:ascii="Baskerville" w:hAnsi="Baskerville" w:cs="Baskerville"/>
        </w:rPr>
        <w:t xml:space="preserve">or this subgroup </w:t>
      </w:r>
      <w:r w:rsidR="004C7927" w:rsidRPr="004C7927">
        <w:rPr>
          <w:rFonts w:ascii="Baskerville" w:hAnsi="Baskerville" w:cs="Baskerville"/>
        </w:rPr>
        <w:t>cannot</w:t>
      </w:r>
      <w:r w:rsidR="00327B69">
        <w:rPr>
          <w:rFonts w:ascii="Baskerville" w:hAnsi="Baskerville" w:cs="Baskerville"/>
        </w:rPr>
        <w:t xml:space="preserve"> </w:t>
      </w:r>
      <w:r w:rsidR="00327B69" w:rsidRPr="004C7927">
        <w:rPr>
          <w:rFonts w:ascii="Baskerville" w:hAnsi="Baskerville" w:cs="Baskerville"/>
        </w:rPr>
        <w:t>be generalized</w:t>
      </w:r>
      <w:r w:rsidR="00F60080">
        <w:rPr>
          <w:rFonts w:ascii="Baskerville" w:hAnsi="Baskerville" w:cs="Baskerville"/>
        </w:rPr>
        <w:t>,</w:t>
      </w:r>
      <w:r w:rsidR="004C7927" w:rsidRPr="004C7927">
        <w:rPr>
          <w:rFonts w:ascii="Baskerville" w:hAnsi="Baskerville" w:cs="Baskerville"/>
        </w:rPr>
        <w:t xml:space="preserve"> </w:t>
      </w:r>
      <w:r w:rsidR="00F60080" w:rsidRPr="004C7927">
        <w:rPr>
          <w:rFonts w:ascii="Baskerville" w:hAnsi="Baskerville" w:cs="Baskerville"/>
        </w:rPr>
        <w:t>with sufficient confidence</w:t>
      </w:r>
      <w:r w:rsidR="00215F9C">
        <w:rPr>
          <w:rFonts w:ascii="Baskerville" w:hAnsi="Baskerville" w:cs="Baskerville"/>
        </w:rPr>
        <w:t>,</w:t>
      </w:r>
      <w:r w:rsidR="00F60080" w:rsidRPr="004C7927">
        <w:rPr>
          <w:rFonts w:ascii="Baskerville" w:hAnsi="Baskerville" w:cs="Baskerville"/>
        </w:rPr>
        <w:t xml:space="preserve"> </w:t>
      </w:r>
      <w:r w:rsidR="004C7927" w:rsidRPr="004C7927">
        <w:rPr>
          <w:rFonts w:ascii="Baskerville" w:hAnsi="Baskerville" w:cs="Baskerville"/>
        </w:rPr>
        <w:t>to the entire state or t</w:t>
      </w:r>
      <w:r w:rsidR="00327B69">
        <w:rPr>
          <w:rFonts w:ascii="Baskerville" w:hAnsi="Baskerville" w:cs="Baskerville"/>
        </w:rPr>
        <w:t>o the whole target population. C</w:t>
      </w:r>
      <w:r w:rsidR="00327B69" w:rsidRPr="004C7927">
        <w:rPr>
          <w:rFonts w:ascii="Baskerville" w:hAnsi="Baskerville" w:cs="Baskerville"/>
        </w:rPr>
        <w:t>ompliance ratings can be determined with sufficient confidence</w:t>
      </w:r>
      <w:r w:rsidR="00570A45">
        <w:rPr>
          <w:rFonts w:ascii="Baskerville" w:hAnsi="Baskerville" w:cs="Baskerville"/>
        </w:rPr>
        <w:t xml:space="preserve">, however, when </w:t>
      </w:r>
      <w:r w:rsidR="004C7927" w:rsidRPr="004C7927">
        <w:rPr>
          <w:rFonts w:ascii="Baskerville" w:hAnsi="Baskerville" w:cs="Baskerville"/>
        </w:rPr>
        <w:t>findings</w:t>
      </w:r>
      <w:r w:rsidR="00215F9C">
        <w:rPr>
          <w:rFonts w:ascii="Baskerville" w:hAnsi="Baskerville" w:cs="Baskerville"/>
        </w:rPr>
        <w:t xml:space="preserve"> </w:t>
      </w:r>
      <w:r w:rsidR="004C7927" w:rsidRPr="004C7927">
        <w:rPr>
          <w:rFonts w:ascii="Baskerville" w:hAnsi="Baskerville" w:cs="Baskerville"/>
        </w:rPr>
        <w:t>are consistent</w:t>
      </w:r>
      <w:r w:rsidR="00570A45">
        <w:rPr>
          <w:rFonts w:ascii="Baskerville" w:hAnsi="Baskerville" w:cs="Baskerville"/>
        </w:rPr>
        <w:t xml:space="preserve"> </w:t>
      </w:r>
      <w:r w:rsidR="004C7927" w:rsidRPr="004C7927">
        <w:rPr>
          <w:rFonts w:ascii="Baskerville" w:hAnsi="Baskerville" w:cs="Baskerville"/>
        </w:rPr>
        <w:t>with the same positive outcome</w:t>
      </w:r>
      <w:r w:rsidR="000C4037">
        <w:rPr>
          <w:rFonts w:ascii="Baskerville" w:hAnsi="Baskerville" w:cs="Baskerville"/>
        </w:rPr>
        <w:t xml:space="preserve">s and areas of concern </w:t>
      </w:r>
      <w:r w:rsidR="004C7927" w:rsidRPr="004C7927">
        <w:rPr>
          <w:rFonts w:ascii="Baskerville" w:hAnsi="Baskerville" w:cs="Baskerville"/>
        </w:rPr>
        <w:t>found in multiple studies d</w:t>
      </w:r>
      <w:r w:rsidR="000C4037">
        <w:rPr>
          <w:rFonts w:ascii="Baskerville" w:hAnsi="Baskerville" w:cs="Baskerville"/>
        </w:rPr>
        <w:t>uri</w:t>
      </w:r>
      <w:r w:rsidR="00A90985">
        <w:rPr>
          <w:rFonts w:ascii="Baskerville" w:hAnsi="Baskerville" w:cs="Baskerville"/>
        </w:rPr>
        <w:t xml:space="preserve">ng different review periods </w:t>
      </w:r>
      <w:r w:rsidR="000C4037">
        <w:rPr>
          <w:rFonts w:ascii="Baskerville" w:hAnsi="Baskerville" w:cs="Baskerville"/>
        </w:rPr>
        <w:t>for different subgroups</w:t>
      </w:r>
      <w:r w:rsidR="004C7927" w:rsidRPr="004C7927">
        <w:rPr>
          <w:rFonts w:ascii="Baskerville" w:hAnsi="Baskerville" w:cs="Baskerville"/>
        </w:rPr>
        <w:t xml:space="preserve"> and </w:t>
      </w:r>
      <w:r w:rsidR="000C4037">
        <w:rPr>
          <w:rFonts w:ascii="Baskerville" w:hAnsi="Baskerville" w:cs="Baskerville"/>
        </w:rPr>
        <w:t xml:space="preserve">in different </w:t>
      </w:r>
      <w:r w:rsidR="00761539">
        <w:rPr>
          <w:rFonts w:ascii="Baskerville" w:hAnsi="Baskerville" w:cs="Baskerville"/>
        </w:rPr>
        <w:t>geographic areas</w:t>
      </w:r>
      <w:r w:rsidR="004C7927" w:rsidRPr="004C7927">
        <w:rPr>
          <w:rFonts w:ascii="Baskerville" w:hAnsi="Baskerville" w:cs="Baskerville"/>
        </w:rPr>
        <w:t>. Findings that are unique for one subgroup or one geographic area will be targeted for gathering and verifying facts in future individual review or independent consultant studies.</w:t>
      </w:r>
    </w:p>
    <w:p w:rsidR="004C7927" w:rsidRPr="0091265E" w:rsidRDefault="004C7927" w:rsidP="003518FC">
      <w:pPr>
        <w:ind w:right="-216"/>
        <w:rPr>
          <w:rFonts w:ascii="Baskerville" w:hAnsi="Baskerville" w:cs="Baskerville"/>
        </w:rPr>
      </w:pPr>
    </w:p>
    <w:p w:rsidR="00346FB0" w:rsidRPr="0091265E" w:rsidRDefault="004F092B" w:rsidP="003518FC">
      <w:pPr>
        <w:tabs>
          <w:tab w:val="left" w:pos="1671"/>
        </w:tabs>
        <w:ind w:right="-216"/>
        <w:rPr>
          <w:rFonts w:ascii="Baskerville" w:hAnsi="Baskerville" w:cs="Baskerville"/>
        </w:rPr>
      </w:pPr>
      <w:r>
        <w:rPr>
          <w:rFonts w:ascii="Baskerville" w:hAnsi="Baskerville" w:cs="Baskerville"/>
        </w:rPr>
        <w:t>The IR</w:t>
      </w:r>
      <w:r w:rsidR="00346FB0" w:rsidRPr="0091265E">
        <w:rPr>
          <w:rFonts w:ascii="Baskerville" w:hAnsi="Baskerville" w:cs="Baskerville"/>
        </w:rPr>
        <w:t xml:space="preserve"> has provided the Individual Review reports to the Commonwealth so that it will review the issues identified for each individual. The Independent Reviewer has asked the Commonwealth to share the reports with the individual’s </w:t>
      </w:r>
      <w:r w:rsidR="004232CE">
        <w:rPr>
          <w:rFonts w:ascii="Baskerville" w:hAnsi="Baskerville" w:cs="Baskerville"/>
        </w:rPr>
        <w:t xml:space="preserve">direct service </w:t>
      </w:r>
      <w:r w:rsidR="00346FB0" w:rsidRPr="0091265E">
        <w:rPr>
          <w:rFonts w:ascii="Baskerville" w:hAnsi="Baskerville" w:cs="Baskerville"/>
        </w:rPr>
        <w:t>provider</w:t>
      </w:r>
      <w:r w:rsidR="004232CE">
        <w:rPr>
          <w:rFonts w:ascii="Baskerville" w:hAnsi="Baskerville" w:cs="Baskerville"/>
        </w:rPr>
        <w:t>(s)</w:t>
      </w:r>
      <w:r w:rsidR="00346FB0" w:rsidRPr="0091265E">
        <w:rPr>
          <w:rFonts w:ascii="Baskerville" w:hAnsi="Baskerville" w:cs="Baskerville"/>
        </w:rPr>
        <w:t xml:space="preserve"> and </w:t>
      </w:r>
      <w:r w:rsidR="004232CE">
        <w:rPr>
          <w:rFonts w:ascii="Baskerville" w:hAnsi="Baskerville" w:cs="Baskerville"/>
        </w:rPr>
        <w:t>case manager</w:t>
      </w:r>
      <w:r w:rsidR="00346FB0" w:rsidRPr="0091265E">
        <w:rPr>
          <w:rFonts w:ascii="Baskerville" w:hAnsi="Baskerville" w:cs="Baskerville"/>
        </w:rPr>
        <w:t xml:space="preserve"> and</w:t>
      </w:r>
      <w:r w:rsidR="0088359F">
        <w:rPr>
          <w:rFonts w:ascii="Baskerville" w:hAnsi="Baskerville" w:cs="Baskerville"/>
        </w:rPr>
        <w:t xml:space="preserve">, </w:t>
      </w:r>
      <w:r w:rsidR="0088359F" w:rsidRPr="0091265E">
        <w:rPr>
          <w:rFonts w:ascii="Baskerville" w:hAnsi="Baskerville" w:cs="Baskerville"/>
        </w:rPr>
        <w:t>b</w:t>
      </w:r>
      <w:r w:rsidR="0088359F">
        <w:rPr>
          <w:rFonts w:ascii="Baskerville" w:hAnsi="Baskerville" w:cs="Baskerville"/>
        </w:rPr>
        <w:t xml:space="preserve">y September 30, 2015, to provide updates </w:t>
      </w:r>
      <w:r w:rsidR="00724EFC">
        <w:rPr>
          <w:rFonts w:ascii="Baskerville" w:hAnsi="Baskerville" w:cs="Baskerville"/>
        </w:rPr>
        <w:t>on actions taken and the results in</w:t>
      </w:r>
      <w:r w:rsidR="00346FB0" w:rsidRPr="0091265E">
        <w:rPr>
          <w:rFonts w:ascii="Baskerville" w:hAnsi="Baskerville" w:cs="Baskerville"/>
        </w:rPr>
        <w:t xml:space="preserve"> regard to the issues identified.</w:t>
      </w:r>
    </w:p>
    <w:p w:rsidR="00346FB0" w:rsidRPr="0091265E" w:rsidRDefault="00346FB0" w:rsidP="003518FC">
      <w:pPr>
        <w:tabs>
          <w:tab w:val="left" w:pos="1671"/>
        </w:tabs>
        <w:ind w:right="-216"/>
        <w:rPr>
          <w:rFonts w:ascii="Baskerville" w:hAnsi="Baskerville" w:cs="Baskerville"/>
        </w:rPr>
      </w:pPr>
    </w:p>
    <w:p w:rsidR="005B3187" w:rsidRPr="004C7927" w:rsidRDefault="00346FB0" w:rsidP="003518FC">
      <w:pPr>
        <w:tabs>
          <w:tab w:val="left" w:pos="1671"/>
        </w:tabs>
        <w:ind w:right="-216"/>
        <w:rPr>
          <w:rFonts w:ascii="Baskerville" w:hAnsi="Baskerville" w:cs="Baskerville"/>
        </w:rPr>
      </w:pPr>
      <w:r w:rsidRPr="0091265E">
        <w:rPr>
          <w:rFonts w:ascii="Baskerville" w:hAnsi="Baskerville" w:cs="Baskerville"/>
        </w:rPr>
        <w:t>Selected tables with the Indiv</w:t>
      </w:r>
      <w:r w:rsidR="00A90985">
        <w:rPr>
          <w:rFonts w:ascii="Baskerville" w:hAnsi="Baskerville" w:cs="Baskerville"/>
        </w:rPr>
        <w:t>idual Review S</w:t>
      </w:r>
      <w:r>
        <w:rPr>
          <w:rFonts w:ascii="Baskerville" w:hAnsi="Baskerville" w:cs="Baskerville"/>
        </w:rPr>
        <w:t xml:space="preserve">tudy’s findings </w:t>
      </w:r>
      <w:r w:rsidRPr="0091265E">
        <w:rPr>
          <w:rFonts w:ascii="Baskerville" w:hAnsi="Baskerville" w:cs="Baskerville"/>
        </w:rPr>
        <w:t>are attached (Appendix A). The Independent Reviewer has separated findings from the study into tables focusing on positive outcomes and areas of concern. The findi</w:t>
      </w:r>
      <w:r w:rsidR="00A90985">
        <w:rPr>
          <w:rFonts w:ascii="Baskerville" w:hAnsi="Baskerville" w:cs="Baskerville"/>
        </w:rPr>
        <w:t>ngs from the Individual Review S</w:t>
      </w:r>
      <w:r w:rsidRPr="0091265E">
        <w:rPr>
          <w:rFonts w:ascii="Baskerville" w:hAnsi="Baskerville" w:cs="Baskerville"/>
        </w:rPr>
        <w:t xml:space="preserve">tudy are also cited in the Independent Reviewer’s comments in the </w:t>
      </w:r>
      <w:r w:rsidR="005B3187">
        <w:rPr>
          <w:rFonts w:ascii="Baskerville" w:hAnsi="Baskerville" w:cs="Baskerville"/>
        </w:rPr>
        <w:t xml:space="preserve">Summary of </w:t>
      </w:r>
      <w:r w:rsidRPr="0091265E">
        <w:rPr>
          <w:rFonts w:ascii="Baskerville" w:hAnsi="Baskerville" w:cs="Baskerville"/>
        </w:rPr>
        <w:t xml:space="preserve">Compliance </w:t>
      </w:r>
      <w:r w:rsidR="00576DC9">
        <w:rPr>
          <w:rFonts w:ascii="Baskerville" w:hAnsi="Baskerville" w:cs="Baskerville"/>
        </w:rPr>
        <w:t>table. These comments also cite e</w:t>
      </w:r>
      <w:r w:rsidR="005B3187" w:rsidRPr="004C7927">
        <w:rPr>
          <w:rFonts w:ascii="Baskerville" w:hAnsi="Baskerville" w:cs="Baskerville"/>
        </w:rPr>
        <w:t xml:space="preserve">xamples </w:t>
      </w:r>
      <w:r w:rsidR="00576DC9">
        <w:rPr>
          <w:rFonts w:ascii="Baskerville" w:hAnsi="Baskerville" w:cs="Baskerville"/>
        </w:rPr>
        <w:t xml:space="preserve">of patterns </w:t>
      </w:r>
      <w:r w:rsidR="005B3187" w:rsidRPr="004C7927">
        <w:rPr>
          <w:rFonts w:ascii="Baskerville" w:hAnsi="Baskerville" w:cs="Baskerville"/>
        </w:rPr>
        <w:t>from multiple independent review st</w:t>
      </w:r>
      <w:r w:rsidR="005B3187">
        <w:rPr>
          <w:rFonts w:ascii="Baskerville" w:hAnsi="Baskerville" w:cs="Baskerville"/>
        </w:rPr>
        <w:t>udies</w:t>
      </w:r>
      <w:r w:rsidR="005B3187" w:rsidRPr="004C7927">
        <w:rPr>
          <w:rFonts w:ascii="Baskerville" w:hAnsi="Baskerville" w:cs="Baskerville"/>
        </w:rPr>
        <w:t>.</w:t>
      </w:r>
    </w:p>
    <w:p w:rsidR="000731FA" w:rsidRDefault="000731FA" w:rsidP="003518FC">
      <w:pPr>
        <w:tabs>
          <w:tab w:val="left" w:pos="1671"/>
        </w:tabs>
        <w:ind w:right="-216"/>
        <w:rPr>
          <w:rFonts w:ascii="Baskerville" w:hAnsi="Baskerville" w:cs="Baskerville"/>
          <w:b/>
          <w:sz w:val="28"/>
          <w:szCs w:val="28"/>
        </w:rPr>
      </w:pPr>
    </w:p>
    <w:p w:rsidR="00504AB9" w:rsidRDefault="001E617B" w:rsidP="003518FC">
      <w:pPr>
        <w:pStyle w:val="ListParagraph"/>
        <w:numPr>
          <w:ilvl w:val="0"/>
          <w:numId w:val="45"/>
        </w:numPr>
        <w:tabs>
          <w:tab w:val="left" w:pos="1671"/>
          <w:tab w:val="left" w:pos="1980"/>
        </w:tabs>
        <w:ind w:left="360" w:right="-216"/>
        <w:rPr>
          <w:rFonts w:ascii="Baskerville" w:hAnsi="Baskerville" w:cs="Baskerville"/>
          <w:b/>
        </w:rPr>
      </w:pPr>
      <w:r>
        <w:rPr>
          <w:rFonts w:ascii="Baskerville" w:hAnsi="Baskerville" w:cs="Baskerville"/>
          <w:b/>
        </w:rPr>
        <w:t>Case Management and Licensing</w:t>
      </w:r>
    </w:p>
    <w:p w:rsidR="001C40A7" w:rsidRDefault="00CE2909" w:rsidP="003518FC">
      <w:pPr>
        <w:tabs>
          <w:tab w:val="left" w:pos="1671"/>
          <w:tab w:val="left" w:pos="1980"/>
        </w:tabs>
        <w:ind w:right="-216"/>
        <w:rPr>
          <w:rFonts w:ascii="Baskerville" w:hAnsi="Baskerville" w:cs="Baskerville"/>
        </w:rPr>
      </w:pPr>
      <w:r>
        <w:rPr>
          <w:rFonts w:ascii="Baskerville" w:hAnsi="Baskerville" w:cs="Baskerville"/>
        </w:rPr>
        <w:t xml:space="preserve">The Parties </w:t>
      </w:r>
      <w:r w:rsidR="00D16C52">
        <w:rPr>
          <w:rFonts w:ascii="Baskerville" w:hAnsi="Baskerville" w:cs="Baskerville"/>
        </w:rPr>
        <w:t>decided that</w:t>
      </w:r>
      <w:r>
        <w:rPr>
          <w:rFonts w:ascii="Baskerville" w:hAnsi="Baskerville" w:cs="Baskerville"/>
        </w:rPr>
        <w:t xml:space="preserve"> Case Management </w:t>
      </w:r>
      <w:r w:rsidR="00D16C52">
        <w:rPr>
          <w:rFonts w:ascii="Baskerville" w:hAnsi="Baskerville" w:cs="Baskerville"/>
        </w:rPr>
        <w:t>should be the first specific service listed in their</w:t>
      </w:r>
      <w:r w:rsidR="003A430A">
        <w:rPr>
          <w:rFonts w:ascii="Baskerville" w:hAnsi="Baskerville" w:cs="Baskerville"/>
        </w:rPr>
        <w:t xml:space="preserve"> Settlement Agreement. This decision is consistent with the Independent Reviewer’s opinion that the case manage</w:t>
      </w:r>
      <w:r w:rsidR="00397C35">
        <w:rPr>
          <w:rFonts w:ascii="Baskerville" w:hAnsi="Baskerville" w:cs="Baskerville"/>
        </w:rPr>
        <w:t>r is the most important single resource for an ind</w:t>
      </w:r>
      <w:r w:rsidR="00575948">
        <w:rPr>
          <w:rFonts w:ascii="Baskerville" w:hAnsi="Baskerville" w:cs="Baskerville"/>
        </w:rPr>
        <w:t>ividual with ID/DD and his or her family. The case manager is the hub</w:t>
      </w:r>
      <w:r w:rsidR="00FF0047">
        <w:rPr>
          <w:rFonts w:ascii="Baskerville" w:hAnsi="Baskerville" w:cs="Baskerville"/>
        </w:rPr>
        <w:t xml:space="preserve"> of the</w:t>
      </w:r>
      <w:r w:rsidR="00A431F9">
        <w:rPr>
          <w:rFonts w:ascii="Baskerville" w:hAnsi="Baskerville" w:cs="Baskerville"/>
        </w:rPr>
        <w:t>ir</w:t>
      </w:r>
      <w:r w:rsidR="00FF0047">
        <w:rPr>
          <w:rFonts w:ascii="Baskerville" w:hAnsi="Baskerville" w:cs="Baskerville"/>
        </w:rPr>
        <w:t xml:space="preserve"> services system</w:t>
      </w:r>
      <w:r w:rsidR="00A431F9">
        <w:rPr>
          <w:rFonts w:ascii="Baskerville" w:hAnsi="Baskerville" w:cs="Baskerville"/>
        </w:rPr>
        <w:t>. It is the case manager who assembles the Individual Support Team and makes sure that the</w:t>
      </w:r>
      <w:r w:rsidR="00C95DC1">
        <w:rPr>
          <w:rFonts w:ascii="Baskerville" w:hAnsi="Baskerville" w:cs="Baskerville"/>
        </w:rPr>
        <w:t xml:space="preserve"> members have the combined expertise to develop the </w:t>
      </w:r>
      <w:r w:rsidR="00384634">
        <w:rPr>
          <w:rFonts w:ascii="Baskerville" w:hAnsi="Baskerville" w:cs="Baskerville"/>
        </w:rPr>
        <w:t>support plan for the individual;</w:t>
      </w:r>
      <w:r w:rsidR="00C95DC1">
        <w:rPr>
          <w:rFonts w:ascii="Baskerville" w:hAnsi="Baskerville" w:cs="Baskerville"/>
        </w:rPr>
        <w:t xml:space="preserve"> assists the individual and family to</w:t>
      </w:r>
      <w:r w:rsidR="00384634">
        <w:rPr>
          <w:rFonts w:ascii="Baskerville" w:hAnsi="Baskerville" w:cs="Baskerville"/>
        </w:rPr>
        <w:t xml:space="preserve"> gain access to needed services;</w:t>
      </w:r>
      <w:r w:rsidR="00C95DC1">
        <w:rPr>
          <w:rFonts w:ascii="Baskerville" w:hAnsi="Baskerville" w:cs="Baskerville"/>
        </w:rPr>
        <w:t xml:space="preserve"> and</w:t>
      </w:r>
      <w:r w:rsidR="00CF6672">
        <w:rPr>
          <w:rFonts w:ascii="Baskerville" w:hAnsi="Baskerville" w:cs="Baskerville"/>
        </w:rPr>
        <w:t xml:space="preserve"> monitors service delivery and makes </w:t>
      </w:r>
      <w:r w:rsidR="00270CD4">
        <w:rPr>
          <w:rFonts w:ascii="Baskerville" w:hAnsi="Baskerville" w:cs="Baskerville"/>
        </w:rPr>
        <w:t>service changes as needed. The central importance of the case manager to the individual and family</w:t>
      </w:r>
      <w:r w:rsidR="001D6D91">
        <w:rPr>
          <w:rFonts w:ascii="Baskerville" w:hAnsi="Baskerville" w:cs="Baskerville"/>
        </w:rPr>
        <w:t xml:space="preserve">, and to the Commonwealth’s ability to achieve the goals </w:t>
      </w:r>
      <w:r w:rsidR="00412BEB">
        <w:rPr>
          <w:rFonts w:ascii="Baskerville" w:hAnsi="Baskerville" w:cs="Baskerville"/>
        </w:rPr>
        <w:t>of the Settlement Agreement</w:t>
      </w:r>
      <w:r w:rsidR="009719C0">
        <w:rPr>
          <w:rFonts w:ascii="Baskerville" w:hAnsi="Baskerville" w:cs="Baskerville"/>
        </w:rPr>
        <w:t>,</w:t>
      </w:r>
      <w:r w:rsidR="00270CD4">
        <w:rPr>
          <w:rFonts w:ascii="Baskerville" w:hAnsi="Baskerville" w:cs="Baskerville"/>
        </w:rPr>
        <w:t xml:space="preserve"> is t</w:t>
      </w:r>
      <w:r w:rsidR="00412BEB">
        <w:rPr>
          <w:rFonts w:ascii="Baskerville" w:hAnsi="Baskerville" w:cs="Baskerville"/>
        </w:rPr>
        <w:t>he reason the Agreement includes</w:t>
      </w:r>
      <w:r w:rsidR="004A1333">
        <w:rPr>
          <w:rFonts w:ascii="Baskerville" w:hAnsi="Baskerville" w:cs="Baskerville"/>
        </w:rPr>
        <w:t xml:space="preserve"> provisions to</w:t>
      </w:r>
      <w:r w:rsidR="00270CD4">
        <w:rPr>
          <w:rFonts w:ascii="Baskerville" w:hAnsi="Baskerville" w:cs="Baskerville"/>
        </w:rPr>
        <w:t xml:space="preserve"> </w:t>
      </w:r>
      <w:r w:rsidR="00321F68">
        <w:rPr>
          <w:rFonts w:ascii="Baskerville" w:hAnsi="Baskerville" w:cs="Baskerville"/>
        </w:rPr>
        <w:t>ensure</w:t>
      </w:r>
      <w:r w:rsidR="004A1333">
        <w:rPr>
          <w:rFonts w:ascii="Baskerville" w:hAnsi="Baskerville" w:cs="Baskerville"/>
        </w:rPr>
        <w:t xml:space="preserve"> that</w:t>
      </w:r>
      <w:r w:rsidR="007D4D53">
        <w:rPr>
          <w:rFonts w:ascii="Baskerville" w:hAnsi="Baskerville" w:cs="Baskerville"/>
        </w:rPr>
        <w:t>:</w:t>
      </w:r>
    </w:p>
    <w:p w:rsidR="006014E6" w:rsidRDefault="007D4D53" w:rsidP="003518FC">
      <w:pPr>
        <w:tabs>
          <w:tab w:val="left" w:pos="1671"/>
          <w:tab w:val="left" w:pos="1980"/>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321F68">
        <w:rPr>
          <w:rFonts w:ascii="Baskerville" w:hAnsi="Baskerville" w:cs="Baskerville"/>
        </w:rPr>
        <w:t>case managers</w:t>
      </w:r>
      <w:r w:rsidR="001C40A7">
        <w:rPr>
          <w:rFonts w:ascii="Baskerville" w:hAnsi="Baskerville" w:cs="Baskerville"/>
        </w:rPr>
        <w:t xml:space="preserve"> </w:t>
      </w:r>
      <w:r w:rsidR="00321F68">
        <w:rPr>
          <w:rFonts w:ascii="Baskerville" w:hAnsi="Baskerville" w:cs="Baskerville"/>
        </w:rPr>
        <w:t xml:space="preserve">do not </w:t>
      </w:r>
      <w:r w:rsidR="006014E6">
        <w:rPr>
          <w:rFonts w:ascii="Baskerville" w:hAnsi="Baskerville" w:cs="Baskerville"/>
        </w:rPr>
        <w:t xml:space="preserve">have a conflict of interest; </w:t>
      </w:r>
    </w:p>
    <w:p w:rsidR="004A1333" w:rsidRDefault="007D4D53" w:rsidP="003518FC">
      <w:pPr>
        <w:tabs>
          <w:tab w:val="left" w:pos="1671"/>
          <w:tab w:val="left" w:pos="1980"/>
        </w:tabs>
        <w:ind w:left="1170" w:right="-216" w:hanging="117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6F4A16">
        <w:rPr>
          <w:rFonts w:ascii="Baskerville" w:hAnsi="Baskerville" w:cs="Baskerville"/>
        </w:rPr>
        <w:t xml:space="preserve">individuals and families have a choice </w:t>
      </w:r>
      <w:r w:rsidR="001C40A7">
        <w:rPr>
          <w:rFonts w:ascii="Baskerville" w:hAnsi="Baskerville" w:cs="Baskerville"/>
        </w:rPr>
        <w:t xml:space="preserve">of, </w:t>
      </w:r>
      <w:r w:rsidR="006F4A16">
        <w:rPr>
          <w:rFonts w:ascii="Baskerville" w:hAnsi="Baskerville" w:cs="Baskerville"/>
        </w:rPr>
        <w:t>and can change</w:t>
      </w:r>
      <w:r w:rsidR="001C40A7">
        <w:rPr>
          <w:rFonts w:ascii="Baskerville" w:hAnsi="Baskerville" w:cs="Baskerville"/>
        </w:rPr>
        <w:t>,</w:t>
      </w:r>
      <w:r w:rsidR="006F4A16">
        <w:rPr>
          <w:rFonts w:ascii="Baskerville" w:hAnsi="Baskerville" w:cs="Baskerville"/>
        </w:rPr>
        <w:t xml:space="preserve"> case managers</w:t>
      </w:r>
      <w:r w:rsidR="009E7CDC">
        <w:rPr>
          <w:rFonts w:ascii="Baskerville" w:hAnsi="Baskerville" w:cs="Baskerville"/>
        </w:rPr>
        <w:t>;</w:t>
      </w:r>
      <w:r>
        <w:rPr>
          <w:rFonts w:ascii="Baskerville" w:hAnsi="Baskerville" w:cs="Baskerville"/>
        </w:rPr>
        <w:t xml:space="preserve"> </w:t>
      </w:r>
    </w:p>
    <w:p w:rsidR="001206BE" w:rsidRDefault="009E7CDC" w:rsidP="003518FC">
      <w:pPr>
        <w:tabs>
          <w:tab w:val="left" w:pos="1671"/>
          <w:tab w:val="left" w:pos="1980"/>
        </w:tabs>
        <w:ind w:left="630" w:right="-216" w:hanging="63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1206BE">
        <w:rPr>
          <w:rFonts w:ascii="Baskerville" w:hAnsi="Baskerville" w:cs="Baskerville"/>
        </w:rPr>
        <w:t>case managers</w:t>
      </w:r>
      <w:r>
        <w:rPr>
          <w:rFonts w:ascii="Baskerville" w:hAnsi="Baskerville" w:cs="Baskerville"/>
        </w:rPr>
        <w:t xml:space="preserve"> </w:t>
      </w:r>
      <w:r w:rsidR="009063D9">
        <w:rPr>
          <w:rFonts w:ascii="Baskerville" w:hAnsi="Baskerville" w:cs="Baskerville"/>
        </w:rPr>
        <w:t xml:space="preserve">observe and assess whether </w:t>
      </w:r>
      <w:r w:rsidR="00EF666F">
        <w:rPr>
          <w:rFonts w:ascii="Baskerville" w:hAnsi="Baskerville" w:cs="Baskerville"/>
        </w:rPr>
        <w:t>each individual’s</w:t>
      </w:r>
      <w:r w:rsidR="009063D9">
        <w:rPr>
          <w:rFonts w:ascii="Baskerville" w:hAnsi="Baskerville" w:cs="Baskerville"/>
        </w:rPr>
        <w:t xml:space="preserve"> support services are properly implemented</w:t>
      </w:r>
      <w:r w:rsidR="00536262">
        <w:rPr>
          <w:rFonts w:ascii="Baskerville" w:hAnsi="Baskerville" w:cs="Baskerville"/>
        </w:rPr>
        <w:t>, address</w:t>
      </w:r>
      <w:r w:rsidR="00AD4D78">
        <w:rPr>
          <w:rFonts w:ascii="Baskerville" w:hAnsi="Baskerville" w:cs="Baskerville"/>
        </w:rPr>
        <w:t xml:space="preserve"> risks, are in the most integrated setting appropriate to the in</w:t>
      </w:r>
      <w:r w:rsidR="00536262">
        <w:rPr>
          <w:rFonts w:ascii="Baskerville" w:hAnsi="Baskerville" w:cs="Baskerville"/>
        </w:rPr>
        <w:t xml:space="preserve">dividual’s needs, </w:t>
      </w:r>
      <w:r w:rsidR="00AB598F">
        <w:rPr>
          <w:rFonts w:ascii="Baskerville" w:hAnsi="Baskerville" w:cs="Baskerville"/>
        </w:rPr>
        <w:t>report and</w:t>
      </w:r>
      <w:r w:rsidR="00AD4D78">
        <w:rPr>
          <w:rFonts w:ascii="Baskerville" w:hAnsi="Baskerville" w:cs="Baskerville"/>
        </w:rPr>
        <w:t xml:space="preserve"> document</w:t>
      </w:r>
      <w:r w:rsidR="00AB598F">
        <w:rPr>
          <w:rFonts w:ascii="Baskerville" w:hAnsi="Baskerville" w:cs="Baskerville"/>
        </w:rPr>
        <w:t xml:space="preserve"> an</w:t>
      </w:r>
      <w:r w:rsidR="00F64894">
        <w:rPr>
          <w:rFonts w:ascii="Baskerville" w:hAnsi="Baskerville" w:cs="Baskerville"/>
        </w:rPr>
        <w:t>y</w:t>
      </w:r>
      <w:r w:rsidR="00AB598F">
        <w:rPr>
          <w:rFonts w:ascii="Baskerville" w:hAnsi="Baskerville" w:cs="Baskerville"/>
        </w:rPr>
        <w:t xml:space="preserve"> identified concern</w:t>
      </w:r>
      <w:r w:rsidR="00AD4D78">
        <w:rPr>
          <w:rFonts w:ascii="Baskerville" w:hAnsi="Baskerville" w:cs="Baskerville"/>
        </w:rPr>
        <w:t xml:space="preserve">, and assemble the ISP team to </w:t>
      </w:r>
      <w:r w:rsidR="00AA18D5">
        <w:rPr>
          <w:rFonts w:ascii="Baskerville" w:hAnsi="Baskerville" w:cs="Baskerville"/>
        </w:rPr>
        <w:t>address it and</w:t>
      </w:r>
      <w:r w:rsidR="00EF666F">
        <w:rPr>
          <w:rFonts w:ascii="Baskerville" w:hAnsi="Baskerville" w:cs="Baskerville"/>
        </w:rPr>
        <w:t xml:space="preserve"> to document its resolution;</w:t>
      </w:r>
    </w:p>
    <w:p w:rsidR="00C73461" w:rsidRDefault="00AA18D5" w:rsidP="003518FC">
      <w:pPr>
        <w:tabs>
          <w:tab w:val="left" w:pos="1671"/>
          <w:tab w:val="left" w:pos="1980"/>
        </w:tabs>
        <w:ind w:left="630" w:right="-216" w:hanging="63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536262">
        <w:rPr>
          <w:rFonts w:ascii="Baskerville" w:hAnsi="Baskerville" w:cs="Baskerville"/>
        </w:rPr>
        <w:t>there is a</w:t>
      </w:r>
      <w:r w:rsidR="007B7A48">
        <w:rPr>
          <w:rFonts w:ascii="Baskerville" w:hAnsi="Baskerville" w:cs="Baskerville"/>
        </w:rPr>
        <w:t xml:space="preserve"> l</w:t>
      </w:r>
      <w:r w:rsidR="009E7CDC">
        <w:rPr>
          <w:rFonts w:ascii="Baskerville" w:hAnsi="Baskerville" w:cs="Baskerville"/>
        </w:rPr>
        <w:t>icensure process that assesses the adequacy of individualized supports</w:t>
      </w:r>
      <w:r w:rsidR="00EF666F">
        <w:rPr>
          <w:rFonts w:ascii="Baskerville" w:hAnsi="Baskerville" w:cs="Baskerville"/>
        </w:rPr>
        <w:t xml:space="preserve">; </w:t>
      </w:r>
    </w:p>
    <w:p w:rsidR="003E7AD5" w:rsidRDefault="00C73461" w:rsidP="003518FC">
      <w:pPr>
        <w:tabs>
          <w:tab w:val="left" w:pos="1671"/>
          <w:tab w:val="left" w:pos="1980"/>
        </w:tabs>
        <w:ind w:left="630" w:right="-216" w:hanging="63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Pr>
          <w:rFonts w:ascii="Baskerville" w:hAnsi="Baskerville" w:cs="Baskerville"/>
        </w:rPr>
        <w:t xml:space="preserve">the Commonwealth establishes a mechanism to monitor the delivery of case management services to ensure that they comply with performance standards; </w:t>
      </w:r>
      <w:r w:rsidR="00EF666F">
        <w:rPr>
          <w:rFonts w:ascii="Baskerville" w:hAnsi="Baskerville" w:cs="Baskerville"/>
        </w:rPr>
        <w:t>and</w:t>
      </w:r>
    </w:p>
    <w:p w:rsidR="009B479E" w:rsidRDefault="003E7AD5" w:rsidP="003518FC">
      <w:pPr>
        <w:tabs>
          <w:tab w:val="left" w:pos="1671"/>
          <w:tab w:val="left" w:pos="1980"/>
        </w:tabs>
        <w:ind w:left="630" w:right="-216" w:hanging="63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9B479E">
        <w:rPr>
          <w:rFonts w:ascii="Baskerville" w:hAnsi="Baskerville" w:cs="Baskerville"/>
        </w:rPr>
        <w:t>the Commonwealth maintains sufficient records to document that</w:t>
      </w:r>
      <w:r w:rsidR="00671C40">
        <w:rPr>
          <w:rFonts w:ascii="Baskerville" w:hAnsi="Baskerville" w:cs="Baskerville"/>
        </w:rPr>
        <w:t xml:space="preserve"> the</w:t>
      </w:r>
      <w:r w:rsidR="00C73461">
        <w:rPr>
          <w:rFonts w:ascii="Baskerville" w:hAnsi="Baskerville" w:cs="Baskerville"/>
        </w:rPr>
        <w:t>se</w:t>
      </w:r>
      <w:r w:rsidR="00671C40">
        <w:rPr>
          <w:rFonts w:ascii="Baskerville" w:hAnsi="Baskerville" w:cs="Baskerville"/>
        </w:rPr>
        <w:t xml:space="preserve"> requirements of the Agreement are met</w:t>
      </w:r>
      <w:r w:rsidR="005D5A72">
        <w:rPr>
          <w:rFonts w:ascii="Baskerville" w:hAnsi="Baskerville" w:cs="Baskerville"/>
        </w:rPr>
        <w:t>.</w:t>
      </w:r>
    </w:p>
    <w:p w:rsidR="004A1333" w:rsidRDefault="009719C0" w:rsidP="003518FC">
      <w:pPr>
        <w:tabs>
          <w:tab w:val="left" w:pos="1671"/>
          <w:tab w:val="left" w:pos="1980"/>
        </w:tabs>
        <w:ind w:right="-216"/>
        <w:rPr>
          <w:rFonts w:ascii="Baskerville" w:hAnsi="Baskerville" w:cs="Baskerville"/>
        </w:rPr>
      </w:pPr>
      <w:r>
        <w:rPr>
          <w:rFonts w:ascii="Baskerville" w:hAnsi="Baskerville" w:cs="Baskerville"/>
        </w:rPr>
        <w:t xml:space="preserve">This central importance </w:t>
      </w:r>
      <w:r w:rsidR="003E7AD5">
        <w:rPr>
          <w:rFonts w:ascii="Baskerville" w:hAnsi="Baskerville" w:cs="Baskerville"/>
        </w:rPr>
        <w:t xml:space="preserve">of case management services </w:t>
      </w:r>
      <w:r>
        <w:rPr>
          <w:rFonts w:ascii="Baskerville" w:hAnsi="Baskerville" w:cs="Baskerville"/>
        </w:rPr>
        <w:t>is the reason the Independent Reviewer priorit</w:t>
      </w:r>
      <w:r w:rsidR="00842593">
        <w:rPr>
          <w:rFonts w:ascii="Baskerville" w:hAnsi="Baskerville" w:cs="Baskerville"/>
        </w:rPr>
        <w:t xml:space="preserve">ized these provisions for </w:t>
      </w:r>
      <w:r w:rsidR="000B412D">
        <w:rPr>
          <w:rFonts w:ascii="Baskerville" w:hAnsi="Baskerville" w:cs="Baskerville"/>
        </w:rPr>
        <w:t>additional independent monitoring during this</w:t>
      </w:r>
      <w:r w:rsidR="00842593">
        <w:rPr>
          <w:rFonts w:ascii="Baskerville" w:hAnsi="Baskerville" w:cs="Baskerville"/>
        </w:rPr>
        <w:t xml:space="preserve"> and the four previous review periods. </w:t>
      </w:r>
    </w:p>
    <w:p w:rsidR="00A83C89" w:rsidRDefault="00A83C89" w:rsidP="003518FC">
      <w:pPr>
        <w:tabs>
          <w:tab w:val="left" w:pos="1671"/>
          <w:tab w:val="left" w:pos="1980"/>
        </w:tabs>
        <w:ind w:right="-216"/>
        <w:rPr>
          <w:rFonts w:ascii="Baskerville" w:hAnsi="Baskerville" w:cs="Baskerville"/>
        </w:rPr>
      </w:pPr>
    </w:p>
    <w:p w:rsidR="003D3FBC" w:rsidRDefault="00A83C89" w:rsidP="003518FC">
      <w:pPr>
        <w:tabs>
          <w:tab w:val="left" w:pos="1671"/>
          <w:tab w:val="left" w:pos="1980"/>
        </w:tabs>
        <w:ind w:right="-216"/>
        <w:rPr>
          <w:rFonts w:ascii="Baskerville" w:hAnsi="Baskerville" w:cs="Baskerville"/>
        </w:rPr>
      </w:pPr>
      <w:r>
        <w:rPr>
          <w:rFonts w:ascii="Baskerville" w:hAnsi="Baskerville" w:cs="Baskerville"/>
        </w:rPr>
        <w:t>The Independent Reviewer again retained</w:t>
      </w:r>
      <w:r w:rsidR="000B412D">
        <w:rPr>
          <w:rFonts w:ascii="Baskerville" w:hAnsi="Baskerville" w:cs="Baskerville"/>
        </w:rPr>
        <w:t xml:space="preserve"> the same</w:t>
      </w:r>
      <w:r>
        <w:rPr>
          <w:rFonts w:ascii="Baskerville" w:hAnsi="Baskerville" w:cs="Baskerville"/>
        </w:rPr>
        <w:t xml:space="preserve"> independent consultant </w:t>
      </w:r>
      <w:r w:rsidR="00F37E5C">
        <w:rPr>
          <w:rFonts w:ascii="Baskerville" w:hAnsi="Baskerville" w:cs="Baskerville"/>
        </w:rPr>
        <w:t>to evaluate the Commonwealth’s comp</w:t>
      </w:r>
      <w:r w:rsidR="009520F3">
        <w:rPr>
          <w:rFonts w:ascii="Baskerville" w:hAnsi="Baskerville" w:cs="Baskerville"/>
        </w:rPr>
        <w:t>l</w:t>
      </w:r>
      <w:r w:rsidR="00BB0BAE">
        <w:rPr>
          <w:rFonts w:ascii="Baskerville" w:hAnsi="Baskerville" w:cs="Baskerville"/>
        </w:rPr>
        <w:t xml:space="preserve">iance with the case management </w:t>
      </w:r>
      <w:r w:rsidR="00F37E5C">
        <w:rPr>
          <w:rFonts w:ascii="Baskerville" w:hAnsi="Baskerville" w:cs="Baskerville"/>
        </w:rPr>
        <w:t>provisions</w:t>
      </w:r>
      <w:r w:rsidR="00BB0BAE">
        <w:rPr>
          <w:rFonts w:ascii="Baskerville" w:hAnsi="Baskerville" w:cs="Baskerville"/>
        </w:rPr>
        <w:t xml:space="preserve"> an</w:t>
      </w:r>
      <w:r w:rsidR="00AE4694">
        <w:rPr>
          <w:rFonts w:ascii="Baskerville" w:hAnsi="Baskerville" w:cs="Baskerville"/>
        </w:rPr>
        <w:t>d the provisions that govern how the Commonwealth</w:t>
      </w:r>
      <w:r w:rsidR="00BB0BAE">
        <w:rPr>
          <w:rFonts w:ascii="Baskerville" w:hAnsi="Baskerville" w:cs="Baskerville"/>
        </w:rPr>
        <w:t xml:space="preserve"> </w:t>
      </w:r>
      <w:r w:rsidR="00AE4694">
        <w:rPr>
          <w:rFonts w:ascii="Baskerville" w:hAnsi="Baskerville" w:cs="Baskerville"/>
        </w:rPr>
        <w:t xml:space="preserve">monitors </w:t>
      </w:r>
      <w:r w:rsidR="00691867">
        <w:rPr>
          <w:rFonts w:ascii="Baskerville" w:hAnsi="Baskerville" w:cs="Baskerville"/>
        </w:rPr>
        <w:t>case management to</w:t>
      </w:r>
      <w:r w:rsidR="008A66E7">
        <w:rPr>
          <w:rFonts w:ascii="Baskerville" w:hAnsi="Baskerville" w:cs="Baskerville"/>
        </w:rPr>
        <w:t xml:space="preserve"> ensure compliance with regulatory and quality standards</w:t>
      </w:r>
      <w:r w:rsidR="00F37E5C">
        <w:rPr>
          <w:rFonts w:ascii="Baskerville" w:hAnsi="Baskerville" w:cs="Baskerville"/>
        </w:rPr>
        <w:t>.</w:t>
      </w:r>
      <w:r w:rsidR="00893E38">
        <w:rPr>
          <w:rFonts w:ascii="Baskerville" w:hAnsi="Baskerville" w:cs="Baskerville"/>
        </w:rPr>
        <w:t xml:space="preserve"> </w:t>
      </w:r>
      <w:r w:rsidR="003D3FBC">
        <w:rPr>
          <w:rFonts w:ascii="Baskerville" w:hAnsi="Baskerville" w:cs="Baskerville"/>
        </w:rPr>
        <w:t xml:space="preserve">The independent consultant’s report </w:t>
      </w:r>
      <w:r w:rsidR="003D3FBC">
        <w:rPr>
          <w:rFonts w:ascii="Baskerville" w:hAnsi="Baskerville" w:cs="Baskerville"/>
          <w:i/>
        </w:rPr>
        <w:t>Case Management and Licensing Requirements</w:t>
      </w:r>
      <w:r w:rsidR="003D3FBC" w:rsidRPr="008A6BE5">
        <w:rPr>
          <w:rFonts w:ascii="Baskerville" w:hAnsi="Baskerville" w:cs="Baskerville"/>
        </w:rPr>
        <w:t xml:space="preserve"> is attached at Appendix </w:t>
      </w:r>
      <w:r w:rsidR="008A6BE5" w:rsidRPr="008A6BE5">
        <w:rPr>
          <w:rFonts w:ascii="Baskerville" w:hAnsi="Baskerville" w:cs="Baskerville"/>
        </w:rPr>
        <w:t>B.</w:t>
      </w:r>
    </w:p>
    <w:p w:rsidR="007C3799" w:rsidRPr="003D3FBC" w:rsidRDefault="007C3799" w:rsidP="003518FC">
      <w:pPr>
        <w:tabs>
          <w:tab w:val="left" w:pos="1671"/>
          <w:tab w:val="left" w:pos="1980"/>
        </w:tabs>
        <w:ind w:right="-216"/>
        <w:rPr>
          <w:rFonts w:ascii="Baskerville" w:hAnsi="Baskerville" w:cs="Baskerville"/>
          <w:i/>
        </w:rPr>
      </w:pPr>
    </w:p>
    <w:p w:rsidR="003D3FBC" w:rsidRDefault="003D3FBC" w:rsidP="003518FC">
      <w:pPr>
        <w:tabs>
          <w:tab w:val="left" w:pos="1671"/>
          <w:tab w:val="left" w:pos="1980"/>
        </w:tabs>
        <w:ind w:right="-216"/>
        <w:rPr>
          <w:rFonts w:ascii="Baskerville" w:hAnsi="Baskerville" w:cs="Baskerville"/>
        </w:rPr>
      </w:pPr>
    </w:p>
    <w:p w:rsidR="00A034F1" w:rsidRDefault="00A034F1" w:rsidP="003518FC">
      <w:pPr>
        <w:tabs>
          <w:tab w:val="left" w:pos="1671"/>
          <w:tab w:val="left" w:pos="1980"/>
        </w:tabs>
        <w:ind w:right="-216"/>
        <w:rPr>
          <w:rFonts w:ascii="Baskerville" w:hAnsi="Baskerville" w:cs="Baskerville"/>
        </w:rPr>
      </w:pPr>
    </w:p>
    <w:p w:rsidR="006E6FD9" w:rsidRDefault="00A83EC9" w:rsidP="003518FC">
      <w:pPr>
        <w:tabs>
          <w:tab w:val="left" w:pos="1671"/>
          <w:tab w:val="left" w:pos="1980"/>
        </w:tabs>
        <w:ind w:right="-216"/>
        <w:rPr>
          <w:rFonts w:ascii="Baskerville" w:hAnsi="Baskerville" w:cs="Baskerville"/>
        </w:rPr>
      </w:pPr>
      <w:r w:rsidRPr="00A83EC9">
        <w:rPr>
          <w:rFonts w:ascii="Baskerville" w:hAnsi="Baskerville" w:cs="Baskerville"/>
          <w:u w:val="single"/>
        </w:rPr>
        <w:t>Case Management Availability</w:t>
      </w:r>
      <w:r w:rsidR="006E6FD9">
        <w:rPr>
          <w:rFonts w:ascii="Baskerville" w:hAnsi="Baskerville" w:cs="Baskerville"/>
          <w:u w:val="single"/>
        </w:rPr>
        <w:t xml:space="preserve"> and Face-to-Face Meeting</w:t>
      </w:r>
      <w:r w:rsidR="005D5A72">
        <w:rPr>
          <w:rFonts w:ascii="Baskerville" w:hAnsi="Baskerville" w:cs="Baskerville"/>
          <w:u w:val="single"/>
        </w:rPr>
        <w:t>s</w:t>
      </w:r>
      <w:r w:rsidRPr="00A83EC9">
        <w:rPr>
          <w:rFonts w:ascii="Baskerville" w:hAnsi="Baskerville" w:cs="Baskerville"/>
          <w:u w:val="single"/>
        </w:rPr>
        <w:t>:</w:t>
      </w:r>
      <w:r>
        <w:rPr>
          <w:rFonts w:ascii="Baskerville" w:hAnsi="Baskerville" w:cs="Baskerville"/>
        </w:rPr>
        <w:t xml:space="preserve"> </w:t>
      </w:r>
    </w:p>
    <w:p w:rsidR="00FC4935" w:rsidRDefault="00237529" w:rsidP="003518FC">
      <w:pPr>
        <w:tabs>
          <w:tab w:val="left" w:pos="1671"/>
          <w:tab w:val="left" w:pos="1980"/>
        </w:tabs>
        <w:ind w:right="-216"/>
        <w:rPr>
          <w:rFonts w:ascii="Baskerville" w:hAnsi="Baskerville" w:cs="Baskerville"/>
        </w:rPr>
      </w:pPr>
      <w:r>
        <w:rPr>
          <w:rFonts w:ascii="Baskerville" w:hAnsi="Baskerville" w:cs="Baskerville"/>
        </w:rPr>
        <w:t>The independent consultant found that the Commonwealth</w:t>
      </w:r>
      <w:r w:rsidR="00ED19F4">
        <w:rPr>
          <w:rFonts w:ascii="Baskerville" w:hAnsi="Baskerville" w:cs="Baskerville"/>
        </w:rPr>
        <w:t>’s data dashboard is a viable accountability tool for tracking t</w:t>
      </w:r>
      <w:r w:rsidR="00125EB3">
        <w:rPr>
          <w:rFonts w:ascii="Baskerville" w:hAnsi="Baskerville" w:cs="Baskerville"/>
        </w:rPr>
        <w:t>he delivery</w:t>
      </w:r>
      <w:r w:rsidR="00ED19F4">
        <w:rPr>
          <w:rFonts w:ascii="Baskerville" w:hAnsi="Baskerville" w:cs="Baskerville"/>
        </w:rPr>
        <w:t xml:space="preserve"> of case management services</w:t>
      </w:r>
      <w:r w:rsidR="004C2B15">
        <w:rPr>
          <w:rFonts w:ascii="Baskerville" w:hAnsi="Baskerville" w:cs="Baskerville"/>
        </w:rPr>
        <w:t xml:space="preserve">. That is, the data gathered detail </w:t>
      </w:r>
      <w:r w:rsidR="00125EB3">
        <w:rPr>
          <w:rFonts w:ascii="Baskerville" w:hAnsi="Baskerville" w:cs="Baskerville"/>
        </w:rPr>
        <w:t xml:space="preserve">the number, type, and frequency of visits, </w:t>
      </w:r>
      <w:r w:rsidR="004E1958">
        <w:rPr>
          <w:rFonts w:ascii="Baskerville" w:hAnsi="Baskerville" w:cs="Baskerville"/>
        </w:rPr>
        <w:t>not the quality of the case management services</w:t>
      </w:r>
      <w:r w:rsidR="004E3922">
        <w:rPr>
          <w:rFonts w:ascii="Baskerville" w:hAnsi="Baskerville" w:cs="Baskerville"/>
        </w:rPr>
        <w:t>.</w:t>
      </w:r>
      <w:r w:rsidR="004E1958">
        <w:rPr>
          <w:rFonts w:ascii="Baskerville" w:hAnsi="Baskerville" w:cs="Baskerville"/>
        </w:rPr>
        <w:t xml:space="preserve"> </w:t>
      </w:r>
      <w:r w:rsidR="004E3922">
        <w:rPr>
          <w:rFonts w:ascii="Baskerville" w:hAnsi="Baskerville" w:cs="Baskerville"/>
        </w:rPr>
        <w:t xml:space="preserve">The </w:t>
      </w:r>
      <w:r w:rsidR="004C2B15">
        <w:rPr>
          <w:rFonts w:ascii="Baskerville" w:hAnsi="Baskerville" w:cs="Baskerville"/>
        </w:rPr>
        <w:t>data reported indicate</w:t>
      </w:r>
      <w:r w:rsidR="00A47125">
        <w:rPr>
          <w:rFonts w:ascii="Baskerville" w:hAnsi="Baskerville" w:cs="Baskerville"/>
        </w:rPr>
        <w:t xml:space="preserve"> that</w:t>
      </w:r>
      <w:r w:rsidR="00CD06BA">
        <w:rPr>
          <w:rFonts w:ascii="Baskerville" w:hAnsi="Baskerville" w:cs="Baskerville"/>
        </w:rPr>
        <w:t xml:space="preserve"> 88% of individuals receive the minimum number of case management visits and that 89%</w:t>
      </w:r>
      <w:r w:rsidR="006C7B90">
        <w:rPr>
          <w:rFonts w:ascii="Baskerville" w:hAnsi="Baskerville" w:cs="Baskerville"/>
        </w:rPr>
        <w:t xml:space="preserve"> of those eligible are receiving more frequent</w:t>
      </w:r>
      <w:r>
        <w:rPr>
          <w:rFonts w:ascii="Baskerville" w:hAnsi="Baskerville" w:cs="Baskerville"/>
        </w:rPr>
        <w:t xml:space="preserve"> </w:t>
      </w:r>
      <w:r w:rsidR="00A63F6E">
        <w:rPr>
          <w:rFonts w:ascii="Baskerville" w:hAnsi="Baskerville" w:cs="Baskerville"/>
        </w:rPr>
        <w:t>monthly face-</w:t>
      </w:r>
      <w:r w:rsidR="0090226D">
        <w:rPr>
          <w:rFonts w:ascii="Baskerville" w:hAnsi="Baskerville" w:cs="Baskerville"/>
        </w:rPr>
        <w:t>to face visits. The Individual R</w:t>
      </w:r>
      <w:r w:rsidR="00A63F6E">
        <w:rPr>
          <w:rFonts w:ascii="Baskerville" w:hAnsi="Baskerville" w:cs="Baskerville"/>
        </w:rPr>
        <w:t>ev</w:t>
      </w:r>
      <w:r w:rsidR="0090226D">
        <w:rPr>
          <w:rFonts w:ascii="Baskerville" w:hAnsi="Baskerville" w:cs="Baskerville"/>
        </w:rPr>
        <w:t>iew S</w:t>
      </w:r>
      <w:r w:rsidR="004A7451">
        <w:rPr>
          <w:rFonts w:ascii="Baskerville" w:hAnsi="Baskerville" w:cs="Baskerville"/>
        </w:rPr>
        <w:t>tudy</w:t>
      </w:r>
      <w:r w:rsidR="0090226D">
        <w:rPr>
          <w:rFonts w:ascii="Baskerville" w:hAnsi="Baskerville" w:cs="Baskerville"/>
        </w:rPr>
        <w:t xml:space="preserve"> also</w:t>
      </w:r>
      <w:r w:rsidR="004A7451">
        <w:rPr>
          <w:rFonts w:ascii="Baskerville" w:hAnsi="Baskerville" w:cs="Baskerville"/>
        </w:rPr>
        <w:t xml:space="preserve"> found that twenty-three (92%) of twenty-five</w:t>
      </w:r>
      <w:r w:rsidR="00A63F6E">
        <w:rPr>
          <w:rFonts w:ascii="Baskerville" w:hAnsi="Baskerville" w:cs="Baskerville"/>
        </w:rPr>
        <w:t xml:space="preserve"> individuals </w:t>
      </w:r>
      <w:r w:rsidR="00D07987">
        <w:rPr>
          <w:rFonts w:ascii="Baskerville" w:hAnsi="Baskerville" w:cs="Baskerville"/>
        </w:rPr>
        <w:t>stud</w:t>
      </w:r>
      <w:r w:rsidR="008969ED">
        <w:rPr>
          <w:rFonts w:ascii="Baskerville" w:hAnsi="Baskerville" w:cs="Baskerville"/>
        </w:rPr>
        <w:t>ied had an ISP that was current</w:t>
      </w:r>
      <w:r w:rsidR="00347AB1">
        <w:rPr>
          <w:rFonts w:ascii="Baskerville" w:hAnsi="Baskerville" w:cs="Baskerville"/>
        </w:rPr>
        <w:t>,</w:t>
      </w:r>
      <w:r w:rsidR="008969ED">
        <w:rPr>
          <w:rFonts w:ascii="Baskerville" w:hAnsi="Baskerville" w:cs="Baskerville"/>
        </w:rPr>
        <w:t xml:space="preserve"> and for 96% there was documentation of </w:t>
      </w:r>
      <w:r w:rsidR="008C722A">
        <w:rPr>
          <w:rFonts w:ascii="Baskerville" w:hAnsi="Baskerville" w:cs="Baskerville"/>
        </w:rPr>
        <w:t>face-to-face case management review.</w:t>
      </w:r>
      <w:r w:rsidR="00D07987">
        <w:rPr>
          <w:rFonts w:ascii="Baskerville" w:hAnsi="Baskerville" w:cs="Baskerville"/>
        </w:rPr>
        <w:t xml:space="preserve"> </w:t>
      </w:r>
      <w:r w:rsidR="00F61414">
        <w:rPr>
          <w:rFonts w:ascii="Baskerville" w:hAnsi="Baskerville" w:cs="Baskerville"/>
        </w:rPr>
        <w:t xml:space="preserve"> </w:t>
      </w:r>
      <w:r w:rsidR="0061264F">
        <w:rPr>
          <w:rFonts w:ascii="Baskerville" w:hAnsi="Baskerville" w:cs="Baskerville"/>
        </w:rPr>
        <w:t xml:space="preserve">The </w:t>
      </w:r>
      <w:r w:rsidR="0061264F" w:rsidRPr="001B035B">
        <w:rPr>
          <w:rFonts w:ascii="Baskerville" w:hAnsi="Baskerville" w:cs="Baskerville"/>
        </w:rPr>
        <w:t xml:space="preserve">IR has </w:t>
      </w:r>
      <w:r w:rsidR="00CF5CA1" w:rsidRPr="001B035B">
        <w:rPr>
          <w:rFonts w:ascii="Baskerville" w:hAnsi="Baskerville" w:cs="Baskerville"/>
        </w:rPr>
        <w:t xml:space="preserve">again </w:t>
      </w:r>
      <w:r w:rsidR="0061264F" w:rsidRPr="001B035B">
        <w:rPr>
          <w:rFonts w:ascii="Baskerville" w:hAnsi="Baskerville" w:cs="Baskerville"/>
        </w:rPr>
        <w:t xml:space="preserve">determined that DBHDS is in compliance with the requirements of III.C.5.a. </w:t>
      </w:r>
      <w:r w:rsidR="00984B11" w:rsidRPr="001B035B">
        <w:rPr>
          <w:rFonts w:ascii="Baskerville" w:hAnsi="Baskerville" w:cs="Baskerville"/>
        </w:rPr>
        <w:t>and V.F.1.</w:t>
      </w:r>
    </w:p>
    <w:p w:rsidR="000F2299" w:rsidRPr="001B035B" w:rsidRDefault="000F2299" w:rsidP="003518FC">
      <w:pPr>
        <w:tabs>
          <w:tab w:val="left" w:pos="1671"/>
          <w:tab w:val="left" w:pos="1980"/>
        </w:tabs>
        <w:ind w:right="-216"/>
        <w:rPr>
          <w:rFonts w:ascii="Baskerville" w:hAnsi="Baskerville" w:cs="Baskerville"/>
        </w:rPr>
      </w:pPr>
    </w:p>
    <w:p w:rsidR="00D07987" w:rsidRPr="001B035B" w:rsidRDefault="00FC4935" w:rsidP="003518FC">
      <w:pPr>
        <w:tabs>
          <w:tab w:val="left" w:pos="1671"/>
          <w:tab w:val="left" w:pos="1980"/>
        </w:tabs>
        <w:ind w:right="-216"/>
        <w:rPr>
          <w:rFonts w:ascii="Baskerville" w:hAnsi="Baskerville" w:cs="Baskerville"/>
        </w:rPr>
      </w:pPr>
      <w:r w:rsidRPr="001B035B">
        <w:rPr>
          <w:rFonts w:ascii="Baskerville" w:hAnsi="Baskerville" w:cs="Baskerville"/>
        </w:rPr>
        <w:t xml:space="preserve">The IR is concerned that </w:t>
      </w:r>
      <w:r w:rsidR="00DE0D8E" w:rsidRPr="001B035B">
        <w:rPr>
          <w:rFonts w:ascii="Baskerville" w:hAnsi="Baskerville" w:cs="Baskerville"/>
        </w:rPr>
        <w:t>DBHDS does not maintain re</w:t>
      </w:r>
      <w:r w:rsidR="00BF4C46" w:rsidRPr="001B035B">
        <w:rPr>
          <w:rFonts w:ascii="Baskerville" w:hAnsi="Baskerville" w:cs="Baskerville"/>
        </w:rPr>
        <w:t>cords on the integrity</w:t>
      </w:r>
      <w:r w:rsidRPr="001B035B">
        <w:rPr>
          <w:rFonts w:ascii="Baskerville" w:hAnsi="Baskerville" w:cs="Baskerville"/>
        </w:rPr>
        <w:t xml:space="preserve"> of the Dash</w:t>
      </w:r>
      <w:r w:rsidR="003913A7">
        <w:rPr>
          <w:rFonts w:ascii="Baskerville" w:hAnsi="Baskerville" w:cs="Baskerville"/>
        </w:rPr>
        <w:t xml:space="preserve">board data. The DBHDS quality managers question </w:t>
      </w:r>
      <w:r w:rsidR="0061264F" w:rsidRPr="001B035B">
        <w:rPr>
          <w:rFonts w:ascii="Baskerville" w:hAnsi="Baskerville" w:cs="Baskerville"/>
        </w:rPr>
        <w:t xml:space="preserve">the accuracy of data entry at the CSB level. </w:t>
      </w:r>
      <w:r w:rsidR="001D257D" w:rsidRPr="001B035B">
        <w:rPr>
          <w:rFonts w:ascii="Baskerville" w:hAnsi="Baskerville" w:cs="Baskerville"/>
        </w:rPr>
        <w:t xml:space="preserve">The independent consultant’s </w:t>
      </w:r>
      <w:r w:rsidR="008F61C3" w:rsidRPr="001B035B">
        <w:rPr>
          <w:rFonts w:ascii="Baskerville" w:hAnsi="Baskerville" w:cs="Baskerville"/>
        </w:rPr>
        <w:t>report includes a suggestion</w:t>
      </w:r>
      <w:r w:rsidR="001D257D" w:rsidRPr="001B035B">
        <w:rPr>
          <w:rFonts w:ascii="Baskerville" w:hAnsi="Baskerville" w:cs="Baskerville"/>
        </w:rPr>
        <w:t xml:space="preserve"> about how to address </w:t>
      </w:r>
      <w:r w:rsidR="00485EA2">
        <w:rPr>
          <w:rFonts w:ascii="Baskerville" w:hAnsi="Baskerville" w:cs="Baskerville"/>
        </w:rPr>
        <w:t>these concerns and</w:t>
      </w:r>
      <w:r w:rsidR="00AE5F4F">
        <w:rPr>
          <w:rFonts w:ascii="Baskerville" w:hAnsi="Baskerville" w:cs="Baskerville"/>
        </w:rPr>
        <w:t xml:space="preserve"> improve </w:t>
      </w:r>
      <w:r w:rsidR="0071519B" w:rsidRPr="001B035B">
        <w:rPr>
          <w:rFonts w:ascii="Baskerville" w:hAnsi="Baskerville" w:cs="Baskerville"/>
        </w:rPr>
        <w:t>CSB data ent</w:t>
      </w:r>
      <w:r w:rsidR="00AE5F4F">
        <w:rPr>
          <w:rFonts w:ascii="Baskerville" w:hAnsi="Baskerville" w:cs="Baskerville"/>
        </w:rPr>
        <w:t>ry performance</w:t>
      </w:r>
      <w:r w:rsidR="0071519B" w:rsidRPr="001B035B">
        <w:rPr>
          <w:rFonts w:ascii="Baskerville" w:hAnsi="Baskerville" w:cs="Baskerville"/>
        </w:rPr>
        <w:t>.</w:t>
      </w:r>
    </w:p>
    <w:p w:rsidR="00D07987" w:rsidRPr="001B035B" w:rsidRDefault="00D07987" w:rsidP="003518FC">
      <w:pPr>
        <w:tabs>
          <w:tab w:val="left" w:pos="1671"/>
          <w:tab w:val="left" w:pos="1980"/>
        </w:tabs>
        <w:ind w:right="-216"/>
        <w:rPr>
          <w:rFonts w:ascii="Baskerville" w:hAnsi="Baskerville" w:cs="Baskerville"/>
        </w:rPr>
      </w:pPr>
    </w:p>
    <w:p w:rsidR="00DC3644" w:rsidRPr="001B035B" w:rsidRDefault="00524D47" w:rsidP="003518FC">
      <w:pPr>
        <w:tabs>
          <w:tab w:val="left" w:pos="1671"/>
          <w:tab w:val="left" w:pos="1980"/>
        </w:tabs>
        <w:ind w:right="-216"/>
        <w:rPr>
          <w:rFonts w:ascii="Baskerville" w:hAnsi="Baskerville" w:cs="Baskerville"/>
        </w:rPr>
      </w:pPr>
      <w:r w:rsidRPr="001B035B">
        <w:rPr>
          <w:rFonts w:ascii="Baskerville" w:hAnsi="Baskerville" w:cs="Baskerville"/>
          <w:u w:val="single"/>
        </w:rPr>
        <w:t>Conflict Free Case management</w:t>
      </w:r>
      <w:r w:rsidRPr="001B035B">
        <w:rPr>
          <w:rFonts w:ascii="Baskerville" w:hAnsi="Baskerville" w:cs="Baskerville"/>
        </w:rPr>
        <w:t xml:space="preserve">:  </w:t>
      </w:r>
      <w:r w:rsidR="00253F0B" w:rsidRPr="001B035B">
        <w:rPr>
          <w:rFonts w:ascii="Baskerville" w:hAnsi="Baskerville" w:cs="Baskerville"/>
        </w:rPr>
        <w:t>The consultant reviewed</w:t>
      </w:r>
      <w:r w:rsidR="00B76AE0" w:rsidRPr="001B035B">
        <w:rPr>
          <w:rFonts w:ascii="Baskerville" w:hAnsi="Baskerville" w:cs="Baskerville"/>
        </w:rPr>
        <w:t xml:space="preserve"> the Commonwealth’s policies and forms related to offering individuals and families a choice of service providers</w:t>
      </w:r>
      <w:r w:rsidR="00C50BF4" w:rsidRPr="001B035B">
        <w:rPr>
          <w:rFonts w:ascii="Baskerville" w:hAnsi="Baskerville" w:cs="Baskerville"/>
        </w:rPr>
        <w:t xml:space="preserve">. The consultant then surveyed thirty-one </w:t>
      </w:r>
      <w:r w:rsidR="00976DA6" w:rsidRPr="001B035B">
        <w:rPr>
          <w:rFonts w:ascii="Baskerville" w:hAnsi="Baskerville" w:cs="Baskerville"/>
        </w:rPr>
        <w:t xml:space="preserve">randomly selected </w:t>
      </w:r>
      <w:r w:rsidR="00485EA2" w:rsidRPr="001B035B">
        <w:rPr>
          <w:rFonts w:ascii="Baskerville" w:hAnsi="Baskerville" w:cs="Baskerville"/>
        </w:rPr>
        <w:t>Authorized Representatives</w:t>
      </w:r>
      <w:r w:rsidR="00C50BF4" w:rsidRPr="001B035B">
        <w:rPr>
          <w:rFonts w:ascii="Baskerville" w:hAnsi="Baskerville" w:cs="Baskerville"/>
        </w:rPr>
        <w:t>/individuals</w:t>
      </w:r>
      <w:r w:rsidR="001E3959" w:rsidRPr="001B035B">
        <w:rPr>
          <w:rFonts w:ascii="Baskerville" w:hAnsi="Baskerville" w:cs="Baskerville"/>
        </w:rPr>
        <w:t xml:space="preserve"> </w:t>
      </w:r>
      <w:r w:rsidR="00976DA6" w:rsidRPr="001B035B">
        <w:rPr>
          <w:rFonts w:ascii="Baskerville" w:hAnsi="Baskerville" w:cs="Baskerville"/>
        </w:rPr>
        <w:t xml:space="preserve">who had recent annual review ISP meetings. </w:t>
      </w:r>
      <w:r w:rsidR="00356518" w:rsidRPr="001B035B">
        <w:rPr>
          <w:rFonts w:ascii="Baskerville" w:hAnsi="Baskerville" w:cs="Baskerville"/>
        </w:rPr>
        <w:t xml:space="preserve">Twenty-five (81%) </w:t>
      </w:r>
      <w:r w:rsidR="00646532">
        <w:rPr>
          <w:rFonts w:ascii="Baskerville" w:hAnsi="Baskerville" w:cs="Baskerville"/>
        </w:rPr>
        <w:t>knew that they had the option to</w:t>
      </w:r>
      <w:r w:rsidR="00313CFB">
        <w:rPr>
          <w:rFonts w:ascii="Baskerville" w:hAnsi="Baskerville" w:cs="Baskerville"/>
        </w:rPr>
        <w:t xml:space="preserve"> choose, and </w:t>
      </w:r>
      <w:r w:rsidR="00646532">
        <w:rPr>
          <w:rFonts w:ascii="Baskerville" w:hAnsi="Baskerville" w:cs="Baskerville"/>
        </w:rPr>
        <w:t xml:space="preserve">to </w:t>
      </w:r>
      <w:r w:rsidR="00DC62F6" w:rsidRPr="001B035B">
        <w:rPr>
          <w:rFonts w:ascii="Baskerville" w:hAnsi="Baskerville" w:cs="Baskerville"/>
        </w:rPr>
        <w:t>change</w:t>
      </w:r>
      <w:r w:rsidR="00313CFB">
        <w:rPr>
          <w:rFonts w:ascii="Baskerville" w:hAnsi="Baskerville" w:cs="Baskerville"/>
        </w:rPr>
        <w:t>,</w:t>
      </w:r>
      <w:r w:rsidR="00DC62F6" w:rsidRPr="001B035B">
        <w:rPr>
          <w:rFonts w:ascii="Baskerville" w:hAnsi="Baskerville" w:cs="Baskerville"/>
        </w:rPr>
        <w:t xml:space="preserve"> service p</w:t>
      </w:r>
      <w:r w:rsidR="0059492A" w:rsidRPr="001B035B">
        <w:rPr>
          <w:rFonts w:ascii="Baskerville" w:hAnsi="Baskerville" w:cs="Baskerville"/>
        </w:rPr>
        <w:t>roviders, including case managers. The IR has determined that DBHDS is in compliance with</w:t>
      </w:r>
      <w:r w:rsidR="00DC3644" w:rsidRPr="001B035B">
        <w:rPr>
          <w:rFonts w:ascii="Baskerville" w:hAnsi="Baskerville" w:cs="Baskerville"/>
        </w:rPr>
        <w:t xml:space="preserve"> III.C.5.c.</w:t>
      </w:r>
      <w:r w:rsidR="00646532">
        <w:rPr>
          <w:rFonts w:ascii="Baskerville" w:hAnsi="Baskerville" w:cs="Baskerville"/>
        </w:rPr>
        <w:t xml:space="preserve"> </w:t>
      </w:r>
      <w:r w:rsidR="00DC3644" w:rsidRPr="001B035B">
        <w:rPr>
          <w:rFonts w:ascii="Baskerville" w:hAnsi="Baskerville" w:cs="Baskerville"/>
        </w:rPr>
        <w:t>The consultant has included a su</w:t>
      </w:r>
      <w:r w:rsidR="00646532">
        <w:rPr>
          <w:rFonts w:ascii="Baskerville" w:hAnsi="Baskerville" w:cs="Baskerville"/>
        </w:rPr>
        <w:t>ggestion in</w:t>
      </w:r>
      <w:r w:rsidR="00ED53BE">
        <w:rPr>
          <w:rFonts w:ascii="Baskerville" w:hAnsi="Baskerville" w:cs="Baskerville"/>
        </w:rPr>
        <w:t xml:space="preserve"> his report that</w:t>
      </w:r>
      <w:r w:rsidR="00DC3644" w:rsidRPr="001B035B">
        <w:rPr>
          <w:rFonts w:ascii="Baskerville" w:hAnsi="Baskerville" w:cs="Baskerville"/>
        </w:rPr>
        <w:t xml:space="preserve"> the Commonwealth </w:t>
      </w:r>
      <w:r w:rsidR="008D1CB4" w:rsidRPr="001B035B">
        <w:rPr>
          <w:rFonts w:ascii="Baskerville" w:hAnsi="Baskerville" w:cs="Baskerville"/>
        </w:rPr>
        <w:t>could increase individual/Authorized Representative awareness of their continuing rights to change providers in user friendly</w:t>
      </w:r>
      <w:r w:rsidR="00881A2D" w:rsidRPr="001B035B">
        <w:rPr>
          <w:rFonts w:ascii="Baskerville" w:hAnsi="Baskerville" w:cs="Baskerville"/>
        </w:rPr>
        <w:t xml:space="preserve"> and accessible materials.</w:t>
      </w:r>
    </w:p>
    <w:p w:rsidR="00881A2D" w:rsidRPr="001B035B" w:rsidRDefault="00881A2D" w:rsidP="003518FC">
      <w:pPr>
        <w:tabs>
          <w:tab w:val="left" w:pos="1671"/>
          <w:tab w:val="left" w:pos="1980"/>
        </w:tabs>
        <w:ind w:right="-216"/>
        <w:rPr>
          <w:rFonts w:ascii="Baskerville" w:hAnsi="Baskerville" w:cs="Baskerville"/>
        </w:rPr>
      </w:pPr>
    </w:p>
    <w:p w:rsidR="009226A1" w:rsidRDefault="00524D47" w:rsidP="00DF037F">
      <w:pPr>
        <w:tabs>
          <w:tab w:val="left" w:pos="1671"/>
          <w:tab w:val="left" w:pos="1980"/>
        </w:tabs>
        <w:ind w:right="-216"/>
        <w:rPr>
          <w:rFonts w:ascii="Baskerville" w:hAnsi="Baskerville" w:cs="Baskerville"/>
        </w:rPr>
      </w:pPr>
      <w:r w:rsidRPr="001B035B">
        <w:rPr>
          <w:rFonts w:ascii="Baskerville" w:hAnsi="Baskerville" w:cs="Baskerville"/>
          <w:u w:val="single"/>
        </w:rPr>
        <w:t>Case Management Performance monitoring</w:t>
      </w:r>
      <w:r w:rsidRPr="001B035B">
        <w:rPr>
          <w:rFonts w:ascii="Baskerville" w:hAnsi="Baskerville" w:cs="Baskerville"/>
        </w:rPr>
        <w:t xml:space="preserve">: </w:t>
      </w:r>
      <w:r w:rsidR="00ED53BE">
        <w:rPr>
          <w:rFonts w:ascii="Baskerville" w:hAnsi="Baskerville" w:cs="Baskerville"/>
        </w:rPr>
        <w:t>Previously, the IR</w:t>
      </w:r>
      <w:r w:rsidR="00935A03">
        <w:rPr>
          <w:rFonts w:ascii="Baskerville" w:hAnsi="Baskerville" w:cs="Baskerville"/>
        </w:rPr>
        <w:t xml:space="preserve"> determined that the DBHDS Office of Licensing </w:t>
      </w:r>
      <w:r w:rsidR="000D45AC">
        <w:rPr>
          <w:rFonts w:ascii="Baskerville" w:hAnsi="Baskerville" w:cs="Baskerville"/>
        </w:rPr>
        <w:t xml:space="preserve">was the Commonwealth’s primary monitor of Case Management performance. </w:t>
      </w:r>
      <w:r w:rsidR="00C51A68" w:rsidRPr="001B035B">
        <w:rPr>
          <w:rFonts w:ascii="Baskerville" w:hAnsi="Baskerville" w:cs="Baskerville"/>
        </w:rPr>
        <w:t>The DBHDS Licensing Regulations do not align with the specific requirements of the Agreement (i.e</w:t>
      </w:r>
      <w:r w:rsidR="00C51A68">
        <w:rPr>
          <w:rFonts w:ascii="Baskerville" w:hAnsi="Baskerville" w:cs="Baskerville"/>
        </w:rPr>
        <w:t>.</w:t>
      </w:r>
      <w:r w:rsidR="00C51A68" w:rsidRPr="001B035B">
        <w:rPr>
          <w:rFonts w:ascii="Baskerville" w:hAnsi="Baskerville" w:cs="Baskerville"/>
        </w:rPr>
        <w:t xml:space="preserve"> face-to-face meetings, visit frequency, identifying risks, assembling professionals, etc.). T</w:t>
      </w:r>
      <w:r w:rsidR="001E0878">
        <w:rPr>
          <w:rFonts w:ascii="Baskerville" w:hAnsi="Baskerville" w:cs="Baskerville"/>
        </w:rPr>
        <w:t xml:space="preserve">he IR </w:t>
      </w:r>
      <w:r w:rsidR="00B535D5" w:rsidRPr="001B035B">
        <w:rPr>
          <w:rFonts w:ascii="Baskerville" w:hAnsi="Baskerville" w:cs="Baskerville"/>
        </w:rPr>
        <w:t>found that th</w:t>
      </w:r>
      <w:r w:rsidR="0094731E" w:rsidRPr="001B035B">
        <w:rPr>
          <w:rFonts w:ascii="Baskerville" w:hAnsi="Baskerville" w:cs="Baskerville"/>
        </w:rPr>
        <w:t>e Commonwealth</w:t>
      </w:r>
      <w:r w:rsidR="00AD4201" w:rsidRPr="001B035B">
        <w:rPr>
          <w:rFonts w:ascii="Baskerville" w:hAnsi="Baskerville" w:cs="Baskerville"/>
        </w:rPr>
        <w:t xml:space="preserve"> implemented the</w:t>
      </w:r>
      <w:r w:rsidR="00B535D5" w:rsidRPr="001B035B">
        <w:rPr>
          <w:rFonts w:ascii="Baskerville" w:hAnsi="Baskerville" w:cs="Baskerville"/>
        </w:rPr>
        <w:t xml:space="preserve"> </w:t>
      </w:r>
      <w:r w:rsidR="00B535D5" w:rsidRPr="001B035B">
        <w:rPr>
          <w:rFonts w:ascii="Baskerville" w:hAnsi="Baskerville" w:cs="Baskerville"/>
          <w:i/>
        </w:rPr>
        <w:t>360</w:t>
      </w:r>
      <w:r w:rsidR="00AD4201" w:rsidRPr="001B035B">
        <w:rPr>
          <w:rFonts w:ascii="Baskerville" w:hAnsi="Baskerville" w:cs="Baskerville"/>
          <w:i/>
        </w:rPr>
        <w:t>° Reviews</w:t>
      </w:r>
      <w:r w:rsidR="00AD4201" w:rsidRPr="001B035B">
        <w:rPr>
          <w:rFonts w:ascii="Baskerville" w:hAnsi="Baskerville" w:cs="Baskerville"/>
        </w:rPr>
        <w:t xml:space="preserve">, using </w:t>
      </w:r>
      <w:r w:rsidR="0094731E" w:rsidRPr="001B035B">
        <w:rPr>
          <w:rFonts w:ascii="Baskerville" w:hAnsi="Baskerville" w:cs="Baskerville"/>
        </w:rPr>
        <w:t xml:space="preserve">its revised </w:t>
      </w:r>
      <w:r w:rsidR="0094731E" w:rsidRPr="001B035B">
        <w:rPr>
          <w:rFonts w:ascii="Baskerville" w:hAnsi="Baskerville" w:cs="Baskerville"/>
          <w:i/>
        </w:rPr>
        <w:t>Supports Intensity Checklist</w:t>
      </w:r>
      <w:r w:rsidR="0094731E" w:rsidRPr="001B035B">
        <w:rPr>
          <w:rFonts w:ascii="Baskerville" w:hAnsi="Baskerville" w:cs="Baskerville"/>
        </w:rPr>
        <w:t xml:space="preserve"> for twenty-two</w:t>
      </w:r>
      <w:r w:rsidR="000C4C85" w:rsidRPr="001B035B">
        <w:rPr>
          <w:rFonts w:ascii="Baskerville" w:hAnsi="Baskerville" w:cs="Baskerville"/>
        </w:rPr>
        <w:t xml:space="preserve"> provider</w:t>
      </w:r>
      <w:r w:rsidR="00044147">
        <w:rPr>
          <w:rFonts w:ascii="Baskerville" w:hAnsi="Baskerville" w:cs="Baskerville"/>
        </w:rPr>
        <w:t>s</w:t>
      </w:r>
      <w:r w:rsidR="000C4C85" w:rsidRPr="001B035B">
        <w:rPr>
          <w:rFonts w:ascii="Baskerville" w:hAnsi="Baskerville" w:cs="Baskerville"/>
        </w:rPr>
        <w:t xml:space="preserve"> (3% of </w:t>
      </w:r>
      <w:r w:rsidR="001B7082" w:rsidRPr="001B035B">
        <w:rPr>
          <w:rFonts w:ascii="Baskerville" w:hAnsi="Baskerville" w:cs="Baskerville"/>
        </w:rPr>
        <w:t xml:space="preserve">all). The DBHDS monitoring process includes </w:t>
      </w:r>
      <w:r w:rsidR="00D4505E" w:rsidRPr="001B035B">
        <w:rPr>
          <w:rFonts w:ascii="Baskerville" w:hAnsi="Baskerville" w:cs="Baskerville"/>
        </w:rPr>
        <w:t>review</w:t>
      </w:r>
      <w:r w:rsidR="00044147">
        <w:rPr>
          <w:rFonts w:ascii="Baskerville" w:hAnsi="Baskerville" w:cs="Baskerville"/>
        </w:rPr>
        <w:t>s</w:t>
      </w:r>
      <w:r w:rsidR="00D4505E" w:rsidRPr="001B035B">
        <w:rPr>
          <w:rFonts w:ascii="Baskerville" w:hAnsi="Baskerville" w:cs="Baskerville"/>
        </w:rPr>
        <w:t xml:space="preserve"> of a </w:t>
      </w:r>
      <w:r w:rsidR="001B7082" w:rsidRPr="001B035B">
        <w:rPr>
          <w:rFonts w:ascii="Baskerville" w:hAnsi="Baskerville" w:cs="Baskerville"/>
        </w:rPr>
        <w:t>sample of case management records</w:t>
      </w:r>
      <w:r w:rsidR="00D4505E" w:rsidRPr="001B035B">
        <w:rPr>
          <w:rFonts w:ascii="Baskerville" w:hAnsi="Baskerville" w:cs="Baskerville"/>
        </w:rPr>
        <w:t xml:space="preserve"> and then a document review of </w:t>
      </w:r>
      <w:r w:rsidR="00A000C5" w:rsidRPr="001B035B">
        <w:rPr>
          <w:rFonts w:ascii="Baskerville" w:hAnsi="Baskerville" w:cs="Baskerville"/>
        </w:rPr>
        <w:t>providers assigned to deliver services. The independent consultant review determin</w:t>
      </w:r>
      <w:r w:rsidR="00F241FD" w:rsidRPr="001B035B">
        <w:rPr>
          <w:rFonts w:ascii="Baskerville" w:hAnsi="Baskerville" w:cs="Baskerville"/>
        </w:rPr>
        <w:t>ed that it was too early to jud</w:t>
      </w:r>
      <w:r w:rsidR="00A000C5" w:rsidRPr="001B035B">
        <w:rPr>
          <w:rFonts w:ascii="Baskerville" w:hAnsi="Baskerville" w:cs="Baskerville"/>
        </w:rPr>
        <w:t>ge the viability</w:t>
      </w:r>
      <w:r w:rsidR="00F241FD" w:rsidRPr="001B035B">
        <w:rPr>
          <w:rFonts w:ascii="Baskerville" w:hAnsi="Baskerville" w:cs="Baskerville"/>
        </w:rPr>
        <w:t xml:space="preserve"> of the</w:t>
      </w:r>
      <w:r w:rsidR="00481729">
        <w:rPr>
          <w:rFonts w:ascii="Baskerville" w:hAnsi="Baskerville" w:cs="Baskerville"/>
        </w:rPr>
        <w:t xml:space="preserve"> </w:t>
      </w:r>
      <w:r w:rsidR="00F241FD" w:rsidRPr="001B035B">
        <w:rPr>
          <w:rFonts w:ascii="Baskerville" w:hAnsi="Baskerville" w:cs="Baskerville"/>
          <w:i/>
        </w:rPr>
        <w:t>360°</w:t>
      </w:r>
      <w:r w:rsidR="00DF037F">
        <w:rPr>
          <w:rFonts w:ascii="Baskerville" w:hAnsi="Baskerville" w:cs="Baskerville"/>
          <w:i/>
        </w:rPr>
        <w:t xml:space="preserve"> </w:t>
      </w:r>
      <w:r w:rsidR="00F241FD" w:rsidRPr="001B035B">
        <w:rPr>
          <w:rFonts w:ascii="Baskerville" w:hAnsi="Baskerville" w:cs="Baskerville"/>
          <w:i/>
        </w:rPr>
        <w:t xml:space="preserve">Review </w:t>
      </w:r>
      <w:r w:rsidR="00F241FD" w:rsidRPr="001B035B">
        <w:rPr>
          <w:rFonts w:ascii="Baskerville" w:hAnsi="Baskerville" w:cs="Baskerville"/>
        </w:rPr>
        <w:t>process</w:t>
      </w:r>
      <w:r w:rsidR="00481729">
        <w:rPr>
          <w:rFonts w:ascii="Baskerville" w:hAnsi="Baskerville" w:cs="Baskerville"/>
        </w:rPr>
        <w:t xml:space="preserve"> and whether it will </w:t>
      </w:r>
      <w:r w:rsidR="00C16701">
        <w:rPr>
          <w:rFonts w:ascii="Baskerville" w:hAnsi="Baskerville" w:cs="Baskerville"/>
        </w:rPr>
        <w:t>fulfill the requirements of the Agreement</w:t>
      </w:r>
      <w:r w:rsidR="00F241FD" w:rsidRPr="001B035B">
        <w:rPr>
          <w:rFonts w:ascii="Baskerville" w:hAnsi="Baskerville" w:cs="Baskerville"/>
        </w:rPr>
        <w:t xml:space="preserve">. The findings from the </w:t>
      </w:r>
      <w:r w:rsidR="00DF037F" w:rsidRPr="001B035B">
        <w:rPr>
          <w:rFonts w:ascii="Baskerville" w:hAnsi="Baskerville" w:cs="Baskerville"/>
          <w:i/>
        </w:rPr>
        <w:t>360°</w:t>
      </w:r>
      <w:r w:rsidR="00DF037F">
        <w:rPr>
          <w:rFonts w:ascii="Baskerville" w:hAnsi="Baskerville" w:cs="Baskerville"/>
        </w:rPr>
        <w:t xml:space="preserve"> </w:t>
      </w:r>
      <w:r w:rsidR="00DF037F" w:rsidRPr="009258FE">
        <w:rPr>
          <w:rFonts w:ascii="Baskerville" w:hAnsi="Baskerville" w:cs="Baskerville"/>
          <w:i/>
        </w:rPr>
        <w:t>R</w:t>
      </w:r>
      <w:r w:rsidR="00F241FD" w:rsidRPr="009258FE">
        <w:rPr>
          <w:rFonts w:ascii="Baskerville" w:hAnsi="Baskerville" w:cs="Baskerville"/>
          <w:i/>
        </w:rPr>
        <w:t>eviews</w:t>
      </w:r>
      <w:r w:rsidR="00F241FD" w:rsidRPr="001B035B">
        <w:rPr>
          <w:rFonts w:ascii="Baskerville" w:hAnsi="Baskerville" w:cs="Baskerville"/>
        </w:rPr>
        <w:t xml:space="preserve"> completed</w:t>
      </w:r>
      <w:r w:rsidR="00F36E9C" w:rsidRPr="001B035B">
        <w:rPr>
          <w:rFonts w:ascii="Baskerville" w:hAnsi="Baskerville" w:cs="Baskerville"/>
        </w:rPr>
        <w:t>, however, were congruent with the findings fro</w:t>
      </w:r>
      <w:r w:rsidR="00ED53BE">
        <w:rPr>
          <w:rFonts w:ascii="Baskerville" w:hAnsi="Baskerville" w:cs="Baskerville"/>
        </w:rPr>
        <w:t>m the Individual Review S</w:t>
      </w:r>
      <w:r w:rsidR="00044147">
        <w:rPr>
          <w:rFonts w:ascii="Baskerville" w:hAnsi="Baskerville" w:cs="Baskerville"/>
        </w:rPr>
        <w:t>tudies. There is</w:t>
      </w:r>
      <w:r w:rsidR="00F36E9C" w:rsidRPr="001B035B">
        <w:rPr>
          <w:rFonts w:ascii="Baskerville" w:hAnsi="Baskerville" w:cs="Baskerville"/>
        </w:rPr>
        <w:t xml:space="preserve"> </w:t>
      </w:r>
      <w:r w:rsidR="00AD4386" w:rsidRPr="001B035B">
        <w:rPr>
          <w:rFonts w:ascii="Baskerville" w:hAnsi="Baskerville" w:cs="Baskerville"/>
        </w:rPr>
        <w:t>a</w:t>
      </w:r>
      <w:r w:rsidR="00EC505C" w:rsidRPr="001B035B">
        <w:rPr>
          <w:rFonts w:ascii="Baskerville" w:hAnsi="Baskerville" w:cs="Baskerville"/>
        </w:rPr>
        <w:t xml:space="preserve"> lack of community integration </w:t>
      </w:r>
      <w:r w:rsidR="00AD4386" w:rsidRPr="001B035B">
        <w:rPr>
          <w:rFonts w:ascii="Baskerville" w:hAnsi="Baskerville" w:cs="Baskerville"/>
        </w:rPr>
        <w:t>objec</w:t>
      </w:r>
      <w:r w:rsidR="00EC505C" w:rsidRPr="001B035B">
        <w:rPr>
          <w:rFonts w:ascii="Baskerville" w:hAnsi="Baskerville" w:cs="Baskerville"/>
        </w:rPr>
        <w:t>tives and data to support the</w:t>
      </w:r>
      <w:r w:rsidR="000C44EF" w:rsidRPr="001B035B">
        <w:rPr>
          <w:rFonts w:ascii="Baskerville" w:hAnsi="Baskerville" w:cs="Baskerville"/>
        </w:rPr>
        <w:t xml:space="preserve">m. The Commonwealth reports that it plans to address these </w:t>
      </w:r>
      <w:r w:rsidR="008A6785">
        <w:rPr>
          <w:rFonts w:ascii="Baskerville" w:hAnsi="Baskerville" w:cs="Baskerville"/>
        </w:rPr>
        <w:t xml:space="preserve">areas of concern </w:t>
      </w:r>
      <w:r w:rsidR="000C44EF" w:rsidRPr="001B035B">
        <w:rPr>
          <w:rFonts w:ascii="Baskerville" w:hAnsi="Baskerville" w:cs="Baskerville"/>
        </w:rPr>
        <w:t>through case manager retraining.</w:t>
      </w:r>
      <w:r w:rsidR="00485A7C" w:rsidRPr="001B035B">
        <w:rPr>
          <w:rFonts w:ascii="Baskerville" w:hAnsi="Baskerville" w:cs="Baskerville"/>
        </w:rPr>
        <w:t xml:space="preserve"> </w:t>
      </w:r>
      <w:r w:rsidR="00AE3992">
        <w:rPr>
          <w:rFonts w:ascii="Baskerville" w:hAnsi="Baskerville" w:cs="Baskerville"/>
        </w:rPr>
        <w:t>D</w:t>
      </w:r>
      <w:r w:rsidR="006B4E07" w:rsidRPr="001B035B">
        <w:rPr>
          <w:rFonts w:ascii="Baskerville" w:hAnsi="Baskerville" w:cs="Baskerville"/>
        </w:rPr>
        <w:t xml:space="preserve">BHDS </w:t>
      </w:r>
      <w:r w:rsidR="00AE3992">
        <w:rPr>
          <w:rFonts w:ascii="Baskerville" w:hAnsi="Baskerville" w:cs="Baskerville"/>
        </w:rPr>
        <w:t xml:space="preserve">has </w:t>
      </w:r>
      <w:r w:rsidR="00ED53BE" w:rsidRPr="001B035B">
        <w:rPr>
          <w:rFonts w:ascii="Baskerville" w:hAnsi="Baskerville" w:cs="Baskerville"/>
        </w:rPr>
        <w:t>Quality Management</w:t>
      </w:r>
      <w:r w:rsidR="00ED53BE">
        <w:rPr>
          <w:rFonts w:ascii="Baskerville" w:hAnsi="Baskerville" w:cs="Baskerville"/>
        </w:rPr>
        <w:t xml:space="preserve"> </w:t>
      </w:r>
      <w:r w:rsidR="00AE3992">
        <w:rPr>
          <w:rFonts w:ascii="Baskerville" w:hAnsi="Baskerville" w:cs="Baskerville"/>
        </w:rPr>
        <w:t>monitoring</w:t>
      </w:r>
      <w:r w:rsidR="006B4E07" w:rsidRPr="001B035B">
        <w:rPr>
          <w:rFonts w:ascii="Baskerville" w:hAnsi="Baskerville" w:cs="Baskerville"/>
        </w:rPr>
        <w:t xml:space="preserve"> activities </w:t>
      </w:r>
      <w:r w:rsidR="00D335B6">
        <w:rPr>
          <w:rFonts w:ascii="Baskerville" w:hAnsi="Baskerville" w:cs="Baskerville"/>
        </w:rPr>
        <w:t xml:space="preserve">that </w:t>
      </w:r>
      <w:r w:rsidR="00545504" w:rsidRPr="001B035B">
        <w:rPr>
          <w:rFonts w:ascii="Baskerville" w:hAnsi="Baskerville" w:cs="Baskerville"/>
        </w:rPr>
        <w:t xml:space="preserve">indicate progress, </w:t>
      </w:r>
      <w:r w:rsidR="00D335B6">
        <w:rPr>
          <w:rFonts w:ascii="Baskerville" w:hAnsi="Baskerville" w:cs="Baskerville"/>
        </w:rPr>
        <w:t xml:space="preserve">however, </w:t>
      </w:r>
      <w:r w:rsidR="00545504" w:rsidRPr="001B035B">
        <w:rPr>
          <w:rFonts w:ascii="Baskerville" w:hAnsi="Baskerville" w:cs="Baskerville"/>
        </w:rPr>
        <w:t xml:space="preserve">the </w:t>
      </w:r>
      <w:r w:rsidR="00485A7C" w:rsidRPr="001B035B">
        <w:rPr>
          <w:rFonts w:ascii="Baskerville" w:hAnsi="Baskerville" w:cs="Baskerville"/>
        </w:rPr>
        <w:t xml:space="preserve">IR </w:t>
      </w:r>
      <w:r w:rsidR="00545504" w:rsidRPr="001B035B">
        <w:rPr>
          <w:rFonts w:ascii="Baskerville" w:hAnsi="Baskerville" w:cs="Baskerville"/>
        </w:rPr>
        <w:t xml:space="preserve">has </w:t>
      </w:r>
      <w:r w:rsidR="00485A7C" w:rsidRPr="001B035B">
        <w:rPr>
          <w:rFonts w:ascii="Baskerville" w:hAnsi="Baskerville" w:cs="Baskerville"/>
        </w:rPr>
        <w:t xml:space="preserve">determined that </w:t>
      </w:r>
      <w:r w:rsidR="00545504" w:rsidRPr="001B035B">
        <w:rPr>
          <w:rFonts w:ascii="Baskerville" w:hAnsi="Baskerville" w:cs="Baskerville"/>
        </w:rPr>
        <w:t>the Commonwealth is not in compliance with the requirements of III.C.5.d.</w:t>
      </w:r>
      <w:r w:rsidR="00F70200" w:rsidRPr="001B035B">
        <w:rPr>
          <w:rFonts w:ascii="Baskerville" w:hAnsi="Baskerville" w:cs="Baskerville"/>
        </w:rPr>
        <w:t xml:space="preserve"> The Commonwealth did not provide </w:t>
      </w:r>
      <w:r w:rsidR="00EF3DDA" w:rsidRPr="001B035B">
        <w:rPr>
          <w:rFonts w:ascii="Baskerville" w:hAnsi="Baskerville" w:cs="Baskerville"/>
        </w:rPr>
        <w:t xml:space="preserve">sufficient records to document that </w:t>
      </w:r>
      <w:r w:rsidR="00E61CBB">
        <w:rPr>
          <w:rFonts w:ascii="Baskerville" w:hAnsi="Baskerville" w:cs="Baskerville"/>
        </w:rPr>
        <w:t xml:space="preserve">it </w:t>
      </w:r>
      <w:r w:rsidR="00EF3DDA" w:rsidRPr="001B035B">
        <w:rPr>
          <w:rFonts w:ascii="Baskerville" w:hAnsi="Baskerville" w:cs="Baskerville"/>
        </w:rPr>
        <w:t>properly implemented</w:t>
      </w:r>
      <w:r w:rsidR="00E61CBB">
        <w:rPr>
          <w:rFonts w:ascii="Baskerville" w:hAnsi="Baskerville" w:cs="Baskerville"/>
        </w:rPr>
        <w:t xml:space="preserve"> this provision. The IR </w:t>
      </w:r>
      <w:r w:rsidR="00D335B6">
        <w:rPr>
          <w:rFonts w:ascii="Baskerville" w:hAnsi="Baskerville" w:cs="Baskerville"/>
        </w:rPr>
        <w:t xml:space="preserve">also </w:t>
      </w:r>
      <w:r w:rsidR="00E61CBB">
        <w:rPr>
          <w:rFonts w:ascii="Baskerville" w:hAnsi="Baskerville" w:cs="Baskerville"/>
        </w:rPr>
        <w:t xml:space="preserve">determined that the Commonwealth </w:t>
      </w:r>
      <w:r w:rsidR="009226A1">
        <w:rPr>
          <w:rFonts w:ascii="Baskerville" w:hAnsi="Baskerville" w:cs="Baskerville"/>
        </w:rPr>
        <w:t xml:space="preserve">is </w:t>
      </w:r>
      <w:r w:rsidR="00C67A90" w:rsidRPr="001B035B">
        <w:rPr>
          <w:rFonts w:ascii="Baskerville" w:hAnsi="Baskerville" w:cs="Baskerville"/>
        </w:rPr>
        <w:t>not in compliance with the requirements of IX.C.</w:t>
      </w:r>
      <w:r w:rsidR="00F70200" w:rsidRPr="001B035B">
        <w:rPr>
          <w:rFonts w:ascii="Baskerville" w:hAnsi="Baskerville" w:cs="Baskerville"/>
        </w:rPr>
        <w:t xml:space="preserve"> </w:t>
      </w:r>
    </w:p>
    <w:p w:rsidR="009258FE" w:rsidRPr="001B035B" w:rsidRDefault="009258FE" w:rsidP="00DF037F">
      <w:pPr>
        <w:tabs>
          <w:tab w:val="left" w:pos="1671"/>
          <w:tab w:val="left" w:pos="1980"/>
        </w:tabs>
        <w:ind w:right="-216"/>
        <w:rPr>
          <w:rFonts w:ascii="Baskerville" w:hAnsi="Baskerville" w:cs="Baskerville"/>
        </w:rPr>
      </w:pPr>
    </w:p>
    <w:p w:rsidR="0059492A" w:rsidRPr="001B035B" w:rsidRDefault="00D46009" w:rsidP="003518FC">
      <w:pPr>
        <w:tabs>
          <w:tab w:val="left" w:pos="1671"/>
          <w:tab w:val="left" w:pos="1980"/>
        </w:tabs>
        <w:ind w:right="-216"/>
        <w:rPr>
          <w:rFonts w:ascii="Baskerville" w:hAnsi="Baskerville" w:cs="Baskerville"/>
          <w:u w:val="single"/>
        </w:rPr>
      </w:pPr>
      <w:r w:rsidRPr="001B035B">
        <w:rPr>
          <w:rFonts w:ascii="Baskerville" w:hAnsi="Baskerville" w:cs="Baskerville"/>
          <w:u w:val="single"/>
        </w:rPr>
        <w:t>Less Restrictive Options:</w:t>
      </w:r>
    </w:p>
    <w:p w:rsidR="004A709D" w:rsidRPr="001B035B" w:rsidRDefault="00D46009" w:rsidP="003518FC">
      <w:pPr>
        <w:tabs>
          <w:tab w:val="left" w:pos="1671"/>
          <w:tab w:val="left" w:pos="1980"/>
        </w:tabs>
        <w:ind w:right="-216"/>
        <w:rPr>
          <w:rFonts w:ascii="Baskerville" w:hAnsi="Baskerville" w:cs="Baskerville"/>
        </w:rPr>
      </w:pPr>
      <w:r w:rsidRPr="001B035B">
        <w:rPr>
          <w:rFonts w:ascii="Baskerville" w:hAnsi="Baskerville" w:cs="Baskerville"/>
        </w:rPr>
        <w:t>T</w:t>
      </w:r>
      <w:r w:rsidR="00AA2F39">
        <w:rPr>
          <w:rFonts w:ascii="Baskerville" w:hAnsi="Baskerville" w:cs="Baskerville"/>
        </w:rPr>
        <w:t>his year, t</w:t>
      </w:r>
      <w:r w:rsidRPr="001B035B">
        <w:rPr>
          <w:rFonts w:ascii="Baskerville" w:hAnsi="Baskerville" w:cs="Baskerville"/>
        </w:rPr>
        <w:t xml:space="preserve">he Commonwealth has </w:t>
      </w:r>
      <w:r w:rsidR="00AA2F39">
        <w:rPr>
          <w:rFonts w:ascii="Baskerville" w:hAnsi="Baskerville" w:cs="Baskerville"/>
        </w:rPr>
        <w:t>created and bega</w:t>
      </w:r>
      <w:r w:rsidR="009226A1">
        <w:rPr>
          <w:rFonts w:ascii="Baskerville" w:hAnsi="Baskerville" w:cs="Baskerville"/>
        </w:rPr>
        <w:t>n</w:t>
      </w:r>
      <w:r w:rsidR="00D53041" w:rsidRPr="001B035B">
        <w:rPr>
          <w:rFonts w:ascii="Baskerville" w:hAnsi="Baskerville" w:cs="Baskerville"/>
        </w:rPr>
        <w:t xml:space="preserve"> </w:t>
      </w:r>
      <w:r w:rsidR="00AA2F39">
        <w:rPr>
          <w:rFonts w:ascii="Baskerville" w:hAnsi="Baskerville" w:cs="Baskerville"/>
        </w:rPr>
        <w:t>to use</w:t>
      </w:r>
      <w:r w:rsidR="00D53041" w:rsidRPr="001B035B">
        <w:rPr>
          <w:rFonts w:ascii="Baskerville" w:hAnsi="Baskerville" w:cs="Baskerville"/>
        </w:rPr>
        <w:t xml:space="preserve"> a new </w:t>
      </w:r>
      <w:r w:rsidR="009D50C3" w:rsidRPr="001B035B">
        <w:rPr>
          <w:rFonts w:ascii="Baskerville" w:hAnsi="Baskerville" w:cs="Baskerville"/>
        </w:rPr>
        <w:t xml:space="preserve">ISP </w:t>
      </w:r>
      <w:r w:rsidR="00D53041" w:rsidRPr="001B035B">
        <w:rPr>
          <w:rFonts w:ascii="Baskerville" w:hAnsi="Baskerville" w:cs="Baskerville"/>
        </w:rPr>
        <w:t>form</w:t>
      </w:r>
      <w:r w:rsidR="00AA2F39">
        <w:rPr>
          <w:rFonts w:ascii="Baskerville" w:hAnsi="Baskerville" w:cs="Baskerville"/>
        </w:rPr>
        <w:t>.</w:t>
      </w:r>
      <w:r w:rsidR="001C3B4A">
        <w:rPr>
          <w:rFonts w:ascii="Baskerville" w:hAnsi="Baskerville" w:cs="Baskerville"/>
        </w:rPr>
        <w:t xml:space="preserve"> The form is </w:t>
      </w:r>
      <w:r w:rsidR="009D50C3" w:rsidRPr="001B035B">
        <w:rPr>
          <w:rFonts w:ascii="Baskerville" w:hAnsi="Baskerville" w:cs="Baskerville"/>
        </w:rPr>
        <w:t>to be used state wide as annual ISPs become due</w:t>
      </w:r>
      <w:r w:rsidR="00295DB0" w:rsidRPr="001B035B">
        <w:rPr>
          <w:rFonts w:ascii="Baskerville" w:hAnsi="Baskerville" w:cs="Baskerville"/>
        </w:rPr>
        <w:t>. The form is designed</w:t>
      </w:r>
      <w:r w:rsidR="004A7E53" w:rsidRPr="001B035B">
        <w:rPr>
          <w:rFonts w:ascii="Baskerville" w:hAnsi="Baskerville" w:cs="Baskerville"/>
        </w:rPr>
        <w:t xml:space="preserve"> to confirm </w:t>
      </w:r>
      <w:r w:rsidR="009A60A0" w:rsidRPr="001B035B">
        <w:rPr>
          <w:rFonts w:ascii="Baskerville" w:hAnsi="Baskerville" w:cs="Baskerville"/>
        </w:rPr>
        <w:t>that the</w:t>
      </w:r>
      <w:r w:rsidR="009226A1">
        <w:rPr>
          <w:rFonts w:ascii="Baskerville" w:hAnsi="Baskerville" w:cs="Baskerville"/>
        </w:rPr>
        <w:t xml:space="preserve"> case manager provides information</w:t>
      </w:r>
      <w:r w:rsidR="009A60A0" w:rsidRPr="001B035B">
        <w:rPr>
          <w:rFonts w:ascii="Baskerville" w:hAnsi="Baskerville" w:cs="Baskerville"/>
        </w:rPr>
        <w:t xml:space="preserve"> regarding </w:t>
      </w:r>
      <w:r w:rsidR="004A7E53" w:rsidRPr="001B035B">
        <w:rPr>
          <w:rFonts w:ascii="Baskerville" w:hAnsi="Baskerville" w:cs="Baskerville"/>
        </w:rPr>
        <w:t>less restrictive options and a review of most integrated settings</w:t>
      </w:r>
      <w:r w:rsidR="009A60A0" w:rsidRPr="001B035B">
        <w:rPr>
          <w:rFonts w:ascii="Baskerville" w:hAnsi="Baskerville" w:cs="Baskerville"/>
        </w:rPr>
        <w:t xml:space="preserve">. </w:t>
      </w:r>
      <w:r w:rsidR="003C7005" w:rsidRPr="001B035B">
        <w:rPr>
          <w:rFonts w:ascii="Baskerville" w:hAnsi="Baskerville" w:cs="Baskerville"/>
        </w:rPr>
        <w:t>The Community Resource Consultants have been training case managers and providers on the new ISP format.</w:t>
      </w:r>
      <w:r w:rsidR="009D1F38">
        <w:rPr>
          <w:rFonts w:ascii="Baskerville" w:hAnsi="Baskerville" w:cs="Baskerville"/>
        </w:rPr>
        <w:t xml:space="preserve"> The </w:t>
      </w:r>
      <w:r w:rsidR="00257D25" w:rsidRPr="001B035B">
        <w:rPr>
          <w:rFonts w:ascii="Baskerville" w:hAnsi="Baskerville" w:cs="Baskerville"/>
        </w:rPr>
        <w:t xml:space="preserve">consultant surveyed thirty-one </w:t>
      </w:r>
      <w:r w:rsidR="003B4E2A" w:rsidRPr="001B035B">
        <w:rPr>
          <w:rFonts w:ascii="Baskerville" w:hAnsi="Baskerville" w:cs="Baskerville"/>
        </w:rPr>
        <w:t>randomly selected individuals/</w:t>
      </w:r>
      <w:r w:rsidR="00257D25" w:rsidRPr="001B035B">
        <w:rPr>
          <w:rFonts w:ascii="Baskerville" w:hAnsi="Baskerville" w:cs="Baskerville"/>
        </w:rPr>
        <w:t>fami</w:t>
      </w:r>
      <w:r w:rsidR="00ED435C" w:rsidRPr="001B035B">
        <w:rPr>
          <w:rFonts w:ascii="Baskerville" w:hAnsi="Baskerville" w:cs="Baskerville"/>
        </w:rPr>
        <w:t>lies/Authorized Representatives</w:t>
      </w:r>
      <w:r w:rsidR="00B77C5E" w:rsidRPr="001B035B">
        <w:rPr>
          <w:rFonts w:ascii="Baskerville" w:hAnsi="Baskerville" w:cs="Baskerville"/>
        </w:rPr>
        <w:t xml:space="preserve"> who had recent</w:t>
      </w:r>
      <w:r w:rsidR="009D1F38">
        <w:rPr>
          <w:rFonts w:ascii="Baskerville" w:hAnsi="Baskerville" w:cs="Baskerville"/>
        </w:rPr>
        <w:t>ly had</w:t>
      </w:r>
      <w:r w:rsidR="00B77C5E" w:rsidRPr="001B035B">
        <w:rPr>
          <w:rFonts w:ascii="Baskerville" w:hAnsi="Baskerville" w:cs="Baskerville"/>
        </w:rPr>
        <w:t xml:space="preserve"> annual ISP meetin</w:t>
      </w:r>
      <w:r w:rsidR="00ED435C" w:rsidRPr="001B035B">
        <w:rPr>
          <w:rFonts w:ascii="Baskerville" w:hAnsi="Baskerville" w:cs="Baskerville"/>
        </w:rPr>
        <w:t>gs. Seventy-eight percent of those w</w:t>
      </w:r>
      <w:r w:rsidR="004B715D" w:rsidRPr="001B035B">
        <w:rPr>
          <w:rFonts w:ascii="Baskerville" w:hAnsi="Baskerville" w:cs="Baskerville"/>
        </w:rPr>
        <w:t xml:space="preserve">ho answered the phone recalled </w:t>
      </w:r>
      <w:r w:rsidR="00EF7187">
        <w:rPr>
          <w:rFonts w:ascii="Baskerville" w:hAnsi="Baskerville" w:cs="Baskerville"/>
        </w:rPr>
        <w:t xml:space="preserve">discussing </w:t>
      </w:r>
      <w:r w:rsidR="004B715D" w:rsidRPr="001B035B">
        <w:rPr>
          <w:rFonts w:ascii="Baskerville" w:hAnsi="Baskerville" w:cs="Baskerville"/>
        </w:rPr>
        <w:t>other and less res</w:t>
      </w:r>
      <w:r w:rsidR="00EF7187">
        <w:rPr>
          <w:rFonts w:ascii="Baskerville" w:hAnsi="Baskerville" w:cs="Baskerville"/>
        </w:rPr>
        <w:t>trictive options</w:t>
      </w:r>
      <w:r w:rsidR="004B715D" w:rsidRPr="001B035B">
        <w:rPr>
          <w:rFonts w:ascii="Baskerville" w:hAnsi="Baskerville" w:cs="Baskerville"/>
        </w:rPr>
        <w:t>. The IR determined that</w:t>
      </w:r>
      <w:r w:rsidR="00756DC6" w:rsidRPr="001B035B">
        <w:rPr>
          <w:rFonts w:ascii="Baskerville" w:hAnsi="Baskerville" w:cs="Baskerville"/>
        </w:rPr>
        <w:t xml:space="preserve"> the Commonwealth is in compliance wit</w:t>
      </w:r>
      <w:r w:rsidR="00B9274B" w:rsidRPr="001B035B">
        <w:rPr>
          <w:rFonts w:ascii="Baskerville" w:hAnsi="Baskerville" w:cs="Baskerville"/>
        </w:rPr>
        <w:t xml:space="preserve">h III.D.7. </w:t>
      </w:r>
    </w:p>
    <w:p w:rsidR="004A709D" w:rsidRPr="001B035B" w:rsidRDefault="004A709D" w:rsidP="003518FC">
      <w:pPr>
        <w:tabs>
          <w:tab w:val="left" w:pos="1671"/>
          <w:tab w:val="left" w:pos="1980"/>
        </w:tabs>
        <w:ind w:right="-216"/>
        <w:rPr>
          <w:rFonts w:ascii="Baskerville" w:hAnsi="Baskerville" w:cs="Baskerville"/>
        </w:rPr>
      </w:pPr>
    </w:p>
    <w:p w:rsidR="00D46009" w:rsidRPr="001B035B" w:rsidRDefault="00A634E6" w:rsidP="003518FC">
      <w:pPr>
        <w:tabs>
          <w:tab w:val="left" w:pos="1671"/>
          <w:tab w:val="left" w:pos="1980"/>
        </w:tabs>
        <w:ind w:right="-216"/>
        <w:rPr>
          <w:rFonts w:ascii="Baskerville" w:hAnsi="Baskerville" w:cs="Baskerville"/>
          <w:u w:val="single"/>
        </w:rPr>
      </w:pPr>
      <w:r w:rsidRPr="001B035B">
        <w:rPr>
          <w:rFonts w:ascii="Baskerville" w:hAnsi="Baskerville" w:cs="Baskerville"/>
          <w:u w:val="single"/>
        </w:rPr>
        <w:t>Observation and Assessment</w:t>
      </w:r>
      <w:r w:rsidR="00C47562" w:rsidRPr="001B035B">
        <w:rPr>
          <w:rFonts w:ascii="Baskerville" w:hAnsi="Baskerville" w:cs="Baskerville"/>
          <w:u w:val="single"/>
        </w:rPr>
        <w:t xml:space="preserve">: </w:t>
      </w:r>
    </w:p>
    <w:p w:rsidR="00A77A4A" w:rsidRDefault="00AC6FFE" w:rsidP="003518FC">
      <w:pPr>
        <w:tabs>
          <w:tab w:val="left" w:pos="1671"/>
          <w:tab w:val="left" w:pos="1980"/>
        </w:tabs>
        <w:ind w:right="-216"/>
        <w:rPr>
          <w:rFonts w:ascii="Baskerville" w:hAnsi="Baskerville" w:cs="Baskerville"/>
        </w:rPr>
      </w:pPr>
      <w:r>
        <w:rPr>
          <w:rFonts w:ascii="Baskerville" w:hAnsi="Baskerville" w:cs="Baskerville"/>
        </w:rPr>
        <w:t xml:space="preserve">The </w:t>
      </w:r>
      <w:r w:rsidR="003F1A8C" w:rsidRPr="001B035B">
        <w:rPr>
          <w:rFonts w:ascii="Baskerville" w:hAnsi="Baskerville" w:cs="Baskerville"/>
        </w:rPr>
        <w:t xml:space="preserve">consultant found that </w:t>
      </w:r>
      <w:r w:rsidR="00D6320F">
        <w:rPr>
          <w:rFonts w:ascii="Baskerville" w:hAnsi="Baskerville" w:cs="Baskerville"/>
        </w:rPr>
        <w:t>DBHDS established key indicators</w:t>
      </w:r>
      <w:r w:rsidR="00A51C15" w:rsidRPr="001B035B">
        <w:rPr>
          <w:rFonts w:ascii="Baskerville" w:hAnsi="Baskerville" w:cs="Baskerville"/>
        </w:rPr>
        <w:t xml:space="preserve"> </w:t>
      </w:r>
      <w:r w:rsidR="003F1A8C" w:rsidRPr="001B035B">
        <w:rPr>
          <w:rFonts w:ascii="Baskerville" w:hAnsi="Baskerville" w:cs="Baskerville"/>
        </w:rPr>
        <w:t>to measure the</w:t>
      </w:r>
      <w:r w:rsidR="00FF52FC" w:rsidRPr="001B035B">
        <w:rPr>
          <w:rFonts w:ascii="Baskerville" w:hAnsi="Baskerville" w:cs="Baskerville"/>
        </w:rPr>
        <w:t xml:space="preserve"> </w:t>
      </w:r>
      <w:r w:rsidR="00A51C15" w:rsidRPr="001B035B">
        <w:rPr>
          <w:rFonts w:ascii="Baskerville" w:hAnsi="Baskerville" w:cs="Baskerville"/>
        </w:rPr>
        <w:t>cont</w:t>
      </w:r>
      <w:r w:rsidR="006442E3">
        <w:rPr>
          <w:rFonts w:ascii="Baskerville" w:hAnsi="Baskerville" w:cs="Baskerville"/>
        </w:rPr>
        <w:t>ent of face-to face visits</w:t>
      </w:r>
      <w:r w:rsidR="00335E75">
        <w:rPr>
          <w:rFonts w:ascii="Baskerville" w:hAnsi="Baskerville" w:cs="Baskerville"/>
        </w:rPr>
        <w:t>, and that the indicators</w:t>
      </w:r>
      <w:r w:rsidR="006442E3">
        <w:rPr>
          <w:rFonts w:ascii="Baskerville" w:hAnsi="Baskerville" w:cs="Baskerville"/>
        </w:rPr>
        <w:t xml:space="preserve"> show</w:t>
      </w:r>
      <w:r w:rsidR="00A51C15" w:rsidRPr="001B035B">
        <w:rPr>
          <w:rFonts w:ascii="Baskerville" w:hAnsi="Baskerville" w:cs="Baskerville"/>
        </w:rPr>
        <w:t xml:space="preserve"> promise. His review also determined that</w:t>
      </w:r>
      <w:r w:rsidR="00B1481D" w:rsidRPr="001B035B">
        <w:rPr>
          <w:rFonts w:ascii="Baskerville" w:hAnsi="Baskerville" w:cs="Baskerville"/>
        </w:rPr>
        <w:t xml:space="preserve"> these measures do not address specific elements of the face-to-face visits, such as</w:t>
      </w:r>
      <w:r w:rsidR="006729C9" w:rsidRPr="001B035B">
        <w:rPr>
          <w:rFonts w:ascii="Baskerville" w:hAnsi="Baskerville" w:cs="Baskerville"/>
        </w:rPr>
        <w:t>,</w:t>
      </w:r>
      <w:r w:rsidR="00B1481D" w:rsidRPr="001B035B">
        <w:rPr>
          <w:rFonts w:ascii="Baskerville" w:hAnsi="Baskerville" w:cs="Baskerville"/>
        </w:rPr>
        <w:t xml:space="preserve"> when to assemble the team, how to evaluate significant implementation problems</w:t>
      </w:r>
      <w:r w:rsidR="00397229">
        <w:rPr>
          <w:rFonts w:ascii="Baskerville" w:hAnsi="Baskerville" w:cs="Baskerville"/>
        </w:rPr>
        <w:t>,</w:t>
      </w:r>
      <w:r w:rsidR="006729C9" w:rsidRPr="001B035B">
        <w:rPr>
          <w:rFonts w:ascii="Baskerville" w:hAnsi="Baskerville" w:cs="Baskerville"/>
        </w:rPr>
        <w:t xml:space="preserve"> and </w:t>
      </w:r>
      <w:r w:rsidR="00397229">
        <w:rPr>
          <w:rFonts w:ascii="Baskerville" w:hAnsi="Baskerville" w:cs="Baskerville"/>
        </w:rPr>
        <w:t xml:space="preserve">how to </w:t>
      </w:r>
      <w:r w:rsidR="006729C9" w:rsidRPr="001B035B">
        <w:rPr>
          <w:rFonts w:ascii="Baskerville" w:hAnsi="Baskerville" w:cs="Baskerville"/>
        </w:rPr>
        <w:t>assess risk when there are status changes</w:t>
      </w:r>
      <w:r w:rsidR="0018431B" w:rsidRPr="001B035B">
        <w:rPr>
          <w:rFonts w:ascii="Baskerville" w:hAnsi="Baskerville" w:cs="Baskerville"/>
        </w:rPr>
        <w:t>.</w:t>
      </w:r>
      <w:r w:rsidR="0035134E" w:rsidRPr="001B035B">
        <w:rPr>
          <w:rFonts w:ascii="Baskerville" w:hAnsi="Baskerville" w:cs="Baskerville"/>
        </w:rPr>
        <w:t xml:space="preserve"> </w:t>
      </w:r>
      <w:r w:rsidR="008906F9">
        <w:rPr>
          <w:rFonts w:ascii="Baskerville" w:hAnsi="Baskerville" w:cs="Baskerville"/>
        </w:rPr>
        <w:t xml:space="preserve">The consultant found that </w:t>
      </w:r>
      <w:r w:rsidR="0035134E" w:rsidRPr="001B035B">
        <w:rPr>
          <w:rFonts w:ascii="Baskerville" w:hAnsi="Baskerville" w:cs="Baskerville"/>
        </w:rPr>
        <w:t xml:space="preserve">DBHDS </w:t>
      </w:r>
      <w:r w:rsidR="008906F9">
        <w:rPr>
          <w:rFonts w:ascii="Baskerville" w:hAnsi="Baskerville" w:cs="Baskerville"/>
        </w:rPr>
        <w:t xml:space="preserve">had </w:t>
      </w:r>
      <w:r w:rsidR="0035134E" w:rsidRPr="001B035B">
        <w:rPr>
          <w:rFonts w:ascii="Baskerville" w:hAnsi="Baskerville" w:cs="Baskerville"/>
        </w:rPr>
        <w:t xml:space="preserve">improved </w:t>
      </w:r>
      <w:r w:rsidR="00E52B4E" w:rsidRPr="001B035B">
        <w:rPr>
          <w:rFonts w:ascii="Baskerville" w:hAnsi="Baskerville" w:cs="Baskerville"/>
        </w:rPr>
        <w:t>parts of its Data Dash</w:t>
      </w:r>
      <w:r w:rsidR="0035134E" w:rsidRPr="001B035B">
        <w:rPr>
          <w:rFonts w:ascii="Baskerville" w:hAnsi="Baskerville" w:cs="Baskerville"/>
        </w:rPr>
        <w:t>board</w:t>
      </w:r>
      <w:r w:rsidR="00AC0431">
        <w:rPr>
          <w:rFonts w:ascii="Baskerville" w:hAnsi="Baskerville" w:cs="Baskerville"/>
        </w:rPr>
        <w:t>,</w:t>
      </w:r>
      <w:r w:rsidR="0035134E" w:rsidRPr="001B035B">
        <w:rPr>
          <w:rFonts w:ascii="Baskerville" w:hAnsi="Baskerville" w:cs="Baskerville"/>
        </w:rPr>
        <w:t xml:space="preserve"> which improved </w:t>
      </w:r>
      <w:r w:rsidR="008906F9">
        <w:rPr>
          <w:rFonts w:ascii="Baskerville" w:hAnsi="Baskerville" w:cs="Baskerville"/>
        </w:rPr>
        <w:t xml:space="preserve">its </w:t>
      </w:r>
      <w:r w:rsidR="0035134E" w:rsidRPr="001B035B">
        <w:rPr>
          <w:rFonts w:ascii="Baskerville" w:hAnsi="Baskerville" w:cs="Baskerville"/>
        </w:rPr>
        <w:t>out</w:t>
      </w:r>
      <w:r w:rsidR="008906F9">
        <w:rPr>
          <w:rFonts w:ascii="Baskerville" w:hAnsi="Baskerville" w:cs="Baskerville"/>
        </w:rPr>
        <w:t>puts. DBHDS also plans to offer</w:t>
      </w:r>
      <w:r w:rsidR="00035700" w:rsidRPr="001B035B">
        <w:rPr>
          <w:rFonts w:ascii="Baskerville" w:hAnsi="Baskerville" w:cs="Baskerville"/>
        </w:rPr>
        <w:t xml:space="preserve"> training </w:t>
      </w:r>
      <w:r w:rsidR="000B5F8B" w:rsidRPr="001B035B">
        <w:rPr>
          <w:rFonts w:ascii="Baskerville" w:hAnsi="Baskerville" w:cs="Baskerville"/>
        </w:rPr>
        <w:t>for case managers</w:t>
      </w:r>
      <w:r w:rsidR="00A77A4A">
        <w:rPr>
          <w:rFonts w:ascii="Baskerville" w:hAnsi="Baskerville" w:cs="Baskerville"/>
        </w:rPr>
        <w:t xml:space="preserve"> related to observations and assessment</w:t>
      </w:r>
      <w:r w:rsidR="0035134E" w:rsidRPr="001B035B">
        <w:rPr>
          <w:rFonts w:ascii="Baskerville" w:hAnsi="Baskerville" w:cs="Baskerville"/>
        </w:rPr>
        <w:t xml:space="preserve">. </w:t>
      </w:r>
    </w:p>
    <w:p w:rsidR="00A77A4A" w:rsidRDefault="00A77A4A" w:rsidP="003518FC">
      <w:pPr>
        <w:tabs>
          <w:tab w:val="left" w:pos="1671"/>
          <w:tab w:val="left" w:pos="1980"/>
        </w:tabs>
        <w:ind w:right="-216"/>
        <w:rPr>
          <w:rFonts w:ascii="Baskerville" w:hAnsi="Baskerville" w:cs="Baskerville"/>
        </w:rPr>
      </w:pPr>
    </w:p>
    <w:p w:rsidR="00D93FFA" w:rsidRDefault="006F2216" w:rsidP="003518FC">
      <w:pPr>
        <w:tabs>
          <w:tab w:val="left" w:pos="1671"/>
          <w:tab w:val="left" w:pos="1980"/>
        </w:tabs>
        <w:ind w:right="-216"/>
        <w:rPr>
          <w:rFonts w:ascii="Baskerville" w:hAnsi="Baskerville" w:cs="Baskerville"/>
        </w:rPr>
      </w:pPr>
      <w:r w:rsidRPr="001B035B">
        <w:rPr>
          <w:rFonts w:ascii="Baskerville" w:hAnsi="Baskerville" w:cs="Baskerville"/>
        </w:rPr>
        <w:t>The consultant’s evaluation again raised the serious issue of the halo effect of case managers skewing reports toward the positive</w:t>
      </w:r>
      <w:r w:rsidR="00E81D14" w:rsidRPr="001B035B">
        <w:rPr>
          <w:rFonts w:ascii="Baskerville" w:hAnsi="Baskerville" w:cs="Baskerville"/>
        </w:rPr>
        <w:t xml:space="preserve">. DBHDS reports that it has plans to put corrections into place. </w:t>
      </w:r>
      <w:r w:rsidR="00E22AE7" w:rsidRPr="001B035B">
        <w:rPr>
          <w:rFonts w:ascii="Baskerville" w:hAnsi="Baskerville" w:cs="Baskerville"/>
        </w:rPr>
        <w:t>For example,</w:t>
      </w:r>
      <w:r w:rsidR="00476411" w:rsidRPr="001B035B">
        <w:rPr>
          <w:rFonts w:ascii="Baskerville" w:hAnsi="Baskerville" w:cs="Baskerville"/>
        </w:rPr>
        <w:t xml:space="preserve"> </w:t>
      </w:r>
      <w:r w:rsidR="00272AF1" w:rsidRPr="001B035B">
        <w:rPr>
          <w:rFonts w:ascii="Baskerville" w:hAnsi="Baskerville" w:cs="Baskerville"/>
        </w:rPr>
        <w:t>in October 2014 four CSB</w:t>
      </w:r>
      <w:r w:rsidR="007737CD" w:rsidRPr="001B035B">
        <w:rPr>
          <w:rFonts w:ascii="Baskerville" w:hAnsi="Baskerville" w:cs="Baskerville"/>
        </w:rPr>
        <w:t xml:space="preserve">s </w:t>
      </w:r>
      <w:r w:rsidR="00272AF1" w:rsidRPr="001B035B">
        <w:rPr>
          <w:rFonts w:ascii="Baskerville" w:hAnsi="Baskerville" w:cs="Baskerville"/>
        </w:rPr>
        <w:t xml:space="preserve">reported that 100% of their </w:t>
      </w:r>
      <w:r w:rsidR="007737CD" w:rsidRPr="001B035B">
        <w:rPr>
          <w:rFonts w:ascii="Baskerville" w:hAnsi="Baskerville" w:cs="Baskerville"/>
        </w:rPr>
        <w:t xml:space="preserve">740 individuals had successfully achieved </w:t>
      </w:r>
      <w:r w:rsidR="00F915D1" w:rsidRPr="001B035B">
        <w:rPr>
          <w:rFonts w:ascii="Baskerville" w:hAnsi="Baskerville" w:cs="Baskerville"/>
        </w:rPr>
        <w:t xml:space="preserve">all </w:t>
      </w:r>
      <w:r w:rsidR="007737CD" w:rsidRPr="001B035B">
        <w:rPr>
          <w:rFonts w:ascii="Baskerville" w:hAnsi="Baskerville" w:cs="Baskerville"/>
        </w:rPr>
        <w:t>their</w:t>
      </w:r>
      <w:r w:rsidR="00F915D1" w:rsidRPr="001B035B">
        <w:rPr>
          <w:rFonts w:ascii="Baskerville" w:hAnsi="Baskerville" w:cs="Baskerville"/>
        </w:rPr>
        <w:t xml:space="preserve"> </w:t>
      </w:r>
      <w:r w:rsidR="00476411" w:rsidRPr="001B035B">
        <w:rPr>
          <w:rFonts w:ascii="Baskerville" w:hAnsi="Baskerville" w:cs="Baskerville"/>
        </w:rPr>
        <w:t>Health and Well Being goals.  Generally,</w:t>
      </w:r>
      <w:r w:rsidR="00272AF1" w:rsidRPr="001B035B">
        <w:rPr>
          <w:rFonts w:ascii="Baskerville" w:hAnsi="Baskerville" w:cs="Baskerville"/>
        </w:rPr>
        <w:t xml:space="preserve"> Health an</w:t>
      </w:r>
      <w:r w:rsidR="009401B4" w:rsidRPr="001B035B">
        <w:rPr>
          <w:rFonts w:ascii="Baskerville" w:hAnsi="Baskerville" w:cs="Baskerville"/>
        </w:rPr>
        <w:t>d Well Being goals are less</w:t>
      </w:r>
      <w:r w:rsidR="00272AF1" w:rsidRPr="001B035B">
        <w:rPr>
          <w:rFonts w:ascii="Baskerville" w:hAnsi="Baskerville" w:cs="Baskerville"/>
        </w:rPr>
        <w:t xml:space="preserve"> likely to be achieved 1</w:t>
      </w:r>
      <w:r w:rsidR="009401B4" w:rsidRPr="001B035B">
        <w:rPr>
          <w:rFonts w:ascii="Baskerville" w:hAnsi="Baskerville" w:cs="Baskerville"/>
        </w:rPr>
        <w:t>00% of the time, since this category</w:t>
      </w:r>
      <w:r w:rsidR="00272AF1" w:rsidRPr="001B035B">
        <w:rPr>
          <w:rFonts w:ascii="Baskerville" w:hAnsi="Baskerville" w:cs="Baskerville"/>
        </w:rPr>
        <w:t xml:space="preserve"> is tied to a personal variable like health which is very often out of the control of providers and case managers</w:t>
      </w:r>
      <w:r w:rsidR="009401B4" w:rsidRPr="001B035B">
        <w:rPr>
          <w:rFonts w:ascii="Baskerville" w:hAnsi="Baskerville" w:cs="Baskerville"/>
        </w:rPr>
        <w:t xml:space="preserve">. </w:t>
      </w:r>
      <w:r w:rsidR="00C51052" w:rsidRPr="001B035B">
        <w:rPr>
          <w:rFonts w:ascii="Baskerville" w:hAnsi="Baskerville" w:cs="Baskerville"/>
        </w:rPr>
        <w:t xml:space="preserve">Another example that raises concern is that the Individual Review study found that </w:t>
      </w:r>
      <w:r w:rsidR="008A3039" w:rsidRPr="001B035B">
        <w:rPr>
          <w:rFonts w:ascii="Baskerville" w:hAnsi="Baskerville" w:cs="Baskerville"/>
        </w:rPr>
        <w:t>for only five (33%) of fifteen adults reviewed did the case manager develop and discuss employment goals and</w:t>
      </w:r>
      <w:r w:rsidR="00E10772">
        <w:rPr>
          <w:rFonts w:ascii="Baskerville" w:hAnsi="Baskerville" w:cs="Baskerville"/>
        </w:rPr>
        <w:t xml:space="preserve"> supports. </w:t>
      </w:r>
      <w:r w:rsidR="003A26F7" w:rsidRPr="00AC6FFE">
        <w:rPr>
          <w:rFonts w:ascii="Baskerville" w:hAnsi="Baskerville" w:cs="Baskerville"/>
        </w:rPr>
        <w:t xml:space="preserve">The IR’s </w:t>
      </w:r>
      <w:r w:rsidR="001C3B4A">
        <w:rPr>
          <w:rFonts w:ascii="Baskerville" w:hAnsi="Baskerville" w:cs="Baskerville"/>
        </w:rPr>
        <w:t xml:space="preserve">Individual Review Studies </w:t>
      </w:r>
      <w:r w:rsidR="003A26F7">
        <w:rPr>
          <w:rFonts w:ascii="Baskerville" w:hAnsi="Baskerville" w:cs="Baskerville"/>
        </w:rPr>
        <w:t>have</w:t>
      </w:r>
      <w:r w:rsidR="003A26F7" w:rsidRPr="00AC6FFE">
        <w:rPr>
          <w:rFonts w:ascii="Baskerville" w:hAnsi="Baskerville" w:cs="Baskerville"/>
        </w:rPr>
        <w:t xml:space="preserve"> found a </w:t>
      </w:r>
      <w:r w:rsidR="003A26F7">
        <w:rPr>
          <w:rFonts w:ascii="Baskerville" w:hAnsi="Baskerville" w:cs="Baskerville"/>
        </w:rPr>
        <w:t xml:space="preserve">consistent </w:t>
      </w:r>
      <w:r w:rsidR="003A26F7" w:rsidRPr="00AC6FFE">
        <w:rPr>
          <w:rFonts w:ascii="Baskerville" w:hAnsi="Baskerville" w:cs="Baskerville"/>
        </w:rPr>
        <w:t xml:space="preserve">pattern of individuals not being adequately assisted to gain access to needed services. The IR’s </w:t>
      </w:r>
      <w:r w:rsidR="00960847">
        <w:rPr>
          <w:rFonts w:ascii="Baskerville" w:hAnsi="Baskerville" w:cs="Baskerville"/>
        </w:rPr>
        <w:t xml:space="preserve">Individual Review Studies </w:t>
      </w:r>
      <w:r w:rsidR="003A26F7" w:rsidRPr="00AC6FFE">
        <w:rPr>
          <w:rFonts w:ascii="Baskerville" w:hAnsi="Baskerville" w:cs="Baskerville"/>
        </w:rPr>
        <w:t xml:space="preserve">have found this pattern to exist among different subgroups of the target population, in different geographic regions, and over several review periods. </w:t>
      </w:r>
      <w:r w:rsidR="00960847">
        <w:rPr>
          <w:rFonts w:ascii="Baskerville" w:hAnsi="Baskerville" w:cs="Baskerville"/>
        </w:rPr>
        <w:t>The IR</w:t>
      </w:r>
      <w:r w:rsidR="00E10772">
        <w:rPr>
          <w:rFonts w:ascii="Baskerville" w:hAnsi="Baskerville" w:cs="Baskerville"/>
        </w:rPr>
        <w:t xml:space="preserve"> </w:t>
      </w:r>
      <w:r w:rsidR="002C705E">
        <w:rPr>
          <w:rFonts w:ascii="Baskerville" w:hAnsi="Baskerville" w:cs="Baskerville"/>
        </w:rPr>
        <w:t xml:space="preserve">retained an expert </w:t>
      </w:r>
      <w:r w:rsidR="008A3039" w:rsidRPr="001B035B">
        <w:rPr>
          <w:rFonts w:ascii="Baskerville" w:hAnsi="Baskerville" w:cs="Baskerville"/>
        </w:rPr>
        <w:t>consultant</w:t>
      </w:r>
      <w:r w:rsidR="002C705E">
        <w:rPr>
          <w:rFonts w:ascii="Baskerville" w:hAnsi="Baskerville" w:cs="Baskerville"/>
        </w:rPr>
        <w:t xml:space="preserve"> to</w:t>
      </w:r>
      <w:r w:rsidR="008A3039" w:rsidRPr="001B035B">
        <w:rPr>
          <w:rFonts w:ascii="Baskerville" w:hAnsi="Baskerville" w:cs="Baskerville"/>
        </w:rPr>
        <w:t xml:space="preserve"> </w:t>
      </w:r>
      <w:r w:rsidR="000A7137">
        <w:rPr>
          <w:rFonts w:ascii="Baskerville" w:hAnsi="Baskerville" w:cs="Baskerville"/>
        </w:rPr>
        <w:t>complete a</w:t>
      </w:r>
      <w:r w:rsidR="002C705E">
        <w:rPr>
          <w:rFonts w:ascii="Baskerville" w:hAnsi="Baskerville" w:cs="Baskerville"/>
        </w:rPr>
        <w:t xml:space="preserve"> </w:t>
      </w:r>
      <w:r w:rsidR="008A3039" w:rsidRPr="001B035B">
        <w:rPr>
          <w:rFonts w:ascii="Baskerville" w:hAnsi="Baskerville" w:cs="Baskerville"/>
        </w:rPr>
        <w:t xml:space="preserve">study </w:t>
      </w:r>
      <w:r w:rsidR="000A7137">
        <w:rPr>
          <w:rFonts w:ascii="Baskerville" w:hAnsi="Baskerville" w:cs="Baskerville"/>
        </w:rPr>
        <w:t xml:space="preserve">focused on </w:t>
      </w:r>
      <w:r w:rsidR="00047816" w:rsidRPr="001B035B">
        <w:rPr>
          <w:rFonts w:ascii="Baskerville" w:hAnsi="Baskerville" w:cs="Baskerville"/>
        </w:rPr>
        <w:t>employment support (attached at Appendix C)</w:t>
      </w:r>
      <w:r w:rsidR="000A7137">
        <w:rPr>
          <w:rFonts w:ascii="Baskerville" w:hAnsi="Baskerville" w:cs="Baskerville"/>
        </w:rPr>
        <w:t>. The consultant</w:t>
      </w:r>
      <w:r w:rsidR="00047816" w:rsidRPr="001B035B">
        <w:rPr>
          <w:rFonts w:ascii="Baskerville" w:hAnsi="Baskerville" w:cs="Baskerville"/>
        </w:rPr>
        <w:t xml:space="preserve"> found that </w:t>
      </w:r>
      <w:r w:rsidR="00333EE7" w:rsidRPr="001B035B">
        <w:rPr>
          <w:rFonts w:ascii="Baskerville" w:hAnsi="Baskerville" w:cs="Baskerville"/>
        </w:rPr>
        <w:t xml:space="preserve">with </w:t>
      </w:r>
      <w:r w:rsidR="00A9541E" w:rsidRPr="001B035B">
        <w:rPr>
          <w:rFonts w:ascii="Baskerville" w:hAnsi="Baskerville" w:cs="Baskerville"/>
        </w:rPr>
        <w:t xml:space="preserve">only five (24%) of twenty-one </w:t>
      </w:r>
      <w:r w:rsidR="00434688" w:rsidRPr="001B035B">
        <w:rPr>
          <w:rFonts w:ascii="Baskerville" w:hAnsi="Baskerville" w:cs="Baskerville"/>
        </w:rPr>
        <w:t xml:space="preserve">randomly </w:t>
      </w:r>
      <w:r w:rsidR="00434688" w:rsidRPr="00AC6FFE">
        <w:rPr>
          <w:rFonts w:ascii="Baskerville" w:hAnsi="Baskerville" w:cs="Baskerville"/>
        </w:rPr>
        <w:t xml:space="preserve">selected </w:t>
      </w:r>
      <w:r w:rsidR="00A9541E" w:rsidRPr="00AC6FFE">
        <w:rPr>
          <w:rFonts w:ascii="Baskerville" w:hAnsi="Baskerville" w:cs="Baskerville"/>
        </w:rPr>
        <w:t xml:space="preserve">individuals </w:t>
      </w:r>
      <w:r w:rsidR="00333EE7" w:rsidRPr="00AC6FFE">
        <w:rPr>
          <w:rFonts w:ascii="Baskerville" w:hAnsi="Baskerville" w:cs="Baskerville"/>
        </w:rPr>
        <w:t xml:space="preserve">did the case </w:t>
      </w:r>
      <w:r w:rsidR="002E7FE5" w:rsidRPr="00AC6FFE">
        <w:rPr>
          <w:rFonts w:ascii="Baskerville" w:hAnsi="Baskerville" w:cs="Baskerville"/>
        </w:rPr>
        <w:t>manager discuss employment</w:t>
      </w:r>
      <w:r w:rsidR="00FD394F" w:rsidRPr="00AC6FFE">
        <w:rPr>
          <w:rFonts w:ascii="Baskerville" w:hAnsi="Baskerville" w:cs="Baskerville"/>
        </w:rPr>
        <w:t>.</w:t>
      </w:r>
      <w:r w:rsidR="00FC0949" w:rsidRPr="00AC6FFE">
        <w:rPr>
          <w:rFonts w:ascii="Baskerville" w:hAnsi="Baskerville" w:cs="Baskerville"/>
        </w:rPr>
        <w:t xml:space="preserve"> The case managers reported</w:t>
      </w:r>
      <w:r w:rsidR="00D93FFA" w:rsidRPr="00D93FFA">
        <w:rPr>
          <w:rFonts w:ascii="Baskerville" w:hAnsi="Baskerville" w:cs="Baskerville"/>
        </w:rPr>
        <w:t xml:space="preserve"> </w:t>
      </w:r>
      <w:r w:rsidR="00D93FFA" w:rsidRPr="00AC6FFE">
        <w:rPr>
          <w:rFonts w:ascii="Baskerville" w:hAnsi="Baskerville" w:cs="Baskerville"/>
        </w:rPr>
        <w:t>to DBHDS</w:t>
      </w:r>
      <w:r w:rsidR="000A7137">
        <w:rPr>
          <w:rFonts w:ascii="Baskerville" w:hAnsi="Baskerville" w:cs="Baskerville"/>
        </w:rPr>
        <w:t xml:space="preserve">, however, </w:t>
      </w:r>
      <w:r w:rsidR="00FC0949" w:rsidRPr="00AC6FFE">
        <w:rPr>
          <w:rFonts w:ascii="Baskerville" w:hAnsi="Baskerville" w:cs="Baskerville"/>
        </w:rPr>
        <w:t xml:space="preserve">that they had discussed employment goals </w:t>
      </w:r>
      <w:r w:rsidR="00291052" w:rsidRPr="00AC6FFE">
        <w:rPr>
          <w:rFonts w:ascii="Baskerville" w:hAnsi="Baskerville" w:cs="Baskerville"/>
        </w:rPr>
        <w:t xml:space="preserve">with 77% of the 4848 individuals who had ISP annual meetings during the first two quarters of FY 2015. </w:t>
      </w:r>
    </w:p>
    <w:p w:rsidR="00D93FFA" w:rsidRDefault="00D93FFA" w:rsidP="003518FC">
      <w:pPr>
        <w:tabs>
          <w:tab w:val="left" w:pos="1671"/>
          <w:tab w:val="left" w:pos="1980"/>
        </w:tabs>
        <w:ind w:right="-216"/>
        <w:rPr>
          <w:rFonts w:ascii="Baskerville" w:hAnsi="Baskerville" w:cs="Baskerville"/>
        </w:rPr>
      </w:pPr>
    </w:p>
    <w:p w:rsidR="00D11679" w:rsidRDefault="006E261A" w:rsidP="003518FC">
      <w:pPr>
        <w:tabs>
          <w:tab w:val="left" w:pos="1671"/>
          <w:tab w:val="left" w:pos="1980"/>
        </w:tabs>
        <w:ind w:right="-216"/>
        <w:rPr>
          <w:rFonts w:ascii="Baskerville" w:hAnsi="Baskerville" w:cs="Baskerville"/>
        </w:rPr>
      </w:pPr>
      <w:r w:rsidRPr="001B035B">
        <w:rPr>
          <w:rFonts w:ascii="Baskerville" w:hAnsi="Baskerville" w:cs="Baskerville"/>
        </w:rPr>
        <w:t xml:space="preserve">The </w:t>
      </w:r>
      <w:r w:rsidR="00E860F2">
        <w:rPr>
          <w:rFonts w:ascii="Baskerville" w:hAnsi="Baskerville" w:cs="Baskerville"/>
        </w:rPr>
        <w:t>IR</w:t>
      </w:r>
      <w:r w:rsidR="00E860F2" w:rsidRPr="001B035B">
        <w:rPr>
          <w:rFonts w:ascii="Baskerville" w:hAnsi="Baskerville" w:cs="Baskerville"/>
        </w:rPr>
        <w:t xml:space="preserve"> </w:t>
      </w:r>
      <w:r w:rsidR="00E860F2">
        <w:rPr>
          <w:rFonts w:ascii="Baskerville" w:hAnsi="Baskerville" w:cs="Baskerville"/>
        </w:rPr>
        <w:t xml:space="preserve">has </w:t>
      </w:r>
      <w:r w:rsidRPr="001B035B">
        <w:rPr>
          <w:rFonts w:ascii="Baskerville" w:hAnsi="Baskerville" w:cs="Baskerville"/>
        </w:rPr>
        <w:t xml:space="preserve">determined that </w:t>
      </w:r>
      <w:r w:rsidR="00D93FFA" w:rsidRPr="00AC6FFE">
        <w:rPr>
          <w:rFonts w:ascii="Baskerville" w:hAnsi="Baskerville" w:cs="Baskerville"/>
        </w:rPr>
        <w:t>DBHDS does not have a mechanism to test the validity of the data</w:t>
      </w:r>
      <w:r w:rsidR="00E860F2">
        <w:rPr>
          <w:rFonts w:ascii="Baskerville" w:hAnsi="Baskerville" w:cs="Baskerville"/>
        </w:rPr>
        <w:t xml:space="preserve"> reported by case managers</w:t>
      </w:r>
      <w:r w:rsidR="00D93FFA">
        <w:rPr>
          <w:rFonts w:ascii="Baskerville" w:hAnsi="Baskerville" w:cs="Baskerville"/>
        </w:rPr>
        <w:t xml:space="preserve"> and that </w:t>
      </w:r>
      <w:r w:rsidRPr="001B035B">
        <w:rPr>
          <w:rFonts w:ascii="Baskerville" w:hAnsi="Baskerville" w:cs="Baskerville"/>
        </w:rPr>
        <w:t>the reliability of this component of the Data Dashboard raises significant concerns.</w:t>
      </w:r>
      <w:r w:rsidR="00E860F2">
        <w:rPr>
          <w:rFonts w:ascii="Baskerville" w:hAnsi="Baskerville" w:cs="Baskerville"/>
        </w:rPr>
        <w:t xml:space="preserve">  </w:t>
      </w:r>
      <w:r w:rsidR="0068206E">
        <w:rPr>
          <w:rFonts w:ascii="Baskerville" w:hAnsi="Baskerville" w:cs="Baskerville"/>
        </w:rPr>
        <w:t>The IR</w:t>
      </w:r>
      <w:r w:rsidR="00D11679" w:rsidRPr="001B035B">
        <w:rPr>
          <w:rFonts w:ascii="Baskerville" w:hAnsi="Baskerville" w:cs="Baskerville"/>
        </w:rPr>
        <w:t xml:space="preserve"> </w:t>
      </w:r>
      <w:r w:rsidR="00E860F2">
        <w:rPr>
          <w:rFonts w:ascii="Baskerville" w:hAnsi="Baskerville" w:cs="Baskerville"/>
        </w:rPr>
        <w:t xml:space="preserve">has </w:t>
      </w:r>
      <w:r w:rsidR="00D11679" w:rsidRPr="001B035B">
        <w:rPr>
          <w:rFonts w:ascii="Baskerville" w:hAnsi="Baskerville" w:cs="Baskerville"/>
        </w:rPr>
        <w:t>determined that the Commonwealth is not in compliance with Section V.F.2.</w:t>
      </w:r>
    </w:p>
    <w:p w:rsidR="0068206E" w:rsidRPr="001B035B" w:rsidRDefault="0068206E" w:rsidP="003518FC">
      <w:pPr>
        <w:tabs>
          <w:tab w:val="left" w:pos="1671"/>
          <w:tab w:val="left" w:pos="1980"/>
        </w:tabs>
        <w:ind w:right="-216"/>
        <w:rPr>
          <w:rFonts w:ascii="Baskerville" w:hAnsi="Baskerville" w:cs="Baskerville"/>
        </w:rPr>
      </w:pPr>
    </w:p>
    <w:p w:rsidR="003C7005" w:rsidRDefault="00D57E31" w:rsidP="003518FC">
      <w:pPr>
        <w:tabs>
          <w:tab w:val="left" w:pos="1671"/>
          <w:tab w:val="left" w:pos="1980"/>
        </w:tabs>
        <w:ind w:right="-216"/>
        <w:rPr>
          <w:rFonts w:ascii="Baskerville" w:hAnsi="Baskerville" w:cs="Baskerville"/>
          <w:u w:val="single"/>
        </w:rPr>
      </w:pPr>
      <w:r>
        <w:rPr>
          <w:rFonts w:ascii="Baskerville" w:hAnsi="Baskerville" w:cs="Baskerville"/>
          <w:u w:val="single"/>
        </w:rPr>
        <w:t>Case Manager Contact</w:t>
      </w:r>
      <w:r w:rsidR="00954768">
        <w:rPr>
          <w:rFonts w:ascii="Baskerville" w:hAnsi="Baskerville" w:cs="Baskerville"/>
          <w:u w:val="single"/>
        </w:rPr>
        <w:t>s:</w:t>
      </w:r>
    </w:p>
    <w:p w:rsidR="00954768" w:rsidRDefault="00954768" w:rsidP="003518FC">
      <w:pPr>
        <w:tabs>
          <w:tab w:val="left" w:pos="1671"/>
          <w:tab w:val="left" w:pos="1980"/>
        </w:tabs>
        <w:ind w:right="-216"/>
        <w:rPr>
          <w:rFonts w:ascii="Baskerville" w:hAnsi="Baskerville" w:cs="Baskerville"/>
        </w:rPr>
      </w:pPr>
      <w:r w:rsidRPr="002A62CC">
        <w:rPr>
          <w:rFonts w:ascii="Baskerville" w:hAnsi="Baskerville" w:cs="Baskerville"/>
        </w:rPr>
        <w:t>The independent Consultant’s evaluation found that</w:t>
      </w:r>
      <w:r w:rsidR="009B78B2" w:rsidRPr="002A62CC">
        <w:rPr>
          <w:rFonts w:ascii="Baskerville" w:hAnsi="Baskerville" w:cs="Baskerville"/>
        </w:rPr>
        <w:t xml:space="preserve"> the Data Dashboard does not yet reliably reflect CSB performance</w:t>
      </w:r>
      <w:r w:rsidR="004E1958">
        <w:rPr>
          <w:rFonts w:ascii="Baskerville" w:hAnsi="Baskerville" w:cs="Baskerville"/>
        </w:rPr>
        <w:t xml:space="preserve"> in regards to the number, type, and frequency of case manager contacts with the individuals</w:t>
      </w:r>
      <w:r w:rsidR="007065D8" w:rsidRPr="002A62CC">
        <w:rPr>
          <w:rFonts w:ascii="Baskerville" w:hAnsi="Baskerville" w:cs="Baskerville"/>
        </w:rPr>
        <w:t xml:space="preserve">. DBHDS </w:t>
      </w:r>
      <w:r w:rsidR="00960847" w:rsidRPr="002A62CC">
        <w:rPr>
          <w:rFonts w:ascii="Baskerville" w:hAnsi="Baskerville" w:cs="Baskerville"/>
        </w:rPr>
        <w:t xml:space="preserve">Quality </w:t>
      </w:r>
      <w:r w:rsidR="00960847">
        <w:rPr>
          <w:rFonts w:ascii="Baskerville" w:hAnsi="Baskerville" w:cs="Baskerville"/>
        </w:rPr>
        <w:t>A</w:t>
      </w:r>
      <w:r w:rsidR="007065D8" w:rsidRPr="002A62CC">
        <w:rPr>
          <w:rFonts w:ascii="Baskerville" w:hAnsi="Baskerville" w:cs="Baskerville"/>
        </w:rPr>
        <w:t>dministrators report that poor data entry at</w:t>
      </w:r>
      <w:r w:rsidR="002A62CC" w:rsidRPr="002A62CC">
        <w:rPr>
          <w:rFonts w:ascii="Baskerville" w:hAnsi="Baskerville" w:cs="Baskerville"/>
        </w:rPr>
        <w:t xml:space="preserve"> the CSB level is the </w:t>
      </w:r>
      <w:r w:rsidR="007065D8" w:rsidRPr="002A62CC">
        <w:rPr>
          <w:rFonts w:ascii="Baskerville" w:hAnsi="Baskerville" w:cs="Baskerville"/>
        </w:rPr>
        <w:t>source of</w:t>
      </w:r>
      <w:r w:rsidR="002A62CC" w:rsidRPr="002A62CC">
        <w:rPr>
          <w:rFonts w:ascii="Baskerville" w:hAnsi="Baskerville" w:cs="Baskerville"/>
        </w:rPr>
        <w:t xml:space="preserve"> the remaining reliability problems in the</w:t>
      </w:r>
      <w:r w:rsidR="004E1958">
        <w:rPr>
          <w:rFonts w:ascii="Baskerville" w:hAnsi="Baskerville" w:cs="Baskerville"/>
        </w:rPr>
        <w:t xml:space="preserve"> data included in the</w:t>
      </w:r>
      <w:r w:rsidR="002A62CC" w:rsidRPr="002A62CC">
        <w:rPr>
          <w:rFonts w:ascii="Baskerville" w:hAnsi="Baskerville" w:cs="Baskerville"/>
        </w:rPr>
        <w:t xml:space="preserve"> Dashboard.</w:t>
      </w:r>
      <w:r w:rsidR="002A62CC">
        <w:rPr>
          <w:rFonts w:ascii="Baskerville" w:hAnsi="Baskerville" w:cs="Baskerville"/>
        </w:rPr>
        <w:t xml:space="preserve"> Beyond publication of the dashboard and conversations with individual CSBs</w:t>
      </w:r>
      <w:r w:rsidR="002A7A6F">
        <w:rPr>
          <w:rFonts w:ascii="Baskerville" w:hAnsi="Baskerville" w:cs="Baskerville"/>
        </w:rPr>
        <w:t>, DBHDS did not report other strategies to address poor performance outcomes</w:t>
      </w:r>
      <w:r w:rsidR="0068206E">
        <w:rPr>
          <w:rFonts w:ascii="Baskerville" w:hAnsi="Baskerville" w:cs="Baskerville"/>
        </w:rPr>
        <w:t>. The IR</w:t>
      </w:r>
      <w:r w:rsidR="00FB3619" w:rsidRPr="00854AB4">
        <w:rPr>
          <w:rFonts w:ascii="Baskerville" w:hAnsi="Baskerville" w:cs="Baskerville"/>
        </w:rPr>
        <w:t xml:space="preserve"> det</w:t>
      </w:r>
      <w:r w:rsidR="00D649B6" w:rsidRPr="00854AB4">
        <w:rPr>
          <w:rFonts w:ascii="Baskerville" w:hAnsi="Baskerville" w:cs="Baskerville"/>
        </w:rPr>
        <w:t>ermined that the Commonwealth continues not to be in compliance with the requirements of V.F.4. DBHDS does not yet have evidence at the policy level</w:t>
      </w:r>
      <w:r w:rsidR="00854AB4" w:rsidRPr="00854AB4">
        <w:rPr>
          <w:rFonts w:ascii="Baskerville" w:hAnsi="Baskerville" w:cs="Baskerville"/>
        </w:rPr>
        <w:t xml:space="preserve"> that it has reliable mechanism(</w:t>
      </w:r>
      <w:r w:rsidR="00D649B6" w:rsidRPr="00854AB4">
        <w:rPr>
          <w:rFonts w:ascii="Baskerville" w:hAnsi="Baskerville" w:cs="Baskerville"/>
        </w:rPr>
        <w:t>s</w:t>
      </w:r>
      <w:r w:rsidR="00854AB4" w:rsidRPr="00854AB4">
        <w:rPr>
          <w:rFonts w:ascii="Baskerville" w:hAnsi="Baskerville" w:cs="Baskerville"/>
        </w:rPr>
        <w:t>)</w:t>
      </w:r>
      <w:r w:rsidR="00D649B6" w:rsidRPr="00854AB4">
        <w:rPr>
          <w:rFonts w:ascii="Baskerville" w:hAnsi="Baskerville" w:cs="Baskerville"/>
        </w:rPr>
        <w:t xml:space="preserve"> t</w:t>
      </w:r>
      <w:r w:rsidR="00854AB4" w:rsidRPr="00854AB4">
        <w:rPr>
          <w:rFonts w:ascii="Baskerville" w:hAnsi="Baskerville" w:cs="Baskerville"/>
        </w:rPr>
        <w:t>o assess CSB compliance with the DBHDS</w:t>
      </w:r>
      <w:r w:rsidR="00D649B6" w:rsidRPr="00854AB4">
        <w:rPr>
          <w:rFonts w:ascii="Baskerville" w:hAnsi="Baskerville" w:cs="Baskerville"/>
        </w:rPr>
        <w:t xml:space="preserve"> performance standards relative to case manager contacts.</w:t>
      </w:r>
    </w:p>
    <w:p w:rsidR="007C3799" w:rsidRPr="002A62CC" w:rsidRDefault="007C3799" w:rsidP="003518FC">
      <w:pPr>
        <w:tabs>
          <w:tab w:val="left" w:pos="1671"/>
          <w:tab w:val="left" w:pos="1980"/>
        </w:tabs>
        <w:ind w:right="-216"/>
        <w:rPr>
          <w:rFonts w:ascii="Baskerville" w:hAnsi="Baskerville" w:cs="Baskerville"/>
        </w:rPr>
      </w:pPr>
    </w:p>
    <w:p w:rsidR="007B7946" w:rsidRDefault="007B7946" w:rsidP="003518FC">
      <w:pPr>
        <w:tabs>
          <w:tab w:val="left" w:pos="1671"/>
          <w:tab w:val="left" w:pos="1980"/>
        </w:tabs>
        <w:ind w:right="-216"/>
        <w:rPr>
          <w:rFonts w:ascii="Baskerville" w:hAnsi="Baskerville" w:cs="Baskerville"/>
        </w:rPr>
      </w:pPr>
    </w:p>
    <w:p w:rsidR="0068206E" w:rsidRDefault="0068206E" w:rsidP="003518FC">
      <w:pPr>
        <w:tabs>
          <w:tab w:val="left" w:pos="1671"/>
          <w:tab w:val="left" w:pos="1980"/>
        </w:tabs>
        <w:ind w:right="-216"/>
        <w:rPr>
          <w:rFonts w:ascii="Baskerville" w:hAnsi="Baskerville" w:cs="Baskerville"/>
          <w:u w:val="single"/>
        </w:rPr>
      </w:pPr>
      <w:r w:rsidRPr="00557ABC">
        <w:rPr>
          <w:rFonts w:ascii="Baskerville" w:hAnsi="Baskerville" w:cs="Baskerville"/>
          <w:u w:val="single"/>
        </w:rPr>
        <w:t>Office of Licensure Services</w:t>
      </w:r>
      <w:r w:rsidR="00557ABC" w:rsidRPr="00557ABC">
        <w:rPr>
          <w:rFonts w:ascii="Baskerville" w:hAnsi="Baskerville" w:cs="Baskerville"/>
          <w:u w:val="single"/>
        </w:rPr>
        <w:t xml:space="preserve"> -</w:t>
      </w:r>
      <w:r w:rsidRPr="00557ABC">
        <w:rPr>
          <w:rFonts w:ascii="Baskerville" w:hAnsi="Baskerville" w:cs="Baskerville"/>
          <w:u w:val="single"/>
        </w:rPr>
        <w:t xml:space="preserve"> </w:t>
      </w:r>
      <w:r w:rsidR="00557ABC" w:rsidRPr="00557ABC">
        <w:rPr>
          <w:rFonts w:ascii="Baskerville" w:hAnsi="Baskerville" w:cs="Baskerville"/>
          <w:u w:val="single"/>
        </w:rPr>
        <w:t xml:space="preserve">Unannounced </w:t>
      </w:r>
      <w:r w:rsidRPr="00557ABC">
        <w:rPr>
          <w:rFonts w:ascii="Baskerville" w:hAnsi="Baskerville" w:cs="Baskerville"/>
          <w:u w:val="single"/>
        </w:rPr>
        <w:t>Visit</w:t>
      </w:r>
      <w:r w:rsidR="00557ABC" w:rsidRPr="00557ABC">
        <w:rPr>
          <w:rFonts w:ascii="Baskerville" w:hAnsi="Baskerville" w:cs="Baskerville"/>
          <w:u w:val="single"/>
        </w:rPr>
        <w:t>s:</w:t>
      </w:r>
    </w:p>
    <w:p w:rsidR="00557ABC" w:rsidRDefault="008B2D01" w:rsidP="003518FC">
      <w:pPr>
        <w:tabs>
          <w:tab w:val="left" w:pos="1671"/>
          <w:tab w:val="left" w:pos="1980"/>
        </w:tabs>
        <w:ind w:right="-216"/>
        <w:rPr>
          <w:rFonts w:ascii="Baskerville" w:hAnsi="Baskerville" w:cs="Baskerville"/>
        </w:rPr>
      </w:pPr>
      <w:r>
        <w:rPr>
          <w:rFonts w:ascii="Baskerville" w:hAnsi="Baskerville" w:cs="Baskerville"/>
        </w:rPr>
        <w:t xml:space="preserve">The </w:t>
      </w:r>
      <w:r w:rsidR="008A5083">
        <w:rPr>
          <w:rFonts w:ascii="Baskerville" w:hAnsi="Baskerville" w:cs="Baskerville"/>
        </w:rPr>
        <w:t xml:space="preserve">consultant </w:t>
      </w:r>
      <w:r w:rsidR="005D4EB8">
        <w:rPr>
          <w:rFonts w:ascii="Baskerville" w:hAnsi="Baskerville" w:cs="Baskerville"/>
        </w:rPr>
        <w:t xml:space="preserve">reviewed </w:t>
      </w:r>
      <w:r w:rsidR="008A5083">
        <w:rPr>
          <w:rFonts w:ascii="Baskerville" w:hAnsi="Baskerville" w:cs="Baskerville"/>
        </w:rPr>
        <w:t xml:space="preserve">all </w:t>
      </w:r>
      <w:r w:rsidR="00AB4AC1">
        <w:rPr>
          <w:rFonts w:ascii="Baskerville" w:hAnsi="Baskerville" w:cs="Baskerville"/>
        </w:rPr>
        <w:t>OLS</w:t>
      </w:r>
      <w:r w:rsidR="008A5083">
        <w:rPr>
          <w:rFonts w:ascii="Baskerville" w:hAnsi="Baskerville" w:cs="Baskerville"/>
        </w:rPr>
        <w:t xml:space="preserve"> licensing reviews </w:t>
      </w:r>
      <w:r w:rsidR="00AB4AC1">
        <w:rPr>
          <w:rFonts w:ascii="Baskerville" w:hAnsi="Baskerville" w:cs="Baskerville"/>
        </w:rPr>
        <w:t>of provider</w:t>
      </w:r>
      <w:r>
        <w:rPr>
          <w:rFonts w:ascii="Baskerville" w:hAnsi="Baskerville" w:cs="Baskerville"/>
        </w:rPr>
        <w:t>s</w:t>
      </w:r>
      <w:r w:rsidR="00AB4AC1">
        <w:rPr>
          <w:rFonts w:ascii="Baskerville" w:hAnsi="Baskerville" w:cs="Baskerville"/>
        </w:rPr>
        <w:t xml:space="preserve"> </w:t>
      </w:r>
      <w:r w:rsidR="008A5083">
        <w:rPr>
          <w:rFonts w:ascii="Baskerville" w:hAnsi="Baskerville" w:cs="Baskerville"/>
        </w:rPr>
        <w:t xml:space="preserve">and </w:t>
      </w:r>
      <w:r w:rsidR="00AB4AC1">
        <w:rPr>
          <w:rFonts w:ascii="Baskerville" w:hAnsi="Baskerville" w:cs="Baskerville"/>
        </w:rPr>
        <w:t xml:space="preserve">resulting </w:t>
      </w:r>
      <w:r w:rsidR="008A5083">
        <w:rPr>
          <w:rFonts w:ascii="Baskerville" w:hAnsi="Baskerville" w:cs="Baskerville"/>
        </w:rPr>
        <w:t>Correcti</w:t>
      </w:r>
      <w:r w:rsidR="00AB4AC1">
        <w:rPr>
          <w:rFonts w:ascii="Baskerville" w:hAnsi="Baskerville" w:cs="Baskerville"/>
        </w:rPr>
        <w:t>ve Action Plans completed during the second quarter of FY 2015</w:t>
      </w:r>
      <w:r w:rsidR="003B316B">
        <w:rPr>
          <w:rFonts w:ascii="Baskerville" w:hAnsi="Baskerville" w:cs="Baskerville"/>
        </w:rPr>
        <w:t>. He also reviewed the OLS tracking sheet for all licensing visits and interviewed DBHDS licensing staff</w:t>
      </w:r>
      <w:r w:rsidR="00C307A7">
        <w:rPr>
          <w:rFonts w:ascii="Baskerville" w:hAnsi="Baskerville" w:cs="Baskerville"/>
        </w:rPr>
        <w:t xml:space="preserve">. The consultant found that OLS visits are scheduled and occur in a </w:t>
      </w:r>
      <w:r w:rsidR="0014657C">
        <w:rPr>
          <w:rFonts w:ascii="Baskerville" w:hAnsi="Baskerville" w:cs="Baskerville"/>
        </w:rPr>
        <w:t>random fashion that indicates that visits are unannounced and more frequent for those covered by the Agreement. The IR determined that DBHDS remains in compliance with</w:t>
      </w:r>
      <w:r w:rsidR="00BC7537">
        <w:rPr>
          <w:rFonts w:ascii="Baskerville" w:hAnsi="Baskerville" w:cs="Baskerville"/>
        </w:rPr>
        <w:t xml:space="preserve"> the requirements of V.G.1-2.</w:t>
      </w:r>
    </w:p>
    <w:p w:rsidR="00BC7537" w:rsidRPr="007B7946" w:rsidRDefault="00BC7537" w:rsidP="003518FC">
      <w:pPr>
        <w:tabs>
          <w:tab w:val="left" w:pos="1671"/>
          <w:tab w:val="left" w:pos="1980"/>
        </w:tabs>
        <w:ind w:right="-216"/>
        <w:rPr>
          <w:rFonts w:ascii="Baskerville" w:hAnsi="Baskerville" w:cs="Baskerville"/>
        </w:rPr>
      </w:pPr>
    </w:p>
    <w:p w:rsidR="00BC7537" w:rsidRPr="00BC7537" w:rsidRDefault="00BC7537" w:rsidP="003518FC">
      <w:pPr>
        <w:tabs>
          <w:tab w:val="left" w:pos="1671"/>
          <w:tab w:val="left" w:pos="1980"/>
        </w:tabs>
        <w:ind w:right="-216"/>
        <w:rPr>
          <w:rFonts w:ascii="Baskerville" w:hAnsi="Baskerville" w:cs="Baskerville"/>
          <w:u w:val="single"/>
        </w:rPr>
      </w:pPr>
      <w:r w:rsidRPr="00BC7537">
        <w:rPr>
          <w:rFonts w:ascii="Baskerville" w:hAnsi="Baskerville" w:cs="Baskerville"/>
          <w:u w:val="single"/>
        </w:rPr>
        <w:t>Adequacy of Supports:</w:t>
      </w:r>
    </w:p>
    <w:p w:rsidR="00DC3A1C" w:rsidRPr="006D55A2" w:rsidRDefault="008B2D01" w:rsidP="003518FC">
      <w:pPr>
        <w:tabs>
          <w:tab w:val="left" w:pos="0"/>
        </w:tabs>
        <w:rPr>
          <w:rFonts w:ascii="Baskerville" w:hAnsi="Baskerville" w:cs="Baskerville"/>
        </w:rPr>
      </w:pPr>
      <w:r>
        <w:rPr>
          <w:rFonts w:ascii="Baskerville" w:hAnsi="Baskerville" w:cs="Baskerville"/>
        </w:rPr>
        <w:t xml:space="preserve">The </w:t>
      </w:r>
      <w:r w:rsidR="00BC7537" w:rsidRPr="006D55A2">
        <w:rPr>
          <w:rFonts w:ascii="Baskerville" w:hAnsi="Baskerville" w:cs="Baskerville"/>
        </w:rPr>
        <w:t xml:space="preserve">consultant’s evaluation </w:t>
      </w:r>
      <w:r w:rsidR="008A7E91" w:rsidRPr="006D55A2">
        <w:rPr>
          <w:rFonts w:ascii="Baskerville" w:hAnsi="Baskerville" w:cs="Baskerville"/>
        </w:rPr>
        <w:t xml:space="preserve">included extensive document review and interviews with DBHDS </w:t>
      </w:r>
      <w:r w:rsidR="000758F7" w:rsidRPr="006D55A2">
        <w:rPr>
          <w:rFonts w:ascii="Baskerville" w:hAnsi="Baskerville" w:cs="Baskerville"/>
        </w:rPr>
        <w:t xml:space="preserve">Quality And Licensing </w:t>
      </w:r>
      <w:r w:rsidR="008A7E91" w:rsidRPr="006D55A2">
        <w:rPr>
          <w:rFonts w:ascii="Baskerville" w:hAnsi="Baskerville" w:cs="Baskerville"/>
        </w:rPr>
        <w:t xml:space="preserve">leaders. His review </w:t>
      </w:r>
      <w:r w:rsidR="00BC7537" w:rsidRPr="006D55A2">
        <w:rPr>
          <w:rFonts w:ascii="Baskerville" w:hAnsi="Baskerville" w:cs="Baskerville"/>
        </w:rPr>
        <w:t>found that</w:t>
      </w:r>
      <w:r w:rsidR="00DC3A1C" w:rsidRPr="006D55A2">
        <w:rPr>
          <w:rFonts w:ascii="Baskerville" w:hAnsi="Baskerville" w:cs="Baskerville"/>
        </w:rPr>
        <w:t xml:space="preserve"> </w:t>
      </w:r>
      <w:r w:rsidR="006D55A2">
        <w:rPr>
          <w:rFonts w:ascii="Baskerville" w:hAnsi="Baskerville" w:cs="Baskerville"/>
        </w:rPr>
        <w:t>a</w:t>
      </w:r>
      <w:r w:rsidR="00DC3A1C" w:rsidRPr="006D55A2">
        <w:rPr>
          <w:rFonts w:ascii="Baskerville" w:hAnsi="Baskerville" w:cs="Baskerville"/>
        </w:rPr>
        <w:t xml:space="preserve"> new OLS Office Protocol, an Internal Auditor’s report, and the new </w:t>
      </w:r>
      <w:r w:rsidR="00DC3A1C" w:rsidRPr="006D55A2">
        <w:rPr>
          <w:rFonts w:ascii="Baskerville" w:hAnsi="Baskerville" w:cs="Baskerville"/>
          <w:i/>
        </w:rPr>
        <w:t>360</w:t>
      </w:r>
      <w:r w:rsidR="00DC3A1C" w:rsidRPr="006D55A2">
        <w:rPr>
          <w:rFonts w:ascii="Baskerville" w:hAnsi="Baskerville" w:cs="Baskerville"/>
          <w:i/>
          <w:vertAlign w:val="superscript"/>
        </w:rPr>
        <w:t xml:space="preserve">o </w:t>
      </w:r>
      <w:r w:rsidR="00DC3A1C" w:rsidRPr="006D55A2">
        <w:rPr>
          <w:rFonts w:ascii="Baskerville" w:hAnsi="Baskerville" w:cs="Baskerville"/>
          <w:i/>
        </w:rPr>
        <w:t xml:space="preserve">Review </w:t>
      </w:r>
      <w:r w:rsidR="006D55A2" w:rsidRPr="006D55A2">
        <w:rPr>
          <w:rFonts w:ascii="Baskerville" w:hAnsi="Baskerville" w:cs="Baskerville"/>
        </w:rPr>
        <w:t xml:space="preserve">process </w:t>
      </w:r>
      <w:r w:rsidR="00DC3A1C" w:rsidRPr="006D55A2">
        <w:rPr>
          <w:rFonts w:ascii="Baskerville" w:hAnsi="Baskerville" w:cs="Baskerville"/>
        </w:rPr>
        <w:t xml:space="preserve">suggest </w:t>
      </w:r>
      <w:r w:rsidR="006D55A2">
        <w:rPr>
          <w:rFonts w:ascii="Baskerville" w:hAnsi="Baskerville" w:cs="Baskerville"/>
        </w:rPr>
        <w:t xml:space="preserve">that </w:t>
      </w:r>
      <w:r w:rsidR="0028372B">
        <w:rPr>
          <w:rFonts w:ascii="Baskerville" w:hAnsi="Baskerville" w:cs="Baskerville"/>
        </w:rPr>
        <w:t xml:space="preserve">DBHD is increasingly focusing its </w:t>
      </w:r>
      <w:r w:rsidR="000758F7" w:rsidRPr="006D55A2">
        <w:rPr>
          <w:rFonts w:ascii="Baskerville" w:hAnsi="Baskerville" w:cs="Baskerville"/>
        </w:rPr>
        <w:t xml:space="preserve">Quality Management </w:t>
      </w:r>
      <w:r w:rsidR="00DC3A1C" w:rsidRPr="006D55A2">
        <w:rPr>
          <w:rFonts w:ascii="Baskerville" w:hAnsi="Baskerville" w:cs="Baskerville"/>
        </w:rPr>
        <w:t>monitoring proce</w:t>
      </w:r>
      <w:r w:rsidR="0028372B">
        <w:rPr>
          <w:rFonts w:ascii="Baskerville" w:hAnsi="Baskerville" w:cs="Baskerville"/>
        </w:rPr>
        <w:t>ss</w:t>
      </w:r>
      <w:r w:rsidR="00D33980">
        <w:rPr>
          <w:rFonts w:ascii="Baskerville" w:hAnsi="Baskerville" w:cs="Baskerville"/>
        </w:rPr>
        <w:t xml:space="preserve"> on the adequacy of supports. His evaluation concluded that the outcomes of DBHDS’s </w:t>
      </w:r>
      <w:r w:rsidR="00DC3A1C" w:rsidRPr="006D55A2">
        <w:rPr>
          <w:rFonts w:ascii="Baskerville" w:hAnsi="Baskerville" w:cs="Baskerville"/>
        </w:rPr>
        <w:t xml:space="preserve">revised processes </w:t>
      </w:r>
      <w:r w:rsidR="006B25C8" w:rsidRPr="006D55A2">
        <w:rPr>
          <w:rFonts w:ascii="Baskerville" w:hAnsi="Baskerville" w:cs="Baskerville"/>
        </w:rPr>
        <w:t>would</w:t>
      </w:r>
      <w:r w:rsidR="00D33980">
        <w:rPr>
          <w:rFonts w:ascii="Baskerville" w:hAnsi="Baskerville" w:cs="Baskerville"/>
        </w:rPr>
        <w:t xml:space="preserve"> determine </w:t>
      </w:r>
      <w:r w:rsidR="00FD6426">
        <w:rPr>
          <w:rFonts w:ascii="Baskerville" w:hAnsi="Baskerville" w:cs="Baskerville"/>
        </w:rPr>
        <w:t>their effectiveness. He c</w:t>
      </w:r>
      <w:r w:rsidR="008404B6">
        <w:rPr>
          <w:rFonts w:ascii="Baskerville" w:hAnsi="Baskerville" w:cs="Baskerville"/>
        </w:rPr>
        <w:t xml:space="preserve">oncluded that although to date there are no data to confirm their overall effectiveness </w:t>
      </w:r>
      <w:r w:rsidR="00FD6426">
        <w:rPr>
          <w:rFonts w:ascii="Baskerville" w:hAnsi="Baskerville" w:cs="Baskerville"/>
        </w:rPr>
        <w:t xml:space="preserve">DBHDS’s revised processes in its </w:t>
      </w:r>
      <w:r w:rsidR="00DC3A1C" w:rsidRPr="006D55A2">
        <w:rPr>
          <w:rFonts w:ascii="Baskerville" w:hAnsi="Baskerville" w:cs="Baskerville"/>
        </w:rPr>
        <w:t>Quality Management Plan may eventually establish that DBHDS is examining the adequacy of support</w:t>
      </w:r>
      <w:r w:rsidR="00FD6426">
        <w:rPr>
          <w:rFonts w:ascii="Baskerville" w:hAnsi="Baskerville" w:cs="Baskerville"/>
        </w:rPr>
        <w:t xml:space="preserve">s regularly and consistently. </w:t>
      </w:r>
      <w:r w:rsidR="00DC3A1C" w:rsidRPr="006D55A2">
        <w:rPr>
          <w:rFonts w:ascii="Baskerville" w:hAnsi="Baskerville" w:cs="Baskerville"/>
        </w:rPr>
        <w:t xml:space="preserve"> </w:t>
      </w:r>
      <w:r w:rsidR="00636720">
        <w:rPr>
          <w:rFonts w:ascii="Baskerville" w:hAnsi="Baskerville" w:cs="Baskerville"/>
        </w:rPr>
        <w:t xml:space="preserve">The IR determined that </w:t>
      </w:r>
      <w:r w:rsidR="00DC3A1C" w:rsidRPr="006D55A2">
        <w:rPr>
          <w:rFonts w:ascii="Baskerville" w:hAnsi="Baskerville" w:cs="Baskerville"/>
        </w:rPr>
        <w:t>DBHDS is not in compliance with V.G.3.</w:t>
      </w:r>
    </w:p>
    <w:p w:rsidR="0014657C" w:rsidRPr="007B7946" w:rsidRDefault="0014657C" w:rsidP="003518FC">
      <w:pPr>
        <w:tabs>
          <w:tab w:val="left" w:pos="0"/>
          <w:tab w:val="left" w:pos="1671"/>
          <w:tab w:val="left" w:pos="1980"/>
        </w:tabs>
        <w:ind w:right="-216"/>
        <w:rPr>
          <w:rFonts w:ascii="Baskerville" w:hAnsi="Baskerville" w:cs="Baskerville"/>
        </w:rPr>
      </w:pPr>
    </w:p>
    <w:p w:rsidR="006A021C" w:rsidRPr="00195C1A" w:rsidRDefault="006A021C" w:rsidP="003518FC">
      <w:pPr>
        <w:tabs>
          <w:tab w:val="left" w:pos="0"/>
        </w:tabs>
        <w:rPr>
          <w:rFonts w:ascii="Baskerville" w:hAnsi="Baskerville" w:cs="Baskerville"/>
        </w:rPr>
      </w:pPr>
      <w:r w:rsidRPr="00195C1A">
        <w:rPr>
          <w:rFonts w:ascii="Baskerville" w:hAnsi="Baskerville" w:cs="Baskerville"/>
          <w:u w:val="single"/>
        </w:rPr>
        <w:t>Case management and Licensing Summary:</w:t>
      </w:r>
    </w:p>
    <w:p w:rsidR="00215FD3" w:rsidRPr="006668A4" w:rsidRDefault="007670D3" w:rsidP="003518FC">
      <w:pPr>
        <w:tabs>
          <w:tab w:val="left" w:pos="0"/>
        </w:tabs>
        <w:rPr>
          <w:rFonts w:ascii="Baskerville" w:hAnsi="Baskerville" w:cs="Baskerville"/>
        </w:rPr>
      </w:pPr>
      <w:r w:rsidRPr="006668A4">
        <w:rPr>
          <w:rFonts w:ascii="Baskerville" w:hAnsi="Baskerville" w:cs="Baskerville"/>
        </w:rPr>
        <w:t>DBHDS maintained compl</w:t>
      </w:r>
      <w:r w:rsidR="00D22080" w:rsidRPr="006668A4">
        <w:rPr>
          <w:rFonts w:ascii="Baskerville" w:hAnsi="Baskerville" w:cs="Baskerville"/>
        </w:rPr>
        <w:t>iance that it had achieved during prior review periods</w:t>
      </w:r>
      <w:r w:rsidRPr="006668A4">
        <w:rPr>
          <w:rFonts w:ascii="Baskerville" w:hAnsi="Baskerville" w:cs="Baskerville"/>
        </w:rPr>
        <w:t xml:space="preserve"> </w:t>
      </w:r>
      <w:r w:rsidR="006668A4" w:rsidRPr="006668A4">
        <w:rPr>
          <w:rFonts w:ascii="Baskerville" w:hAnsi="Baskerville" w:cs="Baskerville"/>
        </w:rPr>
        <w:t xml:space="preserve">and </w:t>
      </w:r>
      <w:r w:rsidR="00863470" w:rsidRPr="006668A4">
        <w:rPr>
          <w:rFonts w:ascii="Baskerville" w:hAnsi="Baskerville" w:cs="Baskerville"/>
        </w:rPr>
        <w:t>strove to accomplish other related provisions</w:t>
      </w:r>
      <w:r w:rsidR="00215FD3" w:rsidRPr="006668A4">
        <w:rPr>
          <w:rFonts w:ascii="Baskerville" w:hAnsi="Baskerville" w:cs="Baskerville"/>
        </w:rPr>
        <w:t xml:space="preserve">.  </w:t>
      </w:r>
      <w:r w:rsidR="00125EB3" w:rsidRPr="006668A4">
        <w:rPr>
          <w:rFonts w:ascii="Baskerville" w:hAnsi="Baskerville" w:cs="Baskerville"/>
        </w:rPr>
        <w:t xml:space="preserve">The consultant’s review </w:t>
      </w:r>
      <w:r w:rsidR="00CD74E1" w:rsidRPr="006668A4">
        <w:rPr>
          <w:rFonts w:ascii="Baskerville" w:hAnsi="Baskerville" w:cs="Baskerville"/>
        </w:rPr>
        <w:t>concluded</w:t>
      </w:r>
      <w:r w:rsidR="00125EB3" w:rsidRPr="006668A4">
        <w:rPr>
          <w:rFonts w:ascii="Baskerville" w:hAnsi="Baskerville" w:cs="Baskerville"/>
        </w:rPr>
        <w:t xml:space="preserve">, however, that </w:t>
      </w:r>
      <w:r w:rsidR="00CD74E1" w:rsidRPr="006668A4">
        <w:rPr>
          <w:rFonts w:ascii="Baskerville" w:hAnsi="Baskerville" w:cs="Baskerville"/>
        </w:rPr>
        <w:t>service providers who repeatedly fail to meet performance expectations</w:t>
      </w:r>
      <w:r w:rsidR="00863470" w:rsidRPr="006668A4">
        <w:rPr>
          <w:rFonts w:ascii="Baskerville" w:hAnsi="Baskerville" w:cs="Baskerville"/>
        </w:rPr>
        <w:t>,</w:t>
      </w:r>
      <w:r w:rsidR="00CD74E1" w:rsidRPr="006668A4">
        <w:rPr>
          <w:rFonts w:ascii="Baskerville" w:hAnsi="Baskerville" w:cs="Baskerville"/>
        </w:rPr>
        <w:t xml:space="preserve"> or </w:t>
      </w:r>
      <w:r w:rsidR="00125EB3" w:rsidRPr="006668A4">
        <w:rPr>
          <w:rFonts w:ascii="Baskerville" w:hAnsi="Baskerville" w:cs="Baskerville"/>
        </w:rPr>
        <w:t xml:space="preserve">to </w:t>
      </w:r>
      <w:r w:rsidR="00CD74E1" w:rsidRPr="006668A4">
        <w:rPr>
          <w:rFonts w:ascii="Baskerville" w:hAnsi="Baskerville" w:cs="Baskerville"/>
        </w:rPr>
        <w:t>fulfill corrective action pla</w:t>
      </w:r>
      <w:r w:rsidR="00125EB3" w:rsidRPr="006668A4">
        <w:rPr>
          <w:rFonts w:ascii="Baskerville" w:hAnsi="Baskerville" w:cs="Baskerville"/>
        </w:rPr>
        <w:t>ns</w:t>
      </w:r>
      <w:r w:rsidR="00863470" w:rsidRPr="006668A4">
        <w:rPr>
          <w:rFonts w:ascii="Baskerville" w:hAnsi="Baskerville" w:cs="Baskerville"/>
        </w:rPr>
        <w:t xml:space="preserve">, continue to provided services </w:t>
      </w:r>
      <w:r w:rsidR="00125EB3" w:rsidRPr="006668A4">
        <w:rPr>
          <w:rFonts w:ascii="Baskerville" w:hAnsi="Baskerville" w:cs="Baskerville"/>
        </w:rPr>
        <w:t>without further sanctions</w:t>
      </w:r>
      <w:r w:rsidR="00CD74E1" w:rsidRPr="006668A4">
        <w:rPr>
          <w:rFonts w:ascii="Baskerville" w:hAnsi="Baskerville" w:cs="Baskerville"/>
        </w:rPr>
        <w:t>.</w:t>
      </w:r>
      <w:r w:rsidR="00125EB3" w:rsidRPr="006668A4">
        <w:rPr>
          <w:rFonts w:ascii="Baskerville" w:hAnsi="Baskerville" w:cs="Baskerville"/>
        </w:rPr>
        <w:t xml:space="preserve"> </w:t>
      </w:r>
      <w:r w:rsidR="00CD74E1" w:rsidRPr="006668A4">
        <w:rPr>
          <w:rFonts w:ascii="Baskerville" w:hAnsi="Baskerville" w:cs="Baskerville"/>
        </w:rPr>
        <w:t xml:space="preserve"> </w:t>
      </w:r>
      <w:r w:rsidR="00125EB3" w:rsidRPr="006668A4">
        <w:rPr>
          <w:rFonts w:ascii="Baskerville" w:hAnsi="Baskerville" w:cs="Baskerville"/>
        </w:rPr>
        <w:t>The Commonwealth’s</w:t>
      </w:r>
      <w:r w:rsidR="004A1550" w:rsidRPr="006668A4">
        <w:rPr>
          <w:rFonts w:ascii="Baskerville" w:hAnsi="Baskerville" w:cs="Baskerville"/>
        </w:rPr>
        <w:t xml:space="preserve"> </w:t>
      </w:r>
      <w:r w:rsidR="005D69F7" w:rsidRPr="006668A4">
        <w:rPr>
          <w:rFonts w:ascii="Baskerville" w:hAnsi="Baskerville" w:cs="Baskerville"/>
        </w:rPr>
        <w:t xml:space="preserve">case management </w:t>
      </w:r>
      <w:r w:rsidR="004A1550" w:rsidRPr="006668A4">
        <w:rPr>
          <w:rFonts w:ascii="Baskerville" w:hAnsi="Baskerville" w:cs="Baskerville"/>
        </w:rPr>
        <w:t>monitoring mechanism was not adequate to achieve a rating of</w:t>
      </w:r>
      <w:r w:rsidR="00E5653A" w:rsidRPr="006668A4">
        <w:rPr>
          <w:rFonts w:ascii="Baskerville" w:hAnsi="Baskerville" w:cs="Baskerville"/>
        </w:rPr>
        <w:t xml:space="preserve"> compliance. The Commonwealth plans to implement a revised three-part mechanism to monitor compliance with case management performance standards.</w:t>
      </w:r>
      <w:r w:rsidR="00A60E13" w:rsidRPr="006668A4">
        <w:rPr>
          <w:rFonts w:ascii="Baskerville" w:hAnsi="Baskerville" w:cs="Baskerville"/>
        </w:rPr>
        <w:t xml:space="preserve"> To address needed improvements</w:t>
      </w:r>
      <w:r w:rsidR="003F287A" w:rsidRPr="006668A4">
        <w:rPr>
          <w:rFonts w:ascii="Baskerville" w:hAnsi="Baskerville" w:cs="Baskerville"/>
        </w:rPr>
        <w:t xml:space="preserve"> in the Individual Support Planning (ISP) process</w:t>
      </w:r>
      <w:r w:rsidR="00A60E13" w:rsidRPr="006668A4">
        <w:rPr>
          <w:rFonts w:ascii="Baskerville" w:hAnsi="Baskerville" w:cs="Baskerville"/>
        </w:rPr>
        <w:t>, DBHDS has recently revised the ISP elements and has implemented training of case mana</w:t>
      </w:r>
      <w:r w:rsidR="0086596E" w:rsidRPr="006668A4">
        <w:rPr>
          <w:rFonts w:ascii="Baskerville" w:hAnsi="Baskerville" w:cs="Baskerville"/>
        </w:rPr>
        <w:t xml:space="preserve">gers and private providers. It expects that </w:t>
      </w:r>
      <w:r w:rsidR="00A60E13" w:rsidRPr="006668A4">
        <w:rPr>
          <w:rFonts w:ascii="Baskerville" w:hAnsi="Baskerville" w:cs="Baskerville"/>
        </w:rPr>
        <w:t xml:space="preserve">evidence of </w:t>
      </w:r>
      <w:r w:rsidR="0086596E" w:rsidRPr="006668A4">
        <w:rPr>
          <w:rFonts w:ascii="Baskerville" w:hAnsi="Baskerville" w:cs="Baskerville"/>
        </w:rPr>
        <w:t>imp</w:t>
      </w:r>
      <w:r w:rsidR="006B4340" w:rsidRPr="006668A4">
        <w:rPr>
          <w:rFonts w:ascii="Baskerville" w:hAnsi="Baskerville" w:cs="Baskerville"/>
        </w:rPr>
        <w:t xml:space="preserve">rovements will be present </w:t>
      </w:r>
      <w:r w:rsidR="006B4340" w:rsidRPr="00242DCF">
        <w:rPr>
          <w:rFonts w:ascii="Baskerville" w:hAnsi="Baskerville" w:cs="Baskerville"/>
          <w:u w:val="single"/>
        </w:rPr>
        <w:t>after</w:t>
      </w:r>
      <w:r w:rsidR="006B4340" w:rsidRPr="006668A4">
        <w:rPr>
          <w:rFonts w:ascii="Baskerville" w:hAnsi="Baskerville" w:cs="Baskerville"/>
        </w:rPr>
        <w:t xml:space="preserve"> </w:t>
      </w:r>
      <w:r w:rsidR="00A60E13" w:rsidRPr="006668A4">
        <w:rPr>
          <w:rFonts w:ascii="Baskerville" w:hAnsi="Baskerville" w:cs="Baskerville"/>
        </w:rPr>
        <w:t>the next (</w:t>
      </w:r>
      <w:r w:rsidR="006B4340" w:rsidRPr="006668A4">
        <w:rPr>
          <w:rFonts w:ascii="Baskerville" w:hAnsi="Baskerville" w:cs="Baskerville"/>
        </w:rPr>
        <w:t>7</w:t>
      </w:r>
      <w:r w:rsidR="00A60E13" w:rsidRPr="006668A4">
        <w:rPr>
          <w:rFonts w:ascii="Baskerville" w:hAnsi="Baskerville" w:cs="Baskerville"/>
          <w:vertAlign w:val="superscript"/>
        </w:rPr>
        <w:t>th</w:t>
      </w:r>
      <w:r w:rsidR="00A60E13" w:rsidRPr="006668A4">
        <w:rPr>
          <w:rFonts w:ascii="Baskerville" w:hAnsi="Baskerville" w:cs="Baskerville"/>
        </w:rPr>
        <w:t>) review period.</w:t>
      </w:r>
      <w:r w:rsidR="00201FFF" w:rsidRPr="006668A4">
        <w:rPr>
          <w:rFonts w:ascii="Baskerville" w:hAnsi="Baskerville" w:cs="Baskerville"/>
        </w:rPr>
        <w:t xml:space="preserve"> </w:t>
      </w:r>
    </w:p>
    <w:p w:rsidR="006D0B01" w:rsidRPr="007B7946" w:rsidRDefault="006D0B01" w:rsidP="003518FC">
      <w:pPr>
        <w:tabs>
          <w:tab w:val="left" w:pos="0"/>
        </w:tabs>
        <w:rPr>
          <w:rFonts w:ascii="Baskerville" w:hAnsi="Baskerville" w:cs="Baskerville"/>
        </w:rPr>
      </w:pPr>
    </w:p>
    <w:p w:rsidR="00F17F3B" w:rsidRPr="00504AB9" w:rsidRDefault="006D0B01" w:rsidP="003518FC">
      <w:pPr>
        <w:rPr>
          <w:rFonts w:ascii="Baskerville" w:hAnsi="Baskerville" w:cs="Baskerville"/>
          <w:b/>
        </w:rPr>
      </w:pPr>
      <w:r>
        <w:rPr>
          <w:rFonts w:ascii="Baskerville" w:hAnsi="Baskerville" w:cs="Baskerville"/>
          <w:b/>
        </w:rPr>
        <w:t xml:space="preserve">6. </w:t>
      </w:r>
      <w:r w:rsidR="006A021C">
        <w:rPr>
          <w:rFonts w:ascii="Baskerville" w:hAnsi="Baskerville" w:cs="Baskerville"/>
          <w:b/>
        </w:rPr>
        <w:t>Cr</w:t>
      </w:r>
      <w:r w:rsidR="00F17F3B" w:rsidRPr="00504AB9">
        <w:rPr>
          <w:rFonts w:ascii="Baskerville" w:hAnsi="Baskerville" w:cs="Baskerville"/>
          <w:b/>
        </w:rPr>
        <w:t>isis services</w:t>
      </w:r>
    </w:p>
    <w:p w:rsidR="00321A70" w:rsidRPr="00872254" w:rsidRDefault="001042E1" w:rsidP="003518FC">
      <w:pPr>
        <w:tabs>
          <w:tab w:val="left" w:pos="1671"/>
        </w:tabs>
        <w:ind w:right="-216"/>
        <w:rPr>
          <w:rFonts w:ascii="Baskerville" w:hAnsi="Baskerville" w:cs="Baskerville"/>
        </w:rPr>
      </w:pPr>
      <w:r w:rsidRPr="00872254">
        <w:rPr>
          <w:rFonts w:ascii="Baskerville" w:hAnsi="Baskerville" w:cs="Baskerville"/>
        </w:rPr>
        <w:t xml:space="preserve">Crisis services are a cornerstone in a community-based services system </w:t>
      </w:r>
      <w:r w:rsidR="004323D1" w:rsidRPr="00872254">
        <w:rPr>
          <w:rFonts w:ascii="Baskerville" w:hAnsi="Baskerville" w:cs="Baskerville"/>
        </w:rPr>
        <w:t>that prevents</w:t>
      </w:r>
      <w:r w:rsidR="00AB64D0" w:rsidRPr="00872254">
        <w:rPr>
          <w:rFonts w:ascii="Baskerville" w:hAnsi="Baskerville" w:cs="Baskerville"/>
        </w:rPr>
        <w:t xml:space="preserve"> the unnecessary institutionaliza</w:t>
      </w:r>
      <w:r w:rsidR="0006071F" w:rsidRPr="00872254">
        <w:rPr>
          <w:rFonts w:ascii="Baskerville" w:hAnsi="Baskerville" w:cs="Baskerville"/>
        </w:rPr>
        <w:t xml:space="preserve">tion of individuals with </w:t>
      </w:r>
      <w:r w:rsidR="00951D32">
        <w:rPr>
          <w:rFonts w:ascii="Baskerville" w:hAnsi="Baskerville" w:cs="Baskerville"/>
        </w:rPr>
        <w:t>ID/DD. In t</w:t>
      </w:r>
      <w:r w:rsidR="00122F58" w:rsidRPr="00872254">
        <w:rPr>
          <w:rFonts w:ascii="Baskerville" w:hAnsi="Baskerville" w:cs="Baskerville"/>
        </w:rPr>
        <w:t xml:space="preserve">he </w:t>
      </w:r>
      <w:r w:rsidR="00951D32">
        <w:rPr>
          <w:rFonts w:ascii="Baskerville" w:hAnsi="Baskerville" w:cs="Baskerville"/>
        </w:rPr>
        <w:t xml:space="preserve">Agreement, the </w:t>
      </w:r>
      <w:r w:rsidR="00122F58" w:rsidRPr="00872254">
        <w:rPr>
          <w:rFonts w:ascii="Baskerville" w:hAnsi="Baskerville" w:cs="Baskerville"/>
        </w:rPr>
        <w:t xml:space="preserve">Parties agreed that </w:t>
      </w:r>
      <w:r w:rsidR="004B56BD" w:rsidRPr="00872254">
        <w:rPr>
          <w:rFonts w:ascii="Baskerville" w:hAnsi="Baskerville" w:cs="Baskerville"/>
        </w:rPr>
        <w:t xml:space="preserve">a statewide crisis </w:t>
      </w:r>
      <w:r w:rsidR="00A2605B" w:rsidRPr="00872254">
        <w:rPr>
          <w:rFonts w:ascii="Baskerville" w:hAnsi="Baskerville" w:cs="Baskerville"/>
        </w:rPr>
        <w:t>system</w:t>
      </w:r>
      <w:r w:rsidR="00B20D5E" w:rsidRPr="00872254">
        <w:rPr>
          <w:rFonts w:ascii="Baskerville" w:hAnsi="Baskerville" w:cs="Baskerville"/>
        </w:rPr>
        <w:t xml:space="preserve"> would</w:t>
      </w:r>
      <w:r w:rsidR="00122F58" w:rsidRPr="00872254">
        <w:rPr>
          <w:rFonts w:ascii="Baskerville" w:hAnsi="Baskerville" w:cs="Baskerville"/>
        </w:rPr>
        <w:t xml:space="preserve"> be available for all Virginian</w:t>
      </w:r>
      <w:r w:rsidR="00B20D5E" w:rsidRPr="00872254">
        <w:rPr>
          <w:rFonts w:ascii="Baskerville" w:hAnsi="Baskerville" w:cs="Baskerville"/>
        </w:rPr>
        <w:t xml:space="preserve">s </w:t>
      </w:r>
      <w:r w:rsidR="00122F58" w:rsidRPr="00872254">
        <w:rPr>
          <w:rFonts w:ascii="Baskerville" w:hAnsi="Baskerville" w:cs="Baskerville"/>
        </w:rPr>
        <w:t>with</w:t>
      </w:r>
      <w:r w:rsidR="00626B73" w:rsidRPr="00872254">
        <w:rPr>
          <w:rFonts w:ascii="Baskerville" w:hAnsi="Baskerville" w:cs="Baskerville"/>
        </w:rPr>
        <w:t xml:space="preserve"> ID and DD as of June 30, 2012. </w:t>
      </w:r>
      <w:r w:rsidR="00A2605B" w:rsidRPr="00872254">
        <w:rPr>
          <w:rFonts w:ascii="Baskerville" w:hAnsi="Baskerville" w:cs="Baskerville"/>
        </w:rPr>
        <w:t>The Commonwealth has complied</w:t>
      </w:r>
      <w:r w:rsidR="008C6DC9">
        <w:rPr>
          <w:rFonts w:ascii="Baskerville" w:hAnsi="Baskerville" w:cs="Baskerville"/>
        </w:rPr>
        <w:t xml:space="preserve"> </w:t>
      </w:r>
      <w:r w:rsidR="00A10808">
        <w:rPr>
          <w:rFonts w:ascii="Baskerville" w:hAnsi="Baskerville" w:cs="Baskerville"/>
        </w:rPr>
        <w:t>with</w:t>
      </w:r>
      <w:r w:rsidR="00A505B2">
        <w:rPr>
          <w:rFonts w:ascii="Baskerville" w:hAnsi="Baskerville" w:cs="Baskerville"/>
        </w:rPr>
        <w:t xml:space="preserve"> </w:t>
      </w:r>
      <w:r w:rsidR="00A417A0" w:rsidRPr="00872254">
        <w:rPr>
          <w:rFonts w:ascii="Baskerville" w:hAnsi="Baskerville" w:cs="Baskerville"/>
        </w:rPr>
        <w:t xml:space="preserve">crisis services provisions </w:t>
      </w:r>
      <w:r w:rsidR="00A417A0" w:rsidRPr="00A505B2">
        <w:rPr>
          <w:rFonts w:ascii="Baskerville" w:hAnsi="Baskerville" w:cs="Baskerville"/>
          <w:u w:val="single"/>
        </w:rPr>
        <w:t>f</w:t>
      </w:r>
      <w:r w:rsidR="00A417A0" w:rsidRPr="001622F6">
        <w:rPr>
          <w:rFonts w:ascii="Baskerville" w:hAnsi="Baskerville" w:cs="Baskerville"/>
        </w:rPr>
        <w:t xml:space="preserve">or </w:t>
      </w:r>
      <w:r w:rsidR="00A417A0" w:rsidRPr="00A505B2">
        <w:rPr>
          <w:rFonts w:ascii="Baskerville" w:hAnsi="Baskerville" w:cs="Baskerville"/>
          <w:u w:val="single"/>
        </w:rPr>
        <w:t>adults</w:t>
      </w:r>
      <w:r w:rsidR="00A417A0" w:rsidRPr="00872254">
        <w:rPr>
          <w:rFonts w:ascii="Baskerville" w:hAnsi="Baskerville" w:cs="Baskerville"/>
        </w:rPr>
        <w:t xml:space="preserve"> </w:t>
      </w:r>
      <w:r w:rsidR="00A10808">
        <w:rPr>
          <w:rFonts w:ascii="Baskerville" w:hAnsi="Baskerville" w:cs="Baskerville"/>
        </w:rPr>
        <w:t>by developing and operating the program elements required by the Agreement</w:t>
      </w:r>
      <w:r w:rsidR="00DF284E">
        <w:rPr>
          <w:rFonts w:ascii="Baskerville" w:hAnsi="Baskerville" w:cs="Baskerville"/>
        </w:rPr>
        <w:t>.</w:t>
      </w:r>
      <w:r w:rsidR="004B56BD" w:rsidRPr="00872254">
        <w:rPr>
          <w:rFonts w:ascii="Baskerville" w:hAnsi="Baskerville" w:cs="Baskerville"/>
        </w:rPr>
        <w:t xml:space="preserve"> </w:t>
      </w:r>
      <w:r w:rsidR="00665D44">
        <w:rPr>
          <w:rFonts w:ascii="Baskerville" w:hAnsi="Baskerville" w:cs="Baskerville"/>
        </w:rPr>
        <w:t>The Commonwealth has begun to implement a</w:t>
      </w:r>
      <w:r w:rsidR="00BA17B0">
        <w:rPr>
          <w:rFonts w:ascii="Baskerville" w:hAnsi="Baskerville" w:cs="Baskerville"/>
        </w:rPr>
        <w:t xml:space="preserve"> </w:t>
      </w:r>
      <w:r w:rsidR="00600F34" w:rsidRPr="00872254">
        <w:rPr>
          <w:rFonts w:ascii="Baskerville" w:hAnsi="Baskerville" w:cs="Baskerville"/>
        </w:rPr>
        <w:t>statewide crisis syst</w:t>
      </w:r>
      <w:r w:rsidR="00102DE8" w:rsidRPr="00872254">
        <w:rPr>
          <w:rFonts w:ascii="Baskerville" w:hAnsi="Baskerville" w:cs="Baskerville"/>
        </w:rPr>
        <w:t>em f</w:t>
      </w:r>
      <w:r w:rsidR="00BA17B0">
        <w:rPr>
          <w:rFonts w:ascii="Baskerville" w:hAnsi="Baskerville" w:cs="Baskerville"/>
        </w:rPr>
        <w:t>or chi</w:t>
      </w:r>
      <w:r w:rsidR="00F52F62">
        <w:rPr>
          <w:rFonts w:ascii="Baskerville" w:hAnsi="Baskerville" w:cs="Baskerville"/>
        </w:rPr>
        <w:t>ldren and adolescen</w:t>
      </w:r>
      <w:r w:rsidR="00665D44">
        <w:rPr>
          <w:rFonts w:ascii="Baskerville" w:hAnsi="Baskerville" w:cs="Baskerville"/>
        </w:rPr>
        <w:t>ts</w:t>
      </w:r>
      <w:r w:rsidR="00037508" w:rsidRPr="00872254">
        <w:rPr>
          <w:rFonts w:ascii="Baskerville" w:hAnsi="Baskerville" w:cs="Baskerville"/>
        </w:rPr>
        <w:t xml:space="preserve">. </w:t>
      </w:r>
      <w:r w:rsidR="00003C81">
        <w:rPr>
          <w:rFonts w:ascii="Baskerville" w:hAnsi="Baskerville" w:cs="Baskerville"/>
        </w:rPr>
        <w:t>It reports having developed</w:t>
      </w:r>
      <w:r w:rsidR="00CE7AF1">
        <w:rPr>
          <w:rFonts w:ascii="Baskerville" w:hAnsi="Baskerville" w:cs="Baskerville"/>
        </w:rPr>
        <w:t xml:space="preserve"> new DBHDS internal </w:t>
      </w:r>
      <w:r w:rsidR="009E4CB5">
        <w:rPr>
          <w:rFonts w:ascii="Baskerville" w:hAnsi="Baskerville" w:cs="Baskerville"/>
        </w:rPr>
        <w:t xml:space="preserve">collaboration with its behavioral health division to </w:t>
      </w:r>
      <w:r w:rsidR="000047F8">
        <w:rPr>
          <w:rFonts w:ascii="Baskerville" w:hAnsi="Baskerville" w:cs="Baskerville"/>
        </w:rPr>
        <w:t xml:space="preserve">improve crisis services. </w:t>
      </w:r>
      <w:r w:rsidR="00037508" w:rsidRPr="00872254">
        <w:rPr>
          <w:rFonts w:ascii="Baskerville" w:hAnsi="Baskerville" w:cs="Baskerville"/>
        </w:rPr>
        <w:t>A</w:t>
      </w:r>
      <w:r w:rsidR="002C74CC" w:rsidRPr="00872254">
        <w:rPr>
          <w:rFonts w:ascii="Baskerville" w:hAnsi="Baskerville" w:cs="Baskerville"/>
        </w:rPr>
        <w:t xml:space="preserve">s of </w:t>
      </w:r>
      <w:r w:rsidR="005A042F" w:rsidRPr="00872254">
        <w:rPr>
          <w:rFonts w:ascii="Baskerville" w:hAnsi="Baskerville" w:cs="Baskerville"/>
        </w:rPr>
        <w:t xml:space="preserve">April 6, 2015, </w:t>
      </w:r>
      <w:r w:rsidR="005D45DE" w:rsidRPr="00872254">
        <w:rPr>
          <w:rFonts w:ascii="Baskerville" w:hAnsi="Baskerville" w:cs="Baskerville"/>
        </w:rPr>
        <w:t xml:space="preserve">the end of the sixth review period, </w:t>
      </w:r>
      <w:r w:rsidR="005A042F">
        <w:rPr>
          <w:rFonts w:ascii="Baskerville" w:hAnsi="Baskerville" w:cs="Baskerville"/>
        </w:rPr>
        <w:t xml:space="preserve">a statewide crisis system of services </w:t>
      </w:r>
      <w:r w:rsidR="000D25F2" w:rsidRPr="00872254">
        <w:rPr>
          <w:rFonts w:ascii="Baskerville" w:hAnsi="Baskerville" w:cs="Baskerville"/>
        </w:rPr>
        <w:t xml:space="preserve">was not </w:t>
      </w:r>
      <w:r w:rsidR="005A05A1" w:rsidRPr="00872254">
        <w:rPr>
          <w:rFonts w:ascii="Baskerville" w:hAnsi="Baskerville" w:cs="Baskerville"/>
        </w:rPr>
        <w:t xml:space="preserve">yet </w:t>
      </w:r>
      <w:r w:rsidR="000D25F2" w:rsidRPr="00872254">
        <w:rPr>
          <w:rFonts w:ascii="Baskerville" w:hAnsi="Baskerville" w:cs="Baskerville"/>
        </w:rPr>
        <w:t>in place</w:t>
      </w:r>
      <w:r w:rsidR="000047F8">
        <w:rPr>
          <w:rFonts w:ascii="Baskerville" w:hAnsi="Baskerville" w:cs="Baskerville"/>
        </w:rPr>
        <w:t xml:space="preserve"> for children and adolescents</w:t>
      </w:r>
      <w:r w:rsidR="000D25F2" w:rsidRPr="00872254">
        <w:rPr>
          <w:rFonts w:ascii="Baskerville" w:hAnsi="Baskerville" w:cs="Baskerville"/>
        </w:rPr>
        <w:t xml:space="preserve">. </w:t>
      </w:r>
      <w:r w:rsidR="00242DCF">
        <w:rPr>
          <w:rFonts w:ascii="Baskerville" w:hAnsi="Baskerville" w:cs="Baskerville"/>
        </w:rPr>
        <w:t xml:space="preserve"> As of July 1, 2015, n</w:t>
      </w:r>
      <w:r w:rsidR="00645465" w:rsidRPr="00872254">
        <w:rPr>
          <w:rFonts w:ascii="Baskerville" w:hAnsi="Baskerville" w:cs="Baskerville"/>
        </w:rPr>
        <w:t xml:space="preserve">ew </w:t>
      </w:r>
      <w:r w:rsidR="00240957">
        <w:rPr>
          <w:rFonts w:ascii="Baskerville" w:hAnsi="Baskerville" w:cs="Baskerville"/>
        </w:rPr>
        <w:t xml:space="preserve">additional </w:t>
      </w:r>
      <w:r w:rsidR="00645465" w:rsidRPr="00872254">
        <w:rPr>
          <w:rFonts w:ascii="Baskerville" w:hAnsi="Baskerville" w:cs="Baskerville"/>
        </w:rPr>
        <w:t>fun</w:t>
      </w:r>
      <w:r w:rsidR="00874938">
        <w:rPr>
          <w:rFonts w:ascii="Baskerville" w:hAnsi="Baskerville" w:cs="Baskerville"/>
        </w:rPr>
        <w:t xml:space="preserve">ds have been appropriated </w:t>
      </w:r>
      <w:r w:rsidR="00240957">
        <w:rPr>
          <w:rFonts w:ascii="Baskerville" w:hAnsi="Baskerville" w:cs="Baskerville"/>
        </w:rPr>
        <w:t>to</w:t>
      </w:r>
      <w:r w:rsidR="00240957" w:rsidRPr="00872254">
        <w:rPr>
          <w:rFonts w:ascii="Baskerville" w:hAnsi="Baskerville" w:cs="Baskerville"/>
        </w:rPr>
        <w:t xml:space="preserve"> </w:t>
      </w:r>
      <w:r w:rsidR="00874938">
        <w:rPr>
          <w:rFonts w:ascii="Baskerville" w:hAnsi="Baskerville" w:cs="Baskerville"/>
        </w:rPr>
        <w:t xml:space="preserve">further </w:t>
      </w:r>
      <w:r w:rsidR="002001D0" w:rsidRPr="00872254">
        <w:rPr>
          <w:rFonts w:ascii="Baskerville" w:hAnsi="Baskerville" w:cs="Baskerville"/>
        </w:rPr>
        <w:t>develop a statewide crisis</w:t>
      </w:r>
      <w:r w:rsidR="002C74CC" w:rsidRPr="00872254">
        <w:rPr>
          <w:rFonts w:ascii="Baskerville" w:hAnsi="Baskerville" w:cs="Baskerville"/>
        </w:rPr>
        <w:t xml:space="preserve"> system </w:t>
      </w:r>
      <w:r w:rsidR="000D5050" w:rsidRPr="00872254">
        <w:rPr>
          <w:rFonts w:ascii="Baskerville" w:hAnsi="Baskerville" w:cs="Baskerville"/>
        </w:rPr>
        <w:t xml:space="preserve">for children. </w:t>
      </w:r>
      <w:r w:rsidR="00321A70" w:rsidRPr="00872254">
        <w:rPr>
          <w:rFonts w:ascii="Baskerville" w:hAnsi="Baskerville" w:cs="Baskerville"/>
        </w:rPr>
        <w:t>The Common</w:t>
      </w:r>
      <w:r w:rsidR="00DC53F7" w:rsidRPr="00872254">
        <w:rPr>
          <w:rFonts w:ascii="Baskerville" w:hAnsi="Baskerville" w:cs="Baskerville"/>
        </w:rPr>
        <w:t xml:space="preserve">wealth plans to implement elements </w:t>
      </w:r>
      <w:r w:rsidR="00321A70" w:rsidRPr="00872254">
        <w:rPr>
          <w:rFonts w:ascii="Baskerville" w:hAnsi="Baskerville" w:cs="Baskerville"/>
        </w:rPr>
        <w:t xml:space="preserve">of the </w:t>
      </w:r>
      <w:r w:rsidR="00F65A67">
        <w:rPr>
          <w:rFonts w:ascii="Baskerville" w:hAnsi="Baskerville" w:cs="Baskerville"/>
        </w:rPr>
        <w:t xml:space="preserve">children’s crisis </w:t>
      </w:r>
      <w:r w:rsidR="00321A70" w:rsidRPr="00872254">
        <w:rPr>
          <w:rFonts w:ascii="Baskerville" w:hAnsi="Baskerville" w:cs="Baskerville"/>
        </w:rPr>
        <w:t xml:space="preserve">system (i.e. </w:t>
      </w:r>
      <w:r w:rsidR="00B767F1" w:rsidRPr="00872254">
        <w:rPr>
          <w:rFonts w:ascii="Baskerville" w:hAnsi="Baskerville" w:cs="Baskerville"/>
        </w:rPr>
        <w:t xml:space="preserve">single point of entry and crisis </w:t>
      </w:r>
      <w:r w:rsidR="001F02E4" w:rsidRPr="00872254">
        <w:rPr>
          <w:rFonts w:ascii="Baskerville" w:hAnsi="Baskerville" w:cs="Baskerville"/>
        </w:rPr>
        <w:t xml:space="preserve">call </w:t>
      </w:r>
      <w:r w:rsidR="00B767F1" w:rsidRPr="00872254">
        <w:rPr>
          <w:rFonts w:ascii="Baskerville" w:hAnsi="Baskerville" w:cs="Baskerville"/>
        </w:rPr>
        <w:t>responses</w:t>
      </w:r>
      <w:r w:rsidR="00BB54C2" w:rsidRPr="00872254">
        <w:rPr>
          <w:rFonts w:ascii="Baskerville" w:hAnsi="Baskerville" w:cs="Baskerville"/>
        </w:rPr>
        <w:t xml:space="preserve">) </w:t>
      </w:r>
      <w:r w:rsidR="001F02E4" w:rsidRPr="00872254">
        <w:rPr>
          <w:rFonts w:ascii="Baskerville" w:hAnsi="Baskerville" w:cs="Baskerville"/>
        </w:rPr>
        <w:t xml:space="preserve">during the next review period </w:t>
      </w:r>
      <w:r w:rsidR="00BB54C2" w:rsidRPr="00872254">
        <w:rPr>
          <w:rFonts w:ascii="Baskerville" w:hAnsi="Baskerville" w:cs="Baskerville"/>
        </w:rPr>
        <w:t xml:space="preserve">and to </w:t>
      </w:r>
      <w:r w:rsidR="00333A55">
        <w:rPr>
          <w:rFonts w:ascii="Baskerville" w:hAnsi="Baskerville" w:cs="Baskerville"/>
        </w:rPr>
        <w:t xml:space="preserve">begin to </w:t>
      </w:r>
      <w:r w:rsidR="00BB54C2" w:rsidRPr="00872254">
        <w:rPr>
          <w:rFonts w:ascii="Baskerville" w:hAnsi="Baskerville" w:cs="Baskerville"/>
        </w:rPr>
        <w:t>meet perfo</w:t>
      </w:r>
      <w:r w:rsidR="009A3A2B" w:rsidRPr="00872254">
        <w:rPr>
          <w:rFonts w:ascii="Baskerville" w:hAnsi="Baskerville" w:cs="Baskerville"/>
        </w:rPr>
        <w:t>rmance standards by December 2016</w:t>
      </w:r>
      <w:r w:rsidR="00333A55">
        <w:rPr>
          <w:rFonts w:ascii="Baskerville" w:hAnsi="Baskerville" w:cs="Baskerville"/>
        </w:rPr>
        <w:t xml:space="preserve">, </w:t>
      </w:r>
      <w:r w:rsidR="00333A55">
        <w:rPr>
          <w:rFonts w:ascii="Baskerville" w:hAnsi="Baskerville" w:cs="Baskerville"/>
          <w:u w:val="single"/>
        </w:rPr>
        <w:t>after</w:t>
      </w:r>
      <w:r w:rsidR="00333A55">
        <w:rPr>
          <w:rFonts w:ascii="Baskerville" w:hAnsi="Baskerville" w:cs="Baskerville"/>
        </w:rPr>
        <w:t xml:space="preserve"> the next review period</w:t>
      </w:r>
      <w:r w:rsidR="009A3A2B" w:rsidRPr="00872254">
        <w:rPr>
          <w:rFonts w:ascii="Baskerville" w:hAnsi="Baskerville" w:cs="Baskerville"/>
        </w:rPr>
        <w:t>.</w:t>
      </w:r>
    </w:p>
    <w:p w:rsidR="00F65A67" w:rsidRDefault="00F65A67" w:rsidP="003518FC">
      <w:pPr>
        <w:tabs>
          <w:tab w:val="left" w:pos="1671"/>
        </w:tabs>
        <w:ind w:right="-216"/>
        <w:rPr>
          <w:rFonts w:ascii="Baskerville" w:hAnsi="Baskerville" w:cs="Baskerville"/>
          <w:sz w:val="16"/>
          <w:szCs w:val="16"/>
        </w:rPr>
      </w:pPr>
    </w:p>
    <w:p w:rsidR="00003C81" w:rsidRPr="007B7946" w:rsidRDefault="00003C81" w:rsidP="003518FC">
      <w:pPr>
        <w:tabs>
          <w:tab w:val="left" w:pos="1671"/>
        </w:tabs>
        <w:ind w:right="-216"/>
        <w:rPr>
          <w:rFonts w:ascii="Baskerville" w:hAnsi="Baskerville" w:cs="Baskerville"/>
          <w:sz w:val="16"/>
          <w:szCs w:val="16"/>
        </w:rPr>
      </w:pPr>
    </w:p>
    <w:p w:rsidR="00CA6C5C" w:rsidRPr="00872254" w:rsidRDefault="00F65A67" w:rsidP="003518FC">
      <w:pPr>
        <w:tabs>
          <w:tab w:val="left" w:pos="1671"/>
        </w:tabs>
        <w:ind w:right="-216"/>
        <w:rPr>
          <w:rFonts w:ascii="Baskerville" w:hAnsi="Baskerville" w:cs="Baskerville"/>
        </w:rPr>
      </w:pPr>
      <w:r>
        <w:rPr>
          <w:rFonts w:ascii="Baskerville" w:hAnsi="Baskerville" w:cs="Baskerville"/>
        </w:rPr>
        <w:t>T</w:t>
      </w:r>
      <w:r w:rsidR="006F0815" w:rsidRPr="00872254">
        <w:rPr>
          <w:rFonts w:ascii="Baskerville" w:hAnsi="Baskerville" w:cs="Baskerville"/>
        </w:rPr>
        <w:t>he Commonwealth’s accomplis</w:t>
      </w:r>
      <w:r w:rsidR="00466ABB" w:rsidRPr="00872254">
        <w:rPr>
          <w:rFonts w:ascii="Baskerville" w:hAnsi="Baskerville" w:cs="Baskerville"/>
        </w:rPr>
        <w:t xml:space="preserve">hments </w:t>
      </w:r>
      <w:r w:rsidR="007A5563">
        <w:rPr>
          <w:rFonts w:ascii="Baskerville" w:hAnsi="Baskerville" w:cs="Baskerville"/>
        </w:rPr>
        <w:t>related to</w:t>
      </w:r>
      <w:r w:rsidR="00C9100F">
        <w:rPr>
          <w:rFonts w:ascii="Baskerville" w:hAnsi="Baskerville" w:cs="Baskerville"/>
        </w:rPr>
        <w:t xml:space="preserve"> </w:t>
      </w:r>
      <w:r w:rsidR="00DA581B" w:rsidRPr="00872254">
        <w:rPr>
          <w:rFonts w:ascii="Baskerville" w:hAnsi="Baskerville" w:cs="Baskerville"/>
        </w:rPr>
        <w:t xml:space="preserve">a statewide crisis system </w:t>
      </w:r>
      <w:r w:rsidR="00BB7723">
        <w:rPr>
          <w:rFonts w:ascii="Baskerville" w:hAnsi="Baskerville" w:cs="Baskerville"/>
        </w:rPr>
        <w:t xml:space="preserve">and </w:t>
      </w:r>
      <w:r w:rsidR="00C9100F">
        <w:rPr>
          <w:rFonts w:ascii="Baskerville" w:hAnsi="Baskerville" w:cs="Baskerville"/>
        </w:rPr>
        <w:t>areas of concern</w:t>
      </w:r>
      <w:r w:rsidR="008C14BC" w:rsidRPr="00872254">
        <w:rPr>
          <w:rFonts w:ascii="Baskerville" w:hAnsi="Baskerville" w:cs="Baskerville"/>
        </w:rPr>
        <w:t xml:space="preserve"> are </w:t>
      </w:r>
      <w:r w:rsidR="00865968">
        <w:rPr>
          <w:rFonts w:ascii="Baskerville" w:hAnsi="Baskerville" w:cs="Baskerville"/>
        </w:rPr>
        <w:t xml:space="preserve">highlighted </w:t>
      </w:r>
      <w:r w:rsidR="00F757A9">
        <w:rPr>
          <w:rFonts w:ascii="Baskerville" w:hAnsi="Baskerville" w:cs="Baskerville"/>
        </w:rPr>
        <w:t xml:space="preserve">below. </w:t>
      </w:r>
      <w:r w:rsidR="00FC30BA" w:rsidRPr="00872254">
        <w:rPr>
          <w:rFonts w:ascii="Baskerville" w:hAnsi="Baskerville" w:cs="Baskerville"/>
        </w:rPr>
        <w:t>In determining compliance ratings, the</w:t>
      </w:r>
      <w:r w:rsidR="00F757A9">
        <w:rPr>
          <w:rFonts w:ascii="Baskerville" w:hAnsi="Baskerville" w:cs="Baskerville"/>
        </w:rPr>
        <w:t xml:space="preserve"> Independent Reviewer</w:t>
      </w:r>
      <w:r w:rsidR="002C66ED" w:rsidRPr="00872254">
        <w:rPr>
          <w:rFonts w:ascii="Baskerville" w:hAnsi="Baskerville" w:cs="Baskerville"/>
        </w:rPr>
        <w:t xml:space="preserve"> </w:t>
      </w:r>
      <w:r w:rsidR="00AF0564">
        <w:rPr>
          <w:rFonts w:ascii="Baskerville" w:hAnsi="Baskerville" w:cs="Baskerville"/>
        </w:rPr>
        <w:t xml:space="preserve">has </w:t>
      </w:r>
      <w:r w:rsidR="00FC30BA" w:rsidRPr="00872254">
        <w:rPr>
          <w:rFonts w:ascii="Baskerville" w:hAnsi="Baskerville" w:cs="Baskerville"/>
        </w:rPr>
        <w:t xml:space="preserve">considered the </w:t>
      </w:r>
      <w:r w:rsidR="002C66ED" w:rsidRPr="00872254">
        <w:rPr>
          <w:rFonts w:ascii="Baskerville" w:hAnsi="Baskerville" w:cs="Baskerville"/>
        </w:rPr>
        <w:t xml:space="preserve">sixth </w:t>
      </w:r>
      <w:r w:rsidR="00B51DC1" w:rsidRPr="00872254">
        <w:rPr>
          <w:rFonts w:ascii="Baskerville" w:hAnsi="Baskerville" w:cs="Baskerville"/>
        </w:rPr>
        <w:t xml:space="preserve">independent </w:t>
      </w:r>
      <w:r w:rsidR="00865968">
        <w:rPr>
          <w:rFonts w:ascii="Baskerville" w:hAnsi="Baskerville" w:cs="Baskerville"/>
          <w:i/>
        </w:rPr>
        <w:t xml:space="preserve">“Crisis Services Requirements” </w:t>
      </w:r>
      <w:r w:rsidR="002C66ED" w:rsidRPr="00872254">
        <w:rPr>
          <w:rFonts w:ascii="Baskerville" w:hAnsi="Baskerville" w:cs="Baskerville"/>
        </w:rPr>
        <w:t>study of the</w:t>
      </w:r>
      <w:r w:rsidR="00D53D70" w:rsidRPr="00872254">
        <w:rPr>
          <w:rFonts w:ascii="Baskerville" w:hAnsi="Baskerville" w:cs="Baskerville"/>
        </w:rPr>
        <w:t xml:space="preserve"> Commonwealth’s progress</w:t>
      </w:r>
      <w:r w:rsidR="00BB7723">
        <w:rPr>
          <w:rFonts w:ascii="Baskerville" w:hAnsi="Baskerville" w:cs="Baskerville"/>
        </w:rPr>
        <w:t xml:space="preserve">. That study </w:t>
      </w:r>
      <w:r w:rsidR="007C3799">
        <w:rPr>
          <w:rFonts w:ascii="Baskerville" w:hAnsi="Baskerville" w:cs="Baskerville"/>
        </w:rPr>
        <w:t xml:space="preserve">focused primarily on quantitative measures of compliance </w:t>
      </w:r>
      <w:r w:rsidR="006B19FD" w:rsidRPr="00872254">
        <w:rPr>
          <w:rFonts w:ascii="Baskerville" w:hAnsi="Baskerville" w:cs="Baskerville"/>
        </w:rPr>
        <w:t xml:space="preserve">and the findings from the </w:t>
      </w:r>
      <w:r w:rsidR="00003C81" w:rsidRPr="00872254">
        <w:rPr>
          <w:rFonts w:ascii="Baskerville" w:hAnsi="Baskerville" w:cs="Baskerville"/>
        </w:rPr>
        <w:t>Individual Review Study</w:t>
      </w:r>
      <w:r w:rsidR="001C2AD6" w:rsidRPr="00872254">
        <w:rPr>
          <w:rFonts w:ascii="Baskerville" w:hAnsi="Baskerville" w:cs="Baskerville"/>
        </w:rPr>
        <w:t xml:space="preserve">. </w:t>
      </w:r>
      <w:r w:rsidR="001D7778">
        <w:rPr>
          <w:rFonts w:ascii="Baskerville" w:hAnsi="Baskerville" w:cs="Baskerville"/>
        </w:rPr>
        <w:t>The</w:t>
      </w:r>
      <w:r w:rsidR="001D7778" w:rsidRPr="00872254">
        <w:rPr>
          <w:rFonts w:ascii="Baskerville" w:hAnsi="Baskerville" w:cs="Baskerville"/>
        </w:rPr>
        <w:t xml:space="preserve"> </w:t>
      </w:r>
      <w:r w:rsidR="002B6992">
        <w:rPr>
          <w:rFonts w:ascii="Baskerville" w:hAnsi="Baskerville" w:cs="Baskerville"/>
        </w:rPr>
        <w:t>independent</w:t>
      </w:r>
      <w:r w:rsidR="004F092B">
        <w:rPr>
          <w:rFonts w:ascii="Baskerville" w:hAnsi="Baskerville" w:cs="Baskerville"/>
        </w:rPr>
        <w:t xml:space="preserve"> </w:t>
      </w:r>
      <w:r w:rsidR="007C3799">
        <w:rPr>
          <w:rFonts w:ascii="Baskerville" w:hAnsi="Baskerville" w:cs="Baskerville"/>
        </w:rPr>
        <w:t xml:space="preserve">consultant’s </w:t>
      </w:r>
      <w:r w:rsidR="002B6992">
        <w:rPr>
          <w:rFonts w:ascii="Baskerville" w:hAnsi="Baskerville" w:cs="Baskerville"/>
        </w:rPr>
        <w:t xml:space="preserve">review, </w:t>
      </w:r>
      <w:r w:rsidR="001D7778" w:rsidRPr="00872254">
        <w:rPr>
          <w:rFonts w:ascii="Baskerville" w:hAnsi="Baskerville" w:cs="Baskerville"/>
          <w:i/>
        </w:rPr>
        <w:t>Crisis Services Requirements,</w:t>
      </w:r>
      <w:r w:rsidR="007377D8">
        <w:rPr>
          <w:rFonts w:ascii="Baskerville" w:hAnsi="Baskerville" w:cs="Baskerville"/>
        </w:rPr>
        <w:t xml:space="preserve"> </w:t>
      </w:r>
      <w:r w:rsidR="002B6992">
        <w:rPr>
          <w:rFonts w:ascii="Baskerville" w:hAnsi="Baskerville" w:cs="Baskerville"/>
        </w:rPr>
        <w:t>is included at Appendix C</w:t>
      </w:r>
      <w:r w:rsidR="007377D8">
        <w:rPr>
          <w:rFonts w:ascii="Baskerville" w:hAnsi="Baskerville" w:cs="Baskerville"/>
        </w:rPr>
        <w:t xml:space="preserve">. </w:t>
      </w:r>
    </w:p>
    <w:p w:rsidR="00CA6C5C" w:rsidRPr="00872254" w:rsidRDefault="00CA6C5C" w:rsidP="003518FC">
      <w:pPr>
        <w:tabs>
          <w:tab w:val="left" w:pos="1671"/>
        </w:tabs>
        <w:ind w:right="-216"/>
        <w:rPr>
          <w:rFonts w:ascii="Baskerville" w:hAnsi="Baskerville" w:cs="Baskerville"/>
        </w:rPr>
      </w:pPr>
    </w:p>
    <w:p w:rsidR="008F3D8E" w:rsidRDefault="001C2AD6" w:rsidP="003518FC">
      <w:pPr>
        <w:tabs>
          <w:tab w:val="left" w:pos="1671"/>
        </w:tabs>
        <w:ind w:right="-216"/>
        <w:rPr>
          <w:rFonts w:ascii="Baskerville" w:hAnsi="Baskerville" w:cs="Baskerville"/>
        </w:rPr>
      </w:pPr>
      <w:r w:rsidRPr="00872254">
        <w:rPr>
          <w:rFonts w:ascii="Baskerville" w:hAnsi="Baskerville" w:cs="Baskerville"/>
        </w:rPr>
        <w:t xml:space="preserve">The Department of Justice </w:t>
      </w:r>
      <w:r w:rsidR="00CA457A">
        <w:rPr>
          <w:rFonts w:ascii="Baskerville" w:hAnsi="Baskerville" w:cs="Baskerville"/>
        </w:rPr>
        <w:t xml:space="preserve">also </w:t>
      </w:r>
      <w:r w:rsidR="007377D8">
        <w:rPr>
          <w:rFonts w:ascii="Baskerville" w:hAnsi="Baskerville" w:cs="Baskerville"/>
        </w:rPr>
        <w:t>reta</w:t>
      </w:r>
      <w:r w:rsidR="00CA457A">
        <w:rPr>
          <w:rFonts w:ascii="Baskerville" w:hAnsi="Baskerville" w:cs="Baskerville"/>
        </w:rPr>
        <w:t xml:space="preserve">ined independent experts </w:t>
      </w:r>
      <w:r w:rsidR="0030347A">
        <w:rPr>
          <w:rFonts w:ascii="Baskerville" w:hAnsi="Baskerville" w:cs="Baskerville"/>
        </w:rPr>
        <w:t xml:space="preserve">to </w:t>
      </w:r>
      <w:r w:rsidR="003B6AFC">
        <w:rPr>
          <w:rFonts w:ascii="Baskerville" w:hAnsi="Baskerville" w:cs="Baskerville"/>
        </w:rPr>
        <w:t xml:space="preserve">review </w:t>
      </w:r>
      <w:r w:rsidR="00F84E8D" w:rsidRPr="00872254">
        <w:rPr>
          <w:rFonts w:ascii="Baskerville" w:hAnsi="Baskerville" w:cs="Baskerville"/>
        </w:rPr>
        <w:t xml:space="preserve">crisis and behavioral support services for </w:t>
      </w:r>
      <w:r w:rsidR="0030347A">
        <w:rPr>
          <w:rFonts w:ascii="Baskerville" w:hAnsi="Baskerville" w:cs="Baskerville"/>
        </w:rPr>
        <w:t xml:space="preserve">twelve </w:t>
      </w:r>
      <w:r w:rsidR="00F84E8D" w:rsidRPr="00872254">
        <w:rPr>
          <w:rFonts w:ascii="Baskerville" w:hAnsi="Baskerville" w:cs="Baskerville"/>
        </w:rPr>
        <w:t xml:space="preserve">individuals </w:t>
      </w:r>
      <w:r w:rsidR="00CA457A">
        <w:rPr>
          <w:rFonts w:ascii="Baskerville" w:hAnsi="Baskerville" w:cs="Baskerville"/>
        </w:rPr>
        <w:t xml:space="preserve">with ID/DD </w:t>
      </w:r>
      <w:r w:rsidR="003C6278" w:rsidRPr="00872254">
        <w:rPr>
          <w:rFonts w:ascii="Baskerville" w:hAnsi="Baskerville" w:cs="Baskerville"/>
        </w:rPr>
        <w:t>who had contact with law enforcement</w:t>
      </w:r>
      <w:r w:rsidR="009128A6" w:rsidRPr="00872254">
        <w:rPr>
          <w:rFonts w:ascii="Baskerville" w:hAnsi="Baskerville" w:cs="Baskerville"/>
        </w:rPr>
        <w:t>,</w:t>
      </w:r>
      <w:r w:rsidR="003C6278" w:rsidRPr="00872254">
        <w:rPr>
          <w:rFonts w:ascii="Baskerville" w:hAnsi="Baskerville" w:cs="Baskerville"/>
        </w:rPr>
        <w:t xml:space="preserve"> which often resulted in</w:t>
      </w:r>
      <w:r w:rsidR="0030347A">
        <w:rPr>
          <w:rFonts w:ascii="Baskerville" w:hAnsi="Baskerville" w:cs="Baskerville"/>
        </w:rPr>
        <w:t xml:space="preserve"> incarceration or</w:t>
      </w:r>
      <w:r w:rsidR="00FF214E" w:rsidRPr="00872254">
        <w:rPr>
          <w:rFonts w:ascii="Baskerville" w:hAnsi="Baskerville" w:cs="Baskerville"/>
        </w:rPr>
        <w:t xml:space="preserve"> admission to a psychiatric hospital.  </w:t>
      </w:r>
      <w:r w:rsidR="00E77FD1" w:rsidRPr="00872254">
        <w:rPr>
          <w:rFonts w:ascii="Baskerville" w:hAnsi="Baskerville" w:cs="Baskerville"/>
        </w:rPr>
        <w:t>The DOJ review</w:t>
      </w:r>
      <w:r w:rsidR="003B6AFC">
        <w:rPr>
          <w:rFonts w:ascii="Baskerville" w:hAnsi="Baskerville" w:cs="Baskerville"/>
        </w:rPr>
        <w:t>s</w:t>
      </w:r>
      <w:r w:rsidR="00E77FD1" w:rsidRPr="00872254">
        <w:rPr>
          <w:rFonts w:ascii="Baskerville" w:hAnsi="Baskerville" w:cs="Baskerville"/>
        </w:rPr>
        <w:t xml:space="preserve"> </w:t>
      </w:r>
      <w:r w:rsidR="003B6AFC">
        <w:rPr>
          <w:rFonts w:ascii="Baskerville" w:hAnsi="Baskerville" w:cs="Baskerville"/>
        </w:rPr>
        <w:t>of</w:t>
      </w:r>
      <w:r w:rsidR="003B6AFC" w:rsidRPr="00872254">
        <w:rPr>
          <w:rFonts w:ascii="Baskerville" w:hAnsi="Baskerville" w:cs="Baskerville"/>
        </w:rPr>
        <w:t xml:space="preserve"> twelve individuals</w:t>
      </w:r>
      <w:r w:rsidR="009258FE">
        <w:rPr>
          <w:rFonts w:ascii="Baskerville" w:hAnsi="Baskerville" w:cs="Baskerville"/>
        </w:rPr>
        <w:t xml:space="preserve"> </w:t>
      </w:r>
      <w:r w:rsidR="00E77FD1" w:rsidRPr="00872254">
        <w:rPr>
          <w:rFonts w:ascii="Baskerville" w:hAnsi="Baskerville" w:cs="Baskerville"/>
        </w:rPr>
        <w:t>i</w:t>
      </w:r>
      <w:r w:rsidR="003B6AFC">
        <w:rPr>
          <w:rFonts w:ascii="Baskerville" w:hAnsi="Baskerville" w:cs="Baskerville"/>
        </w:rPr>
        <w:t xml:space="preserve">dentified </w:t>
      </w:r>
      <w:r w:rsidR="00A10808">
        <w:rPr>
          <w:rFonts w:ascii="Baskerville" w:hAnsi="Baskerville" w:cs="Baskerville"/>
        </w:rPr>
        <w:t xml:space="preserve">inadequacies and, for individual with challenging behaviors, gaps </w:t>
      </w:r>
      <w:r w:rsidR="00E77FD1" w:rsidRPr="00872254">
        <w:rPr>
          <w:rFonts w:ascii="Baskerville" w:hAnsi="Baskerville" w:cs="Baskerville"/>
        </w:rPr>
        <w:t xml:space="preserve">in the </w:t>
      </w:r>
      <w:r w:rsidR="00D63C76">
        <w:rPr>
          <w:rFonts w:ascii="Baskerville" w:hAnsi="Baskerville" w:cs="Baskerville"/>
        </w:rPr>
        <w:t xml:space="preserve">crisis system. </w:t>
      </w:r>
      <w:r w:rsidR="009258FE">
        <w:rPr>
          <w:rFonts w:ascii="Baskerville" w:hAnsi="Baskerville" w:cs="Baskerville"/>
        </w:rPr>
        <w:t>The number of reviews was not large enough to be able to</w:t>
      </w:r>
      <w:r w:rsidR="00EF3EF7">
        <w:rPr>
          <w:rFonts w:ascii="Baskerville" w:hAnsi="Baskerville" w:cs="Baskerville"/>
        </w:rPr>
        <w:t xml:space="preserve"> generalize the findings </w:t>
      </w:r>
      <w:r w:rsidR="001C1D12">
        <w:rPr>
          <w:rFonts w:ascii="Baskerville" w:hAnsi="Baskerville" w:cs="Baskerville"/>
        </w:rPr>
        <w:t>to the broader population. The findings from these</w:t>
      </w:r>
      <w:r w:rsidR="00EF3EF7">
        <w:rPr>
          <w:rFonts w:ascii="Baskerville" w:hAnsi="Baskerville" w:cs="Baskerville"/>
        </w:rPr>
        <w:t xml:space="preserve"> reviews</w:t>
      </w:r>
      <w:r w:rsidR="00F52130">
        <w:rPr>
          <w:rFonts w:ascii="Baskerville" w:hAnsi="Baskerville" w:cs="Baskerville"/>
        </w:rPr>
        <w:t>,</w:t>
      </w:r>
      <w:r w:rsidR="00EF3EF7">
        <w:rPr>
          <w:rFonts w:ascii="Baskerville" w:hAnsi="Baskerville" w:cs="Baskerville"/>
        </w:rPr>
        <w:t xml:space="preserve"> however</w:t>
      </w:r>
      <w:r w:rsidR="00F52130">
        <w:rPr>
          <w:rFonts w:ascii="Baskerville" w:hAnsi="Baskerville" w:cs="Baskerville"/>
        </w:rPr>
        <w:t>,</w:t>
      </w:r>
      <w:r w:rsidR="00EF3EF7">
        <w:rPr>
          <w:rFonts w:ascii="Baskerville" w:hAnsi="Baskerville" w:cs="Baskerville"/>
        </w:rPr>
        <w:t xml:space="preserve"> raise serious questions about</w:t>
      </w:r>
      <w:r w:rsidR="00A10808">
        <w:rPr>
          <w:rFonts w:ascii="Baskerville" w:hAnsi="Baskerville" w:cs="Baskerville"/>
        </w:rPr>
        <w:t xml:space="preserve"> the performance and effectiveness of the </w:t>
      </w:r>
      <w:r w:rsidR="00EF3EF7">
        <w:rPr>
          <w:rFonts w:ascii="Baskerville" w:hAnsi="Baskerville" w:cs="Baskerville"/>
        </w:rPr>
        <w:t xml:space="preserve">Commonwealth’s crisis services for individuals with ID/DD. </w:t>
      </w:r>
      <w:r w:rsidR="00D63C76">
        <w:rPr>
          <w:rFonts w:ascii="Baskerville" w:hAnsi="Baskerville" w:cs="Baskerville"/>
        </w:rPr>
        <w:t>The</w:t>
      </w:r>
      <w:r w:rsidR="00A505B2">
        <w:rPr>
          <w:rFonts w:ascii="Baskerville" w:hAnsi="Baskerville" w:cs="Baskerville"/>
        </w:rPr>
        <w:t xml:space="preserve"> </w:t>
      </w:r>
      <w:r w:rsidR="007D5D63">
        <w:rPr>
          <w:rFonts w:ascii="Baskerville" w:hAnsi="Baskerville" w:cs="Baskerville"/>
        </w:rPr>
        <w:t xml:space="preserve">identified </w:t>
      </w:r>
      <w:r w:rsidR="00A505B2">
        <w:rPr>
          <w:rFonts w:ascii="Baskerville" w:hAnsi="Baskerville" w:cs="Baskerville"/>
        </w:rPr>
        <w:t>gaps</w:t>
      </w:r>
      <w:r w:rsidR="001D2382">
        <w:rPr>
          <w:rFonts w:ascii="Baskerville" w:hAnsi="Baskerville" w:cs="Baskerville"/>
        </w:rPr>
        <w:t xml:space="preserve"> included:</w:t>
      </w:r>
    </w:p>
    <w:p w:rsidR="001D2382" w:rsidRDefault="008F3D8E"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1D2382">
        <w:rPr>
          <w:rFonts w:ascii="Baskerville" w:hAnsi="Baskerville" w:cs="Baskerville"/>
        </w:rPr>
        <w:t>a lack of timely re</w:t>
      </w:r>
      <w:r w:rsidR="00281AE5">
        <w:rPr>
          <w:rFonts w:ascii="Baskerville" w:hAnsi="Baskerville" w:cs="Baskerville"/>
        </w:rPr>
        <w:t>sponse to individuals in crisis;</w:t>
      </w:r>
    </w:p>
    <w:p w:rsidR="001D2382" w:rsidRDefault="001D2382"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sidR="0042146D">
        <w:rPr>
          <w:rFonts w:ascii="Wingdings" w:hAnsi="Wingdings"/>
          <w:color w:val="000000"/>
        </w:rPr>
        <w:t></w:t>
      </w:r>
      <w:r w:rsidR="005865BA">
        <w:rPr>
          <w:rFonts w:ascii="Baskerville" w:hAnsi="Baskerville" w:cs="Baskerville"/>
        </w:rPr>
        <w:t>a</w:t>
      </w:r>
      <w:r w:rsidR="007D5D63">
        <w:rPr>
          <w:rFonts w:ascii="Baskerville" w:hAnsi="Baskerville" w:cs="Baskerville"/>
        </w:rPr>
        <w:t xml:space="preserve"> lack </w:t>
      </w:r>
      <w:r>
        <w:rPr>
          <w:rFonts w:ascii="Baskerville" w:hAnsi="Baskerville" w:cs="Baskerville"/>
        </w:rPr>
        <w:t>of services focused on crisis prevention</w:t>
      </w:r>
      <w:r w:rsidR="00281AE5">
        <w:rPr>
          <w:rFonts w:ascii="Baskerville" w:hAnsi="Baskerville" w:cs="Baskerville"/>
        </w:rPr>
        <w:t>;</w:t>
      </w:r>
      <w:r>
        <w:rPr>
          <w:rFonts w:ascii="Baskerville" w:hAnsi="Baskerville" w:cs="Baskerville"/>
        </w:rPr>
        <w:t xml:space="preserve"> </w:t>
      </w:r>
    </w:p>
    <w:p w:rsidR="008F3D8E" w:rsidRDefault="001D2382"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Pr>
          <w:rFonts w:ascii="Baskerville" w:hAnsi="Baskerville" w:cs="Baskerville"/>
        </w:rPr>
        <w:t>failure to respond on-site</w:t>
      </w:r>
      <w:r w:rsidR="00281AE5">
        <w:rPr>
          <w:rFonts w:ascii="Baskerville" w:hAnsi="Baskerville" w:cs="Baskerville"/>
        </w:rPr>
        <w:t>;</w:t>
      </w:r>
      <w:r w:rsidR="008F3D8E">
        <w:rPr>
          <w:rFonts w:ascii="Baskerville" w:hAnsi="Baskerville" w:cs="Baskerville"/>
        </w:rPr>
        <w:t xml:space="preserve"> and</w:t>
      </w:r>
      <w:r>
        <w:rPr>
          <w:rFonts w:ascii="Baskerville" w:hAnsi="Baskerville" w:cs="Baskerville"/>
        </w:rPr>
        <w:t xml:space="preserve"> </w:t>
      </w:r>
    </w:p>
    <w:p w:rsidR="008F3D8E" w:rsidRDefault="008F3D8E" w:rsidP="007C3799">
      <w:pPr>
        <w:tabs>
          <w:tab w:val="left" w:pos="1671"/>
        </w:tabs>
        <w:ind w:left="630" w:right="-216" w:hanging="630"/>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1D2382">
        <w:rPr>
          <w:rFonts w:ascii="Baskerville" w:hAnsi="Baskerville" w:cs="Baskerville"/>
        </w:rPr>
        <w:t xml:space="preserve">the frequent involvement of the police and Emergency Services for individuals who threaten </w:t>
      </w:r>
      <w:r w:rsidR="007C3799">
        <w:rPr>
          <w:rFonts w:ascii="Baskerville" w:hAnsi="Baskerville" w:cs="Baskerville"/>
        </w:rPr>
        <w:t xml:space="preserve">            </w:t>
      </w:r>
      <w:r w:rsidR="001D2382">
        <w:rPr>
          <w:rFonts w:ascii="Baskerville" w:hAnsi="Baskerville" w:cs="Baskerville"/>
        </w:rPr>
        <w:t>aggression or elopement</w:t>
      </w:r>
      <w:r w:rsidR="00EF3EF7">
        <w:rPr>
          <w:rFonts w:ascii="Baskerville" w:hAnsi="Baskerville" w:cs="Baskerville"/>
        </w:rPr>
        <w:t xml:space="preserve">. </w:t>
      </w:r>
    </w:p>
    <w:p w:rsidR="008F3D8E" w:rsidRDefault="008F3D8E" w:rsidP="003518FC">
      <w:pPr>
        <w:tabs>
          <w:tab w:val="left" w:pos="1671"/>
        </w:tabs>
        <w:ind w:right="-216"/>
        <w:rPr>
          <w:rFonts w:ascii="Baskerville" w:hAnsi="Baskerville" w:cs="Baskerville"/>
        </w:rPr>
      </w:pPr>
    </w:p>
    <w:p w:rsidR="005515AC" w:rsidRDefault="00EF3EF7" w:rsidP="003518FC">
      <w:pPr>
        <w:tabs>
          <w:tab w:val="left" w:pos="1671"/>
        </w:tabs>
        <w:ind w:right="-216"/>
        <w:rPr>
          <w:rFonts w:ascii="Baskerville" w:hAnsi="Baskerville" w:cs="Baskerville"/>
        </w:rPr>
      </w:pPr>
      <w:r w:rsidRPr="00F52130">
        <w:rPr>
          <w:rFonts w:ascii="Baskerville" w:hAnsi="Baskerville" w:cs="Baskerville"/>
        </w:rPr>
        <w:t>The DOJ’s consultants’ reviews</w:t>
      </w:r>
      <w:r w:rsidR="00A505B2">
        <w:rPr>
          <w:rFonts w:ascii="Baskerville" w:hAnsi="Baskerville" w:cs="Baskerville"/>
        </w:rPr>
        <w:t xml:space="preserve"> also</w:t>
      </w:r>
      <w:r w:rsidRPr="00F52130">
        <w:rPr>
          <w:rFonts w:ascii="Baskerville" w:hAnsi="Baskerville" w:cs="Baskerville"/>
        </w:rPr>
        <w:t xml:space="preserve"> found that</w:t>
      </w:r>
      <w:r w:rsidR="00A505B2">
        <w:rPr>
          <w:rFonts w:ascii="Baskerville" w:hAnsi="Baskerville" w:cs="Baskerville"/>
        </w:rPr>
        <w:t xml:space="preserve"> the crisis services programs actively involved</w:t>
      </w:r>
      <w:r w:rsidRPr="00F52130">
        <w:rPr>
          <w:rFonts w:ascii="Baskerville" w:hAnsi="Baskerville" w:cs="Baskerville"/>
        </w:rPr>
        <w:t xml:space="preserve"> </w:t>
      </w:r>
      <w:r w:rsidR="00A505B2">
        <w:rPr>
          <w:rFonts w:ascii="Baskerville" w:hAnsi="Baskerville" w:cs="Baskerville"/>
        </w:rPr>
        <w:t>the police and Emergency Services</w:t>
      </w:r>
      <w:r w:rsidRPr="00F52130">
        <w:rPr>
          <w:rFonts w:ascii="Baskerville" w:hAnsi="Baskerville" w:cs="Baskerville"/>
        </w:rPr>
        <w:t xml:space="preserve"> to provide needed transportation</w:t>
      </w:r>
      <w:r w:rsidR="00B47B6E">
        <w:rPr>
          <w:rFonts w:ascii="Baskerville" w:hAnsi="Baskerville" w:cs="Baskerville"/>
        </w:rPr>
        <w:t>. Because police and Emer</w:t>
      </w:r>
      <w:r w:rsidR="00281AE5">
        <w:rPr>
          <w:rFonts w:ascii="Baskerville" w:hAnsi="Baskerville" w:cs="Baskerville"/>
        </w:rPr>
        <w:t xml:space="preserve">gency Services </w:t>
      </w:r>
      <w:r w:rsidRPr="00F52130">
        <w:rPr>
          <w:rFonts w:ascii="Baskerville" w:hAnsi="Baskerville" w:cs="Baskerville"/>
        </w:rPr>
        <w:t xml:space="preserve">are </w:t>
      </w:r>
      <w:r w:rsidR="00396C72" w:rsidRPr="00F52130">
        <w:rPr>
          <w:rFonts w:ascii="Baskerville" w:hAnsi="Baskerville" w:cs="Baskerville"/>
        </w:rPr>
        <w:t xml:space="preserve">only </w:t>
      </w:r>
      <w:r w:rsidR="00120E59" w:rsidRPr="00F52130">
        <w:rPr>
          <w:rFonts w:ascii="Baskerville" w:hAnsi="Baskerville" w:cs="Baskerville"/>
        </w:rPr>
        <w:t>able to transport in</w:t>
      </w:r>
      <w:r w:rsidR="00396C72" w:rsidRPr="00F52130">
        <w:rPr>
          <w:rFonts w:ascii="Baskerville" w:hAnsi="Baskerville" w:cs="Baskerville"/>
        </w:rPr>
        <w:t>dividuals to hospitals or jails</w:t>
      </w:r>
      <w:r w:rsidR="00B47B6E">
        <w:rPr>
          <w:rFonts w:ascii="Baskerville" w:hAnsi="Baskerville" w:cs="Baskerville"/>
        </w:rPr>
        <w:t xml:space="preserve">, </w:t>
      </w:r>
      <w:r w:rsidR="00B477E5">
        <w:rPr>
          <w:rFonts w:ascii="Baskerville" w:hAnsi="Baskerville" w:cs="Baskerville"/>
        </w:rPr>
        <w:t xml:space="preserve">a </w:t>
      </w:r>
      <w:r w:rsidR="003D3CA6" w:rsidRPr="00872254">
        <w:rPr>
          <w:rFonts w:ascii="Baskerville" w:hAnsi="Baskerville" w:cs="Baskerville"/>
        </w:rPr>
        <w:t>“direct pipeline</w:t>
      </w:r>
      <w:r w:rsidR="009966A3" w:rsidRPr="00872254">
        <w:rPr>
          <w:rFonts w:ascii="Baskerville" w:hAnsi="Baskerville" w:cs="Baskerville"/>
        </w:rPr>
        <w:t xml:space="preserve"> to institutionalization</w:t>
      </w:r>
      <w:r w:rsidR="003D3CA6" w:rsidRPr="00872254">
        <w:rPr>
          <w:rFonts w:ascii="Baskerville" w:hAnsi="Baskerville" w:cs="Baskerville"/>
        </w:rPr>
        <w:t>”</w:t>
      </w:r>
      <w:r w:rsidR="00911781">
        <w:rPr>
          <w:rFonts w:ascii="Baskerville" w:hAnsi="Baskerville" w:cs="Baskerville"/>
        </w:rPr>
        <w:t xml:space="preserve"> was created</w:t>
      </w:r>
      <w:r w:rsidR="00600D80">
        <w:rPr>
          <w:rFonts w:ascii="Baskerville" w:hAnsi="Baskerville" w:cs="Baskerville"/>
        </w:rPr>
        <w:t>.</w:t>
      </w:r>
      <w:r w:rsidR="00B477E5">
        <w:rPr>
          <w:rFonts w:ascii="Baskerville" w:hAnsi="Baskerville" w:cs="Baskerville"/>
          <w:b/>
        </w:rPr>
        <w:t xml:space="preserve"> </w:t>
      </w:r>
      <w:r w:rsidR="00436539">
        <w:rPr>
          <w:rFonts w:ascii="Baskerville" w:hAnsi="Baskerville" w:cs="Baskerville"/>
        </w:rPr>
        <w:t>Service providers and CSB staff</w:t>
      </w:r>
      <w:r w:rsidR="00E15CC2">
        <w:rPr>
          <w:rFonts w:ascii="Baskerville" w:hAnsi="Baskerville" w:cs="Baskerville"/>
        </w:rPr>
        <w:t xml:space="preserve"> </w:t>
      </w:r>
      <w:r w:rsidR="00267E7F" w:rsidRPr="00872254">
        <w:rPr>
          <w:rFonts w:ascii="Baskerville" w:hAnsi="Baskerville" w:cs="Baskerville"/>
        </w:rPr>
        <w:t>repo</w:t>
      </w:r>
      <w:r w:rsidR="00436539">
        <w:rPr>
          <w:rFonts w:ascii="Baskerville" w:hAnsi="Baskerville" w:cs="Baskerville"/>
        </w:rPr>
        <w:t>rted</w:t>
      </w:r>
      <w:r w:rsidR="00267E7F" w:rsidRPr="00872254">
        <w:rPr>
          <w:rFonts w:ascii="Baskerville" w:hAnsi="Baskerville" w:cs="Baskerville"/>
        </w:rPr>
        <w:t xml:space="preserve"> </w:t>
      </w:r>
      <w:r w:rsidR="008F3D8E">
        <w:rPr>
          <w:rFonts w:ascii="Baskerville" w:hAnsi="Baskerville" w:cs="Baskerville"/>
        </w:rPr>
        <w:t xml:space="preserve">to DOJ </w:t>
      </w:r>
      <w:r w:rsidR="00267E7F" w:rsidRPr="00872254">
        <w:rPr>
          <w:rFonts w:ascii="Baskerville" w:hAnsi="Baskerville" w:cs="Baskerville"/>
        </w:rPr>
        <w:t xml:space="preserve">that </w:t>
      </w:r>
      <w:r w:rsidR="00436539" w:rsidRPr="00872254">
        <w:rPr>
          <w:rFonts w:ascii="Baskerville" w:hAnsi="Baskerville" w:cs="Baskerville"/>
        </w:rPr>
        <w:t xml:space="preserve">before </w:t>
      </w:r>
      <w:r w:rsidR="00436539">
        <w:rPr>
          <w:rFonts w:ascii="Baskerville" w:hAnsi="Baskerville" w:cs="Baskerville"/>
        </w:rPr>
        <w:t xml:space="preserve">intervening, </w:t>
      </w:r>
      <w:r w:rsidR="00405DC5" w:rsidRPr="00872254">
        <w:rPr>
          <w:rFonts w:ascii="Baskerville" w:hAnsi="Baskerville" w:cs="Baskerville"/>
        </w:rPr>
        <w:t>REACH crisis services requ</w:t>
      </w:r>
      <w:r w:rsidR="00F52130">
        <w:rPr>
          <w:rFonts w:ascii="Baskerville" w:hAnsi="Baskerville" w:cs="Baskerville"/>
        </w:rPr>
        <w:t>ired</w:t>
      </w:r>
      <w:r w:rsidR="00267E7F" w:rsidRPr="00872254">
        <w:rPr>
          <w:rFonts w:ascii="Baskerville" w:hAnsi="Baskerville" w:cs="Baskerville"/>
        </w:rPr>
        <w:t xml:space="preserve"> an assessment of an individual </w:t>
      </w:r>
      <w:r w:rsidR="00436539">
        <w:rPr>
          <w:rFonts w:ascii="Baskerville" w:hAnsi="Baskerville" w:cs="Baskerville"/>
        </w:rPr>
        <w:t>to determine whether</w:t>
      </w:r>
      <w:r w:rsidR="00F52130">
        <w:rPr>
          <w:rFonts w:ascii="Baskerville" w:hAnsi="Baskerville" w:cs="Baskerville"/>
        </w:rPr>
        <w:t xml:space="preserve"> the crisis wa</w:t>
      </w:r>
      <w:r w:rsidR="00CC46C3" w:rsidRPr="00872254">
        <w:rPr>
          <w:rFonts w:ascii="Baskerville" w:hAnsi="Baskerville" w:cs="Baskerville"/>
        </w:rPr>
        <w:t>s behavioral or psychiatric</w:t>
      </w:r>
      <w:r w:rsidR="00436539">
        <w:rPr>
          <w:rFonts w:ascii="Baskerville" w:hAnsi="Baskerville" w:cs="Baskerville"/>
        </w:rPr>
        <w:t>. I</w:t>
      </w:r>
      <w:r w:rsidR="00F52130">
        <w:rPr>
          <w:rFonts w:ascii="Baskerville" w:hAnsi="Baskerville" w:cs="Baskerville"/>
        </w:rPr>
        <w:t>f the crisis wa</w:t>
      </w:r>
      <w:r w:rsidR="00CC46C3" w:rsidRPr="00872254">
        <w:rPr>
          <w:rFonts w:ascii="Baskerville" w:hAnsi="Baskerville" w:cs="Baskerville"/>
        </w:rPr>
        <w:t>s determined to be psychiatric, or if t</w:t>
      </w:r>
      <w:r w:rsidR="00F52130">
        <w:rPr>
          <w:rFonts w:ascii="Baskerville" w:hAnsi="Baskerville" w:cs="Baskerville"/>
        </w:rPr>
        <w:t>he individual wa</w:t>
      </w:r>
      <w:r w:rsidR="00462159" w:rsidRPr="00872254">
        <w:rPr>
          <w:rFonts w:ascii="Baskerville" w:hAnsi="Baskerville" w:cs="Baskerville"/>
        </w:rPr>
        <w:t>s th</w:t>
      </w:r>
      <w:r w:rsidR="00807860" w:rsidRPr="00872254">
        <w:rPr>
          <w:rFonts w:ascii="Baskerville" w:hAnsi="Baskerville" w:cs="Baskerville"/>
        </w:rPr>
        <w:t>reatening aggression</w:t>
      </w:r>
      <w:r w:rsidR="005B6452">
        <w:rPr>
          <w:rFonts w:ascii="Baskerville" w:hAnsi="Baskerville" w:cs="Baskerville"/>
        </w:rPr>
        <w:t xml:space="preserve"> or </w:t>
      </w:r>
      <w:r w:rsidR="00662EFC">
        <w:rPr>
          <w:rFonts w:ascii="Baskerville" w:hAnsi="Baskerville" w:cs="Baskerville"/>
        </w:rPr>
        <w:t>elope</w:t>
      </w:r>
      <w:r w:rsidR="005B6452">
        <w:rPr>
          <w:rFonts w:ascii="Baskerville" w:hAnsi="Baskerville" w:cs="Baskerville"/>
        </w:rPr>
        <w:t>ment</w:t>
      </w:r>
      <w:r w:rsidR="00662EFC">
        <w:rPr>
          <w:rFonts w:ascii="Baskerville" w:hAnsi="Baskerville" w:cs="Baskerville"/>
        </w:rPr>
        <w:t>,</w:t>
      </w:r>
      <w:r w:rsidR="00F52130">
        <w:rPr>
          <w:rFonts w:ascii="Baskerville" w:hAnsi="Baskerville" w:cs="Baskerville"/>
        </w:rPr>
        <w:t xml:space="preserve"> providers we</w:t>
      </w:r>
      <w:r w:rsidR="00807860" w:rsidRPr="00872254">
        <w:rPr>
          <w:rFonts w:ascii="Baskerville" w:hAnsi="Baskerville" w:cs="Baskerville"/>
        </w:rPr>
        <w:t>re instructed to call 911 or Emergency Services.</w:t>
      </w:r>
      <w:r w:rsidR="00CC46C3" w:rsidRPr="00872254">
        <w:rPr>
          <w:rFonts w:ascii="Baskerville" w:hAnsi="Baskerville" w:cs="Baskerville"/>
        </w:rPr>
        <w:t xml:space="preserve"> </w:t>
      </w:r>
      <w:r w:rsidR="006E4FB7" w:rsidRPr="00872254">
        <w:rPr>
          <w:rFonts w:ascii="Baskerville" w:hAnsi="Baskerville" w:cs="Baskerville"/>
        </w:rPr>
        <w:t>The DOJ review</w:t>
      </w:r>
      <w:r w:rsidR="00F52130">
        <w:rPr>
          <w:rFonts w:ascii="Baskerville" w:hAnsi="Baskerville" w:cs="Baskerville"/>
        </w:rPr>
        <w:t>s</w:t>
      </w:r>
      <w:r w:rsidR="006E4FB7" w:rsidRPr="00872254">
        <w:rPr>
          <w:rFonts w:ascii="Baskerville" w:hAnsi="Baskerville" w:cs="Baskerville"/>
        </w:rPr>
        <w:t xml:space="preserve"> also cited examples of the crisis stabilization programs </w:t>
      </w:r>
      <w:r w:rsidR="00D57E31">
        <w:rPr>
          <w:rFonts w:ascii="Baskerville" w:hAnsi="Baskerville" w:cs="Baskerville"/>
        </w:rPr>
        <w:t>not being available as</w:t>
      </w:r>
      <w:r w:rsidR="00C36A05" w:rsidRPr="00872254">
        <w:rPr>
          <w:rFonts w:ascii="Baskerville" w:hAnsi="Baskerville" w:cs="Baskerville"/>
        </w:rPr>
        <w:t xml:space="preserve"> </w:t>
      </w:r>
      <w:r w:rsidR="005515AC">
        <w:rPr>
          <w:rFonts w:ascii="Baskerville" w:hAnsi="Baskerville" w:cs="Baskerville"/>
        </w:rPr>
        <w:t xml:space="preserve">a last resort </w:t>
      </w:r>
      <w:r w:rsidR="00F52130">
        <w:rPr>
          <w:rFonts w:ascii="Baskerville" w:hAnsi="Baskerville" w:cs="Baskerville"/>
        </w:rPr>
        <w:t xml:space="preserve">option </w:t>
      </w:r>
      <w:r w:rsidR="00281AE5">
        <w:rPr>
          <w:rFonts w:ascii="Baskerville" w:hAnsi="Baskerville" w:cs="Baskerville"/>
        </w:rPr>
        <w:t>for</w:t>
      </w:r>
      <w:r w:rsidR="00DA72E2">
        <w:rPr>
          <w:rFonts w:ascii="Baskerville" w:hAnsi="Baskerville" w:cs="Baskerville"/>
        </w:rPr>
        <w:t xml:space="preserve"> </w:t>
      </w:r>
      <w:r w:rsidR="00F52130">
        <w:rPr>
          <w:rFonts w:ascii="Baskerville" w:hAnsi="Baskerville" w:cs="Baskerville"/>
        </w:rPr>
        <w:t>short-term out-of-</w:t>
      </w:r>
      <w:r w:rsidR="001D3978" w:rsidRPr="00872254">
        <w:rPr>
          <w:rFonts w:ascii="Baskerville" w:hAnsi="Baskerville" w:cs="Baskerville"/>
        </w:rPr>
        <w:t>home placeme</w:t>
      </w:r>
      <w:r w:rsidR="008F3D8E">
        <w:rPr>
          <w:rFonts w:ascii="Baskerville" w:hAnsi="Baskerville" w:cs="Baskerville"/>
        </w:rPr>
        <w:t>nt</w:t>
      </w:r>
      <w:r w:rsidR="00DA72E2">
        <w:rPr>
          <w:rFonts w:ascii="Baskerville" w:hAnsi="Baskerville" w:cs="Baskerville"/>
        </w:rPr>
        <w:t>,</w:t>
      </w:r>
      <w:r w:rsidR="00C36A05" w:rsidRPr="00872254">
        <w:rPr>
          <w:rFonts w:ascii="Baskerville" w:hAnsi="Baskerville" w:cs="Baskerville"/>
        </w:rPr>
        <w:t xml:space="preserve"> as</w:t>
      </w:r>
      <w:r w:rsidR="00B91326" w:rsidRPr="00872254">
        <w:rPr>
          <w:rFonts w:ascii="Baskerville" w:hAnsi="Baskerville" w:cs="Baskerville"/>
        </w:rPr>
        <w:t xml:space="preserve"> </w:t>
      </w:r>
      <w:r w:rsidR="008F3D8E">
        <w:rPr>
          <w:rFonts w:ascii="Baskerville" w:hAnsi="Baskerville" w:cs="Baskerville"/>
        </w:rPr>
        <w:t>an alternative</w:t>
      </w:r>
      <w:r w:rsidR="00B91326" w:rsidRPr="00872254">
        <w:rPr>
          <w:rFonts w:ascii="Baskerville" w:hAnsi="Baskerville" w:cs="Baskerville"/>
        </w:rPr>
        <w:t xml:space="preserve"> to institutionalization</w:t>
      </w:r>
      <w:r w:rsidR="00DA72E2">
        <w:rPr>
          <w:rFonts w:ascii="Baskerville" w:hAnsi="Baskerville" w:cs="Baskerville"/>
        </w:rPr>
        <w:t>,</w:t>
      </w:r>
      <w:r w:rsidR="005515AC">
        <w:rPr>
          <w:rFonts w:ascii="Baskerville" w:hAnsi="Baskerville" w:cs="Baskerville"/>
        </w:rPr>
        <w:t xml:space="preserve"> for </w:t>
      </w:r>
      <w:r w:rsidR="00B91326" w:rsidRPr="00872254">
        <w:rPr>
          <w:rFonts w:ascii="Baskerville" w:hAnsi="Baskerville" w:cs="Baskerville"/>
        </w:rPr>
        <w:t>individuals</w:t>
      </w:r>
      <w:r w:rsidR="005515AC">
        <w:rPr>
          <w:rFonts w:ascii="Baskerville" w:hAnsi="Baskerville" w:cs="Baskerville"/>
        </w:rPr>
        <w:t>:</w:t>
      </w:r>
    </w:p>
    <w:p w:rsidR="005515AC" w:rsidRDefault="00F065DE" w:rsidP="003518FC">
      <w:pPr>
        <w:tabs>
          <w:tab w:val="left" w:pos="1671"/>
        </w:tabs>
        <w:ind w:right="-216"/>
        <w:rPr>
          <w:rFonts w:ascii="Baskerville" w:hAnsi="Baskerville" w:cs="Baskerville"/>
        </w:rPr>
      </w:pPr>
      <w:r w:rsidRPr="00872254">
        <w:rPr>
          <w:rFonts w:ascii="Baskerville" w:hAnsi="Baskerville" w:cs="Baskerville"/>
        </w:rPr>
        <w:t xml:space="preserve"> </w:t>
      </w:r>
      <w:r w:rsidR="00434BAC">
        <w:rPr>
          <w:rFonts w:ascii="Baskerville" w:hAnsi="Baskerville" w:cs="Baskerville"/>
        </w:rPr>
        <w:t xml:space="preserve">   </w:t>
      </w:r>
      <w:r w:rsidR="00C45B9A" w:rsidRPr="004C742E">
        <w:rPr>
          <w:rFonts w:ascii="Wingdings" w:hAnsi="Wingdings"/>
          <w:color w:val="000000"/>
        </w:rPr>
        <w:t></w:t>
      </w:r>
      <w:r w:rsidR="00434BAC">
        <w:rPr>
          <w:rFonts w:ascii="Wingdings" w:hAnsi="Wingdings"/>
          <w:color w:val="000000"/>
        </w:rPr>
        <w:t></w:t>
      </w:r>
      <w:r w:rsidRPr="00872254">
        <w:rPr>
          <w:rFonts w:ascii="Baskerville" w:hAnsi="Baskerville" w:cs="Baskerville"/>
        </w:rPr>
        <w:t>with challenging behaviors</w:t>
      </w:r>
      <w:r w:rsidR="008C18D7" w:rsidRPr="00872254">
        <w:rPr>
          <w:rFonts w:ascii="Baskerville" w:hAnsi="Baskerville" w:cs="Baskerville"/>
        </w:rPr>
        <w:t>,</w:t>
      </w:r>
      <w:r w:rsidR="005515AC">
        <w:rPr>
          <w:rFonts w:ascii="Baskerville" w:hAnsi="Baskerville" w:cs="Baskerville"/>
        </w:rPr>
        <w:t xml:space="preserve"> </w:t>
      </w:r>
    </w:p>
    <w:p w:rsidR="00C45B9A" w:rsidRDefault="00434BAC"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0C45DA" w:rsidRPr="00872254">
        <w:rPr>
          <w:rFonts w:ascii="Baskerville" w:hAnsi="Baskerville" w:cs="Baskerville"/>
        </w:rPr>
        <w:t xml:space="preserve">without a case manager, </w:t>
      </w:r>
    </w:p>
    <w:p w:rsidR="00C45B9A" w:rsidRDefault="00434BAC"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C36A05" w:rsidRPr="00872254">
        <w:rPr>
          <w:rFonts w:ascii="Baskerville" w:hAnsi="Baskerville" w:cs="Baskerville"/>
        </w:rPr>
        <w:t>who</w:t>
      </w:r>
      <w:r w:rsidR="008C18D7" w:rsidRPr="00872254">
        <w:rPr>
          <w:rFonts w:ascii="Baskerville" w:hAnsi="Baskerville" w:cs="Baskerville"/>
        </w:rPr>
        <w:t xml:space="preserve"> only used sign language, </w:t>
      </w:r>
      <w:r w:rsidR="000C45DA" w:rsidRPr="00872254">
        <w:rPr>
          <w:rFonts w:ascii="Baskerville" w:hAnsi="Baskerville" w:cs="Baskerville"/>
        </w:rPr>
        <w:t xml:space="preserve">or </w:t>
      </w:r>
    </w:p>
    <w:p w:rsidR="00434BAC" w:rsidRDefault="00434BAC"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0C45DA" w:rsidRPr="00872254">
        <w:rPr>
          <w:rFonts w:ascii="Baskerville" w:hAnsi="Baskerville" w:cs="Baskerville"/>
        </w:rPr>
        <w:t>without stable housing</w:t>
      </w:r>
      <w:r w:rsidR="007D156E" w:rsidRPr="00872254">
        <w:rPr>
          <w:rFonts w:ascii="Baskerville" w:hAnsi="Baskerville" w:cs="Baskerville"/>
        </w:rPr>
        <w:t xml:space="preserve">. </w:t>
      </w:r>
    </w:p>
    <w:p w:rsidR="00434BAC" w:rsidRDefault="007D156E" w:rsidP="003518FC">
      <w:pPr>
        <w:tabs>
          <w:tab w:val="left" w:pos="1671"/>
        </w:tabs>
        <w:ind w:right="-216"/>
        <w:rPr>
          <w:rFonts w:ascii="Baskerville" w:hAnsi="Baskerville" w:cs="Baskerville"/>
        </w:rPr>
      </w:pPr>
      <w:r w:rsidRPr="00872254">
        <w:rPr>
          <w:rFonts w:ascii="Baskerville" w:hAnsi="Baskerville" w:cs="Baskerville"/>
        </w:rPr>
        <w:t xml:space="preserve">The </w:t>
      </w:r>
      <w:r w:rsidR="00FB4180">
        <w:rPr>
          <w:rFonts w:ascii="Baskerville" w:hAnsi="Baskerville" w:cs="Baskerville"/>
        </w:rPr>
        <w:t xml:space="preserve">IR’s </w:t>
      </w:r>
      <w:r w:rsidR="005865BA" w:rsidRPr="00872254">
        <w:rPr>
          <w:rFonts w:ascii="Baskerville" w:hAnsi="Baskerville" w:cs="Baskerville"/>
        </w:rPr>
        <w:t>Ind</w:t>
      </w:r>
      <w:r w:rsidR="005865BA">
        <w:rPr>
          <w:rFonts w:ascii="Baskerville" w:hAnsi="Baskerville" w:cs="Baskerville"/>
        </w:rPr>
        <w:t xml:space="preserve">ividual Review Study </w:t>
      </w:r>
      <w:r w:rsidR="00DA72E2">
        <w:rPr>
          <w:rFonts w:ascii="Baskerville" w:hAnsi="Baskerville" w:cs="Baskerville"/>
        </w:rPr>
        <w:t>found a similar example. A</w:t>
      </w:r>
      <w:r w:rsidR="007F4FD7" w:rsidRPr="00872254">
        <w:rPr>
          <w:rFonts w:ascii="Baskerville" w:hAnsi="Baskerville" w:cs="Baskerville"/>
        </w:rPr>
        <w:t xml:space="preserve"> </w:t>
      </w:r>
      <w:r w:rsidR="00444FD0">
        <w:rPr>
          <w:rFonts w:ascii="Baskerville" w:hAnsi="Baskerville" w:cs="Baskerville"/>
        </w:rPr>
        <w:t>cr</w:t>
      </w:r>
      <w:r w:rsidR="0092701B">
        <w:rPr>
          <w:rFonts w:ascii="Baskerville" w:hAnsi="Baskerville" w:cs="Baskerville"/>
        </w:rPr>
        <w:t xml:space="preserve">isis stabilization program </w:t>
      </w:r>
      <w:r w:rsidR="00444FD0">
        <w:rPr>
          <w:rFonts w:ascii="Baskerville" w:hAnsi="Baskerville" w:cs="Baskerville"/>
        </w:rPr>
        <w:t>was not</w:t>
      </w:r>
      <w:r w:rsidR="00FB4180">
        <w:rPr>
          <w:rFonts w:ascii="Baskerville" w:hAnsi="Baskerville" w:cs="Baskerville"/>
        </w:rPr>
        <w:t xml:space="preserve"> </w:t>
      </w:r>
      <w:r w:rsidR="00444FD0">
        <w:rPr>
          <w:rFonts w:ascii="Baskerville" w:hAnsi="Baskerville" w:cs="Baskerville"/>
        </w:rPr>
        <w:t xml:space="preserve">capable of </w:t>
      </w:r>
      <w:r w:rsidR="000C45DA" w:rsidRPr="00872254">
        <w:rPr>
          <w:rFonts w:ascii="Baskerville" w:hAnsi="Baskerville" w:cs="Baskerville"/>
        </w:rPr>
        <w:t>prov</w:t>
      </w:r>
      <w:r w:rsidR="008F3D8E">
        <w:rPr>
          <w:rFonts w:ascii="Baskerville" w:hAnsi="Baskerville" w:cs="Baskerville"/>
        </w:rPr>
        <w:t>iding</w:t>
      </w:r>
      <w:r w:rsidR="000C45DA" w:rsidRPr="00872254">
        <w:rPr>
          <w:rFonts w:ascii="Baskerville" w:hAnsi="Baskerville" w:cs="Baskerville"/>
        </w:rPr>
        <w:t xml:space="preserve"> a short-</w:t>
      </w:r>
      <w:r w:rsidR="007E7BCD" w:rsidRPr="00872254">
        <w:rPr>
          <w:rFonts w:ascii="Baskerville" w:hAnsi="Baskerville" w:cs="Baskerville"/>
        </w:rPr>
        <w:t xml:space="preserve">term out-of-home </w:t>
      </w:r>
      <w:r w:rsidRPr="00872254">
        <w:rPr>
          <w:rFonts w:ascii="Baskerville" w:hAnsi="Baskerville" w:cs="Baskerville"/>
        </w:rPr>
        <w:t>alternat</w:t>
      </w:r>
      <w:r w:rsidR="007E7BCD" w:rsidRPr="00872254">
        <w:rPr>
          <w:rFonts w:ascii="Baskerville" w:hAnsi="Baskerville" w:cs="Baskerville"/>
        </w:rPr>
        <w:t xml:space="preserve">ive </w:t>
      </w:r>
      <w:r w:rsidR="00FB4180">
        <w:rPr>
          <w:rFonts w:ascii="Baskerville" w:hAnsi="Baskerville" w:cs="Baskerville"/>
        </w:rPr>
        <w:t xml:space="preserve">to institutionalization </w:t>
      </w:r>
      <w:r w:rsidR="007E7BCD" w:rsidRPr="00872254">
        <w:rPr>
          <w:rFonts w:ascii="Baskerville" w:hAnsi="Baskerville" w:cs="Baskerville"/>
        </w:rPr>
        <w:t>for</w:t>
      </w:r>
      <w:r w:rsidR="00444FD0">
        <w:rPr>
          <w:rFonts w:ascii="Baskerville" w:hAnsi="Baskerville" w:cs="Baskerville"/>
        </w:rPr>
        <w:t xml:space="preserve"> an individual</w:t>
      </w:r>
      <w:r w:rsidR="007E7BCD" w:rsidRPr="00872254">
        <w:rPr>
          <w:rFonts w:ascii="Baskerville" w:hAnsi="Baskerville" w:cs="Baskerville"/>
        </w:rPr>
        <w:t xml:space="preserve"> </w:t>
      </w:r>
    </w:p>
    <w:p w:rsidR="00D57E31" w:rsidRDefault="00434BAC" w:rsidP="003518FC">
      <w:pPr>
        <w:tabs>
          <w:tab w:val="left" w:pos="1671"/>
        </w:tabs>
        <w:ind w:right="-216"/>
        <w:rPr>
          <w:rFonts w:ascii="Baskerville" w:hAnsi="Baskerville" w:cs="Baskerville"/>
        </w:rPr>
      </w:pPr>
      <w:r w:rsidRPr="00872254">
        <w:rPr>
          <w:rFonts w:ascii="Baskerville" w:hAnsi="Baskerville" w:cs="Baskerville"/>
        </w:rPr>
        <w:t xml:space="preserve"> </w:t>
      </w:r>
      <w:r>
        <w:rPr>
          <w:rFonts w:ascii="Baskerville" w:hAnsi="Baskerville" w:cs="Baskerville"/>
        </w:rPr>
        <w:t xml:space="preserve">   </w:t>
      </w:r>
      <w:r w:rsidRPr="004C742E">
        <w:rPr>
          <w:rFonts w:ascii="Wingdings" w:hAnsi="Wingdings"/>
          <w:color w:val="000000"/>
        </w:rPr>
        <w:t></w:t>
      </w:r>
      <w:r>
        <w:rPr>
          <w:rFonts w:ascii="Wingdings" w:hAnsi="Wingdings"/>
          <w:color w:val="000000"/>
        </w:rPr>
        <w:t></w:t>
      </w:r>
      <w:r w:rsidR="007E7BCD" w:rsidRPr="00872254">
        <w:rPr>
          <w:rFonts w:ascii="Baskerville" w:hAnsi="Baskerville" w:cs="Baskerville"/>
        </w:rPr>
        <w:t>with significant</w:t>
      </w:r>
      <w:r w:rsidR="007D156E" w:rsidRPr="00872254">
        <w:rPr>
          <w:rFonts w:ascii="Baskerville" w:hAnsi="Baskerville" w:cs="Baskerville"/>
        </w:rPr>
        <w:t xml:space="preserve"> medical</w:t>
      </w:r>
      <w:r w:rsidR="008F3D8E">
        <w:rPr>
          <w:rFonts w:ascii="Baskerville" w:hAnsi="Baskerville" w:cs="Baskerville"/>
        </w:rPr>
        <w:t xml:space="preserve"> support</w:t>
      </w:r>
      <w:r w:rsidR="007D156E" w:rsidRPr="00872254">
        <w:rPr>
          <w:rFonts w:ascii="Baskerville" w:hAnsi="Baskerville" w:cs="Baskerville"/>
        </w:rPr>
        <w:t xml:space="preserve"> needs</w:t>
      </w:r>
      <w:r w:rsidR="00CD0934" w:rsidRPr="00872254">
        <w:rPr>
          <w:rFonts w:ascii="Baskerville" w:hAnsi="Baskerville" w:cs="Baskerville"/>
        </w:rPr>
        <w:t>.</w:t>
      </w:r>
    </w:p>
    <w:p w:rsidR="00434BAC" w:rsidRDefault="008F3D8E" w:rsidP="003518FC">
      <w:pPr>
        <w:tabs>
          <w:tab w:val="left" w:pos="1671"/>
        </w:tabs>
        <w:ind w:right="-216"/>
        <w:rPr>
          <w:rFonts w:ascii="Baskerville" w:hAnsi="Baskerville" w:cs="Baskerville"/>
        </w:rPr>
      </w:pPr>
      <w:r>
        <w:rPr>
          <w:rFonts w:ascii="Baskerville" w:hAnsi="Baskerville" w:cs="Baskerville"/>
        </w:rPr>
        <w:t>The crisis stabilization programs were not available for these individuals</w:t>
      </w:r>
      <w:r w:rsidR="007B73F8">
        <w:rPr>
          <w:rFonts w:ascii="Baskerville" w:hAnsi="Baskerville" w:cs="Baskerville"/>
        </w:rPr>
        <w:t xml:space="preserve"> </w:t>
      </w:r>
      <w:r w:rsidR="00E4638F">
        <w:rPr>
          <w:rFonts w:ascii="Baskerville" w:hAnsi="Baskerville" w:cs="Baskerville"/>
        </w:rPr>
        <w:t>for two reasons. The p</w:t>
      </w:r>
      <w:r w:rsidR="000E74B3">
        <w:rPr>
          <w:rFonts w:ascii="Baskerville" w:hAnsi="Baskerville" w:cs="Baskerville"/>
        </w:rPr>
        <w:t>rograms refused</w:t>
      </w:r>
      <w:r w:rsidR="00D57E31">
        <w:rPr>
          <w:rFonts w:ascii="Baskerville" w:hAnsi="Baskerville" w:cs="Baskerville"/>
        </w:rPr>
        <w:t xml:space="preserve"> to admit individuals </w:t>
      </w:r>
      <w:r w:rsidR="000E74B3">
        <w:rPr>
          <w:rFonts w:ascii="Baskerville" w:hAnsi="Baskerville" w:cs="Baskerville"/>
        </w:rPr>
        <w:t>with more challenging support</w:t>
      </w:r>
      <w:r w:rsidR="002E2DAE">
        <w:rPr>
          <w:rFonts w:ascii="Baskerville" w:hAnsi="Baskerville" w:cs="Baskerville"/>
        </w:rPr>
        <w:t xml:space="preserve"> needs</w:t>
      </w:r>
      <w:r w:rsidR="000E74B3">
        <w:rPr>
          <w:rFonts w:ascii="Baskerville" w:hAnsi="Baskerville" w:cs="Baskerville"/>
        </w:rPr>
        <w:t xml:space="preserve">; or </w:t>
      </w:r>
      <w:r w:rsidR="007B73F8">
        <w:rPr>
          <w:rFonts w:ascii="Baskerville" w:hAnsi="Baskerville" w:cs="Baskerville"/>
        </w:rPr>
        <w:t>a family</w:t>
      </w:r>
      <w:r w:rsidR="000E74B3">
        <w:rPr>
          <w:rFonts w:ascii="Baskerville" w:hAnsi="Baskerville" w:cs="Baskerville"/>
        </w:rPr>
        <w:t xml:space="preserve"> chose not to use </w:t>
      </w:r>
      <w:r w:rsidR="001D2382">
        <w:rPr>
          <w:rFonts w:ascii="Baskerville" w:hAnsi="Baskerville" w:cs="Baskerville"/>
        </w:rPr>
        <w:t>the program</w:t>
      </w:r>
      <w:r w:rsidR="007B73F8">
        <w:rPr>
          <w:rFonts w:ascii="Baskerville" w:hAnsi="Baskerville" w:cs="Baskerville"/>
        </w:rPr>
        <w:t xml:space="preserve"> because </w:t>
      </w:r>
      <w:r w:rsidR="000E74B3">
        <w:rPr>
          <w:rFonts w:ascii="Baskerville" w:hAnsi="Baskerville" w:cs="Baskerville"/>
        </w:rPr>
        <w:t>no</w:t>
      </w:r>
      <w:r w:rsidR="002E2DAE">
        <w:rPr>
          <w:rFonts w:ascii="Baskerville" w:hAnsi="Baskerville" w:cs="Baskerville"/>
        </w:rPr>
        <w:t xml:space="preserve"> staff</w:t>
      </w:r>
      <w:r>
        <w:rPr>
          <w:rFonts w:ascii="Baskerville" w:hAnsi="Baskerville" w:cs="Baskerville"/>
        </w:rPr>
        <w:t xml:space="preserve"> was</w:t>
      </w:r>
      <w:r w:rsidR="002E2DAE">
        <w:rPr>
          <w:rFonts w:ascii="Baskerville" w:hAnsi="Baskerville" w:cs="Baskerville"/>
        </w:rPr>
        <w:t xml:space="preserve"> competent </w:t>
      </w:r>
      <w:r w:rsidR="000E74B3">
        <w:rPr>
          <w:rFonts w:ascii="Baskerville" w:hAnsi="Baskerville" w:cs="Baskerville"/>
        </w:rPr>
        <w:t xml:space="preserve">to meet the essential support needs of their family </w:t>
      </w:r>
      <w:r>
        <w:rPr>
          <w:rFonts w:ascii="Baskerville" w:hAnsi="Baskerville" w:cs="Baskerville"/>
        </w:rPr>
        <w:t xml:space="preserve">member. </w:t>
      </w:r>
      <w:r w:rsidR="007B73F8">
        <w:rPr>
          <w:rFonts w:ascii="Baskerville" w:hAnsi="Baskerville" w:cs="Baskerville"/>
        </w:rPr>
        <w:t>T</w:t>
      </w:r>
      <w:r w:rsidR="002E2DAE">
        <w:rPr>
          <w:rFonts w:ascii="Baskerville" w:hAnsi="Baskerville" w:cs="Baskerville"/>
        </w:rPr>
        <w:t xml:space="preserve">he </w:t>
      </w:r>
      <w:r w:rsidR="000E74B3">
        <w:rPr>
          <w:rFonts w:ascii="Baskerville" w:hAnsi="Baskerville" w:cs="Baskerville"/>
        </w:rPr>
        <w:t>support needs that</w:t>
      </w:r>
      <w:r w:rsidR="007B73F8">
        <w:rPr>
          <w:rFonts w:ascii="Baskerville" w:hAnsi="Baskerville" w:cs="Baskerville"/>
        </w:rPr>
        <w:t xml:space="preserve"> the crisis stabilization</w:t>
      </w:r>
      <w:r w:rsidR="003F0AB2">
        <w:rPr>
          <w:rFonts w:ascii="Baskerville" w:hAnsi="Baskerville" w:cs="Baskerville"/>
        </w:rPr>
        <w:t xml:space="preserve"> </w:t>
      </w:r>
      <w:r w:rsidR="001110E8">
        <w:rPr>
          <w:rFonts w:ascii="Baskerville" w:hAnsi="Baskerville" w:cs="Baskerville"/>
        </w:rPr>
        <w:t xml:space="preserve">programs </w:t>
      </w:r>
      <w:r w:rsidR="003F0AB2">
        <w:rPr>
          <w:rFonts w:ascii="Baskerville" w:hAnsi="Baskerville" w:cs="Baskerville"/>
        </w:rPr>
        <w:t>could not</w:t>
      </w:r>
      <w:r w:rsidR="000E74B3">
        <w:rPr>
          <w:rFonts w:ascii="Baskerville" w:hAnsi="Baskerville" w:cs="Baskerville"/>
        </w:rPr>
        <w:t xml:space="preserve"> me</w:t>
      </w:r>
      <w:r w:rsidR="007B73F8">
        <w:rPr>
          <w:rFonts w:ascii="Baskerville" w:hAnsi="Baskerville" w:cs="Baskerville"/>
        </w:rPr>
        <w:t>e</w:t>
      </w:r>
      <w:r w:rsidR="000E74B3">
        <w:rPr>
          <w:rFonts w:ascii="Baskerville" w:hAnsi="Baskerville" w:cs="Baskerville"/>
        </w:rPr>
        <w:t>t</w:t>
      </w:r>
      <w:r w:rsidR="002E2DAE">
        <w:rPr>
          <w:rFonts w:ascii="Baskerville" w:hAnsi="Baskerville" w:cs="Baskerville"/>
        </w:rPr>
        <w:t xml:space="preserve"> </w:t>
      </w:r>
      <w:r w:rsidR="007B73F8">
        <w:rPr>
          <w:rFonts w:ascii="Baskerville" w:hAnsi="Baskerville" w:cs="Baskerville"/>
        </w:rPr>
        <w:t xml:space="preserve">for these individuals </w:t>
      </w:r>
      <w:r w:rsidR="002E2DAE">
        <w:rPr>
          <w:rFonts w:ascii="Baskerville" w:hAnsi="Baskerville" w:cs="Baskerville"/>
        </w:rPr>
        <w:t>include</w:t>
      </w:r>
      <w:r w:rsidR="000E74B3">
        <w:rPr>
          <w:rFonts w:ascii="Baskerville" w:hAnsi="Baskerville" w:cs="Baskerville"/>
        </w:rPr>
        <w:t>d</w:t>
      </w:r>
      <w:r w:rsidR="002E2DAE">
        <w:rPr>
          <w:rFonts w:ascii="Baskerville" w:hAnsi="Baskerville" w:cs="Baskerville"/>
        </w:rPr>
        <w:t xml:space="preserve"> behavioral, </w:t>
      </w:r>
      <w:r w:rsidR="000E74B3">
        <w:rPr>
          <w:rFonts w:ascii="Baskerville" w:hAnsi="Baskerville" w:cs="Baskerville"/>
        </w:rPr>
        <w:t xml:space="preserve">communication, </w:t>
      </w:r>
      <w:r w:rsidR="002E2DAE">
        <w:rPr>
          <w:rFonts w:ascii="Baskerville" w:hAnsi="Baskerville" w:cs="Baskerville"/>
        </w:rPr>
        <w:t xml:space="preserve">health, safety, </w:t>
      </w:r>
      <w:r w:rsidR="00D57E31">
        <w:rPr>
          <w:rFonts w:ascii="Baskerville" w:hAnsi="Baskerville" w:cs="Baskerville"/>
        </w:rPr>
        <w:t xml:space="preserve">or physical care </w:t>
      </w:r>
      <w:r w:rsidR="000E74B3">
        <w:rPr>
          <w:rFonts w:ascii="Baskerville" w:hAnsi="Baskerville" w:cs="Baskerville"/>
        </w:rPr>
        <w:t>needs</w:t>
      </w:r>
      <w:r w:rsidR="002E2DAE">
        <w:rPr>
          <w:rFonts w:ascii="Baskerville" w:hAnsi="Baskerville" w:cs="Baskerville"/>
        </w:rPr>
        <w:t>.</w:t>
      </w:r>
      <w:r w:rsidR="00CD0934" w:rsidRPr="00872254">
        <w:rPr>
          <w:rFonts w:ascii="Baskerville" w:hAnsi="Baskerville" w:cs="Baskerville"/>
        </w:rPr>
        <w:t xml:space="preserve"> </w:t>
      </w:r>
    </w:p>
    <w:p w:rsidR="0077598B" w:rsidRDefault="0077598B" w:rsidP="003518FC">
      <w:pPr>
        <w:tabs>
          <w:tab w:val="left" w:pos="1671"/>
        </w:tabs>
        <w:ind w:right="-216"/>
        <w:rPr>
          <w:rFonts w:ascii="Baskerville" w:hAnsi="Baskerville" w:cs="Baskerville"/>
        </w:rPr>
      </w:pPr>
    </w:p>
    <w:p w:rsidR="00FF214E" w:rsidRPr="00872254" w:rsidRDefault="00CD0934" w:rsidP="003518FC">
      <w:pPr>
        <w:tabs>
          <w:tab w:val="left" w:pos="1671"/>
        </w:tabs>
        <w:ind w:right="-216"/>
        <w:rPr>
          <w:rFonts w:ascii="Baskerville" w:hAnsi="Baskerville" w:cs="Baskerville"/>
        </w:rPr>
      </w:pPr>
      <w:r w:rsidRPr="00872254">
        <w:rPr>
          <w:rFonts w:ascii="Baskerville" w:hAnsi="Baskerville" w:cs="Baskerville"/>
        </w:rPr>
        <w:t>The Independent</w:t>
      </w:r>
      <w:r w:rsidR="004A3AB1" w:rsidRPr="00872254">
        <w:rPr>
          <w:rFonts w:ascii="Baskerville" w:hAnsi="Baskerville" w:cs="Baskerville"/>
        </w:rPr>
        <w:t xml:space="preserve"> Reviewer </w:t>
      </w:r>
      <w:r w:rsidR="00FB4180">
        <w:rPr>
          <w:rFonts w:ascii="Baskerville" w:hAnsi="Baskerville" w:cs="Baskerville"/>
        </w:rPr>
        <w:t>will prioritize</w:t>
      </w:r>
      <w:r w:rsidRPr="00872254">
        <w:rPr>
          <w:rFonts w:ascii="Baskerville" w:hAnsi="Baskerville" w:cs="Baskerville"/>
        </w:rPr>
        <w:t xml:space="preserve"> an independent study du</w:t>
      </w:r>
      <w:r w:rsidR="004A3AB1" w:rsidRPr="00872254">
        <w:rPr>
          <w:rFonts w:ascii="Baskerville" w:hAnsi="Baskerville" w:cs="Baskerville"/>
        </w:rPr>
        <w:t>ring the next review period to focus</w:t>
      </w:r>
      <w:r w:rsidRPr="00872254">
        <w:rPr>
          <w:rFonts w:ascii="Baskerville" w:hAnsi="Baskerville" w:cs="Baskerville"/>
        </w:rPr>
        <w:t xml:space="preserve"> on</w:t>
      </w:r>
      <w:r w:rsidR="00757752" w:rsidRPr="00872254">
        <w:rPr>
          <w:rFonts w:ascii="Baskerville" w:hAnsi="Baskerville" w:cs="Baskerville"/>
        </w:rPr>
        <w:t xml:space="preserve"> whether the Commonwealth’s REACH crisis services</w:t>
      </w:r>
      <w:r w:rsidR="00D16B11" w:rsidRPr="00872254">
        <w:rPr>
          <w:rFonts w:ascii="Baskerville" w:hAnsi="Baskerville" w:cs="Baskerville"/>
        </w:rPr>
        <w:t xml:space="preserve"> are designed and im</w:t>
      </w:r>
      <w:r w:rsidR="007B73F8">
        <w:rPr>
          <w:rFonts w:ascii="Baskerville" w:hAnsi="Baskerville" w:cs="Baskerville"/>
        </w:rPr>
        <w:t xml:space="preserve">plemented to </w:t>
      </w:r>
      <w:r w:rsidR="009B41E9" w:rsidRPr="00872254">
        <w:rPr>
          <w:rFonts w:ascii="Baskerville" w:hAnsi="Baskerville" w:cs="Baskerville"/>
        </w:rPr>
        <w:t>pr</w:t>
      </w:r>
      <w:r w:rsidR="007B73F8">
        <w:rPr>
          <w:rFonts w:ascii="Baskerville" w:hAnsi="Baskerville" w:cs="Baskerville"/>
        </w:rPr>
        <w:t>ovide</w:t>
      </w:r>
      <w:r w:rsidR="00CE3A5D" w:rsidRPr="00872254">
        <w:rPr>
          <w:rFonts w:ascii="Baskerville" w:hAnsi="Baskerville" w:cs="Baskerville"/>
        </w:rPr>
        <w:t xml:space="preserve"> the </w:t>
      </w:r>
      <w:r w:rsidR="00DF284E">
        <w:rPr>
          <w:rFonts w:ascii="Baskerville" w:hAnsi="Baskerville" w:cs="Baskerville"/>
        </w:rPr>
        <w:t xml:space="preserve">required program elements </w:t>
      </w:r>
      <w:r w:rsidR="00A87BE9" w:rsidRPr="00872254">
        <w:rPr>
          <w:rFonts w:ascii="Baskerville" w:hAnsi="Baskerville" w:cs="Baskerville"/>
        </w:rPr>
        <w:t xml:space="preserve">to individuals </w:t>
      </w:r>
      <w:r w:rsidR="009C595C" w:rsidRPr="00872254">
        <w:rPr>
          <w:rFonts w:ascii="Baskerville" w:hAnsi="Baskerville" w:cs="Baskerville"/>
        </w:rPr>
        <w:t xml:space="preserve">with significant behavioral, </w:t>
      </w:r>
      <w:r w:rsidR="007B73F8">
        <w:rPr>
          <w:rFonts w:ascii="Baskerville" w:hAnsi="Baskerville" w:cs="Baskerville"/>
        </w:rPr>
        <w:t xml:space="preserve">communication, </w:t>
      </w:r>
      <w:r w:rsidR="00A105D7">
        <w:rPr>
          <w:rFonts w:ascii="Baskerville" w:hAnsi="Baskerville" w:cs="Baskerville"/>
        </w:rPr>
        <w:t xml:space="preserve">physical care, </w:t>
      </w:r>
      <w:r w:rsidR="00E35F2A" w:rsidRPr="00872254">
        <w:rPr>
          <w:rFonts w:ascii="Baskerville" w:hAnsi="Baskerville" w:cs="Baskerville"/>
        </w:rPr>
        <w:t>medical</w:t>
      </w:r>
      <w:r w:rsidR="009C595C" w:rsidRPr="00872254">
        <w:rPr>
          <w:rFonts w:ascii="Baskerville" w:hAnsi="Baskerville" w:cs="Baskerville"/>
        </w:rPr>
        <w:t>, or housing</w:t>
      </w:r>
      <w:r w:rsidR="00E35F2A" w:rsidRPr="00872254">
        <w:rPr>
          <w:rFonts w:ascii="Baskerville" w:hAnsi="Baskerville" w:cs="Baskerville"/>
        </w:rPr>
        <w:t xml:space="preserve"> needs</w:t>
      </w:r>
      <w:r w:rsidR="002B6992">
        <w:rPr>
          <w:rFonts w:ascii="Baskerville" w:hAnsi="Baskerville" w:cs="Baskerville"/>
        </w:rPr>
        <w:t>,</w:t>
      </w:r>
      <w:r w:rsidR="00E35F2A" w:rsidRPr="00872254">
        <w:rPr>
          <w:rFonts w:ascii="Baskerville" w:hAnsi="Baskerville" w:cs="Baskerville"/>
        </w:rPr>
        <w:t xml:space="preserve"> </w:t>
      </w:r>
      <w:r w:rsidR="009C595C" w:rsidRPr="00872254">
        <w:rPr>
          <w:rFonts w:ascii="Baskerville" w:hAnsi="Baskerville" w:cs="Baskerville"/>
        </w:rPr>
        <w:t xml:space="preserve">and </w:t>
      </w:r>
      <w:r w:rsidR="00A87BE9" w:rsidRPr="00872254">
        <w:rPr>
          <w:rFonts w:ascii="Baskerville" w:hAnsi="Baskerville" w:cs="Baskerville"/>
        </w:rPr>
        <w:t xml:space="preserve">who are at risk of </w:t>
      </w:r>
      <w:r w:rsidR="00CA6C5C" w:rsidRPr="00872254">
        <w:rPr>
          <w:rFonts w:ascii="Baskerville" w:hAnsi="Baskerville" w:cs="Baskerville"/>
        </w:rPr>
        <w:t>institutionalization</w:t>
      </w:r>
      <w:r w:rsidR="00A87BE9" w:rsidRPr="00872254">
        <w:rPr>
          <w:rFonts w:ascii="Baskerville" w:hAnsi="Baskerville" w:cs="Baskerville"/>
        </w:rPr>
        <w:t>.</w:t>
      </w:r>
      <w:r w:rsidR="00DF284E">
        <w:rPr>
          <w:rFonts w:ascii="Baskerville" w:hAnsi="Baskerville" w:cs="Baskerville"/>
        </w:rPr>
        <w:t xml:space="preserve"> The study will also monitor whether the Commonwealth’s crisis system achieves the qualitative</w:t>
      </w:r>
      <w:r w:rsidR="004066C6">
        <w:rPr>
          <w:rFonts w:ascii="Baskerville" w:hAnsi="Baskerville" w:cs="Baskerville"/>
        </w:rPr>
        <w:t xml:space="preserve"> measures and </w:t>
      </w:r>
      <w:r w:rsidR="007B73F8">
        <w:rPr>
          <w:rFonts w:ascii="Baskerville" w:hAnsi="Baskerville" w:cs="Baskerville"/>
        </w:rPr>
        <w:t>expected outcome</w:t>
      </w:r>
      <w:r w:rsidR="004066C6">
        <w:rPr>
          <w:rFonts w:ascii="Baskerville" w:hAnsi="Baskerville" w:cs="Baskerville"/>
        </w:rPr>
        <w:t>s of the</w:t>
      </w:r>
      <w:r w:rsidR="00DF284E">
        <w:rPr>
          <w:rFonts w:ascii="Baskerville" w:hAnsi="Baskerville" w:cs="Baskerville"/>
        </w:rPr>
        <w:t xml:space="preserve"> Crisis Services provisions.</w:t>
      </w:r>
    </w:p>
    <w:p w:rsidR="00A10E87" w:rsidRDefault="00A10E87" w:rsidP="003518FC">
      <w:pPr>
        <w:tabs>
          <w:tab w:val="left" w:pos="1671"/>
        </w:tabs>
        <w:ind w:right="-216"/>
        <w:rPr>
          <w:rFonts w:ascii="Baskerville" w:hAnsi="Baskerville" w:cs="Baskerville"/>
          <w:u w:val="single"/>
        </w:rPr>
      </w:pPr>
    </w:p>
    <w:p w:rsidR="00D5177A" w:rsidRPr="00872254" w:rsidRDefault="00D5177A" w:rsidP="003518FC">
      <w:pPr>
        <w:tabs>
          <w:tab w:val="left" w:pos="1671"/>
        </w:tabs>
        <w:ind w:right="-216"/>
        <w:rPr>
          <w:rFonts w:ascii="Baskerville" w:hAnsi="Baskerville" w:cs="Baskerville"/>
        </w:rPr>
      </w:pPr>
      <w:r w:rsidRPr="00872254">
        <w:rPr>
          <w:rFonts w:ascii="Baskerville" w:hAnsi="Baskerville" w:cs="Baskerville"/>
          <w:u w:val="single"/>
        </w:rPr>
        <w:t>Adult Crisis Services:</w:t>
      </w:r>
      <w:r w:rsidRPr="00872254">
        <w:rPr>
          <w:rFonts w:ascii="Baskerville" w:hAnsi="Baskerville" w:cs="Baskerville"/>
        </w:rPr>
        <w:t xml:space="preserve"> </w:t>
      </w:r>
      <w:r w:rsidR="001343D2">
        <w:rPr>
          <w:rFonts w:ascii="Baskerville" w:hAnsi="Baskerville" w:cs="Baskerville"/>
        </w:rPr>
        <w:t xml:space="preserve">In 2012, </w:t>
      </w:r>
      <w:r w:rsidRPr="00872254">
        <w:rPr>
          <w:rFonts w:ascii="Baskerville" w:hAnsi="Baskerville" w:cs="Baskerville"/>
        </w:rPr>
        <w:t>DBHDS</w:t>
      </w:r>
      <w:r w:rsidR="001862EB" w:rsidRPr="00872254">
        <w:rPr>
          <w:rFonts w:ascii="Baskerville" w:hAnsi="Baskerville" w:cs="Baskerville"/>
        </w:rPr>
        <w:t xml:space="preserve"> </w:t>
      </w:r>
      <w:r w:rsidR="001343D2">
        <w:rPr>
          <w:rFonts w:ascii="Baskerville" w:hAnsi="Baskerville" w:cs="Baskerville"/>
        </w:rPr>
        <w:t xml:space="preserve">initially </w:t>
      </w:r>
      <w:r w:rsidR="001862EB" w:rsidRPr="00872254">
        <w:rPr>
          <w:rFonts w:ascii="Baskerville" w:hAnsi="Baskerville" w:cs="Baskerville"/>
        </w:rPr>
        <w:t>focus</w:t>
      </w:r>
      <w:r w:rsidR="00AF77AC" w:rsidRPr="00872254">
        <w:rPr>
          <w:rFonts w:ascii="Baskerville" w:hAnsi="Baskerville" w:cs="Baskerville"/>
        </w:rPr>
        <w:t xml:space="preserve">ed on developing </w:t>
      </w:r>
      <w:r w:rsidR="001862EB" w:rsidRPr="00872254">
        <w:rPr>
          <w:rFonts w:ascii="Baskerville" w:hAnsi="Baskerville" w:cs="Baskerville"/>
        </w:rPr>
        <w:t xml:space="preserve">crisis services </w:t>
      </w:r>
      <w:r w:rsidR="001343D2">
        <w:rPr>
          <w:rFonts w:ascii="Baskerville" w:hAnsi="Baskerville" w:cs="Baskerville"/>
        </w:rPr>
        <w:t>for adults with ID</w:t>
      </w:r>
      <w:r w:rsidR="001862EB" w:rsidRPr="00872254">
        <w:rPr>
          <w:rFonts w:ascii="Baskerville" w:hAnsi="Baskerville" w:cs="Baskerville"/>
        </w:rPr>
        <w:t xml:space="preserve">. </w:t>
      </w:r>
      <w:r w:rsidR="00727F97">
        <w:rPr>
          <w:rFonts w:ascii="Baskerville" w:hAnsi="Baskerville" w:cs="Baskerville"/>
        </w:rPr>
        <w:t>After several months of development,</w:t>
      </w:r>
      <w:r w:rsidR="00AF77AC" w:rsidRPr="00872254">
        <w:rPr>
          <w:rFonts w:ascii="Baskerville" w:hAnsi="Baskerville" w:cs="Baskerville"/>
        </w:rPr>
        <w:t xml:space="preserve"> </w:t>
      </w:r>
      <w:r w:rsidR="00727F97">
        <w:rPr>
          <w:rFonts w:ascii="Baskerville" w:hAnsi="Baskerville" w:cs="Baskerville"/>
        </w:rPr>
        <w:t>DBHDS required the CSB operating</w:t>
      </w:r>
      <w:r w:rsidR="00AF77AC" w:rsidRPr="00872254">
        <w:rPr>
          <w:rFonts w:ascii="Baskerville" w:hAnsi="Baskerville" w:cs="Baskerville"/>
        </w:rPr>
        <w:t xml:space="preserve"> </w:t>
      </w:r>
      <w:r w:rsidR="00727F97">
        <w:rPr>
          <w:rFonts w:ascii="Baskerville" w:hAnsi="Baskerville" w:cs="Baskerville"/>
        </w:rPr>
        <w:t xml:space="preserve">the new crisis </w:t>
      </w:r>
      <w:r w:rsidR="003540A2">
        <w:rPr>
          <w:rFonts w:ascii="Baskerville" w:hAnsi="Baskerville" w:cs="Baskerville"/>
        </w:rPr>
        <w:t>system to include adults with D</w:t>
      </w:r>
      <w:r w:rsidR="00AF77AC" w:rsidRPr="00872254">
        <w:rPr>
          <w:rFonts w:ascii="Baskerville" w:hAnsi="Baskerville" w:cs="Baskerville"/>
        </w:rPr>
        <w:t>D</w:t>
      </w:r>
      <w:r w:rsidR="003540A2">
        <w:rPr>
          <w:rFonts w:ascii="Baskerville" w:hAnsi="Baskerville" w:cs="Baskerville"/>
        </w:rPr>
        <w:t>, other than ID</w:t>
      </w:r>
      <w:r w:rsidR="00AF77AC" w:rsidRPr="00872254">
        <w:rPr>
          <w:rFonts w:ascii="Baskerville" w:hAnsi="Baskerville" w:cs="Baskerville"/>
        </w:rPr>
        <w:t>. The Commonwealth’s crisis services programs</w:t>
      </w:r>
      <w:r w:rsidR="003540A2">
        <w:rPr>
          <w:rFonts w:ascii="Baskerville" w:hAnsi="Baskerville" w:cs="Baskerville"/>
        </w:rPr>
        <w:t xml:space="preserve"> for adults</w:t>
      </w:r>
      <w:r w:rsidR="00AF77AC" w:rsidRPr="00872254">
        <w:rPr>
          <w:rFonts w:ascii="Baskerville" w:hAnsi="Baskerville" w:cs="Baskerville"/>
        </w:rPr>
        <w:t>, now called REACH,</w:t>
      </w:r>
      <w:r w:rsidR="00202251" w:rsidRPr="00872254">
        <w:rPr>
          <w:rFonts w:ascii="Baskerville" w:hAnsi="Baskerville" w:cs="Baskerville"/>
        </w:rPr>
        <w:t xml:space="preserve"> contin</w:t>
      </w:r>
      <w:r w:rsidR="00895FBF" w:rsidRPr="00872254">
        <w:rPr>
          <w:rFonts w:ascii="Baskerville" w:hAnsi="Baskerville" w:cs="Baskerville"/>
        </w:rPr>
        <w:t xml:space="preserve">ue to operate at all hours of </w:t>
      </w:r>
      <w:r w:rsidR="00202251" w:rsidRPr="00872254">
        <w:rPr>
          <w:rFonts w:ascii="Baskerville" w:hAnsi="Baskerville" w:cs="Baskerville"/>
        </w:rPr>
        <w:t>the day</w:t>
      </w:r>
      <w:r w:rsidR="008F3D8E">
        <w:rPr>
          <w:rFonts w:ascii="Baskerville" w:hAnsi="Baskerville" w:cs="Baskerville"/>
        </w:rPr>
        <w:t>,</w:t>
      </w:r>
      <w:r w:rsidR="001110E8">
        <w:rPr>
          <w:rFonts w:ascii="Baskerville" w:hAnsi="Baskerville" w:cs="Baskerville"/>
        </w:rPr>
        <w:t xml:space="preserve"> in all five R</w:t>
      </w:r>
      <w:r w:rsidR="00895FBF" w:rsidRPr="00872254">
        <w:rPr>
          <w:rFonts w:ascii="Baskerville" w:hAnsi="Baskerville" w:cs="Baskerville"/>
        </w:rPr>
        <w:t>egions</w:t>
      </w:r>
      <w:r w:rsidR="008F3D8E">
        <w:rPr>
          <w:rFonts w:ascii="Baskerville" w:hAnsi="Baskerville" w:cs="Baskerville"/>
        </w:rPr>
        <w:t>,</w:t>
      </w:r>
      <w:r w:rsidR="00186884" w:rsidRPr="00872254">
        <w:rPr>
          <w:rFonts w:ascii="Baskerville" w:hAnsi="Baskerville" w:cs="Baskerville"/>
        </w:rPr>
        <w:t xml:space="preserve"> and to respond on-site to </w:t>
      </w:r>
      <w:r w:rsidR="003540A2">
        <w:rPr>
          <w:rFonts w:ascii="Baskerville" w:hAnsi="Baskerville" w:cs="Baskerville"/>
        </w:rPr>
        <w:t xml:space="preserve">individuals in </w:t>
      </w:r>
      <w:r w:rsidR="006F0B3A">
        <w:rPr>
          <w:rFonts w:ascii="Baskerville" w:hAnsi="Baskerville" w:cs="Baskerville"/>
        </w:rPr>
        <w:t>crisi</w:t>
      </w:r>
      <w:r w:rsidR="00186884" w:rsidRPr="00872254">
        <w:rPr>
          <w:rFonts w:ascii="Baskerville" w:hAnsi="Baskerville" w:cs="Baskerville"/>
        </w:rPr>
        <w:t>s</w:t>
      </w:r>
      <w:r w:rsidR="0022786E" w:rsidRPr="00872254">
        <w:rPr>
          <w:rFonts w:ascii="Baskerville" w:hAnsi="Baskerville" w:cs="Baskerville"/>
        </w:rPr>
        <w:t>.</w:t>
      </w:r>
      <w:r w:rsidR="00C97F1B">
        <w:rPr>
          <w:rFonts w:ascii="Baskerville" w:hAnsi="Baskerville" w:cs="Baskerville"/>
        </w:rPr>
        <w:t xml:space="preserve"> The Commonwealth has not met the requirement for </w:t>
      </w:r>
      <w:r w:rsidR="0042146D">
        <w:rPr>
          <w:rFonts w:ascii="Baskerville" w:hAnsi="Baskerville" w:cs="Baskerville"/>
        </w:rPr>
        <w:t>a timely response</w:t>
      </w:r>
      <w:r w:rsidR="00C97F1B">
        <w:rPr>
          <w:rFonts w:ascii="Baskerville" w:hAnsi="Baskerville" w:cs="Baskerville"/>
        </w:rPr>
        <w:t xml:space="preserve"> to each crisis within two hours. Providers and family members reported many examples of</w:t>
      </w:r>
      <w:r w:rsidR="0022786E" w:rsidRPr="00872254">
        <w:rPr>
          <w:rFonts w:ascii="Baskerville" w:hAnsi="Baskerville" w:cs="Baskerville"/>
        </w:rPr>
        <w:t xml:space="preserve"> </w:t>
      </w:r>
      <w:r w:rsidR="00C97F1B">
        <w:rPr>
          <w:rFonts w:ascii="Baskerville" w:hAnsi="Baskerville" w:cs="Baskerville"/>
        </w:rPr>
        <w:t>the REACH mobile crisis teams not responding on-site to a crisis.</w:t>
      </w:r>
      <w:r w:rsidR="008F3D8E">
        <w:rPr>
          <w:rFonts w:ascii="Baskerville" w:hAnsi="Baskerville" w:cs="Baskerville"/>
        </w:rPr>
        <w:t xml:space="preserve"> </w:t>
      </w:r>
      <w:r w:rsidR="0042146D">
        <w:rPr>
          <w:rFonts w:ascii="Baskerville" w:hAnsi="Baskerville" w:cs="Baskerville"/>
        </w:rPr>
        <w:t>C</w:t>
      </w:r>
      <w:r w:rsidR="0042146D" w:rsidRPr="00872254">
        <w:rPr>
          <w:rFonts w:ascii="Baskerville" w:hAnsi="Baskerville" w:cs="Baskerville"/>
        </w:rPr>
        <w:t xml:space="preserve">ase managers, providers and families </w:t>
      </w:r>
      <w:r w:rsidR="0042146D">
        <w:rPr>
          <w:rFonts w:ascii="Baskerville" w:hAnsi="Baskerville" w:cs="Baskerville"/>
        </w:rPr>
        <w:t>continue to refer individuals with ID/DD</w:t>
      </w:r>
      <w:r w:rsidR="0022786E" w:rsidRPr="00872254">
        <w:rPr>
          <w:rFonts w:ascii="Baskerville" w:hAnsi="Baskerville" w:cs="Baskerville"/>
        </w:rPr>
        <w:t xml:space="preserve"> </w:t>
      </w:r>
      <w:r w:rsidR="00C97F1B">
        <w:rPr>
          <w:rFonts w:ascii="Baskerville" w:hAnsi="Baskerville" w:cs="Baskerville"/>
        </w:rPr>
        <w:t>to REACH</w:t>
      </w:r>
      <w:r w:rsidR="00800473" w:rsidRPr="00872254">
        <w:rPr>
          <w:rFonts w:ascii="Baskerville" w:hAnsi="Baskerville" w:cs="Baskerville"/>
        </w:rPr>
        <w:t xml:space="preserve">. The number of calls to REACH and the number of </w:t>
      </w:r>
      <w:r w:rsidR="00ED751C">
        <w:rPr>
          <w:rFonts w:ascii="Baskerville" w:hAnsi="Baskerville" w:cs="Baskerville"/>
        </w:rPr>
        <w:t xml:space="preserve">referrals </w:t>
      </w:r>
      <w:r w:rsidR="002C50F1" w:rsidRPr="00872254">
        <w:rPr>
          <w:rFonts w:ascii="Baskerville" w:hAnsi="Baskerville" w:cs="Baskerville"/>
        </w:rPr>
        <w:t>appe</w:t>
      </w:r>
      <w:r w:rsidR="00663A6E">
        <w:rPr>
          <w:rFonts w:ascii="Baskerville" w:hAnsi="Baskerville" w:cs="Baskerville"/>
        </w:rPr>
        <w:t>ar</w:t>
      </w:r>
      <w:r w:rsidR="00C97F1B">
        <w:rPr>
          <w:rFonts w:ascii="Baskerville" w:hAnsi="Baskerville" w:cs="Baskerville"/>
        </w:rPr>
        <w:t>s</w:t>
      </w:r>
      <w:r w:rsidR="00F80B4F">
        <w:rPr>
          <w:rFonts w:ascii="Baskerville" w:hAnsi="Baskerville" w:cs="Baskerville"/>
        </w:rPr>
        <w:t xml:space="preserve"> to have increased. Analysis is not possible, </w:t>
      </w:r>
      <w:r w:rsidR="006F0B3A">
        <w:rPr>
          <w:rFonts w:ascii="Baskerville" w:hAnsi="Baskerville" w:cs="Baskerville"/>
        </w:rPr>
        <w:t xml:space="preserve">however, </w:t>
      </w:r>
      <w:r w:rsidR="00F80B4F">
        <w:rPr>
          <w:rFonts w:ascii="Baskerville" w:hAnsi="Baskerville" w:cs="Baskerville"/>
        </w:rPr>
        <w:t>because t</w:t>
      </w:r>
      <w:r w:rsidR="002C50F1" w:rsidRPr="00872254">
        <w:rPr>
          <w:rFonts w:ascii="Baskerville" w:hAnsi="Baskerville" w:cs="Baskerville"/>
        </w:rPr>
        <w:t xml:space="preserve">he </w:t>
      </w:r>
      <w:r w:rsidR="006F0B3A">
        <w:rPr>
          <w:rFonts w:ascii="Baskerville" w:hAnsi="Baskerville" w:cs="Baskerville"/>
        </w:rPr>
        <w:t>definitions of data</w:t>
      </w:r>
      <w:r w:rsidR="00663A6E">
        <w:rPr>
          <w:rFonts w:ascii="Baskerville" w:hAnsi="Baskerville" w:cs="Baskerville"/>
        </w:rPr>
        <w:t xml:space="preserve"> have </w:t>
      </w:r>
      <w:r w:rsidR="00FE11A7">
        <w:rPr>
          <w:rFonts w:ascii="Baskerville" w:hAnsi="Baskerville" w:cs="Baskerville"/>
        </w:rPr>
        <w:t>changed between</w:t>
      </w:r>
      <w:r w:rsidR="00C701AC" w:rsidRPr="00872254">
        <w:rPr>
          <w:rFonts w:ascii="Baskerville" w:hAnsi="Baskerville" w:cs="Baskerville"/>
        </w:rPr>
        <w:t xml:space="preserve"> </w:t>
      </w:r>
      <w:r w:rsidR="00043FEA" w:rsidRPr="00872254">
        <w:rPr>
          <w:rFonts w:ascii="Baskerville" w:hAnsi="Baskerville" w:cs="Baskerville"/>
        </w:rPr>
        <w:t xml:space="preserve">calendar </w:t>
      </w:r>
      <w:r w:rsidR="00C701AC" w:rsidRPr="00872254">
        <w:rPr>
          <w:rFonts w:ascii="Baskerville" w:hAnsi="Baskerville" w:cs="Baskerville"/>
        </w:rPr>
        <w:t>quarters</w:t>
      </w:r>
      <w:r w:rsidR="00632032">
        <w:rPr>
          <w:rFonts w:ascii="Baskerville" w:hAnsi="Baskerville" w:cs="Baskerville"/>
        </w:rPr>
        <w:t>,</w:t>
      </w:r>
      <w:r w:rsidR="00E300AB">
        <w:rPr>
          <w:rFonts w:ascii="Baskerville" w:hAnsi="Baskerville" w:cs="Baskerville"/>
        </w:rPr>
        <w:t xml:space="preserve"> and some data are missing. DBHDS reported that t</w:t>
      </w:r>
      <w:r w:rsidR="00754AE5" w:rsidRPr="00872254">
        <w:rPr>
          <w:rFonts w:ascii="Baskerville" w:hAnsi="Baskerville" w:cs="Baskerville"/>
        </w:rPr>
        <w:t>he number of individuals</w:t>
      </w:r>
      <w:r w:rsidR="003813BC" w:rsidRPr="00872254">
        <w:rPr>
          <w:rFonts w:ascii="Baskerville" w:hAnsi="Baskerville" w:cs="Baskerville"/>
        </w:rPr>
        <w:t xml:space="preserve"> </w:t>
      </w:r>
      <w:r w:rsidR="00754AE5" w:rsidRPr="00872254">
        <w:rPr>
          <w:rFonts w:ascii="Baskerville" w:hAnsi="Baskerville" w:cs="Baskerville"/>
        </w:rPr>
        <w:t>admitted to psychiatric hospitals</w:t>
      </w:r>
      <w:r w:rsidR="003813BC" w:rsidRPr="00872254">
        <w:rPr>
          <w:rFonts w:ascii="Baskerville" w:hAnsi="Baskerville" w:cs="Baskerville"/>
        </w:rPr>
        <w:t xml:space="preserve"> increased from forty-seven</w:t>
      </w:r>
      <w:r w:rsidR="00EF0557">
        <w:rPr>
          <w:rFonts w:ascii="Baskerville" w:hAnsi="Baskerville" w:cs="Baskerville"/>
        </w:rPr>
        <w:t xml:space="preserve"> in the previous two quarters </w:t>
      </w:r>
      <w:r w:rsidR="003A1C3A">
        <w:rPr>
          <w:rFonts w:ascii="Baskerville" w:hAnsi="Baskerville" w:cs="Baskerville"/>
        </w:rPr>
        <w:t>to 119</w:t>
      </w:r>
      <w:r w:rsidR="00EF0557">
        <w:rPr>
          <w:rFonts w:ascii="Baskerville" w:hAnsi="Baskerville" w:cs="Baskerville"/>
        </w:rPr>
        <w:t xml:space="preserve"> in the most recent two quarters. </w:t>
      </w:r>
      <w:r w:rsidR="00F80113" w:rsidRPr="00872254">
        <w:rPr>
          <w:rFonts w:ascii="Baskerville" w:hAnsi="Baskerville" w:cs="Baskerville"/>
        </w:rPr>
        <w:t xml:space="preserve">This </w:t>
      </w:r>
      <w:r w:rsidR="00CD68FA">
        <w:rPr>
          <w:rFonts w:ascii="Baskerville" w:hAnsi="Baskerville" w:cs="Baskerville"/>
        </w:rPr>
        <w:t xml:space="preserve">reported </w:t>
      </w:r>
      <w:r w:rsidR="00F80113" w:rsidRPr="00872254">
        <w:rPr>
          <w:rFonts w:ascii="Baskerville" w:hAnsi="Baskerville" w:cs="Baskerville"/>
        </w:rPr>
        <w:t>inc</w:t>
      </w:r>
      <w:r w:rsidR="006D7AC7" w:rsidRPr="00872254">
        <w:rPr>
          <w:rFonts w:ascii="Baskerville" w:hAnsi="Baskerville" w:cs="Baskerville"/>
        </w:rPr>
        <w:t>rease and high number of psychiatric hospitalizations</w:t>
      </w:r>
      <w:r w:rsidR="00707C4A">
        <w:rPr>
          <w:rFonts w:ascii="Baskerville" w:hAnsi="Baskerville" w:cs="Baskerville"/>
        </w:rPr>
        <w:t xml:space="preserve"> are</w:t>
      </w:r>
      <w:r w:rsidR="00A064DD" w:rsidRPr="00872254">
        <w:rPr>
          <w:rFonts w:ascii="Baskerville" w:hAnsi="Baskerville" w:cs="Baskerville"/>
        </w:rPr>
        <w:t xml:space="preserve"> significant concern, especially in light of </w:t>
      </w:r>
      <w:r w:rsidR="00CD68FA">
        <w:rPr>
          <w:rFonts w:ascii="Baskerville" w:hAnsi="Baskerville" w:cs="Baskerville"/>
        </w:rPr>
        <w:t>concerns that REACH programs may not be</w:t>
      </w:r>
      <w:r w:rsidR="007249B7">
        <w:rPr>
          <w:rFonts w:ascii="Baskerville" w:hAnsi="Baskerville" w:cs="Baskerville"/>
        </w:rPr>
        <w:t xml:space="preserve"> </w:t>
      </w:r>
      <w:r w:rsidR="00B720C4">
        <w:rPr>
          <w:rFonts w:ascii="Baskerville" w:hAnsi="Baskerville" w:cs="Baskerville"/>
        </w:rPr>
        <w:t>an option for</w:t>
      </w:r>
      <w:r w:rsidR="00A064DD" w:rsidRPr="00872254">
        <w:rPr>
          <w:rFonts w:ascii="Baskerville" w:hAnsi="Baskerville" w:cs="Baskerville"/>
        </w:rPr>
        <w:t xml:space="preserve"> individuals </w:t>
      </w:r>
      <w:r w:rsidR="00B37B95" w:rsidRPr="00872254">
        <w:rPr>
          <w:rFonts w:ascii="Baskerville" w:hAnsi="Baskerville" w:cs="Baskerville"/>
        </w:rPr>
        <w:t>with chall</w:t>
      </w:r>
      <w:r w:rsidR="00CD68FA">
        <w:rPr>
          <w:rFonts w:ascii="Baskerville" w:hAnsi="Baskerville" w:cs="Baskerville"/>
        </w:rPr>
        <w:t xml:space="preserve">enging behaviors, physical care, </w:t>
      </w:r>
      <w:r w:rsidR="00B37B95" w:rsidRPr="00872254">
        <w:rPr>
          <w:rFonts w:ascii="Baskerville" w:hAnsi="Baskerville" w:cs="Baskerville"/>
        </w:rPr>
        <w:t>medical</w:t>
      </w:r>
      <w:r w:rsidR="00CD68FA">
        <w:rPr>
          <w:rFonts w:ascii="Baskerville" w:hAnsi="Baskerville" w:cs="Baskerville"/>
        </w:rPr>
        <w:t>, and communication</w:t>
      </w:r>
      <w:r w:rsidR="00B37B95" w:rsidRPr="00872254">
        <w:rPr>
          <w:rFonts w:ascii="Baskerville" w:hAnsi="Baskerville" w:cs="Baskerville"/>
        </w:rPr>
        <w:t xml:space="preserve"> needs.</w:t>
      </w:r>
    </w:p>
    <w:p w:rsidR="00EF6661" w:rsidRPr="00872254" w:rsidRDefault="00EF6661" w:rsidP="003518FC">
      <w:pPr>
        <w:tabs>
          <w:tab w:val="left" w:pos="1671"/>
        </w:tabs>
        <w:ind w:right="-216"/>
        <w:rPr>
          <w:rFonts w:ascii="Baskerville" w:hAnsi="Baskerville" w:cs="Baskerville"/>
        </w:rPr>
      </w:pPr>
    </w:p>
    <w:p w:rsidR="00EF6661" w:rsidRDefault="00EF6661" w:rsidP="003518FC">
      <w:pPr>
        <w:tabs>
          <w:tab w:val="left" w:pos="1671"/>
        </w:tabs>
        <w:ind w:right="-216"/>
        <w:rPr>
          <w:rFonts w:ascii="Baskerville" w:hAnsi="Baskerville" w:cs="Baskerville"/>
        </w:rPr>
      </w:pPr>
      <w:r w:rsidRPr="00872254">
        <w:rPr>
          <w:rFonts w:ascii="Baskerville" w:hAnsi="Baskerville" w:cs="Baskerville"/>
        </w:rPr>
        <w:t xml:space="preserve">The Agreement requires that members of </w:t>
      </w:r>
      <w:r w:rsidR="00D56469">
        <w:rPr>
          <w:rFonts w:ascii="Baskerville" w:hAnsi="Baskerville" w:cs="Baskerville"/>
        </w:rPr>
        <w:t xml:space="preserve">mobile crisis teams be </w:t>
      </w:r>
      <w:r w:rsidRPr="00872254">
        <w:rPr>
          <w:rFonts w:ascii="Baskerville" w:hAnsi="Baskerville" w:cs="Baskerville"/>
        </w:rPr>
        <w:t>adequately trained</w:t>
      </w:r>
      <w:r w:rsidR="00B81C5F" w:rsidRPr="00872254">
        <w:rPr>
          <w:rFonts w:ascii="Baskerville" w:hAnsi="Baskerville" w:cs="Baskerville"/>
        </w:rPr>
        <w:t xml:space="preserve">. The independent consultant report details the trainings required </w:t>
      </w:r>
      <w:r w:rsidR="00C16318">
        <w:rPr>
          <w:rFonts w:ascii="Baskerville" w:hAnsi="Baskerville" w:cs="Baskerville"/>
        </w:rPr>
        <w:t xml:space="preserve">of mobile crisis team members </w:t>
      </w:r>
      <w:r w:rsidR="00707C4A">
        <w:rPr>
          <w:rFonts w:ascii="Baskerville" w:hAnsi="Baskerville" w:cs="Baskerville"/>
        </w:rPr>
        <w:t>in each R</w:t>
      </w:r>
      <w:r w:rsidR="00B81C5F" w:rsidRPr="00872254">
        <w:rPr>
          <w:rFonts w:ascii="Baskerville" w:hAnsi="Baskerville" w:cs="Baskerville"/>
        </w:rPr>
        <w:t>egion. The</w:t>
      </w:r>
      <w:r w:rsidR="00982B70" w:rsidRPr="00872254">
        <w:rPr>
          <w:rFonts w:ascii="Baskerville" w:hAnsi="Baskerville" w:cs="Baskerville"/>
        </w:rPr>
        <w:t xml:space="preserve"> </w:t>
      </w:r>
      <w:r w:rsidR="008C0643">
        <w:rPr>
          <w:rFonts w:ascii="Baskerville" w:hAnsi="Baskerville" w:cs="Baskerville"/>
        </w:rPr>
        <w:t xml:space="preserve">mobile crisis team </w:t>
      </w:r>
      <w:r w:rsidR="00982B70" w:rsidRPr="00872254">
        <w:rPr>
          <w:rFonts w:ascii="Baskerville" w:hAnsi="Baskerville" w:cs="Baskerville"/>
        </w:rPr>
        <w:t xml:space="preserve">training process </w:t>
      </w:r>
      <w:r w:rsidR="00B81C5F" w:rsidRPr="00872254">
        <w:rPr>
          <w:rFonts w:ascii="Baskerville" w:hAnsi="Baskerville" w:cs="Baskerville"/>
        </w:rPr>
        <w:t>include</w:t>
      </w:r>
      <w:r w:rsidR="00982B70" w:rsidRPr="00872254">
        <w:rPr>
          <w:rFonts w:ascii="Baskerville" w:hAnsi="Baskerville" w:cs="Baskerville"/>
        </w:rPr>
        <w:t>s</w:t>
      </w:r>
      <w:r w:rsidR="00B81C5F" w:rsidRPr="00872254">
        <w:rPr>
          <w:rFonts w:ascii="Baskerville" w:hAnsi="Baskerville" w:cs="Baskerville"/>
        </w:rPr>
        <w:t xml:space="preserve"> test</w:t>
      </w:r>
      <w:r w:rsidR="00982B70" w:rsidRPr="00872254">
        <w:rPr>
          <w:rFonts w:ascii="Baskerville" w:hAnsi="Baskerville" w:cs="Baskerville"/>
        </w:rPr>
        <w:t>s to determine wheth</w:t>
      </w:r>
      <w:r w:rsidR="00937954">
        <w:rPr>
          <w:rFonts w:ascii="Baskerville" w:hAnsi="Baskerville" w:cs="Baskerville"/>
        </w:rPr>
        <w:t xml:space="preserve">er competencies and skills </w:t>
      </w:r>
      <w:r w:rsidR="00982B70" w:rsidRPr="00872254">
        <w:rPr>
          <w:rFonts w:ascii="Baskerville" w:hAnsi="Baskerville" w:cs="Baskerville"/>
        </w:rPr>
        <w:t>hav</w:t>
      </w:r>
      <w:r w:rsidR="00D9175C" w:rsidRPr="00872254">
        <w:rPr>
          <w:rFonts w:ascii="Baskerville" w:hAnsi="Baskerville" w:cs="Baskerville"/>
        </w:rPr>
        <w:t>e bee</w:t>
      </w:r>
      <w:r w:rsidR="006860E6">
        <w:rPr>
          <w:rFonts w:ascii="Baskerville" w:hAnsi="Baskerville" w:cs="Baskerville"/>
        </w:rPr>
        <w:t>n learned. Mobile c</w:t>
      </w:r>
      <w:r w:rsidR="008C0643">
        <w:rPr>
          <w:rFonts w:ascii="Baskerville" w:hAnsi="Baskerville" w:cs="Baskerville"/>
        </w:rPr>
        <w:t xml:space="preserve">risis </w:t>
      </w:r>
      <w:r w:rsidR="006860E6">
        <w:rPr>
          <w:rFonts w:ascii="Baskerville" w:hAnsi="Baskerville" w:cs="Baskerville"/>
        </w:rPr>
        <w:t>team s</w:t>
      </w:r>
      <w:r w:rsidR="00937954">
        <w:rPr>
          <w:rFonts w:ascii="Baskerville" w:hAnsi="Baskerville" w:cs="Baskerville"/>
        </w:rPr>
        <w:t>upervisors review</w:t>
      </w:r>
      <w:r w:rsidR="00D9175C" w:rsidRPr="00872254">
        <w:rPr>
          <w:rFonts w:ascii="Baskerville" w:hAnsi="Baskerville" w:cs="Baskerville"/>
        </w:rPr>
        <w:t xml:space="preserve"> training outcomes </w:t>
      </w:r>
      <w:r w:rsidR="00982B70" w:rsidRPr="00872254">
        <w:rPr>
          <w:rFonts w:ascii="Baskerville" w:hAnsi="Baskerville" w:cs="Baskerville"/>
        </w:rPr>
        <w:t>with staff</w:t>
      </w:r>
      <w:r w:rsidR="00937954">
        <w:rPr>
          <w:rFonts w:ascii="Baskerville" w:hAnsi="Baskerville" w:cs="Baskerville"/>
        </w:rPr>
        <w:t xml:space="preserve"> and us</w:t>
      </w:r>
      <w:r w:rsidR="006860E6">
        <w:rPr>
          <w:rFonts w:ascii="Baskerville" w:hAnsi="Baskerville" w:cs="Baskerville"/>
        </w:rPr>
        <w:t>e</w:t>
      </w:r>
      <w:r w:rsidR="00982B70" w:rsidRPr="00872254">
        <w:rPr>
          <w:rFonts w:ascii="Baskerville" w:hAnsi="Baskerville" w:cs="Baskerville"/>
        </w:rPr>
        <w:t xml:space="preserve"> team meetings to re</w:t>
      </w:r>
      <w:r w:rsidR="006860E6">
        <w:rPr>
          <w:rFonts w:ascii="Baskerville" w:hAnsi="Baskerville" w:cs="Baskerville"/>
        </w:rPr>
        <w:t>inforce the training concepts. Mobile crisis teams provide c</w:t>
      </w:r>
      <w:r w:rsidR="00982B70" w:rsidRPr="00872254">
        <w:rPr>
          <w:rFonts w:ascii="Baskerville" w:hAnsi="Baskerville" w:cs="Baskerville"/>
        </w:rPr>
        <w:t>linical supervision</w:t>
      </w:r>
      <w:r w:rsidR="00D5038E" w:rsidRPr="00872254">
        <w:rPr>
          <w:rFonts w:ascii="Baskerville" w:hAnsi="Baskerville" w:cs="Baskerville"/>
        </w:rPr>
        <w:t xml:space="preserve"> in a group format. </w:t>
      </w:r>
      <w:r w:rsidR="00687BD1">
        <w:rPr>
          <w:rFonts w:ascii="Baskerville" w:hAnsi="Baskerville" w:cs="Baskerville"/>
        </w:rPr>
        <w:t>As part of orientation, mobile crisis s</w:t>
      </w:r>
      <w:r w:rsidR="00D5038E" w:rsidRPr="00872254">
        <w:rPr>
          <w:rFonts w:ascii="Baskerville" w:hAnsi="Baskerville" w:cs="Baskerville"/>
        </w:rPr>
        <w:t xml:space="preserve">taff </w:t>
      </w:r>
      <w:r w:rsidR="00982B70" w:rsidRPr="00872254">
        <w:rPr>
          <w:rFonts w:ascii="Baskerville" w:hAnsi="Baskerville" w:cs="Baskerville"/>
        </w:rPr>
        <w:t>shadow community and C</w:t>
      </w:r>
      <w:r w:rsidR="00937954">
        <w:rPr>
          <w:rFonts w:ascii="Baskerville" w:hAnsi="Baskerville" w:cs="Baskerville"/>
        </w:rPr>
        <w:t xml:space="preserve">risis </w:t>
      </w:r>
      <w:r w:rsidR="00982B70" w:rsidRPr="00872254">
        <w:rPr>
          <w:rFonts w:ascii="Baskerville" w:hAnsi="Baskerville" w:cs="Baskerville"/>
        </w:rPr>
        <w:t>T</w:t>
      </w:r>
      <w:r w:rsidR="00937954">
        <w:rPr>
          <w:rFonts w:ascii="Baskerville" w:hAnsi="Baskerville" w:cs="Baskerville"/>
        </w:rPr>
        <w:t>herapeutic Home</w:t>
      </w:r>
      <w:r w:rsidR="00A15830">
        <w:rPr>
          <w:rFonts w:ascii="Baskerville" w:hAnsi="Baskerville" w:cs="Baskerville"/>
        </w:rPr>
        <w:t xml:space="preserve"> staff; </w:t>
      </w:r>
      <w:r w:rsidR="00982B70" w:rsidRPr="00872254">
        <w:rPr>
          <w:rFonts w:ascii="Baskerville" w:hAnsi="Baskerville" w:cs="Baskerville"/>
        </w:rPr>
        <w:t>prepare and present case reviews</w:t>
      </w:r>
      <w:r w:rsidR="00A15830">
        <w:rPr>
          <w:rFonts w:ascii="Baskerville" w:hAnsi="Baskerville" w:cs="Baskerville"/>
        </w:rPr>
        <w:t>;</w:t>
      </w:r>
      <w:r w:rsidR="00982B70" w:rsidRPr="00872254">
        <w:rPr>
          <w:rFonts w:ascii="Baskerville" w:hAnsi="Baskerville" w:cs="Baskerville"/>
        </w:rPr>
        <w:t xml:space="preserve"> and </w:t>
      </w:r>
      <w:r w:rsidR="00A15830">
        <w:rPr>
          <w:rFonts w:ascii="Baskerville" w:hAnsi="Baskerville" w:cs="Baskerville"/>
        </w:rPr>
        <w:t>participate</w:t>
      </w:r>
      <w:r w:rsidR="00982B70" w:rsidRPr="00872254">
        <w:rPr>
          <w:rFonts w:ascii="Baskerville" w:hAnsi="Baskerville" w:cs="Baskerville"/>
        </w:rPr>
        <w:t xml:space="preserve"> in peer reviews</w:t>
      </w:r>
      <w:r w:rsidR="00D5038E" w:rsidRPr="00872254">
        <w:rPr>
          <w:rFonts w:ascii="Baskerville" w:hAnsi="Baskerville" w:cs="Baskerville"/>
        </w:rPr>
        <w:t>.</w:t>
      </w:r>
      <w:r w:rsidR="00DA3402" w:rsidRPr="00872254">
        <w:rPr>
          <w:rFonts w:ascii="Baskerville" w:hAnsi="Baskerville" w:cs="Baskerville"/>
        </w:rPr>
        <w:t xml:space="preserve"> </w:t>
      </w:r>
    </w:p>
    <w:p w:rsidR="008334F3" w:rsidRDefault="008334F3" w:rsidP="003518FC">
      <w:pPr>
        <w:tabs>
          <w:tab w:val="left" w:pos="1671"/>
        </w:tabs>
        <w:ind w:right="-216"/>
        <w:rPr>
          <w:rFonts w:ascii="Baskerville" w:hAnsi="Baskerville" w:cs="Baskerville"/>
        </w:rPr>
      </w:pPr>
    </w:p>
    <w:p w:rsidR="008334F3" w:rsidRPr="00872254" w:rsidRDefault="008334F3" w:rsidP="003518FC">
      <w:pPr>
        <w:tabs>
          <w:tab w:val="left" w:pos="1671"/>
        </w:tabs>
        <w:ind w:right="-216"/>
        <w:rPr>
          <w:rFonts w:ascii="Baskerville" w:hAnsi="Baskerville" w:cs="Baskerville"/>
        </w:rPr>
      </w:pPr>
      <w:r w:rsidRPr="00872254">
        <w:rPr>
          <w:rFonts w:ascii="Baskerville" w:hAnsi="Baskerville" w:cs="Baskerville"/>
        </w:rPr>
        <w:t xml:space="preserve">The REACH programs </w:t>
      </w:r>
      <w:r w:rsidR="00CC3511" w:rsidRPr="00872254">
        <w:rPr>
          <w:rFonts w:ascii="Baskerville" w:hAnsi="Baskerville" w:cs="Baskerville"/>
        </w:rPr>
        <w:t>reported</w:t>
      </w:r>
      <w:r>
        <w:rPr>
          <w:rFonts w:ascii="Baskerville" w:hAnsi="Baskerville" w:cs="Baskerville"/>
        </w:rPr>
        <w:t xml:space="preserve"> </w:t>
      </w:r>
      <w:r w:rsidRPr="00872254">
        <w:rPr>
          <w:rFonts w:ascii="Baskerville" w:hAnsi="Baskerville" w:cs="Baskerville"/>
        </w:rPr>
        <w:t xml:space="preserve">provided training to 967 stakeholders during the </w:t>
      </w:r>
      <w:r>
        <w:rPr>
          <w:rFonts w:ascii="Baskerville" w:hAnsi="Baskerville" w:cs="Baskerville"/>
        </w:rPr>
        <w:t xml:space="preserve">two </w:t>
      </w:r>
      <w:r w:rsidRPr="00872254">
        <w:rPr>
          <w:rFonts w:ascii="Baskerville" w:hAnsi="Baskerville" w:cs="Baskerville"/>
        </w:rPr>
        <w:t xml:space="preserve">quarters for this review period. The </w:t>
      </w:r>
      <w:r w:rsidR="005E756A">
        <w:rPr>
          <w:rFonts w:ascii="Baskerville" w:hAnsi="Baskerville" w:cs="Baskerville"/>
        </w:rPr>
        <w:t>identif</w:t>
      </w:r>
      <w:r w:rsidR="000040E2">
        <w:rPr>
          <w:rFonts w:ascii="Baskerville" w:hAnsi="Baskerville" w:cs="Baskerville"/>
        </w:rPr>
        <w:t xml:space="preserve">ied support roles of those </w:t>
      </w:r>
      <w:r w:rsidRPr="00872254">
        <w:rPr>
          <w:rFonts w:ascii="Baskerville" w:hAnsi="Baskerville" w:cs="Baskerville"/>
        </w:rPr>
        <w:t>trained were</w:t>
      </w:r>
      <w:r>
        <w:rPr>
          <w:rFonts w:ascii="Baskerville" w:hAnsi="Baskerville" w:cs="Baskerville"/>
        </w:rPr>
        <w:t>:</w:t>
      </w:r>
      <w:r w:rsidRPr="00872254">
        <w:rPr>
          <w:rFonts w:ascii="Baskerville" w:hAnsi="Baskerville" w:cs="Baskerville"/>
        </w:rPr>
        <w:t xml:space="preserve"> case managers (3</w:t>
      </w:r>
      <w:r w:rsidR="000040E2">
        <w:rPr>
          <w:rFonts w:ascii="Baskerville" w:hAnsi="Baskerville" w:cs="Baskerville"/>
        </w:rPr>
        <w:t>55), law enforcement (226), Emergency Services (46), and other</w:t>
      </w:r>
      <w:r w:rsidR="00840035">
        <w:rPr>
          <w:rFonts w:ascii="Baskerville" w:hAnsi="Baskerville" w:cs="Baskerville"/>
        </w:rPr>
        <w:t xml:space="preserve"> (331)</w:t>
      </w:r>
      <w:r w:rsidRPr="00872254">
        <w:rPr>
          <w:rFonts w:ascii="Baskerville" w:hAnsi="Baskerville" w:cs="Baskerville"/>
        </w:rPr>
        <w:t xml:space="preserve"> There is a significant disparity in the amount of training provid</w:t>
      </w:r>
      <w:r w:rsidR="00C907A2">
        <w:rPr>
          <w:rFonts w:ascii="Baskerville" w:hAnsi="Baskerville" w:cs="Baskerville"/>
        </w:rPr>
        <w:t>ed by the five REACH teams. Regions II and IV</w:t>
      </w:r>
      <w:r w:rsidR="00840035">
        <w:rPr>
          <w:rFonts w:ascii="Baskerville" w:hAnsi="Baskerville" w:cs="Baskerville"/>
        </w:rPr>
        <w:t xml:space="preserve"> </w:t>
      </w:r>
      <w:r w:rsidR="00840035" w:rsidRPr="00872254">
        <w:rPr>
          <w:rFonts w:ascii="Baskerville" w:hAnsi="Baskerville" w:cs="Baskerville"/>
        </w:rPr>
        <w:t xml:space="preserve">consistently </w:t>
      </w:r>
      <w:r w:rsidR="006A7B56">
        <w:rPr>
          <w:rFonts w:ascii="Baskerville" w:hAnsi="Baskerville" w:cs="Baskerville"/>
        </w:rPr>
        <w:t>provide fewer training</w:t>
      </w:r>
      <w:r w:rsidR="0039757E">
        <w:rPr>
          <w:rFonts w:ascii="Baskerville" w:hAnsi="Baskerville" w:cs="Baskerville"/>
        </w:rPr>
        <w:t>s</w:t>
      </w:r>
      <w:r w:rsidR="006A7B56">
        <w:rPr>
          <w:rFonts w:ascii="Baskerville" w:hAnsi="Baskerville" w:cs="Baskerville"/>
        </w:rPr>
        <w:t xml:space="preserve"> to fewer individuals</w:t>
      </w:r>
      <w:r w:rsidR="008147E9">
        <w:rPr>
          <w:rFonts w:ascii="Baskerville" w:hAnsi="Baskerville" w:cs="Baskerville"/>
        </w:rPr>
        <w:t>. N</w:t>
      </w:r>
      <w:r w:rsidRPr="00872254">
        <w:rPr>
          <w:rFonts w:ascii="Baskerville" w:hAnsi="Baskerville" w:cs="Baskerville"/>
        </w:rPr>
        <w:t xml:space="preserve">either </w:t>
      </w:r>
      <w:r w:rsidR="00707C4A">
        <w:rPr>
          <w:rFonts w:ascii="Baskerville" w:hAnsi="Baskerville" w:cs="Baskerville"/>
        </w:rPr>
        <w:t>R</w:t>
      </w:r>
      <w:r w:rsidR="008147E9">
        <w:rPr>
          <w:rFonts w:ascii="Baskerville" w:hAnsi="Baskerville" w:cs="Baskerville"/>
        </w:rPr>
        <w:t xml:space="preserve">egion </w:t>
      </w:r>
      <w:r w:rsidRPr="00872254">
        <w:rPr>
          <w:rFonts w:ascii="Baskerville" w:hAnsi="Baskerville" w:cs="Baskerville"/>
        </w:rPr>
        <w:t xml:space="preserve">provided any </w:t>
      </w:r>
      <w:r w:rsidR="008147E9">
        <w:rPr>
          <w:rFonts w:ascii="Baskerville" w:hAnsi="Baskerville" w:cs="Baskerville"/>
        </w:rPr>
        <w:t>training to law enforcement or emergency s</w:t>
      </w:r>
      <w:r w:rsidRPr="00872254">
        <w:rPr>
          <w:rFonts w:ascii="Baskerville" w:hAnsi="Baskerville" w:cs="Baskerville"/>
        </w:rPr>
        <w:t>ervices</w:t>
      </w:r>
      <w:r w:rsidR="00FB4180">
        <w:rPr>
          <w:rFonts w:ascii="Baskerville" w:hAnsi="Baskerville" w:cs="Baskerville"/>
        </w:rPr>
        <w:t xml:space="preserve"> staff during the review period</w:t>
      </w:r>
      <w:r w:rsidRPr="00872254">
        <w:rPr>
          <w:rFonts w:ascii="Baskerville" w:hAnsi="Baskerville" w:cs="Baskerville"/>
        </w:rPr>
        <w:t>. Training materials ar</w:t>
      </w:r>
      <w:r w:rsidR="0077482B">
        <w:rPr>
          <w:rFonts w:ascii="Baskerville" w:hAnsi="Baskerville" w:cs="Baskerville"/>
        </w:rPr>
        <w:t xml:space="preserve">e now available on-line. DBHDS </w:t>
      </w:r>
      <w:r w:rsidRPr="00872254">
        <w:rPr>
          <w:rFonts w:ascii="Baskerville" w:hAnsi="Baskerville" w:cs="Baskerville"/>
        </w:rPr>
        <w:t>re</w:t>
      </w:r>
      <w:r w:rsidR="0077482B">
        <w:rPr>
          <w:rFonts w:ascii="Baskerville" w:hAnsi="Baskerville" w:cs="Baskerville"/>
        </w:rPr>
        <w:t xml:space="preserve">quires that </w:t>
      </w:r>
      <w:r w:rsidRPr="00872254">
        <w:rPr>
          <w:rFonts w:ascii="Baskerville" w:hAnsi="Baskerville" w:cs="Baskerville"/>
        </w:rPr>
        <w:t>new DD case managers</w:t>
      </w:r>
      <w:r w:rsidR="00D56469">
        <w:rPr>
          <w:rFonts w:ascii="Baskerville" w:hAnsi="Baskerville" w:cs="Baskerville"/>
        </w:rPr>
        <w:t xml:space="preserve"> complete the training. I</w:t>
      </w:r>
      <w:r w:rsidR="0077482B">
        <w:rPr>
          <w:rFonts w:ascii="Baskerville" w:hAnsi="Baskerville" w:cs="Baskerville"/>
        </w:rPr>
        <w:t xml:space="preserve">t plans to require </w:t>
      </w:r>
      <w:r w:rsidR="00E87E99" w:rsidRPr="00872254">
        <w:rPr>
          <w:rFonts w:ascii="Baskerville" w:hAnsi="Baskerville" w:cs="Baskerville"/>
        </w:rPr>
        <w:t>all</w:t>
      </w:r>
      <w:r w:rsidRPr="00872254">
        <w:rPr>
          <w:rFonts w:ascii="Baskerville" w:hAnsi="Baskerville" w:cs="Baskerville"/>
        </w:rPr>
        <w:t xml:space="preserve"> </w:t>
      </w:r>
      <w:r w:rsidR="007E5905">
        <w:rPr>
          <w:rFonts w:ascii="Baskerville" w:hAnsi="Baskerville" w:cs="Baskerville"/>
        </w:rPr>
        <w:t xml:space="preserve">new </w:t>
      </w:r>
      <w:r w:rsidR="0077482B">
        <w:rPr>
          <w:rFonts w:ascii="Baskerville" w:hAnsi="Baskerville" w:cs="Baskerville"/>
        </w:rPr>
        <w:t xml:space="preserve">ID </w:t>
      </w:r>
      <w:r w:rsidRPr="00872254">
        <w:rPr>
          <w:rFonts w:ascii="Baskerville" w:hAnsi="Baskerville" w:cs="Baskerville"/>
        </w:rPr>
        <w:t>case managers and CSB Emergency Services staff</w:t>
      </w:r>
      <w:r w:rsidR="0077482B">
        <w:rPr>
          <w:rFonts w:ascii="Baskerville" w:hAnsi="Baskerville" w:cs="Baskerville"/>
        </w:rPr>
        <w:t xml:space="preserve"> to complete the training</w:t>
      </w:r>
      <w:r w:rsidR="00FB4180">
        <w:rPr>
          <w:rFonts w:ascii="Baskerville" w:hAnsi="Baskerville" w:cs="Baskerville"/>
        </w:rPr>
        <w:t>.</w:t>
      </w:r>
      <w:r w:rsidRPr="00872254">
        <w:rPr>
          <w:rFonts w:ascii="Baskerville" w:hAnsi="Baskerville" w:cs="Baskerville"/>
        </w:rPr>
        <w:t xml:space="preserve"> </w:t>
      </w:r>
    </w:p>
    <w:p w:rsidR="00DA3402" w:rsidRPr="00872254" w:rsidRDefault="00DA3402" w:rsidP="003518FC">
      <w:pPr>
        <w:tabs>
          <w:tab w:val="left" w:pos="1671"/>
        </w:tabs>
        <w:ind w:right="-216"/>
        <w:rPr>
          <w:rFonts w:ascii="Baskerville" w:hAnsi="Baskerville" w:cs="Baskerville"/>
        </w:rPr>
      </w:pPr>
    </w:p>
    <w:p w:rsidR="00CD2FC9" w:rsidRDefault="00033DF6" w:rsidP="003518FC">
      <w:pPr>
        <w:tabs>
          <w:tab w:val="left" w:pos="1671"/>
        </w:tabs>
        <w:ind w:right="-216"/>
        <w:rPr>
          <w:rFonts w:ascii="Baskerville" w:hAnsi="Baskerville" w:cs="Baskerville"/>
        </w:rPr>
      </w:pPr>
      <w:r w:rsidRPr="00872254">
        <w:rPr>
          <w:rFonts w:ascii="Baskerville" w:hAnsi="Baskerville" w:cs="Baskerville"/>
        </w:rPr>
        <w:t>During this review period DBHDS developed a work plan for Law Enforcement Outreach. The plan in</w:t>
      </w:r>
      <w:r w:rsidR="00D60214" w:rsidRPr="00872254">
        <w:rPr>
          <w:rFonts w:ascii="Baskerville" w:hAnsi="Baskerville" w:cs="Baskerville"/>
        </w:rPr>
        <w:t>cludes</w:t>
      </w:r>
      <w:r w:rsidR="00710BAD">
        <w:rPr>
          <w:rFonts w:ascii="Baskerville" w:hAnsi="Baskerville" w:cs="Baskerville"/>
        </w:rPr>
        <w:t>:</w:t>
      </w:r>
    </w:p>
    <w:p w:rsidR="00710BAD" w:rsidRDefault="00CD2FC9" w:rsidP="003518FC">
      <w:pPr>
        <w:tabs>
          <w:tab w:val="left" w:pos="1671"/>
        </w:tabs>
        <w:ind w:right="-216"/>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033DF6" w:rsidRPr="00872254">
        <w:rPr>
          <w:rFonts w:ascii="Baskerville" w:hAnsi="Baskerville" w:cs="Baskerville"/>
        </w:rPr>
        <w:t xml:space="preserve">communicating </w:t>
      </w:r>
      <w:r w:rsidR="00A80F11" w:rsidRPr="00872254">
        <w:rPr>
          <w:rFonts w:ascii="Baskerville" w:hAnsi="Baskerville" w:cs="Baskerville"/>
        </w:rPr>
        <w:t xml:space="preserve">with all law enforcement entities about </w:t>
      </w:r>
      <w:r w:rsidR="003019D9">
        <w:rPr>
          <w:rFonts w:ascii="Baskerville" w:hAnsi="Baskerville" w:cs="Baskerville"/>
        </w:rPr>
        <w:t>REACH;</w:t>
      </w:r>
      <w:r w:rsidR="00D60214" w:rsidRPr="00872254">
        <w:rPr>
          <w:rFonts w:ascii="Baskerville" w:hAnsi="Baskerville" w:cs="Baskerville"/>
        </w:rPr>
        <w:t xml:space="preserve"> </w:t>
      </w:r>
    </w:p>
    <w:p w:rsidR="00710BAD" w:rsidRDefault="009A2F66" w:rsidP="003518FC">
      <w:pPr>
        <w:tabs>
          <w:tab w:val="left" w:pos="1671"/>
        </w:tabs>
        <w:ind w:right="-216"/>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A80F11" w:rsidRPr="00872254">
        <w:rPr>
          <w:rFonts w:ascii="Baskerville" w:hAnsi="Baskerville" w:cs="Baskerville"/>
        </w:rPr>
        <w:t>providing information about the new children and adolescent initiative</w:t>
      </w:r>
      <w:r w:rsidR="003019D9">
        <w:rPr>
          <w:rFonts w:ascii="Baskerville" w:hAnsi="Baskerville" w:cs="Baskerville"/>
        </w:rPr>
        <w:t xml:space="preserve">; </w:t>
      </w:r>
    </w:p>
    <w:p w:rsidR="00710BAD" w:rsidRDefault="009A2F66" w:rsidP="003518FC">
      <w:pPr>
        <w:tabs>
          <w:tab w:val="left" w:pos="1671"/>
        </w:tabs>
        <w:ind w:right="-216"/>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D60214" w:rsidRPr="00872254">
        <w:rPr>
          <w:rFonts w:ascii="Baskerville" w:hAnsi="Baskerville" w:cs="Baskerville"/>
        </w:rPr>
        <w:t>creating and disseminating printed m</w:t>
      </w:r>
      <w:r w:rsidR="00710BAD">
        <w:rPr>
          <w:rFonts w:ascii="Baskerville" w:hAnsi="Baskerville" w:cs="Baskerville"/>
        </w:rPr>
        <w:t>aterials;</w:t>
      </w:r>
      <w:r w:rsidR="00D60214" w:rsidRPr="00872254">
        <w:rPr>
          <w:rFonts w:ascii="Baskerville" w:hAnsi="Baskerville" w:cs="Baskerville"/>
        </w:rPr>
        <w:t xml:space="preserve"> </w:t>
      </w:r>
    </w:p>
    <w:p w:rsidR="00710BAD" w:rsidRDefault="009A2F66" w:rsidP="003518FC">
      <w:pPr>
        <w:tabs>
          <w:tab w:val="left" w:pos="1671"/>
        </w:tabs>
        <w:ind w:right="-216"/>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D60214" w:rsidRPr="00872254">
        <w:rPr>
          <w:rFonts w:ascii="Baskerville" w:hAnsi="Baskerville" w:cs="Baskerville"/>
        </w:rPr>
        <w:t>conducting regional meeting</w:t>
      </w:r>
      <w:r w:rsidR="003019D9">
        <w:rPr>
          <w:rFonts w:ascii="Baskerville" w:hAnsi="Baskerville" w:cs="Baskerville"/>
        </w:rPr>
        <w:t>s with law enforcement entities;</w:t>
      </w:r>
      <w:r w:rsidR="00D60214" w:rsidRPr="00872254">
        <w:rPr>
          <w:rFonts w:ascii="Baskerville" w:hAnsi="Baskerville" w:cs="Baskerville"/>
        </w:rPr>
        <w:t xml:space="preserve"> and </w:t>
      </w:r>
    </w:p>
    <w:p w:rsidR="009A2F66" w:rsidRDefault="009A2F66" w:rsidP="00A10E87">
      <w:pPr>
        <w:tabs>
          <w:tab w:val="left" w:pos="1671"/>
        </w:tabs>
        <w:ind w:left="630" w:right="-216" w:hanging="63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D60214" w:rsidRPr="00872254">
        <w:rPr>
          <w:rFonts w:ascii="Baskerville" w:hAnsi="Baskerville" w:cs="Baskerville"/>
        </w:rPr>
        <w:t xml:space="preserve">developing an online training module available to police officers through the Department of Criminal Justice Services website. The training will be implemented starting in July 2015. </w:t>
      </w:r>
    </w:p>
    <w:p w:rsidR="009A2F66" w:rsidRDefault="009A2F66" w:rsidP="003518FC">
      <w:pPr>
        <w:tabs>
          <w:tab w:val="left" w:pos="1671"/>
        </w:tabs>
        <w:ind w:right="-216"/>
        <w:rPr>
          <w:rFonts w:ascii="Baskerville" w:hAnsi="Baskerville" w:cs="Baskerville"/>
        </w:rPr>
      </w:pPr>
    </w:p>
    <w:p w:rsidR="00DA3402" w:rsidRPr="00872254" w:rsidRDefault="00CD2FC9" w:rsidP="003518FC">
      <w:pPr>
        <w:tabs>
          <w:tab w:val="left" w:pos="1671"/>
        </w:tabs>
        <w:ind w:right="-216"/>
        <w:rPr>
          <w:rFonts w:ascii="Baskerville" w:hAnsi="Baskerville" w:cs="Baskerville"/>
        </w:rPr>
      </w:pPr>
      <w:r>
        <w:rPr>
          <w:rFonts w:ascii="Baskerville" w:hAnsi="Baskerville" w:cs="Baskerville"/>
        </w:rPr>
        <w:t xml:space="preserve">The </w:t>
      </w:r>
      <w:r w:rsidR="002C029B" w:rsidRPr="00872254">
        <w:rPr>
          <w:rFonts w:ascii="Baskerville" w:hAnsi="Baskerville" w:cs="Baskerville"/>
        </w:rPr>
        <w:t>REACH program</w:t>
      </w:r>
      <w:r>
        <w:rPr>
          <w:rFonts w:ascii="Baskerville" w:hAnsi="Baskerville" w:cs="Baskerville"/>
        </w:rPr>
        <w:t>s</w:t>
      </w:r>
      <w:r w:rsidR="002C029B" w:rsidRPr="00872254">
        <w:rPr>
          <w:rFonts w:ascii="Baskerville" w:hAnsi="Baskerville" w:cs="Baskerville"/>
        </w:rPr>
        <w:t xml:space="preserve"> trained 226 </w:t>
      </w:r>
      <w:r w:rsidR="003B2748">
        <w:rPr>
          <w:rFonts w:ascii="Baskerville" w:hAnsi="Baskerville" w:cs="Baskerville"/>
        </w:rPr>
        <w:t>law enforcement officer</w:t>
      </w:r>
      <w:r>
        <w:rPr>
          <w:rFonts w:ascii="Baskerville" w:hAnsi="Baskerville" w:cs="Baskerville"/>
        </w:rPr>
        <w:t>s</w:t>
      </w:r>
      <w:r w:rsidR="003B2748">
        <w:rPr>
          <w:rFonts w:ascii="Baskerville" w:hAnsi="Baskerville" w:cs="Baskerville"/>
        </w:rPr>
        <w:t xml:space="preserve"> </w:t>
      </w:r>
      <w:r w:rsidR="009711CE">
        <w:rPr>
          <w:rFonts w:ascii="Baskerville" w:hAnsi="Baskerville" w:cs="Baskerville"/>
        </w:rPr>
        <w:t>during the</w:t>
      </w:r>
      <w:r w:rsidR="002C029B" w:rsidRPr="00872254">
        <w:rPr>
          <w:rFonts w:ascii="Baskerville" w:hAnsi="Baskerville" w:cs="Baskerville"/>
        </w:rPr>
        <w:t xml:space="preserve"> reporting period</w:t>
      </w:r>
      <w:r w:rsidR="00F710D4" w:rsidRPr="00872254">
        <w:rPr>
          <w:rFonts w:ascii="Baskerville" w:hAnsi="Baskerville" w:cs="Baskerville"/>
        </w:rPr>
        <w:t xml:space="preserve">. </w:t>
      </w:r>
      <w:r w:rsidR="00BF676B">
        <w:rPr>
          <w:rFonts w:ascii="Baskerville" w:hAnsi="Baskerville" w:cs="Baskerville"/>
        </w:rPr>
        <w:t xml:space="preserve">The development and implementation of the </w:t>
      </w:r>
      <w:r w:rsidR="00BF676B" w:rsidRPr="00BF676B">
        <w:rPr>
          <w:rFonts w:ascii="Baskerville" w:hAnsi="Baskerville" w:cs="Baskerville"/>
          <w:i/>
        </w:rPr>
        <w:t>Law Enforcement Outreach</w:t>
      </w:r>
      <w:r w:rsidR="009A2F66">
        <w:rPr>
          <w:rFonts w:ascii="Baskerville" w:hAnsi="Baskerville" w:cs="Baskerville"/>
        </w:rPr>
        <w:t xml:space="preserve"> </w:t>
      </w:r>
      <w:r w:rsidR="00BF676B">
        <w:rPr>
          <w:rFonts w:ascii="Baskerville" w:hAnsi="Baskerville" w:cs="Baskerville"/>
        </w:rPr>
        <w:t xml:space="preserve">plan </w:t>
      </w:r>
      <w:r w:rsidR="009A2F66">
        <w:rPr>
          <w:rFonts w:ascii="Baskerville" w:hAnsi="Baskerville" w:cs="Baskerville"/>
        </w:rPr>
        <w:t xml:space="preserve">are </w:t>
      </w:r>
      <w:r w:rsidR="009A2F66" w:rsidRPr="00872254">
        <w:rPr>
          <w:rFonts w:ascii="Baskerville" w:hAnsi="Baskerville" w:cs="Baskerville"/>
        </w:rPr>
        <w:t>very positive step</w:t>
      </w:r>
      <w:r w:rsidR="00453689">
        <w:rPr>
          <w:rFonts w:ascii="Baskerville" w:hAnsi="Baskerville" w:cs="Baskerville"/>
        </w:rPr>
        <w:t>s</w:t>
      </w:r>
      <w:r w:rsidR="009A2F66" w:rsidRPr="00872254">
        <w:rPr>
          <w:rFonts w:ascii="Baskerville" w:hAnsi="Baskerville" w:cs="Baskerville"/>
        </w:rPr>
        <w:t>.</w:t>
      </w:r>
    </w:p>
    <w:p w:rsidR="00F710D4" w:rsidRDefault="00F710D4" w:rsidP="003518FC">
      <w:pPr>
        <w:tabs>
          <w:tab w:val="left" w:pos="1671"/>
        </w:tabs>
        <w:ind w:right="-216"/>
        <w:rPr>
          <w:rFonts w:ascii="Baskerville" w:hAnsi="Baskerville" w:cs="Baskerville"/>
        </w:rPr>
      </w:pPr>
    </w:p>
    <w:p w:rsidR="009E240D" w:rsidRDefault="009E240D" w:rsidP="003518FC">
      <w:pPr>
        <w:tabs>
          <w:tab w:val="left" w:pos="1671"/>
        </w:tabs>
        <w:ind w:right="-216"/>
        <w:rPr>
          <w:rFonts w:ascii="Baskerville" w:hAnsi="Baskerville" w:cs="Baskerville"/>
        </w:rPr>
      </w:pPr>
    </w:p>
    <w:p w:rsidR="009E240D" w:rsidRPr="00872254" w:rsidRDefault="009E240D" w:rsidP="003518FC">
      <w:pPr>
        <w:tabs>
          <w:tab w:val="left" w:pos="1671"/>
        </w:tabs>
        <w:ind w:right="-216"/>
        <w:rPr>
          <w:rFonts w:ascii="Baskerville" w:hAnsi="Baskerville" w:cs="Baskerville"/>
        </w:rPr>
      </w:pPr>
    </w:p>
    <w:p w:rsidR="00F710D4" w:rsidRPr="00872254" w:rsidRDefault="00F97BED" w:rsidP="003518FC">
      <w:pPr>
        <w:tabs>
          <w:tab w:val="left" w:pos="1671"/>
        </w:tabs>
        <w:ind w:right="-216"/>
        <w:rPr>
          <w:rFonts w:ascii="Baskerville" w:hAnsi="Baskerville" w:cs="Baskerville"/>
        </w:rPr>
      </w:pPr>
      <w:r>
        <w:rPr>
          <w:rFonts w:ascii="Baskerville" w:hAnsi="Baskerville" w:cs="Baskerville"/>
        </w:rPr>
        <w:t xml:space="preserve">The </w:t>
      </w:r>
      <w:r w:rsidR="003C0ADC">
        <w:rPr>
          <w:rFonts w:ascii="Baskerville" w:hAnsi="Baskerville" w:cs="Baskerville"/>
        </w:rPr>
        <w:t>IR</w:t>
      </w:r>
      <w:r>
        <w:rPr>
          <w:rFonts w:ascii="Baskerville" w:hAnsi="Baskerville" w:cs="Baskerville"/>
        </w:rPr>
        <w:t xml:space="preserve"> rated</w:t>
      </w:r>
      <w:r w:rsidR="00F710D4" w:rsidRPr="00872254">
        <w:rPr>
          <w:rFonts w:ascii="Baskerville" w:hAnsi="Baskerville" w:cs="Baskerville"/>
        </w:rPr>
        <w:t xml:space="preserve"> </w:t>
      </w:r>
      <w:r w:rsidR="003C0ADC">
        <w:rPr>
          <w:rFonts w:ascii="Baskerville" w:hAnsi="Baskerville" w:cs="Baskerville"/>
        </w:rPr>
        <w:t xml:space="preserve">the Commonwealth </w:t>
      </w:r>
      <w:r w:rsidR="00F710D4" w:rsidRPr="00872254">
        <w:rPr>
          <w:rFonts w:ascii="Baskerville" w:hAnsi="Baskerville" w:cs="Baskerville"/>
        </w:rPr>
        <w:t xml:space="preserve">in compliance with </w:t>
      </w:r>
      <w:r w:rsidR="00453689">
        <w:rPr>
          <w:rFonts w:ascii="Baskerville" w:hAnsi="Baskerville" w:cs="Baskerville"/>
          <w:i/>
          <w:iCs/>
        </w:rPr>
        <w:t>Section 6.b.ii.</w:t>
      </w:r>
      <w:r w:rsidR="00F710D4" w:rsidRPr="00872254">
        <w:rPr>
          <w:rFonts w:ascii="Baskerville" w:hAnsi="Baskerville" w:cs="Baskerville"/>
          <w:i/>
          <w:iCs/>
        </w:rPr>
        <w:t>C</w:t>
      </w:r>
      <w:r w:rsidR="00AB4D0F">
        <w:rPr>
          <w:rFonts w:ascii="Baskerville" w:hAnsi="Baskerville" w:cs="Baskerville"/>
          <w:i/>
          <w:iCs/>
        </w:rPr>
        <w:t>,</w:t>
      </w:r>
      <w:r w:rsidR="00F710D4" w:rsidRPr="00872254">
        <w:rPr>
          <w:rFonts w:ascii="Baskerville" w:hAnsi="Baskerville" w:cs="Baskerville"/>
          <w:i/>
          <w:iCs/>
        </w:rPr>
        <w:t xml:space="preserve"> </w:t>
      </w:r>
      <w:r>
        <w:rPr>
          <w:rFonts w:ascii="Baskerville" w:hAnsi="Baskerville" w:cs="Baskerville"/>
        </w:rPr>
        <w:t>because</w:t>
      </w:r>
      <w:r w:rsidR="00F710D4" w:rsidRPr="00872254">
        <w:rPr>
          <w:rFonts w:ascii="Baskerville" w:hAnsi="Baskerville" w:cs="Baskerville"/>
        </w:rPr>
        <w:t xml:space="preserve"> </w:t>
      </w:r>
      <w:r w:rsidR="0029408A">
        <w:rPr>
          <w:rFonts w:ascii="Baskerville" w:hAnsi="Baskerville" w:cs="Baskerville"/>
        </w:rPr>
        <w:t xml:space="preserve">REACH programs trained </w:t>
      </w:r>
      <w:r w:rsidR="00F710D4" w:rsidRPr="00872254">
        <w:rPr>
          <w:rFonts w:ascii="Baskerville" w:hAnsi="Baskerville" w:cs="Baskerville"/>
        </w:rPr>
        <w:t>ma</w:t>
      </w:r>
      <w:r w:rsidR="003B2748">
        <w:rPr>
          <w:rFonts w:ascii="Baskerville" w:hAnsi="Baskerville" w:cs="Baskerville"/>
        </w:rPr>
        <w:t>ny office</w:t>
      </w:r>
      <w:r w:rsidR="0029408A">
        <w:rPr>
          <w:rFonts w:ascii="Baskerville" w:hAnsi="Baskerville" w:cs="Baskerville"/>
        </w:rPr>
        <w:t xml:space="preserve">rs </w:t>
      </w:r>
      <w:r w:rsidR="00674BCB">
        <w:rPr>
          <w:rFonts w:ascii="Baskerville" w:hAnsi="Baskerville" w:cs="Baskerville"/>
        </w:rPr>
        <w:t>duri</w:t>
      </w:r>
      <w:r w:rsidR="009711CE">
        <w:rPr>
          <w:rFonts w:ascii="Baskerville" w:hAnsi="Baskerville" w:cs="Baskerville"/>
        </w:rPr>
        <w:t>ng</w:t>
      </w:r>
      <w:r w:rsidR="00F710D4" w:rsidRPr="00872254">
        <w:rPr>
          <w:rFonts w:ascii="Baskerville" w:hAnsi="Baskerville" w:cs="Baskerville"/>
        </w:rPr>
        <w:t xml:space="preserve"> this repor</w:t>
      </w:r>
      <w:r w:rsidR="0029408A">
        <w:rPr>
          <w:rFonts w:ascii="Baskerville" w:hAnsi="Baskerville" w:cs="Baskerville"/>
        </w:rPr>
        <w:t xml:space="preserve">ting period and the DBHDS </w:t>
      </w:r>
      <w:r w:rsidR="00F710D4" w:rsidRPr="00872254">
        <w:rPr>
          <w:rFonts w:ascii="Baskerville" w:hAnsi="Baskerville" w:cs="Baskerville"/>
        </w:rPr>
        <w:t>pla</w:t>
      </w:r>
      <w:r w:rsidR="009711CE">
        <w:rPr>
          <w:rFonts w:ascii="Baskerville" w:hAnsi="Baskerville" w:cs="Baskerville"/>
        </w:rPr>
        <w:t xml:space="preserve">n to insure </w:t>
      </w:r>
      <w:r w:rsidR="0029408A">
        <w:rPr>
          <w:rFonts w:ascii="Baskerville" w:hAnsi="Baskerville" w:cs="Baskerville"/>
        </w:rPr>
        <w:t xml:space="preserve">that </w:t>
      </w:r>
      <w:r w:rsidR="009711CE">
        <w:rPr>
          <w:rFonts w:ascii="Baskerville" w:hAnsi="Baskerville" w:cs="Baskerville"/>
        </w:rPr>
        <w:t xml:space="preserve">all </w:t>
      </w:r>
      <w:r w:rsidR="00F91A44">
        <w:rPr>
          <w:rFonts w:ascii="Baskerville" w:hAnsi="Baskerville" w:cs="Baskerville"/>
        </w:rPr>
        <w:t xml:space="preserve">new officers </w:t>
      </w:r>
      <w:r w:rsidR="009711CE">
        <w:rPr>
          <w:rFonts w:ascii="Baskerville" w:hAnsi="Baskerville" w:cs="Baskerville"/>
        </w:rPr>
        <w:t>are trained. For</w:t>
      </w:r>
      <w:r w:rsidR="00F710D4" w:rsidRPr="00872254">
        <w:rPr>
          <w:rFonts w:ascii="Baskerville" w:hAnsi="Baskerville" w:cs="Baskerville"/>
        </w:rPr>
        <w:t xml:space="preserve"> the Commonwealth to maintain a rating</w:t>
      </w:r>
      <w:r w:rsidR="00674BCB">
        <w:rPr>
          <w:rFonts w:ascii="Baskerville" w:hAnsi="Baskerville" w:cs="Baskerville"/>
        </w:rPr>
        <w:t xml:space="preserve"> of compliance</w:t>
      </w:r>
      <w:r w:rsidR="00AE01EE">
        <w:rPr>
          <w:rFonts w:ascii="Baskerville" w:hAnsi="Baskerville" w:cs="Baskerville"/>
        </w:rPr>
        <w:t>, it</w:t>
      </w:r>
      <w:r w:rsidR="00674BCB">
        <w:rPr>
          <w:rFonts w:ascii="Baskerville" w:hAnsi="Baskerville" w:cs="Baskerville"/>
        </w:rPr>
        <w:t xml:space="preserve"> </w:t>
      </w:r>
      <w:r w:rsidR="00F710D4" w:rsidRPr="00872254">
        <w:rPr>
          <w:rFonts w:ascii="Baskerville" w:hAnsi="Baskerville" w:cs="Baskerville"/>
        </w:rPr>
        <w:t>will require the ongoing and successful implementation of its outreach and training plan</w:t>
      </w:r>
      <w:r w:rsidR="00A5050D">
        <w:rPr>
          <w:rFonts w:ascii="Baskerville" w:hAnsi="Baskerville" w:cs="Baskerville"/>
        </w:rPr>
        <w:t xml:space="preserve"> and</w:t>
      </w:r>
      <w:r w:rsidR="00101BD3">
        <w:rPr>
          <w:rFonts w:ascii="Baskerville" w:hAnsi="Baskerville" w:cs="Baskerville"/>
        </w:rPr>
        <w:t xml:space="preserve"> evidence of mobile crisis team members</w:t>
      </w:r>
      <w:r w:rsidR="001C5DF3">
        <w:rPr>
          <w:rFonts w:ascii="Baskerville" w:hAnsi="Baskerville" w:cs="Baskerville"/>
        </w:rPr>
        <w:t>’</w:t>
      </w:r>
      <w:r w:rsidR="00101BD3">
        <w:rPr>
          <w:rFonts w:ascii="Baskerville" w:hAnsi="Baskerville" w:cs="Baskerville"/>
        </w:rPr>
        <w:t xml:space="preserve"> effective</w:t>
      </w:r>
      <w:r w:rsidR="00674BCB">
        <w:rPr>
          <w:rFonts w:ascii="Baskerville" w:hAnsi="Baskerville" w:cs="Baskerville"/>
        </w:rPr>
        <w:t xml:space="preserve"> w</w:t>
      </w:r>
      <w:r w:rsidR="00101BD3">
        <w:rPr>
          <w:rFonts w:ascii="Baskerville" w:hAnsi="Baskerville" w:cs="Baskerville"/>
        </w:rPr>
        <w:t>ork</w:t>
      </w:r>
      <w:r w:rsidR="002F3779">
        <w:rPr>
          <w:rFonts w:ascii="Baskerville" w:hAnsi="Baskerville" w:cs="Baskerville"/>
        </w:rPr>
        <w:t xml:space="preserve"> with law enforcement</w:t>
      </w:r>
      <w:r w:rsidR="004814F1" w:rsidRPr="00872254">
        <w:rPr>
          <w:rFonts w:ascii="Baskerville" w:hAnsi="Baskerville" w:cs="Baskerville"/>
        </w:rPr>
        <w:t>.</w:t>
      </w:r>
    </w:p>
    <w:p w:rsidR="00204875" w:rsidRPr="00872254" w:rsidRDefault="00204875" w:rsidP="003518FC">
      <w:pPr>
        <w:tabs>
          <w:tab w:val="left" w:pos="1671"/>
        </w:tabs>
        <w:ind w:right="-216"/>
        <w:rPr>
          <w:rFonts w:ascii="Baskerville" w:hAnsi="Baskerville" w:cs="Baskerville"/>
        </w:rPr>
      </w:pPr>
    </w:p>
    <w:p w:rsidR="00204875" w:rsidRPr="00872254" w:rsidRDefault="00D71B3E" w:rsidP="003518FC">
      <w:pPr>
        <w:tabs>
          <w:tab w:val="left" w:pos="1671"/>
        </w:tabs>
        <w:ind w:right="-216"/>
        <w:rPr>
          <w:rFonts w:ascii="Baskerville" w:hAnsi="Baskerville" w:cs="Baskerville"/>
        </w:rPr>
      </w:pPr>
      <w:r>
        <w:rPr>
          <w:rFonts w:ascii="Baskerville" w:hAnsi="Baskerville" w:cs="Baskerville"/>
        </w:rPr>
        <w:t>D</w:t>
      </w:r>
      <w:r w:rsidRPr="00872254">
        <w:rPr>
          <w:rFonts w:ascii="Baskerville" w:hAnsi="Baskerville" w:cs="Baskerville"/>
        </w:rPr>
        <w:t>uring the second and third quarters of FY 2015</w:t>
      </w:r>
      <w:r>
        <w:rPr>
          <w:rFonts w:ascii="Baskerville" w:hAnsi="Baskerville" w:cs="Baskerville"/>
        </w:rPr>
        <w:t>, t</w:t>
      </w:r>
      <w:r w:rsidR="00204875" w:rsidRPr="00872254">
        <w:rPr>
          <w:rFonts w:ascii="Baskerville" w:hAnsi="Baskerville" w:cs="Baskerville"/>
        </w:rPr>
        <w:t>he mobile crisis teams</w:t>
      </w:r>
      <w:r w:rsidR="00960291" w:rsidRPr="00872254">
        <w:rPr>
          <w:rFonts w:ascii="Baskerville" w:hAnsi="Baskerville" w:cs="Baskerville"/>
        </w:rPr>
        <w:t xml:space="preserve"> continued to provide </w:t>
      </w:r>
      <w:r w:rsidR="00D113F0" w:rsidRPr="00872254">
        <w:rPr>
          <w:rFonts w:ascii="Baskerville" w:hAnsi="Baskerville" w:cs="Baskerville"/>
        </w:rPr>
        <w:t xml:space="preserve">crisis </w:t>
      </w:r>
      <w:r>
        <w:rPr>
          <w:rFonts w:ascii="Baskerville" w:hAnsi="Baskerville" w:cs="Baskerville"/>
        </w:rPr>
        <w:t xml:space="preserve">service elements: crisis </w:t>
      </w:r>
      <w:r w:rsidR="00D113F0" w:rsidRPr="00872254">
        <w:rPr>
          <w:rFonts w:ascii="Baskerville" w:hAnsi="Baskerville" w:cs="Baskerville"/>
        </w:rPr>
        <w:t>plannin</w:t>
      </w:r>
      <w:r w:rsidR="00D113F0">
        <w:rPr>
          <w:rFonts w:ascii="Baskerville" w:hAnsi="Baskerville" w:cs="Baskerville"/>
        </w:rPr>
        <w:t>g</w:t>
      </w:r>
      <w:r w:rsidR="00223325" w:rsidRPr="00872254">
        <w:rPr>
          <w:rFonts w:ascii="Baskerville" w:hAnsi="Baskerville" w:cs="Baskerville"/>
        </w:rPr>
        <w:t xml:space="preserve">, crisis intervention, and </w:t>
      </w:r>
      <w:r w:rsidR="00D113F0">
        <w:rPr>
          <w:rFonts w:ascii="Baskerville" w:hAnsi="Baskerville" w:cs="Baskerville"/>
        </w:rPr>
        <w:t>crisis response</w:t>
      </w:r>
      <w:r w:rsidR="003B4006" w:rsidRPr="00872254">
        <w:rPr>
          <w:rFonts w:ascii="Baskerville" w:hAnsi="Baskerville" w:cs="Baskerville"/>
        </w:rPr>
        <w:t>.</w:t>
      </w:r>
      <w:r w:rsidR="003C7FD2" w:rsidRPr="00872254">
        <w:rPr>
          <w:rFonts w:ascii="Baskerville" w:hAnsi="Baskerville" w:cs="Baskerville"/>
        </w:rPr>
        <w:t xml:space="preserve"> </w:t>
      </w:r>
      <w:r>
        <w:rPr>
          <w:rFonts w:ascii="Baskerville" w:hAnsi="Baskerville" w:cs="Baskerville"/>
        </w:rPr>
        <w:t>The</w:t>
      </w:r>
      <w:r w:rsidR="00C907A2">
        <w:rPr>
          <w:rFonts w:ascii="Baskerville" w:hAnsi="Baskerville" w:cs="Baskerville"/>
        </w:rPr>
        <w:t xml:space="preserve"> consultant’s study</w:t>
      </w:r>
      <w:r>
        <w:rPr>
          <w:rFonts w:ascii="Baskerville" w:hAnsi="Baskerville" w:cs="Baskerville"/>
        </w:rPr>
        <w:t xml:space="preserve"> of crisis services for adults </w:t>
      </w:r>
      <w:r w:rsidR="00C907A2">
        <w:rPr>
          <w:rFonts w:ascii="Baskerville" w:hAnsi="Baskerville" w:cs="Baskerville"/>
        </w:rPr>
        <w:t xml:space="preserve">did not evaluate the qualitative aspects </w:t>
      </w:r>
      <w:r>
        <w:rPr>
          <w:rFonts w:ascii="Baskerville" w:hAnsi="Baskerville" w:cs="Baskerville"/>
        </w:rPr>
        <w:t xml:space="preserve">or </w:t>
      </w:r>
      <w:r w:rsidR="00EB56B2">
        <w:rPr>
          <w:rFonts w:ascii="Baskerville" w:hAnsi="Baskerville" w:cs="Baskerville"/>
        </w:rPr>
        <w:t>whether these cr</w:t>
      </w:r>
      <w:r w:rsidR="0094511A">
        <w:rPr>
          <w:rFonts w:ascii="Baskerville" w:hAnsi="Baskerville" w:cs="Baskerville"/>
        </w:rPr>
        <w:t>isis services achieved positive outcomes</w:t>
      </w:r>
      <w:r w:rsidR="00C907A2">
        <w:rPr>
          <w:rFonts w:ascii="Baskerville" w:hAnsi="Baskerville" w:cs="Baskerville"/>
        </w:rPr>
        <w:t xml:space="preserve">. </w:t>
      </w:r>
      <w:r w:rsidR="00707C4A">
        <w:rPr>
          <w:rFonts w:ascii="Baskerville" w:hAnsi="Baskerville" w:cs="Baskerville"/>
        </w:rPr>
        <w:t>Four of the five R</w:t>
      </w:r>
      <w:r w:rsidR="003C7FD2" w:rsidRPr="00872254">
        <w:rPr>
          <w:rFonts w:ascii="Baskerville" w:hAnsi="Baskerville" w:cs="Baskerville"/>
        </w:rPr>
        <w:t xml:space="preserve">egions </w:t>
      </w:r>
      <w:r w:rsidR="00223325" w:rsidRPr="00872254">
        <w:rPr>
          <w:rFonts w:ascii="Baskerville" w:hAnsi="Baskerville" w:cs="Baskerville"/>
        </w:rPr>
        <w:t xml:space="preserve">provided individuals with </w:t>
      </w:r>
      <w:r w:rsidR="00594462" w:rsidRPr="00872254">
        <w:rPr>
          <w:rFonts w:ascii="Baskerville" w:hAnsi="Baskerville" w:cs="Baskerville"/>
        </w:rPr>
        <w:t xml:space="preserve">in-home supports for an </w:t>
      </w:r>
      <w:r w:rsidR="00594462" w:rsidRPr="00872254">
        <w:rPr>
          <w:rFonts w:ascii="Baskerville" w:hAnsi="Baskerville" w:cs="Baskerville"/>
          <w:u w:val="single"/>
        </w:rPr>
        <w:t>average</w:t>
      </w:r>
      <w:r w:rsidR="00594462" w:rsidRPr="00872254">
        <w:rPr>
          <w:rFonts w:ascii="Baskerville" w:hAnsi="Baskerville" w:cs="Baskerville"/>
        </w:rPr>
        <w:t xml:space="preserve"> of more than three days.</w:t>
      </w:r>
    </w:p>
    <w:p w:rsidR="009C595C" w:rsidRPr="00872254" w:rsidRDefault="009C595C" w:rsidP="003518FC">
      <w:pPr>
        <w:tabs>
          <w:tab w:val="left" w:pos="1671"/>
        </w:tabs>
        <w:ind w:right="-216"/>
        <w:rPr>
          <w:rFonts w:ascii="Baskerville" w:hAnsi="Baskerville" w:cs="Baskerville"/>
        </w:rPr>
      </w:pPr>
    </w:p>
    <w:p w:rsidR="00F00A22" w:rsidRPr="00872254" w:rsidRDefault="0040312A" w:rsidP="003518FC">
      <w:pPr>
        <w:tabs>
          <w:tab w:val="left" w:pos="1671"/>
        </w:tabs>
        <w:ind w:right="-216"/>
        <w:rPr>
          <w:rFonts w:ascii="Baskerville" w:hAnsi="Baskerville" w:cs="Baskerville"/>
          <w:i/>
          <w:iCs/>
        </w:rPr>
      </w:pPr>
      <w:r w:rsidRPr="00872254">
        <w:rPr>
          <w:rFonts w:ascii="Baskerville" w:hAnsi="Baskerville" w:cs="Baskerville"/>
        </w:rPr>
        <w:t xml:space="preserve">The Commonwealth is in compliance with </w:t>
      </w:r>
      <w:r w:rsidRPr="00872254">
        <w:rPr>
          <w:rFonts w:ascii="Baskerville" w:hAnsi="Baskerville" w:cs="Baskerville"/>
          <w:i/>
          <w:iCs/>
        </w:rPr>
        <w:t>Section III.C.6.b.i.A.</w:t>
      </w:r>
      <w:r w:rsidR="00D711B5" w:rsidRPr="00872254">
        <w:rPr>
          <w:rFonts w:ascii="Baskerville" w:hAnsi="Baskerville" w:cs="Baskerville"/>
          <w:i/>
          <w:iCs/>
        </w:rPr>
        <w:t xml:space="preserve"> and B.</w:t>
      </w:r>
      <w:r w:rsidR="005D459A" w:rsidRPr="00872254">
        <w:rPr>
          <w:rFonts w:ascii="Baskerville" w:hAnsi="Baskerville" w:cs="Baskerville"/>
          <w:i/>
          <w:iCs/>
        </w:rPr>
        <w:t xml:space="preserve">, </w:t>
      </w:r>
      <w:r w:rsidR="00D5038E" w:rsidRPr="00872254">
        <w:rPr>
          <w:rFonts w:ascii="Baskerville" w:hAnsi="Baskerville" w:cs="Baskerville"/>
          <w:i/>
          <w:iCs/>
        </w:rPr>
        <w:t>with Section 6.b.ii.A.</w:t>
      </w:r>
      <w:r w:rsidR="003B4006" w:rsidRPr="00872254">
        <w:rPr>
          <w:rFonts w:ascii="Baskerville" w:hAnsi="Baskerville" w:cs="Baskerville"/>
          <w:i/>
          <w:iCs/>
        </w:rPr>
        <w:t xml:space="preserve"> and B.</w:t>
      </w:r>
      <w:r w:rsidR="005D459A" w:rsidRPr="00872254">
        <w:rPr>
          <w:rFonts w:ascii="Baskerville" w:hAnsi="Baskerville" w:cs="Baskerville"/>
          <w:i/>
          <w:iCs/>
        </w:rPr>
        <w:t xml:space="preserve">, </w:t>
      </w:r>
      <w:r w:rsidR="005D459A" w:rsidRPr="00872254">
        <w:rPr>
          <w:rFonts w:ascii="Baskerville" w:hAnsi="Baskerville" w:cs="Baskerville"/>
        </w:rPr>
        <w:t xml:space="preserve">and with </w:t>
      </w:r>
      <w:r w:rsidR="005D459A" w:rsidRPr="00872254">
        <w:rPr>
          <w:rFonts w:ascii="Baskerville" w:hAnsi="Baskerville" w:cs="Baskerville"/>
          <w:i/>
          <w:iCs/>
        </w:rPr>
        <w:t>Section III.C.6.b.ii.D</w:t>
      </w:r>
      <w:r w:rsidR="00223325" w:rsidRPr="00872254">
        <w:rPr>
          <w:rFonts w:ascii="Baskerville" w:hAnsi="Baskerville" w:cs="Baskerville"/>
          <w:i/>
          <w:iCs/>
        </w:rPr>
        <w:t xml:space="preserve"> and E.</w:t>
      </w:r>
    </w:p>
    <w:p w:rsidR="00594462" w:rsidRPr="00872254" w:rsidRDefault="00594462" w:rsidP="003518FC">
      <w:pPr>
        <w:tabs>
          <w:tab w:val="left" w:pos="1671"/>
        </w:tabs>
        <w:ind w:right="-216"/>
        <w:rPr>
          <w:rFonts w:ascii="Baskerville" w:hAnsi="Baskerville" w:cs="Baskerville"/>
          <w:i/>
          <w:iCs/>
        </w:rPr>
      </w:pPr>
    </w:p>
    <w:p w:rsidR="00594462" w:rsidRPr="00872254" w:rsidRDefault="0023491E" w:rsidP="003518FC">
      <w:pPr>
        <w:tabs>
          <w:tab w:val="left" w:pos="1671"/>
        </w:tabs>
        <w:ind w:right="-216"/>
        <w:rPr>
          <w:rFonts w:ascii="Baskerville" w:hAnsi="Baskerville" w:cs="Baskerville"/>
          <w:iCs/>
        </w:rPr>
      </w:pPr>
      <w:r>
        <w:rPr>
          <w:rFonts w:ascii="Baskerville" w:hAnsi="Baskerville" w:cs="Baskerville"/>
          <w:iCs/>
        </w:rPr>
        <w:t>The Agreement requires that mobile crisis teams</w:t>
      </w:r>
      <w:r w:rsidR="003C3259" w:rsidRPr="00872254">
        <w:rPr>
          <w:rFonts w:ascii="Baskerville" w:hAnsi="Baskerville" w:cs="Baskerville"/>
          <w:iCs/>
        </w:rPr>
        <w:t xml:space="preserve"> respond to on-site crises within two hours</w:t>
      </w:r>
      <w:r w:rsidR="002F3779">
        <w:rPr>
          <w:rFonts w:ascii="Baskerville" w:hAnsi="Baskerville" w:cs="Baskerville"/>
          <w:iCs/>
        </w:rPr>
        <w:t xml:space="preserve">, and to </w:t>
      </w:r>
      <w:r w:rsidR="00EA0938">
        <w:rPr>
          <w:rFonts w:ascii="Baskerville" w:hAnsi="Baskerville" w:cs="Baskerville"/>
          <w:iCs/>
        </w:rPr>
        <w:t xml:space="preserve">achieve </w:t>
      </w:r>
      <w:r w:rsidR="002F3779">
        <w:rPr>
          <w:rFonts w:ascii="Baskerville" w:hAnsi="Baskerville" w:cs="Baskerville"/>
          <w:iCs/>
        </w:rPr>
        <w:t>average response times</w:t>
      </w:r>
      <w:r w:rsidR="00A1373A" w:rsidRPr="00872254">
        <w:rPr>
          <w:rFonts w:ascii="Baskerville" w:hAnsi="Baskerville" w:cs="Baskerville"/>
          <w:iCs/>
        </w:rPr>
        <w:t xml:space="preserve"> </w:t>
      </w:r>
      <w:r w:rsidR="002F3779">
        <w:rPr>
          <w:rFonts w:ascii="Baskerville" w:hAnsi="Baskerville" w:cs="Baskerville"/>
          <w:iCs/>
        </w:rPr>
        <w:t>with</w:t>
      </w:r>
      <w:r w:rsidR="00A1373A" w:rsidRPr="00872254">
        <w:rPr>
          <w:rFonts w:ascii="Baskerville" w:hAnsi="Baskerville" w:cs="Baskerville"/>
          <w:iCs/>
        </w:rPr>
        <w:t xml:space="preserve">in one hour in </w:t>
      </w:r>
      <w:r w:rsidR="00EA0938">
        <w:rPr>
          <w:rFonts w:ascii="Baskerville" w:hAnsi="Baskerville" w:cs="Baskerville"/>
          <w:iCs/>
        </w:rPr>
        <w:t>urban areas</w:t>
      </w:r>
      <w:r w:rsidR="002E0211">
        <w:rPr>
          <w:rFonts w:ascii="Baskerville" w:hAnsi="Baskerville" w:cs="Baskerville"/>
          <w:iCs/>
        </w:rPr>
        <w:t>. DBHDS has</w:t>
      </w:r>
      <w:r w:rsidR="00602AE4">
        <w:rPr>
          <w:rFonts w:ascii="Baskerville" w:hAnsi="Baskerville" w:cs="Baskerville"/>
          <w:iCs/>
        </w:rPr>
        <w:t xml:space="preserve"> defined</w:t>
      </w:r>
      <w:r w:rsidR="002E0211">
        <w:rPr>
          <w:rFonts w:ascii="Baskerville" w:hAnsi="Baskerville" w:cs="Baskerville"/>
          <w:iCs/>
        </w:rPr>
        <w:t xml:space="preserve"> the urban areas</w:t>
      </w:r>
      <w:r w:rsidR="00453196" w:rsidRPr="00872254">
        <w:rPr>
          <w:rFonts w:ascii="Baskerville" w:hAnsi="Baskerville" w:cs="Baskerville"/>
          <w:iCs/>
        </w:rPr>
        <w:t xml:space="preserve"> as </w:t>
      </w:r>
      <w:r w:rsidR="002E0211">
        <w:rPr>
          <w:rFonts w:ascii="Baskerville" w:hAnsi="Baskerville" w:cs="Baskerville"/>
          <w:iCs/>
        </w:rPr>
        <w:t xml:space="preserve">Region </w:t>
      </w:r>
      <w:r w:rsidR="00A1373A" w:rsidRPr="00872254">
        <w:rPr>
          <w:rFonts w:ascii="Baskerville" w:hAnsi="Baskerville" w:cs="Baskerville"/>
          <w:iCs/>
        </w:rPr>
        <w:t>II (Nort</w:t>
      </w:r>
      <w:r w:rsidR="00453196" w:rsidRPr="00872254">
        <w:rPr>
          <w:rFonts w:ascii="Baskerville" w:hAnsi="Baskerville" w:cs="Baskerville"/>
          <w:iCs/>
        </w:rPr>
        <w:t xml:space="preserve">hern Virginia) and </w:t>
      </w:r>
      <w:r w:rsidR="002E0211">
        <w:rPr>
          <w:rFonts w:ascii="Baskerville" w:hAnsi="Baskerville" w:cs="Baskerville"/>
          <w:iCs/>
        </w:rPr>
        <w:t xml:space="preserve">Region </w:t>
      </w:r>
      <w:r w:rsidR="00453196" w:rsidRPr="00872254">
        <w:rPr>
          <w:rFonts w:ascii="Baskerville" w:hAnsi="Baskerville" w:cs="Baskerville"/>
          <w:iCs/>
        </w:rPr>
        <w:t>IV (greater Capitol area)</w:t>
      </w:r>
      <w:r w:rsidR="000A390E">
        <w:rPr>
          <w:rFonts w:ascii="Baskerville" w:hAnsi="Baskerville" w:cs="Baskerville"/>
          <w:iCs/>
        </w:rPr>
        <w:t xml:space="preserve">. </w:t>
      </w:r>
      <w:r w:rsidR="00025AF2">
        <w:rPr>
          <w:rFonts w:ascii="Baskerville" w:hAnsi="Baskerville" w:cs="Baskerville"/>
          <w:iCs/>
        </w:rPr>
        <w:t xml:space="preserve">Previously, the </w:t>
      </w:r>
      <w:r w:rsidR="009E240D">
        <w:rPr>
          <w:rFonts w:ascii="Baskerville" w:hAnsi="Baskerville" w:cs="Baskerville"/>
          <w:iCs/>
        </w:rPr>
        <w:t xml:space="preserve">mobile crisis response time was </w:t>
      </w:r>
      <w:r w:rsidR="00FA08AD">
        <w:rPr>
          <w:rFonts w:ascii="Baskerville" w:hAnsi="Baskerville" w:cs="Baskerville"/>
          <w:iCs/>
        </w:rPr>
        <w:t xml:space="preserve">measured as </w:t>
      </w:r>
      <w:r w:rsidR="009E240D">
        <w:rPr>
          <w:rFonts w:ascii="Baskerville" w:hAnsi="Baskerville" w:cs="Baskerville"/>
          <w:iCs/>
        </w:rPr>
        <w:t xml:space="preserve">the </w:t>
      </w:r>
      <w:r w:rsidR="00FA08AD">
        <w:rPr>
          <w:rFonts w:ascii="Baskerville" w:hAnsi="Baskerville" w:cs="Baskerville"/>
          <w:iCs/>
        </w:rPr>
        <w:t xml:space="preserve">amount of time between when </w:t>
      </w:r>
      <w:r w:rsidR="009E240D">
        <w:rPr>
          <w:rFonts w:ascii="Baskerville" w:hAnsi="Baskerville" w:cs="Baskerville"/>
          <w:iCs/>
        </w:rPr>
        <w:t>the crisis</w:t>
      </w:r>
      <w:r w:rsidR="00FA08AD">
        <w:rPr>
          <w:rFonts w:ascii="Baskerville" w:hAnsi="Baskerville" w:cs="Baskerville"/>
          <w:iCs/>
        </w:rPr>
        <w:t xml:space="preserve"> call was received and when </w:t>
      </w:r>
      <w:r w:rsidR="009E240D">
        <w:rPr>
          <w:rFonts w:ascii="Baskerville" w:hAnsi="Baskerville" w:cs="Baskerville"/>
          <w:iCs/>
        </w:rPr>
        <w:t xml:space="preserve">the mobile crisis team arrived at the site of the crisis. </w:t>
      </w:r>
      <w:r w:rsidR="000A390E">
        <w:rPr>
          <w:rFonts w:ascii="Baskerville" w:hAnsi="Baskerville" w:cs="Baskerville"/>
          <w:iCs/>
        </w:rPr>
        <w:t>T</w:t>
      </w:r>
      <w:r w:rsidR="002F22D2" w:rsidRPr="00872254">
        <w:rPr>
          <w:rFonts w:ascii="Baskerville" w:hAnsi="Baskerville" w:cs="Baskerville"/>
          <w:iCs/>
        </w:rPr>
        <w:t>he indepe</w:t>
      </w:r>
      <w:r w:rsidR="00602AE4">
        <w:rPr>
          <w:rFonts w:ascii="Baskerville" w:hAnsi="Baskerville" w:cs="Baskerville"/>
          <w:iCs/>
        </w:rPr>
        <w:t>ndent consultant learned</w:t>
      </w:r>
      <w:r w:rsidR="00C91C98" w:rsidRPr="00872254">
        <w:rPr>
          <w:rFonts w:ascii="Baskerville" w:hAnsi="Baskerville" w:cs="Baskerville"/>
          <w:iCs/>
        </w:rPr>
        <w:t xml:space="preserve"> in the course of the revi</w:t>
      </w:r>
      <w:r w:rsidR="00E60B88" w:rsidRPr="00872254">
        <w:rPr>
          <w:rFonts w:ascii="Baskerville" w:hAnsi="Baskerville" w:cs="Baskerville"/>
          <w:iCs/>
        </w:rPr>
        <w:t>ew</w:t>
      </w:r>
      <w:r w:rsidR="000A390E">
        <w:rPr>
          <w:rFonts w:ascii="Baskerville" w:hAnsi="Baskerville" w:cs="Baskerville"/>
          <w:iCs/>
        </w:rPr>
        <w:t>, however,</w:t>
      </w:r>
      <w:r w:rsidR="00E60B88" w:rsidRPr="00872254">
        <w:rPr>
          <w:rFonts w:ascii="Baskerville" w:hAnsi="Baskerville" w:cs="Baskerville"/>
          <w:iCs/>
        </w:rPr>
        <w:t xml:space="preserve"> that the</w:t>
      </w:r>
      <w:r w:rsidR="000A390E">
        <w:rPr>
          <w:rFonts w:ascii="Baskerville" w:hAnsi="Baskerville" w:cs="Baskerville"/>
          <w:iCs/>
        </w:rPr>
        <w:t xml:space="preserve"> Commonwealth changed how it measures response time. During the review period, the REACH programs</w:t>
      </w:r>
      <w:r w:rsidR="00602AE4">
        <w:rPr>
          <w:rFonts w:ascii="Baskerville" w:hAnsi="Baskerville" w:cs="Baskerville"/>
          <w:iCs/>
        </w:rPr>
        <w:t xml:space="preserve"> determine</w:t>
      </w:r>
      <w:r w:rsidR="000A390E">
        <w:rPr>
          <w:rFonts w:ascii="Baskerville" w:hAnsi="Baskerville" w:cs="Baskerville"/>
          <w:iCs/>
        </w:rPr>
        <w:t>d</w:t>
      </w:r>
      <w:r w:rsidR="00602AE4">
        <w:rPr>
          <w:rFonts w:ascii="Baskerville" w:hAnsi="Baskerville" w:cs="Baskerville"/>
          <w:iCs/>
        </w:rPr>
        <w:t xml:space="preserve"> </w:t>
      </w:r>
      <w:r w:rsidR="00C91C98" w:rsidRPr="00872254">
        <w:rPr>
          <w:rFonts w:ascii="Baskerville" w:hAnsi="Baskerville" w:cs="Baskerville"/>
          <w:iCs/>
        </w:rPr>
        <w:t xml:space="preserve">response time </w:t>
      </w:r>
      <w:r w:rsidR="0063217C">
        <w:rPr>
          <w:rFonts w:ascii="Baskerville" w:hAnsi="Baskerville" w:cs="Baskerville"/>
          <w:iCs/>
        </w:rPr>
        <w:t>would begin</w:t>
      </w:r>
      <w:r w:rsidR="00C60A7D">
        <w:rPr>
          <w:rFonts w:ascii="Baskerville" w:hAnsi="Baskerville" w:cs="Baskerville"/>
          <w:iCs/>
        </w:rPr>
        <w:t xml:space="preserve"> </w:t>
      </w:r>
      <w:r w:rsidR="009A3C3D" w:rsidRPr="000A390E">
        <w:rPr>
          <w:rFonts w:ascii="Baskerville" w:hAnsi="Baskerville" w:cs="Baskerville"/>
          <w:iCs/>
          <w:u w:val="single"/>
        </w:rPr>
        <w:t>after</w:t>
      </w:r>
      <w:r w:rsidR="009A6DB0">
        <w:rPr>
          <w:rFonts w:ascii="Baskerville" w:hAnsi="Baskerville" w:cs="Baskerville"/>
          <w:iCs/>
        </w:rPr>
        <w:t xml:space="preserve"> it completes an</w:t>
      </w:r>
      <w:r w:rsidR="00E60B88" w:rsidRPr="00872254">
        <w:rPr>
          <w:rFonts w:ascii="Baskerville" w:hAnsi="Baskerville" w:cs="Baskerville"/>
          <w:iCs/>
        </w:rPr>
        <w:t xml:space="preserve"> internal </w:t>
      </w:r>
      <w:r w:rsidR="0077482B">
        <w:rPr>
          <w:rFonts w:ascii="Baskerville" w:hAnsi="Baskerville" w:cs="Baskerville"/>
          <w:iCs/>
        </w:rPr>
        <w:t xml:space="preserve">review </w:t>
      </w:r>
      <w:r w:rsidR="00DF6B2B">
        <w:rPr>
          <w:rFonts w:ascii="Baskerville" w:hAnsi="Baskerville" w:cs="Baskerville"/>
          <w:iCs/>
        </w:rPr>
        <w:t>and determines</w:t>
      </w:r>
      <w:r w:rsidR="00E60B88" w:rsidRPr="00872254">
        <w:rPr>
          <w:rFonts w:ascii="Baskerville" w:hAnsi="Baskerville" w:cs="Baskerville"/>
          <w:iCs/>
        </w:rPr>
        <w:t xml:space="preserve"> that a face-to-face </w:t>
      </w:r>
      <w:r w:rsidR="00F604BD" w:rsidRPr="00872254">
        <w:rPr>
          <w:rFonts w:ascii="Baskerville" w:hAnsi="Baskerville" w:cs="Baskerville"/>
          <w:iCs/>
        </w:rPr>
        <w:t>assessment is neede</w:t>
      </w:r>
      <w:r w:rsidR="000A390E">
        <w:rPr>
          <w:rFonts w:ascii="Baskerville" w:hAnsi="Baskerville" w:cs="Baskerville"/>
          <w:iCs/>
        </w:rPr>
        <w:t>d. Furthermore, t</w:t>
      </w:r>
      <w:r w:rsidR="009A3C3D">
        <w:rPr>
          <w:rFonts w:ascii="Baskerville" w:hAnsi="Baskerville" w:cs="Baskerville"/>
          <w:iCs/>
        </w:rPr>
        <w:t xml:space="preserve">he Commonwealth </w:t>
      </w:r>
      <w:r w:rsidR="00F604BD" w:rsidRPr="00872254">
        <w:rPr>
          <w:rFonts w:ascii="Baskerville" w:hAnsi="Baskerville" w:cs="Baskerville"/>
          <w:iCs/>
        </w:rPr>
        <w:t xml:space="preserve">cannot report the </w:t>
      </w:r>
      <w:r w:rsidR="00C5555F" w:rsidRPr="00872254">
        <w:rPr>
          <w:rFonts w:ascii="Baskerville" w:hAnsi="Baskerville" w:cs="Baskerville"/>
          <w:iCs/>
        </w:rPr>
        <w:t xml:space="preserve">length of </w:t>
      </w:r>
      <w:r w:rsidR="00F604BD" w:rsidRPr="00872254">
        <w:rPr>
          <w:rFonts w:ascii="Baskerville" w:hAnsi="Baskerville" w:cs="Baskerville"/>
          <w:iCs/>
        </w:rPr>
        <w:t xml:space="preserve">time </w:t>
      </w:r>
      <w:r w:rsidR="000179B2">
        <w:rPr>
          <w:rFonts w:ascii="Baskerville" w:hAnsi="Baskerville" w:cs="Baskerville"/>
          <w:iCs/>
        </w:rPr>
        <w:t>these</w:t>
      </w:r>
      <w:r w:rsidR="00C5555F" w:rsidRPr="00872254">
        <w:rPr>
          <w:rFonts w:ascii="Baskerville" w:hAnsi="Baskerville" w:cs="Baskerville"/>
          <w:iCs/>
        </w:rPr>
        <w:t xml:space="preserve"> </w:t>
      </w:r>
      <w:r w:rsidR="009A6DB0">
        <w:rPr>
          <w:rFonts w:ascii="Baskerville" w:hAnsi="Baskerville" w:cs="Baskerville"/>
          <w:iCs/>
        </w:rPr>
        <w:t>assessment</w:t>
      </w:r>
      <w:r w:rsidR="00C60A7D">
        <w:rPr>
          <w:rFonts w:ascii="Baskerville" w:hAnsi="Baskerville" w:cs="Baskerville"/>
          <w:iCs/>
        </w:rPr>
        <w:t xml:space="preserve"> </w:t>
      </w:r>
      <w:r w:rsidR="00C5555F" w:rsidRPr="00872254">
        <w:rPr>
          <w:rFonts w:ascii="Baskerville" w:hAnsi="Baskerville" w:cs="Baskerville"/>
          <w:iCs/>
        </w:rPr>
        <w:t>decision</w:t>
      </w:r>
      <w:r w:rsidR="000179B2">
        <w:rPr>
          <w:rFonts w:ascii="Baskerville" w:hAnsi="Baskerville" w:cs="Baskerville"/>
          <w:iCs/>
        </w:rPr>
        <w:t>s require</w:t>
      </w:r>
      <w:r w:rsidR="00F604BD" w:rsidRPr="00872254">
        <w:rPr>
          <w:rFonts w:ascii="Baskerville" w:hAnsi="Baskerville" w:cs="Baskerville"/>
          <w:iCs/>
        </w:rPr>
        <w:t xml:space="preserve">. </w:t>
      </w:r>
      <w:r w:rsidR="00DA1D17">
        <w:rPr>
          <w:rFonts w:ascii="Baskerville" w:hAnsi="Baskerville" w:cs="Baskerville"/>
          <w:iCs/>
        </w:rPr>
        <w:t xml:space="preserve"> The purpose of the specific </w:t>
      </w:r>
      <w:r w:rsidR="006D363F" w:rsidRPr="00872254">
        <w:rPr>
          <w:rFonts w:ascii="Baskerville" w:hAnsi="Baskerville" w:cs="Baskerville"/>
          <w:iCs/>
        </w:rPr>
        <w:t xml:space="preserve">response standards in the Agreement is to </w:t>
      </w:r>
      <w:r w:rsidR="00705263">
        <w:rPr>
          <w:rFonts w:ascii="Baskerville" w:hAnsi="Baskerville" w:cs="Baskerville"/>
          <w:iCs/>
        </w:rPr>
        <w:t xml:space="preserve">offer timely on-site assessment, services, supports, and treatment to </w:t>
      </w:r>
      <w:r w:rsidR="00C14048">
        <w:rPr>
          <w:rFonts w:ascii="Baskerville" w:hAnsi="Baskerville" w:cs="Baskerville"/>
          <w:iCs/>
        </w:rPr>
        <w:t xml:space="preserve">de-escalate </w:t>
      </w:r>
      <w:r w:rsidR="00B607DC">
        <w:rPr>
          <w:rFonts w:ascii="Baskerville" w:hAnsi="Baskerville" w:cs="Baskerville"/>
          <w:iCs/>
        </w:rPr>
        <w:t>and help</w:t>
      </w:r>
      <w:r w:rsidR="006D363F" w:rsidRPr="00872254">
        <w:rPr>
          <w:rFonts w:ascii="Baskerville" w:hAnsi="Baskerville" w:cs="Baskerville"/>
          <w:iCs/>
        </w:rPr>
        <w:t xml:space="preserve"> famili</w:t>
      </w:r>
      <w:r w:rsidR="009A3C3D">
        <w:rPr>
          <w:rFonts w:ascii="Baskerville" w:hAnsi="Baskerville" w:cs="Baskerville"/>
          <w:iCs/>
        </w:rPr>
        <w:t xml:space="preserve">es and providers to </w:t>
      </w:r>
      <w:r w:rsidR="006D363F" w:rsidRPr="00872254">
        <w:rPr>
          <w:rFonts w:ascii="Baskerville" w:hAnsi="Baskerville" w:cs="Baskerville"/>
          <w:iCs/>
        </w:rPr>
        <w:t>assist a</w:t>
      </w:r>
      <w:r w:rsidR="006F66F6" w:rsidRPr="00872254">
        <w:rPr>
          <w:rFonts w:ascii="Baskerville" w:hAnsi="Baskerville" w:cs="Baskerville"/>
          <w:iCs/>
        </w:rPr>
        <w:t xml:space="preserve"> person in crisis. DBHDS cannot accurately report</w:t>
      </w:r>
      <w:r w:rsidR="002571BD" w:rsidRPr="00872254">
        <w:rPr>
          <w:rFonts w:ascii="Baskerville" w:hAnsi="Baskerville" w:cs="Baskerville"/>
          <w:iCs/>
        </w:rPr>
        <w:t xml:space="preserve"> the </w:t>
      </w:r>
      <w:r w:rsidR="007F5C41" w:rsidRPr="00872254">
        <w:rPr>
          <w:rFonts w:ascii="Baskerville" w:hAnsi="Baskerville" w:cs="Baskerville"/>
          <w:iCs/>
        </w:rPr>
        <w:t xml:space="preserve">actual </w:t>
      </w:r>
      <w:r w:rsidR="002571BD" w:rsidRPr="00872254">
        <w:rPr>
          <w:rFonts w:ascii="Baskerville" w:hAnsi="Baskerville" w:cs="Baskerville"/>
          <w:iCs/>
        </w:rPr>
        <w:t xml:space="preserve">length of time </w:t>
      </w:r>
      <w:r w:rsidR="008D5CE3">
        <w:rPr>
          <w:rFonts w:ascii="Baskerville" w:hAnsi="Baskerville" w:cs="Baskerville"/>
          <w:iCs/>
        </w:rPr>
        <w:t>for mobile crisis team</w:t>
      </w:r>
      <w:r w:rsidR="006F66F6" w:rsidRPr="00872254">
        <w:rPr>
          <w:rFonts w:ascii="Baskerville" w:hAnsi="Baskerville" w:cs="Baskerville"/>
          <w:iCs/>
        </w:rPr>
        <w:t xml:space="preserve"> responses.</w:t>
      </w:r>
      <w:r w:rsidR="00DE7B17">
        <w:rPr>
          <w:rFonts w:ascii="Baskerville" w:hAnsi="Baskerville" w:cs="Baskerville"/>
          <w:iCs/>
        </w:rPr>
        <w:t xml:space="preserve"> The IR will continue to determine that the Commonwealth is not in compliance </w:t>
      </w:r>
      <w:r w:rsidR="00593C7E" w:rsidRPr="00872254">
        <w:rPr>
          <w:rFonts w:ascii="Baskerville" w:hAnsi="Baskerville" w:cs="Baskerville"/>
          <w:iCs/>
        </w:rPr>
        <w:t>unti</w:t>
      </w:r>
      <w:r w:rsidR="00B35EF3">
        <w:rPr>
          <w:rFonts w:ascii="Baskerville" w:hAnsi="Baskerville" w:cs="Baskerville"/>
          <w:iCs/>
        </w:rPr>
        <w:t xml:space="preserve">l </w:t>
      </w:r>
      <w:r w:rsidR="00F158F6">
        <w:rPr>
          <w:rFonts w:ascii="Baskerville" w:hAnsi="Baskerville" w:cs="Baskerville"/>
          <w:iCs/>
        </w:rPr>
        <w:t xml:space="preserve">data regarding </w:t>
      </w:r>
      <w:r w:rsidR="00B35EF3">
        <w:rPr>
          <w:rFonts w:ascii="Baskerville" w:hAnsi="Baskerville" w:cs="Baskerville"/>
          <w:iCs/>
        </w:rPr>
        <w:t xml:space="preserve">response times are </w:t>
      </w:r>
      <w:r w:rsidR="00F158F6">
        <w:rPr>
          <w:rFonts w:ascii="Baskerville" w:hAnsi="Baskerville" w:cs="Baskerville"/>
          <w:iCs/>
        </w:rPr>
        <w:t xml:space="preserve">complete and are </w:t>
      </w:r>
      <w:r w:rsidR="00593C7E" w:rsidRPr="00872254">
        <w:rPr>
          <w:rFonts w:ascii="Baskerville" w:hAnsi="Baskerville" w:cs="Baskerville"/>
          <w:iCs/>
        </w:rPr>
        <w:t xml:space="preserve">based on the </w:t>
      </w:r>
      <w:r w:rsidR="005C67A4">
        <w:rPr>
          <w:rFonts w:ascii="Baskerville" w:hAnsi="Baskerville" w:cs="Baskerville"/>
          <w:iCs/>
        </w:rPr>
        <w:t xml:space="preserve">length of </w:t>
      </w:r>
      <w:r w:rsidR="005E1136">
        <w:rPr>
          <w:rFonts w:ascii="Baskerville" w:hAnsi="Baskerville" w:cs="Baskerville"/>
          <w:iCs/>
        </w:rPr>
        <w:t>time from the call to</w:t>
      </w:r>
      <w:r w:rsidR="00593C7E" w:rsidRPr="00872254">
        <w:rPr>
          <w:rFonts w:ascii="Baskerville" w:hAnsi="Baskerville" w:cs="Baskerville"/>
          <w:iCs/>
        </w:rPr>
        <w:t xml:space="preserve"> </w:t>
      </w:r>
      <w:r w:rsidR="00B35EF3">
        <w:rPr>
          <w:rFonts w:ascii="Baskerville" w:hAnsi="Baskerville" w:cs="Baskerville"/>
          <w:iCs/>
        </w:rPr>
        <w:t xml:space="preserve">the </w:t>
      </w:r>
      <w:r w:rsidR="00F158F6">
        <w:rPr>
          <w:rFonts w:ascii="Baskerville" w:hAnsi="Baskerville" w:cs="Baskerville"/>
          <w:iCs/>
        </w:rPr>
        <w:t xml:space="preserve">time mobile crisis team member(s) </w:t>
      </w:r>
      <w:r w:rsidR="00E03FBD">
        <w:rPr>
          <w:rFonts w:ascii="Baskerville" w:hAnsi="Baskerville" w:cs="Baskerville"/>
          <w:iCs/>
        </w:rPr>
        <w:t>arrive</w:t>
      </w:r>
      <w:r w:rsidR="00593C7E" w:rsidRPr="00872254">
        <w:rPr>
          <w:rFonts w:ascii="Baskerville" w:hAnsi="Baskerville" w:cs="Baskerville"/>
          <w:iCs/>
        </w:rPr>
        <w:t xml:space="preserve"> </w:t>
      </w:r>
      <w:r w:rsidR="00B35EF3">
        <w:rPr>
          <w:rFonts w:ascii="Baskerville" w:hAnsi="Baskerville" w:cs="Baskerville"/>
          <w:iCs/>
        </w:rPr>
        <w:t xml:space="preserve">at the site of the crisis </w:t>
      </w:r>
      <w:r w:rsidR="00593C7E" w:rsidRPr="00872254">
        <w:rPr>
          <w:rFonts w:ascii="Baskerville" w:hAnsi="Baskerville" w:cs="Baskerville"/>
          <w:iCs/>
        </w:rPr>
        <w:t xml:space="preserve">and when data </w:t>
      </w:r>
      <w:r w:rsidR="00722284">
        <w:rPr>
          <w:rFonts w:ascii="Baskerville" w:hAnsi="Baskerville" w:cs="Baskerville"/>
          <w:iCs/>
        </w:rPr>
        <w:t>provide</w:t>
      </w:r>
      <w:r w:rsidR="00DB5D0A">
        <w:rPr>
          <w:rFonts w:ascii="Baskerville" w:hAnsi="Baskerville" w:cs="Baskerville"/>
          <w:iCs/>
        </w:rPr>
        <w:t>d</w:t>
      </w:r>
      <w:r w:rsidR="00722284">
        <w:rPr>
          <w:rFonts w:ascii="Baskerville" w:hAnsi="Baskerville" w:cs="Baskerville"/>
          <w:iCs/>
        </w:rPr>
        <w:t xml:space="preserve"> </w:t>
      </w:r>
      <w:r w:rsidR="00593C7E" w:rsidRPr="00872254">
        <w:rPr>
          <w:rFonts w:ascii="Baskerville" w:hAnsi="Baskerville" w:cs="Baskerville"/>
          <w:iCs/>
        </w:rPr>
        <w:t>are complete.</w:t>
      </w:r>
      <w:r w:rsidR="00B607DC">
        <w:rPr>
          <w:rFonts w:ascii="Baskerville" w:hAnsi="Baskerville" w:cs="Baskerville"/>
          <w:iCs/>
        </w:rPr>
        <w:t xml:space="preserve"> </w:t>
      </w:r>
      <w:r w:rsidR="00734AD9" w:rsidRPr="00872254">
        <w:rPr>
          <w:rFonts w:ascii="Baskerville" w:hAnsi="Baskerville" w:cs="Baskerville"/>
          <w:iCs/>
        </w:rPr>
        <w:t xml:space="preserve">Although the actual response times are of </w:t>
      </w:r>
      <w:r w:rsidR="00722284">
        <w:rPr>
          <w:rFonts w:ascii="Baskerville" w:hAnsi="Baskerville" w:cs="Baskerville"/>
          <w:iCs/>
        </w:rPr>
        <w:t>a longer duration</w:t>
      </w:r>
      <w:r w:rsidR="00267447">
        <w:rPr>
          <w:rFonts w:ascii="Baskerville" w:hAnsi="Baskerville" w:cs="Baskerville"/>
          <w:iCs/>
        </w:rPr>
        <w:t xml:space="preserve"> than reported</w:t>
      </w:r>
      <w:r w:rsidR="00722284">
        <w:rPr>
          <w:rFonts w:ascii="Baskerville" w:hAnsi="Baskerville" w:cs="Baskerville"/>
          <w:iCs/>
        </w:rPr>
        <w:t xml:space="preserve">, </w:t>
      </w:r>
      <w:r w:rsidR="00C14048">
        <w:rPr>
          <w:rFonts w:ascii="Baskerville" w:hAnsi="Baskerville" w:cs="Baskerville"/>
          <w:iCs/>
        </w:rPr>
        <w:t>the sho</w:t>
      </w:r>
      <w:r w:rsidR="00C60A7D">
        <w:rPr>
          <w:rFonts w:ascii="Baskerville" w:hAnsi="Baskerville" w:cs="Baskerville"/>
          <w:iCs/>
        </w:rPr>
        <w:t>rter th</w:t>
      </w:r>
      <w:r w:rsidR="00B81822">
        <w:rPr>
          <w:rFonts w:ascii="Baskerville" w:hAnsi="Baskerville" w:cs="Baskerville"/>
          <w:iCs/>
        </w:rPr>
        <w:t xml:space="preserve">an actual times </w:t>
      </w:r>
      <w:r w:rsidR="00C14048">
        <w:rPr>
          <w:rFonts w:ascii="Baskerville" w:hAnsi="Baskerville" w:cs="Baskerville"/>
          <w:iCs/>
        </w:rPr>
        <w:t xml:space="preserve">again </w:t>
      </w:r>
      <w:r w:rsidR="00734AD9" w:rsidRPr="00872254">
        <w:rPr>
          <w:rFonts w:ascii="Baskerville" w:hAnsi="Baskerville" w:cs="Baskerville"/>
          <w:iCs/>
        </w:rPr>
        <w:t>demonstrate</w:t>
      </w:r>
      <w:r w:rsidR="00C14048">
        <w:rPr>
          <w:rFonts w:ascii="Baskerville" w:hAnsi="Baskerville" w:cs="Baskerville"/>
          <w:iCs/>
        </w:rPr>
        <w:t>d</w:t>
      </w:r>
      <w:r w:rsidR="00734AD9" w:rsidRPr="00872254">
        <w:rPr>
          <w:rFonts w:ascii="Baskerville" w:hAnsi="Baskerville" w:cs="Baskerville"/>
          <w:iCs/>
        </w:rPr>
        <w:t xml:space="preserve"> that the </w:t>
      </w:r>
      <w:r w:rsidR="003B7E26">
        <w:rPr>
          <w:rFonts w:ascii="Baskerville" w:hAnsi="Baskerville" w:cs="Baskerville"/>
          <w:iCs/>
        </w:rPr>
        <w:t xml:space="preserve">mobile crisis teams </w:t>
      </w:r>
      <w:r w:rsidR="00C60A7D">
        <w:rPr>
          <w:rFonts w:ascii="Baskerville" w:hAnsi="Baskerville" w:cs="Baskerville"/>
          <w:iCs/>
        </w:rPr>
        <w:t>continue</w:t>
      </w:r>
      <w:r w:rsidR="00734AD9" w:rsidRPr="00872254">
        <w:rPr>
          <w:rFonts w:ascii="Baskerville" w:hAnsi="Baskerville" w:cs="Baskerville"/>
          <w:iCs/>
        </w:rPr>
        <w:t xml:space="preserve"> not to respond to </w:t>
      </w:r>
      <w:r w:rsidR="00447E45" w:rsidRPr="00872254">
        <w:rPr>
          <w:rFonts w:ascii="Baskerville" w:hAnsi="Baskerville" w:cs="Baskerville"/>
          <w:iCs/>
        </w:rPr>
        <w:t>all crisis calls within two ho</w:t>
      </w:r>
      <w:r w:rsidR="00B51CE9">
        <w:rPr>
          <w:rFonts w:ascii="Baskerville" w:hAnsi="Baskerville" w:cs="Baskerville"/>
          <w:iCs/>
        </w:rPr>
        <w:t>urs. The Commonwealth has not</w:t>
      </w:r>
      <w:r w:rsidR="00447E45" w:rsidRPr="00872254">
        <w:rPr>
          <w:rFonts w:ascii="Baskerville" w:hAnsi="Baskerville" w:cs="Baskerville"/>
          <w:iCs/>
        </w:rPr>
        <w:t xml:space="preserve"> create</w:t>
      </w:r>
      <w:r w:rsidR="00B51CE9">
        <w:rPr>
          <w:rFonts w:ascii="Baskerville" w:hAnsi="Baskerville" w:cs="Baskerville"/>
          <w:iCs/>
        </w:rPr>
        <w:t>d</w:t>
      </w:r>
      <w:r w:rsidR="00447E45" w:rsidRPr="00872254">
        <w:rPr>
          <w:rFonts w:ascii="Baskerville" w:hAnsi="Baskerville" w:cs="Baskerville"/>
          <w:iCs/>
        </w:rPr>
        <w:t xml:space="preserve"> se</w:t>
      </w:r>
      <w:r w:rsidR="00B51CE9">
        <w:rPr>
          <w:rFonts w:ascii="Baskerville" w:hAnsi="Baskerville" w:cs="Baskerville"/>
          <w:iCs/>
        </w:rPr>
        <w:t>cond mobile crisis teams</w:t>
      </w:r>
      <w:r w:rsidR="00C60A7D">
        <w:rPr>
          <w:rFonts w:ascii="Baskerville" w:hAnsi="Baskerville" w:cs="Baskerville"/>
          <w:iCs/>
        </w:rPr>
        <w:t xml:space="preserve">, </w:t>
      </w:r>
      <w:r w:rsidR="003B7E26">
        <w:rPr>
          <w:rFonts w:ascii="Baskerville" w:hAnsi="Baskerville" w:cs="Baskerville"/>
          <w:iCs/>
        </w:rPr>
        <w:t xml:space="preserve">as the </w:t>
      </w:r>
      <w:r w:rsidR="00C60A7D">
        <w:rPr>
          <w:rFonts w:ascii="Baskerville" w:hAnsi="Baskerville" w:cs="Baskerville"/>
          <w:iCs/>
        </w:rPr>
        <w:t xml:space="preserve">Agreement </w:t>
      </w:r>
      <w:r w:rsidR="003B7E26">
        <w:rPr>
          <w:rFonts w:ascii="Baskerville" w:hAnsi="Baskerville" w:cs="Baskerville"/>
          <w:iCs/>
        </w:rPr>
        <w:t>requires</w:t>
      </w:r>
      <w:r w:rsidR="00C60A7D">
        <w:rPr>
          <w:rFonts w:ascii="Baskerville" w:hAnsi="Baskerville" w:cs="Baskerville"/>
          <w:iCs/>
        </w:rPr>
        <w:t>,</w:t>
      </w:r>
      <w:r w:rsidR="00B51CE9">
        <w:rPr>
          <w:rFonts w:ascii="Baskerville" w:hAnsi="Baskerville" w:cs="Baskerville"/>
          <w:iCs/>
        </w:rPr>
        <w:t xml:space="preserve"> in </w:t>
      </w:r>
      <w:r w:rsidR="00B81822">
        <w:rPr>
          <w:rFonts w:ascii="Baskerville" w:hAnsi="Baskerville" w:cs="Baskerville"/>
          <w:iCs/>
        </w:rPr>
        <w:t>the</w:t>
      </w:r>
      <w:r w:rsidR="00C60A7D">
        <w:rPr>
          <w:rFonts w:ascii="Baskerville" w:hAnsi="Baskerville" w:cs="Baskerville"/>
          <w:iCs/>
        </w:rPr>
        <w:t xml:space="preserve"> </w:t>
      </w:r>
      <w:r w:rsidR="00D56469">
        <w:rPr>
          <w:rFonts w:ascii="Baskerville" w:hAnsi="Baskerville" w:cs="Baskerville"/>
          <w:iCs/>
        </w:rPr>
        <w:t>R</w:t>
      </w:r>
      <w:r w:rsidR="00447E45" w:rsidRPr="00872254">
        <w:rPr>
          <w:rFonts w:ascii="Baskerville" w:hAnsi="Baskerville" w:cs="Baskerville"/>
          <w:iCs/>
        </w:rPr>
        <w:t>egion</w:t>
      </w:r>
      <w:r w:rsidR="00B51CE9">
        <w:rPr>
          <w:rFonts w:ascii="Baskerville" w:hAnsi="Baskerville" w:cs="Baskerville"/>
          <w:iCs/>
        </w:rPr>
        <w:t>s</w:t>
      </w:r>
      <w:r w:rsidR="003B7E26">
        <w:rPr>
          <w:rFonts w:ascii="Baskerville" w:hAnsi="Baskerville" w:cs="Baskerville"/>
          <w:iCs/>
        </w:rPr>
        <w:t xml:space="preserve"> that have</w:t>
      </w:r>
      <w:r w:rsidR="00C60A7D">
        <w:rPr>
          <w:rFonts w:ascii="Baskerville" w:hAnsi="Baskerville" w:cs="Baskerville"/>
          <w:iCs/>
        </w:rPr>
        <w:t xml:space="preserve"> </w:t>
      </w:r>
      <w:r w:rsidR="00C14048">
        <w:rPr>
          <w:rFonts w:ascii="Baskerville" w:hAnsi="Baskerville" w:cs="Baskerville"/>
          <w:iCs/>
        </w:rPr>
        <w:t>not met the required</w:t>
      </w:r>
      <w:r w:rsidR="00B51CE9">
        <w:rPr>
          <w:rFonts w:ascii="Baskerville" w:hAnsi="Baskerville" w:cs="Baskerville"/>
          <w:iCs/>
        </w:rPr>
        <w:t xml:space="preserve"> response</w:t>
      </w:r>
      <w:r w:rsidR="00C14048">
        <w:rPr>
          <w:rFonts w:ascii="Baskerville" w:hAnsi="Baskerville" w:cs="Baskerville"/>
          <w:iCs/>
        </w:rPr>
        <w:t xml:space="preserve"> times</w:t>
      </w:r>
      <w:r w:rsidR="00B51CE9">
        <w:rPr>
          <w:rFonts w:ascii="Baskerville" w:hAnsi="Baskerville" w:cs="Baskerville"/>
          <w:iCs/>
        </w:rPr>
        <w:t>.</w:t>
      </w:r>
    </w:p>
    <w:p w:rsidR="00593C7E" w:rsidRPr="00872254" w:rsidRDefault="00593C7E" w:rsidP="003518FC">
      <w:pPr>
        <w:tabs>
          <w:tab w:val="left" w:pos="1671"/>
        </w:tabs>
        <w:ind w:right="-216"/>
        <w:rPr>
          <w:rFonts w:ascii="Baskerville" w:hAnsi="Baskerville" w:cs="Baskerville"/>
        </w:rPr>
      </w:pPr>
    </w:p>
    <w:p w:rsidR="00F00A22" w:rsidRPr="00872254" w:rsidRDefault="007F5C41" w:rsidP="003518FC">
      <w:pPr>
        <w:tabs>
          <w:tab w:val="left" w:pos="1671"/>
        </w:tabs>
        <w:ind w:right="-216"/>
        <w:rPr>
          <w:rFonts w:ascii="Baskerville" w:hAnsi="Baskerville" w:cs="Baskerville"/>
        </w:rPr>
      </w:pPr>
      <w:r w:rsidRPr="00872254">
        <w:rPr>
          <w:rFonts w:ascii="Baskerville" w:hAnsi="Baskerville" w:cs="Baskerville"/>
        </w:rPr>
        <w:t xml:space="preserve">The Commonwealth remains out of compliance with </w:t>
      </w:r>
      <w:r w:rsidRPr="00872254">
        <w:rPr>
          <w:rFonts w:ascii="Baskerville" w:hAnsi="Baskerville" w:cs="Baskerville"/>
          <w:i/>
          <w:iCs/>
        </w:rPr>
        <w:t xml:space="preserve">Section III.C.6.b.ii.G. </w:t>
      </w:r>
      <w:r w:rsidRPr="00872254">
        <w:rPr>
          <w:rFonts w:ascii="Baskerville" w:hAnsi="Baskerville" w:cs="Baskerville"/>
        </w:rPr>
        <w:t xml:space="preserve">and is also not in compliance with </w:t>
      </w:r>
      <w:r w:rsidRPr="00872254">
        <w:rPr>
          <w:rFonts w:ascii="Baskerville" w:hAnsi="Baskerville" w:cs="Baskerville"/>
          <w:i/>
          <w:iCs/>
        </w:rPr>
        <w:t>Section III.C.6.b.ii.H</w:t>
      </w:r>
      <w:r w:rsidRPr="00872254">
        <w:rPr>
          <w:rFonts w:ascii="Baskerville" w:hAnsi="Baskerville" w:cs="Baskerville"/>
        </w:rPr>
        <w:t>.</w:t>
      </w:r>
    </w:p>
    <w:p w:rsidR="009D34D7" w:rsidRPr="00872254" w:rsidRDefault="009D34D7" w:rsidP="003518FC">
      <w:pPr>
        <w:tabs>
          <w:tab w:val="left" w:pos="1671"/>
        </w:tabs>
        <w:ind w:right="-216"/>
        <w:rPr>
          <w:rFonts w:ascii="Baskerville" w:hAnsi="Baskerville" w:cs="Baskerville"/>
        </w:rPr>
      </w:pPr>
    </w:p>
    <w:p w:rsidR="00E70AA0" w:rsidRPr="00872254" w:rsidRDefault="005E6DD4" w:rsidP="003518FC">
      <w:pPr>
        <w:tabs>
          <w:tab w:val="left" w:pos="1671"/>
        </w:tabs>
        <w:ind w:right="-216"/>
        <w:rPr>
          <w:rFonts w:ascii="Baskerville" w:hAnsi="Baskerville" w:cs="Baskerville"/>
          <w:u w:val="single"/>
        </w:rPr>
      </w:pPr>
      <w:r w:rsidRPr="00872254">
        <w:rPr>
          <w:rFonts w:ascii="Baskerville" w:hAnsi="Baskerville" w:cs="Baskerville"/>
          <w:u w:val="single"/>
        </w:rPr>
        <w:t>Crisis Stabilization</w:t>
      </w:r>
      <w:r w:rsidR="00E70AA0" w:rsidRPr="00872254">
        <w:rPr>
          <w:rFonts w:ascii="Baskerville" w:hAnsi="Baskerville" w:cs="Baskerville"/>
          <w:u w:val="single"/>
        </w:rPr>
        <w:t>:</w:t>
      </w:r>
    </w:p>
    <w:p w:rsidR="00E70AA0" w:rsidRPr="00872254" w:rsidRDefault="00785150" w:rsidP="003518FC">
      <w:pPr>
        <w:tabs>
          <w:tab w:val="left" w:pos="1671"/>
        </w:tabs>
        <w:ind w:right="-216"/>
        <w:rPr>
          <w:rFonts w:ascii="Baskerville" w:hAnsi="Baskerville" w:cs="Baskerville"/>
        </w:rPr>
      </w:pPr>
      <w:r w:rsidRPr="00872254">
        <w:rPr>
          <w:rFonts w:ascii="Baskerville" w:hAnsi="Baskerville" w:cs="Baskerville"/>
        </w:rPr>
        <w:t xml:space="preserve">The Commonwealth is in </w:t>
      </w:r>
      <w:r w:rsidR="00BA40F5" w:rsidRPr="00872254">
        <w:rPr>
          <w:rFonts w:ascii="Baskerville" w:hAnsi="Baskerville" w:cs="Baskerville"/>
        </w:rPr>
        <w:t xml:space="preserve">compliance with four of five provisions </w:t>
      </w:r>
      <w:r w:rsidR="001C5DF3">
        <w:rPr>
          <w:rFonts w:ascii="Baskerville" w:hAnsi="Baskerville" w:cs="Baskerville"/>
        </w:rPr>
        <w:t xml:space="preserve">related to </w:t>
      </w:r>
      <w:r w:rsidR="0080204F">
        <w:rPr>
          <w:rFonts w:ascii="Baskerville" w:hAnsi="Baskerville" w:cs="Baskerville"/>
        </w:rPr>
        <w:t>the development and operations of its</w:t>
      </w:r>
      <w:r w:rsidR="0080204F" w:rsidRPr="00872254">
        <w:rPr>
          <w:rFonts w:ascii="Baskerville" w:hAnsi="Baskerville" w:cs="Baskerville"/>
        </w:rPr>
        <w:t xml:space="preserve"> </w:t>
      </w:r>
      <w:r w:rsidRPr="00872254">
        <w:rPr>
          <w:rFonts w:ascii="Baskerville" w:hAnsi="Baskerville" w:cs="Baskerville"/>
        </w:rPr>
        <w:t>crisis stabilization programs</w:t>
      </w:r>
      <w:r w:rsidR="00D64C91">
        <w:rPr>
          <w:rFonts w:ascii="Baskerville" w:hAnsi="Baskerville" w:cs="Baskerville"/>
        </w:rPr>
        <w:t>. It is</w:t>
      </w:r>
      <w:r w:rsidR="00BA40F5" w:rsidRPr="00872254">
        <w:rPr>
          <w:rFonts w:ascii="Baskerville" w:hAnsi="Baskerville" w:cs="Baskerville"/>
        </w:rPr>
        <w:t xml:space="preserve"> in substantial compliance with the fifth provision. </w:t>
      </w:r>
      <w:r w:rsidR="00B607DC">
        <w:rPr>
          <w:rFonts w:ascii="Baskerville" w:hAnsi="Baskerville" w:cs="Baskerville"/>
        </w:rPr>
        <w:t>Each R</w:t>
      </w:r>
      <w:r w:rsidR="0033630E" w:rsidRPr="00872254">
        <w:rPr>
          <w:rFonts w:ascii="Baskerville" w:hAnsi="Baskerville" w:cs="Baskerville"/>
        </w:rPr>
        <w:t>egion’s c</w:t>
      </w:r>
      <w:r w:rsidR="00D64C91">
        <w:rPr>
          <w:rFonts w:ascii="Baskerville" w:hAnsi="Baskerville" w:cs="Baskerville"/>
        </w:rPr>
        <w:t>risis stabilization program (now called</w:t>
      </w:r>
      <w:r w:rsidR="0033630E" w:rsidRPr="00872254">
        <w:rPr>
          <w:rFonts w:ascii="Baskerville" w:hAnsi="Baskerville" w:cs="Baskerville"/>
        </w:rPr>
        <w:t xml:space="preserve"> Crisis Therapeutic Homes)</w:t>
      </w:r>
      <w:r w:rsidR="008124EF">
        <w:rPr>
          <w:rFonts w:ascii="Baskerville" w:hAnsi="Baskerville" w:cs="Baskerville"/>
        </w:rPr>
        <w:t xml:space="preserve"> is</w:t>
      </w:r>
      <w:r w:rsidR="00F3495B" w:rsidRPr="00872254">
        <w:rPr>
          <w:rFonts w:ascii="Baskerville" w:hAnsi="Baskerville" w:cs="Baskerville"/>
        </w:rPr>
        <w:t xml:space="preserve"> providing short-term alternatives to individuals who need</w:t>
      </w:r>
      <w:r w:rsidR="00C64983" w:rsidRPr="00872254">
        <w:rPr>
          <w:rFonts w:ascii="Baskerville" w:hAnsi="Baskerville" w:cs="Baskerville"/>
        </w:rPr>
        <w:t xml:space="preserve"> in</w:t>
      </w:r>
      <w:r w:rsidR="007E46A7">
        <w:rPr>
          <w:rFonts w:ascii="Baskerville" w:hAnsi="Baskerville" w:cs="Baskerville"/>
        </w:rPr>
        <w:t>-</w:t>
      </w:r>
      <w:r w:rsidR="00C64983" w:rsidRPr="00872254">
        <w:rPr>
          <w:rFonts w:ascii="Baskerville" w:hAnsi="Baskerville" w:cs="Baskerville"/>
        </w:rPr>
        <w:t>patient stabilization se</w:t>
      </w:r>
      <w:r w:rsidR="00B607DC">
        <w:rPr>
          <w:rFonts w:ascii="Baskerville" w:hAnsi="Baskerville" w:cs="Baskerville"/>
        </w:rPr>
        <w:t>rvices. All R</w:t>
      </w:r>
      <w:r w:rsidR="003A2EE6">
        <w:rPr>
          <w:rFonts w:ascii="Baskerville" w:hAnsi="Baskerville" w:cs="Baskerville"/>
        </w:rPr>
        <w:t xml:space="preserve">egions </w:t>
      </w:r>
      <w:r w:rsidR="00C64983" w:rsidRPr="00872254">
        <w:rPr>
          <w:rFonts w:ascii="Baskerville" w:hAnsi="Baskerville" w:cs="Baskerville"/>
        </w:rPr>
        <w:t xml:space="preserve">Crisis Therapeutic Homes </w:t>
      </w:r>
      <w:r w:rsidR="001B2E6A" w:rsidRPr="00872254">
        <w:rPr>
          <w:rFonts w:ascii="Baskerville" w:hAnsi="Baskerville" w:cs="Baskerville"/>
        </w:rPr>
        <w:t>have six or fewer beds</w:t>
      </w:r>
      <w:r w:rsidR="00A1674E" w:rsidRPr="00872254">
        <w:rPr>
          <w:rFonts w:ascii="Baskerville" w:hAnsi="Baskerville" w:cs="Baskerville"/>
        </w:rPr>
        <w:t>.</w:t>
      </w:r>
      <w:r w:rsidR="001B2E6A" w:rsidRPr="00872254">
        <w:rPr>
          <w:rFonts w:ascii="Baskerville" w:hAnsi="Baskerville" w:cs="Baskerville"/>
        </w:rPr>
        <w:t xml:space="preserve"> For those admitted</w:t>
      </w:r>
      <w:r w:rsidR="003A2EE6">
        <w:rPr>
          <w:rFonts w:ascii="Baskerville" w:hAnsi="Baskerville" w:cs="Baskerville"/>
        </w:rPr>
        <w:t xml:space="preserve"> to the </w:t>
      </w:r>
      <w:r w:rsidR="003A2EE6" w:rsidRPr="00872254">
        <w:rPr>
          <w:rFonts w:ascii="Baskerville" w:hAnsi="Baskerville" w:cs="Baskerville"/>
        </w:rPr>
        <w:t>Crisis Therapeutic Homes</w:t>
      </w:r>
      <w:r w:rsidR="00326D56">
        <w:rPr>
          <w:rFonts w:ascii="Baskerville" w:hAnsi="Baskerville" w:cs="Baskerville"/>
        </w:rPr>
        <w:t xml:space="preserve"> (CTH)</w:t>
      </w:r>
      <w:r w:rsidR="001B2E6A" w:rsidRPr="00872254">
        <w:rPr>
          <w:rFonts w:ascii="Baskerville" w:hAnsi="Baskerville" w:cs="Baskerville"/>
        </w:rPr>
        <w:t>, the programs were used as a</w:t>
      </w:r>
      <w:r w:rsidR="00C64983" w:rsidRPr="00872254">
        <w:rPr>
          <w:rFonts w:ascii="Baskerville" w:hAnsi="Baskerville" w:cs="Baskerville"/>
        </w:rPr>
        <w:t xml:space="preserve"> last resort</w:t>
      </w:r>
      <w:r w:rsidR="008C3AD9" w:rsidRPr="00872254">
        <w:rPr>
          <w:rFonts w:ascii="Baskerville" w:hAnsi="Baskerville" w:cs="Baskerville"/>
        </w:rPr>
        <w:t xml:space="preserve"> to avoid out-of-home placements</w:t>
      </w:r>
      <w:r w:rsidR="00B607DC">
        <w:rPr>
          <w:rFonts w:ascii="Baskerville" w:hAnsi="Baskerville" w:cs="Baskerville"/>
        </w:rPr>
        <w:t>. Four of the five R</w:t>
      </w:r>
      <w:r w:rsidR="00221EED" w:rsidRPr="00872254">
        <w:rPr>
          <w:rFonts w:ascii="Baskerville" w:hAnsi="Baskerville" w:cs="Baskerville"/>
        </w:rPr>
        <w:t>egions have Crisis Therapeutic Homes</w:t>
      </w:r>
      <w:r w:rsidR="007E08CC" w:rsidRPr="00872254">
        <w:rPr>
          <w:rFonts w:ascii="Baskerville" w:hAnsi="Baskerville" w:cs="Baskerville"/>
        </w:rPr>
        <w:t xml:space="preserve"> that are locat</w:t>
      </w:r>
      <w:r w:rsidR="0021490D" w:rsidRPr="00872254">
        <w:rPr>
          <w:rFonts w:ascii="Baskerville" w:hAnsi="Baskerville" w:cs="Baskerville"/>
        </w:rPr>
        <w:t>ed in community settings</w:t>
      </w:r>
      <w:r w:rsidR="007E08CC" w:rsidRPr="00872254">
        <w:rPr>
          <w:rFonts w:ascii="Baskerville" w:hAnsi="Baskerville" w:cs="Baskerville"/>
        </w:rPr>
        <w:t xml:space="preserve">. </w:t>
      </w:r>
      <w:r w:rsidR="0021490D" w:rsidRPr="00872254">
        <w:rPr>
          <w:rFonts w:ascii="Baskerville" w:hAnsi="Baskerville" w:cs="Baskerville"/>
        </w:rPr>
        <w:t xml:space="preserve"> The fifth Region has </w:t>
      </w:r>
      <w:r w:rsidR="00A65388" w:rsidRPr="00872254">
        <w:rPr>
          <w:rFonts w:ascii="Baskerville" w:hAnsi="Baskerville" w:cs="Baskerville"/>
        </w:rPr>
        <w:t xml:space="preserve">completed </w:t>
      </w:r>
      <w:r w:rsidR="003409F1" w:rsidRPr="00872254">
        <w:rPr>
          <w:rFonts w:ascii="Baskerville" w:hAnsi="Baskerville" w:cs="Baskerville"/>
        </w:rPr>
        <w:t xml:space="preserve">architectural drawings and has </w:t>
      </w:r>
      <w:r w:rsidR="0021490D" w:rsidRPr="00872254">
        <w:rPr>
          <w:rFonts w:ascii="Baskerville" w:hAnsi="Baskerville" w:cs="Baskerville"/>
        </w:rPr>
        <w:t>recently</w:t>
      </w:r>
      <w:r w:rsidR="003409F1" w:rsidRPr="00872254">
        <w:rPr>
          <w:rFonts w:ascii="Baskerville" w:hAnsi="Baskerville" w:cs="Baskerville"/>
        </w:rPr>
        <w:t xml:space="preserve"> pu</w:t>
      </w:r>
      <w:r w:rsidR="007D6909" w:rsidRPr="00872254">
        <w:rPr>
          <w:rFonts w:ascii="Baskerville" w:hAnsi="Baskerville" w:cs="Baskerville"/>
        </w:rPr>
        <w:t>rchase</w:t>
      </w:r>
      <w:r w:rsidR="00A65388">
        <w:rPr>
          <w:rFonts w:ascii="Baskerville" w:hAnsi="Baskerville" w:cs="Baskerville"/>
        </w:rPr>
        <w:t>d a community-based site for its</w:t>
      </w:r>
      <w:r w:rsidR="007D6909" w:rsidRPr="00872254">
        <w:rPr>
          <w:rFonts w:ascii="Baskerville" w:hAnsi="Baskerville" w:cs="Baskerville"/>
        </w:rPr>
        <w:t xml:space="preserve"> program. </w:t>
      </w:r>
    </w:p>
    <w:p w:rsidR="001B2E6A" w:rsidRPr="00872254" w:rsidRDefault="001B2E6A" w:rsidP="003518FC">
      <w:pPr>
        <w:tabs>
          <w:tab w:val="left" w:pos="1671"/>
        </w:tabs>
        <w:ind w:right="-216"/>
        <w:rPr>
          <w:rFonts w:ascii="Baskerville" w:hAnsi="Baskerville" w:cs="Baskerville"/>
        </w:rPr>
      </w:pPr>
    </w:p>
    <w:p w:rsidR="001B2E6A" w:rsidRPr="00872254" w:rsidRDefault="00CA03BA" w:rsidP="003518FC">
      <w:pPr>
        <w:tabs>
          <w:tab w:val="left" w:pos="1671"/>
        </w:tabs>
        <w:ind w:right="-216"/>
        <w:rPr>
          <w:rFonts w:ascii="Baskerville" w:hAnsi="Baskerville" w:cs="Baskerville"/>
          <w:i/>
          <w:iCs/>
        </w:rPr>
      </w:pPr>
      <w:r w:rsidRPr="00872254">
        <w:rPr>
          <w:rFonts w:ascii="Baskerville" w:hAnsi="Baskerville" w:cs="Baskerville"/>
        </w:rPr>
        <w:t>The Commonwealth remains in</w:t>
      </w:r>
      <w:r w:rsidR="001B2E6A" w:rsidRPr="00872254">
        <w:rPr>
          <w:rFonts w:ascii="Baskerville" w:hAnsi="Baskerville" w:cs="Baskerville"/>
        </w:rPr>
        <w:t xml:space="preserve"> compliance with </w:t>
      </w:r>
      <w:r w:rsidR="001B2E6A" w:rsidRPr="00872254">
        <w:rPr>
          <w:rFonts w:ascii="Baskerville" w:hAnsi="Baskerville" w:cs="Baskerville"/>
          <w:i/>
          <w:iCs/>
        </w:rPr>
        <w:t>Section III.C.6.b.</w:t>
      </w:r>
      <w:r w:rsidR="00DD14AA" w:rsidRPr="00872254">
        <w:rPr>
          <w:rFonts w:ascii="Baskerville" w:hAnsi="Baskerville" w:cs="Baskerville"/>
          <w:i/>
          <w:iCs/>
        </w:rPr>
        <w:t>i</w:t>
      </w:r>
      <w:r w:rsidRPr="00872254">
        <w:rPr>
          <w:rFonts w:ascii="Baskerville" w:hAnsi="Baskerville" w:cs="Baskerville"/>
          <w:i/>
          <w:iCs/>
        </w:rPr>
        <w:t>ii.A</w:t>
      </w:r>
      <w:r w:rsidR="001B2E6A" w:rsidRPr="00872254">
        <w:rPr>
          <w:rFonts w:ascii="Baskerville" w:hAnsi="Baskerville" w:cs="Baskerville"/>
          <w:i/>
          <w:iCs/>
        </w:rPr>
        <w:t>.</w:t>
      </w:r>
      <w:r w:rsidRPr="00872254">
        <w:rPr>
          <w:rFonts w:ascii="Baskerville" w:hAnsi="Baskerville" w:cs="Baskerville"/>
          <w:i/>
          <w:iCs/>
        </w:rPr>
        <w:t xml:space="preserve">,B,D, </w:t>
      </w:r>
      <w:r w:rsidR="005D4C23" w:rsidRPr="00872254">
        <w:rPr>
          <w:rFonts w:ascii="Baskerville" w:hAnsi="Baskerville" w:cs="Baskerville"/>
          <w:i/>
          <w:iCs/>
        </w:rPr>
        <w:t xml:space="preserve">F and G. </w:t>
      </w:r>
      <w:r w:rsidR="005D4C23" w:rsidRPr="00872254">
        <w:rPr>
          <w:rFonts w:ascii="Baskerville" w:hAnsi="Baskerville" w:cs="Baskerville"/>
          <w:iCs/>
        </w:rPr>
        <w:t xml:space="preserve">It is in substantial compliance </w:t>
      </w:r>
      <w:r w:rsidR="001B2E6A" w:rsidRPr="00872254">
        <w:rPr>
          <w:rFonts w:ascii="Baskerville" w:hAnsi="Baskerville" w:cs="Baskerville"/>
        </w:rPr>
        <w:t xml:space="preserve">with </w:t>
      </w:r>
      <w:r w:rsidR="001B2E6A" w:rsidRPr="00872254">
        <w:rPr>
          <w:rFonts w:ascii="Baskerville" w:hAnsi="Baskerville" w:cs="Baskerville"/>
          <w:i/>
          <w:iCs/>
        </w:rPr>
        <w:t>Section III.C.6.b.ii</w:t>
      </w:r>
      <w:r w:rsidR="000C4BF7" w:rsidRPr="00872254">
        <w:rPr>
          <w:rFonts w:ascii="Baskerville" w:hAnsi="Baskerville" w:cs="Baskerville"/>
          <w:i/>
          <w:iCs/>
        </w:rPr>
        <w:t>i.E.</w:t>
      </w:r>
    </w:p>
    <w:p w:rsidR="000C4BF7" w:rsidRPr="00872254" w:rsidRDefault="000C4BF7" w:rsidP="003518FC">
      <w:pPr>
        <w:tabs>
          <w:tab w:val="left" w:pos="1671"/>
        </w:tabs>
        <w:ind w:right="-216"/>
        <w:rPr>
          <w:rFonts w:ascii="Baskerville" w:hAnsi="Baskerville" w:cs="Baskerville"/>
          <w:i/>
          <w:iCs/>
        </w:rPr>
      </w:pPr>
    </w:p>
    <w:p w:rsidR="007F5C41" w:rsidRDefault="00A65388" w:rsidP="003518FC">
      <w:pPr>
        <w:tabs>
          <w:tab w:val="left" w:pos="1671"/>
        </w:tabs>
        <w:ind w:right="-216"/>
        <w:rPr>
          <w:rFonts w:ascii="Baskerville" w:hAnsi="Baskerville" w:cs="Baskerville"/>
        </w:rPr>
      </w:pPr>
      <w:r>
        <w:rPr>
          <w:rFonts w:ascii="Baskerville" w:hAnsi="Baskerville" w:cs="Baskerville"/>
          <w:iCs/>
        </w:rPr>
        <w:t>In this and previous reports, t</w:t>
      </w:r>
      <w:r w:rsidR="000C4BF7" w:rsidRPr="00872254">
        <w:rPr>
          <w:rFonts w:ascii="Baskerville" w:hAnsi="Baskerville" w:cs="Baskerville"/>
          <w:iCs/>
        </w:rPr>
        <w:t>he</w:t>
      </w:r>
      <w:r w:rsidR="007261B2" w:rsidRPr="00872254">
        <w:rPr>
          <w:rFonts w:ascii="Baskerville" w:hAnsi="Baskerville" w:cs="Baskerville"/>
          <w:iCs/>
        </w:rPr>
        <w:t xml:space="preserve"> </w:t>
      </w:r>
      <w:r w:rsidR="00D15402">
        <w:rPr>
          <w:rFonts w:ascii="Baskerville" w:hAnsi="Baskerville" w:cs="Baskerville"/>
          <w:iCs/>
        </w:rPr>
        <w:t xml:space="preserve">IR determined the </w:t>
      </w:r>
      <w:r w:rsidR="007261B2" w:rsidRPr="00872254">
        <w:rPr>
          <w:rFonts w:ascii="Baskerville" w:hAnsi="Baskerville" w:cs="Baskerville"/>
          <w:iCs/>
        </w:rPr>
        <w:t>c</w:t>
      </w:r>
      <w:r w:rsidR="000C4BF7" w:rsidRPr="00872254">
        <w:rPr>
          <w:rFonts w:ascii="Baskerville" w:hAnsi="Baskerville" w:cs="Baskerville"/>
          <w:iCs/>
        </w:rPr>
        <w:t xml:space="preserve">ompliance </w:t>
      </w:r>
      <w:r w:rsidR="007261B2" w:rsidRPr="00872254">
        <w:rPr>
          <w:rFonts w:ascii="Baskerville" w:hAnsi="Baskerville" w:cs="Baskerville"/>
          <w:iCs/>
        </w:rPr>
        <w:t>ratings for the crisis stabilization programs</w:t>
      </w:r>
      <w:r w:rsidR="00D15402">
        <w:rPr>
          <w:rFonts w:ascii="Baskerville" w:hAnsi="Baskerville" w:cs="Baskerville"/>
          <w:iCs/>
        </w:rPr>
        <w:t xml:space="preserve"> were</w:t>
      </w:r>
      <w:r w:rsidR="007261B2" w:rsidRPr="00872254">
        <w:rPr>
          <w:rFonts w:ascii="Baskerville" w:hAnsi="Baskerville" w:cs="Baskerville"/>
          <w:iCs/>
        </w:rPr>
        <w:t xml:space="preserve"> </w:t>
      </w:r>
      <w:r w:rsidR="00D15402">
        <w:rPr>
          <w:rFonts w:ascii="Baskerville" w:hAnsi="Baskerville" w:cs="Baskerville"/>
          <w:iCs/>
        </w:rPr>
        <w:t>based</w:t>
      </w:r>
      <w:r w:rsidR="000C4BF7" w:rsidRPr="00872254">
        <w:rPr>
          <w:rFonts w:ascii="Baskerville" w:hAnsi="Baskerville" w:cs="Baskerville"/>
          <w:iCs/>
        </w:rPr>
        <w:t xml:space="preserve"> on </w:t>
      </w:r>
      <w:r w:rsidR="000252A7" w:rsidRPr="00872254">
        <w:rPr>
          <w:rFonts w:ascii="Baskerville" w:hAnsi="Baskerville" w:cs="Baskerville"/>
          <w:iCs/>
        </w:rPr>
        <w:t>w</w:t>
      </w:r>
      <w:r w:rsidR="00D15402">
        <w:rPr>
          <w:rFonts w:ascii="Baskerville" w:hAnsi="Baskerville" w:cs="Baskerville"/>
          <w:iCs/>
        </w:rPr>
        <w:t xml:space="preserve">hether these </w:t>
      </w:r>
      <w:r w:rsidR="000252A7" w:rsidRPr="00872254">
        <w:rPr>
          <w:rFonts w:ascii="Baskerville" w:hAnsi="Baskerville" w:cs="Baskerville"/>
          <w:iCs/>
        </w:rPr>
        <w:t>programs have been used as a “last resort”</w:t>
      </w:r>
      <w:r w:rsidR="00BA5B93" w:rsidRPr="00872254">
        <w:rPr>
          <w:rFonts w:ascii="Baskerville" w:hAnsi="Baskerville" w:cs="Baskerville"/>
          <w:iCs/>
        </w:rPr>
        <w:t xml:space="preserve"> for those who were admitted</w:t>
      </w:r>
      <w:r w:rsidR="00D15402">
        <w:rPr>
          <w:rFonts w:ascii="Baskerville" w:hAnsi="Baskerville" w:cs="Baskerville"/>
          <w:iCs/>
        </w:rPr>
        <w:t xml:space="preserve"> to them.</w:t>
      </w:r>
      <w:r w:rsidR="00E44757">
        <w:rPr>
          <w:rFonts w:ascii="Baskerville" w:hAnsi="Baskerville" w:cs="Baskerville"/>
          <w:iCs/>
        </w:rPr>
        <w:t xml:space="preserve"> T</w:t>
      </w:r>
      <w:r w:rsidR="00BA5B93" w:rsidRPr="00872254">
        <w:rPr>
          <w:rFonts w:ascii="Baskerville" w:hAnsi="Baskerville" w:cs="Baskerville"/>
          <w:iCs/>
        </w:rPr>
        <w:t xml:space="preserve">hat is, </w:t>
      </w:r>
      <w:r w:rsidR="00E44757">
        <w:rPr>
          <w:rFonts w:ascii="Baskerville" w:hAnsi="Baskerville" w:cs="Baskerville"/>
          <w:iCs/>
        </w:rPr>
        <w:t>did</w:t>
      </w:r>
      <w:r w:rsidR="00D15402">
        <w:rPr>
          <w:rFonts w:ascii="Baskerville" w:hAnsi="Baskerville" w:cs="Baskerville"/>
          <w:iCs/>
        </w:rPr>
        <w:t xml:space="preserve"> </w:t>
      </w:r>
      <w:r w:rsidR="00145F82">
        <w:rPr>
          <w:rFonts w:ascii="Baskerville" w:hAnsi="Baskerville" w:cs="Baskerville"/>
          <w:iCs/>
        </w:rPr>
        <w:t>the REACH crisis</w:t>
      </w:r>
      <w:r w:rsidR="00E44757">
        <w:rPr>
          <w:rFonts w:ascii="Baskerville" w:hAnsi="Baskerville" w:cs="Baskerville"/>
          <w:iCs/>
        </w:rPr>
        <w:t xml:space="preserve"> stabilization programs admit</w:t>
      </w:r>
      <w:r w:rsidR="00BA5B93" w:rsidRPr="00872254">
        <w:rPr>
          <w:rFonts w:ascii="Baskerville" w:hAnsi="Baskerville" w:cs="Baskerville"/>
          <w:iCs/>
        </w:rPr>
        <w:t xml:space="preserve"> individual</w:t>
      </w:r>
      <w:r w:rsidR="004C3D0B">
        <w:rPr>
          <w:rFonts w:ascii="Baskerville" w:hAnsi="Baskerville" w:cs="Baskerville"/>
          <w:iCs/>
        </w:rPr>
        <w:t>s</w:t>
      </w:r>
      <w:r w:rsidR="00145F82">
        <w:rPr>
          <w:rFonts w:ascii="Baskerville" w:hAnsi="Baskerville" w:cs="Baskerville"/>
          <w:iCs/>
        </w:rPr>
        <w:t xml:space="preserve"> </w:t>
      </w:r>
      <w:r w:rsidR="00E44757">
        <w:rPr>
          <w:rFonts w:ascii="Baskerville" w:hAnsi="Baskerville" w:cs="Baskerville"/>
          <w:iCs/>
        </w:rPr>
        <w:t xml:space="preserve">only </w:t>
      </w:r>
      <w:r w:rsidR="005E3E14" w:rsidRPr="00872254">
        <w:rPr>
          <w:rFonts w:ascii="Baskerville" w:hAnsi="Baskerville" w:cs="Baskerville"/>
          <w:iCs/>
        </w:rPr>
        <w:t>af</w:t>
      </w:r>
      <w:r w:rsidR="004C3D0B">
        <w:rPr>
          <w:rFonts w:ascii="Baskerville" w:hAnsi="Baskerville" w:cs="Baskerville"/>
          <w:iCs/>
        </w:rPr>
        <w:t xml:space="preserve">ter </w:t>
      </w:r>
      <w:r w:rsidR="009550C7">
        <w:rPr>
          <w:rFonts w:ascii="Baskerville" w:hAnsi="Baskerville" w:cs="Baskerville"/>
          <w:iCs/>
        </w:rPr>
        <w:t>attempts to resolve the crise</w:t>
      </w:r>
      <w:r w:rsidR="00C74942" w:rsidRPr="00872254">
        <w:rPr>
          <w:rFonts w:ascii="Baskerville" w:hAnsi="Baskerville" w:cs="Baskerville"/>
          <w:iCs/>
        </w:rPr>
        <w:t>s were not able to maintain the individual</w:t>
      </w:r>
      <w:r w:rsidR="009550C7">
        <w:rPr>
          <w:rFonts w:ascii="Baskerville" w:hAnsi="Baskerville" w:cs="Baskerville"/>
          <w:iCs/>
        </w:rPr>
        <w:t>s</w:t>
      </w:r>
      <w:r w:rsidR="00A4597A">
        <w:rPr>
          <w:rFonts w:ascii="Baskerville" w:hAnsi="Baskerville" w:cs="Baskerville"/>
          <w:iCs/>
        </w:rPr>
        <w:t xml:space="preserve"> in their</w:t>
      </w:r>
      <w:r w:rsidR="00C74942" w:rsidRPr="00872254">
        <w:rPr>
          <w:rFonts w:ascii="Baskerville" w:hAnsi="Baskerville" w:cs="Baskerville"/>
          <w:iCs/>
        </w:rPr>
        <w:t xml:space="preserve"> </w:t>
      </w:r>
      <w:r w:rsidR="00B21BD2" w:rsidRPr="00872254">
        <w:rPr>
          <w:rFonts w:ascii="Baskerville" w:hAnsi="Baskerville" w:cs="Baskerville"/>
          <w:iCs/>
        </w:rPr>
        <w:t>current placement</w:t>
      </w:r>
      <w:r w:rsidR="00A4597A">
        <w:rPr>
          <w:rFonts w:ascii="Baskerville" w:hAnsi="Baskerville" w:cs="Baskerville"/>
          <w:iCs/>
        </w:rPr>
        <w:t>s</w:t>
      </w:r>
      <w:r w:rsidR="00FF51E8">
        <w:rPr>
          <w:rFonts w:ascii="Baskerville" w:hAnsi="Baskerville" w:cs="Baskerville"/>
          <w:iCs/>
        </w:rPr>
        <w:t>?</w:t>
      </w:r>
      <w:r w:rsidR="004A5CE7" w:rsidRPr="00872254">
        <w:rPr>
          <w:rFonts w:ascii="Baskerville" w:hAnsi="Baskerville" w:cs="Baskerville"/>
          <w:iCs/>
        </w:rPr>
        <w:t xml:space="preserve"> </w:t>
      </w:r>
      <w:r w:rsidR="00A4597A">
        <w:rPr>
          <w:rFonts w:ascii="Baskerville" w:hAnsi="Baskerville" w:cs="Baskerville"/>
          <w:iCs/>
        </w:rPr>
        <w:t xml:space="preserve">Findings from a small sample in the </w:t>
      </w:r>
      <w:r w:rsidR="00B607DC">
        <w:rPr>
          <w:rFonts w:ascii="Baskerville" w:hAnsi="Baskerville" w:cs="Baskerville"/>
          <w:iCs/>
        </w:rPr>
        <w:t>Individual Review S</w:t>
      </w:r>
      <w:r w:rsidR="00B5702A" w:rsidRPr="00872254">
        <w:rPr>
          <w:rFonts w:ascii="Baskerville" w:hAnsi="Baskerville" w:cs="Baskerville"/>
          <w:iCs/>
        </w:rPr>
        <w:t xml:space="preserve">tudy and </w:t>
      </w:r>
      <w:r w:rsidR="004A5CE7" w:rsidRPr="00872254">
        <w:rPr>
          <w:rFonts w:ascii="Baskerville" w:hAnsi="Baskerville" w:cs="Baskerville"/>
          <w:iCs/>
        </w:rPr>
        <w:t xml:space="preserve">from the Department of Justice </w:t>
      </w:r>
      <w:r w:rsidR="00B5702A" w:rsidRPr="00872254">
        <w:rPr>
          <w:rFonts w:ascii="Baskerville" w:hAnsi="Baskerville" w:cs="Baskerville"/>
          <w:iCs/>
        </w:rPr>
        <w:t>review</w:t>
      </w:r>
      <w:r w:rsidR="00172A68" w:rsidRPr="00872254">
        <w:rPr>
          <w:rFonts w:ascii="Baskerville" w:hAnsi="Baskerville" w:cs="Baskerville"/>
          <w:iCs/>
        </w:rPr>
        <w:t>s</w:t>
      </w:r>
      <w:r w:rsidR="00B5702A" w:rsidRPr="00872254">
        <w:rPr>
          <w:rFonts w:ascii="Baskerville" w:hAnsi="Baskerville" w:cs="Baskerville"/>
          <w:iCs/>
        </w:rPr>
        <w:t xml:space="preserve"> </w:t>
      </w:r>
      <w:r w:rsidR="00A4597A">
        <w:rPr>
          <w:rFonts w:ascii="Baskerville" w:hAnsi="Baskerville" w:cs="Baskerville"/>
          <w:iCs/>
        </w:rPr>
        <w:t xml:space="preserve">of twelve individuals </w:t>
      </w:r>
      <w:r w:rsidR="004707F5" w:rsidRPr="00872254">
        <w:rPr>
          <w:rFonts w:ascii="Baskerville" w:hAnsi="Baskerville" w:cs="Baskerville"/>
          <w:iCs/>
        </w:rPr>
        <w:t xml:space="preserve">raise significant questions about </w:t>
      </w:r>
      <w:r w:rsidR="002004E0" w:rsidRPr="00872254">
        <w:rPr>
          <w:rFonts w:ascii="Baskerville" w:hAnsi="Baskerville" w:cs="Baskerville"/>
          <w:iCs/>
        </w:rPr>
        <w:t>whether individuals with significant</w:t>
      </w:r>
      <w:r w:rsidR="004707F5" w:rsidRPr="00872254">
        <w:rPr>
          <w:rFonts w:ascii="Baskerville" w:hAnsi="Baskerville" w:cs="Baskerville"/>
          <w:iCs/>
        </w:rPr>
        <w:t xml:space="preserve"> behavioral, </w:t>
      </w:r>
      <w:r w:rsidR="002004E0" w:rsidRPr="00872254">
        <w:rPr>
          <w:rFonts w:ascii="Baskerville" w:hAnsi="Baskerville" w:cs="Baskerville"/>
          <w:iCs/>
        </w:rPr>
        <w:t>physical care, medical, or</w:t>
      </w:r>
      <w:r w:rsidR="004707F5" w:rsidRPr="00872254">
        <w:rPr>
          <w:rFonts w:ascii="Baskerville" w:hAnsi="Baskerville" w:cs="Baskerville"/>
          <w:iCs/>
        </w:rPr>
        <w:t xml:space="preserve"> communication</w:t>
      </w:r>
      <w:r w:rsidR="00A1674E" w:rsidRPr="00872254">
        <w:rPr>
          <w:rFonts w:ascii="Baskerville" w:hAnsi="Baskerville" w:cs="Baskerville"/>
          <w:iCs/>
        </w:rPr>
        <w:t xml:space="preserve"> needs are</w:t>
      </w:r>
      <w:r w:rsidR="002004E0" w:rsidRPr="00872254">
        <w:rPr>
          <w:rFonts w:ascii="Baskerville" w:hAnsi="Baskerville" w:cs="Baskerville"/>
          <w:iCs/>
        </w:rPr>
        <w:t xml:space="preserve"> excluded from rec</w:t>
      </w:r>
      <w:r w:rsidR="00A1674E" w:rsidRPr="00872254">
        <w:rPr>
          <w:rFonts w:ascii="Baskerville" w:hAnsi="Baskerville" w:cs="Baskerville"/>
          <w:iCs/>
        </w:rPr>
        <w:t>e</w:t>
      </w:r>
      <w:r w:rsidR="002004E0" w:rsidRPr="00872254">
        <w:rPr>
          <w:rFonts w:ascii="Baskerville" w:hAnsi="Baskerville" w:cs="Baskerville"/>
          <w:iCs/>
        </w:rPr>
        <w:t>iving this</w:t>
      </w:r>
      <w:r w:rsidR="0016219E" w:rsidRPr="00872254">
        <w:rPr>
          <w:rFonts w:ascii="Baskerville" w:hAnsi="Baskerville" w:cs="Baskerville"/>
          <w:iCs/>
        </w:rPr>
        <w:t xml:space="preserve"> crisis stabilization</w:t>
      </w:r>
      <w:r w:rsidR="00A1674E" w:rsidRPr="00872254">
        <w:rPr>
          <w:rFonts w:ascii="Baskerville" w:hAnsi="Baskerville" w:cs="Baskerville"/>
          <w:iCs/>
        </w:rPr>
        <w:t xml:space="preserve"> “last </w:t>
      </w:r>
      <w:r w:rsidR="005A6906">
        <w:rPr>
          <w:rFonts w:ascii="Baskerville" w:hAnsi="Baskerville" w:cs="Baskerville"/>
          <w:iCs/>
        </w:rPr>
        <w:t>resort” program</w:t>
      </w:r>
      <w:r w:rsidR="00C8271D" w:rsidRPr="00872254">
        <w:rPr>
          <w:rFonts w:ascii="Baskerville" w:hAnsi="Baskerville" w:cs="Baskerville"/>
          <w:iCs/>
        </w:rPr>
        <w:t>,</w:t>
      </w:r>
      <w:r w:rsidR="00A1674E" w:rsidRPr="00872254">
        <w:rPr>
          <w:rFonts w:ascii="Baskerville" w:hAnsi="Baskerville" w:cs="Baskerville"/>
          <w:iCs/>
        </w:rPr>
        <w:t xml:space="preserve"> </w:t>
      </w:r>
      <w:r w:rsidR="0016219E" w:rsidRPr="00872254">
        <w:rPr>
          <w:rFonts w:ascii="Baskerville" w:hAnsi="Baskerville" w:cs="Baskerville"/>
          <w:iCs/>
        </w:rPr>
        <w:t xml:space="preserve">and </w:t>
      </w:r>
      <w:r w:rsidR="005A6906">
        <w:rPr>
          <w:rFonts w:ascii="Baskerville" w:hAnsi="Baskerville" w:cs="Baskerville"/>
          <w:iCs/>
        </w:rPr>
        <w:t xml:space="preserve">whether they </w:t>
      </w:r>
      <w:r w:rsidR="004F700C" w:rsidRPr="00872254">
        <w:rPr>
          <w:rFonts w:ascii="Baskerville" w:hAnsi="Baskerville" w:cs="Baskerville"/>
          <w:iCs/>
        </w:rPr>
        <w:t>experience unnecessary institutionalization</w:t>
      </w:r>
      <w:r w:rsidR="0016219E" w:rsidRPr="00872254">
        <w:rPr>
          <w:rFonts w:ascii="Baskerville" w:hAnsi="Baskerville" w:cs="Baskerville"/>
          <w:iCs/>
        </w:rPr>
        <w:t xml:space="preserve"> as a result</w:t>
      </w:r>
      <w:r w:rsidR="00C071C3" w:rsidRPr="00872254">
        <w:rPr>
          <w:rFonts w:ascii="Baskerville" w:hAnsi="Baskerville" w:cs="Baskerville"/>
          <w:iCs/>
        </w:rPr>
        <w:t>.  Family members, c</w:t>
      </w:r>
      <w:r w:rsidR="008934F7" w:rsidRPr="00872254">
        <w:rPr>
          <w:rFonts w:ascii="Baskerville" w:hAnsi="Baskerville" w:cs="Baskerville"/>
          <w:iCs/>
        </w:rPr>
        <w:t xml:space="preserve">ase managers and CSB staff </w:t>
      </w:r>
      <w:r w:rsidR="00C8271D" w:rsidRPr="00872254">
        <w:rPr>
          <w:rFonts w:ascii="Baskerville" w:hAnsi="Baskerville" w:cs="Baskerville"/>
          <w:iCs/>
        </w:rPr>
        <w:t>reported</w:t>
      </w:r>
      <w:r w:rsidR="00C071C3" w:rsidRPr="00872254">
        <w:rPr>
          <w:rFonts w:ascii="Baskerville" w:hAnsi="Baskerville" w:cs="Baskerville"/>
          <w:iCs/>
        </w:rPr>
        <w:t xml:space="preserve"> individual </w:t>
      </w:r>
      <w:r w:rsidR="00C8271D" w:rsidRPr="00872254">
        <w:rPr>
          <w:rFonts w:ascii="Baskerville" w:hAnsi="Baskerville" w:cs="Baskerville"/>
          <w:iCs/>
        </w:rPr>
        <w:t xml:space="preserve">examples that </w:t>
      </w:r>
      <w:r w:rsidR="00E63F25" w:rsidRPr="00872254">
        <w:rPr>
          <w:rFonts w:ascii="Baskerville" w:hAnsi="Baskerville" w:cs="Baskerville"/>
          <w:iCs/>
        </w:rPr>
        <w:t>painfully illustrate</w:t>
      </w:r>
      <w:r w:rsidR="00F248CD">
        <w:rPr>
          <w:rFonts w:ascii="Baskerville" w:hAnsi="Baskerville" w:cs="Baskerville"/>
          <w:iCs/>
        </w:rPr>
        <w:t>d</w:t>
      </w:r>
      <w:r w:rsidR="00E63F25" w:rsidRPr="00872254">
        <w:rPr>
          <w:rFonts w:ascii="Baskerville" w:hAnsi="Baskerville" w:cs="Baskerville"/>
          <w:iCs/>
        </w:rPr>
        <w:t xml:space="preserve"> </w:t>
      </w:r>
      <w:r w:rsidR="0074798E" w:rsidRPr="00872254">
        <w:rPr>
          <w:rFonts w:ascii="Baskerville" w:hAnsi="Baskerville" w:cs="Baskerville"/>
          <w:iCs/>
        </w:rPr>
        <w:t>the consequences of not</w:t>
      </w:r>
      <w:r w:rsidR="00832407" w:rsidRPr="00872254">
        <w:rPr>
          <w:rFonts w:ascii="Baskerville" w:hAnsi="Baskerville" w:cs="Baskerville"/>
          <w:iCs/>
        </w:rPr>
        <w:t xml:space="preserve"> receiving this “last</w:t>
      </w:r>
      <w:r w:rsidR="00FF51E8">
        <w:rPr>
          <w:rFonts w:ascii="Baskerville" w:hAnsi="Baskerville" w:cs="Baskerville"/>
          <w:iCs/>
        </w:rPr>
        <w:t>” community-based service</w:t>
      </w:r>
      <w:r w:rsidR="00F248CD">
        <w:rPr>
          <w:rFonts w:ascii="Baskerville" w:hAnsi="Baskerville" w:cs="Baskerville"/>
          <w:iCs/>
        </w:rPr>
        <w:t xml:space="preserve"> option.</w:t>
      </w:r>
      <w:r w:rsidR="00832407" w:rsidRPr="00872254">
        <w:rPr>
          <w:rFonts w:ascii="Baskerville" w:hAnsi="Baskerville" w:cs="Baskerville"/>
          <w:iCs/>
        </w:rPr>
        <w:t xml:space="preserve"> The i</w:t>
      </w:r>
      <w:r w:rsidR="00E63F25" w:rsidRPr="00872254">
        <w:rPr>
          <w:rFonts w:ascii="Baskerville" w:hAnsi="Baskerville" w:cs="Baskerville"/>
          <w:iCs/>
        </w:rPr>
        <w:t xml:space="preserve">ndividuals </w:t>
      </w:r>
      <w:r w:rsidR="0035571A" w:rsidRPr="00872254">
        <w:rPr>
          <w:rFonts w:ascii="Baskerville" w:hAnsi="Baskerville" w:cs="Baskerville"/>
          <w:iCs/>
        </w:rPr>
        <w:t>with ID and DD</w:t>
      </w:r>
      <w:r w:rsidR="0074798E" w:rsidRPr="00872254">
        <w:rPr>
          <w:rFonts w:ascii="Baskerville" w:hAnsi="Baskerville" w:cs="Baskerville"/>
          <w:iCs/>
        </w:rPr>
        <w:t xml:space="preserve"> </w:t>
      </w:r>
      <w:r w:rsidR="005F0F77">
        <w:rPr>
          <w:rFonts w:ascii="Baskerville" w:hAnsi="Baskerville" w:cs="Baskerville"/>
          <w:iCs/>
        </w:rPr>
        <w:t xml:space="preserve">and other complex needs who were </w:t>
      </w:r>
      <w:r w:rsidR="00E44757">
        <w:rPr>
          <w:rFonts w:ascii="Baskerville" w:hAnsi="Baskerville" w:cs="Baskerville"/>
          <w:iCs/>
        </w:rPr>
        <w:t>not offered</w:t>
      </w:r>
      <w:r w:rsidR="005F0F77">
        <w:rPr>
          <w:rFonts w:ascii="Baskerville" w:hAnsi="Baskerville" w:cs="Baskerville"/>
          <w:iCs/>
        </w:rPr>
        <w:t xml:space="preserve"> the “last option” we</w:t>
      </w:r>
      <w:r w:rsidR="0035571A" w:rsidRPr="00872254">
        <w:rPr>
          <w:rFonts w:ascii="Baskerville" w:hAnsi="Baskerville" w:cs="Baskerville"/>
          <w:iCs/>
        </w:rPr>
        <w:t xml:space="preserve">re instead </w:t>
      </w:r>
      <w:r w:rsidR="00E44757">
        <w:rPr>
          <w:rFonts w:ascii="Baskerville" w:hAnsi="Baskerville" w:cs="Baskerville"/>
          <w:iCs/>
        </w:rPr>
        <w:t>direct</w:t>
      </w:r>
      <w:r w:rsidR="00515A1E" w:rsidRPr="00872254">
        <w:rPr>
          <w:rFonts w:ascii="Baskerville" w:hAnsi="Baskerville" w:cs="Baskerville"/>
          <w:iCs/>
        </w:rPr>
        <w:t xml:space="preserve">ed to the </w:t>
      </w:r>
      <w:r w:rsidR="00832407" w:rsidRPr="00872254">
        <w:rPr>
          <w:rFonts w:ascii="Baskerville" w:hAnsi="Baskerville" w:cs="Baskerville"/>
          <w:iCs/>
        </w:rPr>
        <w:t>police and emergency services</w:t>
      </w:r>
      <w:r w:rsidR="00A8319D" w:rsidRPr="00872254">
        <w:rPr>
          <w:rFonts w:ascii="Baskerville" w:hAnsi="Baskerville" w:cs="Baskerville"/>
          <w:iCs/>
        </w:rPr>
        <w:t>,</w:t>
      </w:r>
      <w:r w:rsidR="00832407" w:rsidRPr="00872254">
        <w:rPr>
          <w:rFonts w:ascii="Baskerville" w:hAnsi="Baskerville" w:cs="Baskerville"/>
          <w:iCs/>
        </w:rPr>
        <w:t xml:space="preserve"> </w:t>
      </w:r>
      <w:r w:rsidR="00E44757">
        <w:rPr>
          <w:rFonts w:ascii="Baskerville" w:hAnsi="Baskerville" w:cs="Baskerville"/>
          <w:iCs/>
        </w:rPr>
        <w:t>which we</w:t>
      </w:r>
      <w:r w:rsidR="00A8319D" w:rsidRPr="00872254">
        <w:rPr>
          <w:rFonts w:ascii="Baskerville" w:hAnsi="Baskerville" w:cs="Baskerville"/>
          <w:iCs/>
        </w:rPr>
        <w:t xml:space="preserve">re only able to transport </w:t>
      </w:r>
      <w:r w:rsidR="00E44757">
        <w:rPr>
          <w:rFonts w:ascii="Baskerville" w:hAnsi="Baskerville" w:cs="Baskerville"/>
          <w:iCs/>
        </w:rPr>
        <w:t>them</w:t>
      </w:r>
      <w:r w:rsidR="005F0F77">
        <w:rPr>
          <w:rFonts w:ascii="Baskerville" w:hAnsi="Baskerville" w:cs="Baskerville"/>
          <w:iCs/>
        </w:rPr>
        <w:t xml:space="preserve"> </w:t>
      </w:r>
      <w:r w:rsidR="004C3D0B">
        <w:rPr>
          <w:rFonts w:ascii="Baskerville" w:hAnsi="Baskerville" w:cs="Baskerville"/>
          <w:iCs/>
        </w:rPr>
        <w:t xml:space="preserve">to hospitals and jails, </w:t>
      </w:r>
      <w:r w:rsidR="00A8319D" w:rsidRPr="00872254">
        <w:rPr>
          <w:rFonts w:ascii="Baskerville" w:hAnsi="Baskerville" w:cs="Baskerville"/>
          <w:iCs/>
        </w:rPr>
        <w:t xml:space="preserve">frequently </w:t>
      </w:r>
      <w:r w:rsidR="004C3D0B">
        <w:rPr>
          <w:rFonts w:ascii="Baskerville" w:hAnsi="Baskerville" w:cs="Baskerville"/>
          <w:iCs/>
        </w:rPr>
        <w:t>leading</w:t>
      </w:r>
      <w:r w:rsidR="00C32B43">
        <w:rPr>
          <w:rFonts w:ascii="Baskerville" w:hAnsi="Baskerville" w:cs="Baskerville"/>
          <w:iCs/>
        </w:rPr>
        <w:t xml:space="preserve"> to</w:t>
      </w:r>
      <w:r w:rsidR="00A8319D" w:rsidRPr="00872254">
        <w:rPr>
          <w:rFonts w:ascii="Baskerville" w:hAnsi="Baskerville" w:cs="Baskerville"/>
          <w:iCs/>
        </w:rPr>
        <w:t xml:space="preserve"> admission</w:t>
      </w:r>
      <w:r w:rsidR="00C32B43">
        <w:rPr>
          <w:rFonts w:ascii="Baskerville" w:hAnsi="Baskerville" w:cs="Baskerville"/>
          <w:iCs/>
        </w:rPr>
        <w:t>s. D</w:t>
      </w:r>
      <w:r w:rsidR="00C32B43" w:rsidRPr="00872254">
        <w:rPr>
          <w:rFonts w:ascii="Baskerville" w:hAnsi="Baskerville" w:cs="Baskerville"/>
          <w:iCs/>
        </w:rPr>
        <w:t>uring the upcoming review period</w:t>
      </w:r>
      <w:r w:rsidR="00DB5D0A">
        <w:rPr>
          <w:rFonts w:ascii="Baskerville" w:hAnsi="Baskerville" w:cs="Baskerville"/>
          <w:iCs/>
        </w:rPr>
        <w:t>,</w:t>
      </w:r>
      <w:r w:rsidR="00C32B43" w:rsidRPr="00872254">
        <w:rPr>
          <w:rFonts w:ascii="Baskerville" w:hAnsi="Baskerville" w:cs="Baskerville"/>
          <w:iCs/>
        </w:rPr>
        <w:t xml:space="preserve"> </w:t>
      </w:r>
      <w:r w:rsidR="00C32B43">
        <w:rPr>
          <w:rFonts w:ascii="Baskerville" w:hAnsi="Baskerville" w:cs="Baskerville"/>
          <w:iCs/>
        </w:rPr>
        <w:t>t</w:t>
      </w:r>
      <w:r w:rsidR="00A91B2F" w:rsidRPr="00872254">
        <w:rPr>
          <w:rFonts w:ascii="Baskerville" w:hAnsi="Baskerville" w:cs="Baskerville"/>
          <w:iCs/>
        </w:rPr>
        <w:t xml:space="preserve">he Independent Reviewer </w:t>
      </w:r>
      <w:r w:rsidR="009F2080">
        <w:rPr>
          <w:rFonts w:ascii="Baskerville" w:hAnsi="Baskerville" w:cs="Baskerville"/>
          <w:iCs/>
        </w:rPr>
        <w:t>will prioritize</w:t>
      </w:r>
      <w:r w:rsidR="00A91B2F" w:rsidRPr="00872254">
        <w:rPr>
          <w:rFonts w:ascii="Baskerville" w:hAnsi="Baskerville" w:cs="Baskerville"/>
          <w:iCs/>
        </w:rPr>
        <w:t xml:space="preserve"> mo</w:t>
      </w:r>
      <w:r w:rsidR="009F2080">
        <w:rPr>
          <w:rFonts w:ascii="Baskerville" w:hAnsi="Baskerville" w:cs="Baskerville"/>
          <w:iCs/>
        </w:rPr>
        <w:t>nitoring</w:t>
      </w:r>
      <w:r w:rsidR="004879E5" w:rsidRPr="00872254">
        <w:rPr>
          <w:rFonts w:ascii="Baskerville" w:hAnsi="Baskerville" w:cs="Baskerville"/>
          <w:iCs/>
        </w:rPr>
        <w:t xml:space="preserve"> </w:t>
      </w:r>
      <w:r w:rsidR="00A91B2F" w:rsidRPr="00872254">
        <w:rPr>
          <w:rFonts w:ascii="Baskerville" w:hAnsi="Baskerville" w:cs="Baskerville"/>
          <w:iCs/>
        </w:rPr>
        <w:t xml:space="preserve">the </w:t>
      </w:r>
      <w:r w:rsidR="004879E5" w:rsidRPr="00872254">
        <w:rPr>
          <w:rFonts w:ascii="Baskerville" w:hAnsi="Baskerville" w:cs="Baskerville"/>
          <w:iCs/>
        </w:rPr>
        <w:t xml:space="preserve">extent to which the </w:t>
      </w:r>
      <w:r w:rsidR="00A91B2F" w:rsidRPr="00872254">
        <w:rPr>
          <w:rFonts w:ascii="Baskerville" w:hAnsi="Baskerville" w:cs="Baskerville"/>
          <w:iCs/>
        </w:rPr>
        <w:t xml:space="preserve">REACH services fulfill </w:t>
      </w:r>
      <w:r w:rsidR="004879E5" w:rsidRPr="00872254">
        <w:rPr>
          <w:rFonts w:ascii="Baskerville" w:hAnsi="Baskerville" w:cs="Baskerville"/>
          <w:iCs/>
        </w:rPr>
        <w:t xml:space="preserve">the Commonwealth’s </w:t>
      </w:r>
      <w:r w:rsidR="003538B7">
        <w:rPr>
          <w:rFonts w:ascii="Baskerville" w:hAnsi="Baskerville" w:cs="Baskerville"/>
          <w:iCs/>
        </w:rPr>
        <w:t>requirements to provide</w:t>
      </w:r>
      <w:r w:rsidR="004879E5" w:rsidRPr="00872254">
        <w:rPr>
          <w:rFonts w:ascii="Baskerville" w:hAnsi="Baskerville" w:cs="Baskerville"/>
          <w:iCs/>
        </w:rPr>
        <w:t xml:space="preserve"> crisis services to all Virginians with ID and </w:t>
      </w:r>
      <w:r w:rsidR="0012563F" w:rsidRPr="00872254">
        <w:rPr>
          <w:rFonts w:ascii="Baskerville" w:hAnsi="Baskerville" w:cs="Baskerville"/>
          <w:iCs/>
        </w:rPr>
        <w:t>DD</w:t>
      </w:r>
      <w:r w:rsidR="003538B7">
        <w:rPr>
          <w:rFonts w:ascii="Baskerville" w:hAnsi="Baskerville" w:cs="Baskerville"/>
          <w:iCs/>
        </w:rPr>
        <w:t>,</w:t>
      </w:r>
      <w:r w:rsidR="0012563F" w:rsidRPr="00872254">
        <w:rPr>
          <w:rFonts w:ascii="Baskerville" w:hAnsi="Baskerville" w:cs="Baskerville"/>
          <w:iCs/>
        </w:rPr>
        <w:t xml:space="preserve"> and </w:t>
      </w:r>
      <w:r w:rsidR="00973456">
        <w:rPr>
          <w:rFonts w:ascii="Baskerville" w:hAnsi="Baskerville" w:cs="Baskerville"/>
          <w:iCs/>
        </w:rPr>
        <w:t xml:space="preserve">whether these programs </w:t>
      </w:r>
      <w:r w:rsidR="003F76EE">
        <w:rPr>
          <w:rFonts w:ascii="Baskerville" w:hAnsi="Baskerville" w:cs="Baskerville"/>
          <w:iCs/>
        </w:rPr>
        <w:t>effectively maintain</w:t>
      </w:r>
      <w:r w:rsidR="00486871" w:rsidRPr="00872254">
        <w:rPr>
          <w:rFonts w:ascii="Baskerville" w:hAnsi="Baskerville" w:cs="Baskerville"/>
          <w:iCs/>
        </w:rPr>
        <w:t xml:space="preserve"> </w:t>
      </w:r>
      <w:r w:rsidR="00E80B37" w:rsidRPr="00872254">
        <w:rPr>
          <w:rFonts w:ascii="Baskerville" w:hAnsi="Baskerville" w:cs="Baskerville"/>
          <w:iCs/>
        </w:rPr>
        <w:t>individuals</w:t>
      </w:r>
      <w:r w:rsidR="003538B7">
        <w:rPr>
          <w:rFonts w:ascii="Baskerville" w:hAnsi="Baskerville" w:cs="Baskerville"/>
          <w:iCs/>
        </w:rPr>
        <w:t>’</w:t>
      </w:r>
      <w:r w:rsidR="00E80B37" w:rsidRPr="00872254">
        <w:rPr>
          <w:rFonts w:ascii="Baskerville" w:hAnsi="Baskerville" w:cs="Baskerville"/>
          <w:iCs/>
        </w:rPr>
        <w:t xml:space="preserve"> current placements and </w:t>
      </w:r>
      <w:r w:rsidR="00503561">
        <w:rPr>
          <w:rFonts w:ascii="Baskerville" w:hAnsi="Baskerville" w:cs="Baskerville"/>
          <w:iCs/>
        </w:rPr>
        <w:t xml:space="preserve">prevent </w:t>
      </w:r>
      <w:r w:rsidR="00AE053B" w:rsidRPr="00872254">
        <w:rPr>
          <w:rFonts w:ascii="Baskerville" w:hAnsi="Baskerville" w:cs="Baskerville"/>
          <w:iCs/>
        </w:rPr>
        <w:t>unnecessary institutionaliz</w:t>
      </w:r>
      <w:r w:rsidR="00E80B37" w:rsidRPr="00872254">
        <w:rPr>
          <w:rFonts w:ascii="Baskerville" w:hAnsi="Baskerville" w:cs="Baskerville"/>
          <w:iCs/>
        </w:rPr>
        <w:t>ation</w:t>
      </w:r>
      <w:r w:rsidR="007261B2" w:rsidRPr="00872254">
        <w:rPr>
          <w:rFonts w:ascii="Baskerville" w:hAnsi="Baskerville" w:cs="Baskerville"/>
          <w:iCs/>
        </w:rPr>
        <w:t>.</w:t>
      </w:r>
    </w:p>
    <w:p w:rsidR="006D0B01" w:rsidRPr="00872254" w:rsidRDefault="006D0B01" w:rsidP="003518FC">
      <w:pPr>
        <w:tabs>
          <w:tab w:val="left" w:pos="1671"/>
        </w:tabs>
        <w:ind w:right="-216"/>
        <w:rPr>
          <w:rFonts w:ascii="Baskerville" w:hAnsi="Baskerville" w:cs="Baskerville"/>
        </w:rPr>
      </w:pPr>
    </w:p>
    <w:p w:rsidR="00AD09C6" w:rsidRPr="00872254" w:rsidRDefault="00D95913" w:rsidP="003518FC">
      <w:pPr>
        <w:tabs>
          <w:tab w:val="left" w:pos="1671"/>
        </w:tabs>
        <w:ind w:right="-216"/>
        <w:rPr>
          <w:rFonts w:ascii="Baskerville" w:hAnsi="Baskerville" w:cs="Baskerville"/>
          <w:u w:val="single"/>
        </w:rPr>
      </w:pPr>
      <w:r w:rsidRPr="00872254">
        <w:rPr>
          <w:rFonts w:ascii="Baskerville" w:hAnsi="Baskerville" w:cs="Baskerville"/>
          <w:u w:val="single"/>
        </w:rPr>
        <w:t>Children</w:t>
      </w:r>
      <w:r w:rsidR="00AD09C6" w:rsidRPr="00872254">
        <w:rPr>
          <w:rFonts w:ascii="Baskerville" w:hAnsi="Baskerville" w:cs="Baskerville"/>
          <w:u w:val="single"/>
        </w:rPr>
        <w:t>’</w:t>
      </w:r>
      <w:r w:rsidRPr="00872254">
        <w:rPr>
          <w:rFonts w:ascii="Baskerville" w:hAnsi="Baskerville" w:cs="Baskerville"/>
          <w:u w:val="single"/>
        </w:rPr>
        <w:t>s</w:t>
      </w:r>
      <w:r w:rsidR="00AD09C6" w:rsidRPr="00872254">
        <w:rPr>
          <w:rFonts w:ascii="Baskerville" w:hAnsi="Baskerville" w:cs="Baskerville"/>
          <w:u w:val="single"/>
        </w:rPr>
        <w:t xml:space="preserve"> Crisis Services</w:t>
      </w:r>
      <w:r w:rsidR="000D0A84" w:rsidRPr="00872254">
        <w:rPr>
          <w:rFonts w:ascii="Baskerville" w:hAnsi="Baskerville" w:cs="Baskerville"/>
          <w:u w:val="single"/>
        </w:rPr>
        <w:t>:</w:t>
      </w:r>
      <w:r w:rsidR="00AD09C6" w:rsidRPr="00872254">
        <w:rPr>
          <w:rFonts w:ascii="Baskerville" w:hAnsi="Baskerville" w:cs="Baskerville"/>
          <w:u w:val="single"/>
        </w:rPr>
        <w:t xml:space="preserve"> </w:t>
      </w:r>
    </w:p>
    <w:p w:rsidR="00FF214E" w:rsidRPr="00872254" w:rsidRDefault="00AD09C6" w:rsidP="003518FC">
      <w:pPr>
        <w:tabs>
          <w:tab w:val="left" w:pos="1671"/>
        </w:tabs>
        <w:ind w:right="-216"/>
        <w:rPr>
          <w:rFonts w:ascii="Baskerville" w:hAnsi="Baskerville" w:cs="Baskerville"/>
        </w:rPr>
      </w:pPr>
      <w:r w:rsidRPr="00872254">
        <w:rPr>
          <w:rFonts w:ascii="Baskerville" w:hAnsi="Baskerville" w:cs="Baskerville"/>
        </w:rPr>
        <w:t>DBHDS completed a detaile</w:t>
      </w:r>
      <w:r w:rsidR="005B3F06" w:rsidRPr="00872254">
        <w:rPr>
          <w:rFonts w:ascii="Baskerville" w:hAnsi="Baskerville" w:cs="Baskerville"/>
        </w:rPr>
        <w:t>d plan “</w:t>
      </w:r>
      <w:r w:rsidR="005B3F06" w:rsidRPr="00872254">
        <w:rPr>
          <w:rFonts w:ascii="Baskerville" w:hAnsi="Baskerville" w:cs="Baskerville"/>
          <w:i/>
        </w:rPr>
        <w:t xml:space="preserve">Crisis Response System for Children with ID/DD” </w:t>
      </w:r>
      <w:r w:rsidR="00EB6745" w:rsidRPr="00872254">
        <w:rPr>
          <w:rFonts w:ascii="Baskerville" w:hAnsi="Baskerville" w:cs="Baskerville"/>
        </w:rPr>
        <w:t xml:space="preserve">in February of 2014. The plan describes the purpose of the program </w:t>
      </w:r>
      <w:r w:rsidR="00A60127" w:rsidRPr="00872254">
        <w:rPr>
          <w:rFonts w:ascii="Baskerville" w:hAnsi="Baskerville" w:cs="Baskerville"/>
        </w:rPr>
        <w:t>for children. It</w:t>
      </w:r>
      <w:r w:rsidR="00176EDA" w:rsidRPr="00872254">
        <w:rPr>
          <w:rFonts w:ascii="Baskerville" w:hAnsi="Baskerville" w:cs="Baskerville"/>
        </w:rPr>
        <w:t xml:space="preserve"> </w:t>
      </w:r>
      <w:r w:rsidR="002757FD">
        <w:rPr>
          <w:rFonts w:ascii="Baskerville" w:hAnsi="Baskerville" w:cs="Baskerville"/>
        </w:rPr>
        <w:t>outlines</w:t>
      </w:r>
      <w:r w:rsidR="00EB6745" w:rsidRPr="00872254">
        <w:rPr>
          <w:rFonts w:ascii="Baskerville" w:hAnsi="Baskerville" w:cs="Baskerville"/>
        </w:rPr>
        <w:t xml:space="preserve"> key components</w:t>
      </w:r>
      <w:r w:rsidR="007809E7" w:rsidRPr="00872254">
        <w:rPr>
          <w:rFonts w:ascii="Baskerville" w:hAnsi="Baskerville" w:cs="Baskerville"/>
        </w:rPr>
        <w:t xml:space="preserve"> and a four-phase development process with services launched in July 2014.</w:t>
      </w:r>
      <w:r w:rsidR="00AC71B6" w:rsidRPr="00872254">
        <w:rPr>
          <w:rFonts w:ascii="Baskerville" w:hAnsi="Baskerville" w:cs="Baskerville"/>
        </w:rPr>
        <w:t xml:space="preserve"> Initial new funding </w:t>
      </w:r>
      <w:r w:rsidR="00884972">
        <w:rPr>
          <w:rFonts w:ascii="Baskerville" w:hAnsi="Baskerville" w:cs="Baskerville"/>
        </w:rPr>
        <w:t xml:space="preserve">for crisis support services for children </w:t>
      </w:r>
      <w:r w:rsidR="00AC71B6" w:rsidRPr="00872254">
        <w:rPr>
          <w:rFonts w:ascii="Baskerville" w:hAnsi="Baskerville" w:cs="Baskerville"/>
        </w:rPr>
        <w:t>was</w:t>
      </w:r>
      <w:r w:rsidR="00884972">
        <w:rPr>
          <w:rFonts w:ascii="Baskerville" w:hAnsi="Baskerville" w:cs="Baskerville"/>
        </w:rPr>
        <w:t xml:space="preserve"> provided through FY 2015. An a</w:t>
      </w:r>
      <w:r w:rsidR="00AC71B6" w:rsidRPr="00872254">
        <w:rPr>
          <w:rFonts w:ascii="Baskerville" w:hAnsi="Baskerville" w:cs="Baskerville"/>
        </w:rPr>
        <w:t>dditional</w:t>
      </w:r>
      <w:r w:rsidR="00884972">
        <w:rPr>
          <w:rFonts w:ascii="Baskerville" w:hAnsi="Baskerville" w:cs="Baskerville"/>
        </w:rPr>
        <w:t xml:space="preserve"> $4 million</w:t>
      </w:r>
      <w:r w:rsidR="00AC71B6" w:rsidRPr="00872254">
        <w:rPr>
          <w:rFonts w:ascii="Baskerville" w:hAnsi="Baskerville" w:cs="Baskerville"/>
        </w:rPr>
        <w:t xml:space="preserve"> </w:t>
      </w:r>
      <w:r w:rsidR="00CA71B6" w:rsidRPr="00872254">
        <w:rPr>
          <w:rFonts w:ascii="Baskerville" w:hAnsi="Baskerville" w:cs="Baskerville"/>
        </w:rPr>
        <w:t>has been appro</w:t>
      </w:r>
      <w:r w:rsidR="0054500E">
        <w:rPr>
          <w:rFonts w:ascii="Baskerville" w:hAnsi="Baskerville" w:cs="Baskerville"/>
        </w:rPr>
        <w:t>priat</w:t>
      </w:r>
      <w:r w:rsidR="00CA71B6" w:rsidRPr="00872254">
        <w:rPr>
          <w:rFonts w:ascii="Baskerville" w:hAnsi="Baskerville" w:cs="Baskerville"/>
        </w:rPr>
        <w:t>ed for FY 2016. It is commendable that</w:t>
      </w:r>
      <w:r w:rsidR="00E44757">
        <w:rPr>
          <w:rFonts w:ascii="Baskerville" w:hAnsi="Baskerville" w:cs="Baskerville"/>
        </w:rPr>
        <w:t xml:space="preserve"> $3.75</w:t>
      </w:r>
      <w:r w:rsidR="00D019F5" w:rsidRPr="00872254">
        <w:rPr>
          <w:rFonts w:ascii="Baskerville" w:hAnsi="Baskerville" w:cs="Baskerville"/>
        </w:rPr>
        <w:t xml:space="preserve"> of </w:t>
      </w:r>
      <w:r w:rsidR="00884972">
        <w:rPr>
          <w:rFonts w:ascii="Baskerville" w:hAnsi="Baskerville" w:cs="Baskerville"/>
        </w:rPr>
        <w:t>this</w:t>
      </w:r>
      <w:r w:rsidR="00E44757">
        <w:rPr>
          <w:rFonts w:ascii="Baskerville" w:hAnsi="Baskerville" w:cs="Baskerville"/>
        </w:rPr>
        <w:t xml:space="preserve"> </w:t>
      </w:r>
      <w:r w:rsidR="00D019F5" w:rsidRPr="00872254">
        <w:rPr>
          <w:rFonts w:ascii="Baskerville" w:hAnsi="Baskerville" w:cs="Baskerville"/>
        </w:rPr>
        <w:t>$4 million</w:t>
      </w:r>
      <w:r w:rsidR="00E44757">
        <w:rPr>
          <w:rFonts w:ascii="Baskerville" w:hAnsi="Baskerville" w:cs="Baskerville"/>
        </w:rPr>
        <w:t xml:space="preserve"> </w:t>
      </w:r>
      <w:r w:rsidR="00884972">
        <w:rPr>
          <w:rFonts w:ascii="Baskerville" w:hAnsi="Baskerville" w:cs="Baskerville"/>
        </w:rPr>
        <w:t>FY 2016</w:t>
      </w:r>
      <w:r w:rsidR="00E44757">
        <w:rPr>
          <w:rFonts w:ascii="Baskerville" w:hAnsi="Baskerville" w:cs="Baskerville"/>
        </w:rPr>
        <w:t xml:space="preserve"> will be</w:t>
      </w:r>
      <w:r w:rsidR="00D019F5" w:rsidRPr="00872254">
        <w:rPr>
          <w:rFonts w:ascii="Baskerville" w:hAnsi="Baskerville" w:cs="Baskerville"/>
        </w:rPr>
        <w:t xml:space="preserve"> directed toward </w:t>
      </w:r>
      <w:r w:rsidR="00E44757">
        <w:rPr>
          <w:rFonts w:ascii="Baskerville" w:hAnsi="Baskerville" w:cs="Baskerville"/>
        </w:rPr>
        <w:t xml:space="preserve">this age group and </w:t>
      </w:r>
      <w:r w:rsidR="00D019F5" w:rsidRPr="00872254">
        <w:rPr>
          <w:rFonts w:ascii="Baskerville" w:hAnsi="Baskerville" w:cs="Baskerville"/>
        </w:rPr>
        <w:t>for crisis support.</w:t>
      </w:r>
      <w:r w:rsidR="00B32D4D">
        <w:rPr>
          <w:rFonts w:ascii="Baskerville" w:hAnsi="Baskerville" w:cs="Baskerville"/>
        </w:rPr>
        <w:t xml:space="preserve"> In each R</w:t>
      </w:r>
      <w:r w:rsidR="0072049D" w:rsidRPr="00872254">
        <w:rPr>
          <w:rFonts w:ascii="Baskerville" w:hAnsi="Baskerville" w:cs="Baskerville"/>
        </w:rPr>
        <w:t>egion</w:t>
      </w:r>
      <w:r w:rsidR="00887744" w:rsidRPr="00872254">
        <w:rPr>
          <w:rFonts w:ascii="Baskerville" w:hAnsi="Baskerville" w:cs="Baskerville"/>
        </w:rPr>
        <w:t xml:space="preserve"> a gap analysis established that the</w:t>
      </w:r>
      <w:r w:rsidR="002A1AF9" w:rsidRPr="00872254">
        <w:rPr>
          <w:rFonts w:ascii="Baskerville" w:hAnsi="Baskerville" w:cs="Baskerville"/>
        </w:rPr>
        <w:t xml:space="preserve"> existing </w:t>
      </w:r>
      <w:r w:rsidR="007B7730">
        <w:rPr>
          <w:rFonts w:ascii="Baskerville" w:hAnsi="Baskerville" w:cs="Baskerville"/>
        </w:rPr>
        <w:t xml:space="preserve">children’s </w:t>
      </w:r>
      <w:r w:rsidR="002A1AF9" w:rsidRPr="00872254">
        <w:rPr>
          <w:rFonts w:ascii="Baskerville" w:hAnsi="Baskerville" w:cs="Baskerville"/>
        </w:rPr>
        <w:t>crisis services in plac</w:t>
      </w:r>
      <w:r w:rsidR="000D4386" w:rsidRPr="00872254">
        <w:rPr>
          <w:rFonts w:ascii="Baskerville" w:hAnsi="Baskerville" w:cs="Baskerville"/>
        </w:rPr>
        <w:t xml:space="preserve">e vary and </w:t>
      </w:r>
      <w:r w:rsidR="00AB1E6C">
        <w:rPr>
          <w:rFonts w:ascii="Baskerville" w:hAnsi="Baskerville" w:cs="Baskerville"/>
        </w:rPr>
        <w:t xml:space="preserve">that </w:t>
      </w:r>
      <w:r w:rsidR="000D4386" w:rsidRPr="00872254">
        <w:rPr>
          <w:rFonts w:ascii="Baskerville" w:hAnsi="Baskerville" w:cs="Baskerville"/>
        </w:rPr>
        <w:t xml:space="preserve">the </w:t>
      </w:r>
      <w:r w:rsidR="00B32D4D">
        <w:rPr>
          <w:rFonts w:ascii="Baskerville" w:hAnsi="Baskerville" w:cs="Baskerville"/>
        </w:rPr>
        <w:t>R</w:t>
      </w:r>
      <w:r w:rsidR="00AB1E6C">
        <w:rPr>
          <w:rFonts w:ascii="Baskerville" w:hAnsi="Baskerville" w:cs="Baskerville"/>
        </w:rPr>
        <w:t xml:space="preserve">egional </w:t>
      </w:r>
      <w:r w:rsidR="0072049D" w:rsidRPr="00872254">
        <w:rPr>
          <w:rFonts w:ascii="Baskerville" w:hAnsi="Baskerville" w:cs="Baskerville"/>
        </w:rPr>
        <w:t>arrangements</w:t>
      </w:r>
      <w:r w:rsidR="000D4386" w:rsidRPr="00872254">
        <w:rPr>
          <w:rFonts w:ascii="Baskerville" w:hAnsi="Baskerville" w:cs="Baskerville"/>
        </w:rPr>
        <w:t>, partnerships</w:t>
      </w:r>
      <w:r w:rsidR="0072049D" w:rsidRPr="00872254">
        <w:rPr>
          <w:rFonts w:ascii="Baskerville" w:hAnsi="Baskerville" w:cs="Baskerville"/>
        </w:rPr>
        <w:t xml:space="preserve"> and service gaps</w:t>
      </w:r>
      <w:r w:rsidR="000D4386" w:rsidRPr="00872254">
        <w:rPr>
          <w:rFonts w:ascii="Baskerville" w:hAnsi="Baskerville" w:cs="Baskerville"/>
        </w:rPr>
        <w:t xml:space="preserve"> differ</w:t>
      </w:r>
      <w:r w:rsidR="000C630F">
        <w:rPr>
          <w:rFonts w:ascii="Baskerville" w:hAnsi="Baskerville" w:cs="Baskerville"/>
        </w:rPr>
        <w:t xml:space="preserve">. </w:t>
      </w:r>
      <w:r w:rsidR="006146C9">
        <w:rPr>
          <w:rFonts w:ascii="Baskerville" w:hAnsi="Baskerville" w:cs="Baskerville"/>
        </w:rPr>
        <w:t xml:space="preserve">Therefore, </w:t>
      </w:r>
      <w:r w:rsidR="000C630F">
        <w:rPr>
          <w:rFonts w:ascii="Baskerville" w:hAnsi="Baskerville" w:cs="Baskerville"/>
        </w:rPr>
        <w:t>DBHDS</w:t>
      </w:r>
      <w:r w:rsidR="006146C9">
        <w:rPr>
          <w:rFonts w:ascii="Baskerville" w:hAnsi="Baskerville" w:cs="Baskerville"/>
        </w:rPr>
        <w:t xml:space="preserve"> will </w:t>
      </w:r>
      <w:r w:rsidR="007B7730">
        <w:rPr>
          <w:rFonts w:ascii="Baskerville" w:hAnsi="Baskerville" w:cs="Baskerville"/>
        </w:rPr>
        <w:t xml:space="preserve">allow the </w:t>
      </w:r>
      <w:r w:rsidR="0072049D" w:rsidRPr="00872254">
        <w:rPr>
          <w:rFonts w:ascii="Baskerville" w:hAnsi="Baskerville" w:cs="Baskerville"/>
        </w:rPr>
        <w:t>available funding</w:t>
      </w:r>
      <w:r w:rsidR="007B7730">
        <w:rPr>
          <w:rFonts w:ascii="Baskerville" w:hAnsi="Baskerville" w:cs="Baskerville"/>
        </w:rPr>
        <w:t xml:space="preserve"> to</w:t>
      </w:r>
      <w:r w:rsidR="0072049D" w:rsidRPr="00872254">
        <w:rPr>
          <w:rFonts w:ascii="Baskerville" w:hAnsi="Baskerville" w:cs="Baskerville"/>
        </w:rPr>
        <w:t xml:space="preserve"> be used differently in each </w:t>
      </w:r>
      <w:r w:rsidR="00D05FE0" w:rsidRPr="00872254">
        <w:rPr>
          <w:rFonts w:ascii="Baskerville" w:hAnsi="Baskerville" w:cs="Baskerville"/>
        </w:rPr>
        <w:t xml:space="preserve">Region. </w:t>
      </w:r>
      <w:r w:rsidR="000C630F">
        <w:rPr>
          <w:rFonts w:ascii="Baskerville" w:hAnsi="Baskerville" w:cs="Baskerville"/>
        </w:rPr>
        <w:t>DBHDS</w:t>
      </w:r>
      <w:r w:rsidR="00843D46">
        <w:rPr>
          <w:rFonts w:ascii="Baskerville" w:hAnsi="Baskerville" w:cs="Baskerville"/>
        </w:rPr>
        <w:t xml:space="preserve"> reports that it</w:t>
      </w:r>
      <w:r w:rsidR="000C630F">
        <w:rPr>
          <w:rFonts w:ascii="Baskerville" w:hAnsi="Baskerville" w:cs="Baskerville"/>
        </w:rPr>
        <w:t xml:space="preserve"> will expect all children’s crisis</w:t>
      </w:r>
      <w:r w:rsidR="00D05FE0" w:rsidRPr="00872254">
        <w:rPr>
          <w:rFonts w:ascii="Baskerville" w:hAnsi="Baskerville" w:cs="Baskerville"/>
        </w:rPr>
        <w:t xml:space="preserve"> prog</w:t>
      </w:r>
      <w:r w:rsidR="00396FDB">
        <w:rPr>
          <w:rFonts w:ascii="Baskerville" w:hAnsi="Baskerville" w:cs="Baskerville"/>
        </w:rPr>
        <w:t xml:space="preserve">rams, however, </w:t>
      </w:r>
      <w:r w:rsidR="00E545D7">
        <w:rPr>
          <w:rFonts w:ascii="Baskerville" w:hAnsi="Baskerville" w:cs="Baskerville"/>
        </w:rPr>
        <w:t xml:space="preserve">to meet statewide standards that align with </w:t>
      </w:r>
      <w:r w:rsidR="00D05FE0" w:rsidRPr="00872254">
        <w:rPr>
          <w:rFonts w:ascii="Baskerville" w:hAnsi="Baskerville" w:cs="Baskerville"/>
        </w:rPr>
        <w:t>the requirements of the Agreement.</w:t>
      </w:r>
      <w:r w:rsidR="009A2BD4" w:rsidRPr="00872254">
        <w:rPr>
          <w:rFonts w:ascii="Baskerville" w:hAnsi="Baskerville" w:cs="Baskerville"/>
        </w:rPr>
        <w:t xml:space="preserve"> </w:t>
      </w:r>
      <w:r w:rsidR="006146C9">
        <w:rPr>
          <w:rFonts w:ascii="Baskerville" w:hAnsi="Baskerville" w:cs="Baskerville"/>
        </w:rPr>
        <w:t>The Commonwealth expects each R</w:t>
      </w:r>
      <w:r w:rsidR="002A4604">
        <w:rPr>
          <w:rFonts w:ascii="Baskerville" w:hAnsi="Baskerville" w:cs="Baskerville"/>
        </w:rPr>
        <w:t xml:space="preserve">egion </w:t>
      </w:r>
      <w:r w:rsidR="00151387" w:rsidRPr="00872254">
        <w:rPr>
          <w:rFonts w:ascii="Baskerville" w:hAnsi="Baskerville" w:cs="Baskerville"/>
        </w:rPr>
        <w:t xml:space="preserve">to hire a navigator, </w:t>
      </w:r>
      <w:r w:rsidR="00E3757A">
        <w:rPr>
          <w:rFonts w:ascii="Baskerville" w:hAnsi="Baskerville" w:cs="Baskerville"/>
        </w:rPr>
        <w:t xml:space="preserve">to </w:t>
      </w:r>
      <w:r w:rsidR="00151387" w:rsidRPr="00872254">
        <w:rPr>
          <w:rFonts w:ascii="Baskerville" w:hAnsi="Baskerville" w:cs="Baskerville"/>
        </w:rPr>
        <w:t xml:space="preserve">provide the required training, </w:t>
      </w:r>
      <w:r w:rsidR="00E3757A">
        <w:rPr>
          <w:rFonts w:ascii="Baskerville" w:hAnsi="Baskerville" w:cs="Baskerville"/>
        </w:rPr>
        <w:t xml:space="preserve">to </w:t>
      </w:r>
      <w:r w:rsidR="00151387" w:rsidRPr="00872254">
        <w:rPr>
          <w:rFonts w:ascii="Baskerville" w:hAnsi="Baskerville" w:cs="Baskerville"/>
        </w:rPr>
        <w:t xml:space="preserve">provide consistent data, and </w:t>
      </w:r>
      <w:r w:rsidR="002A4604">
        <w:rPr>
          <w:rFonts w:ascii="Baskerville" w:hAnsi="Baskerville" w:cs="Baskerville"/>
        </w:rPr>
        <w:t xml:space="preserve">to </w:t>
      </w:r>
      <w:r w:rsidR="00151387" w:rsidRPr="00872254">
        <w:rPr>
          <w:rFonts w:ascii="Baskerville" w:hAnsi="Baskerville" w:cs="Baskerville"/>
        </w:rPr>
        <w:t>use the performance measures in the contract with the responsible CSBs to insure the program standards are met.</w:t>
      </w:r>
    </w:p>
    <w:p w:rsidR="00EE53F3" w:rsidRPr="00872254" w:rsidRDefault="00EE53F3" w:rsidP="003518FC">
      <w:pPr>
        <w:tabs>
          <w:tab w:val="left" w:pos="1671"/>
        </w:tabs>
        <w:ind w:right="-216"/>
        <w:rPr>
          <w:rFonts w:ascii="Baskerville" w:hAnsi="Baskerville" w:cs="Baskerville"/>
        </w:rPr>
      </w:pPr>
    </w:p>
    <w:p w:rsidR="002302B0" w:rsidRPr="00872254" w:rsidRDefault="002302B0" w:rsidP="003518FC">
      <w:pPr>
        <w:tabs>
          <w:tab w:val="left" w:pos="1671"/>
        </w:tabs>
        <w:ind w:right="-216"/>
        <w:rPr>
          <w:rFonts w:ascii="Baskerville" w:hAnsi="Baskerville" w:cs="Baskerville"/>
        </w:rPr>
      </w:pPr>
      <w:r w:rsidRPr="00872254">
        <w:rPr>
          <w:rFonts w:ascii="Baskerville" w:hAnsi="Baskerville" w:cs="Baskerville"/>
        </w:rPr>
        <w:t xml:space="preserve">The statewide </w:t>
      </w:r>
      <w:r w:rsidR="00E545D7">
        <w:rPr>
          <w:rFonts w:ascii="Baskerville" w:hAnsi="Baskerville" w:cs="Baskerville"/>
        </w:rPr>
        <w:t xml:space="preserve">children’s crisis </w:t>
      </w:r>
      <w:r w:rsidRPr="00872254">
        <w:rPr>
          <w:rFonts w:ascii="Baskerville" w:hAnsi="Baskerville" w:cs="Baskerville"/>
        </w:rPr>
        <w:t>program standards</w:t>
      </w:r>
      <w:r w:rsidR="00CF60CE" w:rsidRPr="00872254">
        <w:rPr>
          <w:rFonts w:ascii="Baskerville" w:hAnsi="Baskerville" w:cs="Baskerville"/>
        </w:rPr>
        <w:t xml:space="preserve"> remain in draft form. </w:t>
      </w:r>
      <w:r w:rsidR="00FD15D4" w:rsidRPr="00872254">
        <w:rPr>
          <w:rFonts w:ascii="Baskerville" w:hAnsi="Baskerville" w:cs="Baskerville"/>
        </w:rPr>
        <w:t>It is positive that t</w:t>
      </w:r>
      <w:r w:rsidR="00CF60CE" w:rsidRPr="00872254">
        <w:rPr>
          <w:rFonts w:ascii="Baskerville" w:hAnsi="Baskerville" w:cs="Baskerville"/>
        </w:rPr>
        <w:t>he</w:t>
      </w:r>
      <w:r w:rsidR="00C61988" w:rsidRPr="00872254">
        <w:rPr>
          <w:rFonts w:ascii="Baskerville" w:hAnsi="Baskerville" w:cs="Baskerville"/>
        </w:rPr>
        <w:t xml:space="preserve"> standards include </w:t>
      </w:r>
      <w:r w:rsidR="00D92842" w:rsidRPr="00872254">
        <w:rPr>
          <w:rFonts w:ascii="Baskerville" w:hAnsi="Baskerville" w:cs="Baskerville"/>
        </w:rPr>
        <w:t xml:space="preserve">most of </w:t>
      </w:r>
      <w:r w:rsidR="00C61988" w:rsidRPr="00872254">
        <w:rPr>
          <w:rFonts w:ascii="Baskerville" w:hAnsi="Baskerville" w:cs="Baskerville"/>
        </w:rPr>
        <w:t>the service elements and expecta</w:t>
      </w:r>
      <w:r w:rsidR="00D92842" w:rsidRPr="00872254">
        <w:rPr>
          <w:rFonts w:ascii="Baskerville" w:hAnsi="Baskerville" w:cs="Baskerville"/>
        </w:rPr>
        <w:t>tions detailed in the Agreement</w:t>
      </w:r>
      <w:r w:rsidR="00B05BE2">
        <w:rPr>
          <w:rFonts w:ascii="Baskerville" w:hAnsi="Baskerville" w:cs="Baskerville"/>
        </w:rPr>
        <w:t xml:space="preserve"> and that the</w:t>
      </w:r>
      <w:r w:rsidR="00E545D7">
        <w:rPr>
          <w:rFonts w:ascii="Baskerville" w:hAnsi="Baskerville" w:cs="Baskerville"/>
        </w:rPr>
        <w:t xml:space="preserve"> standards</w:t>
      </w:r>
      <w:r w:rsidR="008A7F75" w:rsidRPr="00872254">
        <w:rPr>
          <w:rFonts w:ascii="Baskerville" w:hAnsi="Baskerville" w:cs="Baskerville"/>
        </w:rPr>
        <w:t xml:space="preserve"> will apply to all five regions</w:t>
      </w:r>
      <w:r w:rsidR="00EB6AFD">
        <w:rPr>
          <w:rFonts w:ascii="Baskerville" w:hAnsi="Baskerville" w:cs="Baskerville"/>
        </w:rPr>
        <w:t>. The standards</w:t>
      </w:r>
      <w:r w:rsidR="005A081D">
        <w:rPr>
          <w:rFonts w:ascii="Baskerville" w:hAnsi="Baskerville" w:cs="Baskerville"/>
        </w:rPr>
        <w:t xml:space="preserve"> do not</w:t>
      </w:r>
      <w:r w:rsidR="005A081D" w:rsidRPr="00872254">
        <w:rPr>
          <w:rFonts w:ascii="Baskerville" w:hAnsi="Baskerville" w:cs="Baskerville"/>
        </w:rPr>
        <w:t xml:space="preserve">, however, </w:t>
      </w:r>
      <w:r w:rsidR="00D92842" w:rsidRPr="00872254">
        <w:rPr>
          <w:rFonts w:ascii="Baskerville" w:hAnsi="Baskerville" w:cs="Baskerville"/>
        </w:rPr>
        <w:t>include</w:t>
      </w:r>
      <w:r w:rsidR="005A081D">
        <w:rPr>
          <w:rFonts w:ascii="Baskerville" w:hAnsi="Baskerville" w:cs="Baskerville"/>
        </w:rPr>
        <w:t xml:space="preserve"> </w:t>
      </w:r>
      <w:r w:rsidR="00486871">
        <w:rPr>
          <w:rFonts w:ascii="Baskerville" w:hAnsi="Baskerville" w:cs="Baskerville"/>
        </w:rPr>
        <w:t>expectat</w:t>
      </w:r>
      <w:r w:rsidR="005C6F6F">
        <w:rPr>
          <w:rFonts w:ascii="Baskerville" w:hAnsi="Baskerville" w:cs="Baskerville"/>
        </w:rPr>
        <w:t xml:space="preserve">ions that the five regions will </w:t>
      </w:r>
      <w:r w:rsidR="00486871">
        <w:rPr>
          <w:rFonts w:ascii="Baskerville" w:hAnsi="Baskerville" w:cs="Baskerville"/>
        </w:rPr>
        <w:t>provide</w:t>
      </w:r>
      <w:r w:rsidR="00D92842" w:rsidRPr="00872254">
        <w:rPr>
          <w:rFonts w:ascii="Baskerville" w:hAnsi="Baskerville" w:cs="Baskerville"/>
        </w:rPr>
        <w:t xml:space="preserve"> an alternative residential setting</w:t>
      </w:r>
      <w:r w:rsidR="003613C4">
        <w:rPr>
          <w:rFonts w:ascii="Baskerville" w:hAnsi="Baskerville" w:cs="Baskerville"/>
        </w:rPr>
        <w:t>,</w:t>
      </w:r>
      <w:r w:rsidR="00D552ED" w:rsidRPr="00872254">
        <w:rPr>
          <w:rFonts w:ascii="Baskerville" w:hAnsi="Baskerville" w:cs="Baskerville"/>
        </w:rPr>
        <w:t xml:space="preserve"> of no more than six beds</w:t>
      </w:r>
      <w:r w:rsidR="003613C4">
        <w:rPr>
          <w:rFonts w:ascii="Baskerville" w:hAnsi="Baskerville" w:cs="Baskerville"/>
        </w:rPr>
        <w:t>,</w:t>
      </w:r>
      <w:r w:rsidR="00D552ED" w:rsidRPr="00872254">
        <w:rPr>
          <w:rFonts w:ascii="Baskerville" w:hAnsi="Baskerville" w:cs="Baskerville"/>
        </w:rPr>
        <w:t xml:space="preserve"> that can provide crisis stabilization </w:t>
      </w:r>
      <w:r w:rsidR="003613C4">
        <w:rPr>
          <w:rFonts w:ascii="Baskerville" w:hAnsi="Baskerville" w:cs="Baskerville"/>
        </w:rPr>
        <w:t xml:space="preserve">for a period </w:t>
      </w:r>
      <w:r w:rsidR="00D552ED" w:rsidRPr="00872254">
        <w:rPr>
          <w:rFonts w:ascii="Baskerville" w:hAnsi="Baskerville" w:cs="Baskerville"/>
        </w:rPr>
        <w:t xml:space="preserve">not to exceed thirty days. </w:t>
      </w:r>
      <w:r w:rsidR="004F0448" w:rsidRPr="00872254">
        <w:rPr>
          <w:rFonts w:ascii="Baskerville" w:hAnsi="Baskerville" w:cs="Baskerville"/>
        </w:rPr>
        <w:t>How the Commonwealth meets this standard for the children’s crisis system will l</w:t>
      </w:r>
      <w:r w:rsidR="00B05BE2">
        <w:rPr>
          <w:rFonts w:ascii="Baskerville" w:hAnsi="Baskerville" w:cs="Baskerville"/>
        </w:rPr>
        <w:t>ikely be different from</w:t>
      </w:r>
      <w:r w:rsidR="000B5BFF" w:rsidRPr="00872254">
        <w:rPr>
          <w:rFonts w:ascii="Baskerville" w:hAnsi="Baskerville" w:cs="Baskerville"/>
        </w:rPr>
        <w:t xml:space="preserve"> </w:t>
      </w:r>
      <w:r w:rsidR="005C6F6F">
        <w:rPr>
          <w:rFonts w:ascii="Baskerville" w:hAnsi="Baskerville" w:cs="Baskerville"/>
        </w:rPr>
        <w:t>its approach</w:t>
      </w:r>
      <w:r w:rsidR="00EB6AFD">
        <w:rPr>
          <w:rFonts w:ascii="Baskerville" w:hAnsi="Baskerville" w:cs="Baskerville"/>
        </w:rPr>
        <w:t xml:space="preserve"> for adults. T</w:t>
      </w:r>
      <w:r w:rsidR="000B5BFF" w:rsidRPr="00872254">
        <w:rPr>
          <w:rFonts w:ascii="Baskerville" w:hAnsi="Baskerville" w:cs="Baskerville"/>
        </w:rPr>
        <w:t>he approach</w:t>
      </w:r>
      <w:r w:rsidR="009A414C">
        <w:rPr>
          <w:rFonts w:ascii="Baskerville" w:hAnsi="Baskerville" w:cs="Baskerville"/>
        </w:rPr>
        <w:t>es may</w:t>
      </w:r>
      <w:r w:rsidR="005C6F6F">
        <w:rPr>
          <w:rFonts w:ascii="Baskerville" w:hAnsi="Baskerville" w:cs="Baskerville"/>
        </w:rPr>
        <w:t xml:space="preserve"> </w:t>
      </w:r>
      <w:r w:rsidR="009A414C">
        <w:rPr>
          <w:rFonts w:ascii="Baskerville" w:hAnsi="Baskerville" w:cs="Baskerville"/>
        </w:rPr>
        <w:t xml:space="preserve">also </w:t>
      </w:r>
      <w:r w:rsidR="005C6F6F">
        <w:rPr>
          <w:rFonts w:ascii="Baskerville" w:hAnsi="Baskerville" w:cs="Baskerville"/>
        </w:rPr>
        <w:t xml:space="preserve">vary </w:t>
      </w:r>
      <w:r w:rsidR="00EB6AFD">
        <w:rPr>
          <w:rFonts w:ascii="Baskerville" w:hAnsi="Baskerville" w:cs="Baskerville"/>
        </w:rPr>
        <w:t>among</w:t>
      </w:r>
      <w:r w:rsidR="00B57A3B">
        <w:rPr>
          <w:rFonts w:ascii="Baskerville" w:hAnsi="Baskerville" w:cs="Baskerville"/>
        </w:rPr>
        <w:t xml:space="preserve"> regions. All Agreement</w:t>
      </w:r>
      <w:r w:rsidR="000B5BFF" w:rsidRPr="00872254">
        <w:rPr>
          <w:rFonts w:ascii="Baskerville" w:hAnsi="Baskerville" w:cs="Baskerville"/>
        </w:rPr>
        <w:t xml:space="preserve"> provision</w:t>
      </w:r>
      <w:r w:rsidR="00B57A3B">
        <w:rPr>
          <w:rFonts w:ascii="Baskerville" w:hAnsi="Baskerville" w:cs="Baskerville"/>
        </w:rPr>
        <w:t>s, however, apply equally</w:t>
      </w:r>
      <w:r w:rsidR="000B5BFF" w:rsidRPr="00872254">
        <w:rPr>
          <w:rFonts w:ascii="Baskerville" w:hAnsi="Baskerville" w:cs="Baskerville"/>
        </w:rPr>
        <w:t xml:space="preserve"> to the children’s portion of the </w:t>
      </w:r>
      <w:r w:rsidR="005C6F6F">
        <w:rPr>
          <w:rFonts w:ascii="Baskerville" w:hAnsi="Baskerville" w:cs="Baskerville"/>
        </w:rPr>
        <w:t xml:space="preserve">statewide </w:t>
      </w:r>
      <w:r w:rsidR="00E3757A">
        <w:rPr>
          <w:rFonts w:ascii="Baskerville" w:hAnsi="Baskerville" w:cs="Baskerville"/>
        </w:rPr>
        <w:t>crisis system as they do</w:t>
      </w:r>
      <w:r w:rsidR="000B5BFF" w:rsidRPr="00872254">
        <w:rPr>
          <w:rFonts w:ascii="Baskerville" w:hAnsi="Baskerville" w:cs="Baskerville"/>
        </w:rPr>
        <w:t xml:space="preserve"> for adults.</w:t>
      </w:r>
      <w:r w:rsidR="00366B55" w:rsidRPr="00872254">
        <w:rPr>
          <w:rFonts w:ascii="Baskerville" w:hAnsi="Baskerville" w:cs="Baskerville"/>
        </w:rPr>
        <w:t xml:space="preserve"> The</w:t>
      </w:r>
      <w:r w:rsidR="0087607C" w:rsidRPr="00872254">
        <w:rPr>
          <w:rFonts w:ascii="Baskerville" w:hAnsi="Baskerville" w:cs="Baskerville"/>
        </w:rPr>
        <w:t xml:space="preserve"> Commonwealth has included</w:t>
      </w:r>
      <w:r w:rsidR="00366B55" w:rsidRPr="00872254">
        <w:rPr>
          <w:rFonts w:ascii="Baskerville" w:hAnsi="Baskerville" w:cs="Baskerville"/>
        </w:rPr>
        <w:t xml:space="preserve"> </w:t>
      </w:r>
      <w:r w:rsidR="00185DF0" w:rsidRPr="00872254">
        <w:rPr>
          <w:rFonts w:ascii="Baskerville" w:hAnsi="Baskerville" w:cs="Baskerville"/>
        </w:rPr>
        <w:t xml:space="preserve">basic </w:t>
      </w:r>
      <w:r w:rsidR="00366B55" w:rsidRPr="00872254">
        <w:rPr>
          <w:rFonts w:ascii="Baskerville" w:hAnsi="Baskerville" w:cs="Baskerville"/>
        </w:rPr>
        <w:t xml:space="preserve">data collection </w:t>
      </w:r>
      <w:r w:rsidR="00352419" w:rsidRPr="00872254">
        <w:rPr>
          <w:rFonts w:ascii="Baskerville" w:hAnsi="Baskerville" w:cs="Baskerville"/>
        </w:rPr>
        <w:t xml:space="preserve">and training </w:t>
      </w:r>
      <w:r w:rsidR="00366B55" w:rsidRPr="00872254">
        <w:rPr>
          <w:rFonts w:ascii="Baskerville" w:hAnsi="Baskerville" w:cs="Baskerville"/>
        </w:rPr>
        <w:t xml:space="preserve">expectations </w:t>
      </w:r>
      <w:r w:rsidR="00185DF0" w:rsidRPr="00872254">
        <w:rPr>
          <w:rFonts w:ascii="Baskerville" w:hAnsi="Baskerville" w:cs="Baskerville"/>
        </w:rPr>
        <w:t xml:space="preserve">in the standards. </w:t>
      </w:r>
      <w:r w:rsidR="009A414C">
        <w:rPr>
          <w:rFonts w:ascii="Baskerville" w:hAnsi="Baskerville" w:cs="Baskerville"/>
        </w:rPr>
        <w:t xml:space="preserve"> Additional data, however, are</w:t>
      </w:r>
      <w:r w:rsidR="0087607C" w:rsidRPr="00872254">
        <w:rPr>
          <w:rFonts w:ascii="Baskerville" w:hAnsi="Baskerville" w:cs="Baskerville"/>
        </w:rPr>
        <w:t xml:space="preserve"> necessary</w:t>
      </w:r>
      <w:r w:rsidR="008C2902" w:rsidRPr="00872254">
        <w:rPr>
          <w:rFonts w:ascii="Baskerville" w:hAnsi="Baskerville" w:cs="Baskerville"/>
        </w:rPr>
        <w:t xml:space="preserve"> to determine whether the </w:t>
      </w:r>
      <w:r w:rsidR="00DF0012">
        <w:rPr>
          <w:rFonts w:ascii="Baskerville" w:hAnsi="Baskerville" w:cs="Baskerville"/>
        </w:rPr>
        <w:t>Commonwealth is properly implementing the requirements of the Agreement</w:t>
      </w:r>
      <w:r w:rsidR="00492CFA" w:rsidRPr="00872254">
        <w:rPr>
          <w:rFonts w:ascii="Baskerville" w:hAnsi="Baskerville" w:cs="Baskerville"/>
        </w:rPr>
        <w:t xml:space="preserve">. These </w:t>
      </w:r>
      <w:r w:rsidR="008C2902" w:rsidRPr="00872254">
        <w:rPr>
          <w:rFonts w:ascii="Baskerville" w:hAnsi="Baskerville" w:cs="Baskerville"/>
        </w:rPr>
        <w:t>include</w:t>
      </w:r>
      <w:r w:rsidR="009A414C">
        <w:rPr>
          <w:rFonts w:ascii="Baskerville" w:hAnsi="Baskerville" w:cs="Baskerville"/>
        </w:rPr>
        <w:t>:</w:t>
      </w:r>
      <w:r w:rsidR="008C2902" w:rsidRPr="00872254">
        <w:rPr>
          <w:rFonts w:ascii="Baskerville" w:hAnsi="Baskerville" w:cs="Baskerville"/>
        </w:rPr>
        <w:t xml:space="preserve"> information about the type of crisis services provided; any use of </w:t>
      </w:r>
      <w:r w:rsidR="00492CFA" w:rsidRPr="00872254">
        <w:rPr>
          <w:rFonts w:ascii="Baskerville" w:hAnsi="Baskerville" w:cs="Baskerville"/>
        </w:rPr>
        <w:t xml:space="preserve">out-of-home </w:t>
      </w:r>
      <w:r w:rsidR="008C2902" w:rsidRPr="00872254">
        <w:rPr>
          <w:rFonts w:ascii="Baskerville" w:hAnsi="Baskerville" w:cs="Baskerville"/>
        </w:rPr>
        <w:t>respite or inpatient hospitalization and the length of time a child is admitted; and information about the chi</w:t>
      </w:r>
      <w:r w:rsidR="00492CFA" w:rsidRPr="00872254">
        <w:rPr>
          <w:rFonts w:ascii="Baskerville" w:hAnsi="Baskerville" w:cs="Baskerville"/>
        </w:rPr>
        <w:t>ld’s placement after an out-of-</w:t>
      </w:r>
      <w:r w:rsidR="008C2902" w:rsidRPr="00872254">
        <w:rPr>
          <w:rFonts w:ascii="Baskerville" w:hAnsi="Baskerville" w:cs="Baskerville"/>
        </w:rPr>
        <w:t>home crisis intervention</w:t>
      </w:r>
      <w:r w:rsidR="00152AF8" w:rsidRPr="00872254">
        <w:rPr>
          <w:rFonts w:ascii="Baskerville" w:hAnsi="Baskerville" w:cs="Baskerville"/>
        </w:rPr>
        <w:t>. DBHDS is continuing to</w:t>
      </w:r>
      <w:r w:rsidR="006F6261">
        <w:rPr>
          <w:rFonts w:ascii="Baskerville" w:hAnsi="Baskerville" w:cs="Baskerville"/>
        </w:rPr>
        <w:t xml:space="preserve"> finalize the list of trainings. This </w:t>
      </w:r>
      <w:r w:rsidR="003F763F" w:rsidRPr="00872254">
        <w:rPr>
          <w:rFonts w:ascii="Baskerville" w:hAnsi="Baskerville" w:cs="Baskerville"/>
        </w:rPr>
        <w:t>does not yet include modules on person-centered planning, transition from law enforcement or inpatient settings,</w:t>
      </w:r>
      <w:r w:rsidR="005F6836" w:rsidRPr="00872254">
        <w:rPr>
          <w:rFonts w:ascii="Baskerville" w:hAnsi="Baskerville" w:cs="Baskerville"/>
        </w:rPr>
        <w:t xml:space="preserve"> </w:t>
      </w:r>
      <w:r w:rsidR="003F763F" w:rsidRPr="00872254">
        <w:rPr>
          <w:rFonts w:ascii="Baskerville" w:hAnsi="Baskerville" w:cs="Baskerville"/>
        </w:rPr>
        <w:t>cross-system comprehensive planning</w:t>
      </w:r>
      <w:r w:rsidR="005F6836" w:rsidRPr="00872254">
        <w:rPr>
          <w:rFonts w:ascii="Baskerville" w:hAnsi="Baskerville" w:cs="Baskerville"/>
        </w:rPr>
        <w:t>, or training for CSB Emergency Services or case management staff.</w:t>
      </w:r>
    </w:p>
    <w:p w:rsidR="009F508D" w:rsidRPr="00872254" w:rsidRDefault="009F508D" w:rsidP="003518FC">
      <w:pPr>
        <w:tabs>
          <w:tab w:val="left" w:pos="1671"/>
        </w:tabs>
        <w:ind w:right="-216"/>
        <w:rPr>
          <w:rFonts w:ascii="Baskerville" w:hAnsi="Baskerville" w:cs="Baskerville"/>
        </w:rPr>
      </w:pPr>
    </w:p>
    <w:p w:rsidR="009F508D" w:rsidRPr="00872254" w:rsidRDefault="009F508D" w:rsidP="00E04750">
      <w:pPr>
        <w:spacing w:beforeLines="1" w:afterLines="1"/>
        <w:rPr>
          <w:rFonts w:ascii="Baskerville" w:hAnsi="Baskerville" w:cs="Baskerville"/>
        </w:rPr>
      </w:pPr>
      <w:r w:rsidRPr="00872254">
        <w:rPr>
          <w:rFonts w:ascii="Baskerville" w:hAnsi="Baskerville" w:cs="Baskerville"/>
        </w:rPr>
        <w:t xml:space="preserve">The Commonwealth is not in compliance with </w:t>
      </w:r>
      <w:r w:rsidRPr="00872254">
        <w:rPr>
          <w:rFonts w:ascii="Baskerville" w:hAnsi="Baskerville" w:cs="Baskerville"/>
          <w:i/>
          <w:iCs/>
        </w:rPr>
        <w:t xml:space="preserve">Section III.C.6.a.i, ii, and iii </w:t>
      </w:r>
      <w:r w:rsidRPr="00872254">
        <w:rPr>
          <w:rFonts w:ascii="Baskerville" w:hAnsi="Baskerville" w:cs="Baskerville"/>
        </w:rPr>
        <w:t xml:space="preserve">of the Settlement Agreement because crisis services are not systematically in place and available to children and adolescents. </w:t>
      </w:r>
      <w:r w:rsidR="0082061F">
        <w:rPr>
          <w:rFonts w:ascii="Baskerville" w:hAnsi="Baskerville" w:cs="Baskerville"/>
        </w:rPr>
        <w:t>Serious questions have been raised regarding the effectiveness of the timely supports, crisis prevention</w:t>
      </w:r>
      <w:r w:rsidR="00121B1F">
        <w:rPr>
          <w:rFonts w:ascii="Baskerville" w:hAnsi="Baskerville" w:cs="Baskerville"/>
        </w:rPr>
        <w:t>,</w:t>
      </w:r>
      <w:r w:rsidR="0082061F">
        <w:rPr>
          <w:rFonts w:ascii="Baskerville" w:hAnsi="Baskerville" w:cs="Baskerville"/>
        </w:rPr>
        <w:t xml:space="preserve"> and proactive planning</w:t>
      </w:r>
      <w:r w:rsidR="00121B1F">
        <w:rPr>
          <w:rFonts w:ascii="Baskerville" w:hAnsi="Baskerville" w:cs="Baskerville"/>
        </w:rPr>
        <w:t>,</w:t>
      </w:r>
      <w:r w:rsidR="0082061F">
        <w:rPr>
          <w:rFonts w:ascii="Baskerville" w:hAnsi="Baskerville" w:cs="Baskerville"/>
        </w:rPr>
        <w:t xml:space="preserve"> and whether these services are implemented to avoid potential crises and to prevent institutionalization. </w:t>
      </w:r>
      <w:r w:rsidR="00F974FC">
        <w:rPr>
          <w:rFonts w:ascii="Baskerville" w:hAnsi="Baskerville" w:cs="Baskerville"/>
        </w:rPr>
        <w:t>The IR will prioritize monitoring these quality aspects of crisis services during the next review period.</w:t>
      </w:r>
    </w:p>
    <w:p w:rsidR="00F72366" w:rsidRPr="00872254" w:rsidRDefault="00F72366" w:rsidP="00E04750">
      <w:pPr>
        <w:spacing w:beforeLines="1" w:afterLines="1"/>
        <w:rPr>
          <w:rFonts w:ascii="Baskerville" w:hAnsi="Baskerville" w:cs="Baskerville"/>
        </w:rPr>
      </w:pPr>
    </w:p>
    <w:p w:rsidR="00F72366" w:rsidRPr="00872254" w:rsidRDefault="00F72366" w:rsidP="00E04750">
      <w:pPr>
        <w:spacing w:beforeLines="1" w:afterLines="1"/>
        <w:rPr>
          <w:rFonts w:ascii="Baskerville" w:hAnsi="Baskerville" w:cs="Baskerville"/>
          <w:u w:val="single"/>
        </w:rPr>
      </w:pPr>
      <w:r w:rsidRPr="00872254">
        <w:rPr>
          <w:rFonts w:ascii="Baskerville" w:hAnsi="Baskerville" w:cs="Baskerville"/>
          <w:u w:val="single"/>
        </w:rPr>
        <w:t>Outreach to the DD Community</w:t>
      </w:r>
      <w:r w:rsidR="005A138C" w:rsidRPr="00872254">
        <w:rPr>
          <w:rFonts w:ascii="Baskerville" w:hAnsi="Baskerville" w:cs="Baskerville"/>
          <w:u w:val="single"/>
        </w:rPr>
        <w:t>:</w:t>
      </w:r>
    </w:p>
    <w:p w:rsidR="005A138C" w:rsidRPr="00872254" w:rsidRDefault="005A138C" w:rsidP="00E04750">
      <w:pPr>
        <w:spacing w:beforeLines="1" w:afterLines="1"/>
        <w:rPr>
          <w:rFonts w:ascii="Baskerville" w:hAnsi="Baskerville" w:cs="Baskerville"/>
        </w:rPr>
      </w:pPr>
      <w:r w:rsidRPr="00872254">
        <w:rPr>
          <w:rFonts w:ascii="Baskerville" w:hAnsi="Baskerville" w:cs="Baskerville"/>
        </w:rPr>
        <w:t xml:space="preserve">DBHDS has developed and begun implementation of a plan to reach out to individuals with DD, other than ID, </w:t>
      </w:r>
      <w:r w:rsidR="00FC21CD">
        <w:rPr>
          <w:rFonts w:ascii="Baskerville" w:hAnsi="Baskerville" w:cs="Baskerville"/>
        </w:rPr>
        <w:t>their families and providers. DBHDS has provided t</w:t>
      </w:r>
      <w:r w:rsidR="003A633B" w:rsidRPr="00872254">
        <w:rPr>
          <w:rFonts w:ascii="Baskerville" w:hAnsi="Baskerville" w:cs="Baskerville"/>
        </w:rPr>
        <w:t>rainings, brochures, and re</w:t>
      </w:r>
      <w:r w:rsidR="00FC21CD">
        <w:rPr>
          <w:rFonts w:ascii="Baskerville" w:hAnsi="Baskerville" w:cs="Baskerville"/>
        </w:rPr>
        <w:t>minders to</w:t>
      </w:r>
      <w:r w:rsidR="00C5061B" w:rsidRPr="00872254">
        <w:rPr>
          <w:rFonts w:ascii="Baskerville" w:hAnsi="Baskerville" w:cs="Baskerville"/>
        </w:rPr>
        <w:t xml:space="preserve"> DD case managers to share this information with fa</w:t>
      </w:r>
      <w:r w:rsidR="00FC21CD">
        <w:rPr>
          <w:rFonts w:ascii="Baskerville" w:hAnsi="Baskerville" w:cs="Baskerville"/>
        </w:rPr>
        <w:t>milies</w:t>
      </w:r>
      <w:r w:rsidR="004B56BB" w:rsidRPr="00872254">
        <w:rPr>
          <w:rFonts w:ascii="Baskerville" w:hAnsi="Baskerville" w:cs="Baskerville"/>
        </w:rPr>
        <w:t xml:space="preserve">. DBHDS has sought the advice of the </w:t>
      </w:r>
      <w:r w:rsidR="00B70BCD" w:rsidRPr="00872254">
        <w:rPr>
          <w:rFonts w:ascii="Baskerville" w:hAnsi="Baskerville" w:cs="Baskerville"/>
        </w:rPr>
        <w:t>autism an</w:t>
      </w:r>
      <w:r w:rsidR="00673846" w:rsidRPr="00872254">
        <w:rPr>
          <w:rFonts w:ascii="Baskerville" w:hAnsi="Baskerville" w:cs="Baskerville"/>
        </w:rPr>
        <w:t xml:space="preserve">d other advocacy organizations </w:t>
      </w:r>
      <w:r w:rsidR="00B70BCD" w:rsidRPr="00872254">
        <w:rPr>
          <w:rFonts w:ascii="Baskerville" w:hAnsi="Baskerville" w:cs="Baskerville"/>
        </w:rPr>
        <w:t>to help distribute information about the REACH programs</w:t>
      </w:r>
      <w:r w:rsidR="008F6C73">
        <w:rPr>
          <w:rFonts w:ascii="Baskerville" w:hAnsi="Baskerville" w:cs="Baskerville"/>
        </w:rPr>
        <w:t xml:space="preserve"> to connect with</w:t>
      </w:r>
      <w:r w:rsidR="00780630" w:rsidRPr="00872254">
        <w:rPr>
          <w:rFonts w:ascii="Baskerville" w:hAnsi="Baskerville" w:cs="Baskerville"/>
        </w:rPr>
        <w:t xml:space="preserve"> more families of individuals with DD </w:t>
      </w:r>
      <w:r w:rsidR="008F6C73">
        <w:rPr>
          <w:rFonts w:ascii="Baskerville" w:hAnsi="Baskerville" w:cs="Baskerville"/>
        </w:rPr>
        <w:t xml:space="preserve">and </w:t>
      </w:r>
      <w:r w:rsidR="00780630" w:rsidRPr="00872254">
        <w:rPr>
          <w:rFonts w:ascii="Baskerville" w:hAnsi="Baskerville" w:cs="Baskerville"/>
        </w:rPr>
        <w:t>to make them aware of the crisis supports that are available.</w:t>
      </w:r>
      <w:r w:rsidR="00801C70" w:rsidRPr="00872254">
        <w:rPr>
          <w:rFonts w:ascii="Baskerville" w:hAnsi="Baskerville" w:cs="Baskerville"/>
        </w:rPr>
        <w:t xml:space="preserve"> In </w:t>
      </w:r>
      <w:r w:rsidR="00673846" w:rsidRPr="00872254">
        <w:rPr>
          <w:rFonts w:ascii="Baskerville" w:hAnsi="Baskerville" w:cs="Baskerville"/>
        </w:rPr>
        <w:t xml:space="preserve">January 2015 </w:t>
      </w:r>
      <w:r w:rsidR="00801C70" w:rsidRPr="00872254">
        <w:rPr>
          <w:rFonts w:ascii="Baskerville" w:hAnsi="Baskerville" w:cs="Baskerville"/>
        </w:rPr>
        <w:t xml:space="preserve">sixty-five staff attended a </w:t>
      </w:r>
      <w:r w:rsidR="00673846" w:rsidRPr="00872254">
        <w:rPr>
          <w:rFonts w:ascii="Baskerville" w:hAnsi="Baskerville" w:cs="Baskerville"/>
        </w:rPr>
        <w:t xml:space="preserve">training specifically </w:t>
      </w:r>
      <w:r w:rsidR="00801C70" w:rsidRPr="00872254">
        <w:rPr>
          <w:rFonts w:ascii="Baskerville" w:hAnsi="Baskerville" w:cs="Baskerville"/>
        </w:rPr>
        <w:t xml:space="preserve">designed </w:t>
      </w:r>
      <w:r w:rsidR="00673846" w:rsidRPr="00872254">
        <w:rPr>
          <w:rFonts w:ascii="Baskerville" w:hAnsi="Baskerville" w:cs="Baskerville"/>
        </w:rPr>
        <w:t>for</w:t>
      </w:r>
      <w:r w:rsidR="00801C70" w:rsidRPr="00872254">
        <w:rPr>
          <w:rFonts w:ascii="Baskerville" w:hAnsi="Baskerville" w:cs="Baskerville"/>
        </w:rPr>
        <w:t xml:space="preserve"> DD case managers.</w:t>
      </w:r>
    </w:p>
    <w:p w:rsidR="001C146F" w:rsidRPr="0045722F" w:rsidRDefault="001C146F" w:rsidP="003518FC">
      <w:pPr>
        <w:tabs>
          <w:tab w:val="left" w:pos="1671"/>
        </w:tabs>
        <w:ind w:right="-216"/>
        <w:rPr>
          <w:rFonts w:ascii="Baskerville" w:hAnsi="Baskerville" w:cs="Baskerville"/>
          <w:u w:val="single"/>
        </w:rPr>
      </w:pPr>
    </w:p>
    <w:p w:rsidR="008E3801" w:rsidRPr="000676CB" w:rsidRDefault="00E77991" w:rsidP="003518FC">
      <w:pPr>
        <w:tabs>
          <w:tab w:val="left" w:pos="1671"/>
        </w:tabs>
        <w:ind w:right="-216"/>
        <w:rPr>
          <w:rFonts w:ascii="Baskerville" w:hAnsi="Baskerville" w:cs="Baskerville"/>
          <w:b/>
        </w:rPr>
      </w:pPr>
      <w:r>
        <w:rPr>
          <w:rFonts w:ascii="Baskerville" w:hAnsi="Baskerville" w:cs="Baskerville"/>
          <w:b/>
        </w:rPr>
        <w:t>7</w:t>
      </w:r>
      <w:r w:rsidR="00540BFC" w:rsidRPr="0013351E">
        <w:rPr>
          <w:rFonts w:ascii="Baskerville" w:hAnsi="Baskerville" w:cs="Baskerville"/>
          <w:b/>
        </w:rPr>
        <w:t xml:space="preserve">. </w:t>
      </w:r>
      <w:r w:rsidR="00D156D2">
        <w:rPr>
          <w:rFonts w:ascii="Baskerville" w:hAnsi="Baskerville" w:cs="Baskerville"/>
          <w:b/>
        </w:rPr>
        <w:t xml:space="preserve">Integrated Day Opportunities </w:t>
      </w:r>
    </w:p>
    <w:p w:rsidR="00D329E7" w:rsidRDefault="004D04CC" w:rsidP="003518FC">
      <w:pPr>
        <w:widowControl w:val="0"/>
        <w:autoSpaceDE w:val="0"/>
        <w:autoSpaceDN w:val="0"/>
        <w:adjustRightInd w:val="0"/>
        <w:rPr>
          <w:rFonts w:ascii="Baskerville" w:hAnsi="Baskerville" w:cs="Baskerville"/>
        </w:rPr>
      </w:pPr>
      <w:r w:rsidRPr="000E5B48">
        <w:rPr>
          <w:rFonts w:ascii="Baskerville" w:hAnsi="Baskerville" w:cs="Baskerville"/>
        </w:rPr>
        <w:t xml:space="preserve">In the Agreement, the </w:t>
      </w:r>
      <w:r w:rsidR="00760E08" w:rsidRPr="000E5B48">
        <w:rPr>
          <w:rFonts w:ascii="Baskerville" w:hAnsi="Baskerville" w:cs="Baskerville"/>
        </w:rPr>
        <w:t xml:space="preserve">Commonwealth committed </w:t>
      </w:r>
      <w:r w:rsidR="006E3651" w:rsidRPr="000E5B48">
        <w:rPr>
          <w:rFonts w:ascii="Baskerville" w:hAnsi="Baskerville" w:cs="Baskerville"/>
        </w:rPr>
        <w:t>“to the greatest extent practi</w:t>
      </w:r>
      <w:r w:rsidR="00753F4E" w:rsidRPr="000E5B48">
        <w:rPr>
          <w:rFonts w:ascii="Baskerville" w:hAnsi="Baskerville" w:cs="Baskerville"/>
        </w:rPr>
        <w:t>ca</w:t>
      </w:r>
      <w:r w:rsidR="006E3651" w:rsidRPr="000E5B48">
        <w:rPr>
          <w:rFonts w:ascii="Baskerville" w:hAnsi="Baskerville" w:cs="Baskerville"/>
        </w:rPr>
        <w:t>ble</w:t>
      </w:r>
      <w:r w:rsidR="00753F4E" w:rsidRPr="000E5B48">
        <w:rPr>
          <w:rFonts w:ascii="Baskerville" w:hAnsi="Baskerville" w:cs="Baskerville"/>
        </w:rPr>
        <w:t>…</w:t>
      </w:r>
      <w:r w:rsidR="006E3651" w:rsidRPr="000E5B48">
        <w:rPr>
          <w:rFonts w:ascii="Baskerville" w:hAnsi="Baskerville" w:cs="Baskerville"/>
        </w:rPr>
        <w:t xml:space="preserve">to </w:t>
      </w:r>
      <w:r w:rsidR="003B2F47" w:rsidRPr="000E5B48">
        <w:rPr>
          <w:rFonts w:ascii="Baskerville" w:hAnsi="Baskerville" w:cs="Baskerville"/>
        </w:rPr>
        <w:t xml:space="preserve">provide </w:t>
      </w:r>
      <w:r w:rsidR="00753F4E" w:rsidRPr="000E5B48">
        <w:rPr>
          <w:rFonts w:ascii="Baskerville" w:hAnsi="Baskerville" w:cs="Baskerville"/>
        </w:rPr>
        <w:t>individuals</w:t>
      </w:r>
      <w:r w:rsidR="00B24B4F" w:rsidRPr="000E5B48">
        <w:rPr>
          <w:rFonts w:ascii="Baskerville" w:hAnsi="Baskerville" w:cs="Baskerville"/>
        </w:rPr>
        <w:t xml:space="preserve"> in</w:t>
      </w:r>
      <w:r w:rsidR="003B2F47" w:rsidRPr="000E5B48">
        <w:rPr>
          <w:rFonts w:ascii="Baskerville" w:hAnsi="Baskerville" w:cs="Baskerville"/>
        </w:rPr>
        <w:t xml:space="preserve"> the target population…</w:t>
      </w:r>
      <w:r w:rsidR="007A7BB4" w:rsidRPr="000E5B48">
        <w:rPr>
          <w:rFonts w:ascii="Baskerville" w:hAnsi="Baskerville" w:cs="Baskerville"/>
        </w:rPr>
        <w:t>with</w:t>
      </w:r>
      <w:r w:rsidR="00760E08" w:rsidRPr="000E5B48">
        <w:rPr>
          <w:rFonts w:ascii="Baskerville" w:hAnsi="Baskerville" w:cs="Baskerville"/>
        </w:rPr>
        <w:t xml:space="preserve"> </w:t>
      </w:r>
      <w:r w:rsidR="006D66EE" w:rsidRPr="000E5B48">
        <w:rPr>
          <w:rFonts w:ascii="Baskerville" w:hAnsi="Baskerville" w:cs="Baskerville"/>
        </w:rPr>
        <w:t xml:space="preserve">integrated day </w:t>
      </w:r>
      <w:r w:rsidR="007A7BB4" w:rsidRPr="000E5B48">
        <w:rPr>
          <w:rFonts w:ascii="Baskerville" w:hAnsi="Baskerville" w:cs="Baskerville"/>
        </w:rPr>
        <w:t xml:space="preserve">opportunities, </w:t>
      </w:r>
      <w:r w:rsidR="00B94DB5">
        <w:rPr>
          <w:rFonts w:ascii="Baskerville" w:hAnsi="Baskerville" w:cs="Baskerville"/>
        </w:rPr>
        <w:t xml:space="preserve">including supported employment.” </w:t>
      </w:r>
      <w:r w:rsidR="004A58C4">
        <w:rPr>
          <w:rFonts w:ascii="Baskerville" w:hAnsi="Baskerville" w:cs="Baskerville"/>
        </w:rPr>
        <w:t xml:space="preserve">By </w:t>
      </w:r>
      <w:r w:rsidR="004A58C4" w:rsidRPr="000E5B48">
        <w:rPr>
          <w:rFonts w:ascii="Baskerville" w:hAnsi="Baskerville" w:cs="Baskerville"/>
        </w:rPr>
        <w:t>September 6, 2012, 1</w:t>
      </w:r>
      <w:r w:rsidR="004A58C4">
        <w:rPr>
          <w:rFonts w:ascii="Baskerville" w:hAnsi="Baskerville" w:cs="Baskerville"/>
        </w:rPr>
        <w:t xml:space="preserve">80 days after </w:t>
      </w:r>
      <w:r w:rsidR="004A58C4" w:rsidRPr="000E5B48">
        <w:rPr>
          <w:rFonts w:ascii="Baskerville" w:hAnsi="Baskerville" w:cs="Baskerville"/>
        </w:rPr>
        <w:t xml:space="preserve">the Agreement </w:t>
      </w:r>
      <w:r w:rsidR="004A58C4">
        <w:rPr>
          <w:rFonts w:ascii="Baskerville" w:hAnsi="Baskerville" w:cs="Baskerville"/>
        </w:rPr>
        <w:t>was provisionally approved for implementation, t</w:t>
      </w:r>
      <w:r w:rsidR="004D2A8A">
        <w:rPr>
          <w:rFonts w:ascii="Baskerville" w:hAnsi="Baskerville" w:cs="Baskerville"/>
        </w:rPr>
        <w:t xml:space="preserve">he Commonwealth was required to develop and submit a plan </w:t>
      </w:r>
      <w:r w:rsidR="00813D5A" w:rsidRPr="000E5B48">
        <w:rPr>
          <w:rFonts w:ascii="Baskerville" w:hAnsi="Baskerville" w:cs="Baskerville"/>
        </w:rPr>
        <w:t xml:space="preserve">to </w:t>
      </w:r>
      <w:r w:rsidR="00272A6A" w:rsidRPr="000E5B48">
        <w:rPr>
          <w:rFonts w:ascii="Baskerville" w:hAnsi="Baskerville" w:cs="Baskerville"/>
        </w:rPr>
        <w:t>increase integrated day opportunities</w:t>
      </w:r>
      <w:r w:rsidRPr="000E5B48">
        <w:rPr>
          <w:rFonts w:ascii="Baskerville" w:hAnsi="Baskerville" w:cs="Baskerville"/>
        </w:rPr>
        <w:t>,</w:t>
      </w:r>
      <w:r w:rsidR="00272A6A" w:rsidRPr="000E5B48">
        <w:rPr>
          <w:rFonts w:ascii="Baskerville" w:hAnsi="Baskerville" w:cs="Baskerville"/>
        </w:rPr>
        <w:t xml:space="preserve"> as part of a plan </w:t>
      </w:r>
      <w:r w:rsidR="004A58C4">
        <w:rPr>
          <w:rFonts w:ascii="Baskerville" w:hAnsi="Baskerville" w:cs="Baskerville"/>
        </w:rPr>
        <w:t>to increase supported employmen</w:t>
      </w:r>
      <w:r w:rsidR="00233158">
        <w:rPr>
          <w:rFonts w:ascii="Baskerville" w:hAnsi="Baskerville" w:cs="Baskerville"/>
        </w:rPr>
        <w:t>t</w:t>
      </w:r>
      <w:r w:rsidR="00571827" w:rsidRPr="000E5B48">
        <w:rPr>
          <w:rFonts w:ascii="Baskerville" w:hAnsi="Baskerville" w:cs="Baskerville"/>
        </w:rPr>
        <w:t xml:space="preserve">. </w:t>
      </w:r>
      <w:r w:rsidR="00C85DF4">
        <w:rPr>
          <w:rFonts w:ascii="Baskerville" w:hAnsi="Baskerville" w:cs="Baskerville"/>
        </w:rPr>
        <w:t xml:space="preserve">It </w:t>
      </w:r>
      <w:r w:rsidR="00EF5DCD" w:rsidRPr="000E5B48">
        <w:rPr>
          <w:rFonts w:ascii="Baskerville" w:hAnsi="Baskerville" w:cs="Baskerville"/>
        </w:rPr>
        <w:t>produced</w:t>
      </w:r>
      <w:r w:rsidR="00571827" w:rsidRPr="000E5B48">
        <w:rPr>
          <w:rFonts w:ascii="Baskerville" w:hAnsi="Baskerville" w:cs="Baskerville"/>
        </w:rPr>
        <w:t xml:space="preserve"> the plan to </w:t>
      </w:r>
      <w:r w:rsidR="0027627C">
        <w:rPr>
          <w:rFonts w:ascii="Baskerville" w:hAnsi="Baskerville" w:cs="Baskerville"/>
        </w:rPr>
        <w:t>increase supported employment</w:t>
      </w:r>
      <w:r w:rsidR="00233158">
        <w:rPr>
          <w:rFonts w:ascii="Baskerville" w:hAnsi="Baskerville" w:cs="Baskerville"/>
        </w:rPr>
        <w:t xml:space="preserve"> but</w:t>
      </w:r>
      <w:r w:rsidR="00571827" w:rsidRPr="000E5B48">
        <w:rPr>
          <w:rFonts w:ascii="Baskerville" w:hAnsi="Baskerville" w:cs="Baskerville"/>
        </w:rPr>
        <w:t xml:space="preserve"> </w:t>
      </w:r>
      <w:r w:rsidR="00E00C54" w:rsidRPr="000E5B48">
        <w:rPr>
          <w:rFonts w:ascii="Baskerville" w:hAnsi="Baskerville" w:cs="Baskerville"/>
        </w:rPr>
        <w:t xml:space="preserve">not </w:t>
      </w:r>
      <w:r w:rsidR="005A5D2E" w:rsidRPr="000E5B48">
        <w:rPr>
          <w:rFonts w:ascii="Baskerville" w:hAnsi="Baskerville" w:cs="Baskerville"/>
        </w:rPr>
        <w:t>an implementation</w:t>
      </w:r>
      <w:r w:rsidR="00F72119" w:rsidRPr="000E5B48">
        <w:rPr>
          <w:rFonts w:ascii="Baskerville" w:hAnsi="Baskerville" w:cs="Baskerville"/>
        </w:rPr>
        <w:t xml:space="preserve"> </w:t>
      </w:r>
      <w:r w:rsidR="0010101A">
        <w:rPr>
          <w:rFonts w:ascii="Baskerville" w:hAnsi="Baskerville" w:cs="Baskerville"/>
        </w:rPr>
        <w:t xml:space="preserve">of </w:t>
      </w:r>
      <w:r w:rsidR="00B10510">
        <w:rPr>
          <w:rFonts w:ascii="Baskerville" w:hAnsi="Baskerville" w:cs="Baskerville"/>
        </w:rPr>
        <w:t xml:space="preserve">a plan that </w:t>
      </w:r>
      <w:r w:rsidR="000E5B48">
        <w:rPr>
          <w:rFonts w:ascii="Baskerville" w:hAnsi="Baskerville" w:cs="Baskerville"/>
        </w:rPr>
        <w:t>includes</w:t>
      </w:r>
      <w:r w:rsidR="00F72119" w:rsidRPr="000E5B48">
        <w:rPr>
          <w:rFonts w:ascii="Baskerville" w:hAnsi="Baskerville" w:cs="Baskerville"/>
        </w:rPr>
        <w:t xml:space="preserve"> </w:t>
      </w:r>
      <w:r w:rsidR="0036703C" w:rsidRPr="000E5B48">
        <w:rPr>
          <w:rFonts w:ascii="Baskerville" w:hAnsi="Baskerville" w:cs="Baskerville"/>
        </w:rPr>
        <w:t xml:space="preserve">community recreational activities, community </w:t>
      </w:r>
      <w:r w:rsidR="00F72119" w:rsidRPr="000E5B48">
        <w:rPr>
          <w:rFonts w:ascii="Baskerville" w:hAnsi="Baskerville" w:cs="Baskerville"/>
        </w:rPr>
        <w:t xml:space="preserve">volunteer </w:t>
      </w:r>
      <w:r w:rsidR="000236DE" w:rsidRPr="000E5B48">
        <w:rPr>
          <w:rFonts w:ascii="Baskerville" w:hAnsi="Baskerville" w:cs="Baskerville"/>
        </w:rPr>
        <w:t>opportunities, and other integrated day activities</w:t>
      </w:r>
      <w:r w:rsidR="00233158">
        <w:rPr>
          <w:rFonts w:ascii="Baskerville" w:hAnsi="Baskerville" w:cs="Baskerville"/>
        </w:rPr>
        <w:t>, as required</w:t>
      </w:r>
      <w:r w:rsidR="00032FAA" w:rsidRPr="000E5B48">
        <w:rPr>
          <w:rFonts w:ascii="Baskerville" w:hAnsi="Baskerville" w:cs="Baskerville"/>
        </w:rPr>
        <w:t xml:space="preserve">. </w:t>
      </w:r>
      <w:r w:rsidR="00551F30" w:rsidRPr="000E5B48">
        <w:rPr>
          <w:rFonts w:ascii="Baskerville" w:hAnsi="Baskerville" w:cs="Baskerville"/>
        </w:rPr>
        <w:t>T</w:t>
      </w:r>
      <w:r w:rsidR="00D45FAA">
        <w:rPr>
          <w:rFonts w:ascii="Baskerville" w:hAnsi="Baskerville" w:cs="Baskerville"/>
        </w:rPr>
        <w:t>he IR</w:t>
      </w:r>
      <w:r w:rsidR="00945AC3" w:rsidRPr="000E5B48">
        <w:rPr>
          <w:rFonts w:ascii="Baskerville" w:hAnsi="Baskerville" w:cs="Baskerville"/>
        </w:rPr>
        <w:t xml:space="preserve"> directed the Commonwealth to </w:t>
      </w:r>
      <w:r w:rsidR="00551F30" w:rsidRPr="000E5B48">
        <w:rPr>
          <w:rFonts w:ascii="Baskerville" w:hAnsi="Baskerville" w:cs="Baskerville"/>
        </w:rPr>
        <w:t xml:space="preserve">submit the required plan by March 2014. </w:t>
      </w:r>
      <w:r w:rsidR="001529E9">
        <w:rPr>
          <w:rFonts w:ascii="Baskerville" w:hAnsi="Baskerville" w:cs="Baskerville"/>
        </w:rPr>
        <w:t>T</w:t>
      </w:r>
      <w:r w:rsidR="000236DE" w:rsidRPr="000E5B48">
        <w:rPr>
          <w:rFonts w:ascii="Baskerville" w:hAnsi="Baskerville" w:cs="Baskerville"/>
        </w:rPr>
        <w:t>he Commonwealth submitted a</w:t>
      </w:r>
      <w:r w:rsidR="001529E9">
        <w:rPr>
          <w:rFonts w:ascii="Baskerville" w:hAnsi="Baskerville" w:cs="Baskerville"/>
        </w:rPr>
        <w:t xml:space="preserve"> preliminary </w:t>
      </w:r>
      <w:r w:rsidR="00B94DB5">
        <w:rPr>
          <w:rFonts w:ascii="Baskerville" w:hAnsi="Baskerville" w:cs="Baskerville"/>
        </w:rPr>
        <w:t xml:space="preserve">plan </w:t>
      </w:r>
      <w:r w:rsidR="001529E9">
        <w:rPr>
          <w:rFonts w:ascii="Baskerville" w:hAnsi="Baskerville" w:cs="Baskerville"/>
        </w:rPr>
        <w:t>in June 2014</w:t>
      </w:r>
      <w:r w:rsidR="00E604C1">
        <w:rPr>
          <w:rFonts w:ascii="Baskerville" w:hAnsi="Baskerville" w:cs="Baskerville"/>
        </w:rPr>
        <w:t xml:space="preserve">. It indicated </w:t>
      </w:r>
      <w:r w:rsidR="00BC5CBE" w:rsidRPr="000E5B48">
        <w:rPr>
          <w:rFonts w:ascii="Baskerville" w:hAnsi="Baskerville" w:cs="Baskerville"/>
        </w:rPr>
        <w:t xml:space="preserve">that </w:t>
      </w:r>
      <w:r w:rsidR="009D5CF4" w:rsidRPr="000E5B48">
        <w:rPr>
          <w:rFonts w:ascii="Baskerville" w:hAnsi="Baskerville" w:cs="Baskerville"/>
        </w:rPr>
        <w:t>a comprehensive</w:t>
      </w:r>
      <w:r w:rsidR="006075B1" w:rsidRPr="000E5B48">
        <w:rPr>
          <w:rFonts w:ascii="Baskerville" w:hAnsi="Baskerville" w:cs="Baskerville"/>
        </w:rPr>
        <w:t xml:space="preserve"> plan would be submitted in December 2014. </w:t>
      </w:r>
      <w:r w:rsidR="00E604C1">
        <w:rPr>
          <w:rFonts w:ascii="Baskerville" w:hAnsi="Baskerville" w:cs="Baskerville"/>
        </w:rPr>
        <w:t xml:space="preserve">The </w:t>
      </w:r>
      <w:r w:rsidR="009B3E9E">
        <w:rPr>
          <w:rFonts w:ascii="Baskerville" w:hAnsi="Baskerville" w:cs="Baskerville"/>
        </w:rPr>
        <w:t>d</w:t>
      </w:r>
      <w:r w:rsidR="00BF4590" w:rsidRPr="000E5B48">
        <w:rPr>
          <w:rFonts w:ascii="Baskerville" w:hAnsi="Baskerville" w:cs="Baskerville"/>
        </w:rPr>
        <w:t xml:space="preserve">raft </w:t>
      </w:r>
      <w:r w:rsidR="00E604C1">
        <w:rPr>
          <w:rFonts w:ascii="Baskerville" w:hAnsi="Baskerville" w:cs="Baskerville"/>
        </w:rPr>
        <w:t xml:space="preserve">plan to increase </w:t>
      </w:r>
      <w:r w:rsidR="009B3E9E" w:rsidRPr="000E5B48">
        <w:rPr>
          <w:rFonts w:ascii="Baskerville" w:hAnsi="Baskerville" w:cs="Baskerville"/>
        </w:rPr>
        <w:t>integrated day opportunities</w:t>
      </w:r>
      <w:r w:rsidR="009B3E9E">
        <w:rPr>
          <w:rFonts w:ascii="Baskerville" w:hAnsi="Baskerville" w:cs="Baskerville"/>
        </w:rPr>
        <w:t xml:space="preserve"> </w:t>
      </w:r>
      <w:r w:rsidR="009B3E9E" w:rsidRPr="000E5B48">
        <w:rPr>
          <w:rFonts w:ascii="Baskerville" w:hAnsi="Baskerville" w:cs="Baskerville"/>
        </w:rPr>
        <w:t xml:space="preserve"> </w:t>
      </w:r>
      <w:r w:rsidR="00582AFF">
        <w:rPr>
          <w:rFonts w:ascii="Baskerville" w:hAnsi="Baskerville" w:cs="Baskerville"/>
        </w:rPr>
        <w:t xml:space="preserve">(i.e. the </w:t>
      </w:r>
      <w:r w:rsidR="009B3E9E" w:rsidRPr="00582AFF">
        <w:rPr>
          <w:rFonts w:ascii="Baskerville" w:hAnsi="Baskerville" w:cs="Baskerville"/>
          <w:i/>
        </w:rPr>
        <w:t>Community Engagement Plan</w:t>
      </w:r>
      <w:r w:rsidR="009B3E9E">
        <w:rPr>
          <w:rFonts w:ascii="Baskerville" w:hAnsi="Baskerville" w:cs="Baskerville"/>
        </w:rPr>
        <w:t xml:space="preserve">) </w:t>
      </w:r>
      <w:r w:rsidR="009B3E9E" w:rsidRPr="000E5B48">
        <w:rPr>
          <w:rFonts w:ascii="Baskerville" w:hAnsi="Baskerville" w:cs="Baskerville"/>
        </w:rPr>
        <w:t xml:space="preserve">was provided in February 2015. </w:t>
      </w:r>
    </w:p>
    <w:p w:rsidR="001C146F" w:rsidRDefault="007C26F3" w:rsidP="003518FC">
      <w:pPr>
        <w:widowControl w:val="0"/>
        <w:autoSpaceDE w:val="0"/>
        <w:autoSpaceDN w:val="0"/>
        <w:adjustRightInd w:val="0"/>
        <w:rPr>
          <w:rFonts w:ascii="Baskerville" w:hAnsi="Baskerville" w:cs="Baskerville"/>
        </w:rPr>
      </w:pPr>
      <w:r>
        <w:rPr>
          <w:rFonts w:ascii="Baskerville" w:hAnsi="Baskerville" w:cs="Baskerville"/>
        </w:rPr>
        <w:tab/>
      </w:r>
    </w:p>
    <w:p w:rsidR="00106A34" w:rsidRDefault="006E6E6E" w:rsidP="003518FC">
      <w:pPr>
        <w:widowControl w:val="0"/>
        <w:autoSpaceDE w:val="0"/>
        <w:autoSpaceDN w:val="0"/>
        <w:adjustRightInd w:val="0"/>
        <w:rPr>
          <w:rFonts w:ascii="Baskerville" w:hAnsi="Baskerville" w:cs="Baskerville"/>
        </w:rPr>
      </w:pPr>
      <w:r w:rsidRPr="000E5B48">
        <w:rPr>
          <w:rFonts w:ascii="Baskerville" w:hAnsi="Baskerville" w:cs="Baskerville"/>
        </w:rPr>
        <w:t xml:space="preserve">The </w:t>
      </w:r>
      <w:r w:rsidR="009B3E9E">
        <w:rPr>
          <w:rFonts w:ascii="Baskerville" w:hAnsi="Baskerville" w:cs="Baskerville"/>
        </w:rPr>
        <w:t xml:space="preserve">Commonwealth’s </w:t>
      </w:r>
      <w:r w:rsidR="009B3E9E" w:rsidRPr="00582AFF">
        <w:rPr>
          <w:rFonts w:ascii="Baskerville" w:hAnsi="Baskerville" w:cs="Baskerville"/>
          <w:i/>
        </w:rPr>
        <w:t>Community Engagement Plan</w:t>
      </w:r>
      <w:r w:rsidRPr="000E5B48">
        <w:rPr>
          <w:rFonts w:ascii="Baskerville" w:hAnsi="Baskerville" w:cs="Baskerville"/>
        </w:rPr>
        <w:t xml:space="preserve"> includes </w:t>
      </w:r>
      <w:r w:rsidR="006728C8" w:rsidRPr="000E5B48">
        <w:rPr>
          <w:rFonts w:ascii="Baskerville" w:hAnsi="Baskerville" w:cs="Baskerville"/>
        </w:rPr>
        <w:t>several commendable</w:t>
      </w:r>
      <w:r w:rsidR="00606BF1">
        <w:rPr>
          <w:rFonts w:ascii="Baskerville" w:hAnsi="Baskerville" w:cs="Baskerville"/>
        </w:rPr>
        <w:t xml:space="preserve"> features</w:t>
      </w:r>
      <w:r w:rsidR="003C04AC" w:rsidRPr="000E5B48">
        <w:rPr>
          <w:rFonts w:ascii="Baskerville" w:hAnsi="Baskerville" w:cs="Baskerville"/>
        </w:rPr>
        <w:t xml:space="preserve">: a specific and outcome oriented definition of integrated day </w:t>
      </w:r>
      <w:r w:rsidR="00A26A43" w:rsidRPr="000E5B48">
        <w:rPr>
          <w:rFonts w:ascii="Baskerville" w:hAnsi="Baskerville" w:cs="Baskerville"/>
        </w:rPr>
        <w:t>opportunities, the option of consumer directed services, and statewide training</w:t>
      </w:r>
      <w:r w:rsidRPr="000E5B48">
        <w:rPr>
          <w:rFonts w:ascii="Baskerville" w:hAnsi="Baskerville" w:cs="Baskerville"/>
        </w:rPr>
        <w:t xml:space="preserve">. </w:t>
      </w:r>
      <w:r w:rsidR="0010101A">
        <w:rPr>
          <w:rFonts w:ascii="Baskerville" w:hAnsi="Baskerville" w:cs="Baskerville"/>
        </w:rPr>
        <w:t>The plan, however,</w:t>
      </w:r>
      <w:r w:rsidR="00D329E7">
        <w:rPr>
          <w:rFonts w:ascii="Baskerville" w:hAnsi="Baskerville" w:cs="Baskerville"/>
        </w:rPr>
        <w:t xml:space="preserve"> lacks critical elements</w:t>
      </w:r>
      <w:r w:rsidR="0027627C">
        <w:rPr>
          <w:rFonts w:ascii="Baskerville" w:hAnsi="Baskerville" w:cs="Baskerville"/>
        </w:rPr>
        <w:t>, such as, the means by which</w:t>
      </w:r>
      <w:r w:rsidR="00106A34">
        <w:rPr>
          <w:rFonts w:ascii="Baskerville" w:hAnsi="Baskerville" w:cs="Baskerville"/>
        </w:rPr>
        <w:t xml:space="preserve"> the Commonwealth</w:t>
      </w:r>
      <w:r w:rsidR="003E3FB6">
        <w:rPr>
          <w:rFonts w:ascii="Baskerville" w:hAnsi="Baskerville" w:cs="Baskerville"/>
        </w:rPr>
        <w:t xml:space="preserve"> will</w:t>
      </w:r>
      <w:r w:rsidR="00106A34">
        <w:rPr>
          <w:rFonts w:ascii="Baskerville" w:hAnsi="Baskerville" w:cs="Baskerville"/>
        </w:rPr>
        <w:t>:</w:t>
      </w:r>
    </w:p>
    <w:p w:rsidR="004B2798" w:rsidRPr="00E275BB" w:rsidRDefault="00A80C98" w:rsidP="003518FC">
      <w:pPr>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106A34" w:rsidRPr="00E275BB">
        <w:rPr>
          <w:rFonts w:ascii="Baskerville" w:hAnsi="Baskerville" w:cs="Baskerville"/>
        </w:rPr>
        <w:t xml:space="preserve">assess the need for these services; </w:t>
      </w:r>
    </w:p>
    <w:p w:rsidR="004B2798" w:rsidRPr="00E275BB" w:rsidRDefault="00A80C98" w:rsidP="003518FC">
      <w:pPr>
        <w:ind w:left="630" w:hanging="63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3E3FB6" w:rsidRPr="00E275BB">
        <w:rPr>
          <w:rFonts w:ascii="Baskerville" w:hAnsi="Baskerville" w:cs="Baskerville"/>
        </w:rPr>
        <w:t xml:space="preserve">train </w:t>
      </w:r>
      <w:r w:rsidR="00F5704A" w:rsidRPr="00E275BB">
        <w:rPr>
          <w:rFonts w:ascii="Baskerville" w:hAnsi="Baskerville" w:cs="Baskerville"/>
        </w:rPr>
        <w:t>service planning teams</w:t>
      </w:r>
      <w:r w:rsidR="00106A34" w:rsidRPr="00E275BB">
        <w:rPr>
          <w:rFonts w:ascii="Baskerville" w:hAnsi="Baskerville" w:cs="Baskerville"/>
        </w:rPr>
        <w:t xml:space="preserve"> in </w:t>
      </w:r>
      <w:r w:rsidR="007C10E4">
        <w:rPr>
          <w:rFonts w:ascii="Baskerville" w:hAnsi="Baskerville" w:cs="Baskerville"/>
        </w:rPr>
        <w:t>how to introduce this service concept in</w:t>
      </w:r>
      <w:r w:rsidR="000C0F2B">
        <w:rPr>
          <w:rFonts w:ascii="Baskerville" w:hAnsi="Baskerville" w:cs="Baskerville"/>
        </w:rPr>
        <w:t>to</w:t>
      </w:r>
      <w:r w:rsidR="007C10E4">
        <w:rPr>
          <w:rFonts w:ascii="Baskerville" w:hAnsi="Baskerville" w:cs="Baskerville"/>
        </w:rPr>
        <w:t xml:space="preserve"> </w:t>
      </w:r>
      <w:r w:rsidR="000C0F2B">
        <w:rPr>
          <w:rFonts w:ascii="Baskerville" w:hAnsi="Baskerville" w:cs="Baskerville"/>
        </w:rPr>
        <w:t>a person-centered planning process</w:t>
      </w:r>
      <w:r w:rsidR="00106A34" w:rsidRPr="00E275BB">
        <w:rPr>
          <w:rFonts w:ascii="Baskerville" w:hAnsi="Baskerville" w:cs="Baskerville"/>
        </w:rPr>
        <w:t xml:space="preserve">; </w:t>
      </w:r>
    </w:p>
    <w:p w:rsidR="004B2798" w:rsidRPr="00E275BB" w:rsidRDefault="00A80C98" w:rsidP="003518FC">
      <w:pPr>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E275BB" w:rsidRPr="00E275BB">
        <w:rPr>
          <w:rFonts w:ascii="Baskerville" w:hAnsi="Baskerville" w:cs="Baskerville"/>
        </w:rPr>
        <w:t>train CSB staff</w:t>
      </w:r>
      <w:r w:rsidR="00106A34" w:rsidRPr="00E275BB">
        <w:rPr>
          <w:rFonts w:ascii="Baskerville" w:hAnsi="Baskerville" w:cs="Baskerville"/>
        </w:rPr>
        <w:t xml:space="preserve">, </w:t>
      </w:r>
      <w:r w:rsidR="004B2798" w:rsidRPr="00E275BB">
        <w:rPr>
          <w:rFonts w:ascii="Baskerville" w:hAnsi="Baskerville" w:cs="Baskerville"/>
        </w:rPr>
        <w:t>and ID</w:t>
      </w:r>
      <w:r w:rsidR="00106A34" w:rsidRPr="00E275BB">
        <w:rPr>
          <w:rFonts w:ascii="Baskerville" w:hAnsi="Baskerville" w:cs="Baskerville"/>
        </w:rPr>
        <w:t xml:space="preserve"> and DD Case Managers; </w:t>
      </w:r>
    </w:p>
    <w:p w:rsidR="00E275BB" w:rsidRPr="00E275BB" w:rsidRDefault="00A80C98" w:rsidP="003518FC">
      <w:pPr>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106A34" w:rsidRPr="00E275BB">
        <w:rPr>
          <w:rFonts w:ascii="Baskerville" w:hAnsi="Baskerville" w:cs="Baskerville"/>
        </w:rPr>
        <w:t>asse</w:t>
      </w:r>
      <w:r w:rsidR="003E3FB6" w:rsidRPr="00E275BB">
        <w:rPr>
          <w:rFonts w:ascii="Baskerville" w:hAnsi="Baskerville" w:cs="Baskerville"/>
        </w:rPr>
        <w:t xml:space="preserve">ss and plan to expand </w:t>
      </w:r>
      <w:r w:rsidR="00E275BB" w:rsidRPr="00E275BB">
        <w:rPr>
          <w:rFonts w:ascii="Baskerville" w:hAnsi="Baskerville" w:cs="Baskerville"/>
        </w:rPr>
        <w:t xml:space="preserve">provider </w:t>
      </w:r>
      <w:r w:rsidR="003E3FB6" w:rsidRPr="00E275BB">
        <w:rPr>
          <w:rFonts w:ascii="Baskerville" w:hAnsi="Baskerville" w:cs="Baskerville"/>
        </w:rPr>
        <w:t>capacity</w:t>
      </w:r>
      <w:r w:rsidR="000C0F2B">
        <w:rPr>
          <w:rFonts w:ascii="Baskerville" w:hAnsi="Baskerville" w:cs="Baskerville"/>
        </w:rPr>
        <w:t>;</w:t>
      </w:r>
      <w:r w:rsidR="003E3FB6" w:rsidRPr="00E275BB">
        <w:rPr>
          <w:rFonts w:ascii="Baskerville" w:hAnsi="Baskerville" w:cs="Baskerville"/>
        </w:rPr>
        <w:t xml:space="preserve"> and </w:t>
      </w:r>
    </w:p>
    <w:p w:rsidR="00106A34" w:rsidRDefault="00A80C98" w:rsidP="00EF4808">
      <w:pPr>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106A34" w:rsidRPr="00E275BB">
        <w:rPr>
          <w:rFonts w:ascii="Baskerville" w:hAnsi="Baskerville" w:cs="Baskerville"/>
        </w:rPr>
        <w:t>qualify providers.</w:t>
      </w:r>
    </w:p>
    <w:p w:rsidR="00606BF1" w:rsidRDefault="00A80C98" w:rsidP="003518FC">
      <w:pPr>
        <w:widowControl w:val="0"/>
        <w:autoSpaceDE w:val="0"/>
        <w:autoSpaceDN w:val="0"/>
        <w:adjustRightInd w:val="0"/>
        <w:rPr>
          <w:rFonts w:ascii="Baskerville" w:hAnsi="Baskerville" w:cs="Baskerville"/>
        </w:rPr>
      </w:pPr>
      <w:r>
        <w:rPr>
          <w:rFonts w:ascii="Baskerville" w:hAnsi="Baskerville" w:cs="Baskerville"/>
        </w:rPr>
        <w:t>T</w:t>
      </w:r>
      <w:r w:rsidR="00835C13">
        <w:rPr>
          <w:rFonts w:ascii="Baskerville" w:hAnsi="Baskerville" w:cs="Baskerville"/>
        </w:rPr>
        <w:t xml:space="preserve">he independent consultant recommended </w:t>
      </w:r>
      <w:r>
        <w:rPr>
          <w:rFonts w:ascii="Baskerville" w:hAnsi="Baskerville" w:cs="Baskerville"/>
        </w:rPr>
        <w:t xml:space="preserve">that these elements be included in </w:t>
      </w:r>
      <w:r w:rsidR="00917017">
        <w:rPr>
          <w:rFonts w:ascii="Baskerville" w:hAnsi="Baskerville" w:cs="Baskerville"/>
        </w:rPr>
        <w:t>her last evaluation</w:t>
      </w:r>
      <w:r w:rsidR="00C200D7">
        <w:rPr>
          <w:rFonts w:ascii="Baskerville" w:hAnsi="Baskerville" w:cs="Baskerville"/>
        </w:rPr>
        <w:t xml:space="preserve"> of the status of the Commonwealth’s planning to develop integrated day activities.</w:t>
      </w:r>
      <w:r w:rsidR="00835C13">
        <w:rPr>
          <w:rFonts w:ascii="Baskerville" w:hAnsi="Baskerville" w:cs="Baskerville"/>
        </w:rPr>
        <w:t xml:space="preserve"> </w:t>
      </w:r>
    </w:p>
    <w:p w:rsidR="00606BF1" w:rsidRDefault="00606BF1" w:rsidP="003518FC">
      <w:pPr>
        <w:widowControl w:val="0"/>
        <w:autoSpaceDE w:val="0"/>
        <w:autoSpaceDN w:val="0"/>
        <w:adjustRightInd w:val="0"/>
        <w:rPr>
          <w:rFonts w:ascii="Baskerville" w:hAnsi="Baskerville" w:cs="Baskerville"/>
        </w:rPr>
      </w:pPr>
    </w:p>
    <w:p w:rsidR="006E6E6E" w:rsidRPr="000E5B48" w:rsidRDefault="00AC5135" w:rsidP="003518FC">
      <w:pPr>
        <w:widowControl w:val="0"/>
        <w:autoSpaceDE w:val="0"/>
        <w:autoSpaceDN w:val="0"/>
        <w:adjustRightInd w:val="0"/>
        <w:rPr>
          <w:rFonts w:ascii="Baskerville" w:hAnsi="Baskerville" w:cs="Baskerville"/>
        </w:rPr>
      </w:pPr>
      <w:r>
        <w:rPr>
          <w:rFonts w:ascii="Baskerville" w:hAnsi="Baskerville" w:cs="Baskerville"/>
        </w:rPr>
        <w:t>For more than two years, t</w:t>
      </w:r>
      <w:r w:rsidR="00582AFF">
        <w:rPr>
          <w:rFonts w:ascii="Baskerville" w:hAnsi="Baskerville" w:cs="Baskerville"/>
        </w:rPr>
        <w:t xml:space="preserve">he Commonwealth’s </w:t>
      </w:r>
      <w:r>
        <w:rPr>
          <w:rFonts w:ascii="Baskerville" w:hAnsi="Baskerville" w:cs="Baskerville"/>
        </w:rPr>
        <w:t>r</w:t>
      </w:r>
      <w:r w:rsidR="006B63F7">
        <w:rPr>
          <w:rFonts w:ascii="Baskerville" w:hAnsi="Baskerville" w:cs="Baskerville"/>
        </w:rPr>
        <w:t>edesign of it HCBS waiver has been</w:t>
      </w:r>
      <w:r>
        <w:rPr>
          <w:rFonts w:ascii="Baskerville" w:hAnsi="Baskerville" w:cs="Baskerville"/>
        </w:rPr>
        <w:t xml:space="preserve"> it</w:t>
      </w:r>
      <w:r w:rsidR="006B63F7">
        <w:rPr>
          <w:rFonts w:ascii="Baskerville" w:hAnsi="Baskerville" w:cs="Baskerville"/>
        </w:rPr>
        <w:t>s</w:t>
      </w:r>
      <w:r>
        <w:rPr>
          <w:rFonts w:ascii="Baskerville" w:hAnsi="Baskerville" w:cs="Baskerville"/>
        </w:rPr>
        <w:t xml:space="preserve"> </w:t>
      </w:r>
      <w:r w:rsidR="00772361">
        <w:rPr>
          <w:rFonts w:ascii="Baskerville" w:hAnsi="Baskerville" w:cs="Baskerville"/>
        </w:rPr>
        <w:t>strategy to come into compliance with the integrated day provisions of the Agreement</w:t>
      </w:r>
      <w:r>
        <w:rPr>
          <w:rFonts w:ascii="Baskerville" w:hAnsi="Baskerville" w:cs="Baskerville"/>
        </w:rPr>
        <w:t>.</w:t>
      </w:r>
      <w:r w:rsidR="00772361">
        <w:rPr>
          <w:rFonts w:ascii="Baskerville" w:hAnsi="Baskerville" w:cs="Baskerville"/>
        </w:rPr>
        <w:t xml:space="preserve"> </w:t>
      </w:r>
      <w:r w:rsidR="007917C3">
        <w:rPr>
          <w:rFonts w:ascii="Baskerville" w:hAnsi="Baskerville" w:cs="Baskerville"/>
        </w:rPr>
        <w:t xml:space="preserve">The redesign will include changes to the service definitions and rates, and will align the level of resource allocation with the individual’s level of need. </w:t>
      </w:r>
      <w:r w:rsidR="006B63F7">
        <w:rPr>
          <w:rFonts w:ascii="Baskerville" w:hAnsi="Baskerville" w:cs="Baskerville"/>
        </w:rPr>
        <w:t xml:space="preserve">The </w:t>
      </w:r>
      <w:r w:rsidR="004E4425" w:rsidRPr="00582AFF">
        <w:rPr>
          <w:rFonts w:ascii="Baskerville" w:hAnsi="Baskerville" w:cs="Baskerville"/>
          <w:i/>
        </w:rPr>
        <w:t>Community Engagement Plan</w:t>
      </w:r>
      <w:r w:rsidR="004E4425">
        <w:rPr>
          <w:rFonts w:ascii="Baskerville" w:hAnsi="Baskerville" w:cs="Baskerville"/>
        </w:rPr>
        <w:t xml:space="preserve"> </w:t>
      </w:r>
      <w:r w:rsidR="001B20A2">
        <w:rPr>
          <w:rFonts w:ascii="Baskerville" w:hAnsi="Baskerville" w:cs="Baskerville"/>
        </w:rPr>
        <w:t>lists</w:t>
      </w:r>
      <w:r w:rsidR="000673AB">
        <w:rPr>
          <w:rFonts w:ascii="Baskerville" w:hAnsi="Baskerville" w:cs="Baskerville"/>
        </w:rPr>
        <w:t xml:space="preserve"> </w:t>
      </w:r>
      <w:r w:rsidR="00A26A43" w:rsidRPr="000E5B48">
        <w:rPr>
          <w:rFonts w:ascii="Baskerville" w:hAnsi="Baskerville" w:cs="Baskerville"/>
        </w:rPr>
        <w:t>extensive work</w:t>
      </w:r>
      <w:r w:rsidR="001B20A2">
        <w:rPr>
          <w:rFonts w:ascii="Baskerville" w:hAnsi="Baskerville" w:cs="Baskerville"/>
        </w:rPr>
        <w:t xml:space="preserve"> between March 2015 and</w:t>
      </w:r>
      <w:r w:rsidR="00A26A43" w:rsidRPr="000E5B48">
        <w:rPr>
          <w:rFonts w:ascii="Baskerville" w:hAnsi="Baskerville" w:cs="Baskerville"/>
        </w:rPr>
        <w:t xml:space="preserve"> January </w:t>
      </w:r>
      <w:r w:rsidR="001B20A2">
        <w:rPr>
          <w:rFonts w:ascii="Baskerville" w:hAnsi="Baskerville" w:cs="Baskerville"/>
        </w:rPr>
        <w:t>2016. None of that work has</w:t>
      </w:r>
      <w:r w:rsidR="00DF1249">
        <w:rPr>
          <w:rFonts w:ascii="Baskerville" w:hAnsi="Baskerville" w:cs="Baskerville"/>
        </w:rPr>
        <w:t xml:space="preserve"> begun and </w:t>
      </w:r>
      <w:r w:rsidR="006B63F7">
        <w:rPr>
          <w:rFonts w:ascii="Baskerville" w:hAnsi="Baskerville" w:cs="Baskerville"/>
        </w:rPr>
        <w:t xml:space="preserve">the Commonwealth has now put </w:t>
      </w:r>
      <w:r w:rsidR="00DF1249">
        <w:rPr>
          <w:rFonts w:ascii="Baskerville" w:hAnsi="Baskerville" w:cs="Baskerville"/>
        </w:rPr>
        <w:t>implementation</w:t>
      </w:r>
      <w:r w:rsidR="00323614">
        <w:rPr>
          <w:rFonts w:ascii="Baskerville" w:hAnsi="Baskerville" w:cs="Baskerville"/>
        </w:rPr>
        <w:t xml:space="preserve"> </w:t>
      </w:r>
      <w:r w:rsidR="00463709" w:rsidRPr="000E5B48">
        <w:rPr>
          <w:rFonts w:ascii="Baskerville" w:hAnsi="Baskerville" w:cs="Baskerville"/>
        </w:rPr>
        <w:t xml:space="preserve">largely on-hold. </w:t>
      </w:r>
      <w:r w:rsidR="000673AB">
        <w:rPr>
          <w:rFonts w:ascii="Baskerville" w:hAnsi="Baskerville" w:cs="Baskerville"/>
        </w:rPr>
        <w:t>T</w:t>
      </w:r>
      <w:r w:rsidR="000448C5">
        <w:rPr>
          <w:rFonts w:ascii="Baskerville" w:hAnsi="Baskerville" w:cs="Baskerville"/>
        </w:rPr>
        <w:t>he DBHDS February 23, 2015, quarterly report states</w:t>
      </w:r>
      <w:r w:rsidR="004E4425">
        <w:rPr>
          <w:rFonts w:ascii="Baskerville" w:hAnsi="Baskerville" w:cs="Baskerville"/>
        </w:rPr>
        <w:t xml:space="preserve"> that it’s implementation activities </w:t>
      </w:r>
      <w:r w:rsidR="000673AB" w:rsidRPr="000E5B48">
        <w:rPr>
          <w:rFonts w:ascii="Baskerville" w:hAnsi="Baskerville" w:cs="Baskerville"/>
        </w:rPr>
        <w:t xml:space="preserve">will not begin until the new </w:t>
      </w:r>
      <w:r w:rsidR="00C50250">
        <w:rPr>
          <w:rFonts w:ascii="Baskerville" w:hAnsi="Baskerville" w:cs="Baskerville"/>
        </w:rPr>
        <w:t xml:space="preserve">restructured </w:t>
      </w:r>
      <w:r w:rsidR="000673AB" w:rsidRPr="000E5B48">
        <w:rPr>
          <w:rFonts w:ascii="Baskerville" w:hAnsi="Baskerville" w:cs="Baskerville"/>
        </w:rPr>
        <w:t>waiver is in effec</w:t>
      </w:r>
      <w:r w:rsidR="00C50250">
        <w:rPr>
          <w:rFonts w:ascii="Baskerville" w:hAnsi="Baskerville" w:cs="Baskerville"/>
        </w:rPr>
        <w:t xml:space="preserve">t. The earliest that the redesigned waiver can </w:t>
      </w:r>
      <w:r w:rsidR="00C86311">
        <w:rPr>
          <w:rFonts w:ascii="Baskerville" w:hAnsi="Baskerville" w:cs="Baskerville"/>
        </w:rPr>
        <w:t xml:space="preserve">now be in effect is </w:t>
      </w:r>
      <w:r w:rsidR="00883F0B">
        <w:rPr>
          <w:rFonts w:ascii="Baskerville" w:hAnsi="Baskerville" w:cs="Baskerville"/>
        </w:rPr>
        <w:t>Fiscal Year 2017</w:t>
      </w:r>
      <w:r w:rsidR="000673AB" w:rsidRPr="000E5B48">
        <w:rPr>
          <w:rFonts w:ascii="Baskerville" w:hAnsi="Baskerville" w:cs="Baskerville"/>
        </w:rPr>
        <w:t>.</w:t>
      </w:r>
      <w:r w:rsidR="00277E6D">
        <w:rPr>
          <w:rFonts w:ascii="Baskerville" w:hAnsi="Baskerville" w:cs="Baskerville"/>
        </w:rPr>
        <w:t xml:space="preserve"> </w:t>
      </w:r>
      <w:r w:rsidR="009E38A1">
        <w:rPr>
          <w:rFonts w:ascii="Baskerville" w:hAnsi="Baskerville" w:cs="Baskerville"/>
        </w:rPr>
        <w:t xml:space="preserve">Prior to the current implementation delay, the </w:t>
      </w:r>
      <w:r w:rsidR="009E38A1" w:rsidRPr="00582AFF">
        <w:rPr>
          <w:rFonts w:ascii="Baskerville" w:hAnsi="Baskerville" w:cs="Baskerville"/>
          <w:i/>
        </w:rPr>
        <w:t>Community Engagement Plan</w:t>
      </w:r>
      <w:r w:rsidR="00AD13EA">
        <w:rPr>
          <w:rFonts w:ascii="Baskerville" w:hAnsi="Baskerville" w:cs="Baskerville"/>
        </w:rPr>
        <w:t xml:space="preserve"> would not have</w:t>
      </w:r>
      <w:r w:rsidR="00600D27" w:rsidRPr="000E5B48">
        <w:rPr>
          <w:rFonts w:ascii="Baskerville" w:hAnsi="Baskerville" w:cs="Baskerville"/>
        </w:rPr>
        <w:t xml:space="preserve"> establish a baseline for who is</w:t>
      </w:r>
      <w:r w:rsidR="005F53EA">
        <w:rPr>
          <w:rFonts w:ascii="Baskerville" w:hAnsi="Baskerville" w:cs="Baskerville"/>
        </w:rPr>
        <w:t xml:space="preserve"> now receiving such services until</w:t>
      </w:r>
      <w:r w:rsidR="00600D27" w:rsidRPr="000E5B48">
        <w:rPr>
          <w:rFonts w:ascii="Baskerville" w:hAnsi="Baskerville" w:cs="Baskerville"/>
        </w:rPr>
        <w:t xml:space="preserve"> </w:t>
      </w:r>
      <w:r w:rsidR="005F53EA">
        <w:rPr>
          <w:rFonts w:ascii="Baskerville" w:hAnsi="Baskerville" w:cs="Baskerville"/>
        </w:rPr>
        <w:t xml:space="preserve">October 2016, </w:t>
      </w:r>
      <w:r w:rsidR="00AF0BDD">
        <w:rPr>
          <w:rFonts w:ascii="Baskerville" w:hAnsi="Baskerville" w:cs="Baskerville"/>
        </w:rPr>
        <w:t>four years after its implementation plan was due</w:t>
      </w:r>
      <w:r w:rsidR="00825FCE" w:rsidRPr="000E5B48">
        <w:rPr>
          <w:rFonts w:ascii="Baskerville" w:hAnsi="Baskerville" w:cs="Baskerville"/>
        </w:rPr>
        <w:t xml:space="preserve">. </w:t>
      </w:r>
      <w:r w:rsidR="00BF5B62">
        <w:rPr>
          <w:rFonts w:ascii="Baskerville" w:hAnsi="Baskerville" w:cs="Baskerville"/>
        </w:rPr>
        <w:t xml:space="preserve"> </w:t>
      </w:r>
      <w:r w:rsidR="00BF5B62" w:rsidRPr="00DA390F">
        <w:rPr>
          <w:rFonts w:ascii="Baskerville" w:hAnsi="Baskerville" w:cs="Baskerville"/>
        </w:rPr>
        <w:t>The Commonwealth continues not to be in compliance with</w:t>
      </w:r>
      <w:r w:rsidR="006803F7" w:rsidRPr="00DA390F">
        <w:rPr>
          <w:rFonts w:ascii="Baskerville" w:hAnsi="Baskerville" w:cs="Baskerville"/>
        </w:rPr>
        <w:t xml:space="preserve"> Sections III.C.</w:t>
      </w:r>
      <w:r w:rsidR="00ED6371" w:rsidRPr="00DA390F">
        <w:rPr>
          <w:rFonts w:ascii="Baskerville" w:hAnsi="Baskerville" w:cs="Baskerville"/>
        </w:rPr>
        <w:t xml:space="preserve">7.a and b.i. </w:t>
      </w:r>
      <w:r w:rsidR="00C154F1" w:rsidRPr="00DA390F">
        <w:rPr>
          <w:rFonts w:ascii="Baskerville" w:hAnsi="Baskerville" w:cs="Baskerville"/>
        </w:rPr>
        <w:t>and it will</w:t>
      </w:r>
      <w:r w:rsidR="00C154F1" w:rsidRPr="0058128D">
        <w:rPr>
          <w:rFonts w:ascii="Baskerville" w:hAnsi="Baskerville" w:cs="Baskerville"/>
          <w:b/>
        </w:rPr>
        <w:t xml:space="preserve"> </w:t>
      </w:r>
      <w:r w:rsidR="00C154F1" w:rsidRPr="00DA390F">
        <w:rPr>
          <w:rFonts w:ascii="Baskerville" w:hAnsi="Baskerville" w:cs="Baskerville"/>
        </w:rPr>
        <w:t>remain out of compliance</w:t>
      </w:r>
      <w:r w:rsidR="00C154F1">
        <w:rPr>
          <w:rFonts w:ascii="Baskerville" w:hAnsi="Baskerville" w:cs="Baskerville"/>
        </w:rPr>
        <w:t xml:space="preserve"> until it effectively implements systems reform strategies that facili</w:t>
      </w:r>
      <w:r w:rsidR="00EF4808">
        <w:rPr>
          <w:rFonts w:ascii="Baskerville" w:hAnsi="Baskerville" w:cs="Baskerville"/>
        </w:rPr>
        <w:t xml:space="preserve">tate the major changes </w:t>
      </w:r>
      <w:r w:rsidR="00C154F1">
        <w:rPr>
          <w:rFonts w:ascii="Baskerville" w:hAnsi="Baskerville" w:cs="Baskerville"/>
        </w:rPr>
        <w:t>needed to move from a day system that is characterized by very large congregate facilities to one that provides opportunities in integrated settings with needed supports.</w:t>
      </w:r>
    </w:p>
    <w:p w:rsidR="00FC4E5F" w:rsidRDefault="00FC4E5F" w:rsidP="003518FC">
      <w:pPr>
        <w:widowControl w:val="0"/>
        <w:autoSpaceDE w:val="0"/>
        <w:autoSpaceDN w:val="0"/>
        <w:adjustRightInd w:val="0"/>
        <w:rPr>
          <w:rFonts w:ascii="Baskerville" w:hAnsi="Baskerville" w:cs="Baskerville"/>
        </w:rPr>
      </w:pPr>
    </w:p>
    <w:p w:rsidR="000211A2" w:rsidRPr="00DA390F" w:rsidRDefault="00DA390F" w:rsidP="003518FC">
      <w:pPr>
        <w:tabs>
          <w:tab w:val="left" w:pos="1671"/>
        </w:tabs>
        <w:ind w:right="-216"/>
        <w:rPr>
          <w:rFonts w:ascii="Baskerville" w:hAnsi="Baskerville" w:cs="Baskerville"/>
          <w:b/>
        </w:rPr>
      </w:pPr>
      <w:r w:rsidRPr="00DA390F">
        <w:rPr>
          <w:rFonts w:ascii="Baskerville" w:hAnsi="Baskerville" w:cs="Baskerville"/>
          <w:b/>
        </w:rPr>
        <w:t>8. Supported Employment</w:t>
      </w:r>
    </w:p>
    <w:p w:rsidR="00EF4655" w:rsidRDefault="00662509" w:rsidP="003518FC">
      <w:pPr>
        <w:tabs>
          <w:tab w:val="left" w:pos="1671"/>
        </w:tabs>
        <w:ind w:right="-216"/>
        <w:rPr>
          <w:rFonts w:ascii="Baskerville" w:hAnsi="Baskerville" w:cs="Baskerville"/>
        </w:rPr>
      </w:pPr>
      <w:r>
        <w:rPr>
          <w:rFonts w:ascii="Baskerville" w:hAnsi="Baskerville" w:cs="Baskerville"/>
        </w:rPr>
        <w:t>The Commonwealth</w:t>
      </w:r>
      <w:r w:rsidR="000211A2">
        <w:rPr>
          <w:rFonts w:ascii="Baskerville" w:hAnsi="Baskerville" w:cs="Baskerville"/>
        </w:rPr>
        <w:t xml:space="preserve"> has </w:t>
      </w:r>
      <w:r w:rsidR="00567375">
        <w:rPr>
          <w:rFonts w:ascii="Baskerville" w:hAnsi="Baskerville" w:cs="Baskerville"/>
        </w:rPr>
        <w:t>provided extensive training related to Employment First</w:t>
      </w:r>
      <w:r w:rsidR="00990FD1">
        <w:rPr>
          <w:rFonts w:ascii="Baskerville" w:hAnsi="Baskerville" w:cs="Baskerville"/>
        </w:rPr>
        <w:t xml:space="preserve">, including training </w:t>
      </w:r>
      <w:r w:rsidR="00440513">
        <w:rPr>
          <w:rFonts w:ascii="Baskerville" w:hAnsi="Baskerville" w:cs="Baskerville"/>
        </w:rPr>
        <w:t xml:space="preserve">and technical assistance </w:t>
      </w:r>
      <w:r w:rsidR="00990FD1">
        <w:rPr>
          <w:rFonts w:ascii="Baskerville" w:hAnsi="Baskerville" w:cs="Baskerville"/>
        </w:rPr>
        <w:t>to</w:t>
      </w:r>
      <w:r w:rsidR="003709BD">
        <w:rPr>
          <w:rFonts w:ascii="Baskerville" w:hAnsi="Baskerville" w:cs="Baskerville"/>
        </w:rPr>
        <w:t xml:space="preserve"> other </w:t>
      </w:r>
      <w:r w:rsidR="00990FD1">
        <w:rPr>
          <w:rFonts w:ascii="Baskerville" w:hAnsi="Baskerville" w:cs="Baskerville"/>
        </w:rPr>
        <w:t>state agencies</w:t>
      </w:r>
      <w:r w:rsidR="00440513">
        <w:rPr>
          <w:rFonts w:ascii="Baskerville" w:hAnsi="Baskerville" w:cs="Baskerville"/>
        </w:rPr>
        <w:t xml:space="preserve">.  </w:t>
      </w:r>
      <w:r w:rsidR="00251027">
        <w:rPr>
          <w:rFonts w:ascii="Baskerville" w:hAnsi="Baskerville" w:cs="Baskerville"/>
        </w:rPr>
        <w:t xml:space="preserve">The Commonwealth has developed and, with the input of the SELN </w:t>
      </w:r>
      <w:r w:rsidR="00317D95">
        <w:rPr>
          <w:rFonts w:ascii="Baskerville" w:hAnsi="Baskerville" w:cs="Baskerville"/>
        </w:rPr>
        <w:t>AG (Supported Employment Leadership Network</w:t>
      </w:r>
      <w:r w:rsidR="00EB76E1">
        <w:rPr>
          <w:rFonts w:ascii="Baskerville" w:hAnsi="Baskerville" w:cs="Baskerville"/>
        </w:rPr>
        <w:t xml:space="preserve"> </w:t>
      </w:r>
      <w:r w:rsidR="000E4EBB">
        <w:rPr>
          <w:rFonts w:ascii="Baskerville" w:hAnsi="Baskerville" w:cs="Baskerville"/>
        </w:rPr>
        <w:t>–</w:t>
      </w:r>
      <w:r w:rsidR="00317D95">
        <w:rPr>
          <w:rFonts w:ascii="Baskerville" w:hAnsi="Baskerville" w:cs="Baskerville"/>
        </w:rPr>
        <w:t xml:space="preserve"> Advisory </w:t>
      </w:r>
      <w:r w:rsidR="00EB76E1">
        <w:rPr>
          <w:rFonts w:ascii="Baskerville" w:hAnsi="Baskerville" w:cs="Baskerville"/>
        </w:rPr>
        <w:t>Group</w:t>
      </w:r>
      <w:r w:rsidR="00963FBA">
        <w:rPr>
          <w:rFonts w:ascii="Baskerville" w:hAnsi="Baskerville" w:cs="Baskerville"/>
        </w:rPr>
        <w:t>)</w:t>
      </w:r>
      <w:r w:rsidR="00251027">
        <w:rPr>
          <w:rFonts w:ascii="Baskerville" w:hAnsi="Baskerville" w:cs="Baskerville"/>
        </w:rPr>
        <w:t>, updated its plan to increase supported employment</w:t>
      </w:r>
      <w:r w:rsidR="00E737DE">
        <w:rPr>
          <w:rFonts w:ascii="Baskerville" w:hAnsi="Baskerville" w:cs="Baskerville"/>
        </w:rPr>
        <w:t>.</w:t>
      </w:r>
      <w:r w:rsidR="00E14F86">
        <w:rPr>
          <w:rFonts w:ascii="Baskerville" w:hAnsi="Baskerville" w:cs="Baskerville"/>
        </w:rPr>
        <w:t xml:space="preserve"> </w:t>
      </w:r>
      <w:r w:rsidR="00BA0C19">
        <w:rPr>
          <w:rFonts w:ascii="Baskerville" w:hAnsi="Baskerville" w:cs="Baskerville"/>
        </w:rPr>
        <w:t>During this</w:t>
      </w:r>
      <w:r w:rsidR="003B7B36">
        <w:rPr>
          <w:rFonts w:ascii="Baskerville" w:hAnsi="Baskerville" w:cs="Baskerville"/>
        </w:rPr>
        <w:t xml:space="preserve"> review period, the SELN AG</w:t>
      </w:r>
      <w:r w:rsidR="00C8675D">
        <w:rPr>
          <w:rFonts w:ascii="Baskerville" w:hAnsi="Baskerville" w:cs="Baskerville"/>
        </w:rPr>
        <w:t xml:space="preserve"> significantly improved </w:t>
      </w:r>
      <w:r w:rsidR="003B7B36">
        <w:rPr>
          <w:rFonts w:ascii="Baskerville" w:hAnsi="Baskerville" w:cs="Baskerville"/>
        </w:rPr>
        <w:t>its structure. The SELN AG</w:t>
      </w:r>
      <w:r w:rsidR="00906AE2">
        <w:rPr>
          <w:rFonts w:ascii="Baskerville" w:hAnsi="Baskerville" w:cs="Baskerville"/>
        </w:rPr>
        <w:t xml:space="preserve"> created subcommittees </w:t>
      </w:r>
      <w:r w:rsidR="00C8675D">
        <w:rPr>
          <w:rFonts w:ascii="Baskerville" w:hAnsi="Baskerville" w:cs="Baskerville"/>
        </w:rPr>
        <w:t>w</w:t>
      </w:r>
      <w:r w:rsidR="00906AE2">
        <w:rPr>
          <w:rFonts w:ascii="Baskerville" w:hAnsi="Baskerville" w:cs="Baskerville"/>
        </w:rPr>
        <w:t>ith targeted responsibilities including a</w:t>
      </w:r>
      <w:r w:rsidR="00C8675D">
        <w:rPr>
          <w:rFonts w:ascii="Baskerville" w:hAnsi="Baskerville" w:cs="Baskerville"/>
        </w:rPr>
        <w:t xml:space="preserve"> </w:t>
      </w:r>
      <w:r w:rsidR="00C565F5">
        <w:rPr>
          <w:rFonts w:ascii="Baskerville" w:hAnsi="Baskerville" w:cs="Baskerville"/>
        </w:rPr>
        <w:t xml:space="preserve">separate </w:t>
      </w:r>
      <w:r w:rsidR="00600C55">
        <w:rPr>
          <w:rFonts w:ascii="Baskerville" w:hAnsi="Baskerville" w:cs="Baskerville"/>
        </w:rPr>
        <w:t xml:space="preserve">group </w:t>
      </w:r>
      <w:r w:rsidR="00C565F5">
        <w:rPr>
          <w:rFonts w:ascii="Baskerville" w:hAnsi="Baskerville" w:cs="Baskerville"/>
        </w:rPr>
        <w:t>to</w:t>
      </w:r>
      <w:r w:rsidR="00C8675D">
        <w:rPr>
          <w:rFonts w:ascii="Baskerville" w:hAnsi="Baskerville" w:cs="Baskerville"/>
        </w:rPr>
        <w:t xml:space="preserve"> focus on integra</w:t>
      </w:r>
      <w:r w:rsidR="00600C55">
        <w:rPr>
          <w:rFonts w:ascii="Baskerville" w:hAnsi="Baskerville" w:cs="Baskerville"/>
        </w:rPr>
        <w:t>ted day opportunities. C</w:t>
      </w:r>
      <w:r w:rsidR="00C565F5">
        <w:rPr>
          <w:rFonts w:ascii="Baskerville" w:hAnsi="Baskerville" w:cs="Baskerville"/>
        </w:rPr>
        <w:t xml:space="preserve">ompleted </w:t>
      </w:r>
      <w:r w:rsidR="00BA0C19">
        <w:rPr>
          <w:rFonts w:ascii="Baskerville" w:hAnsi="Baskerville" w:cs="Baskerville"/>
        </w:rPr>
        <w:t>minutes we</w:t>
      </w:r>
      <w:r w:rsidR="00C8675D">
        <w:rPr>
          <w:rFonts w:ascii="Baskerville" w:hAnsi="Baskerville" w:cs="Baskerville"/>
        </w:rPr>
        <w:t>re written for all</w:t>
      </w:r>
      <w:r w:rsidR="00C565F5">
        <w:rPr>
          <w:rFonts w:ascii="Baskerville" w:hAnsi="Baskerville" w:cs="Baskerville"/>
        </w:rPr>
        <w:t xml:space="preserve"> meetings; </w:t>
      </w:r>
      <w:r w:rsidR="00C8675D">
        <w:rPr>
          <w:rFonts w:ascii="Baskerville" w:hAnsi="Baskerville" w:cs="Baskerville"/>
        </w:rPr>
        <w:t xml:space="preserve">and </w:t>
      </w:r>
      <w:r w:rsidR="00C565F5">
        <w:rPr>
          <w:rFonts w:ascii="Baskerville" w:hAnsi="Baskerville" w:cs="Baskerville"/>
        </w:rPr>
        <w:t>it is tightening membership</w:t>
      </w:r>
      <w:r w:rsidR="00C8675D">
        <w:rPr>
          <w:rFonts w:ascii="Baskerville" w:hAnsi="Baskerville" w:cs="Baskerville"/>
        </w:rPr>
        <w:t xml:space="preserve"> to improve consistent attendance.</w:t>
      </w:r>
      <w:r w:rsidR="00BA0C19">
        <w:rPr>
          <w:rFonts w:ascii="Baskerville" w:hAnsi="Baskerville" w:cs="Baskerville"/>
        </w:rPr>
        <w:t xml:space="preserve"> </w:t>
      </w:r>
      <w:r w:rsidR="00CA27BC">
        <w:rPr>
          <w:rFonts w:ascii="Baskerville" w:hAnsi="Baskerville" w:cs="Baskerville"/>
        </w:rPr>
        <w:t>T</w:t>
      </w:r>
      <w:r w:rsidR="00AA36BA">
        <w:rPr>
          <w:rFonts w:ascii="Baskerville" w:hAnsi="Baskerville" w:cs="Baskerville"/>
        </w:rPr>
        <w:t xml:space="preserve">he consultant’s study </w:t>
      </w:r>
      <w:r w:rsidR="007C6ECF">
        <w:rPr>
          <w:rFonts w:ascii="Baskerville" w:hAnsi="Baskerville" w:cs="Baskerville"/>
        </w:rPr>
        <w:t xml:space="preserve">also </w:t>
      </w:r>
      <w:r w:rsidR="00AA36BA">
        <w:rPr>
          <w:rFonts w:ascii="Baskerville" w:hAnsi="Baskerville" w:cs="Baskerville"/>
        </w:rPr>
        <w:t>found</w:t>
      </w:r>
      <w:r w:rsidR="00CA27BC">
        <w:rPr>
          <w:rFonts w:ascii="Baskerville" w:hAnsi="Baskerville" w:cs="Baskerville"/>
        </w:rPr>
        <w:t xml:space="preserve">, however, </w:t>
      </w:r>
      <w:r w:rsidR="00083B64">
        <w:rPr>
          <w:rFonts w:ascii="Baskerville" w:hAnsi="Baskerville" w:cs="Baskerville"/>
        </w:rPr>
        <w:t>that there wa</w:t>
      </w:r>
      <w:r w:rsidR="002558D7">
        <w:rPr>
          <w:rFonts w:ascii="Baskerville" w:hAnsi="Baskerville" w:cs="Baskerville"/>
        </w:rPr>
        <w:t>s no tangible progress on</w:t>
      </w:r>
      <w:r w:rsidR="00AA36BA">
        <w:rPr>
          <w:rFonts w:ascii="Baskerville" w:hAnsi="Baskerville" w:cs="Baskerville"/>
        </w:rPr>
        <w:t xml:space="preserve"> one activity </w:t>
      </w:r>
      <w:r w:rsidR="00C20AA8">
        <w:rPr>
          <w:rFonts w:ascii="Baskerville" w:hAnsi="Baskerville" w:cs="Baskerville"/>
        </w:rPr>
        <w:t xml:space="preserve">in the employment services plan </w:t>
      </w:r>
      <w:r w:rsidR="001651A0">
        <w:rPr>
          <w:rFonts w:ascii="Baskerville" w:hAnsi="Baskerville" w:cs="Baskerville"/>
        </w:rPr>
        <w:t>assigned to the</w:t>
      </w:r>
      <w:r w:rsidR="00AA36BA">
        <w:rPr>
          <w:rFonts w:ascii="Baskerville" w:hAnsi="Baskerville" w:cs="Baskerville"/>
        </w:rPr>
        <w:t xml:space="preserve"> SELN AG – “to develop standards for</w:t>
      </w:r>
      <w:r w:rsidR="00E7772F">
        <w:rPr>
          <w:rFonts w:ascii="Baskerville" w:hAnsi="Baskerville" w:cs="Baskerville"/>
        </w:rPr>
        <w:t xml:space="preserve"> the delivery of employment”. </w:t>
      </w:r>
    </w:p>
    <w:p w:rsidR="00EF4655" w:rsidRDefault="00EF4655" w:rsidP="003518FC">
      <w:pPr>
        <w:tabs>
          <w:tab w:val="left" w:pos="1671"/>
        </w:tabs>
        <w:ind w:right="-216"/>
        <w:rPr>
          <w:rFonts w:ascii="Baskerville" w:hAnsi="Baskerville" w:cs="Baskerville"/>
        </w:rPr>
      </w:pPr>
    </w:p>
    <w:p w:rsidR="00975D99" w:rsidRDefault="00DB3125" w:rsidP="003518FC">
      <w:pPr>
        <w:tabs>
          <w:tab w:val="left" w:pos="1671"/>
        </w:tabs>
        <w:ind w:right="-216"/>
        <w:rPr>
          <w:rFonts w:ascii="Baskerville" w:hAnsi="Baskerville" w:cs="Baskerville"/>
        </w:rPr>
      </w:pPr>
      <w:r w:rsidRPr="0035546F">
        <w:rPr>
          <w:rFonts w:ascii="Baskerville" w:hAnsi="Baskerville" w:cs="Baskerville"/>
        </w:rPr>
        <w:t>The SELN AG and the DBHDS Regional Quality Counci</w:t>
      </w:r>
      <w:r w:rsidR="007C6ECF">
        <w:rPr>
          <w:rFonts w:ascii="Baskerville" w:hAnsi="Baskerville" w:cs="Baskerville"/>
        </w:rPr>
        <w:t xml:space="preserve">ls (RQC) </w:t>
      </w:r>
      <w:r w:rsidRPr="0035546F">
        <w:rPr>
          <w:rFonts w:ascii="Baskerville" w:hAnsi="Baskerville" w:cs="Baskerville"/>
        </w:rPr>
        <w:t>work</w:t>
      </w:r>
      <w:r w:rsidR="007C6ECF">
        <w:rPr>
          <w:rFonts w:ascii="Baskerville" w:hAnsi="Baskerville" w:cs="Baskerville"/>
        </w:rPr>
        <w:t>ed</w:t>
      </w:r>
      <w:r w:rsidRPr="0035546F">
        <w:rPr>
          <w:rFonts w:ascii="Baskerville" w:hAnsi="Baskerville" w:cs="Baskerville"/>
        </w:rPr>
        <w:t xml:space="preserve"> together</w:t>
      </w:r>
      <w:r w:rsidR="00A33B40" w:rsidRPr="0035546F">
        <w:rPr>
          <w:rFonts w:ascii="Baskerville" w:hAnsi="Baskerville" w:cs="Baskerville"/>
        </w:rPr>
        <w:t xml:space="preserve"> to review the employment data and </w:t>
      </w:r>
      <w:r w:rsidR="00EF4655" w:rsidRPr="0035546F">
        <w:rPr>
          <w:rFonts w:ascii="Baskerville" w:hAnsi="Baskerville" w:cs="Baskerville"/>
        </w:rPr>
        <w:t xml:space="preserve">quarterly employment </w:t>
      </w:r>
      <w:r w:rsidR="00A33B40" w:rsidRPr="0035546F">
        <w:rPr>
          <w:rFonts w:ascii="Baskerville" w:hAnsi="Baskerville" w:cs="Baskerville"/>
        </w:rPr>
        <w:t>targets. Each RQC met twice during this r</w:t>
      </w:r>
      <w:r w:rsidR="0028585B" w:rsidRPr="0035546F">
        <w:rPr>
          <w:rFonts w:ascii="Baskerville" w:hAnsi="Baskerville" w:cs="Baskerville"/>
        </w:rPr>
        <w:t xml:space="preserve">eview period with </w:t>
      </w:r>
      <w:r w:rsidR="00545E01" w:rsidRPr="0035546F">
        <w:rPr>
          <w:rFonts w:ascii="Baskerville" w:hAnsi="Baskerville" w:cs="Baskerville"/>
        </w:rPr>
        <w:t xml:space="preserve">members of </w:t>
      </w:r>
      <w:r w:rsidR="009F2CC2" w:rsidRPr="0035546F">
        <w:rPr>
          <w:rFonts w:ascii="Baskerville" w:hAnsi="Baskerville" w:cs="Baskerville"/>
        </w:rPr>
        <w:t>the SELN AG, who are also DBHDS employment leaders</w:t>
      </w:r>
      <w:r w:rsidR="0028585B" w:rsidRPr="0035546F">
        <w:rPr>
          <w:rFonts w:ascii="Baskerville" w:hAnsi="Baskerville" w:cs="Baskerville"/>
        </w:rPr>
        <w:t>. The DBHDS Employment Coordinator co</w:t>
      </w:r>
      <w:r w:rsidR="002A040F" w:rsidRPr="0035546F">
        <w:rPr>
          <w:rFonts w:ascii="Baskerville" w:hAnsi="Baskerville" w:cs="Baskerville"/>
        </w:rPr>
        <w:t>mpleted</w:t>
      </w:r>
      <w:r w:rsidR="0028585B" w:rsidRPr="0035546F">
        <w:rPr>
          <w:rFonts w:ascii="Baskerville" w:hAnsi="Baskerville" w:cs="Baskerville"/>
        </w:rPr>
        <w:t xml:space="preserve"> </w:t>
      </w:r>
      <w:r w:rsidR="007C6ECF">
        <w:rPr>
          <w:rFonts w:ascii="Baskerville" w:hAnsi="Baskerville" w:cs="Baskerville"/>
        </w:rPr>
        <w:t xml:space="preserve">a </w:t>
      </w:r>
      <w:r w:rsidR="0028585B" w:rsidRPr="0035546F">
        <w:rPr>
          <w:rFonts w:ascii="Baskerville" w:hAnsi="Baskerville" w:cs="Baskerville"/>
        </w:rPr>
        <w:t>thorough presenta</w:t>
      </w:r>
      <w:r w:rsidR="00B35D5B" w:rsidRPr="0035546F">
        <w:rPr>
          <w:rFonts w:ascii="Baskerville" w:hAnsi="Baskerville" w:cs="Baskerville"/>
        </w:rPr>
        <w:t>tion</w:t>
      </w:r>
      <w:r w:rsidR="004C0779">
        <w:rPr>
          <w:rFonts w:ascii="Baskerville" w:hAnsi="Baskerville" w:cs="Baskerville"/>
        </w:rPr>
        <w:t xml:space="preserve"> to</w:t>
      </w:r>
      <w:r w:rsidR="00EB4383">
        <w:rPr>
          <w:rFonts w:ascii="Baskerville" w:hAnsi="Baskerville" w:cs="Baskerville"/>
        </w:rPr>
        <w:t xml:space="preserve"> each of the RQC</w:t>
      </w:r>
      <w:r w:rsidR="002E42E0" w:rsidRPr="0035546F">
        <w:rPr>
          <w:rFonts w:ascii="Baskerville" w:hAnsi="Baskerville" w:cs="Baskerville"/>
        </w:rPr>
        <w:t>s</w:t>
      </w:r>
      <w:r w:rsidR="00083B64">
        <w:rPr>
          <w:rFonts w:ascii="Baskerville" w:hAnsi="Baskerville" w:cs="Baskerville"/>
        </w:rPr>
        <w:t xml:space="preserve">; and the </w:t>
      </w:r>
      <w:r w:rsidR="00EB4383">
        <w:rPr>
          <w:rFonts w:ascii="Baskerville" w:hAnsi="Baskerville" w:cs="Baskerville"/>
        </w:rPr>
        <w:t>RQC</w:t>
      </w:r>
      <w:r w:rsidR="00D45FAA">
        <w:rPr>
          <w:rFonts w:ascii="Baskerville" w:hAnsi="Baskerville" w:cs="Baskerville"/>
        </w:rPr>
        <w:t xml:space="preserve">s </w:t>
      </w:r>
      <w:r w:rsidR="00D45FAA" w:rsidRPr="0035546F">
        <w:rPr>
          <w:rFonts w:ascii="Baskerville" w:hAnsi="Baskerville" w:cs="Baskerville"/>
        </w:rPr>
        <w:t>had</w:t>
      </w:r>
      <w:r w:rsidR="00A52B9D">
        <w:rPr>
          <w:rFonts w:ascii="Baskerville" w:hAnsi="Baskerville" w:cs="Baskerville"/>
        </w:rPr>
        <w:t xml:space="preserve"> in-depth discussions about e</w:t>
      </w:r>
      <w:r w:rsidR="00B35D5B" w:rsidRPr="0035546F">
        <w:rPr>
          <w:rFonts w:ascii="Baskerville" w:hAnsi="Baskerville" w:cs="Baskerville"/>
        </w:rPr>
        <w:t xml:space="preserve">mployment </w:t>
      </w:r>
      <w:r w:rsidR="00A52B9D">
        <w:rPr>
          <w:rFonts w:ascii="Baskerville" w:hAnsi="Baskerville" w:cs="Baskerville"/>
        </w:rPr>
        <w:t xml:space="preserve">and </w:t>
      </w:r>
      <w:r w:rsidR="003E200C" w:rsidRPr="0035546F">
        <w:rPr>
          <w:rFonts w:ascii="Baskerville" w:hAnsi="Baskerville" w:cs="Baskerville"/>
        </w:rPr>
        <w:t>made</w:t>
      </w:r>
      <w:r w:rsidR="00067D57" w:rsidRPr="0035546F">
        <w:rPr>
          <w:rFonts w:ascii="Baskerville" w:hAnsi="Baskerville" w:cs="Baskerville"/>
        </w:rPr>
        <w:t xml:space="preserve"> recommendations to enhance services</w:t>
      </w:r>
      <w:r w:rsidR="00EA7676" w:rsidRPr="0035546F">
        <w:rPr>
          <w:rFonts w:ascii="Baskerville" w:hAnsi="Baskerville" w:cs="Baskerville"/>
        </w:rPr>
        <w:t xml:space="preserve">. </w:t>
      </w:r>
      <w:r w:rsidR="00306249" w:rsidRPr="0035546F">
        <w:rPr>
          <w:rFonts w:ascii="Baskerville" w:hAnsi="Baskerville" w:cs="Baskerville"/>
        </w:rPr>
        <w:t xml:space="preserve"> </w:t>
      </w:r>
      <w:r w:rsidR="002E42E0" w:rsidRPr="0035546F">
        <w:rPr>
          <w:rFonts w:ascii="Baskerville" w:hAnsi="Baskerville" w:cs="Baskerville"/>
        </w:rPr>
        <w:t xml:space="preserve">The RQCs and the SELN AG liaison also discussed </w:t>
      </w:r>
      <w:r w:rsidR="009D7535" w:rsidRPr="0035546F">
        <w:rPr>
          <w:rFonts w:ascii="Baskerville" w:hAnsi="Baskerville" w:cs="Baskerville"/>
        </w:rPr>
        <w:t>progress</w:t>
      </w:r>
      <w:r w:rsidR="001858FB" w:rsidRPr="0035546F">
        <w:rPr>
          <w:rFonts w:ascii="Baskerville" w:hAnsi="Baskerville" w:cs="Baskerville"/>
        </w:rPr>
        <w:t xml:space="preserve"> toward implementing the employment services plan</w:t>
      </w:r>
      <w:r w:rsidR="00084643" w:rsidRPr="0035546F">
        <w:rPr>
          <w:rFonts w:ascii="Baskerville" w:hAnsi="Baskerville" w:cs="Baskerville"/>
        </w:rPr>
        <w:t>.</w:t>
      </w:r>
      <w:r w:rsidR="0035546F">
        <w:rPr>
          <w:rFonts w:ascii="Baskerville" w:hAnsi="Baskerville" w:cs="Baskerville"/>
        </w:rPr>
        <w:t xml:space="preserve">  </w:t>
      </w:r>
    </w:p>
    <w:p w:rsidR="00975D99" w:rsidRDefault="00975D99" w:rsidP="003518FC">
      <w:pPr>
        <w:tabs>
          <w:tab w:val="left" w:pos="1671"/>
        </w:tabs>
        <w:ind w:right="-216"/>
        <w:rPr>
          <w:rFonts w:ascii="Baskerville" w:hAnsi="Baskerville" w:cs="Baskerville"/>
        </w:rPr>
      </w:pPr>
    </w:p>
    <w:p w:rsidR="003959AC" w:rsidRPr="004C0779" w:rsidRDefault="00975D99" w:rsidP="003518FC">
      <w:pPr>
        <w:tabs>
          <w:tab w:val="left" w:pos="1671"/>
        </w:tabs>
        <w:ind w:right="-216"/>
        <w:rPr>
          <w:rFonts w:ascii="Baskerville" w:hAnsi="Baskerville" w:cs="Baskerville"/>
        </w:rPr>
      </w:pPr>
      <w:r>
        <w:rPr>
          <w:rFonts w:ascii="Baskerville" w:hAnsi="Baskerville" w:cs="Baskerville"/>
        </w:rPr>
        <w:t xml:space="preserve">The IR determined that the </w:t>
      </w:r>
      <w:r w:rsidR="00804FDC" w:rsidRPr="0035546F">
        <w:rPr>
          <w:rFonts w:ascii="Baskerville" w:hAnsi="Baskerville" w:cs="Baskerville"/>
        </w:rPr>
        <w:t xml:space="preserve">DBHDS is in compliance with provision </w:t>
      </w:r>
      <w:r w:rsidR="00804FDC" w:rsidRPr="0035546F">
        <w:rPr>
          <w:rFonts w:ascii="Baskerville" w:hAnsi="Baskerville" w:cs="Baskerville"/>
          <w:i/>
        </w:rPr>
        <w:t>7.b.i.A</w:t>
      </w:r>
      <w:r w:rsidR="00C45EB6">
        <w:rPr>
          <w:rFonts w:ascii="Baskerville" w:hAnsi="Baskerville" w:cs="Baskerville"/>
        </w:rPr>
        <w:t>. It continued to provide</w:t>
      </w:r>
      <w:r w:rsidR="00EB4383">
        <w:rPr>
          <w:rFonts w:ascii="Baskerville" w:hAnsi="Baskerville" w:cs="Baskerville"/>
        </w:rPr>
        <w:t xml:space="preserve"> R</w:t>
      </w:r>
      <w:r w:rsidR="00804FDC" w:rsidRPr="0035546F">
        <w:rPr>
          <w:rFonts w:ascii="Baskerville" w:hAnsi="Baskerville" w:cs="Baskerville"/>
        </w:rPr>
        <w:t>egional training on the Employment First policy and strategies.  It</w:t>
      </w:r>
      <w:r w:rsidR="009E3C67" w:rsidRPr="0035546F">
        <w:rPr>
          <w:rFonts w:ascii="Baskerville" w:hAnsi="Baskerville" w:cs="Baskerville"/>
        </w:rPr>
        <w:t xml:space="preserve"> is</w:t>
      </w:r>
      <w:r w:rsidR="005C19E1" w:rsidRPr="0035546F">
        <w:rPr>
          <w:rFonts w:ascii="Baskerville" w:hAnsi="Baskerville" w:cs="Baskerville"/>
        </w:rPr>
        <w:t xml:space="preserve"> also</w:t>
      </w:r>
      <w:r w:rsidR="009E3C67" w:rsidRPr="0035546F">
        <w:rPr>
          <w:rFonts w:ascii="Baskerville" w:hAnsi="Baskerville" w:cs="Baskerville"/>
        </w:rPr>
        <w:t xml:space="preserve"> in compliance with III.C.7.c and d. </w:t>
      </w:r>
      <w:r w:rsidR="00631B7F">
        <w:rPr>
          <w:rFonts w:ascii="Baskerville" w:hAnsi="Baskerville" w:cs="Baskerville"/>
        </w:rPr>
        <w:t xml:space="preserve"> T</w:t>
      </w:r>
      <w:r w:rsidR="00A129A6" w:rsidRPr="0035546F">
        <w:rPr>
          <w:rFonts w:ascii="Baskerville" w:hAnsi="Baskerville" w:cs="Baskerville"/>
        </w:rPr>
        <w:t>he RQCs</w:t>
      </w:r>
      <w:r w:rsidR="00FC0EFF" w:rsidRPr="0035546F">
        <w:rPr>
          <w:rFonts w:ascii="Baskerville" w:hAnsi="Baskerville" w:cs="Baskerville"/>
        </w:rPr>
        <w:t xml:space="preserve"> r</w:t>
      </w:r>
      <w:r w:rsidR="006A16CE">
        <w:rPr>
          <w:rFonts w:ascii="Baskerville" w:hAnsi="Baskerville" w:cs="Baskerville"/>
        </w:rPr>
        <w:t>eview</w:t>
      </w:r>
      <w:r w:rsidR="00631B7F">
        <w:rPr>
          <w:rFonts w:ascii="Baskerville" w:hAnsi="Baskerville" w:cs="Baskerville"/>
        </w:rPr>
        <w:t xml:space="preserve">ed </w:t>
      </w:r>
      <w:r w:rsidR="006A16CE">
        <w:rPr>
          <w:rFonts w:ascii="Baskerville" w:hAnsi="Baskerville" w:cs="Baskerville"/>
        </w:rPr>
        <w:t xml:space="preserve">quarterly </w:t>
      </w:r>
      <w:r w:rsidR="00631B7F">
        <w:rPr>
          <w:rFonts w:ascii="Baskerville" w:hAnsi="Baskerville" w:cs="Baskerville"/>
        </w:rPr>
        <w:t xml:space="preserve">employment </w:t>
      </w:r>
      <w:r w:rsidR="006A16CE">
        <w:rPr>
          <w:rFonts w:ascii="Baskerville" w:hAnsi="Baskerville" w:cs="Baskerville"/>
        </w:rPr>
        <w:t>data and</w:t>
      </w:r>
      <w:r w:rsidR="00FC0EFF" w:rsidRPr="0035546F">
        <w:rPr>
          <w:rFonts w:ascii="Baskerville" w:hAnsi="Baskerville" w:cs="Baskerville"/>
        </w:rPr>
        <w:t xml:space="preserve"> </w:t>
      </w:r>
      <w:r w:rsidR="00631B7F">
        <w:rPr>
          <w:rFonts w:ascii="Baskerville" w:hAnsi="Baskerville" w:cs="Baskerville"/>
        </w:rPr>
        <w:t xml:space="preserve">made </w:t>
      </w:r>
      <w:r w:rsidR="00FC0EFF" w:rsidRPr="0035546F">
        <w:rPr>
          <w:rFonts w:ascii="Baskerville" w:hAnsi="Baskerville" w:cs="Baskerville"/>
        </w:rPr>
        <w:t>recommendations</w:t>
      </w:r>
      <w:r w:rsidR="006A16CE">
        <w:rPr>
          <w:rFonts w:ascii="Baskerville" w:hAnsi="Baskerville" w:cs="Baskerville"/>
        </w:rPr>
        <w:t xml:space="preserve"> for improvement</w:t>
      </w:r>
      <w:r w:rsidR="00FC0EFF" w:rsidRPr="0035546F">
        <w:rPr>
          <w:rFonts w:ascii="Baskerville" w:hAnsi="Baskerville" w:cs="Baskerville"/>
        </w:rPr>
        <w:t>.</w:t>
      </w:r>
      <w:r w:rsidR="009E3C67" w:rsidRPr="0035546F">
        <w:rPr>
          <w:rFonts w:ascii="Baskerville" w:hAnsi="Baskerville" w:cs="Baskerville"/>
        </w:rPr>
        <w:t xml:space="preserve"> </w:t>
      </w:r>
      <w:r w:rsidR="003959AC" w:rsidRPr="004C0779">
        <w:rPr>
          <w:rFonts w:ascii="Baskerville" w:hAnsi="Baskerville" w:cs="Baskerville"/>
        </w:rPr>
        <w:t xml:space="preserve">The independent consultant’s report, </w:t>
      </w:r>
      <w:r w:rsidR="00E57B09" w:rsidRPr="004C0779">
        <w:rPr>
          <w:rFonts w:ascii="Baskerville" w:hAnsi="Baskerville" w:cs="Baskerville"/>
          <w:i/>
        </w:rPr>
        <w:t xml:space="preserve">Integrated Day and Supported Employment Requirements, </w:t>
      </w:r>
      <w:r w:rsidR="003959AC" w:rsidRPr="004C0779">
        <w:rPr>
          <w:rFonts w:ascii="Baskerville" w:hAnsi="Baskerville" w:cs="Baskerville"/>
        </w:rPr>
        <w:t>attached at Appendix D</w:t>
      </w:r>
      <w:r w:rsidR="00E57B09" w:rsidRPr="004C0779">
        <w:rPr>
          <w:rFonts w:ascii="Baskerville" w:hAnsi="Baskerville" w:cs="Baskerville"/>
        </w:rPr>
        <w:t xml:space="preserve">, includes recommendations for improvements to </w:t>
      </w:r>
      <w:r w:rsidR="00B1537F" w:rsidRPr="004C0779">
        <w:rPr>
          <w:rFonts w:ascii="Baskerville" w:hAnsi="Baskerville" w:cs="Baskerville"/>
        </w:rPr>
        <w:t xml:space="preserve">strengthen </w:t>
      </w:r>
      <w:r w:rsidR="00A10B40">
        <w:rPr>
          <w:rFonts w:ascii="Baskerville" w:hAnsi="Baskerville" w:cs="Baskerville"/>
        </w:rPr>
        <w:t>the</w:t>
      </w:r>
      <w:r w:rsidR="00E57B09" w:rsidRPr="004C0779">
        <w:rPr>
          <w:rFonts w:ascii="Baskerville" w:hAnsi="Baskerville" w:cs="Baskerville"/>
        </w:rPr>
        <w:t xml:space="preserve"> </w:t>
      </w:r>
      <w:r w:rsidR="006A16CE" w:rsidRPr="004C0779">
        <w:rPr>
          <w:rFonts w:ascii="Baskerville" w:hAnsi="Baskerville" w:cs="Baskerville"/>
        </w:rPr>
        <w:t xml:space="preserve">SELN AG – RQC </w:t>
      </w:r>
      <w:r w:rsidR="00E57B09" w:rsidRPr="004C0779">
        <w:rPr>
          <w:rFonts w:ascii="Baskerville" w:hAnsi="Baskerville" w:cs="Baskerville"/>
        </w:rPr>
        <w:t>processes</w:t>
      </w:r>
      <w:r w:rsidR="00B1537F" w:rsidRPr="004C0779">
        <w:rPr>
          <w:rFonts w:ascii="Baskerville" w:hAnsi="Baskerville" w:cs="Baskerville"/>
        </w:rPr>
        <w:t xml:space="preserve"> so that </w:t>
      </w:r>
      <w:r w:rsidR="006A16CE" w:rsidRPr="004C0779">
        <w:rPr>
          <w:rFonts w:ascii="Baskerville" w:hAnsi="Baskerville" w:cs="Baskerville"/>
        </w:rPr>
        <w:t>the RQC</w:t>
      </w:r>
      <w:r w:rsidR="003F2E7A">
        <w:rPr>
          <w:rFonts w:ascii="Baskerville" w:hAnsi="Baskerville" w:cs="Baskerville"/>
        </w:rPr>
        <w:t>’s</w:t>
      </w:r>
      <w:r w:rsidR="006A16CE" w:rsidRPr="004C0779">
        <w:rPr>
          <w:rFonts w:ascii="Baskerville" w:hAnsi="Baskerville" w:cs="Baskerville"/>
        </w:rPr>
        <w:t xml:space="preserve"> </w:t>
      </w:r>
      <w:r w:rsidR="003F2E7A">
        <w:rPr>
          <w:rFonts w:ascii="Baskerville" w:hAnsi="Baskerville" w:cs="Baskerville"/>
        </w:rPr>
        <w:t>are able to base</w:t>
      </w:r>
      <w:r w:rsidR="008F7188" w:rsidRPr="004C0779">
        <w:rPr>
          <w:rFonts w:ascii="Baskerville" w:hAnsi="Baskerville" w:cs="Baskerville"/>
        </w:rPr>
        <w:t xml:space="preserve"> future recommendations </w:t>
      </w:r>
      <w:r w:rsidR="00AE10C8">
        <w:rPr>
          <w:rFonts w:ascii="Baskerville" w:hAnsi="Baskerville" w:cs="Baskerville"/>
        </w:rPr>
        <w:t xml:space="preserve">on </w:t>
      </w:r>
      <w:r w:rsidR="00B1537F" w:rsidRPr="004C0779">
        <w:rPr>
          <w:rFonts w:ascii="Baskerville" w:hAnsi="Baskerville" w:cs="Baskerville"/>
        </w:rPr>
        <w:t xml:space="preserve">current and complete information about the status of the </w:t>
      </w:r>
      <w:r w:rsidR="00A10B40">
        <w:rPr>
          <w:rFonts w:ascii="Baskerville" w:hAnsi="Baskerville" w:cs="Baskerville"/>
        </w:rPr>
        <w:t>emp</w:t>
      </w:r>
      <w:r w:rsidR="00B64544">
        <w:rPr>
          <w:rFonts w:ascii="Baskerville" w:hAnsi="Baskerville" w:cs="Baskerville"/>
        </w:rPr>
        <w:t>loyment services plan’s implementation</w:t>
      </w:r>
      <w:r w:rsidR="00E57B09" w:rsidRPr="004C0779">
        <w:rPr>
          <w:rFonts w:ascii="Baskerville" w:hAnsi="Baskerville" w:cs="Baskerville"/>
        </w:rPr>
        <w:t>.</w:t>
      </w:r>
      <w:r w:rsidR="008F7188" w:rsidRPr="004C0779">
        <w:rPr>
          <w:rFonts w:ascii="Baskerville" w:hAnsi="Baskerville" w:cs="Baskerville"/>
        </w:rPr>
        <w:t xml:space="preserve"> The consultant r</w:t>
      </w:r>
      <w:r w:rsidR="009129F4" w:rsidRPr="004C0779">
        <w:rPr>
          <w:rFonts w:ascii="Baskerville" w:hAnsi="Baskerville" w:cs="Baskerville"/>
        </w:rPr>
        <w:t xml:space="preserve">ecommendations </w:t>
      </w:r>
      <w:r w:rsidR="00AE10C8">
        <w:rPr>
          <w:rFonts w:ascii="Baskerville" w:hAnsi="Baskerville" w:cs="Baskerville"/>
        </w:rPr>
        <w:t xml:space="preserve">also </w:t>
      </w:r>
      <w:r w:rsidR="009129F4" w:rsidRPr="004C0779">
        <w:rPr>
          <w:rFonts w:ascii="Baskerville" w:hAnsi="Baskerville" w:cs="Baskerville"/>
        </w:rPr>
        <w:t xml:space="preserve">include </w:t>
      </w:r>
      <w:r w:rsidR="009C6AC1" w:rsidRPr="004C0779">
        <w:rPr>
          <w:rFonts w:ascii="Baskerville" w:hAnsi="Baskerville" w:cs="Baskerville"/>
        </w:rPr>
        <w:t>developing specific outreach strategies for individuals with DD, other than ID, and their support community.</w:t>
      </w:r>
      <w:r w:rsidR="00A45796">
        <w:rPr>
          <w:rFonts w:ascii="Baskerville" w:hAnsi="Baskerville" w:cs="Baskerville"/>
        </w:rPr>
        <w:t xml:space="preserve"> </w:t>
      </w:r>
    </w:p>
    <w:p w:rsidR="00AA36BA" w:rsidRDefault="00AA36BA" w:rsidP="003518FC">
      <w:pPr>
        <w:tabs>
          <w:tab w:val="left" w:pos="1671"/>
        </w:tabs>
        <w:ind w:right="-216"/>
        <w:rPr>
          <w:rFonts w:ascii="Baskerville" w:hAnsi="Baskerville" w:cs="Baskerville"/>
        </w:rPr>
      </w:pPr>
    </w:p>
    <w:p w:rsidR="00A244E4" w:rsidRDefault="00E14F86" w:rsidP="003518FC">
      <w:pPr>
        <w:tabs>
          <w:tab w:val="left" w:pos="1671"/>
        </w:tabs>
        <w:ind w:right="-216"/>
        <w:rPr>
          <w:rFonts w:ascii="Baskerville" w:hAnsi="Baskerville" w:cs="Baskerville"/>
        </w:rPr>
      </w:pPr>
      <w:r>
        <w:rPr>
          <w:rFonts w:ascii="Baskerville" w:hAnsi="Baskerville" w:cs="Baskerville"/>
        </w:rPr>
        <w:t>The Commonwealth</w:t>
      </w:r>
      <w:r w:rsidR="00561875">
        <w:rPr>
          <w:rFonts w:ascii="Baskerville" w:hAnsi="Baskerville" w:cs="Baskerville"/>
        </w:rPr>
        <w:t>’s state agenc</w:t>
      </w:r>
      <w:r w:rsidR="00B654A9">
        <w:rPr>
          <w:rFonts w:ascii="Baskerville" w:hAnsi="Baskerville" w:cs="Baskerville"/>
        </w:rPr>
        <w:t>ies continue</w:t>
      </w:r>
      <w:r w:rsidR="00BF2EED">
        <w:rPr>
          <w:rFonts w:ascii="Baskerville" w:hAnsi="Baskerville" w:cs="Baskerville"/>
        </w:rPr>
        <w:t xml:space="preserve"> to work together to facilitate</w:t>
      </w:r>
      <w:r w:rsidR="0079557B">
        <w:rPr>
          <w:rFonts w:ascii="Baskerville" w:hAnsi="Baskerville" w:cs="Baskerville"/>
        </w:rPr>
        <w:t xml:space="preserve"> employment for individuals with disabilities.</w:t>
      </w:r>
      <w:r w:rsidR="00A61108">
        <w:rPr>
          <w:rFonts w:ascii="Baskerville" w:hAnsi="Baskerville" w:cs="Baskerville"/>
        </w:rPr>
        <w:t xml:space="preserve"> </w:t>
      </w:r>
      <w:r w:rsidR="00842260">
        <w:rPr>
          <w:rFonts w:ascii="Baskerville" w:hAnsi="Baskerville" w:cs="Baskerville"/>
        </w:rPr>
        <w:t>I</w:t>
      </w:r>
      <w:r w:rsidR="0090337C">
        <w:rPr>
          <w:rFonts w:ascii="Baskerville" w:hAnsi="Baskerville" w:cs="Baskerville"/>
        </w:rPr>
        <w:t>n northern Virginia</w:t>
      </w:r>
      <w:r w:rsidR="00842260">
        <w:rPr>
          <w:rFonts w:ascii="Baskerville" w:hAnsi="Baskerville" w:cs="Baskerville"/>
        </w:rPr>
        <w:t>,</w:t>
      </w:r>
      <w:r w:rsidR="0090337C">
        <w:rPr>
          <w:rFonts w:ascii="Baskerville" w:hAnsi="Baskerville" w:cs="Baskerville"/>
        </w:rPr>
        <w:t xml:space="preserve"> t</w:t>
      </w:r>
      <w:r w:rsidR="001465EB">
        <w:rPr>
          <w:rFonts w:ascii="Baskerville" w:hAnsi="Baskerville" w:cs="Baskerville"/>
        </w:rPr>
        <w:t>wo agencies provided training together</w:t>
      </w:r>
      <w:r w:rsidR="00C269BB">
        <w:rPr>
          <w:rFonts w:ascii="Baskerville" w:hAnsi="Baskerville" w:cs="Baskerville"/>
        </w:rPr>
        <w:t xml:space="preserve"> that </w:t>
      </w:r>
      <w:r w:rsidR="001465EB">
        <w:rPr>
          <w:rFonts w:ascii="Baskerville" w:hAnsi="Baskerville" w:cs="Baskerville"/>
        </w:rPr>
        <w:t xml:space="preserve">focused on the </w:t>
      </w:r>
      <w:r w:rsidR="004412E2">
        <w:rPr>
          <w:rFonts w:ascii="Baskerville" w:hAnsi="Baskerville" w:cs="Baskerville"/>
        </w:rPr>
        <w:t xml:space="preserve">employment </w:t>
      </w:r>
      <w:r w:rsidR="001465EB">
        <w:rPr>
          <w:rFonts w:ascii="Baskerville" w:hAnsi="Baskerville" w:cs="Baskerville"/>
        </w:rPr>
        <w:t>needs</w:t>
      </w:r>
      <w:r w:rsidR="004412E2">
        <w:rPr>
          <w:rFonts w:ascii="Baskerville" w:hAnsi="Baskerville" w:cs="Baskerville"/>
        </w:rPr>
        <w:t xml:space="preserve"> of individuals transitioning from Training Centers to live in the community.</w:t>
      </w:r>
      <w:r w:rsidR="00236F99">
        <w:rPr>
          <w:rFonts w:ascii="Baskerville" w:hAnsi="Baskerville" w:cs="Baskerville"/>
        </w:rPr>
        <w:t xml:space="preserve"> </w:t>
      </w:r>
    </w:p>
    <w:p w:rsidR="00EA2E0F" w:rsidRDefault="00EA2E0F" w:rsidP="003518FC">
      <w:pPr>
        <w:tabs>
          <w:tab w:val="left" w:pos="1671"/>
        </w:tabs>
        <w:ind w:right="-216"/>
        <w:rPr>
          <w:rFonts w:ascii="Baskerville" w:hAnsi="Baskerville" w:cs="Baskerville"/>
        </w:rPr>
      </w:pPr>
    </w:p>
    <w:p w:rsidR="004D0225" w:rsidRDefault="00C269BB" w:rsidP="003518FC">
      <w:pPr>
        <w:tabs>
          <w:tab w:val="left" w:pos="1671"/>
        </w:tabs>
        <w:ind w:right="-216"/>
        <w:rPr>
          <w:rFonts w:ascii="Baskerville" w:hAnsi="Baskerville" w:cs="Baskerville"/>
        </w:rPr>
      </w:pPr>
      <w:r>
        <w:rPr>
          <w:rFonts w:ascii="Baskerville" w:hAnsi="Baskerville" w:cs="Baskerville"/>
        </w:rPr>
        <w:t xml:space="preserve">The Commonwealth </w:t>
      </w:r>
      <w:r w:rsidR="004D0225">
        <w:rPr>
          <w:rFonts w:ascii="Baskerville" w:hAnsi="Baskerville" w:cs="Baskerville"/>
        </w:rPr>
        <w:t xml:space="preserve">reported in its biannual report through the second quarter of FY 2015 that 805 individuals were being served in prevocational services. Its report indicated that 785 of these individuals had continued in these services from the previous reporting period. </w:t>
      </w:r>
    </w:p>
    <w:p w:rsidR="004D0225" w:rsidRDefault="004D0225" w:rsidP="003518FC">
      <w:pPr>
        <w:tabs>
          <w:tab w:val="left" w:pos="1671"/>
        </w:tabs>
        <w:ind w:right="-216"/>
        <w:rPr>
          <w:rFonts w:ascii="Baskerville" w:hAnsi="Baskerville" w:cs="Baskerville"/>
        </w:rPr>
      </w:pPr>
    </w:p>
    <w:p w:rsidR="00B12A80" w:rsidRDefault="004D0225" w:rsidP="00B12A80">
      <w:r>
        <w:rPr>
          <w:rFonts w:ascii="Baskerville" w:hAnsi="Baskerville" w:cs="Baskerville"/>
        </w:rPr>
        <w:t xml:space="preserve">The Commonwealth </w:t>
      </w:r>
      <w:r w:rsidR="000678CD">
        <w:rPr>
          <w:rFonts w:ascii="Baskerville" w:hAnsi="Baskerville" w:cs="Baskerville"/>
        </w:rPr>
        <w:t>recognized previously that the</w:t>
      </w:r>
      <w:r w:rsidR="001C4AA7">
        <w:rPr>
          <w:rFonts w:ascii="Baskerville" w:hAnsi="Baskerville" w:cs="Baskerville"/>
        </w:rPr>
        <w:t xml:space="preserve"> </w:t>
      </w:r>
      <w:r w:rsidR="009918B1">
        <w:rPr>
          <w:rFonts w:ascii="Baskerville" w:hAnsi="Baskerville" w:cs="Baskerville"/>
        </w:rPr>
        <w:t>employment data</w:t>
      </w:r>
      <w:r>
        <w:rPr>
          <w:rFonts w:ascii="Baskerville" w:hAnsi="Baskerville" w:cs="Baskerville"/>
        </w:rPr>
        <w:t xml:space="preserve"> that</w:t>
      </w:r>
      <w:r w:rsidR="009918B1">
        <w:rPr>
          <w:rFonts w:ascii="Baskerville" w:hAnsi="Baskerville" w:cs="Baskerville"/>
        </w:rPr>
        <w:t xml:space="preserve"> </w:t>
      </w:r>
      <w:r w:rsidR="00BE03EA">
        <w:rPr>
          <w:rFonts w:ascii="Baskerville" w:hAnsi="Baskerville" w:cs="Baskerville"/>
        </w:rPr>
        <w:t xml:space="preserve">it compiled in the </w:t>
      </w:r>
      <w:r w:rsidR="009918B1">
        <w:rPr>
          <w:rFonts w:ascii="Baskerville" w:hAnsi="Baskerville" w:cs="Baskerville"/>
        </w:rPr>
        <w:t>past</w:t>
      </w:r>
      <w:r w:rsidR="00646191">
        <w:rPr>
          <w:rFonts w:ascii="Baskerville" w:hAnsi="Baskerville" w:cs="Baskerville"/>
        </w:rPr>
        <w:t xml:space="preserve"> did not align with the requi</w:t>
      </w:r>
      <w:r w:rsidR="00F95BF4">
        <w:rPr>
          <w:rFonts w:ascii="Baskerville" w:hAnsi="Baskerville" w:cs="Baskerville"/>
        </w:rPr>
        <w:t>rements of the Agreement and were</w:t>
      </w:r>
      <w:r w:rsidR="00646191">
        <w:rPr>
          <w:rFonts w:ascii="Baskerville" w:hAnsi="Baskerville" w:cs="Baskerville"/>
        </w:rPr>
        <w:t xml:space="preserve"> incomplete</w:t>
      </w:r>
      <w:r w:rsidR="00BE03EA">
        <w:rPr>
          <w:rFonts w:ascii="Baskerville" w:hAnsi="Baskerville" w:cs="Baskerville"/>
        </w:rPr>
        <w:t xml:space="preserve">. After exploring alternatives, </w:t>
      </w:r>
      <w:r w:rsidR="009918B1">
        <w:rPr>
          <w:rFonts w:ascii="Baskerville" w:hAnsi="Baskerville" w:cs="Baskerville"/>
        </w:rPr>
        <w:t>t</w:t>
      </w:r>
      <w:r w:rsidR="00BE03EA">
        <w:rPr>
          <w:rFonts w:ascii="Baskerville" w:hAnsi="Baskerville" w:cs="Baskerville"/>
        </w:rPr>
        <w:t>he Commonwealth decided to change</w:t>
      </w:r>
      <w:r w:rsidR="001C4AA7">
        <w:rPr>
          <w:rFonts w:ascii="Baskerville" w:hAnsi="Baskerville" w:cs="Baskerville"/>
        </w:rPr>
        <w:t xml:space="preserve"> its sour</w:t>
      </w:r>
      <w:r w:rsidR="009918B1">
        <w:rPr>
          <w:rFonts w:ascii="Baskerville" w:hAnsi="Baskerville" w:cs="Baskerville"/>
        </w:rPr>
        <w:t>ce for the data</w:t>
      </w:r>
      <w:r w:rsidR="003624CF">
        <w:rPr>
          <w:rFonts w:ascii="Baskerville" w:hAnsi="Baskerville" w:cs="Baskerville"/>
        </w:rPr>
        <w:t xml:space="preserve"> and to </w:t>
      </w:r>
      <w:r w:rsidR="00E3374C">
        <w:rPr>
          <w:rFonts w:ascii="Baskerville" w:hAnsi="Baskerville" w:cs="Baskerville"/>
        </w:rPr>
        <w:t>collect data about a significantly increased number of individuals.</w:t>
      </w:r>
      <w:r w:rsidR="00F974FC" w:rsidRPr="00F974FC">
        <w:rPr>
          <w:rFonts w:ascii="Baskerville" w:hAnsi="Baskerville" w:cs="Baskerville"/>
        </w:rPr>
        <w:t xml:space="preserve"> </w:t>
      </w:r>
      <w:r w:rsidR="00F974FC">
        <w:rPr>
          <w:rFonts w:ascii="Baskerville" w:hAnsi="Baskerville" w:cs="Baskerville"/>
        </w:rPr>
        <w:t>It is the IR’s opinion that both decisions were very positive.</w:t>
      </w:r>
      <w:r w:rsidR="00E3374C">
        <w:rPr>
          <w:rFonts w:ascii="Baskerville" w:hAnsi="Baskerville" w:cs="Baskerville"/>
        </w:rPr>
        <w:t xml:space="preserve"> The new data set</w:t>
      </w:r>
      <w:r w:rsidR="003624CF">
        <w:rPr>
          <w:rFonts w:ascii="Baskerville" w:hAnsi="Baskerville" w:cs="Baskerville"/>
        </w:rPr>
        <w:t xml:space="preserve"> include</w:t>
      </w:r>
      <w:r w:rsidR="00654E03">
        <w:rPr>
          <w:rFonts w:ascii="Baskerville" w:hAnsi="Baskerville" w:cs="Baskerville"/>
        </w:rPr>
        <w:t>s information about</w:t>
      </w:r>
      <w:r w:rsidR="003624CF">
        <w:rPr>
          <w:rFonts w:ascii="Baskerville" w:hAnsi="Baskerville" w:cs="Baskerville"/>
        </w:rPr>
        <w:t xml:space="preserve"> all individuals with ID and DD, </w:t>
      </w:r>
      <w:r w:rsidR="00F974FC">
        <w:rPr>
          <w:rFonts w:ascii="Baskerville" w:hAnsi="Baskerville" w:cs="Baskerville"/>
        </w:rPr>
        <w:t xml:space="preserve">including those whose services are temporarily funded by Virginia’s Department of Rehabilitative and Aging Services (DARS), rather than </w:t>
      </w:r>
      <w:r w:rsidR="000E2A68">
        <w:rPr>
          <w:rFonts w:ascii="Baskerville" w:hAnsi="Baskerville" w:cs="Baskerville"/>
        </w:rPr>
        <w:t>about individuals who receive</w:t>
      </w:r>
      <w:r w:rsidR="003624CF">
        <w:rPr>
          <w:rFonts w:ascii="Baskerville" w:hAnsi="Baskerville" w:cs="Baskerville"/>
        </w:rPr>
        <w:t xml:space="preserve"> </w:t>
      </w:r>
      <w:r w:rsidR="000E2A68">
        <w:rPr>
          <w:rFonts w:ascii="Baskerville" w:hAnsi="Baskerville" w:cs="Baskerville"/>
        </w:rPr>
        <w:t xml:space="preserve">employment supports </w:t>
      </w:r>
      <w:r w:rsidR="00F974FC">
        <w:rPr>
          <w:rFonts w:ascii="Baskerville" w:hAnsi="Baskerville" w:cs="Baskerville"/>
        </w:rPr>
        <w:t xml:space="preserve">only </w:t>
      </w:r>
      <w:r w:rsidR="000E2A68">
        <w:rPr>
          <w:rFonts w:ascii="Baskerville" w:hAnsi="Baskerville" w:cs="Baskerville"/>
        </w:rPr>
        <w:t>through the Commonwealth’s</w:t>
      </w:r>
      <w:r w:rsidR="00654E03">
        <w:rPr>
          <w:rFonts w:ascii="Baskerville" w:hAnsi="Baskerville" w:cs="Baskerville"/>
        </w:rPr>
        <w:t xml:space="preserve"> </w:t>
      </w:r>
      <w:r w:rsidR="003624CF">
        <w:rPr>
          <w:rFonts w:ascii="Baskerville" w:hAnsi="Baskerville" w:cs="Baskerville"/>
        </w:rPr>
        <w:t>HCBS waiver</w:t>
      </w:r>
      <w:r w:rsidR="000E2A68">
        <w:rPr>
          <w:rFonts w:ascii="Baskerville" w:hAnsi="Baskerville" w:cs="Baskerville"/>
        </w:rPr>
        <w:t>s</w:t>
      </w:r>
      <w:r w:rsidR="00A03829">
        <w:rPr>
          <w:rFonts w:ascii="Baskerville" w:hAnsi="Baskerville" w:cs="Baskerville"/>
        </w:rPr>
        <w:t>.</w:t>
      </w:r>
      <w:r w:rsidR="00B12A80" w:rsidRPr="00B12A80">
        <w:t xml:space="preserve"> </w:t>
      </w:r>
    </w:p>
    <w:p w:rsidR="00B12A80" w:rsidRDefault="00B12A80" w:rsidP="00B12A80"/>
    <w:p w:rsidR="00B12A80" w:rsidRPr="00EE1FBB" w:rsidRDefault="00B12A80" w:rsidP="00B12A80">
      <w:pPr>
        <w:rPr>
          <w:rFonts w:ascii="Baskerville" w:hAnsi="Baskerville" w:cs="Baskerville"/>
        </w:rPr>
      </w:pPr>
      <w:r w:rsidRPr="00EE1FBB">
        <w:rPr>
          <w:rFonts w:ascii="Baskerville" w:hAnsi="Baskerville" w:cs="Baskerville"/>
        </w:rPr>
        <w:t>DBHDS now has data for 1650 individuals with ID and 254 individuals with DD as a result of its new approach. Wage information was provided for 1332 (80%) of the 1650 individuals with ID and for 148(61%). of the 254 individuals with DD. The data portrays the following about the wages for these individuals:</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840 individuals with ID (63%) are paid minimum wage or above</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116 individuals with DD (78%) are paid minimum wage or above</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The average wage for ID individuals is $5.85</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The average wage for individuals with DD is $6.60</w:t>
      </w:r>
    </w:p>
    <w:p w:rsidR="00B12A80" w:rsidRPr="00EE1FBB" w:rsidRDefault="00B12A80" w:rsidP="00B12A80">
      <w:pPr>
        <w:rPr>
          <w:rFonts w:ascii="Baskerville" w:hAnsi="Baskerville" w:cs="Baskerville"/>
        </w:rPr>
      </w:pPr>
      <w:r w:rsidRPr="00EE1FBB">
        <w:rPr>
          <w:rFonts w:ascii="Baskerville" w:hAnsi="Baskerville" w:cs="Baskerville"/>
        </w:rPr>
        <w:t>Subsequent to the DBHDS Semi-Annual Report on Employment the SELN Data Sub-Committee did further analysis. This analysis indicates that:</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440C8C">
        <w:rPr>
          <w:rFonts w:ascii="Baskerville" w:hAnsi="Baskerville" w:cs="Baskerville"/>
        </w:rPr>
        <w:t xml:space="preserve">490 individuals </w:t>
      </w:r>
      <w:r w:rsidR="00B12A80" w:rsidRPr="00EE1FBB">
        <w:rPr>
          <w:rFonts w:ascii="Baskerville" w:hAnsi="Baskerville" w:cs="Baskerville"/>
        </w:rPr>
        <w:t>with ID earn less than the minimum wage ($2.48 average)</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1160 individual with ID earn minimum wage or more ($9.19 average)</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32 individuals with DD earn less than minimum wage ($3.82 average</w:t>
      </w:r>
    </w:p>
    <w:p w:rsidR="00B12A80" w:rsidRPr="00EE1FBB" w:rsidRDefault="00EE1FBB" w:rsidP="00EE1FBB">
      <w:pPr>
        <w:spacing w:after="200"/>
        <w:rPr>
          <w:rFonts w:ascii="Baskerville" w:hAnsi="Baskerville" w:cs="Baskerville"/>
        </w:rPr>
      </w:pPr>
      <w:r>
        <w:rPr>
          <w:rFonts w:ascii="Wingdings" w:hAnsi="Wingdings"/>
          <w:color w:val="000000"/>
        </w:rPr>
        <w:t></w:t>
      </w:r>
      <w:r w:rsidRPr="00773952">
        <w:rPr>
          <w:rFonts w:ascii="Wingdings" w:hAnsi="Wingdings"/>
          <w:color w:val="000000"/>
        </w:rPr>
        <w:t></w:t>
      </w:r>
      <w:r>
        <w:rPr>
          <w:rFonts w:ascii="Wingdings" w:hAnsi="Wingdings"/>
          <w:color w:val="000000"/>
        </w:rPr>
        <w:t></w:t>
      </w:r>
      <w:r w:rsidRPr="00872254">
        <w:rPr>
          <w:rFonts w:ascii="Baskerville" w:hAnsi="Baskerville" w:cs="Baskerville"/>
        </w:rPr>
        <w:t xml:space="preserve"> </w:t>
      </w:r>
      <w:r w:rsidR="00B12A80" w:rsidRPr="00EE1FBB">
        <w:rPr>
          <w:rFonts w:ascii="Baskerville" w:hAnsi="Baskerville" w:cs="Baskerville"/>
        </w:rPr>
        <w:t>222 individuals with DD earn minimum wage or more ($8.42 average)</w:t>
      </w:r>
    </w:p>
    <w:p w:rsidR="00D843CA" w:rsidRDefault="00A03829" w:rsidP="003518FC">
      <w:pPr>
        <w:tabs>
          <w:tab w:val="left" w:pos="1671"/>
        </w:tabs>
        <w:ind w:right="-216"/>
        <w:rPr>
          <w:rFonts w:ascii="Baskerville" w:hAnsi="Baskerville" w:cs="Baskerville"/>
        </w:rPr>
      </w:pPr>
      <w:r>
        <w:rPr>
          <w:rFonts w:ascii="Baskerville" w:hAnsi="Baskerville" w:cs="Baskerville"/>
        </w:rPr>
        <w:t xml:space="preserve"> The Commonwealth</w:t>
      </w:r>
      <w:r w:rsidR="00D6232B">
        <w:rPr>
          <w:rFonts w:ascii="Baskerville" w:hAnsi="Baskerville" w:cs="Baskerville"/>
        </w:rPr>
        <w:t xml:space="preserve"> </w:t>
      </w:r>
      <w:r w:rsidR="00147F21">
        <w:rPr>
          <w:rFonts w:ascii="Baskerville" w:hAnsi="Baskerville" w:cs="Baskerville"/>
        </w:rPr>
        <w:t xml:space="preserve">initially </w:t>
      </w:r>
      <w:r w:rsidR="00D6232B">
        <w:rPr>
          <w:rFonts w:ascii="Baskerville" w:hAnsi="Baskerville" w:cs="Baskerville"/>
        </w:rPr>
        <w:t>completed a</w:t>
      </w:r>
      <w:r w:rsidR="0031424C">
        <w:rPr>
          <w:rFonts w:ascii="Baskerville" w:hAnsi="Baskerville" w:cs="Baskerville"/>
        </w:rPr>
        <w:t xml:space="preserve"> pilot </w:t>
      </w:r>
      <w:r w:rsidR="00147F21">
        <w:rPr>
          <w:rFonts w:ascii="Baskerville" w:hAnsi="Baskerville" w:cs="Baskerville"/>
        </w:rPr>
        <w:t xml:space="preserve">study </w:t>
      </w:r>
      <w:r>
        <w:rPr>
          <w:rFonts w:ascii="Baskerville" w:hAnsi="Baskerville" w:cs="Baskerville"/>
        </w:rPr>
        <w:t xml:space="preserve">with four </w:t>
      </w:r>
      <w:r w:rsidR="00D50BBC">
        <w:rPr>
          <w:rFonts w:ascii="Baskerville" w:hAnsi="Baskerville" w:cs="Baskerville"/>
        </w:rPr>
        <w:t>Employment Service Organi</w:t>
      </w:r>
      <w:r w:rsidR="003B731D">
        <w:rPr>
          <w:rFonts w:ascii="Baskerville" w:hAnsi="Baskerville" w:cs="Baskerville"/>
        </w:rPr>
        <w:t xml:space="preserve">zations (ESOs).  This </w:t>
      </w:r>
      <w:r w:rsidR="00D50BBC">
        <w:rPr>
          <w:rFonts w:ascii="Baskerville" w:hAnsi="Baskerville" w:cs="Baskerville"/>
        </w:rPr>
        <w:t xml:space="preserve">study </w:t>
      </w:r>
      <w:r w:rsidR="0031424C">
        <w:rPr>
          <w:rFonts w:ascii="Baskerville" w:hAnsi="Baskerville" w:cs="Baskerville"/>
        </w:rPr>
        <w:t>confirmed the advantages of c</w:t>
      </w:r>
      <w:r w:rsidR="00D50BBC">
        <w:rPr>
          <w:rFonts w:ascii="Baskerville" w:hAnsi="Baskerville" w:cs="Baskerville"/>
        </w:rPr>
        <w:t>o</w:t>
      </w:r>
      <w:r w:rsidR="00F95BF4">
        <w:rPr>
          <w:rFonts w:ascii="Baskerville" w:hAnsi="Baskerville" w:cs="Baskerville"/>
        </w:rPr>
        <w:t>llecting data directly from ESO</w:t>
      </w:r>
      <w:r w:rsidR="00D50BBC">
        <w:rPr>
          <w:rFonts w:ascii="Baskerville" w:hAnsi="Baskerville" w:cs="Baskerville"/>
        </w:rPr>
        <w:t>s</w:t>
      </w:r>
      <w:r w:rsidR="0026070F">
        <w:rPr>
          <w:rFonts w:ascii="Baskerville" w:hAnsi="Baskerville" w:cs="Baskerville"/>
        </w:rPr>
        <w:t xml:space="preserve">. </w:t>
      </w:r>
      <w:r w:rsidR="000C5CDA">
        <w:rPr>
          <w:rFonts w:ascii="Baskerville" w:hAnsi="Baskerville" w:cs="Baskerville"/>
        </w:rPr>
        <w:t xml:space="preserve">DBHDS then completed its </w:t>
      </w:r>
      <w:r w:rsidR="00F81568">
        <w:rPr>
          <w:rFonts w:ascii="Baskerville" w:hAnsi="Baskerville" w:cs="Baskerville"/>
        </w:rPr>
        <w:t xml:space="preserve">first </w:t>
      </w:r>
      <w:r w:rsidR="000C5CDA">
        <w:rPr>
          <w:rFonts w:ascii="Baskerville" w:hAnsi="Baskerville" w:cs="Baskerville"/>
        </w:rPr>
        <w:t>full survey</w:t>
      </w:r>
      <w:r w:rsidR="00364639">
        <w:rPr>
          <w:rFonts w:ascii="Baskerville" w:hAnsi="Baskerville" w:cs="Baskerville"/>
        </w:rPr>
        <w:t xml:space="preserve">. </w:t>
      </w:r>
      <w:r w:rsidR="00EE61FC">
        <w:rPr>
          <w:rFonts w:ascii="Baskerville" w:hAnsi="Baskerville" w:cs="Baskerville"/>
        </w:rPr>
        <w:t xml:space="preserve"> The data ga</w:t>
      </w:r>
      <w:r w:rsidR="0077665E">
        <w:rPr>
          <w:rFonts w:ascii="Baskerville" w:hAnsi="Baskerville" w:cs="Baskerville"/>
        </w:rPr>
        <w:t xml:space="preserve">thered </w:t>
      </w:r>
      <w:r w:rsidR="0029755D">
        <w:rPr>
          <w:rFonts w:ascii="Baskerville" w:hAnsi="Baskerville" w:cs="Baskerville"/>
        </w:rPr>
        <w:t xml:space="preserve">during this review period </w:t>
      </w:r>
      <w:r w:rsidR="0077665E">
        <w:rPr>
          <w:rFonts w:ascii="Baskerville" w:hAnsi="Baskerville" w:cs="Baskerville"/>
        </w:rPr>
        <w:t>now aligns</w:t>
      </w:r>
      <w:r w:rsidR="00EE61FC">
        <w:rPr>
          <w:rFonts w:ascii="Baskerville" w:hAnsi="Baskerville" w:cs="Baskerville"/>
        </w:rPr>
        <w:t xml:space="preserve"> with the requirements of the Agreement</w:t>
      </w:r>
      <w:r w:rsidR="00B3587F">
        <w:rPr>
          <w:rFonts w:ascii="Baskerville" w:hAnsi="Baskerville" w:cs="Baskerville"/>
        </w:rPr>
        <w:t>.</w:t>
      </w:r>
      <w:r w:rsidR="008B0C3B">
        <w:rPr>
          <w:rFonts w:ascii="Baskerville" w:hAnsi="Baskerville" w:cs="Baskerville"/>
        </w:rPr>
        <w:t xml:space="preserve"> </w:t>
      </w:r>
      <w:r w:rsidR="00A83F1C">
        <w:rPr>
          <w:rFonts w:ascii="Baskerville" w:hAnsi="Baskerville" w:cs="Baskerville"/>
        </w:rPr>
        <w:t xml:space="preserve"> The survey response rate, howeve</w:t>
      </w:r>
      <w:r w:rsidR="0029755D">
        <w:rPr>
          <w:rFonts w:ascii="Baskerville" w:hAnsi="Baskerville" w:cs="Baskerville"/>
        </w:rPr>
        <w:t>r, wa</w:t>
      </w:r>
      <w:r w:rsidR="00A83F1C">
        <w:rPr>
          <w:rFonts w:ascii="Baskerville" w:hAnsi="Baskerville" w:cs="Baskerville"/>
        </w:rPr>
        <w:t>s not adequate to determine the number of indiv</w:t>
      </w:r>
      <w:r w:rsidR="00D15063">
        <w:rPr>
          <w:rFonts w:ascii="Baskerville" w:hAnsi="Baskerville" w:cs="Baskerville"/>
        </w:rPr>
        <w:t>i</w:t>
      </w:r>
      <w:r w:rsidR="00A83F1C">
        <w:rPr>
          <w:rFonts w:ascii="Baskerville" w:hAnsi="Baskerville" w:cs="Baskerville"/>
        </w:rPr>
        <w:t xml:space="preserve">duals </w:t>
      </w:r>
      <w:r w:rsidR="00D15063">
        <w:rPr>
          <w:rFonts w:ascii="Baskerville" w:hAnsi="Baskerville" w:cs="Baskerville"/>
        </w:rPr>
        <w:t>employed, the hours worke</w:t>
      </w:r>
      <w:r w:rsidR="00960D75">
        <w:rPr>
          <w:rFonts w:ascii="Baskerville" w:hAnsi="Baskerville" w:cs="Baskerville"/>
        </w:rPr>
        <w:t>d, the length of time, or earnings</w:t>
      </w:r>
      <w:r w:rsidR="0029755D">
        <w:rPr>
          <w:rFonts w:ascii="Baskerville" w:hAnsi="Baskerville" w:cs="Baskerville"/>
        </w:rPr>
        <w:t>, all of which the Agreement requires</w:t>
      </w:r>
      <w:r w:rsidR="00960D75">
        <w:rPr>
          <w:rFonts w:ascii="Baskerville" w:hAnsi="Baskerville" w:cs="Baskerville"/>
        </w:rPr>
        <w:t>.</w:t>
      </w:r>
      <w:r w:rsidR="00D15063">
        <w:rPr>
          <w:rFonts w:ascii="Baskerville" w:hAnsi="Baskerville" w:cs="Baskerville"/>
        </w:rPr>
        <w:t xml:space="preserve"> </w:t>
      </w:r>
      <w:r w:rsidR="00960D75">
        <w:rPr>
          <w:rFonts w:ascii="Baskerville" w:hAnsi="Baskerville" w:cs="Baskerville"/>
        </w:rPr>
        <w:t>O</w:t>
      </w:r>
      <w:r w:rsidR="00B332EA">
        <w:rPr>
          <w:rFonts w:ascii="Baskerville" w:hAnsi="Baskerville" w:cs="Baskerville"/>
        </w:rPr>
        <w:t>nly 44% of ESO</w:t>
      </w:r>
      <w:r w:rsidR="00E356E7">
        <w:rPr>
          <w:rFonts w:ascii="Baskerville" w:hAnsi="Baskerville" w:cs="Baskerville"/>
        </w:rPr>
        <w:t>s</w:t>
      </w:r>
      <w:r w:rsidR="00B332EA">
        <w:rPr>
          <w:rFonts w:ascii="Baskerville" w:hAnsi="Baskerville" w:cs="Baskerville"/>
        </w:rPr>
        <w:t xml:space="preserve"> provided the requested data</w:t>
      </w:r>
      <w:r w:rsidR="00711376">
        <w:rPr>
          <w:rFonts w:ascii="Baskerville" w:hAnsi="Baskerville" w:cs="Baskerville"/>
        </w:rPr>
        <w:t>. DBHDS estimates that the</w:t>
      </w:r>
      <w:r w:rsidR="00960D75">
        <w:rPr>
          <w:rFonts w:ascii="Baskerville" w:hAnsi="Baskerville" w:cs="Baskerville"/>
        </w:rPr>
        <w:t>se</w:t>
      </w:r>
      <w:r w:rsidR="00C34D47">
        <w:rPr>
          <w:rFonts w:ascii="Baskerville" w:hAnsi="Baskerville" w:cs="Baskerville"/>
        </w:rPr>
        <w:t xml:space="preserve"> providers may serve </w:t>
      </w:r>
      <w:r w:rsidR="00711376">
        <w:rPr>
          <w:rFonts w:ascii="Baskerville" w:hAnsi="Baskerville" w:cs="Baskerville"/>
        </w:rPr>
        <w:t xml:space="preserve">70% of the individuals. </w:t>
      </w:r>
      <w:r w:rsidR="001323BC">
        <w:rPr>
          <w:rFonts w:ascii="Baskerville" w:hAnsi="Baskerville" w:cs="Baskerville"/>
        </w:rPr>
        <w:t>The new data</w:t>
      </w:r>
      <w:r w:rsidR="003B731D">
        <w:rPr>
          <w:rFonts w:ascii="Baskerville" w:hAnsi="Baskerville" w:cs="Baskerville"/>
        </w:rPr>
        <w:t xml:space="preserve"> set</w:t>
      </w:r>
      <w:r w:rsidR="001323BC">
        <w:rPr>
          <w:rFonts w:ascii="Baskerville" w:hAnsi="Baskerville" w:cs="Baskerville"/>
        </w:rPr>
        <w:t xml:space="preserve">, therefore, cannot be compared to </w:t>
      </w:r>
      <w:r w:rsidR="003B731D">
        <w:rPr>
          <w:rFonts w:ascii="Baskerville" w:hAnsi="Baskerville" w:cs="Baskerville"/>
        </w:rPr>
        <w:t xml:space="preserve">the old </w:t>
      </w:r>
      <w:r w:rsidR="00822A64">
        <w:rPr>
          <w:rFonts w:ascii="Baskerville" w:hAnsi="Baskerville" w:cs="Baskerville"/>
        </w:rPr>
        <w:t>data set that was used in the</w:t>
      </w:r>
      <w:r w:rsidR="00D4565D">
        <w:rPr>
          <w:rFonts w:ascii="Baskerville" w:hAnsi="Baskerville" w:cs="Baskerville"/>
        </w:rPr>
        <w:t xml:space="preserve"> </w:t>
      </w:r>
      <w:r w:rsidR="001323BC">
        <w:rPr>
          <w:rFonts w:ascii="Baskerville" w:hAnsi="Baskerville" w:cs="Baskerville"/>
        </w:rPr>
        <w:t>previous reports</w:t>
      </w:r>
      <w:r w:rsidR="00D4565D">
        <w:rPr>
          <w:rFonts w:ascii="Baskerville" w:hAnsi="Baskerville" w:cs="Baskerville"/>
        </w:rPr>
        <w:t>. As a result, t</w:t>
      </w:r>
      <w:r w:rsidR="00EC0058">
        <w:rPr>
          <w:rFonts w:ascii="Baskerville" w:hAnsi="Baskerville" w:cs="Baskerville"/>
        </w:rPr>
        <w:t xml:space="preserve">he Commonwealth is not able to report on </w:t>
      </w:r>
      <w:r w:rsidR="00C26AD5">
        <w:rPr>
          <w:rFonts w:ascii="Baskerville" w:hAnsi="Baskerville" w:cs="Baskerville"/>
        </w:rPr>
        <w:t>progress, which would be</w:t>
      </w:r>
      <w:r w:rsidR="00D4565D">
        <w:rPr>
          <w:rFonts w:ascii="Baskerville" w:hAnsi="Baskerville" w:cs="Baskerville"/>
        </w:rPr>
        <w:t xml:space="preserve"> determined by comparing two </w:t>
      </w:r>
      <w:r w:rsidR="00C26AD5">
        <w:rPr>
          <w:rFonts w:ascii="Baskerville" w:hAnsi="Baskerville" w:cs="Baskerville"/>
        </w:rPr>
        <w:t xml:space="preserve">similar </w:t>
      </w:r>
      <w:r w:rsidR="00D4565D">
        <w:rPr>
          <w:rFonts w:ascii="Baskerville" w:hAnsi="Baskerville" w:cs="Baskerville"/>
        </w:rPr>
        <w:t>sets of data</w:t>
      </w:r>
      <w:r w:rsidR="0060022B">
        <w:rPr>
          <w:rFonts w:ascii="Baskerville" w:hAnsi="Baskerville" w:cs="Baskerville"/>
        </w:rPr>
        <w:t xml:space="preserve">. For example, </w:t>
      </w:r>
      <w:r w:rsidR="001C5096">
        <w:rPr>
          <w:rFonts w:ascii="Baskerville" w:hAnsi="Baskerville" w:cs="Baskerville"/>
        </w:rPr>
        <w:t xml:space="preserve">because </w:t>
      </w:r>
      <w:r w:rsidR="00D843CA">
        <w:rPr>
          <w:rFonts w:ascii="Baskerville" w:hAnsi="Baskerville" w:cs="Baskerville"/>
        </w:rPr>
        <w:t xml:space="preserve">the </w:t>
      </w:r>
      <w:r w:rsidR="00122777">
        <w:rPr>
          <w:rFonts w:ascii="Baskerville" w:hAnsi="Baskerville" w:cs="Baskerville"/>
        </w:rPr>
        <w:t xml:space="preserve">cohorts </w:t>
      </w:r>
      <w:r w:rsidR="00C26AD5">
        <w:rPr>
          <w:rFonts w:ascii="Baskerville" w:hAnsi="Baskerville" w:cs="Baskerville"/>
        </w:rPr>
        <w:t xml:space="preserve">of individuals </w:t>
      </w:r>
      <w:r w:rsidR="00122777">
        <w:rPr>
          <w:rFonts w:ascii="Baskerville" w:hAnsi="Baskerville" w:cs="Baskerville"/>
        </w:rPr>
        <w:t>are now</w:t>
      </w:r>
      <w:r w:rsidR="00A87417">
        <w:rPr>
          <w:rFonts w:ascii="Baskerville" w:hAnsi="Baskerville" w:cs="Baskerville"/>
        </w:rPr>
        <w:t xml:space="preserve"> defined differently</w:t>
      </w:r>
      <w:r w:rsidR="003C6AAB">
        <w:rPr>
          <w:rFonts w:ascii="Baskerville" w:hAnsi="Baskerville" w:cs="Baskerville"/>
        </w:rPr>
        <w:t xml:space="preserve">, </w:t>
      </w:r>
      <w:r w:rsidR="00122777">
        <w:rPr>
          <w:rFonts w:ascii="Baskerville" w:hAnsi="Baskerville" w:cs="Baskerville"/>
        </w:rPr>
        <w:t xml:space="preserve">the </w:t>
      </w:r>
      <w:r w:rsidR="00D843CA">
        <w:rPr>
          <w:rFonts w:ascii="Baskerville" w:hAnsi="Baskerville" w:cs="Baskerville"/>
        </w:rPr>
        <w:t xml:space="preserve">Commonwealth is not able to report the change in the number of individuals who </w:t>
      </w:r>
      <w:r w:rsidR="00DB658F">
        <w:rPr>
          <w:rFonts w:ascii="Baskerville" w:hAnsi="Baskerville" w:cs="Baskerville"/>
        </w:rPr>
        <w:t>enrolled or remained in individua</w:t>
      </w:r>
      <w:r w:rsidR="00004A44">
        <w:rPr>
          <w:rFonts w:ascii="Baskerville" w:hAnsi="Baskerville" w:cs="Baskerville"/>
        </w:rPr>
        <w:t>l or group supported employment. The Commonwealth is not able to</w:t>
      </w:r>
      <w:r w:rsidR="003A4850">
        <w:rPr>
          <w:rFonts w:ascii="Baskerville" w:hAnsi="Baskerville" w:cs="Baskerville"/>
        </w:rPr>
        <w:t xml:space="preserve"> determine if progress has been made toward achieving </w:t>
      </w:r>
      <w:r w:rsidR="00122777">
        <w:rPr>
          <w:rFonts w:ascii="Baskerville" w:hAnsi="Baskerville" w:cs="Baskerville"/>
        </w:rPr>
        <w:t>its employment targets</w:t>
      </w:r>
      <w:r w:rsidR="0077749F">
        <w:rPr>
          <w:rFonts w:ascii="Baskerville" w:hAnsi="Baskerville" w:cs="Baskerville"/>
        </w:rPr>
        <w:t xml:space="preserve">. </w:t>
      </w:r>
      <w:r w:rsidR="00191755">
        <w:rPr>
          <w:rFonts w:ascii="Baskerville" w:hAnsi="Baskerville" w:cs="Baskerville"/>
        </w:rPr>
        <w:t xml:space="preserve">During the next review period, </w:t>
      </w:r>
      <w:r w:rsidR="0077749F">
        <w:rPr>
          <w:rFonts w:ascii="Baskerville" w:hAnsi="Baskerville" w:cs="Baskerville"/>
        </w:rPr>
        <w:t xml:space="preserve">DBHDS plans to revise its </w:t>
      </w:r>
      <w:r w:rsidR="00191755">
        <w:rPr>
          <w:rFonts w:ascii="Baskerville" w:hAnsi="Baskerville" w:cs="Baskerville"/>
        </w:rPr>
        <w:t xml:space="preserve">employment targets based on the new definition </w:t>
      </w:r>
      <w:r w:rsidR="005C4EF8">
        <w:rPr>
          <w:rFonts w:ascii="Baskerville" w:hAnsi="Baskerville" w:cs="Baskerville"/>
        </w:rPr>
        <w:t>of the cohort,</w:t>
      </w:r>
      <w:r w:rsidR="006C242A">
        <w:rPr>
          <w:rFonts w:ascii="Baskerville" w:hAnsi="Baskerville" w:cs="Baskerville"/>
        </w:rPr>
        <w:t xml:space="preserve"> all individuals with ID and DD, and </w:t>
      </w:r>
      <w:r w:rsidR="00F4664E">
        <w:rPr>
          <w:rFonts w:ascii="Baskerville" w:hAnsi="Baskerville" w:cs="Baskerville"/>
        </w:rPr>
        <w:t xml:space="preserve">with </w:t>
      </w:r>
      <w:r w:rsidR="006C242A">
        <w:rPr>
          <w:rFonts w:ascii="Baskerville" w:hAnsi="Baskerville" w:cs="Baskerville"/>
        </w:rPr>
        <w:t>more meaningfu</w:t>
      </w:r>
      <w:r w:rsidR="00041C19">
        <w:rPr>
          <w:rFonts w:ascii="Baskerville" w:hAnsi="Baskerville" w:cs="Baskerville"/>
        </w:rPr>
        <w:t>l and comprehensive information.</w:t>
      </w:r>
      <w:r w:rsidR="00191755">
        <w:rPr>
          <w:rFonts w:ascii="Baskerville" w:hAnsi="Baskerville" w:cs="Baskerville"/>
        </w:rPr>
        <w:t xml:space="preserve"> </w:t>
      </w:r>
    </w:p>
    <w:p w:rsidR="00D843CA" w:rsidRDefault="00D843CA" w:rsidP="003518FC">
      <w:pPr>
        <w:tabs>
          <w:tab w:val="left" w:pos="1671"/>
        </w:tabs>
        <w:ind w:right="-216"/>
        <w:rPr>
          <w:rFonts w:ascii="Baskerville" w:hAnsi="Baskerville" w:cs="Baskerville"/>
        </w:rPr>
      </w:pPr>
    </w:p>
    <w:p w:rsidR="00714D49" w:rsidRDefault="000D73CD" w:rsidP="003518FC">
      <w:pPr>
        <w:tabs>
          <w:tab w:val="left" w:pos="1671"/>
        </w:tabs>
        <w:ind w:right="-216"/>
        <w:rPr>
          <w:rFonts w:ascii="Baskerville" w:hAnsi="Baskerville" w:cs="Baskerville"/>
        </w:rPr>
      </w:pPr>
      <w:r>
        <w:rPr>
          <w:rFonts w:ascii="Baskerville" w:hAnsi="Baskerville" w:cs="Baskerville"/>
        </w:rPr>
        <w:t>T</w:t>
      </w:r>
      <w:r w:rsidR="00DF4BE1">
        <w:rPr>
          <w:rFonts w:ascii="Baskerville" w:hAnsi="Baskerville" w:cs="Baskerville"/>
        </w:rPr>
        <w:t xml:space="preserve">he </w:t>
      </w:r>
      <w:r w:rsidR="00B81E3B">
        <w:rPr>
          <w:rFonts w:ascii="Baskerville" w:hAnsi="Baskerville" w:cs="Baskerville"/>
        </w:rPr>
        <w:t>IR commends the Commonwealth</w:t>
      </w:r>
      <w:r w:rsidR="00CA4251">
        <w:rPr>
          <w:rFonts w:ascii="Baskerville" w:hAnsi="Baskerville" w:cs="Baskerville"/>
        </w:rPr>
        <w:t xml:space="preserve"> </w:t>
      </w:r>
      <w:r w:rsidR="006B0ADC">
        <w:rPr>
          <w:rFonts w:ascii="Baskerville" w:hAnsi="Baskerville" w:cs="Baskerville"/>
        </w:rPr>
        <w:t>for the substantial improvement in the accuracy of</w:t>
      </w:r>
      <w:r w:rsidR="00CA4251">
        <w:rPr>
          <w:rFonts w:ascii="Baskerville" w:hAnsi="Baskerville" w:cs="Baskerville"/>
        </w:rPr>
        <w:t xml:space="preserve"> the </w:t>
      </w:r>
      <w:r w:rsidR="006B0ADC">
        <w:rPr>
          <w:rFonts w:ascii="Baskerville" w:hAnsi="Baskerville" w:cs="Baskerville"/>
        </w:rPr>
        <w:t xml:space="preserve">data </w:t>
      </w:r>
      <w:r w:rsidR="00500318">
        <w:rPr>
          <w:rFonts w:ascii="Baskerville" w:hAnsi="Baskerville" w:cs="Baskerville"/>
        </w:rPr>
        <w:t xml:space="preserve">that it </w:t>
      </w:r>
      <w:r w:rsidR="006B0ADC">
        <w:rPr>
          <w:rFonts w:ascii="Baskerville" w:hAnsi="Baskerville" w:cs="Baskerville"/>
        </w:rPr>
        <w:t>gathered</w:t>
      </w:r>
      <w:r w:rsidR="00B226C8">
        <w:rPr>
          <w:rFonts w:ascii="Baskerville" w:hAnsi="Baskerville" w:cs="Baskerville"/>
        </w:rPr>
        <w:t xml:space="preserve">, </w:t>
      </w:r>
      <w:r w:rsidR="001236C8">
        <w:rPr>
          <w:rFonts w:ascii="Baskerville" w:hAnsi="Baskerville" w:cs="Baskerville"/>
        </w:rPr>
        <w:t xml:space="preserve">in </w:t>
      </w:r>
      <w:r w:rsidR="00FE74CD">
        <w:rPr>
          <w:rFonts w:ascii="Baskerville" w:hAnsi="Baskerville" w:cs="Baskerville"/>
        </w:rPr>
        <w:t xml:space="preserve">the </w:t>
      </w:r>
      <w:r w:rsidR="00B525B1">
        <w:rPr>
          <w:rFonts w:ascii="Baskerville" w:hAnsi="Baskerville" w:cs="Baskerville"/>
        </w:rPr>
        <w:t xml:space="preserve">alignment </w:t>
      </w:r>
      <w:r w:rsidR="00FE74CD">
        <w:rPr>
          <w:rFonts w:ascii="Baskerville" w:hAnsi="Baskerville" w:cs="Baskerville"/>
        </w:rPr>
        <w:t xml:space="preserve">of these data sets </w:t>
      </w:r>
      <w:r w:rsidR="00B525B1">
        <w:rPr>
          <w:rFonts w:ascii="Baskerville" w:hAnsi="Baskerville" w:cs="Baskerville"/>
        </w:rPr>
        <w:t>with the requ</w:t>
      </w:r>
      <w:r w:rsidR="00CA4251">
        <w:rPr>
          <w:rFonts w:ascii="Baskerville" w:hAnsi="Baskerville" w:cs="Baskerville"/>
        </w:rPr>
        <w:t>irements of the Agreement</w:t>
      </w:r>
      <w:r w:rsidR="00B226C8">
        <w:rPr>
          <w:rFonts w:ascii="Baskerville" w:hAnsi="Baskerville" w:cs="Baskerville"/>
        </w:rPr>
        <w:t xml:space="preserve">, and </w:t>
      </w:r>
      <w:r w:rsidR="00FE74CD">
        <w:rPr>
          <w:rFonts w:ascii="Baskerville" w:hAnsi="Baskerville" w:cs="Baskerville"/>
        </w:rPr>
        <w:t>becaus</w:t>
      </w:r>
      <w:r w:rsidR="00500318">
        <w:rPr>
          <w:rFonts w:ascii="Baskerville" w:hAnsi="Baskerville" w:cs="Baskerville"/>
        </w:rPr>
        <w:t>e</w:t>
      </w:r>
      <w:r w:rsidR="006B0ADC">
        <w:rPr>
          <w:rFonts w:ascii="Baskerville" w:hAnsi="Baskerville" w:cs="Baskerville"/>
        </w:rPr>
        <w:t xml:space="preserve"> </w:t>
      </w:r>
      <w:r w:rsidR="001236C8">
        <w:rPr>
          <w:rFonts w:ascii="Baskerville" w:hAnsi="Baskerville" w:cs="Baskerville"/>
        </w:rPr>
        <w:t xml:space="preserve">the data can </w:t>
      </w:r>
      <w:r w:rsidR="00B81E3B">
        <w:rPr>
          <w:rFonts w:ascii="Baskerville" w:hAnsi="Baskerville" w:cs="Baskerville"/>
        </w:rPr>
        <w:t xml:space="preserve">now </w:t>
      </w:r>
      <w:r w:rsidR="001236C8">
        <w:rPr>
          <w:rFonts w:ascii="Baskerville" w:hAnsi="Baskerville" w:cs="Baskerville"/>
        </w:rPr>
        <w:t xml:space="preserve">be provided </w:t>
      </w:r>
      <w:r w:rsidR="00B226C8">
        <w:rPr>
          <w:rFonts w:ascii="Baskerville" w:hAnsi="Baskerville" w:cs="Baskerville"/>
        </w:rPr>
        <w:t>by type of disability</w:t>
      </w:r>
      <w:r w:rsidR="00CA4251">
        <w:rPr>
          <w:rFonts w:ascii="Baskerville" w:hAnsi="Baskerville" w:cs="Baskerville"/>
        </w:rPr>
        <w:t xml:space="preserve">. </w:t>
      </w:r>
      <w:r w:rsidR="00E74A9F">
        <w:rPr>
          <w:rFonts w:ascii="Baskerville" w:hAnsi="Baskerville" w:cs="Baskerville"/>
        </w:rPr>
        <w:t>T</w:t>
      </w:r>
      <w:r w:rsidR="006B0ADC">
        <w:rPr>
          <w:rFonts w:ascii="Baskerville" w:hAnsi="Baskerville" w:cs="Baskerville"/>
        </w:rPr>
        <w:t xml:space="preserve">he </w:t>
      </w:r>
      <w:r w:rsidR="00CE289B">
        <w:rPr>
          <w:rFonts w:ascii="Baskerville" w:hAnsi="Baskerville" w:cs="Baskerville"/>
        </w:rPr>
        <w:t xml:space="preserve">IR has determined, however, that the </w:t>
      </w:r>
      <w:r w:rsidR="006B0ADC">
        <w:rPr>
          <w:rFonts w:ascii="Baskerville" w:hAnsi="Baskerville" w:cs="Baskerville"/>
        </w:rPr>
        <w:t xml:space="preserve">Commonwealth is not </w:t>
      </w:r>
      <w:r w:rsidR="00975E60">
        <w:rPr>
          <w:rFonts w:ascii="Baskerville" w:hAnsi="Baskerville" w:cs="Baskerville"/>
        </w:rPr>
        <w:t xml:space="preserve">yet </w:t>
      </w:r>
      <w:r w:rsidR="006B0ADC">
        <w:rPr>
          <w:rFonts w:ascii="Baskerville" w:hAnsi="Baskerville" w:cs="Baskerville"/>
        </w:rPr>
        <w:t xml:space="preserve">in </w:t>
      </w:r>
      <w:r w:rsidR="00975E60">
        <w:rPr>
          <w:rFonts w:ascii="Baskerville" w:hAnsi="Baskerville" w:cs="Baskerville"/>
        </w:rPr>
        <w:t xml:space="preserve">full </w:t>
      </w:r>
      <w:r w:rsidR="006B0ADC">
        <w:rPr>
          <w:rFonts w:ascii="Baskerville" w:hAnsi="Baskerville" w:cs="Baskerville"/>
        </w:rPr>
        <w:t>compliance with</w:t>
      </w:r>
      <w:r w:rsidR="00975E60">
        <w:rPr>
          <w:rFonts w:ascii="Baskerville" w:hAnsi="Baskerville" w:cs="Baskerville"/>
        </w:rPr>
        <w:t xml:space="preserve"> III.C.7.b.i.B.1.a, b, c, d or e.</w:t>
      </w:r>
      <w:r w:rsidR="00F1753B">
        <w:rPr>
          <w:rFonts w:ascii="Baskerville" w:hAnsi="Baskerville" w:cs="Baskerville"/>
        </w:rPr>
        <w:t xml:space="preserve"> as</w:t>
      </w:r>
      <w:r w:rsidR="001F4D1E">
        <w:rPr>
          <w:rFonts w:ascii="Baskerville" w:hAnsi="Baskerville" w:cs="Baskerville"/>
        </w:rPr>
        <w:t xml:space="preserve"> it can only report on an</w:t>
      </w:r>
      <w:r w:rsidR="00F1753B">
        <w:rPr>
          <w:rFonts w:ascii="Baskerville" w:hAnsi="Baskerville" w:cs="Baskerville"/>
        </w:rPr>
        <w:t xml:space="preserve"> estimated 70% of the individuals</w:t>
      </w:r>
      <w:r w:rsidR="001F4D1E">
        <w:rPr>
          <w:rFonts w:ascii="Baskerville" w:hAnsi="Baskerville" w:cs="Baskerville"/>
        </w:rPr>
        <w:t>.</w:t>
      </w:r>
      <w:r w:rsidR="005A0353">
        <w:rPr>
          <w:rFonts w:ascii="Baskerville" w:hAnsi="Baskerville" w:cs="Baskerville"/>
        </w:rPr>
        <w:t xml:space="preserve"> </w:t>
      </w:r>
      <w:r w:rsidR="005C4EF8">
        <w:rPr>
          <w:rFonts w:ascii="Baskerville" w:hAnsi="Baskerville" w:cs="Baskerville"/>
        </w:rPr>
        <w:t>It is also not in compliance with</w:t>
      </w:r>
      <w:r w:rsidR="00546390">
        <w:rPr>
          <w:rFonts w:ascii="Baskerville" w:hAnsi="Baskerville" w:cs="Baskerville"/>
        </w:rPr>
        <w:t xml:space="preserve"> III.C.7.b.i.B.2.a and b.</w:t>
      </w:r>
      <w:r w:rsidR="004D0225">
        <w:rPr>
          <w:rFonts w:ascii="Baskerville" w:hAnsi="Baskerville" w:cs="Baskerville"/>
        </w:rPr>
        <w:t xml:space="preserve"> The Commonwealth is in compliance with III.C.7.b.i.B.1.d and e. as it provided the data required related to the number of individuals participating in prevocational services.</w:t>
      </w:r>
    </w:p>
    <w:p w:rsidR="00C4385E" w:rsidRDefault="00C4385E" w:rsidP="003518FC">
      <w:pPr>
        <w:tabs>
          <w:tab w:val="left" w:pos="1671"/>
        </w:tabs>
        <w:ind w:right="-216"/>
        <w:rPr>
          <w:rFonts w:ascii="Baskerville" w:hAnsi="Baskerville" w:cs="Baskerville"/>
        </w:rPr>
      </w:pPr>
    </w:p>
    <w:p w:rsidR="00E737DE" w:rsidRPr="001862EB" w:rsidRDefault="00E90702" w:rsidP="003518FC">
      <w:pPr>
        <w:tabs>
          <w:tab w:val="left" w:pos="1671"/>
        </w:tabs>
        <w:ind w:right="-216"/>
        <w:rPr>
          <w:rFonts w:ascii="Baskerville" w:hAnsi="Baskerville" w:cs="Baskerville"/>
        </w:rPr>
      </w:pPr>
      <w:r>
        <w:rPr>
          <w:rFonts w:ascii="Baskerville" w:hAnsi="Baskerville" w:cs="Baskerville"/>
        </w:rPr>
        <w:t>As reported previously, t</w:t>
      </w:r>
      <w:r w:rsidR="00A21647">
        <w:rPr>
          <w:rFonts w:ascii="Baskerville" w:hAnsi="Baskerville" w:cs="Baskerville"/>
        </w:rPr>
        <w:t>he Commonwealth has continued to make progress with its HCBS waiver redesign</w:t>
      </w:r>
      <w:r w:rsidR="00580141">
        <w:rPr>
          <w:rFonts w:ascii="Baskerville" w:hAnsi="Baskerville" w:cs="Baskerville"/>
        </w:rPr>
        <w:t xml:space="preserve">. The Commonwealth designed its </w:t>
      </w:r>
      <w:r w:rsidR="00FB2C1B">
        <w:rPr>
          <w:rFonts w:ascii="Baskerville" w:hAnsi="Baskerville" w:cs="Baskerville"/>
        </w:rPr>
        <w:t>strategy</w:t>
      </w:r>
      <w:r w:rsidR="00A21647">
        <w:rPr>
          <w:rFonts w:ascii="Baskerville" w:hAnsi="Baskerville" w:cs="Baskerville"/>
        </w:rPr>
        <w:t>, when put into effect</w:t>
      </w:r>
      <w:r w:rsidR="00580141">
        <w:rPr>
          <w:rFonts w:ascii="Baskerville" w:hAnsi="Baskerville" w:cs="Baskerville"/>
        </w:rPr>
        <w:t xml:space="preserve">, </w:t>
      </w:r>
      <w:r w:rsidR="00FB2C1B">
        <w:rPr>
          <w:rFonts w:ascii="Baskerville" w:hAnsi="Baskerville" w:cs="Baskerville"/>
        </w:rPr>
        <w:t>to provide the necessary underpinnings</w:t>
      </w:r>
      <w:r w:rsidR="00CB4ED3">
        <w:rPr>
          <w:rFonts w:ascii="Baskerville" w:hAnsi="Baskerville" w:cs="Baskerville"/>
        </w:rPr>
        <w:t xml:space="preserve"> for a more robust set of employment services </w:t>
      </w:r>
      <w:r w:rsidR="00143969">
        <w:rPr>
          <w:rFonts w:ascii="Baskerville" w:hAnsi="Baskerville" w:cs="Baskerville"/>
        </w:rPr>
        <w:t>and supports</w:t>
      </w:r>
      <w:r w:rsidR="00CB4ED3">
        <w:rPr>
          <w:rFonts w:ascii="Baskerville" w:hAnsi="Baskerville" w:cs="Baskerville"/>
        </w:rPr>
        <w:t>.</w:t>
      </w:r>
      <w:r w:rsidR="00041C19">
        <w:rPr>
          <w:rFonts w:ascii="Baskerville" w:hAnsi="Baskerville" w:cs="Baskerville"/>
        </w:rPr>
        <w:t xml:space="preserve"> </w:t>
      </w:r>
      <w:r w:rsidR="0050069D">
        <w:rPr>
          <w:rFonts w:ascii="Baskerville" w:hAnsi="Baskerville" w:cs="Baskerville"/>
        </w:rPr>
        <w:t>The Commonwealth and SELN AG members recognize that to achieve the employment targets will req</w:t>
      </w:r>
      <w:r w:rsidR="002558D7">
        <w:rPr>
          <w:rFonts w:ascii="Baskerville" w:hAnsi="Baskerville" w:cs="Baskerville"/>
        </w:rPr>
        <w:t>uire building provider capacity</w:t>
      </w:r>
      <w:r w:rsidR="005F2B91" w:rsidRPr="005F2B91">
        <w:rPr>
          <w:rFonts w:ascii="Baskerville" w:hAnsi="Baskerville" w:cs="Baskerville"/>
        </w:rPr>
        <w:t xml:space="preserve"> </w:t>
      </w:r>
      <w:r w:rsidR="005F2B91">
        <w:rPr>
          <w:rFonts w:ascii="Baskerville" w:hAnsi="Baskerville" w:cs="Baskerville"/>
        </w:rPr>
        <w:t>especially in rural areas</w:t>
      </w:r>
      <w:r w:rsidR="0050069D">
        <w:rPr>
          <w:rFonts w:ascii="Baskerville" w:hAnsi="Baskerville" w:cs="Baskerville"/>
        </w:rPr>
        <w:t xml:space="preserve">. </w:t>
      </w:r>
      <w:r w:rsidR="00295509">
        <w:rPr>
          <w:rFonts w:ascii="Baskerville" w:hAnsi="Baskerville" w:cs="Baskerville"/>
        </w:rPr>
        <w:t xml:space="preserve"> The number of individuals in individual emp</w:t>
      </w:r>
      <w:r w:rsidR="00813260">
        <w:rPr>
          <w:rFonts w:ascii="Baskerville" w:hAnsi="Baskerville" w:cs="Baskerville"/>
        </w:rPr>
        <w:t>loyment is very small in three R</w:t>
      </w:r>
      <w:r w:rsidR="00295509">
        <w:rPr>
          <w:rFonts w:ascii="Baskerville" w:hAnsi="Baskerville" w:cs="Baskerville"/>
        </w:rPr>
        <w:t>egions, and only</w:t>
      </w:r>
      <w:r w:rsidR="00DE6267">
        <w:rPr>
          <w:rFonts w:ascii="Baskerville" w:hAnsi="Baskerville" w:cs="Baskerville"/>
        </w:rPr>
        <w:t xml:space="preserve"> sixteen in Virginia’s most popul</w:t>
      </w:r>
      <w:r w:rsidR="00813260">
        <w:rPr>
          <w:rFonts w:ascii="Baskerville" w:hAnsi="Baskerville" w:cs="Baskerville"/>
        </w:rPr>
        <w:t>ous R</w:t>
      </w:r>
      <w:r w:rsidR="00006471">
        <w:rPr>
          <w:rFonts w:ascii="Baskerville" w:hAnsi="Baskerville" w:cs="Baskerville"/>
        </w:rPr>
        <w:t xml:space="preserve">egion.  The </w:t>
      </w:r>
      <w:r w:rsidR="005F2B91">
        <w:rPr>
          <w:rFonts w:ascii="Baskerville" w:hAnsi="Baskerville" w:cs="Baskerville"/>
        </w:rPr>
        <w:t>DBHDS Employment Services Plan</w:t>
      </w:r>
      <w:r w:rsidR="004B37A2">
        <w:rPr>
          <w:rFonts w:ascii="Baskerville" w:hAnsi="Baskerville" w:cs="Baskerville"/>
        </w:rPr>
        <w:t xml:space="preserve"> assigns</w:t>
      </w:r>
      <w:r w:rsidR="00006471">
        <w:rPr>
          <w:rFonts w:ascii="Baskerville" w:hAnsi="Baskerville" w:cs="Baskerville"/>
        </w:rPr>
        <w:t xml:space="preserve"> resp</w:t>
      </w:r>
      <w:r w:rsidR="005F2B91">
        <w:rPr>
          <w:rFonts w:ascii="Baskerville" w:hAnsi="Baskerville" w:cs="Baskerville"/>
        </w:rPr>
        <w:t>onsibility to work on this goal</w:t>
      </w:r>
      <w:r w:rsidR="004B37A2">
        <w:rPr>
          <w:rFonts w:ascii="Baskerville" w:hAnsi="Baskerville" w:cs="Baskerville"/>
        </w:rPr>
        <w:t xml:space="preserve"> to the SELN AG.</w:t>
      </w:r>
      <w:r w:rsidR="00006471">
        <w:rPr>
          <w:rFonts w:ascii="Baskerville" w:hAnsi="Baskerville" w:cs="Baskerville"/>
        </w:rPr>
        <w:t xml:space="preserve"> To date, however, there has been no work or progress reported.</w:t>
      </w:r>
    </w:p>
    <w:p w:rsidR="00E77991" w:rsidRDefault="00E77991" w:rsidP="003518FC">
      <w:pPr>
        <w:rPr>
          <w:rFonts w:ascii="Baskerville" w:hAnsi="Baskerville" w:cs="Baskerville"/>
        </w:rPr>
      </w:pPr>
    </w:p>
    <w:p w:rsidR="004A63D2" w:rsidRPr="00B81081" w:rsidRDefault="000676CB" w:rsidP="003518FC">
      <w:pPr>
        <w:rPr>
          <w:rFonts w:ascii="Baskerville" w:hAnsi="Baskerville" w:cs="Baskerville"/>
          <w:b/>
          <w:bCs/>
        </w:rPr>
      </w:pPr>
      <w:r>
        <w:rPr>
          <w:rFonts w:ascii="Baskerville" w:hAnsi="Baskerville" w:cs="Baskerville"/>
          <w:b/>
        </w:rPr>
        <w:t>9</w:t>
      </w:r>
      <w:r w:rsidR="004A63D2" w:rsidRPr="00B81081">
        <w:rPr>
          <w:rFonts w:ascii="Baskerville" w:hAnsi="Baskerville" w:cs="Baskerville"/>
          <w:b/>
        </w:rPr>
        <w:t xml:space="preserve">.  </w:t>
      </w:r>
      <w:r w:rsidR="004A63D2" w:rsidRPr="00B81081">
        <w:rPr>
          <w:rFonts w:ascii="Baskerville" w:hAnsi="Baskerville" w:cs="Baskerville"/>
          <w:b/>
          <w:bCs/>
        </w:rPr>
        <w:t xml:space="preserve">Individual and Family Support </w:t>
      </w:r>
    </w:p>
    <w:p w:rsidR="004A63D2" w:rsidRPr="00B81081" w:rsidRDefault="004A63D2" w:rsidP="003518FC">
      <w:pPr>
        <w:rPr>
          <w:rFonts w:ascii="Baskerville" w:hAnsi="Baskerville" w:cs="Baskerville"/>
          <w:bCs/>
        </w:rPr>
      </w:pPr>
      <w:r w:rsidRPr="00B81081">
        <w:rPr>
          <w:rFonts w:ascii="Baskerville" w:hAnsi="Baskerville" w:cs="Baskerville"/>
          <w:bCs/>
        </w:rPr>
        <w:t>The</w:t>
      </w:r>
      <w:r w:rsidRPr="00B81081">
        <w:rPr>
          <w:rFonts w:ascii="Baskerville" w:hAnsi="Baskerville" w:cs="Baskerville"/>
          <w:b/>
          <w:bCs/>
        </w:rPr>
        <w:t xml:space="preserve"> </w:t>
      </w:r>
      <w:r w:rsidR="007F6BF1" w:rsidRPr="00B81081">
        <w:rPr>
          <w:rFonts w:ascii="Baskerville" w:hAnsi="Baskerville" w:cs="Baskerville"/>
          <w:bCs/>
        </w:rPr>
        <w:t>Independent</w:t>
      </w:r>
      <w:r w:rsidRPr="00B81081">
        <w:rPr>
          <w:rFonts w:ascii="Baskerville" w:hAnsi="Baskerville" w:cs="Baskerville"/>
          <w:bCs/>
        </w:rPr>
        <w:t xml:space="preserve"> </w:t>
      </w:r>
      <w:r w:rsidR="007F6BF1" w:rsidRPr="00B81081">
        <w:rPr>
          <w:rFonts w:ascii="Baskerville" w:hAnsi="Baskerville" w:cs="Baskerville"/>
          <w:bCs/>
        </w:rPr>
        <w:t xml:space="preserve">Reviewer’s </w:t>
      </w:r>
      <w:r w:rsidRPr="00B81081">
        <w:rPr>
          <w:rFonts w:ascii="Baskerville" w:hAnsi="Baskerville" w:cs="Baskerville"/>
          <w:bCs/>
        </w:rPr>
        <w:t xml:space="preserve">consultant evaluated whether the Commonwealth’s </w:t>
      </w:r>
      <w:r w:rsidR="00BC75B5" w:rsidRPr="00B81081">
        <w:rPr>
          <w:rFonts w:ascii="Baskerville" w:hAnsi="Baskerville" w:cs="Baskerville"/>
          <w:bCs/>
        </w:rPr>
        <w:t>design and implementation of its</w:t>
      </w:r>
      <w:r w:rsidRPr="00B81081">
        <w:rPr>
          <w:rFonts w:ascii="Baskerville" w:hAnsi="Baskerville" w:cs="Baskerville"/>
          <w:bCs/>
        </w:rPr>
        <w:t xml:space="preserve"> Individual and Family Support Program </w:t>
      </w:r>
      <w:r w:rsidR="00BC75B5" w:rsidRPr="00B81081">
        <w:rPr>
          <w:rFonts w:ascii="Baskerville" w:hAnsi="Baskerville" w:cs="Baskerville"/>
          <w:bCs/>
        </w:rPr>
        <w:t xml:space="preserve">(IFSP) </w:t>
      </w:r>
      <w:r w:rsidRPr="00B81081">
        <w:rPr>
          <w:rFonts w:ascii="Baskerville" w:hAnsi="Baskerville" w:cs="Baskerville"/>
          <w:bCs/>
        </w:rPr>
        <w:t>and other individual and family supports fulfill the qualita</w:t>
      </w:r>
      <w:r w:rsidR="00BC75B5" w:rsidRPr="00B81081">
        <w:rPr>
          <w:rFonts w:ascii="Baskerville" w:hAnsi="Baskerville" w:cs="Baskerville"/>
          <w:bCs/>
        </w:rPr>
        <w:t xml:space="preserve">tive aspects of the definition in </w:t>
      </w:r>
      <w:r w:rsidRPr="00B81081">
        <w:rPr>
          <w:rFonts w:ascii="Baskerville" w:hAnsi="Baskerville" w:cs="Baskerville"/>
          <w:bCs/>
        </w:rPr>
        <w:t>Section II</w:t>
      </w:r>
      <w:r w:rsidR="00847BA8" w:rsidRPr="00B81081">
        <w:rPr>
          <w:rFonts w:ascii="Baskerville" w:hAnsi="Baskerville" w:cs="Baskerville"/>
          <w:bCs/>
        </w:rPr>
        <w:t xml:space="preserve">.D. and the service requirements </w:t>
      </w:r>
      <w:r w:rsidRPr="00B81081">
        <w:rPr>
          <w:rFonts w:ascii="Baskerville" w:hAnsi="Baskerville" w:cs="Baskerville"/>
          <w:bCs/>
        </w:rPr>
        <w:t xml:space="preserve">of Section III.C.8.b. The Independent Reviewer </w:t>
      </w:r>
      <w:r w:rsidR="00847BA8" w:rsidRPr="00B81081">
        <w:rPr>
          <w:rFonts w:ascii="Baskerville" w:hAnsi="Baskerville" w:cs="Baskerville"/>
          <w:bCs/>
        </w:rPr>
        <w:t xml:space="preserve">also </w:t>
      </w:r>
      <w:r w:rsidRPr="00B81081">
        <w:rPr>
          <w:rFonts w:ascii="Baskerville" w:hAnsi="Baskerville" w:cs="Baskerville"/>
          <w:bCs/>
        </w:rPr>
        <w:t>convened two focus groups with individuals and families to obtain their input about the design and implementation of the Individ</w:t>
      </w:r>
      <w:r w:rsidR="00847BA8" w:rsidRPr="00B81081">
        <w:rPr>
          <w:rFonts w:ascii="Baskerville" w:hAnsi="Baskerville" w:cs="Baskerville"/>
          <w:bCs/>
        </w:rPr>
        <w:t>ual and Family Support Program</w:t>
      </w:r>
      <w:r w:rsidRPr="00B81081">
        <w:rPr>
          <w:rFonts w:ascii="Baskerville" w:hAnsi="Baskerville" w:cs="Baskerville"/>
          <w:bCs/>
        </w:rPr>
        <w:t>. The</w:t>
      </w:r>
      <w:r w:rsidR="00847BA8" w:rsidRPr="00B81081">
        <w:rPr>
          <w:rFonts w:ascii="Baskerville" w:hAnsi="Baskerville" w:cs="Baskerville"/>
          <w:bCs/>
        </w:rPr>
        <w:t>se focus group</w:t>
      </w:r>
      <w:r w:rsidR="008076F6" w:rsidRPr="00B81081">
        <w:rPr>
          <w:rFonts w:ascii="Baskerville" w:hAnsi="Baskerville" w:cs="Baskerville"/>
          <w:bCs/>
        </w:rPr>
        <w:t xml:space="preserve"> meetings included </w:t>
      </w:r>
      <w:r w:rsidRPr="00B81081">
        <w:rPr>
          <w:rFonts w:ascii="Baskerville" w:hAnsi="Baskerville" w:cs="Baskerville"/>
          <w:bCs/>
        </w:rPr>
        <w:t xml:space="preserve">individuals and families </w:t>
      </w:r>
      <w:r w:rsidR="008076F6" w:rsidRPr="00B81081">
        <w:rPr>
          <w:rFonts w:ascii="Baskerville" w:hAnsi="Baskerville" w:cs="Baskerville"/>
          <w:bCs/>
        </w:rPr>
        <w:t xml:space="preserve">who </w:t>
      </w:r>
      <w:r w:rsidR="00443EF9">
        <w:rPr>
          <w:rFonts w:ascii="Baskerville" w:hAnsi="Baskerville" w:cs="Baskerville"/>
          <w:bCs/>
        </w:rPr>
        <w:t>live</w:t>
      </w:r>
      <w:r w:rsidRPr="00B81081">
        <w:rPr>
          <w:rFonts w:ascii="Baskerville" w:hAnsi="Baskerville" w:cs="Baskerville"/>
          <w:bCs/>
        </w:rPr>
        <w:t xml:space="preserve"> in two different geographic areas, one rural and one urban.</w:t>
      </w:r>
      <w:r w:rsidR="001E2761">
        <w:rPr>
          <w:rFonts w:ascii="Baskerville" w:hAnsi="Baskerville" w:cs="Baskerville"/>
          <w:bCs/>
        </w:rPr>
        <w:t xml:space="preserve"> In prior Reports to the Court </w:t>
      </w:r>
      <w:r w:rsidRPr="00B81081">
        <w:rPr>
          <w:rFonts w:ascii="Baskerville" w:hAnsi="Baskerville" w:cs="Baskerville"/>
          <w:bCs/>
        </w:rPr>
        <w:t>the IR determined that</w:t>
      </w:r>
      <w:r w:rsidR="006904C2">
        <w:rPr>
          <w:rFonts w:ascii="Baskerville" w:hAnsi="Baskerville" w:cs="Baskerville"/>
          <w:bCs/>
        </w:rPr>
        <w:t xml:space="preserve"> during FY 2013 and FY 2014</w:t>
      </w:r>
      <w:r w:rsidR="001E2761">
        <w:rPr>
          <w:rFonts w:ascii="Baskerville" w:hAnsi="Baskerville" w:cs="Baskerville"/>
          <w:bCs/>
        </w:rPr>
        <w:t xml:space="preserve"> the Commonwealth had</w:t>
      </w:r>
      <w:r w:rsidRPr="00B81081">
        <w:rPr>
          <w:rFonts w:ascii="Baskerville" w:hAnsi="Baskerville" w:cs="Baskerville"/>
          <w:bCs/>
        </w:rPr>
        <w:t xml:space="preserve"> complied with the quantitative req</w:t>
      </w:r>
      <w:r w:rsidR="008B7499">
        <w:rPr>
          <w:rFonts w:ascii="Baskerville" w:hAnsi="Baskerville" w:cs="Baskerville"/>
          <w:bCs/>
        </w:rPr>
        <w:t>uirements of Section III.C.8.b.</w:t>
      </w:r>
      <w:r w:rsidRPr="00B81081">
        <w:rPr>
          <w:rFonts w:ascii="Baskerville" w:hAnsi="Baskerville" w:cs="Baskerville"/>
          <w:bCs/>
        </w:rPr>
        <w:t xml:space="preserve"> i.e. to support at least </w:t>
      </w:r>
      <w:r w:rsidR="000C4998">
        <w:rPr>
          <w:rFonts w:ascii="Baskerville" w:hAnsi="Baskerville" w:cs="Baskerville"/>
          <w:bCs/>
        </w:rPr>
        <w:t xml:space="preserve">700 </w:t>
      </w:r>
      <w:r w:rsidR="00DA3EAE" w:rsidRPr="00B81081">
        <w:rPr>
          <w:rFonts w:ascii="Baskerville" w:hAnsi="Baskerville" w:cs="Baskerville"/>
          <w:bCs/>
        </w:rPr>
        <w:t xml:space="preserve">individuals and families </w:t>
      </w:r>
      <w:r w:rsidR="000C4998">
        <w:rPr>
          <w:rFonts w:ascii="Baskerville" w:hAnsi="Baskerville" w:cs="Baskerville"/>
          <w:bCs/>
        </w:rPr>
        <w:t xml:space="preserve">in FY 2013 and </w:t>
      </w:r>
      <w:r w:rsidRPr="00B81081">
        <w:rPr>
          <w:rFonts w:ascii="Baskerville" w:hAnsi="Baskerville" w:cs="Baskerville"/>
          <w:bCs/>
        </w:rPr>
        <w:t xml:space="preserve">1000 </w:t>
      </w:r>
      <w:r w:rsidR="000C4998">
        <w:rPr>
          <w:rFonts w:ascii="Baskerville" w:hAnsi="Baskerville" w:cs="Baskerville"/>
          <w:bCs/>
        </w:rPr>
        <w:t>in FY 2014</w:t>
      </w:r>
      <w:r w:rsidR="00DA3EAE">
        <w:rPr>
          <w:rFonts w:ascii="Baskerville" w:hAnsi="Baskerville" w:cs="Baskerville"/>
          <w:bCs/>
        </w:rPr>
        <w:t xml:space="preserve">. </w:t>
      </w:r>
      <w:r w:rsidR="008129CB">
        <w:rPr>
          <w:rFonts w:ascii="Baskerville" w:hAnsi="Baskerville" w:cs="Baskerville"/>
          <w:bCs/>
        </w:rPr>
        <w:t xml:space="preserve">The Agreement definition limited eligibility </w:t>
      </w:r>
      <w:r w:rsidR="00DA3EAE">
        <w:rPr>
          <w:rFonts w:ascii="Baskerville" w:hAnsi="Baskerville" w:cs="Baskerville"/>
          <w:bCs/>
        </w:rPr>
        <w:t>to those</w:t>
      </w:r>
      <w:r w:rsidR="000C4998">
        <w:rPr>
          <w:rFonts w:ascii="Baskerville" w:hAnsi="Baskerville" w:cs="Baskerville"/>
          <w:bCs/>
        </w:rPr>
        <w:t xml:space="preserve"> </w:t>
      </w:r>
      <w:r w:rsidRPr="00B81081">
        <w:rPr>
          <w:rFonts w:ascii="Baskerville" w:hAnsi="Baskerville" w:cs="Baskerville"/>
          <w:bCs/>
        </w:rPr>
        <w:t xml:space="preserve">who were </w:t>
      </w:r>
      <w:r w:rsidR="00D7061E">
        <w:rPr>
          <w:rFonts w:ascii="Baskerville" w:hAnsi="Baskerville" w:cs="Baskerville"/>
          <w:bCs/>
        </w:rPr>
        <w:t xml:space="preserve">not already receiving services under </w:t>
      </w:r>
      <w:r w:rsidR="006904C2">
        <w:rPr>
          <w:rFonts w:ascii="Baskerville" w:hAnsi="Baskerville" w:cs="Baskerville"/>
          <w:bCs/>
        </w:rPr>
        <w:t>Virginia’s HCBS waiver</w:t>
      </w:r>
      <w:r w:rsidRPr="00B81081">
        <w:rPr>
          <w:rFonts w:ascii="Baskerville" w:hAnsi="Baskerville" w:cs="Baskerville"/>
          <w:bCs/>
        </w:rPr>
        <w:t xml:space="preserve">s. </w:t>
      </w:r>
    </w:p>
    <w:p w:rsidR="004A63D2" w:rsidRPr="00B81081" w:rsidRDefault="004A63D2" w:rsidP="003518FC">
      <w:pPr>
        <w:rPr>
          <w:rFonts w:ascii="Baskerville" w:hAnsi="Baskerville" w:cs="Baskerville"/>
          <w:bCs/>
        </w:rPr>
      </w:pPr>
    </w:p>
    <w:p w:rsidR="00606072" w:rsidRPr="00B81081" w:rsidRDefault="004A63D2" w:rsidP="003518FC">
      <w:pPr>
        <w:rPr>
          <w:rFonts w:ascii="Baskerville" w:hAnsi="Baskerville" w:cs="Baskerville"/>
          <w:bCs/>
        </w:rPr>
      </w:pPr>
      <w:r w:rsidRPr="00B81081">
        <w:rPr>
          <w:rFonts w:ascii="Baskerville" w:hAnsi="Baskerville" w:cs="Baskerville"/>
          <w:bCs/>
        </w:rPr>
        <w:t xml:space="preserve">The consultant </w:t>
      </w:r>
      <w:r w:rsidR="005D74DC">
        <w:rPr>
          <w:rFonts w:ascii="Baskerville" w:hAnsi="Baskerville" w:cs="Baskerville"/>
          <w:bCs/>
        </w:rPr>
        <w:t>confirmed that</w:t>
      </w:r>
      <w:r w:rsidR="00283CF0">
        <w:rPr>
          <w:rFonts w:ascii="Baskerville" w:hAnsi="Baskerville" w:cs="Baskerville"/>
          <w:bCs/>
        </w:rPr>
        <w:t xml:space="preserve"> </w:t>
      </w:r>
      <w:r w:rsidR="00606072" w:rsidRPr="00B81081">
        <w:rPr>
          <w:rFonts w:ascii="Baskerville" w:hAnsi="Baskerville" w:cs="Baskerville"/>
          <w:bCs/>
        </w:rPr>
        <w:t xml:space="preserve">the Commonwealth </w:t>
      </w:r>
      <w:r w:rsidR="00283CF0">
        <w:rPr>
          <w:rFonts w:ascii="Baskerville" w:hAnsi="Baskerville" w:cs="Baskerville"/>
          <w:bCs/>
        </w:rPr>
        <w:t xml:space="preserve">designed and </w:t>
      </w:r>
      <w:r w:rsidR="005D74DC">
        <w:rPr>
          <w:rFonts w:ascii="Baskerville" w:hAnsi="Baskerville" w:cs="Baskerville"/>
          <w:bCs/>
        </w:rPr>
        <w:t>implemented</w:t>
      </w:r>
      <w:r w:rsidR="00283CF0">
        <w:rPr>
          <w:rFonts w:ascii="Baskerville" w:hAnsi="Baskerville" w:cs="Baskerville"/>
          <w:bCs/>
        </w:rPr>
        <w:t xml:space="preserve"> </w:t>
      </w:r>
      <w:r w:rsidR="008129CB" w:rsidRPr="00B81081">
        <w:rPr>
          <w:rFonts w:ascii="Baskerville" w:hAnsi="Baskerville" w:cs="Baskerville"/>
          <w:bCs/>
        </w:rPr>
        <w:t xml:space="preserve">Individual and Family Support Program </w:t>
      </w:r>
      <w:r w:rsidR="008129CB">
        <w:rPr>
          <w:rFonts w:ascii="Baskerville" w:hAnsi="Baskerville" w:cs="Baskerville"/>
          <w:bCs/>
        </w:rPr>
        <w:t>to provide a one-</w:t>
      </w:r>
      <w:r w:rsidR="00606072" w:rsidRPr="00B81081">
        <w:rPr>
          <w:rFonts w:ascii="Baskerville" w:hAnsi="Baskerville" w:cs="Baskerville"/>
          <w:bCs/>
        </w:rPr>
        <w:t xml:space="preserve">time financial amount of up to $3,000 </w:t>
      </w:r>
      <w:r w:rsidR="00283CF0">
        <w:rPr>
          <w:rFonts w:ascii="Baskerville" w:hAnsi="Baskerville" w:cs="Baskerville"/>
          <w:bCs/>
        </w:rPr>
        <w:t xml:space="preserve">to </w:t>
      </w:r>
      <w:r w:rsidR="00421BCB">
        <w:rPr>
          <w:rFonts w:ascii="Baskerville" w:hAnsi="Baskerville" w:cs="Baskerville"/>
          <w:bCs/>
        </w:rPr>
        <w:t xml:space="preserve">eligible </w:t>
      </w:r>
      <w:r w:rsidR="00283CF0">
        <w:rPr>
          <w:rFonts w:ascii="Baskerville" w:hAnsi="Baskerville" w:cs="Baskerville"/>
          <w:bCs/>
        </w:rPr>
        <w:t xml:space="preserve">individuals and families </w:t>
      </w:r>
      <w:r w:rsidR="00321A5B">
        <w:rPr>
          <w:rFonts w:ascii="Baskerville" w:hAnsi="Baskerville" w:cs="Baskerville"/>
          <w:bCs/>
        </w:rPr>
        <w:t>on a first come-</w:t>
      </w:r>
      <w:r w:rsidR="00421BCB">
        <w:rPr>
          <w:rFonts w:ascii="Baskerville" w:hAnsi="Baskerville" w:cs="Baskerville"/>
          <w:bCs/>
        </w:rPr>
        <w:t>first s</w:t>
      </w:r>
      <w:r w:rsidR="00543EA8">
        <w:rPr>
          <w:rFonts w:ascii="Baskerville" w:hAnsi="Baskerville" w:cs="Baskerville"/>
          <w:bCs/>
        </w:rPr>
        <w:t>erve basis. The Commonwealth</w:t>
      </w:r>
      <w:r w:rsidR="00421BCB">
        <w:rPr>
          <w:rFonts w:ascii="Baskerville" w:hAnsi="Baskerville" w:cs="Baskerville"/>
          <w:bCs/>
        </w:rPr>
        <w:t xml:space="preserve"> </w:t>
      </w:r>
      <w:r w:rsidR="005D74DC">
        <w:rPr>
          <w:rFonts w:ascii="Baskerville" w:hAnsi="Baskerville" w:cs="Baskerville"/>
          <w:bCs/>
        </w:rPr>
        <w:t>determined</w:t>
      </w:r>
      <w:r w:rsidR="000632C4">
        <w:rPr>
          <w:rFonts w:ascii="Baskerville" w:hAnsi="Baskerville" w:cs="Baskerville"/>
          <w:bCs/>
        </w:rPr>
        <w:t xml:space="preserve"> that a single criterion would be utilized to determine those “most at risk of </w:t>
      </w:r>
      <w:r w:rsidR="00217D6F">
        <w:rPr>
          <w:rFonts w:ascii="Baskerville" w:hAnsi="Baskerville" w:cs="Baskerville"/>
          <w:bCs/>
        </w:rPr>
        <w:t>institutionalization</w:t>
      </w:r>
      <w:r w:rsidR="00443EF9">
        <w:rPr>
          <w:rFonts w:ascii="Baskerville" w:hAnsi="Baskerville" w:cs="Baskerville"/>
          <w:bCs/>
        </w:rPr>
        <w:t>.”</w:t>
      </w:r>
      <w:r w:rsidR="00217D6F">
        <w:rPr>
          <w:rFonts w:ascii="Baskerville" w:hAnsi="Baskerville" w:cs="Baskerville"/>
          <w:bCs/>
        </w:rPr>
        <w:t xml:space="preserve"> That criterion is </w:t>
      </w:r>
      <w:r w:rsidR="00443EF9">
        <w:rPr>
          <w:rFonts w:ascii="Baskerville" w:hAnsi="Baskerville" w:cs="Baskerville"/>
          <w:bCs/>
        </w:rPr>
        <w:t xml:space="preserve">defined as </w:t>
      </w:r>
      <w:r w:rsidR="000632C4">
        <w:rPr>
          <w:rFonts w:ascii="Baskerville" w:hAnsi="Baskerville" w:cs="Baskerville"/>
          <w:bCs/>
        </w:rPr>
        <w:t xml:space="preserve">being on the Commonwealth’s waitlists for </w:t>
      </w:r>
      <w:r w:rsidR="00DB4A81">
        <w:rPr>
          <w:rFonts w:ascii="Baskerville" w:hAnsi="Baskerville" w:cs="Baskerville"/>
          <w:bCs/>
        </w:rPr>
        <w:t>services under the HCBS waivers.</w:t>
      </w:r>
      <w:r w:rsidR="009365D7">
        <w:rPr>
          <w:rFonts w:ascii="Baskerville" w:hAnsi="Baskerville" w:cs="Baskerville"/>
          <w:bCs/>
        </w:rPr>
        <w:t xml:space="preserve"> </w:t>
      </w:r>
      <w:r w:rsidR="006D67EE">
        <w:rPr>
          <w:rFonts w:ascii="Baskerville" w:hAnsi="Baskerville" w:cs="Baskerville"/>
          <w:bCs/>
        </w:rPr>
        <w:t>The consultant confirmed that the Commonwealth</w:t>
      </w:r>
      <w:r w:rsidR="00DC617E">
        <w:rPr>
          <w:rFonts w:ascii="Baskerville" w:hAnsi="Baskerville" w:cs="Baskerville"/>
          <w:bCs/>
        </w:rPr>
        <w:t xml:space="preserve"> utilized $1.5 million, half</w:t>
      </w:r>
      <w:r w:rsidR="00321A5B">
        <w:rPr>
          <w:rFonts w:ascii="Baskerville" w:hAnsi="Baskerville" w:cs="Baskerville"/>
          <w:bCs/>
        </w:rPr>
        <w:t xml:space="preserve"> of</w:t>
      </w:r>
      <w:r w:rsidR="00DC617E">
        <w:rPr>
          <w:rFonts w:ascii="Baskerville" w:hAnsi="Baskerville" w:cs="Baskerville"/>
          <w:bCs/>
        </w:rPr>
        <w:t xml:space="preserve"> the $3 million available</w:t>
      </w:r>
      <w:r w:rsidR="00DB4A81">
        <w:rPr>
          <w:rFonts w:ascii="Baskerville" w:hAnsi="Baskerville" w:cs="Baskerville"/>
          <w:bCs/>
        </w:rPr>
        <w:t>,</w:t>
      </w:r>
      <w:r w:rsidR="00DC617E">
        <w:rPr>
          <w:rFonts w:ascii="Baskerville" w:hAnsi="Baskerville" w:cs="Baskerville"/>
          <w:bCs/>
        </w:rPr>
        <w:t xml:space="preserve"> to </w:t>
      </w:r>
      <w:r w:rsidR="00B62EEB">
        <w:rPr>
          <w:rFonts w:ascii="Baskerville" w:hAnsi="Baskerville" w:cs="Baskerville"/>
          <w:bCs/>
        </w:rPr>
        <w:t>provide a one-time</w:t>
      </w:r>
      <w:r w:rsidR="00EB7F49">
        <w:rPr>
          <w:rFonts w:ascii="Baskerville" w:hAnsi="Baskerville" w:cs="Baskerville"/>
          <w:bCs/>
        </w:rPr>
        <w:t xml:space="preserve"> </w:t>
      </w:r>
      <w:r w:rsidR="00B62EEB">
        <w:rPr>
          <w:rFonts w:ascii="Baskerville" w:hAnsi="Baskerville" w:cs="Baskerville"/>
          <w:bCs/>
        </w:rPr>
        <w:t xml:space="preserve">financial award to 600 individuals during </w:t>
      </w:r>
      <w:r w:rsidR="002A74F0">
        <w:rPr>
          <w:rFonts w:ascii="Baskerville" w:hAnsi="Baskerville" w:cs="Baskerville"/>
          <w:bCs/>
        </w:rPr>
        <w:t>the first half of FY 2015</w:t>
      </w:r>
      <w:r w:rsidR="0063463E">
        <w:rPr>
          <w:rFonts w:ascii="Baskerville" w:hAnsi="Baskerville" w:cs="Baskerville"/>
          <w:bCs/>
        </w:rPr>
        <w:t>. T</w:t>
      </w:r>
      <w:r w:rsidR="00B62EEB">
        <w:rPr>
          <w:rFonts w:ascii="Baskerville" w:hAnsi="Baskerville" w:cs="Baskerville"/>
          <w:bCs/>
        </w:rPr>
        <w:t xml:space="preserve">he Commonwealth </w:t>
      </w:r>
      <w:r w:rsidR="00DB4A81">
        <w:rPr>
          <w:rFonts w:ascii="Baskerville" w:hAnsi="Baskerville" w:cs="Baskerville"/>
          <w:bCs/>
        </w:rPr>
        <w:t>has $1.5 million</w:t>
      </w:r>
      <w:r w:rsidR="00FA0519">
        <w:rPr>
          <w:rFonts w:ascii="Baskerville" w:hAnsi="Baskerville" w:cs="Baskerville"/>
          <w:bCs/>
        </w:rPr>
        <w:t xml:space="preserve"> remaining</w:t>
      </w:r>
      <w:r w:rsidR="00530B8F">
        <w:rPr>
          <w:rFonts w:ascii="Baskerville" w:hAnsi="Baskerville" w:cs="Baskerville"/>
          <w:bCs/>
        </w:rPr>
        <w:t>.</w:t>
      </w:r>
      <w:r w:rsidR="002A74F0">
        <w:rPr>
          <w:rFonts w:ascii="Baskerville" w:hAnsi="Baskerville" w:cs="Baskerville"/>
          <w:bCs/>
        </w:rPr>
        <w:t xml:space="preserve"> </w:t>
      </w:r>
      <w:r w:rsidR="00530B8F">
        <w:rPr>
          <w:rFonts w:ascii="Baskerville" w:hAnsi="Baskerville" w:cs="Baskerville"/>
          <w:bCs/>
        </w:rPr>
        <w:t xml:space="preserve">When it completes the second set of awards, the Commonwealth will </w:t>
      </w:r>
      <w:r w:rsidR="00FA0519">
        <w:rPr>
          <w:rFonts w:ascii="Baskerville" w:hAnsi="Baskerville" w:cs="Baskerville"/>
          <w:bCs/>
        </w:rPr>
        <w:t xml:space="preserve">again </w:t>
      </w:r>
      <w:r w:rsidR="002A74F0">
        <w:rPr>
          <w:rFonts w:ascii="Baskerville" w:hAnsi="Baskerville" w:cs="Baskerville"/>
          <w:bCs/>
        </w:rPr>
        <w:t xml:space="preserve">exceed the </w:t>
      </w:r>
      <w:r w:rsidR="00FA0519">
        <w:rPr>
          <w:rFonts w:ascii="Baskerville" w:hAnsi="Baskerville" w:cs="Baskerville"/>
          <w:bCs/>
        </w:rPr>
        <w:t xml:space="preserve">minimum number of </w:t>
      </w:r>
      <w:r w:rsidR="00530B8F">
        <w:rPr>
          <w:rFonts w:ascii="Baskerville" w:hAnsi="Baskerville" w:cs="Baskerville"/>
          <w:bCs/>
        </w:rPr>
        <w:t xml:space="preserve">1000 </w:t>
      </w:r>
      <w:r w:rsidR="00FA0519">
        <w:rPr>
          <w:rFonts w:ascii="Baskerville" w:hAnsi="Baskerville" w:cs="Baskerville"/>
          <w:bCs/>
        </w:rPr>
        <w:t xml:space="preserve">beneficiaries </w:t>
      </w:r>
      <w:r w:rsidR="00A33CE4">
        <w:rPr>
          <w:rFonts w:ascii="Baskerville" w:hAnsi="Baskerville" w:cs="Baskerville"/>
          <w:bCs/>
        </w:rPr>
        <w:t>during FY 2015</w:t>
      </w:r>
      <w:r w:rsidR="00530B8F">
        <w:rPr>
          <w:rFonts w:ascii="Baskerville" w:hAnsi="Baskerville" w:cs="Baskerville"/>
          <w:bCs/>
        </w:rPr>
        <w:t>.</w:t>
      </w:r>
      <w:r w:rsidR="00A33CE4">
        <w:rPr>
          <w:rFonts w:ascii="Baskerville" w:hAnsi="Baskerville" w:cs="Baskerville"/>
          <w:bCs/>
        </w:rPr>
        <w:t xml:space="preserve"> When it does</w:t>
      </w:r>
      <w:r w:rsidR="0063463E">
        <w:rPr>
          <w:rFonts w:ascii="Baskerville" w:hAnsi="Baskerville" w:cs="Baskerville"/>
          <w:bCs/>
        </w:rPr>
        <w:t xml:space="preserve"> so, the Commonwealth will </w:t>
      </w:r>
      <w:r w:rsidR="00A33CE4">
        <w:rPr>
          <w:rFonts w:ascii="Baskerville" w:hAnsi="Baskerville" w:cs="Baskerville"/>
          <w:bCs/>
        </w:rPr>
        <w:t xml:space="preserve">again </w:t>
      </w:r>
      <w:r w:rsidR="00004820">
        <w:rPr>
          <w:rFonts w:ascii="Baskerville" w:hAnsi="Baskerville" w:cs="Baskerville"/>
          <w:bCs/>
        </w:rPr>
        <w:t xml:space="preserve">have </w:t>
      </w:r>
      <w:r w:rsidR="00A33CE4">
        <w:rPr>
          <w:rFonts w:ascii="Baskerville" w:hAnsi="Baskerville" w:cs="Baskerville"/>
          <w:bCs/>
        </w:rPr>
        <w:t xml:space="preserve">complied with the </w:t>
      </w:r>
      <w:r w:rsidR="009736BD">
        <w:rPr>
          <w:rFonts w:ascii="Baskerville" w:hAnsi="Baskerville" w:cs="Baskerville"/>
          <w:bCs/>
        </w:rPr>
        <w:t>quantitative requirements of III.C.2.</w:t>
      </w:r>
    </w:p>
    <w:p w:rsidR="00606072" w:rsidRDefault="00606072" w:rsidP="003518FC">
      <w:pPr>
        <w:rPr>
          <w:rFonts w:ascii="Baskerville" w:hAnsi="Baskerville" w:cs="Baskerville"/>
          <w:bCs/>
        </w:rPr>
      </w:pPr>
    </w:p>
    <w:p w:rsidR="00C8606F" w:rsidRDefault="00B36FA0" w:rsidP="003518FC">
      <w:pPr>
        <w:rPr>
          <w:rFonts w:ascii="Baskerville" w:hAnsi="Baskerville" w:cs="Baskerville"/>
          <w:bCs/>
        </w:rPr>
      </w:pPr>
      <w:r>
        <w:rPr>
          <w:rFonts w:ascii="Baskerville" w:hAnsi="Baskerville" w:cs="Baskerville"/>
          <w:bCs/>
        </w:rPr>
        <w:t xml:space="preserve">The consultant </w:t>
      </w:r>
      <w:r w:rsidR="004A63D2" w:rsidRPr="00B81081">
        <w:rPr>
          <w:rFonts w:ascii="Baskerville" w:hAnsi="Baskerville" w:cs="Baskerville"/>
          <w:bCs/>
        </w:rPr>
        <w:t xml:space="preserve">found that the Commonwealth’s Individual and Family Support Program was not designed or implemented to meet the qualitative aspects of the definition </w:t>
      </w:r>
      <w:r w:rsidR="009736BD">
        <w:rPr>
          <w:rFonts w:ascii="Baskerville" w:hAnsi="Baskerville" w:cs="Baskerville"/>
          <w:bCs/>
        </w:rPr>
        <w:t>(</w:t>
      </w:r>
      <w:r w:rsidR="009736BD" w:rsidRPr="00B81081">
        <w:rPr>
          <w:rFonts w:ascii="Baskerville" w:hAnsi="Baskerville" w:cs="Baskerville"/>
          <w:bCs/>
        </w:rPr>
        <w:t>Section II.D</w:t>
      </w:r>
      <w:r w:rsidR="009736BD">
        <w:rPr>
          <w:rFonts w:ascii="Baskerville" w:hAnsi="Baskerville" w:cs="Baskerville"/>
          <w:bCs/>
        </w:rPr>
        <w:t xml:space="preserve">) </w:t>
      </w:r>
      <w:r w:rsidR="004A63D2" w:rsidRPr="00B81081">
        <w:rPr>
          <w:rFonts w:ascii="Baskerville" w:hAnsi="Baskerville" w:cs="Baskerville"/>
          <w:bCs/>
        </w:rPr>
        <w:t>of an individu</w:t>
      </w:r>
      <w:r w:rsidR="004F768C">
        <w:rPr>
          <w:rFonts w:ascii="Baskerville" w:hAnsi="Baskerville" w:cs="Baskerville"/>
          <w:bCs/>
        </w:rPr>
        <w:t>al and family support program</w:t>
      </w:r>
      <w:r w:rsidR="00567076">
        <w:rPr>
          <w:rFonts w:ascii="Baskerville" w:hAnsi="Baskerville" w:cs="Baskerville"/>
          <w:bCs/>
        </w:rPr>
        <w:t>. The IFSP did not include</w:t>
      </w:r>
      <w:r w:rsidR="004A63D2" w:rsidRPr="00B81081">
        <w:rPr>
          <w:rFonts w:ascii="Baskerville" w:hAnsi="Baskerville" w:cs="Baskerville"/>
          <w:bCs/>
        </w:rPr>
        <w:t xml:space="preserve"> a comprehensive and coordina</w:t>
      </w:r>
      <w:r w:rsidR="00567076">
        <w:rPr>
          <w:rFonts w:ascii="Baskerville" w:hAnsi="Baskerville" w:cs="Baskerville"/>
          <w:bCs/>
        </w:rPr>
        <w:t>ted set of strategies to ensure</w:t>
      </w:r>
      <w:r w:rsidR="004A63D2" w:rsidRPr="00B81081">
        <w:rPr>
          <w:rFonts w:ascii="Baskerville" w:hAnsi="Baskerville" w:cs="Baskerville"/>
          <w:bCs/>
        </w:rPr>
        <w:t xml:space="preserve"> access to </w:t>
      </w:r>
      <w:r w:rsidR="004A63D2" w:rsidRPr="004F768C">
        <w:rPr>
          <w:rFonts w:ascii="Baskerville" w:hAnsi="Baskerville" w:cs="Baskerville"/>
          <w:bCs/>
        </w:rPr>
        <w:t>person</w:t>
      </w:r>
      <w:r w:rsidR="00CB3A54">
        <w:rPr>
          <w:rFonts w:ascii="Baskerville" w:hAnsi="Baskerville" w:cs="Baskerville"/>
          <w:bCs/>
        </w:rPr>
        <w:t xml:space="preserve"> and family</w:t>
      </w:r>
      <w:r w:rsidR="004A63D2" w:rsidRPr="004F768C">
        <w:rPr>
          <w:rFonts w:ascii="Baskerville" w:hAnsi="Baskerville" w:cs="Baskerville"/>
          <w:bCs/>
        </w:rPr>
        <w:t>-centered</w:t>
      </w:r>
      <w:r w:rsidR="002B202D">
        <w:rPr>
          <w:rFonts w:ascii="Baskerville" w:hAnsi="Baskerville" w:cs="Baskerville"/>
          <w:bCs/>
        </w:rPr>
        <w:t xml:space="preserve"> </w:t>
      </w:r>
      <w:r w:rsidR="00CB3A54">
        <w:rPr>
          <w:rFonts w:ascii="Baskerville" w:hAnsi="Baskerville" w:cs="Baskerville"/>
          <w:bCs/>
        </w:rPr>
        <w:t xml:space="preserve">resources and </w:t>
      </w:r>
      <w:r w:rsidR="002B202D">
        <w:rPr>
          <w:rFonts w:ascii="Baskerville" w:hAnsi="Baskerville" w:cs="Baskerville"/>
          <w:bCs/>
        </w:rPr>
        <w:t xml:space="preserve">supports. </w:t>
      </w:r>
      <w:r w:rsidR="000B2FE6">
        <w:rPr>
          <w:rFonts w:ascii="Baskerville" w:hAnsi="Baskerville" w:cs="Baskerville"/>
          <w:bCs/>
        </w:rPr>
        <w:t xml:space="preserve">To solicit input </w:t>
      </w:r>
      <w:r w:rsidR="00321A5B">
        <w:rPr>
          <w:rFonts w:ascii="Baskerville" w:hAnsi="Baskerville" w:cs="Baskerville"/>
          <w:bCs/>
        </w:rPr>
        <w:t>in</w:t>
      </w:r>
      <w:r w:rsidR="000B2FE6">
        <w:rPr>
          <w:rFonts w:ascii="Baskerville" w:hAnsi="Baskerville" w:cs="Baskerville"/>
          <w:bCs/>
        </w:rPr>
        <w:t xml:space="preserve"> the design of the program, t</w:t>
      </w:r>
      <w:r w:rsidR="002B202D">
        <w:rPr>
          <w:rFonts w:ascii="Baskerville" w:hAnsi="Baskerville" w:cs="Baskerville"/>
          <w:bCs/>
        </w:rPr>
        <w:t xml:space="preserve">he Commonwealth documented </w:t>
      </w:r>
      <w:r w:rsidR="004F768C">
        <w:rPr>
          <w:rFonts w:ascii="Baskerville" w:hAnsi="Baskerville" w:cs="Baskerville"/>
          <w:bCs/>
        </w:rPr>
        <w:t>that it met once</w:t>
      </w:r>
      <w:r w:rsidR="000B2FE6" w:rsidRPr="000B2FE6">
        <w:rPr>
          <w:rFonts w:ascii="Baskerville" w:hAnsi="Baskerville" w:cs="Baskerville"/>
          <w:bCs/>
        </w:rPr>
        <w:t xml:space="preserve"> </w:t>
      </w:r>
      <w:r w:rsidR="000B2FE6">
        <w:rPr>
          <w:rFonts w:ascii="Baskerville" w:hAnsi="Baskerville" w:cs="Baskerville"/>
          <w:bCs/>
        </w:rPr>
        <w:t>with a</w:t>
      </w:r>
      <w:r w:rsidR="000B2FE6" w:rsidRPr="00B81081">
        <w:rPr>
          <w:rFonts w:ascii="Baskerville" w:hAnsi="Baskerville" w:cs="Baskerville"/>
          <w:bCs/>
        </w:rPr>
        <w:t xml:space="preserve"> stakehol</w:t>
      </w:r>
      <w:r w:rsidR="000B2FE6">
        <w:rPr>
          <w:rFonts w:ascii="Baskerville" w:hAnsi="Baskerville" w:cs="Baskerville"/>
          <w:bCs/>
        </w:rPr>
        <w:t xml:space="preserve">der group in April 2012.   </w:t>
      </w:r>
      <w:r w:rsidR="00CB3A54">
        <w:rPr>
          <w:rFonts w:ascii="Baskerville" w:hAnsi="Baskerville" w:cs="Baskerville"/>
          <w:bCs/>
        </w:rPr>
        <w:t xml:space="preserve">DBHDS </w:t>
      </w:r>
      <w:r w:rsidR="000B2FE6">
        <w:rPr>
          <w:rFonts w:ascii="Baskerville" w:hAnsi="Baskerville" w:cs="Baskerville"/>
          <w:bCs/>
        </w:rPr>
        <w:t xml:space="preserve">reports that it met more frequently and that it considered information gathered from other states. It </w:t>
      </w:r>
      <w:r w:rsidR="00CB3A54">
        <w:rPr>
          <w:rFonts w:ascii="Baskerville" w:hAnsi="Baskerville" w:cs="Baskerville"/>
          <w:bCs/>
        </w:rPr>
        <w:t xml:space="preserve">did not </w:t>
      </w:r>
      <w:r w:rsidR="000B2FE6">
        <w:rPr>
          <w:rFonts w:ascii="Baskerville" w:hAnsi="Baskerville" w:cs="Baskerville"/>
          <w:bCs/>
        </w:rPr>
        <w:t xml:space="preserve">provide </w:t>
      </w:r>
      <w:r w:rsidR="00CB3A54">
        <w:rPr>
          <w:rFonts w:ascii="Baskerville" w:hAnsi="Baskerville" w:cs="Baskerville"/>
          <w:bCs/>
        </w:rPr>
        <w:t>document</w:t>
      </w:r>
      <w:r w:rsidR="000B2FE6">
        <w:rPr>
          <w:rFonts w:ascii="Baskerville" w:hAnsi="Baskerville" w:cs="Baskerville"/>
          <w:bCs/>
        </w:rPr>
        <w:t>ation of these meetings, the</w:t>
      </w:r>
      <w:r w:rsidR="00CB3A54">
        <w:rPr>
          <w:rFonts w:ascii="Baskerville" w:hAnsi="Baskerville" w:cs="Baskerville"/>
          <w:bCs/>
        </w:rPr>
        <w:t xml:space="preserve"> options considered</w:t>
      </w:r>
      <w:r w:rsidR="00222726">
        <w:rPr>
          <w:rFonts w:ascii="Baskerville" w:hAnsi="Baskerville" w:cs="Baskerville"/>
          <w:bCs/>
        </w:rPr>
        <w:t>,</w:t>
      </w:r>
      <w:r w:rsidR="00CB3A54">
        <w:rPr>
          <w:rFonts w:ascii="Baskerville" w:hAnsi="Baskerville" w:cs="Baskerville"/>
          <w:bCs/>
        </w:rPr>
        <w:t xml:space="preserve"> or</w:t>
      </w:r>
      <w:r w:rsidR="004A63D2" w:rsidRPr="00B81081">
        <w:rPr>
          <w:rFonts w:ascii="Baskerville" w:hAnsi="Baskerville" w:cs="Baskerville"/>
          <w:bCs/>
        </w:rPr>
        <w:t xml:space="preserve"> </w:t>
      </w:r>
      <w:r w:rsidR="000B2FE6">
        <w:rPr>
          <w:rFonts w:ascii="Baskerville" w:hAnsi="Baskerville" w:cs="Baskerville"/>
          <w:bCs/>
        </w:rPr>
        <w:t xml:space="preserve">the </w:t>
      </w:r>
      <w:r w:rsidR="004A63D2" w:rsidRPr="00B81081">
        <w:rPr>
          <w:rFonts w:ascii="Baskerville" w:hAnsi="Baskerville" w:cs="Baskerville"/>
          <w:bCs/>
        </w:rPr>
        <w:t>rationales for d</w:t>
      </w:r>
      <w:r w:rsidR="00CB3A54">
        <w:rPr>
          <w:rFonts w:ascii="Baskerville" w:hAnsi="Baskerville" w:cs="Baskerville"/>
          <w:bCs/>
        </w:rPr>
        <w:t>ecisions</w:t>
      </w:r>
      <w:r w:rsidR="004A63D2" w:rsidRPr="00B81081">
        <w:rPr>
          <w:rFonts w:ascii="Baskerville" w:hAnsi="Baskerville" w:cs="Baskerville"/>
          <w:bCs/>
        </w:rPr>
        <w:t>. Stakeholder participa</w:t>
      </w:r>
      <w:r w:rsidR="000824CF">
        <w:rPr>
          <w:rFonts w:ascii="Baskerville" w:hAnsi="Baskerville" w:cs="Baskerville"/>
          <w:bCs/>
        </w:rPr>
        <w:t xml:space="preserve">nts reported to the IR that DBHDS established tight </w:t>
      </w:r>
      <w:r w:rsidR="0020705D">
        <w:rPr>
          <w:rFonts w:ascii="Baskerville" w:hAnsi="Baskerville" w:cs="Baskerville"/>
          <w:bCs/>
        </w:rPr>
        <w:t>parameters for</w:t>
      </w:r>
      <w:r w:rsidR="004A63D2" w:rsidRPr="00B81081">
        <w:rPr>
          <w:rFonts w:ascii="Baskerville" w:hAnsi="Baskerville" w:cs="Baskerville"/>
          <w:bCs/>
        </w:rPr>
        <w:t xml:space="preserve"> </w:t>
      </w:r>
      <w:r w:rsidR="0020705D">
        <w:rPr>
          <w:rFonts w:ascii="Baskerville" w:hAnsi="Baskerville" w:cs="Baskerville"/>
          <w:bCs/>
        </w:rPr>
        <w:t>the IFSP</w:t>
      </w:r>
      <w:r w:rsidR="00D53CBD">
        <w:rPr>
          <w:rFonts w:ascii="Baskerville" w:hAnsi="Baskerville" w:cs="Baskerville"/>
          <w:bCs/>
        </w:rPr>
        <w:t xml:space="preserve">: </w:t>
      </w:r>
      <w:r w:rsidR="00C51253">
        <w:rPr>
          <w:rFonts w:ascii="Baskerville" w:hAnsi="Baskerville" w:cs="Baskerville"/>
          <w:bCs/>
        </w:rPr>
        <w:t>the</w:t>
      </w:r>
      <w:r w:rsidR="004A63D2" w:rsidRPr="00B81081">
        <w:rPr>
          <w:rFonts w:ascii="Baskerville" w:hAnsi="Baskerville" w:cs="Baskerville"/>
          <w:bCs/>
        </w:rPr>
        <w:t xml:space="preserve"> timeline</w:t>
      </w:r>
      <w:r w:rsidR="00C51253">
        <w:rPr>
          <w:rFonts w:ascii="Baskerville" w:hAnsi="Baskerville" w:cs="Baskerville"/>
          <w:bCs/>
        </w:rPr>
        <w:t xml:space="preserve"> in the Agre</w:t>
      </w:r>
      <w:r w:rsidR="002C755E">
        <w:rPr>
          <w:rFonts w:ascii="Baskerville" w:hAnsi="Baskerville" w:cs="Baskerville"/>
          <w:bCs/>
        </w:rPr>
        <w:t>e</w:t>
      </w:r>
      <w:r w:rsidR="00C51253">
        <w:rPr>
          <w:rFonts w:ascii="Baskerville" w:hAnsi="Baskerville" w:cs="Baskerville"/>
          <w:bCs/>
        </w:rPr>
        <w:t>ment for the first awards</w:t>
      </w:r>
      <w:r w:rsidR="004A63D2" w:rsidRPr="00B81081">
        <w:rPr>
          <w:rFonts w:ascii="Baskerville" w:hAnsi="Baskerville" w:cs="Baskerville"/>
          <w:bCs/>
        </w:rPr>
        <w:t xml:space="preserve">, </w:t>
      </w:r>
      <w:r w:rsidR="0020705D">
        <w:rPr>
          <w:rFonts w:ascii="Baskerville" w:hAnsi="Baskerville" w:cs="Baskerville"/>
          <w:bCs/>
        </w:rPr>
        <w:t xml:space="preserve">the </w:t>
      </w:r>
      <w:r w:rsidR="004A63D2" w:rsidRPr="00B81081">
        <w:rPr>
          <w:rFonts w:ascii="Baskerville" w:hAnsi="Baskerville" w:cs="Baskerville"/>
          <w:bCs/>
        </w:rPr>
        <w:t xml:space="preserve">number </w:t>
      </w:r>
      <w:r w:rsidR="002C755E">
        <w:rPr>
          <w:rFonts w:ascii="Baskerville" w:hAnsi="Baskerville" w:cs="Baskerville"/>
          <w:bCs/>
        </w:rPr>
        <w:t xml:space="preserve">of individuals </w:t>
      </w:r>
      <w:r w:rsidR="0020705D">
        <w:rPr>
          <w:rFonts w:ascii="Baskerville" w:hAnsi="Baskerville" w:cs="Baskerville"/>
          <w:bCs/>
        </w:rPr>
        <w:t xml:space="preserve">to be </w:t>
      </w:r>
      <w:r w:rsidR="004A63D2" w:rsidRPr="00B81081">
        <w:rPr>
          <w:rFonts w:ascii="Baskerville" w:hAnsi="Baskerville" w:cs="Baskerville"/>
          <w:bCs/>
        </w:rPr>
        <w:t xml:space="preserve">served </w:t>
      </w:r>
      <w:r w:rsidR="0020705D">
        <w:rPr>
          <w:rFonts w:ascii="Baskerville" w:hAnsi="Baskerville" w:cs="Baskerville"/>
          <w:bCs/>
        </w:rPr>
        <w:t xml:space="preserve">and </w:t>
      </w:r>
      <w:r w:rsidR="00321A5B">
        <w:rPr>
          <w:rFonts w:ascii="Baskerville" w:hAnsi="Baskerville" w:cs="Baskerville"/>
          <w:bCs/>
        </w:rPr>
        <w:t xml:space="preserve">the </w:t>
      </w:r>
      <w:r w:rsidR="0020705D">
        <w:rPr>
          <w:rFonts w:ascii="Baskerville" w:hAnsi="Baskerville" w:cs="Baskerville"/>
          <w:bCs/>
        </w:rPr>
        <w:t xml:space="preserve">amount of money available. </w:t>
      </w:r>
      <w:r w:rsidR="000B2FE6">
        <w:rPr>
          <w:rFonts w:ascii="Baskerville" w:hAnsi="Baskerville" w:cs="Baskerville"/>
          <w:bCs/>
        </w:rPr>
        <w:t>To establish a maximum annual award to a single individual of $3,000, t</w:t>
      </w:r>
      <w:r w:rsidR="00DF5E03" w:rsidRPr="00B81081">
        <w:rPr>
          <w:rFonts w:ascii="Baskerville" w:hAnsi="Baskerville" w:cs="Baskerville"/>
          <w:bCs/>
        </w:rPr>
        <w:t xml:space="preserve">he </w:t>
      </w:r>
      <w:r w:rsidR="00DF5E03">
        <w:rPr>
          <w:rFonts w:ascii="Baskerville" w:hAnsi="Baskerville" w:cs="Baskerville"/>
          <w:bCs/>
        </w:rPr>
        <w:t xml:space="preserve">Commonwealth </w:t>
      </w:r>
      <w:r w:rsidR="00460445">
        <w:rPr>
          <w:rFonts w:ascii="Baskerville" w:hAnsi="Baskerville" w:cs="Baskerville"/>
          <w:bCs/>
        </w:rPr>
        <w:t xml:space="preserve">divided the available $3 million by the minimum number of 1000 individuals </w:t>
      </w:r>
      <w:r w:rsidR="005C7B99">
        <w:rPr>
          <w:rFonts w:ascii="Baskerville" w:hAnsi="Baskerville" w:cs="Baskerville"/>
          <w:bCs/>
        </w:rPr>
        <w:t>it is required to support</w:t>
      </w:r>
      <w:r w:rsidR="00460445">
        <w:rPr>
          <w:rFonts w:ascii="Baskerville" w:hAnsi="Baskerville" w:cs="Baskerville"/>
          <w:bCs/>
        </w:rPr>
        <w:t xml:space="preserve"> annually</w:t>
      </w:r>
      <w:r w:rsidR="00043CA5">
        <w:rPr>
          <w:rFonts w:ascii="Baskerville" w:hAnsi="Baskerville" w:cs="Baskerville"/>
          <w:bCs/>
        </w:rPr>
        <w:t xml:space="preserve">. </w:t>
      </w:r>
      <w:r w:rsidR="000B2FE6">
        <w:rPr>
          <w:rFonts w:ascii="Baskerville" w:hAnsi="Baskerville" w:cs="Baskerville"/>
          <w:bCs/>
        </w:rPr>
        <w:t>It decided to award up to this</w:t>
      </w:r>
      <w:r w:rsidR="00257DDB">
        <w:rPr>
          <w:rFonts w:ascii="Baskerville" w:hAnsi="Baskerville" w:cs="Baskerville"/>
          <w:bCs/>
        </w:rPr>
        <w:t xml:space="preserve"> o</w:t>
      </w:r>
      <w:r w:rsidR="000B2FE6">
        <w:rPr>
          <w:rFonts w:ascii="Baskerville" w:hAnsi="Baskerville" w:cs="Baskerville"/>
          <w:bCs/>
        </w:rPr>
        <w:t>ne-</w:t>
      </w:r>
      <w:r w:rsidR="00257DDB">
        <w:rPr>
          <w:rFonts w:ascii="Baskerville" w:hAnsi="Baskerville" w:cs="Baskerville"/>
          <w:bCs/>
        </w:rPr>
        <w:t xml:space="preserve">time amount on a first come-first serve basis.  </w:t>
      </w:r>
      <w:r w:rsidR="000B2FE6">
        <w:rPr>
          <w:rFonts w:ascii="Baskerville" w:hAnsi="Baskerville" w:cs="Baskerville"/>
          <w:bCs/>
        </w:rPr>
        <w:t>The Commonwealth recognized that an</w:t>
      </w:r>
      <w:r w:rsidR="00222726">
        <w:rPr>
          <w:rFonts w:ascii="Baskerville" w:hAnsi="Baskerville" w:cs="Baskerville"/>
          <w:bCs/>
        </w:rPr>
        <w:t xml:space="preserve"> </w:t>
      </w:r>
      <w:r w:rsidR="00043CA5">
        <w:rPr>
          <w:rFonts w:ascii="Baskerville" w:hAnsi="Baskerville" w:cs="Baskerville"/>
          <w:bCs/>
        </w:rPr>
        <w:t>average</w:t>
      </w:r>
      <w:r w:rsidR="000B2FE6">
        <w:rPr>
          <w:rFonts w:ascii="Baskerville" w:hAnsi="Baskerville" w:cs="Baskerville"/>
          <w:bCs/>
        </w:rPr>
        <w:t xml:space="preserve"> award of</w:t>
      </w:r>
      <w:r w:rsidR="003343CD">
        <w:rPr>
          <w:rFonts w:ascii="Baskerville" w:hAnsi="Baskerville" w:cs="Baskerville"/>
          <w:bCs/>
        </w:rPr>
        <w:t xml:space="preserve"> less than the</w:t>
      </w:r>
      <w:r w:rsidR="00043CA5">
        <w:rPr>
          <w:rFonts w:ascii="Baskerville" w:hAnsi="Baskerville" w:cs="Baskerville"/>
          <w:bCs/>
        </w:rPr>
        <w:t xml:space="preserve"> maximum</w:t>
      </w:r>
      <w:r w:rsidR="003343CD">
        <w:rPr>
          <w:rFonts w:ascii="Baskerville" w:hAnsi="Baskerville" w:cs="Baskerville"/>
          <w:bCs/>
        </w:rPr>
        <w:t xml:space="preserve"> </w:t>
      </w:r>
      <w:r w:rsidR="000B2FE6">
        <w:rPr>
          <w:rFonts w:ascii="Baskerville" w:hAnsi="Baskerville" w:cs="Baskerville"/>
          <w:bCs/>
        </w:rPr>
        <w:t xml:space="preserve">would result in </w:t>
      </w:r>
      <w:r w:rsidR="00043CA5">
        <w:rPr>
          <w:rFonts w:ascii="Baskerville" w:hAnsi="Baskerville" w:cs="Baskerville"/>
          <w:bCs/>
        </w:rPr>
        <w:t>more</w:t>
      </w:r>
      <w:r w:rsidR="003343CD">
        <w:rPr>
          <w:rFonts w:ascii="Baskerville" w:hAnsi="Baskerville" w:cs="Baskerville"/>
          <w:bCs/>
        </w:rPr>
        <w:t xml:space="preserve"> than the minimum</w:t>
      </w:r>
      <w:r w:rsidR="00C8606F">
        <w:rPr>
          <w:rFonts w:ascii="Baskerville" w:hAnsi="Baskerville" w:cs="Baskerville"/>
          <w:bCs/>
        </w:rPr>
        <w:t xml:space="preserve"> required number of individuals</w:t>
      </w:r>
      <w:r w:rsidR="00043CA5">
        <w:rPr>
          <w:rFonts w:ascii="Baskerville" w:hAnsi="Baskerville" w:cs="Baskerville"/>
          <w:bCs/>
        </w:rPr>
        <w:t xml:space="preserve"> </w:t>
      </w:r>
      <w:r w:rsidR="00233AAA">
        <w:rPr>
          <w:rFonts w:ascii="Baskerville" w:hAnsi="Baskerville" w:cs="Baskerville"/>
          <w:bCs/>
        </w:rPr>
        <w:t xml:space="preserve">who </w:t>
      </w:r>
      <w:r w:rsidR="009123AB">
        <w:rPr>
          <w:rFonts w:ascii="Baskerville" w:hAnsi="Baskerville" w:cs="Baskerville"/>
          <w:bCs/>
        </w:rPr>
        <w:t>would receive an award</w:t>
      </w:r>
      <w:r w:rsidR="002C755E">
        <w:rPr>
          <w:rFonts w:ascii="Baskerville" w:hAnsi="Baskerville" w:cs="Baskerville"/>
          <w:bCs/>
        </w:rPr>
        <w:t xml:space="preserve"> annually</w:t>
      </w:r>
      <w:r w:rsidR="003C5C4D">
        <w:rPr>
          <w:rFonts w:ascii="Baskerville" w:hAnsi="Baskerville" w:cs="Baskerville"/>
          <w:bCs/>
        </w:rPr>
        <w:t xml:space="preserve">. </w:t>
      </w:r>
      <w:r w:rsidR="00460445">
        <w:rPr>
          <w:rFonts w:ascii="Baskerville" w:hAnsi="Baskerville" w:cs="Baskerville"/>
          <w:bCs/>
        </w:rPr>
        <w:t xml:space="preserve"> </w:t>
      </w:r>
      <w:r w:rsidR="00C8606F">
        <w:rPr>
          <w:rFonts w:ascii="Baskerville" w:hAnsi="Baskerville" w:cs="Baskerville"/>
          <w:bCs/>
        </w:rPr>
        <w:t xml:space="preserve">The </w:t>
      </w:r>
      <w:r w:rsidR="009365D7">
        <w:rPr>
          <w:rFonts w:ascii="Baskerville" w:hAnsi="Baskerville" w:cs="Baskerville"/>
          <w:bCs/>
        </w:rPr>
        <w:t>Co</w:t>
      </w:r>
      <w:r w:rsidR="00233AAA">
        <w:rPr>
          <w:rFonts w:ascii="Baskerville" w:hAnsi="Baskerville" w:cs="Baskerville"/>
          <w:bCs/>
        </w:rPr>
        <w:t>mmonwealth determined that</w:t>
      </w:r>
      <w:r w:rsidR="009365D7">
        <w:rPr>
          <w:rFonts w:ascii="Baskerville" w:hAnsi="Baskerville" w:cs="Baskerville"/>
          <w:bCs/>
        </w:rPr>
        <w:t xml:space="preserve"> “most at risk of institutionalization” is </w:t>
      </w:r>
      <w:r w:rsidR="00222726">
        <w:rPr>
          <w:rFonts w:ascii="Baskerville" w:hAnsi="Baskerville" w:cs="Baskerville"/>
          <w:bCs/>
        </w:rPr>
        <w:t xml:space="preserve">defined as </w:t>
      </w:r>
      <w:r w:rsidR="009365D7">
        <w:rPr>
          <w:rFonts w:ascii="Baskerville" w:hAnsi="Baskerville" w:cs="Baskerville"/>
          <w:bCs/>
        </w:rPr>
        <w:t>everyone who is on its waitlists for services under the HCBS waiver</w:t>
      </w:r>
      <w:r w:rsidR="009123AB">
        <w:rPr>
          <w:rFonts w:ascii="Baskerville" w:hAnsi="Baskerville" w:cs="Baskerville"/>
          <w:bCs/>
        </w:rPr>
        <w:t>s</w:t>
      </w:r>
      <w:r w:rsidR="009365D7">
        <w:rPr>
          <w:rFonts w:ascii="Baskerville" w:hAnsi="Baskerville" w:cs="Baskerville"/>
          <w:bCs/>
        </w:rPr>
        <w:t>.</w:t>
      </w:r>
    </w:p>
    <w:p w:rsidR="00C8606F" w:rsidRDefault="00C8606F" w:rsidP="003518FC">
      <w:pPr>
        <w:rPr>
          <w:rFonts w:ascii="Baskerville" w:hAnsi="Baskerville" w:cs="Baskerville"/>
          <w:bCs/>
        </w:rPr>
      </w:pPr>
    </w:p>
    <w:p w:rsidR="004A63D2" w:rsidRPr="00B81081" w:rsidRDefault="0068155A" w:rsidP="003518FC">
      <w:pPr>
        <w:rPr>
          <w:rFonts w:ascii="Baskerville" w:hAnsi="Baskerville" w:cs="Baskerville"/>
          <w:bCs/>
        </w:rPr>
      </w:pPr>
      <w:r>
        <w:rPr>
          <w:rFonts w:ascii="Baskerville" w:hAnsi="Baskerville" w:cs="Baskerville"/>
          <w:bCs/>
        </w:rPr>
        <w:t xml:space="preserve">In designing and implementing the IFSP, the Commonwealth did not </w:t>
      </w:r>
      <w:r w:rsidR="00426137">
        <w:rPr>
          <w:rFonts w:ascii="Baskerville" w:hAnsi="Baskerville" w:cs="Baskerville"/>
          <w:bCs/>
        </w:rPr>
        <w:t>analyze</w:t>
      </w:r>
      <w:r>
        <w:rPr>
          <w:rFonts w:ascii="Baskerville" w:hAnsi="Baskerville" w:cs="Baskerville"/>
          <w:bCs/>
        </w:rPr>
        <w:t xml:space="preserve"> </w:t>
      </w:r>
      <w:r w:rsidR="00DF5E03">
        <w:rPr>
          <w:rFonts w:ascii="Baskerville" w:hAnsi="Baskerville" w:cs="Baskerville"/>
          <w:bCs/>
        </w:rPr>
        <w:t>the existing individual and family supports available or determine the gaps</w:t>
      </w:r>
      <w:r w:rsidR="00022C62">
        <w:rPr>
          <w:rFonts w:ascii="Baskerville" w:hAnsi="Baskerville" w:cs="Baskerville"/>
          <w:bCs/>
        </w:rPr>
        <w:t>. When the stakeholder met with DBHDS for</w:t>
      </w:r>
      <w:r w:rsidR="009123AB">
        <w:rPr>
          <w:rFonts w:ascii="Baskerville" w:hAnsi="Baskerville" w:cs="Baskerville"/>
          <w:bCs/>
        </w:rPr>
        <w:t xml:space="preserve"> its documented </w:t>
      </w:r>
      <w:r w:rsidR="00022C62" w:rsidRPr="00B81081">
        <w:rPr>
          <w:rFonts w:ascii="Baskerville" w:hAnsi="Baskerville" w:cs="Baskerville"/>
          <w:bCs/>
        </w:rPr>
        <w:t>annual meeting in 2012, 2013, and 2104</w:t>
      </w:r>
      <w:r w:rsidR="004D76AE">
        <w:rPr>
          <w:rFonts w:ascii="Baskerville" w:hAnsi="Baskerville" w:cs="Baskerville"/>
          <w:bCs/>
        </w:rPr>
        <w:t>, there was no discussion as to</w:t>
      </w:r>
      <w:r w:rsidR="00DF5E03" w:rsidRPr="00B81081">
        <w:rPr>
          <w:rFonts w:ascii="Baskerville" w:hAnsi="Baskerville" w:cs="Baskerville"/>
          <w:bCs/>
        </w:rPr>
        <w:t xml:space="preserve"> how to achieve a comprehensive and coo</w:t>
      </w:r>
      <w:r w:rsidR="00233AAA">
        <w:rPr>
          <w:rFonts w:ascii="Baskerville" w:hAnsi="Baskerville" w:cs="Baskerville"/>
          <w:bCs/>
        </w:rPr>
        <w:t xml:space="preserve">rdinated set of strategies to </w:t>
      </w:r>
      <w:r w:rsidR="00DF5E03" w:rsidRPr="00B81081">
        <w:rPr>
          <w:rFonts w:ascii="Baskerville" w:hAnsi="Baskerville" w:cs="Baskerville"/>
          <w:bCs/>
        </w:rPr>
        <w:t>ensure that indiv</w:t>
      </w:r>
      <w:r w:rsidR="004D76AE">
        <w:rPr>
          <w:rFonts w:ascii="Baskerville" w:hAnsi="Baskerville" w:cs="Baskerville"/>
          <w:bCs/>
        </w:rPr>
        <w:t>iduals and families have</w:t>
      </w:r>
      <w:r w:rsidR="00DF5E03" w:rsidRPr="00B81081">
        <w:rPr>
          <w:rFonts w:ascii="Baskerville" w:hAnsi="Baskerville" w:cs="Baskerville"/>
          <w:bCs/>
        </w:rPr>
        <w:t xml:space="preserve"> access to needed </w:t>
      </w:r>
      <w:r w:rsidR="004D76AE">
        <w:rPr>
          <w:rFonts w:ascii="Baskerville" w:hAnsi="Baskerville" w:cs="Baskerville"/>
          <w:bCs/>
        </w:rPr>
        <w:t xml:space="preserve">resources and </w:t>
      </w:r>
      <w:r w:rsidR="00DF5E03" w:rsidRPr="00B81081">
        <w:rPr>
          <w:rFonts w:ascii="Baskerville" w:hAnsi="Baskerville" w:cs="Baskerville"/>
          <w:bCs/>
        </w:rPr>
        <w:t>supports.</w:t>
      </w:r>
      <w:r w:rsidR="00715073">
        <w:rPr>
          <w:rFonts w:ascii="Baskerville" w:hAnsi="Baskerville" w:cs="Baskerville"/>
          <w:bCs/>
        </w:rPr>
        <w:t xml:space="preserve"> Since DBHDS implemented the IFSP, t</w:t>
      </w:r>
      <w:r w:rsidR="004A63D2" w:rsidRPr="00B81081">
        <w:rPr>
          <w:rFonts w:ascii="Baskerville" w:hAnsi="Baskerville" w:cs="Baskerville"/>
          <w:bCs/>
        </w:rPr>
        <w:t xml:space="preserve">here has been no other </w:t>
      </w:r>
      <w:r w:rsidR="004A63D2" w:rsidRPr="00B81081">
        <w:rPr>
          <w:rFonts w:ascii="Baskerville" w:hAnsi="Baskerville" w:cs="Baskerville"/>
        </w:rPr>
        <w:t xml:space="preserve">ongoing formalized </w:t>
      </w:r>
      <w:r w:rsidR="00FF5A8E">
        <w:rPr>
          <w:rFonts w:ascii="Baskerville" w:hAnsi="Baskerville" w:cs="Baskerville"/>
        </w:rPr>
        <w:t xml:space="preserve">mechanism </w:t>
      </w:r>
      <w:r w:rsidR="004A63D2" w:rsidRPr="00B81081">
        <w:rPr>
          <w:rFonts w:ascii="Baskerville" w:hAnsi="Baskerville" w:cs="Baskerville"/>
        </w:rPr>
        <w:t>for stakeholder input</w:t>
      </w:r>
      <w:r w:rsidR="00637764">
        <w:rPr>
          <w:rFonts w:ascii="Baskerville" w:hAnsi="Baskerville" w:cs="Baskerville"/>
        </w:rPr>
        <w:t>.  Such a mechanism would</w:t>
      </w:r>
      <w:r w:rsidR="004A63D2" w:rsidRPr="00B81081">
        <w:rPr>
          <w:rFonts w:ascii="Baskerville" w:hAnsi="Baskerville" w:cs="Baskerville"/>
        </w:rPr>
        <w:t xml:space="preserve"> help identify gaps in the comprehensive</w:t>
      </w:r>
      <w:r w:rsidR="00CA181D">
        <w:rPr>
          <w:rFonts w:ascii="Baskerville" w:hAnsi="Baskerville" w:cs="Baskerville"/>
        </w:rPr>
        <w:t>ness or</w:t>
      </w:r>
      <w:r w:rsidR="004A63D2" w:rsidRPr="00B81081">
        <w:rPr>
          <w:rFonts w:ascii="Baskerville" w:hAnsi="Baskerville" w:cs="Baskerville"/>
        </w:rPr>
        <w:t xml:space="preserve"> coordina</w:t>
      </w:r>
      <w:r w:rsidR="00500D7F">
        <w:rPr>
          <w:rFonts w:ascii="Baskerville" w:hAnsi="Baskerville" w:cs="Baskerville"/>
        </w:rPr>
        <w:t>tion of current strategies and</w:t>
      </w:r>
      <w:r w:rsidR="004A63D2" w:rsidRPr="00B81081">
        <w:rPr>
          <w:rFonts w:ascii="Baskerville" w:hAnsi="Baskerville" w:cs="Baskerville"/>
        </w:rPr>
        <w:t xml:space="preserve"> help </w:t>
      </w:r>
      <w:r w:rsidR="00500D7F">
        <w:rPr>
          <w:rFonts w:ascii="Baskerville" w:hAnsi="Baskerville" w:cs="Baskerville"/>
        </w:rPr>
        <w:t xml:space="preserve">to </w:t>
      </w:r>
      <w:r w:rsidR="004A63D2" w:rsidRPr="00B81081">
        <w:rPr>
          <w:rFonts w:ascii="Baskerville" w:hAnsi="Baskerville" w:cs="Baskerville"/>
        </w:rPr>
        <w:t xml:space="preserve">guide the evolution of the </w:t>
      </w:r>
      <w:r w:rsidR="0047109F">
        <w:rPr>
          <w:rFonts w:ascii="Baskerville" w:hAnsi="Baskerville" w:cs="Baskerville"/>
        </w:rPr>
        <w:t xml:space="preserve">IFSP </w:t>
      </w:r>
      <w:r w:rsidR="004A63D2" w:rsidRPr="00B81081">
        <w:rPr>
          <w:rFonts w:ascii="Baskerville" w:hAnsi="Baskerville" w:cs="Baskerville"/>
        </w:rPr>
        <w:t>to meet t</w:t>
      </w:r>
      <w:r w:rsidR="00CA181D">
        <w:rPr>
          <w:rFonts w:ascii="Baskerville" w:hAnsi="Baskerville" w:cs="Baskerville"/>
        </w:rPr>
        <w:t xml:space="preserve">he definition </w:t>
      </w:r>
      <w:r w:rsidR="00984E71">
        <w:rPr>
          <w:rFonts w:ascii="Baskerville" w:hAnsi="Baskerville" w:cs="Baskerville"/>
        </w:rPr>
        <w:t xml:space="preserve">of an individual and family support program </w:t>
      </w:r>
      <w:r w:rsidR="00CA181D">
        <w:rPr>
          <w:rFonts w:ascii="Baskerville" w:hAnsi="Baskerville" w:cs="Baskerville"/>
        </w:rPr>
        <w:t xml:space="preserve">in the </w:t>
      </w:r>
      <w:r w:rsidR="004A63D2" w:rsidRPr="00B81081">
        <w:rPr>
          <w:rFonts w:ascii="Baskerville" w:hAnsi="Baskerville" w:cs="Baskerville"/>
        </w:rPr>
        <w:t xml:space="preserve">Agreement.   </w:t>
      </w:r>
      <w:r w:rsidR="004A63D2" w:rsidRPr="00B81081">
        <w:rPr>
          <w:rFonts w:ascii="Baskerville" w:hAnsi="Baskerville" w:cs="Baskerville"/>
          <w:bCs/>
        </w:rPr>
        <w:t xml:space="preserve"> </w:t>
      </w:r>
    </w:p>
    <w:p w:rsidR="004A63D2" w:rsidRPr="00B81081" w:rsidRDefault="004A63D2" w:rsidP="003518FC">
      <w:pPr>
        <w:rPr>
          <w:rFonts w:ascii="Baskerville" w:hAnsi="Baskerville" w:cs="Baskerville"/>
          <w:bCs/>
        </w:rPr>
      </w:pPr>
    </w:p>
    <w:p w:rsidR="004A63D2" w:rsidRPr="00B81081" w:rsidRDefault="004A63D2" w:rsidP="003518FC">
      <w:pPr>
        <w:rPr>
          <w:rFonts w:ascii="Baskerville" w:hAnsi="Baskerville" w:cs="Baskerville"/>
          <w:bCs/>
        </w:rPr>
      </w:pPr>
      <w:r w:rsidRPr="00B81081">
        <w:rPr>
          <w:rFonts w:ascii="Baskerville" w:hAnsi="Baskerville" w:cs="Baskerville"/>
          <w:bCs/>
        </w:rPr>
        <w:t xml:space="preserve">The Commonwealth has made changes each year to the IFSP </w:t>
      </w:r>
      <w:r w:rsidR="009123AB">
        <w:rPr>
          <w:rFonts w:ascii="Baskerville" w:hAnsi="Baskerville" w:cs="Baskerville"/>
          <w:bCs/>
        </w:rPr>
        <w:t xml:space="preserve">application and its internal administrative </w:t>
      </w:r>
      <w:r w:rsidRPr="00B81081">
        <w:rPr>
          <w:rFonts w:ascii="Baskerville" w:hAnsi="Baskerville" w:cs="Baskerville"/>
          <w:bCs/>
        </w:rPr>
        <w:t>processes</w:t>
      </w:r>
      <w:r w:rsidR="00726892">
        <w:rPr>
          <w:rFonts w:ascii="Baskerville" w:hAnsi="Baskerville" w:cs="Baskerville"/>
          <w:bCs/>
        </w:rPr>
        <w:t xml:space="preserve">. DBHDS completed an internal </w:t>
      </w:r>
      <w:r w:rsidR="00863D7A">
        <w:rPr>
          <w:rFonts w:ascii="Baskerville" w:hAnsi="Baskerville" w:cs="Baskerville"/>
          <w:bCs/>
        </w:rPr>
        <w:t>audit of the IFSP program in July 2014</w:t>
      </w:r>
      <w:r w:rsidR="009A1A06">
        <w:rPr>
          <w:rFonts w:ascii="Baskerville" w:hAnsi="Baskerville" w:cs="Baskerville"/>
          <w:bCs/>
        </w:rPr>
        <w:t xml:space="preserve">. The audit </w:t>
      </w:r>
      <w:r w:rsidR="00863D7A">
        <w:rPr>
          <w:rFonts w:ascii="Baskerville" w:hAnsi="Baskerville" w:cs="Baskerville"/>
          <w:bCs/>
        </w:rPr>
        <w:t>recommended that timeline goals be set</w:t>
      </w:r>
      <w:r w:rsidR="004E2FE7">
        <w:rPr>
          <w:rFonts w:ascii="Baskerville" w:hAnsi="Baskerville" w:cs="Baskerville"/>
          <w:bCs/>
        </w:rPr>
        <w:t xml:space="preserve"> for the review of applications and appropriate notifications</w:t>
      </w:r>
      <w:r w:rsidR="00FB0E0F">
        <w:rPr>
          <w:rFonts w:ascii="Baskerville" w:hAnsi="Baskerville" w:cs="Baskerville"/>
          <w:bCs/>
        </w:rPr>
        <w:t xml:space="preserve">. DBHDS again modified </w:t>
      </w:r>
      <w:r w:rsidR="00233AAA">
        <w:rPr>
          <w:rFonts w:ascii="Baskerville" w:hAnsi="Baskerville" w:cs="Baskerville"/>
          <w:bCs/>
        </w:rPr>
        <w:t xml:space="preserve">its </w:t>
      </w:r>
      <w:r w:rsidR="00FB0E0F">
        <w:rPr>
          <w:rFonts w:ascii="Baskerville" w:hAnsi="Baskerville" w:cs="Baskerville"/>
          <w:bCs/>
        </w:rPr>
        <w:t>internal process</w:t>
      </w:r>
      <w:r w:rsidR="00500D7F">
        <w:rPr>
          <w:rFonts w:ascii="Baskerville" w:hAnsi="Baskerville" w:cs="Baskerville"/>
          <w:bCs/>
        </w:rPr>
        <w:t>es</w:t>
      </w:r>
      <w:r w:rsidR="00FB0E0F">
        <w:rPr>
          <w:rFonts w:ascii="Baskerville" w:hAnsi="Baskerville" w:cs="Baskerville"/>
          <w:bCs/>
        </w:rPr>
        <w:t xml:space="preserve"> </w:t>
      </w:r>
      <w:r w:rsidR="0047109F">
        <w:rPr>
          <w:rFonts w:ascii="Baskerville" w:hAnsi="Baskerville" w:cs="Baskerville"/>
          <w:bCs/>
        </w:rPr>
        <w:t xml:space="preserve">hoping to </w:t>
      </w:r>
      <w:r w:rsidR="007B49B0">
        <w:rPr>
          <w:rFonts w:ascii="Baskerville" w:hAnsi="Baskerville" w:cs="Baskerville"/>
          <w:bCs/>
        </w:rPr>
        <w:t>streamline</w:t>
      </w:r>
      <w:r w:rsidRPr="00B81081">
        <w:rPr>
          <w:rFonts w:ascii="Baskerville" w:hAnsi="Baskerville" w:cs="Baskerville"/>
          <w:bCs/>
        </w:rPr>
        <w:t xml:space="preserve"> the program and </w:t>
      </w:r>
      <w:r w:rsidR="007B49B0">
        <w:rPr>
          <w:rFonts w:ascii="Baskerville" w:hAnsi="Baskerville" w:cs="Baskerville"/>
          <w:bCs/>
        </w:rPr>
        <w:t>to reduce response time. DBHDS did not</w:t>
      </w:r>
      <w:r w:rsidRPr="00B81081">
        <w:rPr>
          <w:rFonts w:ascii="Baskerville" w:hAnsi="Baskerville" w:cs="Baskerville"/>
          <w:bCs/>
        </w:rPr>
        <w:t xml:space="preserve"> </w:t>
      </w:r>
      <w:r w:rsidR="002C4DAD">
        <w:rPr>
          <w:rFonts w:ascii="Baskerville" w:hAnsi="Baskerville" w:cs="Baskerville"/>
          <w:bCs/>
        </w:rPr>
        <w:t xml:space="preserve">consistently vet these modifications </w:t>
      </w:r>
      <w:r w:rsidRPr="00B81081">
        <w:rPr>
          <w:rFonts w:ascii="Baskerville" w:hAnsi="Baskerville" w:cs="Baskerville"/>
          <w:bCs/>
        </w:rPr>
        <w:t xml:space="preserve">with stakeholders to ensure that </w:t>
      </w:r>
      <w:r w:rsidR="002C4DAD">
        <w:rPr>
          <w:rFonts w:ascii="Baskerville" w:hAnsi="Baskerville" w:cs="Baskerville"/>
          <w:bCs/>
        </w:rPr>
        <w:t xml:space="preserve">the </w:t>
      </w:r>
      <w:r w:rsidRPr="00B81081">
        <w:rPr>
          <w:rFonts w:ascii="Baskerville" w:hAnsi="Baskerville" w:cs="Baskerville"/>
          <w:bCs/>
        </w:rPr>
        <w:t xml:space="preserve">changes adequately address the issues and concerns. </w:t>
      </w:r>
    </w:p>
    <w:p w:rsidR="004A63D2" w:rsidRPr="00B81081" w:rsidRDefault="004A63D2" w:rsidP="003518FC">
      <w:pPr>
        <w:rPr>
          <w:rFonts w:ascii="Baskerville" w:hAnsi="Baskerville" w:cs="Baskerville"/>
          <w:bCs/>
        </w:rPr>
      </w:pPr>
    </w:p>
    <w:p w:rsidR="0028163D" w:rsidRDefault="00500D7F" w:rsidP="003518FC">
      <w:pPr>
        <w:spacing w:before="100" w:beforeAutospacing="1" w:after="100" w:afterAutospacing="1"/>
        <w:contextualSpacing/>
        <w:jc w:val="both"/>
        <w:rPr>
          <w:rFonts w:ascii="Baskerville" w:hAnsi="Baskerville" w:cs="Baskerville"/>
        </w:rPr>
      </w:pPr>
      <w:r>
        <w:rPr>
          <w:rFonts w:ascii="Baskerville" w:hAnsi="Baskerville" w:cs="Baskerville"/>
          <w:bCs/>
        </w:rPr>
        <w:t>Overall, t</w:t>
      </w:r>
      <w:r w:rsidR="004A63D2" w:rsidRPr="00B81081">
        <w:rPr>
          <w:rFonts w:ascii="Baskerville" w:hAnsi="Baskerville" w:cs="Baskerville"/>
          <w:bCs/>
        </w:rPr>
        <w:t xml:space="preserve">he independent consultant found that overall </w:t>
      </w:r>
      <w:r w:rsidR="004A63D2" w:rsidRPr="00B81081">
        <w:rPr>
          <w:rFonts w:ascii="Baskerville" w:hAnsi="Baskerville" w:cs="Baskerville"/>
        </w:rPr>
        <w:t>the IFSP does not include adequate design or program evaluation strategies to make progre</w:t>
      </w:r>
      <w:r w:rsidR="00154027">
        <w:rPr>
          <w:rFonts w:ascii="Baskerville" w:hAnsi="Baskerville" w:cs="Baskerville"/>
        </w:rPr>
        <w:t xml:space="preserve">ss toward achieving the </w:t>
      </w:r>
      <w:r w:rsidR="004A63D2" w:rsidRPr="00B81081">
        <w:rPr>
          <w:rFonts w:ascii="Baskerville" w:hAnsi="Baskerville" w:cs="Baskerville"/>
        </w:rPr>
        <w:t>goal of a comprehensive and coordinated set of strategies for individual and family support.  There has been no assessment of individual and family supports available statewide or any goals, objectives and timelines for developing a comprehensive and coordinated set of strategies.   There has not been an evaluation of whether the IFSP has ma</w:t>
      </w:r>
      <w:r w:rsidR="00062A63">
        <w:rPr>
          <w:rFonts w:ascii="Baskerville" w:hAnsi="Baskerville" w:cs="Baskerville"/>
        </w:rPr>
        <w:t xml:space="preserve">de progress toward achieving a </w:t>
      </w:r>
      <w:r w:rsidR="004A63D2" w:rsidRPr="00B81081">
        <w:rPr>
          <w:rFonts w:ascii="Baskerville" w:hAnsi="Baskerville" w:cs="Baskerville"/>
        </w:rPr>
        <w:t xml:space="preserve">comprehensive and </w:t>
      </w:r>
      <w:r w:rsidR="0028163D">
        <w:rPr>
          <w:rFonts w:ascii="Baskerville" w:hAnsi="Baskerville" w:cs="Baskerville"/>
        </w:rPr>
        <w:t>coordinated set of strategies.</w:t>
      </w:r>
      <w:r w:rsidR="004A63D2" w:rsidRPr="00B81081">
        <w:rPr>
          <w:rFonts w:ascii="Baskerville" w:hAnsi="Baskerville" w:cs="Baskerville"/>
        </w:rPr>
        <w:t xml:space="preserve"> Furthermore, the benefits of the IFSP are not coordinated with other support resources. </w:t>
      </w:r>
    </w:p>
    <w:p w:rsidR="0028163D" w:rsidRDefault="0028163D" w:rsidP="003518FC">
      <w:pPr>
        <w:spacing w:before="100" w:beforeAutospacing="1" w:after="100" w:afterAutospacing="1"/>
        <w:contextualSpacing/>
        <w:jc w:val="both"/>
        <w:rPr>
          <w:rFonts w:ascii="Baskerville" w:hAnsi="Baskerville" w:cs="Baskerville"/>
        </w:rPr>
      </w:pPr>
    </w:p>
    <w:p w:rsidR="004A63D2" w:rsidRPr="00B81081" w:rsidRDefault="004A63D2" w:rsidP="003518FC">
      <w:pPr>
        <w:spacing w:before="100" w:beforeAutospacing="1" w:after="100" w:afterAutospacing="1"/>
        <w:contextualSpacing/>
        <w:jc w:val="both"/>
        <w:rPr>
          <w:rFonts w:ascii="Baskerville" w:hAnsi="Baskerville" w:cs="Baskerville"/>
        </w:rPr>
      </w:pPr>
      <w:r w:rsidRPr="00B81081">
        <w:rPr>
          <w:rFonts w:ascii="Baskerville" w:hAnsi="Baskerville" w:cs="Baskerville"/>
        </w:rPr>
        <w:t xml:space="preserve">The </w:t>
      </w:r>
      <w:r w:rsidR="00E86B56">
        <w:rPr>
          <w:rFonts w:ascii="Baskerville" w:hAnsi="Baskerville" w:cs="Baskerville"/>
        </w:rPr>
        <w:t xml:space="preserve">DBHDS </w:t>
      </w:r>
      <w:r w:rsidR="00440C8C">
        <w:rPr>
          <w:rFonts w:ascii="Baskerville" w:hAnsi="Baskerville" w:cs="Baskerville"/>
        </w:rPr>
        <w:t xml:space="preserve">case management operational guidelines </w:t>
      </w:r>
      <w:r w:rsidR="00154027">
        <w:rPr>
          <w:rFonts w:ascii="Baskerville" w:hAnsi="Baskerville" w:cs="Baskerville"/>
        </w:rPr>
        <w:t>define</w:t>
      </w:r>
      <w:r w:rsidR="00440C8C" w:rsidRPr="00B81081">
        <w:rPr>
          <w:rFonts w:ascii="Baskerville" w:hAnsi="Baskerville" w:cs="Baskerville"/>
        </w:rPr>
        <w:t xml:space="preserve"> the function</w:t>
      </w:r>
      <w:r w:rsidR="00440C8C">
        <w:rPr>
          <w:rFonts w:ascii="Baskerville" w:hAnsi="Baskerville" w:cs="Baskerville"/>
        </w:rPr>
        <w:t>s</w:t>
      </w:r>
      <w:r w:rsidR="00440C8C" w:rsidRPr="00B81081">
        <w:rPr>
          <w:rFonts w:ascii="Baskerville" w:hAnsi="Baskerville" w:cs="Baskerville"/>
        </w:rPr>
        <w:t xml:space="preserve"> of case management </w:t>
      </w:r>
      <w:r w:rsidR="00440C8C">
        <w:rPr>
          <w:rFonts w:ascii="Baskerville" w:hAnsi="Baskerville" w:cs="Baskerville"/>
        </w:rPr>
        <w:t xml:space="preserve">for </w:t>
      </w:r>
      <w:r w:rsidR="00B8115D">
        <w:rPr>
          <w:rFonts w:ascii="Baskerville" w:hAnsi="Baskerville" w:cs="Baskerville"/>
        </w:rPr>
        <w:t>individuals on HCBS waiver wait</w:t>
      </w:r>
      <w:r w:rsidR="00440C8C">
        <w:rPr>
          <w:rFonts w:ascii="Baskerville" w:hAnsi="Baskerville" w:cs="Baskerville"/>
        </w:rPr>
        <w:t>lists who</w:t>
      </w:r>
      <w:r w:rsidR="00440C8C" w:rsidRPr="00B81081">
        <w:rPr>
          <w:rFonts w:ascii="Baskerville" w:hAnsi="Baskerville" w:cs="Baskerville"/>
        </w:rPr>
        <w:t xml:space="preserve"> </w:t>
      </w:r>
      <w:r w:rsidR="00440C8C">
        <w:rPr>
          <w:rFonts w:ascii="Baskerville" w:hAnsi="Baskerville" w:cs="Baskerville"/>
        </w:rPr>
        <w:t>have more intensive medical or beh</w:t>
      </w:r>
      <w:r w:rsidR="00812429">
        <w:rPr>
          <w:rFonts w:ascii="Baskerville" w:hAnsi="Baskerville" w:cs="Baskerville"/>
        </w:rPr>
        <w:t>avioral needs</w:t>
      </w:r>
      <w:r w:rsidR="00440C8C">
        <w:rPr>
          <w:rFonts w:ascii="Baskerville" w:hAnsi="Baskerville" w:cs="Baskerville"/>
        </w:rPr>
        <w:t xml:space="preserve"> or those with mul</w:t>
      </w:r>
      <w:r w:rsidR="00AC3A43">
        <w:rPr>
          <w:rFonts w:ascii="Baskerville" w:hAnsi="Baskerville" w:cs="Baskerville"/>
        </w:rPr>
        <w:t xml:space="preserve">tiple </w:t>
      </w:r>
      <w:r w:rsidR="00440C8C">
        <w:rPr>
          <w:rFonts w:ascii="Baskerville" w:hAnsi="Baskerville" w:cs="Baskerville"/>
        </w:rPr>
        <w:t>encounter</w:t>
      </w:r>
      <w:r w:rsidR="00AC3A43">
        <w:rPr>
          <w:rFonts w:ascii="Baskerville" w:hAnsi="Baskerville" w:cs="Baskerville"/>
        </w:rPr>
        <w:t>s</w:t>
      </w:r>
      <w:r w:rsidR="00B8115D">
        <w:rPr>
          <w:rFonts w:ascii="Baskerville" w:hAnsi="Baskerville" w:cs="Baskerville"/>
        </w:rPr>
        <w:t xml:space="preserve"> with the crisis system</w:t>
      </w:r>
      <w:r w:rsidR="00807547">
        <w:rPr>
          <w:rFonts w:ascii="Baskerville" w:hAnsi="Baskerville" w:cs="Baskerville"/>
        </w:rPr>
        <w:t xml:space="preserve">. </w:t>
      </w:r>
      <w:r w:rsidRPr="00B81081">
        <w:rPr>
          <w:rFonts w:ascii="Baskerville" w:hAnsi="Baskerville" w:cs="Baskerville"/>
        </w:rPr>
        <w:t>The IFSP gui</w:t>
      </w:r>
      <w:r w:rsidR="0028163D">
        <w:rPr>
          <w:rFonts w:ascii="Baskerville" w:hAnsi="Baskerville" w:cs="Baskerville"/>
        </w:rPr>
        <w:t>delines indicate that one</w:t>
      </w:r>
      <w:r w:rsidRPr="00B81081">
        <w:rPr>
          <w:rFonts w:ascii="Baskerville" w:hAnsi="Baskerville" w:cs="Baskerville"/>
        </w:rPr>
        <w:t xml:space="preserve"> </w:t>
      </w:r>
      <w:r w:rsidR="0028163D">
        <w:rPr>
          <w:rFonts w:ascii="Baskerville" w:hAnsi="Baskerville" w:cs="Baskerville"/>
        </w:rPr>
        <w:t xml:space="preserve">IFSP </w:t>
      </w:r>
      <w:r w:rsidRPr="00B81081">
        <w:rPr>
          <w:rFonts w:ascii="Baskerville" w:hAnsi="Baskerville" w:cs="Baskerville"/>
        </w:rPr>
        <w:t>objective is to support the continued residence of an individual with ID/DD in his/her own home or family home. To accom</w:t>
      </w:r>
      <w:r w:rsidR="001F7323">
        <w:rPr>
          <w:rFonts w:ascii="Baskerville" w:hAnsi="Baskerville" w:cs="Baskerville"/>
        </w:rPr>
        <w:t>plish this objective</w:t>
      </w:r>
      <w:r w:rsidR="002C4DAD">
        <w:rPr>
          <w:rFonts w:ascii="Baskerville" w:hAnsi="Baskerville" w:cs="Baskerville"/>
        </w:rPr>
        <w:t>,</w:t>
      </w:r>
      <w:r w:rsidR="001F7323">
        <w:rPr>
          <w:rFonts w:ascii="Baskerville" w:hAnsi="Baskerville" w:cs="Baskerville"/>
        </w:rPr>
        <w:t xml:space="preserve"> coordination</w:t>
      </w:r>
      <w:r w:rsidRPr="00B81081">
        <w:rPr>
          <w:rFonts w:ascii="Baskerville" w:hAnsi="Baskerville" w:cs="Baskerville"/>
        </w:rPr>
        <w:t xml:space="preserve"> </w:t>
      </w:r>
      <w:r w:rsidR="002C4DAD">
        <w:rPr>
          <w:rFonts w:ascii="Baskerville" w:hAnsi="Baskerville" w:cs="Baskerville"/>
        </w:rPr>
        <w:t xml:space="preserve">of </w:t>
      </w:r>
      <w:r w:rsidRPr="00B81081">
        <w:rPr>
          <w:rFonts w:ascii="Baskerville" w:hAnsi="Baskerville" w:cs="Baskerville"/>
        </w:rPr>
        <w:t>various services and supports beyond a one-time monetary award</w:t>
      </w:r>
      <w:r w:rsidR="007D7E06">
        <w:rPr>
          <w:rFonts w:ascii="Baskerville" w:hAnsi="Baskerville" w:cs="Baskerville"/>
        </w:rPr>
        <w:t xml:space="preserve"> is essential. Y</w:t>
      </w:r>
      <w:r w:rsidRPr="00B81081">
        <w:rPr>
          <w:rFonts w:ascii="Baskerville" w:hAnsi="Baskerville" w:cs="Baskerville"/>
        </w:rPr>
        <w:t>et</w:t>
      </w:r>
      <w:r w:rsidR="00807547">
        <w:rPr>
          <w:rFonts w:ascii="Baskerville" w:hAnsi="Baskerville" w:cs="Baskerville"/>
        </w:rPr>
        <w:t xml:space="preserve"> </w:t>
      </w:r>
      <w:r w:rsidR="00AC3A43">
        <w:rPr>
          <w:rFonts w:ascii="Baskerville" w:hAnsi="Baskerville" w:cs="Baskerville"/>
        </w:rPr>
        <w:t xml:space="preserve">the </w:t>
      </w:r>
      <w:r w:rsidR="00807547">
        <w:rPr>
          <w:rFonts w:ascii="Baskerville" w:hAnsi="Baskerville" w:cs="Baskerville"/>
        </w:rPr>
        <w:t xml:space="preserve">Commonwealth </w:t>
      </w:r>
      <w:r w:rsidR="00AC3A43">
        <w:rPr>
          <w:rFonts w:ascii="Baskerville" w:hAnsi="Baskerville" w:cs="Baskerville"/>
        </w:rPr>
        <w:t>reports that</w:t>
      </w:r>
      <w:r w:rsidR="00AC3A43" w:rsidRPr="00B81081">
        <w:rPr>
          <w:rFonts w:ascii="Baskerville" w:hAnsi="Baskerville" w:cs="Baskerville"/>
        </w:rPr>
        <w:t xml:space="preserve"> </w:t>
      </w:r>
      <w:r w:rsidRPr="00B81081">
        <w:rPr>
          <w:rFonts w:ascii="Baskerville" w:hAnsi="Baskerville" w:cs="Baskerville"/>
        </w:rPr>
        <w:t xml:space="preserve">case managers </w:t>
      </w:r>
      <w:r w:rsidR="00AC3A43">
        <w:rPr>
          <w:rFonts w:ascii="Baskerville" w:hAnsi="Baskerville" w:cs="Baskerville"/>
        </w:rPr>
        <w:t xml:space="preserve">do not have any </w:t>
      </w:r>
      <w:r w:rsidRPr="00B81081">
        <w:rPr>
          <w:rFonts w:ascii="Baskerville" w:hAnsi="Baskerville" w:cs="Baskerville"/>
        </w:rPr>
        <w:t xml:space="preserve">role in facilitating access </w:t>
      </w:r>
      <w:r w:rsidR="007D7E06">
        <w:rPr>
          <w:rFonts w:ascii="Baskerville" w:hAnsi="Baskerville" w:cs="Baskerville"/>
        </w:rPr>
        <w:t>to or in coordinating</w:t>
      </w:r>
      <w:r w:rsidR="000D451C">
        <w:rPr>
          <w:rFonts w:ascii="Baskerville" w:hAnsi="Baskerville" w:cs="Baskerville"/>
        </w:rPr>
        <w:t xml:space="preserve"> the use of any IFSP funds awarded </w:t>
      </w:r>
      <w:r w:rsidRPr="00B81081">
        <w:rPr>
          <w:rFonts w:ascii="Baskerville" w:hAnsi="Baskerville" w:cs="Baskerville"/>
        </w:rPr>
        <w:t xml:space="preserve">with other </w:t>
      </w:r>
      <w:r w:rsidR="000D451C">
        <w:rPr>
          <w:rFonts w:ascii="Baskerville" w:hAnsi="Baskerville" w:cs="Baskerville"/>
        </w:rPr>
        <w:t xml:space="preserve">individual and </w:t>
      </w:r>
      <w:r w:rsidRPr="00B81081">
        <w:rPr>
          <w:rFonts w:ascii="Baskerville" w:hAnsi="Baskerville" w:cs="Baskerville"/>
        </w:rPr>
        <w:t>family supports.</w:t>
      </w:r>
      <w:r w:rsidR="009123AB">
        <w:rPr>
          <w:rFonts w:ascii="Baskerville" w:hAnsi="Baskerville" w:cs="Baskerville"/>
        </w:rPr>
        <w:t xml:space="preserve"> </w:t>
      </w:r>
    </w:p>
    <w:p w:rsidR="004A63D2" w:rsidRPr="00B81081" w:rsidRDefault="004A63D2" w:rsidP="003518FC">
      <w:pPr>
        <w:spacing w:before="100" w:beforeAutospacing="1" w:after="100" w:afterAutospacing="1"/>
        <w:contextualSpacing/>
        <w:jc w:val="both"/>
        <w:rPr>
          <w:rFonts w:ascii="Baskerville" w:hAnsi="Baskerville" w:cs="Baskerville"/>
        </w:rPr>
      </w:pPr>
    </w:p>
    <w:p w:rsidR="0076530D" w:rsidRPr="00B81081" w:rsidRDefault="004A63D2" w:rsidP="003518FC">
      <w:pPr>
        <w:spacing w:before="100" w:beforeAutospacing="1" w:after="100" w:afterAutospacing="1"/>
        <w:jc w:val="both"/>
        <w:rPr>
          <w:rFonts w:ascii="Baskerville" w:hAnsi="Baskerville" w:cs="Baskerville"/>
        </w:rPr>
      </w:pPr>
      <w:r w:rsidRPr="00B81081">
        <w:rPr>
          <w:rFonts w:ascii="Baskerville" w:hAnsi="Baskerville" w:cs="Baskerville"/>
        </w:rPr>
        <w:t>The number o</w:t>
      </w:r>
      <w:r w:rsidR="00EF4E29">
        <w:rPr>
          <w:rFonts w:ascii="Baskerville" w:hAnsi="Baskerville" w:cs="Baskerville"/>
        </w:rPr>
        <w:t>f applications for the IFSP has</w:t>
      </w:r>
      <w:r w:rsidRPr="00B81081">
        <w:rPr>
          <w:rFonts w:ascii="Baskerville" w:hAnsi="Baskerville" w:cs="Baskerville"/>
        </w:rPr>
        <w:t xml:space="preserve"> grown </w:t>
      </w:r>
      <w:r w:rsidR="00EF4E29">
        <w:rPr>
          <w:rFonts w:ascii="Baskerville" w:hAnsi="Baskerville" w:cs="Baskerville"/>
        </w:rPr>
        <w:t xml:space="preserve">substantially </w:t>
      </w:r>
      <w:r w:rsidRPr="00B81081">
        <w:rPr>
          <w:rFonts w:ascii="Baskerville" w:hAnsi="Baskerville" w:cs="Baskerville"/>
        </w:rPr>
        <w:t xml:space="preserve">between FY 2013 and </w:t>
      </w:r>
      <w:r w:rsidR="00450740">
        <w:rPr>
          <w:rFonts w:ascii="Baskerville" w:hAnsi="Baskerville" w:cs="Baskerville"/>
        </w:rPr>
        <w:t>FY 2015, from 1,744 to 5,500, a 315% increase. The amount</w:t>
      </w:r>
      <w:r w:rsidRPr="00B81081">
        <w:rPr>
          <w:rFonts w:ascii="Baskerville" w:hAnsi="Baskerville" w:cs="Baskerville"/>
        </w:rPr>
        <w:t xml:space="preserve"> requeste</w:t>
      </w:r>
      <w:r w:rsidR="00450740">
        <w:rPr>
          <w:rFonts w:ascii="Baskerville" w:hAnsi="Baskerville" w:cs="Baskerville"/>
        </w:rPr>
        <w:t xml:space="preserve">d also increased during that period from $2,303 to $2,500, an increase from </w:t>
      </w:r>
      <w:r w:rsidRPr="00B81081">
        <w:rPr>
          <w:rFonts w:ascii="Baskerville" w:hAnsi="Baskerville" w:cs="Baskerville"/>
        </w:rPr>
        <w:t xml:space="preserve">77% to 83% </w:t>
      </w:r>
      <w:r w:rsidR="000D0C87">
        <w:rPr>
          <w:rFonts w:ascii="Baskerville" w:hAnsi="Baskerville" w:cs="Baskerville"/>
        </w:rPr>
        <w:t>of the maximum allowed</w:t>
      </w:r>
      <w:r w:rsidRPr="00B81081">
        <w:rPr>
          <w:rFonts w:ascii="Baskerville" w:hAnsi="Baskerville" w:cs="Baskerville"/>
        </w:rPr>
        <w:t>. C</w:t>
      </w:r>
      <w:r w:rsidR="00784E80">
        <w:rPr>
          <w:rFonts w:ascii="Baskerville" w:hAnsi="Baskerville" w:cs="Baskerville"/>
        </w:rPr>
        <w:t>urrent IFSP staffing resources we</w:t>
      </w:r>
      <w:r w:rsidRPr="00B81081">
        <w:rPr>
          <w:rFonts w:ascii="Baskerville" w:hAnsi="Baskerville" w:cs="Baskerville"/>
        </w:rPr>
        <w:t>re not sufficie</w:t>
      </w:r>
      <w:r w:rsidR="00B1791D">
        <w:rPr>
          <w:rFonts w:ascii="Baskerville" w:hAnsi="Baskerville" w:cs="Baskerville"/>
        </w:rPr>
        <w:t>nt to meet the turnaround goals</w:t>
      </w:r>
      <w:r w:rsidRPr="00B81081">
        <w:rPr>
          <w:rFonts w:ascii="Baskerville" w:hAnsi="Baskerville" w:cs="Baskerville"/>
        </w:rPr>
        <w:t xml:space="preserve"> for handling and responding to application</w:t>
      </w:r>
      <w:r w:rsidR="00B1791D">
        <w:rPr>
          <w:rFonts w:ascii="Baskerville" w:hAnsi="Baskerville" w:cs="Baskerville"/>
        </w:rPr>
        <w:t xml:space="preserve">s </w:t>
      </w:r>
      <w:r w:rsidR="00784E80">
        <w:rPr>
          <w:rFonts w:ascii="Baskerville" w:hAnsi="Baskerville" w:cs="Baskerville"/>
        </w:rPr>
        <w:t xml:space="preserve">even </w:t>
      </w:r>
      <w:r w:rsidR="00B1791D">
        <w:rPr>
          <w:rFonts w:ascii="Baskerville" w:hAnsi="Baskerville" w:cs="Baskerville"/>
        </w:rPr>
        <w:t xml:space="preserve">before the most recent </w:t>
      </w:r>
      <w:r w:rsidRPr="00B81081">
        <w:rPr>
          <w:rFonts w:ascii="Baskerville" w:hAnsi="Baskerville" w:cs="Baskerville"/>
        </w:rPr>
        <w:t>increase in the nu</w:t>
      </w:r>
      <w:r w:rsidR="00D55C70">
        <w:rPr>
          <w:rFonts w:ascii="Baskerville" w:hAnsi="Baskerville" w:cs="Baskerville"/>
        </w:rPr>
        <w:t>mber of applications. These limited staff resources are not adequate to</w:t>
      </w:r>
      <w:r w:rsidR="00E37FAF">
        <w:rPr>
          <w:rFonts w:ascii="Baskerville" w:hAnsi="Baskerville" w:cs="Baskerville"/>
        </w:rPr>
        <w:t xml:space="preserve"> identify </w:t>
      </w:r>
      <w:r w:rsidRPr="00B81081">
        <w:rPr>
          <w:rFonts w:ascii="Baskerville" w:hAnsi="Baskerville" w:cs="Baskerville"/>
        </w:rPr>
        <w:t>other a</w:t>
      </w:r>
      <w:r w:rsidR="00784E80">
        <w:rPr>
          <w:rFonts w:ascii="Baskerville" w:hAnsi="Baskerville" w:cs="Baskerville"/>
        </w:rPr>
        <w:t>vailable resources or</w:t>
      </w:r>
      <w:r w:rsidRPr="00B81081">
        <w:rPr>
          <w:rFonts w:ascii="Baskerville" w:hAnsi="Baskerville" w:cs="Baskerville"/>
        </w:rPr>
        <w:t xml:space="preserve"> </w:t>
      </w:r>
      <w:r w:rsidR="00E37FAF">
        <w:rPr>
          <w:rFonts w:ascii="Baskerville" w:hAnsi="Baskerville" w:cs="Baskerville"/>
        </w:rPr>
        <w:t xml:space="preserve">to </w:t>
      </w:r>
      <w:r w:rsidRPr="00B81081">
        <w:rPr>
          <w:rFonts w:ascii="Baskerville" w:hAnsi="Baskerville" w:cs="Baskerville"/>
        </w:rPr>
        <w:t xml:space="preserve">coordinate with other agencies for each </w:t>
      </w:r>
      <w:r w:rsidR="00E37FAF">
        <w:rPr>
          <w:rFonts w:ascii="Baskerville" w:hAnsi="Baskerville" w:cs="Baskerville"/>
        </w:rPr>
        <w:t xml:space="preserve">of the </w:t>
      </w:r>
      <w:r w:rsidR="00E835B6">
        <w:rPr>
          <w:rFonts w:ascii="Baskerville" w:hAnsi="Baskerville" w:cs="Baskerville"/>
        </w:rPr>
        <w:t xml:space="preserve">5,300 </w:t>
      </w:r>
      <w:r w:rsidRPr="00B81081">
        <w:rPr>
          <w:rFonts w:ascii="Baskerville" w:hAnsi="Baskerville" w:cs="Baskerville"/>
        </w:rPr>
        <w:t>application</w:t>
      </w:r>
      <w:r w:rsidR="003E5B22">
        <w:rPr>
          <w:rFonts w:ascii="Baskerville" w:hAnsi="Baskerville" w:cs="Baskerville"/>
        </w:rPr>
        <w:t xml:space="preserve">s </w:t>
      </w:r>
      <w:r w:rsidR="00E835B6">
        <w:rPr>
          <w:rFonts w:ascii="Baskerville" w:hAnsi="Baskerville" w:cs="Baskerville"/>
        </w:rPr>
        <w:t>received in FY 2015</w:t>
      </w:r>
      <w:r w:rsidRPr="00B81081">
        <w:rPr>
          <w:rFonts w:ascii="Baskerville" w:hAnsi="Baskerville" w:cs="Baskerville"/>
        </w:rPr>
        <w:t xml:space="preserve">. Families and advocates interviewed by the independent consultant consistently indicated frustration over the lack of </w:t>
      </w:r>
      <w:r w:rsidR="00E835B6">
        <w:rPr>
          <w:rFonts w:ascii="Baskerville" w:hAnsi="Baskerville" w:cs="Baskerville"/>
        </w:rPr>
        <w:t xml:space="preserve">DBHDS </w:t>
      </w:r>
      <w:r w:rsidRPr="00B81081">
        <w:rPr>
          <w:rFonts w:ascii="Baskerville" w:hAnsi="Baskerville" w:cs="Baskerville"/>
        </w:rPr>
        <w:t xml:space="preserve">transparency about the IFSP processes and </w:t>
      </w:r>
      <w:r w:rsidR="00EF4E29">
        <w:rPr>
          <w:rFonts w:ascii="Baskerville" w:hAnsi="Baskerville" w:cs="Baskerville"/>
        </w:rPr>
        <w:t xml:space="preserve">the </w:t>
      </w:r>
      <w:r w:rsidRPr="00B81081">
        <w:rPr>
          <w:rFonts w:ascii="Baskerville" w:hAnsi="Baskerville" w:cs="Baskerville"/>
        </w:rPr>
        <w:t>perceived lack of responsiveness from IFSP</w:t>
      </w:r>
      <w:r w:rsidR="00EF4E29">
        <w:rPr>
          <w:rFonts w:ascii="Baskerville" w:hAnsi="Baskerville" w:cs="Baskerville"/>
        </w:rPr>
        <w:t xml:space="preserve"> staff</w:t>
      </w:r>
      <w:r w:rsidRPr="00B81081">
        <w:rPr>
          <w:rFonts w:ascii="Baskerville" w:hAnsi="Baskerville" w:cs="Baskerville"/>
        </w:rPr>
        <w:t xml:space="preserve"> at DBHDS</w:t>
      </w:r>
      <w:r w:rsidR="00EF4E29">
        <w:rPr>
          <w:rFonts w:ascii="Baskerville" w:hAnsi="Baskerville" w:cs="Baskerville"/>
        </w:rPr>
        <w:t>.</w:t>
      </w:r>
    </w:p>
    <w:p w:rsidR="004A63D2" w:rsidRDefault="004A63D2" w:rsidP="003518FC">
      <w:pPr>
        <w:spacing w:after="160"/>
        <w:contextualSpacing/>
        <w:jc w:val="both"/>
        <w:rPr>
          <w:rFonts w:ascii="Baskerville" w:hAnsi="Baskerville" w:cs="Baskerville"/>
          <w:u w:val="single"/>
        </w:rPr>
      </w:pPr>
      <w:r w:rsidRPr="00B81081">
        <w:rPr>
          <w:rFonts w:ascii="Baskerville" w:hAnsi="Baskerville" w:cs="Baskerville"/>
          <w:u w:val="single"/>
        </w:rPr>
        <w:t>Individuals Most at Risk of Institutionalization:</w:t>
      </w:r>
    </w:p>
    <w:p w:rsidR="004A63D2" w:rsidRPr="00B81081" w:rsidRDefault="00526354" w:rsidP="003518FC">
      <w:pPr>
        <w:spacing w:before="100" w:beforeAutospacing="1" w:after="100" w:afterAutospacing="1"/>
        <w:jc w:val="both"/>
        <w:rPr>
          <w:rFonts w:ascii="Baskerville" w:hAnsi="Baskerville" w:cs="Baskerville"/>
        </w:rPr>
      </w:pPr>
      <w:r>
        <w:rPr>
          <w:rFonts w:ascii="Baskerville" w:hAnsi="Baskerville" w:cs="Baskerville"/>
        </w:rPr>
        <w:t>T</w:t>
      </w:r>
      <w:r w:rsidR="004A63D2" w:rsidRPr="00B81081">
        <w:rPr>
          <w:rFonts w:ascii="Baskerville" w:hAnsi="Baskerville" w:cs="Baskerville"/>
        </w:rPr>
        <w:t>he</w:t>
      </w:r>
      <w:r w:rsidR="00315667">
        <w:rPr>
          <w:rFonts w:ascii="Baskerville" w:hAnsi="Baskerville" w:cs="Baskerville"/>
        </w:rPr>
        <w:t xml:space="preserve"> C</w:t>
      </w:r>
      <w:r w:rsidR="00E72089">
        <w:rPr>
          <w:rFonts w:ascii="Baskerville" w:hAnsi="Baskerville" w:cs="Baskerville"/>
        </w:rPr>
        <w:t>ommonwealth has determined those</w:t>
      </w:r>
      <w:r w:rsidR="004A63D2" w:rsidRPr="00B81081">
        <w:rPr>
          <w:rFonts w:ascii="Baskerville" w:hAnsi="Baskerville" w:cs="Baskerville"/>
        </w:rPr>
        <w:t xml:space="preserve"> “most at risk for institutionalization”</w:t>
      </w:r>
      <w:r w:rsidR="0013701B">
        <w:rPr>
          <w:rFonts w:ascii="Baskerville" w:hAnsi="Baskerville" w:cs="Baskerville"/>
        </w:rPr>
        <w:t>, as</w:t>
      </w:r>
      <w:r w:rsidR="004A63D2" w:rsidRPr="00B81081">
        <w:rPr>
          <w:rFonts w:ascii="Baskerville" w:hAnsi="Baskerville" w:cs="Baskerville"/>
        </w:rPr>
        <w:t xml:space="preserve"> req</w:t>
      </w:r>
      <w:r w:rsidR="0013701B">
        <w:rPr>
          <w:rFonts w:ascii="Baskerville" w:hAnsi="Baskerville" w:cs="Baskerville"/>
        </w:rPr>
        <w:t>uired by the Agreement, with a very broad definition</w:t>
      </w:r>
      <w:r w:rsidR="004A63D2" w:rsidRPr="00B81081">
        <w:rPr>
          <w:rFonts w:ascii="Baskerville" w:hAnsi="Baskerville" w:cs="Baskerville"/>
        </w:rPr>
        <w:t xml:space="preserve">.  </w:t>
      </w:r>
      <w:r w:rsidR="00E72089">
        <w:rPr>
          <w:rFonts w:ascii="Baskerville" w:hAnsi="Baskerville" w:cs="Baskerville"/>
        </w:rPr>
        <w:t>It determined that p</w:t>
      </w:r>
      <w:r w:rsidR="00EB009D">
        <w:rPr>
          <w:rFonts w:ascii="Baskerville" w:hAnsi="Baskerville" w:cs="Baskerville"/>
        </w:rPr>
        <w:t>resence on either the ID or DD</w:t>
      </w:r>
      <w:r w:rsidR="004A63D2" w:rsidRPr="00B81081">
        <w:rPr>
          <w:rFonts w:ascii="Baskerville" w:hAnsi="Baskerville" w:cs="Baskerville"/>
        </w:rPr>
        <w:t xml:space="preserve"> waiver waitlist</w:t>
      </w:r>
      <w:r w:rsidR="00E72089">
        <w:rPr>
          <w:rFonts w:ascii="Baskerville" w:hAnsi="Baskerville" w:cs="Baskerville"/>
        </w:rPr>
        <w:t>s</w:t>
      </w:r>
      <w:r w:rsidR="00CC5AB4">
        <w:rPr>
          <w:rFonts w:ascii="Baskerville" w:hAnsi="Baskerville" w:cs="Baskerville"/>
        </w:rPr>
        <w:t xml:space="preserve"> is</w:t>
      </w:r>
      <w:r w:rsidR="004A63D2" w:rsidRPr="00B81081">
        <w:rPr>
          <w:rFonts w:ascii="Baskerville" w:hAnsi="Baskerville" w:cs="Baskerville"/>
        </w:rPr>
        <w:t xml:space="preserve"> the sole criterion for </w:t>
      </w:r>
      <w:r w:rsidR="00CC5AB4">
        <w:rPr>
          <w:rFonts w:ascii="Baskerville" w:hAnsi="Baskerville" w:cs="Baskerville"/>
        </w:rPr>
        <w:t xml:space="preserve">who is </w:t>
      </w:r>
      <w:r w:rsidR="004A63D2" w:rsidRPr="00B81081">
        <w:rPr>
          <w:rFonts w:ascii="Baskerville" w:hAnsi="Baskerville" w:cs="Baskerville"/>
        </w:rPr>
        <w:t>most at-risk for institutionalization and therefore eligible to receive a monetary award under the IFSP.  This broad definition is in keeping</w:t>
      </w:r>
      <w:r w:rsidR="00CC5AB4">
        <w:rPr>
          <w:rFonts w:ascii="Baskerville" w:hAnsi="Baskerville" w:cs="Baskerville"/>
        </w:rPr>
        <w:t xml:space="preserve"> with the primary tenets of </w:t>
      </w:r>
      <w:r w:rsidR="004A63D2" w:rsidRPr="00B81081">
        <w:rPr>
          <w:rFonts w:ascii="Baskerville" w:hAnsi="Baskerville" w:cs="Baskerville"/>
        </w:rPr>
        <w:t>traditional individual and family support programs</w:t>
      </w:r>
      <w:r w:rsidR="00F3401B">
        <w:rPr>
          <w:rFonts w:ascii="Baskerville" w:hAnsi="Baskerville" w:cs="Baskerville"/>
        </w:rPr>
        <w:t>:</w:t>
      </w:r>
      <w:r w:rsidR="004A63D2" w:rsidRPr="00B81081">
        <w:rPr>
          <w:rFonts w:ascii="Baskerville" w:hAnsi="Baskerville" w:cs="Baskerville"/>
        </w:rPr>
        <w:t xml:space="preserve"> that all individuals with intellectual and developmental disabilities and their families need and de</w:t>
      </w:r>
      <w:r w:rsidR="008E30E6">
        <w:rPr>
          <w:rFonts w:ascii="Baskerville" w:hAnsi="Baskerville" w:cs="Baskerville"/>
        </w:rPr>
        <w:t>serve supports and should not have to prove that they are more deserving than others</w:t>
      </w:r>
      <w:r w:rsidR="004A63D2" w:rsidRPr="00B81081">
        <w:rPr>
          <w:rFonts w:ascii="Baskerville" w:hAnsi="Baskerville" w:cs="Baskerville"/>
        </w:rPr>
        <w:t xml:space="preserve">.  At the same time, </w:t>
      </w:r>
      <w:r w:rsidR="008E30E6">
        <w:rPr>
          <w:rFonts w:ascii="Baskerville" w:hAnsi="Baskerville" w:cs="Baskerville"/>
        </w:rPr>
        <w:t xml:space="preserve">stakeholders interviewed </w:t>
      </w:r>
      <w:r w:rsidR="001F4A61">
        <w:rPr>
          <w:rFonts w:ascii="Baskerville" w:hAnsi="Baskerville" w:cs="Baskerville"/>
        </w:rPr>
        <w:t>shared an</w:t>
      </w:r>
      <w:r w:rsidR="004A63D2" w:rsidRPr="00B81081">
        <w:rPr>
          <w:rFonts w:ascii="Baskerville" w:hAnsi="Baskerville" w:cs="Baskerville"/>
        </w:rPr>
        <w:t xml:space="preserve"> almost universal uneasiness</w:t>
      </w:r>
      <w:r w:rsidR="001F4A61">
        <w:rPr>
          <w:rFonts w:ascii="Baskerville" w:hAnsi="Baskerville" w:cs="Baskerville"/>
        </w:rPr>
        <w:t xml:space="preserve"> that </w:t>
      </w:r>
      <w:r w:rsidR="004A63D2" w:rsidRPr="00B81081">
        <w:rPr>
          <w:rFonts w:ascii="Baskerville" w:hAnsi="Baskerville" w:cs="Baskerville"/>
        </w:rPr>
        <w:t>the design of the IFSP may be inherently unfair to those who need it the most.  A common theme expressed was that the needs of individuals and families on the waitlists varied dramatically</w:t>
      </w:r>
      <w:r w:rsidR="005A04DE">
        <w:rPr>
          <w:rFonts w:ascii="Baskerville" w:hAnsi="Baskerville" w:cs="Baskerville"/>
        </w:rPr>
        <w:t>. T</w:t>
      </w:r>
      <w:r w:rsidR="004A63D2" w:rsidRPr="00B81081">
        <w:rPr>
          <w:rFonts w:ascii="Baskerville" w:hAnsi="Baskerville" w:cs="Baskerville"/>
        </w:rPr>
        <w:t>here was no prioritization based on individual</w:t>
      </w:r>
      <w:r w:rsidR="00094BB6">
        <w:rPr>
          <w:rFonts w:ascii="Baskerville" w:hAnsi="Baskerville" w:cs="Baskerville"/>
        </w:rPr>
        <w:t xml:space="preserve"> situations that are more important</w:t>
      </w:r>
      <w:r w:rsidR="004A63D2" w:rsidRPr="00B81081">
        <w:rPr>
          <w:rFonts w:ascii="Baskerville" w:hAnsi="Baskerville" w:cs="Baskerville"/>
        </w:rPr>
        <w:t xml:space="preserve"> or urgent</w:t>
      </w:r>
      <w:r w:rsidR="00094BB6">
        <w:rPr>
          <w:rFonts w:ascii="Baskerville" w:hAnsi="Baskerville" w:cs="Baskerville"/>
        </w:rPr>
        <w:t xml:space="preserve"> than others. For example, stakeholders expressed uneasiness</w:t>
      </w:r>
      <w:r w:rsidR="004A63D2" w:rsidRPr="00B81081">
        <w:rPr>
          <w:rFonts w:ascii="Baskerville" w:hAnsi="Baskerville" w:cs="Baskerville"/>
        </w:rPr>
        <w:t xml:space="preserve"> as to whether </w:t>
      </w:r>
      <w:r w:rsidR="005A04DE">
        <w:rPr>
          <w:rFonts w:ascii="Baskerville" w:hAnsi="Baskerville" w:cs="Baskerville"/>
        </w:rPr>
        <w:t xml:space="preserve">the IFSP should fund </w:t>
      </w:r>
      <w:r w:rsidR="004A63D2" w:rsidRPr="00B81081">
        <w:rPr>
          <w:rFonts w:ascii="Baskerville" w:hAnsi="Baskerville" w:cs="Baskerville"/>
        </w:rPr>
        <w:t>summer camp or</w:t>
      </w:r>
      <w:r w:rsidR="005A04DE">
        <w:rPr>
          <w:rFonts w:ascii="Baskerville" w:hAnsi="Baskerville" w:cs="Baskerville"/>
        </w:rPr>
        <w:t xml:space="preserve"> violin lessons</w:t>
      </w:r>
      <w:r w:rsidR="004A63D2" w:rsidRPr="00B81081">
        <w:rPr>
          <w:rFonts w:ascii="Baskerville" w:hAnsi="Baskerville" w:cs="Baskerville"/>
        </w:rPr>
        <w:t xml:space="preserve"> over health and safety-related needs. The ID waitlist is further stratified into “urgent” and “non-urgent,” but this differentiation is not factored in</w:t>
      </w:r>
      <w:r w:rsidR="00F3401B">
        <w:rPr>
          <w:rFonts w:ascii="Baskerville" w:hAnsi="Baskerville" w:cs="Baskerville"/>
        </w:rPr>
        <w:t>to the determination of most at-</w:t>
      </w:r>
      <w:r w:rsidR="004A63D2" w:rsidRPr="00B81081">
        <w:rPr>
          <w:rFonts w:ascii="Baskerville" w:hAnsi="Baskerville" w:cs="Baskerville"/>
        </w:rPr>
        <w:t xml:space="preserve">risk or any prioritization.  On its face, this lack of </w:t>
      </w:r>
      <w:r w:rsidR="003E5B22">
        <w:rPr>
          <w:rFonts w:ascii="Baskerville" w:hAnsi="Baskerville" w:cs="Baskerville"/>
        </w:rPr>
        <w:t>“</w:t>
      </w:r>
      <w:r w:rsidR="004A63D2" w:rsidRPr="00B81081">
        <w:rPr>
          <w:rFonts w:ascii="Baskerville" w:hAnsi="Baskerville" w:cs="Baskerville"/>
        </w:rPr>
        <w:t>most at risk</w:t>
      </w:r>
      <w:r w:rsidR="003E5B22">
        <w:rPr>
          <w:rFonts w:ascii="Baskerville" w:hAnsi="Baskerville" w:cs="Baskerville"/>
        </w:rPr>
        <w:t>”</w:t>
      </w:r>
      <w:r w:rsidR="004A63D2" w:rsidRPr="00B81081">
        <w:rPr>
          <w:rFonts w:ascii="Baskerville" w:hAnsi="Baskerville" w:cs="Baskerville"/>
        </w:rPr>
        <w:t xml:space="preserve"> prioritization between </w:t>
      </w:r>
      <w:r w:rsidR="003E5B22">
        <w:rPr>
          <w:rFonts w:ascii="Baskerville" w:hAnsi="Baskerville" w:cs="Baskerville"/>
        </w:rPr>
        <w:t>“</w:t>
      </w:r>
      <w:r w:rsidR="004A63D2" w:rsidRPr="00B81081">
        <w:rPr>
          <w:rFonts w:ascii="Baskerville" w:hAnsi="Baskerville" w:cs="Baskerville"/>
        </w:rPr>
        <w:t>urg</w:t>
      </w:r>
      <w:r w:rsidR="003D555E">
        <w:rPr>
          <w:rFonts w:ascii="Baskerville" w:hAnsi="Baskerville" w:cs="Baskerville"/>
        </w:rPr>
        <w:t>ent</w:t>
      </w:r>
      <w:r w:rsidR="003E5B22">
        <w:rPr>
          <w:rFonts w:ascii="Baskerville" w:hAnsi="Baskerville" w:cs="Baskerville"/>
        </w:rPr>
        <w:t>”</w:t>
      </w:r>
      <w:r w:rsidR="003D555E">
        <w:rPr>
          <w:rFonts w:ascii="Baskerville" w:hAnsi="Baskerville" w:cs="Baskerville"/>
        </w:rPr>
        <w:t xml:space="preserve"> and </w:t>
      </w:r>
      <w:r w:rsidR="003E5B22">
        <w:rPr>
          <w:rFonts w:ascii="Baskerville" w:hAnsi="Baskerville" w:cs="Baskerville"/>
        </w:rPr>
        <w:t>“</w:t>
      </w:r>
      <w:r w:rsidR="003D555E">
        <w:rPr>
          <w:rFonts w:ascii="Baskerville" w:hAnsi="Baskerville" w:cs="Baskerville"/>
        </w:rPr>
        <w:t>non-urgent</w:t>
      </w:r>
      <w:r w:rsidR="003E5B22">
        <w:rPr>
          <w:rFonts w:ascii="Baskerville" w:hAnsi="Baskerville" w:cs="Baskerville"/>
        </w:rPr>
        <w:t>”</w:t>
      </w:r>
      <w:r w:rsidR="003D555E">
        <w:rPr>
          <w:rFonts w:ascii="Baskerville" w:hAnsi="Baskerville" w:cs="Baskerville"/>
        </w:rPr>
        <w:t xml:space="preserve"> appears</w:t>
      </w:r>
      <w:r w:rsidR="004A63D2" w:rsidRPr="00B81081">
        <w:rPr>
          <w:rFonts w:ascii="Baskerville" w:hAnsi="Baskerville" w:cs="Baskerville"/>
        </w:rPr>
        <w:t xml:space="preserve"> contradictory.  </w:t>
      </w:r>
    </w:p>
    <w:p w:rsidR="004A63D2" w:rsidRPr="00B81081" w:rsidRDefault="004A63D2" w:rsidP="00526354">
      <w:pPr>
        <w:spacing w:before="100" w:beforeAutospacing="1" w:after="100" w:afterAutospacing="1"/>
        <w:jc w:val="both"/>
        <w:rPr>
          <w:rFonts w:ascii="Baskerville" w:hAnsi="Baskerville" w:cs="Baskerville"/>
        </w:rPr>
      </w:pPr>
      <w:r w:rsidRPr="00B81081">
        <w:rPr>
          <w:rFonts w:ascii="Baskerville" w:hAnsi="Baskerville" w:cs="Baskerville"/>
        </w:rPr>
        <w:t xml:space="preserve">Most stakeholders shared concerns that higher-income and better-educated families are more likely to be able to get the application completed and submitted within the very small window that </w:t>
      </w:r>
      <w:r w:rsidR="005A04DE">
        <w:rPr>
          <w:rFonts w:ascii="Baskerville" w:hAnsi="Baskerville" w:cs="Baskerville"/>
        </w:rPr>
        <w:t xml:space="preserve">makes funding even possible. </w:t>
      </w:r>
      <w:r w:rsidRPr="00B81081">
        <w:rPr>
          <w:rFonts w:ascii="Baskerville" w:hAnsi="Baskerville" w:cs="Baskerville"/>
        </w:rPr>
        <w:t xml:space="preserve">The current guidelines require that an individual or family submit an application on one given day during the funding period to have any real chance of being approved.  This is a significant hardship for many.  Individuals and families cannot predict if a personal crisis, such as a family member illness, support staff not being available, </w:t>
      </w:r>
      <w:r w:rsidR="00AD2679">
        <w:rPr>
          <w:rFonts w:ascii="Baskerville" w:hAnsi="Baskerville" w:cs="Baskerville"/>
        </w:rPr>
        <w:t xml:space="preserve">or a car breakdown </w:t>
      </w:r>
      <w:r w:rsidRPr="00B81081">
        <w:rPr>
          <w:rFonts w:ascii="Baskerville" w:hAnsi="Baskerville" w:cs="Baskerville"/>
        </w:rPr>
        <w:t>may occur on the fi</w:t>
      </w:r>
      <w:r w:rsidR="001A2C44">
        <w:rPr>
          <w:rFonts w:ascii="Baskerville" w:hAnsi="Baskerville" w:cs="Baskerville"/>
        </w:rPr>
        <w:t xml:space="preserve">rst day of the funding period. </w:t>
      </w:r>
      <w:r w:rsidR="006B25C8">
        <w:rPr>
          <w:rFonts w:ascii="Baskerville" w:hAnsi="Baskerville" w:cs="Baskerville"/>
        </w:rPr>
        <w:t>If this occurs</w:t>
      </w:r>
      <w:r w:rsidR="006B25C8" w:rsidRPr="00B81081">
        <w:rPr>
          <w:rFonts w:ascii="Baskerville" w:hAnsi="Baskerville" w:cs="Baskerville"/>
        </w:rPr>
        <w:t>, and they cannot make</w:t>
      </w:r>
      <w:r w:rsidR="006B25C8">
        <w:rPr>
          <w:rFonts w:ascii="Baskerville" w:hAnsi="Baskerville" w:cs="Baskerville"/>
        </w:rPr>
        <w:t xml:space="preserve"> it to the post office, they have virtually no </w:t>
      </w:r>
      <w:r w:rsidR="006B25C8" w:rsidRPr="00B81081">
        <w:rPr>
          <w:rFonts w:ascii="Baskerville" w:hAnsi="Baskerville" w:cs="Baskerville"/>
        </w:rPr>
        <w:t>opp</w:t>
      </w:r>
      <w:r w:rsidR="006B25C8">
        <w:rPr>
          <w:rFonts w:ascii="Baskerville" w:hAnsi="Baskerville" w:cs="Baskerville"/>
        </w:rPr>
        <w:t xml:space="preserve">ortunity to receive funding.  </w:t>
      </w:r>
      <w:r w:rsidR="00D448F4">
        <w:rPr>
          <w:rFonts w:ascii="Baskerville" w:hAnsi="Baskerville" w:cs="Baskerville"/>
        </w:rPr>
        <w:t xml:space="preserve">Such crises </w:t>
      </w:r>
      <w:r w:rsidRPr="00B81081">
        <w:rPr>
          <w:rFonts w:ascii="Baskerville" w:hAnsi="Baskerville" w:cs="Baskerville"/>
        </w:rPr>
        <w:t xml:space="preserve">have the potential to occur more frequently for those with fewer social and financial resources, </w:t>
      </w:r>
      <w:r w:rsidR="00FF39BF">
        <w:rPr>
          <w:rFonts w:ascii="Baskerville" w:hAnsi="Baskerville" w:cs="Baskerville"/>
        </w:rPr>
        <w:t>which reinforces the concern that the</w:t>
      </w:r>
      <w:r w:rsidRPr="00B81081">
        <w:rPr>
          <w:rFonts w:ascii="Baskerville" w:hAnsi="Baskerville" w:cs="Baskerville"/>
        </w:rPr>
        <w:t>se individuals and family members are at a disadvantage in terms of successfully receiving an award under the IFSP.</w:t>
      </w:r>
    </w:p>
    <w:p w:rsidR="000676CB" w:rsidRDefault="000676CB" w:rsidP="003518FC">
      <w:pPr>
        <w:rPr>
          <w:rFonts w:ascii="Baskerville" w:hAnsi="Baskerville" w:cs="Baskerville"/>
          <w:bCs/>
          <w:u w:val="single"/>
        </w:rPr>
      </w:pPr>
    </w:p>
    <w:p w:rsidR="000676CB" w:rsidRDefault="000676CB" w:rsidP="003518FC">
      <w:pPr>
        <w:rPr>
          <w:rFonts w:ascii="Baskerville" w:hAnsi="Baskerville" w:cs="Baskerville"/>
          <w:bCs/>
          <w:u w:val="single"/>
        </w:rPr>
      </w:pPr>
    </w:p>
    <w:p w:rsidR="00882769" w:rsidRDefault="00882769" w:rsidP="003518FC">
      <w:pPr>
        <w:rPr>
          <w:rFonts w:ascii="Baskerville" w:hAnsi="Baskerville" w:cs="Baskerville"/>
          <w:bCs/>
          <w:u w:val="single"/>
        </w:rPr>
      </w:pPr>
    </w:p>
    <w:p w:rsidR="00882769" w:rsidRDefault="00882769" w:rsidP="003518FC">
      <w:pPr>
        <w:rPr>
          <w:rFonts w:ascii="Baskerville" w:hAnsi="Baskerville" w:cs="Baskerville"/>
          <w:bCs/>
          <w:u w:val="single"/>
        </w:rPr>
      </w:pPr>
    </w:p>
    <w:p w:rsidR="004A63D2" w:rsidRPr="00B81081" w:rsidRDefault="008C0E7F" w:rsidP="003518FC">
      <w:pPr>
        <w:rPr>
          <w:rFonts w:ascii="Baskerville" w:hAnsi="Baskerville" w:cs="Baskerville"/>
          <w:bCs/>
          <w:u w:val="single"/>
        </w:rPr>
      </w:pPr>
      <w:r>
        <w:rPr>
          <w:rFonts w:ascii="Baskerville" w:hAnsi="Baskerville" w:cs="Baskerville"/>
          <w:bCs/>
          <w:u w:val="single"/>
        </w:rPr>
        <w:t>First Come-</w:t>
      </w:r>
      <w:r w:rsidR="004A63D2" w:rsidRPr="00B81081">
        <w:rPr>
          <w:rFonts w:ascii="Baskerville" w:hAnsi="Baskerville" w:cs="Baskerville"/>
          <w:bCs/>
          <w:u w:val="single"/>
        </w:rPr>
        <w:t>First Serve:</w:t>
      </w:r>
    </w:p>
    <w:p w:rsidR="004A63D2" w:rsidRPr="00B81081" w:rsidRDefault="008C0E7F" w:rsidP="003518FC">
      <w:pPr>
        <w:spacing w:before="100" w:beforeAutospacing="1" w:after="100" w:afterAutospacing="1"/>
        <w:contextualSpacing/>
        <w:jc w:val="both"/>
        <w:rPr>
          <w:rFonts w:ascii="Baskerville" w:hAnsi="Baskerville" w:cs="Baskerville"/>
        </w:rPr>
      </w:pPr>
      <w:r>
        <w:rPr>
          <w:rFonts w:ascii="Baskerville" w:hAnsi="Baskerville" w:cs="Baskerville"/>
        </w:rPr>
        <w:t xml:space="preserve">Overall, </w:t>
      </w:r>
      <w:r w:rsidR="004A63D2" w:rsidRPr="00B81081">
        <w:rPr>
          <w:rFonts w:ascii="Baskerville" w:hAnsi="Baskerville" w:cs="Baskerville"/>
        </w:rPr>
        <w:t xml:space="preserve">the first come-first served </w:t>
      </w:r>
      <w:r w:rsidR="00D448F4">
        <w:rPr>
          <w:rFonts w:ascii="Baskerville" w:hAnsi="Baskerville" w:cs="Baskerville"/>
        </w:rPr>
        <w:t>structure has been unwieldy and impractical</w:t>
      </w:r>
      <w:r w:rsidR="001B2FF7">
        <w:rPr>
          <w:rFonts w:ascii="Baskerville" w:hAnsi="Baskerville" w:cs="Baskerville"/>
        </w:rPr>
        <w:t xml:space="preserve">. </w:t>
      </w:r>
      <w:r w:rsidR="004A63D2" w:rsidRPr="00B81081">
        <w:rPr>
          <w:rFonts w:ascii="Baskerville" w:hAnsi="Baskerville" w:cs="Baskerville"/>
        </w:rPr>
        <w:t>The volume of applications postmarked on t</w:t>
      </w:r>
      <w:r w:rsidR="00A71B32">
        <w:rPr>
          <w:rFonts w:ascii="Baskerville" w:hAnsi="Baskerville" w:cs="Baskerville"/>
        </w:rPr>
        <w:t>he first day of the application</w:t>
      </w:r>
      <w:r w:rsidR="004A63D2" w:rsidRPr="00B81081">
        <w:rPr>
          <w:rFonts w:ascii="Baskerville" w:hAnsi="Baskerville" w:cs="Baskerville"/>
        </w:rPr>
        <w:t xml:space="preserve"> period exceeds the number that can be funded.  For example, of the 3,300 applications received in the first funding period for FY 2015, 2,278 were po</w:t>
      </w:r>
      <w:r w:rsidR="000B59B6">
        <w:rPr>
          <w:rFonts w:ascii="Baskerville" w:hAnsi="Baskerville" w:cs="Baskerville"/>
        </w:rPr>
        <w:t>stmarked on the first day. O</w:t>
      </w:r>
      <w:r w:rsidR="004A63D2" w:rsidRPr="00B81081">
        <w:rPr>
          <w:rFonts w:ascii="Baskerville" w:hAnsi="Baskerville" w:cs="Baskerville"/>
        </w:rPr>
        <w:t>nly 600 (26.3%) of those</w:t>
      </w:r>
      <w:r w:rsidR="006F5D70">
        <w:rPr>
          <w:rFonts w:ascii="Baskerville" w:hAnsi="Baskerville" w:cs="Baskerville"/>
        </w:rPr>
        <w:t xml:space="preserve"> post marked on the first day</w:t>
      </w:r>
      <w:r w:rsidR="004A63D2" w:rsidRPr="00B81081">
        <w:rPr>
          <w:rFonts w:ascii="Baskerville" w:hAnsi="Baskerville" w:cs="Baskerville"/>
        </w:rPr>
        <w:t xml:space="preserve"> were approved for funding based on </w:t>
      </w:r>
      <w:r w:rsidR="006F5D70">
        <w:rPr>
          <w:rFonts w:ascii="Baskerville" w:hAnsi="Baskerville" w:cs="Baskerville"/>
        </w:rPr>
        <w:t>the available dollars.  DBHDS acknowledges tha</w:t>
      </w:r>
      <w:r w:rsidR="004A63D2" w:rsidRPr="00B81081">
        <w:rPr>
          <w:rFonts w:ascii="Baskerville" w:hAnsi="Baskerville" w:cs="Baskerville"/>
        </w:rPr>
        <w:t>t</w:t>
      </w:r>
      <w:r w:rsidR="006F5D70">
        <w:rPr>
          <w:rFonts w:ascii="Baskerville" w:hAnsi="Baskerville" w:cs="Baskerville"/>
        </w:rPr>
        <w:t xml:space="preserve"> it</w:t>
      </w:r>
      <w:r w:rsidR="00B11C8A">
        <w:rPr>
          <w:rFonts w:ascii="Baskerville" w:hAnsi="Baskerville" w:cs="Baskerville"/>
        </w:rPr>
        <w:t xml:space="preserve"> was impossible to </w:t>
      </w:r>
      <w:r w:rsidR="004A63D2" w:rsidRPr="00B81081">
        <w:rPr>
          <w:rFonts w:ascii="Baskerville" w:hAnsi="Baskerville" w:cs="Baskerville"/>
        </w:rPr>
        <w:t xml:space="preserve">determine which of the 600 among those 2,278 were actually “first-come.”  The resulting first-day volume also creates a sizeable backlog of applications and notifications that takes months to work through.  </w:t>
      </w:r>
    </w:p>
    <w:p w:rsidR="00526354" w:rsidRPr="00B81081" w:rsidRDefault="00526354" w:rsidP="003518FC">
      <w:pPr>
        <w:rPr>
          <w:rFonts w:ascii="Baskerville" w:hAnsi="Baskerville" w:cs="Baskerville"/>
          <w:bCs/>
        </w:rPr>
      </w:pPr>
    </w:p>
    <w:p w:rsidR="004A63D2" w:rsidRPr="00B81081" w:rsidRDefault="004A63D2" w:rsidP="003518FC">
      <w:pPr>
        <w:rPr>
          <w:rFonts w:ascii="Baskerville" w:hAnsi="Baskerville" w:cs="Baskerville"/>
          <w:bCs/>
          <w:u w:val="single"/>
        </w:rPr>
      </w:pPr>
      <w:r w:rsidRPr="00B81081">
        <w:rPr>
          <w:rFonts w:ascii="Baskerville" w:hAnsi="Baskerville" w:cs="Baskerville"/>
          <w:bCs/>
          <w:u w:val="single"/>
        </w:rPr>
        <w:t>Maintaining sufficient records to demonstrate proper implementation:</w:t>
      </w:r>
    </w:p>
    <w:p w:rsidR="004A63D2" w:rsidRPr="00B81081" w:rsidRDefault="004A63D2" w:rsidP="003518FC">
      <w:pPr>
        <w:rPr>
          <w:rFonts w:ascii="Baskerville" w:hAnsi="Baskerville" w:cs="Baskerville"/>
          <w:bCs/>
          <w:u w:val="single"/>
        </w:rPr>
      </w:pPr>
    </w:p>
    <w:p w:rsidR="004A63D2" w:rsidRPr="00B81081" w:rsidRDefault="004A63D2" w:rsidP="003518FC">
      <w:pPr>
        <w:rPr>
          <w:rFonts w:ascii="Baskerville" w:hAnsi="Baskerville" w:cs="Baskerville"/>
          <w:bCs/>
        </w:rPr>
      </w:pPr>
      <w:r w:rsidRPr="00B81081">
        <w:rPr>
          <w:rFonts w:ascii="Baskerville" w:hAnsi="Baskerville" w:cs="Baskerville"/>
          <w:bCs/>
        </w:rPr>
        <w:t>The Commonwealth has no</w:t>
      </w:r>
      <w:r w:rsidR="00FD0420">
        <w:rPr>
          <w:rFonts w:ascii="Baskerville" w:hAnsi="Baskerville" w:cs="Baskerville"/>
          <w:bCs/>
        </w:rPr>
        <w:t>t defined</w:t>
      </w:r>
      <w:r w:rsidRPr="00B81081">
        <w:rPr>
          <w:rFonts w:ascii="Baskerville" w:hAnsi="Baskerville" w:cs="Baskerville"/>
          <w:bCs/>
        </w:rPr>
        <w:t xml:space="preserve"> outcome or </w:t>
      </w:r>
      <w:r w:rsidR="00FD0420">
        <w:rPr>
          <w:rFonts w:ascii="Baskerville" w:hAnsi="Baskerville" w:cs="Baskerville"/>
          <w:bCs/>
        </w:rPr>
        <w:t xml:space="preserve">satisfaction indicators </w:t>
      </w:r>
      <w:r w:rsidRPr="00B81081">
        <w:rPr>
          <w:rFonts w:ascii="Baskerville" w:hAnsi="Baskerville" w:cs="Baskerville"/>
          <w:bCs/>
        </w:rPr>
        <w:t>for the IFSP, other than the number of individuals/families who receiv</w:t>
      </w:r>
      <w:r w:rsidR="00FD0420">
        <w:rPr>
          <w:rFonts w:ascii="Baskerville" w:hAnsi="Baskerville" w:cs="Baskerville"/>
          <w:bCs/>
        </w:rPr>
        <w:t>e a one-time fund award. D</w:t>
      </w:r>
      <w:r w:rsidRPr="00B81081">
        <w:rPr>
          <w:rFonts w:ascii="Baskerville" w:hAnsi="Baskerville" w:cs="Baskerville"/>
          <w:bCs/>
        </w:rPr>
        <w:t xml:space="preserve">ata are </w:t>
      </w:r>
      <w:r w:rsidR="00FD0420">
        <w:rPr>
          <w:rFonts w:ascii="Baskerville" w:hAnsi="Baskerville" w:cs="Baskerville"/>
          <w:bCs/>
        </w:rPr>
        <w:t xml:space="preserve">not </w:t>
      </w:r>
      <w:r w:rsidRPr="00B81081">
        <w:rPr>
          <w:rFonts w:ascii="Baskerville" w:hAnsi="Baskerville" w:cs="Baskerville"/>
          <w:bCs/>
        </w:rPr>
        <w:t>collected that relate to performance, impact, or satisfaction. DBHDS acknowledges</w:t>
      </w:r>
      <w:r w:rsidR="00FD0420">
        <w:rPr>
          <w:rFonts w:ascii="Baskerville" w:hAnsi="Baskerville" w:cs="Baskerville"/>
          <w:bCs/>
        </w:rPr>
        <w:t xml:space="preserve"> the importance </w:t>
      </w:r>
      <w:r w:rsidR="00B11C8A">
        <w:rPr>
          <w:rFonts w:ascii="Baskerville" w:hAnsi="Baskerville" w:cs="Baskerville"/>
          <w:bCs/>
        </w:rPr>
        <w:t xml:space="preserve">of this </w:t>
      </w:r>
      <w:r w:rsidR="00FD0420">
        <w:rPr>
          <w:rFonts w:ascii="Baskerville" w:hAnsi="Baskerville" w:cs="Baskerville"/>
          <w:bCs/>
        </w:rPr>
        <w:t>and</w:t>
      </w:r>
      <w:r w:rsidRPr="00B81081">
        <w:rPr>
          <w:rFonts w:ascii="Baskerville" w:hAnsi="Baskerville" w:cs="Baskerville"/>
          <w:bCs/>
        </w:rPr>
        <w:t xml:space="preserve"> the lack of feedback from individuals and families. DBHDS reported that it is drafting a survey</w:t>
      </w:r>
      <w:r w:rsidR="00025864">
        <w:rPr>
          <w:rFonts w:ascii="Baskerville" w:hAnsi="Baskerville" w:cs="Baskerville"/>
          <w:bCs/>
        </w:rPr>
        <w:t>,</w:t>
      </w:r>
      <w:r w:rsidRPr="00B81081">
        <w:rPr>
          <w:rFonts w:ascii="Baskerville" w:hAnsi="Baskerville" w:cs="Baskerville"/>
          <w:bCs/>
        </w:rPr>
        <w:t xml:space="preserve"> which it expects to distribute in the near future.</w:t>
      </w:r>
      <w:r w:rsidR="00025864">
        <w:rPr>
          <w:rFonts w:ascii="Baskerville" w:hAnsi="Baskerville" w:cs="Baskerville"/>
          <w:bCs/>
        </w:rPr>
        <w:t xml:space="preserve">  </w:t>
      </w:r>
      <w:r w:rsidRPr="00B81081">
        <w:rPr>
          <w:rFonts w:ascii="Baskerville" w:hAnsi="Baskerville" w:cs="Baskerville"/>
          <w:bCs/>
        </w:rPr>
        <w:t xml:space="preserve">The consultant concluded that </w:t>
      </w:r>
      <w:r w:rsidRPr="00B81081">
        <w:rPr>
          <w:rFonts w:ascii="Baskerville" w:hAnsi="Baskerville" w:cs="Baskerville"/>
        </w:rPr>
        <w:t xml:space="preserve">DBHDS also does not yet have a comprehensive picture of systemic individual and family supports </w:t>
      </w:r>
      <w:r w:rsidR="00363672">
        <w:rPr>
          <w:rFonts w:ascii="Baskerville" w:hAnsi="Baskerville" w:cs="Baskerville"/>
        </w:rPr>
        <w:t>on the broader scale. Neither has it</w:t>
      </w:r>
      <w:r w:rsidRPr="00B81081">
        <w:rPr>
          <w:rFonts w:ascii="Baskerville" w:hAnsi="Baskerville" w:cs="Baskerville"/>
        </w:rPr>
        <w:t xml:space="preserve"> determined the indicators or data needed to demonstrate that the individual and family supports offered are comprehensive and coordinated.  </w:t>
      </w:r>
    </w:p>
    <w:p w:rsidR="004A63D2" w:rsidRPr="00B81081" w:rsidRDefault="004A63D2" w:rsidP="003518FC">
      <w:pPr>
        <w:rPr>
          <w:rFonts w:ascii="Baskerville" w:hAnsi="Baskerville" w:cs="Baskerville"/>
          <w:bCs/>
        </w:rPr>
      </w:pPr>
    </w:p>
    <w:p w:rsidR="004A63D2" w:rsidRPr="00B81081" w:rsidRDefault="004A63D2" w:rsidP="003518FC">
      <w:pPr>
        <w:rPr>
          <w:rFonts w:ascii="Baskerville" w:hAnsi="Baskerville" w:cs="Baskerville"/>
          <w:bCs/>
        </w:rPr>
      </w:pPr>
      <w:r w:rsidRPr="00B81081">
        <w:rPr>
          <w:rFonts w:ascii="Baskerville" w:hAnsi="Baskerville" w:cs="Baskerville"/>
          <w:bCs/>
        </w:rPr>
        <w:t>The IR de</w:t>
      </w:r>
      <w:r w:rsidR="00363672">
        <w:rPr>
          <w:rFonts w:ascii="Baskerville" w:hAnsi="Baskerville" w:cs="Baskerville"/>
          <w:bCs/>
        </w:rPr>
        <w:t>termined that the Commonwealth</w:t>
      </w:r>
      <w:r w:rsidRPr="00B81081">
        <w:rPr>
          <w:rFonts w:ascii="Baskerville" w:hAnsi="Baskerville" w:cs="Baskerville"/>
          <w:bCs/>
        </w:rPr>
        <w:t xml:space="preserve"> is not in compliance with Section III.C.2. The individual and family support program does not include the</w:t>
      </w:r>
      <w:r w:rsidR="005C1226">
        <w:rPr>
          <w:rFonts w:ascii="Baskerville" w:hAnsi="Baskerville" w:cs="Baskerville"/>
          <w:bCs/>
        </w:rPr>
        <w:t xml:space="preserve"> qualitative aspects included in</w:t>
      </w:r>
      <w:r w:rsidRPr="00B81081">
        <w:rPr>
          <w:rFonts w:ascii="Baskerville" w:hAnsi="Baskerville" w:cs="Baskerville"/>
          <w:bCs/>
        </w:rPr>
        <w:t xml:space="preserve"> the definition</w:t>
      </w:r>
      <w:r w:rsidR="00C37F49">
        <w:rPr>
          <w:rFonts w:ascii="Baskerville" w:hAnsi="Baskerville" w:cs="Baskerville"/>
          <w:bCs/>
        </w:rPr>
        <w:t xml:space="preserve"> of an individual and family support program. The program </w:t>
      </w:r>
      <w:r w:rsidRPr="00B81081">
        <w:rPr>
          <w:rFonts w:ascii="Baskerville" w:hAnsi="Baskerville" w:cs="Baskerville"/>
          <w:bCs/>
        </w:rPr>
        <w:t>does not include a comprehensive and coordinate</w:t>
      </w:r>
      <w:r w:rsidR="00363672">
        <w:rPr>
          <w:rFonts w:ascii="Baskerville" w:hAnsi="Baskerville" w:cs="Baskerville"/>
          <w:bCs/>
        </w:rPr>
        <w:t>d set of strategies that ensure</w:t>
      </w:r>
      <w:r w:rsidRPr="00B81081">
        <w:rPr>
          <w:rFonts w:ascii="Baskerville" w:hAnsi="Baskerville" w:cs="Baskerville"/>
          <w:bCs/>
        </w:rPr>
        <w:t xml:space="preserve"> access for individuals and families to </w:t>
      </w:r>
      <w:r w:rsidR="00363672">
        <w:rPr>
          <w:rFonts w:ascii="Baskerville" w:hAnsi="Baskerville" w:cs="Baskerville"/>
          <w:bCs/>
        </w:rPr>
        <w:t xml:space="preserve">a range of </w:t>
      </w:r>
      <w:r w:rsidRPr="00B81081">
        <w:rPr>
          <w:rFonts w:ascii="Baskerville" w:hAnsi="Baskerville" w:cs="Baskerville"/>
          <w:bCs/>
        </w:rPr>
        <w:t xml:space="preserve">needed </w:t>
      </w:r>
      <w:r w:rsidR="00363672">
        <w:rPr>
          <w:rFonts w:ascii="Baskerville" w:hAnsi="Baskerville" w:cs="Baskerville"/>
          <w:bCs/>
        </w:rPr>
        <w:t>resources and support</w:t>
      </w:r>
      <w:r w:rsidRPr="00B81081">
        <w:rPr>
          <w:rFonts w:ascii="Baskerville" w:hAnsi="Baskerville" w:cs="Baskerville"/>
          <w:bCs/>
        </w:rPr>
        <w:t xml:space="preserve">. </w:t>
      </w:r>
    </w:p>
    <w:p w:rsidR="004A63D2" w:rsidRPr="00B81081" w:rsidRDefault="004A63D2" w:rsidP="003518FC">
      <w:pPr>
        <w:rPr>
          <w:rFonts w:ascii="Baskerville" w:hAnsi="Baskerville" w:cs="Baskerville"/>
          <w:bCs/>
        </w:rPr>
      </w:pPr>
    </w:p>
    <w:p w:rsidR="004A63D2" w:rsidRPr="00B81081" w:rsidRDefault="004A63D2" w:rsidP="003518FC">
      <w:pPr>
        <w:rPr>
          <w:rFonts w:ascii="Baskerville" w:hAnsi="Baskerville" w:cs="Baskerville"/>
          <w:bCs/>
        </w:rPr>
      </w:pPr>
      <w:r w:rsidRPr="00B81081">
        <w:rPr>
          <w:rFonts w:ascii="Baskerville" w:hAnsi="Baskerville" w:cs="Baskerville"/>
          <w:bCs/>
        </w:rPr>
        <w:t>The IR det</w:t>
      </w:r>
      <w:r w:rsidR="005C1226">
        <w:rPr>
          <w:rFonts w:ascii="Baskerville" w:hAnsi="Baskerville" w:cs="Baskerville"/>
          <w:bCs/>
        </w:rPr>
        <w:t xml:space="preserve">ermined that the Commonwealth </w:t>
      </w:r>
      <w:r w:rsidRPr="00B81081">
        <w:rPr>
          <w:rFonts w:ascii="Baskerville" w:hAnsi="Baskerville" w:cs="Baskerville"/>
          <w:bCs/>
        </w:rPr>
        <w:t xml:space="preserve">is not in compliance with Section IX.C. </w:t>
      </w:r>
      <w:r w:rsidRPr="00B81081">
        <w:rPr>
          <w:rFonts w:ascii="Baskerville" w:hAnsi="Baskerville" w:cs="Baskerville"/>
        </w:rPr>
        <w:t>DBHDS has not determined the indicators or data needed</w:t>
      </w:r>
      <w:r w:rsidR="00DE7802">
        <w:rPr>
          <w:rFonts w:ascii="Baskerville" w:hAnsi="Baskerville" w:cs="Baskerville"/>
        </w:rPr>
        <w:t xml:space="preserve"> and does not maintain sufficient records</w:t>
      </w:r>
      <w:r w:rsidRPr="00B81081">
        <w:rPr>
          <w:rFonts w:ascii="Baskerville" w:hAnsi="Baskerville" w:cs="Baskerville"/>
        </w:rPr>
        <w:t xml:space="preserve"> to demonstrate a comprehensive and coordinated set of strategies that ensure individuals and families have access to a range of person-centered and family centered supports. </w:t>
      </w:r>
    </w:p>
    <w:p w:rsidR="00861035" w:rsidRPr="00B81081" w:rsidRDefault="00861035" w:rsidP="00606072">
      <w:pPr>
        <w:spacing w:line="360" w:lineRule="auto"/>
        <w:rPr>
          <w:rFonts w:ascii="Baskerville" w:hAnsi="Baskerville" w:cs="Baskerville"/>
          <w:b/>
          <w:bCs/>
        </w:rPr>
      </w:pPr>
    </w:p>
    <w:p w:rsidR="004A63D2" w:rsidRPr="00882769" w:rsidRDefault="000676CB" w:rsidP="003518FC">
      <w:pPr>
        <w:rPr>
          <w:rFonts w:ascii="Baskerville" w:hAnsi="Baskerville" w:cs="Baskerville"/>
          <w:b/>
          <w:bCs/>
        </w:rPr>
      </w:pPr>
      <w:r>
        <w:rPr>
          <w:rFonts w:ascii="Baskerville" w:hAnsi="Baskerville" w:cs="Baskerville"/>
          <w:b/>
          <w:bCs/>
        </w:rPr>
        <w:t>10</w:t>
      </w:r>
      <w:r w:rsidR="004A63D2" w:rsidRPr="00B81081">
        <w:rPr>
          <w:rFonts w:ascii="Baskerville" w:hAnsi="Baskerville" w:cs="Baskerville"/>
          <w:b/>
          <w:bCs/>
        </w:rPr>
        <w:t xml:space="preserve">.  </w:t>
      </w:r>
      <w:r w:rsidR="00F97399" w:rsidRPr="00B81081">
        <w:rPr>
          <w:rFonts w:ascii="Baskerville" w:hAnsi="Baskerville" w:cs="Baskerville"/>
          <w:b/>
          <w:bCs/>
        </w:rPr>
        <w:t xml:space="preserve">Guidelines For Families Seeking Services  </w:t>
      </w:r>
    </w:p>
    <w:p w:rsidR="004A63D2" w:rsidRPr="00B81081" w:rsidRDefault="004A63D2" w:rsidP="003518FC">
      <w:pPr>
        <w:rPr>
          <w:rFonts w:ascii="Baskerville" w:hAnsi="Baskerville" w:cs="Baskerville"/>
        </w:rPr>
      </w:pPr>
      <w:r w:rsidRPr="00B81081">
        <w:rPr>
          <w:rFonts w:ascii="Baskerville" w:hAnsi="Baskerville" w:cs="Baskerville"/>
        </w:rPr>
        <w:t xml:space="preserve">The </w:t>
      </w:r>
      <w:r w:rsidR="005C08BE" w:rsidRPr="00B81081">
        <w:rPr>
          <w:rFonts w:ascii="Baskerville" w:hAnsi="Baskerville" w:cs="Baskerville"/>
        </w:rPr>
        <w:t>Independent</w:t>
      </w:r>
      <w:r w:rsidRPr="00B81081">
        <w:rPr>
          <w:rFonts w:ascii="Baskerville" w:hAnsi="Baskerville" w:cs="Baskerville"/>
        </w:rPr>
        <w:t xml:space="preserve"> </w:t>
      </w:r>
      <w:r w:rsidR="005C08BE">
        <w:rPr>
          <w:rFonts w:ascii="Baskerville" w:hAnsi="Baskerville" w:cs="Baskerville"/>
        </w:rPr>
        <w:t xml:space="preserve">Reviewer’s </w:t>
      </w:r>
      <w:r w:rsidRPr="00B81081">
        <w:rPr>
          <w:rFonts w:ascii="Baskerville" w:hAnsi="Baskerville" w:cs="Baskerville"/>
        </w:rPr>
        <w:t>consultant</w:t>
      </w:r>
      <w:r w:rsidR="005C08BE">
        <w:rPr>
          <w:rFonts w:ascii="Baskerville" w:hAnsi="Baskerville" w:cs="Baskerville"/>
        </w:rPr>
        <w:t xml:space="preserve"> reviewed the Commonwealth’s</w:t>
      </w:r>
      <w:r w:rsidRPr="00B81081">
        <w:rPr>
          <w:rFonts w:ascii="Baskerville" w:hAnsi="Baskerville" w:cs="Baskerville"/>
        </w:rPr>
        <w:t xml:space="preserve"> published guidelines for families seeking services</w:t>
      </w:r>
      <w:r w:rsidR="00B50313">
        <w:rPr>
          <w:rFonts w:ascii="Baskerville" w:hAnsi="Baskerville" w:cs="Baskerville"/>
        </w:rPr>
        <w:t>,</w:t>
      </w:r>
      <w:r w:rsidRPr="00B81081">
        <w:rPr>
          <w:rFonts w:ascii="Baskerville" w:hAnsi="Baskerville" w:cs="Baskerville"/>
        </w:rPr>
        <w:t xml:space="preserve"> and </w:t>
      </w:r>
      <w:r w:rsidR="005C08BE">
        <w:rPr>
          <w:rFonts w:ascii="Baskerville" w:hAnsi="Baskerville" w:cs="Baskerville"/>
        </w:rPr>
        <w:t xml:space="preserve">whether it had </w:t>
      </w:r>
      <w:r w:rsidR="00655877">
        <w:rPr>
          <w:rFonts w:ascii="Baskerville" w:hAnsi="Baskerville" w:cs="Baskerville"/>
        </w:rPr>
        <w:t>provided the guidelines</w:t>
      </w:r>
      <w:r w:rsidRPr="00B81081">
        <w:rPr>
          <w:rFonts w:ascii="Baskerville" w:hAnsi="Baskerville" w:cs="Baskerville"/>
        </w:rPr>
        <w:t xml:space="preserve"> to appropriate agencies for use in directing individuals with ID and DD </w:t>
      </w:r>
      <w:r w:rsidR="00655877">
        <w:rPr>
          <w:rFonts w:ascii="Baskerville" w:hAnsi="Baskerville" w:cs="Baskerville"/>
        </w:rPr>
        <w:t xml:space="preserve">and their families </w:t>
      </w:r>
      <w:r w:rsidRPr="00B81081">
        <w:rPr>
          <w:rFonts w:ascii="Baskerville" w:hAnsi="Baskerville" w:cs="Baskerville"/>
        </w:rPr>
        <w:t xml:space="preserve">to the correct point of entry to access services. </w:t>
      </w:r>
    </w:p>
    <w:p w:rsidR="004A63D2" w:rsidRPr="00B81081" w:rsidRDefault="004A63D2" w:rsidP="003518FC">
      <w:pPr>
        <w:rPr>
          <w:rFonts w:ascii="Baskerville" w:hAnsi="Baskerville" w:cs="Baskerville"/>
        </w:rPr>
      </w:pPr>
    </w:p>
    <w:p w:rsidR="00CF384E" w:rsidRDefault="00A81308" w:rsidP="003518FC">
      <w:pPr>
        <w:rPr>
          <w:rFonts w:ascii="Baskerville" w:hAnsi="Baskerville" w:cs="Baskerville"/>
        </w:rPr>
      </w:pPr>
      <w:r>
        <w:rPr>
          <w:rFonts w:ascii="Baskerville" w:hAnsi="Baskerville" w:cs="Baskerville"/>
        </w:rPr>
        <w:t>The consultant found that</w:t>
      </w:r>
      <w:r w:rsidR="004A63D2" w:rsidRPr="00B81081">
        <w:rPr>
          <w:rFonts w:ascii="Baskerville" w:hAnsi="Baskerville" w:cs="Baskerville"/>
        </w:rPr>
        <w:t xml:space="preserve"> during this review period, the Commonwealth had updated guidelines  (“Just the Facts”) for individuals </w:t>
      </w:r>
      <w:r w:rsidR="00A01B09">
        <w:rPr>
          <w:rFonts w:ascii="Baskerville" w:hAnsi="Baskerville" w:cs="Baskerville"/>
        </w:rPr>
        <w:t xml:space="preserve">and families </w:t>
      </w:r>
      <w:r w:rsidR="004A63D2" w:rsidRPr="00B81081">
        <w:rPr>
          <w:rFonts w:ascii="Baskerville" w:hAnsi="Baskerville" w:cs="Baskerville"/>
        </w:rPr>
        <w:t xml:space="preserve">seeking </w:t>
      </w:r>
      <w:r w:rsidR="00A01B09">
        <w:rPr>
          <w:rFonts w:ascii="Baskerville" w:hAnsi="Baskerville" w:cs="Baskerville"/>
        </w:rPr>
        <w:t>services funded by Virginia’s HCBS waivers</w:t>
      </w:r>
      <w:r w:rsidR="004A63D2" w:rsidRPr="00B81081">
        <w:rPr>
          <w:rFonts w:ascii="Baskerville" w:hAnsi="Baskerville" w:cs="Baskerville"/>
        </w:rPr>
        <w:t>. These guidelines did not include information regar</w:t>
      </w:r>
      <w:r w:rsidR="00AB31A8">
        <w:rPr>
          <w:rFonts w:ascii="Baskerville" w:hAnsi="Baskerville" w:cs="Baskerville"/>
        </w:rPr>
        <w:t>ding how and where to apply or</w:t>
      </w:r>
      <w:r w:rsidR="004A63D2" w:rsidRPr="00B81081">
        <w:rPr>
          <w:rFonts w:ascii="Baskerville" w:hAnsi="Baskerville" w:cs="Baskerville"/>
        </w:rPr>
        <w:t xml:space="preserve"> how to obtain services for </w:t>
      </w:r>
      <w:r w:rsidR="000230AF">
        <w:rPr>
          <w:rFonts w:ascii="Baskerville" w:hAnsi="Baskerville" w:cs="Baskerville"/>
        </w:rPr>
        <w:t xml:space="preserve">either </w:t>
      </w:r>
      <w:r w:rsidR="00932626">
        <w:rPr>
          <w:rFonts w:ascii="Baskerville" w:hAnsi="Baskerville" w:cs="Baskerville"/>
        </w:rPr>
        <w:t xml:space="preserve">the nearly ten thousand individuals </w:t>
      </w:r>
      <w:r w:rsidR="004A63D2" w:rsidRPr="00B81081">
        <w:rPr>
          <w:rFonts w:ascii="Baskerville" w:hAnsi="Baskerville" w:cs="Baskerville"/>
        </w:rPr>
        <w:t xml:space="preserve">who are </w:t>
      </w:r>
      <w:r w:rsidR="00932626">
        <w:rPr>
          <w:rFonts w:ascii="Baskerville" w:hAnsi="Baskerville" w:cs="Baskerville"/>
        </w:rPr>
        <w:t xml:space="preserve">already </w:t>
      </w:r>
      <w:r w:rsidR="004A63D2" w:rsidRPr="00B81081">
        <w:rPr>
          <w:rFonts w:ascii="Baskerville" w:hAnsi="Baskerville" w:cs="Baskerville"/>
        </w:rPr>
        <w:t>on the waitlists</w:t>
      </w:r>
      <w:r w:rsidR="00AB31A8">
        <w:rPr>
          <w:rFonts w:ascii="Baskerville" w:hAnsi="Baskerville" w:cs="Baskerville"/>
        </w:rPr>
        <w:t>,</w:t>
      </w:r>
      <w:r w:rsidR="004A63D2" w:rsidRPr="00B81081">
        <w:rPr>
          <w:rFonts w:ascii="Baskerville" w:hAnsi="Baskerville" w:cs="Baskerville"/>
        </w:rPr>
        <w:t xml:space="preserve"> or </w:t>
      </w:r>
      <w:r w:rsidR="00932626">
        <w:rPr>
          <w:rFonts w:ascii="Baskerville" w:hAnsi="Baskerville" w:cs="Baskerville"/>
        </w:rPr>
        <w:t xml:space="preserve">for </w:t>
      </w:r>
      <w:r w:rsidR="00AB31A8">
        <w:rPr>
          <w:rFonts w:ascii="Baskerville" w:hAnsi="Baskerville" w:cs="Baskerville"/>
        </w:rPr>
        <w:t xml:space="preserve">the </w:t>
      </w:r>
      <w:r w:rsidR="004A63D2" w:rsidRPr="00B81081">
        <w:rPr>
          <w:rFonts w:ascii="Baskerville" w:hAnsi="Baskerville" w:cs="Baskerville"/>
        </w:rPr>
        <w:t xml:space="preserve">others seeking services who do not </w:t>
      </w:r>
      <w:r w:rsidR="00932626">
        <w:rPr>
          <w:rFonts w:ascii="Baskerville" w:hAnsi="Baskerville" w:cs="Baskerville"/>
        </w:rPr>
        <w:t xml:space="preserve">yet </w:t>
      </w:r>
      <w:r w:rsidR="004A63D2" w:rsidRPr="00B81081">
        <w:rPr>
          <w:rFonts w:ascii="Baskerville" w:hAnsi="Baskerville" w:cs="Baskerville"/>
        </w:rPr>
        <w:t xml:space="preserve">know how to apply to get onto the waitlists. </w:t>
      </w:r>
    </w:p>
    <w:p w:rsidR="00CF384E" w:rsidRDefault="00CF384E" w:rsidP="003518FC">
      <w:pPr>
        <w:rPr>
          <w:rFonts w:ascii="Baskerville" w:hAnsi="Baskerville" w:cs="Baskerville"/>
        </w:rPr>
      </w:pPr>
    </w:p>
    <w:p w:rsidR="004A63D2" w:rsidRPr="00B81081" w:rsidRDefault="004A63D2" w:rsidP="003518FC">
      <w:pPr>
        <w:rPr>
          <w:rFonts w:ascii="Baskerville" w:hAnsi="Baskerville" w:cs="Baskerville"/>
        </w:rPr>
      </w:pPr>
      <w:r w:rsidRPr="00B81081">
        <w:rPr>
          <w:rFonts w:ascii="Baskerville" w:hAnsi="Baskerville" w:cs="Baskerville"/>
        </w:rPr>
        <w:t xml:space="preserve">The IFSP </w:t>
      </w:r>
      <w:r w:rsidR="00CF384E">
        <w:rPr>
          <w:rFonts w:ascii="Baskerville" w:hAnsi="Baskerville" w:cs="Baskerville"/>
        </w:rPr>
        <w:t xml:space="preserve">is </w:t>
      </w:r>
      <w:r w:rsidRPr="00B81081">
        <w:rPr>
          <w:rFonts w:ascii="Baskerville" w:hAnsi="Baskerville" w:cs="Baskerville"/>
        </w:rPr>
        <w:t>available to individuals/families on the waitlists. DBHDS published IFSP guidelines in</w:t>
      </w:r>
      <w:r w:rsidR="000230AF">
        <w:rPr>
          <w:rFonts w:ascii="Baskerville" w:hAnsi="Baskerville" w:cs="Baskerville"/>
        </w:rPr>
        <w:t xml:space="preserve"> February 2014, however, these g</w:t>
      </w:r>
      <w:r w:rsidRPr="00B81081">
        <w:rPr>
          <w:rFonts w:ascii="Baskerville" w:hAnsi="Baskerville" w:cs="Baskerville"/>
        </w:rPr>
        <w:t xml:space="preserve">uidelines had not been updated </w:t>
      </w:r>
      <w:r w:rsidR="00CF384E">
        <w:rPr>
          <w:rFonts w:ascii="Baskerville" w:hAnsi="Baskerville" w:cs="Baskerville"/>
        </w:rPr>
        <w:t xml:space="preserve">during the past year </w:t>
      </w:r>
      <w:r w:rsidRPr="00B81081">
        <w:rPr>
          <w:rFonts w:ascii="Baskerville" w:hAnsi="Baskerville" w:cs="Baskerville"/>
        </w:rPr>
        <w:t>and are now outdated and incorrect.</w:t>
      </w:r>
    </w:p>
    <w:p w:rsidR="004A63D2" w:rsidRPr="00B81081" w:rsidRDefault="004A63D2" w:rsidP="003518FC">
      <w:pPr>
        <w:rPr>
          <w:rFonts w:ascii="Baskerville" w:hAnsi="Baskerville" w:cs="Baskerville"/>
        </w:rPr>
      </w:pPr>
    </w:p>
    <w:p w:rsidR="004A63D2" w:rsidRPr="00B81081" w:rsidRDefault="00B15A07" w:rsidP="003518FC">
      <w:pPr>
        <w:rPr>
          <w:rFonts w:ascii="Baskerville" w:hAnsi="Baskerville" w:cs="Baskerville"/>
          <w:u w:val="single"/>
        </w:rPr>
      </w:pPr>
      <w:r>
        <w:rPr>
          <w:rFonts w:ascii="Baskerville" w:hAnsi="Baskerville" w:cs="Baskerville"/>
          <w:u w:val="single"/>
        </w:rPr>
        <w:t>Publishing a</w:t>
      </w:r>
      <w:r w:rsidR="004A63D2" w:rsidRPr="00B81081">
        <w:rPr>
          <w:rFonts w:ascii="Baskerville" w:hAnsi="Baskerville" w:cs="Baskerville"/>
          <w:u w:val="single"/>
        </w:rPr>
        <w:t>nd Providi</w:t>
      </w:r>
      <w:r>
        <w:rPr>
          <w:rFonts w:ascii="Baskerville" w:hAnsi="Baskerville" w:cs="Baskerville"/>
          <w:u w:val="single"/>
        </w:rPr>
        <w:t>ng Updated Guidelines Annually t</w:t>
      </w:r>
      <w:r w:rsidR="004A63D2" w:rsidRPr="00B81081">
        <w:rPr>
          <w:rFonts w:ascii="Baskerville" w:hAnsi="Baskerville" w:cs="Baskerville"/>
          <w:u w:val="single"/>
        </w:rPr>
        <w:t>o Appropriate Agencies:</w:t>
      </w:r>
    </w:p>
    <w:p w:rsidR="004B574E" w:rsidRDefault="004A63D2" w:rsidP="003518FC">
      <w:pPr>
        <w:rPr>
          <w:rFonts w:ascii="Baskerville" w:eastAsia="Times New Roman" w:hAnsi="Baskerville" w:cs="Baskerville"/>
          <w:shd w:val="clear" w:color="auto" w:fill="FFFFFF"/>
        </w:rPr>
      </w:pPr>
      <w:r w:rsidRPr="00B81081">
        <w:rPr>
          <w:rFonts w:ascii="Baskerville" w:hAnsi="Baskerville" w:cs="Baskerville"/>
        </w:rPr>
        <w:t xml:space="preserve">DBHDS has posted updated “Just the Facts” guidelines on-line during this review period. </w:t>
      </w:r>
      <w:r w:rsidRPr="00B81081">
        <w:rPr>
          <w:rFonts w:ascii="Baskerville" w:eastAsia="Times New Roman" w:hAnsi="Baskerville" w:cs="Baskerville"/>
          <w:shd w:val="clear" w:color="auto" w:fill="FFFFFF"/>
        </w:rPr>
        <w:t xml:space="preserve">Finding the guidelines is difficult, and </w:t>
      </w:r>
      <w:r w:rsidR="00B15A07">
        <w:rPr>
          <w:rFonts w:ascii="Baskerville" w:eastAsia="Times New Roman" w:hAnsi="Baskerville" w:cs="Baskerville"/>
          <w:shd w:val="clear" w:color="auto" w:fill="FFFFFF"/>
        </w:rPr>
        <w:t xml:space="preserve">likely not </w:t>
      </w:r>
      <w:r w:rsidRPr="00B81081">
        <w:rPr>
          <w:rFonts w:ascii="Baskerville" w:eastAsia="Times New Roman" w:hAnsi="Baskerville" w:cs="Baskerville"/>
          <w:shd w:val="clear" w:color="auto" w:fill="FFFFFF"/>
        </w:rPr>
        <w:t>possible without detailed instructions. For example, locating guidelines for families seeking services requires the family to understand what services his or her family member might be eligible for</w:t>
      </w:r>
      <w:r w:rsidR="000B164B">
        <w:rPr>
          <w:rFonts w:ascii="Baskerville" w:eastAsia="Times New Roman" w:hAnsi="Baskerville" w:cs="Baskerville"/>
          <w:shd w:val="clear" w:color="auto" w:fill="FFFFFF"/>
        </w:rPr>
        <w:t xml:space="preserve">, </w:t>
      </w:r>
      <w:r w:rsidR="00A81308">
        <w:rPr>
          <w:rFonts w:ascii="Baskerville" w:eastAsia="Times New Roman" w:hAnsi="Baskerville" w:cs="Baskerville"/>
          <w:shd w:val="clear" w:color="auto" w:fill="FFFFFF"/>
        </w:rPr>
        <w:t xml:space="preserve">to </w:t>
      </w:r>
      <w:r w:rsidR="000B164B">
        <w:rPr>
          <w:rFonts w:ascii="Baskerville" w:eastAsia="Times New Roman" w:hAnsi="Baskerville" w:cs="Baskerville"/>
          <w:shd w:val="clear" w:color="auto" w:fill="FFFFFF"/>
        </w:rPr>
        <w:t>know to search f</w:t>
      </w:r>
      <w:r w:rsidR="008075E6">
        <w:rPr>
          <w:rFonts w:ascii="Baskerville" w:eastAsia="Times New Roman" w:hAnsi="Baskerville" w:cs="Baskerville"/>
          <w:shd w:val="clear" w:color="auto" w:fill="FFFFFF"/>
        </w:rPr>
        <w:t xml:space="preserve">or the DBHDS website, and </w:t>
      </w:r>
      <w:r w:rsidR="00A81308">
        <w:rPr>
          <w:rFonts w:ascii="Baskerville" w:eastAsia="Times New Roman" w:hAnsi="Baskerville" w:cs="Baskerville"/>
          <w:shd w:val="clear" w:color="auto" w:fill="FFFFFF"/>
        </w:rPr>
        <w:t xml:space="preserve">to </w:t>
      </w:r>
      <w:r w:rsidR="000B164B">
        <w:rPr>
          <w:rFonts w:ascii="Baskerville" w:eastAsia="Times New Roman" w:hAnsi="Baskerville" w:cs="Baskerville"/>
          <w:shd w:val="clear" w:color="auto" w:fill="FFFFFF"/>
        </w:rPr>
        <w:t>navigat</w:t>
      </w:r>
      <w:r w:rsidR="00A81308">
        <w:rPr>
          <w:rFonts w:ascii="Baskerville" w:eastAsia="Times New Roman" w:hAnsi="Baskerville" w:cs="Baskerville"/>
          <w:shd w:val="clear" w:color="auto" w:fill="FFFFFF"/>
        </w:rPr>
        <w:t>e</w:t>
      </w:r>
      <w:r w:rsidRPr="00B81081">
        <w:rPr>
          <w:rFonts w:ascii="Baskerville" w:eastAsia="Times New Roman" w:hAnsi="Baskerville" w:cs="Baskerville"/>
          <w:shd w:val="clear" w:color="auto" w:fill="FFFFFF"/>
        </w:rPr>
        <w:t xml:space="preserve"> a series of </w:t>
      </w:r>
      <w:r w:rsidR="002658BC">
        <w:rPr>
          <w:rFonts w:ascii="Baskerville" w:eastAsia="Times New Roman" w:hAnsi="Baskerville" w:cs="Baskerville"/>
          <w:shd w:val="clear" w:color="auto" w:fill="FFFFFF"/>
        </w:rPr>
        <w:t xml:space="preserve">multiple </w:t>
      </w:r>
      <w:r w:rsidRPr="00B81081">
        <w:rPr>
          <w:rFonts w:ascii="Baskerville" w:eastAsia="Times New Roman" w:hAnsi="Baskerville" w:cs="Baskerville"/>
          <w:shd w:val="clear" w:color="auto" w:fill="FFFFFF"/>
        </w:rPr>
        <w:t>choices through four sep</w:t>
      </w:r>
      <w:r w:rsidR="000B164B">
        <w:rPr>
          <w:rFonts w:ascii="Baskerville" w:eastAsia="Times New Roman" w:hAnsi="Baskerville" w:cs="Baskerville"/>
          <w:shd w:val="clear" w:color="auto" w:fill="FFFFFF"/>
        </w:rPr>
        <w:t>arate links</w:t>
      </w:r>
      <w:r w:rsidRPr="00B81081">
        <w:rPr>
          <w:rFonts w:ascii="Baskerville" w:eastAsia="Times New Roman" w:hAnsi="Baskerville" w:cs="Baskerville"/>
          <w:shd w:val="clear" w:color="auto" w:fill="FFFFFF"/>
        </w:rPr>
        <w:t xml:space="preserve"> to arrive at</w:t>
      </w:r>
      <w:r w:rsidR="004C1C0F">
        <w:rPr>
          <w:rFonts w:ascii="Baskerville" w:eastAsia="Times New Roman" w:hAnsi="Baskerville" w:cs="Baskerville"/>
          <w:shd w:val="clear" w:color="auto" w:fill="FFFFFF"/>
        </w:rPr>
        <w:t>, and recognize that</w:t>
      </w:r>
      <w:r w:rsidRPr="00B81081">
        <w:rPr>
          <w:rFonts w:ascii="Baskerville" w:eastAsia="Times New Roman" w:hAnsi="Baskerville" w:cs="Baskerville"/>
          <w:shd w:val="clear" w:color="auto" w:fill="FFFFFF"/>
        </w:rPr>
        <w:t xml:space="preserve"> the </w:t>
      </w:r>
      <w:r w:rsidRPr="004C1C0F">
        <w:rPr>
          <w:rFonts w:ascii="Baskerville" w:eastAsia="Times New Roman" w:hAnsi="Baskerville" w:cs="Baskerville"/>
          <w:i/>
          <w:shd w:val="clear" w:color="auto" w:fill="FFFFFF"/>
        </w:rPr>
        <w:t>ID waiver fact sheet</w:t>
      </w:r>
      <w:r w:rsidR="004C1C0F">
        <w:rPr>
          <w:rFonts w:ascii="Baskerville" w:eastAsia="Times New Roman" w:hAnsi="Baskerville" w:cs="Baskerville"/>
          <w:shd w:val="clear" w:color="auto" w:fill="FFFFFF"/>
        </w:rPr>
        <w:t xml:space="preserve"> may help. </w:t>
      </w:r>
      <w:r w:rsidRPr="00B81081">
        <w:rPr>
          <w:rFonts w:ascii="Baskerville" w:eastAsia="Times New Roman" w:hAnsi="Baskerville" w:cs="Baskerville"/>
          <w:shd w:val="clear" w:color="auto" w:fill="FFFFFF"/>
        </w:rPr>
        <w:t xml:space="preserve">Once the </w:t>
      </w:r>
      <w:r w:rsidR="004C1C0F">
        <w:rPr>
          <w:rFonts w:ascii="Baskerville" w:eastAsia="Times New Roman" w:hAnsi="Baskerville" w:cs="Baskerville"/>
          <w:shd w:val="clear" w:color="auto" w:fill="FFFFFF"/>
        </w:rPr>
        <w:t xml:space="preserve">family opens the </w:t>
      </w:r>
      <w:r w:rsidR="001D5CB7">
        <w:rPr>
          <w:rFonts w:ascii="Baskerville" w:eastAsia="Times New Roman" w:hAnsi="Baskerville" w:cs="Baskerville"/>
          <w:shd w:val="clear" w:color="auto" w:fill="FFFFFF"/>
        </w:rPr>
        <w:t>fact sheet,</w:t>
      </w:r>
      <w:r w:rsidR="002229A7">
        <w:rPr>
          <w:rFonts w:ascii="Baskerville" w:eastAsia="Times New Roman" w:hAnsi="Baskerville" w:cs="Baskerville"/>
          <w:shd w:val="clear" w:color="auto" w:fill="FFFFFF"/>
        </w:rPr>
        <w:t xml:space="preserve"> someone must read a nine-page document without a table of contents </w:t>
      </w:r>
      <w:r w:rsidRPr="00B81081">
        <w:rPr>
          <w:rFonts w:ascii="Baskerville" w:eastAsia="Times New Roman" w:hAnsi="Baskerville" w:cs="Baskerville"/>
          <w:shd w:val="clear" w:color="auto" w:fill="FFFFFF"/>
        </w:rPr>
        <w:t xml:space="preserve">to find </w:t>
      </w:r>
      <w:r w:rsidR="001D5CB7">
        <w:rPr>
          <w:rFonts w:ascii="Baskerville" w:eastAsia="Times New Roman" w:hAnsi="Baskerville" w:cs="Baskerville"/>
          <w:shd w:val="clear" w:color="auto" w:fill="FFFFFF"/>
        </w:rPr>
        <w:t xml:space="preserve">the final section </w:t>
      </w:r>
      <w:r w:rsidR="001D5CB7" w:rsidRPr="001D5CB7">
        <w:rPr>
          <w:rFonts w:ascii="Baskerville" w:eastAsia="Times New Roman" w:hAnsi="Baskerville" w:cs="Baskerville"/>
          <w:i/>
          <w:shd w:val="clear" w:color="auto" w:fill="FFFFFF"/>
        </w:rPr>
        <w:t>Accessing ID Waiver Services</w:t>
      </w:r>
      <w:r w:rsidRPr="00B81081">
        <w:rPr>
          <w:rFonts w:ascii="Baskerville" w:eastAsia="Times New Roman" w:hAnsi="Baskerville" w:cs="Baskerville"/>
          <w:shd w:val="clear" w:color="auto" w:fill="FFFFFF"/>
        </w:rPr>
        <w:t xml:space="preserve">.  This process must be repeated for the Day Support and IFDDS fact sheets. </w:t>
      </w:r>
      <w:r w:rsidR="001D5CB7">
        <w:rPr>
          <w:rFonts w:ascii="Baskerville" w:eastAsia="Times New Roman" w:hAnsi="Baskerville" w:cs="Baskerville"/>
          <w:shd w:val="clear" w:color="auto" w:fill="FFFFFF"/>
        </w:rPr>
        <w:t xml:space="preserve">These fact sheets explain how to access services funded under the Commonwealth’s HCBS waivers, but do not mention that </w:t>
      </w:r>
      <w:r w:rsidR="000E69ED">
        <w:rPr>
          <w:rFonts w:ascii="Baskerville" w:eastAsia="Times New Roman" w:hAnsi="Baskerville" w:cs="Baskerville"/>
          <w:shd w:val="clear" w:color="auto" w:fill="FFFFFF"/>
        </w:rPr>
        <w:t xml:space="preserve">submitting an application typically results in being placed on a waitlist for many years. </w:t>
      </w:r>
      <w:r w:rsidR="004B574E">
        <w:rPr>
          <w:rFonts w:ascii="Baskerville" w:eastAsia="Times New Roman" w:hAnsi="Baskerville" w:cs="Baskerville"/>
          <w:shd w:val="clear" w:color="auto" w:fill="FFFFFF"/>
        </w:rPr>
        <w:t>These fact sheets do</w:t>
      </w:r>
      <w:r w:rsidR="008075E6">
        <w:rPr>
          <w:rFonts w:ascii="Baskerville" w:eastAsia="Times New Roman" w:hAnsi="Baskerville" w:cs="Baskerville"/>
          <w:shd w:val="clear" w:color="auto" w:fill="FFFFFF"/>
        </w:rPr>
        <w:t xml:space="preserve"> not include guidelines </w:t>
      </w:r>
      <w:r w:rsidR="004B574E">
        <w:rPr>
          <w:rFonts w:ascii="Baskerville" w:eastAsia="Times New Roman" w:hAnsi="Baskerville" w:cs="Baskerville"/>
          <w:shd w:val="clear" w:color="auto" w:fill="FFFFFF"/>
        </w:rPr>
        <w:t>to</w:t>
      </w:r>
      <w:r w:rsidR="00F60AD2">
        <w:rPr>
          <w:rFonts w:ascii="Baskerville" w:eastAsia="Times New Roman" w:hAnsi="Baskerville" w:cs="Baskerville"/>
          <w:shd w:val="clear" w:color="auto" w:fill="FFFFFF"/>
        </w:rPr>
        <w:t xml:space="preserve"> access other resources and supports while waiting to be awarded a waiver slot</w:t>
      </w:r>
      <w:r w:rsidR="002D134B">
        <w:rPr>
          <w:rFonts w:ascii="Baskerville" w:eastAsia="Times New Roman" w:hAnsi="Baskerville" w:cs="Baskerville"/>
          <w:shd w:val="clear" w:color="auto" w:fill="FFFFFF"/>
        </w:rPr>
        <w:t>, or</w:t>
      </w:r>
      <w:r w:rsidR="00F60AD2">
        <w:rPr>
          <w:rFonts w:ascii="Baskerville" w:eastAsia="Times New Roman" w:hAnsi="Baskerville" w:cs="Baskerville"/>
          <w:shd w:val="clear" w:color="auto" w:fill="FFFFFF"/>
        </w:rPr>
        <w:t xml:space="preserve"> </w:t>
      </w:r>
      <w:r w:rsidR="006D1F33">
        <w:rPr>
          <w:rFonts w:ascii="Baskerville" w:eastAsia="Times New Roman" w:hAnsi="Baskerville" w:cs="Baskerville"/>
          <w:shd w:val="clear" w:color="auto" w:fill="FFFFFF"/>
        </w:rPr>
        <w:t xml:space="preserve">to </w:t>
      </w:r>
      <w:r w:rsidR="00F60AD2">
        <w:rPr>
          <w:rFonts w:ascii="Baskerville" w:eastAsia="Times New Roman" w:hAnsi="Baskerville" w:cs="Baskerville"/>
          <w:shd w:val="clear" w:color="auto" w:fill="FFFFFF"/>
        </w:rPr>
        <w:t xml:space="preserve">gain access </w:t>
      </w:r>
      <w:r w:rsidR="006D1F33">
        <w:rPr>
          <w:rFonts w:ascii="Baskerville" w:eastAsia="Times New Roman" w:hAnsi="Baskerville" w:cs="Baskerville"/>
          <w:shd w:val="clear" w:color="auto" w:fill="FFFFFF"/>
        </w:rPr>
        <w:t xml:space="preserve">to </w:t>
      </w:r>
      <w:r w:rsidR="004B574E">
        <w:rPr>
          <w:rFonts w:ascii="Baskerville" w:eastAsia="Times New Roman" w:hAnsi="Baskerville" w:cs="Baskerville"/>
          <w:shd w:val="clear" w:color="auto" w:fill="FFFFFF"/>
        </w:rPr>
        <w:t>services funded through the HCBS waivers.</w:t>
      </w:r>
    </w:p>
    <w:p w:rsidR="004B574E" w:rsidRDefault="004B574E" w:rsidP="003518FC">
      <w:pPr>
        <w:rPr>
          <w:rFonts w:ascii="Baskerville" w:eastAsia="Times New Roman" w:hAnsi="Baskerville" w:cs="Baskerville"/>
          <w:shd w:val="clear" w:color="auto" w:fill="FFFFFF"/>
        </w:rPr>
      </w:pPr>
    </w:p>
    <w:p w:rsidR="00404A30" w:rsidRPr="00B81081" w:rsidRDefault="004A63D2" w:rsidP="003518FC">
      <w:pPr>
        <w:rPr>
          <w:rFonts w:ascii="Baskerville" w:hAnsi="Baskerville" w:cs="Baskerville"/>
        </w:rPr>
      </w:pPr>
      <w:r w:rsidRPr="00B81081">
        <w:rPr>
          <w:rFonts w:ascii="Baskerville" w:eastAsia="Times New Roman" w:hAnsi="Baskerville" w:cs="Baskerville"/>
          <w:shd w:val="clear" w:color="auto" w:fill="FFFFFF"/>
        </w:rPr>
        <w:t xml:space="preserve">The Commonwealth </w:t>
      </w:r>
      <w:r w:rsidR="007F0E72">
        <w:rPr>
          <w:rFonts w:ascii="Baskerville" w:eastAsia="Times New Roman" w:hAnsi="Baskerville" w:cs="Baskerville"/>
          <w:shd w:val="clear" w:color="auto" w:fill="FFFFFF"/>
        </w:rPr>
        <w:t xml:space="preserve">published and </w:t>
      </w:r>
      <w:r w:rsidRPr="00B81081">
        <w:rPr>
          <w:rFonts w:ascii="Baskerville" w:eastAsia="Times New Roman" w:hAnsi="Baskerville" w:cs="Baskerville"/>
          <w:shd w:val="clear" w:color="auto" w:fill="FFFFFF"/>
        </w:rPr>
        <w:t xml:space="preserve">distributed IFSP guidelines to some appropriate agencies, such as </w:t>
      </w:r>
      <w:r w:rsidR="007F0E72">
        <w:rPr>
          <w:rFonts w:ascii="Baskerville" w:hAnsi="Baskerville" w:cs="Baskerville"/>
        </w:rPr>
        <w:t xml:space="preserve">Community Service Boards, </w:t>
      </w:r>
      <w:r w:rsidRPr="00B81081">
        <w:rPr>
          <w:rFonts w:ascii="Baskerville" w:hAnsi="Baskerville" w:cs="Baskerville"/>
        </w:rPr>
        <w:t xml:space="preserve">agencies providing private case management, and </w:t>
      </w:r>
      <w:r w:rsidR="00404A30">
        <w:rPr>
          <w:rFonts w:ascii="Baskerville" w:hAnsi="Baskerville" w:cs="Baskerville"/>
        </w:rPr>
        <w:t xml:space="preserve">some ID and DD </w:t>
      </w:r>
      <w:r w:rsidRPr="00B81081">
        <w:rPr>
          <w:rFonts w:ascii="Baskerville" w:hAnsi="Baskerville" w:cs="Baskerville"/>
        </w:rPr>
        <w:t>advoc</w:t>
      </w:r>
      <w:r w:rsidR="00404A30">
        <w:rPr>
          <w:rFonts w:ascii="Baskerville" w:hAnsi="Baskerville" w:cs="Baskerville"/>
        </w:rPr>
        <w:t>acy organizations</w:t>
      </w:r>
      <w:r w:rsidRPr="00B81081">
        <w:rPr>
          <w:rFonts w:ascii="Baskerville" w:hAnsi="Baskerville" w:cs="Baskerville"/>
        </w:rPr>
        <w:t xml:space="preserve">. </w:t>
      </w:r>
      <w:r w:rsidR="002D134B">
        <w:rPr>
          <w:rFonts w:ascii="Baskerville" w:hAnsi="Baskerville" w:cs="Baskerville"/>
        </w:rPr>
        <w:t xml:space="preserve"> </w:t>
      </w:r>
      <w:r w:rsidRPr="00B81081">
        <w:rPr>
          <w:rFonts w:ascii="Baskerville" w:hAnsi="Baskerville" w:cs="Baskerville"/>
        </w:rPr>
        <w:t>The C</w:t>
      </w:r>
      <w:r w:rsidR="00404A30">
        <w:rPr>
          <w:rFonts w:ascii="Baskerville" w:hAnsi="Baskerville" w:cs="Baskerville"/>
        </w:rPr>
        <w:t xml:space="preserve">ommonwealth did not provide either set of guidelines to </w:t>
      </w:r>
      <w:r w:rsidRPr="00B81081">
        <w:rPr>
          <w:rFonts w:ascii="Baskerville" w:hAnsi="Baskerville" w:cs="Baskerville"/>
        </w:rPr>
        <w:t>agencies that are frequently the first point of contact for a child with a significant developmental disability and his or her family, such as hospital neonatal intensive care units, pedi</w:t>
      </w:r>
      <w:r w:rsidR="008218D6">
        <w:rPr>
          <w:rFonts w:ascii="Baskerville" w:hAnsi="Baskerville" w:cs="Baskerville"/>
        </w:rPr>
        <w:t xml:space="preserve">atrician organizations, and </w:t>
      </w:r>
      <w:r w:rsidRPr="00B81081">
        <w:rPr>
          <w:rFonts w:ascii="Baskerville" w:hAnsi="Baskerville" w:cs="Baskerville"/>
        </w:rPr>
        <w:t>special educa</w:t>
      </w:r>
      <w:r w:rsidR="00404A30">
        <w:rPr>
          <w:rFonts w:ascii="Baskerville" w:hAnsi="Baskerville" w:cs="Baskerville"/>
        </w:rPr>
        <w:t>tion offices of public schools.</w:t>
      </w:r>
    </w:p>
    <w:p w:rsidR="004A63D2" w:rsidRPr="00B81081" w:rsidRDefault="004A63D2" w:rsidP="003518FC">
      <w:pPr>
        <w:spacing w:after="160"/>
        <w:contextualSpacing/>
        <w:jc w:val="both"/>
        <w:rPr>
          <w:rFonts w:ascii="Baskerville" w:hAnsi="Baskerville" w:cs="Baskerville"/>
        </w:rPr>
      </w:pPr>
    </w:p>
    <w:p w:rsidR="004A63D2" w:rsidRPr="00B81081" w:rsidRDefault="004A63D2" w:rsidP="003518FC">
      <w:pPr>
        <w:spacing w:after="160"/>
        <w:contextualSpacing/>
        <w:jc w:val="both"/>
        <w:rPr>
          <w:rFonts w:ascii="Baskerville" w:hAnsi="Baskerville" w:cs="Baskerville"/>
        </w:rPr>
      </w:pPr>
      <w:r w:rsidRPr="00B81081">
        <w:rPr>
          <w:rFonts w:ascii="Baskerville" w:hAnsi="Baskerville" w:cs="Baskerville"/>
        </w:rPr>
        <w:t>The Independent Reviewer determined that the Commonwealth is not in compliance with Section III.C.8.b. The IFSP Guidelines, as updated February, 2014, are not sufficient in terms of detail, accuracy and</w:t>
      </w:r>
      <w:r w:rsidR="00715D20">
        <w:rPr>
          <w:rFonts w:ascii="Baskerville" w:hAnsi="Baskerville" w:cs="Baskerville"/>
        </w:rPr>
        <w:t xml:space="preserve"> accessibility to individuals and families</w:t>
      </w:r>
      <w:r w:rsidRPr="00B81081">
        <w:rPr>
          <w:rFonts w:ascii="Baskerville" w:hAnsi="Baskerville" w:cs="Baskerville"/>
        </w:rPr>
        <w:t xml:space="preserve">, to be effectively used to direct individuals in the target population to the correct point of entry to access services. The </w:t>
      </w:r>
      <w:r w:rsidR="006D1F33">
        <w:rPr>
          <w:rFonts w:ascii="Baskerville" w:hAnsi="Baskerville" w:cs="Baskerville"/>
        </w:rPr>
        <w:t>“</w:t>
      </w:r>
      <w:r w:rsidRPr="00B81081">
        <w:rPr>
          <w:rFonts w:ascii="Baskerville" w:hAnsi="Baskerville" w:cs="Baskerville"/>
        </w:rPr>
        <w:t>Just the Facts</w:t>
      </w:r>
      <w:r w:rsidR="006D1F33">
        <w:rPr>
          <w:rFonts w:ascii="Baskerville" w:hAnsi="Baskerville" w:cs="Baskerville"/>
        </w:rPr>
        <w:t>”</w:t>
      </w:r>
      <w:r w:rsidRPr="00B81081">
        <w:rPr>
          <w:rFonts w:ascii="Baskerville" w:hAnsi="Baskerville" w:cs="Baskerville"/>
        </w:rPr>
        <w:t xml:space="preserve"> guidelines are not designed for individuals/families who are not yet aware </w:t>
      </w:r>
      <w:r w:rsidR="006D1F33">
        <w:rPr>
          <w:rFonts w:ascii="Baskerville" w:hAnsi="Baskerville" w:cs="Baskerville"/>
        </w:rPr>
        <w:t xml:space="preserve">of </w:t>
      </w:r>
      <w:r w:rsidRPr="00B81081">
        <w:rPr>
          <w:rFonts w:ascii="Baskerville" w:hAnsi="Baskerville" w:cs="Baskerville"/>
        </w:rPr>
        <w:t>how to apply for waiver services or for t</w:t>
      </w:r>
      <w:r w:rsidR="00715D20">
        <w:rPr>
          <w:rFonts w:ascii="Baskerville" w:hAnsi="Baskerville" w:cs="Baskerville"/>
        </w:rPr>
        <w:t xml:space="preserve">hose who have applied and </w:t>
      </w:r>
      <w:r w:rsidR="000A430A">
        <w:rPr>
          <w:rFonts w:ascii="Baskerville" w:hAnsi="Baskerville" w:cs="Baskerville"/>
        </w:rPr>
        <w:t>have been placed on</w:t>
      </w:r>
      <w:r w:rsidRPr="00B81081">
        <w:rPr>
          <w:rFonts w:ascii="Baskerville" w:hAnsi="Baskerville" w:cs="Baskerville"/>
        </w:rPr>
        <w:t xml:space="preserve"> the waitlists. </w:t>
      </w:r>
      <w:r w:rsidR="00BC75BD">
        <w:rPr>
          <w:rFonts w:ascii="Baskerville" w:hAnsi="Baskerville" w:cs="Baskerville"/>
        </w:rPr>
        <w:t>These</w:t>
      </w:r>
      <w:r w:rsidR="000A430A" w:rsidRPr="00B81081">
        <w:rPr>
          <w:rFonts w:ascii="Baskerville" w:hAnsi="Baskerville" w:cs="Baskerville"/>
        </w:rPr>
        <w:t xml:space="preserve"> guidelines </w:t>
      </w:r>
      <w:r w:rsidR="000A430A">
        <w:rPr>
          <w:rFonts w:ascii="Baskerville" w:hAnsi="Baskerville" w:cs="Baskerville"/>
        </w:rPr>
        <w:t>are not truly accessible and have not been provided to agencies</w:t>
      </w:r>
      <w:r w:rsidR="008075E6">
        <w:rPr>
          <w:rFonts w:ascii="Baskerville" w:hAnsi="Baskerville" w:cs="Baskerville"/>
        </w:rPr>
        <w:t xml:space="preserve"> </w:t>
      </w:r>
      <w:r w:rsidR="000A430A">
        <w:rPr>
          <w:rFonts w:ascii="Baskerville" w:hAnsi="Baskerville" w:cs="Baskerville"/>
        </w:rPr>
        <w:t xml:space="preserve">which are </w:t>
      </w:r>
      <w:r w:rsidR="00ED51AF">
        <w:rPr>
          <w:rFonts w:ascii="Baskerville" w:hAnsi="Baskerville" w:cs="Baskerville"/>
        </w:rPr>
        <w:t xml:space="preserve">the likely first point of contact for families seeking services. </w:t>
      </w:r>
    </w:p>
    <w:p w:rsidR="004A63D2" w:rsidRDefault="004A63D2" w:rsidP="003518FC">
      <w:pPr>
        <w:spacing w:after="160"/>
        <w:contextualSpacing/>
        <w:jc w:val="both"/>
        <w:rPr>
          <w:rFonts w:ascii="Baskerville" w:hAnsi="Baskerville" w:cs="Baskerville"/>
        </w:rPr>
      </w:pPr>
    </w:p>
    <w:p w:rsidR="00AF2974" w:rsidRDefault="00AF2974" w:rsidP="003518FC">
      <w:pPr>
        <w:rPr>
          <w:rFonts w:ascii="Baskerville" w:hAnsi="Baskerville" w:cs="Baskerville"/>
        </w:rPr>
      </w:pPr>
    </w:p>
    <w:p w:rsidR="00E83279" w:rsidRPr="00321F5D" w:rsidRDefault="00E83279" w:rsidP="003518FC">
      <w:pPr>
        <w:rPr>
          <w:rFonts w:ascii="Baskerville" w:hAnsi="Baskerville" w:cs="Baskerville"/>
          <w:b/>
        </w:rPr>
      </w:pPr>
    </w:p>
    <w:p w:rsidR="00A113D1" w:rsidRDefault="00A113D1" w:rsidP="006C14D3">
      <w:pPr>
        <w:tabs>
          <w:tab w:val="left" w:pos="1671"/>
        </w:tabs>
        <w:spacing w:line="360" w:lineRule="auto"/>
        <w:ind w:right="-216"/>
        <w:jc w:val="center"/>
        <w:rPr>
          <w:rFonts w:ascii="Baskerville" w:hAnsi="Baskerville" w:cs="Baskerville"/>
          <w:b/>
        </w:rPr>
      </w:pPr>
    </w:p>
    <w:p w:rsidR="00A113D1" w:rsidRDefault="00A113D1" w:rsidP="006C14D3">
      <w:pPr>
        <w:tabs>
          <w:tab w:val="left" w:pos="1671"/>
        </w:tabs>
        <w:spacing w:line="360" w:lineRule="auto"/>
        <w:ind w:right="-216"/>
        <w:jc w:val="center"/>
        <w:rPr>
          <w:rFonts w:ascii="Baskerville" w:hAnsi="Baskerville" w:cs="Baskerville"/>
          <w:b/>
        </w:rPr>
      </w:pPr>
    </w:p>
    <w:p w:rsidR="00A113D1" w:rsidRDefault="00A113D1" w:rsidP="006C14D3">
      <w:pPr>
        <w:tabs>
          <w:tab w:val="left" w:pos="1671"/>
        </w:tabs>
        <w:spacing w:line="360" w:lineRule="auto"/>
        <w:ind w:right="-216"/>
        <w:jc w:val="center"/>
        <w:rPr>
          <w:rFonts w:ascii="Baskerville" w:hAnsi="Baskerville" w:cs="Baskerville"/>
          <w:b/>
        </w:rPr>
      </w:pPr>
    </w:p>
    <w:p w:rsidR="00A113D1" w:rsidRDefault="00A113D1" w:rsidP="006C14D3">
      <w:pPr>
        <w:tabs>
          <w:tab w:val="left" w:pos="1671"/>
        </w:tabs>
        <w:spacing w:line="360" w:lineRule="auto"/>
        <w:ind w:right="-216"/>
        <w:jc w:val="center"/>
        <w:rPr>
          <w:rFonts w:ascii="Baskerville" w:hAnsi="Baskerville" w:cs="Baskerville"/>
          <w:b/>
        </w:rPr>
      </w:pPr>
    </w:p>
    <w:p w:rsidR="00A113D1" w:rsidRDefault="00A113D1" w:rsidP="006C14D3">
      <w:pPr>
        <w:tabs>
          <w:tab w:val="left" w:pos="1671"/>
        </w:tabs>
        <w:spacing w:line="360" w:lineRule="auto"/>
        <w:ind w:right="-216"/>
        <w:jc w:val="center"/>
        <w:rPr>
          <w:rFonts w:ascii="Baskerville" w:hAnsi="Baskerville" w:cs="Baskerville"/>
          <w:b/>
        </w:rPr>
      </w:pPr>
    </w:p>
    <w:p w:rsidR="00997A82" w:rsidRDefault="00997A82">
      <w:pPr>
        <w:rPr>
          <w:rFonts w:ascii="Baskerville" w:hAnsi="Baskerville" w:cs="Baskerville"/>
          <w:b/>
        </w:rPr>
      </w:pPr>
      <w:r>
        <w:rPr>
          <w:rFonts w:ascii="Baskerville" w:hAnsi="Baskerville" w:cs="Baskerville"/>
          <w:b/>
        </w:rPr>
        <w:br w:type="page"/>
      </w:r>
    </w:p>
    <w:p w:rsidR="00882769" w:rsidRDefault="00882769" w:rsidP="00E1500F">
      <w:pPr>
        <w:tabs>
          <w:tab w:val="left" w:pos="1671"/>
        </w:tabs>
        <w:spacing w:line="360" w:lineRule="auto"/>
        <w:ind w:right="-216"/>
        <w:jc w:val="center"/>
        <w:rPr>
          <w:rFonts w:ascii="Baskerville" w:hAnsi="Baskerville" w:cs="Baskerville"/>
          <w:b/>
        </w:rPr>
      </w:pPr>
    </w:p>
    <w:p w:rsidR="008E3801" w:rsidRPr="00FE01CE" w:rsidRDefault="00AF2974" w:rsidP="00E1500F">
      <w:pPr>
        <w:tabs>
          <w:tab w:val="left" w:pos="1671"/>
        </w:tabs>
        <w:spacing w:line="360" w:lineRule="auto"/>
        <w:ind w:right="-216"/>
        <w:jc w:val="center"/>
        <w:rPr>
          <w:rFonts w:ascii="Baskerville" w:hAnsi="Baskerville" w:cs="Baskerville"/>
          <w:b/>
          <w:sz w:val="28"/>
          <w:szCs w:val="28"/>
          <w:u w:val="single"/>
        </w:rPr>
      </w:pPr>
      <w:r w:rsidRPr="00FE01CE">
        <w:rPr>
          <w:rFonts w:ascii="Baskerville" w:hAnsi="Baskerville" w:cs="Baskerville"/>
          <w:b/>
          <w:sz w:val="28"/>
          <w:szCs w:val="28"/>
          <w:u w:val="single"/>
        </w:rPr>
        <w:t xml:space="preserve">IV. </w:t>
      </w:r>
      <w:r w:rsidR="008E3801" w:rsidRPr="00FE01CE">
        <w:rPr>
          <w:rFonts w:ascii="Baskerville" w:hAnsi="Baskerville" w:cs="Baskerville"/>
          <w:b/>
          <w:sz w:val="28"/>
          <w:szCs w:val="28"/>
          <w:u w:val="single"/>
        </w:rPr>
        <w:t>CONCLUSION</w:t>
      </w:r>
    </w:p>
    <w:p w:rsidR="00E80FC3" w:rsidRDefault="000A5045" w:rsidP="00D32D1F">
      <w:pPr>
        <w:tabs>
          <w:tab w:val="left" w:pos="1671"/>
        </w:tabs>
        <w:ind w:right="-216"/>
        <w:jc w:val="both"/>
        <w:rPr>
          <w:rFonts w:ascii="Baskerville" w:hAnsi="Baskerville" w:cs="Baskerville"/>
        </w:rPr>
      </w:pPr>
      <w:r w:rsidRPr="00847AD4">
        <w:rPr>
          <w:rFonts w:ascii="Baskerville" w:hAnsi="Baskerville" w:cs="Baskerville"/>
        </w:rPr>
        <w:t xml:space="preserve">The </w:t>
      </w:r>
      <w:r w:rsidR="00077173">
        <w:rPr>
          <w:rFonts w:ascii="Baskerville" w:hAnsi="Baskerville" w:cs="Baskerville"/>
        </w:rPr>
        <w:t xml:space="preserve">IR reported </w:t>
      </w:r>
      <w:r w:rsidR="002D134B">
        <w:rPr>
          <w:rFonts w:ascii="Baskerville" w:hAnsi="Baskerville" w:cs="Baskerville"/>
        </w:rPr>
        <w:t xml:space="preserve">in </w:t>
      </w:r>
      <w:r w:rsidR="00B606F2">
        <w:rPr>
          <w:rFonts w:ascii="Baskerville" w:hAnsi="Baskerville" w:cs="Baskerville"/>
        </w:rPr>
        <w:t>the last R</w:t>
      </w:r>
      <w:r w:rsidR="00B606F2" w:rsidRPr="00847AD4">
        <w:rPr>
          <w:rFonts w:ascii="Baskerville" w:hAnsi="Baskerville" w:cs="Baskerville"/>
        </w:rPr>
        <w:t>eport</w:t>
      </w:r>
      <w:r w:rsidR="00B606F2">
        <w:rPr>
          <w:rFonts w:ascii="Baskerville" w:hAnsi="Baskerville" w:cs="Baskerville"/>
        </w:rPr>
        <w:t xml:space="preserve"> to the C</w:t>
      </w:r>
      <w:r w:rsidR="00B606F2" w:rsidRPr="00847AD4">
        <w:rPr>
          <w:rFonts w:ascii="Baskerville" w:hAnsi="Baskerville" w:cs="Baskerville"/>
        </w:rPr>
        <w:t>ourt</w:t>
      </w:r>
      <w:r w:rsidR="00077173">
        <w:rPr>
          <w:rFonts w:ascii="Baskerville" w:hAnsi="Baskerville" w:cs="Baskerville"/>
        </w:rPr>
        <w:t xml:space="preserve"> that the </w:t>
      </w:r>
      <w:r w:rsidRPr="00847AD4">
        <w:rPr>
          <w:rFonts w:ascii="Baskerville" w:hAnsi="Baskerville" w:cs="Baskerville"/>
        </w:rPr>
        <w:t>Commonwealth</w:t>
      </w:r>
      <w:r w:rsidR="00077173">
        <w:rPr>
          <w:rFonts w:ascii="Baskerville" w:hAnsi="Baskerville" w:cs="Baskerville"/>
        </w:rPr>
        <w:t xml:space="preserve"> had achieved compliance </w:t>
      </w:r>
      <w:r w:rsidR="007076A1">
        <w:rPr>
          <w:rFonts w:ascii="Baskerville" w:hAnsi="Baskerville" w:cs="Baskerville"/>
        </w:rPr>
        <w:t>with certain requirements of the Ag</w:t>
      </w:r>
      <w:r w:rsidR="00B52097">
        <w:rPr>
          <w:rFonts w:ascii="Baskerville" w:hAnsi="Baskerville" w:cs="Baskerville"/>
        </w:rPr>
        <w:t>reement. During this, the sixth</w:t>
      </w:r>
      <w:r w:rsidR="007076A1">
        <w:rPr>
          <w:rFonts w:ascii="Baskerville" w:hAnsi="Baskerville" w:cs="Baskerville"/>
        </w:rPr>
        <w:t xml:space="preserve"> review period</w:t>
      </w:r>
      <w:r w:rsidR="006B071C">
        <w:rPr>
          <w:rFonts w:ascii="Baskerville" w:hAnsi="Baskerville" w:cs="Baskerville"/>
        </w:rPr>
        <w:t>, the Commonwealth</w:t>
      </w:r>
      <w:r w:rsidRPr="00847AD4">
        <w:rPr>
          <w:rFonts w:ascii="Baskerville" w:hAnsi="Baskerville" w:cs="Baskerville"/>
        </w:rPr>
        <w:t xml:space="preserve"> </w:t>
      </w:r>
      <w:r w:rsidR="00B9702F" w:rsidRPr="00847AD4">
        <w:rPr>
          <w:rFonts w:ascii="Baskerville" w:hAnsi="Baskerville" w:cs="Baskerville"/>
        </w:rPr>
        <w:t>through its lead agency, DBHDS</w:t>
      </w:r>
      <w:r w:rsidR="004F2798" w:rsidRPr="00847AD4">
        <w:rPr>
          <w:rFonts w:ascii="Baskerville" w:hAnsi="Baskerville" w:cs="Baskerville"/>
        </w:rPr>
        <w:t>,</w:t>
      </w:r>
      <w:r w:rsidR="00B52097">
        <w:rPr>
          <w:rFonts w:ascii="Baskerville" w:hAnsi="Baskerville" w:cs="Baskerville"/>
        </w:rPr>
        <w:t xml:space="preserve"> and its sister agencies</w:t>
      </w:r>
      <w:r w:rsidR="00B9702F" w:rsidRPr="00847AD4">
        <w:rPr>
          <w:rFonts w:ascii="Baskerville" w:hAnsi="Baskerville" w:cs="Baskerville"/>
        </w:rPr>
        <w:t xml:space="preserve"> </w:t>
      </w:r>
      <w:r w:rsidRPr="00847AD4">
        <w:rPr>
          <w:rFonts w:ascii="Baskerville" w:hAnsi="Baskerville" w:cs="Baskerville"/>
        </w:rPr>
        <w:t xml:space="preserve">has maintained </w:t>
      </w:r>
      <w:r w:rsidR="004F2798" w:rsidRPr="00847AD4">
        <w:rPr>
          <w:rFonts w:ascii="Baskerville" w:hAnsi="Baskerville" w:cs="Baskerville"/>
        </w:rPr>
        <w:t>compliance</w:t>
      </w:r>
      <w:r w:rsidR="000E7035">
        <w:rPr>
          <w:rFonts w:ascii="Baskerville" w:hAnsi="Baskerville" w:cs="Baskerville"/>
        </w:rPr>
        <w:t xml:space="preserve"> with </w:t>
      </w:r>
      <w:r w:rsidR="007978A3">
        <w:rPr>
          <w:rFonts w:ascii="Baskerville" w:hAnsi="Baskerville" w:cs="Baskerville"/>
        </w:rPr>
        <w:t>the</w:t>
      </w:r>
      <w:r w:rsidR="006B071C">
        <w:rPr>
          <w:rFonts w:ascii="Baskerville" w:hAnsi="Baskerville" w:cs="Baskerville"/>
        </w:rPr>
        <w:t>se same</w:t>
      </w:r>
      <w:r w:rsidR="007978A3">
        <w:rPr>
          <w:rFonts w:ascii="Baskerville" w:hAnsi="Baskerville" w:cs="Baskerville"/>
        </w:rPr>
        <w:t xml:space="preserve"> </w:t>
      </w:r>
      <w:r w:rsidR="000E7035">
        <w:rPr>
          <w:rFonts w:ascii="Baskerville" w:hAnsi="Baskerville" w:cs="Baskerville"/>
        </w:rPr>
        <w:t xml:space="preserve">provisions </w:t>
      </w:r>
      <w:r w:rsidR="00A54340" w:rsidRPr="00847AD4">
        <w:rPr>
          <w:rFonts w:ascii="Baskerville" w:hAnsi="Baskerville" w:cs="Baskerville"/>
        </w:rPr>
        <w:t xml:space="preserve">and </w:t>
      </w:r>
      <w:r w:rsidR="004F2798" w:rsidRPr="00847AD4">
        <w:rPr>
          <w:rFonts w:ascii="Baskerville" w:hAnsi="Baskerville" w:cs="Baskerville"/>
        </w:rPr>
        <w:t xml:space="preserve">has come into compliance with additional requirements. </w:t>
      </w:r>
      <w:r w:rsidR="00A568A2">
        <w:rPr>
          <w:rFonts w:ascii="Baskerville" w:hAnsi="Baskerville" w:cs="Baskerville"/>
        </w:rPr>
        <w:t>T</w:t>
      </w:r>
      <w:r w:rsidR="00DF360F" w:rsidRPr="00847AD4">
        <w:rPr>
          <w:rFonts w:ascii="Baskerville" w:hAnsi="Baskerville" w:cs="Baskerville"/>
        </w:rPr>
        <w:t>he Comm</w:t>
      </w:r>
      <w:r w:rsidR="00E80FC3">
        <w:rPr>
          <w:rFonts w:ascii="Baskerville" w:hAnsi="Baskerville" w:cs="Baskerville"/>
        </w:rPr>
        <w:t>onwealths leaders have</w:t>
      </w:r>
      <w:r w:rsidR="00965853">
        <w:rPr>
          <w:rFonts w:ascii="Baskerville" w:hAnsi="Baskerville" w:cs="Baskerville"/>
        </w:rPr>
        <w:t xml:space="preserve"> </w:t>
      </w:r>
      <w:r w:rsidR="00983622" w:rsidRPr="00847AD4">
        <w:rPr>
          <w:rFonts w:ascii="Baskerville" w:hAnsi="Baskerville" w:cs="Baskerville"/>
        </w:rPr>
        <w:t>contin</w:t>
      </w:r>
      <w:r w:rsidR="00965853">
        <w:rPr>
          <w:rFonts w:ascii="Baskerville" w:hAnsi="Baskerville" w:cs="Baskerville"/>
        </w:rPr>
        <w:t>ued</w:t>
      </w:r>
      <w:r w:rsidR="00DF360F" w:rsidRPr="00847AD4">
        <w:rPr>
          <w:rFonts w:ascii="Baskerville" w:hAnsi="Baskerville" w:cs="Baskerville"/>
        </w:rPr>
        <w:t xml:space="preserve"> to meet regularly and </w:t>
      </w:r>
      <w:r w:rsidR="00ED6112">
        <w:rPr>
          <w:rFonts w:ascii="Baskerville" w:hAnsi="Baskerville" w:cs="Baskerville"/>
        </w:rPr>
        <w:t xml:space="preserve">to </w:t>
      </w:r>
      <w:r w:rsidR="00DF360F" w:rsidRPr="00847AD4">
        <w:rPr>
          <w:rFonts w:ascii="Baskerville" w:hAnsi="Baskerville" w:cs="Baskerville"/>
        </w:rPr>
        <w:t xml:space="preserve">collaborate to </w:t>
      </w:r>
      <w:r w:rsidR="00983622" w:rsidRPr="00847AD4">
        <w:rPr>
          <w:rFonts w:ascii="Baskerville" w:hAnsi="Baskerville" w:cs="Baskerville"/>
        </w:rPr>
        <w:t>develop and imple</w:t>
      </w:r>
      <w:r w:rsidR="00847AD4" w:rsidRPr="00847AD4">
        <w:rPr>
          <w:rFonts w:ascii="Baskerville" w:hAnsi="Baskerville" w:cs="Baskerville"/>
        </w:rPr>
        <w:t>ment plans to address the Agree</w:t>
      </w:r>
      <w:r w:rsidR="00983622" w:rsidRPr="00847AD4">
        <w:rPr>
          <w:rFonts w:ascii="Baskerville" w:hAnsi="Baskerville" w:cs="Baskerville"/>
        </w:rPr>
        <w:t>ment’s requirements and to improve people’s lives</w:t>
      </w:r>
      <w:r w:rsidR="00A568A2">
        <w:rPr>
          <w:rFonts w:ascii="Baskerville" w:hAnsi="Baskerville" w:cs="Baskerville"/>
        </w:rPr>
        <w:t xml:space="preserve">. The IR </w:t>
      </w:r>
      <w:r w:rsidR="00B606F2">
        <w:rPr>
          <w:rFonts w:ascii="Baskerville" w:hAnsi="Baskerville" w:cs="Baskerville"/>
        </w:rPr>
        <w:t xml:space="preserve">also </w:t>
      </w:r>
      <w:r w:rsidR="00A568A2">
        <w:rPr>
          <w:rFonts w:ascii="Baskerville" w:hAnsi="Baskerville" w:cs="Baskerville"/>
        </w:rPr>
        <w:t>reported in the last R</w:t>
      </w:r>
      <w:r w:rsidR="00E35CDC" w:rsidRPr="00847AD4">
        <w:rPr>
          <w:rFonts w:ascii="Baskerville" w:hAnsi="Baskerville" w:cs="Baskerville"/>
        </w:rPr>
        <w:t>epor</w:t>
      </w:r>
      <w:r w:rsidR="004F4437" w:rsidRPr="00847AD4">
        <w:rPr>
          <w:rFonts w:ascii="Baskerville" w:hAnsi="Baskerville" w:cs="Baskerville"/>
        </w:rPr>
        <w:t>t</w:t>
      </w:r>
      <w:r w:rsidR="00E737BF">
        <w:rPr>
          <w:rFonts w:ascii="Baskerville" w:hAnsi="Baskerville" w:cs="Baskerville"/>
        </w:rPr>
        <w:t xml:space="preserve"> to the C</w:t>
      </w:r>
      <w:r w:rsidR="00E35CDC" w:rsidRPr="00847AD4">
        <w:rPr>
          <w:rFonts w:ascii="Baskerville" w:hAnsi="Baskerville" w:cs="Baskerville"/>
        </w:rPr>
        <w:t>ourt</w:t>
      </w:r>
      <w:r w:rsidR="00E737BF">
        <w:rPr>
          <w:rFonts w:ascii="Baskerville" w:hAnsi="Baskerville" w:cs="Baskerville"/>
        </w:rPr>
        <w:t xml:space="preserve"> that </w:t>
      </w:r>
      <w:r w:rsidR="0082736C">
        <w:rPr>
          <w:rFonts w:ascii="Baskerville" w:hAnsi="Baskerville" w:cs="Baskerville"/>
        </w:rPr>
        <w:t xml:space="preserve">the Commonwealth </w:t>
      </w:r>
      <w:r w:rsidR="00B52097">
        <w:rPr>
          <w:rFonts w:ascii="Baskerville" w:hAnsi="Baskerville" w:cs="Baskerville"/>
        </w:rPr>
        <w:t>lagged</w:t>
      </w:r>
      <w:r w:rsidR="00E737BF" w:rsidRPr="00DF1E2F">
        <w:rPr>
          <w:rFonts w:ascii="Baskerville" w:hAnsi="Baskerville" w:cs="Baskerville"/>
        </w:rPr>
        <w:t xml:space="preserve"> significantly behind schedule</w:t>
      </w:r>
      <w:r w:rsidR="00E737BF">
        <w:rPr>
          <w:rFonts w:ascii="Baskerville" w:hAnsi="Baskerville" w:cs="Baskerville"/>
        </w:rPr>
        <w:t xml:space="preserve">. </w:t>
      </w:r>
      <w:r w:rsidR="0082736C">
        <w:rPr>
          <w:rFonts w:ascii="Baskerville" w:hAnsi="Baskerville" w:cs="Baskerville"/>
        </w:rPr>
        <w:t xml:space="preserve">It continues to do so. </w:t>
      </w:r>
      <w:r w:rsidR="00E737BF">
        <w:rPr>
          <w:rFonts w:ascii="Baskerville" w:hAnsi="Baskerville" w:cs="Baskerville"/>
        </w:rPr>
        <w:t>There have been significant</w:t>
      </w:r>
      <w:r w:rsidR="001E130A">
        <w:rPr>
          <w:rFonts w:ascii="Baskerville" w:hAnsi="Baskerville" w:cs="Baskerville"/>
        </w:rPr>
        <w:t xml:space="preserve"> delays in the it</w:t>
      </w:r>
      <w:r w:rsidR="00E52670">
        <w:rPr>
          <w:rFonts w:ascii="Baskerville" w:hAnsi="Baskerville" w:cs="Baskerville"/>
        </w:rPr>
        <w:t>’s com</w:t>
      </w:r>
      <w:r w:rsidR="0082736C">
        <w:rPr>
          <w:rFonts w:ascii="Baskerville" w:hAnsi="Baskerville" w:cs="Baskerville"/>
        </w:rPr>
        <w:t>pliance with</w:t>
      </w:r>
      <w:r w:rsidR="00E737BF" w:rsidRPr="00DF1E2F">
        <w:rPr>
          <w:rFonts w:ascii="Baskerville" w:hAnsi="Baskerville" w:cs="Baskerville"/>
        </w:rPr>
        <w:t xml:space="preserve"> </w:t>
      </w:r>
      <w:r w:rsidR="003C092B">
        <w:rPr>
          <w:rFonts w:ascii="Baskerville" w:hAnsi="Baskerville" w:cs="Baskerville"/>
        </w:rPr>
        <w:t xml:space="preserve">requirements </w:t>
      </w:r>
      <w:r w:rsidR="00E80FC3">
        <w:rPr>
          <w:rFonts w:ascii="Baskerville" w:hAnsi="Baskerville" w:cs="Baskerville"/>
        </w:rPr>
        <w:t xml:space="preserve">that are </w:t>
      </w:r>
      <w:r w:rsidR="00E737BF" w:rsidRPr="00DF1E2F">
        <w:rPr>
          <w:rFonts w:ascii="Baskerville" w:hAnsi="Baskerville" w:cs="Baskerville"/>
        </w:rPr>
        <w:t>cri</w:t>
      </w:r>
      <w:r w:rsidR="001E130A">
        <w:rPr>
          <w:rFonts w:ascii="Baskerville" w:hAnsi="Baskerville" w:cs="Baskerville"/>
        </w:rPr>
        <w:t>tical to an effective community-</w:t>
      </w:r>
      <w:r w:rsidR="00E737BF" w:rsidRPr="00DF1E2F">
        <w:rPr>
          <w:rFonts w:ascii="Baskerville" w:hAnsi="Baskerville" w:cs="Baskerville"/>
        </w:rPr>
        <w:t>based services sy</w:t>
      </w:r>
      <w:r w:rsidR="003C092B">
        <w:rPr>
          <w:rFonts w:ascii="Baskerville" w:hAnsi="Baskerville" w:cs="Baskerville"/>
        </w:rPr>
        <w:t>stem for</w:t>
      </w:r>
      <w:r w:rsidR="00E737BF" w:rsidRPr="00DF1E2F">
        <w:rPr>
          <w:rFonts w:ascii="Baskerville" w:hAnsi="Baskerville" w:cs="Baskerville"/>
        </w:rPr>
        <w:t xml:space="preserve"> individuals with ID/DD.</w:t>
      </w:r>
      <w:r w:rsidR="00774652">
        <w:rPr>
          <w:rFonts w:ascii="Baskerville" w:hAnsi="Baskerville" w:cs="Baskerville"/>
        </w:rPr>
        <w:t xml:space="preserve"> For </w:t>
      </w:r>
      <w:r w:rsidR="00877600">
        <w:rPr>
          <w:rFonts w:ascii="Baskerville" w:hAnsi="Baskerville" w:cs="Baskerville"/>
        </w:rPr>
        <w:t>two ye</w:t>
      </w:r>
      <w:r w:rsidR="008206D3">
        <w:rPr>
          <w:rFonts w:ascii="Baskerville" w:hAnsi="Baskerville" w:cs="Baskerville"/>
        </w:rPr>
        <w:t>ar</w:t>
      </w:r>
      <w:r w:rsidR="00774652">
        <w:rPr>
          <w:rFonts w:ascii="Baskerville" w:hAnsi="Baskerville" w:cs="Baskerville"/>
        </w:rPr>
        <w:t>s, the Commonwealth’s primary</w:t>
      </w:r>
      <w:r w:rsidR="00277253">
        <w:rPr>
          <w:rFonts w:ascii="Baskerville" w:hAnsi="Baskerville" w:cs="Baskerville"/>
        </w:rPr>
        <w:t xml:space="preserve"> strategy</w:t>
      </w:r>
      <w:r w:rsidR="00877600">
        <w:rPr>
          <w:rFonts w:ascii="Baskerville" w:hAnsi="Baskerville" w:cs="Baskerville"/>
        </w:rPr>
        <w:t xml:space="preserve"> to come into compliance</w:t>
      </w:r>
      <w:r w:rsidR="00B964FB">
        <w:rPr>
          <w:rFonts w:ascii="Baskerville" w:hAnsi="Baskerville" w:cs="Baskerville"/>
        </w:rPr>
        <w:t xml:space="preserve"> has</w:t>
      </w:r>
      <w:r w:rsidR="000F6FCF">
        <w:rPr>
          <w:rFonts w:ascii="Baskerville" w:hAnsi="Baskerville" w:cs="Baskerville"/>
        </w:rPr>
        <w:t xml:space="preserve"> been the</w:t>
      </w:r>
      <w:r w:rsidR="008206D3">
        <w:rPr>
          <w:rFonts w:ascii="Baskerville" w:hAnsi="Baskerville" w:cs="Baskerville"/>
        </w:rPr>
        <w:t xml:space="preserve"> redesi</w:t>
      </w:r>
      <w:r w:rsidR="00277253">
        <w:rPr>
          <w:rFonts w:ascii="Baskerville" w:hAnsi="Baskerville" w:cs="Baskerville"/>
        </w:rPr>
        <w:t xml:space="preserve">gn </w:t>
      </w:r>
      <w:r w:rsidR="000F6FCF">
        <w:rPr>
          <w:rFonts w:ascii="Baskerville" w:hAnsi="Baskerville" w:cs="Baskerville"/>
        </w:rPr>
        <w:t xml:space="preserve">of </w:t>
      </w:r>
      <w:r w:rsidR="00277253">
        <w:rPr>
          <w:rFonts w:ascii="Baskerville" w:hAnsi="Baskerville" w:cs="Baskerville"/>
        </w:rPr>
        <w:t>it HCBS waiver program</w:t>
      </w:r>
      <w:r w:rsidR="003C525D">
        <w:rPr>
          <w:rFonts w:ascii="Baskerville" w:hAnsi="Baskerville" w:cs="Baskerville"/>
        </w:rPr>
        <w:t>.</w:t>
      </w:r>
      <w:r w:rsidR="00877600">
        <w:rPr>
          <w:rFonts w:ascii="Baskerville" w:hAnsi="Baskerville" w:cs="Baskerville"/>
        </w:rPr>
        <w:t xml:space="preserve"> </w:t>
      </w:r>
      <w:r w:rsidR="00C3675F">
        <w:rPr>
          <w:rFonts w:ascii="Baskerville" w:hAnsi="Baskerville" w:cs="Baskerville"/>
        </w:rPr>
        <w:t>The Commonwealth</w:t>
      </w:r>
      <w:r w:rsidR="00975D6C">
        <w:rPr>
          <w:rFonts w:ascii="Baskerville" w:hAnsi="Baskerville" w:cs="Baskerville"/>
        </w:rPr>
        <w:t xml:space="preserve">’s primary strategy </w:t>
      </w:r>
      <w:r w:rsidR="000D42C8">
        <w:rPr>
          <w:rFonts w:ascii="Baskerville" w:hAnsi="Baskerville" w:cs="Baskerville"/>
        </w:rPr>
        <w:t>to increase</w:t>
      </w:r>
      <w:r w:rsidR="00DA744A">
        <w:rPr>
          <w:rFonts w:ascii="Baskerville" w:hAnsi="Baskerville" w:cs="Baskerville"/>
        </w:rPr>
        <w:t xml:space="preserve"> independent living option</w:t>
      </w:r>
      <w:r w:rsidR="00FF2931">
        <w:rPr>
          <w:rFonts w:ascii="Baskerville" w:hAnsi="Baskerville" w:cs="Baskerville"/>
        </w:rPr>
        <w:t xml:space="preserve">s has </w:t>
      </w:r>
      <w:r w:rsidR="000D42C8">
        <w:rPr>
          <w:rFonts w:ascii="Baskerville" w:hAnsi="Baskerville" w:cs="Baskerville"/>
        </w:rPr>
        <w:t xml:space="preserve">been to </w:t>
      </w:r>
      <w:r w:rsidR="00D8452A">
        <w:rPr>
          <w:rFonts w:ascii="Baskerville" w:hAnsi="Baskerville" w:cs="Baskerville"/>
        </w:rPr>
        <w:t>ensure</w:t>
      </w:r>
      <w:r w:rsidR="009E6EB3">
        <w:rPr>
          <w:rFonts w:ascii="Baskerville" w:hAnsi="Baskerville" w:cs="Baskerville"/>
        </w:rPr>
        <w:t xml:space="preserve"> that the rental assistance </w:t>
      </w:r>
      <w:r w:rsidR="00B964FB">
        <w:rPr>
          <w:rFonts w:ascii="Baskerville" w:hAnsi="Baskerville" w:cs="Baskerville"/>
        </w:rPr>
        <w:t>it offers</w:t>
      </w:r>
      <w:r w:rsidR="005862BB">
        <w:rPr>
          <w:rFonts w:ascii="Baskerville" w:hAnsi="Baskerville" w:cs="Baskerville"/>
        </w:rPr>
        <w:t xml:space="preserve"> is</w:t>
      </w:r>
      <w:r w:rsidR="009E6EB3">
        <w:rPr>
          <w:rFonts w:ascii="Baskerville" w:hAnsi="Baskerville" w:cs="Baskerville"/>
        </w:rPr>
        <w:t xml:space="preserve"> ongoing</w:t>
      </w:r>
      <w:r w:rsidR="00D8452A">
        <w:rPr>
          <w:rFonts w:ascii="Baskerville" w:hAnsi="Baskerville" w:cs="Baskerville"/>
        </w:rPr>
        <w:t xml:space="preserve"> for</w:t>
      </w:r>
      <w:r w:rsidR="00CB331E">
        <w:rPr>
          <w:rFonts w:ascii="Baskerville" w:hAnsi="Baskerville" w:cs="Baskerville"/>
        </w:rPr>
        <w:t xml:space="preserve"> a substantial</w:t>
      </w:r>
      <w:r w:rsidR="00DA744A">
        <w:rPr>
          <w:rFonts w:ascii="Baskerville" w:hAnsi="Baskerville" w:cs="Baskerville"/>
        </w:rPr>
        <w:t xml:space="preserve"> number of individuals</w:t>
      </w:r>
      <w:r w:rsidR="005862BB">
        <w:rPr>
          <w:rFonts w:ascii="Baskerville" w:hAnsi="Baskerville" w:cs="Baskerville"/>
        </w:rPr>
        <w:t>.</w:t>
      </w:r>
    </w:p>
    <w:p w:rsidR="005862BB" w:rsidRPr="00787689" w:rsidRDefault="005862BB" w:rsidP="00D32D1F">
      <w:pPr>
        <w:tabs>
          <w:tab w:val="left" w:pos="1671"/>
        </w:tabs>
        <w:ind w:right="-216"/>
        <w:jc w:val="both"/>
        <w:rPr>
          <w:rFonts w:ascii="Baskerville" w:hAnsi="Baskerville" w:cs="Baskerville"/>
          <w:sz w:val="16"/>
          <w:szCs w:val="16"/>
        </w:rPr>
      </w:pPr>
    </w:p>
    <w:p w:rsidR="00E80FC3" w:rsidRDefault="008C3EE3" w:rsidP="00D32D1F">
      <w:pPr>
        <w:tabs>
          <w:tab w:val="left" w:pos="1671"/>
        </w:tabs>
        <w:ind w:right="-216"/>
        <w:jc w:val="both"/>
        <w:rPr>
          <w:rFonts w:ascii="Baskerville" w:hAnsi="Baskerville" w:cs="Baskerville"/>
        </w:rPr>
      </w:pPr>
      <w:r>
        <w:rPr>
          <w:rFonts w:ascii="Baskerville" w:hAnsi="Baskerville" w:cs="Baskerville"/>
        </w:rPr>
        <w:t>Alt</w:t>
      </w:r>
      <w:r w:rsidR="000A32A7">
        <w:rPr>
          <w:rFonts w:ascii="Baskerville" w:hAnsi="Baskerville" w:cs="Baskerville"/>
        </w:rPr>
        <w:t>hough the Commonwealth has made continued</w:t>
      </w:r>
      <w:r>
        <w:rPr>
          <w:rFonts w:ascii="Baskerville" w:hAnsi="Baskerville" w:cs="Baskerville"/>
        </w:rPr>
        <w:t xml:space="preserve"> ef</w:t>
      </w:r>
      <w:r w:rsidR="000A32A7">
        <w:rPr>
          <w:rFonts w:ascii="Baskerville" w:hAnsi="Baskerville" w:cs="Baskerville"/>
        </w:rPr>
        <w:t>forts and</w:t>
      </w:r>
      <w:r w:rsidR="00197E74">
        <w:rPr>
          <w:rFonts w:ascii="Baskerville" w:hAnsi="Baskerville" w:cs="Baskerville"/>
        </w:rPr>
        <w:t xml:space="preserve"> progress </w:t>
      </w:r>
      <w:r w:rsidR="000A32A7">
        <w:rPr>
          <w:rFonts w:ascii="Baskerville" w:hAnsi="Baskerville" w:cs="Baskerville"/>
        </w:rPr>
        <w:t>on</w:t>
      </w:r>
      <w:r w:rsidR="00B0160B">
        <w:rPr>
          <w:rFonts w:ascii="Baskerville" w:hAnsi="Baskerville" w:cs="Baskerville"/>
        </w:rPr>
        <w:t xml:space="preserve"> its planning the implementation of these strategies</w:t>
      </w:r>
      <w:r w:rsidR="00CB331E">
        <w:rPr>
          <w:rFonts w:ascii="Baskerville" w:hAnsi="Baskerville" w:cs="Baskerville"/>
        </w:rPr>
        <w:t>, it</w:t>
      </w:r>
      <w:r w:rsidR="00197E74">
        <w:rPr>
          <w:rFonts w:ascii="Baskerville" w:hAnsi="Baskerville" w:cs="Baskerville"/>
        </w:rPr>
        <w:t xml:space="preserve"> did not put </w:t>
      </w:r>
      <w:r w:rsidR="00F47484">
        <w:rPr>
          <w:rFonts w:ascii="Baskerville" w:hAnsi="Baskerville" w:cs="Baskerville"/>
        </w:rPr>
        <w:t>the redesign of its HCBS waiver into effect. The IR determined that the Commonwealth continues to be in non-compliance with many provisions of the Agreement. Furthermore, the Commonwealth will remain in non-compliance</w:t>
      </w:r>
      <w:r w:rsidR="00F00C0E">
        <w:rPr>
          <w:rFonts w:ascii="Baskerville" w:hAnsi="Baskerville" w:cs="Baskerville"/>
        </w:rPr>
        <w:t xml:space="preserve"> until it </w:t>
      </w:r>
      <w:r w:rsidR="003D2601">
        <w:rPr>
          <w:rFonts w:ascii="Baskerville" w:hAnsi="Baskerville" w:cs="Baskerville"/>
        </w:rPr>
        <w:t xml:space="preserve">successfully </w:t>
      </w:r>
      <w:r w:rsidR="00F00C0E">
        <w:rPr>
          <w:rFonts w:ascii="Baskerville" w:hAnsi="Baskerville" w:cs="Baskerville"/>
        </w:rPr>
        <w:t xml:space="preserve">implements </w:t>
      </w:r>
      <w:r w:rsidR="00C3675F">
        <w:rPr>
          <w:rFonts w:ascii="Baskerville" w:hAnsi="Baskerville" w:cs="Baskerville"/>
        </w:rPr>
        <w:t xml:space="preserve">needed </w:t>
      </w:r>
      <w:r w:rsidR="00F00C0E">
        <w:rPr>
          <w:rFonts w:ascii="Baskerville" w:hAnsi="Baskerville" w:cs="Baskerville"/>
        </w:rPr>
        <w:t>system reforms</w:t>
      </w:r>
      <w:r w:rsidR="00C3675F">
        <w:rPr>
          <w:rFonts w:ascii="Baskerville" w:hAnsi="Baskerville" w:cs="Baskerville"/>
        </w:rPr>
        <w:t>.</w:t>
      </w:r>
      <w:r w:rsidR="00F00C0E">
        <w:rPr>
          <w:rFonts w:ascii="Baskerville" w:hAnsi="Baskerville" w:cs="Baskerville"/>
        </w:rPr>
        <w:t xml:space="preserve"> </w:t>
      </w:r>
    </w:p>
    <w:p w:rsidR="00417B13" w:rsidRPr="00787689" w:rsidRDefault="00417B13" w:rsidP="00D32D1F">
      <w:pPr>
        <w:tabs>
          <w:tab w:val="left" w:pos="1671"/>
        </w:tabs>
        <w:ind w:right="-216"/>
        <w:jc w:val="both"/>
        <w:rPr>
          <w:rFonts w:ascii="Baskerville" w:hAnsi="Baskerville" w:cs="Baskerville"/>
          <w:sz w:val="16"/>
          <w:szCs w:val="16"/>
        </w:rPr>
      </w:pPr>
    </w:p>
    <w:p w:rsidR="00417B13" w:rsidRDefault="00417B13" w:rsidP="00D32D1F">
      <w:pPr>
        <w:tabs>
          <w:tab w:val="left" w:pos="1671"/>
        </w:tabs>
        <w:ind w:right="-216"/>
        <w:jc w:val="both"/>
        <w:rPr>
          <w:rFonts w:ascii="Baskerville" w:hAnsi="Baskerville" w:cs="Baskerville"/>
        </w:rPr>
      </w:pPr>
      <w:r>
        <w:rPr>
          <w:rFonts w:ascii="Baskerville" w:hAnsi="Baskerville" w:cs="Baskerville"/>
        </w:rPr>
        <w:t xml:space="preserve">The </w:t>
      </w:r>
      <w:r w:rsidR="00206919">
        <w:rPr>
          <w:rFonts w:ascii="Baskerville" w:hAnsi="Baskerville" w:cs="Baskerville"/>
        </w:rPr>
        <w:t xml:space="preserve">IR </w:t>
      </w:r>
      <w:r w:rsidR="009D3249">
        <w:rPr>
          <w:rFonts w:ascii="Baskerville" w:hAnsi="Baskerville" w:cs="Baskerville"/>
        </w:rPr>
        <w:t>previously rep</w:t>
      </w:r>
      <w:r w:rsidR="00D8452A">
        <w:rPr>
          <w:rFonts w:ascii="Baskerville" w:hAnsi="Baskerville" w:cs="Baskerville"/>
        </w:rPr>
        <w:t>orted that the Commonwealth</w:t>
      </w:r>
      <w:r w:rsidR="00206919">
        <w:rPr>
          <w:rFonts w:ascii="Baskerville" w:hAnsi="Baskerville" w:cs="Baskerville"/>
        </w:rPr>
        <w:t xml:space="preserve"> had implemented and refined a</w:t>
      </w:r>
      <w:r w:rsidR="00D558A5">
        <w:rPr>
          <w:rFonts w:ascii="Baskerville" w:hAnsi="Baskerville" w:cs="Baskerville"/>
        </w:rPr>
        <w:t xml:space="preserve"> discharge planning and post-move mon</w:t>
      </w:r>
      <w:r w:rsidR="00206919">
        <w:rPr>
          <w:rFonts w:ascii="Baskerville" w:hAnsi="Baskerville" w:cs="Baskerville"/>
        </w:rPr>
        <w:t xml:space="preserve">itoring process, and </w:t>
      </w:r>
      <w:r w:rsidR="003D2601">
        <w:rPr>
          <w:rFonts w:ascii="Baskerville" w:hAnsi="Baskerville" w:cs="Baskerville"/>
        </w:rPr>
        <w:t xml:space="preserve">that it </w:t>
      </w:r>
      <w:r w:rsidR="00D558A5">
        <w:rPr>
          <w:rFonts w:ascii="Baskerville" w:hAnsi="Baskerville" w:cs="Baskerville"/>
        </w:rPr>
        <w:t xml:space="preserve">had </w:t>
      </w:r>
      <w:r>
        <w:rPr>
          <w:rFonts w:ascii="Baskerville" w:hAnsi="Baskerville" w:cs="Baskerville"/>
        </w:rPr>
        <w:t xml:space="preserve">achieved </w:t>
      </w:r>
      <w:r w:rsidR="009D3249">
        <w:rPr>
          <w:rFonts w:ascii="Baskerville" w:hAnsi="Baskerville" w:cs="Baskerville"/>
        </w:rPr>
        <w:t xml:space="preserve">and maintained </w:t>
      </w:r>
      <w:r>
        <w:rPr>
          <w:rFonts w:ascii="Baskerville" w:hAnsi="Baskerville" w:cs="Baskerville"/>
        </w:rPr>
        <w:t xml:space="preserve">compliance </w:t>
      </w:r>
      <w:r w:rsidR="00D558A5">
        <w:rPr>
          <w:rFonts w:ascii="Baskerville" w:hAnsi="Baskerville" w:cs="Baskerville"/>
        </w:rPr>
        <w:t xml:space="preserve">over multiple review periods </w:t>
      </w:r>
      <w:r>
        <w:rPr>
          <w:rFonts w:ascii="Baskerville" w:hAnsi="Baskerville" w:cs="Baskerville"/>
        </w:rPr>
        <w:t xml:space="preserve">with </w:t>
      </w:r>
      <w:r w:rsidR="009A469C">
        <w:rPr>
          <w:rFonts w:ascii="Baskerville" w:hAnsi="Baskerville" w:cs="Baskerville"/>
        </w:rPr>
        <w:t xml:space="preserve">most </w:t>
      </w:r>
      <w:r w:rsidR="00D558A5">
        <w:rPr>
          <w:rFonts w:ascii="Baskerville" w:hAnsi="Baskerville" w:cs="Baskerville"/>
        </w:rPr>
        <w:t>of</w:t>
      </w:r>
      <w:r w:rsidR="009A469C">
        <w:rPr>
          <w:rFonts w:ascii="Baskerville" w:hAnsi="Baskerville" w:cs="Baskerville"/>
        </w:rPr>
        <w:t xml:space="preserve"> the Discharge Planning and Transiti</w:t>
      </w:r>
      <w:r w:rsidR="009D3249">
        <w:rPr>
          <w:rFonts w:ascii="Baskerville" w:hAnsi="Baskerville" w:cs="Baskerville"/>
        </w:rPr>
        <w:t xml:space="preserve">on </w:t>
      </w:r>
      <w:r w:rsidR="00D558A5">
        <w:rPr>
          <w:rFonts w:ascii="Baskerville" w:hAnsi="Baskerville" w:cs="Baskerville"/>
        </w:rPr>
        <w:t>provisions</w:t>
      </w:r>
      <w:r w:rsidR="009D3249">
        <w:rPr>
          <w:rFonts w:ascii="Baskerville" w:hAnsi="Baskerville" w:cs="Baskerville"/>
        </w:rPr>
        <w:t xml:space="preserve">. </w:t>
      </w:r>
      <w:r w:rsidR="00D558A5">
        <w:rPr>
          <w:rFonts w:ascii="Baskerville" w:hAnsi="Baskerville" w:cs="Baskerville"/>
        </w:rPr>
        <w:t>The IR did not monitor or provide updated compliance ratings for these provisions during this review period. The IR confirmed during this review period that the Commonwealth</w:t>
      </w:r>
      <w:r w:rsidR="00EE35FC">
        <w:rPr>
          <w:rFonts w:ascii="Baskerville" w:hAnsi="Baskerville" w:cs="Baskerville"/>
        </w:rPr>
        <w:t xml:space="preserve"> </w:t>
      </w:r>
      <w:r w:rsidR="00BB6FCF">
        <w:rPr>
          <w:rFonts w:ascii="Baskerville" w:hAnsi="Baskerville" w:cs="Baskerville"/>
        </w:rPr>
        <w:t>maintained</w:t>
      </w:r>
      <w:r w:rsidR="0005461F">
        <w:rPr>
          <w:rFonts w:ascii="Baskerville" w:hAnsi="Baskerville" w:cs="Baskerville"/>
        </w:rPr>
        <w:t xml:space="preserve"> compliance with provisions that require increased </w:t>
      </w:r>
      <w:r w:rsidR="003F2CFE">
        <w:rPr>
          <w:rFonts w:ascii="Baskerville" w:hAnsi="Baskerville" w:cs="Baskerville"/>
        </w:rPr>
        <w:t>frequency</w:t>
      </w:r>
      <w:r w:rsidR="00E50148">
        <w:rPr>
          <w:rFonts w:ascii="Baskerville" w:hAnsi="Baskerville" w:cs="Baskerville"/>
        </w:rPr>
        <w:t xml:space="preserve"> of visits</w:t>
      </w:r>
      <w:r w:rsidR="003F2CFE">
        <w:rPr>
          <w:rFonts w:ascii="Baskerville" w:hAnsi="Baskerville" w:cs="Baskerville"/>
        </w:rPr>
        <w:t xml:space="preserve"> and oversight by</w:t>
      </w:r>
      <w:r w:rsidR="006973B0">
        <w:rPr>
          <w:rFonts w:ascii="Baskerville" w:hAnsi="Baskerville" w:cs="Baskerville"/>
        </w:rPr>
        <w:t xml:space="preserve"> case manag</w:t>
      </w:r>
      <w:r w:rsidR="00233D02">
        <w:rPr>
          <w:rFonts w:ascii="Baskerville" w:hAnsi="Baskerville" w:cs="Baskerville"/>
        </w:rPr>
        <w:t>ement and licen</w:t>
      </w:r>
      <w:r w:rsidR="00413773">
        <w:rPr>
          <w:rFonts w:ascii="Baskerville" w:hAnsi="Baskerville" w:cs="Baskerville"/>
        </w:rPr>
        <w:t>sing. It has also developed</w:t>
      </w:r>
      <w:r w:rsidR="00BB6FCF">
        <w:rPr>
          <w:rFonts w:ascii="Baskerville" w:hAnsi="Baskerville" w:cs="Baskerville"/>
        </w:rPr>
        <w:t xml:space="preserve"> </w:t>
      </w:r>
      <w:r w:rsidR="00D558A5">
        <w:rPr>
          <w:rFonts w:ascii="Baskerville" w:hAnsi="Baskerville" w:cs="Baskerville"/>
        </w:rPr>
        <w:t>the</w:t>
      </w:r>
      <w:r w:rsidR="00684DDE">
        <w:rPr>
          <w:rFonts w:ascii="Baskerville" w:hAnsi="Baskerville" w:cs="Baskerville"/>
        </w:rPr>
        <w:t xml:space="preserve"> required program elements of </w:t>
      </w:r>
      <w:r w:rsidR="00233D02">
        <w:rPr>
          <w:rFonts w:ascii="Baskerville" w:hAnsi="Baskerville" w:cs="Baskerville"/>
        </w:rPr>
        <w:t>crisis services</w:t>
      </w:r>
      <w:r w:rsidR="00BB6FCF">
        <w:rPr>
          <w:rFonts w:ascii="Baskerville" w:hAnsi="Baskerville" w:cs="Baskerville"/>
        </w:rPr>
        <w:t xml:space="preserve"> for adults</w:t>
      </w:r>
      <w:r w:rsidR="00233D02">
        <w:rPr>
          <w:rFonts w:ascii="Baskerville" w:hAnsi="Baskerville" w:cs="Baskerville"/>
        </w:rPr>
        <w:t>.</w:t>
      </w:r>
      <w:r w:rsidR="00417A5A">
        <w:rPr>
          <w:rFonts w:ascii="Baskerville" w:hAnsi="Baskerville" w:cs="Baskerville"/>
        </w:rPr>
        <w:t xml:space="preserve"> The Commonwealth</w:t>
      </w:r>
      <w:r w:rsidR="000E1FE5">
        <w:rPr>
          <w:rFonts w:ascii="Baskerville" w:hAnsi="Baskerville" w:cs="Baskerville"/>
        </w:rPr>
        <w:t xml:space="preserve"> provided increased community supports for individuals with complex needs</w:t>
      </w:r>
      <w:r w:rsidR="00430E0C">
        <w:rPr>
          <w:rFonts w:ascii="Baskerville" w:hAnsi="Baskerville" w:cs="Baskerville"/>
        </w:rPr>
        <w:t xml:space="preserve"> by creating Bridge F</w:t>
      </w:r>
      <w:r w:rsidR="00DB5A70">
        <w:rPr>
          <w:rFonts w:ascii="Baskerville" w:hAnsi="Baskerville" w:cs="Baskerville"/>
        </w:rPr>
        <w:t>un</w:t>
      </w:r>
      <w:r w:rsidR="00430E0C">
        <w:rPr>
          <w:rFonts w:ascii="Baskerville" w:hAnsi="Baskerville" w:cs="Baskerville"/>
        </w:rPr>
        <w:t xml:space="preserve">ding and exceptional rates. It </w:t>
      </w:r>
      <w:r w:rsidR="00DB5A70">
        <w:rPr>
          <w:rFonts w:ascii="Baskerville" w:hAnsi="Baskerville" w:cs="Baskerville"/>
        </w:rPr>
        <w:t>has begun new initiatives to increase behavioral support resources</w:t>
      </w:r>
      <w:r w:rsidR="00FF0745">
        <w:rPr>
          <w:rFonts w:ascii="Baskerville" w:hAnsi="Baskerville" w:cs="Baskerville"/>
        </w:rPr>
        <w:t xml:space="preserve">. The Commonwealth has newly come into compliance with </w:t>
      </w:r>
      <w:r w:rsidR="001E2043">
        <w:rPr>
          <w:rFonts w:ascii="Baskerville" w:hAnsi="Baskerville" w:cs="Baskerville"/>
        </w:rPr>
        <w:t>provisions related to its plan to incre</w:t>
      </w:r>
      <w:r w:rsidR="00935A52">
        <w:rPr>
          <w:rFonts w:ascii="Baskerville" w:hAnsi="Baskerville" w:cs="Baskerville"/>
        </w:rPr>
        <w:t>ase independent living options</w:t>
      </w:r>
      <w:r w:rsidR="00920D26">
        <w:rPr>
          <w:rFonts w:ascii="Baskerville" w:hAnsi="Baskerville" w:cs="Baskerville"/>
        </w:rPr>
        <w:t xml:space="preserve">, </w:t>
      </w:r>
      <w:r w:rsidR="004E280D">
        <w:rPr>
          <w:rFonts w:ascii="Baskerville" w:hAnsi="Baskerville" w:cs="Baskerville"/>
        </w:rPr>
        <w:t xml:space="preserve">with case managers offering choice of service providers, and </w:t>
      </w:r>
      <w:r w:rsidR="00945FFB">
        <w:rPr>
          <w:rFonts w:ascii="Baskerville" w:hAnsi="Baskerville" w:cs="Baskerville"/>
        </w:rPr>
        <w:t>with requirements that the Regional Quality Councils review of employment targets.</w:t>
      </w:r>
    </w:p>
    <w:p w:rsidR="00945FFB" w:rsidRPr="00787689" w:rsidRDefault="00945FFB" w:rsidP="00D32D1F">
      <w:pPr>
        <w:tabs>
          <w:tab w:val="left" w:pos="1671"/>
        </w:tabs>
        <w:ind w:right="-216"/>
        <w:jc w:val="both"/>
        <w:rPr>
          <w:rFonts w:ascii="Baskerville" w:hAnsi="Baskerville" w:cs="Baskerville"/>
          <w:sz w:val="16"/>
          <w:szCs w:val="16"/>
        </w:rPr>
      </w:pPr>
    </w:p>
    <w:p w:rsidR="00945FFB" w:rsidRDefault="00945FFB" w:rsidP="00D32D1F">
      <w:pPr>
        <w:tabs>
          <w:tab w:val="left" w:pos="1671"/>
        </w:tabs>
        <w:ind w:right="-216"/>
        <w:jc w:val="both"/>
        <w:rPr>
          <w:rFonts w:ascii="Baskerville" w:hAnsi="Baskerville" w:cs="Baskerville"/>
        </w:rPr>
      </w:pPr>
      <w:r>
        <w:rPr>
          <w:rFonts w:ascii="Baskerville" w:hAnsi="Baskerville" w:cs="Baskerville"/>
        </w:rPr>
        <w:t>The Commonwealth</w:t>
      </w:r>
      <w:r w:rsidR="00D939A6">
        <w:rPr>
          <w:rFonts w:ascii="Baskerville" w:hAnsi="Baskerville" w:cs="Baskerville"/>
        </w:rPr>
        <w:t xml:space="preserve"> has not, however, made substantive progress</w:t>
      </w:r>
      <w:r w:rsidR="000305A2">
        <w:rPr>
          <w:rFonts w:ascii="Baskerville" w:hAnsi="Baskerville" w:cs="Baskerville"/>
        </w:rPr>
        <w:t xml:space="preserve"> implementing planned changes to achieve compliance with many core </w:t>
      </w:r>
      <w:r w:rsidR="00F027E3">
        <w:rPr>
          <w:rFonts w:ascii="Baskerville" w:hAnsi="Baskerville" w:cs="Baskerville"/>
        </w:rPr>
        <w:t xml:space="preserve">structural and programmatic provisions </w:t>
      </w:r>
      <w:r w:rsidR="00D939A6">
        <w:rPr>
          <w:rFonts w:ascii="Baskerville" w:hAnsi="Baskerville" w:cs="Baskerville"/>
        </w:rPr>
        <w:t>of the Agreement</w:t>
      </w:r>
      <w:r w:rsidR="00F027E3">
        <w:rPr>
          <w:rFonts w:ascii="Baskerville" w:hAnsi="Baskerville" w:cs="Baskerville"/>
        </w:rPr>
        <w:t>. It has no</w:t>
      </w:r>
      <w:r w:rsidR="007E74C2">
        <w:rPr>
          <w:rFonts w:ascii="Baskerville" w:hAnsi="Baskerville" w:cs="Baskerville"/>
        </w:rPr>
        <w:t>t put into effect the strategies that it has presented as necessary to bring</w:t>
      </w:r>
      <w:r w:rsidR="00A218A4">
        <w:rPr>
          <w:rFonts w:ascii="Baskerville" w:hAnsi="Baskerville" w:cs="Baskerville"/>
        </w:rPr>
        <w:t xml:space="preserve"> about systems reforms needed for </w:t>
      </w:r>
      <w:r w:rsidR="007E74C2">
        <w:rPr>
          <w:rFonts w:ascii="Baskerville" w:hAnsi="Baskerville" w:cs="Baskerville"/>
        </w:rPr>
        <w:t>compliance</w:t>
      </w:r>
      <w:r w:rsidR="009D5563">
        <w:rPr>
          <w:rFonts w:ascii="Baskerville" w:hAnsi="Baskerville" w:cs="Baskerville"/>
        </w:rPr>
        <w:t xml:space="preserve">. The IR has continued to determine that </w:t>
      </w:r>
      <w:r w:rsidR="00302C31">
        <w:rPr>
          <w:rFonts w:ascii="Baskerville" w:hAnsi="Baskerville" w:cs="Baskerville"/>
        </w:rPr>
        <w:t xml:space="preserve">during this review period </w:t>
      </w:r>
      <w:r w:rsidR="009D5563">
        <w:rPr>
          <w:rFonts w:ascii="Baskerville" w:hAnsi="Baskerville" w:cs="Baskerville"/>
        </w:rPr>
        <w:t>the Commonwealth is not in complian</w:t>
      </w:r>
      <w:r w:rsidR="00814035">
        <w:rPr>
          <w:rFonts w:ascii="Baskerville" w:hAnsi="Baskerville" w:cs="Baskerville"/>
        </w:rPr>
        <w:t>ce with many provisions that must be implemente</w:t>
      </w:r>
      <w:r w:rsidR="00A218A4">
        <w:rPr>
          <w:rFonts w:ascii="Baskerville" w:hAnsi="Baskerville" w:cs="Baskerville"/>
        </w:rPr>
        <w:t>d effectively to fulfill its</w:t>
      </w:r>
      <w:r w:rsidR="00D25972">
        <w:rPr>
          <w:rFonts w:ascii="Baskerville" w:hAnsi="Baskerville" w:cs="Baskerville"/>
        </w:rPr>
        <w:t xml:space="preserve"> promises to members of the target population an</w:t>
      </w:r>
      <w:r w:rsidR="008C6E6F">
        <w:rPr>
          <w:rFonts w:ascii="Baskerville" w:hAnsi="Baskerville" w:cs="Baskerville"/>
        </w:rPr>
        <w:t>d their families “to prevent</w:t>
      </w:r>
      <w:r w:rsidR="00D25972">
        <w:rPr>
          <w:rFonts w:ascii="Baskerville" w:hAnsi="Baskerville" w:cs="Baskerville"/>
        </w:rPr>
        <w:t xml:space="preserve"> unnecessary institutionalization and</w:t>
      </w:r>
      <w:r w:rsidR="00F027E3">
        <w:rPr>
          <w:rFonts w:ascii="Baskerville" w:hAnsi="Baskerville" w:cs="Baskerville"/>
        </w:rPr>
        <w:t xml:space="preserve"> </w:t>
      </w:r>
      <w:r w:rsidR="008C6E6F">
        <w:rPr>
          <w:rFonts w:ascii="Baskerville" w:hAnsi="Baskerville" w:cs="Baskerville"/>
        </w:rPr>
        <w:t>provide opportunit</w:t>
      </w:r>
      <w:r w:rsidR="00421FDC">
        <w:rPr>
          <w:rFonts w:ascii="Baskerville" w:hAnsi="Baskerville" w:cs="Baskerville"/>
        </w:rPr>
        <w:t>i</w:t>
      </w:r>
      <w:r w:rsidR="008C6E6F">
        <w:rPr>
          <w:rFonts w:ascii="Baskerville" w:hAnsi="Baskerville" w:cs="Baskerville"/>
        </w:rPr>
        <w:t>es to live in the most integra</w:t>
      </w:r>
      <w:r w:rsidR="00421FDC">
        <w:rPr>
          <w:rFonts w:ascii="Baskerville" w:hAnsi="Baskerville" w:cs="Baskerville"/>
        </w:rPr>
        <w:t xml:space="preserve">ted setting appropriate to their </w:t>
      </w:r>
      <w:r w:rsidR="008C6E6F">
        <w:rPr>
          <w:rFonts w:ascii="Baskerville" w:hAnsi="Baskerville" w:cs="Baskerville"/>
        </w:rPr>
        <w:t>needs and consistent with…their informed choice</w:t>
      </w:r>
      <w:r w:rsidR="00A218A4">
        <w:rPr>
          <w:rFonts w:ascii="Baskerville" w:hAnsi="Baskerville" w:cs="Baskerville"/>
        </w:rPr>
        <w:t>.”</w:t>
      </w:r>
    </w:p>
    <w:p w:rsidR="00421FDC" w:rsidRPr="00787689" w:rsidRDefault="00421FDC" w:rsidP="00D32D1F">
      <w:pPr>
        <w:tabs>
          <w:tab w:val="left" w:pos="1671"/>
        </w:tabs>
        <w:ind w:right="-216"/>
        <w:jc w:val="both"/>
        <w:rPr>
          <w:rFonts w:ascii="Baskerville" w:hAnsi="Baskerville" w:cs="Baskerville"/>
          <w:sz w:val="16"/>
          <w:szCs w:val="16"/>
        </w:rPr>
      </w:pPr>
    </w:p>
    <w:p w:rsidR="00421FDC" w:rsidRDefault="00421FDC" w:rsidP="00A54340">
      <w:pPr>
        <w:tabs>
          <w:tab w:val="left" w:pos="1671"/>
        </w:tabs>
        <w:ind w:right="-216"/>
        <w:jc w:val="both"/>
        <w:rPr>
          <w:rFonts w:ascii="Baskerville" w:hAnsi="Baskerville" w:cs="Baskerville"/>
        </w:rPr>
      </w:pPr>
      <w:r>
        <w:rPr>
          <w:rFonts w:ascii="Baskerville" w:hAnsi="Baskerville" w:cs="Baskerville"/>
        </w:rPr>
        <w:t>The Commonwealth’s leaders continue to</w:t>
      </w:r>
      <w:r w:rsidR="003D2BA6">
        <w:rPr>
          <w:rFonts w:ascii="Baskerville" w:hAnsi="Baskerville" w:cs="Baskerville"/>
        </w:rPr>
        <w:t xml:space="preserve"> </w:t>
      </w:r>
      <w:r w:rsidR="00074273">
        <w:rPr>
          <w:rFonts w:ascii="Baskerville" w:hAnsi="Baskerville" w:cs="Baskerville"/>
        </w:rPr>
        <w:t>express</w:t>
      </w:r>
      <w:r w:rsidR="00C74A1E">
        <w:rPr>
          <w:rFonts w:ascii="Baskerville" w:hAnsi="Baskerville" w:cs="Baskerville"/>
        </w:rPr>
        <w:t xml:space="preserve"> strong commitment to vigorously continue its </w:t>
      </w:r>
      <w:r w:rsidR="003D2BA6">
        <w:rPr>
          <w:rFonts w:ascii="Baskerville" w:hAnsi="Baskerville" w:cs="Baskerville"/>
        </w:rPr>
        <w:t xml:space="preserve">planning and </w:t>
      </w:r>
      <w:r w:rsidR="00C74A1E">
        <w:rPr>
          <w:rFonts w:ascii="Baskerville" w:hAnsi="Baskerville" w:cs="Baskerville"/>
        </w:rPr>
        <w:t xml:space="preserve">full </w:t>
      </w:r>
      <w:r w:rsidR="0043000F">
        <w:rPr>
          <w:rFonts w:ascii="Baskerville" w:hAnsi="Baskerville" w:cs="Baskerville"/>
        </w:rPr>
        <w:t>implementation of new service</w:t>
      </w:r>
      <w:r w:rsidR="003D2BA6">
        <w:rPr>
          <w:rFonts w:ascii="Baskerville" w:hAnsi="Baskerville" w:cs="Baskerville"/>
        </w:rPr>
        <w:t xml:space="preserve"> and system reforms</w:t>
      </w:r>
      <w:r w:rsidR="00C74A1E">
        <w:rPr>
          <w:rFonts w:ascii="Baskerville" w:hAnsi="Baskerville" w:cs="Baskerville"/>
        </w:rPr>
        <w:t xml:space="preserve"> to achieve compliance</w:t>
      </w:r>
      <w:r w:rsidR="003D2BA6">
        <w:rPr>
          <w:rFonts w:ascii="Baskerville" w:hAnsi="Baskerville" w:cs="Baskerville"/>
        </w:rPr>
        <w:t xml:space="preserve">. </w:t>
      </w:r>
      <w:r w:rsidR="00C0374A">
        <w:rPr>
          <w:rFonts w:ascii="Baskerville" w:hAnsi="Baskerville" w:cs="Baskerville"/>
        </w:rPr>
        <w:t>Substantial</w:t>
      </w:r>
      <w:r w:rsidR="00074273">
        <w:rPr>
          <w:rFonts w:ascii="Baskerville" w:hAnsi="Baskerville" w:cs="Baskerville"/>
        </w:rPr>
        <w:t xml:space="preserve"> progress with the implementation of </w:t>
      </w:r>
      <w:r w:rsidR="006C14D3">
        <w:rPr>
          <w:rFonts w:ascii="Baskerville" w:hAnsi="Baskerville" w:cs="Baskerville"/>
        </w:rPr>
        <w:t xml:space="preserve">the </w:t>
      </w:r>
      <w:r w:rsidR="0043000F">
        <w:rPr>
          <w:rFonts w:ascii="Baskerville" w:hAnsi="Baskerville" w:cs="Baskerville"/>
        </w:rPr>
        <w:t>needed reforms is vital</w:t>
      </w:r>
      <w:r w:rsidR="00074273">
        <w:rPr>
          <w:rFonts w:ascii="Baskerville" w:hAnsi="Baskerville" w:cs="Baskerville"/>
        </w:rPr>
        <w:t xml:space="preserve"> to</w:t>
      </w:r>
      <w:r w:rsidR="006C14D3">
        <w:rPr>
          <w:rFonts w:ascii="Baskerville" w:hAnsi="Baskerville" w:cs="Baskerville"/>
        </w:rPr>
        <w:t xml:space="preserve"> fulfill the requirements of the Agreement and its promises to all Virginians with intellectual and developmental </w:t>
      </w:r>
      <w:r w:rsidR="00A113D1">
        <w:rPr>
          <w:rFonts w:ascii="Baskerville" w:hAnsi="Baskerville" w:cs="Baskerville"/>
        </w:rPr>
        <w:t>disabilities and their families</w:t>
      </w:r>
      <w:r w:rsidR="00935A52">
        <w:rPr>
          <w:rFonts w:ascii="Baskerville" w:hAnsi="Baskerville" w:cs="Baskerville"/>
        </w:rPr>
        <w:t>.</w:t>
      </w:r>
    </w:p>
    <w:p w:rsidR="0087069F" w:rsidRDefault="0087069F" w:rsidP="003518FC">
      <w:pPr>
        <w:tabs>
          <w:tab w:val="left" w:pos="1671"/>
        </w:tabs>
        <w:ind w:right="-216"/>
        <w:jc w:val="center"/>
        <w:rPr>
          <w:rFonts w:ascii="Baskerville" w:hAnsi="Baskerville" w:cs="Baskerville"/>
          <w:b/>
        </w:rPr>
      </w:pPr>
    </w:p>
    <w:p w:rsidR="0087069F" w:rsidRDefault="0087069F" w:rsidP="003518FC">
      <w:pPr>
        <w:tabs>
          <w:tab w:val="left" w:pos="1671"/>
        </w:tabs>
        <w:ind w:right="-216"/>
        <w:jc w:val="center"/>
        <w:rPr>
          <w:rFonts w:ascii="Baskerville" w:hAnsi="Baskerville" w:cs="Baskerville"/>
          <w:b/>
        </w:rPr>
      </w:pPr>
    </w:p>
    <w:p w:rsidR="008E3801" w:rsidRPr="00FE01CE" w:rsidRDefault="008E3801" w:rsidP="003518FC">
      <w:pPr>
        <w:tabs>
          <w:tab w:val="left" w:pos="1671"/>
        </w:tabs>
        <w:ind w:right="-216"/>
        <w:jc w:val="center"/>
        <w:rPr>
          <w:rFonts w:ascii="Baskerville" w:hAnsi="Baskerville" w:cs="Baskerville"/>
          <w:b/>
          <w:sz w:val="28"/>
          <w:szCs w:val="28"/>
          <w:u w:val="single"/>
        </w:rPr>
      </w:pPr>
      <w:r w:rsidRPr="00FE01CE">
        <w:rPr>
          <w:rFonts w:ascii="Baskerville" w:hAnsi="Baskerville" w:cs="Baskerville"/>
          <w:b/>
          <w:sz w:val="28"/>
          <w:szCs w:val="28"/>
          <w:u w:val="single"/>
        </w:rPr>
        <w:t>V. RECOMMENDATIONS</w:t>
      </w:r>
    </w:p>
    <w:p w:rsidR="00256652" w:rsidRDefault="00256652" w:rsidP="00DF6358">
      <w:pPr>
        <w:tabs>
          <w:tab w:val="left" w:pos="1671"/>
        </w:tabs>
        <w:ind w:right="-216"/>
        <w:jc w:val="center"/>
        <w:rPr>
          <w:rFonts w:ascii="Baskerville" w:hAnsi="Baskerville" w:cs="Baskerville"/>
          <w:b/>
        </w:rPr>
      </w:pPr>
    </w:p>
    <w:p w:rsidR="00F46E71" w:rsidRPr="00256652" w:rsidRDefault="00F46E71" w:rsidP="00DF6358">
      <w:pPr>
        <w:ind w:right="-486"/>
        <w:rPr>
          <w:rFonts w:ascii="Baskerville" w:hAnsi="Baskerville" w:cs="Baskerville"/>
        </w:rPr>
      </w:pPr>
      <w:r w:rsidRPr="00256652">
        <w:rPr>
          <w:rFonts w:ascii="Baskerville" w:hAnsi="Baskerville" w:cs="Baskerville"/>
        </w:rPr>
        <w:t>The Independent Reviewer</w:t>
      </w:r>
      <w:r w:rsidR="00391D4D">
        <w:rPr>
          <w:rFonts w:ascii="Baskerville" w:hAnsi="Baskerville" w:cs="Baskerville"/>
        </w:rPr>
        <w:t xml:space="preserve"> recommendations to</w:t>
      </w:r>
      <w:r w:rsidRPr="00256652">
        <w:rPr>
          <w:rFonts w:ascii="Baskerville" w:hAnsi="Baskerville" w:cs="Baskerville"/>
        </w:rPr>
        <w:t xml:space="preserve"> the Commonwea</w:t>
      </w:r>
      <w:r w:rsidR="00391D4D">
        <w:rPr>
          <w:rFonts w:ascii="Baskerville" w:hAnsi="Baskerville" w:cs="Baskerville"/>
        </w:rPr>
        <w:t xml:space="preserve">lth are </w:t>
      </w:r>
      <w:r w:rsidRPr="00256652">
        <w:rPr>
          <w:rFonts w:ascii="Baskerville" w:hAnsi="Baskerville" w:cs="Baskerville"/>
        </w:rPr>
        <w:t>listed below. The Independe</w:t>
      </w:r>
      <w:r w:rsidR="006112C1">
        <w:rPr>
          <w:rFonts w:ascii="Baskerville" w:hAnsi="Baskerville" w:cs="Baskerville"/>
        </w:rPr>
        <w:t>n</w:t>
      </w:r>
      <w:r w:rsidR="005C5003">
        <w:rPr>
          <w:rFonts w:ascii="Baskerville" w:hAnsi="Baskerville" w:cs="Baskerville"/>
        </w:rPr>
        <w:t xml:space="preserve">t Reviewer requests a report regarding </w:t>
      </w:r>
      <w:r w:rsidR="006112C1">
        <w:rPr>
          <w:rFonts w:ascii="Baskerville" w:hAnsi="Baskerville" w:cs="Baskerville"/>
        </w:rPr>
        <w:t>the Commonwealth’s actions to address these recommendations</w:t>
      </w:r>
      <w:r w:rsidRPr="00256652">
        <w:rPr>
          <w:rFonts w:ascii="Baskerville" w:hAnsi="Baskerville" w:cs="Baskerville"/>
        </w:rPr>
        <w:t xml:space="preserve"> and </w:t>
      </w:r>
      <w:r w:rsidR="006112C1">
        <w:rPr>
          <w:rFonts w:ascii="Baskerville" w:hAnsi="Baskerville" w:cs="Baskerville"/>
        </w:rPr>
        <w:t>the results</w:t>
      </w:r>
      <w:r w:rsidRPr="00256652">
        <w:rPr>
          <w:rFonts w:ascii="Baskerville" w:hAnsi="Baskerville" w:cs="Baskerville"/>
        </w:rPr>
        <w:t xml:space="preserve"> by</w:t>
      </w:r>
      <w:r w:rsidR="00BC75BD" w:rsidRPr="00256652">
        <w:rPr>
          <w:rFonts w:ascii="Baskerville" w:hAnsi="Baskerville" w:cs="Baskerville"/>
        </w:rPr>
        <w:t xml:space="preserve"> September</w:t>
      </w:r>
      <w:r w:rsidRPr="00256652">
        <w:rPr>
          <w:rFonts w:ascii="Baskerville" w:hAnsi="Baskerville" w:cs="Baskerville"/>
        </w:rPr>
        <w:t xml:space="preserve"> 30, 2015.</w:t>
      </w:r>
    </w:p>
    <w:p w:rsidR="00F46E71" w:rsidRPr="00256652" w:rsidRDefault="00F46E71" w:rsidP="00DF6358">
      <w:pPr>
        <w:tabs>
          <w:tab w:val="left" w:pos="1671"/>
        </w:tabs>
        <w:ind w:right="-216"/>
        <w:rPr>
          <w:rFonts w:ascii="Baskerville" w:hAnsi="Baskerville" w:cs="Baskerville"/>
          <w:b/>
        </w:rPr>
      </w:pPr>
    </w:p>
    <w:p w:rsidR="00ED344C" w:rsidRPr="00256652" w:rsidRDefault="0050014E" w:rsidP="00DF6358">
      <w:pPr>
        <w:tabs>
          <w:tab w:val="left" w:pos="1671"/>
        </w:tabs>
        <w:ind w:left="270" w:right="-216" w:hanging="270"/>
        <w:rPr>
          <w:rFonts w:ascii="Baskerville" w:hAnsi="Baskerville" w:cs="Baskerville"/>
          <w:b/>
        </w:rPr>
      </w:pPr>
      <w:r w:rsidRPr="00256652">
        <w:rPr>
          <w:rFonts w:ascii="Baskerville" w:hAnsi="Baskerville" w:cs="Baskerville"/>
          <w:b/>
        </w:rPr>
        <w:t xml:space="preserve">Children’s </w:t>
      </w:r>
      <w:r w:rsidR="00411271" w:rsidRPr="00256652">
        <w:rPr>
          <w:rFonts w:ascii="Baskerville" w:hAnsi="Baskerville" w:cs="Baskerville"/>
          <w:b/>
        </w:rPr>
        <w:t>Crisis Services</w:t>
      </w:r>
    </w:p>
    <w:p w:rsidR="00AD104A" w:rsidRPr="00256652" w:rsidRDefault="00E23C69" w:rsidP="00BB5024">
      <w:pPr>
        <w:pStyle w:val="ListParagraph"/>
        <w:numPr>
          <w:ilvl w:val="0"/>
          <w:numId w:val="48"/>
        </w:numPr>
        <w:tabs>
          <w:tab w:val="left" w:pos="1671"/>
        </w:tabs>
        <w:ind w:left="540" w:right="-216" w:hanging="540"/>
        <w:rPr>
          <w:rFonts w:ascii="Baskerville" w:hAnsi="Baskerville" w:cs="Baskerville"/>
        </w:rPr>
      </w:pPr>
      <w:r w:rsidRPr="00256652">
        <w:rPr>
          <w:rFonts w:ascii="Baskerville" w:hAnsi="Baskerville" w:cs="Baskerville"/>
        </w:rPr>
        <w:t>The Commonwealth’s</w:t>
      </w:r>
      <w:r w:rsidR="00411271" w:rsidRPr="00256652">
        <w:rPr>
          <w:rFonts w:ascii="Baskerville" w:hAnsi="Baskerville" w:cs="Baskerville"/>
        </w:rPr>
        <w:t xml:space="preserve"> s</w:t>
      </w:r>
      <w:r w:rsidR="0066086D" w:rsidRPr="00256652">
        <w:rPr>
          <w:rFonts w:ascii="Baskerville" w:hAnsi="Baskerville" w:cs="Baskerville"/>
        </w:rPr>
        <w:t xml:space="preserve">tatewide </w:t>
      </w:r>
      <w:r w:rsidR="009659BF" w:rsidRPr="00256652">
        <w:rPr>
          <w:rFonts w:ascii="Baskerville" w:hAnsi="Baskerville" w:cs="Baskerville"/>
        </w:rPr>
        <w:t xml:space="preserve">program </w:t>
      </w:r>
      <w:r w:rsidR="0066086D" w:rsidRPr="00256652">
        <w:rPr>
          <w:rFonts w:ascii="Baskerville" w:hAnsi="Baskerville" w:cs="Baskerville"/>
        </w:rPr>
        <w:t>standard</w:t>
      </w:r>
      <w:r w:rsidR="009659BF" w:rsidRPr="00256652">
        <w:rPr>
          <w:rFonts w:ascii="Baskerville" w:hAnsi="Baskerville" w:cs="Baskerville"/>
        </w:rPr>
        <w:t>s</w:t>
      </w:r>
      <w:r w:rsidR="0066086D" w:rsidRPr="00256652">
        <w:rPr>
          <w:rFonts w:ascii="Baskerville" w:hAnsi="Baskerville" w:cs="Baskerville"/>
        </w:rPr>
        <w:t xml:space="preserve"> for childre</w:t>
      </w:r>
      <w:r w:rsidR="009659BF" w:rsidRPr="00256652">
        <w:rPr>
          <w:rFonts w:ascii="Baskerville" w:hAnsi="Baskerville" w:cs="Baskerville"/>
        </w:rPr>
        <w:t xml:space="preserve">n’s crisis services </w:t>
      </w:r>
      <w:r w:rsidR="00ED344C" w:rsidRPr="00256652">
        <w:rPr>
          <w:rFonts w:ascii="Baskerville" w:hAnsi="Baskerville" w:cs="Baskerville"/>
        </w:rPr>
        <w:t>should include the</w:t>
      </w:r>
      <w:r w:rsidR="0060504E" w:rsidRPr="00256652">
        <w:rPr>
          <w:rFonts w:ascii="Baskerville" w:hAnsi="Baskerville" w:cs="Baskerville"/>
        </w:rPr>
        <w:t xml:space="preserve"> </w:t>
      </w:r>
      <w:r w:rsidR="00411271" w:rsidRPr="00256652">
        <w:rPr>
          <w:rFonts w:ascii="Baskerville" w:hAnsi="Baskerville" w:cs="Baskerville"/>
        </w:rPr>
        <w:t xml:space="preserve">requirements </w:t>
      </w:r>
      <w:r w:rsidR="00BF6FBC" w:rsidRPr="00256652">
        <w:rPr>
          <w:rFonts w:ascii="Baskerville" w:hAnsi="Baskerville" w:cs="Baskerville"/>
        </w:rPr>
        <w:t xml:space="preserve">for crisis stabilization settings, </w:t>
      </w:r>
      <w:r w:rsidR="00C861F6" w:rsidRPr="00256652">
        <w:rPr>
          <w:rFonts w:ascii="Baskerville" w:hAnsi="Baskerville" w:cs="Baskerville"/>
        </w:rPr>
        <w:t>follow-up and monitoring, staff develop</w:t>
      </w:r>
      <w:r w:rsidR="004B37A2" w:rsidRPr="00256652">
        <w:rPr>
          <w:rFonts w:ascii="Baskerville" w:hAnsi="Baskerville" w:cs="Baskerville"/>
        </w:rPr>
        <w:t>ment, and evaluation of service</w:t>
      </w:r>
      <w:r w:rsidR="00C861F6" w:rsidRPr="00256652">
        <w:rPr>
          <w:rFonts w:ascii="Baskerville" w:hAnsi="Baskerville" w:cs="Baskerville"/>
        </w:rPr>
        <w:t xml:space="preserve"> </w:t>
      </w:r>
      <w:r w:rsidRPr="00256652">
        <w:rPr>
          <w:rFonts w:ascii="Baskerville" w:hAnsi="Baskerville" w:cs="Baskerville"/>
        </w:rPr>
        <w:t>quality including user feedback</w:t>
      </w:r>
      <w:r w:rsidR="007A6291" w:rsidRPr="00256652">
        <w:rPr>
          <w:rFonts w:ascii="Baskerville" w:hAnsi="Baskerville" w:cs="Baskerville"/>
        </w:rPr>
        <w:t xml:space="preserve">. </w:t>
      </w:r>
    </w:p>
    <w:p w:rsidR="00C91D17" w:rsidRPr="00256652" w:rsidRDefault="00C91D17" w:rsidP="00C91D17">
      <w:pPr>
        <w:tabs>
          <w:tab w:val="left" w:pos="1671"/>
        </w:tabs>
        <w:ind w:left="360" w:right="-216"/>
        <w:rPr>
          <w:rFonts w:ascii="Baskerville" w:hAnsi="Baskerville" w:cs="Baskerville"/>
        </w:rPr>
      </w:pPr>
    </w:p>
    <w:p w:rsidR="00AD104A" w:rsidRPr="000A793A" w:rsidRDefault="00547490" w:rsidP="00BB5024">
      <w:pPr>
        <w:pStyle w:val="ListParagraph"/>
        <w:numPr>
          <w:ilvl w:val="0"/>
          <w:numId w:val="48"/>
        </w:numPr>
        <w:tabs>
          <w:tab w:val="left" w:pos="1671"/>
        </w:tabs>
        <w:ind w:left="540" w:right="-216" w:hanging="540"/>
        <w:rPr>
          <w:rFonts w:ascii="Baskerville" w:hAnsi="Baskerville" w:cs="Baskerville"/>
        </w:rPr>
      </w:pPr>
      <w:r>
        <w:rPr>
          <w:rFonts w:ascii="Baskerville" w:hAnsi="Baskerville" w:cs="Baskerville"/>
        </w:rPr>
        <w:t>The Commonwealth</w:t>
      </w:r>
      <w:r w:rsidR="002E456D">
        <w:rPr>
          <w:rFonts w:ascii="Baskerville" w:hAnsi="Baskerville" w:cs="Baskerville"/>
        </w:rPr>
        <w:t xml:space="preserve"> training</w:t>
      </w:r>
      <w:r w:rsidR="005C5003">
        <w:rPr>
          <w:rFonts w:ascii="Baskerville" w:hAnsi="Baskerville" w:cs="Baskerville"/>
        </w:rPr>
        <w:t xml:space="preserve"> require</w:t>
      </w:r>
      <w:r w:rsidR="002E456D">
        <w:rPr>
          <w:rFonts w:ascii="Baskerville" w:hAnsi="Baskerville" w:cs="Baskerville"/>
        </w:rPr>
        <w:t>ments should parallel those for adult crisis services, with modifications needed for children’s services</w:t>
      </w:r>
      <w:r w:rsidR="0050014E" w:rsidRPr="00256652">
        <w:rPr>
          <w:rFonts w:ascii="Baskerville" w:hAnsi="Baskerville" w:cs="Baskerville"/>
        </w:rPr>
        <w:t>. T</w:t>
      </w:r>
      <w:r w:rsidR="005C5003">
        <w:rPr>
          <w:rFonts w:ascii="Baskerville" w:hAnsi="Baskerville" w:cs="Baskerville"/>
        </w:rPr>
        <w:t>hese t</w:t>
      </w:r>
      <w:r w:rsidR="0050014E" w:rsidRPr="00256652">
        <w:rPr>
          <w:rFonts w:ascii="Baskerville" w:hAnsi="Baskerville" w:cs="Baskerville"/>
        </w:rPr>
        <w:t>rainings should include modules on person-centered planning, transition from law enforcement</w:t>
      </w:r>
      <w:r w:rsidR="000A793A">
        <w:rPr>
          <w:rFonts w:ascii="Baskerville" w:hAnsi="Baskerville" w:cs="Baskerville"/>
        </w:rPr>
        <w:t xml:space="preserve"> and in-patient facilities, </w:t>
      </w:r>
      <w:r w:rsidR="0050014E" w:rsidRPr="00256652">
        <w:rPr>
          <w:rFonts w:ascii="Baskerville" w:hAnsi="Baskerville" w:cs="Baskerville"/>
        </w:rPr>
        <w:t>cro</w:t>
      </w:r>
      <w:r w:rsidR="000A793A">
        <w:rPr>
          <w:rFonts w:ascii="Baskerville" w:hAnsi="Baskerville" w:cs="Baskerville"/>
        </w:rPr>
        <w:t>ss-system comprehensive planning, and</w:t>
      </w:r>
      <w:r w:rsidR="006C62C5" w:rsidRPr="000A793A">
        <w:rPr>
          <w:rFonts w:ascii="Baskerville" w:hAnsi="Baskerville" w:cs="Baskerville"/>
        </w:rPr>
        <w:t xml:space="preserve"> training for CSB Emergency Services or case management staff.</w:t>
      </w:r>
    </w:p>
    <w:p w:rsidR="00C91D17" w:rsidRPr="00256652" w:rsidRDefault="00C91D17" w:rsidP="00C91D17">
      <w:pPr>
        <w:tabs>
          <w:tab w:val="left" w:pos="1671"/>
        </w:tabs>
        <w:ind w:left="360" w:right="-216"/>
        <w:rPr>
          <w:rFonts w:ascii="Baskerville" w:hAnsi="Baskerville" w:cs="Baskerville"/>
        </w:rPr>
      </w:pPr>
    </w:p>
    <w:p w:rsidR="00ED344C" w:rsidRPr="00256652" w:rsidRDefault="002F0353" w:rsidP="00BB5024">
      <w:pPr>
        <w:pStyle w:val="ListParagraph"/>
        <w:numPr>
          <w:ilvl w:val="0"/>
          <w:numId w:val="48"/>
        </w:numPr>
        <w:tabs>
          <w:tab w:val="left" w:pos="1671"/>
        </w:tabs>
        <w:ind w:left="540" w:right="-216" w:hanging="540"/>
        <w:rPr>
          <w:rFonts w:ascii="Baskerville" w:hAnsi="Baskerville" w:cs="Baskerville"/>
        </w:rPr>
      </w:pPr>
      <w:r w:rsidRPr="00256652">
        <w:rPr>
          <w:rFonts w:ascii="Baskerville" w:hAnsi="Baskerville" w:cs="Baskerville"/>
        </w:rPr>
        <w:t xml:space="preserve">The </w:t>
      </w:r>
      <w:r w:rsidR="00BE1B96" w:rsidRPr="00256652">
        <w:rPr>
          <w:rFonts w:ascii="Baskerville" w:hAnsi="Baskerville" w:cs="Baskerville"/>
        </w:rPr>
        <w:t>Commonwealth should collect data and</w:t>
      </w:r>
      <w:r w:rsidR="005149D4" w:rsidRPr="00256652">
        <w:rPr>
          <w:rFonts w:ascii="Baskerville" w:hAnsi="Baskerville" w:cs="Baskerville"/>
        </w:rPr>
        <w:t xml:space="preserve"> information about the type</w:t>
      </w:r>
      <w:r w:rsidR="00FE4BAC">
        <w:rPr>
          <w:rFonts w:ascii="Baskerville" w:hAnsi="Baskerville" w:cs="Baskerville"/>
        </w:rPr>
        <w:t>s</w:t>
      </w:r>
      <w:r w:rsidR="005149D4" w:rsidRPr="00256652">
        <w:rPr>
          <w:rFonts w:ascii="Baskerville" w:hAnsi="Baskerville" w:cs="Baskerville"/>
        </w:rPr>
        <w:t xml:space="preserve"> of crisis se</w:t>
      </w:r>
      <w:r w:rsidR="00C10D3D">
        <w:rPr>
          <w:rFonts w:ascii="Baskerville" w:hAnsi="Baskerville" w:cs="Baskerville"/>
        </w:rPr>
        <w:t xml:space="preserve">rvices provided. This includes </w:t>
      </w:r>
      <w:r w:rsidR="00BE1B96" w:rsidRPr="00256652">
        <w:rPr>
          <w:rFonts w:ascii="Baskerville" w:hAnsi="Baskerville" w:cs="Baskerville"/>
        </w:rPr>
        <w:t>any use of out-of-</w:t>
      </w:r>
      <w:r w:rsidR="005149D4" w:rsidRPr="00256652">
        <w:rPr>
          <w:rFonts w:ascii="Baskerville" w:hAnsi="Baskerville" w:cs="Baskerville"/>
        </w:rPr>
        <w:t>home respite or inpatient hospitalization</w:t>
      </w:r>
      <w:r w:rsidR="00B043A5" w:rsidRPr="00256652">
        <w:rPr>
          <w:rFonts w:ascii="Baskerville" w:hAnsi="Baskerville" w:cs="Baskerville"/>
        </w:rPr>
        <w:t>,</w:t>
      </w:r>
      <w:r w:rsidR="00050200" w:rsidRPr="00256652">
        <w:rPr>
          <w:rFonts w:ascii="Baskerville" w:hAnsi="Baskerville" w:cs="Baskerville"/>
        </w:rPr>
        <w:t xml:space="preserve"> </w:t>
      </w:r>
      <w:r w:rsidR="005149D4" w:rsidRPr="00256652">
        <w:rPr>
          <w:rFonts w:ascii="Baskerville" w:hAnsi="Baskerville" w:cs="Baskerville"/>
        </w:rPr>
        <w:t>the length of time a child is admitted; and information about the child’s placement after an out-of-home crisis intervention.</w:t>
      </w:r>
    </w:p>
    <w:p w:rsidR="009D0FFF" w:rsidRPr="00256652" w:rsidRDefault="009D0FFF" w:rsidP="00DF6358">
      <w:pPr>
        <w:tabs>
          <w:tab w:val="left" w:pos="1671"/>
        </w:tabs>
        <w:ind w:left="270" w:right="-216" w:hanging="270"/>
        <w:rPr>
          <w:rFonts w:ascii="Baskerville" w:hAnsi="Baskerville" w:cs="Baskerville"/>
        </w:rPr>
      </w:pPr>
    </w:p>
    <w:p w:rsidR="009D0FFF" w:rsidRPr="00256652" w:rsidRDefault="0050014E" w:rsidP="00DF6358">
      <w:pPr>
        <w:spacing w:before="2" w:after="2"/>
        <w:ind w:left="270" w:hanging="270"/>
        <w:rPr>
          <w:rFonts w:ascii="Baskerville" w:hAnsi="Baskerville" w:cs="Baskerville"/>
        </w:rPr>
      </w:pPr>
      <w:r w:rsidRPr="00256652">
        <w:rPr>
          <w:rFonts w:ascii="Baskerville" w:hAnsi="Baskerville" w:cs="Baskerville"/>
          <w:b/>
          <w:bCs/>
          <w:iCs/>
        </w:rPr>
        <w:t>Adult Crisis Services</w:t>
      </w:r>
    </w:p>
    <w:p w:rsidR="00366BDF" w:rsidRDefault="009D0FFF" w:rsidP="00787689">
      <w:pPr>
        <w:pStyle w:val="ListParagraph"/>
        <w:numPr>
          <w:ilvl w:val="0"/>
          <w:numId w:val="48"/>
        </w:numPr>
        <w:spacing w:before="2" w:after="2"/>
        <w:ind w:left="540" w:hanging="540"/>
        <w:rPr>
          <w:rFonts w:ascii="Baskerville" w:hAnsi="Baskerville" w:cs="Baskerville"/>
        </w:rPr>
      </w:pPr>
      <w:r w:rsidRPr="00366BDF">
        <w:rPr>
          <w:rFonts w:ascii="Baskerville" w:hAnsi="Baskerville" w:cs="Baskerville"/>
        </w:rPr>
        <w:t>DBHDS should gather, analyze</w:t>
      </w:r>
      <w:r w:rsidR="00CA2044" w:rsidRPr="00366BDF">
        <w:rPr>
          <w:rFonts w:ascii="Baskerville" w:hAnsi="Baskerville" w:cs="Baskerville"/>
        </w:rPr>
        <w:t>,</w:t>
      </w:r>
      <w:r w:rsidRPr="00366BDF">
        <w:rPr>
          <w:rFonts w:ascii="Baskerville" w:hAnsi="Baskerville" w:cs="Baskerville"/>
        </w:rPr>
        <w:t xml:space="preserve"> and provide consistent information about the </w:t>
      </w:r>
      <w:r w:rsidR="006D667B" w:rsidRPr="00366BDF">
        <w:rPr>
          <w:rFonts w:ascii="Baskerville" w:hAnsi="Baskerville" w:cs="Baskerville"/>
        </w:rPr>
        <w:t>services p</w:t>
      </w:r>
      <w:r w:rsidR="00C13130" w:rsidRPr="00366BDF">
        <w:rPr>
          <w:rFonts w:ascii="Baskerville" w:hAnsi="Baskerville" w:cs="Baskerville"/>
        </w:rPr>
        <w:t xml:space="preserve">rovided through REACH. This information should include </w:t>
      </w:r>
      <w:r w:rsidRPr="00366BDF">
        <w:rPr>
          <w:rFonts w:ascii="Baskerville" w:hAnsi="Baskerville" w:cs="Baskerville"/>
        </w:rPr>
        <w:t>the number of individuals with DD</w:t>
      </w:r>
      <w:r w:rsidR="00F12120" w:rsidRPr="00366BDF">
        <w:rPr>
          <w:rFonts w:ascii="Baskerville" w:hAnsi="Baskerville" w:cs="Baskerville"/>
        </w:rPr>
        <w:t xml:space="preserve">, other than ID, </w:t>
      </w:r>
      <w:r w:rsidR="00366BDF" w:rsidRPr="00366BDF">
        <w:rPr>
          <w:rFonts w:ascii="Baskerville" w:hAnsi="Baskerville" w:cs="Baskerville"/>
        </w:rPr>
        <w:t xml:space="preserve">who call or are </w:t>
      </w:r>
      <w:r w:rsidRPr="00366BDF">
        <w:rPr>
          <w:rFonts w:ascii="Baskerville" w:hAnsi="Baskerville" w:cs="Baskerville"/>
        </w:rPr>
        <w:t>referred</w:t>
      </w:r>
      <w:r w:rsidR="003659FE" w:rsidRPr="00366BDF">
        <w:rPr>
          <w:rFonts w:ascii="Baskerville" w:hAnsi="Baskerville" w:cs="Baskerville"/>
        </w:rPr>
        <w:t xml:space="preserve"> to REACH</w:t>
      </w:r>
      <w:r w:rsidRPr="00366BDF">
        <w:rPr>
          <w:rFonts w:ascii="Baskerville" w:hAnsi="Baskerville" w:cs="Baskerville"/>
        </w:rPr>
        <w:t xml:space="preserve"> and </w:t>
      </w:r>
      <w:r w:rsidR="00C34869">
        <w:rPr>
          <w:rFonts w:ascii="Baskerville" w:hAnsi="Baskerville" w:cs="Baskerville"/>
        </w:rPr>
        <w:t>the number REACH served.</w:t>
      </w:r>
      <w:r w:rsidR="002568AF" w:rsidRPr="00366BDF">
        <w:rPr>
          <w:rFonts w:ascii="Baskerville" w:hAnsi="Baskerville" w:cs="Baskerville"/>
        </w:rPr>
        <w:t xml:space="preserve"> </w:t>
      </w:r>
      <w:r w:rsidR="00484AC9" w:rsidRPr="00366BDF">
        <w:rPr>
          <w:rFonts w:ascii="Baskerville" w:hAnsi="Baskerville" w:cs="Baskerville"/>
        </w:rPr>
        <w:t xml:space="preserve">This should </w:t>
      </w:r>
      <w:r w:rsidR="00F22311">
        <w:rPr>
          <w:rFonts w:ascii="Baskerville" w:hAnsi="Baskerville" w:cs="Baskerville"/>
        </w:rPr>
        <w:t xml:space="preserve">also </w:t>
      </w:r>
      <w:r w:rsidR="00484AC9" w:rsidRPr="00366BDF">
        <w:rPr>
          <w:rFonts w:ascii="Baskerville" w:hAnsi="Baskerville" w:cs="Baskerville"/>
        </w:rPr>
        <w:t xml:space="preserve">include </w:t>
      </w:r>
      <w:r w:rsidR="004F2E35">
        <w:rPr>
          <w:rFonts w:ascii="Baskerville" w:hAnsi="Baskerville" w:cs="Baskerville"/>
        </w:rPr>
        <w:t xml:space="preserve">information about </w:t>
      </w:r>
      <w:r w:rsidR="00E2343F" w:rsidRPr="00366BDF">
        <w:rPr>
          <w:rFonts w:ascii="Baskerville" w:hAnsi="Baskerville" w:cs="Baskerville"/>
        </w:rPr>
        <w:t xml:space="preserve">all </w:t>
      </w:r>
      <w:r w:rsidRPr="00366BDF">
        <w:rPr>
          <w:rFonts w:ascii="Baskerville" w:hAnsi="Baskerville" w:cs="Baskerville"/>
        </w:rPr>
        <w:t>individuals who experience psychiatric hospita</w:t>
      </w:r>
      <w:r w:rsidR="00077B63" w:rsidRPr="00366BDF">
        <w:rPr>
          <w:rFonts w:ascii="Baskerville" w:hAnsi="Baskerville" w:cs="Baskerville"/>
        </w:rPr>
        <w:t>lizations</w:t>
      </w:r>
      <w:r w:rsidR="00FB65F7">
        <w:rPr>
          <w:rFonts w:ascii="Baskerville" w:hAnsi="Baskerville" w:cs="Baskerville"/>
        </w:rPr>
        <w:t xml:space="preserve"> or incarceration</w:t>
      </w:r>
      <w:r w:rsidR="004B1B33">
        <w:rPr>
          <w:rFonts w:ascii="Baskerville" w:hAnsi="Baskerville" w:cs="Baskerville"/>
        </w:rPr>
        <w:t xml:space="preserve">. </w:t>
      </w:r>
      <w:r w:rsidR="004539FA" w:rsidRPr="00366BDF">
        <w:rPr>
          <w:rFonts w:ascii="Baskerville" w:hAnsi="Baskerville" w:cs="Baskerville"/>
        </w:rPr>
        <w:t xml:space="preserve">The information gathered should include </w:t>
      </w:r>
      <w:r w:rsidR="00B43AC8">
        <w:rPr>
          <w:rFonts w:ascii="Baskerville" w:hAnsi="Baskerville" w:cs="Baskerville"/>
        </w:rPr>
        <w:t xml:space="preserve">the individual’s name, </w:t>
      </w:r>
      <w:r w:rsidR="000F720C" w:rsidRPr="00366BDF">
        <w:rPr>
          <w:rFonts w:ascii="Baskerville" w:hAnsi="Baskerville" w:cs="Baskerville"/>
        </w:rPr>
        <w:t>whether REACH staff was</w:t>
      </w:r>
      <w:r w:rsidR="00077B63" w:rsidRPr="00366BDF">
        <w:rPr>
          <w:rFonts w:ascii="Baskerville" w:hAnsi="Baskerville" w:cs="Baskerville"/>
        </w:rPr>
        <w:t xml:space="preserve"> involved</w:t>
      </w:r>
      <w:r w:rsidR="00484AC9" w:rsidRPr="00366BDF">
        <w:rPr>
          <w:rFonts w:ascii="Baskerville" w:hAnsi="Baskerville" w:cs="Baskerville"/>
        </w:rPr>
        <w:t>,</w:t>
      </w:r>
      <w:r w:rsidRPr="00366BDF">
        <w:rPr>
          <w:rFonts w:ascii="Baskerville" w:hAnsi="Baskerville" w:cs="Baskerville"/>
        </w:rPr>
        <w:t xml:space="preserve"> the duration of hospitalization</w:t>
      </w:r>
      <w:r w:rsidR="006D1875" w:rsidRPr="00366BDF">
        <w:rPr>
          <w:rFonts w:ascii="Baskerville" w:hAnsi="Baskerville" w:cs="Baskerville"/>
        </w:rPr>
        <w:t xml:space="preserve"> or </w:t>
      </w:r>
      <w:r w:rsidR="000B119E" w:rsidRPr="00366BDF">
        <w:rPr>
          <w:rFonts w:ascii="Baskerville" w:hAnsi="Baskerville" w:cs="Baskerville"/>
        </w:rPr>
        <w:t>incarceration</w:t>
      </w:r>
      <w:r w:rsidR="00F5232D" w:rsidRPr="00366BDF">
        <w:rPr>
          <w:rFonts w:ascii="Baskerville" w:hAnsi="Baskerville" w:cs="Baskerville"/>
        </w:rPr>
        <w:t xml:space="preserve">, </w:t>
      </w:r>
      <w:r w:rsidR="00B43AC8">
        <w:rPr>
          <w:rFonts w:ascii="Baskerville" w:hAnsi="Baskerville" w:cs="Baskerville"/>
        </w:rPr>
        <w:t>and whether the individual</w:t>
      </w:r>
      <w:r w:rsidR="00E2343F" w:rsidRPr="00366BDF">
        <w:rPr>
          <w:rFonts w:ascii="Baskerville" w:hAnsi="Baskerville" w:cs="Baskerville"/>
        </w:rPr>
        <w:t xml:space="preserve"> </w:t>
      </w:r>
      <w:r w:rsidRPr="00366BDF">
        <w:rPr>
          <w:rFonts w:ascii="Baskerville" w:hAnsi="Baskerville" w:cs="Baskerville"/>
        </w:rPr>
        <w:t>exper</w:t>
      </w:r>
      <w:r w:rsidR="000B119E" w:rsidRPr="00366BDF">
        <w:rPr>
          <w:rFonts w:ascii="Baskerville" w:hAnsi="Baskerville" w:cs="Baskerville"/>
        </w:rPr>
        <w:t>ience</w:t>
      </w:r>
      <w:r w:rsidR="00E2343F" w:rsidRPr="00366BDF">
        <w:rPr>
          <w:rFonts w:ascii="Baskerville" w:hAnsi="Baskerville" w:cs="Baskerville"/>
        </w:rPr>
        <w:t>d</w:t>
      </w:r>
      <w:r w:rsidR="000B119E" w:rsidRPr="00366BDF">
        <w:rPr>
          <w:rFonts w:ascii="Baskerville" w:hAnsi="Baskerville" w:cs="Baskerville"/>
        </w:rPr>
        <w:t xml:space="preserve"> repeated hospitalizations or incarcerations</w:t>
      </w:r>
      <w:r w:rsidR="000A74F0" w:rsidRPr="00366BDF">
        <w:rPr>
          <w:rFonts w:ascii="Baskerville" w:hAnsi="Baskerville" w:cs="Baskerville"/>
        </w:rPr>
        <w:t>.</w:t>
      </w:r>
    </w:p>
    <w:p w:rsidR="00366BDF" w:rsidRPr="00366BDF" w:rsidRDefault="00366BDF" w:rsidP="00787689">
      <w:pPr>
        <w:spacing w:before="2" w:after="2"/>
        <w:ind w:left="540" w:hanging="540"/>
        <w:rPr>
          <w:rFonts w:ascii="Baskerville" w:hAnsi="Baskerville" w:cs="Baskerville"/>
        </w:rPr>
      </w:pPr>
    </w:p>
    <w:p w:rsidR="00366BDF" w:rsidRPr="00787689" w:rsidRDefault="009D0FFF" w:rsidP="00787689">
      <w:pPr>
        <w:pStyle w:val="ListParagraph"/>
        <w:numPr>
          <w:ilvl w:val="0"/>
          <w:numId w:val="48"/>
        </w:numPr>
        <w:spacing w:before="2" w:after="2"/>
        <w:ind w:left="540" w:hanging="540"/>
        <w:rPr>
          <w:rFonts w:ascii="Baskerville" w:hAnsi="Baskerville" w:cs="Baskerville"/>
        </w:rPr>
      </w:pPr>
      <w:r w:rsidRPr="00366BDF">
        <w:rPr>
          <w:rFonts w:ascii="Baskerville" w:hAnsi="Baskerville" w:cs="Baskerville"/>
        </w:rPr>
        <w:t xml:space="preserve"> </w:t>
      </w:r>
      <w:r w:rsidR="00200198">
        <w:rPr>
          <w:rFonts w:ascii="Baskerville" w:hAnsi="Baskerville" w:cs="Baskerville"/>
        </w:rPr>
        <w:t xml:space="preserve">The Commonwealth should provide support, including training and technical assistance, to community providers about how to identify individuals who are behaviorally </w:t>
      </w:r>
      <w:r w:rsidR="008113BD">
        <w:rPr>
          <w:rFonts w:ascii="Baskerville" w:hAnsi="Baskerville" w:cs="Baskerville"/>
        </w:rPr>
        <w:t xml:space="preserve">or psychiatrically </w:t>
      </w:r>
      <w:r w:rsidR="00200198">
        <w:rPr>
          <w:rFonts w:ascii="Baskerville" w:hAnsi="Baskerville" w:cs="Baskerville"/>
        </w:rPr>
        <w:t xml:space="preserve">at-risk, how to proactively plan </w:t>
      </w:r>
      <w:r w:rsidR="008113BD">
        <w:rPr>
          <w:rFonts w:ascii="Baskerville" w:hAnsi="Baskerville" w:cs="Baskerville"/>
        </w:rPr>
        <w:t>to avoid future crises, and how to de-escalate crises that do occur without removing them from their current placements to a hospital, psychiatric facility, or jail.</w:t>
      </w:r>
    </w:p>
    <w:p w:rsidR="009B099F" w:rsidRPr="00256652" w:rsidRDefault="009B099F" w:rsidP="00DF6358">
      <w:pPr>
        <w:spacing w:before="2" w:after="2"/>
        <w:ind w:left="270" w:hanging="270"/>
        <w:rPr>
          <w:rFonts w:ascii="Baskerville" w:hAnsi="Baskerville" w:cs="Baskerville"/>
        </w:rPr>
      </w:pPr>
    </w:p>
    <w:p w:rsidR="009D0FFF" w:rsidRPr="00256652" w:rsidRDefault="00787689" w:rsidP="00DF6358">
      <w:pPr>
        <w:spacing w:before="2" w:after="2"/>
        <w:ind w:left="540" w:hanging="540"/>
        <w:rPr>
          <w:rFonts w:ascii="Baskerville" w:hAnsi="Baskerville" w:cs="Baskerville"/>
        </w:rPr>
      </w:pPr>
      <w:r>
        <w:rPr>
          <w:rFonts w:ascii="Baskerville" w:hAnsi="Baskerville" w:cs="Baskerville"/>
        </w:rPr>
        <w:t>6</w:t>
      </w:r>
      <w:r w:rsidR="005946D0" w:rsidRPr="00256652">
        <w:rPr>
          <w:rFonts w:ascii="Baskerville" w:hAnsi="Baskerville" w:cs="Baskerville"/>
        </w:rPr>
        <w:t xml:space="preserve">.  </w:t>
      </w:r>
      <w:r w:rsidR="00F5596E" w:rsidRPr="00256652">
        <w:rPr>
          <w:rFonts w:ascii="Baskerville" w:hAnsi="Baskerville" w:cs="Baskerville"/>
        </w:rPr>
        <w:t xml:space="preserve"> </w:t>
      </w:r>
      <w:r w:rsidR="000A5C8A" w:rsidRPr="00256652">
        <w:rPr>
          <w:rFonts w:ascii="Baskerville" w:hAnsi="Baskerville" w:cs="Baskerville"/>
        </w:rPr>
        <w:t xml:space="preserve">   </w:t>
      </w:r>
      <w:r w:rsidR="009D0FFF" w:rsidRPr="00256652">
        <w:rPr>
          <w:rFonts w:ascii="Baskerville" w:hAnsi="Baskerville" w:cs="Baskerville"/>
        </w:rPr>
        <w:t>DBHDS should establish training expectations for the REACH programs to train</w:t>
      </w:r>
      <w:r w:rsidR="00F5232D">
        <w:rPr>
          <w:rFonts w:ascii="Baskerville" w:hAnsi="Baskerville" w:cs="Baskerville"/>
        </w:rPr>
        <w:t xml:space="preserve"> </w:t>
      </w:r>
      <w:r w:rsidR="004D553F">
        <w:rPr>
          <w:rFonts w:ascii="Baskerville" w:hAnsi="Baskerville" w:cs="Baskerville"/>
        </w:rPr>
        <w:t xml:space="preserve">CSB </w:t>
      </w:r>
      <w:r w:rsidR="00F5232D">
        <w:rPr>
          <w:rFonts w:ascii="Baskerville" w:hAnsi="Baskerville" w:cs="Baskerville"/>
        </w:rPr>
        <w:t>E</w:t>
      </w:r>
      <w:r w:rsidR="0005670C">
        <w:rPr>
          <w:rFonts w:ascii="Baskerville" w:hAnsi="Baskerville" w:cs="Baskerville"/>
        </w:rPr>
        <w:t xml:space="preserve">mergency </w:t>
      </w:r>
      <w:r w:rsidR="00F5232D">
        <w:rPr>
          <w:rFonts w:ascii="Baskerville" w:hAnsi="Baskerville" w:cs="Baskerville"/>
        </w:rPr>
        <w:t>S</w:t>
      </w:r>
      <w:r w:rsidR="0005670C">
        <w:rPr>
          <w:rFonts w:ascii="Baskerville" w:hAnsi="Baskerville" w:cs="Baskerville"/>
        </w:rPr>
        <w:t>ervices</w:t>
      </w:r>
      <w:r w:rsidR="00F5232D">
        <w:rPr>
          <w:rFonts w:ascii="Baskerville" w:hAnsi="Baskerville" w:cs="Baskerville"/>
        </w:rPr>
        <w:t xml:space="preserve"> staff. It should also </w:t>
      </w:r>
      <w:r w:rsidR="000B119E" w:rsidRPr="00256652">
        <w:rPr>
          <w:rFonts w:ascii="Baskerville" w:hAnsi="Baskerville" w:cs="Baskerville"/>
        </w:rPr>
        <w:t>determine how to e</w:t>
      </w:r>
      <w:r w:rsidR="009D0FFF" w:rsidRPr="00256652">
        <w:rPr>
          <w:rFonts w:ascii="Baskerville" w:hAnsi="Baskerville" w:cs="Baskerville"/>
        </w:rPr>
        <w:t xml:space="preserve">nsure </w:t>
      </w:r>
      <w:r w:rsidR="000B119E" w:rsidRPr="00256652">
        <w:rPr>
          <w:rFonts w:ascii="Baskerville" w:hAnsi="Baskerville" w:cs="Baskerville"/>
        </w:rPr>
        <w:t xml:space="preserve">that </w:t>
      </w:r>
      <w:r w:rsidR="009D0FFF" w:rsidRPr="00256652">
        <w:rPr>
          <w:rFonts w:ascii="Baskerville" w:hAnsi="Baskerville" w:cs="Baskerville"/>
        </w:rPr>
        <w:t>existing ID and</w:t>
      </w:r>
      <w:r w:rsidR="00860A7F">
        <w:rPr>
          <w:rFonts w:ascii="Baskerville" w:hAnsi="Baskerville" w:cs="Baskerville"/>
        </w:rPr>
        <w:t xml:space="preserve"> DD Case Managers are trained. Additionally, it should establish expectations for </w:t>
      </w:r>
      <w:r w:rsidR="009D0FFF" w:rsidRPr="00256652">
        <w:rPr>
          <w:rFonts w:ascii="Baskerville" w:hAnsi="Baskerville" w:cs="Baskerville"/>
        </w:rPr>
        <w:t xml:space="preserve">ongoing outreach to law enforcement personnel in each REACH area to expand upon the training module and </w:t>
      </w:r>
      <w:r w:rsidR="0091441C">
        <w:rPr>
          <w:rFonts w:ascii="Baskerville" w:hAnsi="Baskerville" w:cs="Baskerville"/>
        </w:rPr>
        <w:t xml:space="preserve">to </w:t>
      </w:r>
      <w:r w:rsidR="00E2343F">
        <w:rPr>
          <w:rFonts w:ascii="Baskerville" w:hAnsi="Baskerville" w:cs="Baskerville"/>
        </w:rPr>
        <w:t>develop effective working</w:t>
      </w:r>
      <w:r w:rsidR="0091441C">
        <w:rPr>
          <w:rFonts w:ascii="Baskerville" w:hAnsi="Baskerville" w:cs="Baskerville"/>
        </w:rPr>
        <w:t xml:space="preserve"> </w:t>
      </w:r>
      <w:r w:rsidR="009D0FFF" w:rsidRPr="00256652">
        <w:rPr>
          <w:rFonts w:ascii="Baskerville" w:hAnsi="Baskerville" w:cs="Baskerville"/>
        </w:rPr>
        <w:t xml:space="preserve">relationships. </w:t>
      </w:r>
    </w:p>
    <w:p w:rsidR="0027087E" w:rsidRDefault="0027087E" w:rsidP="00DF6358">
      <w:pPr>
        <w:spacing w:before="2" w:after="2"/>
        <w:ind w:left="270" w:hanging="270"/>
        <w:rPr>
          <w:rFonts w:ascii="Baskerville" w:hAnsi="Baskerville" w:cs="Baskerville"/>
        </w:rPr>
      </w:pPr>
    </w:p>
    <w:p w:rsidR="00547490" w:rsidRDefault="00547490" w:rsidP="00DF6358">
      <w:pPr>
        <w:spacing w:before="2" w:after="2"/>
        <w:ind w:left="270" w:hanging="270"/>
        <w:rPr>
          <w:rFonts w:ascii="Baskerville" w:hAnsi="Baskerville" w:cs="Baskerville"/>
        </w:rPr>
      </w:pPr>
    </w:p>
    <w:p w:rsidR="00547490" w:rsidRDefault="00547490" w:rsidP="00DF6358">
      <w:pPr>
        <w:spacing w:before="2" w:after="2"/>
        <w:ind w:left="270" w:hanging="270"/>
        <w:rPr>
          <w:rFonts w:ascii="Baskerville" w:hAnsi="Baskerville" w:cs="Baskerville"/>
        </w:rPr>
      </w:pPr>
    </w:p>
    <w:p w:rsidR="00547490" w:rsidRPr="00256652" w:rsidRDefault="00547490" w:rsidP="00DF6358">
      <w:pPr>
        <w:spacing w:before="2" w:after="2"/>
        <w:ind w:left="270" w:hanging="270"/>
        <w:rPr>
          <w:rFonts w:ascii="Baskerville" w:hAnsi="Baskerville" w:cs="Baskerville"/>
        </w:rPr>
      </w:pPr>
    </w:p>
    <w:p w:rsidR="00787689" w:rsidRDefault="0027087E" w:rsidP="00787689">
      <w:pPr>
        <w:spacing w:before="2" w:after="2"/>
        <w:ind w:left="270" w:hanging="270"/>
        <w:rPr>
          <w:rFonts w:ascii="Baskerville" w:hAnsi="Baskerville" w:cs="Baskerville"/>
        </w:rPr>
      </w:pPr>
      <w:r w:rsidRPr="00256652">
        <w:rPr>
          <w:rFonts w:ascii="Baskerville" w:hAnsi="Baskerville" w:cs="Baskerville"/>
          <w:b/>
        </w:rPr>
        <w:t>Integrated Day Activities</w:t>
      </w:r>
      <w:r w:rsidRPr="00256652">
        <w:rPr>
          <w:rFonts w:ascii="Baskerville" w:hAnsi="Baskerville" w:cs="Baskerville"/>
        </w:rPr>
        <w:t xml:space="preserve">  </w:t>
      </w:r>
    </w:p>
    <w:p w:rsidR="0027087E" w:rsidRPr="00787689" w:rsidRDefault="004A6F43" w:rsidP="004A6F43">
      <w:pPr>
        <w:spacing w:before="2" w:after="2"/>
        <w:ind w:left="540" w:hanging="540"/>
        <w:rPr>
          <w:rFonts w:ascii="Baskerville" w:hAnsi="Baskerville" w:cs="Baskerville"/>
        </w:rPr>
      </w:pPr>
      <w:r>
        <w:rPr>
          <w:rFonts w:ascii="Baskerville" w:hAnsi="Baskerville" w:cs="Baskerville"/>
        </w:rPr>
        <w:t>7.</w:t>
      </w:r>
      <w:r>
        <w:rPr>
          <w:rFonts w:ascii="Baskerville" w:hAnsi="Baskerville" w:cs="Baskerville"/>
        </w:rPr>
        <w:tab/>
      </w:r>
      <w:r w:rsidR="00C720CE">
        <w:rPr>
          <w:rFonts w:ascii="Baskerville" w:hAnsi="Baskerville" w:cs="Baskerville"/>
        </w:rPr>
        <w:t>The DBHDS should develop an implementation</w:t>
      </w:r>
      <w:r w:rsidR="0027087E" w:rsidRPr="00787689">
        <w:rPr>
          <w:rFonts w:ascii="Baskerville" w:hAnsi="Baskerville" w:cs="Baskerville"/>
        </w:rPr>
        <w:t xml:space="preserve"> plan </w:t>
      </w:r>
      <w:r w:rsidR="0091441C" w:rsidRPr="00787689">
        <w:rPr>
          <w:rFonts w:ascii="Baskerville" w:hAnsi="Baskerville" w:cs="Baskerville"/>
        </w:rPr>
        <w:t xml:space="preserve">to </w:t>
      </w:r>
      <w:r w:rsidR="0027087E" w:rsidRPr="00787689">
        <w:rPr>
          <w:rFonts w:ascii="Baskerville" w:hAnsi="Baskerville" w:cs="Baskerville"/>
        </w:rPr>
        <w:t>provide integrated day activit</w:t>
      </w:r>
      <w:r w:rsidR="00AE2E97">
        <w:rPr>
          <w:rFonts w:ascii="Baskerville" w:hAnsi="Baskerville" w:cs="Baskerville"/>
        </w:rPr>
        <w:t xml:space="preserve">ies that </w:t>
      </w:r>
      <w:r w:rsidR="0027087E" w:rsidRPr="00787689">
        <w:rPr>
          <w:rFonts w:ascii="Baskerville" w:hAnsi="Baskerville" w:cs="Baskerville"/>
        </w:rPr>
        <w:t>include</w:t>
      </w:r>
      <w:r w:rsidR="00AE2E97">
        <w:rPr>
          <w:rFonts w:ascii="Baskerville" w:hAnsi="Baskerville" w:cs="Baskerville"/>
        </w:rPr>
        <w:t>s</w:t>
      </w:r>
      <w:r w:rsidR="0027087E" w:rsidRPr="00787689">
        <w:rPr>
          <w:rFonts w:ascii="Baskerville" w:hAnsi="Baskerville" w:cs="Baskerville"/>
        </w:rPr>
        <w:t xml:space="preserve"> the timelines and measurable milestones </w:t>
      </w:r>
      <w:r w:rsidR="0091441C" w:rsidRPr="00787689">
        <w:rPr>
          <w:rFonts w:ascii="Baskerville" w:hAnsi="Baskerville" w:cs="Baskerville"/>
        </w:rPr>
        <w:t xml:space="preserve">for each set of planned actions. </w:t>
      </w:r>
      <w:r w:rsidR="009623A0" w:rsidRPr="00787689">
        <w:rPr>
          <w:rFonts w:ascii="Baskerville" w:hAnsi="Baskerville" w:cs="Baskerville"/>
        </w:rPr>
        <w:t>The</w:t>
      </w:r>
      <w:r w:rsidR="00E9370F" w:rsidRPr="00787689">
        <w:rPr>
          <w:rFonts w:ascii="Baskerville" w:hAnsi="Baskerville" w:cs="Baskerville"/>
        </w:rPr>
        <w:t xml:space="preserve"> Commonwealth should include </w:t>
      </w:r>
      <w:r w:rsidR="001856F6">
        <w:rPr>
          <w:rFonts w:ascii="Baskerville" w:hAnsi="Baskerville" w:cs="Baskerville"/>
        </w:rPr>
        <w:t xml:space="preserve">details </w:t>
      </w:r>
      <w:r w:rsidR="00AE2E97">
        <w:rPr>
          <w:rFonts w:ascii="Baskerville" w:hAnsi="Baskerville" w:cs="Baskerville"/>
        </w:rPr>
        <w:t xml:space="preserve">of </w:t>
      </w:r>
      <w:r w:rsidR="008443B0" w:rsidRPr="00787689">
        <w:rPr>
          <w:rFonts w:ascii="Baskerville" w:hAnsi="Baskerville" w:cs="Baskerville"/>
        </w:rPr>
        <w:t>how it will</w:t>
      </w:r>
      <w:r w:rsidR="00D32D51" w:rsidRPr="00787689">
        <w:rPr>
          <w:rFonts w:ascii="Baskerville" w:hAnsi="Baskerville" w:cs="Baskerville"/>
        </w:rPr>
        <w:t xml:space="preserve"> prepare </w:t>
      </w:r>
      <w:r w:rsidR="0027087E" w:rsidRPr="00787689">
        <w:rPr>
          <w:rFonts w:ascii="Baskerville" w:hAnsi="Baskerville" w:cs="Baskerville"/>
        </w:rPr>
        <w:t>the current p</w:t>
      </w:r>
      <w:r w:rsidR="0076215E" w:rsidRPr="00787689">
        <w:rPr>
          <w:rFonts w:ascii="Baskerville" w:hAnsi="Baskerville" w:cs="Baskerville"/>
        </w:rPr>
        <w:t xml:space="preserve">rovider network </w:t>
      </w:r>
      <w:r w:rsidR="008443B0" w:rsidRPr="00787689">
        <w:rPr>
          <w:rFonts w:ascii="Baskerville" w:hAnsi="Baskerville" w:cs="Baskerville"/>
        </w:rPr>
        <w:t xml:space="preserve">for </w:t>
      </w:r>
      <w:r w:rsidR="0027087E" w:rsidRPr="00787689">
        <w:rPr>
          <w:rFonts w:ascii="Baskerville" w:hAnsi="Baskerville" w:cs="Baskerville"/>
        </w:rPr>
        <w:t xml:space="preserve">very substantial </w:t>
      </w:r>
      <w:r w:rsidR="008443B0" w:rsidRPr="00787689">
        <w:rPr>
          <w:rFonts w:ascii="Baskerville" w:hAnsi="Baskerville" w:cs="Baskerville"/>
        </w:rPr>
        <w:t>needed changes</w:t>
      </w:r>
      <w:r w:rsidR="0027087E" w:rsidRPr="00787689">
        <w:rPr>
          <w:rFonts w:ascii="Baskerville" w:hAnsi="Baskerville" w:cs="Baskerville"/>
        </w:rPr>
        <w:t xml:space="preserve">. </w:t>
      </w:r>
    </w:p>
    <w:p w:rsidR="00AF1218" w:rsidRPr="00256652" w:rsidRDefault="00AF1218" w:rsidP="00DF6358">
      <w:pPr>
        <w:spacing w:before="2" w:after="2"/>
        <w:ind w:left="270" w:hanging="270"/>
        <w:rPr>
          <w:rFonts w:ascii="Baskerville" w:hAnsi="Baskerville" w:cs="Baskerville"/>
        </w:rPr>
      </w:pPr>
    </w:p>
    <w:p w:rsidR="00FD6C6F" w:rsidRPr="00256652" w:rsidRDefault="00FD6C6F" w:rsidP="00DF6358">
      <w:pPr>
        <w:spacing w:before="2" w:after="2"/>
        <w:ind w:left="270" w:hanging="270"/>
        <w:rPr>
          <w:rFonts w:ascii="Baskerville" w:hAnsi="Baskerville" w:cs="Baskerville"/>
          <w:b/>
        </w:rPr>
      </w:pPr>
      <w:r w:rsidRPr="00256652">
        <w:rPr>
          <w:rFonts w:ascii="Baskerville" w:hAnsi="Baskerville" w:cs="Baskerville"/>
          <w:b/>
        </w:rPr>
        <w:t>Supported Employment</w:t>
      </w:r>
    </w:p>
    <w:p w:rsidR="00423F0E" w:rsidRPr="00256652" w:rsidRDefault="004A6F43" w:rsidP="00DF6358">
      <w:pPr>
        <w:spacing w:before="2" w:after="2"/>
        <w:ind w:left="540" w:hanging="540"/>
        <w:rPr>
          <w:rFonts w:ascii="Baskerville" w:hAnsi="Baskerville" w:cs="Baskerville"/>
        </w:rPr>
      </w:pPr>
      <w:r>
        <w:rPr>
          <w:rFonts w:ascii="Baskerville" w:hAnsi="Baskerville" w:cs="Baskerville"/>
        </w:rPr>
        <w:t>8</w:t>
      </w:r>
      <w:r w:rsidR="007A6A06" w:rsidRPr="00256652">
        <w:rPr>
          <w:rFonts w:ascii="Baskerville" w:hAnsi="Baskerville" w:cs="Baskerville"/>
        </w:rPr>
        <w:t xml:space="preserve">. </w:t>
      </w:r>
      <w:r w:rsidR="000A5C8A" w:rsidRPr="00256652">
        <w:rPr>
          <w:rFonts w:ascii="Baskerville" w:hAnsi="Baskerville" w:cs="Baskerville"/>
        </w:rPr>
        <w:t xml:space="preserve">    </w:t>
      </w:r>
      <w:r w:rsidR="006A2E23" w:rsidRPr="00256652">
        <w:rPr>
          <w:rFonts w:ascii="Baskerville" w:hAnsi="Baskerville" w:cs="Baskerville"/>
        </w:rPr>
        <w:t xml:space="preserve">The Commonwealth should </w:t>
      </w:r>
      <w:r w:rsidR="00423F0E" w:rsidRPr="00256652">
        <w:rPr>
          <w:rFonts w:ascii="Baskerville" w:hAnsi="Baskerville" w:cs="Baskerville"/>
        </w:rPr>
        <w:t>create targets for subgroups of the population</w:t>
      </w:r>
      <w:r w:rsidR="00C3304B" w:rsidRPr="00256652">
        <w:rPr>
          <w:rFonts w:ascii="Baskerville" w:hAnsi="Baskerville" w:cs="Baskerville"/>
        </w:rPr>
        <w:t xml:space="preserve">. </w:t>
      </w:r>
      <w:r w:rsidR="00C5284F" w:rsidRPr="00256652">
        <w:rPr>
          <w:rFonts w:ascii="Baskerville" w:hAnsi="Baskerville" w:cs="Baskerville"/>
        </w:rPr>
        <w:t>These subgroups should include</w:t>
      </w:r>
      <w:r w:rsidR="002C7128" w:rsidRPr="00256652">
        <w:rPr>
          <w:rFonts w:ascii="Baskerville" w:hAnsi="Baskerville" w:cs="Baskerville"/>
        </w:rPr>
        <w:t xml:space="preserve"> individuals </w:t>
      </w:r>
      <w:r w:rsidR="00C5284F" w:rsidRPr="00256652">
        <w:rPr>
          <w:rFonts w:ascii="Baskerville" w:hAnsi="Baskerville" w:cs="Baskerville"/>
        </w:rPr>
        <w:t xml:space="preserve">who are </w:t>
      </w:r>
      <w:r w:rsidR="002C7128" w:rsidRPr="00256652">
        <w:rPr>
          <w:rFonts w:ascii="Baskerville" w:hAnsi="Baskerville" w:cs="Baskerville"/>
        </w:rPr>
        <w:t xml:space="preserve">currently in group supported employment and pre-vocational services, </w:t>
      </w:r>
      <w:r w:rsidR="00A87AF2">
        <w:rPr>
          <w:rFonts w:ascii="Baskerville" w:hAnsi="Baskerville" w:cs="Baskerville"/>
        </w:rPr>
        <w:t>individuals</w:t>
      </w:r>
      <w:r w:rsidR="003C3DB1" w:rsidRPr="00256652">
        <w:rPr>
          <w:rFonts w:ascii="Baskerville" w:hAnsi="Baskerville" w:cs="Baskerville"/>
        </w:rPr>
        <w:t xml:space="preserve"> transitioning to the community from Train</w:t>
      </w:r>
      <w:r w:rsidR="00A87AF2">
        <w:rPr>
          <w:rFonts w:ascii="Baskerville" w:hAnsi="Baskerville" w:cs="Baskerville"/>
        </w:rPr>
        <w:t>ing Centers, individuals</w:t>
      </w:r>
      <w:r w:rsidR="003C3DB1" w:rsidRPr="00256652">
        <w:rPr>
          <w:rFonts w:ascii="Baskerville" w:hAnsi="Baskerville" w:cs="Baskerville"/>
        </w:rPr>
        <w:t xml:space="preserve"> transitioning from school to adult services, and individuals who receive new waiver </w:t>
      </w:r>
      <w:r w:rsidR="00A07CC6" w:rsidRPr="00256652">
        <w:rPr>
          <w:rFonts w:ascii="Baskerville" w:hAnsi="Baskerville" w:cs="Baskerville"/>
        </w:rPr>
        <w:t>slots under the Agreement.</w:t>
      </w:r>
    </w:p>
    <w:p w:rsidR="0058128D" w:rsidRPr="00256652" w:rsidRDefault="0058128D" w:rsidP="00DF6358">
      <w:pPr>
        <w:spacing w:before="2" w:after="2"/>
        <w:ind w:left="270" w:hanging="270"/>
        <w:rPr>
          <w:rFonts w:ascii="Baskerville" w:hAnsi="Baskerville" w:cs="Baskerville"/>
        </w:rPr>
      </w:pPr>
    </w:p>
    <w:p w:rsidR="00FD6C6F" w:rsidRPr="00256652" w:rsidRDefault="00FD6C6F" w:rsidP="00DF6358">
      <w:pPr>
        <w:spacing w:before="2" w:after="2"/>
        <w:ind w:left="270" w:hanging="270"/>
        <w:rPr>
          <w:rFonts w:ascii="Baskerville" w:hAnsi="Baskerville" w:cs="Baskerville"/>
          <w:b/>
        </w:rPr>
      </w:pPr>
      <w:r w:rsidRPr="00256652">
        <w:rPr>
          <w:rFonts w:ascii="Baskerville" w:hAnsi="Baskerville" w:cs="Baskerville"/>
          <w:b/>
        </w:rPr>
        <w:t>Licensing</w:t>
      </w:r>
    </w:p>
    <w:p w:rsidR="00E61016" w:rsidRPr="00256652" w:rsidRDefault="004A6F43" w:rsidP="00DF6358">
      <w:pPr>
        <w:spacing w:before="2" w:after="2"/>
        <w:ind w:left="540" w:hanging="540"/>
        <w:rPr>
          <w:rFonts w:ascii="Baskerville" w:hAnsi="Baskerville" w:cs="Baskerville"/>
        </w:rPr>
      </w:pPr>
      <w:r>
        <w:rPr>
          <w:rFonts w:ascii="Baskerville" w:hAnsi="Baskerville" w:cs="Baskerville"/>
        </w:rPr>
        <w:t>9</w:t>
      </w:r>
      <w:r w:rsidR="00595D4C" w:rsidRPr="00256652">
        <w:rPr>
          <w:rFonts w:ascii="Baskerville" w:hAnsi="Baskerville" w:cs="Baskerville"/>
        </w:rPr>
        <w:t xml:space="preserve">.  </w:t>
      </w:r>
      <w:r w:rsidR="000A5C8A" w:rsidRPr="00256652">
        <w:rPr>
          <w:rFonts w:ascii="Baskerville" w:hAnsi="Baskerville" w:cs="Baskerville"/>
        </w:rPr>
        <w:t xml:space="preserve">   </w:t>
      </w:r>
      <w:r w:rsidR="00FD6C6F" w:rsidRPr="00256652">
        <w:rPr>
          <w:rFonts w:ascii="Baskerville" w:hAnsi="Baskerville" w:cs="Baskerville"/>
        </w:rPr>
        <w:t>T</w:t>
      </w:r>
      <w:r w:rsidR="00F76712" w:rsidRPr="00256652">
        <w:rPr>
          <w:rFonts w:ascii="Baskerville" w:hAnsi="Baskerville" w:cs="Baskerville"/>
        </w:rPr>
        <w:t xml:space="preserve">he </w:t>
      </w:r>
      <w:r w:rsidR="00E61016" w:rsidRPr="00256652">
        <w:rPr>
          <w:rFonts w:ascii="Baskerville" w:hAnsi="Baskerville" w:cs="Baskerville"/>
        </w:rPr>
        <w:t>DBHDS</w:t>
      </w:r>
      <w:r w:rsidR="00F76712" w:rsidRPr="00256652">
        <w:rPr>
          <w:rFonts w:ascii="Baskerville" w:hAnsi="Baskerville" w:cs="Baskerville"/>
        </w:rPr>
        <w:t xml:space="preserve"> Office of Licensure Services should compile a</w:t>
      </w:r>
      <w:r w:rsidR="00441BF1">
        <w:rPr>
          <w:rFonts w:ascii="Baskerville" w:hAnsi="Baskerville" w:cs="Baskerville"/>
        </w:rPr>
        <w:t>n annual</w:t>
      </w:r>
      <w:r w:rsidR="00F76712" w:rsidRPr="00256652">
        <w:rPr>
          <w:rFonts w:ascii="Baskerville" w:hAnsi="Baskerville" w:cs="Baskerville"/>
        </w:rPr>
        <w:t xml:space="preserve"> trend report on the result</w:t>
      </w:r>
      <w:r w:rsidR="00B43814" w:rsidRPr="00256652">
        <w:rPr>
          <w:rFonts w:ascii="Baskerville" w:hAnsi="Baskerville" w:cs="Baskerville"/>
        </w:rPr>
        <w:t>s</w:t>
      </w:r>
      <w:r w:rsidR="00F76712" w:rsidRPr="00256652">
        <w:rPr>
          <w:rFonts w:ascii="Baskerville" w:hAnsi="Baskerville" w:cs="Baskerville"/>
        </w:rPr>
        <w:t xml:space="preserve"> of Licensing</w:t>
      </w:r>
      <w:r w:rsidR="00666132">
        <w:rPr>
          <w:rFonts w:ascii="Baskerville" w:hAnsi="Baskerville" w:cs="Baskerville"/>
        </w:rPr>
        <w:t xml:space="preserve"> reviews</w:t>
      </w:r>
      <w:r w:rsidR="00F76712" w:rsidRPr="00256652">
        <w:rPr>
          <w:rFonts w:ascii="Baskerville" w:hAnsi="Baskerville" w:cs="Baskerville"/>
        </w:rPr>
        <w:t>, Internal Auditor</w:t>
      </w:r>
      <w:r w:rsidR="00666132">
        <w:rPr>
          <w:rFonts w:ascii="Baskerville" w:hAnsi="Baskerville" w:cs="Baskerville"/>
        </w:rPr>
        <w:t xml:space="preserve"> reviews</w:t>
      </w:r>
      <w:r w:rsidR="00601224" w:rsidRPr="00256652">
        <w:rPr>
          <w:rFonts w:ascii="Baskerville" w:hAnsi="Baskerville" w:cs="Baskerville"/>
        </w:rPr>
        <w:t>, and 360</w:t>
      </w:r>
      <w:r w:rsidR="00601224" w:rsidRPr="00256652">
        <w:rPr>
          <w:rFonts w:ascii="Baskerville" w:hAnsi="Baskerville" w:cs="Baskerville"/>
          <w:b/>
          <w:color w:val="000000"/>
        </w:rPr>
        <w:t>°</w:t>
      </w:r>
      <w:r w:rsidR="00F76712" w:rsidRPr="00256652">
        <w:rPr>
          <w:rFonts w:ascii="Baskerville" w:hAnsi="Baskerville" w:cs="Baskerville"/>
        </w:rPr>
        <w:t xml:space="preserve"> </w:t>
      </w:r>
      <w:r w:rsidR="00601224" w:rsidRPr="00256652">
        <w:rPr>
          <w:rFonts w:ascii="Baskerville" w:hAnsi="Baskerville" w:cs="Baskerville"/>
        </w:rPr>
        <w:t>Reviews</w:t>
      </w:r>
      <w:r w:rsidR="00EC653E" w:rsidRPr="00256652">
        <w:rPr>
          <w:rFonts w:ascii="Baskerville" w:hAnsi="Baskerville" w:cs="Baskerville"/>
        </w:rPr>
        <w:t xml:space="preserve">. </w:t>
      </w:r>
      <w:r w:rsidR="00970130" w:rsidRPr="00256652">
        <w:rPr>
          <w:rFonts w:ascii="Baskerville" w:hAnsi="Baskerville" w:cs="Baskerville"/>
        </w:rPr>
        <w:t>T</w:t>
      </w:r>
      <w:r w:rsidR="002F0478" w:rsidRPr="00256652">
        <w:rPr>
          <w:rFonts w:ascii="Baskerville" w:hAnsi="Baskerville" w:cs="Baskerville"/>
        </w:rPr>
        <w:t>h</w:t>
      </w:r>
      <w:r w:rsidR="00970130" w:rsidRPr="00256652">
        <w:rPr>
          <w:rFonts w:ascii="Baskerville" w:hAnsi="Baskerville" w:cs="Baskerville"/>
        </w:rPr>
        <w:t xml:space="preserve">e </w:t>
      </w:r>
      <w:r w:rsidR="002F0478" w:rsidRPr="00256652">
        <w:rPr>
          <w:rFonts w:ascii="Baskerville" w:hAnsi="Baskerville" w:cs="Baskerville"/>
        </w:rPr>
        <w:t xml:space="preserve">trend report should include </w:t>
      </w:r>
      <w:r w:rsidR="00970130" w:rsidRPr="00256652">
        <w:rPr>
          <w:rFonts w:ascii="Baskerville" w:hAnsi="Baskerville" w:cs="Baskerville"/>
        </w:rPr>
        <w:t>results of reviews across CSBs</w:t>
      </w:r>
      <w:r w:rsidR="00666132">
        <w:rPr>
          <w:rFonts w:ascii="Baskerville" w:hAnsi="Baskerville" w:cs="Baskerville"/>
        </w:rPr>
        <w:t>. This will</w:t>
      </w:r>
      <w:r w:rsidR="00ED5E5F">
        <w:rPr>
          <w:rFonts w:ascii="Baskerville" w:hAnsi="Baskerville" w:cs="Baskerville"/>
        </w:rPr>
        <w:t xml:space="preserve"> help </w:t>
      </w:r>
      <w:r w:rsidR="008D6FB7">
        <w:rPr>
          <w:rFonts w:ascii="Baskerville" w:hAnsi="Baskerville" w:cs="Baskerville"/>
        </w:rPr>
        <w:t xml:space="preserve">the Commonwealth to discover </w:t>
      </w:r>
      <w:r w:rsidR="00970130" w:rsidRPr="00256652">
        <w:rPr>
          <w:rFonts w:ascii="Baskerville" w:hAnsi="Baskerville" w:cs="Baskerville"/>
        </w:rPr>
        <w:t>needed sys</w:t>
      </w:r>
      <w:r w:rsidR="008D6FB7">
        <w:rPr>
          <w:rFonts w:ascii="Baskerville" w:hAnsi="Baskerville" w:cs="Baskerville"/>
        </w:rPr>
        <w:t xml:space="preserve">tem improvements and </w:t>
      </w:r>
      <w:r w:rsidR="00ED5E5F">
        <w:rPr>
          <w:rFonts w:ascii="Baskerville" w:hAnsi="Baskerville" w:cs="Baskerville"/>
        </w:rPr>
        <w:t xml:space="preserve">to plan and implement </w:t>
      </w:r>
      <w:r w:rsidR="00970130" w:rsidRPr="00256652">
        <w:rPr>
          <w:rFonts w:ascii="Baskerville" w:hAnsi="Baskerville" w:cs="Baskerville"/>
        </w:rPr>
        <w:t>corrective action</w:t>
      </w:r>
      <w:r w:rsidR="008D6FB7">
        <w:rPr>
          <w:rFonts w:ascii="Baskerville" w:hAnsi="Baskerville" w:cs="Baskerville"/>
        </w:rPr>
        <w:t>s</w:t>
      </w:r>
      <w:r w:rsidR="00970130" w:rsidRPr="00256652">
        <w:rPr>
          <w:rFonts w:ascii="Baskerville" w:hAnsi="Baskerville" w:cs="Baskerville"/>
        </w:rPr>
        <w:t>.</w:t>
      </w:r>
    </w:p>
    <w:p w:rsidR="00C252AC" w:rsidRPr="00256652" w:rsidRDefault="00C252AC" w:rsidP="00DF6358">
      <w:pPr>
        <w:ind w:left="270" w:hanging="270"/>
        <w:rPr>
          <w:rFonts w:ascii="Baskerville" w:hAnsi="Baskerville" w:cs="Baskerville"/>
        </w:rPr>
      </w:pPr>
    </w:p>
    <w:p w:rsidR="00595D4C" w:rsidRPr="00256652" w:rsidRDefault="00595D4C" w:rsidP="00DF6358">
      <w:pPr>
        <w:ind w:left="270" w:hanging="270"/>
        <w:rPr>
          <w:rFonts w:ascii="Baskerville" w:hAnsi="Baskerville" w:cs="Baskerville"/>
          <w:b/>
        </w:rPr>
      </w:pPr>
      <w:r w:rsidRPr="00256652">
        <w:rPr>
          <w:rFonts w:ascii="Baskerville" w:hAnsi="Baskerville" w:cs="Baskerville"/>
          <w:b/>
        </w:rPr>
        <w:t>Case Management</w:t>
      </w:r>
    </w:p>
    <w:p w:rsidR="0076218E" w:rsidRPr="00256652" w:rsidRDefault="004A6F43" w:rsidP="00DF6358">
      <w:pPr>
        <w:ind w:left="540" w:hanging="540"/>
        <w:rPr>
          <w:rFonts w:ascii="Baskerville" w:hAnsi="Baskerville" w:cs="Baskerville"/>
        </w:rPr>
      </w:pPr>
      <w:r>
        <w:rPr>
          <w:rFonts w:ascii="Baskerville" w:hAnsi="Baskerville" w:cs="Baskerville"/>
        </w:rPr>
        <w:t>10</w:t>
      </w:r>
      <w:r w:rsidR="00595D4C" w:rsidRPr="00256652">
        <w:rPr>
          <w:rFonts w:ascii="Baskerville" w:hAnsi="Baskerville" w:cs="Baskerville"/>
        </w:rPr>
        <w:t xml:space="preserve">.  </w:t>
      </w:r>
      <w:r w:rsidR="00564A01">
        <w:rPr>
          <w:rFonts w:ascii="Baskerville" w:hAnsi="Baskerville" w:cs="Baskerville"/>
        </w:rPr>
        <w:t xml:space="preserve">  </w:t>
      </w:r>
      <w:r w:rsidR="0076218E" w:rsidRPr="00256652">
        <w:rPr>
          <w:rFonts w:ascii="Baskerville" w:hAnsi="Baskerville" w:cs="Baskerville"/>
        </w:rPr>
        <w:t xml:space="preserve">DBHDS should develop training, </w:t>
      </w:r>
      <w:r w:rsidR="0013775A" w:rsidRPr="00256652">
        <w:rPr>
          <w:rFonts w:ascii="Baskerville" w:hAnsi="Baskerville" w:cs="Baskerville"/>
        </w:rPr>
        <w:t xml:space="preserve">monitoring tools, and clinical support </w:t>
      </w:r>
      <w:r w:rsidR="0090210F">
        <w:rPr>
          <w:rFonts w:ascii="Baskerville" w:hAnsi="Baskerville" w:cs="Baskerville"/>
        </w:rPr>
        <w:t>for case manager</w:t>
      </w:r>
      <w:r w:rsidR="0076218E" w:rsidRPr="00256652">
        <w:rPr>
          <w:rFonts w:ascii="Baskerville" w:hAnsi="Baskerville" w:cs="Baskerville"/>
        </w:rPr>
        <w:t>s</w:t>
      </w:r>
      <w:r w:rsidR="006A43F3">
        <w:rPr>
          <w:rFonts w:ascii="Baskerville" w:hAnsi="Baskerville" w:cs="Baskerville"/>
        </w:rPr>
        <w:t>.  Doing so will</w:t>
      </w:r>
      <w:r w:rsidR="0076218E" w:rsidRPr="00256652">
        <w:rPr>
          <w:rFonts w:ascii="Baskerville" w:hAnsi="Baskerville" w:cs="Baskerville"/>
        </w:rPr>
        <w:t xml:space="preserve"> ensure that they have the skills</w:t>
      </w:r>
      <w:r w:rsidR="00691C9C" w:rsidRPr="00256652">
        <w:rPr>
          <w:rFonts w:ascii="Baskerville" w:hAnsi="Baskerville" w:cs="Baskerville"/>
        </w:rPr>
        <w:t xml:space="preserve">, </w:t>
      </w:r>
      <w:r w:rsidR="00C252AC" w:rsidRPr="00256652">
        <w:rPr>
          <w:rFonts w:ascii="Baskerville" w:hAnsi="Baskerville" w:cs="Baskerville"/>
        </w:rPr>
        <w:t>tools,</w:t>
      </w:r>
      <w:r w:rsidR="0076218E" w:rsidRPr="00256652">
        <w:rPr>
          <w:rFonts w:ascii="Baskerville" w:hAnsi="Baskerville" w:cs="Baskerville"/>
        </w:rPr>
        <w:t xml:space="preserve"> </w:t>
      </w:r>
      <w:r w:rsidR="00691C9C" w:rsidRPr="00256652">
        <w:rPr>
          <w:rFonts w:ascii="Baskerville" w:hAnsi="Baskerville" w:cs="Baskerville"/>
        </w:rPr>
        <w:t>and clinical supports to assess</w:t>
      </w:r>
      <w:r w:rsidR="00172C87">
        <w:rPr>
          <w:rFonts w:ascii="Baskerville" w:hAnsi="Baskerville" w:cs="Baskerville"/>
        </w:rPr>
        <w:t xml:space="preserve"> </w:t>
      </w:r>
      <w:r w:rsidR="0076218E" w:rsidRPr="00256652">
        <w:rPr>
          <w:rFonts w:ascii="Baskerville" w:hAnsi="Baskerville" w:cs="Baskerville"/>
        </w:rPr>
        <w:t>identified and unidentified risks</w:t>
      </w:r>
      <w:r w:rsidR="00D06249">
        <w:rPr>
          <w:rFonts w:ascii="Baskerville" w:hAnsi="Baskerville" w:cs="Baskerville"/>
        </w:rPr>
        <w:t xml:space="preserve"> and to determine whether</w:t>
      </w:r>
      <w:r w:rsidR="0076218E" w:rsidRPr="00256652">
        <w:rPr>
          <w:rFonts w:ascii="Baskerville" w:hAnsi="Baskerville" w:cs="Baskerville"/>
        </w:rPr>
        <w:t xml:space="preserve"> supports are being implemented consistent with </w:t>
      </w:r>
      <w:r w:rsidR="00CF1DEB">
        <w:rPr>
          <w:rFonts w:ascii="Baskerville" w:hAnsi="Baskerville" w:cs="Baskerville"/>
        </w:rPr>
        <w:t xml:space="preserve">each individual’s </w:t>
      </w:r>
      <w:r w:rsidR="0076218E" w:rsidRPr="00256652">
        <w:rPr>
          <w:rFonts w:ascii="Baskerville" w:hAnsi="Baskerville" w:cs="Baskerville"/>
        </w:rPr>
        <w:t>safety</w:t>
      </w:r>
      <w:r w:rsidR="00CF1DEB">
        <w:rPr>
          <w:rFonts w:ascii="Baskerville" w:hAnsi="Baskerville" w:cs="Baskerville"/>
        </w:rPr>
        <w:t xml:space="preserve"> protocols and </w:t>
      </w:r>
      <w:r w:rsidR="0076218E" w:rsidRPr="00256652">
        <w:rPr>
          <w:rFonts w:ascii="Baskerville" w:hAnsi="Baskerville" w:cs="Baskerville"/>
        </w:rPr>
        <w:t>needs.</w:t>
      </w:r>
    </w:p>
    <w:p w:rsidR="00DF6358" w:rsidRPr="00256652" w:rsidRDefault="00DF6358" w:rsidP="00DF6358">
      <w:pPr>
        <w:ind w:left="540" w:hanging="540"/>
        <w:rPr>
          <w:rFonts w:ascii="Baskerville" w:hAnsi="Baskerville" w:cs="Baskerville"/>
        </w:rPr>
      </w:pPr>
    </w:p>
    <w:p w:rsidR="0076218E" w:rsidRPr="00256652" w:rsidRDefault="004A6F43" w:rsidP="00DF6358">
      <w:pPr>
        <w:ind w:left="540" w:hanging="540"/>
        <w:rPr>
          <w:rFonts w:ascii="Baskerville" w:hAnsi="Baskerville" w:cs="Baskerville"/>
        </w:rPr>
      </w:pPr>
      <w:r>
        <w:rPr>
          <w:rFonts w:ascii="Baskerville" w:hAnsi="Baskerville" w:cs="Baskerville"/>
        </w:rPr>
        <w:t>11</w:t>
      </w:r>
      <w:r w:rsidR="0013775A" w:rsidRPr="00256652">
        <w:rPr>
          <w:rFonts w:ascii="Baskerville" w:hAnsi="Baskerville" w:cs="Baskerville"/>
        </w:rPr>
        <w:t xml:space="preserve">.  </w:t>
      </w:r>
      <w:r w:rsidR="000A5C8A" w:rsidRPr="00256652">
        <w:rPr>
          <w:rFonts w:ascii="Baskerville" w:hAnsi="Baskerville" w:cs="Baskerville"/>
        </w:rPr>
        <w:t xml:space="preserve">  </w:t>
      </w:r>
      <w:r w:rsidR="00D3766B" w:rsidRPr="00256652">
        <w:rPr>
          <w:rFonts w:ascii="Baskerville" w:hAnsi="Baskerville" w:cs="Baskerville"/>
        </w:rPr>
        <w:t xml:space="preserve">DBHDS should ensure that case managers receive </w:t>
      </w:r>
      <w:r w:rsidR="009451B8" w:rsidRPr="00256652">
        <w:rPr>
          <w:rFonts w:ascii="Baskerville" w:hAnsi="Baskerville" w:cs="Baskerville"/>
        </w:rPr>
        <w:t>training in the s</w:t>
      </w:r>
      <w:r w:rsidR="0076218E" w:rsidRPr="00256652">
        <w:rPr>
          <w:rFonts w:ascii="Baskerville" w:hAnsi="Baskerville" w:cs="Baskerville"/>
        </w:rPr>
        <w:t>pecific elements of the</w:t>
      </w:r>
      <w:r w:rsidR="009451B8" w:rsidRPr="00256652">
        <w:rPr>
          <w:rFonts w:ascii="Baskerville" w:hAnsi="Baskerville" w:cs="Baskerville"/>
        </w:rPr>
        <w:t xml:space="preserve">ir face-to-face visits. These elements include </w:t>
      </w:r>
      <w:r w:rsidR="0076218E" w:rsidRPr="00256652">
        <w:rPr>
          <w:rFonts w:ascii="Baskerville" w:hAnsi="Baskerville" w:cs="Baskerville"/>
        </w:rPr>
        <w:t xml:space="preserve">when to convene the team, how to evaluate significant implementation problems, </w:t>
      </w:r>
      <w:r w:rsidR="00BE69D8" w:rsidRPr="00256652">
        <w:rPr>
          <w:rFonts w:ascii="Baskerville" w:hAnsi="Baskerville" w:cs="Baskerville"/>
        </w:rPr>
        <w:t xml:space="preserve">and </w:t>
      </w:r>
      <w:r w:rsidR="006D5DDB" w:rsidRPr="00256652">
        <w:rPr>
          <w:rFonts w:ascii="Baskerville" w:hAnsi="Baskerville" w:cs="Baskerville"/>
        </w:rPr>
        <w:t>how to assess</w:t>
      </w:r>
      <w:r w:rsidR="0076218E" w:rsidRPr="00256652">
        <w:rPr>
          <w:rFonts w:ascii="Baskerville" w:hAnsi="Baskerville" w:cs="Baskerville"/>
        </w:rPr>
        <w:t xml:space="preserve"> risk when there are status changes</w:t>
      </w:r>
      <w:r w:rsidR="00BE69D8" w:rsidRPr="00256652">
        <w:rPr>
          <w:rFonts w:ascii="Baskerville" w:hAnsi="Baskerville" w:cs="Baskerville"/>
        </w:rPr>
        <w:t xml:space="preserve">. </w:t>
      </w:r>
    </w:p>
    <w:p w:rsidR="00C91D17" w:rsidRPr="00256652" w:rsidRDefault="00C91D17" w:rsidP="00DF6358">
      <w:pPr>
        <w:ind w:left="540" w:hanging="540"/>
        <w:rPr>
          <w:rFonts w:ascii="Baskerville" w:hAnsi="Baskerville" w:cs="Baskerville"/>
        </w:rPr>
      </w:pPr>
    </w:p>
    <w:p w:rsidR="001C0CDE" w:rsidRPr="00256652" w:rsidRDefault="00C91D17" w:rsidP="001C0CDE">
      <w:pPr>
        <w:ind w:left="540" w:hanging="540"/>
        <w:rPr>
          <w:rFonts w:ascii="Baskerville" w:hAnsi="Baskerville" w:cs="Baskerville"/>
          <w:b/>
        </w:rPr>
      </w:pPr>
      <w:r w:rsidRPr="00256652">
        <w:rPr>
          <w:rFonts w:ascii="Baskerville" w:hAnsi="Baskerville" w:cs="Baskerville"/>
          <w:b/>
        </w:rPr>
        <w:t>Individual and Family Support</w:t>
      </w:r>
    </w:p>
    <w:p w:rsidR="00350D47" w:rsidRPr="00256652" w:rsidRDefault="004A6F43" w:rsidP="001C0CDE">
      <w:pPr>
        <w:ind w:left="540" w:hanging="540"/>
        <w:rPr>
          <w:rFonts w:ascii="Baskerville" w:hAnsi="Baskerville" w:cs="Baskerville"/>
        </w:rPr>
      </w:pPr>
      <w:r>
        <w:rPr>
          <w:rFonts w:ascii="Baskerville" w:hAnsi="Baskerville" w:cs="Baskerville"/>
        </w:rPr>
        <w:t>12</w:t>
      </w:r>
      <w:r w:rsidR="00B14F84" w:rsidRPr="00256652">
        <w:rPr>
          <w:rFonts w:ascii="Baskerville" w:hAnsi="Baskerville" w:cs="Baskerville"/>
        </w:rPr>
        <w:t>.</w:t>
      </w:r>
      <w:r w:rsidR="001C0CDE" w:rsidRPr="00256652">
        <w:rPr>
          <w:rFonts w:ascii="Baskerville" w:hAnsi="Baskerville" w:cs="Baskerville"/>
        </w:rPr>
        <w:t xml:space="preserve">   </w:t>
      </w:r>
      <w:r w:rsidR="00056AC9" w:rsidRPr="00256652">
        <w:rPr>
          <w:rFonts w:ascii="Baskerville" w:hAnsi="Baskerville" w:cs="Baskerville"/>
        </w:rPr>
        <w:t>The Commonwealth should d</w:t>
      </w:r>
      <w:r w:rsidR="00350D47" w:rsidRPr="00256652">
        <w:rPr>
          <w:rFonts w:ascii="Baskerville" w:hAnsi="Baskerville" w:cs="Baskerville"/>
        </w:rPr>
        <w:t>evelop and implement</w:t>
      </w:r>
      <w:r w:rsidR="00FD131E">
        <w:rPr>
          <w:rFonts w:ascii="Baskerville" w:hAnsi="Baskerville" w:cs="Baskerville"/>
        </w:rPr>
        <w:t xml:space="preserve"> a formalized and ongoing mechanism</w:t>
      </w:r>
      <w:r w:rsidR="00350D47" w:rsidRPr="00256652">
        <w:rPr>
          <w:rFonts w:ascii="Baskerville" w:hAnsi="Baskerville" w:cs="Baskerville"/>
        </w:rPr>
        <w:t xml:space="preserve"> </w:t>
      </w:r>
      <w:r w:rsidR="00172C87">
        <w:rPr>
          <w:rFonts w:ascii="Baskerville" w:hAnsi="Baskerville" w:cs="Baskerville"/>
        </w:rPr>
        <w:t>for stakeholder input to help</w:t>
      </w:r>
      <w:r w:rsidR="00350D47" w:rsidRPr="00256652">
        <w:rPr>
          <w:rFonts w:ascii="Baskerville" w:hAnsi="Baskerville" w:cs="Baskerville"/>
        </w:rPr>
        <w:t xml:space="preserve"> guide the evolution of </w:t>
      </w:r>
      <w:r w:rsidR="00CA140D" w:rsidRPr="00256652">
        <w:rPr>
          <w:rFonts w:ascii="Baskerville" w:hAnsi="Baskerville" w:cs="Baskerville"/>
        </w:rPr>
        <w:t>the Commonwealth</w:t>
      </w:r>
      <w:r w:rsidR="00CA140D">
        <w:rPr>
          <w:rFonts w:ascii="Baskerville" w:hAnsi="Baskerville" w:cs="Baskerville"/>
        </w:rPr>
        <w:t xml:space="preserve">’s </w:t>
      </w:r>
      <w:r w:rsidR="00350D47" w:rsidRPr="00256652">
        <w:rPr>
          <w:rFonts w:ascii="Baskerville" w:hAnsi="Baskerville" w:cs="Baskerville"/>
        </w:rPr>
        <w:t xml:space="preserve">individual </w:t>
      </w:r>
      <w:r w:rsidR="002B1228">
        <w:rPr>
          <w:rFonts w:ascii="Baskerville" w:hAnsi="Baskerville" w:cs="Baskerville"/>
        </w:rPr>
        <w:t xml:space="preserve">and family support program as </w:t>
      </w:r>
      <w:r w:rsidR="00172C87">
        <w:rPr>
          <w:rFonts w:ascii="Baskerville" w:hAnsi="Baskerville" w:cs="Baskerville"/>
        </w:rPr>
        <w:t>person-and family-</w:t>
      </w:r>
      <w:r w:rsidR="00350D47" w:rsidRPr="00256652">
        <w:rPr>
          <w:rFonts w:ascii="Baskerville" w:hAnsi="Baskerville" w:cs="Baskerville"/>
        </w:rPr>
        <w:t>centered</w:t>
      </w:r>
      <w:r w:rsidR="002B1228">
        <w:rPr>
          <w:rFonts w:ascii="Baskerville" w:hAnsi="Baskerville" w:cs="Baskerville"/>
        </w:rPr>
        <w:t xml:space="preserve">, and </w:t>
      </w:r>
      <w:r w:rsidR="00172C87">
        <w:rPr>
          <w:rFonts w:ascii="Baskerville" w:hAnsi="Baskerville" w:cs="Baskerville"/>
        </w:rPr>
        <w:t>to incorporate</w:t>
      </w:r>
      <w:r w:rsidR="002B1228">
        <w:rPr>
          <w:rFonts w:ascii="Baskerville" w:hAnsi="Baskerville" w:cs="Baskerville"/>
        </w:rPr>
        <w:t xml:space="preserve"> a</w:t>
      </w:r>
      <w:r w:rsidR="00350D47" w:rsidRPr="00256652">
        <w:rPr>
          <w:rFonts w:ascii="Baskerville" w:hAnsi="Baskerville" w:cs="Baskerville"/>
        </w:rPr>
        <w:t xml:space="preserve"> comprehensive and </w:t>
      </w:r>
      <w:r w:rsidR="00CA140D">
        <w:rPr>
          <w:rFonts w:ascii="Baskerville" w:hAnsi="Baskerville" w:cs="Baskerville"/>
        </w:rPr>
        <w:t>coordinated set of strategies</w:t>
      </w:r>
      <w:r w:rsidR="00350D47" w:rsidRPr="00256652">
        <w:rPr>
          <w:rFonts w:ascii="Baskerville" w:hAnsi="Baskerville" w:cs="Baskerville"/>
        </w:rPr>
        <w:t xml:space="preserve">. </w:t>
      </w:r>
    </w:p>
    <w:p w:rsidR="0006362A" w:rsidRPr="002B6AC4" w:rsidRDefault="0006362A" w:rsidP="00974419">
      <w:pPr>
        <w:spacing w:before="100" w:beforeAutospacing="1" w:after="100" w:afterAutospacing="1" w:line="276" w:lineRule="auto"/>
        <w:ind w:left="540" w:hanging="540"/>
        <w:contextualSpacing/>
        <w:jc w:val="both"/>
        <w:rPr>
          <w:rFonts w:ascii="Baskerville" w:hAnsi="Baskerville" w:cs="Baskerville"/>
        </w:rPr>
      </w:pPr>
    </w:p>
    <w:p w:rsidR="00D571B1" w:rsidRPr="00256652" w:rsidRDefault="0006362A" w:rsidP="00D571B1">
      <w:pPr>
        <w:spacing w:before="100" w:beforeAutospacing="1" w:after="100" w:afterAutospacing="1" w:line="276" w:lineRule="auto"/>
        <w:ind w:left="540" w:hanging="540"/>
        <w:contextualSpacing/>
        <w:jc w:val="both"/>
        <w:rPr>
          <w:rFonts w:ascii="Baskerville" w:hAnsi="Baskerville" w:cs="Baskerville"/>
          <w:b/>
        </w:rPr>
      </w:pPr>
      <w:r w:rsidRPr="00256652">
        <w:rPr>
          <w:rFonts w:ascii="Baskerville" w:hAnsi="Baskerville" w:cs="Baskerville"/>
          <w:b/>
        </w:rPr>
        <w:t>Guidelines for Families Seeking Services</w:t>
      </w:r>
    </w:p>
    <w:p w:rsidR="002275A1" w:rsidRPr="00256652" w:rsidRDefault="004A6F43" w:rsidP="00D571B1">
      <w:pPr>
        <w:spacing w:before="100" w:beforeAutospacing="1" w:after="100" w:afterAutospacing="1" w:line="276" w:lineRule="auto"/>
        <w:ind w:left="540" w:hanging="540"/>
        <w:contextualSpacing/>
        <w:jc w:val="both"/>
        <w:rPr>
          <w:rFonts w:ascii="Baskerville" w:hAnsi="Baskerville" w:cs="Baskerville"/>
        </w:rPr>
      </w:pPr>
      <w:r>
        <w:rPr>
          <w:rFonts w:ascii="Baskerville" w:hAnsi="Baskerville" w:cs="Baskerville"/>
        </w:rPr>
        <w:t>13</w:t>
      </w:r>
      <w:r w:rsidR="00F33107" w:rsidRPr="00256652">
        <w:rPr>
          <w:rFonts w:ascii="Baskerville" w:hAnsi="Baskerville" w:cs="Baskerville"/>
        </w:rPr>
        <w:t>.</w:t>
      </w:r>
      <w:r w:rsidR="00D571B1" w:rsidRPr="00256652">
        <w:rPr>
          <w:rFonts w:ascii="Baskerville" w:hAnsi="Baskerville" w:cs="Baskerville"/>
        </w:rPr>
        <w:tab/>
      </w:r>
      <w:r w:rsidR="00AB2BB1" w:rsidRPr="00256652">
        <w:rPr>
          <w:rFonts w:ascii="Baskerville" w:hAnsi="Baskerville" w:cs="Baskerville"/>
        </w:rPr>
        <w:t>The Commonwealth should</w:t>
      </w:r>
      <w:r w:rsidR="00DD0CCB">
        <w:rPr>
          <w:rFonts w:ascii="Baskerville" w:hAnsi="Baskerville" w:cs="Baskerville"/>
        </w:rPr>
        <w:t xml:space="preserve"> publish</w:t>
      </w:r>
      <w:r w:rsidR="00D571B1" w:rsidRPr="00256652">
        <w:rPr>
          <w:rFonts w:ascii="Baskerville" w:hAnsi="Baskerville" w:cs="Baskerville"/>
        </w:rPr>
        <w:t xml:space="preserve"> </w:t>
      </w:r>
      <w:r w:rsidR="00D91AAB">
        <w:rPr>
          <w:rFonts w:ascii="Baskerville" w:hAnsi="Baskerville" w:cs="Baskerville"/>
        </w:rPr>
        <w:t xml:space="preserve">easily </w:t>
      </w:r>
      <w:r w:rsidR="002B1228">
        <w:rPr>
          <w:rFonts w:ascii="Baskerville" w:hAnsi="Baskerville" w:cs="Baskerville"/>
        </w:rPr>
        <w:t xml:space="preserve">accessible and user friendly </w:t>
      </w:r>
      <w:r w:rsidR="00AB2BB1" w:rsidRPr="00256652">
        <w:rPr>
          <w:rFonts w:ascii="Baskerville" w:hAnsi="Baskerville" w:cs="Baskerville"/>
        </w:rPr>
        <w:t xml:space="preserve">guidelines </w:t>
      </w:r>
      <w:r w:rsidR="00D571B1" w:rsidRPr="00256652">
        <w:rPr>
          <w:rFonts w:ascii="Baskerville" w:hAnsi="Baskerville" w:cs="Baskerville"/>
        </w:rPr>
        <w:t>for fami</w:t>
      </w:r>
      <w:r w:rsidR="00E004B1" w:rsidRPr="00256652">
        <w:rPr>
          <w:rFonts w:ascii="Baskerville" w:hAnsi="Baskerville" w:cs="Baskerville"/>
        </w:rPr>
        <w:t>lies seeking se</w:t>
      </w:r>
      <w:r w:rsidR="00B80490">
        <w:rPr>
          <w:rFonts w:ascii="Baskerville" w:hAnsi="Baskerville" w:cs="Baskerville"/>
        </w:rPr>
        <w:t xml:space="preserve">rvices </w:t>
      </w:r>
      <w:r w:rsidR="00D571B1" w:rsidRPr="00256652">
        <w:rPr>
          <w:rFonts w:ascii="Baskerville" w:hAnsi="Baskerville" w:cs="Baskerville"/>
        </w:rPr>
        <w:t xml:space="preserve">designed to assist individuals/families </w:t>
      </w:r>
      <w:r w:rsidR="00881D3B" w:rsidRPr="00256652">
        <w:rPr>
          <w:rFonts w:ascii="Baskerville" w:hAnsi="Baskerville" w:cs="Baskerville"/>
        </w:rPr>
        <w:t>who:</w:t>
      </w:r>
    </w:p>
    <w:p w:rsidR="002275A1" w:rsidRPr="00256652" w:rsidRDefault="00256652" w:rsidP="00301F7E">
      <w:pPr>
        <w:spacing w:before="100" w:beforeAutospacing="1" w:after="100" w:afterAutospacing="1" w:line="276" w:lineRule="auto"/>
        <w:ind w:left="540"/>
        <w:contextualSpacing/>
        <w:jc w:val="both"/>
        <w:rPr>
          <w:rFonts w:ascii="Baskerville" w:hAnsi="Baskerville" w:cs="Baskerville"/>
        </w:rPr>
      </w:pPr>
      <w:r w:rsidRPr="001F11ED">
        <w:rPr>
          <w:rFonts w:ascii="Wingdings" w:hAnsi="Wingdings"/>
          <w:color w:val="000000"/>
        </w:rPr>
        <w:t></w:t>
      </w:r>
      <w:r w:rsidR="006819E5">
        <w:rPr>
          <w:rFonts w:ascii="Wingdings" w:hAnsi="Wingdings"/>
          <w:color w:val="000000"/>
        </w:rPr>
        <w:t></w:t>
      </w:r>
      <w:r w:rsidR="00B80490">
        <w:rPr>
          <w:rFonts w:ascii="Baskerville" w:hAnsi="Baskerville" w:cs="Baskerville"/>
        </w:rPr>
        <w:t>are not yet aware how to apply and obtain</w:t>
      </w:r>
      <w:r w:rsidR="00D571B1" w:rsidRPr="00256652">
        <w:rPr>
          <w:rFonts w:ascii="Baskerville" w:hAnsi="Baskerville" w:cs="Baskerville"/>
        </w:rPr>
        <w:t xml:space="preserve"> HCB</w:t>
      </w:r>
      <w:r w:rsidR="002275A1" w:rsidRPr="00256652">
        <w:rPr>
          <w:rFonts w:ascii="Baskerville" w:hAnsi="Baskerville" w:cs="Baskerville"/>
        </w:rPr>
        <w:t>S waiver service</w:t>
      </w:r>
    </w:p>
    <w:p w:rsidR="00881D3B" w:rsidRPr="00256652" w:rsidRDefault="006819E5" w:rsidP="00301F7E">
      <w:pPr>
        <w:spacing w:before="100" w:beforeAutospacing="1" w:after="100" w:afterAutospacing="1" w:line="276" w:lineRule="auto"/>
        <w:ind w:left="540"/>
        <w:contextualSpacing/>
        <w:jc w:val="both"/>
        <w:rPr>
          <w:rFonts w:ascii="Baskerville" w:hAnsi="Baskerville" w:cs="Baskerville"/>
        </w:rPr>
      </w:pPr>
      <w:r w:rsidRPr="001F11ED">
        <w:rPr>
          <w:rFonts w:ascii="Wingdings" w:hAnsi="Wingdings"/>
          <w:color w:val="000000"/>
        </w:rPr>
        <w:t></w:t>
      </w:r>
      <w:r>
        <w:rPr>
          <w:rFonts w:ascii="Wingdings" w:hAnsi="Wingdings"/>
          <w:color w:val="000000"/>
        </w:rPr>
        <w:t></w:t>
      </w:r>
      <w:r w:rsidR="00D571B1" w:rsidRPr="00256652">
        <w:rPr>
          <w:rFonts w:ascii="Baskerville" w:hAnsi="Baskerville" w:cs="Baskerville"/>
        </w:rPr>
        <w:t>are on waitlists</w:t>
      </w:r>
      <w:r w:rsidR="00D21124">
        <w:rPr>
          <w:rFonts w:ascii="Baskerville" w:hAnsi="Baskerville" w:cs="Baskerville"/>
        </w:rPr>
        <w:t xml:space="preserve"> for </w:t>
      </w:r>
      <w:r w:rsidR="00712AC4">
        <w:rPr>
          <w:rFonts w:ascii="Baskerville" w:hAnsi="Baskerville" w:cs="Baskerville"/>
        </w:rPr>
        <w:t>services through HCBS waivers</w:t>
      </w:r>
      <w:r w:rsidR="00D571B1" w:rsidRPr="00256652">
        <w:rPr>
          <w:rFonts w:ascii="Baskerville" w:hAnsi="Baskerville" w:cs="Baskerville"/>
        </w:rPr>
        <w:t xml:space="preserve">, </w:t>
      </w:r>
      <w:r w:rsidR="002D0C80">
        <w:rPr>
          <w:rFonts w:ascii="Baskerville" w:hAnsi="Baskerville" w:cs="Baskerville"/>
        </w:rPr>
        <w:t>or</w:t>
      </w:r>
      <w:r w:rsidR="00881D3B" w:rsidRPr="00256652">
        <w:rPr>
          <w:rFonts w:ascii="Baskerville" w:hAnsi="Baskerville" w:cs="Baskerville"/>
        </w:rPr>
        <w:t xml:space="preserve"> </w:t>
      </w:r>
    </w:p>
    <w:p w:rsidR="00D571B1" w:rsidRPr="00256652" w:rsidRDefault="006819E5" w:rsidP="00301F7E">
      <w:pPr>
        <w:spacing w:before="100" w:beforeAutospacing="1" w:after="100" w:afterAutospacing="1" w:line="276" w:lineRule="auto"/>
        <w:ind w:left="540"/>
        <w:contextualSpacing/>
        <w:jc w:val="both"/>
        <w:rPr>
          <w:rFonts w:ascii="Baskerville" w:hAnsi="Baskerville" w:cs="Baskerville"/>
        </w:rPr>
      </w:pPr>
      <w:r w:rsidRPr="001F11ED">
        <w:rPr>
          <w:rFonts w:ascii="Wingdings" w:hAnsi="Wingdings"/>
          <w:color w:val="000000"/>
        </w:rPr>
        <w:t></w:t>
      </w:r>
      <w:r>
        <w:rPr>
          <w:rFonts w:ascii="Wingdings" w:hAnsi="Wingdings"/>
          <w:color w:val="000000"/>
        </w:rPr>
        <w:t></w:t>
      </w:r>
      <w:r w:rsidR="00D571B1" w:rsidRPr="00256652">
        <w:rPr>
          <w:rFonts w:ascii="Baskerville" w:hAnsi="Baskerville" w:cs="Baskerville"/>
        </w:rPr>
        <w:t xml:space="preserve">have been awarded a </w:t>
      </w:r>
      <w:r w:rsidR="00712AC4">
        <w:rPr>
          <w:rFonts w:ascii="Baskerville" w:hAnsi="Baskerville" w:cs="Baskerville"/>
        </w:rPr>
        <w:t xml:space="preserve">HCBS </w:t>
      </w:r>
      <w:r w:rsidR="00D571B1" w:rsidRPr="00256652">
        <w:rPr>
          <w:rFonts w:ascii="Baskerville" w:hAnsi="Baskerville" w:cs="Baskerville"/>
        </w:rPr>
        <w:t>waiver slot.</w:t>
      </w:r>
    </w:p>
    <w:p w:rsidR="00AB2BB1" w:rsidRPr="002B6AC4" w:rsidRDefault="001C0AE5" w:rsidP="00AB2BB1">
      <w:pPr>
        <w:spacing w:before="100" w:beforeAutospacing="1" w:after="100" w:afterAutospacing="1" w:line="276" w:lineRule="auto"/>
        <w:ind w:left="540"/>
        <w:contextualSpacing/>
        <w:jc w:val="both"/>
        <w:rPr>
          <w:rFonts w:ascii="Baskerville" w:hAnsi="Baskerville" w:cs="Baskerville"/>
        </w:rPr>
      </w:pPr>
      <w:r>
        <w:rPr>
          <w:rFonts w:ascii="Baskerville" w:hAnsi="Baskerville" w:cs="Baskerville"/>
        </w:rPr>
        <w:t xml:space="preserve">                                                 </w:t>
      </w:r>
    </w:p>
    <w:p w:rsidR="00D32D1F"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r>
        <w:rPr>
          <w:rFonts w:ascii="Baskerville" w:hAnsi="Baskerville" w:cs="Baskerville"/>
        </w:rPr>
        <w:t>14</w:t>
      </w:r>
      <w:r w:rsidR="006819E5">
        <w:rPr>
          <w:rFonts w:ascii="Baskerville" w:hAnsi="Baskerville" w:cs="Baskerville"/>
        </w:rPr>
        <w:t xml:space="preserve">.  </w:t>
      </w:r>
      <w:r w:rsidR="001051CA" w:rsidRPr="00256652">
        <w:rPr>
          <w:rFonts w:ascii="Baskerville" w:hAnsi="Baskerville" w:cs="Baskerville"/>
        </w:rPr>
        <w:t>The Commonwealth should provide its published guidelines to</w:t>
      </w:r>
      <w:r w:rsidR="00C502C1">
        <w:rPr>
          <w:rFonts w:ascii="Baskerville" w:hAnsi="Baskerville" w:cs="Baskerville"/>
        </w:rPr>
        <w:t xml:space="preserve"> the </w:t>
      </w:r>
      <w:r w:rsidR="00D571B1" w:rsidRPr="00256652">
        <w:rPr>
          <w:rFonts w:ascii="Baskerville" w:hAnsi="Baskerville" w:cs="Baskerville"/>
        </w:rPr>
        <w:t xml:space="preserve">agencies that an individual/family is </w:t>
      </w:r>
      <w:r w:rsidR="00C502C1">
        <w:rPr>
          <w:rFonts w:ascii="Baskerville" w:hAnsi="Baskerville" w:cs="Baskerville"/>
        </w:rPr>
        <w:t>likely to con</w:t>
      </w:r>
      <w:r w:rsidR="00D06A77">
        <w:rPr>
          <w:rFonts w:ascii="Baskerville" w:hAnsi="Baskerville" w:cs="Baskerville"/>
        </w:rPr>
        <w:t>tact first when a child is</w:t>
      </w:r>
      <w:r w:rsidR="00C502C1">
        <w:rPr>
          <w:rFonts w:ascii="Baskerville" w:hAnsi="Baskerville" w:cs="Baskerville"/>
        </w:rPr>
        <w:t xml:space="preserve"> </w:t>
      </w:r>
      <w:r w:rsidR="00D571B1" w:rsidRPr="00256652">
        <w:rPr>
          <w:rFonts w:ascii="Baskerville" w:hAnsi="Baskerville" w:cs="Baskerville"/>
        </w:rPr>
        <w:t>diagnosed with a significant disability</w:t>
      </w:r>
      <w:r w:rsidR="002B6AC4">
        <w:rPr>
          <w:rFonts w:ascii="Baskerville" w:hAnsi="Baskerville" w:cs="Baskerville"/>
        </w:rPr>
        <w:t xml:space="preserve"> </w:t>
      </w:r>
      <w:r w:rsidR="00D571B1" w:rsidRPr="00256652">
        <w:rPr>
          <w:rFonts w:ascii="Baskerville" w:hAnsi="Baskerville" w:cs="Baskerville"/>
        </w:rPr>
        <w:t>or when an individual is n</w:t>
      </w:r>
      <w:r w:rsidR="00D06A77">
        <w:rPr>
          <w:rFonts w:ascii="Baskerville" w:hAnsi="Baskerville" w:cs="Baskerville"/>
        </w:rPr>
        <w:t>ew to the Commonwealth. These agencies include</w:t>
      </w:r>
      <w:r w:rsidR="00D571B1" w:rsidRPr="00256652">
        <w:rPr>
          <w:rFonts w:ascii="Baskerville" w:hAnsi="Baskerville" w:cs="Baskerville"/>
        </w:rPr>
        <w:t xml:space="preserve"> hospital neonatal intensive care units, pedia</w:t>
      </w:r>
      <w:r w:rsidR="00D06A77">
        <w:rPr>
          <w:rFonts w:ascii="Baskerville" w:hAnsi="Baskerville" w:cs="Baskerville"/>
        </w:rPr>
        <w:t>tric</w:t>
      </w:r>
      <w:r w:rsidR="00D571B1" w:rsidRPr="00256652">
        <w:rPr>
          <w:rFonts w:ascii="Baskerville" w:hAnsi="Baskerville" w:cs="Baskerville"/>
        </w:rPr>
        <w:t xml:space="preserve"> organizations, and public school special education programs.</w:t>
      </w: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4A6F43" w:rsidRDefault="004A6F43" w:rsidP="00581D23">
      <w:pPr>
        <w:spacing w:before="100" w:beforeAutospacing="1" w:after="100" w:afterAutospacing="1" w:line="276" w:lineRule="auto"/>
        <w:ind w:left="540" w:hanging="360"/>
        <w:contextualSpacing/>
        <w:jc w:val="both"/>
        <w:rPr>
          <w:rFonts w:ascii="Baskerville" w:hAnsi="Baskerville" w:cs="Baskerville"/>
          <w:b/>
          <w:sz w:val="28"/>
          <w:szCs w:val="28"/>
        </w:rPr>
      </w:pPr>
    </w:p>
    <w:p w:rsidR="004C608D" w:rsidRPr="00547490" w:rsidRDefault="00581D23" w:rsidP="00581D23">
      <w:pPr>
        <w:tabs>
          <w:tab w:val="left" w:pos="720"/>
        </w:tabs>
        <w:ind w:hanging="360"/>
        <w:jc w:val="center"/>
        <w:rPr>
          <w:rFonts w:ascii="Baskerville" w:hAnsi="Baskerville" w:cs="Baskerville"/>
          <w:b/>
          <w:sz w:val="28"/>
          <w:szCs w:val="28"/>
          <w:u w:val="single"/>
        </w:rPr>
      </w:pPr>
      <w:r w:rsidRPr="00547490">
        <w:rPr>
          <w:rFonts w:ascii="Baskerville" w:hAnsi="Baskerville" w:cs="Baskerville"/>
          <w:b/>
          <w:sz w:val="28"/>
          <w:szCs w:val="28"/>
          <w:u w:val="single"/>
        </w:rPr>
        <w:t>VI</w:t>
      </w:r>
      <w:r w:rsidR="003104C0" w:rsidRPr="00547490">
        <w:rPr>
          <w:rFonts w:ascii="Baskerville" w:hAnsi="Baskerville" w:cs="Baskerville"/>
          <w:b/>
          <w:sz w:val="28"/>
          <w:szCs w:val="28"/>
          <w:u w:val="single"/>
        </w:rPr>
        <w:t xml:space="preserve">. </w:t>
      </w:r>
      <w:r w:rsidR="004C608D" w:rsidRPr="00547490">
        <w:rPr>
          <w:rFonts w:ascii="Baskerville" w:hAnsi="Baskerville" w:cs="Baskerville"/>
          <w:b/>
          <w:sz w:val="28"/>
          <w:szCs w:val="28"/>
          <w:u w:val="single"/>
        </w:rPr>
        <w:t>APPENDICES</w:t>
      </w:r>
    </w:p>
    <w:p w:rsidR="004C608D" w:rsidRPr="00EF5B9D" w:rsidRDefault="004C608D" w:rsidP="00581D23">
      <w:pPr>
        <w:tabs>
          <w:tab w:val="left" w:pos="720"/>
        </w:tabs>
        <w:ind w:hanging="360"/>
        <w:jc w:val="center"/>
        <w:rPr>
          <w:rFonts w:ascii="Baskerville" w:hAnsi="Baskerville" w:cs="Baskerville"/>
          <w:b/>
          <w:sz w:val="28"/>
          <w:szCs w:val="28"/>
        </w:rPr>
      </w:pPr>
    </w:p>
    <w:p w:rsidR="004C608D" w:rsidRPr="00EF5B9D" w:rsidRDefault="004C608D" w:rsidP="00581D23">
      <w:pPr>
        <w:tabs>
          <w:tab w:val="left" w:pos="720"/>
        </w:tabs>
        <w:ind w:hanging="360"/>
        <w:jc w:val="center"/>
        <w:rPr>
          <w:rFonts w:ascii="Baskerville" w:hAnsi="Baskerville" w:cs="Baskerville"/>
          <w:b/>
          <w:sz w:val="28"/>
          <w:szCs w:val="28"/>
        </w:rPr>
      </w:pPr>
    </w:p>
    <w:p w:rsidR="004C608D" w:rsidRPr="00EF5B9D" w:rsidRDefault="004C608D" w:rsidP="00581D23">
      <w:pPr>
        <w:tabs>
          <w:tab w:val="left" w:pos="8383"/>
        </w:tabs>
        <w:ind w:hanging="360"/>
        <w:rPr>
          <w:rFonts w:ascii="Baskerville" w:hAnsi="Baskerville" w:cs="Baskerville"/>
          <w:b/>
        </w:rPr>
      </w:pPr>
      <w:r w:rsidRPr="00EF5B9D">
        <w:rPr>
          <w:rFonts w:ascii="Baskerville" w:hAnsi="Baskerville" w:cs="Baskerville"/>
          <w:b/>
        </w:rPr>
        <w:tab/>
      </w:r>
    </w:p>
    <w:p w:rsidR="004C608D" w:rsidRPr="00EF5B9D" w:rsidRDefault="004C608D" w:rsidP="00581D23">
      <w:pPr>
        <w:tabs>
          <w:tab w:val="left" w:pos="720"/>
        </w:tabs>
        <w:ind w:left="720" w:right="-180" w:hanging="360"/>
        <w:rPr>
          <w:rFonts w:ascii="Baskerville" w:hAnsi="Baskerville" w:cs="Baskerville"/>
          <w:b/>
          <w:bCs/>
        </w:rPr>
      </w:pPr>
      <w:r w:rsidRPr="00EF5B9D">
        <w:rPr>
          <w:rFonts w:ascii="Baskerville" w:hAnsi="Baskerville" w:cs="Baskerville"/>
          <w:b/>
          <w:bCs/>
        </w:rPr>
        <w:t>A.</w:t>
      </w:r>
      <w:r w:rsidRPr="00EF5B9D">
        <w:rPr>
          <w:rFonts w:ascii="Baskerville" w:hAnsi="Baskerville" w:cs="Baskerville"/>
          <w:b/>
          <w:bCs/>
        </w:rPr>
        <w:tab/>
      </w:r>
      <w:r w:rsidRPr="00EF5B9D">
        <w:rPr>
          <w:rFonts w:ascii="Baskerville" w:hAnsi="Baskerville" w:cs="Baskerville"/>
          <w:b/>
          <w:bCs/>
        </w:rPr>
        <w:tab/>
        <w:t xml:space="preserve"> INDIVIDUAL REVIEWS</w:t>
      </w:r>
    </w:p>
    <w:p w:rsidR="004C608D" w:rsidRPr="00EF5B9D" w:rsidRDefault="004C608D" w:rsidP="00581D23">
      <w:pPr>
        <w:tabs>
          <w:tab w:val="left" w:pos="720"/>
        </w:tabs>
        <w:ind w:left="720" w:right="-180" w:hanging="360"/>
        <w:rPr>
          <w:rFonts w:ascii="Baskerville" w:hAnsi="Baskerville" w:cs="Baskerville"/>
          <w:b/>
          <w:bCs/>
        </w:rPr>
      </w:pPr>
    </w:p>
    <w:p w:rsidR="004C608D" w:rsidRDefault="004C608D" w:rsidP="00581D23">
      <w:pPr>
        <w:tabs>
          <w:tab w:val="left" w:pos="720"/>
        </w:tabs>
        <w:ind w:left="720" w:right="-180" w:hanging="360"/>
        <w:rPr>
          <w:rFonts w:ascii="Baskerville" w:hAnsi="Baskerville" w:cs="Baskerville"/>
          <w:b/>
        </w:rPr>
      </w:pPr>
      <w:r w:rsidRPr="00EF5B9D">
        <w:rPr>
          <w:rFonts w:ascii="Baskerville" w:hAnsi="Baskerville" w:cs="Baskerville"/>
          <w:b/>
        </w:rPr>
        <w:t xml:space="preserve">B. </w:t>
      </w:r>
      <w:r w:rsidRPr="00EF5B9D">
        <w:rPr>
          <w:rFonts w:ascii="Baskerville" w:hAnsi="Baskerville" w:cs="Baskerville"/>
          <w:b/>
        </w:rPr>
        <w:tab/>
      </w:r>
      <w:r w:rsidRPr="00EF5B9D">
        <w:rPr>
          <w:rFonts w:ascii="Baskerville" w:hAnsi="Baskerville" w:cs="Baskerville"/>
          <w:b/>
        </w:rPr>
        <w:tab/>
      </w:r>
      <w:r w:rsidRPr="00EF5B9D">
        <w:rPr>
          <w:rFonts w:ascii="Baskerville" w:hAnsi="Baskerville" w:cs="Baskerville"/>
          <w:b/>
          <w:bCs/>
        </w:rPr>
        <w:t>CASE MANAGEMENT AND LICENSING REQUIREMENTS</w:t>
      </w:r>
      <w:r w:rsidRPr="00EF5B9D">
        <w:rPr>
          <w:rFonts w:ascii="Baskerville" w:hAnsi="Baskerville" w:cs="Baskerville"/>
          <w:b/>
        </w:rPr>
        <w:t xml:space="preserve"> </w:t>
      </w:r>
    </w:p>
    <w:p w:rsidR="004C608D" w:rsidRPr="00EF5B9D" w:rsidRDefault="004C608D" w:rsidP="00581D23">
      <w:pPr>
        <w:tabs>
          <w:tab w:val="left" w:pos="720"/>
        </w:tabs>
        <w:ind w:left="720" w:right="-180" w:hanging="360"/>
        <w:rPr>
          <w:rFonts w:ascii="Baskerville" w:hAnsi="Baskerville" w:cs="Baskerville"/>
          <w:b/>
        </w:rPr>
      </w:pPr>
    </w:p>
    <w:p w:rsidR="004C608D" w:rsidRPr="00EF5B9D" w:rsidRDefault="004C608D" w:rsidP="00581D23">
      <w:pPr>
        <w:tabs>
          <w:tab w:val="left" w:pos="720"/>
        </w:tabs>
        <w:ind w:left="720" w:right="-180" w:hanging="360"/>
        <w:rPr>
          <w:rFonts w:ascii="Baskerville" w:hAnsi="Baskerville" w:cs="Baskerville"/>
          <w:b/>
        </w:rPr>
      </w:pPr>
      <w:r>
        <w:rPr>
          <w:rFonts w:ascii="Baskerville" w:hAnsi="Baskerville" w:cs="Baskerville"/>
          <w:b/>
          <w:bCs/>
        </w:rPr>
        <w:t>C.</w:t>
      </w:r>
      <w:r>
        <w:rPr>
          <w:rFonts w:ascii="Baskerville" w:hAnsi="Baskerville" w:cs="Baskerville"/>
          <w:b/>
          <w:bCs/>
        </w:rPr>
        <w:tab/>
      </w:r>
      <w:r>
        <w:rPr>
          <w:rFonts w:ascii="Baskerville" w:hAnsi="Baskerville" w:cs="Baskerville"/>
          <w:b/>
          <w:bCs/>
        </w:rPr>
        <w:tab/>
      </w:r>
      <w:r w:rsidRPr="00EF5B9D">
        <w:rPr>
          <w:rFonts w:ascii="Baskerville" w:hAnsi="Baskerville" w:cs="Baskerville"/>
          <w:b/>
        </w:rPr>
        <w:t>CRISIS SERVICES REQUIREMENTS</w:t>
      </w:r>
    </w:p>
    <w:p w:rsidR="004C608D" w:rsidRDefault="004C608D" w:rsidP="00581D23">
      <w:pPr>
        <w:tabs>
          <w:tab w:val="left" w:pos="720"/>
        </w:tabs>
        <w:ind w:left="720" w:right="-180" w:hanging="360"/>
        <w:rPr>
          <w:rFonts w:ascii="Baskerville" w:hAnsi="Baskerville" w:cs="Baskerville"/>
          <w:b/>
          <w:bCs/>
        </w:rPr>
      </w:pPr>
    </w:p>
    <w:p w:rsidR="004C608D" w:rsidRPr="00EF5B9D" w:rsidRDefault="004C608D" w:rsidP="00581D23">
      <w:pPr>
        <w:tabs>
          <w:tab w:val="left" w:pos="720"/>
        </w:tabs>
        <w:ind w:left="720" w:right="-180" w:hanging="360"/>
        <w:rPr>
          <w:rFonts w:ascii="Baskerville" w:hAnsi="Baskerville" w:cs="Baskerville"/>
          <w:b/>
          <w:bCs/>
        </w:rPr>
      </w:pPr>
      <w:r w:rsidRPr="00EF5B9D">
        <w:rPr>
          <w:rFonts w:ascii="Baskerville" w:hAnsi="Baskerville" w:cs="Baskerville"/>
          <w:b/>
          <w:bCs/>
        </w:rPr>
        <w:t xml:space="preserve">D. </w:t>
      </w:r>
      <w:r w:rsidRPr="00EF5B9D">
        <w:rPr>
          <w:rFonts w:ascii="Baskerville" w:hAnsi="Baskerville" w:cs="Baskerville"/>
          <w:b/>
          <w:bCs/>
        </w:rPr>
        <w:tab/>
      </w:r>
      <w:r w:rsidRPr="00EF5B9D">
        <w:rPr>
          <w:rFonts w:ascii="Baskerville" w:hAnsi="Baskerville" w:cs="Baskerville"/>
          <w:b/>
          <w:bCs/>
        </w:rPr>
        <w:tab/>
        <w:t>INTEGRATED DAY ACTIVITIES AND SUPPORTED EMPLOYMENT</w:t>
      </w:r>
    </w:p>
    <w:p w:rsidR="00D15777" w:rsidRDefault="00D15777" w:rsidP="00581D23">
      <w:pPr>
        <w:tabs>
          <w:tab w:val="left" w:pos="720"/>
        </w:tabs>
        <w:ind w:left="720" w:right="-180" w:hanging="360"/>
        <w:rPr>
          <w:rFonts w:ascii="Baskerville" w:hAnsi="Baskerville" w:cs="Baskerville"/>
          <w:b/>
          <w:bCs/>
        </w:rPr>
      </w:pPr>
    </w:p>
    <w:p w:rsidR="007F5930" w:rsidRDefault="00581D23" w:rsidP="00581D23">
      <w:pPr>
        <w:pStyle w:val="ListParagraph"/>
        <w:numPr>
          <w:ilvl w:val="0"/>
          <w:numId w:val="78"/>
        </w:numPr>
        <w:ind w:left="1440" w:right="-180" w:hanging="990"/>
        <w:rPr>
          <w:rFonts w:ascii="Baskerville" w:hAnsi="Baskerville" w:cs="Baskerville"/>
          <w:b/>
          <w:bCs/>
        </w:rPr>
      </w:pPr>
      <w:r>
        <w:rPr>
          <w:rFonts w:ascii="Baskerville" w:hAnsi="Baskerville" w:cs="Baskerville"/>
          <w:b/>
          <w:bCs/>
        </w:rPr>
        <w:t xml:space="preserve">INDIVIDUAL AND </w:t>
      </w:r>
      <w:r w:rsidR="004C608D" w:rsidRPr="00D15777">
        <w:rPr>
          <w:rFonts w:ascii="Baskerville" w:hAnsi="Baskerville" w:cs="Baskerville"/>
          <w:b/>
          <w:bCs/>
        </w:rPr>
        <w:t xml:space="preserve">FAMILY SUPPORT and </w:t>
      </w:r>
      <w:r w:rsidR="004C608D" w:rsidRPr="007F5930">
        <w:rPr>
          <w:rFonts w:ascii="Baskerville" w:hAnsi="Baskerville" w:cs="Baskerville"/>
          <w:b/>
          <w:bCs/>
        </w:rPr>
        <w:t>GUIDELINES FOR FAMILIES</w:t>
      </w:r>
      <w:r w:rsidR="007F5930" w:rsidRPr="007F5930">
        <w:rPr>
          <w:rFonts w:ascii="Baskerville" w:hAnsi="Baskerville" w:cs="Baskerville"/>
          <w:b/>
          <w:bCs/>
        </w:rPr>
        <w:t xml:space="preserve"> </w:t>
      </w:r>
      <w:r w:rsidR="004C608D" w:rsidRPr="007F5930">
        <w:rPr>
          <w:rFonts w:ascii="Baskerville" w:hAnsi="Baskerville" w:cs="Baskerville"/>
          <w:b/>
          <w:bCs/>
        </w:rPr>
        <w:t>SEEKING</w:t>
      </w:r>
      <w:r w:rsidR="007F5930" w:rsidRPr="007F5930">
        <w:rPr>
          <w:rFonts w:ascii="Baskerville" w:hAnsi="Baskerville" w:cs="Baskerville"/>
          <w:b/>
          <w:bCs/>
        </w:rPr>
        <w:t xml:space="preserve"> SERVICES</w:t>
      </w:r>
    </w:p>
    <w:p w:rsidR="007F5930" w:rsidRPr="007F5930" w:rsidRDefault="004C608D" w:rsidP="00581D23">
      <w:pPr>
        <w:ind w:left="720" w:right="-180" w:hanging="990"/>
        <w:rPr>
          <w:rFonts w:ascii="Baskerville" w:hAnsi="Baskerville" w:cs="Baskerville"/>
          <w:b/>
          <w:bCs/>
        </w:rPr>
      </w:pPr>
      <w:r w:rsidRPr="007F5930">
        <w:rPr>
          <w:rFonts w:ascii="Baskerville" w:hAnsi="Baskerville" w:cs="Baskerville"/>
          <w:b/>
          <w:bCs/>
        </w:rPr>
        <w:t xml:space="preserve"> </w:t>
      </w:r>
    </w:p>
    <w:p w:rsidR="007F5930" w:rsidRPr="007F5930" w:rsidRDefault="009F279D" w:rsidP="00581D23">
      <w:pPr>
        <w:pStyle w:val="ListParagraph"/>
        <w:numPr>
          <w:ilvl w:val="0"/>
          <w:numId w:val="78"/>
        </w:numPr>
        <w:ind w:left="1440" w:right="-180" w:hanging="990"/>
        <w:rPr>
          <w:rFonts w:ascii="Baskerville" w:hAnsi="Baskerville" w:cs="Baskerville"/>
          <w:b/>
          <w:bCs/>
        </w:rPr>
      </w:pPr>
      <w:r>
        <w:rPr>
          <w:rFonts w:ascii="Baskerville" w:hAnsi="Baskerville" w:cs="Baskerville"/>
          <w:b/>
          <w:bCs/>
        </w:rPr>
        <w:t xml:space="preserve">LIST OF </w:t>
      </w:r>
      <w:r w:rsidR="007F5930">
        <w:rPr>
          <w:rFonts w:ascii="Baskerville" w:hAnsi="Baskerville" w:cs="Baskerville"/>
          <w:b/>
          <w:bCs/>
        </w:rPr>
        <w:t>ACRONYMS</w:t>
      </w:r>
    </w:p>
    <w:p w:rsidR="00D15777" w:rsidRPr="00D15777" w:rsidRDefault="00D15777" w:rsidP="00D15777">
      <w:pPr>
        <w:tabs>
          <w:tab w:val="left" w:pos="720"/>
        </w:tabs>
        <w:ind w:right="-180"/>
        <w:rPr>
          <w:rFonts w:ascii="Baskerville" w:hAnsi="Baskerville" w:cs="Baskerville"/>
          <w:b/>
          <w:bCs/>
        </w:rPr>
      </w:pPr>
    </w:p>
    <w:p w:rsidR="004C608D" w:rsidRPr="00EF5B9D" w:rsidRDefault="004C608D" w:rsidP="004C608D">
      <w:pPr>
        <w:tabs>
          <w:tab w:val="left" w:pos="720"/>
        </w:tabs>
        <w:ind w:left="1260" w:right="-180" w:hanging="900"/>
        <w:rPr>
          <w:rFonts w:ascii="Baskerville" w:hAnsi="Baskerville" w:cs="Baskerville"/>
          <w:b/>
          <w:bCs/>
        </w:rPr>
      </w:pPr>
    </w:p>
    <w:p w:rsidR="004C608D" w:rsidRPr="00EF5B9D" w:rsidRDefault="004C608D" w:rsidP="004C608D">
      <w:pPr>
        <w:tabs>
          <w:tab w:val="left" w:pos="720"/>
        </w:tabs>
        <w:ind w:left="1260" w:right="-180" w:hanging="900"/>
        <w:rPr>
          <w:rFonts w:ascii="Baskerville" w:hAnsi="Baskerville" w:cs="Baskerville"/>
          <w:b/>
          <w:bCs/>
        </w:rPr>
      </w:pPr>
      <w:r>
        <w:rPr>
          <w:rFonts w:ascii="Baskerville" w:hAnsi="Baskerville" w:cs="Baskerville"/>
          <w:b/>
          <w:bCs/>
        </w:rPr>
        <w:t xml:space="preserve"> </w:t>
      </w:r>
      <w:r>
        <w:rPr>
          <w:rFonts w:ascii="Baskerville" w:hAnsi="Baskerville" w:cs="Baskerville"/>
          <w:b/>
          <w:bCs/>
        </w:rPr>
        <w:tab/>
      </w:r>
    </w:p>
    <w:p w:rsidR="004C608D" w:rsidRPr="00EF5B9D" w:rsidRDefault="004C608D" w:rsidP="004C608D">
      <w:pPr>
        <w:tabs>
          <w:tab w:val="left" w:pos="720"/>
        </w:tabs>
        <w:ind w:left="1260" w:right="-180" w:hanging="900"/>
        <w:rPr>
          <w:rFonts w:ascii="Baskerville" w:hAnsi="Baskerville" w:cs="Baskerville"/>
          <w:b/>
          <w:bCs/>
        </w:rPr>
      </w:pPr>
    </w:p>
    <w:p w:rsidR="004C608D" w:rsidRPr="00EF5B9D" w:rsidRDefault="004C608D" w:rsidP="004C608D">
      <w:pPr>
        <w:tabs>
          <w:tab w:val="left" w:pos="720"/>
        </w:tabs>
        <w:jc w:val="center"/>
        <w:rPr>
          <w:rFonts w:ascii="Baskerville" w:hAnsi="Baskerville" w:cs="Baskerville"/>
          <w:b/>
          <w:bCs/>
        </w:rPr>
      </w:pPr>
    </w:p>
    <w:p w:rsidR="004C608D" w:rsidRPr="00EF5B9D" w:rsidRDefault="004C608D" w:rsidP="004C608D">
      <w:pPr>
        <w:tabs>
          <w:tab w:val="left" w:pos="720"/>
        </w:tabs>
        <w:jc w:val="center"/>
        <w:rPr>
          <w:rFonts w:ascii="Baskerville" w:hAnsi="Baskerville" w:cs="Baskerville"/>
          <w:b/>
          <w:bCs/>
        </w:rPr>
      </w:pPr>
    </w:p>
    <w:p w:rsidR="004C608D" w:rsidRPr="00EF5B9D" w:rsidRDefault="004C608D" w:rsidP="004C608D">
      <w:pPr>
        <w:tabs>
          <w:tab w:val="left" w:pos="720"/>
        </w:tabs>
        <w:jc w:val="center"/>
        <w:rPr>
          <w:rFonts w:ascii="Baskerville" w:hAnsi="Baskerville" w:cs="Baskerville"/>
          <w:b/>
          <w:bCs/>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rPr>
          <w:rFonts w:ascii="Baskerville" w:hAnsi="Baskerville" w:cs="Baskerville"/>
          <w:b/>
          <w:sz w:val="28"/>
          <w:szCs w:val="28"/>
          <w:u w:val="single"/>
        </w:rPr>
      </w:pPr>
      <w:r w:rsidRPr="00EF5B9D">
        <w:rPr>
          <w:rFonts w:ascii="Baskerville" w:hAnsi="Baskerville" w:cs="Baskerville"/>
          <w:b/>
          <w:sz w:val="28"/>
          <w:szCs w:val="28"/>
          <w:u w:val="single"/>
        </w:rPr>
        <w:br w:type="page"/>
      </w: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s>
        <w:jc w:val="center"/>
        <w:rPr>
          <w:rFonts w:ascii="Baskerville" w:hAnsi="Baskerville" w:cs="Baskerville"/>
          <w:b/>
          <w:sz w:val="28"/>
          <w:szCs w:val="28"/>
          <w:u w:val="single"/>
        </w:rPr>
      </w:pPr>
      <w:r w:rsidRPr="00EF5B9D">
        <w:rPr>
          <w:rFonts w:ascii="Baskerville" w:hAnsi="Baskerville" w:cs="Baskerville"/>
          <w:b/>
          <w:sz w:val="28"/>
          <w:szCs w:val="28"/>
          <w:u w:val="single"/>
        </w:rPr>
        <w:t>APPENDIX A</w:t>
      </w: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 xml:space="preserve">INDIVIDUAL REVIEWS </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October 7, 2014 – April 6, 2015</w:t>
      </w: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 xml:space="preserve">Completed by: </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Donald Fletcher, Independent Reviewer</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Elizabeth Jones, Team Leader</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Marisa Brown MSN</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Barbara Pilarcik RN</w:t>
      </w:r>
    </w:p>
    <w:p w:rsidR="004C608D" w:rsidRPr="00EF5B9D" w:rsidRDefault="004C608D" w:rsidP="004C608D">
      <w:pPr>
        <w:tabs>
          <w:tab w:val="left" w:pos="720"/>
        </w:tabs>
        <w:jc w:val="center"/>
        <w:rPr>
          <w:rFonts w:ascii="Baskerville" w:hAnsi="Baskerville" w:cs="Baskerville"/>
          <w:b/>
          <w:bCs/>
          <w:sz w:val="28"/>
          <w:szCs w:val="28"/>
        </w:rPr>
      </w:pPr>
      <w:r w:rsidRPr="00EF5B9D">
        <w:rPr>
          <w:rFonts w:ascii="Baskerville" w:hAnsi="Baskerville" w:cs="Baskerville"/>
          <w:b/>
          <w:bCs/>
          <w:sz w:val="28"/>
          <w:szCs w:val="28"/>
        </w:rPr>
        <w:t>Shirley Roth MSN</w:t>
      </w: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Cs/>
        </w:rPr>
      </w:pPr>
      <w:r w:rsidRPr="00EF5B9D">
        <w:rPr>
          <w:rFonts w:ascii="Baskerville" w:hAnsi="Baskerville" w:cs="Baskerville"/>
          <w:bCs/>
        </w:rPr>
        <w:t xml:space="preserve"> </w:t>
      </w: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tabs>
          <w:tab w:val="left" w:pos="720"/>
        </w:tabs>
        <w:jc w:val="center"/>
        <w:rPr>
          <w:rFonts w:ascii="Baskerville" w:hAnsi="Baskerville" w:cs="Baskerville"/>
          <w:bCs/>
        </w:rPr>
      </w:pPr>
    </w:p>
    <w:p w:rsidR="004C608D" w:rsidRPr="00EF5B9D" w:rsidRDefault="004C608D" w:rsidP="004C608D">
      <w:pPr>
        <w:jc w:val="center"/>
        <w:rPr>
          <w:rFonts w:ascii="Baskerville" w:hAnsi="Baskerville" w:cs="Baskerville"/>
          <w:b/>
        </w:rPr>
      </w:pPr>
    </w:p>
    <w:p w:rsidR="004C608D" w:rsidRPr="00EF5B9D" w:rsidRDefault="004C608D" w:rsidP="004C608D">
      <w:pPr>
        <w:jc w:val="center"/>
        <w:rPr>
          <w:rFonts w:ascii="Baskerville" w:hAnsi="Baskerville" w:cs="Baskerville"/>
          <w:b/>
        </w:rPr>
      </w:pPr>
    </w:p>
    <w:p w:rsidR="004C608D" w:rsidRPr="00EF5B9D" w:rsidRDefault="004C608D" w:rsidP="004C608D">
      <w:pPr>
        <w:jc w:val="center"/>
        <w:rPr>
          <w:rFonts w:ascii="Baskerville" w:hAnsi="Baskerville" w:cs="Baskerville"/>
          <w:b/>
        </w:rPr>
      </w:pPr>
    </w:p>
    <w:p w:rsidR="004C608D" w:rsidRPr="00EF5B9D" w:rsidRDefault="004C608D" w:rsidP="004C608D">
      <w:pPr>
        <w:jc w:val="center"/>
        <w:rPr>
          <w:rFonts w:ascii="Baskerville" w:hAnsi="Baskerville" w:cs="Baskerville"/>
          <w:b/>
        </w:rPr>
      </w:pPr>
    </w:p>
    <w:p w:rsidR="004C608D" w:rsidRPr="00EF5B9D" w:rsidRDefault="004C608D" w:rsidP="004C608D">
      <w:pPr>
        <w:jc w:val="center"/>
        <w:rPr>
          <w:rFonts w:ascii="Baskerville" w:hAnsi="Baskerville" w:cs="Baskerville"/>
          <w:b/>
        </w:rPr>
      </w:pPr>
    </w:p>
    <w:p w:rsidR="004C608D" w:rsidRPr="00EF5B9D" w:rsidRDefault="004C608D" w:rsidP="004C608D">
      <w:pPr>
        <w:jc w:val="center"/>
        <w:rPr>
          <w:rFonts w:ascii="Baskerville" w:hAnsi="Baskerville" w:cs="Baskerville"/>
          <w:b/>
        </w:rPr>
      </w:pPr>
    </w:p>
    <w:p w:rsidR="004C608D" w:rsidRPr="00EA03EC" w:rsidRDefault="004C608D" w:rsidP="004C608D">
      <w:pPr>
        <w:rPr>
          <w:rFonts w:ascii="Baskerville" w:hAnsi="Baskerville" w:cs="Baskerville"/>
          <w:b/>
        </w:rPr>
      </w:pPr>
    </w:p>
    <w:p w:rsidR="004C608D" w:rsidRPr="00EF5B9D" w:rsidRDefault="004C608D" w:rsidP="004C608D">
      <w:pPr>
        <w:rPr>
          <w:rFonts w:ascii="Baskerville" w:hAnsi="Baskerville"/>
        </w:rPr>
      </w:pPr>
    </w:p>
    <w:p w:rsidR="004C608D" w:rsidRPr="00984219" w:rsidRDefault="004C608D" w:rsidP="004C608D">
      <w:pPr>
        <w:jc w:val="center"/>
        <w:rPr>
          <w:rFonts w:ascii="Baskerville" w:hAnsi="Baskerville" w:cs="Baskerville"/>
          <w:b/>
          <w:sz w:val="28"/>
          <w:szCs w:val="28"/>
        </w:rPr>
      </w:pPr>
      <w:r w:rsidRPr="00984219">
        <w:rPr>
          <w:rFonts w:ascii="Baskerville" w:hAnsi="Baskerville" w:cs="Baskerville"/>
          <w:b/>
          <w:sz w:val="28"/>
          <w:szCs w:val="28"/>
        </w:rPr>
        <w:t>Demographic Information</w:t>
      </w:r>
    </w:p>
    <w:p w:rsidR="004C608D" w:rsidRPr="00984219" w:rsidRDefault="004C608D" w:rsidP="004C608D">
      <w:pPr>
        <w:jc w:val="center"/>
        <w:rPr>
          <w:rFonts w:ascii="Baskerville" w:hAnsi="Baskerville" w:cs="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C608D" w:rsidRPr="00984219" w:rsidTr="004C608D">
        <w:tc>
          <w:tcPr>
            <w:tcW w:w="55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Sex</w:t>
            </w:r>
          </w:p>
        </w:tc>
        <w:tc>
          <w:tcPr>
            <w:tcW w:w="198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Male</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16</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64.0%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Female</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9</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36.0%</w:t>
            </w:r>
          </w:p>
        </w:tc>
      </w:tr>
    </w:tbl>
    <w:p w:rsidR="004C608D" w:rsidRPr="00984219" w:rsidRDefault="004C608D" w:rsidP="004C608D">
      <w:pPr>
        <w:ind w:left="-90"/>
        <w:jc w:val="center"/>
        <w:rPr>
          <w:rFonts w:ascii="Baskerville" w:hAnsi="Baskerville" w:cs="Baskerville"/>
        </w:rPr>
      </w:pPr>
    </w:p>
    <w:p w:rsidR="004C608D" w:rsidRPr="00984219" w:rsidRDefault="004C608D" w:rsidP="004C608D">
      <w:pPr>
        <w:ind w:left="-90"/>
        <w:jc w:val="center"/>
        <w:rPr>
          <w:rFonts w:ascii="Baskerville" w:hAnsi="Baskerville" w:cs="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C608D" w:rsidRPr="00984219" w:rsidTr="004C608D">
        <w:tc>
          <w:tcPr>
            <w:tcW w:w="5580" w:type="dxa"/>
            <w:shd w:val="clear" w:color="auto" w:fill="auto"/>
          </w:tcPr>
          <w:p w:rsidR="004C608D" w:rsidRPr="00984219" w:rsidRDefault="004C608D" w:rsidP="004C608D">
            <w:pPr>
              <w:ind w:left="-90"/>
              <w:jc w:val="center"/>
              <w:rPr>
                <w:rFonts w:ascii="Baskerville" w:hAnsi="Baskerville" w:cs="Baskerville"/>
              </w:rPr>
            </w:pPr>
            <w:r w:rsidRPr="00984219">
              <w:rPr>
                <w:rFonts w:ascii="Baskerville" w:hAnsi="Baskerville" w:cs="Baskerville"/>
                <w:b/>
              </w:rPr>
              <w:t>Age ranges</w:t>
            </w:r>
          </w:p>
        </w:tc>
        <w:tc>
          <w:tcPr>
            <w:tcW w:w="198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Under 21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48.0%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21 to 30</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32.0%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31 to 40</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41 to 50</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51 to 60</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8.0%</w:t>
            </w:r>
          </w:p>
        </w:tc>
      </w:tr>
    </w:tbl>
    <w:p w:rsidR="004C608D" w:rsidRPr="00984219" w:rsidRDefault="004C608D" w:rsidP="004C608D">
      <w:pPr>
        <w:ind w:left="-90"/>
        <w:jc w:val="center"/>
        <w:rPr>
          <w:rFonts w:ascii="Baskerville" w:hAnsi="Baskerville" w:cs="Baskerville"/>
        </w:rPr>
      </w:pPr>
    </w:p>
    <w:p w:rsidR="004C608D" w:rsidRPr="00984219" w:rsidRDefault="004C608D" w:rsidP="004C608D">
      <w:pPr>
        <w:ind w:left="-90"/>
        <w:jc w:val="center"/>
        <w:rPr>
          <w:rFonts w:ascii="Baskerville" w:hAnsi="Baskerville" w:cs="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C608D" w:rsidRPr="00984219" w:rsidTr="004C608D">
        <w:tc>
          <w:tcPr>
            <w:tcW w:w="5580" w:type="dxa"/>
            <w:shd w:val="clear" w:color="auto" w:fill="auto"/>
          </w:tcPr>
          <w:p w:rsidR="004C608D" w:rsidRPr="00984219" w:rsidRDefault="004C608D" w:rsidP="004C608D">
            <w:pPr>
              <w:ind w:left="-90"/>
              <w:jc w:val="center"/>
              <w:rPr>
                <w:rFonts w:ascii="Baskerville" w:hAnsi="Baskerville" w:cs="Baskerville"/>
              </w:rPr>
            </w:pPr>
            <w:r w:rsidRPr="00984219">
              <w:rPr>
                <w:rFonts w:ascii="Baskerville" w:hAnsi="Baskerville" w:cs="Baskerville"/>
                <w:b/>
              </w:rPr>
              <w:t>Levels of Mobility</w:t>
            </w:r>
          </w:p>
        </w:tc>
        <w:tc>
          <w:tcPr>
            <w:tcW w:w="198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Ambulatory without support</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19</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76.0%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Ambulatory with support</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Uses wheelchair</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16.0%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Confined to bed</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4.0%</w:t>
            </w:r>
          </w:p>
        </w:tc>
      </w:tr>
    </w:tbl>
    <w:p w:rsidR="004C608D" w:rsidRPr="00984219" w:rsidRDefault="004C608D" w:rsidP="004C608D">
      <w:pPr>
        <w:ind w:left="-90"/>
        <w:jc w:val="center"/>
        <w:rPr>
          <w:rFonts w:ascii="Baskerville" w:hAnsi="Baskerville" w:cs="Baskerville"/>
        </w:rPr>
      </w:pPr>
    </w:p>
    <w:p w:rsidR="004C608D" w:rsidRPr="00984219" w:rsidRDefault="004C608D" w:rsidP="004C608D">
      <w:pPr>
        <w:ind w:left="-90"/>
        <w:jc w:val="center"/>
        <w:rPr>
          <w:rFonts w:ascii="Baskerville" w:hAnsi="Baskerville" w:cs="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C608D" w:rsidRPr="00984219" w:rsidTr="004C608D">
        <w:tc>
          <w:tcPr>
            <w:tcW w:w="5580" w:type="dxa"/>
            <w:shd w:val="clear" w:color="auto" w:fill="auto"/>
          </w:tcPr>
          <w:p w:rsidR="004C608D" w:rsidRPr="00984219" w:rsidRDefault="004C608D" w:rsidP="004C608D">
            <w:pPr>
              <w:ind w:left="-90"/>
              <w:jc w:val="center"/>
              <w:rPr>
                <w:rFonts w:ascii="Baskerville" w:hAnsi="Baskerville" w:cs="Baskerville"/>
              </w:rPr>
            </w:pPr>
            <w:r w:rsidRPr="00984219">
              <w:rPr>
                <w:rFonts w:ascii="Baskerville" w:hAnsi="Baskerville" w:cs="Baskerville"/>
                <w:b/>
              </w:rPr>
              <w:t>Authorized Representative</w:t>
            </w:r>
          </w:p>
        </w:tc>
        <w:tc>
          <w:tcPr>
            <w:tcW w:w="198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Guardian</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48.0%</w:t>
            </w:r>
          </w:p>
        </w:tc>
      </w:tr>
      <w:tr w:rsidR="004C608D" w:rsidRPr="00984219" w:rsidTr="004C608D">
        <w:tc>
          <w:tcPr>
            <w:tcW w:w="5580" w:type="dxa"/>
            <w:shd w:val="clear" w:color="auto" w:fill="auto"/>
          </w:tcPr>
          <w:p w:rsidR="004C608D" w:rsidRPr="00984219" w:rsidRDefault="004C608D" w:rsidP="004C608D">
            <w:pPr>
              <w:jc w:val="center"/>
              <w:rPr>
                <w:rFonts w:ascii="Baskerville" w:hAnsi="Baskerville" w:cs="Baskerville"/>
              </w:rPr>
            </w:pPr>
            <w:r w:rsidRPr="00984219">
              <w:rPr>
                <w:rFonts w:ascii="Baskerville" w:hAnsi="Baskerville" w:cs="Baskerville"/>
              </w:rPr>
              <w:t>Authorized Representative</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29.2%</w:t>
            </w:r>
          </w:p>
        </w:tc>
      </w:tr>
    </w:tbl>
    <w:p w:rsidR="004C608D" w:rsidRPr="00984219" w:rsidRDefault="004C608D" w:rsidP="004C608D">
      <w:pPr>
        <w:ind w:left="-90"/>
        <w:jc w:val="center"/>
        <w:rPr>
          <w:rFonts w:ascii="Baskerville" w:hAnsi="Baskerville" w:cs="Baskerville"/>
        </w:rPr>
      </w:pPr>
    </w:p>
    <w:p w:rsidR="004C608D" w:rsidRPr="00984219" w:rsidRDefault="004C608D" w:rsidP="004C608D">
      <w:pPr>
        <w:ind w:left="-90"/>
        <w:jc w:val="center"/>
        <w:rPr>
          <w:rFonts w:ascii="Baskerville" w:hAnsi="Baskerville" w:cs="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C608D" w:rsidRPr="00984219" w:rsidTr="004C608D">
        <w:tc>
          <w:tcPr>
            <w:tcW w:w="5580" w:type="dxa"/>
            <w:shd w:val="clear" w:color="auto" w:fill="auto"/>
          </w:tcPr>
          <w:p w:rsidR="004C608D" w:rsidRPr="00984219" w:rsidRDefault="004C608D" w:rsidP="004C608D">
            <w:pPr>
              <w:ind w:left="-90"/>
              <w:jc w:val="center"/>
              <w:rPr>
                <w:rFonts w:ascii="Baskerville" w:hAnsi="Baskerville" w:cs="Baskerville"/>
              </w:rPr>
            </w:pPr>
            <w:r w:rsidRPr="00984219">
              <w:rPr>
                <w:rFonts w:ascii="Baskerville" w:hAnsi="Baskerville" w:cs="Baskerville"/>
                <w:b/>
              </w:rPr>
              <w:t>Type of Residence</w:t>
            </w:r>
          </w:p>
        </w:tc>
        <w:tc>
          <w:tcPr>
            <w:tcW w:w="198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5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Individual/family home</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Pr>
                <w:rFonts w:ascii="Baskerville" w:hAnsi="Baskerville" w:cs="Baskerville"/>
                <w:color w:val="000000"/>
              </w:rPr>
              <w:t>23</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Pr>
                <w:rFonts w:ascii="Baskerville" w:hAnsi="Baskerville" w:cs="Baskerville"/>
                <w:color w:val="000000"/>
              </w:rPr>
              <w:t>92.0</w:t>
            </w:r>
            <w:r w:rsidRPr="00984219">
              <w:rPr>
                <w:rFonts w:ascii="Baskerville" w:hAnsi="Baskerville" w:cs="Baskerville"/>
                <w:color w:val="000000"/>
              </w:rPr>
              <w:t>%</w:t>
            </w:r>
          </w:p>
        </w:tc>
      </w:tr>
      <w:tr w:rsidR="004C608D" w:rsidRPr="00984219" w:rsidTr="004C608D">
        <w:tc>
          <w:tcPr>
            <w:tcW w:w="55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Supported apartment</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Pr>
                <w:rFonts w:ascii="Baskerville" w:hAnsi="Baskerville" w:cs="Baskerville"/>
                <w:color w:val="000000"/>
              </w:rPr>
              <w:t>4.0</w:t>
            </w:r>
            <w:r w:rsidRPr="00984219">
              <w:rPr>
                <w:rFonts w:ascii="Baskerville" w:hAnsi="Baskerville" w:cs="Baskerville"/>
                <w:color w:val="000000"/>
              </w:rPr>
              <w:t>%</w:t>
            </w:r>
          </w:p>
        </w:tc>
      </w:tr>
      <w:tr w:rsidR="004C608D" w:rsidRPr="00984219" w:rsidTr="004C608D">
        <w:tc>
          <w:tcPr>
            <w:tcW w:w="55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Rehabilitation facility</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Pr>
                <w:rFonts w:ascii="Baskerville" w:hAnsi="Baskerville" w:cs="Baskerville"/>
                <w:color w:val="000000"/>
              </w:rPr>
              <w:t>4.0</w:t>
            </w:r>
            <w:r w:rsidRPr="00984219">
              <w:rPr>
                <w:rFonts w:ascii="Baskerville" w:hAnsi="Baskerville" w:cs="Baskerville"/>
                <w:color w:val="000000"/>
              </w:rPr>
              <w:t>%</w:t>
            </w:r>
          </w:p>
        </w:tc>
      </w:tr>
    </w:tbl>
    <w:p w:rsidR="004C608D" w:rsidRPr="00984219" w:rsidRDefault="004C608D" w:rsidP="004C608D">
      <w:pPr>
        <w:tabs>
          <w:tab w:val="left" w:pos="720"/>
        </w:tabs>
        <w:ind w:left="-90"/>
        <w:jc w:val="center"/>
        <w:rPr>
          <w:rFonts w:ascii="Baskerville" w:hAnsi="Baskerville" w:cs="Baskerville"/>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890"/>
        <w:gridCol w:w="1980"/>
      </w:tblGrid>
      <w:tr w:rsidR="004C608D" w:rsidRPr="00984219" w:rsidTr="004C608D">
        <w:tc>
          <w:tcPr>
            <w:tcW w:w="5670" w:type="dxa"/>
            <w:shd w:val="clear" w:color="auto" w:fill="auto"/>
          </w:tcPr>
          <w:p w:rsidR="004C608D" w:rsidRPr="00984219" w:rsidRDefault="004C608D" w:rsidP="004C608D">
            <w:pPr>
              <w:ind w:left="-90"/>
              <w:jc w:val="center"/>
              <w:rPr>
                <w:rFonts w:ascii="Baskerville" w:hAnsi="Baskerville" w:cs="Baskerville"/>
              </w:rPr>
            </w:pPr>
            <w:r w:rsidRPr="00984219">
              <w:rPr>
                <w:rFonts w:ascii="Baskerville" w:hAnsi="Baskerville" w:cs="Baskerville"/>
                <w:b/>
              </w:rPr>
              <w:t>Highest Level of Communication</w:t>
            </w:r>
          </w:p>
        </w:tc>
        <w:tc>
          <w:tcPr>
            <w:tcW w:w="1890" w:type="dxa"/>
            <w:shd w:val="clear" w:color="auto" w:fill="auto"/>
          </w:tcPr>
          <w:p w:rsidR="004C608D" w:rsidRPr="00984219" w:rsidRDefault="00953276" w:rsidP="004C608D">
            <w:pPr>
              <w:tabs>
                <w:tab w:val="left" w:pos="765"/>
              </w:tabs>
              <w:ind w:left="-90"/>
              <w:jc w:val="center"/>
              <w:rPr>
                <w:rFonts w:ascii="Baskerville" w:hAnsi="Baskerville" w:cs="Baskerville"/>
                <w:b/>
              </w:rPr>
            </w:pPr>
            <w:r w:rsidRPr="00984219">
              <w:rPr>
                <w:rFonts w:ascii="Baskerville" w:hAnsi="Baskerville" w:cs="Baskerville"/>
                <w:b/>
              </w:rPr>
              <w:t>N</w:t>
            </w:r>
          </w:p>
        </w:tc>
        <w:tc>
          <w:tcPr>
            <w:tcW w:w="1980" w:type="dxa"/>
            <w:shd w:val="clear" w:color="auto" w:fill="auto"/>
          </w:tcPr>
          <w:p w:rsidR="004C608D" w:rsidRPr="00984219" w:rsidRDefault="004C608D" w:rsidP="004C608D">
            <w:pPr>
              <w:ind w:left="-90"/>
              <w:jc w:val="center"/>
              <w:rPr>
                <w:rFonts w:ascii="Baskerville" w:hAnsi="Baskerville" w:cs="Baskerville"/>
                <w:b/>
              </w:rPr>
            </w:pPr>
            <w:r w:rsidRPr="00984219">
              <w:rPr>
                <w:rFonts w:ascii="Baskerville" w:hAnsi="Baskerville" w:cs="Baskerville"/>
                <w:b/>
              </w:rPr>
              <w:t>%</w:t>
            </w:r>
          </w:p>
        </w:tc>
      </w:tr>
      <w:tr w:rsidR="004C608D" w:rsidRPr="00984219" w:rsidTr="004C608D">
        <w:tc>
          <w:tcPr>
            <w:tcW w:w="5670" w:type="dxa"/>
            <w:shd w:val="clear" w:color="auto" w:fill="auto"/>
            <w:vAlign w:val="center"/>
          </w:tcPr>
          <w:p w:rsidR="004C608D" w:rsidRPr="00984219" w:rsidRDefault="004C608D" w:rsidP="004C608D">
            <w:pPr>
              <w:jc w:val="center"/>
              <w:rPr>
                <w:rFonts w:ascii="Baskerville" w:hAnsi="Baskerville" w:cs="Baskerville"/>
              </w:rPr>
            </w:pPr>
            <w:r w:rsidRPr="00984219">
              <w:rPr>
                <w:rFonts w:ascii="Baskerville" w:hAnsi="Baskerville" w:cs="Baskerville"/>
              </w:rPr>
              <w:t>Spoken language, fully articulates without assistance</w:t>
            </w:r>
          </w:p>
        </w:tc>
        <w:tc>
          <w:tcPr>
            <w:tcW w:w="189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20</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80.0%</w:t>
            </w:r>
          </w:p>
        </w:tc>
      </w:tr>
      <w:tr w:rsidR="004C608D" w:rsidRPr="00984219" w:rsidTr="004C608D">
        <w:tc>
          <w:tcPr>
            <w:tcW w:w="5670" w:type="dxa"/>
            <w:shd w:val="clear" w:color="auto" w:fill="auto"/>
            <w:vAlign w:val="center"/>
          </w:tcPr>
          <w:p w:rsidR="004C608D" w:rsidRPr="00984219" w:rsidRDefault="004C608D" w:rsidP="004C608D">
            <w:pPr>
              <w:jc w:val="center"/>
              <w:rPr>
                <w:rFonts w:ascii="Baskerville" w:hAnsi="Baskerville" w:cs="Baskerville"/>
              </w:rPr>
            </w:pPr>
            <w:r w:rsidRPr="00984219">
              <w:rPr>
                <w:rFonts w:ascii="Baskerville" w:hAnsi="Baskerville" w:cs="Baskerville"/>
                <w:sz w:val="20"/>
                <w:szCs w:val="20"/>
              </w:rPr>
              <w:t>Communication device</w:t>
            </w:r>
          </w:p>
        </w:tc>
        <w:tc>
          <w:tcPr>
            <w:tcW w:w="189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8.0%</w:t>
            </w:r>
          </w:p>
        </w:tc>
      </w:tr>
      <w:tr w:rsidR="004C608D" w:rsidRPr="00984219" w:rsidTr="004C608D">
        <w:tc>
          <w:tcPr>
            <w:tcW w:w="5670" w:type="dxa"/>
            <w:shd w:val="clear" w:color="auto" w:fill="auto"/>
            <w:vAlign w:val="center"/>
          </w:tcPr>
          <w:p w:rsidR="004C608D" w:rsidRPr="00984219" w:rsidRDefault="004C608D" w:rsidP="004C608D">
            <w:pPr>
              <w:jc w:val="center"/>
              <w:rPr>
                <w:rFonts w:ascii="Baskerville" w:hAnsi="Baskerville" w:cs="Baskerville"/>
              </w:rPr>
            </w:pPr>
            <w:r w:rsidRPr="00984219">
              <w:rPr>
                <w:rFonts w:ascii="Baskerville" w:hAnsi="Baskerville" w:cs="Baskerville"/>
                <w:sz w:val="20"/>
                <w:szCs w:val="20"/>
              </w:rPr>
              <w:t>Gestures</w:t>
            </w:r>
          </w:p>
        </w:tc>
        <w:tc>
          <w:tcPr>
            <w:tcW w:w="189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1</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4.0%</w:t>
            </w:r>
          </w:p>
        </w:tc>
      </w:tr>
      <w:tr w:rsidR="004C608D" w:rsidRPr="00984219" w:rsidTr="004C608D">
        <w:tc>
          <w:tcPr>
            <w:tcW w:w="5670" w:type="dxa"/>
            <w:shd w:val="clear" w:color="auto" w:fill="auto"/>
            <w:vAlign w:val="center"/>
          </w:tcPr>
          <w:p w:rsidR="004C608D" w:rsidRPr="00984219" w:rsidRDefault="004C608D" w:rsidP="004C608D">
            <w:pPr>
              <w:jc w:val="center"/>
              <w:rPr>
                <w:rFonts w:ascii="Baskerville" w:hAnsi="Baskerville" w:cs="Baskerville"/>
              </w:rPr>
            </w:pPr>
            <w:r w:rsidRPr="00984219">
              <w:rPr>
                <w:rFonts w:ascii="Baskerville" w:hAnsi="Baskerville" w:cs="Baskerville"/>
                <w:sz w:val="20"/>
                <w:szCs w:val="20"/>
              </w:rPr>
              <w:t>Vocalizations</w:t>
            </w:r>
          </w:p>
        </w:tc>
        <w:tc>
          <w:tcPr>
            <w:tcW w:w="189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2</w:t>
            </w:r>
          </w:p>
        </w:tc>
        <w:tc>
          <w:tcPr>
            <w:tcW w:w="1980" w:type="dxa"/>
            <w:shd w:val="clear" w:color="auto" w:fill="auto"/>
            <w:vAlign w:val="bottom"/>
          </w:tcPr>
          <w:p w:rsidR="004C608D" w:rsidRPr="00984219" w:rsidRDefault="004C608D" w:rsidP="004C608D">
            <w:pPr>
              <w:jc w:val="center"/>
              <w:rPr>
                <w:rFonts w:ascii="Baskerville" w:hAnsi="Baskerville" w:cs="Baskerville"/>
                <w:color w:val="000000"/>
              </w:rPr>
            </w:pPr>
            <w:r w:rsidRPr="00984219">
              <w:rPr>
                <w:rFonts w:ascii="Baskerville" w:hAnsi="Baskerville" w:cs="Baskerville"/>
                <w:color w:val="000000"/>
              </w:rPr>
              <w:t>8.0%</w:t>
            </w:r>
          </w:p>
        </w:tc>
      </w:tr>
    </w:tbl>
    <w:p w:rsidR="004C608D" w:rsidRPr="00C4625E" w:rsidRDefault="004C608D" w:rsidP="004C608D">
      <w:pPr>
        <w:tabs>
          <w:tab w:val="left" w:pos="720"/>
        </w:tabs>
        <w:jc w:val="center"/>
        <w:rPr>
          <w:rFonts w:ascii="Baskerville" w:hAnsi="Baskerville" w:cs="Baskerville"/>
          <w:bCs/>
          <w:sz w:val="22"/>
          <w:szCs w:val="22"/>
        </w:rPr>
      </w:pPr>
    </w:p>
    <w:p w:rsidR="004C608D" w:rsidRPr="00C4625E" w:rsidRDefault="004C608D" w:rsidP="004C608D">
      <w:pPr>
        <w:tabs>
          <w:tab w:val="left" w:pos="720"/>
        </w:tabs>
        <w:jc w:val="center"/>
        <w:rPr>
          <w:rFonts w:ascii="Baskerville" w:hAnsi="Baskerville" w:cs="Baskerville"/>
          <w:bCs/>
          <w:sz w:val="22"/>
          <w:szCs w:val="22"/>
        </w:rPr>
      </w:pPr>
    </w:p>
    <w:p w:rsidR="004C608D" w:rsidRDefault="004C608D" w:rsidP="004C608D">
      <w:pPr>
        <w:tabs>
          <w:tab w:val="left" w:pos="720"/>
        </w:tabs>
        <w:jc w:val="center"/>
        <w:rPr>
          <w:rFonts w:ascii="Baskerville" w:hAnsi="Baskerville" w:cs="Baskerville"/>
          <w:bCs/>
          <w:sz w:val="22"/>
          <w:szCs w:val="22"/>
        </w:rPr>
      </w:pPr>
    </w:p>
    <w:p w:rsidR="004C608D" w:rsidRDefault="004C608D" w:rsidP="004C608D">
      <w:pPr>
        <w:tabs>
          <w:tab w:val="left" w:pos="720"/>
        </w:tabs>
        <w:jc w:val="center"/>
        <w:rPr>
          <w:rFonts w:ascii="Baskerville" w:hAnsi="Baskerville" w:cs="Baskerville"/>
          <w:bCs/>
          <w:sz w:val="22"/>
          <w:szCs w:val="22"/>
        </w:rPr>
      </w:pPr>
    </w:p>
    <w:p w:rsidR="004C608D" w:rsidRDefault="004C608D" w:rsidP="004C608D">
      <w:pPr>
        <w:tabs>
          <w:tab w:val="left" w:pos="720"/>
        </w:tabs>
        <w:jc w:val="center"/>
        <w:rPr>
          <w:rFonts w:ascii="Baskerville" w:hAnsi="Baskerville" w:cs="Baskerville"/>
          <w:bCs/>
          <w:sz w:val="22"/>
          <w:szCs w:val="22"/>
        </w:rPr>
      </w:pPr>
    </w:p>
    <w:p w:rsidR="004C608D" w:rsidRPr="00C4625E" w:rsidRDefault="004C608D" w:rsidP="004C608D">
      <w:pPr>
        <w:tabs>
          <w:tab w:val="left" w:pos="720"/>
        </w:tabs>
        <w:jc w:val="center"/>
        <w:rPr>
          <w:rFonts w:ascii="Baskerville" w:hAnsi="Baskerville" w:cs="Baskerville"/>
          <w:bCs/>
          <w:sz w:val="22"/>
          <w:szCs w:val="22"/>
        </w:rPr>
      </w:pPr>
    </w:p>
    <w:p w:rsidR="004C608D" w:rsidRPr="00C4625E" w:rsidRDefault="004C608D" w:rsidP="004C608D">
      <w:pPr>
        <w:tabs>
          <w:tab w:val="left" w:pos="720"/>
        </w:tabs>
        <w:jc w:val="center"/>
        <w:rPr>
          <w:rFonts w:ascii="Baskerville" w:hAnsi="Baskerville" w:cs="Baskerville"/>
          <w:bCs/>
          <w:sz w:val="22"/>
          <w:szCs w:val="22"/>
        </w:rPr>
      </w:pPr>
    </w:p>
    <w:p w:rsidR="004C608D" w:rsidRPr="00C4625E" w:rsidRDefault="004C608D" w:rsidP="004C608D">
      <w:pPr>
        <w:tabs>
          <w:tab w:val="left" w:pos="720"/>
        </w:tabs>
        <w:jc w:val="center"/>
        <w:rPr>
          <w:rFonts w:ascii="Baskerville" w:hAnsi="Baskerville" w:cs="Baskerville"/>
          <w:bCs/>
          <w:sz w:val="22"/>
          <w:szCs w:val="22"/>
        </w:rPr>
      </w:pPr>
    </w:p>
    <w:p w:rsidR="004C608D" w:rsidRDefault="004C608D" w:rsidP="004C608D">
      <w:pPr>
        <w:tabs>
          <w:tab w:val="left" w:pos="720"/>
        </w:tabs>
        <w:ind w:left="90"/>
        <w:rPr>
          <w:rFonts w:ascii="Baskerville" w:hAnsi="Baskerville" w:cs="Baskerville"/>
          <w:bCs/>
          <w:sz w:val="22"/>
          <w:szCs w:val="22"/>
        </w:rPr>
      </w:pPr>
    </w:p>
    <w:p w:rsidR="004C608D" w:rsidRDefault="004C608D" w:rsidP="004C608D">
      <w:pPr>
        <w:tabs>
          <w:tab w:val="left" w:pos="720"/>
        </w:tabs>
        <w:ind w:left="90"/>
        <w:rPr>
          <w:rFonts w:ascii="Baskerville" w:hAnsi="Baskerville" w:cs="Baskerville"/>
          <w:bCs/>
          <w:sz w:val="22"/>
          <w:szCs w:val="22"/>
        </w:rPr>
      </w:pPr>
    </w:p>
    <w:p w:rsidR="004C608D" w:rsidRPr="00F80CA8" w:rsidRDefault="004C608D" w:rsidP="004C608D">
      <w:pPr>
        <w:tabs>
          <w:tab w:val="left" w:pos="720"/>
        </w:tabs>
        <w:ind w:left="90"/>
        <w:rPr>
          <w:rFonts w:ascii="Baskerville" w:hAnsi="Baskerville" w:cs="Baskerville"/>
          <w:bCs/>
          <w:sz w:val="22"/>
          <w:szCs w:val="22"/>
        </w:rPr>
      </w:pPr>
      <w:r w:rsidRPr="00F80CA8">
        <w:rPr>
          <w:rFonts w:ascii="Baskerville" w:hAnsi="Baskerville" w:cs="Baskerville"/>
          <w:bCs/>
          <w:sz w:val="22"/>
          <w:szCs w:val="22"/>
        </w:rPr>
        <w:t>NOTE: The Reviewers were not able to visit one of the twenty-five individuals and Could Not Determine (CND) the answers to most questions</w:t>
      </w:r>
      <w:r>
        <w:rPr>
          <w:rFonts w:ascii="Baskerville" w:hAnsi="Baskerville" w:cs="Baskerville"/>
          <w:bCs/>
          <w:sz w:val="22"/>
          <w:szCs w:val="22"/>
        </w:rPr>
        <w:t xml:space="preserve"> for that individual</w:t>
      </w:r>
      <w:r w:rsidRPr="00F80CA8">
        <w:rPr>
          <w:rFonts w:ascii="Baskerville" w:hAnsi="Baskerville" w:cs="Baskerville"/>
          <w:bCs/>
          <w:sz w:val="22"/>
          <w:szCs w:val="22"/>
        </w:rPr>
        <w:t xml:space="preserve">. </w:t>
      </w:r>
      <w:r>
        <w:rPr>
          <w:rFonts w:ascii="Baskerville" w:hAnsi="Baskerville" w:cs="Baskerville"/>
          <w:bCs/>
          <w:sz w:val="22"/>
          <w:szCs w:val="22"/>
        </w:rPr>
        <w:t>Two families</w:t>
      </w:r>
      <w:r w:rsidRPr="00F80CA8">
        <w:rPr>
          <w:rFonts w:ascii="Baskerville" w:hAnsi="Baskerville" w:cs="Baskerville"/>
          <w:bCs/>
          <w:sz w:val="22"/>
          <w:szCs w:val="22"/>
        </w:rPr>
        <w:t xml:space="preserve"> </w:t>
      </w:r>
      <w:r w:rsidR="006A2283" w:rsidRPr="00F80CA8">
        <w:rPr>
          <w:rFonts w:ascii="Baskerville" w:hAnsi="Baskerville" w:cs="Baskerville"/>
          <w:bCs/>
          <w:sz w:val="22"/>
          <w:szCs w:val="22"/>
        </w:rPr>
        <w:t>were</w:t>
      </w:r>
      <w:r w:rsidRPr="00F80CA8">
        <w:rPr>
          <w:rFonts w:ascii="Baskerville" w:hAnsi="Baskerville" w:cs="Baskerville"/>
          <w:bCs/>
          <w:sz w:val="22"/>
          <w:szCs w:val="22"/>
        </w:rPr>
        <w:t xml:space="preserve"> not able to a</w:t>
      </w:r>
      <w:r>
        <w:rPr>
          <w:rFonts w:ascii="Baskerville" w:hAnsi="Baskerville" w:cs="Baskerville"/>
          <w:bCs/>
          <w:sz w:val="22"/>
          <w:szCs w:val="22"/>
        </w:rPr>
        <w:t xml:space="preserve">ccommodate a home visit. One </w:t>
      </w:r>
      <w:r w:rsidRPr="00F80CA8">
        <w:rPr>
          <w:rFonts w:ascii="Baskerville" w:hAnsi="Baskerville" w:cs="Baskerville"/>
          <w:bCs/>
          <w:sz w:val="22"/>
          <w:szCs w:val="22"/>
        </w:rPr>
        <w:t>was interviewed over the phone. A mother and her son were interviewed in a hospital lobby. In the following tables “n” is the number of individuals fo</w:t>
      </w:r>
      <w:r>
        <w:rPr>
          <w:rFonts w:ascii="Baskerville" w:hAnsi="Baskerville" w:cs="Baskerville"/>
          <w:bCs/>
          <w:sz w:val="22"/>
          <w:szCs w:val="22"/>
        </w:rPr>
        <w:t>r whom the question wa</w:t>
      </w:r>
      <w:r w:rsidRPr="00F80CA8">
        <w:rPr>
          <w:rFonts w:ascii="Baskerville" w:hAnsi="Baskerville" w:cs="Baskerville"/>
          <w:bCs/>
          <w:sz w:val="22"/>
          <w:szCs w:val="22"/>
        </w:rPr>
        <w:t>s applicable. Some questions are only applicable if the individual is an adult, or does not live with his</w:t>
      </w:r>
      <w:r>
        <w:rPr>
          <w:rFonts w:ascii="Baskerville" w:hAnsi="Baskerville" w:cs="Baskerville"/>
          <w:bCs/>
          <w:sz w:val="22"/>
          <w:szCs w:val="22"/>
        </w:rPr>
        <w:t xml:space="preserve"> or her family, or does has</w:t>
      </w:r>
      <w:r w:rsidRPr="00F80CA8">
        <w:rPr>
          <w:rFonts w:ascii="Baskerville" w:hAnsi="Baskerville" w:cs="Baskerville"/>
          <w:bCs/>
          <w:sz w:val="22"/>
          <w:szCs w:val="22"/>
        </w:rPr>
        <w:t xml:space="preserve"> the condition. </w:t>
      </w:r>
      <w:r>
        <w:rPr>
          <w:rFonts w:ascii="Baskerville" w:hAnsi="Baskerville" w:cs="Baskerville"/>
          <w:bCs/>
          <w:sz w:val="22"/>
          <w:szCs w:val="22"/>
        </w:rPr>
        <w:t>Consider the % of</w:t>
      </w:r>
      <w:r w:rsidRPr="00F80CA8">
        <w:rPr>
          <w:rFonts w:ascii="Baskerville" w:hAnsi="Baskerville" w:cs="Baskerville"/>
          <w:bCs/>
          <w:sz w:val="22"/>
          <w:szCs w:val="22"/>
        </w:rPr>
        <w:t xml:space="preserve"> CND answers for each question when reviewing the </w:t>
      </w:r>
      <w:r>
        <w:rPr>
          <w:rFonts w:ascii="Baskerville" w:hAnsi="Baskerville" w:cs="Baskerville"/>
          <w:bCs/>
          <w:sz w:val="22"/>
          <w:szCs w:val="22"/>
        </w:rPr>
        <w:t xml:space="preserve">% of Yes and No answers </w:t>
      </w:r>
      <w:r w:rsidRPr="00F80CA8">
        <w:rPr>
          <w:rFonts w:ascii="Baskerville" w:hAnsi="Baskerville" w:cs="Baskerville"/>
          <w:bCs/>
          <w:sz w:val="22"/>
          <w:szCs w:val="22"/>
        </w:rPr>
        <w:t>in the tables below</w:t>
      </w:r>
      <w:r>
        <w:rPr>
          <w:rFonts w:ascii="Baskerville" w:hAnsi="Baskerville" w:cs="Baskerville"/>
          <w:bCs/>
          <w:sz w:val="22"/>
          <w:szCs w:val="22"/>
        </w:rPr>
        <w:t>.</w:t>
      </w:r>
    </w:p>
    <w:p w:rsidR="004C608D" w:rsidRDefault="004C608D" w:rsidP="004C608D">
      <w:pPr>
        <w:pStyle w:val="ColorfulList-Accent11"/>
        <w:tabs>
          <w:tab w:val="left" w:pos="720"/>
        </w:tabs>
        <w:ind w:left="90" w:right="-90"/>
        <w:rPr>
          <w:rFonts w:ascii="Baskerville" w:hAnsi="Baskerville" w:cs="Baskerville"/>
          <w:bCs/>
          <w:sz w:val="22"/>
          <w:szCs w:val="22"/>
        </w:rPr>
      </w:pPr>
    </w:p>
    <w:p w:rsidR="004C608D" w:rsidRPr="00F80CA8" w:rsidRDefault="004C608D" w:rsidP="004C608D">
      <w:pPr>
        <w:pStyle w:val="ColorfulList-Accent11"/>
        <w:tabs>
          <w:tab w:val="left" w:pos="720"/>
        </w:tabs>
        <w:ind w:left="90" w:right="-90"/>
        <w:rPr>
          <w:rFonts w:ascii="Baskerville" w:hAnsi="Baskerville" w:cs="Baskerville"/>
          <w:bCs/>
          <w:sz w:val="22"/>
          <w:szCs w:val="22"/>
        </w:rPr>
      </w:pPr>
    </w:p>
    <w:p w:rsidR="004C608D" w:rsidRPr="00F80CA8" w:rsidRDefault="004C608D" w:rsidP="004C608D">
      <w:pPr>
        <w:pStyle w:val="ColorfulList-Accent11"/>
        <w:tabs>
          <w:tab w:val="left" w:pos="720"/>
        </w:tabs>
        <w:ind w:left="90" w:right="-90"/>
        <w:rPr>
          <w:rFonts w:ascii="Baskerville" w:hAnsi="Baskerville" w:cs="Baskerville"/>
          <w:bCs/>
          <w:sz w:val="22"/>
          <w:szCs w:val="22"/>
        </w:rPr>
      </w:pPr>
      <w:r w:rsidRPr="00F80CA8">
        <w:rPr>
          <w:rFonts w:ascii="Baskerville" w:hAnsi="Baskerville" w:cs="Baskerville"/>
          <w:bCs/>
          <w:sz w:val="22"/>
          <w:szCs w:val="22"/>
        </w:rPr>
        <w:t>Below are the positive outcomes and areas of concern related the individuals’ healthcare.</w:t>
      </w:r>
    </w:p>
    <w:p w:rsidR="004C608D" w:rsidRPr="00F80CA8" w:rsidRDefault="004C608D" w:rsidP="004C608D">
      <w:pPr>
        <w:tabs>
          <w:tab w:val="left" w:pos="720"/>
        </w:tabs>
        <w:ind w:left="90"/>
        <w:jc w:val="center"/>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25"/>
        <w:gridCol w:w="1019"/>
        <w:gridCol w:w="1019"/>
      </w:tblGrid>
      <w:tr w:rsidR="004C608D" w:rsidRPr="00F80CA8" w:rsidTr="004C608D">
        <w:trPr>
          <w:trHeight w:val="79"/>
        </w:trPr>
        <w:tc>
          <w:tcPr>
            <w:tcW w:w="9276" w:type="dxa"/>
            <w:gridSpan w:val="5"/>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Healthcare Items - positive outcomes</w:t>
            </w:r>
          </w:p>
        </w:tc>
      </w:tr>
      <w:tr w:rsidR="004C608D" w:rsidRPr="00F80CA8" w:rsidTr="004C608D">
        <w:tc>
          <w:tcPr>
            <w:tcW w:w="5194" w:type="dxa"/>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Item</w:t>
            </w:r>
          </w:p>
        </w:tc>
        <w:tc>
          <w:tcPr>
            <w:tcW w:w="1019" w:type="dxa"/>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n</w:t>
            </w:r>
          </w:p>
        </w:tc>
        <w:tc>
          <w:tcPr>
            <w:tcW w:w="1025" w:type="dxa"/>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Y</w:t>
            </w:r>
          </w:p>
        </w:tc>
        <w:tc>
          <w:tcPr>
            <w:tcW w:w="1019" w:type="dxa"/>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N</w:t>
            </w:r>
          </w:p>
        </w:tc>
        <w:tc>
          <w:tcPr>
            <w:tcW w:w="1019" w:type="dxa"/>
            <w:shd w:val="clear" w:color="auto" w:fill="auto"/>
          </w:tcPr>
          <w:p w:rsidR="004C608D" w:rsidRPr="00F80CA8" w:rsidRDefault="004C608D" w:rsidP="004C608D">
            <w:pPr>
              <w:ind w:left="90"/>
              <w:jc w:val="center"/>
              <w:rPr>
                <w:rFonts w:ascii="Baskerville" w:hAnsi="Baskerville" w:cs="Baskerville"/>
                <w:b/>
                <w:sz w:val="22"/>
                <w:szCs w:val="22"/>
              </w:rPr>
            </w:pPr>
            <w:r w:rsidRPr="00F80CA8">
              <w:rPr>
                <w:rFonts w:ascii="Baskerville" w:hAnsi="Baskerville" w:cs="Baskerville"/>
                <w:b/>
                <w:sz w:val="22"/>
                <w:szCs w:val="22"/>
              </w:rPr>
              <w:t>CND</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Did the individual have a physical examination within the last 12 months or is there a variance approved by the physician?</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92.0%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Were the Primary Care Physician’s (PCP’s) recommendations addressed/implemented within the time frame recommended by the PCP?</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92.0%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Were the medical specialist’s recommendations addressed/implemented within the time frame recommended by the medical specialist?</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23</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87.0%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8.7%</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4.3%</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Is lab work completed as ordered by the physician?</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88.0%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Are physician ordered diagnostic consults completed as ordered within the time frame recommended by the physician?</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18</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94.4%</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5.6%</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 xml:space="preserve">If ordered by a physician, was there a current physical therapy assessment? </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100.0%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If ordered by a physician, was there a current occupational therapy assessment?</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6</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100.0%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If ordered by a physician, was there a current speech and language assessment?</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7</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100.0%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If applicable per the physician’s orders,</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Is there monitoring of seizures, if applicable per the physician’s orders?</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6</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83.3%</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16.7%</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Is there monitoring of seizures, if applicable per the physician’s orders?</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6</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83.3%</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16.7%</w:t>
            </w:r>
          </w:p>
        </w:tc>
      </w:tr>
      <w:tr w:rsidR="004C608D" w:rsidRPr="00F80CA8" w:rsidTr="004C608D">
        <w:tc>
          <w:tcPr>
            <w:tcW w:w="5194" w:type="dxa"/>
            <w:shd w:val="clear" w:color="auto" w:fill="auto"/>
          </w:tcPr>
          <w:p w:rsidR="004C608D" w:rsidRPr="00F80CA8" w:rsidRDefault="004C608D" w:rsidP="004C608D">
            <w:pPr>
              <w:ind w:left="90"/>
              <w:rPr>
                <w:rFonts w:ascii="Baskerville" w:hAnsi="Baskerville" w:cs="Baskerville"/>
                <w:sz w:val="22"/>
                <w:szCs w:val="22"/>
              </w:rPr>
            </w:pPr>
            <w:r w:rsidRPr="00F80CA8">
              <w:rPr>
                <w:rFonts w:ascii="Baskerville" w:hAnsi="Baskerville" w:cs="Baskerville"/>
                <w:sz w:val="22"/>
                <w:szCs w:val="22"/>
              </w:rPr>
              <w:t>Is there any evidence of administering excessive or unnecessary medication(s) (including psychotropic medication?</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5"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96.0%</w:t>
            </w:r>
          </w:p>
        </w:tc>
        <w:tc>
          <w:tcPr>
            <w:tcW w:w="1019" w:type="dxa"/>
            <w:shd w:val="clear" w:color="auto" w:fill="auto"/>
          </w:tcPr>
          <w:p w:rsidR="004C608D" w:rsidRPr="00F80CA8" w:rsidRDefault="004C608D" w:rsidP="004C608D">
            <w:pPr>
              <w:ind w:left="90"/>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bl>
    <w:p w:rsidR="004C608D" w:rsidRPr="00F80CA8" w:rsidRDefault="004C608D" w:rsidP="004C608D">
      <w:pPr>
        <w:tabs>
          <w:tab w:val="left" w:pos="720"/>
        </w:tabs>
        <w:rPr>
          <w:rFonts w:ascii="Baskerville" w:hAnsi="Baskerville" w:cs="Baskerville"/>
          <w:sz w:val="22"/>
          <w:szCs w:val="22"/>
        </w:rPr>
      </w:pPr>
    </w:p>
    <w:p w:rsidR="004C608D" w:rsidRPr="00F80CA8"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Default="004C608D" w:rsidP="004C608D">
      <w:pPr>
        <w:tabs>
          <w:tab w:val="left" w:pos="720"/>
        </w:tabs>
        <w:rPr>
          <w:rFonts w:ascii="Baskerville" w:hAnsi="Baskerville" w:cs="Baskerville"/>
          <w:sz w:val="22"/>
          <w:szCs w:val="22"/>
        </w:rPr>
      </w:pPr>
    </w:p>
    <w:p w:rsidR="004C608D" w:rsidRPr="00F80CA8" w:rsidRDefault="004C608D" w:rsidP="004C608D">
      <w:pPr>
        <w:tabs>
          <w:tab w:val="left" w:pos="720"/>
        </w:tabs>
        <w:rPr>
          <w:rFonts w:ascii="Baskerville" w:hAnsi="Baskerville" w:cs="Baskervill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4C608D" w:rsidRPr="00F80CA8" w:rsidTr="004C608D">
        <w:tc>
          <w:tcPr>
            <w:tcW w:w="9270" w:type="dxa"/>
            <w:gridSpan w:val="5"/>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Healthcare Items – areas of concern</w:t>
            </w:r>
          </w:p>
        </w:tc>
      </w:tr>
      <w:tr w:rsidR="004C608D" w:rsidRPr="00F80CA8" w:rsidTr="004C608D">
        <w:tc>
          <w:tcPr>
            <w:tcW w:w="5194" w:type="dxa"/>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Item</w:t>
            </w:r>
          </w:p>
        </w:tc>
        <w:tc>
          <w:tcPr>
            <w:tcW w:w="1019" w:type="dxa"/>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19" w:type="dxa"/>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Y</w:t>
            </w:r>
          </w:p>
        </w:tc>
        <w:tc>
          <w:tcPr>
            <w:tcW w:w="1019" w:type="dxa"/>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19" w:type="dxa"/>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CND</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Did the individual have a dental examination within the last 12 months or is there a variance approved by the dentist?  </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56.0%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36.0%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Were the dentist’s recommendations implemented within the time frame recommended by the dentist?</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56.0%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32.0%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12.0%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If ordered by a physician, was there a current psychological assessment?</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11</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81.8%</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18.2%</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If ordered by a physician, was there a current nutritional assessment?</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60.0%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20.0%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20.0%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Are there needed assessments that were not recommended?</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24.0%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72.0%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Is there monitoring of fluid intake, if applicable per the physician’s orders?</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10</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80.0%</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10.0%</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10.0%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Is there monitoring of bowel movements, if applicable per the physician’s orders?</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14</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78.6%</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14.3%</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color w:val="000000"/>
                <w:sz w:val="22"/>
                <w:szCs w:val="22"/>
              </w:rPr>
              <w:t>7.1%</w:t>
            </w:r>
          </w:p>
        </w:tc>
      </w:tr>
    </w:tbl>
    <w:p w:rsidR="004C608D" w:rsidRPr="00F80CA8" w:rsidRDefault="004C608D" w:rsidP="004C608D">
      <w:pPr>
        <w:pStyle w:val="ColorfulList-Accent11"/>
        <w:tabs>
          <w:tab w:val="left" w:pos="720"/>
        </w:tabs>
        <w:ind w:left="0" w:right="-90"/>
        <w:rPr>
          <w:rFonts w:ascii="Baskerville" w:hAnsi="Baskerville" w:cs="Baskerville"/>
          <w:bCs/>
          <w:sz w:val="22"/>
          <w:szCs w:val="22"/>
        </w:rPr>
      </w:pPr>
    </w:p>
    <w:p w:rsidR="004C608D" w:rsidRPr="00F80CA8" w:rsidRDefault="004C608D" w:rsidP="004C608D">
      <w:pPr>
        <w:pStyle w:val="ColorfulList-Accent11"/>
        <w:tabs>
          <w:tab w:val="left" w:pos="720"/>
        </w:tabs>
        <w:ind w:left="0" w:right="-90"/>
        <w:rPr>
          <w:rFonts w:ascii="Baskerville" w:hAnsi="Baskerville" w:cs="Baskerville"/>
          <w:bCs/>
          <w:sz w:val="22"/>
          <w:szCs w:val="22"/>
        </w:rPr>
      </w:pPr>
    </w:p>
    <w:tbl>
      <w:tblPr>
        <w:tblStyle w:val="TableGrid"/>
        <w:tblW w:w="9291" w:type="dxa"/>
        <w:tblInd w:w="108" w:type="dxa"/>
        <w:tblLook w:val="04A0"/>
      </w:tblPr>
      <w:tblGrid>
        <w:gridCol w:w="5220"/>
        <w:gridCol w:w="1017"/>
        <w:gridCol w:w="1018"/>
        <w:gridCol w:w="1018"/>
        <w:gridCol w:w="1018"/>
      </w:tblGrid>
      <w:tr w:rsidR="004C608D" w:rsidRPr="00F80CA8" w:rsidTr="004C608D">
        <w:tc>
          <w:tcPr>
            <w:tcW w:w="9291" w:type="dxa"/>
            <w:gridSpan w:val="5"/>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b/>
                <w:sz w:val="22"/>
                <w:szCs w:val="22"/>
              </w:rPr>
              <w:t>Healthcare Items –Psychotropic Medications - areas of concern</w:t>
            </w:r>
          </w:p>
        </w:tc>
      </w:tr>
      <w:tr w:rsidR="004C608D" w:rsidRPr="00F80CA8" w:rsidTr="004C608D">
        <w:tc>
          <w:tcPr>
            <w:tcW w:w="5220" w:type="dxa"/>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Item</w:t>
            </w:r>
          </w:p>
        </w:tc>
        <w:tc>
          <w:tcPr>
            <w:tcW w:w="1017" w:type="dxa"/>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18" w:type="dxa"/>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Y</w:t>
            </w:r>
          </w:p>
        </w:tc>
        <w:tc>
          <w:tcPr>
            <w:tcW w:w="1018" w:type="dxa"/>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18" w:type="dxa"/>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CND</w:t>
            </w:r>
          </w:p>
        </w:tc>
      </w:tr>
      <w:tr w:rsidR="004C608D" w:rsidRPr="00F80CA8" w:rsidTr="004C608D">
        <w:tc>
          <w:tcPr>
            <w:tcW w:w="5220" w:type="dxa"/>
          </w:tcPr>
          <w:p w:rsidR="004C608D" w:rsidRPr="00F80CA8" w:rsidRDefault="004C608D" w:rsidP="004C608D">
            <w:pPr>
              <w:widowControl w:val="0"/>
              <w:autoSpaceDE w:val="0"/>
              <w:autoSpaceDN w:val="0"/>
              <w:adjustRightInd w:val="0"/>
              <w:ind w:left="342"/>
              <w:rPr>
                <w:rFonts w:ascii="Baskerville" w:hAnsi="Baskerville" w:cs="Baskerville"/>
                <w:b/>
                <w:sz w:val="22"/>
                <w:szCs w:val="22"/>
              </w:rPr>
            </w:pPr>
            <w:r w:rsidRPr="00F80CA8">
              <w:rPr>
                <w:rFonts w:ascii="Baskerville" w:hAnsi="Baskerville" w:cs="Baskerville"/>
                <w:sz w:val="22"/>
                <w:szCs w:val="22"/>
              </w:rPr>
              <w:t xml:space="preserve">If yes, is there documentation that the individual and/or a legal guardian have given informed consent for the use of psychotropic medication(s)? </w:t>
            </w:r>
          </w:p>
        </w:tc>
        <w:tc>
          <w:tcPr>
            <w:tcW w:w="1017"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18</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61.1%</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33.3%</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5.6%</w:t>
            </w:r>
          </w:p>
        </w:tc>
      </w:tr>
      <w:tr w:rsidR="004C608D" w:rsidRPr="00F80CA8" w:rsidTr="004C608D">
        <w:tc>
          <w:tcPr>
            <w:tcW w:w="5220" w:type="dxa"/>
          </w:tcPr>
          <w:p w:rsidR="004C608D" w:rsidRPr="00F80CA8" w:rsidRDefault="004C608D" w:rsidP="004C608D">
            <w:pPr>
              <w:widowControl w:val="0"/>
              <w:autoSpaceDE w:val="0"/>
              <w:autoSpaceDN w:val="0"/>
              <w:adjustRightInd w:val="0"/>
              <w:ind w:left="342"/>
              <w:rPr>
                <w:rFonts w:ascii="Baskerville" w:hAnsi="Baskerville" w:cs="Baskerville"/>
                <w:b/>
                <w:sz w:val="22"/>
                <w:szCs w:val="22"/>
              </w:rPr>
            </w:pPr>
            <w:r w:rsidRPr="00F80CA8">
              <w:rPr>
                <w:rFonts w:ascii="Baskerville" w:hAnsi="Baskerville" w:cs="Baskerville"/>
                <w:sz w:val="22"/>
                <w:szCs w:val="22"/>
              </w:rPr>
              <w:t>Does the individual’s nurse or psychiatrist conduct monitoring as indicated for the potential development of tardive dyskinesia, or other side effects of psychotropic medications, using a standardized tool (e.g. AIMS) at baseline and at least every 6 months thereafter?</w:t>
            </w:r>
          </w:p>
        </w:tc>
        <w:tc>
          <w:tcPr>
            <w:tcW w:w="1017"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14</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42.9%</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28.6%</w:t>
            </w:r>
          </w:p>
        </w:tc>
        <w:tc>
          <w:tcPr>
            <w:tcW w:w="1018" w:type="dxa"/>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28.6%</w:t>
            </w:r>
          </w:p>
        </w:tc>
      </w:tr>
    </w:tbl>
    <w:p w:rsidR="004C608D" w:rsidRPr="00F80CA8" w:rsidRDefault="004C608D" w:rsidP="004C608D">
      <w:pPr>
        <w:pStyle w:val="ColorfulList-Accent11"/>
        <w:tabs>
          <w:tab w:val="left" w:pos="720"/>
        </w:tabs>
        <w:ind w:left="0" w:right="-90"/>
        <w:rPr>
          <w:rFonts w:ascii="Baskerville" w:hAnsi="Baskerville" w:cs="Baskerville"/>
          <w:bCs/>
          <w:sz w:val="22"/>
          <w:szCs w:val="22"/>
        </w:rPr>
      </w:pPr>
    </w:p>
    <w:p w:rsidR="004C608D" w:rsidRPr="00F80CA8" w:rsidRDefault="004C608D" w:rsidP="004C608D">
      <w:pPr>
        <w:pStyle w:val="ColorfulList-Accent11"/>
        <w:tabs>
          <w:tab w:val="left" w:pos="720"/>
        </w:tabs>
        <w:ind w:left="0" w:right="-90"/>
        <w:rPr>
          <w:rFonts w:ascii="Baskerville" w:hAnsi="Baskerville" w:cs="Baskerville"/>
          <w:bCs/>
          <w:sz w:val="22"/>
          <w:szCs w:val="22"/>
        </w:rPr>
      </w:pPr>
    </w:p>
    <w:p w:rsidR="004C608D" w:rsidRDefault="004C608D" w:rsidP="004C608D">
      <w:pPr>
        <w:tabs>
          <w:tab w:val="left" w:pos="2031"/>
        </w:tabs>
        <w:rPr>
          <w:rFonts w:ascii="Baskerville" w:hAnsi="Baskerville" w:cs="Baskerville"/>
          <w:bCs/>
          <w:sz w:val="22"/>
          <w:szCs w:val="22"/>
        </w:rPr>
      </w:pPr>
      <w:r w:rsidRPr="00F80CA8">
        <w:rPr>
          <w:rFonts w:ascii="Baskerville" w:hAnsi="Baskerville" w:cs="Baskerville"/>
          <w:bCs/>
          <w:sz w:val="22"/>
          <w:szCs w:val="22"/>
        </w:rPr>
        <w:t xml:space="preserve">Below are the positive outcomes and areas of concern related the individuals’ support plans. </w:t>
      </w:r>
    </w:p>
    <w:p w:rsidR="004C608D" w:rsidRPr="00E22979" w:rsidRDefault="004C608D" w:rsidP="004C608D">
      <w:pPr>
        <w:tabs>
          <w:tab w:val="left" w:pos="2031"/>
        </w:tabs>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021"/>
        <w:gridCol w:w="1021"/>
        <w:gridCol w:w="1021"/>
        <w:gridCol w:w="1022"/>
      </w:tblGrid>
      <w:tr w:rsidR="004C608D" w:rsidRPr="00F80CA8" w:rsidTr="004C608D">
        <w:trPr>
          <w:tblHeader/>
        </w:trPr>
        <w:tc>
          <w:tcPr>
            <w:tcW w:w="9280" w:type="dxa"/>
            <w:gridSpan w:val="5"/>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Individual Support Plan Items – positive outcomes</w:t>
            </w:r>
          </w:p>
        </w:tc>
      </w:tr>
      <w:tr w:rsidR="004C608D" w:rsidRPr="00F80CA8" w:rsidTr="004C608D">
        <w:trPr>
          <w:tblHeader/>
        </w:trPr>
        <w:tc>
          <w:tcPr>
            <w:tcW w:w="5195"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Item</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Y</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22"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CND</w:t>
            </w:r>
          </w:p>
        </w:tc>
      </w:tr>
      <w:tr w:rsidR="004C608D" w:rsidRPr="00F80CA8" w:rsidTr="004C608D">
        <w:tc>
          <w:tcPr>
            <w:tcW w:w="5195" w:type="dxa"/>
            <w:shd w:val="clear" w:color="auto" w:fill="auto"/>
          </w:tcPr>
          <w:p w:rsidR="004C608D" w:rsidRPr="00F80CA8" w:rsidRDefault="004C608D" w:rsidP="004C608D">
            <w:pPr>
              <w:ind w:right="-90"/>
              <w:rPr>
                <w:rFonts w:ascii="Baskerville" w:hAnsi="Baskerville" w:cs="Baskerville"/>
                <w:sz w:val="22"/>
                <w:szCs w:val="22"/>
              </w:rPr>
            </w:pPr>
            <w:r w:rsidRPr="00F80CA8">
              <w:rPr>
                <w:rFonts w:ascii="Baskerville" w:hAnsi="Baskerville" w:cs="Baskerville"/>
                <w:sz w:val="22"/>
                <w:szCs w:val="22"/>
              </w:rPr>
              <w:t xml:space="preserve">Is the Individual’s Support Plan/Plan of Care current? </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92.0%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8.0%</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Is there evidence of person-centered (</w:t>
            </w:r>
            <w:r w:rsidR="006A2283" w:rsidRPr="00F80CA8">
              <w:rPr>
                <w:rFonts w:ascii="Baskerville" w:hAnsi="Baskerville" w:cs="Baskerville"/>
                <w:sz w:val="22"/>
                <w:szCs w:val="22"/>
              </w:rPr>
              <w:t>i.e.</w:t>
            </w:r>
            <w:r w:rsidRPr="00F80CA8">
              <w:rPr>
                <w:rFonts w:ascii="Baskerville" w:hAnsi="Baskerville" w:cs="Baskerville"/>
                <w:sz w:val="22"/>
                <w:szCs w:val="22"/>
              </w:rPr>
              <w:t xml:space="preserve"> individualized) planning in the development of the Individual’s Support Plan/Plan of Care?   </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96.0%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tcBorders>
              <w:top w:val="nil"/>
              <w:bottom w:val="single" w:sz="4" w:space="0" w:color="auto"/>
            </w:tcBorders>
            <w:shd w:val="clear" w:color="auto" w:fill="auto"/>
          </w:tcPr>
          <w:p w:rsidR="004C608D" w:rsidRPr="00F80CA8" w:rsidRDefault="004C608D" w:rsidP="004C608D">
            <w:pPr>
              <w:rPr>
                <w:rFonts w:ascii="Baskerville" w:hAnsi="Baskerville" w:cs="Baskerville"/>
                <w:b/>
                <w:sz w:val="22"/>
                <w:szCs w:val="22"/>
              </w:rPr>
            </w:pPr>
            <w:r w:rsidRPr="00F80CA8">
              <w:rPr>
                <w:rFonts w:ascii="Baskerville" w:hAnsi="Baskerville" w:cs="Baskerville"/>
                <w:sz w:val="22"/>
                <w:szCs w:val="22"/>
              </w:rPr>
              <w:t>Is the individual receiving supports identified in his/her individual support plan?</w:t>
            </w:r>
            <w:r w:rsidRPr="00F80CA8">
              <w:rPr>
                <w:rFonts w:ascii="Baskerville" w:hAnsi="Baskerville" w:cs="Baskerville"/>
                <w:b/>
                <w:sz w:val="22"/>
                <w:szCs w:val="22"/>
              </w:rPr>
              <w:t xml:space="preserve"> </w:t>
            </w:r>
          </w:p>
        </w:tc>
        <w:tc>
          <w:tcPr>
            <w:tcW w:w="1021" w:type="dxa"/>
            <w:tcBorders>
              <w:top w:val="nil"/>
              <w:bottom w:val="single" w:sz="4" w:space="0" w:color="auto"/>
            </w:tcBorders>
            <w:shd w:val="clear" w:color="auto" w:fill="auto"/>
          </w:tcPr>
          <w:p w:rsidR="004C608D" w:rsidRPr="00F80CA8" w:rsidRDefault="004C608D" w:rsidP="004C608D">
            <w:pPr>
              <w:jc w:val="center"/>
              <w:rPr>
                <w:rFonts w:ascii="Baskerville" w:hAnsi="Baskerville" w:cs="Baskerville"/>
                <w:sz w:val="22"/>
                <w:szCs w:val="22"/>
              </w:rPr>
            </w:pPr>
          </w:p>
        </w:tc>
        <w:tc>
          <w:tcPr>
            <w:tcW w:w="1021" w:type="dxa"/>
            <w:tcBorders>
              <w:top w:val="nil"/>
              <w:bottom w:val="single" w:sz="4" w:space="0" w:color="auto"/>
            </w:tcBorders>
            <w:shd w:val="clear" w:color="auto" w:fill="auto"/>
          </w:tcPr>
          <w:p w:rsidR="004C608D" w:rsidRPr="00F80CA8" w:rsidRDefault="004C608D" w:rsidP="004C608D">
            <w:pPr>
              <w:jc w:val="center"/>
              <w:rPr>
                <w:rFonts w:ascii="Baskerville" w:hAnsi="Baskerville" w:cs="Baskerville"/>
                <w:sz w:val="22"/>
                <w:szCs w:val="22"/>
              </w:rPr>
            </w:pPr>
          </w:p>
        </w:tc>
        <w:tc>
          <w:tcPr>
            <w:tcW w:w="1021" w:type="dxa"/>
            <w:tcBorders>
              <w:top w:val="nil"/>
              <w:bottom w:val="single" w:sz="4" w:space="0" w:color="auto"/>
            </w:tcBorders>
            <w:shd w:val="clear" w:color="auto" w:fill="auto"/>
          </w:tcPr>
          <w:p w:rsidR="004C608D" w:rsidRPr="00F80CA8" w:rsidRDefault="004C608D" w:rsidP="004C608D">
            <w:pPr>
              <w:jc w:val="center"/>
              <w:rPr>
                <w:rFonts w:ascii="Baskerville" w:hAnsi="Baskerville" w:cs="Baskerville"/>
                <w:sz w:val="22"/>
                <w:szCs w:val="22"/>
              </w:rPr>
            </w:pPr>
          </w:p>
        </w:tc>
        <w:tc>
          <w:tcPr>
            <w:tcW w:w="1022" w:type="dxa"/>
            <w:tcBorders>
              <w:top w:val="nil"/>
              <w:bottom w:val="single" w:sz="4" w:space="0" w:color="auto"/>
            </w:tcBorders>
            <w:shd w:val="clear" w:color="auto" w:fill="auto"/>
          </w:tcPr>
          <w:p w:rsidR="004C608D" w:rsidRPr="00F80CA8" w:rsidRDefault="004C608D" w:rsidP="004C608D">
            <w:pPr>
              <w:jc w:val="center"/>
              <w:rPr>
                <w:rFonts w:ascii="Baskerville" w:hAnsi="Baskerville" w:cs="Baskerville"/>
                <w:sz w:val="22"/>
                <w:szCs w:val="22"/>
              </w:rPr>
            </w:pPr>
          </w:p>
        </w:tc>
      </w:tr>
      <w:tr w:rsidR="004C608D" w:rsidRPr="00F80CA8" w:rsidTr="004C608D">
        <w:tc>
          <w:tcPr>
            <w:tcW w:w="5195" w:type="dxa"/>
            <w:tcBorders>
              <w:top w:val="single" w:sz="4" w:space="0" w:color="auto"/>
              <w:bottom w:val="single" w:sz="4" w:space="0" w:color="auto"/>
            </w:tcBorders>
            <w:shd w:val="clear" w:color="auto" w:fill="auto"/>
          </w:tcPr>
          <w:p w:rsidR="004C608D" w:rsidRPr="00F80CA8" w:rsidRDefault="004C608D" w:rsidP="004C608D">
            <w:pPr>
              <w:pStyle w:val="ListParagraph"/>
              <w:rPr>
                <w:rFonts w:ascii="Baskerville" w:hAnsi="Baskerville" w:cs="Baskerville"/>
                <w:sz w:val="22"/>
                <w:szCs w:val="22"/>
              </w:rPr>
            </w:pPr>
            <w:r w:rsidRPr="00F80CA8">
              <w:rPr>
                <w:rFonts w:ascii="Baskerville" w:hAnsi="Baskerville" w:cs="Baskerville"/>
                <w:sz w:val="22"/>
                <w:szCs w:val="22"/>
              </w:rPr>
              <w:t>Residential</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96.0%</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c>
          <w:tcPr>
            <w:tcW w:w="1022"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tcBorders>
              <w:top w:val="single" w:sz="4" w:space="0" w:color="auto"/>
              <w:bottom w:val="single" w:sz="4" w:space="0" w:color="auto"/>
            </w:tcBorders>
            <w:shd w:val="clear" w:color="auto" w:fill="auto"/>
          </w:tcPr>
          <w:p w:rsidR="004C608D" w:rsidRPr="00F80CA8" w:rsidRDefault="004C608D" w:rsidP="004C608D">
            <w:pPr>
              <w:pStyle w:val="ListParagraph"/>
              <w:rPr>
                <w:rFonts w:ascii="Baskerville" w:hAnsi="Baskerville" w:cs="Baskerville"/>
                <w:sz w:val="22"/>
                <w:szCs w:val="22"/>
              </w:rPr>
            </w:pPr>
            <w:r w:rsidRPr="00F80CA8">
              <w:rPr>
                <w:rFonts w:ascii="Baskerville" w:hAnsi="Baskerville" w:cs="Baskerville"/>
                <w:sz w:val="22"/>
                <w:szCs w:val="22"/>
              </w:rPr>
              <w:t>Medical</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100.0%</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22"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tcBorders>
              <w:top w:val="single" w:sz="4" w:space="0" w:color="auto"/>
              <w:bottom w:val="single" w:sz="4" w:space="0" w:color="auto"/>
            </w:tcBorders>
            <w:shd w:val="clear" w:color="auto" w:fill="auto"/>
          </w:tcPr>
          <w:p w:rsidR="004C608D" w:rsidRPr="00F80CA8" w:rsidRDefault="004C608D" w:rsidP="004C608D">
            <w:pPr>
              <w:pStyle w:val="ListParagraph"/>
              <w:rPr>
                <w:rFonts w:ascii="Baskerville" w:hAnsi="Baskerville" w:cs="Baskerville"/>
                <w:sz w:val="22"/>
                <w:szCs w:val="22"/>
              </w:rPr>
            </w:pPr>
            <w:r w:rsidRPr="00F80CA8">
              <w:rPr>
                <w:rFonts w:ascii="Baskerville" w:hAnsi="Baskerville" w:cs="Baskerville"/>
                <w:sz w:val="22"/>
                <w:szCs w:val="22"/>
              </w:rPr>
              <w:t>Health</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18</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88.9%</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11.1%</w:t>
            </w:r>
          </w:p>
        </w:tc>
        <w:tc>
          <w:tcPr>
            <w:tcW w:w="1022"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tcBorders>
              <w:top w:val="single" w:sz="4" w:space="0" w:color="auto"/>
              <w:bottom w:val="single" w:sz="4" w:space="0" w:color="auto"/>
            </w:tcBorders>
            <w:shd w:val="clear" w:color="auto" w:fill="auto"/>
          </w:tcPr>
          <w:p w:rsidR="004C608D" w:rsidRPr="00F80CA8" w:rsidRDefault="004C608D" w:rsidP="004C608D">
            <w:pPr>
              <w:pStyle w:val="ListParagraph"/>
              <w:rPr>
                <w:rFonts w:ascii="Baskerville" w:hAnsi="Baskerville" w:cs="Baskerville"/>
                <w:sz w:val="22"/>
                <w:szCs w:val="22"/>
              </w:rPr>
            </w:pPr>
            <w:r w:rsidRPr="00F80CA8">
              <w:rPr>
                <w:rFonts w:ascii="Baskerville" w:hAnsi="Baskerville" w:cs="Baskerville"/>
                <w:sz w:val="22"/>
                <w:szCs w:val="22"/>
              </w:rPr>
              <w:t>Mental Health</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15</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100.0%</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c>
          <w:tcPr>
            <w:tcW w:w="1022"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tcBorders>
              <w:top w:val="single" w:sz="4" w:space="0" w:color="auto"/>
              <w:bottom w:val="single" w:sz="4" w:space="0" w:color="auto"/>
            </w:tcBorders>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Do the individual’s desired outcomes relate to his/her talents, preferences and needs as identified in the assessments and his/her Individual’s Support Plan/Plan of Care? </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92.0%</w:t>
            </w:r>
          </w:p>
        </w:tc>
        <w:tc>
          <w:tcPr>
            <w:tcW w:w="1021"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c>
          <w:tcPr>
            <w:tcW w:w="1022" w:type="dxa"/>
            <w:tcBorders>
              <w:top w:val="single" w:sz="4" w:space="0" w:color="auto"/>
              <w:bottom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bl>
    <w:p w:rsidR="004C608D" w:rsidRDefault="004C608D" w:rsidP="004C608D">
      <w:pPr>
        <w:tabs>
          <w:tab w:val="left" w:pos="2031"/>
        </w:tabs>
        <w:rPr>
          <w:rFonts w:ascii="Baskerville" w:hAnsi="Baskerville" w:cs="Baskerville"/>
          <w:b/>
          <w:sz w:val="22"/>
          <w:szCs w:val="22"/>
        </w:rPr>
      </w:pPr>
    </w:p>
    <w:p w:rsidR="004C608D" w:rsidRPr="00F80CA8" w:rsidRDefault="004C608D" w:rsidP="004C608D">
      <w:pPr>
        <w:tabs>
          <w:tab w:val="left" w:pos="2031"/>
        </w:tabs>
        <w:rPr>
          <w:rFonts w:ascii="Baskerville" w:hAnsi="Baskerville" w:cs="Baskerville"/>
          <w:b/>
          <w:sz w:val="22"/>
          <w:szCs w:val="22"/>
        </w:rPr>
      </w:pPr>
    </w:p>
    <w:p w:rsidR="004C608D" w:rsidRPr="00F80CA8" w:rsidRDefault="004C608D" w:rsidP="004C608D">
      <w:pPr>
        <w:tabs>
          <w:tab w:val="left" w:pos="2031"/>
        </w:tabs>
        <w:rPr>
          <w:rFonts w:ascii="Baskerville" w:hAnsi="Baskerville" w:cs="Baskerville"/>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021"/>
        <w:gridCol w:w="1021"/>
        <w:gridCol w:w="1021"/>
        <w:gridCol w:w="1022"/>
      </w:tblGrid>
      <w:tr w:rsidR="004C608D" w:rsidRPr="00F80CA8" w:rsidTr="004C608D">
        <w:trPr>
          <w:tblHeader/>
        </w:trPr>
        <w:tc>
          <w:tcPr>
            <w:tcW w:w="9280" w:type="dxa"/>
            <w:gridSpan w:val="5"/>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Individual Support Plan Items – areas of concern</w:t>
            </w:r>
          </w:p>
        </w:tc>
      </w:tr>
      <w:tr w:rsidR="004C608D" w:rsidRPr="00F80CA8" w:rsidTr="004C608D">
        <w:trPr>
          <w:tblHeader/>
        </w:trPr>
        <w:tc>
          <w:tcPr>
            <w:tcW w:w="5195"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Item</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Y</w:t>
            </w:r>
          </w:p>
        </w:tc>
        <w:tc>
          <w:tcPr>
            <w:tcW w:w="1021"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N</w:t>
            </w:r>
          </w:p>
        </w:tc>
        <w:tc>
          <w:tcPr>
            <w:tcW w:w="1022" w:type="dxa"/>
            <w:tcBorders>
              <w:bottom w:val="single" w:sz="4" w:space="0" w:color="auto"/>
            </w:tcBorders>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CND</w:t>
            </w:r>
          </w:p>
        </w:tc>
      </w:tr>
      <w:tr w:rsidR="004C608D" w:rsidRPr="00F80CA8" w:rsidTr="004C608D">
        <w:tc>
          <w:tcPr>
            <w:tcW w:w="5195" w:type="dxa"/>
            <w:shd w:val="clear" w:color="auto" w:fill="auto"/>
          </w:tcPr>
          <w:p w:rsidR="004C608D" w:rsidRPr="00F80CA8" w:rsidRDefault="004C608D" w:rsidP="004C608D">
            <w:pPr>
              <w:ind w:right="-90"/>
              <w:rPr>
                <w:rFonts w:ascii="Baskerville" w:hAnsi="Baskerville" w:cs="Baskerville"/>
                <w:sz w:val="22"/>
                <w:szCs w:val="22"/>
              </w:rPr>
            </w:pPr>
            <w:r w:rsidRPr="00F80CA8">
              <w:rPr>
                <w:rFonts w:ascii="Baskerville" w:hAnsi="Baskerville" w:cs="Baskerville"/>
                <w:sz w:val="22"/>
                <w:szCs w:val="22"/>
              </w:rPr>
              <w:t>Are all essential supports listed?</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80.0%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16.0%</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5"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Does the Individual’s Support Plan/Plan of Care have specific outcomes and support activities that lead to skill development or other meaningful outcomes?</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32.0%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64.0%</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r w:rsidR="004C608D" w:rsidRPr="00F80CA8" w:rsidTr="004C608D">
        <w:tc>
          <w:tcPr>
            <w:tcW w:w="5195"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If the individual requires an adaptive environment, have all the adaptations been provided?</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7</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71.4%</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28.6%</w:t>
            </w:r>
          </w:p>
        </w:tc>
        <w:tc>
          <w:tcPr>
            <w:tcW w:w="1022"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If the individual requires adaptive equipment, is the equipment available?</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15</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60.0%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33.3%</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6.7%</w:t>
            </w:r>
          </w:p>
        </w:tc>
      </w:tr>
      <w:tr w:rsidR="004C608D" w:rsidRPr="00F80CA8" w:rsidTr="004C608D">
        <w:trPr>
          <w:trHeight w:val="611"/>
        </w:trPr>
        <w:tc>
          <w:tcPr>
            <w:tcW w:w="5195" w:type="dxa"/>
            <w:shd w:val="clear" w:color="auto" w:fill="auto"/>
          </w:tcPr>
          <w:p w:rsidR="004C608D" w:rsidRPr="00A952D7" w:rsidRDefault="004C608D" w:rsidP="004C608D">
            <w:pPr>
              <w:spacing w:after="360"/>
              <w:contextualSpacing/>
              <w:rPr>
                <w:rFonts w:ascii="Baskerville" w:hAnsi="Baskerville" w:cs="Baskerville"/>
                <w:sz w:val="22"/>
                <w:szCs w:val="22"/>
              </w:rPr>
            </w:pPr>
            <w:r w:rsidRPr="00B81205">
              <w:rPr>
                <w:rFonts w:ascii="Baskerville" w:hAnsi="Baskerville" w:cs="Baskerville"/>
              </w:rPr>
              <w:t>If applicable, were employment goals and supports developed and discussed?</w:t>
            </w:r>
          </w:p>
        </w:tc>
        <w:tc>
          <w:tcPr>
            <w:tcW w:w="1021" w:type="dxa"/>
            <w:shd w:val="clear" w:color="auto" w:fill="auto"/>
          </w:tcPr>
          <w:p w:rsidR="004C608D" w:rsidRPr="00A952D7" w:rsidRDefault="004C608D" w:rsidP="004C608D">
            <w:pPr>
              <w:jc w:val="center"/>
              <w:rPr>
                <w:rFonts w:ascii="Baskerville" w:hAnsi="Baskerville" w:cs="Baskerville"/>
                <w:b/>
                <w:color w:val="000000"/>
                <w:sz w:val="22"/>
                <w:szCs w:val="22"/>
              </w:rPr>
            </w:pPr>
            <w:r w:rsidRPr="00A952D7">
              <w:rPr>
                <w:rFonts w:ascii="Baskerville" w:hAnsi="Baskerville" w:cs="Baskerville"/>
                <w:color w:val="000000"/>
                <w:sz w:val="22"/>
                <w:szCs w:val="22"/>
              </w:rPr>
              <w:t>15</w:t>
            </w:r>
          </w:p>
        </w:tc>
        <w:tc>
          <w:tcPr>
            <w:tcW w:w="1021" w:type="dxa"/>
            <w:shd w:val="clear" w:color="auto" w:fill="auto"/>
          </w:tcPr>
          <w:p w:rsidR="004C608D" w:rsidRPr="00A952D7" w:rsidRDefault="004C608D" w:rsidP="004C608D">
            <w:pPr>
              <w:jc w:val="center"/>
              <w:rPr>
                <w:rFonts w:ascii="Baskerville" w:hAnsi="Baskerville" w:cs="Baskerville"/>
                <w:b/>
                <w:color w:val="000000"/>
                <w:sz w:val="22"/>
                <w:szCs w:val="22"/>
              </w:rPr>
            </w:pPr>
            <w:r w:rsidRPr="00A952D7">
              <w:rPr>
                <w:rFonts w:ascii="Baskerville" w:hAnsi="Baskerville" w:cs="Baskerville"/>
                <w:color w:val="000000"/>
                <w:sz w:val="22"/>
                <w:szCs w:val="22"/>
              </w:rPr>
              <w:t>33.3%</w:t>
            </w:r>
          </w:p>
        </w:tc>
        <w:tc>
          <w:tcPr>
            <w:tcW w:w="1021" w:type="dxa"/>
            <w:shd w:val="clear" w:color="auto" w:fill="auto"/>
          </w:tcPr>
          <w:p w:rsidR="004C608D" w:rsidRPr="00A952D7" w:rsidRDefault="004C608D" w:rsidP="004C608D">
            <w:pPr>
              <w:jc w:val="center"/>
              <w:rPr>
                <w:rFonts w:ascii="Baskerville" w:hAnsi="Baskerville" w:cs="Baskerville"/>
                <w:b/>
                <w:color w:val="000000"/>
                <w:sz w:val="22"/>
                <w:szCs w:val="22"/>
              </w:rPr>
            </w:pPr>
            <w:r w:rsidRPr="00A952D7">
              <w:rPr>
                <w:rFonts w:ascii="Baskerville" w:hAnsi="Baskerville" w:cs="Baskerville"/>
                <w:color w:val="000000"/>
                <w:sz w:val="22"/>
                <w:szCs w:val="22"/>
              </w:rPr>
              <w:t>60.0%</w:t>
            </w:r>
          </w:p>
        </w:tc>
        <w:tc>
          <w:tcPr>
            <w:tcW w:w="1022" w:type="dxa"/>
            <w:shd w:val="clear" w:color="auto" w:fill="auto"/>
          </w:tcPr>
          <w:p w:rsidR="004C608D" w:rsidRPr="00A952D7" w:rsidRDefault="004C608D" w:rsidP="004C608D">
            <w:pPr>
              <w:jc w:val="center"/>
              <w:rPr>
                <w:rFonts w:ascii="Baskerville" w:hAnsi="Baskerville" w:cs="Baskerville"/>
                <w:b/>
                <w:color w:val="000000"/>
                <w:sz w:val="22"/>
                <w:szCs w:val="22"/>
              </w:rPr>
            </w:pPr>
            <w:r w:rsidRPr="00A952D7">
              <w:rPr>
                <w:rFonts w:ascii="Baskerville" w:hAnsi="Baskerville" w:cs="Baskerville"/>
                <w:color w:val="000000"/>
                <w:sz w:val="22"/>
                <w:szCs w:val="22"/>
              </w:rPr>
              <w:t>6.7%</w:t>
            </w:r>
          </w:p>
        </w:tc>
      </w:tr>
      <w:tr w:rsidR="004C608D" w:rsidRPr="00F80CA8" w:rsidTr="004C608D">
        <w:tc>
          <w:tcPr>
            <w:tcW w:w="5195" w:type="dxa"/>
            <w:vMerge w:val="restart"/>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Is the individual receiving supports identified in his/her individual support plan?</w:t>
            </w:r>
          </w:p>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             Dental</w:t>
            </w:r>
          </w:p>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             Day/Employment</w:t>
            </w:r>
          </w:p>
          <w:p w:rsidR="004C608D" w:rsidRPr="00F80CA8" w:rsidRDefault="004C608D" w:rsidP="004C608D">
            <w:pPr>
              <w:rPr>
                <w:rFonts w:ascii="Baskerville" w:hAnsi="Baskerville" w:cs="Baskerville"/>
                <w:sz w:val="22"/>
                <w:szCs w:val="22"/>
              </w:rPr>
            </w:pPr>
            <w:r>
              <w:rPr>
                <w:rFonts w:ascii="Baskerville" w:hAnsi="Baskerville" w:cs="Baskerville"/>
                <w:sz w:val="22"/>
                <w:szCs w:val="22"/>
              </w:rPr>
              <w:t xml:space="preserve">             Recreation</w:t>
            </w:r>
          </w:p>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             Communication/Assistive Technology</w:t>
            </w:r>
          </w:p>
        </w:tc>
        <w:tc>
          <w:tcPr>
            <w:tcW w:w="1021" w:type="dxa"/>
            <w:shd w:val="clear" w:color="auto" w:fill="auto"/>
          </w:tcPr>
          <w:p w:rsidR="004C608D" w:rsidRPr="00F80CA8" w:rsidRDefault="004C608D" w:rsidP="004C608D">
            <w:pPr>
              <w:jc w:val="center"/>
              <w:rPr>
                <w:rFonts w:ascii="Baskerville" w:hAnsi="Baskerville" w:cs="Baskerville"/>
                <w:b/>
                <w:sz w:val="22"/>
                <w:szCs w:val="22"/>
              </w:rPr>
            </w:pPr>
          </w:p>
          <w:p w:rsidR="004C608D" w:rsidRPr="00F80CA8" w:rsidRDefault="004C608D" w:rsidP="004C608D">
            <w:pPr>
              <w:jc w:val="center"/>
              <w:rPr>
                <w:rFonts w:ascii="Baskerville" w:hAnsi="Baskerville" w:cs="Baskerville"/>
                <w:b/>
                <w:sz w:val="22"/>
                <w:szCs w:val="22"/>
              </w:rPr>
            </w:pPr>
          </w:p>
        </w:tc>
        <w:tc>
          <w:tcPr>
            <w:tcW w:w="1021" w:type="dxa"/>
            <w:shd w:val="clear" w:color="auto" w:fill="auto"/>
          </w:tcPr>
          <w:p w:rsidR="004C608D" w:rsidRPr="00F80CA8" w:rsidRDefault="004C608D" w:rsidP="004C608D">
            <w:pPr>
              <w:jc w:val="center"/>
              <w:rPr>
                <w:rFonts w:ascii="Baskerville" w:hAnsi="Baskerville" w:cs="Baskerville"/>
                <w:b/>
                <w:sz w:val="22"/>
                <w:szCs w:val="22"/>
              </w:rPr>
            </w:pPr>
          </w:p>
        </w:tc>
        <w:tc>
          <w:tcPr>
            <w:tcW w:w="1021" w:type="dxa"/>
            <w:shd w:val="clear" w:color="auto" w:fill="auto"/>
          </w:tcPr>
          <w:p w:rsidR="004C608D" w:rsidRPr="00F80CA8" w:rsidRDefault="004C608D" w:rsidP="004C608D">
            <w:pPr>
              <w:jc w:val="center"/>
              <w:rPr>
                <w:rFonts w:ascii="Baskerville" w:hAnsi="Baskerville" w:cs="Baskerville"/>
                <w:b/>
                <w:sz w:val="22"/>
                <w:szCs w:val="22"/>
              </w:rPr>
            </w:pPr>
          </w:p>
        </w:tc>
        <w:tc>
          <w:tcPr>
            <w:tcW w:w="1022" w:type="dxa"/>
            <w:shd w:val="clear" w:color="auto" w:fill="auto"/>
          </w:tcPr>
          <w:p w:rsidR="004C608D" w:rsidRPr="00F80CA8" w:rsidRDefault="004C608D" w:rsidP="004C608D">
            <w:pPr>
              <w:jc w:val="center"/>
              <w:rPr>
                <w:rFonts w:ascii="Baskerville" w:hAnsi="Baskerville" w:cs="Baskerville"/>
                <w:b/>
                <w:sz w:val="22"/>
                <w:szCs w:val="22"/>
              </w:rPr>
            </w:pPr>
          </w:p>
        </w:tc>
      </w:tr>
      <w:tr w:rsidR="004C608D" w:rsidRPr="00F80CA8" w:rsidTr="004C608D">
        <w:tc>
          <w:tcPr>
            <w:tcW w:w="5195" w:type="dxa"/>
            <w:vMerge/>
            <w:shd w:val="clear" w:color="auto" w:fill="auto"/>
          </w:tcPr>
          <w:p w:rsidR="004C608D" w:rsidRPr="00F80CA8" w:rsidRDefault="004C608D" w:rsidP="004C608D">
            <w:pPr>
              <w:pStyle w:val="ListParagraph"/>
              <w:rPr>
                <w:rFonts w:ascii="Baskerville" w:hAnsi="Baskerville" w:cs="Baskerville"/>
                <w:sz w:val="22"/>
                <w:szCs w:val="22"/>
              </w:rPr>
            </w:pP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24</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62.5%</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33.3%</w:t>
            </w:r>
          </w:p>
        </w:tc>
        <w:tc>
          <w:tcPr>
            <w:tcW w:w="1022"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4.2%</w:t>
            </w:r>
          </w:p>
        </w:tc>
      </w:tr>
      <w:tr w:rsidR="004C608D" w:rsidRPr="00F80CA8" w:rsidTr="004C608D">
        <w:tc>
          <w:tcPr>
            <w:tcW w:w="5195" w:type="dxa"/>
            <w:vMerge/>
            <w:shd w:val="clear" w:color="auto" w:fill="auto"/>
          </w:tcPr>
          <w:p w:rsidR="004C608D" w:rsidRPr="00F80CA8" w:rsidRDefault="004C608D" w:rsidP="004C608D">
            <w:pPr>
              <w:pStyle w:val="ListParagraph"/>
              <w:rPr>
                <w:rFonts w:ascii="Baskerville" w:hAnsi="Baskerville" w:cs="Baskerville"/>
                <w:sz w:val="22"/>
                <w:szCs w:val="22"/>
              </w:rPr>
            </w:pP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12</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58.3%</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41.7%</w:t>
            </w:r>
          </w:p>
        </w:tc>
        <w:tc>
          <w:tcPr>
            <w:tcW w:w="1022"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vMerge/>
            <w:shd w:val="clear" w:color="auto" w:fill="auto"/>
          </w:tcPr>
          <w:p w:rsidR="004C608D" w:rsidRPr="00F80CA8" w:rsidRDefault="004C608D" w:rsidP="004C608D">
            <w:pPr>
              <w:pStyle w:val="ListParagraph"/>
              <w:rPr>
                <w:rFonts w:ascii="Baskerville" w:hAnsi="Baskerville" w:cs="Baskerville"/>
                <w:sz w:val="22"/>
                <w:szCs w:val="22"/>
              </w:rPr>
            </w:pP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12</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58.3%</w:t>
            </w:r>
          </w:p>
        </w:tc>
        <w:tc>
          <w:tcPr>
            <w:tcW w:w="1021"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41.7%</w:t>
            </w:r>
          </w:p>
        </w:tc>
        <w:tc>
          <w:tcPr>
            <w:tcW w:w="1022" w:type="dxa"/>
            <w:shd w:val="clear" w:color="auto" w:fill="auto"/>
          </w:tcPr>
          <w:p w:rsidR="004C608D" w:rsidRPr="00F80CA8" w:rsidRDefault="004C608D" w:rsidP="004C608D">
            <w:pPr>
              <w:jc w:val="center"/>
              <w:rPr>
                <w:rFonts w:ascii="Baskerville" w:hAnsi="Baskerville" w:cs="Baskerville"/>
                <w:b/>
                <w:color w:val="000000"/>
                <w:sz w:val="22"/>
                <w:szCs w:val="22"/>
              </w:rPr>
            </w:pPr>
            <w:r w:rsidRPr="00F80CA8">
              <w:rPr>
                <w:rFonts w:ascii="Baskerville" w:hAnsi="Baskerville" w:cs="Baskerville"/>
                <w:color w:val="000000"/>
                <w:sz w:val="22"/>
                <w:szCs w:val="22"/>
              </w:rPr>
              <w:t>0.0%</w:t>
            </w:r>
          </w:p>
        </w:tc>
      </w:tr>
      <w:tr w:rsidR="004C608D" w:rsidRPr="00F80CA8" w:rsidTr="004C608D">
        <w:tc>
          <w:tcPr>
            <w:tcW w:w="5195" w:type="dxa"/>
            <w:vMerge/>
            <w:shd w:val="clear" w:color="auto" w:fill="auto"/>
          </w:tcPr>
          <w:p w:rsidR="004C608D" w:rsidRPr="00F80CA8" w:rsidRDefault="004C608D" w:rsidP="004C608D">
            <w:pPr>
              <w:pStyle w:val="ListParagraph"/>
              <w:rPr>
                <w:rFonts w:ascii="Baskerville" w:hAnsi="Baskerville" w:cs="Baskerville"/>
                <w:sz w:val="22"/>
                <w:szCs w:val="22"/>
              </w:rPr>
            </w:pP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60.0%</w:t>
            </w:r>
          </w:p>
        </w:tc>
        <w:tc>
          <w:tcPr>
            <w:tcW w:w="1021"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40.0%</w:t>
            </w:r>
          </w:p>
        </w:tc>
        <w:tc>
          <w:tcPr>
            <w:tcW w:w="1022"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bl>
    <w:p w:rsidR="004C608D" w:rsidRPr="00F80CA8" w:rsidRDefault="004C608D" w:rsidP="004C608D">
      <w:pPr>
        <w:ind w:left="180" w:right="-90"/>
        <w:rPr>
          <w:rFonts w:ascii="Baskerville" w:hAnsi="Baskerville" w:cs="Baskerville"/>
          <w:bCs/>
          <w:sz w:val="22"/>
          <w:szCs w:val="22"/>
        </w:rPr>
      </w:pPr>
    </w:p>
    <w:p w:rsidR="004C608D" w:rsidRPr="00F80CA8" w:rsidRDefault="004C608D" w:rsidP="004C608D">
      <w:pPr>
        <w:ind w:left="180" w:right="-90"/>
        <w:rPr>
          <w:rFonts w:ascii="Baskerville" w:hAnsi="Baskerville" w:cs="Baskerville"/>
          <w:bCs/>
          <w:sz w:val="22"/>
          <w:szCs w:val="22"/>
        </w:rPr>
      </w:pPr>
    </w:p>
    <w:p w:rsidR="004C608D" w:rsidRPr="00F80CA8" w:rsidRDefault="004C608D" w:rsidP="004C608D">
      <w:pPr>
        <w:ind w:left="180" w:right="-90"/>
        <w:rPr>
          <w:rFonts w:ascii="Baskerville" w:hAnsi="Baskerville" w:cs="Baskerville"/>
          <w:bCs/>
          <w:sz w:val="22"/>
          <w:szCs w:val="22"/>
        </w:rPr>
      </w:pPr>
    </w:p>
    <w:p w:rsidR="004C608D" w:rsidRPr="00F80CA8" w:rsidRDefault="004C608D" w:rsidP="004C608D">
      <w:pPr>
        <w:tabs>
          <w:tab w:val="left" w:pos="720"/>
        </w:tabs>
        <w:rPr>
          <w:rFonts w:ascii="Baskerville" w:hAnsi="Baskerville" w:cs="Baskerville"/>
          <w:bCs/>
          <w:sz w:val="22"/>
          <w:szCs w:val="22"/>
        </w:rPr>
      </w:pPr>
      <w:r w:rsidRPr="00F80CA8">
        <w:rPr>
          <w:rFonts w:ascii="Baskerville" w:hAnsi="Baskerville" w:cs="Baskerville"/>
          <w:bCs/>
          <w:sz w:val="22"/>
          <w:szCs w:val="22"/>
        </w:rPr>
        <w:t>Below are areas of concern related to the development of the individual support plans and integration outcomes of individuals in their communities.</w:t>
      </w:r>
    </w:p>
    <w:p w:rsidR="004C608D" w:rsidRPr="00F80CA8" w:rsidRDefault="004C608D" w:rsidP="004C608D">
      <w:pPr>
        <w:ind w:left="180" w:right="-90"/>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4C608D" w:rsidRPr="00F80CA8" w:rsidTr="004C608D">
        <w:tc>
          <w:tcPr>
            <w:tcW w:w="9270" w:type="dxa"/>
            <w:gridSpan w:val="5"/>
            <w:shd w:val="clear" w:color="auto" w:fill="auto"/>
          </w:tcPr>
          <w:p w:rsidR="004C608D" w:rsidRPr="00F80CA8" w:rsidRDefault="004C608D" w:rsidP="004C608D">
            <w:pPr>
              <w:jc w:val="center"/>
              <w:rPr>
                <w:rFonts w:ascii="Baskerville" w:hAnsi="Baskerville" w:cs="Baskerville"/>
                <w:b/>
                <w:sz w:val="22"/>
                <w:szCs w:val="22"/>
              </w:rPr>
            </w:pPr>
            <w:r w:rsidRPr="00F80CA8">
              <w:rPr>
                <w:rFonts w:ascii="Baskerville" w:hAnsi="Baskerville" w:cs="Baskerville"/>
                <w:b/>
                <w:sz w:val="22"/>
                <w:szCs w:val="22"/>
              </w:rPr>
              <w:t>Integration items – areas of concern</w:t>
            </w:r>
          </w:p>
        </w:tc>
      </w:tr>
      <w:tr w:rsidR="004C608D" w:rsidRPr="00F80CA8" w:rsidTr="004C608D">
        <w:tc>
          <w:tcPr>
            <w:tcW w:w="5194"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sz w:val="22"/>
                <w:szCs w:val="22"/>
              </w:rPr>
              <w:t>Item</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sz w:val="22"/>
                <w:szCs w:val="22"/>
              </w:rPr>
              <w:t>n</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sz w:val="22"/>
                <w:szCs w:val="22"/>
              </w:rPr>
              <w:t>Y</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sz w:val="22"/>
                <w:szCs w:val="22"/>
              </w:rPr>
              <w:t>N</w:t>
            </w:r>
          </w:p>
        </w:tc>
        <w:tc>
          <w:tcPr>
            <w:tcW w:w="1019" w:type="dxa"/>
            <w:shd w:val="clear" w:color="auto" w:fill="auto"/>
          </w:tcPr>
          <w:p w:rsidR="004C608D" w:rsidRPr="00F80CA8" w:rsidRDefault="004C608D" w:rsidP="004C608D">
            <w:pPr>
              <w:jc w:val="center"/>
              <w:rPr>
                <w:rFonts w:ascii="Baskerville" w:hAnsi="Baskerville" w:cs="Baskerville"/>
                <w:sz w:val="22"/>
                <w:szCs w:val="22"/>
              </w:rPr>
            </w:pPr>
            <w:r w:rsidRPr="00F80CA8">
              <w:rPr>
                <w:rFonts w:ascii="Baskerville" w:hAnsi="Baskerville" w:cs="Baskerville"/>
                <w:sz w:val="22"/>
                <w:szCs w:val="22"/>
              </w:rPr>
              <w:t>CND</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 xml:space="preserve">If applicable, were employment goals and supports developed and discussed? </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w:t>
            </w:r>
          </w:p>
        </w:tc>
      </w:tr>
      <w:tr w:rsidR="004C608D" w:rsidRPr="00F80CA8" w:rsidTr="004C608D">
        <w:tc>
          <w:tcPr>
            <w:tcW w:w="5194" w:type="dxa"/>
            <w:shd w:val="clear" w:color="auto" w:fill="auto"/>
          </w:tcPr>
          <w:p w:rsidR="004C608D" w:rsidRPr="00F80CA8" w:rsidRDefault="004C608D" w:rsidP="004C608D">
            <w:pPr>
              <w:ind w:left="522" w:hanging="522"/>
              <w:rPr>
                <w:rFonts w:ascii="Baskerville" w:hAnsi="Baskerville" w:cs="Baskerville"/>
                <w:sz w:val="22"/>
                <w:szCs w:val="22"/>
              </w:rPr>
            </w:pPr>
            <w:r w:rsidRPr="00F80CA8">
              <w:rPr>
                <w:rFonts w:ascii="Baskerville" w:hAnsi="Baskerville" w:cs="Baskerville"/>
                <w:sz w:val="22"/>
                <w:szCs w:val="22"/>
              </w:rPr>
              <w:t>If no, were integrated day opportunities offered</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9</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44.4%</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55.6%</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Does typical day include regular integrated activities?</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41.7%</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58.3%</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6.7%</w:t>
            </w:r>
          </w:p>
        </w:tc>
      </w:tr>
      <w:tr w:rsidR="004C608D" w:rsidRPr="00F80CA8" w:rsidTr="004C608D">
        <w:tc>
          <w:tcPr>
            <w:tcW w:w="5194" w:type="dxa"/>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Do you participate in integrated community volunteer activities?</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16.0%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84.0%</w:t>
            </w:r>
          </w:p>
        </w:tc>
        <w:tc>
          <w:tcPr>
            <w:tcW w:w="1019" w:type="dxa"/>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0.0%</w:t>
            </w:r>
          </w:p>
        </w:tc>
      </w:tr>
      <w:tr w:rsidR="004C608D" w:rsidRPr="00F80CA8" w:rsidTr="004C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94" w:type="dxa"/>
            <w:tcBorders>
              <w:top w:val="single" w:sz="4" w:space="0" w:color="auto"/>
              <w:left w:val="single" w:sz="4" w:space="0" w:color="auto"/>
              <w:bottom w:val="single" w:sz="4" w:space="0" w:color="auto"/>
              <w:right w:val="single" w:sz="4" w:space="0" w:color="auto"/>
            </w:tcBorders>
            <w:shd w:val="clear" w:color="auto" w:fill="auto"/>
          </w:tcPr>
          <w:p w:rsidR="004C608D" w:rsidRPr="00F80CA8" w:rsidRDefault="004C608D" w:rsidP="004C608D">
            <w:pPr>
              <w:rPr>
                <w:rFonts w:ascii="Baskerville" w:hAnsi="Baskerville" w:cs="Baskerville"/>
                <w:sz w:val="22"/>
                <w:szCs w:val="22"/>
              </w:rPr>
            </w:pPr>
            <w:r w:rsidRPr="00F80CA8">
              <w:rPr>
                <w:rFonts w:ascii="Baskerville" w:hAnsi="Baskerville" w:cs="Baskerville"/>
                <w:sz w:val="22"/>
                <w:szCs w:val="22"/>
              </w:rPr>
              <w:t>Do you participate in integrated community recreational activities?</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25</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56.0%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4C608D" w:rsidRPr="00F80CA8" w:rsidRDefault="004C608D" w:rsidP="004C608D">
            <w:pPr>
              <w:jc w:val="center"/>
              <w:rPr>
                <w:rFonts w:ascii="Baskerville" w:hAnsi="Baskerville" w:cs="Baskerville"/>
                <w:color w:val="000000"/>
                <w:sz w:val="22"/>
                <w:szCs w:val="22"/>
              </w:rPr>
            </w:pPr>
            <w:r w:rsidRPr="00F80CA8">
              <w:rPr>
                <w:rFonts w:ascii="Baskerville" w:hAnsi="Baskerville" w:cs="Baskerville"/>
                <w:color w:val="000000"/>
                <w:sz w:val="22"/>
                <w:szCs w:val="22"/>
              </w:rPr>
              <w:t>4.0%</w:t>
            </w:r>
          </w:p>
        </w:tc>
      </w:tr>
    </w:tbl>
    <w:p w:rsidR="004C608D" w:rsidRPr="00C4625E" w:rsidRDefault="004C608D" w:rsidP="004C608D">
      <w:pPr>
        <w:tabs>
          <w:tab w:val="left" w:pos="720"/>
        </w:tabs>
        <w:ind w:right="540"/>
        <w:rPr>
          <w:rFonts w:ascii="Baskerville" w:hAnsi="Baskerville" w:cs="Baskerville"/>
          <w:b/>
          <w:sz w:val="22"/>
          <w:szCs w:val="22"/>
        </w:rPr>
      </w:pPr>
    </w:p>
    <w:p w:rsidR="004C608D" w:rsidRDefault="004C608D" w:rsidP="004C608D">
      <w:pPr>
        <w:ind w:right="-90"/>
        <w:rPr>
          <w:rFonts w:ascii="Baskerville" w:hAnsi="Baskerville" w:cs="Baskerville"/>
          <w:bCs/>
          <w:sz w:val="22"/>
          <w:szCs w:val="22"/>
        </w:rPr>
      </w:pPr>
    </w:p>
    <w:p w:rsidR="004C608D" w:rsidRDefault="004C608D" w:rsidP="004C608D">
      <w:pPr>
        <w:ind w:right="-90"/>
        <w:rPr>
          <w:rFonts w:ascii="Baskerville" w:hAnsi="Baskerville" w:cs="Baskerville"/>
          <w:bCs/>
          <w:sz w:val="22"/>
          <w:szCs w:val="22"/>
        </w:rPr>
      </w:pPr>
    </w:p>
    <w:p w:rsidR="004C608D" w:rsidRPr="006C5A04" w:rsidRDefault="004C608D" w:rsidP="004C608D">
      <w:pPr>
        <w:ind w:right="-90"/>
        <w:rPr>
          <w:rFonts w:ascii="Baskerville" w:hAnsi="Baskerville" w:cs="Baskerville"/>
          <w:bCs/>
          <w:sz w:val="22"/>
          <w:szCs w:val="22"/>
        </w:rPr>
      </w:pPr>
    </w:p>
    <w:p w:rsidR="004C608D" w:rsidRDefault="004C608D" w:rsidP="004C608D">
      <w:pPr>
        <w:tabs>
          <w:tab w:val="left" w:pos="720"/>
        </w:tabs>
        <w:rPr>
          <w:rFonts w:ascii="Baskerville" w:hAnsi="Baskerville" w:cs="Baskerville"/>
          <w:bCs/>
          <w:sz w:val="22"/>
          <w:szCs w:val="22"/>
        </w:rPr>
      </w:pPr>
    </w:p>
    <w:p w:rsidR="004C608D" w:rsidRPr="00EF5B9D" w:rsidRDefault="004C608D" w:rsidP="004C608D">
      <w:pPr>
        <w:rPr>
          <w:rFonts w:ascii="Baskerville" w:hAnsi="Baskerville"/>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Default="004C608D" w:rsidP="004C608D">
      <w:pPr>
        <w:jc w:val="center"/>
        <w:rPr>
          <w:rFonts w:ascii="Baskerville" w:hAnsi="Baskerville" w:cs="Baskerville"/>
          <w:b/>
          <w:sz w:val="28"/>
          <w:szCs w:val="28"/>
          <w:u w:val="single"/>
        </w:rPr>
      </w:pPr>
    </w:p>
    <w:p w:rsidR="004C608D" w:rsidRPr="00EF5B9D" w:rsidRDefault="004C608D" w:rsidP="004C608D">
      <w:pPr>
        <w:jc w:val="center"/>
        <w:rPr>
          <w:rFonts w:ascii="Baskerville" w:hAnsi="Baskerville" w:cs="Baskerville"/>
          <w:b/>
          <w:sz w:val="28"/>
          <w:szCs w:val="28"/>
          <w:u w:val="single"/>
        </w:rPr>
      </w:pPr>
      <w:r>
        <w:rPr>
          <w:rFonts w:ascii="Baskerville" w:hAnsi="Baskerville" w:cs="Baskerville"/>
          <w:b/>
          <w:sz w:val="28"/>
          <w:szCs w:val="28"/>
          <w:u w:val="single"/>
        </w:rPr>
        <w:t>APPENDIX B</w:t>
      </w:r>
    </w:p>
    <w:p w:rsidR="004C608D" w:rsidRDefault="004C608D" w:rsidP="004C608D">
      <w:pPr>
        <w:jc w:val="center"/>
        <w:rPr>
          <w:rFonts w:ascii="Baskerville" w:hAnsi="Baskerville" w:cs="Baskerville"/>
          <w:b/>
          <w:sz w:val="28"/>
          <w:szCs w:val="28"/>
        </w:rPr>
      </w:pPr>
    </w:p>
    <w:p w:rsidR="004C608D" w:rsidRDefault="004C608D" w:rsidP="004C608D">
      <w:pPr>
        <w:jc w:val="center"/>
        <w:rPr>
          <w:rFonts w:ascii="Baskerville" w:hAnsi="Baskerville" w:cs="Baskerville"/>
          <w:b/>
          <w:sz w:val="28"/>
          <w:szCs w:val="28"/>
        </w:rPr>
      </w:pPr>
    </w:p>
    <w:p w:rsidR="004C608D" w:rsidRPr="00EF5B9D" w:rsidRDefault="004C608D" w:rsidP="004C608D">
      <w:pPr>
        <w:jc w:val="center"/>
        <w:rPr>
          <w:rFonts w:ascii="Baskerville" w:hAnsi="Baskerville" w:cs="Baskerville"/>
          <w:b/>
          <w:sz w:val="28"/>
          <w:szCs w:val="28"/>
        </w:rPr>
      </w:pPr>
      <w:r w:rsidRPr="00EF5B9D">
        <w:rPr>
          <w:rFonts w:ascii="Baskerville" w:hAnsi="Baskerville" w:cs="Baskerville"/>
          <w:b/>
          <w:sz w:val="28"/>
          <w:szCs w:val="28"/>
        </w:rPr>
        <w:t>CASE MANAGEMENT AND LICENSING</w:t>
      </w:r>
    </w:p>
    <w:p w:rsidR="004C608D" w:rsidRPr="00EF5B9D" w:rsidRDefault="004C608D" w:rsidP="004C608D">
      <w:pPr>
        <w:jc w:val="center"/>
        <w:rPr>
          <w:rFonts w:ascii="Baskerville" w:hAnsi="Baskerville" w:cs="Baskerville"/>
          <w:b/>
          <w:sz w:val="28"/>
          <w:szCs w:val="28"/>
        </w:rPr>
      </w:pPr>
    </w:p>
    <w:p w:rsidR="004C608D" w:rsidRPr="00EF5B9D" w:rsidRDefault="004C608D" w:rsidP="004C608D">
      <w:pPr>
        <w:jc w:val="center"/>
        <w:rPr>
          <w:rFonts w:ascii="Baskerville" w:hAnsi="Baskerville" w:cs="Baskerville"/>
          <w:b/>
          <w:sz w:val="28"/>
          <w:szCs w:val="28"/>
        </w:rPr>
      </w:pPr>
      <w:r w:rsidRPr="00EF5B9D">
        <w:rPr>
          <w:rFonts w:ascii="Baskerville" w:hAnsi="Baskerville" w:cs="Baskerville"/>
          <w:b/>
          <w:sz w:val="28"/>
          <w:szCs w:val="28"/>
        </w:rPr>
        <w:t>By: Ric Zaharia Ph.D.</w:t>
      </w:r>
    </w:p>
    <w:p w:rsidR="004C608D" w:rsidRPr="00EF5B9D" w:rsidRDefault="004C608D" w:rsidP="004C608D">
      <w:pPr>
        <w:jc w:val="center"/>
        <w:rPr>
          <w:rFonts w:ascii="Baskerville" w:hAnsi="Baskerville" w:cs="Baskerville"/>
          <w:b/>
          <w:sz w:val="28"/>
          <w:szCs w:val="28"/>
        </w:rPr>
      </w:pPr>
      <w:r w:rsidRPr="00EF5B9D">
        <w:rPr>
          <w:rFonts w:ascii="Baskerville" w:hAnsi="Baskerville" w:cs="Baskerville"/>
          <w:bCs/>
          <w:sz w:val="22"/>
          <w:szCs w:val="22"/>
        </w:rPr>
        <w:br w:type="page"/>
      </w:r>
    </w:p>
    <w:p w:rsidR="004C608D" w:rsidRPr="00EF5B9D" w:rsidRDefault="004C608D" w:rsidP="004C608D">
      <w:pPr>
        <w:jc w:val="center"/>
        <w:rPr>
          <w:rFonts w:ascii="Baskerville" w:hAnsi="Baskerville" w:cs="Baskerville"/>
          <w:b/>
          <w:sz w:val="28"/>
          <w:szCs w:val="28"/>
        </w:rPr>
      </w:pPr>
    </w:p>
    <w:p w:rsidR="004C608D" w:rsidRPr="00EF5B9D" w:rsidRDefault="004C608D" w:rsidP="004C608D">
      <w:pPr>
        <w:ind w:firstLine="720"/>
        <w:rPr>
          <w:rFonts w:asciiTheme="majorHAnsi" w:hAnsiTheme="majorHAnsi"/>
          <w:sz w:val="28"/>
        </w:rPr>
      </w:pPr>
      <w:r w:rsidRPr="00EF5B9D">
        <w:rPr>
          <w:noProof/>
        </w:rPr>
        <w:drawing>
          <wp:inline distT="0" distB="0" distL="0" distR="0">
            <wp:extent cx="3816350" cy="800100"/>
            <wp:effectExtent l="19050" t="0" r="0" b="0"/>
            <wp:docPr id="4" name="Picture 4" descr="65759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759_logo_final"/>
                    <pic:cNvPicPr>
                      <a:picLocks noChangeAspect="1" noChangeArrowheads="1"/>
                    </pic:cNvPicPr>
                  </pic:nvPicPr>
                  <pic:blipFill>
                    <a:blip r:embed="rId11" cstate="print"/>
                    <a:srcRect/>
                    <a:stretch>
                      <a:fillRect/>
                    </a:stretch>
                  </pic:blipFill>
                  <pic:spPr bwMode="auto">
                    <a:xfrm>
                      <a:off x="0" y="0"/>
                      <a:ext cx="3816350" cy="800100"/>
                    </a:xfrm>
                    <a:prstGeom prst="rect">
                      <a:avLst/>
                    </a:prstGeom>
                    <a:noFill/>
                    <a:ln w="9525">
                      <a:noFill/>
                      <a:miter lim="800000"/>
                      <a:headEnd/>
                      <a:tailEnd/>
                    </a:ln>
                  </pic:spPr>
                </pic:pic>
              </a:graphicData>
            </a:graphic>
          </wp:inline>
        </w:drawing>
      </w:r>
      <w:r>
        <w:rPr>
          <w:rFonts w:asciiTheme="majorHAnsi" w:hAnsiTheme="majorHAnsi"/>
          <w:sz w:val="28"/>
        </w:rPr>
        <w:t>of</w:t>
      </w:r>
    </w:p>
    <w:p w:rsidR="004C608D" w:rsidRPr="00EF5B9D" w:rsidRDefault="004C608D" w:rsidP="004C608D">
      <w:pPr>
        <w:ind w:firstLine="720"/>
        <w:rPr>
          <w:rFonts w:asciiTheme="majorHAnsi" w:hAnsiTheme="majorHAnsi"/>
          <w:sz w:val="28"/>
        </w:rPr>
      </w:pPr>
    </w:p>
    <w:p w:rsidR="004C608D" w:rsidRPr="00EF5B9D" w:rsidRDefault="004C608D" w:rsidP="004C608D">
      <w:pPr>
        <w:ind w:firstLine="720"/>
        <w:jc w:val="center"/>
        <w:rPr>
          <w:rFonts w:asciiTheme="majorHAnsi" w:hAnsiTheme="majorHAnsi"/>
          <w:sz w:val="44"/>
          <w:szCs w:val="44"/>
        </w:rPr>
      </w:pPr>
      <w:r w:rsidRPr="00EF5B9D">
        <w:rPr>
          <w:rFonts w:asciiTheme="majorHAnsi" w:hAnsiTheme="majorHAnsi"/>
          <w:sz w:val="44"/>
          <w:szCs w:val="44"/>
        </w:rPr>
        <w:t>Report to the Independent Reviewer</w:t>
      </w:r>
    </w:p>
    <w:p w:rsidR="004C608D" w:rsidRPr="00EF5B9D" w:rsidRDefault="004C608D" w:rsidP="004C608D">
      <w:pPr>
        <w:ind w:firstLine="720"/>
        <w:jc w:val="center"/>
        <w:rPr>
          <w:rFonts w:asciiTheme="majorHAnsi" w:hAnsiTheme="majorHAnsi"/>
          <w:i/>
          <w:sz w:val="44"/>
          <w:szCs w:val="44"/>
        </w:rPr>
      </w:pPr>
      <w:r w:rsidRPr="00EF5B9D">
        <w:rPr>
          <w:rFonts w:asciiTheme="majorHAnsi" w:hAnsiTheme="majorHAnsi"/>
          <w:i/>
          <w:sz w:val="44"/>
          <w:szCs w:val="44"/>
        </w:rPr>
        <w:t>United States v. Commonwealth of Virginia</w:t>
      </w:r>
    </w:p>
    <w:p w:rsidR="004C608D" w:rsidRPr="00EF5B9D" w:rsidRDefault="004C608D" w:rsidP="004C608D">
      <w:pPr>
        <w:ind w:firstLine="720"/>
        <w:jc w:val="center"/>
        <w:rPr>
          <w:rFonts w:asciiTheme="majorHAnsi" w:hAnsiTheme="majorHAnsi"/>
          <w:sz w:val="44"/>
          <w:szCs w:val="44"/>
        </w:rPr>
      </w:pPr>
    </w:p>
    <w:p w:rsidR="004C608D" w:rsidRPr="00EF5B9D" w:rsidRDefault="004C608D" w:rsidP="004C608D">
      <w:pPr>
        <w:ind w:firstLine="720"/>
        <w:jc w:val="center"/>
        <w:rPr>
          <w:rFonts w:asciiTheme="majorHAnsi" w:hAnsiTheme="majorHAnsi"/>
          <w:sz w:val="44"/>
          <w:szCs w:val="44"/>
        </w:rPr>
      </w:pPr>
    </w:p>
    <w:p w:rsidR="004C608D" w:rsidRPr="00EF5B9D" w:rsidRDefault="004C608D" w:rsidP="004C608D">
      <w:pPr>
        <w:ind w:firstLine="720"/>
        <w:jc w:val="center"/>
        <w:rPr>
          <w:rFonts w:asciiTheme="majorHAnsi" w:hAnsiTheme="majorHAnsi"/>
          <w:sz w:val="40"/>
          <w:szCs w:val="40"/>
        </w:rPr>
      </w:pPr>
      <w:r w:rsidRPr="00EF5B9D">
        <w:rPr>
          <w:rFonts w:asciiTheme="majorHAnsi" w:hAnsiTheme="majorHAnsi"/>
          <w:sz w:val="40"/>
          <w:szCs w:val="40"/>
        </w:rPr>
        <w:t>Case Management and Licensing</w:t>
      </w:r>
    </w:p>
    <w:p w:rsidR="004C608D" w:rsidRPr="00EF5B9D" w:rsidRDefault="004C608D" w:rsidP="004C608D">
      <w:pPr>
        <w:ind w:firstLine="720"/>
        <w:jc w:val="center"/>
        <w:rPr>
          <w:rFonts w:asciiTheme="majorHAnsi" w:hAnsiTheme="majorHAnsi"/>
          <w:sz w:val="48"/>
          <w:szCs w:val="48"/>
        </w:rPr>
      </w:pPr>
      <w:r w:rsidRPr="00EF5B9D">
        <w:rPr>
          <w:rFonts w:asciiTheme="majorHAnsi" w:hAnsiTheme="majorHAnsi"/>
          <w:sz w:val="40"/>
          <w:szCs w:val="40"/>
        </w:rPr>
        <w:t>Requirements</w:t>
      </w:r>
      <w:r w:rsidRPr="00EF5B9D">
        <w:rPr>
          <w:rFonts w:asciiTheme="majorHAnsi" w:hAnsiTheme="majorHAnsi"/>
          <w:sz w:val="44"/>
          <w:szCs w:val="44"/>
        </w:rPr>
        <w:t xml:space="preserve"> </w:t>
      </w:r>
    </w:p>
    <w:p w:rsidR="004C608D" w:rsidRPr="00EF5B9D" w:rsidRDefault="004C608D" w:rsidP="004C608D">
      <w:pPr>
        <w:ind w:firstLine="720"/>
        <w:jc w:val="center"/>
        <w:rPr>
          <w:rFonts w:asciiTheme="majorHAnsi" w:hAnsiTheme="majorHAnsi"/>
          <w:sz w:val="48"/>
          <w:szCs w:val="48"/>
        </w:rPr>
      </w:pPr>
    </w:p>
    <w:p w:rsidR="004C608D" w:rsidRPr="00EF5B9D" w:rsidRDefault="004C608D" w:rsidP="004C608D">
      <w:pPr>
        <w:ind w:firstLine="720"/>
        <w:jc w:val="center"/>
        <w:rPr>
          <w:rFonts w:asciiTheme="majorHAnsi" w:hAnsiTheme="majorHAnsi"/>
          <w:sz w:val="48"/>
          <w:szCs w:val="48"/>
        </w:rPr>
      </w:pPr>
    </w:p>
    <w:p w:rsidR="004C608D" w:rsidRPr="00EF5B9D" w:rsidRDefault="004C608D" w:rsidP="004C608D">
      <w:pPr>
        <w:ind w:firstLine="720"/>
        <w:jc w:val="center"/>
        <w:rPr>
          <w:rFonts w:asciiTheme="majorHAnsi" w:hAnsiTheme="majorHAnsi"/>
          <w:sz w:val="48"/>
          <w:szCs w:val="48"/>
        </w:rPr>
      </w:pPr>
    </w:p>
    <w:p w:rsidR="004C608D" w:rsidRPr="00EF5B9D" w:rsidRDefault="004C608D" w:rsidP="004C608D">
      <w:pPr>
        <w:ind w:firstLine="720"/>
        <w:jc w:val="center"/>
        <w:rPr>
          <w:rFonts w:asciiTheme="majorHAnsi" w:hAnsiTheme="majorHAnsi"/>
          <w:sz w:val="36"/>
          <w:szCs w:val="36"/>
        </w:rPr>
      </w:pPr>
      <w:r w:rsidRPr="00EF5B9D">
        <w:rPr>
          <w:rFonts w:asciiTheme="majorHAnsi" w:hAnsiTheme="majorHAnsi"/>
          <w:sz w:val="36"/>
          <w:szCs w:val="36"/>
        </w:rPr>
        <w:t>By</w:t>
      </w:r>
    </w:p>
    <w:p w:rsidR="004C608D" w:rsidRPr="00EF5B9D" w:rsidRDefault="004C608D" w:rsidP="004C608D">
      <w:pPr>
        <w:ind w:firstLine="720"/>
        <w:jc w:val="center"/>
        <w:rPr>
          <w:rFonts w:asciiTheme="majorHAnsi" w:hAnsiTheme="majorHAnsi"/>
          <w:sz w:val="36"/>
          <w:szCs w:val="36"/>
        </w:rPr>
      </w:pPr>
    </w:p>
    <w:p w:rsidR="004C608D" w:rsidRPr="00EF5B9D" w:rsidRDefault="004C608D" w:rsidP="004C608D">
      <w:pPr>
        <w:ind w:firstLine="720"/>
        <w:jc w:val="center"/>
        <w:rPr>
          <w:rFonts w:asciiTheme="majorHAnsi" w:hAnsiTheme="majorHAnsi"/>
          <w:sz w:val="32"/>
          <w:szCs w:val="32"/>
        </w:rPr>
      </w:pPr>
      <w:r w:rsidRPr="00EF5B9D">
        <w:rPr>
          <w:rFonts w:asciiTheme="majorHAnsi" w:hAnsiTheme="majorHAnsi"/>
          <w:sz w:val="32"/>
          <w:szCs w:val="32"/>
        </w:rPr>
        <w:t>Ric Zaharia, Ph.D., FAAIDD</w:t>
      </w:r>
    </w:p>
    <w:p w:rsidR="004C608D" w:rsidRPr="00EF5B9D" w:rsidRDefault="004C608D" w:rsidP="004C608D">
      <w:pPr>
        <w:ind w:firstLine="720"/>
        <w:jc w:val="center"/>
        <w:rPr>
          <w:rFonts w:asciiTheme="majorHAnsi" w:hAnsiTheme="majorHAnsi"/>
          <w:sz w:val="32"/>
          <w:szCs w:val="32"/>
        </w:rPr>
      </w:pPr>
      <w:r w:rsidRPr="00EF5B9D">
        <w:rPr>
          <w:rFonts w:asciiTheme="majorHAnsi" w:hAnsiTheme="majorHAnsi"/>
          <w:sz w:val="32"/>
          <w:szCs w:val="32"/>
        </w:rPr>
        <w:t>Consortium on Innovative Practices</w:t>
      </w: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32"/>
          <w:szCs w:val="32"/>
        </w:rPr>
      </w:pPr>
      <w:r w:rsidRPr="00EF5B9D">
        <w:rPr>
          <w:rFonts w:asciiTheme="majorHAnsi" w:hAnsiTheme="majorHAnsi"/>
          <w:sz w:val="32"/>
          <w:szCs w:val="32"/>
        </w:rPr>
        <w:t>April 24, 2015</w:t>
      </w: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firstLine="720"/>
        <w:jc w:val="center"/>
        <w:rPr>
          <w:rFonts w:asciiTheme="majorHAnsi" w:hAnsiTheme="majorHAnsi"/>
          <w:sz w:val="40"/>
          <w:szCs w:val="40"/>
        </w:rPr>
      </w:pPr>
    </w:p>
    <w:p w:rsidR="004C608D" w:rsidRPr="00EF5B9D" w:rsidRDefault="004C608D" w:rsidP="004C608D">
      <w:pPr>
        <w:ind w:left="720"/>
        <w:rPr>
          <w:rFonts w:asciiTheme="majorHAnsi" w:hAnsiTheme="majorHAnsi"/>
          <w:b/>
        </w:rPr>
      </w:pPr>
    </w:p>
    <w:p w:rsidR="004C608D" w:rsidRPr="00EF5B9D" w:rsidRDefault="004C608D" w:rsidP="004C608D">
      <w:pPr>
        <w:ind w:left="720"/>
        <w:rPr>
          <w:rFonts w:asciiTheme="majorHAnsi" w:hAnsiTheme="majorHAnsi"/>
          <w:b/>
        </w:rPr>
      </w:pPr>
    </w:p>
    <w:p w:rsidR="004C608D" w:rsidRPr="00EF5B9D" w:rsidRDefault="004C608D" w:rsidP="004C608D">
      <w:pPr>
        <w:ind w:left="720"/>
        <w:rPr>
          <w:rFonts w:asciiTheme="majorHAnsi" w:hAnsiTheme="majorHAnsi"/>
          <w:b/>
        </w:rPr>
      </w:pPr>
    </w:p>
    <w:p w:rsidR="004C608D" w:rsidRPr="00EF5B9D" w:rsidRDefault="004C608D" w:rsidP="004C608D">
      <w:pPr>
        <w:ind w:left="720"/>
        <w:rPr>
          <w:rFonts w:asciiTheme="majorHAnsi" w:hAnsiTheme="majorHAnsi"/>
          <w:b/>
          <w:sz w:val="32"/>
          <w:szCs w:val="32"/>
        </w:rPr>
      </w:pPr>
    </w:p>
    <w:p w:rsidR="004C608D" w:rsidRPr="00EF5B9D" w:rsidRDefault="004C608D" w:rsidP="004C608D">
      <w:pPr>
        <w:ind w:left="720"/>
        <w:rPr>
          <w:rFonts w:asciiTheme="majorHAnsi" w:hAnsiTheme="majorHAnsi"/>
          <w:b/>
          <w:sz w:val="32"/>
          <w:szCs w:val="32"/>
        </w:rPr>
      </w:pPr>
      <w:r w:rsidRPr="00EF5B9D">
        <w:rPr>
          <w:rFonts w:asciiTheme="majorHAnsi" w:hAnsiTheme="majorHAnsi"/>
          <w:b/>
          <w:sz w:val="32"/>
          <w:szCs w:val="32"/>
        </w:rPr>
        <w:t>Executive Summary</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Garamond" w:hAnsi="Garamond"/>
          <w:i/>
        </w:rPr>
      </w:pPr>
      <w:r w:rsidRPr="00EF5B9D">
        <w:rPr>
          <w:rFonts w:asciiTheme="majorHAnsi" w:hAnsiTheme="majorHAnsi"/>
        </w:rPr>
        <w:t xml:space="preserve">The Independent Reviewer for the </w:t>
      </w:r>
      <w:r w:rsidRPr="00EF5B9D">
        <w:rPr>
          <w:rFonts w:asciiTheme="majorHAnsi" w:hAnsiTheme="majorHAnsi"/>
          <w:i/>
        </w:rPr>
        <w:t>US v. Commonwealth of Virginia</w:t>
      </w:r>
      <w:r w:rsidRPr="00EF5B9D">
        <w:rPr>
          <w:rFonts w:asciiTheme="majorHAnsi" w:hAnsiTheme="majorHAnsi"/>
        </w:rPr>
        <w:t xml:space="preserve"> Settlement Agreement requested a follow-up review of the Licensing and Case Management requirements of the Agreement. This review updates the findings from previous reports on these areas.</w:t>
      </w:r>
    </w:p>
    <w:p w:rsidR="004C608D" w:rsidRPr="00EF5B9D" w:rsidRDefault="004C608D" w:rsidP="004C608D">
      <w:pPr>
        <w:ind w:firstLine="720"/>
        <w:rPr>
          <w:rFonts w:ascii="Garamond" w:hAnsi="Garamond"/>
        </w:rPr>
      </w:pPr>
    </w:p>
    <w:p w:rsidR="004C608D" w:rsidRPr="00EF5B9D" w:rsidRDefault="004C608D" w:rsidP="004C608D">
      <w:pPr>
        <w:ind w:left="720"/>
        <w:rPr>
          <w:rFonts w:asciiTheme="majorHAnsi" w:hAnsiTheme="majorHAnsi"/>
        </w:rPr>
      </w:pPr>
      <w:r w:rsidRPr="00EF5B9D">
        <w:rPr>
          <w:rFonts w:asciiTheme="majorHAnsi" w:hAnsiTheme="majorHAnsi"/>
        </w:rPr>
        <w:t xml:space="preserve">DBHDS (Department of Behavioral Health and Developmental Services) licensing rules (12VAC 35-105-1240) regard the Office of Licensing Services (OLS) as the compliance mechanism for Community Service Board (CSB) case management performance under their contracts with the Commonwealth. Monitoring case management performance, however, has been expanded to include case management expectations that have been added to the DBHDS Internal Auditor’s periodic Operational Review of CSBs. In addition, DBHDS is widening the scope of OLS case management reviews through a process called </w:t>
      </w:r>
      <w:r w:rsidRPr="00EF5B9D">
        <w:rPr>
          <w:rFonts w:asciiTheme="majorHAnsi" w:hAnsiTheme="majorHAnsi"/>
          <w:i/>
        </w:rPr>
        <w:t>360</w:t>
      </w:r>
      <w:r w:rsidRPr="00EF5B9D">
        <w:rPr>
          <w:rFonts w:asciiTheme="majorHAnsi" w:hAnsiTheme="majorHAnsi"/>
          <w:i/>
          <w:vertAlign w:val="superscript"/>
        </w:rPr>
        <w:t>o</w:t>
      </w:r>
      <w:r w:rsidRPr="00EF5B9D">
        <w:rPr>
          <w:rFonts w:asciiTheme="majorHAnsi" w:hAnsiTheme="majorHAnsi"/>
          <w:i/>
        </w:rPr>
        <w:t xml:space="preserve"> Review</w:t>
      </w:r>
      <w:r w:rsidRPr="00EF5B9D">
        <w:rPr>
          <w:rFonts w:asciiTheme="majorHAnsi" w:hAnsiTheme="majorHAnsi"/>
        </w:rPr>
        <w:t xml:space="preserve">. While the Internal Auditor’s Operational Review of CSBs clearly measures case management performance of the CSBs, it does so infrequently. The </w:t>
      </w:r>
      <w:r w:rsidRPr="00EF5B9D">
        <w:rPr>
          <w:rFonts w:asciiTheme="majorHAnsi" w:hAnsiTheme="majorHAnsi"/>
          <w:i/>
        </w:rPr>
        <w:t>360</w:t>
      </w:r>
      <w:r w:rsidRPr="00EF5B9D">
        <w:rPr>
          <w:rFonts w:asciiTheme="majorHAnsi" w:hAnsiTheme="majorHAnsi"/>
          <w:i/>
          <w:vertAlign w:val="superscript"/>
        </w:rPr>
        <w:t>o</w:t>
      </w:r>
      <w:r w:rsidRPr="00EF5B9D">
        <w:rPr>
          <w:rFonts w:asciiTheme="majorHAnsi" w:hAnsiTheme="majorHAnsi"/>
          <w:i/>
        </w:rPr>
        <w:t xml:space="preserve"> Review</w:t>
      </w:r>
      <w:r w:rsidRPr="00EF5B9D">
        <w:rPr>
          <w:rFonts w:asciiTheme="majorHAnsi" w:hAnsiTheme="majorHAnsi"/>
        </w:rPr>
        <w:t xml:space="preserve"> process was initiated in the fall of 2014 is, as yet, not established as an effective performance monitoring strategy. </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DBHDS efforts to achieve compliance in the monitoring area continue. The exposure of individuals and the system to the negative impacts of providers who repeatedly fail to meet performance expectations or correction plans continue. One residential provider during the fall of 2014 had repeat citations with no additional consequence besides another CAP.</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The Agreement contains an overarching requirement that data collected by DBHDS for the purposes of continuous improvement be “reliable”. DBHDS has not tested for the reliability of case manager data referenced in the Agreement, whether for case manager visits or their assessment of the individual’s accomplishment of goals. This could be simply addressed in the same manner as HCBS audits – requiring supervisors to conduct samplings of records and report the performance they discover. </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The Compliance Table on the next page summarizes the assessment of compliance described in the narrative report below. This review assessed ten requirements in the Agreement. Five of the ten are in compliance. For five of the ten requirements the progress made by the Commonwealth toward compliance has not been sufficient to achieve compliance. Recommendations are made on approaches to achieve compliance. Suggestions for improvement are offered for consideration.</w:t>
      </w:r>
    </w:p>
    <w:p w:rsidR="004C608D" w:rsidRPr="00EF5B9D" w:rsidRDefault="004C608D" w:rsidP="004C608D">
      <w:pPr>
        <w:rPr>
          <w:rFonts w:ascii="Garamond" w:hAnsi="Garamond"/>
        </w:rPr>
      </w:pPr>
      <w:r w:rsidRPr="00EF5B9D">
        <w:rPr>
          <w:rFonts w:ascii="Garamond" w:hAnsi="Garamond"/>
        </w:rPr>
        <w:br w:type="page"/>
      </w:r>
    </w:p>
    <w:p w:rsidR="004C608D" w:rsidRPr="00EF5B9D" w:rsidRDefault="004C608D" w:rsidP="004C608D">
      <w:pPr>
        <w:ind w:firstLine="720"/>
        <w:rPr>
          <w:rFonts w:ascii="Garamond" w:hAnsi="Garamond"/>
        </w:rPr>
      </w:pPr>
    </w:p>
    <w:p w:rsidR="004C608D" w:rsidRPr="00EF5B9D" w:rsidRDefault="004C608D" w:rsidP="004C608D">
      <w:pPr>
        <w:jc w:val="center"/>
        <w:rPr>
          <w:rFonts w:asciiTheme="majorHAnsi" w:hAnsiTheme="majorHAnsi"/>
        </w:rPr>
      </w:pPr>
      <w:r w:rsidRPr="00EF5B9D">
        <w:rPr>
          <w:rFonts w:asciiTheme="majorHAnsi" w:hAnsiTheme="majorHAnsi"/>
        </w:rPr>
        <w:t>Compliance Table</w:t>
      </w:r>
    </w:p>
    <w:p w:rsidR="004C608D" w:rsidRPr="00EF5B9D" w:rsidRDefault="004C608D" w:rsidP="004C608D">
      <w:pPr>
        <w:jc w:val="center"/>
      </w:pPr>
    </w:p>
    <w:p w:rsidR="004C608D" w:rsidRPr="00EF5B9D" w:rsidRDefault="004C608D" w:rsidP="004C608D">
      <w:pPr>
        <w:jc w:val="center"/>
      </w:pPr>
    </w:p>
    <w:tbl>
      <w:tblPr>
        <w:tblStyle w:val="TableGrid"/>
        <w:tblW w:w="9300" w:type="dxa"/>
        <w:tblInd w:w="198" w:type="dxa"/>
        <w:tblLook w:val="04A0"/>
      </w:tblPr>
      <w:tblGrid>
        <w:gridCol w:w="1260"/>
        <w:gridCol w:w="5850"/>
        <w:gridCol w:w="1620"/>
        <w:gridCol w:w="570"/>
      </w:tblGrid>
      <w:tr w:rsidR="004C608D" w:rsidRPr="00EF5B9D" w:rsidTr="004C608D">
        <w:tc>
          <w:tcPr>
            <w:tcW w:w="126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Settlement Agreement Section</w:t>
            </w:r>
          </w:p>
        </w:tc>
        <w:tc>
          <w:tcPr>
            <w:tcW w:w="585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Settlement Agreement Language</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 as of</w:t>
            </w:r>
          </w:p>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4/15/15</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(10/24/15)</w:t>
            </w:r>
          </w:p>
        </w:tc>
        <w:tc>
          <w:tcPr>
            <w:tcW w:w="57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sz w:val="18"/>
                <w:szCs w:val="18"/>
              </w:rPr>
              <w:t>Page</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III.C.5.a</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Case Management</w:t>
            </w:r>
          </w:p>
        </w:tc>
        <w:tc>
          <w:tcPr>
            <w:tcW w:w="5850" w:type="dxa"/>
          </w:tcPr>
          <w:p w:rsidR="004C608D" w:rsidRPr="00EF5B9D" w:rsidRDefault="004C608D" w:rsidP="004C608D">
            <w:pPr>
              <w:jc w:val="both"/>
              <w:rPr>
                <w:rFonts w:asciiTheme="majorHAnsi" w:hAnsiTheme="majorHAnsi"/>
                <w:i/>
                <w:sz w:val="16"/>
                <w:szCs w:val="16"/>
              </w:rPr>
            </w:pPr>
            <w:r w:rsidRPr="00EF5B9D">
              <w:rPr>
                <w:rFonts w:asciiTheme="majorHAnsi" w:hAnsiTheme="majorHAnsi"/>
                <w:i/>
                <w:sz w:val="16"/>
                <w:szCs w:val="16"/>
              </w:rPr>
              <w:t>The Commonwealth shall ensure that individuals receiving HCBS waiver services under this Agreement receive case management.</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4</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III.C.5.c</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Case Management</w:t>
            </w:r>
          </w:p>
        </w:tc>
        <w:tc>
          <w:tcPr>
            <w:tcW w:w="5850" w:type="dxa"/>
          </w:tcPr>
          <w:p w:rsidR="004C608D" w:rsidRPr="00EF5B9D" w:rsidRDefault="004C608D" w:rsidP="004C608D">
            <w:pPr>
              <w:rPr>
                <w:rFonts w:asciiTheme="majorHAnsi" w:hAnsiTheme="majorHAnsi"/>
                <w:i/>
                <w:sz w:val="16"/>
                <w:szCs w:val="16"/>
              </w:rPr>
            </w:pPr>
            <w:r w:rsidRPr="00EF5B9D">
              <w:rPr>
                <w:rFonts w:ascii="Garamond" w:hAnsi="Garamond"/>
                <w:i/>
              </w:rPr>
              <w:t xml:space="preserve"> </w:t>
            </w:r>
            <w:r w:rsidRPr="00EF5B9D">
              <w:rPr>
                <w:rFonts w:asciiTheme="majorHAnsi" w:hAnsiTheme="majorHAnsi"/>
                <w:sz w:val="16"/>
                <w:szCs w:val="16"/>
              </w:rPr>
              <w:t>Case management shall be provided to all individuals receiving HCBS waiver services under this Agreement by case managers who are not directly providing such services to the individual or supervising the provision of such services. The Commonwealth shall include a provision in the Community Services Board (“CSB”) Performance Contract that requires CSB case managers to give individuals a choice service providers from which the individual may receive approved waiver services and to present practicable options of service providers based on the preferences of the individual, including both CSB and non-CSB providers</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(Non-Compliance)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5</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III.C.5.d</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Case Management</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The Commonwealth shall establish a mechanism to monitor compliance with performance standards.</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Non- 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6</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III.D.7</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The Commonwealth shall include a term in the annual performance contract with the CSBs to require case managers to continue to offer education about less restrictive community options on at least an annual basis to any individuals living outside their own home or family’s home (and, if relevant, to their Authorized Representative or guardian).</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(none)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8</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V.F.1</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 xml:space="preserve">Case Management </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For individuals receiving case management services pursuant to this Agreement, the individual’s case manager shall meet with the individual face-to-face on a regular basis and shall conduct regular visits to the individual’s residence, as dictated by the individual’s needs.</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9</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V.F.2</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Case Management</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At these face-to-face meetings, the case manager shall:  observe the individual and the individual’s environment to assess for previously unidentified risks, injuries needs, or other changes in status; assess the status of previously identified risks, injuries, needs, or other change in status; assess whether the individual’s support plan is being implemented appropriately and remains appropriate for the individual; and ascertain whether supports and services are being implemented consistent with the individual’s strengths and preferences and in the most integrated setting appropriate to the individual’s needs. If any of these observations or assessments identifies an unidentified or inadequately addressed risk, injury, need, or change in status; a deficiency in the individual’s support plan or its implementation; or a discrepancy between the implementation of supports and services and the individual’s strengths and preferences, then the case manager shall report and document the issue, convene the individual’s service planning team to address it, and document its resolution.</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Non-Compliance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p w:rsidR="004C608D" w:rsidRPr="00EF5B9D" w:rsidRDefault="004C608D" w:rsidP="004C608D">
            <w:pPr>
              <w:jc w:val="center"/>
              <w:rPr>
                <w:rFonts w:asciiTheme="majorHAnsi" w:hAnsiTheme="majorHAnsi"/>
                <w:sz w:val="18"/>
                <w:szCs w:val="18"/>
              </w:rPr>
            </w:pPr>
          </w:p>
          <w:p w:rsidR="004C608D" w:rsidRPr="00EF5B9D" w:rsidRDefault="004C608D" w:rsidP="004C608D">
            <w:pPr>
              <w:jc w:val="center"/>
              <w:rPr>
                <w:rFonts w:asciiTheme="majorHAnsi" w:hAnsiTheme="majorHAnsi"/>
                <w:sz w:val="18"/>
                <w:szCs w:val="18"/>
              </w:rPr>
            </w:pPr>
          </w:p>
          <w:p w:rsidR="004C608D" w:rsidRPr="00EF5B9D" w:rsidRDefault="004C608D" w:rsidP="004C608D">
            <w:pPr>
              <w:jc w:val="center"/>
              <w:rPr>
                <w:rFonts w:asciiTheme="majorHAnsi" w:hAnsiTheme="majorHAnsi"/>
                <w:sz w:val="18"/>
                <w:szCs w:val="18"/>
              </w:rPr>
            </w:pPr>
          </w:p>
          <w:p w:rsidR="004C608D" w:rsidRPr="00EF5B9D" w:rsidRDefault="004C608D" w:rsidP="004C608D">
            <w:pPr>
              <w:jc w:val="center"/>
              <w:rPr>
                <w:rFonts w:asciiTheme="majorHAnsi" w:hAnsiTheme="majorHAnsi"/>
                <w:sz w:val="18"/>
                <w:szCs w:val="18"/>
              </w:rPr>
            </w:pPr>
          </w:p>
          <w:p w:rsidR="004C608D" w:rsidRPr="00EF5B9D" w:rsidRDefault="004C608D" w:rsidP="004C608D">
            <w:pPr>
              <w:rPr>
                <w:rFonts w:asciiTheme="majorHAnsi" w:hAnsiTheme="majorHAnsi"/>
                <w:sz w:val="18"/>
                <w:szCs w:val="18"/>
              </w:rPr>
            </w:pPr>
          </w:p>
          <w:p w:rsidR="004C608D" w:rsidRPr="00EF5B9D" w:rsidRDefault="004C608D" w:rsidP="004C608D">
            <w:pPr>
              <w:jc w:val="center"/>
              <w:rPr>
                <w:rFonts w:asciiTheme="majorHAnsi" w:hAnsiTheme="majorHAnsi"/>
                <w:sz w:val="18"/>
                <w:szCs w:val="18"/>
              </w:rPr>
            </w:pP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[also Assessed through Individual Service Reviews]</w:t>
            </w:r>
          </w:p>
          <w:p w:rsidR="004C608D" w:rsidRPr="00EF5B9D" w:rsidRDefault="004C608D" w:rsidP="004C608D">
            <w:pPr>
              <w:jc w:val="center"/>
              <w:rPr>
                <w:rFonts w:asciiTheme="majorHAnsi" w:hAnsiTheme="majorHAnsi"/>
                <w:sz w:val="18"/>
                <w:szCs w:val="18"/>
              </w:rPr>
            </w:pP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10</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V.F.4</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Case Management</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Within 12 months from the effective date of this Agreement, the Commonwealth shall establish a mechanism to collect reliable data from the case managers on the number, type, and frequency of case manager contacts with the individual.</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Non-Compliance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11</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V.G.1-2</w:t>
            </w:r>
          </w:p>
          <w:p w:rsidR="004C608D" w:rsidRPr="00EF5B9D" w:rsidRDefault="004C608D" w:rsidP="004C608D">
            <w:pPr>
              <w:rPr>
                <w:rFonts w:asciiTheme="majorHAnsi" w:hAnsiTheme="majorHAnsi"/>
                <w:sz w:val="18"/>
                <w:szCs w:val="18"/>
              </w:rPr>
            </w:pPr>
            <w:r w:rsidRPr="00EF5B9D">
              <w:rPr>
                <w:rFonts w:asciiTheme="majorHAnsi" w:hAnsiTheme="majorHAnsi"/>
                <w:sz w:val="18"/>
                <w:szCs w:val="18"/>
              </w:rPr>
              <w:t>Licensing</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The Commonwealth shall conduct regular, unannounced licensing inspections of community providers serving individuals receiving services under this Agreement. Within 12 months of the effective date of this Agreement, the Commonwealth shall have and implement a process to conduct more frequent licensure inspections of community providers serving individuals under this Agreement.</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12</w:t>
            </w:r>
          </w:p>
        </w:tc>
      </w:tr>
      <w:tr w:rsidR="004C608D" w:rsidRPr="00EF5B9D" w:rsidTr="004C608D">
        <w:tc>
          <w:tcPr>
            <w:tcW w:w="1260" w:type="dxa"/>
          </w:tcPr>
          <w:p w:rsidR="004C608D" w:rsidRPr="00EF5B9D" w:rsidRDefault="004C608D" w:rsidP="004C608D">
            <w:pPr>
              <w:rPr>
                <w:rFonts w:asciiTheme="majorHAnsi" w:hAnsiTheme="majorHAnsi"/>
                <w:i/>
                <w:sz w:val="18"/>
                <w:szCs w:val="18"/>
              </w:rPr>
            </w:pPr>
            <w:r w:rsidRPr="00EF5B9D">
              <w:rPr>
                <w:rFonts w:asciiTheme="majorHAnsi" w:hAnsiTheme="majorHAnsi"/>
                <w:i/>
                <w:sz w:val="18"/>
                <w:szCs w:val="18"/>
              </w:rPr>
              <w:t>V.G.3</w:t>
            </w:r>
          </w:p>
          <w:p w:rsidR="004C608D" w:rsidRPr="00EF5B9D" w:rsidRDefault="004C608D" w:rsidP="004C608D">
            <w:pPr>
              <w:rPr>
                <w:rFonts w:asciiTheme="majorHAnsi" w:hAnsiTheme="majorHAnsi"/>
                <w:i/>
                <w:sz w:val="18"/>
                <w:szCs w:val="18"/>
              </w:rPr>
            </w:pPr>
            <w:r w:rsidRPr="00EF5B9D">
              <w:rPr>
                <w:rFonts w:asciiTheme="majorHAnsi" w:hAnsiTheme="majorHAnsi"/>
                <w:i/>
                <w:sz w:val="18"/>
                <w:szCs w:val="18"/>
              </w:rPr>
              <w:t>Licensing</w:t>
            </w:r>
          </w:p>
          <w:p w:rsidR="004C608D" w:rsidRPr="00EF5B9D" w:rsidRDefault="004C608D" w:rsidP="004C608D">
            <w:pPr>
              <w:rPr>
                <w:rFonts w:asciiTheme="majorHAnsi" w:hAnsiTheme="majorHAnsi"/>
                <w:sz w:val="16"/>
                <w:szCs w:val="16"/>
              </w:rPr>
            </w:pPr>
          </w:p>
        </w:tc>
        <w:tc>
          <w:tcPr>
            <w:tcW w:w="5850" w:type="dxa"/>
          </w:tcPr>
          <w:p w:rsidR="004C608D" w:rsidRPr="00EF5B9D" w:rsidRDefault="004C608D" w:rsidP="004C608D">
            <w:pPr>
              <w:rPr>
                <w:rFonts w:asciiTheme="majorHAnsi" w:hAnsiTheme="majorHAnsi" w:cs="Baskerville"/>
                <w:i/>
                <w:sz w:val="16"/>
                <w:szCs w:val="16"/>
              </w:rPr>
            </w:pPr>
            <w:r w:rsidRPr="00EF5B9D">
              <w:rPr>
                <w:rFonts w:asciiTheme="majorHAnsi" w:hAnsiTheme="majorHAnsi" w:cs="Baskerville"/>
                <w:i/>
                <w:sz w:val="16"/>
                <w:szCs w:val="16"/>
              </w:rPr>
              <w:t>Within 12 months of the effective date of this Agreement, the Commonwealth shall ensure that the licensure process assesses the adequacy of the individualized supports and services provided to persons receiving services under this Agreement in each of the domains listed in Section V.D.3 above and that these data and assessments are reported to DBHDS.</w:t>
            </w:r>
          </w:p>
        </w:tc>
        <w:tc>
          <w:tcPr>
            <w:tcW w:w="1620" w:type="dxa"/>
          </w:tcPr>
          <w:p w:rsidR="004C608D" w:rsidRPr="00EF5B9D" w:rsidRDefault="004C608D" w:rsidP="004C608D">
            <w:pPr>
              <w:jc w:val="center"/>
              <w:rPr>
                <w:rFonts w:asciiTheme="majorHAnsi" w:hAnsiTheme="majorHAnsi"/>
                <w:b/>
                <w:sz w:val="16"/>
                <w:szCs w:val="16"/>
              </w:rPr>
            </w:pPr>
            <w:r w:rsidRPr="00EF5B9D">
              <w:rPr>
                <w:rFonts w:asciiTheme="majorHAnsi" w:hAnsiTheme="majorHAnsi"/>
                <w:b/>
                <w:sz w:val="16"/>
                <w:szCs w:val="16"/>
              </w:rPr>
              <w:t>Non-Compliance</w:t>
            </w:r>
          </w:p>
          <w:p w:rsidR="004C608D" w:rsidRPr="00EF5B9D" w:rsidRDefault="004C608D" w:rsidP="004C608D">
            <w:pPr>
              <w:jc w:val="center"/>
              <w:rPr>
                <w:rFonts w:asciiTheme="majorHAnsi" w:hAnsiTheme="majorHAnsi"/>
                <w:sz w:val="16"/>
                <w:szCs w:val="16"/>
              </w:rPr>
            </w:pPr>
            <w:r w:rsidRPr="00EF5B9D">
              <w:rPr>
                <w:rFonts w:asciiTheme="majorHAnsi" w:hAnsiTheme="majorHAnsi"/>
                <w:sz w:val="16"/>
                <w:szCs w:val="16"/>
              </w:rPr>
              <w:t>(same)</w:t>
            </w:r>
          </w:p>
        </w:tc>
        <w:tc>
          <w:tcPr>
            <w:tcW w:w="570" w:type="dxa"/>
          </w:tcPr>
          <w:p w:rsidR="004C608D" w:rsidRPr="00EF5B9D" w:rsidRDefault="004C608D" w:rsidP="004C608D">
            <w:pPr>
              <w:jc w:val="center"/>
              <w:rPr>
                <w:rFonts w:asciiTheme="majorHAnsi" w:hAnsiTheme="majorHAnsi"/>
                <w:sz w:val="16"/>
                <w:szCs w:val="16"/>
              </w:rPr>
            </w:pPr>
            <w:r w:rsidRPr="00EF5B9D">
              <w:rPr>
                <w:rFonts w:asciiTheme="majorHAnsi" w:hAnsiTheme="majorHAnsi"/>
                <w:sz w:val="16"/>
                <w:szCs w:val="16"/>
              </w:rPr>
              <w:t>13</w:t>
            </w:r>
          </w:p>
        </w:tc>
      </w:tr>
      <w:tr w:rsidR="004C608D" w:rsidRPr="00EF5B9D" w:rsidTr="004C608D">
        <w:tc>
          <w:tcPr>
            <w:tcW w:w="1260" w:type="dxa"/>
          </w:tcPr>
          <w:p w:rsidR="004C608D" w:rsidRPr="00EF5B9D" w:rsidRDefault="004C608D" w:rsidP="004C608D">
            <w:pPr>
              <w:rPr>
                <w:rFonts w:asciiTheme="majorHAnsi" w:hAnsiTheme="majorHAnsi"/>
                <w:sz w:val="18"/>
                <w:szCs w:val="18"/>
              </w:rPr>
            </w:pPr>
            <w:r w:rsidRPr="00EF5B9D">
              <w:rPr>
                <w:rFonts w:asciiTheme="majorHAnsi" w:hAnsiTheme="majorHAnsi"/>
                <w:sz w:val="18"/>
                <w:szCs w:val="18"/>
              </w:rPr>
              <w:t xml:space="preserve">Section IX.C </w:t>
            </w:r>
          </w:p>
        </w:tc>
        <w:tc>
          <w:tcPr>
            <w:tcW w:w="5850" w:type="dxa"/>
          </w:tcPr>
          <w:p w:rsidR="004C608D" w:rsidRPr="00EF5B9D" w:rsidRDefault="004C608D" w:rsidP="004C608D">
            <w:pPr>
              <w:rPr>
                <w:rFonts w:asciiTheme="majorHAnsi" w:hAnsiTheme="majorHAnsi"/>
                <w:i/>
                <w:sz w:val="16"/>
                <w:szCs w:val="16"/>
              </w:rPr>
            </w:pPr>
            <w:r w:rsidRPr="00EF5B9D">
              <w:rPr>
                <w:rFonts w:asciiTheme="majorHAnsi" w:hAnsiTheme="majorHAnsi"/>
                <w:i/>
                <w:sz w:val="16"/>
                <w:szCs w:val="16"/>
              </w:rPr>
              <w:t xml:space="preserve"> </w:t>
            </w:r>
            <w:r w:rsidRPr="00EF5B9D">
              <w:rPr>
                <w:rFonts w:asciiTheme="majorHAnsi" w:hAnsiTheme="majorHAnsi"/>
                <w:sz w:val="16"/>
                <w:szCs w:val="16"/>
              </w:rPr>
              <w:t>Requires that there be</w:t>
            </w:r>
            <w:r w:rsidRPr="00EF5B9D">
              <w:rPr>
                <w:rFonts w:asciiTheme="majorHAnsi" w:hAnsiTheme="majorHAnsi"/>
                <w:i/>
                <w:sz w:val="16"/>
                <w:szCs w:val="16"/>
              </w:rPr>
              <w:t xml:space="preserve"> “…sufficient records to document that the requirements of the Agreement are being properly implemented…”</w:t>
            </w:r>
          </w:p>
        </w:tc>
        <w:tc>
          <w:tcPr>
            <w:tcW w:w="1620" w:type="dxa"/>
          </w:tcPr>
          <w:p w:rsidR="004C608D" w:rsidRPr="00EF5B9D" w:rsidRDefault="004C608D" w:rsidP="004C608D">
            <w:pPr>
              <w:jc w:val="center"/>
              <w:rPr>
                <w:rFonts w:asciiTheme="majorHAnsi" w:hAnsiTheme="majorHAnsi"/>
                <w:b/>
                <w:sz w:val="18"/>
                <w:szCs w:val="18"/>
              </w:rPr>
            </w:pPr>
            <w:r w:rsidRPr="00EF5B9D">
              <w:rPr>
                <w:rFonts w:asciiTheme="majorHAnsi" w:hAnsiTheme="majorHAnsi"/>
                <w:b/>
                <w:sz w:val="18"/>
                <w:szCs w:val="18"/>
              </w:rPr>
              <w:t>Non-Compliance</w:t>
            </w:r>
          </w:p>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(same)</w:t>
            </w:r>
          </w:p>
        </w:tc>
        <w:tc>
          <w:tcPr>
            <w:tcW w:w="570" w:type="dxa"/>
          </w:tcPr>
          <w:p w:rsidR="004C608D" w:rsidRPr="00EF5B9D" w:rsidRDefault="004C608D" w:rsidP="004C608D">
            <w:pPr>
              <w:jc w:val="center"/>
              <w:rPr>
                <w:rFonts w:asciiTheme="majorHAnsi" w:hAnsiTheme="majorHAnsi"/>
                <w:sz w:val="18"/>
                <w:szCs w:val="18"/>
              </w:rPr>
            </w:pPr>
            <w:r w:rsidRPr="00EF5B9D">
              <w:rPr>
                <w:rFonts w:asciiTheme="majorHAnsi" w:hAnsiTheme="majorHAnsi"/>
                <w:sz w:val="18"/>
                <w:szCs w:val="18"/>
              </w:rPr>
              <w:t>7</w:t>
            </w:r>
          </w:p>
        </w:tc>
      </w:tr>
    </w:tbl>
    <w:p w:rsidR="004C608D" w:rsidRPr="00EF5B9D" w:rsidRDefault="004C608D" w:rsidP="004C608D">
      <w:pPr>
        <w:ind w:firstLine="720"/>
        <w:rPr>
          <w:rFonts w:ascii="Garamond" w:hAnsi="Garamond"/>
        </w:rPr>
      </w:pPr>
    </w:p>
    <w:p w:rsidR="004C608D" w:rsidRPr="00EF5B9D" w:rsidRDefault="004C608D" w:rsidP="004C608D">
      <w:pPr>
        <w:rPr>
          <w:rFonts w:ascii="Garamond" w:hAnsi="Garamond"/>
        </w:rPr>
      </w:pPr>
      <w:r w:rsidRPr="00EF5B9D">
        <w:rPr>
          <w:rFonts w:ascii="Garamond" w:hAnsi="Garamond"/>
        </w:rPr>
        <w:br w:type="page"/>
      </w:r>
    </w:p>
    <w:p w:rsidR="004C608D" w:rsidRPr="00EF5B9D" w:rsidRDefault="004C608D" w:rsidP="004C608D">
      <w:pPr>
        <w:ind w:firstLine="720"/>
        <w:rPr>
          <w:rFonts w:asciiTheme="majorHAnsi" w:hAnsiTheme="majorHAnsi"/>
          <w:sz w:val="28"/>
          <w:szCs w:val="28"/>
        </w:rPr>
      </w:pPr>
      <w:r w:rsidRPr="00EF5B9D">
        <w:rPr>
          <w:rFonts w:asciiTheme="majorHAnsi" w:hAnsiTheme="majorHAnsi"/>
          <w:sz w:val="28"/>
          <w:szCs w:val="28"/>
        </w:rPr>
        <w:t>Case Management</w:t>
      </w:r>
    </w:p>
    <w:p w:rsidR="004C608D" w:rsidRPr="00EF5B9D" w:rsidRDefault="004C608D" w:rsidP="004C608D">
      <w:pPr>
        <w:ind w:firstLine="720"/>
        <w:rPr>
          <w:rFonts w:asciiTheme="majorHAnsi" w:hAnsiTheme="majorHAnsi"/>
        </w:rPr>
      </w:pPr>
    </w:p>
    <w:p w:rsidR="004C608D" w:rsidRPr="00EF5B9D" w:rsidRDefault="004C608D" w:rsidP="004C608D">
      <w:pPr>
        <w:pStyle w:val="ListParagraph"/>
        <w:jc w:val="center"/>
        <w:rPr>
          <w:rFonts w:asciiTheme="majorHAnsi" w:hAnsiTheme="majorHAnsi"/>
        </w:rPr>
      </w:pPr>
      <w:r w:rsidRPr="00EF5B9D">
        <w:rPr>
          <w:rFonts w:asciiTheme="majorHAnsi" w:hAnsiTheme="majorHAnsi"/>
        </w:rPr>
        <w:t>Case Management Availability</w:t>
      </w:r>
    </w:p>
    <w:p w:rsidR="004C608D" w:rsidRPr="00EF5B9D" w:rsidRDefault="004C608D" w:rsidP="004C608D">
      <w:pPr>
        <w:ind w:firstLine="720"/>
        <w:rPr>
          <w:rFonts w:asciiTheme="majorHAnsi" w:hAnsiTheme="majorHAnsi"/>
          <w:i/>
        </w:rPr>
      </w:pPr>
      <w:r w:rsidRPr="00EF5B9D">
        <w:rPr>
          <w:rFonts w:asciiTheme="majorHAnsi" w:hAnsiTheme="majorHAnsi"/>
          <w:i/>
        </w:rPr>
        <w:t>III.C.5.a</w:t>
      </w:r>
    </w:p>
    <w:p w:rsidR="004C608D" w:rsidRPr="00EF5B9D" w:rsidRDefault="004C608D" w:rsidP="004C608D">
      <w:pPr>
        <w:ind w:left="720"/>
        <w:rPr>
          <w:rFonts w:asciiTheme="majorHAnsi" w:hAnsiTheme="majorHAnsi"/>
          <w:i/>
        </w:rPr>
      </w:pPr>
      <w:r w:rsidRPr="00EF5B9D">
        <w:rPr>
          <w:rFonts w:asciiTheme="majorHAnsi" w:hAnsiTheme="majorHAnsi"/>
          <w:i/>
        </w:rPr>
        <w:t>The Commonwealth shall ensure that individuals receiving HCBS waiver services under this Agreement receive case management.</w:t>
      </w:r>
    </w:p>
    <w:p w:rsidR="004C608D" w:rsidRPr="00EF5B9D" w:rsidRDefault="004C608D" w:rsidP="004C608D">
      <w:pPr>
        <w:ind w:left="2880" w:hanging="1440"/>
        <w:rPr>
          <w:rFonts w:asciiTheme="majorHAnsi" w:hAnsiTheme="majorHAnsi"/>
        </w:rPr>
      </w:pPr>
      <w:r w:rsidRPr="00EF5B9D">
        <w:rPr>
          <w:rFonts w:asciiTheme="majorHAnsi" w:hAnsiTheme="majorHAnsi"/>
        </w:rPr>
        <w:t>.</w:t>
      </w:r>
    </w:p>
    <w:p w:rsidR="004C608D" w:rsidRPr="00EF5B9D" w:rsidRDefault="004C608D" w:rsidP="004C608D">
      <w:pPr>
        <w:ind w:firstLine="720"/>
        <w:rPr>
          <w:rFonts w:asciiTheme="majorHAnsi" w:hAnsiTheme="majorHAnsi"/>
        </w:rPr>
      </w:pPr>
      <w:r w:rsidRPr="00EF5B9D">
        <w:rPr>
          <w:rFonts w:asciiTheme="majorHAnsi" w:hAnsiTheme="majorHAnsi"/>
          <w:u w:val="single"/>
        </w:rPr>
        <w:t>Methodology</w:t>
      </w:r>
      <w:r w:rsidRPr="00EF5B9D">
        <w:rPr>
          <w:rFonts w:asciiTheme="majorHAnsi" w:hAnsiTheme="majorHAnsi"/>
        </w:rPr>
        <w:tab/>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 xml:space="preserve">Reviewed October 2014 Data Dashboard.  </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w:t>
      </w:r>
    </w:p>
    <w:p w:rsidR="004C608D" w:rsidRPr="00EF5B9D" w:rsidRDefault="004C608D" w:rsidP="004C608D">
      <w:pPr>
        <w:rPr>
          <w:rFonts w:asciiTheme="majorHAnsi" w:hAnsiTheme="majorHAnsi"/>
        </w:rPr>
      </w:pPr>
      <w:r w:rsidRPr="00EF5B9D">
        <w:rPr>
          <w:rFonts w:asciiTheme="majorHAnsi" w:hAnsiTheme="majorHAnsi"/>
        </w:rPr>
        <w:tab/>
      </w: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 xml:space="preserve">The Data Dashboard continues to have viability as an accountability tool for the tracking of the delivery, but not quality, of case management services. The Dashboard’s effectiveness is now centered on the accuracy of data entry at the local CSB level. </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The October 2014 Data Dashboard shows that system-wide 88% of the individuals eligible for in-home case management are receiving the required visit minimums. Of the individuals eligible for monthly face-to-face visits, 89% are receiving those minimums. No records were provided to support or show the integrity of the data in the Dashboard.</w:t>
      </w:r>
    </w:p>
    <w:p w:rsidR="004C608D" w:rsidRPr="00EF5B9D" w:rsidRDefault="004C608D" w:rsidP="004C608D">
      <w:pPr>
        <w:ind w:left="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in compliance with the requirements of III.C.5.a.</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DBHDS is not in compliance with IX.C.</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toward Achieving Full Compliance</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left="720"/>
        <w:rPr>
          <w:rFonts w:asciiTheme="majorHAnsi" w:hAnsiTheme="majorHAnsi"/>
          <w:i/>
        </w:rPr>
      </w:pPr>
      <w:r w:rsidRPr="00EF5B9D">
        <w:rPr>
          <w:rFonts w:asciiTheme="majorHAnsi" w:hAnsiTheme="majorHAnsi"/>
        </w:rPr>
        <w:t>DBHDS might request Data Entry Improvement Plans from the CSBs below 90% might begin to challenge CSBs between 90-95% to achieve the 100% reached by four CSBs in October and clearly establish a minimum expectation that all CBSs will achieve 95%.</w:t>
      </w:r>
    </w:p>
    <w:p w:rsidR="004C608D" w:rsidRPr="00EF5B9D" w:rsidRDefault="004C608D" w:rsidP="004C608D">
      <w:pPr>
        <w:ind w:left="720"/>
        <w:rPr>
          <w:rFonts w:asciiTheme="majorHAnsi" w:hAnsiTheme="majorHAnsi"/>
          <w:i/>
        </w:rPr>
      </w:pPr>
    </w:p>
    <w:p w:rsidR="004C608D" w:rsidRPr="00EF5B9D" w:rsidRDefault="004C608D" w:rsidP="004C608D">
      <w:pPr>
        <w:pStyle w:val="ListParagraph"/>
        <w:jc w:val="center"/>
        <w:rPr>
          <w:rFonts w:asciiTheme="majorHAnsi" w:hAnsiTheme="majorHAnsi"/>
          <w:u w:val="single"/>
        </w:rPr>
      </w:pPr>
      <w:r w:rsidRPr="00EF5B9D">
        <w:rPr>
          <w:rFonts w:asciiTheme="majorHAnsi" w:hAnsiTheme="majorHAnsi"/>
          <w:u w:val="single"/>
        </w:rPr>
        <w:t>Choice-based, Conflict-free Case Management</w:t>
      </w:r>
    </w:p>
    <w:p w:rsidR="004C608D" w:rsidRPr="00EF5B9D" w:rsidRDefault="004C608D" w:rsidP="004C608D">
      <w:pPr>
        <w:ind w:firstLine="720"/>
        <w:rPr>
          <w:rFonts w:asciiTheme="majorHAnsi" w:hAnsiTheme="majorHAnsi"/>
          <w:i/>
        </w:rPr>
      </w:pPr>
      <w:r w:rsidRPr="00EF5B9D">
        <w:rPr>
          <w:rFonts w:asciiTheme="majorHAnsi" w:hAnsiTheme="majorHAnsi"/>
          <w:i/>
        </w:rPr>
        <w:t>III.C.5.c</w:t>
      </w:r>
    </w:p>
    <w:p w:rsidR="004C608D" w:rsidRPr="00EF5B9D" w:rsidRDefault="004C608D" w:rsidP="004C608D">
      <w:pPr>
        <w:ind w:left="720"/>
        <w:rPr>
          <w:rFonts w:asciiTheme="majorHAnsi" w:hAnsiTheme="majorHAnsi"/>
          <w:i/>
        </w:rPr>
      </w:pPr>
      <w:r w:rsidRPr="00EF5B9D">
        <w:rPr>
          <w:rFonts w:asciiTheme="majorHAnsi" w:hAnsiTheme="majorHAnsi"/>
          <w:i/>
        </w:rPr>
        <w:t>Case management shall be provided to all individuals receiving HCBS waiver services under this Agreement by case managers who are not directly providing such services to the individual or supervising the provision of such services. The Commonwealth shall include a provision in the Community Services Board (“CSB”) Performance Contract that requires CSB case managers to give individuals a choice of service providers from which the individual may receive approved waiver services and to present practicable options of service providers based on the preferences of the individual, including both CSB and non-CSB providers.</w:t>
      </w:r>
    </w:p>
    <w:p w:rsidR="004C608D" w:rsidRPr="00EF5B9D" w:rsidRDefault="004C608D" w:rsidP="004C608D">
      <w:pPr>
        <w:ind w:left="2880" w:hanging="144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Methodology</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 xml:space="preserve">Reviewed </w:t>
      </w:r>
      <w:r w:rsidRPr="00EF5B9D">
        <w:rPr>
          <w:rFonts w:asciiTheme="majorHAnsi" w:hAnsiTheme="majorHAnsi"/>
          <w:i/>
        </w:rPr>
        <w:t>Individual Choice Form</w:t>
      </w:r>
      <w:r w:rsidRPr="00EF5B9D">
        <w:rPr>
          <w:rFonts w:asciiTheme="majorHAnsi" w:hAnsiTheme="majorHAnsi"/>
        </w:rPr>
        <w:t xml:space="preserve"> (10.1.10) and </w:t>
      </w:r>
      <w:r w:rsidRPr="00EF5B9D">
        <w:rPr>
          <w:rFonts w:asciiTheme="majorHAnsi" w:hAnsiTheme="majorHAnsi"/>
          <w:i/>
        </w:rPr>
        <w:t>Virginia Informed Choice and Notification Form</w:t>
      </w:r>
      <w:r w:rsidRPr="00EF5B9D">
        <w:rPr>
          <w:rFonts w:asciiTheme="majorHAnsi" w:hAnsiTheme="majorHAnsi"/>
        </w:rPr>
        <w:t xml:space="preserve"> (1.21.15).</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Telephone interviewed ARs/individuals who are in out-of-home placements from a list of 4,176 individuals who had an ISP during Oct.-Nov.-Dec. 2014. The reviewer selected 63 names randomly drawn (every fifth name alphabetically) with at least one drawn from each CSB, 2 from CSBs with over 100 names, 3 from CSBs with over 200 names, and so on. The final 31 individuals who responded represented 25 CSBs and all the Health Planning Regions.</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w:t>
      </w:r>
    </w:p>
    <w:p w:rsidR="004C608D" w:rsidRPr="00EF5B9D" w:rsidRDefault="004C608D" w:rsidP="004C608D">
      <w:pPr>
        <w:ind w:left="144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The reviewer telephone surveyed 31 authorized representatives/individuals who had recent annual ISP meetings, who were randomly selected and who answered phone calls. Eighty-one percent (81%) knew that they had the choice of choosing/changing service providers, including the case manager.</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Case managers present individuals or their authorized representative with a formal Choice Form “when there is a request for a change in provider/s, when additional services are initiated, or when the individual is dissatisfied with the current provider.”</w:t>
      </w:r>
    </w:p>
    <w:p w:rsidR="004C608D" w:rsidRPr="00EF5B9D" w:rsidRDefault="004C608D" w:rsidP="004C608D">
      <w:pPr>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in compliance with III.C.5.c. and has ensured that case managers are giving individuals a choice of service providers.</w:t>
      </w:r>
      <w:r w:rsidRPr="00EF5B9D">
        <w:rPr>
          <w:rFonts w:asciiTheme="majorHAnsi" w:hAnsiTheme="majorHAnsi"/>
          <w:i/>
        </w:rPr>
        <w:t xml:space="preserve"> </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towards Achieving Full Compliance</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left="720"/>
        <w:rPr>
          <w:rFonts w:asciiTheme="majorHAnsi" w:hAnsiTheme="majorHAnsi"/>
        </w:rPr>
      </w:pPr>
      <w:r w:rsidRPr="00EF5B9D">
        <w:rPr>
          <w:rFonts w:asciiTheme="majorHAnsi" w:hAnsiTheme="majorHAnsi"/>
        </w:rPr>
        <w:t>DBHDS might consider educating individuals or their authorized representative of their continuing rights to change providers in user friendly and accessible materials, such as in the annual guidelines it publishes per Section III.C.8.b.</w:t>
      </w:r>
    </w:p>
    <w:p w:rsidR="004C608D" w:rsidRPr="00EF5B9D" w:rsidRDefault="004C608D" w:rsidP="004C608D">
      <w:pPr>
        <w:rPr>
          <w:rFonts w:asciiTheme="majorHAnsi" w:hAnsiTheme="majorHAnsi"/>
          <w:i/>
        </w:rPr>
      </w:pPr>
    </w:p>
    <w:p w:rsidR="004C608D" w:rsidRPr="00EF5B9D" w:rsidRDefault="004C608D" w:rsidP="004C608D">
      <w:pPr>
        <w:rPr>
          <w:rFonts w:asciiTheme="majorHAnsi" w:hAnsiTheme="majorHAnsi"/>
          <w:i/>
        </w:rPr>
      </w:pPr>
    </w:p>
    <w:p w:rsidR="004C608D" w:rsidRPr="00EF5B9D" w:rsidRDefault="004C608D" w:rsidP="004C608D">
      <w:pPr>
        <w:pStyle w:val="ListParagraph"/>
        <w:jc w:val="center"/>
        <w:rPr>
          <w:rFonts w:asciiTheme="majorHAnsi" w:hAnsiTheme="majorHAnsi"/>
        </w:rPr>
      </w:pPr>
      <w:r w:rsidRPr="00EF5B9D">
        <w:rPr>
          <w:rFonts w:asciiTheme="majorHAnsi" w:hAnsiTheme="majorHAnsi"/>
        </w:rPr>
        <w:t>Case Management Performance Monitoring</w:t>
      </w:r>
    </w:p>
    <w:p w:rsidR="004C608D" w:rsidRPr="00EF5B9D" w:rsidRDefault="004C608D" w:rsidP="004C608D">
      <w:pPr>
        <w:ind w:firstLine="720"/>
        <w:rPr>
          <w:rFonts w:asciiTheme="majorHAnsi" w:hAnsiTheme="majorHAnsi"/>
          <w:i/>
        </w:rPr>
      </w:pPr>
      <w:r w:rsidRPr="00EF5B9D">
        <w:rPr>
          <w:rFonts w:asciiTheme="majorHAnsi" w:hAnsiTheme="majorHAnsi"/>
          <w:i/>
        </w:rPr>
        <w:t>III.C.5.d</w:t>
      </w:r>
    </w:p>
    <w:p w:rsidR="004C608D" w:rsidRPr="00EF5B9D" w:rsidRDefault="004C608D" w:rsidP="004C608D">
      <w:pPr>
        <w:ind w:left="720"/>
        <w:rPr>
          <w:rFonts w:asciiTheme="majorHAnsi" w:hAnsiTheme="majorHAnsi"/>
          <w:i/>
        </w:rPr>
      </w:pPr>
      <w:r w:rsidRPr="00EF5B9D">
        <w:rPr>
          <w:rFonts w:asciiTheme="majorHAnsi" w:hAnsiTheme="majorHAnsi"/>
          <w:i/>
        </w:rPr>
        <w:t>The Commonwealth shall establish a mechanism to monitor compliance with performance standards.</w:t>
      </w:r>
    </w:p>
    <w:p w:rsidR="004C608D" w:rsidRPr="00EF5B9D" w:rsidRDefault="004C608D" w:rsidP="004C608D">
      <w:pPr>
        <w:ind w:left="2880" w:hanging="144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 xml:space="preserve">Methodology </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Reviewed all data available on Supports Efficacy Checklist as applied during Oct.-Nov.-Dec. 2014.</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Reviewed one Internal Auditor’s report on a CSB completed during Oct.-Nov.-Dec. 2014.</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 Keven Schock, Chanda Braggs.</w:t>
      </w:r>
    </w:p>
    <w:p w:rsidR="004C608D" w:rsidRPr="00EF5B9D" w:rsidRDefault="004C608D" w:rsidP="004C608D">
      <w:pPr>
        <w:ind w:left="288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 xml:space="preserve">Based on information provided to this reviewer, no CSBs were required to generate a CAP by Licensing during Oct-Nov-Dec 2014. </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DBHDS reports that six (6) Operational Reviews were completed through March of 2015. Only one was provided to this reviewer for the last quarter of 2014, but it is an excellent example of the kind of case management performance review that the system requires.</w:t>
      </w:r>
    </w:p>
    <w:p w:rsidR="004C608D" w:rsidRPr="00EF5B9D" w:rsidRDefault="004C608D" w:rsidP="004C608D">
      <w:pPr>
        <w:rPr>
          <w:rFonts w:asciiTheme="majorHAnsi" w:hAnsiTheme="majorHAnsi"/>
        </w:rPr>
      </w:pPr>
      <w:r w:rsidRPr="00EF5B9D">
        <w:rPr>
          <w:rFonts w:asciiTheme="majorHAnsi" w:hAnsiTheme="majorHAnsi"/>
        </w:rPr>
        <w:tab/>
      </w:r>
    </w:p>
    <w:p w:rsidR="004C608D" w:rsidRPr="00EF5B9D" w:rsidRDefault="004C608D" w:rsidP="004C608D">
      <w:pPr>
        <w:ind w:left="720"/>
        <w:rPr>
          <w:rFonts w:asciiTheme="majorHAnsi" w:hAnsiTheme="majorHAnsi"/>
        </w:rPr>
      </w:pPr>
      <w:r w:rsidRPr="00EF5B9D">
        <w:rPr>
          <w:rFonts w:asciiTheme="majorHAnsi" w:hAnsiTheme="majorHAnsi"/>
        </w:rPr>
        <w:t xml:space="preserve">Twenty-two (22) provider programs (3% of all providers) were reviewed using the Supports Efficacy Checklist (formerly Supports Efficiency Checklist) from Oct 2014 through January 2015; these Checklist reviews, which covered 56 individuals in total, are a major component of the </w:t>
      </w:r>
      <w:r w:rsidRPr="00EF5B9D">
        <w:rPr>
          <w:rFonts w:asciiTheme="majorHAnsi" w:hAnsiTheme="majorHAnsi"/>
          <w:i/>
        </w:rPr>
        <w:t>360</w:t>
      </w:r>
      <w:r w:rsidRPr="00EF5B9D">
        <w:rPr>
          <w:rFonts w:asciiTheme="majorHAnsi" w:hAnsiTheme="majorHAnsi"/>
          <w:i/>
          <w:vertAlign w:val="superscript"/>
        </w:rPr>
        <w:t xml:space="preserve">o </w:t>
      </w:r>
      <w:r w:rsidRPr="00EF5B9D">
        <w:rPr>
          <w:rFonts w:asciiTheme="majorHAnsi" w:hAnsiTheme="majorHAnsi"/>
          <w:i/>
        </w:rPr>
        <w:t>Review</w:t>
      </w:r>
      <w:r w:rsidRPr="00EF5B9D">
        <w:rPr>
          <w:rFonts w:asciiTheme="majorHAnsi" w:hAnsiTheme="majorHAnsi"/>
        </w:rPr>
        <w:t xml:space="preserve">, in which OLS staff look at a sample of case management records and then conduct a document review of providers assigned to deliver services to the individual. It is too early to judge the value of these </w:t>
      </w:r>
      <w:r w:rsidRPr="00EF5B9D">
        <w:rPr>
          <w:rFonts w:asciiTheme="majorHAnsi" w:hAnsiTheme="majorHAnsi"/>
          <w:i/>
        </w:rPr>
        <w:t>360</w:t>
      </w:r>
      <w:r w:rsidRPr="00EF5B9D">
        <w:rPr>
          <w:rFonts w:asciiTheme="majorHAnsi" w:hAnsiTheme="majorHAnsi"/>
          <w:i/>
          <w:vertAlign w:val="superscript"/>
        </w:rPr>
        <w:t xml:space="preserve">o </w:t>
      </w:r>
      <w:r w:rsidRPr="00EF5B9D">
        <w:rPr>
          <w:rFonts w:asciiTheme="majorHAnsi" w:hAnsiTheme="majorHAnsi"/>
          <w:i/>
        </w:rPr>
        <w:t xml:space="preserve">Reviews, </w:t>
      </w:r>
      <w:r w:rsidRPr="00EF5B9D">
        <w:rPr>
          <w:rFonts w:asciiTheme="majorHAnsi" w:hAnsiTheme="majorHAnsi"/>
        </w:rPr>
        <w:t>but it is disappointing to learn that in this initial group four (4) providers had no data to support the objectives/services they were assigned and almost a third were missing community integration goals/objectives, which is congruent with findings from our Individual Service Reviews. D</w:t>
      </w:r>
      <w:r>
        <w:rPr>
          <w:rFonts w:asciiTheme="majorHAnsi" w:hAnsiTheme="majorHAnsi"/>
        </w:rPr>
        <w:t>BHDS reports that it is will be</w:t>
      </w:r>
      <w:r w:rsidRPr="00EF5B9D">
        <w:rPr>
          <w:rFonts w:asciiTheme="majorHAnsi" w:hAnsiTheme="majorHAnsi"/>
        </w:rPr>
        <w:t xml:space="preserve"> revisiting this issue with CSB case managers through re-training.</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Licensing regulations (12VAC35-105-10 to 105 1410) do not align </w:t>
      </w:r>
      <w:r w:rsidRPr="00EF5B9D">
        <w:rPr>
          <w:rFonts w:asciiTheme="majorHAnsi" w:hAnsiTheme="majorHAnsi"/>
          <w:u w:val="single"/>
        </w:rPr>
        <w:t>specifically</w:t>
      </w:r>
      <w:r w:rsidRPr="00EF5B9D">
        <w:rPr>
          <w:rFonts w:asciiTheme="majorHAnsi" w:hAnsiTheme="majorHAnsi"/>
        </w:rPr>
        <w:t xml:space="preserve"> as to the case management expectations detailed in the Agreement (i.e. regularized face to face meetings with the individual being served, enhanced visit frequency, identifying risks to the individual, offering choice among providers, assembling professionals and non-professionals who provide supports, identifying risks). As structured, the current process for the licensing reviews cannot determine if the provisions of the Settlement Agreement are being properly implemented. However, a set of regulatory changes is being developed which may impact this area. </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The latest OLS Office Protocol has been revised to include the eight (8) areas identified in the Agreement (V.D.3.) for monitoring. This is a positive modification towards CSB performance monitoring.</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OLS does not regularly compile the results of licensing reviews into a report on trends related to compliance patterns across CSBs.  </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 xml:space="preserve">Although the Department’s quality management activities indicate progress, DBHDS is not currently in compliance with the requirements of III.C.5.d, a mechanism to monitor CSB compliance with performance standards. Section IX.C also requires that there be “…sufficient records to document that the requirements of the Agreement are being properly implemented…” and those were not provided to the reviewer. </w:t>
      </w:r>
    </w:p>
    <w:p w:rsidR="004C608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toward Achieving Full Compliance</w:t>
      </w:r>
    </w:p>
    <w:p w:rsidR="004C608D" w:rsidRPr="00EF5B9D" w:rsidRDefault="004C608D" w:rsidP="004C608D">
      <w:pPr>
        <w:ind w:left="720"/>
        <w:rPr>
          <w:rFonts w:asciiTheme="majorHAnsi" w:hAnsiTheme="majorHAnsi"/>
        </w:rPr>
      </w:pPr>
      <w:r w:rsidRPr="00EF5B9D">
        <w:rPr>
          <w:rFonts w:asciiTheme="majorHAnsi" w:hAnsiTheme="majorHAnsi"/>
        </w:rPr>
        <w:t>At least annually OLS should compile a trend report on Licensing/Internal Auditor/</w:t>
      </w:r>
      <w:r w:rsidRPr="00EF5B9D">
        <w:rPr>
          <w:rFonts w:asciiTheme="majorHAnsi" w:hAnsiTheme="majorHAnsi"/>
          <w:i/>
        </w:rPr>
        <w:t>360</w:t>
      </w:r>
      <w:r w:rsidRPr="00EF5B9D">
        <w:rPr>
          <w:rFonts w:asciiTheme="majorHAnsi" w:hAnsiTheme="majorHAnsi"/>
          <w:i/>
          <w:vertAlign w:val="superscript"/>
        </w:rPr>
        <w:t>o</w:t>
      </w:r>
      <w:r w:rsidRPr="00EF5B9D">
        <w:rPr>
          <w:rFonts w:asciiTheme="majorHAnsi" w:hAnsiTheme="majorHAnsi"/>
          <w:i/>
        </w:rPr>
        <w:t xml:space="preserve"> Reviews</w:t>
      </w:r>
      <w:r w:rsidRPr="00EF5B9D">
        <w:rPr>
          <w:rFonts w:asciiTheme="majorHAnsi" w:hAnsiTheme="majorHAnsi"/>
        </w:rPr>
        <w:t xml:space="preserve"> results for case management. Detecting and reporting patterns and frequencies in the results of reviews across CSBs ensure that needed system improvements are discovered and that corrective action can be planned and implemented. Data warehousing software should enable OLS to inform these reports as the use of this software is implemented on monitoring data. </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Continue to evaluate and revise the Supports Efficacy Checklist process for effectiveness.</w:t>
      </w:r>
    </w:p>
    <w:p w:rsidR="004C608D" w:rsidRPr="00EF5B9D" w:rsidRDefault="004C608D" w:rsidP="004C608D">
      <w:pPr>
        <w:ind w:left="720"/>
        <w:jc w:val="center"/>
        <w:rPr>
          <w:rFonts w:asciiTheme="majorHAnsi" w:hAnsiTheme="majorHAnsi"/>
          <w:u w:val="single"/>
        </w:rPr>
      </w:pPr>
    </w:p>
    <w:p w:rsidR="004C608D" w:rsidRPr="00EF5B9D" w:rsidRDefault="004C608D" w:rsidP="004C608D">
      <w:pPr>
        <w:ind w:left="720"/>
        <w:rPr>
          <w:rFonts w:asciiTheme="majorHAnsi" w:hAnsiTheme="majorHAnsi"/>
        </w:rPr>
      </w:pPr>
      <w:r w:rsidRPr="00EF5B9D">
        <w:rPr>
          <w:rFonts w:asciiTheme="majorHAnsi" w:hAnsiTheme="majorHAnsi"/>
        </w:rPr>
        <w:t xml:space="preserve">DBHDS should identify the statistically minimum sample size OLS needs to validate the findings of any CSB case management review. The current “minimum sample of 10 cases” does not ensure that CSBs with caseloads over 200 are receiving a valid sampling. A 10% sample size, such as now required at provider agencies, would provide more confidence in the findings, their generalizability, and their representativeness of agency performance. </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left="720"/>
        <w:rPr>
          <w:rFonts w:asciiTheme="majorHAnsi" w:hAnsiTheme="majorHAnsi"/>
        </w:rPr>
      </w:pPr>
      <w:r w:rsidRPr="00EF5B9D">
        <w:rPr>
          <w:rFonts w:asciiTheme="majorHAnsi" w:hAnsiTheme="majorHAnsi"/>
        </w:rPr>
        <w:t>None</w:t>
      </w:r>
    </w:p>
    <w:p w:rsidR="004C608D" w:rsidRPr="00EF5B9D" w:rsidRDefault="004C608D" w:rsidP="004C608D">
      <w:pPr>
        <w:ind w:left="720"/>
        <w:rPr>
          <w:rFonts w:asciiTheme="majorHAnsi" w:hAnsiTheme="majorHAnsi"/>
          <w:i/>
        </w:rPr>
      </w:pPr>
    </w:p>
    <w:p w:rsidR="004C608D" w:rsidRPr="00EF5B9D" w:rsidRDefault="004C608D" w:rsidP="004C608D">
      <w:pPr>
        <w:pStyle w:val="ListParagraph"/>
        <w:jc w:val="center"/>
        <w:rPr>
          <w:rFonts w:asciiTheme="majorHAnsi" w:hAnsiTheme="majorHAnsi"/>
        </w:rPr>
      </w:pPr>
      <w:r w:rsidRPr="00EF5B9D">
        <w:rPr>
          <w:rFonts w:asciiTheme="majorHAnsi" w:hAnsiTheme="majorHAnsi"/>
        </w:rPr>
        <w:t>Less Restrictive Options</w:t>
      </w:r>
    </w:p>
    <w:p w:rsidR="004C608D" w:rsidRPr="00EF5B9D" w:rsidRDefault="004C608D" w:rsidP="004C608D">
      <w:pPr>
        <w:ind w:left="720"/>
        <w:rPr>
          <w:rFonts w:asciiTheme="majorHAnsi" w:hAnsiTheme="majorHAnsi"/>
          <w:i/>
        </w:rPr>
      </w:pPr>
      <w:r w:rsidRPr="00EF5B9D">
        <w:rPr>
          <w:rFonts w:asciiTheme="majorHAnsi" w:hAnsiTheme="majorHAnsi"/>
          <w:i/>
        </w:rPr>
        <w:t>III.D.7</w:t>
      </w:r>
    </w:p>
    <w:p w:rsidR="004C608D" w:rsidRPr="00EF5B9D" w:rsidRDefault="004C608D" w:rsidP="004C608D">
      <w:pPr>
        <w:ind w:left="720"/>
        <w:rPr>
          <w:rFonts w:asciiTheme="majorHAnsi" w:hAnsiTheme="majorHAnsi"/>
          <w:i/>
        </w:rPr>
      </w:pPr>
      <w:r w:rsidRPr="00EF5B9D">
        <w:rPr>
          <w:rFonts w:asciiTheme="majorHAnsi" w:hAnsiTheme="majorHAnsi"/>
          <w:i/>
        </w:rPr>
        <w:t>The Commonwealth shall include a term in the annual performance contract with the CSBs to require case managers to continue to offer education about less restrictive community options on at least an annual basis to any individuals living outside their own home or family’s home (and, if relevant, to their Authorized Representative or guardian).</w:t>
      </w:r>
    </w:p>
    <w:p w:rsidR="004C608D" w:rsidRPr="00EF5B9D" w:rsidRDefault="004C608D" w:rsidP="004C608D">
      <w:pPr>
        <w:ind w:left="720"/>
        <w:rPr>
          <w:rFonts w:asciiTheme="majorHAnsi" w:hAnsiTheme="majorHAnsi"/>
          <w: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 xml:space="preserve">Methodology </w:t>
      </w:r>
      <w:r w:rsidRPr="00EF5B9D">
        <w:rPr>
          <w:rFonts w:asciiTheme="majorHAnsi" w:hAnsiTheme="majorHAnsi"/>
          <w:u w:val="single"/>
        </w:rPr>
        <w:tab/>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Reviewed new ISP form (12.16.14).</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Telephone interviewed ARs/individuals who are in out-of-home placements (see above for more information).</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w:t>
      </w:r>
    </w:p>
    <w:p w:rsidR="004C608D" w:rsidRPr="00EF5B9D" w:rsidRDefault="004C608D" w:rsidP="004C608D">
      <w:pPr>
        <w:ind w:left="288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This reviewer telephone surveyed 31 families/authorized representatives/individuals who had recent annual ISP meetings, who were randomly selected and who answered phone calls. Seventy-eight percent (78%) recalled other, less restrictive service options being discussed at the annual meeting.</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The revised ISP form (dated 12.16.14), which was rolled out to the system earlier this year and is to be used system-wide as annual ISPs come due, includes a section that is designed to confirm that education is offered and a review of most integrated settings is conducted. Community Resource Consultants have been training CSB staff and providers on the new format.</w:t>
      </w:r>
    </w:p>
    <w:p w:rsidR="004C608D" w:rsidRPr="00EF5B9D" w:rsidRDefault="004C608D" w:rsidP="004C608D">
      <w:pPr>
        <w:rPr>
          <w:rFonts w:asciiTheme="majorHAnsi" w:hAnsiTheme="majorHAnsi"/>
        </w:rPr>
      </w:pPr>
    </w:p>
    <w:p w:rsidR="004C608D" w:rsidRDefault="004C608D" w:rsidP="004C608D">
      <w:pPr>
        <w:ind w:firstLine="720"/>
        <w:rPr>
          <w:rFonts w:asciiTheme="majorHAnsi" w:hAnsiTheme="majorHAnsi"/>
          <w:u w:val="single"/>
        </w:rPr>
      </w:pPr>
    </w:p>
    <w:p w:rsidR="004C608D" w:rsidRDefault="004C608D" w:rsidP="004C608D">
      <w:pPr>
        <w:ind w:firstLine="720"/>
        <w:rPr>
          <w:rFonts w:asciiTheme="majorHAnsi" w:hAnsiTheme="majorHAnsi"/>
          <w:u w:val="single"/>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in compliance with III.D.7, the annual revisit of most integrated options per the recently revised ISP. The telephone interviews confirm that families/authorized representatives/individuals are discussing alternative options at the annual meeting.</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toward Achieving Full Compliance</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rPr>
          <w:rFonts w:asciiTheme="majorHAnsi" w:hAnsiTheme="majorHAnsi"/>
          <w:i/>
        </w:rPr>
      </w:pPr>
    </w:p>
    <w:p w:rsidR="004C608D" w:rsidRPr="00EF5B9D" w:rsidRDefault="004C608D" w:rsidP="004C608D">
      <w:pPr>
        <w:pStyle w:val="ListParagraph"/>
        <w:jc w:val="center"/>
        <w:rPr>
          <w:rFonts w:asciiTheme="majorHAnsi" w:hAnsiTheme="majorHAnsi"/>
        </w:rPr>
      </w:pPr>
      <w:r w:rsidRPr="00EF5B9D">
        <w:rPr>
          <w:rFonts w:asciiTheme="majorHAnsi" w:hAnsiTheme="majorHAnsi"/>
        </w:rPr>
        <w:t>Face-to-face Case Management</w:t>
      </w:r>
    </w:p>
    <w:p w:rsidR="004C608D" w:rsidRPr="00EF5B9D" w:rsidRDefault="004C608D" w:rsidP="004C608D">
      <w:pPr>
        <w:ind w:left="720"/>
        <w:rPr>
          <w:rFonts w:asciiTheme="majorHAnsi" w:hAnsiTheme="majorHAnsi"/>
          <w:i/>
        </w:rPr>
      </w:pPr>
      <w:r w:rsidRPr="00EF5B9D">
        <w:rPr>
          <w:rFonts w:asciiTheme="majorHAnsi" w:hAnsiTheme="majorHAnsi"/>
          <w:i/>
        </w:rPr>
        <w:t xml:space="preserve">V.F.1.  </w:t>
      </w:r>
    </w:p>
    <w:p w:rsidR="004C608D" w:rsidRPr="00EF5B9D" w:rsidRDefault="004C608D" w:rsidP="004C608D">
      <w:pPr>
        <w:ind w:left="720"/>
        <w:rPr>
          <w:rFonts w:asciiTheme="majorHAnsi" w:hAnsiTheme="majorHAnsi"/>
          <w:i/>
        </w:rPr>
      </w:pPr>
      <w:r w:rsidRPr="00EF5B9D">
        <w:rPr>
          <w:rFonts w:asciiTheme="majorHAnsi" w:hAnsiTheme="majorHAnsi"/>
          <w:i/>
        </w:rPr>
        <w:t>For individuals receiving case management services pursuant to this Agreement, the individual’s case manager shall meet with the individual face-to-face on a regular basis and shall conduct regular visits to the individual’s residence, as dictated by the individual’s needs.</w:t>
      </w:r>
    </w:p>
    <w:p w:rsidR="004C608D" w:rsidRPr="00EF5B9D" w:rsidRDefault="004C608D" w:rsidP="004C608D">
      <w:pPr>
        <w:ind w:left="720"/>
        <w:rPr>
          <w:rFonts w:asciiTheme="majorHAnsi" w:hAnsiTheme="majorHAnsi"/>
          <w: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 xml:space="preserve">Methodology  </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 xml:space="preserve">Reviewed October 2014 Data Dashboard. </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 xml:space="preserve">Reviewed records maintained to demonstrate that visits occur regularly as dictated by individual needs. </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Telephone interviewed ARs/individuals who are in out-of-home placements (see above for more information).</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w:t>
      </w:r>
    </w:p>
    <w:p w:rsidR="004C608D" w:rsidRPr="00EF5B9D" w:rsidRDefault="004C608D" w:rsidP="004C608D">
      <w:pPr>
        <w:ind w:left="2880"/>
        <w:rPr>
          <w:rFonts w:asciiTheme="majorHAnsi" w:hAnsiTheme="majorHAnsi"/>
          <w:u w:val="single"/>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 xml:space="preserve">As reported above, the October 2014 Data Dashboard shows that system-wide 88% of the individuals eligible for in-home case management are receiving the required visit minimums. Of the individuals eligible for monthly face-to-face visits, 89% are receiving those minimums. No records were provided to support or show the integrity of the data in the Dashboard </w:t>
      </w:r>
    </w:p>
    <w:p w:rsidR="004C608D" w:rsidRPr="00EF5B9D" w:rsidRDefault="004C608D" w:rsidP="004C608D">
      <w:pPr>
        <w:ind w:firstLine="720"/>
        <w:rPr>
          <w:rFonts w:asciiTheme="majorHAnsi" w:hAnsiTheme="majorHAnsi"/>
          <w:u w:val="single"/>
        </w:rPr>
      </w:pPr>
    </w:p>
    <w:p w:rsidR="004C608D" w:rsidRPr="00EF5B9D" w:rsidRDefault="004C608D" w:rsidP="004C608D">
      <w:pPr>
        <w:ind w:left="720"/>
        <w:rPr>
          <w:rFonts w:asciiTheme="majorHAnsi" w:hAnsiTheme="majorHAnsi"/>
        </w:rPr>
      </w:pPr>
      <w:r w:rsidRPr="00EF5B9D">
        <w:rPr>
          <w:rFonts w:asciiTheme="majorHAnsi" w:hAnsiTheme="majorHAnsi"/>
        </w:rPr>
        <w:t>The reviewer telephone surveyed 31 families/authorized representatives/individuals who had recent annual ISP meetings, who were randomly selected and who answered phone calls. Two thirds of this group knew the</w:t>
      </w:r>
      <w:r>
        <w:rPr>
          <w:rFonts w:asciiTheme="majorHAnsi" w:hAnsiTheme="majorHAnsi"/>
        </w:rPr>
        <w:t xml:space="preserve"> case manager made regular face-to-</w:t>
      </w:r>
      <w:r w:rsidRPr="00EF5B9D">
        <w:rPr>
          <w:rFonts w:asciiTheme="majorHAnsi" w:hAnsiTheme="majorHAnsi"/>
        </w:rPr>
        <w:t>face visits; some knew the frequency. A third of the group did not know the case manager’s visit schedule. Sixty-one percent (61%) believed that their assigned support coordinator “kept a good eye on things on their behalf.”</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in compliance with V.F.1.</w:t>
      </w:r>
    </w:p>
    <w:p w:rsidR="004C608D" w:rsidRDefault="004C608D" w:rsidP="004C608D">
      <w:pPr>
        <w:ind w:firstLine="720"/>
        <w:rPr>
          <w:rFonts w:asciiTheme="majorHAnsi" w:hAnsiTheme="majorHAnsi"/>
        </w:rPr>
      </w:pPr>
    </w:p>
    <w:p w:rsidR="006D2608" w:rsidRPr="00EF5B9D" w:rsidRDefault="006D2608"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 Achieve Full Compliance</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3633" w:rsidRDefault="004C608D" w:rsidP="004C608D">
      <w:pPr>
        <w:ind w:firstLine="720"/>
        <w:rPr>
          <w:rFonts w:ascii="Calibri" w:hAnsi="Calibri" w:cs="Big Caslon"/>
        </w:rPr>
      </w:pPr>
    </w:p>
    <w:p w:rsidR="004C608D" w:rsidRPr="00EF3633" w:rsidRDefault="004C608D" w:rsidP="004C608D">
      <w:pPr>
        <w:ind w:firstLine="720"/>
        <w:rPr>
          <w:rFonts w:ascii="Calibri" w:hAnsi="Calibri" w:cs="Big Caslon"/>
          <w:u w:val="single"/>
        </w:rPr>
      </w:pPr>
      <w:r w:rsidRPr="00EF3633">
        <w:rPr>
          <w:rFonts w:ascii="Calibri" w:hAnsi="Calibri" w:cs="Big Caslon"/>
          <w:u w:val="single"/>
        </w:rPr>
        <w:t>Suggestions for Departmental Consideration</w:t>
      </w:r>
    </w:p>
    <w:p w:rsidR="004C608D" w:rsidRPr="00EF3633" w:rsidRDefault="004C608D" w:rsidP="004C608D">
      <w:pPr>
        <w:ind w:left="720"/>
        <w:rPr>
          <w:rFonts w:ascii="Calibri" w:hAnsi="Calibri" w:cs="Big Caslon"/>
        </w:rPr>
      </w:pPr>
      <w:r w:rsidRPr="00EF3633">
        <w:rPr>
          <w:rFonts w:ascii="Calibri" w:hAnsi="Calibri" w:cs="Big Caslon"/>
        </w:rPr>
        <w:t>DBHDS might request Data Entry Improvement Plans from the CSBs below 90% and might begin to challenge CSBs between 90-95% to seek to achieve the 100% reached by four CSBs in October.</w:t>
      </w:r>
    </w:p>
    <w:p w:rsidR="004C608D" w:rsidRPr="00EF3633" w:rsidRDefault="004C608D" w:rsidP="004C608D">
      <w:pPr>
        <w:ind w:firstLine="720"/>
        <w:rPr>
          <w:rFonts w:ascii="Calibri" w:hAnsi="Calibri" w:cs="Big Caslon"/>
        </w:rPr>
      </w:pPr>
    </w:p>
    <w:p w:rsidR="004C608D" w:rsidRPr="00EF3633" w:rsidRDefault="004C608D" w:rsidP="004C608D">
      <w:pPr>
        <w:ind w:left="720"/>
        <w:rPr>
          <w:rFonts w:ascii="Calibri" w:hAnsi="Calibri" w:cs="Big Caslon"/>
        </w:rPr>
      </w:pPr>
    </w:p>
    <w:p w:rsidR="004C608D" w:rsidRPr="00EF3633" w:rsidRDefault="004C608D" w:rsidP="004C608D">
      <w:pPr>
        <w:pStyle w:val="ListParagraph"/>
        <w:jc w:val="center"/>
        <w:rPr>
          <w:rFonts w:ascii="Calibri" w:hAnsi="Calibri" w:cs="Big Caslon"/>
        </w:rPr>
      </w:pPr>
      <w:r w:rsidRPr="00EF3633">
        <w:rPr>
          <w:rFonts w:ascii="Calibri" w:hAnsi="Calibri" w:cs="Big Caslon"/>
        </w:rPr>
        <w:t>Observation and Assessment</w:t>
      </w:r>
    </w:p>
    <w:p w:rsidR="004C608D" w:rsidRPr="00EF3633" w:rsidRDefault="004C608D" w:rsidP="004C608D">
      <w:pPr>
        <w:ind w:left="720"/>
        <w:rPr>
          <w:rFonts w:ascii="Calibri" w:hAnsi="Calibri" w:cs="Big Caslon"/>
          <w:i/>
        </w:rPr>
      </w:pPr>
      <w:r w:rsidRPr="00EF3633">
        <w:rPr>
          <w:rFonts w:ascii="Calibri" w:hAnsi="Calibri" w:cs="Big Caslon"/>
          <w:i/>
        </w:rPr>
        <w:t xml:space="preserve">V.F.2. </w:t>
      </w:r>
    </w:p>
    <w:p w:rsidR="004C608D" w:rsidRPr="00EF3633" w:rsidRDefault="004C608D" w:rsidP="004C608D">
      <w:pPr>
        <w:ind w:left="720"/>
        <w:rPr>
          <w:rFonts w:ascii="Calibri" w:hAnsi="Calibri" w:cs="Big Caslon"/>
          <w:i/>
        </w:rPr>
      </w:pPr>
      <w:r w:rsidRPr="00EF3633">
        <w:rPr>
          <w:rFonts w:ascii="Calibri" w:hAnsi="Calibri" w:cs="Big Caslon"/>
          <w:i/>
        </w:rPr>
        <w:t>At these face-to-face meetings, the case manager shall:  observe the individual and the individual’s environment to assess for previously unidentified risks, injuries needs, or other changes in status; assess the status of previously identified risks, injuries, needs, or other change in status; assess whether the individual’s support plan is being implemented appropriately and remains appropriate for the individual; and ascertain whether supports and services are being implemented consistent with the individual’s strengths and preferences and in the most integrated setting appropriate to the individual’s needs. If any of these observations or assessments identifies an unidentified or inadequately addressed risk, injury, need, or change in status; a deficiency in the individual’s support plan or its implementation; or a discrepancy between the implementation of supports and services and the individual’s strengths and preferences, then the case manager shall report and document the issue, convene the individual’s service planning team to address it, and document its resolution.</w:t>
      </w:r>
    </w:p>
    <w:p w:rsidR="004C608D" w:rsidRPr="00EF3633" w:rsidRDefault="004C608D" w:rsidP="004C608D">
      <w:pPr>
        <w:ind w:left="720" w:firstLine="720"/>
        <w:rPr>
          <w:rFonts w:ascii="Calibri" w:hAnsi="Calibri" w:cs="Big Caslon"/>
        </w:rPr>
      </w:pPr>
    </w:p>
    <w:p w:rsidR="004C608D" w:rsidRPr="00EF3633" w:rsidRDefault="004C608D" w:rsidP="004C608D">
      <w:pPr>
        <w:ind w:firstLine="720"/>
        <w:rPr>
          <w:rFonts w:ascii="Calibri" w:hAnsi="Calibri" w:cs="Big Caslon"/>
          <w:u w:val="single"/>
        </w:rPr>
      </w:pPr>
      <w:r w:rsidRPr="00EF3633">
        <w:rPr>
          <w:rFonts w:ascii="Calibri" w:hAnsi="Calibri" w:cs="Big Caslon"/>
          <w:u w:val="single"/>
        </w:rPr>
        <w:t xml:space="preserve">Methodology  </w:t>
      </w:r>
    </w:p>
    <w:p w:rsidR="004C608D" w:rsidRPr="00EF3633" w:rsidRDefault="004C608D" w:rsidP="004C608D">
      <w:pPr>
        <w:ind w:firstLine="720"/>
        <w:rPr>
          <w:rFonts w:ascii="Calibri" w:hAnsi="Calibri" w:cs="Big Caslon"/>
        </w:rPr>
      </w:pPr>
      <w:r w:rsidRPr="00EF3633">
        <w:rPr>
          <w:rFonts w:ascii="Calibri" w:hAnsi="Calibri"/>
        </w:rPr>
        <w:t>●</w:t>
      </w:r>
      <w:r w:rsidRPr="00EF3633">
        <w:rPr>
          <w:rFonts w:ascii="Calibri" w:hAnsi="Calibri" w:cs="Big Caslon"/>
        </w:rPr>
        <w:tab/>
        <w:t xml:space="preserve">Reviewed the planned changes to the ISP and the ISP process. </w:t>
      </w:r>
    </w:p>
    <w:p w:rsidR="004C608D" w:rsidRPr="00EF3633" w:rsidRDefault="004C608D" w:rsidP="004C608D">
      <w:pPr>
        <w:ind w:firstLine="720"/>
        <w:rPr>
          <w:rFonts w:ascii="Calibri" w:hAnsi="Calibri" w:cs="Big Caslon"/>
        </w:rPr>
      </w:pPr>
      <w:r w:rsidRPr="00EF3633">
        <w:rPr>
          <w:rFonts w:ascii="Calibri" w:hAnsi="Calibri"/>
        </w:rPr>
        <w:t>●</w:t>
      </w:r>
      <w:r w:rsidRPr="00EF3633">
        <w:rPr>
          <w:rFonts w:ascii="Calibri" w:hAnsi="Calibri" w:cs="Big Caslon"/>
        </w:rPr>
        <w:tab/>
        <w:t>Evaluated data collection tool.</w:t>
      </w:r>
    </w:p>
    <w:p w:rsidR="004C608D" w:rsidRPr="00EF3633" w:rsidRDefault="004C608D" w:rsidP="004C608D">
      <w:pPr>
        <w:ind w:firstLine="720"/>
        <w:rPr>
          <w:rFonts w:ascii="Calibri" w:hAnsi="Calibri" w:cs="Big Caslon"/>
        </w:rPr>
      </w:pPr>
      <w:r w:rsidRPr="00EF3633">
        <w:rPr>
          <w:rFonts w:ascii="Calibri" w:hAnsi="Calibri"/>
        </w:rPr>
        <w:t>●</w:t>
      </w:r>
      <w:r w:rsidRPr="00EF3633">
        <w:rPr>
          <w:rFonts w:ascii="Calibri" w:hAnsi="Calibri" w:cs="Big Caslon"/>
        </w:rPr>
        <w:tab/>
        <w:t>Reviewed October 2014 Data Dashboard.</w:t>
      </w:r>
    </w:p>
    <w:p w:rsidR="004C608D" w:rsidRPr="00EF3633" w:rsidRDefault="004C608D" w:rsidP="004C608D">
      <w:pPr>
        <w:ind w:firstLine="720"/>
        <w:rPr>
          <w:rFonts w:ascii="Calibri" w:hAnsi="Calibri" w:cs="Big Caslon"/>
        </w:rPr>
      </w:pPr>
      <w:r w:rsidRPr="00EF3633">
        <w:rPr>
          <w:rFonts w:ascii="Calibri" w:hAnsi="Calibri"/>
        </w:rPr>
        <w:t>●</w:t>
      </w:r>
      <w:r w:rsidRPr="00EF3633">
        <w:rPr>
          <w:rFonts w:ascii="Calibri" w:hAnsi="Calibri" w:cs="Big Caslon"/>
        </w:rPr>
        <w:tab/>
        <w:t>Interviewed Dee Keenan.</w:t>
      </w:r>
    </w:p>
    <w:p w:rsidR="004C608D" w:rsidRPr="00EF3633" w:rsidRDefault="004C608D" w:rsidP="004C608D">
      <w:pPr>
        <w:ind w:left="2880"/>
        <w:rPr>
          <w:rFonts w:ascii="Calibri" w:hAnsi="Calibri" w:cs="Big Caslon"/>
        </w:rPr>
      </w:pPr>
    </w:p>
    <w:p w:rsidR="004C608D" w:rsidRPr="00EF3633" w:rsidRDefault="004C608D" w:rsidP="004C608D">
      <w:pPr>
        <w:rPr>
          <w:rFonts w:ascii="Calibri" w:hAnsi="Calibri" w:cs="Big Caslon"/>
          <w:u w:val="single"/>
        </w:rPr>
      </w:pPr>
      <w:r w:rsidRPr="00EF3633">
        <w:rPr>
          <w:rFonts w:ascii="Calibri" w:hAnsi="Calibri" w:cs="Big Caslon"/>
        </w:rPr>
        <w:tab/>
      </w:r>
      <w:r w:rsidRPr="00EF3633">
        <w:rPr>
          <w:rFonts w:ascii="Calibri" w:hAnsi="Calibri" w:cs="Big Caslon"/>
          <w:u w:val="single"/>
        </w:rPr>
        <w:t>Findings</w:t>
      </w:r>
    </w:p>
    <w:p w:rsidR="004C608D" w:rsidRPr="00EF3633" w:rsidRDefault="004C608D" w:rsidP="004C608D">
      <w:pPr>
        <w:ind w:left="720"/>
        <w:rPr>
          <w:rFonts w:ascii="Calibri" w:hAnsi="Calibri" w:cs="Big Caslon"/>
        </w:rPr>
      </w:pPr>
      <w:r w:rsidRPr="00EF3633">
        <w:rPr>
          <w:rFonts w:ascii="Calibri" w:hAnsi="Calibri" w:cs="Big Caslon"/>
        </w:rPr>
        <w:t xml:space="preserve">For this Agreement objective (to measure the content of the face-to-face visits) the key indicators settled on by DBHDS (Health &amp; Well Being, Community Inclusion, Choice and Self-Determination, Living Arrangement Stability, and Day Activity Stability) showed promise. However, these measures do not address specific elements of the face-to-face visits, such as when to convene the team, how to evaluate significant implementation problems, assessing risk when there are status changes, etc. </w:t>
      </w:r>
    </w:p>
    <w:p w:rsidR="004C608D" w:rsidRPr="00EF3633" w:rsidRDefault="004C608D" w:rsidP="004C608D">
      <w:pPr>
        <w:ind w:left="720"/>
        <w:rPr>
          <w:rFonts w:ascii="Calibri" w:hAnsi="Calibri" w:cs="Big Caslon"/>
        </w:rPr>
      </w:pPr>
    </w:p>
    <w:p w:rsidR="004C608D" w:rsidRPr="00EF3633" w:rsidRDefault="004C608D" w:rsidP="004C608D">
      <w:pPr>
        <w:ind w:left="720"/>
        <w:rPr>
          <w:rFonts w:ascii="Calibri" w:hAnsi="Calibri" w:cs="Big Caslon"/>
        </w:rPr>
      </w:pPr>
      <w:r w:rsidRPr="00EF3633">
        <w:rPr>
          <w:rFonts w:ascii="Calibri" w:hAnsi="Calibri" w:cs="Big Caslon"/>
        </w:rPr>
        <w:t>As with the larger parts of the Data Dashboard, these latter five measures, which DBHDS developed, are collected centrally from the CSBs through the CCS3 (Community Consumer Submission 3). Edits were made to the CCS3 extract in 2014 which improved its outputs and additional training is planned for case managers regarding reports on the five measures.</w:t>
      </w:r>
    </w:p>
    <w:p w:rsidR="004C608D" w:rsidRPr="00EF3633" w:rsidRDefault="004C608D" w:rsidP="004C608D">
      <w:pPr>
        <w:ind w:left="720"/>
        <w:rPr>
          <w:rFonts w:ascii="Calibri" w:hAnsi="Calibri" w:cs="Big Caslon"/>
        </w:rPr>
      </w:pPr>
    </w:p>
    <w:p w:rsidR="004C608D" w:rsidRPr="00EF3633" w:rsidRDefault="004C608D" w:rsidP="004C608D">
      <w:pPr>
        <w:ind w:left="720"/>
        <w:rPr>
          <w:rFonts w:ascii="Calibri" w:hAnsi="Calibri" w:cs="Big Caslon"/>
        </w:rPr>
      </w:pPr>
      <w:r w:rsidRPr="00EF3633">
        <w:rPr>
          <w:rFonts w:ascii="Calibri" w:hAnsi="Calibri" w:cs="Big Caslon"/>
        </w:rPr>
        <w:t xml:space="preserve">These latter data pieces may be captured through other processes being tested by DBHDS, but the halo effect of case managers skewing reports for the Data Dashboard toward the positive is a serious issue. There are plans to put corrections in place to correct for this via the ISP, but the reliability of this component of the Data Dashboard remains a large question. For example, in October 2014 four CSBs (Dickenson, Henrico, Northwestern, Rockbridge) reported that 100% of their Health and Well Being goals were being successfully achieved for 740 individuals; while this is certainly plausible, there is no mechanism to test the validity of this data given that Health and Well Being goals are the least likely to be achieved 100% of the time, since it is the one category that is tied to a personal variable like health which is very often out of the control of providers and case managers. </w:t>
      </w:r>
    </w:p>
    <w:p w:rsidR="004C608D" w:rsidRPr="00EF3633" w:rsidRDefault="004C608D" w:rsidP="004C608D">
      <w:pPr>
        <w:ind w:firstLine="720"/>
        <w:rPr>
          <w:rFonts w:ascii="Calibri" w:hAnsi="Calibri" w:cs="Big Caslon"/>
        </w:rPr>
      </w:pPr>
    </w:p>
    <w:p w:rsidR="004C608D" w:rsidRPr="00EF3633" w:rsidRDefault="004C608D" w:rsidP="004C608D">
      <w:pPr>
        <w:ind w:firstLine="720"/>
        <w:rPr>
          <w:rFonts w:ascii="Calibri" w:hAnsi="Calibri" w:cs="Big Caslon"/>
          <w:u w:val="single"/>
        </w:rPr>
      </w:pPr>
      <w:r w:rsidRPr="00EF3633">
        <w:rPr>
          <w:rFonts w:ascii="Calibri" w:hAnsi="Calibri" w:cs="Big Caslon"/>
          <w:u w:val="single"/>
        </w:rPr>
        <w:t>Conclusion</w:t>
      </w:r>
    </w:p>
    <w:p w:rsidR="004C608D" w:rsidRPr="00EF5B9D" w:rsidRDefault="004C608D" w:rsidP="004C608D">
      <w:pPr>
        <w:ind w:left="720"/>
        <w:rPr>
          <w:rFonts w:asciiTheme="majorHAnsi" w:hAnsiTheme="majorHAnsi"/>
        </w:rPr>
      </w:pPr>
      <w:r w:rsidRPr="00EF3633">
        <w:rPr>
          <w:rFonts w:ascii="Calibri" w:hAnsi="Calibri" w:cs="Big Caslon"/>
        </w:rPr>
        <w:t>Based on this review DBHDS is not in compliance with Section V.F.2. This section is also assessed in the Individual Service Review study, which has found in each previous</w:t>
      </w:r>
      <w:r w:rsidRPr="00EF5B9D">
        <w:rPr>
          <w:rFonts w:asciiTheme="majorHAnsi" w:hAnsiTheme="majorHAnsi"/>
        </w:rPr>
        <w:t xml:space="preserve"> reporting period that most ISPs do not include baseline or measurable outcomes. The oversight for this issue is clearly vested in OLS, which does not routinely examine case manager notes relevant to an incident in its SIR and death investigations.</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towards Achieving Full Compliance</w:t>
      </w:r>
    </w:p>
    <w:p w:rsidR="004C608D" w:rsidRPr="00EF5B9D" w:rsidRDefault="004C608D" w:rsidP="004C608D">
      <w:pPr>
        <w:ind w:left="720"/>
        <w:rPr>
          <w:rFonts w:asciiTheme="majorHAnsi" w:hAnsiTheme="majorHAnsi"/>
        </w:rPr>
      </w:pPr>
      <w:r w:rsidRPr="00EF5B9D">
        <w:rPr>
          <w:rFonts w:asciiTheme="majorHAnsi" w:hAnsiTheme="majorHAnsi"/>
        </w:rPr>
        <w:t>DBHDS should develop methods to show validity in the reported data from case managers. This will involve sampling individual records to verify agreement between what is documented and what is reported. This could be delegated to case management supervisors.</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OLS should establish a minimum investigation protocol that always includes review of case manager notes in the period preceding an incident or a death.</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DBHDS should develop training, clinical support, and monitoring tools for CMs to ensure that they have the skills a</w:t>
      </w:r>
      <w:r>
        <w:rPr>
          <w:rFonts w:asciiTheme="majorHAnsi" w:hAnsiTheme="majorHAnsi"/>
        </w:rPr>
        <w:t xml:space="preserve">nd clinical supports to assess </w:t>
      </w:r>
      <w:r w:rsidRPr="00EF5B9D">
        <w:rPr>
          <w:rFonts w:asciiTheme="majorHAnsi" w:hAnsiTheme="majorHAnsi"/>
        </w:rPr>
        <w:t>for identified and unidentified risks and to determine if supports are being implemented consistent with safety protocols and the individual’s needs.</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Specific elements of the face-to-face visits, such as when to convene the team, how to evaluate significant implementation problems, assessing risk when there are status changes, etc. will need to be assessed or measured. The </w:t>
      </w:r>
      <w:r w:rsidRPr="00EF5B9D">
        <w:rPr>
          <w:rFonts w:asciiTheme="majorHAnsi" w:hAnsiTheme="majorHAnsi"/>
          <w:i/>
        </w:rPr>
        <w:t>Support Coordination ECM Onsite Report</w:t>
      </w:r>
      <w:r w:rsidRPr="00EF5B9D">
        <w:rPr>
          <w:rFonts w:asciiTheme="majorHAnsi" w:hAnsiTheme="majorHAnsi"/>
        </w:rPr>
        <w:t xml:space="preserve"> appears to have potential for addressing this, but it is optional and not required of the field.</w:t>
      </w:r>
    </w:p>
    <w:p w:rsidR="004C608D" w:rsidRPr="00EF5B9D" w:rsidRDefault="004C608D" w:rsidP="004C608D">
      <w:pPr>
        <w:rPr>
          <w:rFonts w:asciiTheme="majorHAnsi" w:hAnsiTheme="majorHAnsi"/>
        </w:rPr>
      </w:pPr>
    </w:p>
    <w:p w:rsidR="004C608D" w:rsidRPr="00EF5B9D" w:rsidRDefault="004C608D" w:rsidP="004C608D">
      <w:pPr>
        <w:ind w:left="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left="720"/>
        <w:rPr>
          <w:rFonts w:asciiTheme="majorHAnsi" w:hAnsiTheme="majorHAnsi"/>
        </w:rPr>
      </w:pPr>
      <w:r w:rsidRPr="00EF5B9D">
        <w:rPr>
          <w:rFonts w:asciiTheme="majorHAnsi" w:hAnsiTheme="majorHAnsi"/>
        </w:rPr>
        <w:t>DBHDS should consider dialogues with CSB managers about the integrity of the five indicators now reported in the Data Dashboard.</w:t>
      </w:r>
    </w:p>
    <w:p w:rsidR="004C608D" w:rsidRDefault="004C608D" w:rsidP="004C608D">
      <w:pPr>
        <w:rPr>
          <w:rFonts w:asciiTheme="majorHAnsi" w:hAnsiTheme="majorHAnsi"/>
          <w:i/>
        </w:rPr>
      </w:pPr>
    </w:p>
    <w:p w:rsidR="004C608D" w:rsidRDefault="004C608D" w:rsidP="004C608D">
      <w:pPr>
        <w:rPr>
          <w:rFonts w:asciiTheme="majorHAnsi" w:hAnsiTheme="majorHAnsi"/>
          <w:i/>
        </w:rPr>
      </w:pPr>
    </w:p>
    <w:p w:rsidR="004C608D" w:rsidRDefault="004C608D" w:rsidP="004C608D">
      <w:pPr>
        <w:rPr>
          <w:rFonts w:asciiTheme="majorHAnsi" w:hAnsiTheme="majorHAnsi"/>
          <w:i/>
        </w:rPr>
      </w:pPr>
    </w:p>
    <w:p w:rsidR="004C608D" w:rsidRDefault="004C608D" w:rsidP="004C608D">
      <w:pPr>
        <w:rPr>
          <w:rFonts w:asciiTheme="majorHAnsi" w:hAnsiTheme="majorHAnsi"/>
          <w:i/>
        </w:rPr>
      </w:pPr>
    </w:p>
    <w:p w:rsidR="004C608D" w:rsidRPr="00EF5B9D" w:rsidRDefault="004C608D" w:rsidP="004C608D">
      <w:pPr>
        <w:rPr>
          <w:rFonts w:asciiTheme="majorHAnsi" w:hAnsiTheme="majorHAnsi"/>
          <w:i/>
        </w:rPr>
      </w:pPr>
    </w:p>
    <w:p w:rsidR="004C608D" w:rsidRPr="00EF5B9D" w:rsidRDefault="004C608D" w:rsidP="004C608D">
      <w:pPr>
        <w:pStyle w:val="ListParagraph"/>
        <w:jc w:val="center"/>
        <w:rPr>
          <w:rFonts w:asciiTheme="majorHAnsi" w:hAnsiTheme="majorHAnsi"/>
          <w:u w:val="single"/>
        </w:rPr>
      </w:pPr>
      <w:r w:rsidRPr="00EF5B9D">
        <w:rPr>
          <w:rFonts w:asciiTheme="majorHAnsi" w:hAnsiTheme="majorHAnsi"/>
          <w:u w:val="single"/>
        </w:rPr>
        <w:t>Case Manager Visits</w:t>
      </w:r>
    </w:p>
    <w:p w:rsidR="004C608D" w:rsidRPr="00EF5B9D" w:rsidRDefault="004C608D" w:rsidP="004C608D">
      <w:pPr>
        <w:ind w:left="720"/>
        <w:rPr>
          <w:rFonts w:asciiTheme="majorHAnsi" w:hAnsiTheme="majorHAnsi"/>
          <w:i/>
        </w:rPr>
      </w:pPr>
      <w:r w:rsidRPr="00EF5B9D">
        <w:rPr>
          <w:rFonts w:asciiTheme="majorHAnsi" w:hAnsiTheme="majorHAnsi"/>
          <w:i/>
        </w:rPr>
        <w:t xml:space="preserve">V.F.4. </w:t>
      </w:r>
    </w:p>
    <w:p w:rsidR="004C608D" w:rsidRPr="00EF5B9D" w:rsidRDefault="004C608D" w:rsidP="004C608D">
      <w:pPr>
        <w:ind w:left="720"/>
        <w:rPr>
          <w:rFonts w:asciiTheme="majorHAnsi" w:hAnsiTheme="majorHAnsi"/>
          <w:i/>
        </w:rPr>
      </w:pPr>
      <w:r w:rsidRPr="00EF5B9D">
        <w:rPr>
          <w:rFonts w:asciiTheme="majorHAnsi" w:hAnsiTheme="majorHAnsi"/>
          <w:i/>
        </w:rPr>
        <w:t>Within 12 months from the effective date of this Agreement, the Commonwealth shall establish a mechanism to collect reliable data from the case managers on the number, type, and frequency of case manager contacts with the individual.</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Methodology</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 xml:space="preserve">Reviewed any data gathered that demonstrates that the data provided by CSBs is complete and reliable. </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Reviewed October 2014 Data Dashboard.</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w:t>
      </w:r>
    </w:p>
    <w:p w:rsidR="004C608D" w:rsidRPr="00EF5B9D" w:rsidRDefault="004C608D" w:rsidP="004C608D">
      <w:pPr>
        <w:ind w:left="2160"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The Data Dashboard does not yet reliably reflect CSB performance for the Settlement Agreement requirement of “</w:t>
      </w:r>
      <w:r w:rsidRPr="00EF5B9D">
        <w:rPr>
          <w:rFonts w:asciiTheme="majorHAnsi" w:hAnsiTheme="majorHAnsi"/>
          <w:i/>
        </w:rPr>
        <w:t>a mechanism to collect reliable data from the case managers on the number, type, and frequency of case manager contacts with the individual”</w:t>
      </w:r>
      <w:r w:rsidRPr="00EF5B9D">
        <w:rPr>
          <w:rFonts w:asciiTheme="majorHAnsi" w:hAnsiTheme="majorHAnsi"/>
        </w:rPr>
        <w:t xml:space="preserve">. </w:t>
      </w:r>
      <w:r w:rsidR="00E2513F" w:rsidRPr="00EF5B9D">
        <w:rPr>
          <w:rFonts w:asciiTheme="majorHAnsi" w:hAnsiTheme="majorHAnsi"/>
        </w:rPr>
        <w:t>DBHDS quality administrators have identified poor data entry at the CSB level</w:t>
      </w:r>
      <w:r w:rsidRPr="00EF5B9D">
        <w:rPr>
          <w:rFonts w:asciiTheme="majorHAnsi" w:hAnsiTheme="majorHAnsi"/>
        </w:rPr>
        <w:t xml:space="preserve"> as the source of the remaining reliability problems in the Dashboard. However, beyond publication of the dashboard and conversations with individual CSBs, there do not appear to be strategies that would ensure CSBs improve their data entry processes or address poor performance outcomes.</w:t>
      </w:r>
    </w:p>
    <w:p w:rsidR="004C608D" w:rsidRPr="00EF5B9D" w:rsidRDefault="004C608D" w:rsidP="004C608D">
      <w:pPr>
        <w:ind w:firstLine="720"/>
        <w:rPr>
          <w:rFonts w:asciiTheme="majorHAnsi" w:hAnsiTheme="majorHAnsi"/>
          <w:u w:val="single"/>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not currently in compliance with the requirements of V.F.4.  DBHDS does not yet have evidence at the policy level that it has reliable mechanism/s to assess CSB compliance with their performance standards relative to case manager contacts.</w:t>
      </w:r>
    </w:p>
    <w:p w:rsidR="004C608D" w:rsidRPr="00EF5B9D" w:rsidRDefault="004C608D" w:rsidP="004C608D">
      <w:pPr>
        <w:ind w:firstLine="720"/>
        <w:rPr>
          <w:rFonts w:asciiTheme="majorHAnsi" w:hAnsiTheme="majorHAnsi"/>
          <w:u w:val="single"/>
        </w:rPr>
      </w:pPr>
    </w:p>
    <w:p w:rsidR="004C608D" w:rsidRPr="00EF5B9D" w:rsidRDefault="004C608D" w:rsidP="004C608D">
      <w:pPr>
        <w:ind w:left="720"/>
        <w:rPr>
          <w:rFonts w:asciiTheme="majorHAnsi" w:hAnsiTheme="majorHAnsi"/>
          <w:u w:val="single"/>
        </w:rPr>
      </w:pPr>
      <w:r w:rsidRPr="00EF5B9D">
        <w:rPr>
          <w:rFonts w:asciiTheme="majorHAnsi" w:hAnsiTheme="majorHAnsi"/>
          <w:u w:val="single"/>
        </w:rPr>
        <w:t>Recommendations towards achieving Full  Compliance:</w:t>
      </w:r>
    </w:p>
    <w:p w:rsidR="004C608D" w:rsidRPr="00EF5B9D" w:rsidRDefault="004C608D" w:rsidP="004C608D">
      <w:pPr>
        <w:ind w:left="720"/>
        <w:rPr>
          <w:rFonts w:asciiTheme="majorHAnsi" w:hAnsiTheme="majorHAnsi"/>
        </w:rPr>
      </w:pPr>
      <w:r w:rsidRPr="00EF5B9D">
        <w:rPr>
          <w:rFonts w:asciiTheme="majorHAnsi" w:hAnsiTheme="majorHAnsi"/>
        </w:rPr>
        <w:t>DBHDS should implement strategies that direct CSBs improve their data entry.</w:t>
      </w:r>
    </w:p>
    <w:p w:rsidR="004C608D" w:rsidRPr="00EF5B9D" w:rsidRDefault="004C608D" w:rsidP="004C608D">
      <w:pPr>
        <w:ind w:left="720"/>
        <w:rPr>
          <w:rFonts w:asciiTheme="majorHAnsi" w:hAnsiTheme="majorHAnsi"/>
        </w:rPr>
      </w:pPr>
    </w:p>
    <w:p w:rsidR="004C608D" w:rsidRPr="00EF5B9D" w:rsidRDefault="004C608D" w:rsidP="004C608D">
      <w:pPr>
        <w:ind w:left="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left="720"/>
        <w:rPr>
          <w:rFonts w:asciiTheme="majorHAnsi" w:hAnsiTheme="majorHAnsi"/>
        </w:rPr>
      </w:pPr>
      <w:r w:rsidRPr="00EF5B9D">
        <w:rPr>
          <w:rFonts w:asciiTheme="majorHAnsi" w:hAnsiTheme="majorHAnsi"/>
        </w:rPr>
        <w:t xml:space="preserve">The Drumwright/Keenan CSB input matrix review creates a rich information pool for DBHDS and should be an annual event. </w:t>
      </w:r>
    </w:p>
    <w:p w:rsidR="004C608D" w:rsidRPr="00EF5B9D" w:rsidRDefault="004C608D" w:rsidP="004C608D">
      <w:pPr>
        <w:rPr>
          <w:rFonts w:asciiTheme="majorHAnsi" w:hAnsiTheme="majorHAnsi"/>
        </w:rPr>
      </w:pPr>
      <w:r w:rsidRPr="00EF5B9D">
        <w:rPr>
          <w:rFonts w:asciiTheme="majorHAnsi" w:hAnsiTheme="majorHAnsi"/>
        </w:rPr>
        <w:tab/>
      </w:r>
    </w:p>
    <w:p w:rsidR="004C608D" w:rsidRPr="00EF5B9D" w:rsidRDefault="004C608D" w:rsidP="004C608D">
      <w:pPr>
        <w:ind w:left="720"/>
        <w:rPr>
          <w:rFonts w:asciiTheme="majorHAnsi" w:hAnsiTheme="majorHAnsi"/>
        </w:rPr>
      </w:pPr>
      <w:r w:rsidRPr="00EF5B9D">
        <w:rPr>
          <w:rFonts w:asciiTheme="majorHAnsi" w:hAnsiTheme="majorHAnsi"/>
        </w:rPr>
        <w:t>DBHDS should require that CSBs achieving less than 50% on all Data Dashboard measures provide a ‘data entry improvement plan’; CSBs achieving less than 90% should provide a ‘case management performance improvement plan.’</w:t>
      </w:r>
    </w:p>
    <w:p w:rsidR="004C608D" w:rsidRPr="00EF5B9D" w:rsidRDefault="004C608D" w:rsidP="004C608D">
      <w:pPr>
        <w:rPr>
          <w:rFonts w:asciiTheme="majorHAnsi" w:hAnsiTheme="majorHAnsi"/>
        </w:rPr>
      </w:pPr>
    </w:p>
    <w:p w:rsidR="004C608D" w:rsidRPr="00EF5B9D" w:rsidRDefault="004C608D" w:rsidP="004C608D">
      <w:pPr>
        <w:rPr>
          <w:rFonts w:asciiTheme="majorHAnsi" w:hAnsiTheme="majorHAnsi"/>
        </w:rPr>
      </w:pPr>
    </w:p>
    <w:p w:rsidR="004C608D" w:rsidRDefault="004C608D" w:rsidP="004C608D">
      <w:pPr>
        <w:rPr>
          <w:rFonts w:asciiTheme="majorHAnsi" w:hAnsiTheme="majorHAnsi"/>
        </w:rPr>
      </w:pPr>
    </w:p>
    <w:p w:rsidR="004C608D" w:rsidRDefault="004C608D" w:rsidP="004C608D">
      <w:pPr>
        <w:rPr>
          <w:rFonts w:asciiTheme="majorHAnsi" w:hAnsiTheme="majorHAnsi"/>
        </w:rPr>
      </w:pPr>
    </w:p>
    <w:p w:rsidR="004C608D" w:rsidRDefault="004C608D" w:rsidP="004C608D">
      <w:pPr>
        <w:rPr>
          <w:rFonts w:asciiTheme="majorHAnsi" w:hAnsiTheme="majorHAnsi"/>
        </w:rPr>
      </w:pPr>
    </w:p>
    <w:p w:rsidR="004C608D" w:rsidRDefault="004C608D" w:rsidP="004C608D">
      <w:pPr>
        <w:rPr>
          <w:rFonts w:asciiTheme="majorHAnsi" w:hAnsiTheme="majorHAnsi"/>
        </w:rPr>
      </w:pPr>
    </w:p>
    <w:p w:rsidR="004C608D" w:rsidRDefault="004C608D" w:rsidP="004C608D">
      <w:pPr>
        <w:rPr>
          <w:rFonts w:asciiTheme="majorHAnsi" w:hAnsiTheme="majorHAnsi"/>
        </w:rPr>
      </w:pPr>
    </w:p>
    <w:p w:rsidR="004C608D" w:rsidRPr="00EF5B9D" w:rsidRDefault="004C608D" w:rsidP="004C608D">
      <w:pPr>
        <w:rPr>
          <w:rFonts w:asciiTheme="majorHAnsi" w:hAnsiTheme="majorHAnsi"/>
        </w:rPr>
      </w:pPr>
    </w:p>
    <w:p w:rsidR="004C608D" w:rsidRPr="00EF5B9D" w:rsidRDefault="004C608D" w:rsidP="004C608D">
      <w:pPr>
        <w:ind w:firstLine="720"/>
        <w:rPr>
          <w:rFonts w:asciiTheme="majorHAnsi" w:hAnsiTheme="majorHAnsi"/>
          <w:sz w:val="28"/>
          <w:szCs w:val="28"/>
        </w:rPr>
      </w:pPr>
      <w:r w:rsidRPr="00EF5B9D">
        <w:rPr>
          <w:rFonts w:asciiTheme="majorHAnsi" w:hAnsiTheme="majorHAnsi"/>
          <w:sz w:val="28"/>
          <w:szCs w:val="28"/>
        </w:rPr>
        <w:t>Licensing</w:t>
      </w:r>
    </w:p>
    <w:p w:rsidR="004C608D" w:rsidRPr="00EF5B9D" w:rsidRDefault="004C608D" w:rsidP="004C608D">
      <w:pPr>
        <w:rPr>
          <w:rFonts w:asciiTheme="majorHAnsi" w:hAnsiTheme="majorHAnsi"/>
        </w:rPr>
      </w:pPr>
    </w:p>
    <w:p w:rsidR="004C608D" w:rsidRPr="00EF5B9D" w:rsidRDefault="004C608D" w:rsidP="004C608D">
      <w:pPr>
        <w:jc w:val="center"/>
        <w:rPr>
          <w:rFonts w:asciiTheme="majorHAnsi" w:hAnsiTheme="majorHAnsi"/>
          <w:u w:val="single"/>
        </w:rPr>
      </w:pPr>
      <w:r w:rsidRPr="00EF5B9D">
        <w:rPr>
          <w:rFonts w:asciiTheme="majorHAnsi" w:hAnsiTheme="majorHAnsi"/>
          <w:u w:val="single"/>
        </w:rPr>
        <w:t>Unannounced OLS Visits</w:t>
      </w:r>
    </w:p>
    <w:p w:rsidR="004C608D" w:rsidRPr="00EF5B9D" w:rsidRDefault="004C608D" w:rsidP="004C608D">
      <w:pPr>
        <w:ind w:left="720"/>
        <w:rPr>
          <w:rFonts w:asciiTheme="majorHAnsi" w:hAnsiTheme="majorHAnsi"/>
          <w:i/>
        </w:rPr>
      </w:pPr>
      <w:r w:rsidRPr="00EF5B9D">
        <w:rPr>
          <w:rFonts w:asciiTheme="majorHAnsi" w:hAnsiTheme="majorHAnsi"/>
          <w:i/>
        </w:rPr>
        <w:t xml:space="preserve">V.G.1-2 </w:t>
      </w:r>
    </w:p>
    <w:p w:rsidR="004C608D" w:rsidRPr="00EF5B9D" w:rsidRDefault="004C608D" w:rsidP="004C608D">
      <w:pPr>
        <w:ind w:left="720"/>
        <w:rPr>
          <w:rFonts w:asciiTheme="majorHAnsi" w:hAnsiTheme="majorHAnsi" w:cs="Baskerville"/>
          <w:i/>
        </w:rPr>
      </w:pPr>
      <w:r w:rsidRPr="00EF5B9D">
        <w:rPr>
          <w:rFonts w:asciiTheme="majorHAnsi" w:hAnsiTheme="majorHAnsi" w:cs="Baskerville"/>
          <w:i/>
        </w:rPr>
        <w:t>The Commonwealth shall conduct regular, unannounced licensing inspections of community providers serving individuals receiving services under this Agreement.</w:t>
      </w:r>
    </w:p>
    <w:p w:rsidR="004C608D" w:rsidRPr="00EF5B9D" w:rsidRDefault="004C608D" w:rsidP="004C608D">
      <w:pPr>
        <w:ind w:left="720"/>
        <w:rPr>
          <w:rFonts w:asciiTheme="majorHAnsi" w:hAnsiTheme="majorHAnsi"/>
        </w:rPr>
      </w:pPr>
      <w:r w:rsidRPr="00EF5B9D">
        <w:rPr>
          <w:rFonts w:asciiTheme="majorHAnsi" w:hAnsiTheme="majorHAnsi"/>
          <w:i/>
        </w:rPr>
        <w:t>Within 12 months of the effective date of this Agreement, the Commonwealth shall have and implement a process to conduct more frequent licensure inspections of community providers serving individuals under this Agreement.</w:t>
      </w:r>
    </w:p>
    <w:p w:rsidR="004C608D" w:rsidRPr="00EF5B9D" w:rsidRDefault="004C608D" w:rsidP="004C608D">
      <w:pPr>
        <w:ind w:firstLine="720"/>
        <w:rPr>
          <w:rFonts w:asciiTheme="majorHAnsi" w:hAnsiTheme="majorHAnsi"/>
          <w:u w:val="single"/>
        </w:rPr>
      </w:pPr>
    </w:p>
    <w:p w:rsidR="004C608D" w:rsidRPr="00EF5B9D" w:rsidRDefault="004C608D" w:rsidP="004C608D">
      <w:pPr>
        <w:ind w:firstLine="720"/>
        <w:rPr>
          <w:rFonts w:asciiTheme="majorHAnsi" w:hAnsiTheme="majorHAnsi"/>
        </w:rPr>
      </w:pPr>
      <w:r w:rsidRPr="00EF5B9D">
        <w:rPr>
          <w:rFonts w:asciiTheme="majorHAnsi" w:hAnsiTheme="majorHAnsi"/>
          <w:u w:val="single"/>
        </w:rPr>
        <w:t>Methodology</w:t>
      </w:r>
      <w:r w:rsidRPr="00EF5B9D">
        <w:rPr>
          <w:rFonts w:asciiTheme="majorHAnsi" w:hAnsiTheme="majorHAnsi"/>
        </w:rPr>
        <w:t xml:space="preserve">: </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Reviewed all provider licensing reviews/CAPs during Oct.-Nov.-Dec. 2014.</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Reviewed OLS tracking sheet for all Licensing visits Oct-Nov-Dec 2014.</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Keven Schock, Chanda Braggs.</w:t>
      </w:r>
    </w:p>
    <w:p w:rsidR="004C608D" w:rsidRPr="00EF5B9D" w:rsidRDefault="004C608D" w:rsidP="004C608D">
      <w:pPr>
        <w:ind w:left="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Visits are scheduled and occur in a random fashion that indicates they are unannounced and more frequent for those covered by the Agreement.</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left="720"/>
        <w:rPr>
          <w:rFonts w:asciiTheme="majorHAnsi" w:hAnsiTheme="majorHAnsi"/>
        </w:rPr>
      </w:pPr>
      <w:r w:rsidRPr="00EF5B9D">
        <w:rPr>
          <w:rFonts w:asciiTheme="majorHAnsi" w:hAnsiTheme="majorHAnsi"/>
        </w:rPr>
        <w:t>DBHDS is in compliance with the requirements of V.G.1-2.</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w:t>
      </w:r>
      <w:r>
        <w:rPr>
          <w:rFonts w:asciiTheme="majorHAnsi" w:hAnsiTheme="majorHAnsi"/>
          <w:u w:val="single"/>
        </w:rPr>
        <w:t>ations to Achieve</w:t>
      </w:r>
      <w:r w:rsidRPr="00EF5B9D">
        <w:rPr>
          <w:rFonts w:asciiTheme="majorHAnsi" w:hAnsiTheme="majorHAnsi"/>
          <w:u w:val="single"/>
        </w:rPr>
        <w:t xml:space="preserve"> Full Compliance</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ind w:left="1440"/>
        <w:rPr>
          <w:rFonts w:asciiTheme="majorHAnsi" w:hAnsiTheme="majorHAnsi"/>
          <w:i/>
        </w:rPr>
      </w:pPr>
    </w:p>
    <w:p w:rsidR="004C608D" w:rsidRPr="00EF5B9D" w:rsidRDefault="004C608D" w:rsidP="004C608D">
      <w:pPr>
        <w:pStyle w:val="ListParagraph"/>
        <w:jc w:val="center"/>
        <w:rPr>
          <w:rFonts w:asciiTheme="majorHAnsi" w:hAnsiTheme="majorHAnsi" w:cs="Baskerville"/>
          <w:u w:val="single"/>
        </w:rPr>
      </w:pPr>
      <w:r w:rsidRPr="00EF5B9D">
        <w:rPr>
          <w:rFonts w:asciiTheme="majorHAnsi" w:hAnsiTheme="majorHAnsi" w:cs="Baskerville"/>
          <w:u w:val="single"/>
        </w:rPr>
        <w:t>Adequacy of Supports</w:t>
      </w:r>
    </w:p>
    <w:p w:rsidR="004C608D" w:rsidRPr="00EF5B9D" w:rsidRDefault="004C608D" w:rsidP="004C608D">
      <w:pPr>
        <w:ind w:left="720"/>
        <w:rPr>
          <w:rFonts w:asciiTheme="majorHAnsi" w:hAnsiTheme="majorHAnsi"/>
          <w:i/>
        </w:rPr>
      </w:pPr>
      <w:r w:rsidRPr="00EF5B9D">
        <w:rPr>
          <w:rFonts w:asciiTheme="majorHAnsi" w:hAnsiTheme="majorHAnsi"/>
          <w:i/>
        </w:rPr>
        <w:t>V.G.3</w:t>
      </w:r>
    </w:p>
    <w:p w:rsidR="004C608D" w:rsidRPr="00EF5B9D" w:rsidRDefault="004C608D" w:rsidP="004C608D">
      <w:pPr>
        <w:ind w:left="720"/>
        <w:rPr>
          <w:rFonts w:asciiTheme="majorHAnsi" w:hAnsiTheme="majorHAnsi" w:cs="Baskerville"/>
          <w:i/>
        </w:rPr>
      </w:pPr>
      <w:r w:rsidRPr="00EF5B9D">
        <w:rPr>
          <w:rFonts w:asciiTheme="majorHAnsi" w:hAnsiTheme="majorHAnsi"/>
          <w:i/>
        </w:rPr>
        <w:t xml:space="preserve"> </w:t>
      </w:r>
      <w:r w:rsidRPr="00EF5B9D">
        <w:rPr>
          <w:rFonts w:asciiTheme="majorHAnsi" w:hAnsiTheme="majorHAnsi" w:cs="Baskerville"/>
          <w:i/>
        </w:rPr>
        <w:t>Within 12 months of the effective date of this Agreement, the Commonwealth shall ensure that the licensure process assesses the adequacy of the individualized supports and services provided to persons receiving services under this Agreement in each of the domains listed in Section V.D.3 above and that these data and assessments are reported to DBHDS</w:t>
      </w:r>
    </w:p>
    <w:p w:rsidR="004C608D" w:rsidRPr="00EF5B9D" w:rsidRDefault="004C608D" w:rsidP="004C608D">
      <w:pPr>
        <w:rPr>
          <w:rFonts w:asciiTheme="majorHAnsi" w:hAnsiTheme="majorHAnsi" w:cs="Baskerville"/>
          <w:i/>
        </w:rPr>
      </w:pPr>
    </w:p>
    <w:p w:rsidR="004C608D" w:rsidRPr="00EF5B9D" w:rsidRDefault="004C608D" w:rsidP="004C608D">
      <w:pPr>
        <w:ind w:firstLine="720"/>
        <w:rPr>
          <w:rFonts w:asciiTheme="majorHAnsi" w:hAnsiTheme="majorHAnsi" w:cs="Baskerville"/>
          <w:u w:val="single"/>
        </w:rPr>
      </w:pPr>
      <w:r w:rsidRPr="00EF5B9D">
        <w:rPr>
          <w:rFonts w:asciiTheme="majorHAnsi" w:hAnsiTheme="majorHAnsi" w:cs="Baskerville"/>
          <w:u w:val="single"/>
        </w:rPr>
        <w:t>Methodology</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cs="Baskerville"/>
        </w:rPr>
        <w:tab/>
      </w:r>
      <w:r w:rsidRPr="00EF5B9D">
        <w:rPr>
          <w:rFonts w:asciiTheme="majorHAnsi" w:hAnsiTheme="majorHAnsi"/>
        </w:rPr>
        <w:t xml:space="preserve">Evaluated the revised OLS Office Protocol. </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Reviewed all CSB and provider licensing reviews/CAPs during Oct.-Nov.-Dec.</w:t>
      </w:r>
      <w:r w:rsidRPr="00EF5B9D">
        <w:rPr>
          <w:rFonts w:asciiTheme="majorHAnsi" w:hAnsiTheme="majorHAnsi"/>
        </w:rPr>
        <w:tab/>
      </w:r>
      <w:r w:rsidRPr="00EF5B9D">
        <w:rPr>
          <w:rFonts w:asciiTheme="majorHAnsi" w:hAnsiTheme="majorHAnsi"/>
        </w:rPr>
        <w:tab/>
      </w:r>
      <w:r w:rsidRPr="00EF5B9D">
        <w:rPr>
          <w:rFonts w:asciiTheme="majorHAnsi" w:hAnsiTheme="majorHAnsi"/>
        </w:rPr>
        <w:tab/>
        <w:t xml:space="preserve">2014. </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Reviewed all data available on use of the Supports Efficacy Checklist during Oct.-Nov.-Dec. 2014.</w:t>
      </w:r>
    </w:p>
    <w:p w:rsidR="004C608D" w:rsidRPr="00EF5B9D" w:rsidRDefault="004C608D" w:rsidP="004C608D">
      <w:pPr>
        <w:ind w:left="1440" w:hanging="720"/>
        <w:rPr>
          <w:rFonts w:asciiTheme="majorHAnsi" w:hAnsiTheme="majorHAnsi"/>
        </w:rPr>
      </w:pPr>
      <w:r w:rsidRPr="00EF5B9D">
        <w:rPr>
          <w:rFonts w:ascii="Times New Roman" w:hAnsi="Times New Roman"/>
        </w:rPr>
        <w:t>●</w:t>
      </w:r>
      <w:r w:rsidRPr="00EF5B9D">
        <w:rPr>
          <w:rFonts w:asciiTheme="majorHAnsi" w:hAnsiTheme="majorHAnsi"/>
        </w:rPr>
        <w:tab/>
        <w:t>Reviewed one Internal Auditor’s report on a CSB completed during October-November-December 2014.</w:t>
      </w:r>
    </w:p>
    <w:p w:rsidR="004C608D" w:rsidRPr="00EF5B9D" w:rsidRDefault="004C608D" w:rsidP="004C608D">
      <w:pPr>
        <w:ind w:firstLine="720"/>
        <w:rPr>
          <w:rFonts w:asciiTheme="majorHAnsi" w:hAnsiTheme="majorHAnsi"/>
        </w:rPr>
      </w:pPr>
      <w:r w:rsidRPr="00EF5B9D">
        <w:rPr>
          <w:rFonts w:ascii="Times New Roman" w:hAnsi="Times New Roman"/>
        </w:rPr>
        <w:t>●</w:t>
      </w:r>
      <w:r w:rsidRPr="00EF5B9D">
        <w:rPr>
          <w:rFonts w:asciiTheme="majorHAnsi" w:hAnsiTheme="majorHAnsi"/>
        </w:rPr>
        <w:tab/>
        <w:t>Interviewed Dee Keenan, Keven Schock, Chanda Braggs.</w:t>
      </w:r>
    </w:p>
    <w:p w:rsidR="004C608D" w:rsidRPr="00EF5B9D" w:rsidRDefault="004C608D" w:rsidP="004C608D">
      <w:pPr>
        <w:ind w:firstLine="720"/>
        <w:rPr>
          <w:rFonts w:asciiTheme="majorHAnsi" w:hAnsiTheme="majorHAnsi"/>
          <w: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Findings</w:t>
      </w:r>
    </w:p>
    <w:p w:rsidR="004C608D" w:rsidRPr="00EF5B9D" w:rsidRDefault="004C608D" w:rsidP="004C608D">
      <w:pPr>
        <w:ind w:left="720"/>
        <w:rPr>
          <w:rFonts w:asciiTheme="majorHAnsi" w:hAnsiTheme="majorHAnsi"/>
        </w:rPr>
      </w:pPr>
      <w:r w:rsidRPr="00EF5B9D">
        <w:rPr>
          <w:rFonts w:asciiTheme="majorHAnsi" w:hAnsiTheme="majorHAnsi"/>
        </w:rPr>
        <w:t xml:space="preserve">A new OLS Office Protocol, an Internal Auditor’s report, and the new </w:t>
      </w:r>
      <w:r w:rsidRPr="00EF5B9D">
        <w:rPr>
          <w:rFonts w:asciiTheme="majorHAnsi" w:hAnsiTheme="majorHAnsi"/>
          <w:i/>
        </w:rPr>
        <w:t>360</w:t>
      </w:r>
      <w:r w:rsidRPr="00EF5B9D">
        <w:rPr>
          <w:rFonts w:asciiTheme="majorHAnsi" w:hAnsiTheme="majorHAnsi"/>
          <w:i/>
          <w:vertAlign w:val="superscript"/>
        </w:rPr>
        <w:t xml:space="preserve">o </w:t>
      </w:r>
      <w:r w:rsidRPr="00EF5B9D">
        <w:rPr>
          <w:rFonts w:asciiTheme="majorHAnsi" w:hAnsiTheme="majorHAnsi"/>
          <w:i/>
        </w:rPr>
        <w:t xml:space="preserve">Review </w:t>
      </w:r>
      <w:r w:rsidRPr="00EF5B9D">
        <w:rPr>
          <w:rFonts w:asciiTheme="majorHAnsi" w:hAnsiTheme="majorHAnsi"/>
        </w:rPr>
        <w:t>suggest the quality management monitoring process is being increasingly focused on the adequacy of supports. The outcomes of these revised processes will determine their effectiveness.</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The revised processes in the Quality Management Plan may eventually establish that DBHDS is examining the adequacy of supports regularly and consistently. To date there is no data to confirm that this is the case.</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There is a theme at OLS that educational approaches to providers are preferred to applying more serious consequences. </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Conclusion</w:t>
      </w:r>
    </w:p>
    <w:p w:rsidR="004C608D" w:rsidRPr="00EF5B9D" w:rsidRDefault="004C608D" w:rsidP="004C608D">
      <w:pPr>
        <w:ind w:firstLine="720"/>
        <w:rPr>
          <w:rFonts w:asciiTheme="majorHAnsi" w:hAnsiTheme="majorHAnsi"/>
        </w:rPr>
      </w:pPr>
      <w:r w:rsidRPr="00EF5B9D">
        <w:rPr>
          <w:rFonts w:asciiTheme="majorHAnsi" w:hAnsiTheme="majorHAnsi"/>
        </w:rPr>
        <w:t>DBHDS is not in compliance with V.G.3.</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Recommendations to</w:t>
      </w:r>
      <w:r>
        <w:rPr>
          <w:rFonts w:asciiTheme="majorHAnsi" w:hAnsiTheme="majorHAnsi"/>
          <w:u w:val="single"/>
        </w:rPr>
        <w:t>wards Achieving</w:t>
      </w:r>
      <w:r w:rsidRPr="00EF5B9D">
        <w:rPr>
          <w:rFonts w:asciiTheme="majorHAnsi" w:hAnsiTheme="majorHAnsi"/>
          <w:u w:val="single"/>
        </w:rPr>
        <w:t xml:space="preserve"> Full Compliance</w:t>
      </w:r>
    </w:p>
    <w:p w:rsidR="004C608D" w:rsidRPr="00EF5B9D" w:rsidRDefault="004C608D" w:rsidP="004C608D">
      <w:pPr>
        <w:ind w:firstLine="720"/>
        <w:rPr>
          <w:rFonts w:asciiTheme="majorHAnsi" w:hAnsiTheme="majorHAnsi"/>
        </w:rPr>
      </w:pPr>
      <w:r w:rsidRPr="00EF5B9D">
        <w:rPr>
          <w:rFonts w:asciiTheme="majorHAnsi" w:hAnsiTheme="majorHAnsi"/>
        </w:rPr>
        <w:t>DBHDS should continue to test-evaluate-revise its quality management processes.</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Quality Management planning should consider using a similar methodology to the HCBS audits: request that case management supervisors review samples of case management records and report their reliability and internal consistency.</w:t>
      </w:r>
    </w:p>
    <w:p w:rsidR="004C608D" w:rsidRPr="00EF5B9D" w:rsidRDefault="004C608D" w:rsidP="004C608D">
      <w:pPr>
        <w:ind w:firstLine="720"/>
        <w:rPr>
          <w:rFonts w:asciiTheme="majorHAnsi" w:hAnsiTheme="majorHAnsi"/>
        </w:rPr>
      </w:pPr>
    </w:p>
    <w:p w:rsidR="004C608D" w:rsidRPr="00EF5B9D" w:rsidRDefault="004C608D" w:rsidP="004C608D">
      <w:pPr>
        <w:ind w:left="720"/>
        <w:rPr>
          <w:rFonts w:asciiTheme="majorHAnsi" w:hAnsiTheme="majorHAnsi"/>
        </w:rPr>
      </w:pPr>
      <w:r w:rsidRPr="00EF5B9D">
        <w:rPr>
          <w:rFonts w:asciiTheme="majorHAnsi" w:hAnsiTheme="majorHAnsi"/>
        </w:rPr>
        <w:t xml:space="preserve">While providers should be given every opportunity to respond to training and corrective action plan approaches, the OLS licensing mechanisms should ultimately be in use to weed out providers who repeatedly fail to meet performance expectations or correction plans, sooner rather than later. </w:t>
      </w:r>
    </w:p>
    <w:p w:rsidR="004C608D" w:rsidRPr="00EF5B9D" w:rsidRDefault="004C608D" w:rsidP="004C608D">
      <w:pPr>
        <w:ind w:firstLine="720"/>
        <w:rPr>
          <w:rFonts w:asciiTheme="majorHAnsi" w:hAnsiTheme="majorHAnsi"/>
        </w:rPr>
      </w:pPr>
    </w:p>
    <w:p w:rsidR="004C608D" w:rsidRPr="00EF5B9D" w:rsidRDefault="004C608D" w:rsidP="004C608D">
      <w:pPr>
        <w:ind w:firstLine="720"/>
        <w:rPr>
          <w:rFonts w:asciiTheme="majorHAnsi" w:hAnsiTheme="majorHAnsi"/>
          <w:u w:val="single"/>
        </w:rPr>
      </w:pPr>
      <w:r w:rsidRPr="00EF5B9D">
        <w:rPr>
          <w:rFonts w:asciiTheme="majorHAnsi" w:hAnsiTheme="majorHAnsi"/>
          <w:u w:val="single"/>
        </w:rPr>
        <w:t>Suggestions for Departmental Consideration</w:t>
      </w:r>
    </w:p>
    <w:p w:rsidR="004C608D" w:rsidRPr="00EF5B9D" w:rsidRDefault="004C608D" w:rsidP="004C608D">
      <w:pPr>
        <w:ind w:firstLine="720"/>
        <w:rPr>
          <w:rFonts w:asciiTheme="majorHAnsi" w:hAnsiTheme="majorHAnsi"/>
        </w:rPr>
      </w:pPr>
      <w:r w:rsidRPr="00EF5B9D">
        <w:rPr>
          <w:rFonts w:asciiTheme="majorHAnsi" w:hAnsiTheme="majorHAnsi"/>
        </w:rPr>
        <w:t>None</w:t>
      </w:r>
    </w:p>
    <w:p w:rsidR="004C608D" w:rsidRPr="00EF5B9D" w:rsidRDefault="004C608D" w:rsidP="004C608D">
      <w:pPr>
        <w:rPr>
          <w:rFonts w:asciiTheme="majorHAnsi" w:hAnsiTheme="majorHAnsi"/>
          <w:i/>
        </w:rPr>
      </w:pPr>
      <w:r w:rsidRPr="00EF5B9D">
        <w:rPr>
          <w:rFonts w:asciiTheme="majorHAnsi" w:hAnsiTheme="majorHAnsi"/>
          <w:i/>
        </w:rPr>
        <w:tab/>
      </w:r>
    </w:p>
    <w:p w:rsidR="004C608D" w:rsidRPr="00EF5B9D" w:rsidRDefault="004C608D" w:rsidP="004C608D">
      <w:pPr>
        <w:ind w:firstLine="720"/>
        <w:rPr>
          <w:rFonts w:asciiTheme="majorHAnsi" w:hAnsiTheme="majorHAnsi"/>
          <w:sz w:val="28"/>
          <w:szCs w:val="28"/>
        </w:rPr>
      </w:pPr>
    </w:p>
    <w:p w:rsidR="004C608D" w:rsidRPr="00EF5B9D" w:rsidRDefault="004C608D" w:rsidP="004C608D">
      <w:pPr>
        <w:ind w:firstLine="720"/>
        <w:rPr>
          <w:rFonts w:asciiTheme="majorHAnsi" w:hAnsiTheme="majorHAnsi"/>
          <w:sz w:val="28"/>
          <w:szCs w:val="28"/>
        </w:rPr>
      </w:pPr>
      <w:r w:rsidRPr="00EF5B9D">
        <w:rPr>
          <w:rFonts w:asciiTheme="majorHAnsi" w:hAnsiTheme="majorHAnsi"/>
          <w:sz w:val="28"/>
          <w:szCs w:val="28"/>
        </w:rPr>
        <w:t>Summary</w:t>
      </w:r>
    </w:p>
    <w:p w:rsidR="004C608D" w:rsidRPr="00EF5B9D" w:rsidRDefault="004C608D" w:rsidP="004C608D">
      <w:pPr>
        <w:ind w:firstLine="720"/>
        <w:rPr>
          <w:rFonts w:asciiTheme="majorHAnsi" w:hAnsiTheme="majorHAnsi"/>
          <w:sz w:val="28"/>
          <w:szCs w:val="28"/>
        </w:rPr>
      </w:pPr>
    </w:p>
    <w:p w:rsidR="004C608D" w:rsidRPr="00EF5B9D" w:rsidRDefault="004C608D" w:rsidP="004C608D">
      <w:pPr>
        <w:ind w:left="720"/>
        <w:rPr>
          <w:rFonts w:asciiTheme="majorHAnsi" w:hAnsiTheme="majorHAnsi"/>
        </w:rPr>
      </w:pPr>
      <w:r w:rsidRPr="00EF5B9D">
        <w:rPr>
          <w:rFonts w:asciiTheme="majorHAnsi" w:hAnsiTheme="majorHAnsi"/>
        </w:rPr>
        <w:t xml:space="preserve">DBHDS continues to accomplish requirements in the Agreement and to strive to accomplish those not yet achieved.  Upcoming submission of emergency rule revisions for OLS, full roll-out and evaluation of the </w:t>
      </w:r>
      <w:r w:rsidRPr="00EF5B9D">
        <w:rPr>
          <w:rFonts w:asciiTheme="majorHAnsi" w:hAnsiTheme="majorHAnsi"/>
          <w:i/>
        </w:rPr>
        <w:t>360</w:t>
      </w:r>
      <w:r w:rsidRPr="00EF5B9D">
        <w:rPr>
          <w:rFonts w:asciiTheme="majorHAnsi" w:hAnsiTheme="majorHAnsi"/>
          <w:i/>
          <w:vertAlign w:val="superscript"/>
        </w:rPr>
        <w:t>0</w:t>
      </w:r>
      <w:r w:rsidRPr="00EF5B9D">
        <w:rPr>
          <w:rFonts w:asciiTheme="majorHAnsi" w:hAnsiTheme="majorHAnsi"/>
          <w:i/>
        </w:rPr>
        <w:t xml:space="preserve"> Review</w:t>
      </w:r>
      <w:r w:rsidRPr="00EF5B9D">
        <w:rPr>
          <w:rFonts w:asciiTheme="majorHAnsi" w:hAnsiTheme="majorHAnsi"/>
        </w:rPr>
        <w:t xml:space="preserve"> process, and implementation of the proposed Waiver Re-Design which will be submitted to the General Assembly for approval in November of 2015, should position DBHDS to accomplish many more of the Agreement requirements.</w:t>
      </w:r>
    </w:p>
    <w:p w:rsidR="004C608D" w:rsidRPr="00EF5B9D" w:rsidRDefault="004C608D" w:rsidP="004C608D">
      <w:pP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bCs/>
          <w:sz w:val="22"/>
          <w:szCs w:val="22"/>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Pr="00EF5B9D" w:rsidRDefault="004C608D" w:rsidP="004C608D">
      <w:pPr>
        <w:tabs>
          <w:tab w:val="left" w:pos="720"/>
        </w:tabs>
        <w:jc w:val="center"/>
        <w:rPr>
          <w:rFonts w:ascii="Baskerville" w:hAnsi="Baskerville" w:cs="Baskerville"/>
          <w:sz w:val="22"/>
          <w:szCs w:val="22"/>
          <w:u w:val="single"/>
        </w:rPr>
      </w:pPr>
    </w:p>
    <w:p w:rsidR="004C608D" w:rsidRDefault="004C608D" w:rsidP="004C608D">
      <w:pPr>
        <w:tabs>
          <w:tab w:val="left" w:pos="720"/>
        </w:tabs>
        <w:jc w:val="center"/>
        <w:rPr>
          <w:rFonts w:ascii="Baskerville" w:hAnsi="Baskerville" w:cs="Baskerville"/>
          <w:b/>
          <w:sz w:val="28"/>
          <w:szCs w:val="28"/>
          <w:u w:val="single"/>
        </w:rPr>
      </w:pPr>
    </w:p>
    <w:p w:rsidR="004C608D" w:rsidRDefault="004C608D" w:rsidP="004C608D">
      <w:pPr>
        <w:tabs>
          <w:tab w:val="left" w:pos="720"/>
        </w:tabs>
        <w:jc w:val="center"/>
        <w:rPr>
          <w:rFonts w:ascii="Baskerville" w:hAnsi="Baskerville" w:cs="Baskerville"/>
          <w:b/>
          <w:sz w:val="28"/>
          <w:szCs w:val="28"/>
          <w:u w:val="single"/>
        </w:rPr>
      </w:pPr>
    </w:p>
    <w:p w:rsidR="0041059A" w:rsidRDefault="0041059A" w:rsidP="004C608D">
      <w:pPr>
        <w:tabs>
          <w:tab w:val="left" w:pos="720"/>
        </w:tabs>
        <w:jc w:val="center"/>
        <w:rPr>
          <w:rFonts w:ascii="Baskerville" w:hAnsi="Baskerville" w:cs="Baskerville"/>
          <w:b/>
          <w:sz w:val="28"/>
          <w:szCs w:val="28"/>
          <w:u w:val="single"/>
        </w:rPr>
      </w:pPr>
    </w:p>
    <w:p w:rsidR="0041059A" w:rsidRDefault="0041059A" w:rsidP="004C608D">
      <w:pPr>
        <w:tabs>
          <w:tab w:val="left" w:pos="720"/>
        </w:tabs>
        <w:jc w:val="center"/>
        <w:rPr>
          <w:rFonts w:ascii="Baskerville" w:hAnsi="Baskerville" w:cs="Baskerville"/>
          <w:b/>
          <w:sz w:val="28"/>
          <w:szCs w:val="28"/>
          <w:u w:val="single"/>
        </w:rPr>
      </w:pPr>
    </w:p>
    <w:p w:rsidR="0041059A" w:rsidRDefault="0041059A" w:rsidP="004C608D">
      <w:pPr>
        <w:tabs>
          <w:tab w:val="left" w:pos="720"/>
        </w:tabs>
        <w:jc w:val="center"/>
        <w:rPr>
          <w:rFonts w:ascii="Baskerville" w:hAnsi="Baskerville" w:cs="Baskerville"/>
          <w:b/>
          <w:sz w:val="28"/>
          <w:szCs w:val="28"/>
          <w:u w:val="single"/>
        </w:rPr>
      </w:pPr>
    </w:p>
    <w:p w:rsidR="004C608D" w:rsidRDefault="004C608D" w:rsidP="004C608D">
      <w:pPr>
        <w:tabs>
          <w:tab w:val="left" w:pos="720"/>
        </w:tabs>
        <w:jc w:val="center"/>
        <w:rPr>
          <w:rFonts w:ascii="Baskerville" w:hAnsi="Baskerville" w:cs="Baskerville"/>
          <w:b/>
          <w:sz w:val="28"/>
          <w:szCs w:val="28"/>
          <w:u w:val="single"/>
        </w:rPr>
      </w:pPr>
      <w:r w:rsidRPr="00EF5B9D">
        <w:rPr>
          <w:rFonts w:ascii="Baskerville" w:hAnsi="Baskerville" w:cs="Baskerville"/>
          <w:b/>
          <w:sz w:val="28"/>
          <w:szCs w:val="28"/>
          <w:u w:val="single"/>
        </w:rPr>
        <w:t xml:space="preserve">APPENDIX </w:t>
      </w:r>
      <w:r>
        <w:rPr>
          <w:rFonts w:ascii="Baskerville" w:hAnsi="Baskerville" w:cs="Baskerville"/>
          <w:b/>
          <w:sz w:val="28"/>
          <w:szCs w:val="28"/>
          <w:u w:val="single"/>
        </w:rPr>
        <w:t>C</w:t>
      </w:r>
    </w:p>
    <w:p w:rsidR="004C608D" w:rsidRPr="00EF5B9D" w:rsidRDefault="004C608D" w:rsidP="004C608D">
      <w:pPr>
        <w:tabs>
          <w:tab w:val="left" w:pos="720"/>
        </w:tabs>
        <w:jc w:val="center"/>
        <w:rPr>
          <w:rFonts w:ascii="Baskerville" w:hAnsi="Baskerville" w:cs="Baskerville"/>
          <w:b/>
          <w:bCs/>
          <w:sz w:val="28"/>
          <w:szCs w:val="28"/>
        </w:rPr>
      </w:pPr>
    </w:p>
    <w:p w:rsidR="004C608D" w:rsidRPr="00EF5B9D" w:rsidRDefault="004C608D" w:rsidP="004C608D">
      <w:pPr>
        <w:tabs>
          <w:tab w:val="left" w:pos="720"/>
        </w:tabs>
        <w:jc w:val="center"/>
        <w:rPr>
          <w:rFonts w:ascii="Baskerville" w:hAnsi="Baskerville" w:cs="Baskerville"/>
          <w:b/>
          <w:sz w:val="28"/>
          <w:szCs w:val="28"/>
          <w:u w:val="single"/>
        </w:rPr>
      </w:pPr>
    </w:p>
    <w:p w:rsidR="004C608D" w:rsidRPr="00EF5B9D" w:rsidRDefault="004C608D" w:rsidP="004C608D">
      <w:pPr>
        <w:tabs>
          <w:tab w:val="left" w:pos="720"/>
          <w:tab w:val="center" w:pos="4752"/>
          <w:tab w:val="left" w:pos="7159"/>
        </w:tabs>
        <w:rPr>
          <w:rFonts w:ascii="Baskerville" w:hAnsi="Baskerville" w:cs="Baskerville"/>
          <w:b/>
          <w:sz w:val="28"/>
          <w:szCs w:val="28"/>
        </w:rPr>
      </w:pPr>
      <w:r w:rsidRPr="00EF5B9D">
        <w:rPr>
          <w:rFonts w:ascii="Baskerville" w:hAnsi="Baskerville" w:cs="Baskerville"/>
          <w:b/>
          <w:sz w:val="28"/>
          <w:szCs w:val="28"/>
        </w:rPr>
        <w:tab/>
      </w:r>
      <w:r w:rsidRPr="00EF5B9D">
        <w:rPr>
          <w:rFonts w:ascii="Baskerville" w:hAnsi="Baskerville" w:cs="Baskerville"/>
          <w:b/>
          <w:sz w:val="28"/>
          <w:szCs w:val="28"/>
        </w:rPr>
        <w:tab/>
        <w:t>CRISIS SERVICES REQUIREMENTS</w:t>
      </w:r>
      <w:r w:rsidRPr="00EF5B9D">
        <w:rPr>
          <w:rFonts w:ascii="Baskerville" w:hAnsi="Baskerville" w:cs="Baskerville"/>
          <w:b/>
          <w:sz w:val="28"/>
          <w:szCs w:val="28"/>
        </w:rPr>
        <w:tab/>
      </w:r>
    </w:p>
    <w:p w:rsidR="004C608D" w:rsidRPr="00EF5B9D" w:rsidRDefault="004C608D" w:rsidP="004C608D">
      <w:pPr>
        <w:tabs>
          <w:tab w:val="left" w:pos="720"/>
          <w:tab w:val="center" w:pos="4752"/>
          <w:tab w:val="left" w:pos="7159"/>
        </w:tabs>
        <w:rPr>
          <w:rFonts w:ascii="Baskerville" w:hAnsi="Baskerville" w:cs="Baskerville"/>
          <w:b/>
          <w:sz w:val="28"/>
          <w:szCs w:val="28"/>
        </w:rPr>
      </w:pPr>
    </w:p>
    <w:p w:rsidR="004C608D" w:rsidRPr="00EF5B9D" w:rsidRDefault="004C608D" w:rsidP="004C608D">
      <w:pPr>
        <w:tabs>
          <w:tab w:val="left" w:pos="720"/>
          <w:tab w:val="center" w:pos="4752"/>
          <w:tab w:val="left" w:pos="7159"/>
        </w:tabs>
        <w:rPr>
          <w:rFonts w:ascii="Baskerville" w:hAnsi="Baskerville" w:cs="Baskerville"/>
          <w:b/>
          <w:sz w:val="28"/>
          <w:szCs w:val="28"/>
        </w:rPr>
      </w:pPr>
    </w:p>
    <w:p w:rsidR="004C608D" w:rsidRDefault="004C608D" w:rsidP="004C608D">
      <w:pPr>
        <w:tabs>
          <w:tab w:val="left" w:pos="720"/>
          <w:tab w:val="center" w:pos="4752"/>
          <w:tab w:val="left" w:pos="7159"/>
        </w:tabs>
        <w:jc w:val="center"/>
        <w:rPr>
          <w:rFonts w:ascii="Baskerville" w:hAnsi="Baskerville" w:cs="Baskerville"/>
          <w:b/>
          <w:bCs/>
          <w:sz w:val="28"/>
          <w:szCs w:val="28"/>
        </w:rPr>
      </w:pPr>
      <w:r w:rsidRPr="00EF5B9D">
        <w:rPr>
          <w:rFonts w:ascii="Baskerville" w:hAnsi="Baskerville" w:cs="Baskerville"/>
          <w:b/>
          <w:bCs/>
          <w:sz w:val="28"/>
          <w:szCs w:val="28"/>
        </w:rPr>
        <w:t>By: Kathryn du Pree MPS</w:t>
      </w:r>
    </w:p>
    <w:p w:rsidR="004C608D" w:rsidRDefault="004C608D" w:rsidP="004C608D">
      <w:pPr>
        <w:rPr>
          <w:rFonts w:ascii="Baskerville" w:hAnsi="Baskerville" w:cs="Baskerville"/>
          <w:b/>
          <w:bCs/>
          <w:sz w:val="28"/>
          <w:szCs w:val="28"/>
        </w:rPr>
      </w:pPr>
      <w:r>
        <w:rPr>
          <w:rFonts w:ascii="Baskerville" w:hAnsi="Baskerville" w:cs="Baskerville"/>
          <w:b/>
          <w:bCs/>
          <w:sz w:val="28"/>
          <w:szCs w:val="28"/>
        </w:rPr>
        <w:br w:type="page"/>
      </w:r>
    </w:p>
    <w:p w:rsidR="004C608D" w:rsidRDefault="004C608D" w:rsidP="00E04750">
      <w:pPr>
        <w:spacing w:beforeLines="1" w:afterLines="1"/>
        <w:rPr>
          <w:b/>
          <w:bCs/>
          <w:sz w:val="28"/>
          <w:szCs w:val="28"/>
        </w:rPr>
      </w:pPr>
    </w:p>
    <w:p w:rsidR="004C608D" w:rsidRPr="005672F6" w:rsidRDefault="004C608D" w:rsidP="00E04750">
      <w:pPr>
        <w:spacing w:beforeLines="1" w:afterLines="1"/>
        <w:rPr>
          <w:b/>
          <w:bCs/>
          <w:sz w:val="28"/>
          <w:szCs w:val="28"/>
        </w:rPr>
      </w:pPr>
      <w:r w:rsidRPr="005672F6">
        <w:rPr>
          <w:b/>
          <w:bCs/>
          <w:sz w:val="28"/>
          <w:szCs w:val="28"/>
        </w:rPr>
        <w:t xml:space="preserve">CRISIS SERVICES REVIEW OF THE VIRGINIA REACH PROGRAM FOR THE INDEPENEDENT REVIEWER FOR THE COMMONWEALTH OF VIRGINIA VS. THE US DOJ </w:t>
      </w:r>
    </w:p>
    <w:p w:rsidR="004C608D" w:rsidRPr="005672F6" w:rsidRDefault="004C608D" w:rsidP="00E04750">
      <w:pPr>
        <w:spacing w:beforeLines="1" w:afterLines="1"/>
        <w:rPr>
          <w:b/>
          <w:bCs/>
          <w:sz w:val="28"/>
          <w:szCs w:val="28"/>
        </w:rPr>
      </w:pPr>
    </w:p>
    <w:p w:rsidR="004C608D" w:rsidRPr="005672F6" w:rsidRDefault="004C608D" w:rsidP="004C608D">
      <w:pPr>
        <w:pStyle w:val="Heading1"/>
      </w:pPr>
    </w:p>
    <w:p w:rsidR="004C608D" w:rsidRPr="005672F6" w:rsidRDefault="004C608D" w:rsidP="00E04750">
      <w:pPr>
        <w:spacing w:beforeLines="1" w:afterLines="1"/>
        <w:rPr>
          <w:rFonts w:ascii="Times" w:hAnsi="Times"/>
          <w:sz w:val="28"/>
          <w:szCs w:val="28"/>
        </w:rPr>
      </w:pPr>
    </w:p>
    <w:p w:rsidR="004C608D" w:rsidRPr="005672F6" w:rsidRDefault="004C608D" w:rsidP="00E04750">
      <w:pPr>
        <w:spacing w:beforeLines="1" w:afterLines="1"/>
        <w:rPr>
          <w:b/>
          <w:bCs/>
          <w:i/>
          <w:iCs/>
          <w:sz w:val="28"/>
          <w:szCs w:val="28"/>
        </w:rPr>
      </w:pPr>
      <w:r w:rsidRPr="005672F6">
        <w:rPr>
          <w:b/>
          <w:bCs/>
          <w:i/>
          <w:iCs/>
          <w:sz w:val="28"/>
          <w:szCs w:val="28"/>
        </w:rPr>
        <w:t>PREPARED BY KATHRYN DU PREE, MPS</w:t>
      </w:r>
    </w:p>
    <w:p w:rsidR="004C608D" w:rsidRPr="005672F6" w:rsidRDefault="004C608D" w:rsidP="00E04750">
      <w:pPr>
        <w:spacing w:beforeLines="1" w:afterLines="1"/>
        <w:rPr>
          <w:b/>
          <w:bCs/>
          <w:i/>
          <w:iCs/>
          <w:sz w:val="28"/>
          <w:szCs w:val="28"/>
        </w:rPr>
      </w:pPr>
      <w:r w:rsidRPr="005672F6">
        <w:rPr>
          <w:b/>
          <w:bCs/>
          <w:i/>
          <w:iCs/>
          <w:sz w:val="28"/>
          <w:szCs w:val="28"/>
        </w:rPr>
        <w:t xml:space="preserve"> EXPERT REVIEWER</w:t>
      </w:r>
    </w:p>
    <w:p w:rsidR="004C608D" w:rsidRPr="005672F6" w:rsidRDefault="004C608D" w:rsidP="00E04750">
      <w:pPr>
        <w:spacing w:beforeLines="1" w:afterLines="1"/>
        <w:rPr>
          <w:b/>
          <w:bCs/>
          <w:i/>
          <w:iCs/>
          <w:sz w:val="28"/>
          <w:szCs w:val="28"/>
        </w:rPr>
      </w:pPr>
    </w:p>
    <w:p w:rsidR="004C608D" w:rsidRPr="005672F6" w:rsidRDefault="004C608D" w:rsidP="00E04750">
      <w:pPr>
        <w:spacing w:beforeLines="1" w:afterLines="1"/>
        <w:rPr>
          <w:b/>
          <w:bCs/>
          <w:i/>
          <w:iCs/>
          <w:sz w:val="28"/>
          <w:szCs w:val="28"/>
        </w:rPr>
      </w:pPr>
      <w:r w:rsidRPr="005672F6">
        <w:rPr>
          <w:b/>
          <w:bCs/>
          <w:i/>
          <w:iCs/>
          <w:sz w:val="28"/>
          <w:szCs w:val="28"/>
        </w:rPr>
        <w:t>May 7, 2015</w:t>
      </w:r>
    </w:p>
    <w:p w:rsidR="004C608D" w:rsidRPr="00FA7982" w:rsidRDefault="004C608D" w:rsidP="00E04750">
      <w:pPr>
        <w:spacing w:beforeLines="1" w:afterLines="1"/>
        <w:rPr>
          <w:b/>
          <w:bCs/>
          <w:i/>
          <w:iCs/>
        </w:rPr>
      </w:pPr>
    </w:p>
    <w:p w:rsidR="004C608D" w:rsidRPr="00FA7982" w:rsidRDefault="004C608D" w:rsidP="00E04750">
      <w:pPr>
        <w:spacing w:beforeLines="1" w:afterLines="1"/>
        <w:rPr>
          <w:b/>
          <w:bCs/>
          <w:i/>
          <w:iCs/>
        </w:rPr>
      </w:pPr>
    </w:p>
    <w:p w:rsidR="0041059A" w:rsidRDefault="0041059A" w:rsidP="00E04750">
      <w:pPr>
        <w:spacing w:beforeLines="1" w:afterLines="1"/>
        <w:rPr>
          <w:b/>
          <w:bCs/>
          <w:i/>
          <w:iCs/>
        </w:rPr>
      </w:pPr>
    </w:p>
    <w:p w:rsidR="0041059A" w:rsidRDefault="0041059A" w:rsidP="00E04750">
      <w:pPr>
        <w:spacing w:beforeLines="1" w:afterLines="1"/>
        <w:rPr>
          <w:b/>
          <w:bCs/>
          <w:i/>
          <w:iCs/>
        </w:rPr>
      </w:pPr>
    </w:p>
    <w:p w:rsidR="0041059A" w:rsidRDefault="0041059A" w:rsidP="00E04750">
      <w:pPr>
        <w:spacing w:beforeLines="1" w:afterLines="1"/>
        <w:rPr>
          <w:b/>
          <w:bCs/>
          <w:i/>
          <w:iCs/>
        </w:rPr>
      </w:pPr>
    </w:p>
    <w:p w:rsidR="004C608D" w:rsidRPr="00FA7982" w:rsidRDefault="004C608D" w:rsidP="00E04750">
      <w:pPr>
        <w:spacing w:beforeLines="1" w:afterLines="1"/>
        <w:rPr>
          <w:b/>
          <w:bCs/>
        </w:rPr>
      </w:pPr>
      <w:r w:rsidRPr="00FA7982">
        <w:rPr>
          <w:b/>
          <w:bCs/>
          <w:i/>
          <w:iCs/>
        </w:rPr>
        <w:br/>
      </w:r>
      <w:r w:rsidRPr="00FA7982">
        <w:rPr>
          <w:b/>
          <w:bCs/>
        </w:rPr>
        <w:t>TABLE OF CONTENTS</w:t>
      </w:r>
    </w:p>
    <w:p w:rsidR="004C608D" w:rsidRPr="009918FC" w:rsidRDefault="004C608D" w:rsidP="00E04750">
      <w:pPr>
        <w:spacing w:beforeLines="1" w:afterLines="1"/>
        <w:ind w:right="684"/>
        <w:jc w:val="both"/>
        <w:rPr>
          <w:bCs/>
        </w:rPr>
      </w:pPr>
      <w:r w:rsidRPr="00FA7982">
        <w:rPr>
          <w:b/>
          <w:bCs/>
        </w:rPr>
        <w:br/>
      </w:r>
      <w:r w:rsidRPr="009918FC">
        <w:rPr>
          <w:bCs/>
        </w:rPr>
        <w:t>Section 1: Overview of the Requirements</w:t>
      </w:r>
      <w:r w:rsidR="000E731F">
        <w:rPr>
          <w:bCs/>
        </w:rPr>
        <w:t xml:space="preserve"> </w:t>
      </w:r>
      <w:r w:rsidR="00E2742C" w:rsidRPr="009918FC">
        <w:rPr>
          <w:bCs/>
        </w:rPr>
        <w:t>………………………………………………………………</w:t>
      </w:r>
      <w:r w:rsidR="009918FC">
        <w:rPr>
          <w:bCs/>
        </w:rPr>
        <w:t>…</w:t>
      </w:r>
      <w:r w:rsidRPr="009918FC">
        <w:rPr>
          <w:bCs/>
        </w:rPr>
        <w:t xml:space="preserve">3 </w:t>
      </w:r>
    </w:p>
    <w:p w:rsidR="004C608D" w:rsidRPr="009918FC" w:rsidRDefault="004C608D" w:rsidP="00E04750">
      <w:pPr>
        <w:spacing w:beforeLines="1" w:afterLines="1"/>
        <w:ind w:right="684"/>
        <w:jc w:val="both"/>
        <w:rPr>
          <w:bCs/>
        </w:rPr>
      </w:pPr>
      <w:r w:rsidRPr="009918FC">
        <w:rPr>
          <w:bCs/>
        </w:rPr>
        <w:t>Section 2: Purpose of the Review</w:t>
      </w:r>
      <w:r w:rsidR="00E2742C" w:rsidRPr="009918FC">
        <w:rPr>
          <w:bCs/>
        </w:rPr>
        <w:t>……………………………………………………………………………</w:t>
      </w:r>
      <w:r w:rsidR="000E731F">
        <w:rPr>
          <w:bCs/>
        </w:rPr>
        <w:t>…</w:t>
      </w:r>
      <w:r w:rsidRPr="009918FC">
        <w:rPr>
          <w:bCs/>
        </w:rPr>
        <w:t>3</w:t>
      </w:r>
    </w:p>
    <w:p w:rsidR="004C608D" w:rsidRPr="009918FC" w:rsidRDefault="004C608D" w:rsidP="00E04750">
      <w:pPr>
        <w:spacing w:beforeLines="1" w:afterLines="1"/>
        <w:ind w:right="684"/>
        <w:jc w:val="both"/>
        <w:rPr>
          <w:bCs/>
        </w:rPr>
      </w:pPr>
      <w:r w:rsidRPr="009918FC">
        <w:rPr>
          <w:bCs/>
        </w:rPr>
        <w:t xml:space="preserve">Section 3: Review Process </w:t>
      </w:r>
      <w:r w:rsidR="00E2742C" w:rsidRPr="009918FC">
        <w:rPr>
          <w:bCs/>
        </w:rPr>
        <w:t>……………………………………………………………………………………</w:t>
      </w:r>
      <w:r w:rsidR="00E83A82">
        <w:rPr>
          <w:bCs/>
        </w:rPr>
        <w:t>…</w:t>
      </w:r>
      <w:r w:rsidR="004A7D9F">
        <w:rPr>
          <w:bCs/>
        </w:rPr>
        <w:t>..</w:t>
      </w:r>
      <w:r w:rsidRPr="009918FC">
        <w:rPr>
          <w:bCs/>
        </w:rPr>
        <w:t xml:space="preserve">4 </w:t>
      </w:r>
    </w:p>
    <w:p w:rsidR="004C608D" w:rsidRPr="009918FC" w:rsidRDefault="004C608D" w:rsidP="00E04750">
      <w:pPr>
        <w:spacing w:beforeLines="1" w:afterLines="1"/>
        <w:ind w:right="684"/>
        <w:jc w:val="both"/>
        <w:rPr>
          <w:rFonts w:ascii="Times" w:hAnsi="Times"/>
        </w:rPr>
      </w:pPr>
      <w:r w:rsidRPr="009918FC">
        <w:rPr>
          <w:bCs/>
        </w:rPr>
        <w:t xml:space="preserve">Section 4: A Statewide Crisis System for Individuals with ID and DD </w:t>
      </w:r>
      <w:r w:rsidR="00E2742C" w:rsidRPr="009918FC">
        <w:rPr>
          <w:bCs/>
        </w:rPr>
        <w:t>……………………</w:t>
      </w:r>
      <w:r w:rsidR="009918FC">
        <w:rPr>
          <w:bCs/>
        </w:rPr>
        <w:t>…</w:t>
      </w:r>
      <w:r w:rsidR="00E83A82">
        <w:rPr>
          <w:bCs/>
        </w:rPr>
        <w:t>…</w:t>
      </w:r>
      <w:r w:rsidR="005D7733">
        <w:rPr>
          <w:bCs/>
        </w:rPr>
        <w:t>.</w:t>
      </w:r>
      <w:r w:rsidRPr="009918FC">
        <w:rPr>
          <w:bCs/>
        </w:rPr>
        <w:t xml:space="preserve">5 </w:t>
      </w:r>
    </w:p>
    <w:p w:rsidR="004C608D" w:rsidRPr="009918FC" w:rsidRDefault="004C608D" w:rsidP="00E04750">
      <w:pPr>
        <w:spacing w:beforeLines="1" w:afterLines="1"/>
        <w:ind w:right="684"/>
        <w:jc w:val="both"/>
        <w:rPr>
          <w:bCs/>
        </w:rPr>
      </w:pPr>
      <w:r w:rsidRPr="009918FC">
        <w:rPr>
          <w:bCs/>
        </w:rPr>
        <w:t xml:space="preserve">Section 4A: Review of the Crisis Services Plan to Serve Children and Adolescents </w:t>
      </w:r>
      <w:r w:rsidR="008D1E0F" w:rsidRPr="009918FC">
        <w:rPr>
          <w:bCs/>
        </w:rPr>
        <w:t>…</w:t>
      </w:r>
      <w:r w:rsidR="00E83A82">
        <w:rPr>
          <w:bCs/>
        </w:rPr>
        <w:t>…</w:t>
      </w:r>
      <w:r w:rsidR="005D7733">
        <w:rPr>
          <w:bCs/>
        </w:rPr>
        <w:t>.</w:t>
      </w:r>
      <w:r w:rsidR="00E83A82">
        <w:rPr>
          <w:bCs/>
        </w:rPr>
        <w:t>..</w:t>
      </w:r>
      <w:r w:rsidRPr="009918FC">
        <w:rPr>
          <w:bCs/>
        </w:rPr>
        <w:t xml:space="preserve">6 </w:t>
      </w:r>
    </w:p>
    <w:p w:rsidR="004C608D" w:rsidRPr="009918FC" w:rsidRDefault="004C608D" w:rsidP="00E04750">
      <w:pPr>
        <w:spacing w:beforeLines="1" w:afterLines="1"/>
        <w:ind w:right="684"/>
        <w:jc w:val="both"/>
        <w:rPr>
          <w:bCs/>
        </w:rPr>
      </w:pPr>
      <w:r w:rsidRPr="009918FC">
        <w:rPr>
          <w:bCs/>
        </w:rPr>
        <w:t xml:space="preserve">Section 4B: REACH Services for Adults </w:t>
      </w:r>
      <w:r w:rsidR="008D1E0F" w:rsidRPr="009918FC">
        <w:rPr>
          <w:bCs/>
        </w:rPr>
        <w:t>……………………………………………………………</w:t>
      </w:r>
      <w:r w:rsidR="0041059A" w:rsidRPr="009918FC">
        <w:rPr>
          <w:bCs/>
        </w:rPr>
        <w:t>.</w:t>
      </w:r>
      <w:r w:rsidR="008D1E0F" w:rsidRPr="009918FC">
        <w:rPr>
          <w:bCs/>
        </w:rPr>
        <w:t>……</w:t>
      </w:r>
      <w:r w:rsidR="00E83A82">
        <w:rPr>
          <w:bCs/>
        </w:rPr>
        <w:t>.</w:t>
      </w:r>
      <w:r w:rsidR="004A7D9F">
        <w:rPr>
          <w:bCs/>
        </w:rPr>
        <w:t>.</w:t>
      </w:r>
      <w:r w:rsidRPr="009918FC">
        <w:rPr>
          <w:bCs/>
        </w:rPr>
        <w:t xml:space="preserve">13 </w:t>
      </w:r>
    </w:p>
    <w:p w:rsidR="004C608D" w:rsidRPr="009918FC" w:rsidRDefault="004C608D" w:rsidP="00E04750">
      <w:pPr>
        <w:spacing w:beforeLines="1" w:afterLines="1"/>
        <w:ind w:right="684"/>
        <w:jc w:val="both"/>
        <w:rPr>
          <w:bCs/>
        </w:rPr>
      </w:pPr>
      <w:r w:rsidRPr="009918FC">
        <w:rPr>
          <w:bCs/>
        </w:rPr>
        <w:t xml:space="preserve">Section 4C: Review of Individuals Using REACH Services </w:t>
      </w:r>
      <w:r w:rsidR="00D45EFF" w:rsidRPr="009918FC">
        <w:rPr>
          <w:bCs/>
        </w:rPr>
        <w:t>…………………………………</w:t>
      </w:r>
      <w:r w:rsidR="0041059A" w:rsidRPr="009918FC">
        <w:rPr>
          <w:bCs/>
        </w:rPr>
        <w:t>.</w:t>
      </w:r>
      <w:r w:rsidR="00D45EFF" w:rsidRPr="009918FC">
        <w:rPr>
          <w:bCs/>
        </w:rPr>
        <w:t>…</w:t>
      </w:r>
      <w:r w:rsidR="00E83A82">
        <w:rPr>
          <w:bCs/>
        </w:rPr>
        <w:t>….</w:t>
      </w:r>
      <w:r w:rsidR="004A7D9F">
        <w:rPr>
          <w:bCs/>
        </w:rPr>
        <w:t>.</w:t>
      </w:r>
      <w:r w:rsidRPr="009918FC">
        <w:rPr>
          <w:bCs/>
        </w:rPr>
        <w:t>16</w:t>
      </w:r>
    </w:p>
    <w:p w:rsidR="004C608D" w:rsidRPr="009918FC" w:rsidRDefault="004C608D" w:rsidP="00E04750">
      <w:pPr>
        <w:spacing w:beforeLines="1" w:afterLines="1"/>
        <w:ind w:right="684"/>
        <w:jc w:val="both"/>
        <w:rPr>
          <w:bCs/>
        </w:rPr>
      </w:pPr>
      <w:r w:rsidRPr="009918FC">
        <w:rPr>
          <w:bCs/>
        </w:rPr>
        <w:t xml:space="preserve">Section 5: Elements of the Crisis Response System </w:t>
      </w:r>
      <w:r w:rsidR="00D45EFF" w:rsidRPr="009918FC">
        <w:rPr>
          <w:bCs/>
        </w:rPr>
        <w:t>…………………………………………</w:t>
      </w:r>
      <w:r w:rsidR="0041059A" w:rsidRPr="009918FC">
        <w:rPr>
          <w:bCs/>
        </w:rPr>
        <w:t>.</w:t>
      </w:r>
      <w:r w:rsidR="00D45EFF" w:rsidRPr="009918FC">
        <w:rPr>
          <w:bCs/>
        </w:rPr>
        <w:t>……</w:t>
      </w:r>
      <w:r w:rsidR="00E83A82">
        <w:rPr>
          <w:bCs/>
        </w:rPr>
        <w:t>…</w:t>
      </w:r>
      <w:r w:rsidRPr="009918FC">
        <w:rPr>
          <w:bCs/>
        </w:rPr>
        <w:t xml:space="preserve">19 </w:t>
      </w:r>
    </w:p>
    <w:p w:rsidR="004C608D" w:rsidRPr="009918FC" w:rsidRDefault="004C608D" w:rsidP="00E04750">
      <w:pPr>
        <w:spacing w:beforeLines="1" w:afterLines="1"/>
        <w:ind w:right="684"/>
        <w:jc w:val="both"/>
        <w:rPr>
          <w:bCs/>
        </w:rPr>
      </w:pPr>
      <w:r w:rsidRPr="009918FC">
        <w:rPr>
          <w:bCs/>
        </w:rPr>
        <w:t xml:space="preserve">Section 6: Summary </w:t>
      </w:r>
      <w:r w:rsidR="00D45EFF" w:rsidRPr="009918FC">
        <w:rPr>
          <w:bCs/>
        </w:rPr>
        <w:t>…………………………………………………………………………………………</w:t>
      </w:r>
      <w:r w:rsidR="0041059A" w:rsidRPr="009918FC">
        <w:rPr>
          <w:bCs/>
        </w:rPr>
        <w:t>.</w:t>
      </w:r>
      <w:r w:rsidR="00D45EFF" w:rsidRPr="009918FC">
        <w:rPr>
          <w:bCs/>
        </w:rPr>
        <w:t>……</w:t>
      </w:r>
      <w:r w:rsidRPr="009918FC">
        <w:rPr>
          <w:bCs/>
        </w:rPr>
        <w:t>32</w:t>
      </w:r>
    </w:p>
    <w:p w:rsidR="004C608D" w:rsidRPr="009918FC" w:rsidRDefault="004C608D" w:rsidP="00E04750">
      <w:pPr>
        <w:spacing w:beforeLines="1" w:afterLines="1"/>
        <w:ind w:right="684"/>
        <w:jc w:val="both"/>
        <w:rPr>
          <w:bCs/>
        </w:rPr>
      </w:pPr>
    </w:p>
    <w:p w:rsidR="004C608D" w:rsidRPr="009918FC" w:rsidRDefault="004C608D" w:rsidP="00E04750">
      <w:pPr>
        <w:spacing w:beforeLines="1" w:afterLines="1"/>
        <w:ind w:right="684"/>
        <w:jc w:val="both"/>
        <w:rPr>
          <w:rFonts w:ascii="Times" w:hAnsi="Times"/>
        </w:rPr>
      </w:pPr>
    </w:p>
    <w:p w:rsidR="004C608D" w:rsidRPr="009918FC" w:rsidRDefault="004C608D" w:rsidP="00E04750">
      <w:pPr>
        <w:spacing w:beforeLines="1" w:afterLines="1"/>
        <w:ind w:right="684"/>
        <w:jc w:val="both"/>
        <w:rPr>
          <w:rFonts w:ascii="Times" w:hAnsi="Times"/>
        </w:rPr>
      </w:pPr>
      <w:r w:rsidRPr="009918FC">
        <w:rPr>
          <w:bCs/>
        </w:rPr>
        <w:t xml:space="preserve">Table 1: Summary of Individuals Using REACH Services </w:t>
      </w:r>
      <w:r w:rsidR="00E9171E" w:rsidRPr="009918FC">
        <w:rPr>
          <w:bCs/>
        </w:rPr>
        <w:t>……………………………………</w:t>
      </w:r>
      <w:r w:rsidR="0041059A" w:rsidRPr="009918FC">
        <w:rPr>
          <w:bCs/>
        </w:rPr>
        <w:t>.</w:t>
      </w:r>
      <w:r w:rsidR="00E9171E" w:rsidRPr="009918FC">
        <w:rPr>
          <w:bCs/>
        </w:rPr>
        <w:t>…</w:t>
      </w:r>
      <w:r w:rsidR="005D7733">
        <w:rPr>
          <w:bCs/>
        </w:rPr>
        <w:t>…</w:t>
      </w:r>
      <w:r w:rsidRPr="009918FC">
        <w:rPr>
          <w:bCs/>
        </w:rPr>
        <w:t xml:space="preserve">18 </w:t>
      </w:r>
    </w:p>
    <w:p w:rsidR="00E9171E" w:rsidRPr="009918FC" w:rsidRDefault="004C608D" w:rsidP="00E04750">
      <w:pPr>
        <w:spacing w:beforeLines="1" w:afterLines="1"/>
        <w:ind w:right="684"/>
        <w:jc w:val="both"/>
        <w:rPr>
          <w:bCs/>
        </w:rPr>
      </w:pPr>
      <w:r w:rsidRPr="009918FC">
        <w:rPr>
          <w:bCs/>
        </w:rPr>
        <w:t xml:space="preserve">Table 2: Individuals Using The Reach Crisis Stabilization Units </w:t>
      </w:r>
    </w:p>
    <w:p w:rsidR="004C608D" w:rsidRPr="009918FC" w:rsidRDefault="00E9171E" w:rsidP="00E04750">
      <w:pPr>
        <w:spacing w:beforeLines="1" w:afterLines="1"/>
        <w:ind w:right="684"/>
        <w:jc w:val="both"/>
        <w:rPr>
          <w:bCs/>
        </w:rPr>
      </w:pPr>
      <w:r w:rsidRPr="009918FC">
        <w:rPr>
          <w:bCs/>
        </w:rPr>
        <w:t xml:space="preserve">                  </w:t>
      </w:r>
      <w:r w:rsidR="004C608D" w:rsidRPr="009918FC">
        <w:rPr>
          <w:bCs/>
        </w:rPr>
        <w:t xml:space="preserve">During Fy14 Fourth Quarter And Fy15 First Quarter </w:t>
      </w:r>
      <w:r w:rsidR="00161280" w:rsidRPr="009918FC">
        <w:rPr>
          <w:bCs/>
        </w:rPr>
        <w:t>……………………………….</w:t>
      </w:r>
      <w:r w:rsidR="005D7733">
        <w:rPr>
          <w:bCs/>
        </w:rPr>
        <w:t>..</w:t>
      </w:r>
      <w:r w:rsidR="004C608D" w:rsidRPr="009918FC">
        <w:rPr>
          <w:bCs/>
        </w:rPr>
        <w:t>31</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p>
    <w:p w:rsidR="004C608D" w:rsidRPr="00FA7982" w:rsidRDefault="004C608D" w:rsidP="00E04750">
      <w:pPr>
        <w:spacing w:beforeLines="1" w:afterLines="1"/>
      </w:pPr>
    </w:p>
    <w:p w:rsidR="004C608D" w:rsidRDefault="004C608D" w:rsidP="00E04750">
      <w:pPr>
        <w:spacing w:beforeLines="1" w:afterLines="1"/>
      </w:pPr>
    </w:p>
    <w:p w:rsidR="00E2742C" w:rsidRDefault="00E2742C" w:rsidP="00E04750">
      <w:pPr>
        <w:spacing w:beforeLines="1" w:afterLines="1"/>
      </w:pPr>
    </w:p>
    <w:p w:rsidR="00E2742C" w:rsidRDefault="00E2742C" w:rsidP="00E04750">
      <w:pPr>
        <w:spacing w:beforeLines="1" w:afterLines="1"/>
      </w:pPr>
    </w:p>
    <w:p w:rsidR="00E2742C" w:rsidRDefault="00E2742C" w:rsidP="00E04750">
      <w:pPr>
        <w:spacing w:beforeLines="1" w:afterLines="1"/>
      </w:pPr>
    </w:p>
    <w:p w:rsidR="00E2742C" w:rsidRDefault="00E2742C" w:rsidP="00E04750">
      <w:pPr>
        <w:spacing w:beforeLines="1" w:afterLines="1"/>
      </w:pPr>
    </w:p>
    <w:p w:rsidR="00E2742C" w:rsidRDefault="00E2742C" w:rsidP="00E04750">
      <w:pPr>
        <w:spacing w:beforeLines="1" w:afterLines="1"/>
      </w:pPr>
    </w:p>
    <w:p w:rsidR="00E2742C" w:rsidRPr="00FA7982" w:rsidRDefault="00E2742C" w:rsidP="00E04750">
      <w:pPr>
        <w:spacing w:beforeLines="1" w:afterLines="1"/>
      </w:pPr>
    </w:p>
    <w:p w:rsidR="004C608D" w:rsidRPr="00FA7982" w:rsidRDefault="004C608D" w:rsidP="00E04750">
      <w:pPr>
        <w:spacing w:beforeLines="1" w:afterLines="1"/>
        <w:rPr>
          <w:rFonts w:ascii="Times" w:hAnsi="Times"/>
        </w:rPr>
      </w:pPr>
    </w:p>
    <w:p w:rsidR="004C608D" w:rsidRPr="00F5532A" w:rsidRDefault="004C608D" w:rsidP="00E04750">
      <w:pPr>
        <w:spacing w:beforeLines="1" w:afterLines="1"/>
        <w:rPr>
          <w:rFonts w:ascii="Times" w:hAnsi="Times"/>
          <w:u w:val="single"/>
        </w:rPr>
      </w:pPr>
      <w:r w:rsidRPr="00F5532A">
        <w:rPr>
          <w:b/>
          <w:bCs/>
          <w:u w:val="single"/>
        </w:rPr>
        <w:t xml:space="preserve">SECTION 1: OVERVIEW OF REQUIREMENTS </w:t>
      </w:r>
    </w:p>
    <w:p w:rsidR="004C608D" w:rsidRPr="00FA7982" w:rsidRDefault="004C608D" w:rsidP="00E04750">
      <w:pPr>
        <w:spacing w:beforeLines="1" w:afterLines="1"/>
        <w:rPr>
          <w:rFonts w:ascii="Times" w:hAnsi="Times"/>
        </w:rPr>
      </w:pPr>
      <w:r w:rsidRPr="00FA7982">
        <w:t xml:space="preserve">Donald Fletcher, the Independent Reviewer has contracted with Kathryn du Pree as the Expert Reviewer to perform the review of the crisis services requirements of the Settlement Agreement for the time period 10/7/14- 4/6/15. The review will determine the Commonwealth of Virginia’s compliance with the following requirements: </w:t>
      </w:r>
    </w:p>
    <w:p w:rsidR="004C608D" w:rsidRPr="00FA7982" w:rsidRDefault="004C608D" w:rsidP="00E04750">
      <w:pPr>
        <w:spacing w:beforeLines="1" w:afterLines="1"/>
      </w:pPr>
      <w:r w:rsidRPr="00FA7982">
        <w:t>The Commonwealth shall develop a statewide crisis system for individuals with ID and DD; provide timely and accessible supports to individuals who are experiencing a crisis; provide services focused on crisis prevention and proactive planning to avoid potential crises; and provide in-home and community-based crisis services that are directed at resolving crises and preventing the removal of the individual from his or her current setting whenever practicable. This will be the fifth review of crisis services and prevention and will focus on the recommendations made by the Independent Reviewer in his report of December 2014.</w:t>
      </w:r>
    </w:p>
    <w:p w:rsidR="004C608D" w:rsidRPr="00FA7982" w:rsidRDefault="004C608D" w:rsidP="00E04750">
      <w:pPr>
        <w:spacing w:beforeLines="1" w:afterLines="1"/>
        <w:rPr>
          <w:rFonts w:ascii="Times" w:hAnsi="Times"/>
        </w:rPr>
      </w:pPr>
      <w:r w:rsidRPr="00FA7982">
        <w:t xml:space="preserve"> </w:t>
      </w:r>
    </w:p>
    <w:p w:rsidR="004C608D" w:rsidRPr="00F5532A" w:rsidRDefault="004C608D" w:rsidP="00E04750">
      <w:pPr>
        <w:spacing w:beforeLines="1" w:afterLines="1"/>
        <w:rPr>
          <w:rFonts w:ascii="Times" w:hAnsi="Times"/>
          <w:u w:val="single"/>
        </w:rPr>
      </w:pPr>
      <w:r w:rsidRPr="00F5532A">
        <w:rPr>
          <w:b/>
          <w:bCs/>
          <w:u w:val="single"/>
        </w:rPr>
        <w:t xml:space="preserve">SECTION 2: PURPOSE OF THE REVIEW </w:t>
      </w:r>
    </w:p>
    <w:p w:rsidR="004C608D" w:rsidRPr="00FA7982" w:rsidRDefault="004C608D" w:rsidP="00E04750">
      <w:pPr>
        <w:spacing w:beforeLines="1" w:afterLines="1"/>
      </w:pPr>
      <w:r w:rsidRPr="00FA7982">
        <w:t xml:space="preserve">This review will build off the review completed last fall for the review period through 10/6/14 and the recommendations the Independent Reviewer made in his last Report as a result of the conclusions and findings of that review.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t xml:space="preserve">It will focus on those areas that were not in compliance and the Independent Reviewer’s related recommendations. This focus will be on: </w:t>
      </w:r>
    </w:p>
    <w:p w:rsidR="004C608D" w:rsidRPr="00FA7982" w:rsidRDefault="004C608D" w:rsidP="00E04750">
      <w:pPr>
        <w:numPr>
          <w:ilvl w:val="0"/>
          <w:numId w:val="66"/>
        </w:numPr>
        <w:spacing w:beforeLines="1" w:afterLines="1"/>
        <w:rPr>
          <w:rFonts w:ascii="Symbol" w:hAnsi="Symbol"/>
        </w:rPr>
      </w:pPr>
      <w:r w:rsidRPr="00FA7982">
        <w:t xml:space="preserve">The Commonwealth’s ability to serve adults with developmental disabilities in terms of crisis prevention and intervention services ensuring this target population, including those on the waiting list, has case management services to facilitate full access to crisis services and stabilization programs, and access to community supports to prevent future crises </w:t>
      </w:r>
    </w:p>
    <w:p w:rsidR="004C608D" w:rsidRPr="00FA7982" w:rsidRDefault="004C608D" w:rsidP="00E04750">
      <w:pPr>
        <w:numPr>
          <w:ilvl w:val="0"/>
          <w:numId w:val="66"/>
        </w:numPr>
        <w:spacing w:beforeLines="1" w:afterLines="1"/>
        <w:rPr>
          <w:rFonts w:ascii="Symbol" w:hAnsi="Symbol"/>
        </w:rPr>
      </w:pPr>
      <w:r w:rsidRPr="00FA7982">
        <w:t>The Commonwealth’s ability to provide crisis prevention and intervention services to children with either intellectual or developmental disabilities. The DBHDS was still in the planning stages last during the Fall 2014 review and had not implemented crisis services for children with the exception of Region II and III.</w:t>
      </w:r>
    </w:p>
    <w:p w:rsidR="004C608D" w:rsidRPr="00FA7982" w:rsidRDefault="004C608D" w:rsidP="00E04750">
      <w:pPr>
        <w:numPr>
          <w:ilvl w:val="0"/>
          <w:numId w:val="66"/>
        </w:numPr>
        <w:spacing w:beforeLines="1" w:afterLines="1"/>
        <w:rPr>
          <w:rFonts w:ascii="Symbol" w:hAnsi="Symbol"/>
        </w:rPr>
      </w:pPr>
      <w:r w:rsidRPr="00FA7982">
        <w:t xml:space="preserve">The DBHDS’ actions to reach out to individuals with DD and their families and train all DD Case Managers to ensure families of individuals with DD are aware of and can access crisis services </w:t>
      </w:r>
    </w:p>
    <w:p w:rsidR="004C608D" w:rsidRPr="00FA7982" w:rsidRDefault="004C608D" w:rsidP="00E04750">
      <w:pPr>
        <w:numPr>
          <w:ilvl w:val="0"/>
          <w:numId w:val="66"/>
        </w:numPr>
        <w:spacing w:beforeLines="1" w:afterLines="1"/>
        <w:rPr>
          <w:rFonts w:ascii="Symbol" w:hAnsi="Symbol"/>
        </w:rPr>
      </w:pPr>
      <w:r w:rsidRPr="00FA7982">
        <w:t xml:space="preserve">The status of training of CSB Emergency Services workers to be completed by 6/14 </w:t>
      </w:r>
    </w:p>
    <w:p w:rsidR="004C608D" w:rsidRPr="00FA7982" w:rsidRDefault="004C608D" w:rsidP="00E04750">
      <w:pPr>
        <w:numPr>
          <w:ilvl w:val="0"/>
          <w:numId w:val="66"/>
        </w:numPr>
        <w:spacing w:beforeLines="1" w:afterLines="1"/>
        <w:rPr>
          <w:rFonts w:ascii="Symbol" w:hAnsi="Symbol"/>
        </w:rPr>
      </w:pPr>
      <w:r w:rsidRPr="00FA7982">
        <w:t xml:space="preserve">The Commonwealth’s plan to reach out to law enforcement and criminal justice personnel to link individuals with intellectual and developmental disabilities with crisis intervention services to prevent unnecessary arrests or incarceration </w:t>
      </w:r>
    </w:p>
    <w:p w:rsidR="004C608D" w:rsidRPr="00FA7982" w:rsidRDefault="004C608D" w:rsidP="00E04750">
      <w:pPr>
        <w:numPr>
          <w:ilvl w:val="0"/>
          <w:numId w:val="67"/>
        </w:numPr>
        <w:spacing w:beforeLines="1" w:afterLines="1"/>
        <w:rPr>
          <w:rFonts w:ascii="Symbol" w:hAnsi="Symbol"/>
        </w:rPr>
      </w:pPr>
      <w:r w:rsidRPr="00FA7982">
        <w:t xml:space="preserve">The number of individuals who were removed from their homes to an out-of-home placement during a crisis, the duration of the placement and the number of individuals who were not able to return to their original home or residence </w:t>
      </w:r>
    </w:p>
    <w:p w:rsidR="004C608D" w:rsidRPr="00FA7982" w:rsidRDefault="004C608D" w:rsidP="00E04750">
      <w:pPr>
        <w:numPr>
          <w:ilvl w:val="0"/>
          <w:numId w:val="67"/>
        </w:numPr>
        <w:spacing w:beforeLines="1" w:afterLines="1"/>
        <w:rPr>
          <w:rFonts w:ascii="Symbol" w:hAnsi="Symbol"/>
        </w:rPr>
      </w:pPr>
      <w:r w:rsidRPr="00FA7982">
        <w:t xml:space="preserve">The status of locating a permanent crisis therapeutic home in Region IV </w:t>
      </w:r>
    </w:p>
    <w:p w:rsidR="004C608D" w:rsidRPr="00FA7982" w:rsidRDefault="004C608D" w:rsidP="00E04750">
      <w:pPr>
        <w:numPr>
          <w:ilvl w:val="0"/>
          <w:numId w:val="67"/>
        </w:numPr>
        <w:spacing w:beforeLines="1" w:afterLines="1"/>
        <w:rPr>
          <w:rFonts w:ascii="Symbol" w:hAnsi="Symbol"/>
        </w:rPr>
      </w:pPr>
      <w:r w:rsidRPr="00FA7982">
        <w:t xml:space="preserve">The quality of crisis services that individuals are receiving from the five regional REACH programs </w:t>
      </w:r>
    </w:p>
    <w:p w:rsidR="004C608D" w:rsidRPr="00FA7982" w:rsidRDefault="004C608D" w:rsidP="00E04750">
      <w:pPr>
        <w:numPr>
          <w:ilvl w:val="0"/>
          <w:numId w:val="67"/>
        </w:numPr>
        <w:spacing w:beforeLines="1" w:afterLines="1"/>
        <w:rPr>
          <w:rFonts w:ascii="Symbol" w:hAnsi="Symbol"/>
        </w:rPr>
      </w:pPr>
      <w:r w:rsidRPr="00FA7982">
        <w:t xml:space="preserve">The satisfaction of the families who have utilized REACH services for a family member </w:t>
      </w:r>
    </w:p>
    <w:p w:rsidR="004C608D" w:rsidRPr="00FA7982" w:rsidRDefault="004C608D" w:rsidP="00E04750">
      <w:pPr>
        <w:spacing w:beforeLines="1" w:afterLines="1"/>
        <w:rPr>
          <w:rFonts w:ascii="Symbol" w:hAnsi="Symbol"/>
        </w:rPr>
      </w:pPr>
    </w:p>
    <w:p w:rsidR="008B473F" w:rsidRDefault="008B473F" w:rsidP="00E04750">
      <w:pPr>
        <w:spacing w:beforeLines="1" w:afterLines="1"/>
        <w:ind w:left="720"/>
        <w:rPr>
          <w:b/>
          <w:bCs/>
        </w:rPr>
      </w:pPr>
    </w:p>
    <w:p w:rsidR="004C608D" w:rsidRPr="00F5532A" w:rsidRDefault="004C608D" w:rsidP="00E04750">
      <w:pPr>
        <w:spacing w:beforeLines="1" w:afterLines="1"/>
        <w:rPr>
          <w:rFonts w:ascii="Symbol" w:hAnsi="Symbol"/>
          <w:u w:val="single"/>
        </w:rPr>
      </w:pPr>
      <w:r w:rsidRPr="00F5532A">
        <w:rPr>
          <w:b/>
          <w:bCs/>
          <w:u w:val="single"/>
        </w:rPr>
        <w:t xml:space="preserve">SECTION 3: REVIEW PROCESS </w:t>
      </w:r>
    </w:p>
    <w:p w:rsidR="004C608D" w:rsidRPr="00FA7982" w:rsidRDefault="004C608D" w:rsidP="00E04750">
      <w:pPr>
        <w:spacing w:beforeLines="1" w:afterLines="1"/>
      </w:pPr>
      <w:r w:rsidRPr="00FA7982">
        <w:t xml:space="preserve">The Expert Reviewer reviewed relevant documents and interviewed key administrative staff of DBHDS, REACH administrators and stakeholders to provide the data and information necessary to complete this review and determine compliance with the requirements of the Settlement Agreement. </w:t>
      </w:r>
    </w:p>
    <w:p w:rsidR="004C608D" w:rsidRPr="00FA7982" w:rsidRDefault="004C608D" w:rsidP="00E04750">
      <w:pPr>
        <w:spacing w:beforeLines="1" w:afterLines="1"/>
        <w:ind w:left="720"/>
        <w:rPr>
          <w:rFonts w:ascii="Symbol" w:hAnsi="Symbol"/>
        </w:rPr>
      </w:pPr>
    </w:p>
    <w:p w:rsidR="004C608D" w:rsidRPr="00FA7982" w:rsidRDefault="004C608D" w:rsidP="00E04750">
      <w:pPr>
        <w:spacing w:beforeLines="1" w:afterLines="1"/>
        <w:rPr>
          <w:rFonts w:ascii="Symbol" w:hAnsi="Symbol"/>
        </w:rPr>
      </w:pPr>
      <w:r w:rsidRPr="00FA7982">
        <w:rPr>
          <w:b/>
          <w:bCs/>
          <w:i/>
          <w:iCs/>
        </w:rPr>
        <w:t>Document Review</w:t>
      </w:r>
      <w:r w:rsidRPr="00FA7982">
        <w:t xml:space="preserve">: Documents reviewed included: </w:t>
      </w:r>
    </w:p>
    <w:p w:rsidR="004C608D" w:rsidRPr="00FA7982" w:rsidRDefault="004C608D" w:rsidP="00E04750">
      <w:pPr>
        <w:numPr>
          <w:ilvl w:val="0"/>
          <w:numId w:val="68"/>
        </w:numPr>
        <w:spacing w:beforeLines="1" w:afterLines="1"/>
      </w:pPr>
      <w:r w:rsidRPr="00FA7982">
        <w:t>The Children’s Crisis Standards: draft 12-1-14</w:t>
      </w:r>
    </w:p>
    <w:p w:rsidR="004C608D" w:rsidRPr="00FA7982" w:rsidRDefault="004C608D" w:rsidP="00E04750">
      <w:pPr>
        <w:numPr>
          <w:ilvl w:val="0"/>
          <w:numId w:val="68"/>
        </w:numPr>
        <w:spacing w:beforeLines="1" w:afterLines="1"/>
      </w:pPr>
      <w:r w:rsidRPr="00FA7982">
        <w:t>The Region IV Gap Analysis and Program Development Updates for children and adolescent crisis services</w:t>
      </w:r>
    </w:p>
    <w:p w:rsidR="004C608D" w:rsidRPr="00FA7982" w:rsidRDefault="004C608D" w:rsidP="00E04750">
      <w:pPr>
        <w:numPr>
          <w:ilvl w:val="0"/>
          <w:numId w:val="68"/>
        </w:numPr>
        <w:spacing w:beforeLines="1" w:afterLines="1"/>
      </w:pPr>
      <w:r w:rsidRPr="00FA7982">
        <w:t xml:space="preserve">HPR II Children Crises Services October 2014 Report and ID/D Needs Assessment Report </w:t>
      </w:r>
    </w:p>
    <w:p w:rsidR="004C608D" w:rsidRPr="00FA7982" w:rsidRDefault="004C608D" w:rsidP="00E04750">
      <w:pPr>
        <w:numPr>
          <w:ilvl w:val="0"/>
          <w:numId w:val="68"/>
        </w:numPr>
        <w:spacing w:beforeLines="1" w:afterLines="1"/>
      </w:pPr>
      <w:r w:rsidRPr="00FA7982">
        <w:t>State Quarterly REACH reports for 10/1/14-12/31/14 and 1/1/15-3/31/15</w:t>
      </w:r>
    </w:p>
    <w:p w:rsidR="004C608D" w:rsidRPr="00FA7982" w:rsidRDefault="004C608D" w:rsidP="00E04750">
      <w:pPr>
        <w:numPr>
          <w:ilvl w:val="0"/>
          <w:numId w:val="68"/>
        </w:numPr>
        <w:spacing w:beforeLines="1" w:afterLines="1"/>
      </w:pPr>
      <w:r w:rsidRPr="00FA7982">
        <w:t>REACH Flyer 2014</w:t>
      </w:r>
    </w:p>
    <w:p w:rsidR="004C608D" w:rsidRPr="00FA7982" w:rsidRDefault="004C608D" w:rsidP="00E04750">
      <w:pPr>
        <w:numPr>
          <w:ilvl w:val="0"/>
          <w:numId w:val="68"/>
        </w:numPr>
        <w:spacing w:beforeLines="1" w:afterLines="1"/>
      </w:pPr>
      <w:r w:rsidRPr="00FA7982">
        <w:t>DD Outreach Plan Update 2-11-15</w:t>
      </w:r>
    </w:p>
    <w:p w:rsidR="004C608D" w:rsidRPr="00FA7982" w:rsidRDefault="004C608D" w:rsidP="00E04750">
      <w:pPr>
        <w:numPr>
          <w:ilvl w:val="0"/>
          <w:numId w:val="68"/>
        </w:numPr>
        <w:spacing w:beforeLines="1" w:afterLines="1"/>
      </w:pPr>
      <w:r w:rsidRPr="00FA7982">
        <w:t>Work Plan for Law Enforcement Outreach</w:t>
      </w:r>
    </w:p>
    <w:p w:rsidR="004C608D" w:rsidRPr="00FA7982" w:rsidRDefault="004C608D" w:rsidP="00E04750">
      <w:pPr>
        <w:numPr>
          <w:ilvl w:val="0"/>
          <w:numId w:val="68"/>
        </w:numPr>
        <w:spacing w:beforeLines="1" w:afterLines="1"/>
      </w:pPr>
      <w:r w:rsidRPr="00FA7982">
        <w:t>Original and Update Timeline for House Search Region IV</w:t>
      </w:r>
    </w:p>
    <w:p w:rsidR="004C608D" w:rsidRPr="00FA7982" w:rsidRDefault="004C608D" w:rsidP="00E04750">
      <w:pPr>
        <w:numPr>
          <w:ilvl w:val="0"/>
          <w:numId w:val="68"/>
        </w:numPr>
        <w:spacing w:beforeLines="1" w:afterLines="1"/>
      </w:pPr>
      <w:r w:rsidRPr="00FA7982">
        <w:t>REACH Coordinators Meeting Minutes-10-14 and 11-14</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Interviews</w:t>
      </w:r>
      <w:r w:rsidRPr="00FA7982">
        <w:t xml:space="preserve">: I interviewed Connie Cochran the Assistant Commissioner for Developmental Services, Heather Norton the Director of Community Services, Michele Ebright the Crisis Services State Coordinator, the Region IV ID/D Director, REACH CTH Coordinator and Medical Director; members of the Region I REACH Advisory Council </w:t>
      </w:r>
      <w:r w:rsidR="004431AE">
        <w:t xml:space="preserve">(RAC) </w:t>
      </w:r>
      <w:r w:rsidRPr="00FA7982">
        <w:t xml:space="preserve">and a Case Manager in Region I.  I visited the CTH in Region IV. I was able to interview one of the families that received REACH services for their child living at home and a member of the Region I RAC that had used REACH services to determine their level of satisfaction and elicit any recommendations they have for improvement. I appreciate the time that everyone gave to contributing important information for this review.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Individual Reviews</w:t>
      </w:r>
      <w:r w:rsidRPr="00FA7982">
        <w:t xml:space="preserve">: I selected ten individuals randomly who use REACH services to determine the quality of the services provided. The focus of this review was to determine the quality of in-home supports for individuals experiencing crises and the training and assistance provided to their families.  I reviewed their REACH service records. </w:t>
      </w:r>
    </w:p>
    <w:p w:rsidR="004C608D" w:rsidRPr="00FA7982" w:rsidRDefault="004C608D" w:rsidP="00E04750">
      <w:pPr>
        <w:spacing w:beforeLines="1" w:afterLines="1"/>
        <w:rPr>
          <w:rFonts w:ascii="Times" w:hAnsi="Times"/>
        </w:rPr>
      </w:pPr>
    </w:p>
    <w:p w:rsidR="004C608D" w:rsidRPr="00F5532A" w:rsidRDefault="004C608D" w:rsidP="00E04750">
      <w:pPr>
        <w:spacing w:beforeLines="1" w:afterLines="1"/>
        <w:rPr>
          <w:rFonts w:ascii="Times" w:hAnsi="Times"/>
          <w:u w:val="single"/>
        </w:rPr>
      </w:pPr>
      <w:r w:rsidRPr="00F5532A">
        <w:rPr>
          <w:b/>
          <w:bCs/>
          <w:u w:val="single"/>
        </w:rPr>
        <w:t xml:space="preserve">SECTION 4: A STATEWIDE CRISIS SYSTEM FOR INDIVIDUALS WITH ID and DD </w:t>
      </w:r>
    </w:p>
    <w:p w:rsidR="004C608D" w:rsidRPr="00FA7982" w:rsidRDefault="004C608D" w:rsidP="00E04750">
      <w:pPr>
        <w:spacing w:beforeLines="1" w:afterLines="1"/>
        <w:rPr>
          <w:rFonts w:ascii="Times" w:hAnsi="Times"/>
        </w:rPr>
      </w:pPr>
      <w:r w:rsidRPr="00FA7982">
        <w:t xml:space="preserve">The Commonwealth is expected to provide crisis prevention and intervention services to individuals with either intellectual or developmental disabilities as part of its obligation under Section 6.a. of the Settlement Agreement that states: </w:t>
      </w:r>
    </w:p>
    <w:p w:rsidR="004C608D" w:rsidRPr="00FA7982" w:rsidRDefault="004C608D" w:rsidP="00E04750">
      <w:pPr>
        <w:spacing w:beforeLines="1" w:afterLines="1"/>
        <w:rPr>
          <w:rFonts w:ascii="Times" w:hAnsi="Times"/>
        </w:rPr>
      </w:pPr>
      <w:r w:rsidRPr="00FA7982">
        <w:rPr>
          <w:i/>
          <w:iCs/>
        </w:rPr>
        <w:t xml:space="preserve">The Commonwealth shall develop a statewide crisis system for individuals with ID and DD. The crisis system shall: </w:t>
      </w:r>
    </w:p>
    <w:p w:rsidR="004C608D" w:rsidRPr="00FA7982" w:rsidRDefault="004C608D" w:rsidP="00E04750">
      <w:pPr>
        <w:numPr>
          <w:ilvl w:val="0"/>
          <w:numId w:val="69"/>
        </w:numPr>
        <w:spacing w:beforeLines="1" w:afterLines="1"/>
        <w:rPr>
          <w:i/>
          <w:iCs/>
        </w:rPr>
      </w:pPr>
      <w:r w:rsidRPr="00FA7982">
        <w:rPr>
          <w:i/>
          <w:iCs/>
        </w:rPr>
        <w:t xml:space="preserve">Provide timely and accessible support to individuals who are experiencing crises, including crises due to behavioral or psychiatric issues, and to their families; </w:t>
      </w:r>
    </w:p>
    <w:p w:rsidR="004C608D" w:rsidRPr="00FA7982" w:rsidRDefault="004C608D" w:rsidP="00E04750">
      <w:pPr>
        <w:numPr>
          <w:ilvl w:val="0"/>
          <w:numId w:val="69"/>
        </w:numPr>
        <w:spacing w:beforeLines="1" w:afterLines="1"/>
        <w:rPr>
          <w:i/>
          <w:iCs/>
        </w:rPr>
      </w:pPr>
      <w:r w:rsidRPr="00FA7982">
        <w:rPr>
          <w:i/>
          <w:iCs/>
        </w:rPr>
        <w:t xml:space="preserve">Provide services focused on crisis prevention and proactive planning to avoid potential crises; and </w:t>
      </w:r>
    </w:p>
    <w:p w:rsidR="004C608D" w:rsidRPr="00FA7982" w:rsidRDefault="004C608D" w:rsidP="00E04750">
      <w:pPr>
        <w:numPr>
          <w:ilvl w:val="0"/>
          <w:numId w:val="69"/>
        </w:numPr>
        <w:spacing w:beforeLines="1" w:afterLines="1"/>
        <w:rPr>
          <w:i/>
          <w:iCs/>
        </w:rPr>
      </w:pPr>
      <w:r w:rsidRPr="00FA7982">
        <w:rPr>
          <w:i/>
          <w:iCs/>
        </w:rPr>
        <w:t xml:space="preserve">Provide in-home and community –based crisis services that are directed at resolving crises and preventing the removal of the individual from his or her current placement whenever practicable. </w:t>
      </w:r>
    </w:p>
    <w:p w:rsidR="004C608D" w:rsidRPr="00FA7982" w:rsidRDefault="004C608D" w:rsidP="00E04750">
      <w:pPr>
        <w:spacing w:beforeLines="1" w:afterLines="1"/>
        <w:rPr>
          <w:i/>
          <w:iCs/>
        </w:rPr>
      </w:pPr>
    </w:p>
    <w:p w:rsidR="004C608D" w:rsidRPr="00FA7982" w:rsidRDefault="004C608D" w:rsidP="00E04750">
      <w:pPr>
        <w:spacing w:beforeLines="1" w:afterLines="1"/>
        <w:rPr>
          <w:rFonts w:ascii="Times" w:hAnsi="Times"/>
        </w:rPr>
      </w:pPr>
      <w:r w:rsidRPr="00FA7982">
        <w:rPr>
          <w:b/>
          <w:bCs/>
        </w:rPr>
        <w:t xml:space="preserve">A. REVIEW OF THE CRISIS SERVICES PLAN TO SERVE CHILDREN AND ADOLECENTS </w:t>
      </w:r>
    </w:p>
    <w:p w:rsidR="004C608D" w:rsidRPr="00FA7982" w:rsidRDefault="004C608D" w:rsidP="00E04750">
      <w:pPr>
        <w:spacing w:beforeLines="1" w:afterLines="1"/>
      </w:pPr>
      <w:r w:rsidRPr="00FA7982">
        <w:t>The Commonwealth focused on developing crisis services for adults to date. Crisis services for children and adolescents are not yet available across the state although there is various supports available in different parts of Virginia to respond to children and adolescents in crisis that may include young people with ID/D. Regions II and III have initiated their crisis service response for this age group.</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t>The Independent Reviewer directed DBHDS to develop a plan for crisis services for children and adolescents with ID/D by March 31, 2014. I reviewed this plan during the last review cycle and the regions’ gap analyses and plans. The DBHDS plans include: “</w:t>
      </w:r>
      <w:r w:rsidRPr="00FA7982">
        <w:rPr>
          <w:i/>
        </w:rPr>
        <w:t>My Life, My Community: A Road Map to Creating a Community Infrastructure “</w:t>
      </w:r>
      <w:r w:rsidRPr="00FA7982">
        <w:t>on January 6, 2014. This document included a section about Children’s Crisis Supports. This plan outlined key components of a crisis response system for children based on the review of children’s crisis programs across the country. It provided a foundation for development of these services and set various expectations for availability, a service continuum and systemic values. A more detailed planning document, “</w:t>
      </w:r>
      <w:r w:rsidRPr="00FA7982">
        <w:rPr>
          <w:i/>
          <w:iCs/>
        </w:rPr>
        <w:t xml:space="preserve">Crisis Response System for Children with ID/D” </w:t>
      </w:r>
      <w:r w:rsidRPr="00FA7982">
        <w:t xml:space="preserve">was issued by Connie Cochran, Assistant Commissioner, Division of Developmental Services, DBHDS, on February 4, 2014. It describes the purpose of a crisis response system for children, how DBHDS will establish children’s crisis operations, and the expectations and timeline for regions submitting proposals to secure funding and departmental approval of individual regional initiatives. </w:t>
      </w:r>
      <w:r w:rsidRPr="00FA7982">
        <w:br/>
      </w:r>
    </w:p>
    <w:p w:rsidR="004C608D" w:rsidRPr="00FA7982" w:rsidRDefault="004C608D" w:rsidP="00E04750">
      <w:pPr>
        <w:spacing w:beforeLines="1" w:afterLines="1"/>
      </w:pPr>
      <w:r w:rsidRPr="00FA7982">
        <w:t>DBHDS anticipated the children’s crisis response system being developed in four phases beginning with the department’s notification of funding (3/14); with Regional Program Developers/Navigators hired by 6/14; and services launched in July 2014. The DBHDS projected each region would expand services for children and adolescents over two to three years.</w:t>
      </w:r>
    </w:p>
    <w:p w:rsidR="004C608D" w:rsidRDefault="004C608D" w:rsidP="00E04750">
      <w:pPr>
        <w:spacing w:beforeLines="1" w:afterLines="1"/>
      </w:pPr>
      <w:r w:rsidRPr="00FA7982">
        <w:br/>
        <w:t>Funding was provided to each region through FY15 with a base allocation of $225,000. DBHDS has requested $4 million in additional funding for crisis services for FY16 that has been approved. The department will allocate $3.75 million of this amount for children and adolescent crises services. The remaining $250,000 will be used for training and data needs related to children and adolescent services.</w:t>
      </w:r>
      <w:r>
        <w:t xml:space="preserve"> </w:t>
      </w:r>
      <w:r w:rsidRPr="00FA7982">
        <w:t>This will give each region a base of almost $1 million. This is compared to $2 million that each region receives to fund its REACH program for adults. The DBHDS was considering if the full amount of $4 million would be allocated for children and adolescents last fall. It is commendable that the full amount will be allocated to assist this age group and specifically for crisis support.</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 Regions I, III and V completed the gap analysis during the previous review period. Regions II and IV completed their analyses during this review period. Region II was providing coordinated crisis services for children and adolescents starting in June 2014.</w:t>
      </w:r>
    </w:p>
    <w:p w:rsidR="004C608D" w:rsidRPr="00FA7982" w:rsidRDefault="004C608D" w:rsidP="00E04750">
      <w:pPr>
        <w:spacing w:beforeLines="1" w:afterLines="1"/>
      </w:pPr>
    </w:p>
    <w:p w:rsidR="004C608D" w:rsidRPr="00FA7982" w:rsidRDefault="004C608D" w:rsidP="00E04750">
      <w:pPr>
        <w:spacing w:beforeLines="1" w:afterLines="1"/>
      </w:pPr>
      <w:r w:rsidRPr="00FA7982">
        <w:t>Region II submitted its analysis on 10/27/14. It has an existing Crisis Response System for children that focuses on prevention and intervention. Each CSB has a 24/7 crisis screening and intervention for children that need emergency hospitalization; it has partnerships with private hospitals to fund children that do not have health insurance and need inpatient care or a partial hospitalization program; limited crisis stabilization beds; a state funded Mobile Crisis Stabilization Program through Arlington CSB; and a network of providers that support children with intensive in-home support, day treatment and mental health supports. The region has gaps in short-term crisis stabilization and funding, and individuals experience service delivery fragmentation. Case management and other services are more limited for children with DD, other than ID. Residential treatment is not funded under the HCBS DD Waiver. Region II planned to focus on hiring staff and developing training at the time the gap analysis was written. The Region II report did not include any projection of need for crisis services.</w:t>
      </w:r>
    </w:p>
    <w:p w:rsidR="004C608D" w:rsidRPr="00FA7982" w:rsidRDefault="004C608D" w:rsidP="00E04750">
      <w:pPr>
        <w:spacing w:beforeLines="1" w:afterLines="1"/>
      </w:pPr>
    </w:p>
    <w:p w:rsidR="004C608D" w:rsidRPr="00FA7982" w:rsidRDefault="004C608D" w:rsidP="00E04750">
      <w:pPr>
        <w:spacing w:beforeLines="1" w:afterLines="1"/>
      </w:pPr>
      <w:r w:rsidRPr="00FA7982">
        <w:t>Region IV submitted its needs assessment on November 2014. It provided a full report that included a literature review and examples of national best practices and exemplary programs operated in other parts of the country. Region IV used national, state and local school data to try to project the level of need for children and adolescent crisis services. The most recent school data included 2,382 students with autism, 1,425 other students with DD and 1,780 students with ID. There was no information about how many of these students may have co-occurring conditions. The region does not have any tracking system or data source of children and adolescents who experience crises in the region or in Virginia. The region conducted focus groups with family members and CSB staff. They did a survey with families, providers and CSB staff as well. These sources identified the primary gaps and needs for crisis services: support to caregivers; professional training; mobile crisis services; prevention; respite; too few waivers; insufficient inpatient treatment; funding and system linkages. The region plans to focus on outreach, cross training of professionals, and adopt successful program models. These include the REACH model and the Children Services Trauma Response Program. Region II will also establish a Children’s Crisis Services Regional Advisory Council.</w:t>
      </w:r>
    </w:p>
    <w:p w:rsidR="004C608D" w:rsidRPr="00FA7982" w:rsidRDefault="004C608D" w:rsidP="00E04750">
      <w:pPr>
        <w:spacing w:beforeLines="1" w:afterLines="1"/>
      </w:pPr>
    </w:p>
    <w:p w:rsidR="004C608D" w:rsidRPr="00FA7982" w:rsidRDefault="004C608D" w:rsidP="00E04750">
      <w:pPr>
        <w:spacing w:beforeLines="1" w:afterLines="1"/>
      </w:pPr>
      <w:r w:rsidRPr="00FA7982">
        <w:t>Heather Norton provided an update of each region’s development status. Regions II and III have operating programs to coordinate crisis services for children and adolescents. Region III is using its existing REACH program and it has certified some of its Qualified Mental Health Professionals (QMHP) to serve both adults and children. Region II is sub-contracting with the CRII mobile crisis program that will interface with the REACH program. REACH will address prevention needs and the CRII program will provide mobile crisis support. Region II has served eight children and Region III has served twelve children and adolescents during this reporting period.  Region I is planning to use the existing four CSB mobile crisis teams to provide crisis support but still needs to hire its Navigator/Regional Program Developer. Region IV plans to connect through its existing programs.  However Region IV does not have the Navigator or any contracts in place. Region V plans to use the Region III model but the contract will be held by a different CSB than the CSB that operates the REACH program for adults.</w:t>
      </w:r>
    </w:p>
    <w:p w:rsidR="004C608D" w:rsidRDefault="004C608D" w:rsidP="00E04750">
      <w:pPr>
        <w:spacing w:beforeLines="1" w:afterLines="1"/>
      </w:pPr>
    </w:p>
    <w:p w:rsidR="004C608D" w:rsidRDefault="004C608D" w:rsidP="00E04750">
      <w:pPr>
        <w:spacing w:beforeLines="1" w:afterLines="1"/>
      </w:pPr>
    </w:p>
    <w:p w:rsidR="0088226A" w:rsidRPr="00FA7982" w:rsidRDefault="0088226A" w:rsidP="00E04750">
      <w:pPr>
        <w:spacing w:beforeLines="1" w:afterLines="1"/>
      </w:pPr>
    </w:p>
    <w:p w:rsidR="004C608D" w:rsidRPr="00FA7982" w:rsidRDefault="004C608D" w:rsidP="00E04750">
      <w:pPr>
        <w:spacing w:beforeLines="1" w:afterLines="1"/>
      </w:pPr>
      <w:r w:rsidRPr="00FA7982">
        <w:t xml:space="preserve">DBHDS plans for the need for out of home respite to be provided by using existing crisis beds. The department will analyze whether there is sufficient capacity as the children and adolescent services are implemented. DBHDS allows each region to determine its own administrative model to coordinate crisis services for children and adolescents. However, each region is to hire a navigator, provide the required training, provide consistent data and use the performance measures in the contract with the responsible CSBs to insure the program standards are met. </w:t>
      </w:r>
    </w:p>
    <w:p w:rsidR="004C608D" w:rsidRPr="00FA7982" w:rsidRDefault="004C608D" w:rsidP="00E04750">
      <w:pPr>
        <w:spacing w:beforeLines="1" w:afterLines="1"/>
      </w:pPr>
    </w:p>
    <w:p w:rsidR="004C608D" w:rsidRPr="00FA7982" w:rsidRDefault="004C608D" w:rsidP="00E04750">
      <w:pPr>
        <w:spacing w:beforeLines="1" w:afterLines="1"/>
      </w:pPr>
      <w:r w:rsidRPr="00FA7982">
        <w:rPr>
          <w:b/>
        </w:rPr>
        <w:t>Children’s Crisis Services Program Standards</w:t>
      </w:r>
      <w:r w:rsidRPr="00FA7982">
        <w:t xml:space="preserve">: I have reviewed the Program Standards that are in draft form.  It is always important to have program standards so that services are delivered to individuals consistently and the same range of supports are provided regardless of where an individual child resides. It is particularly important that these standards are comprehensive and clearly defined for Virginia’s Children’s Crisis Service System that will rely on a vast network of community and inpatient providers and will operate under different administrative structures. The standards include the expectations for the crisis service system: trained providers, crisis assessment and intervention services; a focus on maintaining children in their homes and providing their families with needed support and education; linkages with appropriate inpatient care; collaboration with the child’s treatment team; and the development of measurable outcomes for the service system goals. Service elements will include 24 hour crisis response 365 days a year; crisis response within two hours in rural areas and one hour in urban areas; trained clinical staff; a Child Navigator; training for families and staff; crisis intervention and prevention plans; and in-home support services. The standards do not include a requirement for crisis stabilization when a child needs to be removed from his or her home for a period of time. The Settlement Agreement requires that the Commonwealth provide a residential setting of no more than six beds that can provide crisis stabilization not to exceed thirty days. The department’s goal to support children in their homes is laudable. However the Commonwealth must be able to respond timely and appropriately when a child needs a short term out of home setting for crisis stabilization.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Data will be collected by each region and will include: date and time of the call; basic demographic information; call source; nature of the crisis; consultation; and summary of resolution.  Data also needs to include information about the type of crisis services provided; any use of out of home respite or inpatient hospitalization and the length of time a child is admitted; and information about the child’s placement after an out-of –home crisis intervention. </w:t>
      </w:r>
    </w:p>
    <w:p w:rsidR="004C608D" w:rsidRPr="00FA7982" w:rsidRDefault="004C608D" w:rsidP="00E04750">
      <w:pPr>
        <w:spacing w:beforeLines="1" w:afterLines="1"/>
      </w:pPr>
    </w:p>
    <w:p w:rsidR="004C608D" w:rsidRPr="00FA7982" w:rsidRDefault="004C608D" w:rsidP="00E04750">
      <w:pPr>
        <w:spacing w:beforeLines="1" w:afterLines="1"/>
      </w:pPr>
      <w:r w:rsidRPr="00FA7982">
        <w:t>There is a description of the basic training topics and expectations for outreach to providers, schools, law enforcement, and other community partners.  The training topics include important areas. It does not include</w:t>
      </w:r>
      <w:r w:rsidRPr="00FA7982">
        <w:rPr>
          <w:strike/>
        </w:rPr>
        <w:t xml:space="preserve"> </w:t>
      </w:r>
      <w:r w:rsidRPr="00FA7982">
        <w:t xml:space="preserve">modules on person-centered thinking and behavioral support planning; transition from inpatient settings; or cross-system comprehensive planning. The DBHDS is continuing to finalize the training requirements. </w:t>
      </w:r>
    </w:p>
    <w:p w:rsidR="004C608D" w:rsidRPr="00FA7982" w:rsidRDefault="004C608D" w:rsidP="00E04750">
      <w:pPr>
        <w:spacing w:beforeLines="1" w:afterLines="1"/>
      </w:pPr>
    </w:p>
    <w:p w:rsidR="004C608D" w:rsidRPr="00FA7982" w:rsidRDefault="004C608D" w:rsidP="00E04750">
      <w:pPr>
        <w:spacing w:beforeLines="1" w:afterLines="1"/>
      </w:pPr>
      <w:r w:rsidRPr="00FA7982">
        <w:t>The topics list also does not include training for CSB ES or case management staff.  DD Case Managers will also need to be trained to understand how to access these services for the children they support. The Child Navigator is responsible to develop training materials and conducting workshops. The Navigator is also responsible for outreach and to follow up on a monthly basis for the first six months after initial contact. I question whether the Navigator will have sufficient time to fulfill all of the responsibilities assigned to this position.</w:t>
      </w:r>
    </w:p>
    <w:p w:rsidR="004C608D" w:rsidRPr="00FA7982" w:rsidRDefault="004C608D" w:rsidP="00E04750">
      <w:pPr>
        <w:spacing w:beforeLines="1" w:afterLines="1"/>
      </w:pPr>
    </w:p>
    <w:p w:rsidR="004C608D" w:rsidRPr="00FA7982" w:rsidRDefault="004C608D" w:rsidP="00E04750">
      <w:pPr>
        <w:spacing w:beforeLines="1" w:afterLines="1"/>
      </w:pPr>
      <w:r w:rsidRPr="00FA7982">
        <w:t>DBHDS established timelines for the outcomes of the Children’s Crisis Service System. The department anticipates the following:</w:t>
      </w:r>
    </w:p>
    <w:p w:rsidR="004C608D" w:rsidRPr="00FA7982" w:rsidRDefault="004C608D" w:rsidP="00E04750">
      <w:pPr>
        <w:pStyle w:val="ListParagraph"/>
        <w:numPr>
          <w:ilvl w:val="0"/>
          <w:numId w:val="70"/>
        </w:numPr>
        <w:spacing w:beforeLines="1" w:afterLines="1"/>
      </w:pPr>
      <w:r w:rsidRPr="00FA7982">
        <w:t>A single point of entry in each region by July 2015</w:t>
      </w:r>
    </w:p>
    <w:p w:rsidR="004C608D" w:rsidRPr="00FA7982" w:rsidRDefault="004C608D" w:rsidP="00E04750">
      <w:pPr>
        <w:pStyle w:val="ListParagraph"/>
        <w:numPr>
          <w:ilvl w:val="0"/>
          <w:numId w:val="70"/>
        </w:numPr>
        <w:spacing w:beforeLines="1" w:afterLines="1"/>
      </w:pPr>
      <w:r w:rsidRPr="00FA7982">
        <w:t>A data system and data collection by July 2015</w:t>
      </w:r>
    </w:p>
    <w:p w:rsidR="004C608D" w:rsidRPr="00FA7982" w:rsidRDefault="004C608D" w:rsidP="00E04750">
      <w:pPr>
        <w:pStyle w:val="ListParagraph"/>
        <w:numPr>
          <w:ilvl w:val="0"/>
          <w:numId w:val="70"/>
        </w:numPr>
        <w:spacing w:beforeLines="1" w:afterLines="1"/>
      </w:pPr>
      <w:r w:rsidRPr="00FA7982">
        <w:t>All crisis calls responded to within defined standards 60% of the time by December 2015</w:t>
      </w:r>
    </w:p>
    <w:p w:rsidR="004C608D" w:rsidRPr="00FA7982" w:rsidRDefault="004C608D" w:rsidP="00E04750">
      <w:pPr>
        <w:pStyle w:val="ListParagraph"/>
        <w:numPr>
          <w:ilvl w:val="0"/>
          <w:numId w:val="70"/>
        </w:numPr>
        <w:spacing w:beforeLines="1" w:afterLines="1"/>
      </w:pPr>
      <w:r w:rsidRPr="00FA7982">
        <w:t>All crisis calls responded to within the defined standards 80% of the time by July 2016</w:t>
      </w:r>
    </w:p>
    <w:p w:rsidR="004C608D" w:rsidRPr="00FA7982" w:rsidRDefault="004C608D" w:rsidP="00E04750">
      <w:pPr>
        <w:pStyle w:val="ListParagraph"/>
        <w:numPr>
          <w:ilvl w:val="0"/>
          <w:numId w:val="70"/>
        </w:numPr>
        <w:spacing w:beforeLines="1" w:afterLines="1"/>
      </w:pPr>
      <w:r w:rsidRPr="00FA7982">
        <w:t>All crisis calls responded to within defined standards 90% of the time by December 2016</w:t>
      </w:r>
    </w:p>
    <w:p w:rsidR="004C608D" w:rsidRPr="00FA7982" w:rsidRDefault="004C608D" w:rsidP="00E04750">
      <w:pPr>
        <w:pStyle w:val="ListParagraph"/>
        <w:numPr>
          <w:ilvl w:val="0"/>
          <w:numId w:val="70"/>
        </w:numPr>
        <w:spacing w:beforeLines="1" w:afterLines="1"/>
      </w:pPr>
      <w:r w:rsidRPr="00FA7982">
        <w:t>Mobile crisis available 95% of the time by December 2016</w:t>
      </w:r>
    </w:p>
    <w:p w:rsidR="004C608D" w:rsidRPr="00FA7982" w:rsidRDefault="004C608D" w:rsidP="00E04750">
      <w:pPr>
        <w:spacing w:beforeLines="1" w:afterLines="1"/>
      </w:pPr>
    </w:p>
    <w:p w:rsidR="004C608D" w:rsidRPr="00FA7982" w:rsidRDefault="004C608D" w:rsidP="00E04750">
      <w:pPr>
        <w:spacing w:beforeLines="1" w:afterLines="1"/>
      </w:pPr>
      <w:r w:rsidRPr="00FA7982">
        <w:rPr>
          <w:b/>
        </w:rPr>
        <w:t>Individual Reviews of Children</w:t>
      </w:r>
      <w:r w:rsidRPr="00FA7982">
        <w:t xml:space="preserve"> – DBHDS provided the records of six children that are receiving crisis prevention and intervention services through the Region III REACH program. Region III has started its crisis support for children and adolescents using its existing REACH program with licensed staff to provide crisis response. At the time of this review the program had served twelve children and shared the records for six of these individuals. The purpose of this review was to have an initial understanding of the effectiveness of the approach one region was implementing to coordinate crisis services for children and adolescents.</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Individual 1 is eighteen and has a history of psychiatric admission. The family contacted REACH three times between 12/14 and 1/15. REACH provided de-escalation support and provided out of home stabilization through the CTH since he is eighteen. REACH partnered with New River Valley Community Services (NRVCS) for clinical and psychiatric services. REACH provided parent education and responded to family requests for assistance. NRVCS developed an effective service plan to include a fifteen day stabilization plan to prevent readmission; arranged for psychiatry services; coordinated with the treatment team; provided family education; taught coping skills and supported the individual’s transition to adult services.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Individual 2 is ten years old. Her behaviors were becoming more challenging for her family and in-home support staffs were resigning. REACH started immediately to assist the family and had daily contact for eighteen days after the referral. In-home supports and training were provided; linkages were made with the school and community clinicians; triggers were identified and a positive behavioral support plan was implemented. </w:t>
      </w:r>
    </w:p>
    <w:p w:rsidR="004C608D" w:rsidRPr="00FA7982" w:rsidRDefault="004C608D" w:rsidP="00E04750">
      <w:pPr>
        <w:spacing w:beforeLines="1" w:afterLines="1"/>
      </w:pPr>
    </w:p>
    <w:p w:rsidR="004C608D" w:rsidRPr="00FA7982" w:rsidRDefault="004C608D" w:rsidP="00E04750">
      <w:pPr>
        <w:spacing w:beforeLines="1" w:afterLines="1"/>
      </w:pPr>
      <w:r w:rsidRPr="00FA7982">
        <w:t>Individual 3 is fifteen years old. He is in and out of residential treatment and lives with his family when he is stable. He threatens to harm himself and has homicidal ideations. REACH was initially contacted by the hospital. REACH responded immediately and met the family at the hospital. He was admitted but REACH stayed involved. They responded immediately after he returned home but ran away. They continue to support the family and coordinate with the Case Manager. They have developed objectives and interventions to be used when he returns home.</w:t>
      </w:r>
    </w:p>
    <w:p w:rsidR="004C608D" w:rsidRPr="00FA7982" w:rsidRDefault="004C608D" w:rsidP="00E04750">
      <w:pPr>
        <w:spacing w:beforeLines="1" w:afterLines="1"/>
      </w:pPr>
    </w:p>
    <w:p w:rsidR="004C608D" w:rsidRPr="00FA7982" w:rsidRDefault="004C608D" w:rsidP="00E04750">
      <w:pPr>
        <w:spacing w:beforeLines="1" w:afterLines="1"/>
      </w:pPr>
      <w:r w:rsidRPr="00FA7982">
        <w:t>Individual 4 is thirteen years old. REACH has offered supports to his family caregiver who will not accept any assistance. REACH has been involved with his school program. This assistance has allowed the school to continue to educate this adolescent. His behaviors were threatening his continued enrollment before REACH was involved.</w:t>
      </w:r>
    </w:p>
    <w:p w:rsidR="004C608D" w:rsidRPr="00FA7982" w:rsidRDefault="004C608D" w:rsidP="00E04750">
      <w:pPr>
        <w:spacing w:beforeLines="1" w:afterLines="1"/>
      </w:pPr>
    </w:p>
    <w:p w:rsidR="004C608D" w:rsidRPr="00FA7982" w:rsidRDefault="004C608D" w:rsidP="00E04750">
      <w:pPr>
        <w:spacing w:beforeLines="1" w:afterLines="1"/>
      </w:pPr>
      <w:r w:rsidRPr="00FA7982">
        <w:t>Individual 5 is fourteen years old. REACH became involved after the police made a CPS referral. The father had rejected support prior to this referral. REACH responded quickly, developed a crisis prevention plan and contacted the school. He was placed in a short- term residential program as a result of the CPS complaint. REACH will be involved in his discharge planning and return to the community.</w:t>
      </w:r>
    </w:p>
    <w:p w:rsidR="004C608D" w:rsidRPr="00FA7982" w:rsidRDefault="004C608D" w:rsidP="00E04750">
      <w:pPr>
        <w:spacing w:beforeLines="1" w:afterLines="1"/>
      </w:pPr>
    </w:p>
    <w:p w:rsidR="004C608D" w:rsidRPr="00FA7982" w:rsidRDefault="004C608D" w:rsidP="00E04750">
      <w:pPr>
        <w:spacing w:beforeLines="1" w:afterLines="1"/>
      </w:pPr>
      <w:r w:rsidRPr="00FA7982">
        <w:t>Individual 6 is a fifteen year old. He was referred because of his threatening and defiant behavior toward his mother and concerns for her safety. He had intensive care coordination, therapeutic day treatment, psychiatry, and outpatient counseling. REACH responded immediately to the referral meeting him that evening to develop a crisis stabilization plan that was implemented for fifteen days. REACH trained and supported his mother, insured his psychiatric care was increased and included a medication review. Subsequent to implementing the stabilization plan REACH continued to collaborate with the mental health providers, and trained the family and providers in crisis prevention techniques.</w:t>
      </w:r>
    </w:p>
    <w:p w:rsidR="004C608D" w:rsidRPr="00FA7982" w:rsidRDefault="004C608D" w:rsidP="00E04750">
      <w:pPr>
        <w:spacing w:beforeLines="1" w:afterLines="1"/>
      </w:pPr>
    </w:p>
    <w:p w:rsidR="004C608D" w:rsidRPr="00FA7982" w:rsidRDefault="004C608D" w:rsidP="00E04750">
      <w:pPr>
        <w:spacing w:beforeLines="1" w:afterLines="1"/>
      </w:pPr>
      <w:r w:rsidRPr="00FA7982">
        <w:t>These are all excellent examples of an effective crisis prevention and intervention program for children and adolescents that uses and coordinates existing community resources to more effectively support these children to remain safely at home. Region III has decided to expand its REACH team to serve children using the REACH model. This seems entirely appropriate. This is the only region that plans this approach although Region V plans to replicate the REACH model administered by a different CSB. DBHDS will need to determine if the other models are effective once they are implemented.</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The Commonwealth is not in compliance with </w:t>
      </w:r>
      <w:r w:rsidRPr="00FA7982">
        <w:rPr>
          <w:i/>
          <w:iCs/>
        </w:rPr>
        <w:t xml:space="preserve">Section III.C.6.a.i, ii, and iii </w:t>
      </w:r>
      <w:r w:rsidRPr="00FA7982">
        <w:t xml:space="preserve">of the Settlement Agreement because crisis services are not systematically in place and available to children and adolescents.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Recommendations</w:t>
      </w:r>
      <w:r w:rsidRPr="00FA7982">
        <w:t>: The DBHDS has developed a road map to initiate the planning process for serving children and adolescents with I/DD who are in crisis. The elements it proposes are necessary for effective services to be developed. It has begun the process of developing program standards. These standards need to include, requirements for crisis stabilization settings, follow-up and monitoring, staff development, and monitoring and evaluation of service quality to be complete.  It is positive that DBHDS has drafted program standards and will have the same expectations of all five regional children’s crisis service systems. While regional differences exist in terms of the existing capacity and expertise to serve children and adolescents, it is important that the same expectations are set by DBHDS for each regional program and that the regions are monitored to insure consistent implementation. I suggest it expand the list of data requirements to parallel the information provided for the REACH programs with the necessary modifications. DBHDS also needs to confirm in its program standards that Children’s Crisis Services is available to all children and adolescents ages 3-17. Region II’s reports still reference children solely. It should be made clear that the intention of the program is to serve everyone though age seventeen.</w:t>
      </w:r>
    </w:p>
    <w:p w:rsidR="004C608D" w:rsidRPr="00FA7982" w:rsidRDefault="004C608D" w:rsidP="00E04750">
      <w:pPr>
        <w:spacing w:beforeLines="1" w:afterLines="1"/>
      </w:pPr>
    </w:p>
    <w:p w:rsidR="004C608D" w:rsidRPr="00FA7982" w:rsidRDefault="004C608D" w:rsidP="00E04750">
      <w:pPr>
        <w:spacing w:beforeLines="1" w:afterLines="1"/>
      </w:pPr>
      <w:r w:rsidRPr="00FA7982">
        <w:t>The DBHDS has set timelines for two major outcomes of crisis services: response time and the availability of mobile crisis services. Each region should develop a work plan that details each area of its responsibility for implementation with timelines and responsible staff or organizations. They should report progress on a semi-annual basis. The full training curriculum should be shared with the Independent Reviewer when it is completed.</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rPr>
          <w:b/>
          <w:bCs/>
        </w:rPr>
        <w:t xml:space="preserve">B. REACH SERVICES FOR ADULTS </w:t>
      </w:r>
    </w:p>
    <w:p w:rsidR="004C608D" w:rsidRPr="00FA7982" w:rsidRDefault="004C608D" w:rsidP="00E04750">
      <w:pPr>
        <w:spacing w:beforeLines="1" w:afterLines="1"/>
      </w:pPr>
      <w:r w:rsidRPr="00FA7982">
        <w:t>Regions received referrals for 132 individuals in Quarter II and 140 individuals in Quarter III. The total of 272 individuals who were referred in this review period compares with a total of 232 in the previous review period. The data no longer includes information about the total number of individuals REACH serves. There were a total of 520 calls in Quarter II of which 153 required a face-to-face response. There were a total of 1,058 calls during Quarter III of which 246 were of a crisis nature. The data is defined differently in each quarter.</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 In this reporting period, Case Managers made 75% of the referrals in Quarter II and 64% in Quarter III. During Quarter II only Regions I an V report that DD Case Managers made referrals and in Quarter III DD Case Managers made referrals in Regions I, IV and V. DBHDS reports that nineteen individuals with DD were referred in Quarter II and thirty-four individuals with DD were referred in Quarter III. This is a significant increase over other reporting periods but it now includes individuals who have both ID and DD. Previous reports only included individuals whose primary diagnosis is DD. The reports need to specify the referrals for individuals whose primary diagnosis is DD so the Parties are able to determine if this service is effectively serving individuals on the DD waiver or those who are on the waiting list for the DD waiver.</w:t>
      </w:r>
    </w:p>
    <w:p w:rsidR="004C608D" w:rsidRPr="00FA7982" w:rsidRDefault="004C608D" w:rsidP="00E04750">
      <w:pPr>
        <w:spacing w:beforeLines="1" w:afterLines="1"/>
      </w:pPr>
    </w:p>
    <w:p w:rsidR="004C608D" w:rsidRPr="00FA7982" w:rsidRDefault="004C608D" w:rsidP="00E04750">
      <w:pPr>
        <w:spacing w:beforeLines="1" w:afterLines="1"/>
      </w:pPr>
      <w:r w:rsidRPr="00FA7982">
        <w:t>Services were provided as follows during the reporting period:</w:t>
      </w:r>
    </w:p>
    <w:p w:rsidR="004C608D" w:rsidRPr="00FA7982" w:rsidRDefault="004C608D" w:rsidP="00E04750">
      <w:pPr>
        <w:pStyle w:val="ListParagraph"/>
        <w:numPr>
          <w:ilvl w:val="0"/>
          <w:numId w:val="71"/>
        </w:numPr>
        <w:spacing w:beforeLines="1" w:afterLines="1"/>
      </w:pPr>
      <w:r w:rsidRPr="00FA7982">
        <w:t>154 adults received CTH services and 91 adults received Mobile Crisis Support during QII</w:t>
      </w:r>
    </w:p>
    <w:p w:rsidR="004C608D" w:rsidRPr="00FA7982" w:rsidRDefault="004C608D" w:rsidP="00E04750">
      <w:pPr>
        <w:pStyle w:val="ListParagraph"/>
        <w:numPr>
          <w:ilvl w:val="0"/>
          <w:numId w:val="71"/>
        </w:numPr>
        <w:spacing w:beforeLines="1" w:afterLines="1"/>
        <w:rPr>
          <w:rFonts w:ascii="Times" w:hAnsi="Times"/>
        </w:rPr>
      </w:pPr>
      <w:r w:rsidRPr="00FA7982">
        <w:t>134 individuals of the individuals served in QII required crisis stabilization in the CTH program and 69 received crisis stabilization from Mobile Crisis Support. Region II did not provide any crisis stabilization from its Mobile Crisis Support and Region V provided it for only two of the individuals served</w:t>
      </w:r>
    </w:p>
    <w:p w:rsidR="004C608D" w:rsidRPr="00FA7982" w:rsidRDefault="004C608D" w:rsidP="00E04750">
      <w:pPr>
        <w:pStyle w:val="ListParagraph"/>
        <w:numPr>
          <w:ilvl w:val="0"/>
          <w:numId w:val="71"/>
        </w:numPr>
        <w:spacing w:beforeLines="1" w:afterLines="1"/>
        <w:rPr>
          <w:rFonts w:ascii="Times" w:hAnsi="Times"/>
        </w:rPr>
      </w:pPr>
      <w:r w:rsidRPr="00FA7982">
        <w:t>Ninety-four adults received CTH services and 134 adults received Mobile Crisis Support during QIII. All of these individuals received crisis stabilization</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DBHDS reports on the outcomes for individuals who are hospitalized as a result of the crisis and what involvements REACH has with them prior to and post hospitalization. DBHDS is to report if these individuals eventually return home or if an alternative placement needs to be located for them. Thirty-one individuals in FY15 QII and eighty-eight individuals in FY15 QIII required some type of psychiatric hospitalization. This is an increase of seventy-two individuals compared to the previous reporting period. Of the thirty-one reported in QII nineteen retained their original placement and six transitioned to a new community placement post discharge. Two utilized the CTH program. Others may have remained hospitalized at the time of the report. </w:t>
      </w:r>
    </w:p>
    <w:p w:rsidR="004C608D" w:rsidRPr="00FA7982" w:rsidRDefault="004C608D" w:rsidP="00E04750">
      <w:pPr>
        <w:spacing w:beforeLines="1" w:afterLines="1"/>
      </w:pPr>
      <w:r w:rsidRPr="00FA7982">
        <w:t>During QIII 53% of the individuals retained their placement with the majority (fifteen) in Region IV. A total of thirty-six retained their original placement. Other individuals returned to family homes, transitioned to a community residence or used the CTH as a step down. At the time of the report 15% remained hospitalized but DBHDS was only able to report on sixty-two of the eight-eight individuals that were hospitalized. DBHDS did not report on the final disposition for the 13% that used the CTH. The high number of psychiatric hospitalizations and the significant increase in hospitalizations is troubling.</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DBHDS reports that the REACH program remains actively involved with all individuals that are hospitalized when they are aware of the hospitalization. They participate in the admission, attend commitment hearings, attend treatment team meetings, visit and consult with the treatment team. REACH is working with the CSB ES personnel to increase their awareness of these hospitalizations. The Commonwealth is exploring ways to acquire data on admissions to private hospitals. </w:t>
      </w:r>
    </w:p>
    <w:p w:rsidR="004C608D" w:rsidRPr="00FA7982" w:rsidRDefault="004C608D" w:rsidP="00E04750">
      <w:pPr>
        <w:spacing w:beforeLines="1" w:afterLines="1"/>
      </w:pPr>
    </w:p>
    <w:p w:rsidR="004C608D" w:rsidRPr="00FA7982" w:rsidRDefault="004C608D" w:rsidP="00E04750">
      <w:pPr>
        <w:spacing w:beforeLines="1" w:afterLines="1"/>
      </w:pPr>
      <w:r w:rsidRPr="00FA7982">
        <w:rPr>
          <w:b/>
        </w:rPr>
        <w:t>Training</w:t>
      </w:r>
      <w:r w:rsidRPr="00FA7982">
        <w:t>- The REACH programs provide training to stakeholders every quarter. The audiences include law enforcement personnel, CSB Case Managers, ES workers, and other community partners. During the reporting period a total of 967 individuals were trained across the five regions. This included 226 law enforcement officers, 355 CSB Case Managers, 46 ES staff, 9 hospital staff, and 331 noted as other. The regions are inconsistent in the amount of training they provide. Regions II and IV are consistently lower than the other three regions providing training to the various community partners and neither region trained any police officers or ES staff during the review period. DBHDS should place training requirements on the REACH programs. There is no specific information to determine if any DD Case Managers have been trained although training materials are now available on the website and required for new DD Case Managers. DBHDS should report on training for this staff category.</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DBHDS does recognize the regional differences in training. It has developed a training presentation for case management staff and ES personnel. This presentation was first offered in January and attended by sixty-five professionals. DBHDS plans to require this training of all new emergency workers and case managers. It will be offered online as part of employee orientation.  It is part of the online training available to both ID and DD Case Managers.  I spoke with one DD Case Manager who has accessed the online training, was invited to the January training session and has received numerous email notifications and updates about the REACH program.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rPr>
        <w:t>Outreach to the DD Community</w:t>
      </w:r>
      <w:r w:rsidRPr="00FA7982">
        <w:t>- DBHDS has developed and begun implementing a plan to reach out to individuals with DD, their families and providers, and the broader community serving individuals with DD, other than ID. DD Case Managers are now receiving training and information regarding REACH services.  Each region shares its brochure with all case managers. The DBHDS will issue a reminder asking the case managers to share this information with families. ES staff are trained to understand that REACH services are also a resource for individuals with DD. DBHDS is enhancing its communication with state and private mental health hospitals. REACH staff present to statewide and local conferences to educate families and providers. Public Guardian Supervisors were trained in July 2014. DBHDS has sought the advice and recommendations of the Autism Society of Central Virginia to reach more families of individuals with DD to make them aware of the crisis supports that are available. DBHDS continues to work with other partners including Commonwealth Autism Service, Virginia Autism Center for Excellence and the Arc of Virginia to help distribute information about the REACH Program. The Virginia 211 site was updated in December 2014 to include current information about the REACH crisis services and its availability to both individuals with ID or DD. The training session in January was specifically for DD Case Managers and was attended by sixty-five staff.</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Recommendations</w:t>
      </w:r>
      <w:r w:rsidRPr="00FA7982">
        <w:t xml:space="preserve">: </w:t>
      </w:r>
    </w:p>
    <w:p w:rsidR="004C608D" w:rsidRPr="00FA7982" w:rsidRDefault="004C608D" w:rsidP="00E04750">
      <w:pPr>
        <w:spacing w:beforeLines="1" w:afterLines="1"/>
      </w:pPr>
    </w:p>
    <w:p w:rsidR="004C608D" w:rsidRPr="00FA7982" w:rsidRDefault="004C608D" w:rsidP="00E04750">
      <w:pPr>
        <w:spacing w:beforeLines="1" w:afterLines="1"/>
      </w:pPr>
      <w:r w:rsidRPr="00FA7982">
        <w:t>DBHDS should gather, analyze and provide consistent information about the services provided through REACH, the number of individuals with DD referred and served and more specific information about individuals who experience psychiatric hospitalizations. It is useful to know if these are appropriate hospitalizations or necessitated by the lack of community crisis and behavioral support; the involvement of REACH staff; the duration of hospitalization; and the number of individuals who experience repeated hospitalizations. DBHDS should establish training expectations for the REACH programs to train ES staff and determine how to insure existing ID and DD Case Managers are trained. It should also establish expectations for the ongoing outreach to law enforcement personnel in each REACH area to expand upon the training module and develop cooperative relationships. DBHDS should monitor compliance with its standards and expectations and take corrective action when indicated.</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b/>
          <w:bCs/>
        </w:rPr>
      </w:pPr>
      <w:r w:rsidRPr="00FA7982">
        <w:rPr>
          <w:b/>
          <w:bCs/>
        </w:rPr>
        <w:t xml:space="preserve">C. </w:t>
      </w:r>
      <w:r w:rsidR="00655EDC" w:rsidRPr="00FA7982">
        <w:rPr>
          <w:b/>
          <w:bCs/>
        </w:rPr>
        <w:t xml:space="preserve">REVIEWS OF INDIVIDUALS USING REACH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This review included reviewing the services ten randomly selected individuals received. The focus of this review was to determine the adequacy of mobile crisis supports for individuals who are supported to remain in their homes. Two individuals were randomly selected from each region. Six of the individuals lived in group homes, two individuals lived at home with their families, one person was referred upon discharge from jail, and one was referred upon discharge from a residential facility. In the latter two situations REACH was very involved in assisting the individual to transition back to the community. The initial response to the referral was face-to-face for six of the individuals and through a phone consultation for the remaining four individuals. These all appear to be appropriate responses. Response time for face-to-face responses is determined using the criteria of either one or two hours. Response time is considered met for phone responses if the initial call was responded to immediately. Regions I, II and III responded in a timely fashion consistently.  These three regions also all had interim crisis plans. Regions I and II had assessments for both individuals reviewed. Region I and Region IV established community linkages or connected with existing community supports for both of the individuals it serves. Region V showed evidence of the involvement of the Case Manager for both of the individuals it serves.</w:t>
      </w:r>
    </w:p>
    <w:p w:rsidR="004C608D" w:rsidRPr="00FA7982" w:rsidRDefault="004C608D" w:rsidP="00E04750">
      <w:pPr>
        <w:spacing w:beforeLines="1" w:afterLines="1"/>
      </w:pPr>
    </w:p>
    <w:p w:rsidR="004C608D" w:rsidRPr="00FA7982" w:rsidRDefault="004C608D" w:rsidP="00E04750">
      <w:pPr>
        <w:spacing w:beforeLines="1" w:afterLines="1"/>
      </w:pPr>
      <w:r w:rsidRPr="00FA7982">
        <w:t>Only one of the randomly selected individuals to review experienced a psychiatric hospitalization during their involvement with REACH Region IV. REACH maintained its involvement with this individual. REACH provided training for staff, mobile crisis services, a crisis stabilization plan and use of the CTH program. The individual could benefit from a thorough medication review and clinical support from professionals with experience supporting an individual with a co-occurring condition.</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REACH was contacted for one individual when he was being released from jail and provided support and coordination for his transition to a new community residential provider.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I spoke with one mother whose daughter was served by REACH. She was very satisfied with the services and response of the REACH team. She was particularly pleased with the access her daughter has to the CTH program that she has used on both an emergency and planned basis. She received some training but does not remember receiving a crisis support plan.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Table 1 below summarizes the findings of the ten individual reviews. The ratings of Not Met for In-home supports (IHS) do not necessarily note that it was needed, but that it was not part of the interim plan. All of the individuals reviewed have stayed in their homes or residential placements. </w:t>
      </w:r>
    </w:p>
    <w:p w:rsidR="004C608D" w:rsidRPr="00FA7982" w:rsidRDefault="004C608D" w:rsidP="00E04750">
      <w:pPr>
        <w:spacing w:beforeLines="1" w:afterLines="1"/>
      </w:pPr>
    </w:p>
    <w:p w:rsidR="004C608D" w:rsidRPr="00FA7982" w:rsidRDefault="004C608D" w:rsidP="00E04750">
      <w:pPr>
        <w:spacing w:beforeLines="1" w:afterLines="1"/>
        <w:rPr>
          <w:b/>
          <w:bCs/>
          <w:i/>
          <w:iCs/>
        </w:rPr>
      </w:pPr>
      <w:r w:rsidRPr="00FA7982">
        <w:rPr>
          <w:b/>
          <w:bCs/>
          <w:i/>
          <w:iCs/>
        </w:rPr>
        <w:t xml:space="preserve">TABLE 1: REVIEWS OF INDIVIDUAL USING REACH SERVICES </w:t>
      </w:r>
    </w:p>
    <w:p w:rsidR="004C608D" w:rsidRPr="00FA7982" w:rsidRDefault="004C608D" w:rsidP="00E04750">
      <w:pPr>
        <w:spacing w:beforeLines="1" w:afterLines="1"/>
        <w:rPr>
          <w:rFonts w:ascii="Times" w:hAnsi="Times"/>
        </w:rPr>
      </w:pPr>
    </w:p>
    <w:tbl>
      <w:tblPr>
        <w:tblW w:w="0" w:type="auto"/>
        <w:tblLayout w:type="fixed"/>
        <w:tblCellMar>
          <w:top w:w="15" w:type="dxa"/>
          <w:left w:w="15" w:type="dxa"/>
          <w:bottom w:w="15" w:type="dxa"/>
          <w:right w:w="15" w:type="dxa"/>
        </w:tblCellMar>
        <w:tblLook w:val="0000"/>
      </w:tblPr>
      <w:tblGrid>
        <w:gridCol w:w="555"/>
        <w:gridCol w:w="1371"/>
        <w:gridCol w:w="964"/>
        <w:gridCol w:w="1175"/>
        <w:gridCol w:w="900"/>
        <w:gridCol w:w="815"/>
        <w:gridCol w:w="963"/>
        <w:gridCol w:w="963"/>
        <w:gridCol w:w="1669"/>
      </w:tblGrid>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RESPONSE</w:t>
            </w:r>
          </w:p>
          <w:p w:rsidR="004C608D" w:rsidRPr="00F504B3" w:rsidRDefault="004C608D" w:rsidP="004C608D">
            <w:pPr>
              <w:jc w:val="center"/>
              <w:rPr>
                <w:rFonts w:ascii="Times" w:hAnsi="Times"/>
                <w:b/>
              </w:rPr>
            </w:pPr>
            <w:r w:rsidRPr="00F504B3">
              <w:rPr>
                <w:rFonts w:ascii="Times" w:hAnsi="Times"/>
                <w:b/>
              </w:rPr>
              <w:t>TIME</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ASSESSMENT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INTERIM</w:t>
            </w:r>
          </w:p>
          <w:p w:rsidR="004C608D" w:rsidRPr="00F504B3" w:rsidRDefault="004C608D" w:rsidP="004C608D">
            <w:pPr>
              <w:jc w:val="center"/>
              <w:rPr>
                <w:rFonts w:ascii="Times" w:hAnsi="Times"/>
                <w:b/>
              </w:rPr>
            </w:pPr>
            <w:r w:rsidRPr="00F504B3">
              <w:rPr>
                <w:rFonts w:ascii="Times" w:hAnsi="Times"/>
                <w:b/>
              </w:rPr>
              <w:t>PLAN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CSCP</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IHS</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TRNG</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CASE</w:t>
            </w:r>
          </w:p>
          <w:p w:rsidR="004C608D" w:rsidRPr="00F504B3" w:rsidRDefault="004C608D" w:rsidP="004C608D">
            <w:pPr>
              <w:jc w:val="center"/>
              <w:rPr>
                <w:rFonts w:ascii="Times" w:hAnsi="Times"/>
                <w:b/>
              </w:rPr>
            </w:pPr>
            <w:r w:rsidRPr="00F504B3">
              <w:rPr>
                <w:rFonts w:ascii="Times" w:hAnsi="Times"/>
                <w:b/>
              </w:rPr>
              <w:t>MNGR</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4C608D">
            <w:pPr>
              <w:jc w:val="center"/>
              <w:rPr>
                <w:rFonts w:ascii="Times" w:hAnsi="Times"/>
                <w:b/>
              </w:rPr>
            </w:pPr>
            <w:r w:rsidRPr="00F504B3">
              <w:rPr>
                <w:rFonts w:ascii="Times" w:hAnsi="Times"/>
                <w:b/>
              </w:rPr>
              <w:t>COMM</w:t>
            </w:r>
          </w:p>
          <w:p w:rsidR="004C608D" w:rsidRPr="00F504B3" w:rsidRDefault="004C608D" w:rsidP="004C608D">
            <w:pPr>
              <w:jc w:val="center"/>
              <w:rPr>
                <w:rFonts w:ascii="Times" w:hAnsi="Times"/>
                <w:b/>
              </w:rPr>
            </w:pPr>
            <w:r w:rsidRPr="00F504B3">
              <w:rPr>
                <w:rFonts w:ascii="Times" w:hAnsi="Times"/>
                <w:b/>
              </w:rPr>
              <w:t>LINKS</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NOT 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3</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NOT</w:t>
            </w:r>
          </w:p>
          <w:p w:rsidR="004C608D" w:rsidRPr="0057202C" w:rsidRDefault="004C608D" w:rsidP="00E04750">
            <w:pPr>
              <w:spacing w:beforeLines="1" w:afterLines="1"/>
              <w:jc w:val="center"/>
              <w:rPr>
                <w:rFonts w:ascii="Times" w:hAnsi="Times"/>
                <w:sz w:val="22"/>
                <w:szCs w:val="22"/>
              </w:rPr>
            </w:pPr>
            <w:r w:rsidRPr="0057202C">
              <w:rPr>
                <w:sz w:val="22"/>
                <w:szCs w:val="22"/>
              </w:rPr>
              <w:t xml:space="preserve"> 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NOT 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5</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NOT 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rFonts w:ascii="Times" w:hAnsi="Times"/>
                <w:sz w:val="22"/>
                <w:szCs w:val="22"/>
              </w:rPr>
            </w:pPr>
            <w:r w:rsidRPr="0057202C">
              <w:rPr>
                <w:rFonts w:ascii="Times" w:hAnsi="Times"/>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6</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NOT</w:t>
            </w:r>
          </w:p>
          <w:p w:rsidR="004C608D" w:rsidRPr="0057202C" w:rsidRDefault="004C608D" w:rsidP="00E04750">
            <w:pPr>
              <w:spacing w:beforeLines="1" w:afterLines="1"/>
              <w:jc w:val="center"/>
              <w:rPr>
                <w:rFonts w:ascii="Times" w:hAnsi="Times"/>
                <w:sz w:val="22"/>
                <w:szCs w:val="22"/>
              </w:rPr>
            </w:pPr>
            <w:r w:rsidRPr="0057202C">
              <w:rPr>
                <w:sz w:val="22"/>
                <w:szCs w:val="22"/>
              </w:rPr>
              <w:t xml:space="preserve"> 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7</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8</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9</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NOT</w:t>
            </w:r>
          </w:p>
          <w:p w:rsidR="004C608D" w:rsidRPr="0057202C" w:rsidRDefault="004C608D" w:rsidP="00E04750">
            <w:pPr>
              <w:spacing w:beforeLines="1" w:afterLines="1"/>
              <w:jc w:val="center"/>
              <w:rPr>
                <w:rFonts w:ascii="Times" w:hAnsi="Times"/>
                <w:sz w:val="22"/>
                <w:szCs w:val="22"/>
              </w:rPr>
            </w:pPr>
            <w:r w:rsidRPr="0057202C">
              <w:rPr>
                <w:sz w:val="22"/>
                <w:szCs w:val="22"/>
              </w:rPr>
              <w:t xml:space="preserve"> 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NOT 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rFonts w:ascii="Times" w:hAnsi="Times"/>
                <w:sz w:val="22"/>
                <w:szCs w:val="22"/>
              </w:rPr>
              <w:t>NOT 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02C"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rFonts w:ascii="Times" w:hAnsi="Times"/>
                <w:b/>
              </w:rPr>
            </w:pPr>
            <w:r w:rsidRPr="00F504B3">
              <w:rPr>
                <w:b/>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NOT</w:t>
            </w:r>
          </w:p>
          <w:p w:rsidR="004C608D" w:rsidRPr="0057202C" w:rsidRDefault="004C608D" w:rsidP="00E04750">
            <w:pPr>
              <w:spacing w:beforeLines="1" w:afterLines="1"/>
              <w:jc w:val="center"/>
              <w:rPr>
                <w:rFonts w:ascii="Times" w:hAnsi="Times"/>
                <w:sz w:val="22"/>
                <w:szCs w:val="22"/>
              </w:rPr>
            </w:pPr>
            <w:r w:rsidRPr="0057202C">
              <w:rPr>
                <w:sz w:val="22"/>
                <w:szCs w:val="22"/>
              </w:rPr>
              <w:t xml:space="preserve"> MET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68" w:rsidRDefault="004C608D" w:rsidP="00E04750">
            <w:pPr>
              <w:spacing w:beforeLines="1" w:afterLines="1"/>
              <w:jc w:val="center"/>
              <w:rPr>
                <w:sz w:val="22"/>
                <w:szCs w:val="22"/>
              </w:rPr>
            </w:pPr>
            <w:r w:rsidRPr="0057202C">
              <w:rPr>
                <w:sz w:val="22"/>
                <w:szCs w:val="22"/>
              </w:rPr>
              <w:t xml:space="preserve">NOT </w:t>
            </w:r>
          </w:p>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57202C" w:rsidRDefault="004C608D" w:rsidP="00E04750">
            <w:pPr>
              <w:spacing w:beforeLines="1" w:afterLines="1"/>
              <w:jc w:val="center"/>
              <w:rPr>
                <w:rFonts w:ascii="Times" w:hAnsi="Times"/>
                <w:sz w:val="22"/>
                <w:szCs w:val="22"/>
              </w:rPr>
            </w:pPr>
            <w:r w:rsidRPr="0057202C">
              <w:rPr>
                <w:sz w:val="22"/>
                <w:szCs w:val="22"/>
              </w:rPr>
              <w:t>MET</w:t>
            </w:r>
          </w:p>
        </w:tc>
      </w:tr>
      <w:tr w:rsidR="004C608D" w:rsidRPr="00FA7982" w:rsidTr="004C608D">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504B3" w:rsidRDefault="004C608D" w:rsidP="00E04750">
            <w:pPr>
              <w:spacing w:beforeLines="1" w:afterLines="1"/>
              <w:jc w:val="center"/>
              <w:rPr>
                <w:b/>
              </w:rPr>
            </w:pPr>
            <w:r w:rsidRPr="00F504B3">
              <w:rPr>
                <w:b/>
              </w:rPr>
              <w:t>% MET</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70%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70%</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80%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40%</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50%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70%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50%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775A14" w:rsidRDefault="004C608D" w:rsidP="00E04750">
            <w:pPr>
              <w:spacing w:beforeLines="1" w:afterLines="1"/>
              <w:jc w:val="center"/>
              <w:rPr>
                <w:b/>
              </w:rPr>
            </w:pPr>
            <w:r w:rsidRPr="00775A14">
              <w:rPr>
                <w:b/>
              </w:rPr>
              <w:t>60%</w:t>
            </w:r>
          </w:p>
        </w:tc>
      </w:tr>
    </w:tbl>
    <w:p w:rsidR="004C608D" w:rsidRPr="00FA7982" w:rsidRDefault="004C608D" w:rsidP="00E04750">
      <w:pPr>
        <w:spacing w:beforeLines="1" w:afterLines="1"/>
        <w:rPr>
          <w:rFonts w:ascii="Times New Roman" w:hAnsi="Times New Roman"/>
        </w:rPr>
      </w:pPr>
    </w:p>
    <w:p w:rsidR="004161CB" w:rsidRDefault="004C608D" w:rsidP="00E04750">
      <w:pPr>
        <w:pStyle w:val="ListParagraph"/>
        <w:numPr>
          <w:ilvl w:val="0"/>
          <w:numId w:val="67"/>
        </w:numPr>
        <w:tabs>
          <w:tab w:val="clear" w:pos="720"/>
        </w:tabs>
        <w:spacing w:beforeLines="1" w:afterLines="1"/>
        <w:ind w:left="450" w:hanging="450"/>
      </w:pPr>
      <w:r w:rsidRPr="00FA7982">
        <w:t xml:space="preserve">Individual #10 was not initially supported well by the REACH program at the time of the most recent referral (8/22/14). The CM re-wrote the interim crisis plan because </w:t>
      </w:r>
    </w:p>
    <w:p w:rsidR="004C608D" w:rsidRPr="00FA7982" w:rsidRDefault="004C608D" w:rsidP="00E04750">
      <w:pPr>
        <w:spacing w:beforeLines="1" w:afterLines="1"/>
        <w:ind w:left="450"/>
      </w:pPr>
      <w:r w:rsidRPr="00FA7982">
        <w:t>of its weaknesses. The CSCP is noted as available because the REACH staff found a previously developed CSCP and used it that proved to be reasonably successful.</w:t>
      </w:r>
    </w:p>
    <w:p w:rsidR="004C608D" w:rsidRPr="00FA7982" w:rsidRDefault="004C608D" w:rsidP="00E04750">
      <w:pPr>
        <w:spacing w:beforeLines="1" w:afterLines="1"/>
        <w:ind w:left="360"/>
      </w:pPr>
    </w:p>
    <w:p w:rsidR="004C608D" w:rsidRPr="00FA7982" w:rsidRDefault="004C608D" w:rsidP="00E04750">
      <w:pPr>
        <w:spacing w:beforeLines="1" w:afterLines="1"/>
      </w:pPr>
      <w:r w:rsidRPr="00FA7982">
        <w:t xml:space="preserve">As a result of these reviews I have concerns about the development of Cross Systems Crisis Plans; the involvement of the Case Manager with REACH; and the need to more formally link to community resources to support the individual in a consistent fashion to prevent future crises. It will be important to interview Case Managers, providers and REACH Coordinators in future reviews. This will provide a more comprehensive understanding of the extent to which the REACH programs fulfill the Commonwealth’s crisis services responsibilities. Often data were missing so there was not written evidence that a component of REACH was in place.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 xml:space="preserve">Conclusions: </w:t>
      </w:r>
      <w:r w:rsidRPr="00FA7982">
        <w:t xml:space="preserve">The DBHDS is not in compliance with </w:t>
      </w:r>
      <w:r w:rsidRPr="00FA7982">
        <w:rPr>
          <w:i/>
          <w:iCs/>
        </w:rPr>
        <w:t xml:space="preserve">Section III.C.6.a.i, 6.a.ii, and 6.a.iii. </w:t>
      </w:r>
      <w:r w:rsidRPr="00FA7982">
        <w:t xml:space="preserve">The program elements are in place for adults with ID and the REACH teams are generally meeting the expectations for serving this specific population although there are areas for program improvement and documentation. However, DBHDS does not have a statewide crisis system in place for children and adolescents who experience a crisis; nor can DBHDS assure that it is reaching all of the individuals with DD who need and may benefit from the crisis system. </w:t>
      </w:r>
    </w:p>
    <w:p w:rsidR="004C608D" w:rsidRPr="00FA7982" w:rsidRDefault="004C608D" w:rsidP="00E04750">
      <w:pPr>
        <w:spacing w:beforeLines="1" w:afterLines="1"/>
      </w:pPr>
    </w:p>
    <w:p w:rsidR="004C608D" w:rsidRPr="00FA7982" w:rsidRDefault="004C608D" w:rsidP="00E04750">
      <w:pPr>
        <w:spacing w:beforeLines="1" w:afterLines="1"/>
        <w:rPr>
          <w:rFonts w:ascii="Times" w:hAnsi="Times"/>
        </w:rPr>
      </w:pPr>
    </w:p>
    <w:p w:rsidR="004C608D" w:rsidRPr="00F5532A" w:rsidRDefault="004C608D" w:rsidP="00E04750">
      <w:pPr>
        <w:spacing w:beforeLines="1" w:afterLines="1"/>
        <w:rPr>
          <w:b/>
          <w:bCs/>
          <w:u w:val="single"/>
        </w:rPr>
      </w:pPr>
      <w:r w:rsidRPr="00F5532A">
        <w:rPr>
          <w:b/>
          <w:bCs/>
          <w:u w:val="single"/>
        </w:rPr>
        <w:t xml:space="preserve">SECTION 5: ELEMENTS OF THE CRISIS RESPONSE SYSTEM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rPr>
          <w:i/>
          <w:iCs/>
        </w:rPr>
        <w:t xml:space="preserve">6.b. The Crisis system shall include the following components: </w:t>
      </w:r>
    </w:p>
    <w:p w:rsidR="004C608D" w:rsidRPr="00FA7982" w:rsidRDefault="004C608D" w:rsidP="00E04750">
      <w:pPr>
        <w:spacing w:beforeLines="1" w:afterLines="1"/>
        <w:rPr>
          <w:i/>
          <w:iCs/>
        </w:rPr>
      </w:pPr>
      <w:r w:rsidRPr="00FA7982">
        <w:rPr>
          <w:i/>
          <w:iCs/>
        </w:rPr>
        <w:t>i. A. Crisis Point of Entry</w:t>
      </w:r>
      <w:r w:rsidRPr="00FA7982">
        <w:rPr>
          <w:i/>
          <w:iCs/>
        </w:rPr>
        <w:br/>
        <w:t xml:space="preserve">The Commonwealth shall utilize existing CSB Emergency Services, including existing CSB hotlines, for individuals to access information about and referrals to local resources. Such hotlines shall be operated 24 hours per day, 7 days per week and staffed with clinical professionals who are able to assess crises by phone and assist the caller in identifying and connecting with local services. Where necessary, the crisis hotline will dispatch at least one mobile crisis team member who is adequately trained to address the crisis.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In all Regions REACH continues to be available 24 hours each day to respond to crises. There were 129 referrals included in the data the DBHDS provided about the time of day referrals were made for FY15 QII. One hundred twenty-five of these occurred on weekdays and four on the weekends. Seventy-five calls were received between 8-2; forty-three between 3PM and 8PM and four after 9PM. One hundred forty calls were received during FY15 QIII of which only one was during a weekend. Fourteen of the calls were received after 5PM including five between 9PM and 7AM.</w:t>
      </w:r>
    </w:p>
    <w:p w:rsidR="004C608D" w:rsidRPr="00FA7982" w:rsidRDefault="004C608D" w:rsidP="00E04750">
      <w:pPr>
        <w:spacing w:beforeLines="1" w:afterLines="1"/>
      </w:pPr>
    </w:p>
    <w:p w:rsidR="004C608D" w:rsidRPr="00FA7982" w:rsidRDefault="004C608D" w:rsidP="00E04750">
      <w:pPr>
        <w:spacing w:beforeLines="1" w:afterLines="1"/>
        <w:rPr>
          <w:i/>
          <w:iCs/>
        </w:rPr>
      </w:pPr>
      <w:r w:rsidRPr="00FA7982">
        <w:rPr>
          <w:b/>
          <w:bCs/>
          <w:i/>
          <w:iCs/>
        </w:rPr>
        <w:t>Conclusion</w:t>
      </w:r>
      <w:r w:rsidRPr="00FA7982">
        <w:t xml:space="preserve">: The Commonwealth is in compliance with </w:t>
      </w:r>
      <w:r w:rsidRPr="00FA7982">
        <w:rPr>
          <w:i/>
          <w:iCs/>
        </w:rPr>
        <w:t>Section III.C.6.b.i.A.</w:t>
      </w:r>
    </w:p>
    <w:p w:rsidR="004C608D" w:rsidRPr="00FA7982" w:rsidRDefault="004C608D" w:rsidP="00E04750">
      <w:pPr>
        <w:spacing w:beforeLines="1" w:afterLines="1"/>
        <w:rPr>
          <w:i/>
          <w:iCs/>
        </w:rPr>
      </w:pPr>
    </w:p>
    <w:p w:rsidR="004C608D" w:rsidRPr="00FA7982" w:rsidRDefault="004C608D" w:rsidP="00E04750">
      <w:pPr>
        <w:spacing w:beforeLines="1" w:afterLines="1"/>
        <w:rPr>
          <w:i/>
          <w:iCs/>
        </w:rPr>
      </w:pPr>
      <w:r w:rsidRPr="00FA7982">
        <w:rPr>
          <w:i/>
          <w:iCs/>
        </w:rPr>
        <w:t>B. By June 30, 2012 the Commonwealth shall train CSB Emergency personnel in each Health Planning Region on the new crisis response system it is establishin</w:t>
      </w:r>
      <w:r w:rsidR="003D4F28">
        <w:rPr>
          <w:rFonts w:ascii="Wingdings" w:hAnsi="Wingdings"/>
          <w:color w:val="000000"/>
        </w:rPr>
        <w:t></w:t>
      </w:r>
      <w:r w:rsidR="003D4F28" w:rsidRPr="00773952">
        <w:rPr>
          <w:rFonts w:ascii="Wingdings" w:hAnsi="Wingdings"/>
          <w:color w:val="000000"/>
        </w:rPr>
        <w:t></w:t>
      </w:r>
      <w:r w:rsidR="003D4F28">
        <w:rPr>
          <w:rFonts w:ascii="Wingdings" w:hAnsi="Wingdings"/>
          <w:color w:val="000000"/>
        </w:rPr>
        <w:t></w:t>
      </w:r>
      <w:r w:rsidR="003D4F28" w:rsidRPr="00872254">
        <w:rPr>
          <w:rFonts w:ascii="Baskerville" w:hAnsi="Baskerville" w:cs="Baskerville"/>
        </w:rPr>
        <w:t xml:space="preserve"> </w:t>
      </w:r>
      <w:r w:rsidRPr="00FA7982">
        <w:rPr>
          <w:i/>
          <w:iCs/>
        </w:rPr>
        <w:t xml:space="preserve">g, how to make referrals, and the resources that are available.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Regions continue to train CSB ES staff and report on this quarterly. During this reporting period only three regions provided training to CSB ES staff. The total ES staff trained during this reporting period was forty-six compared to sixty-three during the previous reporting period.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The Independent Reviewer requested a plan from DBHDS by June 30, 2014 to specify that all CSB ES personnel will be trained using a standardized curriculum and this training will be tracked. The DBHDS has developed a standardized curriculum during this reporting period and all new ES staff and case managers will be required to be trained about REACH.</w:t>
      </w:r>
    </w:p>
    <w:p w:rsidR="004C608D" w:rsidRPr="00FA7982" w:rsidRDefault="004C608D" w:rsidP="00E04750">
      <w:pPr>
        <w:spacing w:beforeLines="1" w:afterLines="1"/>
      </w:pPr>
      <w:r w:rsidRPr="00FA7982">
        <w:br/>
      </w:r>
      <w:r w:rsidRPr="00FA7982">
        <w:rPr>
          <w:b/>
          <w:bCs/>
          <w:i/>
          <w:iCs/>
        </w:rPr>
        <w:t xml:space="preserve">Conclusion: </w:t>
      </w:r>
      <w:r w:rsidRPr="00FA7982">
        <w:t xml:space="preserve">The Commonwealth remains in compliance </w:t>
      </w:r>
      <w:r w:rsidRPr="00FA7982">
        <w:rPr>
          <w:i/>
          <w:iCs/>
        </w:rPr>
        <w:t xml:space="preserve">with Section III.C.6.b.i.B </w:t>
      </w:r>
      <w:r w:rsidRPr="00FA7982">
        <w:t xml:space="preserve">because the REACH programs continue to train ES staff. DBHDS has responded to the Independent Reviewer’s requirement to develop a training plan in that the training is now required for all new personnel. The DBHDS continues to be unable to track if all existing ES staffs have been trained but REACH staff continues to make training available. </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 xml:space="preserve">Recommendation: </w:t>
      </w:r>
      <w:r w:rsidRPr="00FA7982">
        <w:t>All regions should be required to provide this training unless all ES employees in their region have already been trained. DBHDS should develop a tracking mechanism with the CSBs to document the staffs that are trained and follow up with any who is not.</w:t>
      </w:r>
    </w:p>
    <w:p w:rsidR="004C608D" w:rsidRDefault="004C608D" w:rsidP="00E04750">
      <w:pPr>
        <w:spacing w:beforeLines="1" w:afterLines="1"/>
        <w:rPr>
          <w:b/>
          <w:bCs/>
          <w:i/>
          <w:iCs/>
        </w:rPr>
      </w:pPr>
    </w:p>
    <w:p w:rsidR="00E5272A" w:rsidRPr="00FA7982" w:rsidRDefault="00E5272A" w:rsidP="00E04750">
      <w:pPr>
        <w:spacing w:beforeLines="1" w:afterLines="1"/>
        <w:rPr>
          <w:b/>
          <w:bCs/>
          <w:i/>
          <w:iCs/>
        </w:rPr>
      </w:pPr>
    </w:p>
    <w:p w:rsidR="004C608D" w:rsidRPr="00FA7982" w:rsidRDefault="004C608D" w:rsidP="00E04750">
      <w:pPr>
        <w:spacing w:beforeLines="1" w:afterLines="1"/>
        <w:rPr>
          <w:i/>
          <w:iCs/>
        </w:rPr>
      </w:pPr>
      <w:r w:rsidRPr="00FA7982">
        <w:rPr>
          <w:i/>
          <w:iCs/>
        </w:rPr>
        <w:t>ii. Mobile Crisis Teams</w:t>
      </w:r>
    </w:p>
    <w:p w:rsidR="004C608D" w:rsidRPr="00FA7982" w:rsidRDefault="004C608D" w:rsidP="00E04750">
      <w:pPr>
        <w:spacing w:beforeLines="1" w:afterLines="1"/>
        <w:rPr>
          <w:i/>
          <w:iCs/>
        </w:rPr>
      </w:pPr>
      <w:r w:rsidRPr="00FA7982">
        <w:rPr>
          <w:i/>
          <w:iCs/>
        </w:rPr>
        <w:br/>
        <w:t xml:space="preserve">A. Mobile crisis team members adequately trained to address the crisis shall respond to individuals at their homes and in other community settings and offer timely assessment, services support and treatment to de-escalate crises without removing individuals from their current placement whenever possible.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National Center for START Services at UNH continued to provide training to the REACH staff in Regions I and II.  REACH leaders in Regions III, IV and V have worked together to develop a training program that will provide similar training for their staffs. DBHDS has reviewed and approved the curriculum for use across the three regions. The training is divided into three modules to be completed within 30, 60 and 120 days of hire. Module 1 includes orientation to the DOJ Settlement; REACH history; REACH Roles; documentation; orientation to crisis services including assessment, crisis stabilization, and crisis planning; introduction to ID, DD, Autism Spectrum and Dual Diagnosis; registration and billing; and orientation to the CTH Program including staff shadowing. Module 2 includes orientation to the ID and DD Waivers; introduction to the mental status examination; assessing/evaluating symptoms and behaviors; medication and medical overview; and long-term assessment. Module 3 includes an orientation to DM-ID; family systems conceptualization; communication and working with multi-disciplinary teams; developmental issues; positive behavioral supports; and specialty populations. The Regions will use nationally available training materials online. I briefly reviewed many of the sites and the resources are of a quality nature.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The training process includes tests to determine competencies and skills that have been learned. Supervisors are involved with staff reviewing training outcomes. Supervisors will use team meetings to reinforce the training concepts. Clinical supervision is provided in a group format. Staff will shadow community and CTH staff as part of their orientations. Staff must prepare and present case reviews and participates in peer reviews. </w:t>
      </w:r>
    </w:p>
    <w:p w:rsidR="004C608D" w:rsidRPr="00FA7982" w:rsidRDefault="004C608D" w:rsidP="00E04750">
      <w:pPr>
        <w:spacing w:beforeLines="1" w:afterLines="1"/>
      </w:pPr>
    </w:p>
    <w:p w:rsidR="004C608D" w:rsidRPr="00FA7982" w:rsidRDefault="004C608D" w:rsidP="00E04750">
      <w:pPr>
        <w:spacing w:beforeLines="1" w:afterLines="1"/>
        <w:rPr>
          <w:i/>
          <w:iCs/>
        </w:rPr>
      </w:pPr>
      <w:r w:rsidRPr="00FA7982">
        <w:rPr>
          <w:b/>
          <w:bCs/>
          <w:i/>
          <w:iCs/>
        </w:rPr>
        <w:t xml:space="preserve">Conclusion: </w:t>
      </w:r>
      <w:r w:rsidRPr="00FA7982">
        <w:t xml:space="preserve">The Commonwealth is in compliance with </w:t>
      </w:r>
      <w:r w:rsidRPr="00FA7982">
        <w:rPr>
          <w:i/>
          <w:iCs/>
        </w:rPr>
        <w:t xml:space="preserve">Section 6.b.ii.A. </w:t>
      </w:r>
    </w:p>
    <w:p w:rsidR="004C608D" w:rsidRPr="00FA7982" w:rsidRDefault="004C608D" w:rsidP="00E04750">
      <w:pPr>
        <w:spacing w:beforeLines="1" w:afterLines="1"/>
        <w:rPr>
          <w:rFonts w:ascii="Times" w:hAnsi="Times"/>
        </w:rPr>
      </w:pPr>
      <w:r w:rsidRPr="00FA7982">
        <w:rPr>
          <w:iCs/>
        </w:rPr>
        <w:t xml:space="preserve">It has developed a comprehensive training program and a process to reinforce learning through supervision, team meeting discussions and peer review. </w:t>
      </w:r>
    </w:p>
    <w:p w:rsidR="004C608D" w:rsidRPr="00FA7982" w:rsidRDefault="004C608D" w:rsidP="00E04750">
      <w:pPr>
        <w:spacing w:beforeLines="1" w:afterLines="1"/>
      </w:pPr>
    </w:p>
    <w:p w:rsidR="004C608D" w:rsidRPr="00FA7982" w:rsidRDefault="004C608D" w:rsidP="00E04750">
      <w:pPr>
        <w:spacing w:beforeLines="1" w:afterLines="1"/>
      </w:pPr>
      <w:r w:rsidRPr="00FA7982">
        <w:rPr>
          <w:b/>
          <w:i/>
        </w:rPr>
        <w:t>Recommendations</w:t>
      </w:r>
      <w:r w:rsidRPr="00FA7982">
        <w:t>: The REACH programs may want to include person-centered planning, discharge planning and family training in the training program.</w:t>
      </w:r>
    </w:p>
    <w:p w:rsidR="004C608D" w:rsidRDefault="004C608D" w:rsidP="00E04750">
      <w:pPr>
        <w:spacing w:beforeLines="1" w:afterLines="1"/>
      </w:pPr>
    </w:p>
    <w:p w:rsidR="003D4F28" w:rsidRPr="00FA7982" w:rsidRDefault="003D4F28"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 xml:space="preserve">B. Mobile crisis teams shall assist with crisis planning and identifying strategies for preventing future crises and may also provide enhanced short-term capacity within an individual’s home or other community setting.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teams continue to provide response, crisis intervention and crisis planning. During the FY15 QII services were provided to 154 individuals and to 228 individuals in Quarter III. These services included crisis prevention, crisis intervention/prevention planning, crisis stabilization, medication evaluation, therapeutic treatment planning and follow up. One hundred fifty-four individuals received some or all of these services in the CTH program and ninety-one received some or all of these services through mobile crisis support in Quarter II.  Ninety-four individuals were served in the CTH program and 334 through Mobile Crisis Support in Quarter III. There may be duplication in the numbers since some individuals receive both mobile support and use the CTH program. It is interesting that more services were provided in the CTH program than the Mobile Crisis Support program in the first quarter of this review and many more were served by the Mobile Crisis Support during the second quarter. </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 xml:space="preserve">Conclusion: </w:t>
      </w:r>
      <w:r w:rsidRPr="00FA7982">
        <w:t xml:space="preserve">The Commonwealth is in compliance with </w:t>
      </w:r>
      <w:r w:rsidRPr="00FA7982">
        <w:rPr>
          <w:i/>
          <w:iCs/>
        </w:rPr>
        <w:t xml:space="preserve">Section 6.b.ii.B </w:t>
      </w:r>
    </w:p>
    <w:p w:rsidR="004C608D" w:rsidRPr="00FA7982" w:rsidRDefault="004C608D" w:rsidP="00E04750">
      <w:pPr>
        <w:spacing w:beforeLines="1" w:afterLines="1"/>
      </w:pP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 xml:space="preserve">C. Mobile crisis team members adequately trained to address the crisis shall work with law enforcement personnel to respond if an individual comes into contact with law enforcement </w:t>
      </w:r>
    </w:p>
    <w:p w:rsidR="004C608D" w:rsidRPr="00FA7982" w:rsidRDefault="004C608D" w:rsidP="00E04750">
      <w:pPr>
        <w:spacing w:beforeLines="1" w:afterLines="1"/>
        <w:rPr>
          <w:i/>
          <w:iCs/>
        </w:rPr>
      </w:pPr>
    </w:p>
    <w:p w:rsidR="004C608D" w:rsidRPr="00FA7982" w:rsidRDefault="004C608D" w:rsidP="00E04750">
      <w:pPr>
        <w:spacing w:beforeLines="1" w:afterLines="1"/>
        <w:rPr>
          <w:rFonts w:ascii="Times" w:hAnsi="Times"/>
        </w:rPr>
      </w:pPr>
      <w:r w:rsidRPr="00FA7982">
        <w:rPr>
          <w:iCs/>
        </w:rPr>
        <w:t xml:space="preserve">REACH program trained 226 law enforcement staff during the reporting period. This training was provided in Regions I, IIII, and V. Regions II and IV did not train any police in this time period. </w:t>
      </w:r>
    </w:p>
    <w:p w:rsidR="004C608D" w:rsidRPr="00FA7982" w:rsidRDefault="004C608D" w:rsidP="00E04750">
      <w:pPr>
        <w:spacing w:beforeLines="1" w:afterLines="1"/>
      </w:pPr>
    </w:p>
    <w:p w:rsidR="004C608D" w:rsidRPr="00FA7982" w:rsidRDefault="004C608D" w:rsidP="00E04750">
      <w:pPr>
        <w:spacing w:beforeLines="1" w:afterLines="1"/>
      </w:pPr>
      <w:r w:rsidRPr="00FA7982">
        <w:t>DBHDS has developed a work plan for Law Enforcement Outreach. The plan includes communicating with all law enforcement entities about REACH, including information about the new children and adolescent initiative; creating and disseminating printed materials; conducting regional meetings with law enforcement entities; and develop an online training module available to police officers through the Department of Criminal Justice Services website. The training will be implemented starting in July 2015. This is a very positive step.</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 xml:space="preserve">Conclusion: </w:t>
      </w:r>
      <w:r w:rsidRPr="00FA7982">
        <w:t xml:space="preserve">The Commonwealth is in compliance with </w:t>
      </w:r>
      <w:r w:rsidRPr="00FA7982">
        <w:rPr>
          <w:i/>
          <w:iCs/>
        </w:rPr>
        <w:t xml:space="preserve">Section 6.b.ii. C </w:t>
      </w:r>
      <w:r w:rsidRPr="00FA7982">
        <w:t xml:space="preserve">since many officers have been trained in this reporting period and the DBHDS has a plan to insure all are trained. </w:t>
      </w:r>
    </w:p>
    <w:p w:rsidR="004C608D" w:rsidRPr="00FA7982" w:rsidRDefault="004C608D" w:rsidP="00E04750">
      <w:pPr>
        <w:spacing w:beforeLines="1" w:afterLines="1"/>
      </w:pPr>
    </w:p>
    <w:p w:rsidR="004C608D" w:rsidRPr="00FA7982" w:rsidRDefault="004C608D" w:rsidP="00E04750">
      <w:pPr>
        <w:spacing w:beforeLines="1" w:afterLines="1"/>
      </w:pPr>
      <w:r w:rsidRPr="00FA7982">
        <w:rPr>
          <w:b/>
          <w:i/>
        </w:rPr>
        <w:t>Recommendation:</w:t>
      </w:r>
      <w:r w:rsidRPr="00FA7982">
        <w:t xml:space="preserve"> Every region should be required to provide training until the training is available to all law enforcement personnel online.</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 xml:space="preserve">D. Mobile crisis teams shall be available 24 hours, 7 days per week to respond on-site to crises.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As reported earlier in Section 4 the REACH Mobile crisis teams are available around the clock and respond at off hours. During the reporting period the CSB ES teams made a few referrals in Region II during QII and none during QIII. This is a sign that case managers and families have become aware of REACH services and are making referrals directly.</w:t>
      </w:r>
    </w:p>
    <w:p w:rsidR="004C608D" w:rsidRPr="00FA7982" w:rsidRDefault="004C608D" w:rsidP="00E04750">
      <w:pPr>
        <w:spacing w:beforeLines="1" w:afterLines="1"/>
      </w:pPr>
    </w:p>
    <w:p w:rsidR="004C608D" w:rsidRPr="00FA7982" w:rsidRDefault="004C608D" w:rsidP="00E04750">
      <w:pPr>
        <w:spacing w:beforeLines="1" w:afterLines="1"/>
      </w:pPr>
      <w:r w:rsidRPr="00FA7982">
        <w:t>There were 150 mobile assessments performed during FY15 QII of which 56% were conducted in individuals’ homes or day programs. Thirty-five percent of the individuals needed to be assessed in the hospital, ES/CSB, or police station (1). The other individuals were assessed at the CTH setting. During FY15 QIII there were 176 mobile crisis assessments performed of which 53% were conducted in individuals’ homes or day programs. It is interesting to note that twenty-three of the referrals were made by residential programs compared to sixty-four from families during QIII. This is a significant increase over the previous Quarter during which residential providers made thirteen referrals. This may indicate that providers have a greater understanding of the benefits of the REACH program and are seeking the expertise of the REACH staff.</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 Forty percent of individuals were assessed at a hospital, CSB/ES or other community setting including medical clinics and crisis stabilization units. Twelve individuals were assessed while in the CTH. A number of individuals are leaving their home setting for the assessment to occur. Although this percentage is 35-40% across the two quarters very few referrals were made outside of normal business hours.</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b/>
          <w:bCs/>
          <w:i/>
          <w:iCs/>
        </w:rPr>
        <w:t>Conclusion</w:t>
      </w:r>
      <w:r w:rsidRPr="00FA7982">
        <w:t xml:space="preserve">: The Commonwealth is in compliance with </w:t>
      </w:r>
      <w:r w:rsidRPr="00FA7982">
        <w:rPr>
          <w:i/>
          <w:iCs/>
        </w:rPr>
        <w:t xml:space="preserve">Section III.C.6.b.ii.D </w:t>
      </w:r>
    </w:p>
    <w:p w:rsidR="004C608D" w:rsidRDefault="004C608D" w:rsidP="00E04750">
      <w:pPr>
        <w:spacing w:beforeLines="1" w:afterLines="1"/>
      </w:pPr>
      <w:r w:rsidRPr="00FA7982">
        <w:t xml:space="preserve"> </w:t>
      </w:r>
    </w:p>
    <w:p w:rsidR="0014554A" w:rsidRPr="00FA7982" w:rsidRDefault="0014554A"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 xml:space="preserve">E. Mobile crisis teams shall provide in-home crisis support for a period of up to three days, with the possibility of 3 additional days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t xml:space="preserve">DBHDS is now collecting and reporting data on the amount of time that is devoted to a particular individual. Most regions provided individuals with more than three days on average of in-home support services with the exception of Region V in FY15 QIII that averaged 2 days. Regions provided community based crisis services as follows: </w:t>
      </w:r>
    </w:p>
    <w:p w:rsidR="004C608D" w:rsidRPr="00FA7982" w:rsidRDefault="004C608D" w:rsidP="00E04750">
      <w:pPr>
        <w:spacing w:beforeLines="1" w:afterLines="1"/>
        <w:ind w:firstLine="720"/>
        <w:rPr>
          <w:bCs/>
          <w:i/>
          <w:iCs/>
        </w:rPr>
      </w:pPr>
      <w:r w:rsidRPr="00FA7982">
        <w:rPr>
          <w:b/>
          <w:bCs/>
          <w:i/>
          <w:iCs/>
        </w:rPr>
        <w:t>Region I</w:t>
      </w:r>
      <w:r w:rsidRPr="00FA7982">
        <w:rPr>
          <w:bCs/>
          <w:i/>
          <w:iCs/>
        </w:rPr>
        <w:t>: twelve individuals for an average of seven days in QII</w:t>
      </w:r>
    </w:p>
    <w:p w:rsidR="004C608D" w:rsidRPr="00FA7982" w:rsidRDefault="004C608D" w:rsidP="00E04750">
      <w:pPr>
        <w:spacing w:beforeLines="1" w:afterLines="1"/>
        <w:ind w:left="720"/>
        <w:rPr>
          <w:bCs/>
          <w:i/>
          <w:iCs/>
        </w:rPr>
      </w:pPr>
      <w:r w:rsidRPr="00FA7982">
        <w:rPr>
          <w:bCs/>
          <w:i/>
          <w:iCs/>
        </w:rPr>
        <w:t>Thirty-two individuals for an average of four days in QIII</w:t>
      </w:r>
      <w:r w:rsidRPr="00FA7982">
        <w:rPr>
          <w:bCs/>
          <w:i/>
          <w:iCs/>
        </w:rPr>
        <w:br/>
      </w:r>
      <w:r w:rsidRPr="00FA7982">
        <w:rPr>
          <w:b/>
          <w:bCs/>
          <w:i/>
          <w:iCs/>
        </w:rPr>
        <w:t xml:space="preserve">Region II: </w:t>
      </w:r>
      <w:r w:rsidRPr="00FA7982">
        <w:rPr>
          <w:bCs/>
          <w:i/>
          <w:iCs/>
        </w:rPr>
        <w:t>twelve individuals for an average of five days in QII</w:t>
      </w:r>
    </w:p>
    <w:p w:rsidR="004C608D" w:rsidRPr="00FA7982" w:rsidRDefault="004C608D" w:rsidP="00E04750">
      <w:pPr>
        <w:spacing w:beforeLines="1" w:afterLines="1"/>
        <w:ind w:left="720"/>
        <w:rPr>
          <w:bCs/>
          <w:i/>
          <w:iCs/>
        </w:rPr>
      </w:pPr>
      <w:r w:rsidRPr="00FA7982">
        <w:rPr>
          <w:bCs/>
          <w:i/>
          <w:iCs/>
        </w:rPr>
        <w:t>Fourteen individuals for an average of 3.5 days in QIII</w:t>
      </w:r>
      <w:r w:rsidRPr="00FA7982">
        <w:rPr>
          <w:b/>
          <w:bCs/>
          <w:i/>
          <w:iCs/>
        </w:rPr>
        <w:br/>
        <w:t xml:space="preserve">Region III: </w:t>
      </w:r>
      <w:r w:rsidRPr="00FA7982">
        <w:rPr>
          <w:bCs/>
          <w:i/>
          <w:iCs/>
        </w:rPr>
        <w:t>seventeen individuals for an average of thirteen days in QII</w:t>
      </w:r>
    </w:p>
    <w:p w:rsidR="004C608D" w:rsidRPr="00FA7982" w:rsidRDefault="004C608D" w:rsidP="00E04750">
      <w:pPr>
        <w:spacing w:beforeLines="1" w:afterLines="1"/>
        <w:ind w:left="720"/>
        <w:rPr>
          <w:bCs/>
          <w:i/>
          <w:iCs/>
        </w:rPr>
      </w:pPr>
      <w:r w:rsidRPr="00FA7982">
        <w:rPr>
          <w:bCs/>
          <w:i/>
          <w:iCs/>
        </w:rPr>
        <w:t>Twenty-one individuals for an average of eleven days in QIII</w:t>
      </w:r>
    </w:p>
    <w:p w:rsidR="004C608D" w:rsidRPr="00FA7982" w:rsidRDefault="004C608D" w:rsidP="00E04750">
      <w:pPr>
        <w:spacing w:beforeLines="1" w:afterLines="1"/>
        <w:ind w:left="720"/>
        <w:rPr>
          <w:bCs/>
          <w:i/>
          <w:iCs/>
        </w:rPr>
      </w:pPr>
      <w:r w:rsidRPr="00FA7982">
        <w:rPr>
          <w:b/>
          <w:bCs/>
          <w:i/>
          <w:iCs/>
        </w:rPr>
        <w:t xml:space="preserve">Region IV: </w:t>
      </w:r>
      <w:r w:rsidRPr="00FA7982">
        <w:rPr>
          <w:bCs/>
          <w:i/>
          <w:iCs/>
        </w:rPr>
        <w:t>thirty-eight individuals for an average of three days in QII</w:t>
      </w:r>
    </w:p>
    <w:p w:rsidR="004C608D" w:rsidRPr="00FA7982" w:rsidRDefault="004C608D" w:rsidP="00E04750">
      <w:pPr>
        <w:spacing w:beforeLines="1" w:afterLines="1"/>
        <w:ind w:left="720"/>
        <w:rPr>
          <w:bCs/>
          <w:i/>
          <w:iCs/>
        </w:rPr>
      </w:pPr>
      <w:r w:rsidRPr="00FA7982">
        <w:rPr>
          <w:bCs/>
          <w:i/>
          <w:iCs/>
        </w:rPr>
        <w:t>Thirty-two individuals for an average of four days in QIII</w:t>
      </w:r>
      <w:r w:rsidRPr="00FA7982">
        <w:rPr>
          <w:b/>
          <w:bCs/>
          <w:i/>
          <w:iCs/>
        </w:rPr>
        <w:br/>
        <w:t>Region V</w:t>
      </w:r>
      <w:r w:rsidRPr="00FA7982">
        <w:rPr>
          <w:b/>
          <w:bCs/>
          <w:iCs/>
        </w:rPr>
        <w:t xml:space="preserve">: </w:t>
      </w:r>
      <w:r w:rsidRPr="00FA7982">
        <w:rPr>
          <w:bCs/>
          <w:i/>
          <w:iCs/>
        </w:rPr>
        <w:t>fourteen individuals for an average of eleven days in QII</w:t>
      </w:r>
    </w:p>
    <w:p w:rsidR="004C608D" w:rsidRPr="00FA7982" w:rsidRDefault="004C608D" w:rsidP="00E04750">
      <w:pPr>
        <w:spacing w:beforeLines="1" w:afterLines="1"/>
        <w:ind w:firstLine="720"/>
        <w:rPr>
          <w:bCs/>
          <w:i/>
          <w:iCs/>
        </w:rPr>
      </w:pPr>
      <w:r w:rsidRPr="00FA7982">
        <w:rPr>
          <w:bCs/>
          <w:i/>
          <w:iCs/>
        </w:rPr>
        <w:t>Thirty-seven individuals for an average of two days in QIII</w:t>
      </w:r>
    </w:p>
    <w:p w:rsidR="004C608D" w:rsidRPr="00FA7982" w:rsidRDefault="004C608D" w:rsidP="00E04750">
      <w:pPr>
        <w:spacing w:beforeLines="1" w:afterLines="1"/>
        <w:ind w:firstLine="720"/>
        <w:rPr>
          <w:bCs/>
          <w:iCs/>
        </w:rPr>
      </w:pPr>
    </w:p>
    <w:p w:rsidR="003D4F28" w:rsidRDefault="003D4F28" w:rsidP="00E04750">
      <w:pPr>
        <w:spacing w:beforeLines="1" w:afterLines="1"/>
      </w:pPr>
    </w:p>
    <w:p w:rsidR="004C608D" w:rsidRPr="00FA7982" w:rsidRDefault="004C608D" w:rsidP="00E04750">
      <w:pPr>
        <w:spacing w:beforeLines="1" w:afterLines="1"/>
      </w:pPr>
      <w:r w:rsidRPr="00FA7982">
        <w:t>Regions vary in the number of individuals served and the total number of days of community based crisis services. During FY15 QII the number of days per region varied from 59-217. The range was 49-239 in FY15 QIII. Region III provides the most mobile days totaling 456 during the reporting period. Regions IV and V provide 242 and 228 respectively and Regions I and II provide 137 and 108 respectively.</w:t>
      </w:r>
    </w:p>
    <w:p w:rsidR="004C608D" w:rsidRPr="00FA7982" w:rsidRDefault="004C608D" w:rsidP="00E04750">
      <w:pPr>
        <w:spacing w:beforeLines="1" w:afterLines="1"/>
      </w:pPr>
    </w:p>
    <w:p w:rsidR="004C608D" w:rsidRPr="00FA7982" w:rsidRDefault="004C608D" w:rsidP="00E04750">
      <w:pPr>
        <w:spacing w:beforeLines="1" w:afterLines="1"/>
      </w:pPr>
      <w:r w:rsidRPr="00FA7982">
        <w:t>A similar pattern of disparity in the number of individual served and the number of days the community based crisis service was offered was evidence in the last two reports. This finding does not impact compliance but continues to bring in to question workload of the REACH staff. The individuals reported by mobile crisis days do not correspond to the total number of referrals per region. Region I had the most referrals: seventy-nine and Region V had the least: thirty-eight.</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b/>
          <w:bCs/>
          <w:i/>
          <w:iCs/>
        </w:rPr>
        <w:t xml:space="preserve">Conclusion: </w:t>
      </w:r>
      <w:r w:rsidRPr="00FA7982">
        <w:t xml:space="preserve">The Commonwealth is in compliance with the requirement of </w:t>
      </w:r>
      <w:r w:rsidRPr="00FA7982">
        <w:rPr>
          <w:i/>
          <w:iCs/>
        </w:rPr>
        <w:t xml:space="preserve">Section III.6.C.b.ii.E. </w:t>
      </w:r>
    </w:p>
    <w:p w:rsidR="004C608D" w:rsidRDefault="004C608D" w:rsidP="00E04750">
      <w:pPr>
        <w:spacing w:beforeLines="1" w:afterLines="1"/>
        <w:rPr>
          <w:rFonts w:ascii="Times" w:hAnsi="Times"/>
        </w:rPr>
      </w:pPr>
    </w:p>
    <w:p w:rsidR="0014554A" w:rsidRPr="00FA7982" w:rsidRDefault="0014554A"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G. By June 30, 2013 the Commonwealth shall have at least two mobile crisis teams in each region to response to on-site crises within two hours</w:t>
      </w:r>
      <w:r w:rsidRPr="00FA7982">
        <w:rPr>
          <w:i/>
          <w:iCs/>
        </w:rPr>
        <w:br/>
        <w:t xml:space="preserve">H. By June 30, 2014 the Commonwealth shall have a sufficient number of mobile crisis teams in each Region to respond on site to crises as follows: in urban areas, within one hour, and in rural areas, within two hours, as measured by the average annual response time.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Regions have not created new teams, but have added staff to the existing teams. The added staff has not resulted in sufficient capacity to provide the needed crisis response within two hours as required.  This became a more stringent requirement as of June 30, 2014 when the teams were expected to respond to requests from urban areas in less than one hour and requests in rural areas in less than two hours. The DBHDS reports that Regions II and IV are urban areas and should meet the expectation of responding to a crisis referral within one hour.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The response rates for FY15 QII are as follows: </w:t>
      </w:r>
    </w:p>
    <w:p w:rsidR="004C608D" w:rsidRPr="00FA7982" w:rsidRDefault="004C608D" w:rsidP="00E04750">
      <w:pPr>
        <w:pStyle w:val="ListParagraph"/>
        <w:numPr>
          <w:ilvl w:val="0"/>
          <w:numId w:val="72"/>
        </w:numPr>
        <w:spacing w:beforeLines="1" w:afterLines="1"/>
        <w:rPr>
          <w:rFonts w:ascii="Times" w:hAnsi="Times"/>
        </w:rPr>
      </w:pPr>
      <w:r w:rsidRPr="00FA7982">
        <w:t>Region II responded to seventeen calls within one hour but is missing data for eight individuals. This is 32% of the calls the region received.</w:t>
      </w:r>
    </w:p>
    <w:p w:rsidR="004C608D" w:rsidRPr="00FA7982" w:rsidRDefault="004C608D" w:rsidP="00E04750">
      <w:pPr>
        <w:spacing w:beforeLines="1" w:afterLines="1"/>
        <w:rPr>
          <w:rFonts w:ascii="Times" w:hAnsi="Times"/>
        </w:rPr>
      </w:pPr>
    </w:p>
    <w:p w:rsidR="004C608D" w:rsidRPr="00FA7982" w:rsidRDefault="004C608D" w:rsidP="00E04750">
      <w:pPr>
        <w:pStyle w:val="ListParagraph"/>
        <w:numPr>
          <w:ilvl w:val="0"/>
          <w:numId w:val="72"/>
        </w:numPr>
        <w:spacing w:beforeLines="1" w:afterLines="1"/>
        <w:rPr>
          <w:rFonts w:ascii="Times" w:hAnsi="Times"/>
        </w:rPr>
      </w:pPr>
      <w:r w:rsidRPr="00FA7982">
        <w:t xml:space="preserve">Region IV could not respond to two (11.8%) of its seventeen referrals within one hour. </w:t>
      </w:r>
    </w:p>
    <w:p w:rsidR="004C608D" w:rsidRPr="00FA7982" w:rsidRDefault="004C608D" w:rsidP="00E04750">
      <w:pPr>
        <w:pStyle w:val="ListParagraph"/>
        <w:numPr>
          <w:ilvl w:val="0"/>
          <w:numId w:val="72"/>
        </w:numPr>
        <w:spacing w:beforeLines="1" w:afterLines="1"/>
        <w:rPr>
          <w:rFonts w:ascii="Times" w:hAnsi="Times"/>
        </w:rPr>
      </w:pPr>
      <w:r w:rsidRPr="00FA7982">
        <w:t xml:space="preserve">The average response times for these regions are thirty-nine and forty-three minutes respectively. </w:t>
      </w:r>
    </w:p>
    <w:p w:rsidR="004C608D" w:rsidRPr="00FA7982" w:rsidRDefault="004C608D" w:rsidP="00E04750">
      <w:pPr>
        <w:spacing w:beforeLines="1" w:afterLines="1"/>
        <w:ind w:left="360"/>
        <w:rPr>
          <w:rFonts w:ascii="Times" w:hAnsi="Times"/>
        </w:rPr>
      </w:pPr>
    </w:p>
    <w:p w:rsidR="004C608D" w:rsidRPr="00FA7982" w:rsidRDefault="004C608D" w:rsidP="00E04750">
      <w:pPr>
        <w:spacing w:beforeLines="1" w:afterLines="1"/>
      </w:pPr>
      <w:r w:rsidRPr="00FA7982">
        <w:t>Regions I, III, and V are rural regions that are required to respond to crises in two hours or less.  These regions had a total of 111 calls that required a face-to-face response.</w:t>
      </w:r>
    </w:p>
    <w:p w:rsidR="004C608D" w:rsidRPr="00FA7982" w:rsidRDefault="004C608D" w:rsidP="00E04750">
      <w:pPr>
        <w:pStyle w:val="ListParagraph"/>
        <w:numPr>
          <w:ilvl w:val="0"/>
          <w:numId w:val="73"/>
        </w:numPr>
        <w:spacing w:beforeLines="1" w:afterLines="1"/>
      </w:pPr>
      <w:r w:rsidRPr="00FA7982">
        <w:t xml:space="preserve">Region III met this requirement during FY15 QII. </w:t>
      </w:r>
    </w:p>
    <w:p w:rsidR="004C608D" w:rsidRPr="00FA7982" w:rsidRDefault="004C608D" w:rsidP="00E04750">
      <w:pPr>
        <w:spacing w:beforeLines="1" w:afterLines="1"/>
      </w:pPr>
    </w:p>
    <w:p w:rsidR="00B828EE" w:rsidRDefault="00B828EE" w:rsidP="00E04750">
      <w:pPr>
        <w:spacing w:beforeLines="1" w:afterLines="1"/>
      </w:pPr>
    </w:p>
    <w:p w:rsidR="00B828EE" w:rsidRDefault="00B828EE" w:rsidP="00E04750">
      <w:pPr>
        <w:spacing w:beforeLines="1" w:afterLines="1"/>
      </w:pPr>
    </w:p>
    <w:p w:rsidR="00B828EE" w:rsidRDefault="00B828EE" w:rsidP="00E04750">
      <w:pPr>
        <w:spacing w:beforeLines="1" w:afterLines="1"/>
      </w:pPr>
    </w:p>
    <w:p w:rsidR="00B828EE" w:rsidRDefault="00B828EE" w:rsidP="00E04750">
      <w:pPr>
        <w:spacing w:beforeLines="1" w:afterLines="1"/>
      </w:pPr>
    </w:p>
    <w:p w:rsidR="00B828EE" w:rsidRDefault="00B828EE" w:rsidP="00E04750">
      <w:pPr>
        <w:spacing w:beforeLines="1" w:afterLines="1"/>
      </w:pPr>
    </w:p>
    <w:p w:rsidR="004C608D" w:rsidRPr="00FA7982" w:rsidRDefault="004C608D" w:rsidP="00E04750">
      <w:pPr>
        <w:spacing w:beforeLines="1" w:afterLines="1"/>
      </w:pPr>
      <w:r w:rsidRPr="00FA7982">
        <w:t xml:space="preserve">Regions I and V had a total of seven individuals  (8%) out of ninety-one individuals who were not responded within two hours. </w:t>
      </w:r>
    </w:p>
    <w:p w:rsidR="004C608D" w:rsidRPr="00FA7982" w:rsidRDefault="004C608D" w:rsidP="00E04750">
      <w:pPr>
        <w:spacing w:beforeLines="1" w:afterLines="1"/>
      </w:pPr>
    </w:p>
    <w:p w:rsidR="004C608D" w:rsidRPr="00FA7982" w:rsidRDefault="004C608D" w:rsidP="00E04750">
      <w:pPr>
        <w:pStyle w:val="ListParagraph"/>
        <w:numPr>
          <w:ilvl w:val="0"/>
          <w:numId w:val="73"/>
        </w:numPr>
        <w:spacing w:beforeLines="1" w:afterLines="1"/>
      </w:pPr>
      <w:r w:rsidRPr="00FA7982">
        <w:t xml:space="preserve">The average response time was sixty-five minutes for Region I, seventy minutes for Region III, and seventy-two minutes for Region V. </w:t>
      </w:r>
    </w:p>
    <w:p w:rsidR="004C608D" w:rsidRPr="00FA7982" w:rsidRDefault="004C608D" w:rsidP="00E04750">
      <w:pPr>
        <w:spacing w:beforeLines="1" w:afterLines="1"/>
      </w:pPr>
    </w:p>
    <w:p w:rsidR="004C608D" w:rsidRPr="00FA7982" w:rsidRDefault="004C608D" w:rsidP="00E04750">
      <w:pPr>
        <w:pStyle w:val="ListParagraph"/>
        <w:numPr>
          <w:ilvl w:val="0"/>
          <w:numId w:val="73"/>
        </w:numPr>
        <w:spacing w:beforeLines="1" w:afterLines="1"/>
      </w:pPr>
      <w:r w:rsidRPr="00FA7982">
        <w:t>Approximately 94% of the referrals needing an onsite response were responded to in the required timeframes as reported by DBHDS</w:t>
      </w:r>
    </w:p>
    <w:p w:rsidR="004C608D" w:rsidRPr="00FA7982" w:rsidRDefault="004C608D" w:rsidP="00E04750">
      <w:pPr>
        <w:spacing w:beforeLines="1" w:afterLines="1"/>
      </w:pPr>
    </w:p>
    <w:p w:rsidR="004C608D" w:rsidRPr="00FA7982" w:rsidRDefault="004C608D" w:rsidP="00E04750">
      <w:pPr>
        <w:spacing w:beforeLines="1" w:afterLines="1"/>
      </w:pPr>
      <w:r w:rsidRPr="00FA7982">
        <w:t>The response rates for FY15 QIII are as follows:</w:t>
      </w:r>
    </w:p>
    <w:p w:rsidR="004C608D" w:rsidRPr="00FA7982" w:rsidRDefault="004C608D" w:rsidP="00E04750">
      <w:pPr>
        <w:pStyle w:val="ListParagraph"/>
        <w:numPr>
          <w:ilvl w:val="0"/>
          <w:numId w:val="74"/>
        </w:numPr>
        <w:spacing w:beforeLines="1" w:afterLines="1"/>
      </w:pPr>
      <w:r w:rsidRPr="00FA7982">
        <w:t>Region II responded to forty-four calls of which four (9.1%) were not within one hour. Two took 61-90 minutes, one took 91-120 minutes and one took over 121 minutes to have a response.</w:t>
      </w:r>
    </w:p>
    <w:p w:rsidR="004C608D" w:rsidRPr="00FA7982" w:rsidRDefault="004C608D" w:rsidP="00E04750">
      <w:pPr>
        <w:spacing w:beforeLines="1" w:afterLines="1"/>
      </w:pPr>
    </w:p>
    <w:p w:rsidR="004C608D" w:rsidRPr="00FA7982" w:rsidRDefault="004C608D" w:rsidP="00E04750">
      <w:pPr>
        <w:pStyle w:val="ListParagraph"/>
        <w:numPr>
          <w:ilvl w:val="0"/>
          <w:numId w:val="74"/>
        </w:numPr>
        <w:spacing w:beforeLines="1" w:afterLines="1"/>
      </w:pPr>
      <w:r w:rsidRPr="00FA7982">
        <w:t>Region IV responded to fifty calls of which four (8%) were not within one hour. These four were responded to within 61-90 minutes.</w:t>
      </w:r>
    </w:p>
    <w:p w:rsidR="004C608D" w:rsidRPr="00FA7982" w:rsidRDefault="004C608D" w:rsidP="00E04750">
      <w:pPr>
        <w:spacing w:beforeLines="1" w:afterLines="1"/>
      </w:pPr>
    </w:p>
    <w:p w:rsidR="004C608D" w:rsidRPr="00FA7982" w:rsidRDefault="004C608D" w:rsidP="00E04750">
      <w:pPr>
        <w:pStyle w:val="ListParagraph"/>
        <w:numPr>
          <w:ilvl w:val="0"/>
          <w:numId w:val="74"/>
        </w:numPr>
        <w:spacing w:beforeLines="1" w:afterLines="1"/>
      </w:pPr>
      <w:r w:rsidRPr="00FA7982">
        <w:t xml:space="preserve">Regions I and III responded to forty-five and fourteen calls respectively. Each region had one individual who took over 121 minutes to reach. </w:t>
      </w:r>
    </w:p>
    <w:p w:rsidR="004C608D" w:rsidRPr="00FA7982" w:rsidRDefault="004C608D" w:rsidP="00E04750">
      <w:pPr>
        <w:spacing w:beforeLines="1" w:afterLines="1"/>
      </w:pPr>
    </w:p>
    <w:p w:rsidR="004C608D" w:rsidRPr="00FA7982" w:rsidRDefault="004C608D" w:rsidP="00E04750">
      <w:pPr>
        <w:pStyle w:val="ListParagraph"/>
        <w:numPr>
          <w:ilvl w:val="0"/>
          <w:numId w:val="74"/>
        </w:numPr>
        <w:spacing w:beforeLines="1" w:afterLines="1"/>
      </w:pPr>
      <w:r w:rsidRPr="00FA7982">
        <w:t xml:space="preserve">Region V responded to fifty-five calls of which three were responded to in more than 121 minutes. </w:t>
      </w:r>
    </w:p>
    <w:p w:rsidR="004C608D" w:rsidRPr="00FA7982" w:rsidRDefault="004C608D" w:rsidP="00E04750">
      <w:pPr>
        <w:spacing w:beforeLines="1" w:afterLines="1"/>
      </w:pPr>
    </w:p>
    <w:p w:rsidR="004C608D" w:rsidRPr="00FA7982" w:rsidRDefault="004C608D" w:rsidP="00E04750">
      <w:pPr>
        <w:pStyle w:val="ListParagraph"/>
        <w:numPr>
          <w:ilvl w:val="0"/>
          <w:numId w:val="74"/>
        </w:numPr>
        <w:spacing w:beforeLines="1" w:afterLines="1"/>
      </w:pPr>
      <w:r w:rsidRPr="00FA7982">
        <w:t>The on time response rate again was 94%. However Region IV and V have missing data for this quarter. Region IV is missing response time data for four individuals (8%) and Region V is missing its response data for seven individuals (13%).</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I learned during the course of this review that the regions calculate the response time based on the time the team makes the decision that the referral requires a face-to-face assessment or consultation. DBHDS cannot report on the length of time it takes for that decision to be made. The purpose of establishing required timeframes for crisis response is to assist families and providers to effectively assist a person in a crisis. The acceptable timeframe of two hours is already causing REACH teams to recommend to families that they first call the police or the CSB ES team in the case of future crises. The REACH team’s response can be much greater than the one of two hours expected by the Settlement Agreement depending on the length of time it takes to decide on the need for an onsite response. </w:t>
      </w:r>
    </w:p>
    <w:p w:rsidR="004C608D" w:rsidRPr="00FA7982" w:rsidRDefault="004C608D" w:rsidP="00E04750">
      <w:pPr>
        <w:spacing w:beforeLines="1" w:afterLines="1"/>
      </w:pPr>
    </w:p>
    <w:p w:rsidR="004C608D" w:rsidRPr="00FA7982" w:rsidRDefault="004C608D" w:rsidP="00E04750">
      <w:pPr>
        <w:spacing w:beforeLines="1" w:afterLines="1"/>
      </w:pPr>
      <w:r w:rsidRPr="00FA7982">
        <w:t>I spoke with a DD Case Manager in Region I at the request of the Independent Reviewer. She has referred five individuals to REACH. She does not report that REACH responds in a timely way. One person’s mother called at 8AM and the Case Manager followed up at 3:45 PM. REACH responded after 10 PM. Another referral was made on 4/25/14 and REACH responded on 5/15/14. Another individual was referred on 11/14/14. REACH called back on 11/15/14 and made a face-to-face visit on 11/19/14. I also spoke with DOJ staffs that are conducting individual reviews. They report complaints form police about the length of time it takes for REACH Coordinators to respond to a crisis call.</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Conclusion</w:t>
      </w:r>
      <w:r w:rsidRPr="00FA7982">
        <w:t xml:space="preserve">: The Commonwealth remains out of compliance with </w:t>
      </w:r>
      <w:r w:rsidRPr="00FA7982">
        <w:rPr>
          <w:i/>
          <w:iCs/>
        </w:rPr>
        <w:t xml:space="preserve">Section III.C.6.b.ii.G. </w:t>
      </w:r>
      <w:r w:rsidRPr="00FA7982">
        <w:t xml:space="preserve">The Commonwealth is also not in compliance with </w:t>
      </w:r>
      <w:r w:rsidRPr="00FA7982">
        <w:rPr>
          <w:i/>
          <w:iCs/>
        </w:rPr>
        <w:t>Section III.C.6.b.ii.H</w:t>
      </w:r>
      <w:r w:rsidRPr="00FA7982">
        <w:t>. The data indicates compliance but DBHDS cannot tell the actual length of time for responses.</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Recommendations</w:t>
      </w:r>
      <w:r w:rsidRPr="00FA7982">
        <w:t xml:space="preserve">: The REACH teams are expected to respond more quickly to crisis requests from individuals living in urban areas starting in FY15. The Commonwealth did not create two or more teams in each region as the Settlement Agreement required. It instead added members to the existing team in each region. However the Commonwealth continues to be non-compliant with this requirement.   DBHDS should report on the time it takes to respond to calls based on a clear standard using the time of the call and the time of arrival to determine the response time. REACH Coordinators should participate in all crisis assessments even if the assessment is led by the CSB ES so REACH staff can become involved immediately. The Court should require the Commonwealth to fund and develop additional teams or hire remote staff in Regions that continue to be unable to meet the response expectations by the end of the next review period after assessing the true response time. </w:t>
      </w:r>
    </w:p>
    <w:p w:rsidR="004C608D" w:rsidRDefault="004C608D" w:rsidP="00E04750">
      <w:pPr>
        <w:spacing w:beforeLines="1" w:afterLines="1"/>
        <w:rPr>
          <w:rFonts w:ascii="Times" w:hAnsi="Times"/>
        </w:rPr>
      </w:pPr>
    </w:p>
    <w:p w:rsidR="0014554A" w:rsidRPr="00FA7982" w:rsidRDefault="0014554A"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rPr>
          <w:i/>
          <w:iCs/>
        </w:rPr>
        <w:t xml:space="preserve">iii. Crisis Stabilization programs </w:t>
      </w:r>
    </w:p>
    <w:p w:rsidR="004C608D" w:rsidRPr="00FA7982" w:rsidRDefault="004C608D" w:rsidP="00E04750">
      <w:pPr>
        <w:spacing w:beforeLines="1" w:afterLines="1"/>
        <w:rPr>
          <w:rFonts w:ascii="Times" w:hAnsi="Times"/>
        </w:rPr>
      </w:pPr>
      <w:r w:rsidRPr="00FA7982">
        <w:rPr>
          <w:i/>
          <w:iCs/>
        </w:rPr>
        <w:t>A. Crisis stabilization programs offer a short-term alternative to institutionalization or hospitalization for individuals who need inpatient stabilization services.</w:t>
      </w:r>
      <w:r w:rsidRPr="00FA7982">
        <w:rPr>
          <w:i/>
          <w:iCs/>
        </w:rPr>
        <w:br/>
        <w:t xml:space="preserve">B. Crisis stabilization programs shall be used as a last resort. The state shall ensure that, prior to transferring an individual to a crisis stabilization program, the mobile crisis team, in collaboration with the provider, has first attempted to resolve the crisis to avoid an out-of-home placement, and if that is not possible, has then attempted to locate another community-based placement that could serve as a short-term placement. </w:t>
      </w:r>
    </w:p>
    <w:p w:rsidR="004C608D" w:rsidRPr="00FA7982" w:rsidRDefault="004C608D" w:rsidP="00E04750">
      <w:pPr>
        <w:spacing w:beforeLines="1" w:afterLines="1"/>
        <w:rPr>
          <w:rFonts w:ascii="Times" w:hAnsi="Times"/>
        </w:rPr>
      </w:pPr>
      <w:r w:rsidRPr="00FA7982">
        <w:rPr>
          <w:i/>
          <w:iCs/>
        </w:rPr>
        <w:t xml:space="preserve">C. If an individual receives crisis stabilization services in a community-based placement instead of a crisis stabilization unit, the individual may be given the option of remaining in placement if the provider is willing to serve the individual and the provider can meet the needs of the individual as determined by the provider and the individual’s case manager. </w:t>
      </w:r>
    </w:p>
    <w:p w:rsidR="004C608D" w:rsidRPr="00FA7982" w:rsidRDefault="004C608D" w:rsidP="00E04750">
      <w:pPr>
        <w:spacing w:beforeLines="1" w:afterLines="1"/>
        <w:rPr>
          <w:rFonts w:ascii="Times" w:hAnsi="Times"/>
        </w:rPr>
      </w:pPr>
      <w:r w:rsidRPr="00FA7982">
        <w:rPr>
          <w:i/>
          <w:iCs/>
        </w:rPr>
        <w:t xml:space="preserve">D. Crisis stabilization programs shall have no more than 6 beds and length of stay shall not exceed 30 days. </w:t>
      </w:r>
    </w:p>
    <w:p w:rsidR="004C608D" w:rsidRPr="00FA7982" w:rsidRDefault="004C608D" w:rsidP="00E04750">
      <w:pPr>
        <w:spacing w:beforeLines="1" w:afterLines="1"/>
        <w:rPr>
          <w:i/>
          <w:iCs/>
        </w:rPr>
      </w:pPr>
      <w:r w:rsidRPr="00FA7982">
        <w:rPr>
          <w:i/>
          <w:iCs/>
        </w:rPr>
        <w:t xml:space="preserve">G. By June 30, 2013 the Commonwealth shall develop an additional crisis stabilization program in each region as determined to meet the needs of the target population in that region.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t xml:space="preserve">All regions now have a crisis stabilization program providing both emergency and planned respite. All Regions have six beds available. </w:t>
      </w:r>
    </w:p>
    <w:p w:rsidR="004C608D" w:rsidRPr="00FA7982" w:rsidRDefault="004C608D" w:rsidP="00E04750">
      <w:pPr>
        <w:spacing w:beforeLines="1" w:afterLines="1"/>
      </w:pPr>
      <w:r w:rsidRPr="00FA7982">
        <w:t xml:space="preserve">Region IV remains in its temporary location.  I visited the CTH operated by Region IV that is in a campus location outside of Richmond. I interviewed Reba James, CTH Coordinator, Dr. Kaul, Medical Director and Christen McClanahan, the I/DD Director for the Region. There were three individuals at the CTH at the time of my visit. The CTH is located in an older residential facility. It s not located in a typical neighborhood and is larger than a normal home. The region has struggled to locate a more appropriate location over the past two years. The Independent Reviewer only approved the Brook Road facility as a temporary location for the Region IV CTH program, because of the urgent need for CTH services. The REACH team with the input of the REACH Regional Advisory Council has found land in Chester. They have the architectural drawings that were developed with input from program staff that visited other REACH CTH homes. The Region was closing on the land purchase the week of my visit (3/31/15). The plan is to break ground in September and open by March 2016. </w:t>
      </w:r>
    </w:p>
    <w:p w:rsidR="004C608D" w:rsidRPr="00FA7982" w:rsidRDefault="004C608D" w:rsidP="00E04750">
      <w:pPr>
        <w:spacing w:beforeLines="1" w:afterLines="1"/>
      </w:pPr>
    </w:p>
    <w:p w:rsidR="004C608D" w:rsidRPr="00FA7982" w:rsidRDefault="004C608D" w:rsidP="00E04750">
      <w:pPr>
        <w:spacing w:beforeLines="1" w:afterLines="1"/>
      </w:pPr>
      <w:r w:rsidRPr="00FA7982">
        <w:rPr>
          <w:b/>
          <w:bCs/>
          <w:i/>
          <w:iCs/>
        </w:rPr>
        <w:t xml:space="preserve">Table 2 </w:t>
      </w:r>
      <w:r w:rsidRPr="00FA7982">
        <w:t xml:space="preserve">summarizes the number of individuals who used the Crisis Stabilization Units during the two quarters covered by this review. The regions continue to provide both emergency and planned respite in the REACH Crisis Stabilization Units. The programs no longer report how many individuals use the program as a step down from the training schools, which was reported in the past.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There were a total of 319 visits to the CTH programs, which is the same number as the last reporting period. There were more visits for crisis stabilization (162) than for crisis prevention (157) but unlike previous reporting periods the numbers are fairly equal. It is also positive that DBHDS continues to offer planned respite in the REACH Crisis Stabilization Units for individuals at risk of crises. This type of planned respite is very beneficial to families who continue to care for their relative at home.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b/>
          <w:bCs/>
          <w:i/>
          <w:iCs/>
        </w:rPr>
      </w:pPr>
      <w:r w:rsidRPr="00FA7982">
        <w:rPr>
          <w:b/>
          <w:bCs/>
          <w:i/>
          <w:iCs/>
        </w:rPr>
        <w:t>TABLE 2: INDIVIDUALS USING THE REACH CRISIS STABILIZATION UNITS DURING FY15 SECOND QUARTER</w:t>
      </w:r>
      <w:r w:rsidR="003F05AA">
        <w:rPr>
          <w:b/>
          <w:bCs/>
          <w:i/>
          <w:iCs/>
        </w:rPr>
        <w:t xml:space="preserve"> (QII)</w:t>
      </w:r>
      <w:r w:rsidRPr="00FA7982">
        <w:rPr>
          <w:b/>
          <w:bCs/>
          <w:i/>
          <w:iCs/>
        </w:rPr>
        <w:t xml:space="preserve"> AND FY15 THIRD QUARTER</w:t>
      </w:r>
      <w:r w:rsidR="003F05AA">
        <w:rPr>
          <w:b/>
          <w:bCs/>
          <w:i/>
          <w:iCs/>
        </w:rPr>
        <w:t xml:space="preserve"> (QIII)</w:t>
      </w:r>
      <w:r w:rsidRPr="00FA7982">
        <w:rPr>
          <w:b/>
          <w:bCs/>
          <w:i/>
          <w:iCs/>
        </w:rPr>
        <w:t xml:space="preserve"> </w:t>
      </w:r>
    </w:p>
    <w:p w:rsidR="004C608D" w:rsidRPr="00FA7982" w:rsidRDefault="004C608D" w:rsidP="00E04750">
      <w:pPr>
        <w:spacing w:beforeLines="1" w:afterLines="1"/>
        <w:rPr>
          <w:rFonts w:ascii="Times" w:hAnsi="Times"/>
        </w:rPr>
      </w:pPr>
    </w:p>
    <w:tbl>
      <w:tblPr>
        <w:tblW w:w="0" w:type="auto"/>
        <w:tblCellMar>
          <w:top w:w="15" w:type="dxa"/>
          <w:left w:w="15" w:type="dxa"/>
          <w:bottom w:w="15" w:type="dxa"/>
          <w:right w:w="15" w:type="dxa"/>
        </w:tblCellMar>
        <w:tblLook w:val="0000"/>
      </w:tblPr>
      <w:tblGrid>
        <w:gridCol w:w="1037"/>
        <w:gridCol w:w="1456"/>
        <w:gridCol w:w="1032"/>
        <w:gridCol w:w="1530"/>
        <w:gridCol w:w="1024"/>
        <w:gridCol w:w="1856"/>
        <w:gridCol w:w="1541"/>
      </w:tblGrid>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REGION</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Default="004C608D" w:rsidP="00E04750">
            <w:pPr>
              <w:spacing w:beforeLines="1" w:afterLines="1"/>
              <w:jc w:val="center"/>
              <w:rPr>
                <w:b/>
                <w:bCs/>
              </w:rPr>
            </w:pPr>
            <w:r w:rsidRPr="00FA7982">
              <w:rPr>
                <w:b/>
                <w:bCs/>
              </w:rPr>
              <w:t>QII</w:t>
            </w:r>
          </w:p>
          <w:p w:rsidR="004C608D" w:rsidRPr="00FA7982" w:rsidRDefault="004C608D" w:rsidP="00E04750">
            <w:pPr>
              <w:spacing w:beforeLines="1" w:afterLines="1"/>
              <w:jc w:val="center"/>
              <w:rPr>
                <w:rFonts w:ascii="Times" w:hAnsi="Times"/>
              </w:rPr>
            </w:pPr>
            <w:r>
              <w:rPr>
                <w:b/>
                <w:bCs/>
              </w:rPr>
              <w:t>Emer</w:t>
            </w:r>
            <w:r w:rsidRPr="00FA7982">
              <w:rPr>
                <w:b/>
                <w:bCs/>
              </w:rPr>
              <w:t>gency</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b/>
                <w:bCs/>
              </w:rPr>
            </w:pPr>
            <w:r w:rsidRPr="00FA7982">
              <w:rPr>
                <w:b/>
                <w:bCs/>
              </w:rPr>
              <w:t>QII</w:t>
            </w:r>
          </w:p>
          <w:p w:rsidR="004C608D" w:rsidRPr="00FA7982" w:rsidRDefault="004C608D" w:rsidP="00E04750">
            <w:pPr>
              <w:spacing w:beforeLines="1" w:afterLines="1"/>
              <w:jc w:val="center"/>
              <w:rPr>
                <w:rFonts w:ascii="Times" w:hAnsi="Times"/>
              </w:rPr>
            </w:pPr>
            <w:r w:rsidRPr="00FA7982">
              <w:rPr>
                <w:b/>
                <w:bCs/>
              </w:rPr>
              <w:t>Planned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Pr>
                <w:b/>
                <w:bCs/>
              </w:rPr>
              <w:t>QIII Emer</w:t>
            </w:r>
            <w:r w:rsidRPr="00FA7982">
              <w:rPr>
                <w:b/>
                <w:bCs/>
              </w:rPr>
              <w:t>gency</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b/>
                <w:bCs/>
              </w:rPr>
            </w:pPr>
            <w:r w:rsidRPr="00FA7982">
              <w:rPr>
                <w:b/>
                <w:bCs/>
              </w:rPr>
              <w:t>QIII</w:t>
            </w:r>
          </w:p>
          <w:p w:rsidR="004C608D" w:rsidRPr="00FA7982" w:rsidRDefault="004C608D" w:rsidP="00E04750">
            <w:pPr>
              <w:spacing w:beforeLines="1" w:afterLines="1"/>
              <w:jc w:val="center"/>
              <w:rPr>
                <w:rFonts w:ascii="Times" w:hAnsi="Times"/>
              </w:rPr>
            </w:pPr>
            <w:r w:rsidRPr="00FA7982">
              <w:rPr>
                <w:b/>
                <w:bCs/>
              </w:rPr>
              <w:t>Planned</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Total Emergency</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Total Planned</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I</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20</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rFonts w:ascii="Times" w:hAnsi="Times"/>
                <w:sz w:val="22"/>
                <w:szCs w:val="22"/>
              </w:rPr>
              <w:t>30</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19</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II</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11</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20</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54</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III</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22</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19</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rFonts w:ascii="Times" w:hAnsi="Times"/>
                <w:sz w:val="22"/>
                <w:szCs w:val="22"/>
              </w:rPr>
              <w:t>41</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26</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IV</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12</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17</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23</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29</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rFonts w:ascii="Times" w:hAnsi="Times"/>
                <w:sz w:val="22"/>
                <w:szCs w:val="22"/>
              </w:rPr>
              <w:t>35</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V</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19</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24</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bCs/>
                <w:sz w:val="22"/>
                <w:szCs w:val="22"/>
              </w:rPr>
              <w:t>9</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rFonts w:ascii="Times" w:hAnsi="Times"/>
                <w:sz w:val="22"/>
                <w:szCs w:val="22"/>
              </w:rPr>
              <w:t>43</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B828EE" w:rsidRDefault="004C608D" w:rsidP="00E04750">
            <w:pPr>
              <w:spacing w:beforeLines="1" w:afterLines="1"/>
              <w:jc w:val="center"/>
              <w:rPr>
                <w:rFonts w:ascii="Times" w:hAnsi="Times"/>
                <w:sz w:val="22"/>
                <w:szCs w:val="22"/>
              </w:rPr>
            </w:pPr>
            <w:r w:rsidRPr="00B828EE">
              <w:rPr>
                <w:rFonts w:ascii="Times" w:hAnsi="Times"/>
                <w:sz w:val="22"/>
                <w:szCs w:val="22"/>
              </w:rPr>
              <w:t>23</w:t>
            </w:r>
          </w:p>
        </w:tc>
      </w:tr>
      <w:tr w:rsidR="004C608D" w:rsidRPr="00FA7982" w:rsidTr="004C608D">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A7982" w:rsidRDefault="004C608D" w:rsidP="00E04750">
            <w:pPr>
              <w:spacing w:beforeLines="1" w:afterLines="1"/>
              <w:jc w:val="center"/>
              <w:rPr>
                <w:rFonts w:ascii="Times" w:hAnsi="Times"/>
              </w:rPr>
            </w:pPr>
            <w:r w:rsidRPr="00FA7982">
              <w:rPr>
                <w:b/>
                <w:bCs/>
              </w:rPr>
              <w:t>TOTAL</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rFonts w:ascii="Times" w:hAnsi="Times"/>
                <w:b/>
              </w:rPr>
              <w:t>71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rFonts w:ascii="Times" w:hAnsi="Times"/>
                <w:b/>
              </w:rPr>
              <w:t>83</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rFonts w:ascii="Times" w:hAnsi="Times"/>
                <w:b/>
              </w:rPr>
              <w:t>91</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b/>
                <w:bCs/>
              </w:rPr>
              <w:t>74</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rFonts w:ascii="Times" w:hAnsi="Times"/>
                <w:b/>
              </w:rPr>
              <w:t>162</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608D" w:rsidRPr="00F70165" w:rsidRDefault="004C608D" w:rsidP="00E04750">
            <w:pPr>
              <w:spacing w:beforeLines="1" w:afterLines="1"/>
              <w:jc w:val="center"/>
              <w:rPr>
                <w:rFonts w:ascii="Times" w:hAnsi="Times"/>
                <w:b/>
              </w:rPr>
            </w:pPr>
            <w:r w:rsidRPr="00F70165">
              <w:rPr>
                <w:b/>
                <w:bCs/>
              </w:rPr>
              <w:t>157</w:t>
            </w:r>
          </w:p>
        </w:tc>
      </w:tr>
    </w:tbl>
    <w:p w:rsidR="004C608D" w:rsidRPr="00FA7982" w:rsidRDefault="004C608D" w:rsidP="00E04750">
      <w:pPr>
        <w:spacing w:beforeLines="1" w:afterLines="1"/>
      </w:pPr>
    </w:p>
    <w:p w:rsidR="004C608D" w:rsidRPr="00FA7982" w:rsidRDefault="004C608D" w:rsidP="00E04750">
      <w:pPr>
        <w:spacing w:beforeLines="1" w:afterLines="1"/>
      </w:pPr>
      <w:r w:rsidRPr="00FA7982">
        <w:t xml:space="preserve">THE REACH program continues to provide community –based mobile crisis support as well. Three of the five regions were able to retain the residential setting for most of the individuals in crisis who received mobile crisis response. Region III had fifty-four individuals stay in their setting and nine use the CTH program. Thirteen individuals were hospitalized in a psychiatric facility. Region IV had thirty-five retain their setting and fourteen use the CTH. Twenty-two individuals were admitted to a psychiatric hospital; Region V had eighty-five retain their home setting and five use the CTH. Twenty-one individuals were admitted to psychiatric facilities. In these three regions fifty-six individuals were admitted to a psychiatric setting. </w:t>
      </w:r>
    </w:p>
    <w:p w:rsidR="004C608D" w:rsidRPr="00FA7982" w:rsidRDefault="004C608D" w:rsidP="00E04750">
      <w:pPr>
        <w:spacing w:beforeLines="1" w:afterLines="1"/>
      </w:pPr>
    </w:p>
    <w:p w:rsidR="004C608D" w:rsidRPr="00FA7982" w:rsidRDefault="004C608D" w:rsidP="00E04750">
      <w:pPr>
        <w:spacing w:beforeLines="1" w:afterLines="1"/>
      </w:pPr>
      <w:r w:rsidRPr="00FA7982">
        <w:t xml:space="preserve">However Regions I and II had more individuals as a percent of those served that were hospitalized. In Region I only twenty-four retained the home setting while twenty used the CTH and an additional nineteen were hospitalized. Region II was able to support fourteen individuals to stay home while twenty-one used the CTH. However, nineteen were hospitalized.  Only 56% of the individuals who received mobile crisis support were maintained in their home. Nineteen percent used the CTH program and 25% were admitted to psychiatric facilities. </w:t>
      </w:r>
    </w:p>
    <w:p w:rsidR="004C608D" w:rsidRPr="00FA7982" w:rsidRDefault="004C608D" w:rsidP="00E04750">
      <w:pPr>
        <w:spacing w:beforeLines="1" w:afterLines="1"/>
      </w:pPr>
    </w:p>
    <w:p w:rsidR="004C608D" w:rsidRPr="00FA7982" w:rsidRDefault="004C608D" w:rsidP="00E04750">
      <w:pPr>
        <w:spacing w:beforeLines="1" w:afterLines="1"/>
      </w:pPr>
      <w:r w:rsidRPr="00FA7982">
        <w:t>This information is based on the DBHDS quarterly reports for this review period. The 25% represents ninety-four admissions.  This is a high number of individuals who could not be first served effectively through either the mobile crisis component of REACH or by using the CTH to first stabilize their behaviors. This requires further analysis to determine why the crisis response system cannot address the needs of these individuals and if there is a need for Virginia to develop additional clinical supports or specialized residential short -term settings for these individuals if the number of admissions remains high or increases. It is also important for REACH to stay involved with these individuals and their community teams to assist with discharge planning and support the work of teams during the transition back to the community.</w:t>
      </w:r>
    </w:p>
    <w:p w:rsidR="004C608D" w:rsidRPr="00FA7982" w:rsidRDefault="004C608D" w:rsidP="00E04750">
      <w:pPr>
        <w:spacing w:beforeLines="1" w:afterLines="1"/>
      </w:pPr>
    </w:p>
    <w:p w:rsidR="004C608D" w:rsidRDefault="004C608D" w:rsidP="00E04750">
      <w:pPr>
        <w:spacing w:beforeLines="1" w:afterLines="1"/>
      </w:pPr>
      <w:r w:rsidRPr="00FA7982">
        <w:t xml:space="preserve">There is no indication that any other community placements were used for crisis stabilization during the reporting period for individuals who could not remain in their home setting. The Settlement Agreement requires the state to attempt to locate another community alternative before using the REACH Crisis Stabilization Unit. REACH teams are attempting to maintain individuals in their own homes with supports as the preferred approach to stabilize someone who is in crisis. </w:t>
      </w:r>
    </w:p>
    <w:p w:rsidR="003F05AA" w:rsidRPr="00FA7982" w:rsidRDefault="003F05AA" w:rsidP="00E04750">
      <w:pPr>
        <w:spacing w:beforeLines="1" w:afterLines="1"/>
        <w:rPr>
          <w:rFonts w:ascii="Times" w:hAnsi="Times"/>
        </w:rPr>
      </w:pPr>
    </w:p>
    <w:p w:rsidR="004C608D" w:rsidRPr="00FA7982" w:rsidRDefault="004C608D" w:rsidP="00E04750">
      <w:pPr>
        <w:spacing w:beforeLines="1" w:afterLines="1"/>
      </w:pPr>
      <w:r w:rsidRPr="00FA7982">
        <w:t xml:space="preserve">The REACH programs are not currently seeking community residential vacancies before using the Crisis Stabilization Units. In my professional opinion using vacancies in community residential programs is not a best practice. Dr. Beasley supports this perspective. Placing an individual who is in crisis into a home shared by other individuals who have I/DD is potentially destabilizing to those individuals for whom this is home. Additionally the practice potentially leaves the individual who is in crisis in an unfamiliar home, in the care of a staff person with whom he/she is unfamiliar and who is not trained to meet the needs of someone with a dual diagnosis who is experiencing a crisis. I will not recommend a determination of compliance regarding this provision until the Parties discuss it and decide if they want to maintain it as a requirement of the Agreement. I recommend that it not be a REACH practice.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DBHDS is to determine if there is a need for additional crisis stabilization units to meet the needs of individuals in the target population. All of the Regions have unused bed days in both quarters of this reporting period. In FY15 QII they range from 71-392. The five regions had similar availability in FY15 QIII with a range of 71-373 unused days. Two Regions did not have anyone on the Waiting List. Region IV had four individuals on the Waiting List in FY15 QIII. Regions III and V had individuals on the waiting list in both quarters. In the fourth quarter this totaled six, and three individuals respectively. The number of individuals was not given for QII but one individual was hospitalized in Region III as a result of a lack of an opening at the CTH. </w:t>
      </w:r>
    </w:p>
    <w:p w:rsidR="004C608D" w:rsidRPr="00FA7982" w:rsidRDefault="004C608D" w:rsidP="00E04750">
      <w:pPr>
        <w:spacing w:beforeLines="1" w:afterLines="1"/>
      </w:pPr>
    </w:p>
    <w:p w:rsidR="004C608D" w:rsidRDefault="004C608D" w:rsidP="00E04750">
      <w:pPr>
        <w:spacing w:beforeLines="1" w:afterLines="1"/>
      </w:pPr>
      <w:r w:rsidRPr="00FA7982">
        <w:t>Region III plans to add one bed to its CTH at least temporarily. This will put it out of compliance with the Settlement Agreement requirement that crisis stabilization units have no more than six beds.</w:t>
      </w:r>
    </w:p>
    <w:p w:rsidR="004C608D" w:rsidRDefault="004C608D" w:rsidP="00E04750">
      <w:pPr>
        <w:spacing w:beforeLines="1" w:afterLines="1"/>
        <w:rPr>
          <w:rFonts w:ascii="Times" w:hAnsi="Times"/>
        </w:rPr>
      </w:pPr>
    </w:p>
    <w:p w:rsidR="003F05AA" w:rsidRDefault="003F05AA" w:rsidP="00E04750">
      <w:pPr>
        <w:spacing w:beforeLines="1" w:afterLines="1"/>
        <w:rPr>
          <w:rFonts w:ascii="Times" w:hAnsi="Times"/>
        </w:rPr>
      </w:pPr>
    </w:p>
    <w:p w:rsidR="004C608D" w:rsidRPr="00FA7982" w:rsidRDefault="004C608D" w:rsidP="00E04750">
      <w:pPr>
        <w:spacing w:beforeLines="1" w:afterLines="1"/>
      </w:pPr>
      <w:r w:rsidRPr="00FA7982">
        <w:t>All regions have unused bed days at the CTH programs. This seems to indicate that at this time additional crisis stabilization units are not needed. Regions have enough capacity to assist other regions if during certain times one program is fully occupied. DBHDS reports that families do not want to use CTH programs in other regions even when they have to wait for an opening in their own region. The status of the waiting list will need to be analyzed in future reporting periods to determine if the CTH capacity is adequate. The needs of the individuals who are psychiatrically hospitalized should also by analyzed in greater depth to determine why REACH is not an acceptable alternative, whether REACH is providing to needed supports to individuals at risk of unnecessary institutionalization or if other options need to be developed.</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rPr>
          <w:b/>
          <w:bCs/>
          <w:i/>
          <w:iCs/>
        </w:rPr>
        <w:t xml:space="preserve">Conclusion: </w:t>
      </w:r>
      <w:r w:rsidRPr="00FA7982">
        <w:t xml:space="preserve">The Commonwealth of Virginia is in compliance with Sections III.C.6.b.iii. A, B, D, E, F and G. I will not make a determination about Section III.C.6.b.iii.C until the Parties make a decision about the practice of using community residential resources for crisis stabilization. </w:t>
      </w:r>
    </w:p>
    <w:p w:rsidR="004C608D" w:rsidRDefault="004C608D" w:rsidP="00E04750">
      <w:pPr>
        <w:spacing w:beforeLines="1" w:afterLines="1"/>
        <w:rPr>
          <w:rFonts w:ascii="Times" w:hAnsi="Times"/>
        </w:rPr>
      </w:pPr>
    </w:p>
    <w:p w:rsidR="00F35B7A" w:rsidRPr="00FA7982" w:rsidRDefault="00F35B7A" w:rsidP="00E04750">
      <w:pPr>
        <w:spacing w:beforeLines="1" w:afterLines="1"/>
        <w:rPr>
          <w:rFonts w:ascii="Times" w:hAnsi="Times"/>
        </w:rPr>
      </w:pPr>
    </w:p>
    <w:p w:rsidR="004C608D" w:rsidRPr="0014554A" w:rsidRDefault="004C608D" w:rsidP="00E04750">
      <w:pPr>
        <w:spacing w:beforeLines="1" w:afterLines="1"/>
        <w:rPr>
          <w:b/>
          <w:bCs/>
          <w:u w:val="single"/>
        </w:rPr>
      </w:pPr>
      <w:r w:rsidRPr="0014554A">
        <w:rPr>
          <w:b/>
          <w:bCs/>
          <w:u w:val="single"/>
        </w:rPr>
        <w:t xml:space="preserve">SECTION 6: SUMMARY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The Commonwealth of Virginia continues to make progress to implement a statewide crisis response system for individuals with I/DD. It is promising that DBHDS has developed a plan to expand to provide crisis intervention and prevention to children and adolescents and has funding starting in FY16. Two regions have already started crisis services for children and adolescents. The review of six of the twelve children that received crisis supports in Region III is very positive.</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rPr>
          <w:rFonts w:ascii="Times" w:hAnsi="Times"/>
        </w:rPr>
        <w:t>I interviewed three members of the REACH Region I Regional Advisory Council. They support the importance of crisis prevention and intervention services. They report that the program in Region I is stabilizing and beginning to be more utilized. The outreach to the DD community is improving. They find the Region to be flexible and open to the input of stakeholders. They report some reluctance by providers to use REACH but also report of families who have been satisfied with the REACH services. They all believe this is a very important service. Recommendations they make for improvement include providing a clearer description of what REACH does in terms of its specific services, implementing crisis services for children and adolescents, improving the response time to crises, and developing stronger collaboration with the CSBs and providers. One member uses REACH services and reports satisfaction with the supports provided to her son.</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rFonts w:ascii="Times" w:hAnsi="Times"/>
        </w:rPr>
      </w:pPr>
      <w:r w:rsidRPr="00FA7982">
        <w:rPr>
          <w:rFonts w:ascii="Times" w:hAnsi="Times"/>
        </w:rPr>
        <w:t>The issue of the actual response time to crises must be addressed to determine if the Commonwealth is meeting its obligation under the Settlement Agreement. The dramatic increase in psychiatric admissions bears further analysis. In addition to the REACH data about individuals who experience inpatient admissions DBHDS provided a summary of psychiatric hospitalizations for individuals with ID/D that occurred between July 1, 2014 and March 15, 2015. All individuals had some level of ID, some of whom had a co-existing developmental disorder. No one was reported as having only a developmental disability. The data included the following:</w:t>
      </w:r>
    </w:p>
    <w:p w:rsidR="004C608D" w:rsidRPr="00FA7982" w:rsidRDefault="004C608D" w:rsidP="00E04750">
      <w:pPr>
        <w:pStyle w:val="ListParagraph"/>
        <w:numPr>
          <w:ilvl w:val="0"/>
          <w:numId w:val="75"/>
        </w:numPr>
        <w:spacing w:beforeLines="1" w:afterLines="1"/>
        <w:rPr>
          <w:rFonts w:ascii="Times" w:hAnsi="Times"/>
        </w:rPr>
      </w:pPr>
      <w:r w:rsidRPr="00FA7982">
        <w:rPr>
          <w:rFonts w:ascii="Times" w:hAnsi="Times"/>
        </w:rPr>
        <w:t>Sixty-eight individuals were still hospitalized at the time of the report</w:t>
      </w:r>
    </w:p>
    <w:p w:rsidR="004C608D" w:rsidRPr="00FA7982" w:rsidRDefault="004C608D" w:rsidP="00E04750">
      <w:pPr>
        <w:pStyle w:val="ListParagraph"/>
        <w:numPr>
          <w:ilvl w:val="0"/>
          <w:numId w:val="75"/>
        </w:numPr>
        <w:spacing w:beforeLines="1" w:afterLines="1"/>
        <w:rPr>
          <w:rFonts w:ascii="Times" w:hAnsi="Times"/>
        </w:rPr>
      </w:pPr>
      <w:r w:rsidRPr="00FA7982">
        <w:rPr>
          <w:rFonts w:ascii="Times" w:hAnsi="Times"/>
        </w:rPr>
        <w:t>One hundred fifty individuals had been discharged although the time period of the review was not specified</w:t>
      </w:r>
    </w:p>
    <w:p w:rsidR="004C608D" w:rsidRPr="00FA7982" w:rsidRDefault="004C608D" w:rsidP="00E04750">
      <w:pPr>
        <w:pStyle w:val="ListParagraph"/>
        <w:numPr>
          <w:ilvl w:val="0"/>
          <w:numId w:val="75"/>
        </w:numPr>
        <w:spacing w:beforeLines="1" w:afterLines="1"/>
        <w:rPr>
          <w:rFonts w:ascii="Times" w:hAnsi="Times"/>
        </w:rPr>
      </w:pPr>
      <w:r w:rsidRPr="00FA7982">
        <w:rPr>
          <w:rFonts w:ascii="Times" w:hAnsi="Times"/>
        </w:rPr>
        <w:t>Eleven of the 150 individuals discharged were hospitalized for more than one year with a range of 418-1926 days. Those individuals with lengthy stays included individuals with dementia and others with a forensic history</w:t>
      </w:r>
    </w:p>
    <w:p w:rsidR="004C608D" w:rsidRPr="00FA7982" w:rsidRDefault="004C608D" w:rsidP="00E04750">
      <w:pPr>
        <w:pStyle w:val="ListParagraph"/>
        <w:numPr>
          <w:ilvl w:val="0"/>
          <w:numId w:val="75"/>
        </w:numPr>
        <w:spacing w:beforeLines="1" w:afterLines="1"/>
        <w:rPr>
          <w:rFonts w:ascii="Times" w:hAnsi="Times"/>
        </w:rPr>
      </w:pPr>
      <w:r w:rsidRPr="00FA7982">
        <w:rPr>
          <w:rFonts w:ascii="Times" w:hAnsi="Times"/>
        </w:rPr>
        <w:t>139 of the 150 individuals were hospitalized for 365 days or less with an average length of stay of forty-one days</w:t>
      </w:r>
    </w:p>
    <w:p w:rsidR="004C608D" w:rsidRPr="00FA7982" w:rsidRDefault="004C608D" w:rsidP="00E04750">
      <w:pPr>
        <w:spacing w:beforeLines="1" w:afterLines="1"/>
        <w:ind w:left="427"/>
        <w:rPr>
          <w:rFonts w:ascii="Times" w:hAnsi="Times"/>
        </w:rPr>
      </w:pPr>
    </w:p>
    <w:p w:rsidR="004C608D" w:rsidRPr="00FA7982" w:rsidRDefault="004C608D" w:rsidP="00E04750">
      <w:pPr>
        <w:spacing w:beforeLines="1" w:afterLines="1"/>
        <w:ind w:left="90"/>
        <w:rPr>
          <w:rFonts w:ascii="Times" w:hAnsi="Times"/>
        </w:rPr>
      </w:pPr>
      <w:r w:rsidRPr="00FA7982">
        <w:rPr>
          <w:rFonts w:ascii="Times" w:hAnsi="Times"/>
        </w:rPr>
        <w:t>This data will be important to maintain and update in the future. It will be useful for the next review and enable the review to focus on the reasons for and disposition of psychiatric admissions. The Commonwealth must determine if the crisis response to these individuals has been sufficient and whether additional supports and services are needed to complement the supports REACH is able to offer to meet the goal of supporting individuals whenever possible in their homes. The Commonwealth must ensure that when out of home placement is needed it is appropriate, short-term and provides clinical assessment and treatment planning that prepares the individual to successfully return to the community with the comprehensive supports he or she needs that avert future crises. REACH is only one component of a successful system that addresses the needs of individuals who have a dual diagnosis or exhibit challenging behaviors.</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Commonwealth is in compliance with the following Sections of the Settlement Agreement: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III.C.6.b.i.A</w:t>
      </w:r>
    </w:p>
    <w:p w:rsidR="004C608D" w:rsidRPr="00FA7982" w:rsidRDefault="004C608D" w:rsidP="00E04750">
      <w:pPr>
        <w:spacing w:beforeLines="1" w:afterLines="1"/>
        <w:rPr>
          <w:i/>
          <w:iCs/>
        </w:rPr>
      </w:pPr>
      <w:r w:rsidRPr="00FA7982">
        <w:rPr>
          <w:i/>
          <w:iCs/>
        </w:rPr>
        <w:t xml:space="preserve"> III.C.6.b.i.B </w:t>
      </w:r>
    </w:p>
    <w:p w:rsidR="004C608D" w:rsidRPr="00FA7982" w:rsidRDefault="004C608D" w:rsidP="00E04750">
      <w:pPr>
        <w:spacing w:beforeLines="1" w:afterLines="1"/>
        <w:rPr>
          <w:i/>
          <w:iCs/>
        </w:rPr>
      </w:pPr>
      <w:r w:rsidRPr="00FA7982">
        <w:rPr>
          <w:i/>
          <w:iCs/>
        </w:rPr>
        <w:t>III.C.6.b.ii.A</w:t>
      </w:r>
    </w:p>
    <w:p w:rsidR="004C608D" w:rsidRPr="00FA7982" w:rsidRDefault="004C608D" w:rsidP="00E04750">
      <w:pPr>
        <w:spacing w:beforeLines="1" w:afterLines="1"/>
        <w:rPr>
          <w:i/>
          <w:iCs/>
        </w:rPr>
      </w:pPr>
      <w:r w:rsidRPr="00FA7982">
        <w:rPr>
          <w:i/>
          <w:iCs/>
        </w:rPr>
        <w:t>III.C.6.b.ii.B</w:t>
      </w:r>
    </w:p>
    <w:p w:rsidR="004C608D" w:rsidRPr="00FA7982" w:rsidRDefault="004C608D" w:rsidP="00E04750">
      <w:pPr>
        <w:spacing w:beforeLines="1" w:afterLines="1"/>
        <w:rPr>
          <w:i/>
          <w:iCs/>
        </w:rPr>
      </w:pPr>
      <w:r w:rsidRPr="00FA7982">
        <w:rPr>
          <w:i/>
          <w:iCs/>
        </w:rPr>
        <w:t>III.C.6.b.ii.C</w:t>
      </w:r>
    </w:p>
    <w:p w:rsidR="004C608D" w:rsidRPr="00FA7982" w:rsidRDefault="004C608D" w:rsidP="00E04750">
      <w:pPr>
        <w:spacing w:beforeLines="1" w:afterLines="1"/>
        <w:rPr>
          <w:i/>
          <w:iCs/>
        </w:rPr>
      </w:pPr>
      <w:r w:rsidRPr="00FA7982">
        <w:rPr>
          <w:i/>
          <w:iCs/>
        </w:rPr>
        <w:t>III.C.6.b.ii.D</w:t>
      </w:r>
    </w:p>
    <w:p w:rsidR="004C608D" w:rsidRPr="00FA7982" w:rsidRDefault="004C608D" w:rsidP="00E04750">
      <w:pPr>
        <w:spacing w:beforeLines="1" w:afterLines="1"/>
        <w:rPr>
          <w:i/>
          <w:iCs/>
        </w:rPr>
      </w:pPr>
      <w:r w:rsidRPr="00FA7982">
        <w:rPr>
          <w:i/>
          <w:iCs/>
        </w:rPr>
        <w:t>III.C.6.b.ii.E</w:t>
      </w:r>
    </w:p>
    <w:p w:rsidR="004C608D" w:rsidRPr="00FA7982" w:rsidRDefault="004C608D" w:rsidP="00E04750">
      <w:pPr>
        <w:spacing w:beforeLines="1" w:afterLines="1"/>
        <w:rPr>
          <w:i/>
          <w:iCs/>
        </w:rPr>
      </w:pPr>
      <w:r w:rsidRPr="00FA7982">
        <w:rPr>
          <w:i/>
          <w:iCs/>
        </w:rPr>
        <w:t>III.C.6.b.iii.A</w:t>
      </w:r>
    </w:p>
    <w:p w:rsidR="004C608D" w:rsidRPr="00FA7982" w:rsidRDefault="004C608D" w:rsidP="00E04750">
      <w:pPr>
        <w:spacing w:beforeLines="1" w:afterLines="1"/>
        <w:rPr>
          <w:i/>
          <w:iCs/>
        </w:rPr>
      </w:pPr>
      <w:r w:rsidRPr="00FA7982">
        <w:rPr>
          <w:i/>
          <w:iCs/>
        </w:rPr>
        <w:t xml:space="preserve"> III.C.6.b.iii.B</w:t>
      </w:r>
    </w:p>
    <w:p w:rsidR="004C608D" w:rsidRPr="00FA7982" w:rsidRDefault="004C608D" w:rsidP="00E04750">
      <w:pPr>
        <w:spacing w:beforeLines="1" w:afterLines="1"/>
        <w:rPr>
          <w:i/>
          <w:iCs/>
        </w:rPr>
      </w:pPr>
      <w:r w:rsidRPr="00FA7982">
        <w:rPr>
          <w:i/>
          <w:iCs/>
        </w:rPr>
        <w:t xml:space="preserve"> III.C.6.b.iii.D </w:t>
      </w:r>
    </w:p>
    <w:p w:rsidR="004C608D" w:rsidRPr="00FA7982" w:rsidRDefault="004C608D" w:rsidP="00E04750">
      <w:pPr>
        <w:spacing w:beforeLines="1" w:afterLines="1"/>
        <w:rPr>
          <w:i/>
          <w:iCs/>
        </w:rPr>
      </w:pPr>
      <w:r w:rsidRPr="00FA7982">
        <w:rPr>
          <w:i/>
          <w:iCs/>
        </w:rPr>
        <w:t>III.C.6.iii.E</w:t>
      </w:r>
    </w:p>
    <w:p w:rsidR="004C608D" w:rsidRPr="00FA7982" w:rsidRDefault="004C608D" w:rsidP="00E04750">
      <w:pPr>
        <w:spacing w:beforeLines="1" w:afterLines="1"/>
        <w:rPr>
          <w:i/>
          <w:iCs/>
        </w:rPr>
      </w:pPr>
      <w:r w:rsidRPr="00FA7982">
        <w:rPr>
          <w:i/>
          <w:iCs/>
        </w:rPr>
        <w:t xml:space="preserve"> III.C.6.iii.F</w:t>
      </w:r>
    </w:p>
    <w:p w:rsidR="004C608D" w:rsidRPr="00FA7982" w:rsidRDefault="004C608D" w:rsidP="00E04750">
      <w:pPr>
        <w:spacing w:beforeLines="1" w:afterLines="1"/>
        <w:rPr>
          <w:i/>
          <w:iCs/>
        </w:rPr>
      </w:pPr>
      <w:r w:rsidRPr="00FA7982">
        <w:rPr>
          <w:i/>
          <w:iCs/>
        </w:rPr>
        <w:t xml:space="preserve"> III.C.6.iii.H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pPr>
      <w:r w:rsidRPr="00FA7982">
        <w:t xml:space="preserve">The Commonwealth is not in compliance with the following Sections of the Settlement Agreement: </w:t>
      </w:r>
    </w:p>
    <w:p w:rsidR="004C608D" w:rsidRPr="00FA7982" w:rsidRDefault="004C608D" w:rsidP="00E04750">
      <w:pPr>
        <w:spacing w:beforeLines="1" w:afterLines="1"/>
        <w:rPr>
          <w:rFonts w:ascii="Times" w:hAnsi="Times"/>
        </w:rPr>
      </w:pPr>
    </w:p>
    <w:p w:rsidR="004C608D" w:rsidRPr="00FA7982" w:rsidRDefault="004C608D" w:rsidP="00E04750">
      <w:pPr>
        <w:spacing w:beforeLines="1" w:afterLines="1"/>
        <w:rPr>
          <w:i/>
          <w:iCs/>
        </w:rPr>
      </w:pPr>
      <w:r w:rsidRPr="00FA7982">
        <w:rPr>
          <w:i/>
          <w:iCs/>
        </w:rPr>
        <w:t xml:space="preserve">III.C.6.a.i </w:t>
      </w:r>
    </w:p>
    <w:p w:rsidR="004C608D" w:rsidRPr="00FA7982" w:rsidRDefault="004C608D" w:rsidP="00E04750">
      <w:pPr>
        <w:spacing w:beforeLines="1" w:afterLines="1"/>
        <w:rPr>
          <w:i/>
          <w:iCs/>
        </w:rPr>
      </w:pPr>
      <w:r w:rsidRPr="00FA7982">
        <w:rPr>
          <w:i/>
          <w:iCs/>
        </w:rPr>
        <w:t xml:space="preserve">III.C.6a.ii </w:t>
      </w:r>
    </w:p>
    <w:p w:rsidR="004C608D" w:rsidRPr="00FA7982" w:rsidRDefault="004C608D" w:rsidP="00E04750">
      <w:pPr>
        <w:spacing w:beforeLines="1" w:afterLines="1"/>
        <w:rPr>
          <w:i/>
          <w:iCs/>
        </w:rPr>
      </w:pPr>
      <w:r w:rsidRPr="00FA7982">
        <w:rPr>
          <w:i/>
          <w:iCs/>
        </w:rPr>
        <w:t xml:space="preserve">III.C.6.a.iii </w:t>
      </w:r>
    </w:p>
    <w:p w:rsidR="004C608D" w:rsidRPr="00FA7982" w:rsidRDefault="004C608D" w:rsidP="00E04750">
      <w:pPr>
        <w:spacing w:beforeLines="1" w:afterLines="1"/>
        <w:rPr>
          <w:i/>
          <w:iCs/>
        </w:rPr>
      </w:pPr>
      <w:r w:rsidRPr="00FA7982">
        <w:rPr>
          <w:i/>
          <w:iCs/>
        </w:rPr>
        <w:t>III.C.6.b.ii.G</w:t>
      </w:r>
    </w:p>
    <w:p w:rsidR="004C608D" w:rsidRPr="00FA7982" w:rsidRDefault="004C608D" w:rsidP="00E04750">
      <w:pPr>
        <w:spacing w:beforeLines="1" w:afterLines="1"/>
        <w:rPr>
          <w:i/>
          <w:iCs/>
        </w:rPr>
      </w:pPr>
      <w:r w:rsidRPr="00FA7982">
        <w:rPr>
          <w:i/>
          <w:iCs/>
        </w:rPr>
        <w:t>III.C.6.b.ii.H</w:t>
      </w:r>
    </w:p>
    <w:p w:rsidR="004C608D" w:rsidRPr="00A76E86" w:rsidRDefault="004C608D" w:rsidP="004C608D">
      <w:pPr>
        <w:rPr>
          <w:sz w:val="28"/>
        </w:rPr>
      </w:pPr>
    </w:p>
    <w:p w:rsidR="004C608D" w:rsidRDefault="004C608D" w:rsidP="00E04750">
      <w:pPr>
        <w:spacing w:beforeLines="1" w:afterLines="1"/>
        <w:rPr>
          <w:rFonts w:ascii="Baskerville" w:hAnsi="Baskerville" w:cs="Baskerville"/>
          <w:sz w:val="22"/>
          <w:szCs w:val="22"/>
        </w:rPr>
      </w:pPr>
      <w:r>
        <w:rPr>
          <w:rFonts w:ascii="Baskerville" w:hAnsi="Baskerville" w:cs="Baskerville"/>
          <w:sz w:val="22"/>
          <w:szCs w:val="22"/>
        </w:rPr>
        <w:br w:type="page"/>
      </w: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Baskerville" w:hAnsi="Baskerville" w:cs="Baskerville"/>
          <w:sz w:val="22"/>
          <w:szCs w:val="22"/>
        </w:rPr>
      </w:pPr>
    </w:p>
    <w:p w:rsidR="004C608D" w:rsidRDefault="004C608D" w:rsidP="004C608D">
      <w:pPr>
        <w:tabs>
          <w:tab w:val="left" w:pos="720"/>
        </w:tabs>
        <w:jc w:val="center"/>
        <w:rPr>
          <w:rFonts w:asciiTheme="minorHAnsi" w:hAnsiTheme="minorHAnsi" w:cs="Baskerville"/>
          <w:b/>
          <w:sz w:val="28"/>
          <w:szCs w:val="28"/>
          <w:u w:val="single"/>
        </w:rPr>
      </w:pPr>
      <w:r>
        <w:rPr>
          <w:rFonts w:asciiTheme="minorHAnsi" w:hAnsiTheme="minorHAnsi" w:cs="Baskerville"/>
          <w:b/>
          <w:sz w:val="28"/>
          <w:szCs w:val="28"/>
          <w:u w:val="single"/>
        </w:rPr>
        <w:t>APPENDIX D</w:t>
      </w:r>
    </w:p>
    <w:p w:rsidR="004C608D" w:rsidRDefault="004C608D" w:rsidP="004C608D">
      <w:pPr>
        <w:tabs>
          <w:tab w:val="left" w:pos="720"/>
        </w:tabs>
        <w:jc w:val="center"/>
        <w:rPr>
          <w:rFonts w:asciiTheme="minorHAnsi" w:hAnsiTheme="minorHAnsi" w:cs="Baskerville"/>
          <w:b/>
          <w:sz w:val="28"/>
          <w:szCs w:val="28"/>
          <w:u w:val="single"/>
        </w:rPr>
      </w:pPr>
    </w:p>
    <w:p w:rsidR="004C608D" w:rsidRPr="002178B8" w:rsidRDefault="004C608D" w:rsidP="004C608D">
      <w:pPr>
        <w:tabs>
          <w:tab w:val="left" w:pos="720"/>
        </w:tabs>
        <w:jc w:val="center"/>
        <w:rPr>
          <w:rFonts w:ascii="Baskerville" w:hAnsi="Baskerville" w:cs="Baskerville"/>
          <w:sz w:val="22"/>
          <w:szCs w:val="22"/>
        </w:rPr>
      </w:pPr>
    </w:p>
    <w:p w:rsidR="004C608D" w:rsidRPr="00125F80" w:rsidRDefault="004C608D" w:rsidP="004C608D">
      <w:pPr>
        <w:tabs>
          <w:tab w:val="left" w:pos="720"/>
        </w:tabs>
        <w:jc w:val="center"/>
        <w:rPr>
          <w:rFonts w:asciiTheme="minorHAnsi" w:hAnsiTheme="minorHAnsi" w:cs="Baskerville"/>
          <w:b/>
          <w:sz w:val="28"/>
          <w:szCs w:val="28"/>
          <w:u w:val="single"/>
        </w:rPr>
      </w:pPr>
    </w:p>
    <w:p w:rsidR="004C608D" w:rsidRPr="00125F80" w:rsidRDefault="004C608D" w:rsidP="004C608D">
      <w:pPr>
        <w:tabs>
          <w:tab w:val="left" w:pos="720"/>
          <w:tab w:val="center" w:pos="4752"/>
          <w:tab w:val="left" w:pos="7159"/>
        </w:tabs>
        <w:jc w:val="center"/>
        <w:rPr>
          <w:rFonts w:asciiTheme="minorHAnsi" w:hAnsiTheme="minorHAnsi" w:cs="Baskerville"/>
          <w:b/>
          <w:sz w:val="28"/>
          <w:szCs w:val="28"/>
        </w:rPr>
      </w:pPr>
      <w:r w:rsidRPr="00125F80">
        <w:rPr>
          <w:rFonts w:asciiTheme="minorHAnsi" w:hAnsiTheme="minorHAnsi"/>
          <w:b/>
          <w:sz w:val="28"/>
          <w:szCs w:val="28"/>
        </w:rPr>
        <w:t xml:space="preserve">INTEGRATED DAY AND EMPLOYMENT SERVICES </w:t>
      </w:r>
      <w:r w:rsidRPr="00125F80">
        <w:rPr>
          <w:rFonts w:asciiTheme="minorHAnsi" w:hAnsiTheme="minorHAnsi" w:cs="Baskerville"/>
          <w:b/>
          <w:sz w:val="28"/>
          <w:szCs w:val="28"/>
        </w:rPr>
        <w:t>REQUIREMENTS</w:t>
      </w:r>
    </w:p>
    <w:p w:rsidR="004C608D" w:rsidRPr="00125F80" w:rsidRDefault="004C608D" w:rsidP="004C608D">
      <w:pPr>
        <w:tabs>
          <w:tab w:val="left" w:pos="720"/>
          <w:tab w:val="center" w:pos="4752"/>
          <w:tab w:val="left" w:pos="7159"/>
        </w:tabs>
        <w:jc w:val="center"/>
        <w:rPr>
          <w:rFonts w:asciiTheme="minorHAnsi" w:hAnsiTheme="minorHAnsi" w:cs="Baskerville"/>
          <w:b/>
          <w:sz w:val="28"/>
          <w:szCs w:val="28"/>
        </w:rPr>
      </w:pPr>
    </w:p>
    <w:p w:rsidR="004C608D" w:rsidRPr="00125F80" w:rsidRDefault="004C608D" w:rsidP="004C608D">
      <w:pPr>
        <w:tabs>
          <w:tab w:val="left" w:pos="720"/>
          <w:tab w:val="center" w:pos="4752"/>
          <w:tab w:val="left" w:pos="7159"/>
        </w:tabs>
        <w:jc w:val="center"/>
        <w:rPr>
          <w:rFonts w:asciiTheme="minorHAnsi" w:hAnsiTheme="minorHAnsi" w:cs="Baskerville"/>
          <w:b/>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r>
        <w:rPr>
          <w:rFonts w:asciiTheme="minorHAnsi" w:hAnsiTheme="minorHAnsi" w:cs="Baskerville"/>
          <w:b/>
          <w:bCs/>
          <w:sz w:val="28"/>
          <w:szCs w:val="28"/>
        </w:rPr>
        <w:t>By: Kathryn du Pree MPH</w:t>
      </w: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p>
    <w:p w:rsidR="004C608D" w:rsidRDefault="004C608D" w:rsidP="004C608D">
      <w:pPr>
        <w:tabs>
          <w:tab w:val="left" w:pos="720"/>
          <w:tab w:val="center" w:pos="4752"/>
          <w:tab w:val="left" w:pos="7159"/>
        </w:tabs>
        <w:jc w:val="center"/>
        <w:rPr>
          <w:b/>
          <w:sz w:val="32"/>
          <w:szCs w:val="32"/>
        </w:rPr>
      </w:pPr>
    </w:p>
    <w:p w:rsidR="004C608D" w:rsidRDefault="004C608D" w:rsidP="004C608D">
      <w:pPr>
        <w:rPr>
          <w:b/>
          <w:sz w:val="32"/>
          <w:szCs w:val="32"/>
        </w:rPr>
      </w:pPr>
    </w:p>
    <w:p w:rsidR="004C608D" w:rsidRPr="00726286" w:rsidRDefault="004C608D" w:rsidP="004C608D">
      <w:pPr>
        <w:rPr>
          <w:b/>
          <w:sz w:val="28"/>
          <w:szCs w:val="28"/>
        </w:rPr>
      </w:pPr>
      <w:r w:rsidRPr="00726286">
        <w:rPr>
          <w:b/>
          <w:sz w:val="28"/>
          <w:szCs w:val="28"/>
        </w:rPr>
        <w:t>2015 REVIEW OF THE EMPLOYMENT SERVICES REQUIREMENTS OF THE US v COMMONWEALTH OF VIRGINIA’S SETTLEMENT AGREEEMENT</w:t>
      </w:r>
    </w:p>
    <w:p w:rsidR="004C608D" w:rsidRPr="00726286" w:rsidRDefault="004C608D" w:rsidP="004C608D">
      <w:pPr>
        <w:rPr>
          <w:b/>
          <w:sz w:val="28"/>
          <w:szCs w:val="28"/>
        </w:rPr>
      </w:pPr>
    </w:p>
    <w:p w:rsidR="004C608D" w:rsidRPr="00726286" w:rsidRDefault="004C608D" w:rsidP="004C608D">
      <w:pPr>
        <w:rPr>
          <w:b/>
          <w:sz w:val="28"/>
          <w:szCs w:val="28"/>
        </w:rPr>
      </w:pPr>
      <w:r w:rsidRPr="00726286">
        <w:rPr>
          <w:b/>
          <w:sz w:val="28"/>
          <w:szCs w:val="28"/>
        </w:rPr>
        <w:t>REVIEW PERIOD: OCTOBER 7,2014– APRIL 6, 2015</w:t>
      </w:r>
    </w:p>
    <w:p w:rsidR="004C608D" w:rsidRPr="00726286" w:rsidRDefault="004C608D" w:rsidP="004C608D">
      <w:pPr>
        <w:rPr>
          <w:b/>
          <w:sz w:val="28"/>
          <w:szCs w:val="28"/>
        </w:rPr>
      </w:pPr>
    </w:p>
    <w:p w:rsidR="004C608D" w:rsidRPr="00726286" w:rsidRDefault="004C608D" w:rsidP="004C608D">
      <w:pPr>
        <w:rPr>
          <w:b/>
          <w:sz w:val="28"/>
          <w:szCs w:val="28"/>
        </w:rPr>
      </w:pPr>
      <w:r w:rsidRPr="00726286">
        <w:rPr>
          <w:b/>
          <w:sz w:val="28"/>
          <w:szCs w:val="28"/>
        </w:rPr>
        <w:t>SUBMITTED TO DONALD FLETCHER</w:t>
      </w:r>
    </w:p>
    <w:p w:rsidR="004C608D" w:rsidRPr="00726286" w:rsidRDefault="004C608D" w:rsidP="004C608D">
      <w:pPr>
        <w:rPr>
          <w:b/>
          <w:sz w:val="28"/>
          <w:szCs w:val="28"/>
        </w:rPr>
      </w:pPr>
      <w:r w:rsidRPr="00726286">
        <w:rPr>
          <w:b/>
          <w:sz w:val="28"/>
          <w:szCs w:val="28"/>
        </w:rPr>
        <w:t>INDEPENDENT REVIEWER</w:t>
      </w:r>
    </w:p>
    <w:p w:rsidR="004C608D" w:rsidRPr="00726286" w:rsidRDefault="004C608D" w:rsidP="004C608D">
      <w:pPr>
        <w:rPr>
          <w:b/>
          <w:sz w:val="28"/>
          <w:szCs w:val="28"/>
        </w:rPr>
      </w:pPr>
    </w:p>
    <w:p w:rsidR="004C608D" w:rsidRPr="00726286" w:rsidRDefault="004C608D" w:rsidP="004C608D">
      <w:pPr>
        <w:rPr>
          <w:b/>
          <w:sz w:val="28"/>
          <w:szCs w:val="28"/>
        </w:rPr>
      </w:pPr>
    </w:p>
    <w:p w:rsidR="004C608D" w:rsidRPr="00726286" w:rsidRDefault="004C608D" w:rsidP="004C608D">
      <w:pPr>
        <w:rPr>
          <w:b/>
          <w:sz w:val="28"/>
          <w:szCs w:val="28"/>
        </w:rPr>
      </w:pPr>
      <w:r w:rsidRPr="00726286">
        <w:rPr>
          <w:b/>
          <w:sz w:val="28"/>
          <w:szCs w:val="28"/>
        </w:rPr>
        <w:t>PREPARED BY: KATHRYN DU PREE, MPS</w:t>
      </w:r>
    </w:p>
    <w:p w:rsidR="004C608D" w:rsidRPr="00726286" w:rsidRDefault="004C608D" w:rsidP="004C608D">
      <w:pPr>
        <w:rPr>
          <w:b/>
          <w:sz w:val="28"/>
          <w:szCs w:val="28"/>
        </w:rPr>
      </w:pPr>
      <w:r w:rsidRPr="00726286">
        <w:rPr>
          <w:b/>
          <w:sz w:val="28"/>
          <w:szCs w:val="28"/>
        </w:rPr>
        <w:t>EXPERT REVIEWER</w:t>
      </w:r>
    </w:p>
    <w:p w:rsidR="004C608D" w:rsidRPr="00726286" w:rsidRDefault="004C608D" w:rsidP="004C608D">
      <w:pPr>
        <w:rPr>
          <w:b/>
          <w:sz w:val="28"/>
          <w:szCs w:val="28"/>
        </w:rPr>
      </w:pPr>
      <w:r w:rsidRPr="00726286">
        <w:rPr>
          <w:b/>
          <w:sz w:val="28"/>
          <w:szCs w:val="28"/>
        </w:rPr>
        <w:t>APRIL 30, 2015</w:t>
      </w:r>
    </w:p>
    <w:p w:rsidR="004C608D" w:rsidRPr="00726286" w:rsidRDefault="004C608D" w:rsidP="004C608D">
      <w:pPr>
        <w:rPr>
          <w:b/>
          <w:sz w:val="28"/>
          <w:szCs w:val="28"/>
        </w:rPr>
      </w:pPr>
    </w:p>
    <w:p w:rsidR="004C608D" w:rsidRPr="00726286" w:rsidRDefault="004C608D" w:rsidP="004C608D">
      <w:pPr>
        <w:rPr>
          <w:b/>
          <w:sz w:val="28"/>
          <w:szCs w:val="28"/>
        </w:rPr>
      </w:pPr>
    </w:p>
    <w:p w:rsidR="004C608D" w:rsidRPr="00726286" w:rsidRDefault="004C608D" w:rsidP="004C608D">
      <w:pPr>
        <w:rPr>
          <w:b/>
          <w:sz w:val="28"/>
          <w:szCs w:val="28"/>
        </w:rPr>
      </w:pPr>
    </w:p>
    <w:p w:rsidR="004C608D" w:rsidRPr="00726286" w:rsidRDefault="004C608D" w:rsidP="004C608D">
      <w:pPr>
        <w:rPr>
          <w:b/>
          <w:sz w:val="28"/>
          <w:szCs w:val="28"/>
        </w:rPr>
      </w:pPr>
      <w:r w:rsidRPr="00726286">
        <w:rPr>
          <w:b/>
          <w:sz w:val="28"/>
          <w:szCs w:val="28"/>
        </w:rPr>
        <w:t>TABLE OF CONTENTS</w:t>
      </w:r>
    </w:p>
    <w:p w:rsidR="004C608D" w:rsidRPr="00DA4C41" w:rsidRDefault="004C608D" w:rsidP="004C608D">
      <w:pPr>
        <w:rPr>
          <w:sz w:val="28"/>
          <w:szCs w:val="28"/>
        </w:rPr>
      </w:pPr>
      <w:r w:rsidRPr="00DA4C41">
        <w:rPr>
          <w:sz w:val="28"/>
          <w:szCs w:val="28"/>
        </w:rPr>
        <w:t>Section I:  Overview of Requirements</w:t>
      </w:r>
      <w:r w:rsidRPr="00DA4C41">
        <w:rPr>
          <w:sz w:val="28"/>
          <w:szCs w:val="28"/>
        </w:rPr>
        <w:tab/>
      </w:r>
      <w:r w:rsidRPr="00DA4C41">
        <w:rPr>
          <w:sz w:val="28"/>
          <w:szCs w:val="28"/>
        </w:rPr>
        <w:tab/>
      </w:r>
      <w:r w:rsidRPr="00DA4C41">
        <w:rPr>
          <w:sz w:val="28"/>
          <w:szCs w:val="28"/>
        </w:rPr>
        <w:tab/>
      </w:r>
      <w:r w:rsidRPr="00DA4C41">
        <w:rPr>
          <w:sz w:val="28"/>
          <w:szCs w:val="28"/>
        </w:rPr>
        <w:tab/>
        <w:t xml:space="preserve">              3</w:t>
      </w:r>
    </w:p>
    <w:p w:rsidR="004C608D" w:rsidRPr="00DA4C41" w:rsidRDefault="004C608D" w:rsidP="004C608D">
      <w:pPr>
        <w:rPr>
          <w:sz w:val="28"/>
          <w:szCs w:val="28"/>
        </w:rPr>
      </w:pPr>
      <w:r w:rsidRPr="00DA4C41">
        <w:rPr>
          <w:sz w:val="28"/>
          <w:szCs w:val="28"/>
        </w:rPr>
        <w:t>Section II: Purpose of the Review</w:t>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t xml:space="preserve">              4</w:t>
      </w:r>
    </w:p>
    <w:p w:rsidR="004C608D" w:rsidRPr="00DA4C41" w:rsidRDefault="004C608D" w:rsidP="004C608D">
      <w:pPr>
        <w:rPr>
          <w:sz w:val="28"/>
          <w:szCs w:val="28"/>
        </w:rPr>
      </w:pPr>
      <w:r w:rsidRPr="00DA4C41">
        <w:rPr>
          <w:sz w:val="28"/>
          <w:szCs w:val="28"/>
        </w:rPr>
        <w:t>Section III: The Review Process</w:t>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t xml:space="preserve">              4</w:t>
      </w:r>
    </w:p>
    <w:p w:rsidR="004C608D" w:rsidRPr="00DA4C41" w:rsidRDefault="004C608D" w:rsidP="004C608D">
      <w:pPr>
        <w:rPr>
          <w:sz w:val="28"/>
          <w:szCs w:val="28"/>
        </w:rPr>
      </w:pPr>
      <w:r w:rsidRPr="00DA4C41">
        <w:rPr>
          <w:sz w:val="28"/>
          <w:szCs w:val="28"/>
        </w:rPr>
        <w:t>Section IV: The Employment Implementation Plan</w:t>
      </w:r>
      <w:r w:rsidRPr="00DA4C41">
        <w:rPr>
          <w:sz w:val="28"/>
          <w:szCs w:val="28"/>
        </w:rPr>
        <w:tab/>
        <w:t xml:space="preserve">             </w:t>
      </w:r>
      <w:r w:rsidR="00726286" w:rsidRPr="00DA4C41">
        <w:rPr>
          <w:sz w:val="28"/>
          <w:szCs w:val="28"/>
        </w:rPr>
        <w:t xml:space="preserve">            </w:t>
      </w:r>
      <w:r w:rsidRPr="00DA4C41">
        <w:rPr>
          <w:sz w:val="28"/>
          <w:szCs w:val="28"/>
        </w:rPr>
        <w:t xml:space="preserve"> 5</w:t>
      </w:r>
    </w:p>
    <w:p w:rsidR="004C608D" w:rsidRPr="00DA4C41" w:rsidRDefault="004C608D" w:rsidP="004C608D">
      <w:pPr>
        <w:rPr>
          <w:sz w:val="28"/>
          <w:szCs w:val="28"/>
        </w:rPr>
      </w:pPr>
      <w:r w:rsidRPr="00DA4C41">
        <w:rPr>
          <w:sz w:val="28"/>
          <w:szCs w:val="28"/>
        </w:rPr>
        <w:t>Section V: Setting the Employment Targets</w:t>
      </w:r>
      <w:r w:rsidRPr="00DA4C41">
        <w:rPr>
          <w:sz w:val="28"/>
          <w:szCs w:val="28"/>
        </w:rPr>
        <w:tab/>
      </w:r>
      <w:r w:rsidRPr="00DA4C41">
        <w:rPr>
          <w:sz w:val="28"/>
          <w:szCs w:val="28"/>
        </w:rPr>
        <w:tab/>
      </w:r>
      <w:r w:rsidRPr="00DA4C41">
        <w:rPr>
          <w:sz w:val="28"/>
          <w:szCs w:val="28"/>
        </w:rPr>
        <w:tab/>
        <w:t xml:space="preserve">            12</w:t>
      </w:r>
    </w:p>
    <w:p w:rsidR="004C608D" w:rsidRPr="00DA4C41" w:rsidRDefault="004C608D" w:rsidP="004C608D">
      <w:pPr>
        <w:rPr>
          <w:sz w:val="28"/>
          <w:szCs w:val="28"/>
        </w:rPr>
      </w:pPr>
      <w:r w:rsidRPr="00DA4C41">
        <w:rPr>
          <w:sz w:val="28"/>
          <w:szCs w:val="28"/>
        </w:rPr>
        <w:t xml:space="preserve">Section VI: The Plan for Increasing Opportunities for </w:t>
      </w:r>
    </w:p>
    <w:p w:rsidR="004C608D" w:rsidRPr="00DA4C41" w:rsidRDefault="004C608D" w:rsidP="004C608D">
      <w:pPr>
        <w:rPr>
          <w:sz w:val="28"/>
          <w:szCs w:val="28"/>
        </w:rPr>
      </w:pPr>
      <w:r w:rsidRPr="00DA4C41">
        <w:rPr>
          <w:sz w:val="28"/>
          <w:szCs w:val="28"/>
        </w:rPr>
        <w:t>Integrated Day Activities</w:t>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t xml:space="preserve">                      </w:t>
      </w:r>
      <w:r w:rsidR="00726286" w:rsidRPr="00DA4C41">
        <w:rPr>
          <w:sz w:val="28"/>
          <w:szCs w:val="28"/>
        </w:rPr>
        <w:t xml:space="preserve">  </w:t>
      </w:r>
      <w:r w:rsidRPr="00DA4C41">
        <w:rPr>
          <w:sz w:val="28"/>
          <w:szCs w:val="28"/>
        </w:rPr>
        <w:t>14</w:t>
      </w:r>
    </w:p>
    <w:p w:rsidR="004C608D" w:rsidRPr="00DA4C41" w:rsidRDefault="004C608D" w:rsidP="004C608D">
      <w:pPr>
        <w:rPr>
          <w:sz w:val="28"/>
          <w:szCs w:val="28"/>
        </w:rPr>
      </w:pPr>
      <w:r w:rsidRPr="00DA4C41">
        <w:rPr>
          <w:sz w:val="28"/>
          <w:szCs w:val="28"/>
        </w:rPr>
        <w:t xml:space="preserve">Section VII: Review of the SELN and the Inclusion of </w:t>
      </w:r>
    </w:p>
    <w:p w:rsidR="004C608D" w:rsidRPr="00DA4C41" w:rsidRDefault="004C608D" w:rsidP="004C608D">
      <w:pPr>
        <w:rPr>
          <w:sz w:val="28"/>
          <w:szCs w:val="28"/>
        </w:rPr>
      </w:pPr>
      <w:r w:rsidRPr="00DA4C41">
        <w:rPr>
          <w:sz w:val="28"/>
          <w:szCs w:val="28"/>
        </w:rPr>
        <w:t xml:space="preserve">Employment in the Person-Centered ISP Planning Process    </w:t>
      </w:r>
      <w:r w:rsidR="00726286" w:rsidRPr="00DA4C41">
        <w:rPr>
          <w:sz w:val="28"/>
          <w:szCs w:val="28"/>
        </w:rPr>
        <w:t xml:space="preserve">     </w:t>
      </w:r>
      <w:r w:rsidR="00DA4C41">
        <w:rPr>
          <w:sz w:val="28"/>
          <w:szCs w:val="28"/>
        </w:rPr>
        <w:t xml:space="preserve">        </w:t>
      </w:r>
      <w:r w:rsidRPr="00DA4C41">
        <w:rPr>
          <w:sz w:val="28"/>
          <w:szCs w:val="28"/>
        </w:rPr>
        <w:t xml:space="preserve">18               </w:t>
      </w:r>
    </w:p>
    <w:p w:rsidR="004C608D" w:rsidRPr="00DA4C41" w:rsidRDefault="004C608D" w:rsidP="004C608D">
      <w:pPr>
        <w:rPr>
          <w:sz w:val="28"/>
          <w:szCs w:val="28"/>
        </w:rPr>
      </w:pPr>
      <w:r w:rsidRPr="00DA4C41">
        <w:rPr>
          <w:sz w:val="28"/>
          <w:szCs w:val="28"/>
        </w:rPr>
        <w:t>Section VIII: Summary</w:t>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r>
      <w:r w:rsidRPr="00DA4C41">
        <w:rPr>
          <w:sz w:val="28"/>
          <w:szCs w:val="28"/>
        </w:rPr>
        <w:tab/>
        <w:t xml:space="preserve">            </w:t>
      </w:r>
      <w:r w:rsidR="00726286" w:rsidRPr="00DA4C41">
        <w:rPr>
          <w:sz w:val="28"/>
          <w:szCs w:val="28"/>
        </w:rPr>
        <w:t xml:space="preserve"> </w:t>
      </w:r>
      <w:r w:rsidRPr="00DA4C41">
        <w:rPr>
          <w:sz w:val="28"/>
          <w:szCs w:val="28"/>
        </w:rPr>
        <w:t>26</w:t>
      </w:r>
    </w:p>
    <w:p w:rsidR="004C608D" w:rsidRPr="00DA4C41" w:rsidRDefault="00726286" w:rsidP="004C608D">
      <w:pPr>
        <w:rPr>
          <w:sz w:val="28"/>
          <w:szCs w:val="28"/>
        </w:rPr>
      </w:pPr>
      <w:r w:rsidRPr="00DA4C41">
        <w:rPr>
          <w:sz w:val="28"/>
          <w:szCs w:val="28"/>
        </w:rPr>
        <w:t xml:space="preserve"> </w:t>
      </w:r>
    </w:p>
    <w:p w:rsidR="004C608D" w:rsidRPr="00DA4C41" w:rsidRDefault="004C608D" w:rsidP="004C608D">
      <w:pPr>
        <w:rPr>
          <w:sz w:val="28"/>
          <w:szCs w:val="28"/>
        </w:rPr>
      </w:pPr>
    </w:p>
    <w:p w:rsidR="004C608D" w:rsidRPr="00DA4C41" w:rsidRDefault="004C608D" w:rsidP="004C608D">
      <w:pPr>
        <w:rPr>
          <w:sz w:val="28"/>
          <w:szCs w:val="28"/>
        </w:rPr>
      </w:pPr>
    </w:p>
    <w:p w:rsidR="004C608D" w:rsidRPr="00DA4C41" w:rsidRDefault="004C608D" w:rsidP="004C608D">
      <w:pPr>
        <w:rPr>
          <w:sz w:val="28"/>
          <w:szCs w:val="28"/>
        </w:rPr>
      </w:pPr>
      <w:r w:rsidRPr="00DA4C41">
        <w:rPr>
          <w:sz w:val="28"/>
          <w:szCs w:val="28"/>
        </w:rPr>
        <w:t>Table 1: Employment Targets for FY15</w:t>
      </w:r>
      <w:r w:rsidR="00D02650" w:rsidRPr="00DA4C41">
        <w:rPr>
          <w:sz w:val="28"/>
          <w:szCs w:val="28"/>
        </w:rPr>
        <w:t xml:space="preserve"> – FY19</w:t>
      </w:r>
      <w:r w:rsidR="00D02650" w:rsidRPr="00DA4C41">
        <w:rPr>
          <w:sz w:val="28"/>
          <w:szCs w:val="28"/>
        </w:rPr>
        <w:tab/>
      </w:r>
      <w:r w:rsidR="00D02650" w:rsidRPr="00DA4C41">
        <w:rPr>
          <w:sz w:val="28"/>
          <w:szCs w:val="28"/>
        </w:rPr>
        <w:tab/>
      </w:r>
      <w:r w:rsidR="00D02650" w:rsidRPr="00DA4C41">
        <w:rPr>
          <w:sz w:val="28"/>
          <w:szCs w:val="28"/>
        </w:rPr>
        <w:tab/>
        <w:t xml:space="preserve"> </w:t>
      </w:r>
      <w:r w:rsidR="00DA4C41">
        <w:rPr>
          <w:sz w:val="28"/>
          <w:szCs w:val="28"/>
        </w:rPr>
        <w:t xml:space="preserve">           </w:t>
      </w:r>
      <w:r w:rsidR="00D02650" w:rsidRPr="00DA4C41">
        <w:rPr>
          <w:sz w:val="28"/>
          <w:szCs w:val="28"/>
        </w:rPr>
        <w:t xml:space="preserve"> </w:t>
      </w:r>
      <w:r w:rsidRPr="00DA4C41">
        <w:rPr>
          <w:sz w:val="28"/>
          <w:szCs w:val="28"/>
        </w:rPr>
        <w:t>13</w:t>
      </w:r>
    </w:p>
    <w:p w:rsidR="00D02650" w:rsidRPr="00DA4C41" w:rsidRDefault="004C608D" w:rsidP="004C608D">
      <w:pPr>
        <w:rPr>
          <w:sz w:val="28"/>
          <w:szCs w:val="28"/>
        </w:rPr>
      </w:pPr>
      <w:r w:rsidRPr="00DA4C41">
        <w:rPr>
          <w:sz w:val="28"/>
          <w:szCs w:val="28"/>
        </w:rPr>
        <w:t xml:space="preserve">Table 2: Summary of the Individual Reviews for </w:t>
      </w:r>
    </w:p>
    <w:p w:rsidR="004C608D" w:rsidRDefault="004C608D" w:rsidP="004C608D">
      <w:pPr>
        <w:rPr>
          <w:b/>
          <w:sz w:val="28"/>
          <w:szCs w:val="28"/>
        </w:rPr>
      </w:pPr>
      <w:r w:rsidRPr="00DA4C41">
        <w:rPr>
          <w:sz w:val="28"/>
          <w:szCs w:val="28"/>
        </w:rPr>
        <w:t>Implementing Employ</w:t>
      </w:r>
      <w:r w:rsidR="00D02650" w:rsidRPr="00DA4C41">
        <w:rPr>
          <w:sz w:val="28"/>
          <w:szCs w:val="28"/>
        </w:rPr>
        <w:t>ment First</w:t>
      </w:r>
      <w:r w:rsidR="00D02650" w:rsidRPr="00DA4C41">
        <w:rPr>
          <w:sz w:val="28"/>
          <w:szCs w:val="28"/>
        </w:rPr>
        <w:tab/>
      </w:r>
      <w:r w:rsidR="00D02650" w:rsidRPr="00DA4C41">
        <w:rPr>
          <w:sz w:val="28"/>
          <w:szCs w:val="28"/>
        </w:rPr>
        <w:tab/>
      </w:r>
      <w:r w:rsidR="00D02650" w:rsidRPr="00DA4C41">
        <w:rPr>
          <w:sz w:val="28"/>
          <w:szCs w:val="28"/>
        </w:rPr>
        <w:tab/>
      </w:r>
      <w:r w:rsidR="00D02650" w:rsidRPr="00DA4C41">
        <w:rPr>
          <w:sz w:val="28"/>
          <w:szCs w:val="28"/>
        </w:rPr>
        <w:tab/>
      </w:r>
      <w:r w:rsidR="00D02650" w:rsidRPr="00DA4C41">
        <w:rPr>
          <w:sz w:val="28"/>
          <w:szCs w:val="28"/>
        </w:rPr>
        <w:tab/>
        <w:t xml:space="preserve">              21</w:t>
      </w:r>
      <w:r w:rsidR="00D02650">
        <w:rPr>
          <w:b/>
          <w:sz w:val="28"/>
          <w:szCs w:val="28"/>
        </w:rPr>
        <w:tab/>
      </w:r>
      <w:r w:rsidR="00D02650">
        <w:rPr>
          <w:b/>
          <w:sz w:val="28"/>
          <w:szCs w:val="28"/>
        </w:rPr>
        <w:tab/>
      </w:r>
      <w:r w:rsidR="00D02650">
        <w:rPr>
          <w:b/>
          <w:sz w:val="28"/>
          <w:szCs w:val="28"/>
        </w:rPr>
        <w:tab/>
      </w:r>
      <w:r w:rsidR="00D02650">
        <w:rPr>
          <w:b/>
          <w:sz w:val="28"/>
          <w:szCs w:val="28"/>
        </w:rPr>
        <w:tab/>
      </w:r>
      <w:r w:rsidR="00D02650">
        <w:rPr>
          <w:b/>
          <w:sz w:val="28"/>
          <w:szCs w:val="28"/>
        </w:rPr>
        <w:tab/>
      </w:r>
      <w:r w:rsidR="00D02650">
        <w:rPr>
          <w:b/>
          <w:sz w:val="28"/>
          <w:szCs w:val="28"/>
        </w:rPr>
        <w:tab/>
      </w:r>
      <w:r w:rsidR="00D02650">
        <w:rPr>
          <w:b/>
          <w:sz w:val="28"/>
          <w:szCs w:val="28"/>
        </w:rPr>
        <w:tab/>
        <w:t xml:space="preserve">    </w:t>
      </w:r>
    </w:p>
    <w:p w:rsidR="00D02650" w:rsidRDefault="00D02650" w:rsidP="004C608D">
      <w:pPr>
        <w:rPr>
          <w:b/>
          <w:sz w:val="28"/>
          <w:szCs w:val="28"/>
        </w:rPr>
      </w:pPr>
    </w:p>
    <w:p w:rsidR="00D02650" w:rsidRDefault="00D02650" w:rsidP="004C608D">
      <w:pPr>
        <w:rPr>
          <w:b/>
          <w:sz w:val="28"/>
          <w:szCs w:val="28"/>
        </w:rPr>
      </w:pPr>
    </w:p>
    <w:p w:rsidR="00D02650" w:rsidRDefault="00D02650" w:rsidP="004C608D">
      <w:pPr>
        <w:rPr>
          <w:b/>
          <w:sz w:val="28"/>
          <w:szCs w:val="28"/>
        </w:rPr>
      </w:pPr>
    </w:p>
    <w:p w:rsidR="00D02650" w:rsidRPr="00726286" w:rsidRDefault="00D02650" w:rsidP="004C608D">
      <w:pPr>
        <w:rPr>
          <w:b/>
          <w:sz w:val="28"/>
          <w:szCs w:val="28"/>
        </w:rPr>
      </w:pPr>
    </w:p>
    <w:p w:rsidR="004C608D" w:rsidRDefault="004C608D" w:rsidP="004C608D"/>
    <w:p w:rsidR="004C608D" w:rsidRPr="00D02650" w:rsidRDefault="004C608D" w:rsidP="004C608D">
      <w:pPr>
        <w:rPr>
          <w:b/>
          <w:u w:val="single"/>
        </w:rPr>
      </w:pPr>
      <w:r w:rsidRPr="00D02650">
        <w:rPr>
          <w:b/>
          <w:u w:val="single"/>
        </w:rPr>
        <w:t>I.  OVERVIEW OF REQUIREMENTS</w:t>
      </w:r>
    </w:p>
    <w:p w:rsidR="004C608D" w:rsidRDefault="004C608D" w:rsidP="004C608D">
      <w:r>
        <w:t>Donald Fletcher, the Independent Reviewer has contracted with Kathryn du Pree as the Expert Consultant to perform the review of the employment services requirements of the Settlement Agreement for the time period 10/7/14 – 4/6/15. The review will determine the Commonwealth of Virginia’s compliance with the following requirements:</w:t>
      </w:r>
    </w:p>
    <w:p w:rsidR="004C608D" w:rsidRPr="00C31A30" w:rsidRDefault="004C608D" w:rsidP="004C608D">
      <w:pPr>
        <w:ind w:left="360"/>
        <w:rPr>
          <w:i/>
        </w:rPr>
      </w:pPr>
      <w:r w:rsidRPr="00C31A30">
        <w:rPr>
          <w:i/>
        </w:rPr>
        <w:t xml:space="preserve">7.a. To the greatest extent practicable the Commonwealth shall provide individuals in the target population receiving services under this agreement with integrated day opportunities, including supported employment.  </w:t>
      </w:r>
    </w:p>
    <w:p w:rsidR="004C608D" w:rsidRPr="00C31A30" w:rsidRDefault="004C608D" w:rsidP="004C608D">
      <w:pPr>
        <w:ind w:left="360"/>
        <w:rPr>
          <w:i/>
        </w:rPr>
      </w:pPr>
      <w:r w:rsidRPr="00C31A30">
        <w:rPr>
          <w:i/>
        </w:rPr>
        <w:t>7.b. The Commonwealth shall maintain its membership in the State Employment Leadership Network (SELN) established by NASDDDS; establish state policy on Employment First for the target population and include a term in the CSB Performance Contract requiring application of this policy; [use] the principles of employment first include offering employment as the first and priority service option; providing integrated work settings that pay individuals minimum wage; discussing and developing employment options with individuals through the person- centered planning process at least annually; and employ at least one employment services coordinator to monitor the implementation of employment first practices.</w:t>
      </w:r>
    </w:p>
    <w:p w:rsidR="004C608D" w:rsidRPr="00C31A30" w:rsidRDefault="004C608D" w:rsidP="004C608D">
      <w:pPr>
        <w:ind w:left="360"/>
        <w:rPr>
          <w:i/>
        </w:rPr>
      </w:pPr>
      <w:r w:rsidRPr="00C31A30">
        <w:rPr>
          <w:i/>
        </w:rPr>
        <w:t xml:space="preserve">7.b.i. Within 180 days the Commonwealth shall develop an employment implementation plan to increase integrated day opportunities for individuals in the target population including supported employment, community volunteer activities, and other integrated day activities. The plan shall: </w:t>
      </w:r>
    </w:p>
    <w:p w:rsidR="004C608D" w:rsidRPr="00C31A30" w:rsidRDefault="004C608D" w:rsidP="004C608D">
      <w:pPr>
        <w:pStyle w:val="ListParagraph"/>
        <w:numPr>
          <w:ilvl w:val="1"/>
          <w:numId w:val="36"/>
        </w:numPr>
        <w:spacing w:after="200"/>
        <w:rPr>
          <w:i/>
        </w:rPr>
      </w:pPr>
      <w:r w:rsidRPr="00C31A30">
        <w:rPr>
          <w:i/>
        </w:rPr>
        <w:t>Provide regional training on the Employment First policy and strategies throughout the Commonwealth; and</w:t>
      </w:r>
    </w:p>
    <w:p w:rsidR="004C608D" w:rsidRPr="00C31A30" w:rsidRDefault="004C608D" w:rsidP="004C608D">
      <w:pPr>
        <w:pStyle w:val="ListParagraph"/>
        <w:numPr>
          <w:ilvl w:val="1"/>
          <w:numId w:val="36"/>
        </w:numPr>
        <w:spacing w:after="200"/>
        <w:rPr>
          <w:i/>
        </w:rPr>
      </w:pPr>
      <w:r w:rsidRPr="00C31A30">
        <w:rPr>
          <w:i/>
        </w:rPr>
        <w:t xml:space="preserve">Establish, for individuals receiving services through the HCBS waivers: </w:t>
      </w:r>
    </w:p>
    <w:p w:rsidR="004C608D" w:rsidRPr="00C31A30" w:rsidRDefault="004C608D" w:rsidP="004C608D">
      <w:pPr>
        <w:pStyle w:val="ListParagraph"/>
        <w:numPr>
          <w:ilvl w:val="2"/>
          <w:numId w:val="36"/>
        </w:numPr>
        <w:spacing w:after="200"/>
        <w:rPr>
          <w:i/>
        </w:rPr>
      </w:pPr>
      <w:r w:rsidRPr="00C31A30">
        <w:rPr>
          <w:i/>
        </w:rPr>
        <w:t xml:space="preserve">Annual baseline information regarding: </w:t>
      </w:r>
    </w:p>
    <w:p w:rsidR="004C608D" w:rsidRPr="00C31A30" w:rsidRDefault="004C608D" w:rsidP="004C608D">
      <w:pPr>
        <w:pStyle w:val="ListParagraph"/>
        <w:numPr>
          <w:ilvl w:val="0"/>
          <w:numId w:val="40"/>
        </w:numPr>
        <w:spacing w:after="200"/>
        <w:rPr>
          <w:i/>
        </w:rPr>
      </w:pPr>
      <w:r w:rsidRPr="00C31A30">
        <w:rPr>
          <w:i/>
        </w:rPr>
        <w:t xml:space="preserve">The number of individuals receiving supported employment; </w:t>
      </w:r>
    </w:p>
    <w:p w:rsidR="004C608D" w:rsidRPr="00C31A30" w:rsidRDefault="004C608D" w:rsidP="004C608D">
      <w:pPr>
        <w:pStyle w:val="ListParagraph"/>
        <w:numPr>
          <w:ilvl w:val="0"/>
          <w:numId w:val="40"/>
        </w:numPr>
        <w:spacing w:after="200"/>
        <w:rPr>
          <w:i/>
        </w:rPr>
      </w:pPr>
      <w:r w:rsidRPr="00C31A30">
        <w:rPr>
          <w:i/>
        </w:rPr>
        <w:t>The length of time people maintain employment in integrated work settings;</w:t>
      </w:r>
    </w:p>
    <w:p w:rsidR="004C608D" w:rsidRPr="00C31A30" w:rsidRDefault="004C608D" w:rsidP="004C608D">
      <w:pPr>
        <w:pStyle w:val="ListParagraph"/>
        <w:numPr>
          <w:ilvl w:val="0"/>
          <w:numId w:val="40"/>
        </w:numPr>
        <w:spacing w:after="200"/>
        <w:rPr>
          <w:i/>
        </w:rPr>
      </w:pPr>
      <w:r w:rsidRPr="00C31A30">
        <w:rPr>
          <w:i/>
        </w:rPr>
        <w:t xml:space="preserve">The amount of earnings from supported employment; </w:t>
      </w:r>
    </w:p>
    <w:p w:rsidR="004C608D" w:rsidRPr="00C31A30" w:rsidRDefault="004C608D" w:rsidP="004C608D">
      <w:pPr>
        <w:pStyle w:val="ListParagraph"/>
        <w:numPr>
          <w:ilvl w:val="0"/>
          <w:numId w:val="40"/>
        </w:numPr>
        <w:spacing w:after="200"/>
        <w:rPr>
          <w:i/>
        </w:rPr>
      </w:pPr>
      <w:r w:rsidRPr="00C31A30">
        <w:rPr>
          <w:i/>
        </w:rPr>
        <w:t xml:space="preserve"> The number of individuals in pre-vocational services as defined in 12 VAC 30-120-211 in effect on the effective date of this Agreement; and </w:t>
      </w:r>
    </w:p>
    <w:p w:rsidR="004C608D" w:rsidRPr="00C31A30" w:rsidRDefault="004C608D" w:rsidP="004C608D">
      <w:pPr>
        <w:pStyle w:val="ListParagraph"/>
        <w:numPr>
          <w:ilvl w:val="0"/>
          <w:numId w:val="40"/>
        </w:numPr>
        <w:spacing w:after="200"/>
        <w:rPr>
          <w:i/>
        </w:rPr>
      </w:pPr>
      <w:r w:rsidRPr="00C31A30">
        <w:rPr>
          <w:i/>
        </w:rPr>
        <w:t xml:space="preserve"> The lengths of time individuals remain in pre-vocational services</w:t>
      </w:r>
    </w:p>
    <w:p w:rsidR="004C608D" w:rsidRDefault="004C608D" w:rsidP="004C608D">
      <w:pPr>
        <w:pStyle w:val="ListParagraph"/>
        <w:numPr>
          <w:ilvl w:val="2"/>
          <w:numId w:val="36"/>
        </w:numPr>
        <w:spacing w:after="200"/>
        <w:rPr>
          <w:i/>
        </w:rPr>
      </w:pPr>
      <w:r w:rsidRPr="008D7E26">
        <w:rPr>
          <w:i/>
        </w:rPr>
        <w:t>Targets to meaningfully increase:</w:t>
      </w:r>
    </w:p>
    <w:p w:rsidR="004C608D" w:rsidRDefault="004C608D" w:rsidP="004C608D">
      <w:pPr>
        <w:rPr>
          <w:i/>
        </w:rPr>
      </w:pPr>
      <w:r w:rsidRPr="008D7E26">
        <w:rPr>
          <w:i/>
        </w:rPr>
        <w:t xml:space="preserve"> a.  The number of individuals who enroll in supported employment in each year; and </w:t>
      </w:r>
    </w:p>
    <w:p w:rsidR="004C608D" w:rsidRDefault="004C608D" w:rsidP="004C608D">
      <w:pPr>
        <w:rPr>
          <w:i/>
        </w:rPr>
      </w:pPr>
      <w:r w:rsidRPr="008D7E26">
        <w:rPr>
          <w:i/>
        </w:rPr>
        <w:t>b. The number of individuals who remain employed in integrated work settings at least 12 months after the start of supported employment</w:t>
      </w:r>
    </w:p>
    <w:p w:rsidR="004C608D" w:rsidRPr="002034BE" w:rsidRDefault="004C608D" w:rsidP="004C608D">
      <w:pPr>
        <w:pStyle w:val="Default"/>
        <w:spacing w:after="200"/>
        <w:rPr>
          <w:rFonts w:ascii="Times New Roman" w:hAnsi="Times New Roman" w:cs="Times New Roman"/>
          <w:i/>
        </w:rPr>
      </w:pPr>
      <w:r w:rsidRPr="002034BE">
        <w:rPr>
          <w:rFonts w:ascii="Times New Roman" w:hAnsi="Times New Roman" w:cs="Times New Roman"/>
          <w:i/>
        </w:rPr>
        <w:t xml:space="preserve">1.b.i.c. Regional Quality Councils, described in Section V.D.5 below, shall review data regarding the extent to which the targets identified in Section III.C.7.b.i.B.2 above are being met.  These data shall be provided quarterly to the Regional Quality Councils and the Quality Management system by the providers.  Regional Quality Councils shall consult with those providers and the SELN regarding the need to take additional measures to further enhance these services.  </w:t>
      </w:r>
    </w:p>
    <w:p w:rsidR="004C608D" w:rsidRPr="002034BE" w:rsidRDefault="004C608D" w:rsidP="004C608D">
      <w:pPr>
        <w:rPr>
          <w:i/>
        </w:rPr>
      </w:pPr>
      <w:r w:rsidRPr="002034BE">
        <w:rPr>
          <w:rFonts w:ascii="Times New Roman" w:hAnsi="Times New Roman"/>
          <w:i/>
        </w:rPr>
        <w:t xml:space="preserve">1.b.i.d. The Regional Quality Councils shall annually review the targets set pursuant to Section III.C.7.b.i.B.2 above and shall work with providers and the SELN </w:t>
      </w:r>
    </w:p>
    <w:p w:rsidR="004C608D" w:rsidRDefault="004C608D" w:rsidP="004C608D"/>
    <w:p w:rsidR="004C608D" w:rsidRDefault="004C608D" w:rsidP="004C608D">
      <w:pPr>
        <w:rPr>
          <w:b/>
        </w:rPr>
      </w:pPr>
    </w:p>
    <w:p w:rsidR="00D02650" w:rsidRDefault="00D02650" w:rsidP="004C608D">
      <w:pPr>
        <w:rPr>
          <w:b/>
        </w:rPr>
      </w:pPr>
    </w:p>
    <w:p w:rsidR="00D02650" w:rsidRDefault="00D02650" w:rsidP="004C608D">
      <w:pPr>
        <w:rPr>
          <w:b/>
        </w:rPr>
      </w:pPr>
    </w:p>
    <w:p w:rsidR="004C608D" w:rsidRPr="00D02650" w:rsidRDefault="004C608D" w:rsidP="004C608D">
      <w:pPr>
        <w:rPr>
          <w:b/>
          <w:u w:val="single"/>
        </w:rPr>
      </w:pPr>
      <w:r w:rsidRPr="00D02650">
        <w:rPr>
          <w:b/>
          <w:u w:val="single"/>
        </w:rPr>
        <w:t>II. PURPOSE OF THE REVIEW</w:t>
      </w:r>
    </w:p>
    <w:p w:rsidR="004C608D" w:rsidRDefault="004C608D" w:rsidP="004C608D">
      <w:r>
        <w:t>This review will build off the review completed last fall for the review period through 10/6/14 and the recommendations the Independent Reviewer made in his last Report as a result of the conclusions and findings of that review of Employment Services. At that time the Independent Reviewer determined that the Commonwealth was in compliance with: III.C.7.b.i.A, IIIC. &amp; b. i.B.1.a, d, and e. Recommendations were made to further develop the Integrated Day Activities Implementation Plan improve the sources and validity of employment data, oversee the work of the CSBs to promote employment first, and successfully reach out to individuals with developmental disabilities.</w:t>
      </w:r>
    </w:p>
    <w:p w:rsidR="004C608D" w:rsidRDefault="004C608D" w:rsidP="004C608D">
      <w:r>
        <w:t xml:space="preserve">This review will cover all areas of compliance to make sure the Commonwealth has sustained compliance in areas achieved during the last reporting period. It will focus on those areas that were not in compliance and the Independent Reviewer’s related recommendations. This focus will be on: </w:t>
      </w:r>
    </w:p>
    <w:p w:rsidR="004C608D" w:rsidRDefault="004C608D" w:rsidP="004C608D">
      <w:pPr>
        <w:pStyle w:val="ListParagraph"/>
        <w:numPr>
          <w:ilvl w:val="0"/>
          <w:numId w:val="38"/>
        </w:numPr>
        <w:spacing w:after="200"/>
      </w:pPr>
      <w:r>
        <w:t>The Commonwealth’s ability to meet the targets it set and the progress toward achieving the FY 2015 targets for the number of people in supported employment, those who remain for at least twelve months, and the average earnings for those in supported employment,</w:t>
      </w:r>
    </w:p>
    <w:p w:rsidR="004C608D" w:rsidRDefault="004C608D" w:rsidP="004C608D">
      <w:pPr>
        <w:pStyle w:val="ListParagraph"/>
        <w:numPr>
          <w:ilvl w:val="0"/>
          <w:numId w:val="37"/>
        </w:numPr>
        <w:spacing w:after="200"/>
      </w:pPr>
      <w:r>
        <w:t>The refinement of the implementation plan to increase integrated day activities for members of the target population including strategies, goals, action plans, interim milestones, resources, responsibilities, and a timeline for statewide implementation,</w:t>
      </w:r>
    </w:p>
    <w:p w:rsidR="004C608D" w:rsidRDefault="004C608D" w:rsidP="004C608D">
      <w:pPr>
        <w:pStyle w:val="ListParagraph"/>
        <w:numPr>
          <w:ilvl w:val="0"/>
          <w:numId w:val="37"/>
        </w:numPr>
        <w:spacing w:after="200"/>
      </w:pPr>
      <w:r>
        <w:t>The continued involvement of the SELN in developing the plan and reviewing the status of its implementation, and</w:t>
      </w:r>
    </w:p>
    <w:p w:rsidR="004C608D" w:rsidRDefault="004C608D" w:rsidP="004C608D">
      <w:pPr>
        <w:pStyle w:val="ListParagraph"/>
        <w:numPr>
          <w:ilvl w:val="0"/>
          <w:numId w:val="37"/>
        </w:numPr>
        <w:spacing w:after="200"/>
      </w:pPr>
      <w:r>
        <w:t>The expectation that individuals in the target population are offered employment as the first option by Case Managers and their teams during the individual planning process in which they discuss and develop employment goals.</w:t>
      </w:r>
    </w:p>
    <w:p w:rsidR="004C608D" w:rsidRDefault="004C608D" w:rsidP="004C608D"/>
    <w:p w:rsidR="004C608D" w:rsidRPr="00D02650" w:rsidRDefault="004C608D" w:rsidP="004C608D">
      <w:pPr>
        <w:rPr>
          <w:b/>
          <w:u w:val="single"/>
        </w:rPr>
      </w:pPr>
      <w:r w:rsidRPr="00D02650">
        <w:rPr>
          <w:b/>
          <w:u w:val="single"/>
        </w:rPr>
        <w:t>III. REVIEW PROCESS</w:t>
      </w:r>
    </w:p>
    <w:p w:rsidR="004C608D" w:rsidRDefault="004C608D" w:rsidP="004C608D">
      <w:r>
        <w:t>I reviewed relevant documents and interviewed key administrative staff of DBHDS and members of the SELN to provide the data and information necessary to complete this review and determine compliance with the requirements of the Settlement Agreement. Initially a kickoff meeting was held in January 2015 with the Independent Reviewer, the Expert Reviewer, Heather Norton, Peggy Balak, Jae Benz and Adam Sass to review the process and clarify any components before initiating the review.</w:t>
      </w:r>
    </w:p>
    <w:p w:rsidR="004C608D" w:rsidRDefault="004C608D" w:rsidP="004C608D">
      <w:r w:rsidRPr="0096126F">
        <w:rPr>
          <w:b/>
          <w:i/>
        </w:rPr>
        <w:t>Document Review</w:t>
      </w:r>
      <w:r>
        <w:t>: Documents reviewed include:</w:t>
      </w:r>
    </w:p>
    <w:p w:rsidR="004C608D" w:rsidRDefault="004C608D" w:rsidP="004C608D">
      <w:pPr>
        <w:pStyle w:val="ListParagraph"/>
        <w:numPr>
          <w:ilvl w:val="0"/>
          <w:numId w:val="39"/>
        </w:numPr>
        <w:spacing w:after="200"/>
      </w:pPr>
      <w:r>
        <w:t>Virginia’s Plan to Increase Employment Opportunities for Individuals with Intellectual and Developmental Disabilities: FY2013-2015: Goals, Strategies, and Action Items</w:t>
      </w:r>
    </w:p>
    <w:p w:rsidR="004C608D" w:rsidRDefault="004C608D" w:rsidP="004C608D">
      <w:pPr>
        <w:pStyle w:val="ListParagraph"/>
        <w:numPr>
          <w:ilvl w:val="0"/>
          <w:numId w:val="39"/>
        </w:numPr>
        <w:spacing w:after="200"/>
      </w:pPr>
      <w:r>
        <w:t>DBHDS Employment Plan Draft: February 2015</w:t>
      </w:r>
    </w:p>
    <w:p w:rsidR="004C608D" w:rsidRDefault="004C608D" w:rsidP="004C608D">
      <w:pPr>
        <w:pStyle w:val="ListParagraph"/>
        <w:numPr>
          <w:ilvl w:val="0"/>
          <w:numId w:val="39"/>
        </w:numPr>
        <w:spacing w:after="200"/>
      </w:pPr>
      <w:r>
        <w:t>The Commonwealth’s Plan to develop integrated day services including volunteer activities and community recreation</w:t>
      </w:r>
    </w:p>
    <w:p w:rsidR="004C608D" w:rsidRDefault="004C608D" w:rsidP="004C608D">
      <w:pPr>
        <w:pStyle w:val="ListParagraph"/>
        <w:numPr>
          <w:ilvl w:val="0"/>
          <w:numId w:val="39"/>
        </w:numPr>
        <w:spacing w:after="200"/>
      </w:pPr>
      <w:r>
        <w:t>Employment Data</w:t>
      </w:r>
    </w:p>
    <w:p w:rsidR="004C608D" w:rsidRDefault="004C608D" w:rsidP="004C608D">
      <w:pPr>
        <w:pStyle w:val="ListParagraph"/>
        <w:numPr>
          <w:ilvl w:val="0"/>
          <w:numId w:val="39"/>
        </w:numPr>
        <w:spacing w:after="200"/>
      </w:pPr>
      <w:r>
        <w:t>SELN Work Group meeting minutes relevant to the areas of focus for this review</w:t>
      </w:r>
    </w:p>
    <w:p w:rsidR="004C608D" w:rsidRDefault="004C608D" w:rsidP="004C608D">
      <w:pPr>
        <w:pStyle w:val="ListParagraph"/>
        <w:numPr>
          <w:ilvl w:val="0"/>
          <w:numId w:val="39"/>
        </w:numPr>
        <w:spacing w:after="200"/>
      </w:pPr>
      <w:r>
        <w:t>Regional Quality Council meeting minutes and recommendations for implementing Employment First</w:t>
      </w:r>
    </w:p>
    <w:p w:rsidR="004C608D" w:rsidRDefault="004C608D" w:rsidP="004C608D"/>
    <w:p w:rsidR="004C608D" w:rsidRDefault="004C608D" w:rsidP="004C608D">
      <w:r w:rsidRPr="0096126F">
        <w:rPr>
          <w:b/>
          <w:i/>
        </w:rPr>
        <w:t>Interviews</w:t>
      </w:r>
      <w:r>
        <w:t>: The Expert Reviewer interviewed Adam Sass Employment Services Specialist from DBHDS, members of the SELN; Connie Cochran, Assistant Commissioner for Developmental Services, and Heather Norton, Director of Community Support Services, DBHDS</w:t>
      </w:r>
    </w:p>
    <w:p w:rsidR="004C608D" w:rsidRDefault="00CD310A" w:rsidP="004C608D">
      <w:r>
        <w:rPr>
          <w:b/>
          <w:i/>
        </w:rPr>
        <w:t>Review of Individual Support</w:t>
      </w:r>
      <w:r w:rsidR="004C608D" w:rsidRPr="0096126F">
        <w:rPr>
          <w:b/>
          <w:i/>
        </w:rPr>
        <w:t xml:space="preserve"> Plans (ISPs</w:t>
      </w:r>
      <w:r w:rsidR="004C608D">
        <w:t xml:space="preserve">): The Expert Reviewer reviewed a random sample of ISPs to determine if employment is being offered as the first option to individuals in the target population.  This was accomplished by randomly selecting a sample of twenty-two individuals from the five regions that were receiving pre-vocational support, group supported employment (GSE) or individual supported employment (ISE). </w:t>
      </w:r>
    </w:p>
    <w:p w:rsidR="004C608D" w:rsidRDefault="004C608D" w:rsidP="004C608D"/>
    <w:p w:rsidR="004C608D" w:rsidRPr="004641DB" w:rsidRDefault="004C608D" w:rsidP="004C608D">
      <w:pPr>
        <w:rPr>
          <w:b/>
          <w:u w:val="single"/>
        </w:rPr>
      </w:pPr>
      <w:r w:rsidRPr="004641DB">
        <w:rPr>
          <w:b/>
          <w:u w:val="single"/>
        </w:rPr>
        <w:t>IV. THE EMPLOYMENT IMPLEMENTATION PLAN</w:t>
      </w:r>
    </w:p>
    <w:p w:rsidR="004C608D" w:rsidRPr="004C1998" w:rsidRDefault="004C608D" w:rsidP="004C608D">
      <w:pPr>
        <w:rPr>
          <w:i/>
        </w:rPr>
      </w:pPr>
      <w:r w:rsidRPr="004C1998">
        <w:rPr>
          <w:i/>
        </w:rPr>
        <w:t>7.b.i.A. Within 180 days the Commonwealth shall develop an employment implementation plan to increase integrated day opportunities for individuals in the target population, including supported employment, community volunteer and recreational activities, and other integrated day activities. The plan shall:</w:t>
      </w:r>
    </w:p>
    <w:p w:rsidR="004C608D" w:rsidRDefault="004C608D" w:rsidP="004C608D">
      <w:pPr>
        <w:rPr>
          <w:i/>
        </w:rPr>
      </w:pPr>
      <w:r w:rsidRPr="004C1998">
        <w:rPr>
          <w:i/>
        </w:rPr>
        <w:t>A. Provide regional training on the Employment First policy and strategies throughout the Commonwealth:</w:t>
      </w:r>
    </w:p>
    <w:p w:rsidR="004C608D" w:rsidRDefault="004C608D" w:rsidP="004C608D">
      <w:pPr>
        <w:rPr>
          <w:i/>
        </w:rPr>
      </w:pPr>
    </w:p>
    <w:p w:rsidR="004C608D" w:rsidRDefault="004C608D" w:rsidP="004C608D">
      <w:pPr>
        <w:rPr>
          <w:b/>
          <w:szCs w:val="28"/>
        </w:rPr>
      </w:pPr>
      <w:r w:rsidRPr="00AD05DB">
        <w:rPr>
          <w:b/>
          <w:szCs w:val="28"/>
        </w:rPr>
        <w:t>Review of Virginia’s Plan to Increase Employment Opportunities for Individuals with Intellectual and Developmental Disabilities: FY 2013-FY2015- Goals, Strategies, and Action Items.</w:t>
      </w:r>
    </w:p>
    <w:p w:rsidR="004C608D" w:rsidRPr="00AD05DB" w:rsidRDefault="004C608D" w:rsidP="004C608D">
      <w:pPr>
        <w:rPr>
          <w:b/>
          <w:szCs w:val="28"/>
        </w:rPr>
      </w:pPr>
    </w:p>
    <w:p w:rsidR="004C608D" w:rsidRPr="003D2083" w:rsidRDefault="004C608D" w:rsidP="004C608D">
      <w:pPr>
        <w:rPr>
          <w:szCs w:val="28"/>
        </w:rPr>
      </w:pPr>
      <w:r w:rsidRPr="003D2083">
        <w:rPr>
          <w:szCs w:val="28"/>
        </w:rPr>
        <w:t>DBHDS with the input of the SELN Advisory Committee has created a plan to increase employment opportunities. I was provided with the Status Report as of 12/31/14. The Plan includes six goal areas each of which has sub-goals.</w:t>
      </w:r>
    </w:p>
    <w:p w:rsidR="004C608D" w:rsidRPr="003D2083" w:rsidRDefault="004C608D" w:rsidP="004C608D">
      <w:pPr>
        <w:rPr>
          <w:szCs w:val="28"/>
        </w:rPr>
      </w:pPr>
    </w:p>
    <w:p w:rsidR="004C608D" w:rsidRDefault="004C608D" w:rsidP="004C608D">
      <w:pPr>
        <w:rPr>
          <w:szCs w:val="28"/>
        </w:rPr>
      </w:pPr>
      <w:r w:rsidRPr="003D2083">
        <w:rPr>
          <w:szCs w:val="28"/>
        </w:rPr>
        <w:t>Goal 1: Align licensing, certification, accreditation, data collection, and other activities between state agencies that facilitate employment for individuals with disabilities.</w:t>
      </w:r>
    </w:p>
    <w:p w:rsidR="004641DB" w:rsidRPr="003D2083" w:rsidRDefault="004641DB" w:rsidP="004C608D">
      <w:pPr>
        <w:rPr>
          <w:szCs w:val="28"/>
        </w:rPr>
      </w:pPr>
    </w:p>
    <w:p w:rsidR="004C608D" w:rsidRDefault="004C608D" w:rsidP="004C608D">
      <w:pPr>
        <w:rPr>
          <w:szCs w:val="28"/>
        </w:rPr>
      </w:pPr>
      <w:r w:rsidRPr="003D2083">
        <w:rPr>
          <w:szCs w:val="28"/>
        </w:rPr>
        <w:t>Status:  The DBHDS, DARS and DOE efforts continue to be in the planning stages. DARS has reported to me that DOE is funding a position that can be used as an Employment Specialist in the Northern Virginia area to assist schools and ESOs to plan for transition. DBHDS is appropriating four positions to DARS to expand this initiative to other parts of the state but these are unfunded positions. The discussions among the three state agencies to undertake a initiative in a rural part of Virginia to improve employment opportunities for individuals upon high school graduation appears to have stalled. Accreditation of ESOs is still in the discussion phase. DBHDS has made progress on its data collection by using data from the ESOs. The department does plan to use DARS data as the first source of data when the next semi-annual data request is made of the ESOs.  ESOs will be provided this information for its participants in the data survey and will only need to add the data for individuals that receive waiver or other funding. DBHDS continues to provide education to other state agencies. This quarter the department staff provided technical assistance to DMAS staff and formal training to DARS and DBHDS staff about current allowable employment s</w:t>
      </w:r>
      <w:r>
        <w:rPr>
          <w:szCs w:val="28"/>
        </w:rPr>
        <w:t>ervices under the HCBS waivers.</w:t>
      </w:r>
    </w:p>
    <w:p w:rsidR="004C608D" w:rsidRDefault="004C608D" w:rsidP="004C608D">
      <w:pPr>
        <w:rPr>
          <w:szCs w:val="28"/>
        </w:rPr>
      </w:pPr>
    </w:p>
    <w:p w:rsidR="004641DB" w:rsidRDefault="004641DB" w:rsidP="004C608D">
      <w:pPr>
        <w:rPr>
          <w:szCs w:val="28"/>
        </w:rPr>
      </w:pPr>
    </w:p>
    <w:p w:rsidR="004641DB" w:rsidRDefault="004641DB" w:rsidP="004C608D">
      <w:pPr>
        <w:rPr>
          <w:szCs w:val="28"/>
        </w:rPr>
      </w:pPr>
    </w:p>
    <w:p w:rsidR="004C608D" w:rsidRDefault="004C608D" w:rsidP="004C608D">
      <w:pPr>
        <w:rPr>
          <w:szCs w:val="28"/>
        </w:rPr>
      </w:pPr>
      <w:r w:rsidRPr="003D2083">
        <w:rPr>
          <w:szCs w:val="28"/>
        </w:rPr>
        <w:t>Goal 2: Education and training of stakeholders, providers and state agency staff.</w:t>
      </w:r>
    </w:p>
    <w:p w:rsidR="004641DB" w:rsidRPr="003D2083" w:rsidRDefault="004641DB" w:rsidP="004C608D">
      <w:pPr>
        <w:rPr>
          <w:szCs w:val="28"/>
        </w:rPr>
      </w:pPr>
    </w:p>
    <w:p w:rsidR="004C608D" w:rsidRPr="003D2083" w:rsidRDefault="004C608D" w:rsidP="004C608D">
      <w:pPr>
        <w:rPr>
          <w:szCs w:val="28"/>
        </w:rPr>
      </w:pPr>
      <w:r w:rsidRPr="003D2083">
        <w:rPr>
          <w:szCs w:val="28"/>
        </w:rPr>
        <w:t xml:space="preserve">Status: A Regional Summit was convened in the southern part of the state. More than 50 individuals attended it from CSBs, DARS, ESOs and advocacy groups. There is now a sub-committee of the SELN that is addressing education and training. The DBHDS plans to convene at least three Regional Summits in 2015. The sub-committee has also developed curriculum based on the ARC of VA’s training on Self-Advocacy and Employment. There is no progress noted on the sub-goal to reach out to businesses to educate and increase awareness of employing individuals with disabilities. </w:t>
      </w:r>
    </w:p>
    <w:p w:rsidR="004C608D" w:rsidRPr="003D2083" w:rsidRDefault="004C608D" w:rsidP="004C608D">
      <w:pPr>
        <w:rPr>
          <w:szCs w:val="28"/>
        </w:rPr>
      </w:pPr>
    </w:p>
    <w:p w:rsidR="004C608D" w:rsidRDefault="004C608D" w:rsidP="004C608D">
      <w:pPr>
        <w:rPr>
          <w:szCs w:val="28"/>
        </w:rPr>
      </w:pPr>
      <w:r w:rsidRPr="003D2083">
        <w:rPr>
          <w:szCs w:val="28"/>
        </w:rPr>
        <w:t xml:space="preserve">Goal 3: Service delivery system that supports and incentivizes integrated community-based employment. </w:t>
      </w:r>
    </w:p>
    <w:p w:rsidR="004641DB" w:rsidRPr="003D2083" w:rsidRDefault="004641DB" w:rsidP="004C608D">
      <w:pPr>
        <w:rPr>
          <w:szCs w:val="28"/>
        </w:rPr>
      </w:pPr>
    </w:p>
    <w:p w:rsidR="004C608D" w:rsidRDefault="004C608D" w:rsidP="004C608D">
      <w:pPr>
        <w:rPr>
          <w:szCs w:val="28"/>
        </w:rPr>
      </w:pPr>
      <w:r w:rsidRPr="003D2083">
        <w:rPr>
          <w:szCs w:val="28"/>
        </w:rPr>
        <w:t>Status: The DBHDS is making progres</w:t>
      </w:r>
      <w:r>
        <w:rPr>
          <w:szCs w:val="28"/>
        </w:rPr>
        <w:t>s with its waiver redesign that</w:t>
      </w:r>
      <w:r w:rsidRPr="003D2083">
        <w:rPr>
          <w:szCs w:val="28"/>
        </w:rPr>
        <w:t xml:space="preserve"> will provide the necessary underpinnings for a more robust set of employment services and supports that provides incentives for employment. The Status Report indicates the SELN</w:t>
      </w:r>
      <w:r>
        <w:rPr>
          <w:szCs w:val="28"/>
        </w:rPr>
        <w:t xml:space="preserve"> Advisory Group (AG)</w:t>
      </w:r>
      <w:r w:rsidRPr="003D2083">
        <w:rPr>
          <w:szCs w:val="28"/>
        </w:rPr>
        <w:t xml:space="preserve"> has had an active part in this re-design but SELN </w:t>
      </w:r>
      <w:r>
        <w:rPr>
          <w:szCs w:val="28"/>
        </w:rPr>
        <w:t xml:space="preserve">AG </w:t>
      </w:r>
      <w:r w:rsidRPr="003D2083">
        <w:rPr>
          <w:szCs w:val="28"/>
        </w:rPr>
        <w:t>members report a lack of meaningful involvement in this process wit the exception of some cross over in membership betw</w:t>
      </w:r>
      <w:r>
        <w:rPr>
          <w:szCs w:val="28"/>
        </w:rPr>
        <w:t>een the SELN AG</w:t>
      </w:r>
      <w:r w:rsidRPr="003D2083">
        <w:rPr>
          <w:szCs w:val="28"/>
        </w:rPr>
        <w:t xml:space="preserve"> and the Waiver Design Advisory Committee (WDAC). One of the sub-goals is to lead and support providers in increasing their capacity to provide community-based employment. There is no tangible progress on the one activity for the SEL AG and DBHDS, which is to develop standards for the delivery of employment. There isn’t any plan to build provider capacity that is recognized as being needed in more rural areas of Virginia.</w:t>
      </w:r>
    </w:p>
    <w:p w:rsidR="004641DB" w:rsidRPr="003D2083" w:rsidRDefault="004641DB" w:rsidP="004C608D">
      <w:pPr>
        <w:rPr>
          <w:szCs w:val="28"/>
        </w:rPr>
      </w:pPr>
    </w:p>
    <w:p w:rsidR="004C608D" w:rsidRDefault="004C608D" w:rsidP="004C608D">
      <w:pPr>
        <w:rPr>
          <w:szCs w:val="28"/>
        </w:rPr>
      </w:pPr>
      <w:r w:rsidRPr="003D2083">
        <w:rPr>
          <w:szCs w:val="28"/>
        </w:rPr>
        <w:t>Goal 4: Financing and contracting methods within and across agencies to support community-based employment service delivery.</w:t>
      </w:r>
    </w:p>
    <w:p w:rsidR="004C608D" w:rsidRPr="003D2083" w:rsidRDefault="004C608D" w:rsidP="004C608D">
      <w:pPr>
        <w:rPr>
          <w:szCs w:val="28"/>
        </w:rPr>
      </w:pPr>
    </w:p>
    <w:p w:rsidR="004C608D" w:rsidRPr="003D2083" w:rsidRDefault="004C608D" w:rsidP="004C608D">
      <w:pPr>
        <w:rPr>
          <w:szCs w:val="28"/>
        </w:rPr>
      </w:pPr>
      <w:r w:rsidRPr="003D2083">
        <w:rPr>
          <w:szCs w:val="28"/>
        </w:rPr>
        <w:t>Status: DBHDS and DARS are making progress to use DARS and HCBS waiver funding appropriately to offer individuals seamless transitions from one funding source</w:t>
      </w:r>
      <w:r>
        <w:rPr>
          <w:szCs w:val="28"/>
        </w:rPr>
        <w:t xml:space="preserve"> to the other. However </w:t>
      </w:r>
      <w:r w:rsidRPr="003D2083">
        <w:rPr>
          <w:szCs w:val="28"/>
        </w:rPr>
        <w:t>DBHDS and DARS need to develop protocols to use when DARS does not have funding to authorize</w:t>
      </w:r>
      <w:r>
        <w:rPr>
          <w:szCs w:val="28"/>
        </w:rPr>
        <w:t xml:space="preserve"> for new individuals seeking emp</w:t>
      </w:r>
      <w:r w:rsidRPr="003D2083">
        <w:rPr>
          <w:szCs w:val="28"/>
        </w:rPr>
        <w:t xml:space="preserve">loyment supports to clarify the ESO providers responsibilities. The two departments evidence progress to address the employment needs </w:t>
      </w:r>
      <w:r>
        <w:rPr>
          <w:szCs w:val="28"/>
        </w:rPr>
        <w:t>o</w:t>
      </w:r>
      <w:r w:rsidRPr="003D2083">
        <w:rPr>
          <w:szCs w:val="28"/>
        </w:rPr>
        <w:t>f individuals transitioning to the community from the training centers. Tra</w:t>
      </w:r>
      <w:r w:rsidR="00F97496">
        <w:rPr>
          <w:szCs w:val="28"/>
        </w:rPr>
        <w:t>ining center and DARS staff in n</w:t>
      </w:r>
      <w:r w:rsidRPr="003D2083">
        <w:rPr>
          <w:szCs w:val="28"/>
        </w:rPr>
        <w:t>orthern Virginia were co-trained during the quarter.</w:t>
      </w:r>
    </w:p>
    <w:p w:rsidR="004C608D" w:rsidRPr="003D2083" w:rsidRDefault="004C608D" w:rsidP="004C608D">
      <w:pPr>
        <w:rPr>
          <w:szCs w:val="28"/>
        </w:rPr>
      </w:pPr>
    </w:p>
    <w:p w:rsidR="004C608D" w:rsidRDefault="004C608D" w:rsidP="004C608D">
      <w:pPr>
        <w:rPr>
          <w:szCs w:val="28"/>
        </w:rPr>
      </w:pPr>
      <w:r>
        <w:rPr>
          <w:szCs w:val="28"/>
        </w:rPr>
        <w:t>Go</w:t>
      </w:r>
      <w:r w:rsidRPr="003D2083">
        <w:rPr>
          <w:szCs w:val="28"/>
        </w:rPr>
        <w:t>al 5: Virginia will have a system wide data collection and performance measurement system and procedures for employment data for people in supported employment.</w:t>
      </w:r>
    </w:p>
    <w:p w:rsidR="00ED5018" w:rsidRDefault="00ED5018" w:rsidP="004C608D">
      <w:pPr>
        <w:rPr>
          <w:szCs w:val="28"/>
        </w:rPr>
      </w:pPr>
    </w:p>
    <w:p w:rsidR="004C608D" w:rsidRDefault="004C608D" w:rsidP="004C608D">
      <w:r>
        <w:t>Status: One of the indicators for this goal is to have the SELN AG and Regional Quality Councils (RQC) review the employment data and targets quarterly. Each RQC met twice during this review period. Employment was discussed at each of the meetings and the committee members had in-depth dialogue with the DBHDS staff that attended. The Presentations were thorough and most of the RQC’s made recommendations for improvement. These include:</w:t>
      </w:r>
    </w:p>
    <w:p w:rsidR="004C608D" w:rsidRPr="00971A1E" w:rsidRDefault="004C608D" w:rsidP="004C608D">
      <w:pPr>
        <w:pStyle w:val="ListParagraph"/>
        <w:numPr>
          <w:ilvl w:val="0"/>
          <w:numId w:val="61"/>
        </w:numPr>
        <w:rPr>
          <w:szCs w:val="28"/>
        </w:rPr>
      </w:pPr>
      <w:r w:rsidRPr="00971A1E">
        <w:rPr>
          <w:szCs w:val="28"/>
        </w:rPr>
        <w:t>Work with special education programs so that they use the transition period from school to adult employment services to best prepare students to work upon graduating. (HPR4)</w:t>
      </w:r>
    </w:p>
    <w:p w:rsidR="004C608D" w:rsidRPr="00971A1E" w:rsidRDefault="004C608D" w:rsidP="004C608D">
      <w:pPr>
        <w:pStyle w:val="ListParagraph"/>
        <w:numPr>
          <w:ilvl w:val="0"/>
          <w:numId w:val="61"/>
        </w:numPr>
        <w:rPr>
          <w:szCs w:val="28"/>
        </w:rPr>
      </w:pPr>
      <w:r w:rsidRPr="00971A1E">
        <w:rPr>
          <w:szCs w:val="28"/>
        </w:rPr>
        <w:t>Use mentors. (HPR1)</w:t>
      </w:r>
    </w:p>
    <w:p w:rsidR="004C608D" w:rsidRPr="00971A1E" w:rsidRDefault="004C608D" w:rsidP="004C608D">
      <w:pPr>
        <w:pStyle w:val="ListParagraph"/>
        <w:numPr>
          <w:ilvl w:val="0"/>
          <w:numId w:val="61"/>
        </w:numPr>
        <w:rPr>
          <w:szCs w:val="28"/>
        </w:rPr>
      </w:pPr>
      <w:r w:rsidRPr="00971A1E">
        <w:rPr>
          <w:szCs w:val="28"/>
        </w:rPr>
        <w:t>Incentivize mentors on the job. (HPR1)</w:t>
      </w:r>
    </w:p>
    <w:p w:rsidR="004C608D" w:rsidRPr="00971A1E" w:rsidRDefault="004C608D" w:rsidP="004C608D">
      <w:pPr>
        <w:pStyle w:val="ListParagraph"/>
        <w:numPr>
          <w:ilvl w:val="0"/>
          <w:numId w:val="61"/>
        </w:numPr>
        <w:rPr>
          <w:szCs w:val="28"/>
        </w:rPr>
      </w:pPr>
      <w:r w:rsidRPr="00971A1E">
        <w:rPr>
          <w:szCs w:val="28"/>
        </w:rPr>
        <w:t>Work more closely with the school systems. (HPR 1)</w:t>
      </w:r>
    </w:p>
    <w:p w:rsidR="004C608D" w:rsidRPr="00971A1E" w:rsidRDefault="004C608D" w:rsidP="004C608D">
      <w:pPr>
        <w:pStyle w:val="ListParagraph"/>
        <w:numPr>
          <w:ilvl w:val="0"/>
          <w:numId w:val="61"/>
        </w:numPr>
        <w:rPr>
          <w:szCs w:val="28"/>
        </w:rPr>
      </w:pPr>
      <w:r w:rsidRPr="00971A1E">
        <w:rPr>
          <w:szCs w:val="28"/>
        </w:rPr>
        <w:t>Set an expectation that 30% of individuals have employment readiness goals in their Individual Service Plans (ISP) (HPR1)</w:t>
      </w:r>
    </w:p>
    <w:p w:rsidR="004C608D" w:rsidRPr="00971A1E" w:rsidRDefault="004C608D" w:rsidP="004C608D">
      <w:pPr>
        <w:pStyle w:val="ListParagraph"/>
        <w:numPr>
          <w:ilvl w:val="0"/>
          <w:numId w:val="61"/>
        </w:numPr>
        <w:rPr>
          <w:szCs w:val="28"/>
        </w:rPr>
      </w:pPr>
      <w:r w:rsidRPr="00971A1E">
        <w:rPr>
          <w:szCs w:val="28"/>
        </w:rPr>
        <w:t>Develop a transition process from Day Support Services to work to respond to the DBHDS plan to eliminate pre-vocational services from the HCBS waivers. (HPR 4)</w:t>
      </w:r>
    </w:p>
    <w:p w:rsidR="004C608D" w:rsidRPr="00971A1E" w:rsidRDefault="004C608D" w:rsidP="004C608D">
      <w:pPr>
        <w:pStyle w:val="ListParagraph"/>
        <w:numPr>
          <w:ilvl w:val="0"/>
          <w:numId w:val="61"/>
        </w:numPr>
        <w:rPr>
          <w:szCs w:val="28"/>
        </w:rPr>
      </w:pPr>
      <w:r w:rsidRPr="00971A1E">
        <w:rPr>
          <w:szCs w:val="28"/>
        </w:rPr>
        <w:t>Collect data regarding why individuals with ID do not want to work. Include this as a question in the proposed Quality Service Reviews. (HPR 3)</w:t>
      </w:r>
    </w:p>
    <w:p w:rsidR="004C608D" w:rsidRPr="00971A1E" w:rsidRDefault="004C608D" w:rsidP="004C608D">
      <w:pPr>
        <w:pStyle w:val="ListParagraph"/>
        <w:numPr>
          <w:ilvl w:val="0"/>
          <w:numId w:val="61"/>
        </w:numPr>
        <w:rPr>
          <w:szCs w:val="28"/>
        </w:rPr>
      </w:pPr>
      <w:r w:rsidRPr="00971A1E">
        <w:rPr>
          <w:szCs w:val="28"/>
        </w:rPr>
        <w:t>Initiate a quality improvement initiative to address regional lack of transportation for individual placement. (HPR 3)</w:t>
      </w:r>
    </w:p>
    <w:p w:rsidR="004C608D" w:rsidRPr="00971A1E" w:rsidRDefault="004C608D" w:rsidP="004C608D">
      <w:pPr>
        <w:pStyle w:val="ListParagraph"/>
        <w:numPr>
          <w:ilvl w:val="0"/>
          <w:numId w:val="61"/>
        </w:numPr>
        <w:rPr>
          <w:szCs w:val="28"/>
        </w:rPr>
      </w:pPr>
      <w:r w:rsidRPr="00971A1E">
        <w:rPr>
          <w:szCs w:val="28"/>
        </w:rPr>
        <w:t>Educate families about the benefits of employment and the impact of employment on individuals’ benefits. (HPR 3)</w:t>
      </w:r>
    </w:p>
    <w:p w:rsidR="004C608D" w:rsidRPr="00971A1E" w:rsidRDefault="004C608D" w:rsidP="004C608D">
      <w:pPr>
        <w:ind w:left="360"/>
        <w:rPr>
          <w:szCs w:val="28"/>
        </w:rPr>
      </w:pPr>
      <w:r w:rsidRPr="00971A1E">
        <w:rPr>
          <w:szCs w:val="28"/>
        </w:rPr>
        <w:t>10.Educate case managers on employment including discussing employment with individuals and including employment related goals in the ISP. (HPR 3)</w:t>
      </w:r>
    </w:p>
    <w:p w:rsidR="004C608D" w:rsidRDefault="004C608D" w:rsidP="004C608D">
      <w:pPr>
        <w:ind w:left="360"/>
        <w:rPr>
          <w:szCs w:val="28"/>
        </w:rPr>
      </w:pPr>
      <w:r w:rsidRPr="00971A1E">
        <w:rPr>
          <w:szCs w:val="28"/>
        </w:rPr>
        <w:t>11. Utilize public service announcements to provide education about individuals and employment. ((HPR 3)</w:t>
      </w:r>
    </w:p>
    <w:p w:rsidR="004C608D" w:rsidRPr="00971A1E" w:rsidRDefault="004C608D" w:rsidP="004C608D">
      <w:pPr>
        <w:ind w:left="360"/>
        <w:rPr>
          <w:szCs w:val="28"/>
        </w:rPr>
      </w:pPr>
      <w:r w:rsidRPr="00971A1E">
        <w:rPr>
          <w:szCs w:val="28"/>
        </w:rPr>
        <w:t>12. Create a statewide data system to collect employment data</w:t>
      </w:r>
      <w:r>
        <w:rPr>
          <w:szCs w:val="28"/>
        </w:rPr>
        <w:t>. (HPR 3)</w:t>
      </w:r>
    </w:p>
    <w:p w:rsidR="004C608D" w:rsidRPr="00971A1E" w:rsidRDefault="004C608D" w:rsidP="004C608D">
      <w:pPr>
        <w:ind w:left="360"/>
        <w:rPr>
          <w:szCs w:val="28"/>
        </w:rPr>
      </w:pPr>
    </w:p>
    <w:p w:rsidR="004C608D" w:rsidRDefault="004C608D" w:rsidP="004C608D">
      <w:pPr>
        <w:rPr>
          <w:szCs w:val="28"/>
        </w:rPr>
      </w:pPr>
      <w:r w:rsidRPr="00971A1E">
        <w:rPr>
          <w:szCs w:val="28"/>
        </w:rPr>
        <w:t>Many of these recommendations mirror the employment plan that has been developed by DBHDS. It would be beneficial to review Virginia’s Plan to Increase Employment Opportunities for Individuals with Intellectual and Developmental Disabilities: FY2013-2015-Goals, Strategies and Action Items with the RQC</w:t>
      </w:r>
      <w:r>
        <w:rPr>
          <w:szCs w:val="28"/>
        </w:rPr>
        <w:t>’</w:t>
      </w:r>
      <w:r w:rsidRPr="00971A1E">
        <w:rPr>
          <w:szCs w:val="28"/>
        </w:rPr>
        <w:t>s</w:t>
      </w:r>
      <w:r>
        <w:rPr>
          <w:szCs w:val="28"/>
        </w:rPr>
        <w:t xml:space="preserve"> and provide progress reports about implementing the plan</w:t>
      </w:r>
      <w:r w:rsidRPr="00971A1E">
        <w:rPr>
          <w:szCs w:val="28"/>
        </w:rPr>
        <w:t>. The RQC members could then make recommendations for any additional specific actions they believe should be added to the existing plan to further the employment goal of increasing the number of individuals who are competitively employed.  The recommendations of the RQC</w:t>
      </w:r>
      <w:r>
        <w:rPr>
          <w:szCs w:val="28"/>
        </w:rPr>
        <w:t>’</w:t>
      </w:r>
      <w:r w:rsidRPr="00971A1E">
        <w:rPr>
          <w:szCs w:val="28"/>
        </w:rPr>
        <w:t>s are being shared with the SELN</w:t>
      </w:r>
      <w:r>
        <w:rPr>
          <w:szCs w:val="28"/>
        </w:rPr>
        <w:t xml:space="preserve"> AG during the committee’s April</w:t>
      </w:r>
      <w:r w:rsidRPr="00971A1E">
        <w:rPr>
          <w:szCs w:val="28"/>
        </w:rPr>
        <w:t xml:space="preserve"> meeting. The SELN members will be asked to add recommendations they feel </w:t>
      </w:r>
      <w:r>
        <w:rPr>
          <w:szCs w:val="28"/>
        </w:rPr>
        <w:t>will improve the Commonwealth’s efforts to meet its targets.</w:t>
      </w:r>
    </w:p>
    <w:p w:rsidR="004C608D" w:rsidRPr="00971A1E" w:rsidRDefault="004C608D" w:rsidP="004C608D">
      <w:pPr>
        <w:rPr>
          <w:szCs w:val="28"/>
        </w:rPr>
      </w:pPr>
    </w:p>
    <w:p w:rsidR="004C608D" w:rsidRDefault="004C608D" w:rsidP="004C608D">
      <w:pPr>
        <w:rPr>
          <w:szCs w:val="28"/>
        </w:rPr>
      </w:pPr>
      <w:r>
        <w:rPr>
          <w:szCs w:val="28"/>
        </w:rPr>
        <w:t>SELN members complain that the employment target data has not been reviewed with the full AG. The data sub-committee has reviewed it. Other members report not having this presented at meetings that occurred during this review period. DBHDS plans to review the targets and the employment data at the April meeting of the SELN AG. The SELN should have regular opportunity to review this data and use it to guide their activities and policy recommendations to DBHDS.</w:t>
      </w:r>
    </w:p>
    <w:p w:rsidR="004C608D" w:rsidRPr="003D2083" w:rsidRDefault="004C608D" w:rsidP="004C608D">
      <w:pPr>
        <w:rPr>
          <w:szCs w:val="28"/>
        </w:rPr>
      </w:pPr>
    </w:p>
    <w:p w:rsidR="004C608D" w:rsidRPr="003D2083" w:rsidRDefault="004C608D" w:rsidP="004C608D">
      <w:pPr>
        <w:rPr>
          <w:szCs w:val="28"/>
        </w:rPr>
      </w:pPr>
      <w:r>
        <w:rPr>
          <w:szCs w:val="28"/>
        </w:rPr>
        <w:t>I address the other indicator regarding the availability of data to guide the planning and quality improvement process for employment services under Section V: Setting the Employment Targets.</w:t>
      </w:r>
    </w:p>
    <w:p w:rsidR="004C608D" w:rsidRPr="003D2083" w:rsidRDefault="004C608D" w:rsidP="004C608D">
      <w:pPr>
        <w:rPr>
          <w:szCs w:val="28"/>
        </w:rPr>
      </w:pPr>
    </w:p>
    <w:p w:rsidR="004C608D" w:rsidRDefault="004C608D" w:rsidP="004C608D">
      <w:pPr>
        <w:rPr>
          <w:szCs w:val="28"/>
        </w:rPr>
      </w:pPr>
      <w:r w:rsidRPr="003D2083">
        <w:rPr>
          <w:szCs w:val="28"/>
        </w:rPr>
        <w:t>Goal 6: Virginia’s SELN Advisory Group will have a formalized structure with clearly defined roles and responsibilities for members.</w:t>
      </w:r>
    </w:p>
    <w:p w:rsidR="004C608D" w:rsidRDefault="004C608D" w:rsidP="004C608D">
      <w:pPr>
        <w:rPr>
          <w:szCs w:val="28"/>
        </w:rPr>
      </w:pPr>
    </w:p>
    <w:p w:rsidR="004C608D" w:rsidRPr="003D2083" w:rsidRDefault="004C608D" w:rsidP="004C608D">
      <w:pPr>
        <w:rPr>
          <w:szCs w:val="28"/>
        </w:rPr>
      </w:pPr>
      <w:r>
        <w:rPr>
          <w:szCs w:val="28"/>
        </w:rPr>
        <w:t xml:space="preserve">Status: DBHDS has provided significantly improved structure for the SELN Advisory Group during the past six months. Sub-committees have been created to address policy, education and training, employment data and membership. In addition DBHDS has created a separate advisory group to address integrated day activities, now referred to as community engagement, with its own sub-committees. Minutes are taken at all meetings. The Membership sub-committee has recommended that membership be reduced so that all stakeholder groups have similar representation. DBHDS is following up on this recommendation. Letters are being sent to the various stakeholder groups that have representatives on the SELN directing them to select and confirm their representatives by July 2015. It is expected that the number of SELN members will be reduced and that attendance will be more consistent. </w:t>
      </w:r>
    </w:p>
    <w:p w:rsidR="004C608D" w:rsidRDefault="004C608D" w:rsidP="004C608D"/>
    <w:p w:rsidR="004C608D" w:rsidRDefault="004C608D" w:rsidP="004C608D">
      <w:r w:rsidRPr="00AD00CB">
        <w:rPr>
          <w:b/>
          <w:i/>
        </w:rPr>
        <w:t>Conclusion and Recommendations</w:t>
      </w:r>
      <w:r>
        <w:t xml:space="preserve">: DBHDS is in compliance with provision </w:t>
      </w:r>
      <w:r w:rsidRPr="00AD00CB">
        <w:rPr>
          <w:i/>
        </w:rPr>
        <w:t>7.b.i.A</w:t>
      </w:r>
      <w:r>
        <w:t xml:space="preserve"> that it provides regional training on the Employment First policy and strategies.  However I continue to recommend that the administration determine how best to share this information with families and report in the future on its outreach to this groups specifically. DBHDS does plan to engage youth and families through youth and family summits throughout the next year. The purpose is to continue to hear from these stakeholders even though their representation on the SELN will be reduced, as will all other groups. The DBHDS should include summaries of these summits and the number of individuals who attend during future reporting periods. DBHDS continues to make progress implementing its employment implementation action plan. Outreach should include specific strategies to reach the DD community.</w:t>
      </w:r>
    </w:p>
    <w:p w:rsidR="00ED5018" w:rsidRDefault="00ED5018" w:rsidP="004C608D"/>
    <w:p w:rsidR="004A0831" w:rsidRDefault="004A0831" w:rsidP="004C608D"/>
    <w:p w:rsidR="004C608D" w:rsidRPr="00627C16" w:rsidRDefault="004C608D" w:rsidP="004C608D">
      <w:r w:rsidRPr="00211633">
        <w:rPr>
          <w:i/>
        </w:rPr>
        <w:t>7.b.i.B</w:t>
      </w:r>
      <w:r>
        <w:rPr>
          <w:i/>
        </w:rPr>
        <w:t>.1</w:t>
      </w:r>
      <w:r w:rsidRPr="00211633">
        <w:rPr>
          <w:i/>
        </w:rPr>
        <w:t>.a-e: The Commonwealth is to develop an employment implementation plan to increase integrated day opportunities for individuals in the target population including supported employment, community volunteer activities, and other integrated day activities. The plan shall establish, for individuals receiving services through the HCBS waivers:</w:t>
      </w:r>
    </w:p>
    <w:p w:rsidR="004C608D" w:rsidRPr="00627C16" w:rsidRDefault="004C608D" w:rsidP="004C608D">
      <w:pPr>
        <w:rPr>
          <w:i/>
        </w:rPr>
      </w:pPr>
      <w:r w:rsidRPr="00627C16">
        <w:rPr>
          <w:i/>
        </w:rPr>
        <w:t xml:space="preserve">Annual baseline information regarding: </w:t>
      </w:r>
    </w:p>
    <w:p w:rsidR="004C608D" w:rsidRPr="00627C16" w:rsidRDefault="004C608D" w:rsidP="004C608D">
      <w:pPr>
        <w:rPr>
          <w:i/>
        </w:rPr>
      </w:pPr>
      <w:r w:rsidRPr="00627C16">
        <w:rPr>
          <w:i/>
        </w:rPr>
        <w:t xml:space="preserve">a. The number of individuals receiving supported employment; </w:t>
      </w:r>
    </w:p>
    <w:p w:rsidR="004C608D" w:rsidRPr="00627C16" w:rsidRDefault="004C608D" w:rsidP="004C608D">
      <w:pPr>
        <w:rPr>
          <w:i/>
        </w:rPr>
      </w:pPr>
      <w:r w:rsidRPr="00627C16">
        <w:rPr>
          <w:i/>
        </w:rPr>
        <w:t xml:space="preserve">b. The length of time people maintain employment in integrated work settings; </w:t>
      </w:r>
    </w:p>
    <w:p w:rsidR="004C608D" w:rsidRPr="00627C16" w:rsidRDefault="004C608D" w:rsidP="004C608D">
      <w:pPr>
        <w:rPr>
          <w:i/>
        </w:rPr>
      </w:pPr>
      <w:r w:rsidRPr="00627C16">
        <w:rPr>
          <w:i/>
        </w:rPr>
        <w:t>c. The amount of earning from supported employment;</w:t>
      </w:r>
    </w:p>
    <w:p w:rsidR="004C608D" w:rsidRPr="00627C16" w:rsidRDefault="004C608D" w:rsidP="004C608D">
      <w:pPr>
        <w:rPr>
          <w:i/>
        </w:rPr>
      </w:pPr>
      <w:r w:rsidRPr="00627C16">
        <w:rPr>
          <w:i/>
        </w:rPr>
        <w:t xml:space="preserve">d.  The number of individuals in pre-vocational services; and </w:t>
      </w:r>
    </w:p>
    <w:p w:rsidR="004C608D" w:rsidRDefault="004C608D" w:rsidP="004C608D">
      <w:r w:rsidRPr="00627C16">
        <w:rPr>
          <w:i/>
        </w:rPr>
        <w:t>e. The lengths of time individuals remain in pre-vocational services</w:t>
      </w:r>
      <w:r w:rsidRPr="00627C16">
        <w:t>.</w:t>
      </w:r>
    </w:p>
    <w:p w:rsidR="00ED5018" w:rsidRPr="00627C16" w:rsidRDefault="00ED5018" w:rsidP="004C608D"/>
    <w:p w:rsidR="004C608D" w:rsidRDefault="004C608D" w:rsidP="004C608D">
      <w:r>
        <w:t xml:space="preserve">DBHDS has changed its data source and the data it is collecting about individuals who are employed and those who are in sheltered work. The data that I have reviewed in the past has been admittedly faulty. It did not address all of the requirements of the Settlement Agreement. It could not account for individuals entering and temporarily leaving employment so may have over or underreported both data elements. Most notably it did not include wage data or the number of hours individuals work. The DBHDS worked with the SELN to determine an approach to regularly collect more accurate data.  DBHDS does not have its own database for individuals who participate in employment services through the HCBS waivers. DARS does have employment data for individuals it funds. The SELN AG advised the department to collect this data directly from the Employment Service Organizations (ESO). </w:t>
      </w:r>
    </w:p>
    <w:p w:rsidR="004C608D" w:rsidRDefault="004C608D" w:rsidP="004C608D"/>
    <w:p w:rsidR="004C608D" w:rsidRDefault="004C608D" w:rsidP="004C608D">
      <w:r>
        <w:t>The DBHDS conducted a pilot to determine the feasibility of collecting the data using this method. Four providers participated and found it relatively easy to collect the data. DBHDS made revisions to the data collection tool from the feedback of the pilot participants and with the input of the SELN AG. The SELN data sub-committee took on the task of designing the data collection tool with the DBHDS. The plan is to collect this information semi-annually. The first full survey was sent out in October 2014 to be returned by December 1, 2014. There are sixty-three ESOs in the Commonwealth. Responses were received from twenty-eight for a response rate of 44%. DBHDS estimates that the data represents 70% of the number of individuals served by ESOs given the proportionate number of individuals in employment services that are supported by the ESOs that responded. All of the information below is based on the results of this survey so it is not fully inclusive of all individuals with ID or DD who are engaged in SW, GSE or IE.</w:t>
      </w:r>
    </w:p>
    <w:p w:rsidR="00ED5018" w:rsidRDefault="00ED5018" w:rsidP="004C608D"/>
    <w:p w:rsidR="004C608D" w:rsidRDefault="004C608D" w:rsidP="004C608D">
      <w:r w:rsidRPr="00447127">
        <w:rPr>
          <w:b/>
        </w:rPr>
        <w:t>Average hours worked</w:t>
      </w:r>
      <w:r>
        <w:t xml:space="preserve">- DBHDS can now provide information on this data element. Individuals who have an ID work an average of 19 hours per week. Individuals who have a DD work an average of 20 hours per week. The range for individuals with DD is 13 hours per week in Region III and 23.5 hours per week in Region II.  The range of hours worked per week for individuals with ID is 14.6 in Region I- 23 hours per week in Region II. This information is aggregated for ISE, GSE and SW.  </w:t>
      </w:r>
    </w:p>
    <w:p w:rsidR="004C608D" w:rsidRDefault="004C608D" w:rsidP="004C608D"/>
    <w:p w:rsidR="004C608D" w:rsidRDefault="004C608D" w:rsidP="004C608D">
      <w:r>
        <w:t>DBHDS did break it out to report on the hours worked by individuals in IE. Individuals with ID who work independently work an average of 23.4 hours per week and individuals with DD work an average of 23.5 hours per week. The range of hours worked for both groups is the same: 13-33 hours per week. Region III has the lowest average of 13 hours and Region II has the highest average of 33 hours for both groups.</w:t>
      </w:r>
    </w:p>
    <w:p w:rsidR="004C608D" w:rsidRDefault="004C608D" w:rsidP="004C608D"/>
    <w:p w:rsidR="004C608D" w:rsidRDefault="004C608D" w:rsidP="004C608D">
      <w:r w:rsidRPr="00447127">
        <w:rPr>
          <w:b/>
        </w:rPr>
        <w:t>Average length of time at current job</w:t>
      </w:r>
      <w:r>
        <w:t xml:space="preserve">- the average length of time for individuals with ID at their current jobs is ten years and for individuals with DD the average length of time is eight years. The number of years worked ranges from 3-17 for individuals with ID and 2-28 for individuals with DD. Region V data skews the average considerably. In Region V individuals with ID have been in their jobs seventeen years on average. Individuals with DD have held their jobs for twenty-eight years on average. This may be because it reports significant long- term contractual work. The other four regions range from 3-13 years for ID and 2-3 years for DD. These averages are influenced by the length of time individuals have worked who are in sheltered work. This information was also reported specifically for individuals who are in IE. Individuals with DD in this category have worked an average of 1.45 years and individuals with ID have worked 4 years on average. The range is 1.04-2.10 for individuals with DD and 2.05-7.06 years. </w:t>
      </w:r>
    </w:p>
    <w:p w:rsidR="004C608D" w:rsidRDefault="004C608D" w:rsidP="004C608D"/>
    <w:p w:rsidR="004C608D" w:rsidRDefault="004C608D" w:rsidP="004C608D">
      <w:r w:rsidRPr="00B95CEF">
        <w:rPr>
          <w:b/>
        </w:rPr>
        <w:t>Earnings from supported employment</w:t>
      </w:r>
      <w:r>
        <w:t>- DBHDS collected information regarding wages and earnings. This information has not been available before and the department is to be commended for its efforts to respond to this requirement. DBHDS has data for 1650 individuals with ID and 254 individuals with DD as a result of this survey. Wage information was provided for 1332 of the 1650 individuals with ID (80%) and for 148 of the 254 individuals with DD (61%). The data portrays the following about the wages for these individuals:</w:t>
      </w:r>
    </w:p>
    <w:p w:rsidR="004C608D" w:rsidRDefault="004C608D" w:rsidP="004C608D">
      <w:pPr>
        <w:pStyle w:val="ListParagraph"/>
        <w:numPr>
          <w:ilvl w:val="0"/>
          <w:numId w:val="64"/>
        </w:numPr>
        <w:spacing w:after="200"/>
      </w:pPr>
      <w:r>
        <w:t>840 individuals with ID (63%) are paid minimum wage or above</w:t>
      </w:r>
    </w:p>
    <w:p w:rsidR="004C608D" w:rsidRDefault="004C608D" w:rsidP="004C608D">
      <w:pPr>
        <w:pStyle w:val="ListParagraph"/>
        <w:numPr>
          <w:ilvl w:val="0"/>
          <w:numId w:val="64"/>
        </w:numPr>
        <w:spacing w:after="200"/>
      </w:pPr>
      <w:r>
        <w:t>116 individuals with DD (78%) are paid minimum wage or above</w:t>
      </w:r>
    </w:p>
    <w:p w:rsidR="004C608D" w:rsidRDefault="004C608D" w:rsidP="004C608D">
      <w:pPr>
        <w:pStyle w:val="ListParagraph"/>
        <w:numPr>
          <w:ilvl w:val="0"/>
          <w:numId w:val="64"/>
        </w:numPr>
        <w:spacing w:after="200"/>
      </w:pPr>
      <w:r>
        <w:t>The average wage for ID individuals is $5.85</w:t>
      </w:r>
    </w:p>
    <w:p w:rsidR="004C608D" w:rsidRDefault="004C608D" w:rsidP="004C608D">
      <w:pPr>
        <w:pStyle w:val="ListParagraph"/>
        <w:numPr>
          <w:ilvl w:val="0"/>
          <w:numId w:val="64"/>
        </w:numPr>
        <w:spacing w:after="200"/>
      </w:pPr>
      <w:r>
        <w:t>The average wage for individuals with DD is $6.60</w:t>
      </w:r>
    </w:p>
    <w:p w:rsidR="004C608D" w:rsidRDefault="004C608D" w:rsidP="004C608D">
      <w:r>
        <w:t>Subsequent to the DBHDS Semi-Annual Report on Employment the SELN Data Sub-Committee did further analysis. This analysis indicates that:</w:t>
      </w:r>
    </w:p>
    <w:p w:rsidR="004C608D" w:rsidRDefault="004C608D" w:rsidP="004C608D">
      <w:pPr>
        <w:pStyle w:val="ListParagraph"/>
        <w:numPr>
          <w:ilvl w:val="0"/>
          <w:numId w:val="65"/>
        </w:numPr>
        <w:spacing w:after="200"/>
      </w:pPr>
      <w:r>
        <w:t>490 individuals with ID earn less than the minimum wage ($2.48 average)</w:t>
      </w:r>
    </w:p>
    <w:p w:rsidR="004C608D" w:rsidRDefault="004C608D" w:rsidP="004C608D">
      <w:pPr>
        <w:pStyle w:val="ListParagraph"/>
        <w:numPr>
          <w:ilvl w:val="0"/>
          <w:numId w:val="65"/>
        </w:numPr>
        <w:spacing w:after="200"/>
      </w:pPr>
      <w:r>
        <w:t>1160 individual with ID earn minimum wage or more ($9.19 average)</w:t>
      </w:r>
    </w:p>
    <w:p w:rsidR="004C608D" w:rsidRDefault="004C608D" w:rsidP="004C608D">
      <w:pPr>
        <w:pStyle w:val="ListParagraph"/>
        <w:numPr>
          <w:ilvl w:val="0"/>
          <w:numId w:val="65"/>
        </w:numPr>
        <w:spacing w:after="200"/>
      </w:pPr>
      <w:r>
        <w:t>32 individuals with DD earn less than minimum wage ($3.82 average</w:t>
      </w:r>
    </w:p>
    <w:p w:rsidR="004C608D" w:rsidRDefault="004C608D" w:rsidP="004C608D">
      <w:pPr>
        <w:pStyle w:val="ListParagraph"/>
        <w:numPr>
          <w:ilvl w:val="0"/>
          <w:numId w:val="65"/>
        </w:numPr>
        <w:spacing w:after="200"/>
      </w:pPr>
      <w:r>
        <w:t>222 individuals with DD earn minimum wage or more ($8.42 average)</w:t>
      </w:r>
    </w:p>
    <w:p w:rsidR="004C608D" w:rsidRDefault="004C608D" w:rsidP="004C608D">
      <w:r>
        <w:t xml:space="preserve">Only four individuals with ID that are in IE are earning less than minimum wage. No one with DD in IE earns less than minimum wage. </w:t>
      </w:r>
    </w:p>
    <w:p w:rsidR="00536C08" w:rsidRDefault="00536C08" w:rsidP="004C608D"/>
    <w:p w:rsidR="004C608D" w:rsidRDefault="004C608D" w:rsidP="004C608D">
      <w:r w:rsidRPr="00BB08D7">
        <w:rPr>
          <w:b/>
        </w:rPr>
        <w:t>Individual Employment</w:t>
      </w:r>
      <w:r>
        <w:t>- the number of individuals enrolled in IE was 200 individuals at the time of the Fall 2014 Review.  The number reported in the December 2014 employment survey totals 821 individuals who have an ID and 179 individuals who have a DD. This is a far more significant number of individuals than have been previously reported. This is because this is the first time DBHDS has been able to collect information on employment that reflects all sources of funding: DARS, HCBS Waivers, CSB and other sources. This is the new baseline so understandably it does not include the number of individuals who started employment during this reporting period.  This includes only people who are actually working and being paid.</w:t>
      </w:r>
    </w:p>
    <w:p w:rsidR="004C608D" w:rsidRDefault="004C608D" w:rsidP="004C608D"/>
    <w:p w:rsidR="004C608D" w:rsidRDefault="004C608D" w:rsidP="004C608D">
      <w:r w:rsidRPr="00BB08D7">
        <w:rPr>
          <w:b/>
        </w:rPr>
        <w:t>Group Supported Employment</w:t>
      </w:r>
      <w:r>
        <w:t xml:space="preserve">- the number of individuals that participate in GSE totals 688, of whom 625 have an ID and 63 have a DD. The number enrolled in GSE at the time of the Fall 2014 Review was 687. </w:t>
      </w:r>
    </w:p>
    <w:p w:rsidR="004C608D" w:rsidRDefault="004C608D" w:rsidP="004C608D"/>
    <w:p w:rsidR="004C608D" w:rsidRDefault="004C608D" w:rsidP="004C608D">
      <w:r w:rsidRPr="00BB08D7">
        <w:rPr>
          <w:b/>
        </w:rPr>
        <w:t>Pre-Vocational Services</w:t>
      </w:r>
      <w:r>
        <w:t>- the number of individuals in Pre-vocational services is 216. This includes 204 individuals with ID and 12 individuals with DD. This represents a reduction since the last report.  During the last reporting period it appeared that 286 individuals were in Pre-Vocational Services for twelve to thirty-three months, subtracting the numbers of individuals who newly enrolled and those who discontinued services. Individuals with ID have been in these services between 4 and 14 years. Individuals with DD have been in Sheltered work between 5 and 11 years. Only three regions have individuals with DD in SW.</w:t>
      </w:r>
    </w:p>
    <w:p w:rsidR="004C608D" w:rsidRPr="00BC34E9" w:rsidRDefault="004C608D" w:rsidP="004C608D"/>
    <w:p w:rsidR="004C608D" w:rsidRDefault="004C608D" w:rsidP="004C608D">
      <w:r>
        <w:t xml:space="preserve"> </w:t>
      </w:r>
      <w:r w:rsidRPr="005450CD">
        <w:rPr>
          <w:b/>
          <w:i/>
        </w:rPr>
        <w:t>Conclusion and Recommendation</w:t>
      </w:r>
      <w:r>
        <w:rPr>
          <w:b/>
          <w:i/>
        </w:rPr>
        <w:t>s</w:t>
      </w:r>
      <w:r>
        <w:t xml:space="preserve">: The DBHDS is not fully in compliance </w:t>
      </w:r>
      <w:r w:rsidRPr="00F5743B">
        <w:t>with</w:t>
      </w:r>
      <w:r>
        <w:rPr>
          <w:i/>
        </w:rPr>
        <w:t xml:space="preserve"> 7.b.i.B.1.a, b, c, d, or e. </w:t>
      </w:r>
      <w:r w:rsidRPr="00970C41">
        <w:t>because it can only report on 70% of the population</w:t>
      </w:r>
      <w:r>
        <w:rPr>
          <w:i/>
        </w:rPr>
        <w:t xml:space="preserve">. </w:t>
      </w:r>
      <w:r>
        <w:t xml:space="preserve"> This is a new data source that is far improved from previous data collection. DBHDS can now report on earnings and the length of time individuals have been employed. It is not possible to determine if DBHDS is making progress towards enrolling more individuals in IE because this new data creates a new baseline. It is extremely positive to have data that includes all individuals with ID and DD that are employed rather than a report that was limited to those individuals who are employed using HCBS waiver services only. DBHDS now has more accurate data about both the ID and DD populations related to employment. It is encouraging that GSE and SW do not appear to be increasing in the number of individuals who participate in these employment options.</w:t>
      </w:r>
    </w:p>
    <w:p w:rsidR="004C608D" w:rsidRDefault="004C608D" w:rsidP="004C608D"/>
    <w:p w:rsidR="004C608D" w:rsidRDefault="004C608D" w:rsidP="004C608D">
      <w:r>
        <w:t xml:space="preserve">I applaud the efforts DBHDS has made to collect and report more accurate data. However it is a concern that the department is relying on the ESOs to report and has made this reporting voluntary. Only 44% of ESOs responded to the survey. This data is not complete unless DBHDS requires reporting and achieves 100% compliance. DBHDS reports it plans to work with DARS to continue to refine the data collection methodology including the possibility of electronic submissions in the future. I fully support these plans. The DBHDS needs to require all ESOs to provide employment data. </w:t>
      </w:r>
    </w:p>
    <w:p w:rsidR="004C608D" w:rsidRDefault="004C608D" w:rsidP="004C608D"/>
    <w:p w:rsidR="004C608D" w:rsidRDefault="004C608D" w:rsidP="004C608D">
      <w:r>
        <w:t>The Parties should decide what if any outcomes are expected and required in the following areas: the amount of earnings; the number of individuals in pre-vocational services; and the length of time individuals are in pre-vocational services. Currently the Agreement only requires that DBHDS report accurately on these data elements.</w:t>
      </w:r>
    </w:p>
    <w:p w:rsidR="004C608D" w:rsidRDefault="004C608D" w:rsidP="004C608D"/>
    <w:p w:rsidR="004C608D" w:rsidRDefault="004C608D" w:rsidP="004C608D">
      <w:pPr>
        <w:rPr>
          <w:b/>
        </w:rPr>
      </w:pPr>
    </w:p>
    <w:p w:rsidR="004C608D" w:rsidRPr="00536C08" w:rsidRDefault="004C608D" w:rsidP="004C608D">
      <w:pPr>
        <w:rPr>
          <w:b/>
          <w:u w:val="single"/>
        </w:rPr>
      </w:pPr>
      <w:r w:rsidRPr="00536C08">
        <w:rPr>
          <w:b/>
          <w:u w:val="single"/>
        </w:rPr>
        <w:t>V. SETTING EMPLOYMENT TARGETS</w:t>
      </w:r>
    </w:p>
    <w:p w:rsidR="004C608D" w:rsidRPr="00103DE5" w:rsidRDefault="004C608D" w:rsidP="004C608D">
      <w:pPr>
        <w:rPr>
          <w:i/>
        </w:rPr>
      </w:pPr>
      <w:r w:rsidRPr="00103DE5">
        <w:rPr>
          <w:i/>
        </w:rPr>
        <w:t xml:space="preserve">Sections 7.i.B.2.a and b. require the Commonwealth to set targets to meaningfully increase the number of individuals who enroll in supported employment in each year and the number of individuals who remain employed in integrated work settings at least 12 months after the start of supported employment.  </w:t>
      </w:r>
    </w:p>
    <w:p w:rsidR="004C608D" w:rsidRDefault="004C608D" w:rsidP="004C608D">
      <w:r>
        <w:t xml:space="preserve">The targets depicted in </w:t>
      </w:r>
      <w:r w:rsidRPr="00F57140">
        <w:rPr>
          <w:b/>
          <w:i/>
        </w:rPr>
        <w:t>Table 1</w:t>
      </w:r>
      <w:r>
        <w:t xml:space="preserve"> are for the total number of individuals in IE for each of the next five fiscal years.</w:t>
      </w:r>
    </w:p>
    <w:p w:rsidR="004C608D" w:rsidRDefault="004C608D" w:rsidP="004C608D">
      <w:pPr>
        <w:rPr>
          <w:b/>
          <w:i/>
        </w:rPr>
      </w:pPr>
    </w:p>
    <w:p w:rsidR="004C608D" w:rsidRPr="00F37877" w:rsidRDefault="004C608D" w:rsidP="004C608D">
      <w:pPr>
        <w:rPr>
          <w:b/>
          <w:i/>
        </w:rPr>
      </w:pPr>
      <w:r>
        <w:rPr>
          <w:b/>
          <w:i/>
        </w:rPr>
        <w:t>Table 1</w:t>
      </w:r>
      <w:r w:rsidRPr="00F37877">
        <w:rPr>
          <w:b/>
          <w:i/>
        </w:rPr>
        <w:t>:  EMPLOYMENT TARGETS FOR FY15 – FY19</w:t>
      </w:r>
    </w:p>
    <w:p w:rsidR="004C608D" w:rsidRDefault="004C608D" w:rsidP="004C608D"/>
    <w:tbl>
      <w:tblPr>
        <w:tblStyle w:val="TableGrid"/>
        <w:tblW w:w="0" w:type="auto"/>
        <w:tblInd w:w="108" w:type="dxa"/>
        <w:tblLook w:val="00A0"/>
      </w:tblPr>
      <w:tblGrid>
        <w:gridCol w:w="920"/>
        <w:gridCol w:w="1109"/>
        <w:gridCol w:w="2144"/>
        <w:gridCol w:w="1372"/>
        <w:gridCol w:w="1372"/>
        <w:gridCol w:w="1372"/>
        <w:gridCol w:w="1373"/>
      </w:tblGrid>
      <w:tr w:rsidR="004C608D" w:rsidTr="004C608D">
        <w:tc>
          <w:tcPr>
            <w:tcW w:w="920" w:type="dxa"/>
            <w:vAlign w:val="center"/>
          </w:tcPr>
          <w:p w:rsidR="004C608D" w:rsidRPr="00DF1A4B" w:rsidRDefault="004C608D" w:rsidP="004C608D">
            <w:pPr>
              <w:jc w:val="center"/>
              <w:rPr>
                <w:b/>
              </w:rPr>
            </w:pPr>
            <w:r w:rsidRPr="00DF1A4B">
              <w:rPr>
                <w:b/>
              </w:rPr>
              <w:t>FY</w:t>
            </w:r>
          </w:p>
        </w:tc>
        <w:tc>
          <w:tcPr>
            <w:tcW w:w="1109" w:type="dxa"/>
          </w:tcPr>
          <w:p w:rsidR="004C608D" w:rsidRPr="00DF1A4B" w:rsidRDefault="004C608D" w:rsidP="004C608D">
            <w:pPr>
              <w:rPr>
                <w:b/>
              </w:rPr>
            </w:pPr>
            <w:r w:rsidRPr="00DF1A4B">
              <w:rPr>
                <w:b/>
              </w:rPr>
              <w:t>IE Total Start of FY</w:t>
            </w:r>
          </w:p>
        </w:tc>
        <w:tc>
          <w:tcPr>
            <w:tcW w:w="2022" w:type="dxa"/>
          </w:tcPr>
          <w:p w:rsidR="004C608D" w:rsidRPr="00DF1A4B" w:rsidRDefault="004C608D" w:rsidP="004C608D">
            <w:pPr>
              <w:rPr>
                <w:b/>
              </w:rPr>
            </w:pPr>
            <w:r w:rsidRPr="00DF1A4B">
              <w:rPr>
                <w:b/>
              </w:rPr>
              <w:t>Total in day/Employment Services</w:t>
            </w:r>
          </w:p>
        </w:tc>
        <w:tc>
          <w:tcPr>
            <w:tcW w:w="1372" w:type="dxa"/>
          </w:tcPr>
          <w:p w:rsidR="004C608D" w:rsidRPr="00DF1A4B" w:rsidRDefault="004C608D" w:rsidP="004C608D">
            <w:pPr>
              <w:rPr>
                <w:b/>
              </w:rPr>
            </w:pPr>
            <w:r w:rsidRPr="00DF1A4B">
              <w:rPr>
                <w:b/>
              </w:rPr>
              <w:t>% in IE at start of FY</w:t>
            </w:r>
          </w:p>
        </w:tc>
        <w:tc>
          <w:tcPr>
            <w:tcW w:w="1372" w:type="dxa"/>
          </w:tcPr>
          <w:p w:rsidR="004C608D" w:rsidRPr="00DF1A4B" w:rsidRDefault="004C608D" w:rsidP="004C608D">
            <w:pPr>
              <w:rPr>
                <w:b/>
              </w:rPr>
            </w:pPr>
            <w:r w:rsidRPr="00DF1A4B">
              <w:rPr>
                <w:b/>
              </w:rPr>
              <w:t>% in IE by end of FY</w:t>
            </w:r>
          </w:p>
        </w:tc>
        <w:tc>
          <w:tcPr>
            <w:tcW w:w="1372" w:type="dxa"/>
          </w:tcPr>
          <w:p w:rsidR="004C608D" w:rsidRPr="00DF1A4B" w:rsidRDefault="004C608D" w:rsidP="004C608D">
            <w:pPr>
              <w:rPr>
                <w:b/>
              </w:rPr>
            </w:pPr>
            <w:r w:rsidRPr="00DF1A4B">
              <w:rPr>
                <w:b/>
              </w:rPr>
              <w:t>IE Total</w:t>
            </w:r>
          </w:p>
          <w:p w:rsidR="004C608D" w:rsidRPr="00DF1A4B" w:rsidRDefault="004C608D" w:rsidP="004C608D">
            <w:pPr>
              <w:rPr>
                <w:b/>
              </w:rPr>
            </w:pPr>
            <w:r w:rsidRPr="00DF1A4B">
              <w:rPr>
                <w:b/>
              </w:rPr>
              <w:t>End of FY</w:t>
            </w:r>
          </w:p>
        </w:tc>
        <w:tc>
          <w:tcPr>
            <w:tcW w:w="1373" w:type="dxa"/>
          </w:tcPr>
          <w:p w:rsidR="004C608D" w:rsidRPr="00DF1A4B" w:rsidRDefault="004C608D" w:rsidP="004C608D">
            <w:pPr>
              <w:rPr>
                <w:b/>
              </w:rPr>
            </w:pPr>
            <w:r w:rsidRPr="00DF1A4B">
              <w:rPr>
                <w:b/>
              </w:rPr>
              <w:t>Increase in Base %</w:t>
            </w:r>
          </w:p>
        </w:tc>
      </w:tr>
      <w:tr w:rsidR="004C608D" w:rsidTr="004C608D">
        <w:tc>
          <w:tcPr>
            <w:tcW w:w="920" w:type="dxa"/>
          </w:tcPr>
          <w:p w:rsidR="004C608D" w:rsidRDefault="004C608D" w:rsidP="004C608D">
            <w:pPr>
              <w:jc w:val="center"/>
            </w:pPr>
            <w:r>
              <w:t>15</w:t>
            </w:r>
          </w:p>
        </w:tc>
        <w:tc>
          <w:tcPr>
            <w:tcW w:w="1109" w:type="dxa"/>
          </w:tcPr>
          <w:p w:rsidR="004C608D" w:rsidRDefault="004C608D" w:rsidP="004C608D">
            <w:pPr>
              <w:jc w:val="center"/>
            </w:pPr>
            <w:r>
              <w:t>204</w:t>
            </w:r>
          </w:p>
        </w:tc>
        <w:tc>
          <w:tcPr>
            <w:tcW w:w="2022" w:type="dxa"/>
          </w:tcPr>
          <w:p w:rsidR="004C608D" w:rsidRDefault="004C608D" w:rsidP="004C608D">
            <w:pPr>
              <w:jc w:val="center"/>
            </w:pPr>
            <w:r>
              <w:t>7292</w:t>
            </w:r>
          </w:p>
        </w:tc>
        <w:tc>
          <w:tcPr>
            <w:tcW w:w="1372" w:type="dxa"/>
          </w:tcPr>
          <w:p w:rsidR="004C608D" w:rsidRDefault="004C608D" w:rsidP="004C608D">
            <w:pPr>
              <w:jc w:val="center"/>
            </w:pPr>
            <w:r>
              <w:t>2.79%</w:t>
            </w:r>
          </w:p>
        </w:tc>
        <w:tc>
          <w:tcPr>
            <w:tcW w:w="1372" w:type="dxa"/>
          </w:tcPr>
          <w:p w:rsidR="004C608D" w:rsidRDefault="004C608D" w:rsidP="004C608D">
            <w:pPr>
              <w:jc w:val="center"/>
            </w:pPr>
            <w:r>
              <w:t>7.79%</w:t>
            </w:r>
          </w:p>
        </w:tc>
        <w:tc>
          <w:tcPr>
            <w:tcW w:w="1372" w:type="dxa"/>
          </w:tcPr>
          <w:p w:rsidR="004C608D" w:rsidRDefault="004C608D" w:rsidP="004C608D">
            <w:pPr>
              <w:jc w:val="center"/>
            </w:pPr>
            <w:r>
              <w:t>568</w:t>
            </w:r>
          </w:p>
        </w:tc>
        <w:tc>
          <w:tcPr>
            <w:tcW w:w="1373" w:type="dxa"/>
          </w:tcPr>
          <w:p w:rsidR="004C608D" w:rsidRDefault="004C608D" w:rsidP="004C608D">
            <w:pPr>
              <w:jc w:val="center"/>
            </w:pPr>
            <w:r>
              <w:t>5%</w:t>
            </w:r>
          </w:p>
        </w:tc>
      </w:tr>
      <w:tr w:rsidR="004C608D" w:rsidTr="004C608D">
        <w:tc>
          <w:tcPr>
            <w:tcW w:w="920" w:type="dxa"/>
          </w:tcPr>
          <w:p w:rsidR="004C608D" w:rsidRDefault="004C608D" w:rsidP="004C608D">
            <w:pPr>
              <w:jc w:val="center"/>
            </w:pPr>
            <w:r>
              <w:t>16</w:t>
            </w:r>
          </w:p>
        </w:tc>
        <w:tc>
          <w:tcPr>
            <w:tcW w:w="1109" w:type="dxa"/>
          </w:tcPr>
          <w:p w:rsidR="004C608D" w:rsidRDefault="004C608D" w:rsidP="004C608D">
            <w:pPr>
              <w:jc w:val="center"/>
            </w:pPr>
            <w:r>
              <w:t>568</w:t>
            </w:r>
          </w:p>
        </w:tc>
        <w:tc>
          <w:tcPr>
            <w:tcW w:w="2022" w:type="dxa"/>
          </w:tcPr>
          <w:p w:rsidR="004C608D" w:rsidRDefault="004C608D" w:rsidP="004C608D">
            <w:pPr>
              <w:jc w:val="center"/>
            </w:pPr>
            <w:r>
              <w:t>7292</w:t>
            </w:r>
          </w:p>
        </w:tc>
        <w:tc>
          <w:tcPr>
            <w:tcW w:w="1372" w:type="dxa"/>
          </w:tcPr>
          <w:p w:rsidR="004C608D" w:rsidRDefault="004C608D" w:rsidP="004C608D">
            <w:pPr>
              <w:jc w:val="center"/>
            </w:pPr>
            <w:r>
              <w:t>7.79%</w:t>
            </w:r>
          </w:p>
        </w:tc>
        <w:tc>
          <w:tcPr>
            <w:tcW w:w="1372" w:type="dxa"/>
          </w:tcPr>
          <w:p w:rsidR="004C608D" w:rsidRDefault="004C608D" w:rsidP="004C608D">
            <w:pPr>
              <w:jc w:val="center"/>
            </w:pPr>
            <w:r>
              <w:t>12.79%</w:t>
            </w:r>
          </w:p>
        </w:tc>
        <w:tc>
          <w:tcPr>
            <w:tcW w:w="1372" w:type="dxa"/>
          </w:tcPr>
          <w:p w:rsidR="004C608D" w:rsidRDefault="004C608D" w:rsidP="004C608D">
            <w:pPr>
              <w:jc w:val="center"/>
            </w:pPr>
            <w:r>
              <w:t>932</w:t>
            </w:r>
          </w:p>
        </w:tc>
        <w:tc>
          <w:tcPr>
            <w:tcW w:w="1373" w:type="dxa"/>
          </w:tcPr>
          <w:p w:rsidR="004C608D" w:rsidRDefault="004C608D" w:rsidP="004C608D">
            <w:pPr>
              <w:jc w:val="center"/>
            </w:pPr>
            <w:r>
              <w:t>5%</w:t>
            </w:r>
          </w:p>
        </w:tc>
      </w:tr>
      <w:tr w:rsidR="004C608D" w:rsidTr="004C608D">
        <w:tc>
          <w:tcPr>
            <w:tcW w:w="920" w:type="dxa"/>
          </w:tcPr>
          <w:p w:rsidR="004C608D" w:rsidRDefault="004C608D" w:rsidP="004C608D">
            <w:pPr>
              <w:jc w:val="center"/>
            </w:pPr>
            <w:r>
              <w:t>17</w:t>
            </w:r>
          </w:p>
        </w:tc>
        <w:tc>
          <w:tcPr>
            <w:tcW w:w="1109" w:type="dxa"/>
          </w:tcPr>
          <w:p w:rsidR="004C608D" w:rsidRDefault="004C608D" w:rsidP="004C608D">
            <w:pPr>
              <w:jc w:val="center"/>
            </w:pPr>
            <w:r>
              <w:t>932</w:t>
            </w:r>
          </w:p>
        </w:tc>
        <w:tc>
          <w:tcPr>
            <w:tcW w:w="2022" w:type="dxa"/>
          </w:tcPr>
          <w:p w:rsidR="004C608D" w:rsidRDefault="004C608D" w:rsidP="004C608D">
            <w:pPr>
              <w:jc w:val="center"/>
            </w:pPr>
            <w:r>
              <w:t>7292</w:t>
            </w:r>
          </w:p>
        </w:tc>
        <w:tc>
          <w:tcPr>
            <w:tcW w:w="1372" w:type="dxa"/>
          </w:tcPr>
          <w:p w:rsidR="004C608D" w:rsidRDefault="004C608D" w:rsidP="004C608D">
            <w:pPr>
              <w:jc w:val="center"/>
            </w:pPr>
            <w:r>
              <w:t>12.79%</w:t>
            </w:r>
          </w:p>
        </w:tc>
        <w:tc>
          <w:tcPr>
            <w:tcW w:w="1372" w:type="dxa"/>
          </w:tcPr>
          <w:p w:rsidR="004C608D" w:rsidRDefault="004C608D" w:rsidP="004C608D">
            <w:pPr>
              <w:jc w:val="center"/>
            </w:pPr>
            <w:r>
              <w:t>17.79%</w:t>
            </w:r>
          </w:p>
        </w:tc>
        <w:tc>
          <w:tcPr>
            <w:tcW w:w="1372" w:type="dxa"/>
          </w:tcPr>
          <w:p w:rsidR="004C608D" w:rsidRDefault="004C608D" w:rsidP="004C608D">
            <w:pPr>
              <w:jc w:val="center"/>
            </w:pPr>
            <w:r>
              <w:t>1297</w:t>
            </w:r>
          </w:p>
        </w:tc>
        <w:tc>
          <w:tcPr>
            <w:tcW w:w="1373" w:type="dxa"/>
          </w:tcPr>
          <w:p w:rsidR="004C608D" w:rsidRDefault="004C608D" w:rsidP="004C608D">
            <w:pPr>
              <w:jc w:val="center"/>
            </w:pPr>
            <w:r>
              <w:t>5%</w:t>
            </w:r>
          </w:p>
        </w:tc>
      </w:tr>
      <w:tr w:rsidR="004C608D" w:rsidTr="004C608D">
        <w:trPr>
          <w:trHeight w:val="206"/>
        </w:trPr>
        <w:tc>
          <w:tcPr>
            <w:tcW w:w="920" w:type="dxa"/>
          </w:tcPr>
          <w:p w:rsidR="004C608D" w:rsidRDefault="004C608D" w:rsidP="004C608D">
            <w:pPr>
              <w:jc w:val="center"/>
            </w:pPr>
            <w:r>
              <w:t>18</w:t>
            </w:r>
          </w:p>
        </w:tc>
        <w:tc>
          <w:tcPr>
            <w:tcW w:w="1109" w:type="dxa"/>
          </w:tcPr>
          <w:p w:rsidR="004C608D" w:rsidRDefault="004C608D" w:rsidP="004C608D">
            <w:pPr>
              <w:jc w:val="center"/>
            </w:pPr>
            <w:r>
              <w:t>1297</w:t>
            </w:r>
          </w:p>
        </w:tc>
        <w:tc>
          <w:tcPr>
            <w:tcW w:w="2022" w:type="dxa"/>
          </w:tcPr>
          <w:p w:rsidR="004C608D" w:rsidRDefault="004C608D" w:rsidP="004C608D">
            <w:pPr>
              <w:jc w:val="center"/>
            </w:pPr>
            <w:r>
              <w:t>7292</w:t>
            </w:r>
          </w:p>
        </w:tc>
        <w:tc>
          <w:tcPr>
            <w:tcW w:w="1372" w:type="dxa"/>
          </w:tcPr>
          <w:p w:rsidR="004C608D" w:rsidRDefault="004C608D" w:rsidP="004C608D">
            <w:pPr>
              <w:jc w:val="center"/>
            </w:pPr>
            <w:r>
              <w:t>17.79%</w:t>
            </w:r>
          </w:p>
        </w:tc>
        <w:tc>
          <w:tcPr>
            <w:tcW w:w="1372" w:type="dxa"/>
          </w:tcPr>
          <w:p w:rsidR="004C608D" w:rsidRDefault="004C608D" w:rsidP="004C608D">
            <w:pPr>
              <w:jc w:val="center"/>
            </w:pPr>
            <w:r>
              <w:t>22.79%</w:t>
            </w:r>
          </w:p>
        </w:tc>
        <w:tc>
          <w:tcPr>
            <w:tcW w:w="1372" w:type="dxa"/>
          </w:tcPr>
          <w:p w:rsidR="004C608D" w:rsidRDefault="004C608D" w:rsidP="004C608D">
            <w:pPr>
              <w:jc w:val="center"/>
            </w:pPr>
            <w:r>
              <w:t>1661</w:t>
            </w:r>
          </w:p>
        </w:tc>
        <w:tc>
          <w:tcPr>
            <w:tcW w:w="1373" w:type="dxa"/>
          </w:tcPr>
          <w:p w:rsidR="004C608D" w:rsidRDefault="004C608D" w:rsidP="004C608D">
            <w:pPr>
              <w:jc w:val="center"/>
            </w:pPr>
            <w:r>
              <w:t>5%</w:t>
            </w:r>
          </w:p>
        </w:tc>
      </w:tr>
      <w:tr w:rsidR="004C608D" w:rsidTr="004C608D">
        <w:tc>
          <w:tcPr>
            <w:tcW w:w="920" w:type="dxa"/>
          </w:tcPr>
          <w:p w:rsidR="004C608D" w:rsidRDefault="004C608D" w:rsidP="004C608D">
            <w:pPr>
              <w:jc w:val="center"/>
            </w:pPr>
            <w:r>
              <w:t>19</w:t>
            </w:r>
          </w:p>
        </w:tc>
        <w:tc>
          <w:tcPr>
            <w:tcW w:w="1109" w:type="dxa"/>
          </w:tcPr>
          <w:p w:rsidR="004C608D" w:rsidRDefault="004C608D" w:rsidP="004C608D">
            <w:pPr>
              <w:jc w:val="center"/>
            </w:pPr>
            <w:r>
              <w:t>1661</w:t>
            </w:r>
          </w:p>
        </w:tc>
        <w:tc>
          <w:tcPr>
            <w:tcW w:w="2022" w:type="dxa"/>
          </w:tcPr>
          <w:p w:rsidR="004C608D" w:rsidRDefault="004C608D" w:rsidP="004C608D">
            <w:pPr>
              <w:jc w:val="center"/>
            </w:pPr>
            <w:r>
              <w:t>7292</w:t>
            </w:r>
          </w:p>
        </w:tc>
        <w:tc>
          <w:tcPr>
            <w:tcW w:w="1372" w:type="dxa"/>
          </w:tcPr>
          <w:p w:rsidR="004C608D" w:rsidRDefault="004C608D" w:rsidP="004C608D">
            <w:pPr>
              <w:jc w:val="center"/>
            </w:pPr>
            <w:r>
              <w:t>22.79%</w:t>
            </w:r>
          </w:p>
        </w:tc>
        <w:tc>
          <w:tcPr>
            <w:tcW w:w="1372" w:type="dxa"/>
          </w:tcPr>
          <w:p w:rsidR="004C608D" w:rsidRDefault="004C608D" w:rsidP="004C608D">
            <w:pPr>
              <w:jc w:val="center"/>
            </w:pPr>
            <w:r>
              <w:t>27.79%</w:t>
            </w:r>
          </w:p>
        </w:tc>
        <w:tc>
          <w:tcPr>
            <w:tcW w:w="1372" w:type="dxa"/>
          </w:tcPr>
          <w:p w:rsidR="004C608D" w:rsidRDefault="004C608D" w:rsidP="004C608D">
            <w:pPr>
              <w:jc w:val="center"/>
            </w:pPr>
            <w:r>
              <w:t>2026</w:t>
            </w:r>
          </w:p>
        </w:tc>
        <w:tc>
          <w:tcPr>
            <w:tcW w:w="1373" w:type="dxa"/>
          </w:tcPr>
          <w:p w:rsidR="004C608D" w:rsidRDefault="004C608D" w:rsidP="004C608D">
            <w:pPr>
              <w:jc w:val="center"/>
            </w:pPr>
            <w:r>
              <w:t>5%</w:t>
            </w:r>
          </w:p>
        </w:tc>
      </w:tr>
    </w:tbl>
    <w:p w:rsidR="004C608D" w:rsidRDefault="004C608D" w:rsidP="004C608D"/>
    <w:p w:rsidR="004C608D" w:rsidRDefault="004C608D" w:rsidP="004C608D">
      <w:r w:rsidRPr="005450CD">
        <w:rPr>
          <w:b/>
          <w:i/>
        </w:rPr>
        <w:t>Increasing the nu</w:t>
      </w:r>
      <w:r>
        <w:rPr>
          <w:b/>
          <w:i/>
        </w:rPr>
        <w:t>mber of individuals in I</w:t>
      </w:r>
      <w:r w:rsidRPr="005450CD">
        <w:rPr>
          <w:b/>
          <w:i/>
        </w:rPr>
        <w:t>E:</w:t>
      </w:r>
      <w:r>
        <w:t xml:space="preserve"> The targets in </w:t>
      </w:r>
      <w:r w:rsidRPr="002E4480">
        <w:rPr>
          <w:b/>
          <w:i/>
        </w:rPr>
        <w:t>Table 1</w:t>
      </w:r>
      <w:r>
        <w:t xml:space="preserve"> reflect the targets set by the DBHDS in March 2014. These targets were based in the information available from the HCBS waiver data. The DBHDS plans to revise these targets based on more comprehensive data that indicates 1,000 individuals in Virginia who have ID or DD are in individual employment.  DBHDS plans to use the national average that 25% of individuals with ID and DD who participate in employment services. The plan is to include the number of adults now on the HCBS waivers (11,000) and those on the waiting list (4,500) many of whom may be receiving DARS services to determine the universe of individuals seeking day support or employment. The DBHDS is working with the SELN AG this spring to establish new targets. The target will be increased significantly from the previous target of 1661 individuals by FY19. However these targets will now include individuals in both IE and GSE who are working and earning at least minimum wage.</w:t>
      </w:r>
    </w:p>
    <w:p w:rsidR="00536C08" w:rsidRDefault="00536C08" w:rsidP="004C608D"/>
    <w:p w:rsidR="00536C08" w:rsidRDefault="00536C08" w:rsidP="004C608D"/>
    <w:p w:rsidR="004C608D" w:rsidRDefault="004C608D" w:rsidP="004C608D"/>
    <w:p w:rsidR="004C608D" w:rsidRDefault="004C608D" w:rsidP="004C608D">
      <w:r w:rsidRPr="00B0110A">
        <w:rPr>
          <w:b/>
        </w:rPr>
        <w:t xml:space="preserve">Individuals in Supported Employment </w:t>
      </w:r>
      <w:r>
        <w:t>The current goal is to reach 85% of the total number of individuals in IE who remain employed for 12 or more months. I suggest the DBHDS maintain this target goal and collect data that allows them to report on the length of time individuals are employed through IE separately from individuals in GSE or Pre-vocational services.</w:t>
      </w:r>
    </w:p>
    <w:p w:rsidR="004C608D" w:rsidRPr="002E4480" w:rsidRDefault="004C608D" w:rsidP="004C608D"/>
    <w:p w:rsidR="004C608D" w:rsidRDefault="004C608D" w:rsidP="004C608D">
      <w:r w:rsidRPr="00CD2F4B">
        <w:rPr>
          <w:b/>
          <w:i/>
        </w:rPr>
        <w:t>Conclusions and Recommendations</w:t>
      </w:r>
      <w:r>
        <w:t>: Compliance with Section</w:t>
      </w:r>
      <w:r>
        <w:rPr>
          <w:i/>
        </w:rPr>
        <w:t xml:space="preserve"> 7.b.</w:t>
      </w:r>
      <w:r w:rsidRPr="000D774B">
        <w:rPr>
          <w:i/>
        </w:rPr>
        <w:t>i.B.2.a</w:t>
      </w:r>
      <w:r>
        <w:rPr>
          <w:i/>
        </w:rPr>
        <w:t xml:space="preserve"> and b</w:t>
      </w:r>
      <w:r>
        <w:t xml:space="preserve"> cannot be determined based on the new data and the need to create new targets as a result of more meaningful and comprehensive information about this population.</w:t>
      </w:r>
    </w:p>
    <w:p w:rsidR="004C608D" w:rsidRDefault="004C608D" w:rsidP="004C608D">
      <w:r>
        <w:t>The Commonwealth is reporting may more individuals who are employed. It can now report on individuals with ID and DD separately. I suggest it develop separate targets for each of these groups and continue its new practice of reporting on each group separately. The DBHDS should also determine its targets separately for individuals in IE and for those in GSE to insure its decision to pursue an Employment First Policy is implemented as intended.  Currently 57% of the individuals with ID who are employed are in IE and 43% are in GSE. Seventy-four (74%) percent of individuals with DD are in IE versus 26% that are in GSE. DBHDS should not reduce the percentages it expects should be independently employed when it sets its new targets that will include both GSE and IE.</w:t>
      </w:r>
    </w:p>
    <w:p w:rsidR="004C608D" w:rsidRDefault="004C608D" w:rsidP="004C608D"/>
    <w:p w:rsidR="004C608D" w:rsidRDefault="004C608D" w:rsidP="004C608D">
      <w:r>
        <w:t>In order for the Commonwealth to reach these targets the DBHDS will need to concentrate its efforts on completing its waiver redesign plan to address employment service definitions and revise its rate structure, focus on building provider capacity, and further train all case managers in the Employment First policy and the principles of person-centered planning to help individuals and their families identify and pursue their employment goals and aspirations. Provider capacity is going to be critical to the success of meeting these targets. The number of individuals in IE in Regions II, III and IV is very small with Region II reporting only sixteen individuals.</w:t>
      </w:r>
    </w:p>
    <w:p w:rsidR="004C608D" w:rsidRDefault="004C608D" w:rsidP="004C608D"/>
    <w:p w:rsidR="004C608D" w:rsidRDefault="004C608D" w:rsidP="004C608D">
      <w:r>
        <w:t xml:space="preserve"> I continue to recommend that the Commonwealth further refine these targets by indicating the number of individuals it hopes to provide IE to from the following groups: individuals currently participating in GSE or pre-vocational programs; individuals in the target population who are leaving the Training Centers; and individuals in the target population who become waiver participants during the implementation of the Settlement Agreement. Creating these sub-groups with specific goals for increased employment for each will assist DBHDS to set measurable and achievable goals within the overall target and make the undertaking more manageable and strategic. Realistic and successful marketing and training approaches to target these specific groups can be developed through discussions between the DBHDS and the SELN to reach out to families, Case Managers, CSBs, Training Center staff, and ESOs to assist the DBHDS to achieve its overall targets in each of the next five fiscal years.  The Commonwealth is in compliance with III.C.7.c and d. It discusses the targets and the progress towards implementing the employment services plan with the Regional Advisory Councils quarterly and insures the input of the RACs is shared with the SELN AG. Members of the SELN AG that are also employment leads in DBHDS meet with the RACs. </w:t>
      </w:r>
    </w:p>
    <w:p w:rsidR="004C608D" w:rsidRDefault="004C608D" w:rsidP="004C608D">
      <w:pPr>
        <w:rPr>
          <w:b/>
        </w:rPr>
      </w:pPr>
    </w:p>
    <w:p w:rsidR="00536C08" w:rsidRDefault="00536C08" w:rsidP="004C608D">
      <w:pPr>
        <w:rPr>
          <w:b/>
        </w:rPr>
      </w:pPr>
    </w:p>
    <w:p w:rsidR="00536C08" w:rsidRDefault="00536C08" w:rsidP="004C608D">
      <w:pPr>
        <w:rPr>
          <w:b/>
        </w:rPr>
      </w:pPr>
    </w:p>
    <w:p w:rsidR="00536C08" w:rsidRDefault="00536C08" w:rsidP="004C608D">
      <w:pPr>
        <w:rPr>
          <w:b/>
        </w:rPr>
      </w:pPr>
    </w:p>
    <w:p w:rsidR="004C608D" w:rsidRPr="004830D9" w:rsidRDefault="004C608D" w:rsidP="004C608D">
      <w:pPr>
        <w:rPr>
          <w:b/>
        </w:rPr>
      </w:pPr>
      <w:r>
        <w:rPr>
          <w:b/>
        </w:rPr>
        <w:t xml:space="preserve">VI. </w:t>
      </w:r>
      <w:r w:rsidR="00536C08" w:rsidRPr="00536C08">
        <w:rPr>
          <w:b/>
          <w:u w:val="single"/>
        </w:rPr>
        <w:t>THE PLAN FOR INCREASING OPPORTUNITIES FOR INTEGRATED DAY ACTIVITIES</w:t>
      </w:r>
    </w:p>
    <w:p w:rsidR="004C608D" w:rsidRPr="00DD0E51" w:rsidRDefault="004C608D" w:rsidP="004C608D"/>
    <w:p w:rsidR="004C608D" w:rsidRDefault="004C608D" w:rsidP="004C608D">
      <w:pPr>
        <w:rPr>
          <w:i/>
        </w:rPr>
      </w:pPr>
      <w:r w:rsidRPr="0089353C">
        <w:rPr>
          <w:i/>
        </w:rPr>
        <w:t>7.a. To the greatest extent practicable the Commonwealth shall provide individuals in the target population receiving services under this agreement with integrated day opportunities, including supported employment.</w:t>
      </w:r>
    </w:p>
    <w:p w:rsidR="00B235A0" w:rsidRDefault="00B235A0" w:rsidP="004C608D">
      <w:pPr>
        <w:rPr>
          <w:i/>
        </w:rPr>
      </w:pPr>
    </w:p>
    <w:p w:rsidR="004C608D" w:rsidRDefault="004C608D" w:rsidP="004C608D">
      <w:r w:rsidRPr="001D308C">
        <w:rPr>
          <w:b/>
        </w:rPr>
        <w:t xml:space="preserve">Waiver Redesign: </w:t>
      </w:r>
      <w:r>
        <w:t xml:space="preserve">The Commonwealth is continuing its planning efforts to redesign its waivers serving individuals with ID and DD is undertaking a significant redesign of its HCBS waivers. The new waiver application will include a definition for integrated day activities and revise the definition of supported employment, restructure the rates for waiver services and redesign the implementation of the SIS as it is used as an initial assessment tool and an indicator of the individual’s level of need for support. Various work groups have been convened to assure broad input from stakeholders. The SELN had some input into the definitions of supported employment but was not formally linked to the waiver redesign work group. The SELN did develop the definition for integrated day activities. The Commonwealth plans to submit its new waiver design in early FY16 for implementation in late FY16. </w:t>
      </w:r>
    </w:p>
    <w:p w:rsidR="00B235A0" w:rsidRDefault="00B235A0" w:rsidP="004C608D"/>
    <w:p w:rsidR="004C608D" w:rsidRDefault="004C608D" w:rsidP="004C608D">
      <w:r>
        <w:t xml:space="preserve">The Waiver design elements align the intensity of need of the individual with resource allocation. Providers will need to be qualified and also demonstrate the necessary competencies to serve individuals with more complex needs. DBHDS plans to have basic and enhanced rates to promote the use of integrated day activities that rely on more intensive staffing patterns at least for periods of time until the individual can more regularly use natural supports and their community connections. The waiver will include the option of consumer –directed services and will utilize an individual budgeting methodology as currently conceptualized. </w:t>
      </w:r>
    </w:p>
    <w:p w:rsidR="004C608D" w:rsidRDefault="004C608D" w:rsidP="004C608D"/>
    <w:p w:rsidR="004C608D" w:rsidRDefault="004C608D" w:rsidP="004C608D">
      <w:pPr>
        <w:rPr>
          <w:i/>
        </w:rPr>
      </w:pPr>
      <w:r w:rsidRPr="00F06178">
        <w:rPr>
          <w:b/>
        </w:rPr>
        <w:t>Integrated Day Activity Plan:</w:t>
      </w:r>
      <w:r>
        <w:t xml:space="preserve"> The DBHDS is required to provide integrated day activities, including supported employment for the target population. The Settlement Agreement states: </w:t>
      </w:r>
      <w:r w:rsidRPr="00801090">
        <w:rPr>
          <w:i/>
        </w:rPr>
        <w:t>To the greatest extent practicable, the Commonwealth shall provide individuals in the target population receiving services under the Agreement with integrated day opportunities, including supported employment.</w:t>
      </w:r>
    </w:p>
    <w:p w:rsidR="00B235A0" w:rsidRPr="00844779" w:rsidRDefault="00B235A0" w:rsidP="004C608D"/>
    <w:p w:rsidR="004C608D" w:rsidRDefault="004C608D" w:rsidP="004C608D">
      <w:r w:rsidRPr="00801090">
        <w:rPr>
          <w:i/>
        </w:rPr>
        <w:t xml:space="preserve"> </w:t>
      </w:r>
      <w:r>
        <w:t>Since the Commonwealth of Virginia entered into the Settlement Agreement with the US DOJ, DBHDS has focused its work and activities on increasing employment opportunities for individuals with ID and DD. With rare exception providers in Virginia still do not offer individuals who are not employed other types of integrated day activities. DBHDS was directed by the Independent Reviewer to develop a plan by March 31,2014 describing its approach to create integrated day activity capacity throughout its provider community and ensure that individuals in the target population can participated in these integrated activities as the foundation of their day programs.</w:t>
      </w:r>
    </w:p>
    <w:p w:rsidR="00B235A0" w:rsidRDefault="00B235A0" w:rsidP="004C608D"/>
    <w:p w:rsidR="004C608D" w:rsidRDefault="004C608D" w:rsidP="004C608D">
      <w:r>
        <w:t xml:space="preserve">The Commonwealth was not in compliance with </w:t>
      </w:r>
      <w:r w:rsidRPr="007A47E8">
        <w:rPr>
          <w:i/>
        </w:rPr>
        <w:t>7.a.</w:t>
      </w:r>
      <w:r>
        <w:t xml:space="preserve"> as of the last review (October 2014). I recommended at the time that the DBHDS determine how it will assess the need for these services; determine the policy for continuing congregate day services; how teams will be trained in person-centered planning to introduce this service option; train CSBs, ID, and DD Case Managers; assess and plan to expand capacity; qualify providers.</w:t>
      </w:r>
    </w:p>
    <w:p w:rsidR="004C608D" w:rsidRDefault="004C608D" w:rsidP="004C608D">
      <w:r>
        <w:t>DBHDS developed its Integrated Day Activity Plan on July 2014, which was the basis for my review in October 2014. This report indicated the DBHDS would convene a meeting by mid-October and submit a full plan by December 2014.  I was provided the DBHDS Community Engagement Plan Draft: February 10, 2015 and the Quarterly Update (2/23/15). The Plan has five goals:</w:t>
      </w:r>
    </w:p>
    <w:p w:rsidR="004C608D" w:rsidRDefault="004C608D" w:rsidP="004C608D">
      <w:pPr>
        <w:pStyle w:val="ListParagraph"/>
        <w:numPr>
          <w:ilvl w:val="0"/>
          <w:numId w:val="63"/>
        </w:numPr>
        <w:spacing w:after="200"/>
      </w:pPr>
      <w:r>
        <w:t>Developing a common understanding and philosophy.</w:t>
      </w:r>
    </w:p>
    <w:p w:rsidR="004C608D" w:rsidRDefault="004C608D" w:rsidP="004C608D">
      <w:pPr>
        <w:pStyle w:val="ListParagraph"/>
        <w:numPr>
          <w:ilvl w:val="0"/>
          <w:numId w:val="63"/>
        </w:numPr>
        <w:spacing w:after="200"/>
      </w:pPr>
      <w:r>
        <w:t>Policy review and alignment with philosophy.</w:t>
      </w:r>
    </w:p>
    <w:p w:rsidR="004C608D" w:rsidRDefault="004C608D" w:rsidP="004C608D">
      <w:pPr>
        <w:pStyle w:val="ListParagraph"/>
        <w:numPr>
          <w:ilvl w:val="0"/>
          <w:numId w:val="63"/>
        </w:numPr>
        <w:spacing w:after="200"/>
      </w:pPr>
      <w:r>
        <w:t>System transformation for the implementation of Community Engagement Activities.</w:t>
      </w:r>
    </w:p>
    <w:p w:rsidR="004C608D" w:rsidRDefault="004C608D" w:rsidP="004C608D">
      <w:pPr>
        <w:pStyle w:val="ListParagraph"/>
        <w:numPr>
          <w:ilvl w:val="0"/>
          <w:numId w:val="63"/>
        </w:numPr>
        <w:spacing w:after="200"/>
      </w:pPr>
      <w:r>
        <w:t>Implementation of best practices in the provision of Community Engagement Activities.</w:t>
      </w:r>
    </w:p>
    <w:p w:rsidR="004C608D" w:rsidRDefault="004C608D" w:rsidP="004C608D">
      <w:pPr>
        <w:pStyle w:val="ListParagraph"/>
        <w:numPr>
          <w:ilvl w:val="0"/>
          <w:numId w:val="63"/>
        </w:numPr>
        <w:spacing w:after="200"/>
      </w:pPr>
      <w:r>
        <w:t>Monitoring to ensure implementation.</w:t>
      </w:r>
    </w:p>
    <w:p w:rsidR="004C608D" w:rsidRDefault="004C608D" w:rsidP="004C608D">
      <w:r>
        <w:t>Virginia’s vision is to have an array of integrated service opportunities available for individuals with disabilities and wants individuals to be able to choose to have services delivered to them in the least restrictive and most integrated setting. The SELN has developed a robust definition of Integrated Day Activities now called Community Engagement that will be used to define this service type in the new waiver. The definition the plan offers of integrated day activities assures they are meaningful, offered at times to benefit the person to have an active community-based daily routine, including community education or training, retirement, recreation and volunteer activities. The definition is outcome focused. Integrated day activities must be offered in the community, facilitate the development of meaningful relationships wit typical individuals, and facilitate community inclusion. Transportation is included that will be a key element to successfully offering these services. The DBHDS is to be commended on developing this comprehensive definition of integrated day activities.</w:t>
      </w:r>
    </w:p>
    <w:p w:rsidR="004C608D" w:rsidRPr="00B235A0" w:rsidRDefault="004C608D" w:rsidP="004C608D">
      <w:pPr>
        <w:rPr>
          <w:sz w:val="16"/>
          <w:szCs w:val="16"/>
        </w:rPr>
      </w:pPr>
    </w:p>
    <w:p w:rsidR="004C608D" w:rsidRDefault="003B7D6C" w:rsidP="004C608D">
      <w:r>
        <w:t>Since the last report,</w:t>
      </w:r>
      <w:r w:rsidR="00FC1E56">
        <w:t xml:space="preserve"> DBHDS has established</w:t>
      </w:r>
      <w:r w:rsidR="004C608D">
        <w:t xml:space="preserve"> the Community Engagement Advisory </w:t>
      </w:r>
      <w:r w:rsidR="00FC1E56">
        <w:t>Group</w:t>
      </w:r>
      <w:r w:rsidR="004C608D">
        <w:t xml:space="preserve"> with two sub-committees to address policy and training and education. The sub-committee has begun to develop training modules for all stakeholder audiences. The service definitions have been shared with the Waiver Design Advisory Committee (WDAC) for inclusion in the waiver amendments that will be submitted to CMS. </w:t>
      </w:r>
    </w:p>
    <w:p w:rsidR="004C608D" w:rsidRPr="00B235A0" w:rsidRDefault="004C608D" w:rsidP="004C608D">
      <w:pPr>
        <w:rPr>
          <w:sz w:val="16"/>
          <w:szCs w:val="16"/>
        </w:rPr>
      </w:pPr>
    </w:p>
    <w:p w:rsidR="004C608D" w:rsidRDefault="004C608D" w:rsidP="004C608D">
      <w:r>
        <w:t xml:space="preserve">Burns and Associates have developed the rates for these services.  This is the firm that is contracted to develop the rates for the waiver redesign. There is a proposed rate structure for Day Support Community Access (Community Engagement) and Day Support Community Services. The rate development is part of the waiver redesign and the original plan indicates that funding will be addressed by the General Assembly </w:t>
      </w:r>
      <w:r w:rsidRPr="00634403">
        <w:t>if funding increases are needed</w:t>
      </w:r>
      <w:r>
        <w:t xml:space="preserve"> in March 2015.  The DBHDS will not make its funding request until the new waivers are approved by CMS. DBHDS has not done any projection of how many individuals will want or need this service. It is a more costly service than the existing day habilitation model due to staffing ratios and transportation so it is difficult to understand how it could be offered without targeted funding. </w:t>
      </w:r>
    </w:p>
    <w:p w:rsidR="004C608D" w:rsidRPr="00B235A0" w:rsidRDefault="004C608D" w:rsidP="004C608D">
      <w:pPr>
        <w:rPr>
          <w:sz w:val="16"/>
          <w:szCs w:val="16"/>
        </w:rPr>
      </w:pPr>
    </w:p>
    <w:p w:rsidR="004C608D" w:rsidRDefault="004C608D" w:rsidP="004C608D">
      <w:r>
        <w:t>The Plan includes a section on System Transformation with a long range goal of: “structures, at both the state and provider level, will support delivery of Integrated Day Activities in the least restrictive and most integrated settings appropriate to the specific needs of the individual as identified through the person-centered planning process.” Positively it includes statewide training for providers, families, individuals and other stakeholders; the development of a guide book, ensuring providers can provide the necessary supports, develop provider interest in delivering integrated day activities and work with education agencies to discuss this option during transition planning. All of these occur between March 2015 and January 2016. This area still needs greater specificity in the plan. It does now address the need to educate CSBs and ID/DD Case Managers.</w:t>
      </w:r>
    </w:p>
    <w:p w:rsidR="004C608D" w:rsidRDefault="004C608D" w:rsidP="004C608D"/>
    <w:p w:rsidR="004C608D" w:rsidRDefault="004C608D" w:rsidP="004C608D">
      <w:r>
        <w:t>DBHDS has decided that it will offer individuals the consumer-directed option for Community Engagement Activities. I think this is a very positive step by DBHDS. The option provides individuals and their families with the choice and flexibility they deserve and will expand the capacity of the system to meet this need for a larger number of individuals. It is setting a goal to have 40% of individuals on waivers engaged in their communities by October 2017.</w:t>
      </w:r>
    </w:p>
    <w:p w:rsidR="004C608D" w:rsidRDefault="004C608D" w:rsidP="004C608D"/>
    <w:p w:rsidR="004C608D" w:rsidRDefault="004C608D" w:rsidP="00536C08">
      <w:r>
        <w:t xml:space="preserve">DBHDS has not started and of the work associated with Implementation or Monitoring. The 2-23-15 Quarterly Review states that work on Implementation will not begin until the new waiver is implemented. </w:t>
      </w:r>
    </w:p>
    <w:p w:rsidR="00536C08" w:rsidRDefault="00536C08" w:rsidP="00536C08"/>
    <w:p w:rsidR="004C608D" w:rsidRDefault="004C608D" w:rsidP="00B235A0">
      <w:r>
        <w:t>The revised plan does not specifically address:</w:t>
      </w:r>
    </w:p>
    <w:p w:rsidR="004C608D" w:rsidRDefault="004C608D" w:rsidP="004C608D">
      <w:pPr>
        <w:pStyle w:val="ListParagraph"/>
        <w:numPr>
          <w:ilvl w:val="0"/>
          <w:numId w:val="41"/>
        </w:numPr>
        <w:spacing w:after="200"/>
      </w:pPr>
      <w:r>
        <w:t>How need for these services will be assessed</w:t>
      </w:r>
    </w:p>
    <w:p w:rsidR="004C608D" w:rsidRDefault="004C608D" w:rsidP="004C608D">
      <w:pPr>
        <w:pStyle w:val="ListParagraph"/>
        <w:numPr>
          <w:ilvl w:val="0"/>
          <w:numId w:val="41"/>
        </w:numPr>
        <w:spacing w:after="200"/>
      </w:pPr>
      <w:r>
        <w:t>What the anticipated impact is on providers of congregate day services or how this will be determined and what the DBHDS policy will be about this service delivery model</w:t>
      </w:r>
    </w:p>
    <w:p w:rsidR="004C608D" w:rsidRDefault="004C608D" w:rsidP="004C608D">
      <w:pPr>
        <w:pStyle w:val="ListParagraph"/>
        <w:numPr>
          <w:ilvl w:val="0"/>
          <w:numId w:val="41"/>
        </w:numPr>
        <w:spacing w:after="200"/>
      </w:pPr>
      <w:r>
        <w:t>How teams will be instructed to use the person-centered planning process to introduce this service option and plan appropriate goals and objectives for the individual</w:t>
      </w:r>
    </w:p>
    <w:p w:rsidR="004C608D" w:rsidRDefault="004C608D" w:rsidP="004C608D">
      <w:pPr>
        <w:pStyle w:val="ListParagraph"/>
        <w:numPr>
          <w:ilvl w:val="0"/>
          <w:numId w:val="41"/>
        </w:numPr>
        <w:spacing w:after="200"/>
      </w:pPr>
      <w:r>
        <w:t>Assessing existing provider capacity and determining how to expand this if necessary</w:t>
      </w:r>
    </w:p>
    <w:p w:rsidR="004C608D" w:rsidRPr="00642E29" w:rsidRDefault="004C608D" w:rsidP="004C608D">
      <w:pPr>
        <w:pStyle w:val="ListParagraph"/>
        <w:numPr>
          <w:ilvl w:val="0"/>
          <w:numId w:val="41"/>
        </w:numPr>
        <w:spacing w:after="200"/>
      </w:pPr>
      <w:r>
        <w:t>Qualifying providers</w:t>
      </w:r>
    </w:p>
    <w:p w:rsidR="004C608D" w:rsidRDefault="004C608D" w:rsidP="004C608D">
      <w:r w:rsidRPr="00F06178">
        <w:rPr>
          <w:b/>
        </w:rPr>
        <w:t>Conclusion and Recommendations</w:t>
      </w:r>
      <w:r>
        <w:t xml:space="preserve">: </w:t>
      </w:r>
    </w:p>
    <w:p w:rsidR="004C608D" w:rsidRDefault="004C608D" w:rsidP="004C608D">
      <w:r>
        <w:t xml:space="preserve">The Commonwealth is not in compliance with </w:t>
      </w:r>
      <w:r w:rsidRPr="00515C25">
        <w:rPr>
          <w:i/>
        </w:rPr>
        <w:t>III.C.7.a.</w:t>
      </w:r>
      <w:r>
        <w:t xml:space="preserve"> It does not have a comprehensive implementation plan and it still is unable to offer its consumers integrated day activities. </w:t>
      </w:r>
    </w:p>
    <w:p w:rsidR="004C608D" w:rsidRDefault="004C608D" w:rsidP="004C608D">
      <w:r>
        <w:t>However it is troubling that the Commonwealth does not plan to offer this service across the system until FY16 when the new waiver is implemented. The most recent timeline for the waiver redesign anticipates the response from CMS in February 2016. Then DBHDS needs approval and funding from the General Assembly. This will support implementation of the waivers in July 2016 at the earliest. Individuals will be able to initiate new services as their individual review of the ISP occurs. This indicates many individuals will not have the opportunity for integrated day activities until calendar year 2017. The Commonwealth committed to this endeavor in 2012 as a result of the Settlement Agreement. I remain concerned that the Commonwealth will not start this service for more than four years since the agreement was signed.</w:t>
      </w:r>
    </w:p>
    <w:p w:rsidR="004C608D" w:rsidRDefault="004C608D" w:rsidP="004C608D"/>
    <w:p w:rsidR="004C608D" w:rsidRDefault="004C608D" w:rsidP="004C608D">
      <w:r>
        <w:t>My recommendations remain the same from my last report.  In order to be successful by that time the DBHDS must develop, more specific plans as to how it will work with the current provider network to prepare them to implement Community Engagement Activities and with the CSBs and Case Managers to introduce this service concept into the person-centered planning process. These are critical elements of a successful service delivery system and need to be planned for now if new services are to be in place and communicated to individuals by July 2016.  I recommend the DBHDS develop a much more detailed implementation plan with timelines and report specific actions semi-annually. An explanation should be given for any timeline that is missed. I further recommend that the DBHDS set targets to assist them to achieve the goal of having 40% of waiver participants engaged in Community Engagement by October 2017.</w:t>
      </w:r>
    </w:p>
    <w:p w:rsidR="004C608D" w:rsidRDefault="004C608D" w:rsidP="004C608D"/>
    <w:p w:rsidR="004C608D" w:rsidRDefault="004C608D" w:rsidP="004C608D">
      <w:r>
        <w:t>The Independent Reviewer may want to seek an order from the Court for the Commonwealth to submit a specific plan that includes an assessment of need, the number of individuals it will serve in each remaining year of the Settlement Agreement, and a funding request to the Legislature for each of those years for the identified number of individuals. DBHDS reports that it has developed a tiered system to determine individual’s needs for support to participate in Community Engagement for general budgeting purposes. It should use this as the foundation to develop a needs assessment for determining the full extent of resources that will be needed to implement this model effectively. The DBHDS continues to neither offer integrated day activities to individuals with ID/DD nor has a specific implementation to do so.</w:t>
      </w:r>
    </w:p>
    <w:p w:rsidR="004C608D" w:rsidRDefault="004C608D" w:rsidP="004C608D"/>
    <w:p w:rsidR="007B6A7C" w:rsidRDefault="007B6A7C" w:rsidP="004C608D">
      <w:pPr>
        <w:rPr>
          <w:b/>
        </w:rPr>
      </w:pPr>
    </w:p>
    <w:p w:rsidR="004C608D" w:rsidRPr="00610273" w:rsidRDefault="004C608D" w:rsidP="00CF546E">
      <w:pPr>
        <w:ind w:left="450" w:hanging="450"/>
        <w:rPr>
          <w:b/>
        </w:rPr>
      </w:pPr>
      <w:r w:rsidRPr="00610273">
        <w:rPr>
          <w:b/>
        </w:rPr>
        <w:t>V</w:t>
      </w:r>
      <w:r>
        <w:rPr>
          <w:b/>
        </w:rPr>
        <w:t>I</w:t>
      </w:r>
      <w:r w:rsidRPr="00610273">
        <w:rPr>
          <w:b/>
        </w:rPr>
        <w:t xml:space="preserve">I. </w:t>
      </w:r>
      <w:r w:rsidR="00CF546E" w:rsidRPr="00CF546E">
        <w:rPr>
          <w:b/>
          <w:u w:val="single"/>
        </w:rPr>
        <w:t>REVIEW OF THE SELN AND THE INCLUSION OF EMPLOYMENT IN THE PERSON-</w:t>
      </w:r>
      <w:r w:rsidR="00CF546E">
        <w:rPr>
          <w:b/>
          <w:u w:val="single"/>
        </w:rPr>
        <w:t xml:space="preserve"> </w:t>
      </w:r>
      <w:r w:rsidR="00CF546E" w:rsidRPr="00CF546E">
        <w:rPr>
          <w:b/>
          <w:u w:val="single"/>
        </w:rPr>
        <w:t>CENTERED ISP PLANNING PROCESS</w:t>
      </w:r>
    </w:p>
    <w:p w:rsidR="004C608D" w:rsidRDefault="004C608D" w:rsidP="004C608D"/>
    <w:p w:rsidR="004C608D" w:rsidRDefault="004C608D" w:rsidP="004C608D">
      <w:pPr>
        <w:rPr>
          <w:i/>
        </w:rPr>
      </w:pPr>
      <w:r>
        <w:rPr>
          <w:i/>
        </w:rPr>
        <w:t>III.C.7.b. The Commonwealth shall:</w:t>
      </w:r>
    </w:p>
    <w:p w:rsidR="004C608D" w:rsidRPr="0027418C" w:rsidRDefault="004C608D" w:rsidP="004C608D">
      <w:pPr>
        <w:pStyle w:val="ListParagraph"/>
        <w:numPr>
          <w:ilvl w:val="0"/>
          <w:numId w:val="42"/>
        </w:numPr>
        <w:spacing w:after="200"/>
        <w:rPr>
          <w:i/>
        </w:rPr>
      </w:pPr>
      <w:r w:rsidRPr="0027418C">
        <w:rPr>
          <w:i/>
        </w:rPr>
        <w:t>Maintain its membership in the SELN established by NASDDDS.</w:t>
      </w:r>
    </w:p>
    <w:p w:rsidR="004C608D" w:rsidRDefault="004C608D" w:rsidP="004C608D">
      <w:pPr>
        <w:pStyle w:val="ListParagraph"/>
        <w:numPr>
          <w:ilvl w:val="0"/>
          <w:numId w:val="42"/>
        </w:numPr>
        <w:spacing w:after="200"/>
        <w:rPr>
          <w:i/>
        </w:rPr>
      </w:pPr>
      <w:r w:rsidRPr="0027418C">
        <w:rPr>
          <w:i/>
        </w:rPr>
        <w:t xml:space="preserve">Establish a state policy on Employment First (EF) for this target population and include a term in the CSB Performance Contract requiring application of this policy. </w:t>
      </w:r>
    </w:p>
    <w:p w:rsidR="004C608D" w:rsidRDefault="004C608D" w:rsidP="004C608D">
      <w:pPr>
        <w:pStyle w:val="ListParagraph"/>
        <w:numPr>
          <w:ilvl w:val="0"/>
          <w:numId w:val="42"/>
        </w:numPr>
        <w:spacing w:after="200"/>
        <w:rPr>
          <w:i/>
        </w:rPr>
      </w:pPr>
      <w:r w:rsidRPr="0027418C">
        <w:rPr>
          <w:i/>
        </w:rPr>
        <w:t>The principles of the Employment First Policy include offering employment as the first and priority service option; providing integrated work settings that pay individuals minimum wage; discussing employment options with individuals through the person-centered planning process at least annually.</w:t>
      </w:r>
    </w:p>
    <w:p w:rsidR="004C608D" w:rsidRPr="00642E29" w:rsidRDefault="004C608D" w:rsidP="004C608D">
      <w:pPr>
        <w:pStyle w:val="ListParagraph"/>
        <w:numPr>
          <w:ilvl w:val="0"/>
          <w:numId w:val="42"/>
        </w:numPr>
        <w:spacing w:after="200"/>
        <w:rPr>
          <w:i/>
        </w:rPr>
      </w:pPr>
      <w:r>
        <w:rPr>
          <w:i/>
        </w:rPr>
        <w:t>Employ at least one Employment Services Coordinator to monitor the implementation of the employment first practices.</w:t>
      </w:r>
    </w:p>
    <w:p w:rsidR="004C608D" w:rsidRDefault="004C608D" w:rsidP="004C608D">
      <w:r>
        <w:t>Virginia has maintained its membership in the SELN and issued a policy on Employment First. DBHDS continues to employ the Employment Services Coordinator. This review will explore the activities and work of the SELN and focus on whether employment is being offered as the first option to individuals in the target population.</w:t>
      </w:r>
    </w:p>
    <w:p w:rsidR="00CF546E" w:rsidRDefault="00CF546E" w:rsidP="004C608D"/>
    <w:p w:rsidR="004C608D" w:rsidRDefault="004C608D" w:rsidP="004C608D">
      <w:r w:rsidRPr="001C6D25">
        <w:rPr>
          <w:b/>
        </w:rPr>
        <w:t>ISPS</w:t>
      </w:r>
      <w:r>
        <w:t xml:space="preserve"> </w:t>
      </w:r>
      <w:r w:rsidRPr="001C6D25">
        <w:rPr>
          <w:b/>
        </w:rPr>
        <w:t>That Include Employment</w:t>
      </w:r>
      <w:r>
        <w:t xml:space="preserve">: Part of this review is to determine if the expectation that individuals in the target population are offered employment as the first option by Case Managers and their teams during the individual planning process in which they discuss and develop employment goals. I have reviewed a random sample of ISPs. I requested the list of all individuals in the following groups who are part of the target population:  individuals already in Individual Employment (IE), Group Supported Employment (GSE) or Pre-Vocational Services who had an annual ISP meeting during the reporting period. Lists were provided to me from the five regions and I randomly selected a total of twenty-four individuals. I requested the most recent ISP, vocational assessments and any relevant progress notes. I received documents for twenty-two of the twenty-four individuals I requested but I could not open one person’s file.  </w:t>
      </w:r>
    </w:p>
    <w:p w:rsidR="004C608D" w:rsidRDefault="004C608D" w:rsidP="004C608D"/>
    <w:p w:rsidR="004C608D" w:rsidRDefault="004C608D" w:rsidP="004C608D">
      <w:r>
        <w:t>The purpose of reviewing these plans is to provide a sense of the DBHDS’ progress in meeting the requirement of the Settlement Agreement to offer members of the class employment as the first option for day services using the person-centered planning process. The following are the indicators to make this determination:</w:t>
      </w:r>
    </w:p>
    <w:p w:rsidR="004C608D" w:rsidRDefault="004C608D" w:rsidP="004C608D">
      <w:pPr>
        <w:pStyle w:val="ListParagraph"/>
      </w:pPr>
      <w:r>
        <w:t>1.Has the Case Manager and planning team discussed the availability of employment supports with the person and the guardian?</w:t>
      </w:r>
    </w:p>
    <w:p w:rsidR="004C608D" w:rsidRDefault="004C608D" w:rsidP="004C608D">
      <w:pPr>
        <w:pStyle w:val="ListParagraph"/>
      </w:pPr>
      <w:r>
        <w:t>2.Has the Case Manager determined the individual’s interest in employment</w:t>
      </w:r>
    </w:p>
    <w:p w:rsidR="004C608D" w:rsidRDefault="004C608D" w:rsidP="004C608D">
      <w:pPr>
        <w:pStyle w:val="ListParagraph"/>
      </w:pPr>
      <w:r>
        <w:t>and asked what type of job he or she would prefer or choose?</w:t>
      </w:r>
    </w:p>
    <w:p w:rsidR="004C608D" w:rsidRDefault="004C608D" w:rsidP="004C608D">
      <w:pPr>
        <w:pStyle w:val="ListParagraph"/>
      </w:pPr>
      <w:r>
        <w:t>3.Are there one or more employment goals that are related to the person’s interests and will assist the person to achieve independent community-based employment?</w:t>
      </w:r>
    </w:p>
    <w:p w:rsidR="004C608D" w:rsidRDefault="004C608D" w:rsidP="004C608D">
      <w:pPr>
        <w:pStyle w:val="ListParagraph"/>
      </w:pPr>
      <w:r>
        <w:t>4. Has there been a discussion of the initial steps the team needs to take to assist the person to become employed?</w:t>
      </w:r>
    </w:p>
    <w:p w:rsidR="004C608D" w:rsidRDefault="004C608D" w:rsidP="004C608D">
      <w:pPr>
        <w:pStyle w:val="ListParagraph"/>
      </w:pPr>
      <w:r>
        <w:t>5.Has a vocational assessment been requested and conducted if the individual, guardian or team recommends it?</w:t>
      </w:r>
    </w:p>
    <w:p w:rsidR="004C608D" w:rsidRDefault="004C608D" w:rsidP="004C608D">
      <w:pPr>
        <w:pStyle w:val="ListParagraph"/>
      </w:pPr>
      <w:r>
        <w:t>6.Has the Case Manager made referrals to employment service providers if the individual is interested in supported employment?</w:t>
      </w:r>
    </w:p>
    <w:p w:rsidR="004C608D" w:rsidRDefault="004C608D" w:rsidP="004C608D"/>
    <w:p w:rsidR="004C608D" w:rsidRDefault="004C608D" w:rsidP="004C608D">
      <w:r>
        <w:t xml:space="preserve">I reviewed the records provided. In some cases they were not complete especially regarding the vocational assessment. This was a similar issue in the Fall 2014 review. I reviewed a total of twenty-one individuals including: seven in pre-vocational services, two in ISE and twelve in GSE. The summary of the answers to the questions is provided in </w:t>
      </w:r>
      <w:r w:rsidRPr="0018796A">
        <w:rPr>
          <w:i/>
        </w:rPr>
        <w:t>Table 2</w:t>
      </w:r>
      <w:r>
        <w:t xml:space="preserve"> on page 21. Out of the entire group Case Managers have discussed the availability of individual employment supports with only five of the twenty-one individuals. Case Managers learned of the individual’s interest in working for seven of the individuals but pursued a discussion about the type of job the individual might want with only four of the individuals. Vocational assessments were only present or referred to for six individuals. There was no discussion about the initial steps to be taken to assist the person to be employed with anyone in pre-vocational services or with any individuals in GSE settings.  No one was referred for individual employment even those with a strong interest.</w:t>
      </w:r>
    </w:p>
    <w:p w:rsidR="004C608D" w:rsidRDefault="004C608D" w:rsidP="004C608D"/>
    <w:p w:rsidR="004C608D" w:rsidRDefault="004C608D" w:rsidP="004C608D">
      <w:r>
        <w:t xml:space="preserve">Some additional themes emerge from the individual reviews.  When the person is asked about their preferences and interests in work there does not appear to be a detailed discussion, any real probing nor does it naturally lead to a discussion of the steps the team should take to assist the individual to prepare for and find employment. This is consistent with my review of eighteen records during the Fall 2014 Review. Individuals state they “like to work” or “like to earn money”. Often the conversation stops at that point or if it continues is not documents in the ISP. When individuals say they are satisfied with what they are doing there is no discussion about what they like about their job or task and to what types of employment these interests and satisfaction may lead. </w:t>
      </w:r>
    </w:p>
    <w:p w:rsidR="004C608D" w:rsidRDefault="004C608D" w:rsidP="004C608D"/>
    <w:p w:rsidR="004C608D" w:rsidRDefault="004C608D" w:rsidP="004C608D">
      <w:r>
        <w:t xml:space="preserve">The CSBs by contract are to report on the engagement of the Case Managers with individuals regarding employment opportunities and employment planning. The Performance Contract with the CSBs has been modified for FY15 and 16 to more specifically require reporting. The contract’s Exhibit B- Performance Measures require the CSB to report quarterly regarding the discussion of integrated community based employment during the ISP meetings and those who have employment related goals in their ISPs.  The DBHDS Semi-Annual Report on Employment includes a section entitled Tracking Employment First Conversations. DBHDS reports on data from the CSBs for the time period 7/1/14-12/31/14. There were a total of 4848 adults whose case managers conducted annual ISP meetings or updates between 7/1/14 and 12/31/14. The report indicates that the case managers discussed integrated community-based employment and that 1526 have employment or employment related goals in their ISPs.  This results in a statewide average of 77% having an employment discussion and 31.5% having an employment or an employment related goal. </w:t>
      </w:r>
    </w:p>
    <w:p w:rsidR="004C608D" w:rsidRDefault="004C608D" w:rsidP="004C608D"/>
    <w:p w:rsidR="004C608D" w:rsidRDefault="004C608D" w:rsidP="004C608D">
      <w:r>
        <w:t>My findings concur with individuals having a discussion about their employment interests (31.5%% from CSB reports and 33% from my individual reviews). My findings vary considerably from the CSB reporting regarding the discussion of employment. I reviewed the records to determine if there was documentation of an actual discussion of the employment first initiative and the state’s efforts to provide individuals with the opportunities to seek and find employment for suitable wages. I found this evidence in only 24% of the records reviewed and this included two individuals who were already employed. If there was only a discussion of the individual’s current work situation and satisfaction with it and the individual was in a pre-vocational program or GSE, I did not determine this met the expectation that DBHDS has set for the CSBs and their Case Managers.</w:t>
      </w:r>
    </w:p>
    <w:p w:rsidR="004C608D" w:rsidRDefault="004C608D" w:rsidP="004C608D"/>
    <w:p w:rsidR="004C608D" w:rsidRDefault="004C608D" w:rsidP="004C608D">
      <w:r>
        <w:t xml:space="preserve">DBHDS is requiring a new format for the ISP that is to be implemented with plans developed or revised after April 1, 2015. Training if CSB staff and providers has been initiated. The format places greater emphasis on employment and should guide the discussion between Case Managers, individuals, families, and other team members. I would expect to see an improvement next fall in the individual reviews of employment. </w:t>
      </w:r>
    </w:p>
    <w:p w:rsidR="004C608D" w:rsidRDefault="004C608D" w:rsidP="004C608D"/>
    <w:p w:rsidR="004C608D" w:rsidRDefault="004C608D" w:rsidP="004C608D"/>
    <w:p w:rsidR="004C608D" w:rsidRDefault="004C608D" w:rsidP="004C608D">
      <w:pPr>
        <w:rPr>
          <w:b/>
        </w:rPr>
      </w:pPr>
      <w:r>
        <w:rPr>
          <w:b/>
        </w:rPr>
        <w:t>TABLE 2 SUMMARY OF INDIVIDUAL REVIEWS FOR EMPLOYMENT</w:t>
      </w:r>
    </w:p>
    <w:p w:rsidR="004C608D" w:rsidRPr="0044046E" w:rsidRDefault="004C608D" w:rsidP="004C608D">
      <w:pPr>
        <w:rPr>
          <w:b/>
          <w:i/>
        </w:rPr>
      </w:pPr>
      <w:r w:rsidRPr="0044046E">
        <w:rPr>
          <w:b/>
          <w:i/>
        </w:rPr>
        <w:t>Number of Indicators met by program category and overall percentage</w:t>
      </w:r>
    </w:p>
    <w:tbl>
      <w:tblPr>
        <w:tblStyle w:val="TableGrid"/>
        <w:tblW w:w="0" w:type="auto"/>
        <w:tblLook w:val="00A0"/>
      </w:tblPr>
      <w:tblGrid>
        <w:gridCol w:w="1893"/>
        <w:gridCol w:w="1894"/>
        <w:gridCol w:w="1893"/>
        <w:gridCol w:w="1894"/>
        <w:gridCol w:w="1894"/>
      </w:tblGrid>
      <w:tr w:rsidR="004C608D" w:rsidTr="004C608D">
        <w:tc>
          <w:tcPr>
            <w:tcW w:w="1893" w:type="dxa"/>
            <w:vAlign w:val="center"/>
          </w:tcPr>
          <w:p w:rsidR="004C608D" w:rsidRDefault="004C608D" w:rsidP="004C608D">
            <w:pPr>
              <w:jc w:val="center"/>
              <w:rPr>
                <w:b/>
              </w:rPr>
            </w:pPr>
            <w:r>
              <w:rPr>
                <w:b/>
              </w:rPr>
              <w:t>Question</w:t>
            </w:r>
          </w:p>
        </w:tc>
        <w:tc>
          <w:tcPr>
            <w:tcW w:w="1894" w:type="dxa"/>
            <w:vAlign w:val="center"/>
          </w:tcPr>
          <w:p w:rsidR="004C608D" w:rsidRDefault="004C608D" w:rsidP="004C608D">
            <w:pPr>
              <w:jc w:val="center"/>
              <w:rPr>
                <w:b/>
              </w:rPr>
            </w:pPr>
            <w:r>
              <w:rPr>
                <w:b/>
              </w:rPr>
              <w:t>Pre-voc</w:t>
            </w:r>
          </w:p>
        </w:tc>
        <w:tc>
          <w:tcPr>
            <w:tcW w:w="1893" w:type="dxa"/>
            <w:vAlign w:val="center"/>
          </w:tcPr>
          <w:p w:rsidR="004C608D" w:rsidRDefault="004C608D" w:rsidP="004C608D">
            <w:pPr>
              <w:jc w:val="center"/>
              <w:rPr>
                <w:b/>
              </w:rPr>
            </w:pPr>
            <w:r>
              <w:rPr>
                <w:b/>
              </w:rPr>
              <w:t>GSE</w:t>
            </w:r>
          </w:p>
        </w:tc>
        <w:tc>
          <w:tcPr>
            <w:tcW w:w="1894" w:type="dxa"/>
            <w:vAlign w:val="center"/>
          </w:tcPr>
          <w:p w:rsidR="004C608D" w:rsidRDefault="004C608D" w:rsidP="004C608D">
            <w:pPr>
              <w:jc w:val="center"/>
              <w:rPr>
                <w:b/>
              </w:rPr>
            </w:pPr>
          </w:p>
          <w:p w:rsidR="004C608D" w:rsidRDefault="004C608D" w:rsidP="004C608D">
            <w:pPr>
              <w:jc w:val="center"/>
              <w:rPr>
                <w:b/>
              </w:rPr>
            </w:pPr>
            <w:r>
              <w:rPr>
                <w:b/>
              </w:rPr>
              <w:t>ISE</w:t>
            </w:r>
          </w:p>
          <w:p w:rsidR="004C608D" w:rsidRDefault="004C608D" w:rsidP="004C608D">
            <w:pPr>
              <w:jc w:val="center"/>
              <w:rPr>
                <w:b/>
              </w:rPr>
            </w:pPr>
          </w:p>
        </w:tc>
        <w:tc>
          <w:tcPr>
            <w:tcW w:w="1894" w:type="dxa"/>
            <w:vAlign w:val="center"/>
          </w:tcPr>
          <w:p w:rsidR="004C608D" w:rsidRDefault="004C608D" w:rsidP="004C608D">
            <w:pPr>
              <w:jc w:val="center"/>
              <w:rPr>
                <w:b/>
              </w:rPr>
            </w:pPr>
            <w:r>
              <w:rPr>
                <w:b/>
              </w:rPr>
              <w:t>% MET</w:t>
            </w:r>
          </w:p>
        </w:tc>
      </w:tr>
      <w:tr w:rsidR="004C608D" w:rsidTr="00AA08BE">
        <w:tc>
          <w:tcPr>
            <w:tcW w:w="1893" w:type="dxa"/>
            <w:vAlign w:val="center"/>
          </w:tcPr>
          <w:p w:rsidR="004C608D" w:rsidRDefault="004C608D" w:rsidP="004C608D">
            <w:pPr>
              <w:rPr>
                <w:b/>
              </w:rPr>
            </w:pPr>
            <w:r>
              <w:rPr>
                <w:b/>
              </w:rPr>
              <w:t>Employment discussed</w:t>
            </w:r>
          </w:p>
        </w:tc>
        <w:tc>
          <w:tcPr>
            <w:tcW w:w="1894" w:type="dxa"/>
            <w:vAlign w:val="center"/>
          </w:tcPr>
          <w:p w:rsidR="004C608D" w:rsidRPr="00AA08BE" w:rsidRDefault="004C608D" w:rsidP="004C608D">
            <w:pPr>
              <w:jc w:val="center"/>
              <w:rPr>
                <w:sz w:val="22"/>
                <w:szCs w:val="22"/>
              </w:rPr>
            </w:pPr>
            <w:r w:rsidRPr="00AA08BE">
              <w:rPr>
                <w:sz w:val="22"/>
                <w:szCs w:val="22"/>
              </w:rPr>
              <w:t>0</w:t>
            </w:r>
          </w:p>
        </w:tc>
        <w:tc>
          <w:tcPr>
            <w:tcW w:w="1893" w:type="dxa"/>
            <w:vAlign w:val="center"/>
          </w:tcPr>
          <w:p w:rsidR="004C608D" w:rsidRPr="00AA08BE" w:rsidRDefault="004C608D" w:rsidP="004C608D">
            <w:pPr>
              <w:jc w:val="center"/>
              <w:rPr>
                <w:sz w:val="22"/>
                <w:szCs w:val="22"/>
              </w:rPr>
            </w:pPr>
            <w:r w:rsidRPr="00AA08BE">
              <w:rPr>
                <w:sz w:val="22"/>
                <w:szCs w:val="22"/>
              </w:rPr>
              <w:t>3</w:t>
            </w:r>
          </w:p>
        </w:tc>
        <w:tc>
          <w:tcPr>
            <w:tcW w:w="1894" w:type="dxa"/>
            <w:vAlign w:val="center"/>
          </w:tcPr>
          <w:p w:rsidR="004C608D" w:rsidRPr="00AA08BE" w:rsidRDefault="004C608D" w:rsidP="004C608D">
            <w:pPr>
              <w:jc w:val="center"/>
              <w:rPr>
                <w:sz w:val="22"/>
                <w:szCs w:val="22"/>
              </w:rPr>
            </w:pPr>
            <w:r w:rsidRPr="00AA08BE">
              <w:rPr>
                <w:sz w:val="22"/>
                <w:szCs w:val="22"/>
              </w:rPr>
              <w:t>2</w:t>
            </w:r>
          </w:p>
        </w:tc>
        <w:tc>
          <w:tcPr>
            <w:tcW w:w="1894" w:type="dxa"/>
            <w:vAlign w:val="center"/>
          </w:tcPr>
          <w:p w:rsidR="004C608D" w:rsidRDefault="004C608D" w:rsidP="004C608D">
            <w:pPr>
              <w:jc w:val="center"/>
              <w:rPr>
                <w:b/>
              </w:rPr>
            </w:pPr>
            <w:r>
              <w:rPr>
                <w:b/>
              </w:rPr>
              <w:t>24%</w:t>
            </w:r>
          </w:p>
        </w:tc>
      </w:tr>
      <w:tr w:rsidR="004C608D" w:rsidTr="00AA08BE">
        <w:tc>
          <w:tcPr>
            <w:tcW w:w="1893" w:type="dxa"/>
            <w:vAlign w:val="center"/>
          </w:tcPr>
          <w:p w:rsidR="004C608D" w:rsidRDefault="004C608D" w:rsidP="004C608D">
            <w:pPr>
              <w:rPr>
                <w:b/>
              </w:rPr>
            </w:pPr>
            <w:r>
              <w:rPr>
                <w:b/>
              </w:rPr>
              <w:t>Employment interests</w:t>
            </w:r>
          </w:p>
        </w:tc>
        <w:tc>
          <w:tcPr>
            <w:tcW w:w="1894" w:type="dxa"/>
            <w:vAlign w:val="center"/>
          </w:tcPr>
          <w:p w:rsidR="004C608D" w:rsidRPr="00AA08BE" w:rsidRDefault="004C608D" w:rsidP="004C608D">
            <w:pPr>
              <w:jc w:val="center"/>
              <w:rPr>
                <w:sz w:val="22"/>
                <w:szCs w:val="22"/>
              </w:rPr>
            </w:pPr>
            <w:r w:rsidRPr="00AA08BE">
              <w:rPr>
                <w:sz w:val="22"/>
                <w:szCs w:val="22"/>
              </w:rPr>
              <w:t>0</w:t>
            </w:r>
          </w:p>
        </w:tc>
        <w:tc>
          <w:tcPr>
            <w:tcW w:w="1893" w:type="dxa"/>
            <w:vAlign w:val="center"/>
          </w:tcPr>
          <w:p w:rsidR="004C608D" w:rsidRPr="00AA08BE" w:rsidRDefault="004C608D" w:rsidP="004C608D">
            <w:pPr>
              <w:jc w:val="center"/>
              <w:rPr>
                <w:sz w:val="22"/>
                <w:szCs w:val="22"/>
              </w:rPr>
            </w:pPr>
            <w:r w:rsidRPr="00AA08BE">
              <w:rPr>
                <w:sz w:val="22"/>
                <w:szCs w:val="22"/>
              </w:rPr>
              <w:t>5</w:t>
            </w:r>
          </w:p>
        </w:tc>
        <w:tc>
          <w:tcPr>
            <w:tcW w:w="1894" w:type="dxa"/>
            <w:vAlign w:val="center"/>
          </w:tcPr>
          <w:p w:rsidR="004C608D" w:rsidRPr="00AA08BE" w:rsidRDefault="004C608D" w:rsidP="004C608D">
            <w:pPr>
              <w:jc w:val="center"/>
              <w:rPr>
                <w:sz w:val="22"/>
                <w:szCs w:val="22"/>
              </w:rPr>
            </w:pPr>
            <w:r w:rsidRPr="00AA08BE">
              <w:rPr>
                <w:sz w:val="22"/>
                <w:szCs w:val="22"/>
              </w:rPr>
              <w:t>2</w:t>
            </w:r>
          </w:p>
        </w:tc>
        <w:tc>
          <w:tcPr>
            <w:tcW w:w="1894" w:type="dxa"/>
            <w:vAlign w:val="center"/>
          </w:tcPr>
          <w:p w:rsidR="004C608D" w:rsidRDefault="004C608D" w:rsidP="004C608D">
            <w:pPr>
              <w:jc w:val="center"/>
              <w:rPr>
                <w:b/>
              </w:rPr>
            </w:pPr>
            <w:r>
              <w:rPr>
                <w:b/>
              </w:rPr>
              <w:t>33%</w:t>
            </w:r>
          </w:p>
        </w:tc>
      </w:tr>
      <w:tr w:rsidR="004C608D" w:rsidTr="00AA08BE">
        <w:tc>
          <w:tcPr>
            <w:tcW w:w="1893" w:type="dxa"/>
            <w:vAlign w:val="center"/>
          </w:tcPr>
          <w:p w:rsidR="004C608D" w:rsidRDefault="004C608D" w:rsidP="004C608D">
            <w:pPr>
              <w:rPr>
                <w:b/>
              </w:rPr>
            </w:pPr>
            <w:r>
              <w:rPr>
                <w:b/>
              </w:rPr>
              <w:t>Employment Goal</w:t>
            </w:r>
          </w:p>
        </w:tc>
        <w:tc>
          <w:tcPr>
            <w:tcW w:w="1894" w:type="dxa"/>
            <w:vAlign w:val="center"/>
          </w:tcPr>
          <w:p w:rsidR="004C608D" w:rsidRPr="00AA08BE" w:rsidRDefault="004C608D" w:rsidP="004C608D">
            <w:pPr>
              <w:jc w:val="center"/>
              <w:rPr>
                <w:sz w:val="22"/>
                <w:szCs w:val="22"/>
              </w:rPr>
            </w:pPr>
            <w:r w:rsidRPr="00AA08BE">
              <w:rPr>
                <w:sz w:val="22"/>
                <w:szCs w:val="22"/>
              </w:rPr>
              <w:t>2</w:t>
            </w:r>
          </w:p>
        </w:tc>
        <w:tc>
          <w:tcPr>
            <w:tcW w:w="1893" w:type="dxa"/>
            <w:vAlign w:val="center"/>
          </w:tcPr>
          <w:p w:rsidR="004C608D" w:rsidRPr="00AA08BE" w:rsidRDefault="004C608D" w:rsidP="004C608D">
            <w:pPr>
              <w:jc w:val="center"/>
              <w:rPr>
                <w:sz w:val="22"/>
                <w:szCs w:val="22"/>
              </w:rPr>
            </w:pPr>
            <w:r w:rsidRPr="00AA08BE">
              <w:rPr>
                <w:sz w:val="22"/>
                <w:szCs w:val="22"/>
              </w:rPr>
              <w:t>3</w:t>
            </w:r>
          </w:p>
        </w:tc>
        <w:tc>
          <w:tcPr>
            <w:tcW w:w="1894" w:type="dxa"/>
            <w:vAlign w:val="center"/>
          </w:tcPr>
          <w:p w:rsidR="004C608D" w:rsidRPr="00AA08BE" w:rsidRDefault="004C608D" w:rsidP="004C608D">
            <w:pPr>
              <w:jc w:val="center"/>
              <w:rPr>
                <w:sz w:val="22"/>
                <w:szCs w:val="22"/>
              </w:rPr>
            </w:pPr>
            <w:r w:rsidRPr="00AA08BE">
              <w:rPr>
                <w:sz w:val="22"/>
                <w:szCs w:val="22"/>
              </w:rPr>
              <w:t>2</w:t>
            </w:r>
          </w:p>
        </w:tc>
        <w:tc>
          <w:tcPr>
            <w:tcW w:w="1894" w:type="dxa"/>
            <w:vAlign w:val="center"/>
          </w:tcPr>
          <w:p w:rsidR="004C608D" w:rsidRDefault="004C608D" w:rsidP="004C608D">
            <w:pPr>
              <w:jc w:val="center"/>
              <w:rPr>
                <w:b/>
              </w:rPr>
            </w:pPr>
            <w:r>
              <w:rPr>
                <w:b/>
              </w:rPr>
              <w:t>33%</w:t>
            </w:r>
          </w:p>
        </w:tc>
      </w:tr>
      <w:tr w:rsidR="004C608D" w:rsidTr="00165A2F">
        <w:trPr>
          <w:trHeight w:val="530"/>
        </w:trPr>
        <w:tc>
          <w:tcPr>
            <w:tcW w:w="1893" w:type="dxa"/>
            <w:vAlign w:val="center"/>
          </w:tcPr>
          <w:p w:rsidR="004C608D" w:rsidRDefault="004C608D" w:rsidP="004C608D">
            <w:pPr>
              <w:rPr>
                <w:b/>
              </w:rPr>
            </w:pPr>
            <w:r>
              <w:rPr>
                <w:b/>
              </w:rPr>
              <w:t>Initial Steps</w:t>
            </w:r>
          </w:p>
        </w:tc>
        <w:tc>
          <w:tcPr>
            <w:tcW w:w="1894" w:type="dxa"/>
            <w:vAlign w:val="center"/>
          </w:tcPr>
          <w:p w:rsidR="004C608D" w:rsidRPr="00AA08BE" w:rsidRDefault="004C608D" w:rsidP="004C608D">
            <w:pPr>
              <w:jc w:val="center"/>
              <w:rPr>
                <w:sz w:val="22"/>
                <w:szCs w:val="22"/>
              </w:rPr>
            </w:pPr>
            <w:r w:rsidRPr="00AA08BE">
              <w:rPr>
                <w:sz w:val="22"/>
                <w:szCs w:val="22"/>
              </w:rPr>
              <w:t>0</w:t>
            </w:r>
          </w:p>
        </w:tc>
        <w:tc>
          <w:tcPr>
            <w:tcW w:w="1893" w:type="dxa"/>
            <w:vAlign w:val="center"/>
          </w:tcPr>
          <w:p w:rsidR="004C608D" w:rsidRPr="00AA08BE" w:rsidRDefault="004C608D" w:rsidP="004C608D">
            <w:pPr>
              <w:jc w:val="center"/>
              <w:rPr>
                <w:sz w:val="22"/>
                <w:szCs w:val="22"/>
              </w:rPr>
            </w:pPr>
            <w:r w:rsidRPr="00AA08BE">
              <w:rPr>
                <w:sz w:val="22"/>
                <w:szCs w:val="22"/>
              </w:rPr>
              <w:t>0</w:t>
            </w:r>
          </w:p>
        </w:tc>
        <w:tc>
          <w:tcPr>
            <w:tcW w:w="1894" w:type="dxa"/>
            <w:vAlign w:val="center"/>
          </w:tcPr>
          <w:p w:rsidR="004C608D" w:rsidRPr="00AA08BE" w:rsidRDefault="004C608D" w:rsidP="004C608D">
            <w:pPr>
              <w:jc w:val="center"/>
              <w:rPr>
                <w:sz w:val="22"/>
                <w:szCs w:val="22"/>
              </w:rPr>
            </w:pPr>
            <w:r w:rsidRPr="00AA08BE">
              <w:rPr>
                <w:sz w:val="22"/>
                <w:szCs w:val="22"/>
              </w:rPr>
              <w:t>N/A</w:t>
            </w:r>
          </w:p>
        </w:tc>
        <w:tc>
          <w:tcPr>
            <w:tcW w:w="1894" w:type="dxa"/>
            <w:vAlign w:val="center"/>
          </w:tcPr>
          <w:p w:rsidR="004C608D" w:rsidRDefault="00165A2F" w:rsidP="00165A2F">
            <w:pPr>
              <w:jc w:val="center"/>
              <w:rPr>
                <w:b/>
              </w:rPr>
            </w:pPr>
            <w:r>
              <w:rPr>
                <w:b/>
              </w:rPr>
              <w:t>0%</w:t>
            </w:r>
          </w:p>
        </w:tc>
      </w:tr>
      <w:tr w:rsidR="004C608D" w:rsidTr="00AA08BE">
        <w:tc>
          <w:tcPr>
            <w:tcW w:w="1893" w:type="dxa"/>
            <w:vAlign w:val="center"/>
          </w:tcPr>
          <w:p w:rsidR="004C608D" w:rsidRDefault="004C608D" w:rsidP="004C608D">
            <w:pPr>
              <w:rPr>
                <w:b/>
              </w:rPr>
            </w:pPr>
            <w:r>
              <w:rPr>
                <w:b/>
              </w:rPr>
              <w:t>Vocational assessment</w:t>
            </w:r>
          </w:p>
        </w:tc>
        <w:tc>
          <w:tcPr>
            <w:tcW w:w="1894" w:type="dxa"/>
            <w:vAlign w:val="center"/>
          </w:tcPr>
          <w:p w:rsidR="004C608D" w:rsidRPr="00AA08BE" w:rsidRDefault="004C608D" w:rsidP="004C608D">
            <w:pPr>
              <w:jc w:val="center"/>
              <w:rPr>
                <w:sz w:val="22"/>
                <w:szCs w:val="22"/>
              </w:rPr>
            </w:pPr>
            <w:r w:rsidRPr="00AA08BE">
              <w:rPr>
                <w:sz w:val="22"/>
                <w:szCs w:val="22"/>
              </w:rPr>
              <w:t>1</w:t>
            </w:r>
          </w:p>
        </w:tc>
        <w:tc>
          <w:tcPr>
            <w:tcW w:w="1893" w:type="dxa"/>
            <w:vAlign w:val="center"/>
          </w:tcPr>
          <w:p w:rsidR="004C608D" w:rsidRPr="00AA08BE" w:rsidRDefault="004C608D" w:rsidP="004C608D">
            <w:pPr>
              <w:jc w:val="center"/>
              <w:rPr>
                <w:sz w:val="22"/>
                <w:szCs w:val="22"/>
              </w:rPr>
            </w:pPr>
            <w:r w:rsidRPr="00AA08BE">
              <w:rPr>
                <w:sz w:val="22"/>
                <w:szCs w:val="22"/>
              </w:rPr>
              <w:t>4</w:t>
            </w:r>
          </w:p>
        </w:tc>
        <w:tc>
          <w:tcPr>
            <w:tcW w:w="1894" w:type="dxa"/>
            <w:vAlign w:val="center"/>
          </w:tcPr>
          <w:p w:rsidR="004C608D" w:rsidRPr="00AA08BE" w:rsidRDefault="004C608D" w:rsidP="004C608D">
            <w:pPr>
              <w:jc w:val="center"/>
              <w:rPr>
                <w:sz w:val="22"/>
                <w:szCs w:val="22"/>
              </w:rPr>
            </w:pPr>
            <w:r w:rsidRPr="00AA08BE">
              <w:rPr>
                <w:sz w:val="22"/>
                <w:szCs w:val="22"/>
              </w:rPr>
              <w:t>1</w:t>
            </w:r>
          </w:p>
        </w:tc>
        <w:tc>
          <w:tcPr>
            <w:tcW w:w="1894" w:type="dxa"/>
            <w:vAlign w:val="center"/>
          </w:tcPr>
          <w:p w:rsidR="004C608D" w:rsidRDefault="004C608D" w:rsidP="004C608D">
            <w:pPr>
              <w:jc w:val="center"/>
              <w:rPr>
                <w:b/>
              </w:rPr>
            </w:pPr>
            <w:r>
              <w:rPr>
                <w:b/>
              </w:rPr>
              <w:t>29%</w:t>
            </w:r>
          </w:p>
        </w:tc>
      </w:tr>
      <w:tr w:rsidR="004C608D" w:rsidTr="00AA08BE">
        <w:tc>
          <w:tcPr>
            <w:tcW w:w="1893" w:type="dxa"/>
            <w:vAlign w:val="center"/>
          </w:tcPr>
          <w:p w:rsidR="004C608D" w:rsidRDefault="004C608D" w:rsidP="004C608D">
            <w:pPr>
              <w:rPr>
                <w:b/>
              </w:rPr>
            </w:pPr>
            <w:r>
              <w:rPr>
                <w:b/>
              </w:rPr>
              <w:t>Referral for ISE</w:t>
            </w:r>
          </w:p>
        </w:tc>
        <w:tc>
          <w:tcPr>
            <w:tcW w:w="1894" w:type="dxa"/>
            <w:vAlign w:val="center"/>
          </w:tcPr>
          <w:p w:rsidR="004C608D" w:rsidRPr="00AA08BE" w:rsidRDefault="004C608D" w:rsidP="004C608D">
            <w:pPr>
              <w:jc w:val="center"/>
              <w:rPr>
                <w:sz w:val="22"/>
                <w:szCs w:val="22"/>
              </w:rPr>
            </w:pPr>
            <w:r w:rsidRPr="00AA08BE">
              <w:rPr>
                <w:sz w:val="22"/>
                <w:szCs w:val="22"/>
              </w:rPr>
              <w:t>0</w:t>
            </w:r>
          </w:p>
        </w:tc>
        <w:tc>
          <w:tcPr>
            <w:tcW w:w="1893" w:type="dxa"/>
            <w:vAlign w:val="center"/>
          </w:tcPr>
          <w:p w:rsidR="004C608D" w:rsidRPr="00AA08BE" w:rsidRDefault="004C608D" w:rsidP="004C608D">
            <w:pPr>
              <w:jc w:val="center"/>
              <w:rPr>
                <w:sz w:val="22"/>
                <w:szCs w:val="22"/>
              </w:rPr>
            </w:pPr>
            <w:r w:rsidRPr="00AA08BE">
              <w:rPr>
                <w:sz w:val="22"/>
                <w:szCs w:val="22"/>
              </w:rPr>
              <w:t>0</w:t>
            </w:r>
          </w:p>
        </w:tc>
        <w:tc>
          <w:tcPr>
            <w:tcW w:w="1894" w:type="dxa"/>
            <w:vAlign w:val="center"/>
          </w:tcPr>
          <w:p w:rsidR="004C608D" w:rsidRPr="00AA08BE" w:rsidRDefault="004C608D" w:rsidP="004C608D">
            <w:pPr>
              <w:jc w:val="center"/>
              <w:rPr>
                <w:sz w:val="22"/>
                <w:szCs w:val="22"/>
              </w:rPr>
            </w:pPr>
            <w:r w:rsidRPr="00AA08BE">
              <w:rPr>
                <w:sz w:val="22"/>
                <w:szCs w:val="22"/>
              </w:rPr>
              <w:t>N/A</w:t>
            </w:r>
          </w:p>
        </w:tc>
        <w:tc>
          <w:tcPr>
            <w:tcW w:w="1894" w:type="dxa"/>
            <w:vAlign w:val="center"/>
          </w:tcPr>
          <w:p w:rsidR="004C608D" w:rsidRDefault="004C608D" w:rsidP="004C608D">
            <w:pPr>
              <w:jc w:val="center"/>
              <w:rPr>
                <w:b/>
              </w:rPr>
            </w:pPr>
            <w:r>
              <w:rPr>
                <w:b/>
              </w:rPr>
              <w:t>0%</w:t>
            </w:r>
          </w:p>
        </w:tc>
      </w:tr>
    </w:tbl>
    <w:p w:rsidR="004C608D" w:rsidRDefault="004C608D" w:rsidP="004C608D">
      <w:pPr>
        <w:rPr>
          <w:b/>
        </w:rPr>
      </w:pPr>
      <w:r>
        <w:rPr>
          <w:b/>
        </w:rPr>
        <w:t xml:space="preserve">                                                                                                                                                                                                                                                                                                                                                                                                                                                                                                                                                                                                                                                                                                                                                                                                                                                                                       </w:t>
      </w:r>
    </w:p>
    <w:p w:rsidR="004C608D" w:rsidRDefault="004C608D" w:rsidP="004C608D">
      <w:pPr>
        <w:rPr>
          <w:b/>
        </w:rPr>
      </w:pPr>
    </w:p>
    <w:p w:rsidR="00AA08BE" w:rsidRDefault="00AA08BE" w:rsidP="004C608D">
      <w:pPr>
        <w:rPr>
          <w:b/>
        </w:rPr>
      </w:pPr>
    </w:p>
    <w:p w:rsidR="004C608D" w:rsidRDefault="004C608D" w:rsidP="004C608D">
      <w:r w:rsidRPr="00D567EC">
        <w:rPr>
          <w:b/>
        </w:rPr>
        <w:t>Conclusion and Recommendations</w:t>
      </w:r>
      <w:r>
        <w:t xml:space="preserve">: The Settlement Agreement requires the Commonwealth to ensure that individuals in the target population are offered employment as the first day service option. DBHDS includes this requirement expectation in its Performance Contracts with the CSBs for FY2015 and FY2016. My review of this small sample of ISPs continues to validate the need for more formal communication and direction to the CSBs from DBHDS.  </w:t>
      </w:r>
    </w:p>
    <w:p w:rsidR="00EA3536" w:rsidRDefault="00EA3536" w:rsidP="004C608D"/>
    <w:p w:rsidR="004C608D" w:rsidRDefault="004C608D" w:rsidP="004C608D">
      <w:r>
        <w:t xml:space="preserve"> The CSB Performance Contract for FY2015 and 2016 requires the CSBs to monitor and collect data and report on these performance measures: </w:t>
      </w:r>
    </w:p>
    <w:p w:rsidR="004C608D" w:rsidRDefault="004C608D" w:rsidP="00EA3536">
      <w:pPr>
        <w:ind w:left="450"/>
      </w:pPr>
      <w:r>
        <w:t>I.C. The number of employment aged adults receiving case management services from the CSB whose case manager discussed integrated, community-based employment with them during their annual ISP meeting, and</w:t>
      </w:r>
    </w:p>
    <w:p w:rsidR="00EA3536" w:rsidRDefault="004C608D" w:rsidP="00EA3536">
      <w:pPr>
        <w:ind w:left="450"/>
      </w:pPr>
      <w:r>
        <w:t xml:space="preserve">I.D. The percentage of employment-aged adults in the DOJ Settlement Agreement population whose ISP included employment-related or employment-readiness goals. </w:t>
      </w:r>
    </w:p>
    <w:p w:rsidR="00EA3536" w:rsidRDefault="00EA3536" w:rsidP="004C608D"/>
    <w:p w:rsidR="004C608D" w:rsidRDefault="004C608D" w:rsidP="004C608D">
      <w:r>
        <w:t xml:space="preserve">From the small sample of ISPs I reviewed there is no indication that CSBs are in compliance with the Performance Contract regarding employment planning for members of the target population or with the requirement to include employment related or readiness goals in the ISP. </w:t>
      </w:r>
    </w:p>
    <w:p w:rsidR="005F01A1" w:rsidRDefault="005F01A1" w:rsidP="004C608D"/>
    <w:p w:rsidR="004C608D" w:rsidRDefault="004C608D" w:rsidP="004C608D">
      <w:r>
        <w:t>CSBs are now reporting on these measures and DBHDS provides a summary of the findings by region in its most recent Semi-Annual Report on Employment.  This is positive but DBHDS still needs to report on how they will analyze, monitor and follow up on these reports.  What will be done to assist the CSBs to meet these expectations? What is the benchmark that DBHDS will use to determine compliance and progress? They should issue guidance to the CSBs on the expectations of these two contractual provisions so there is accurate and consistent reporting.</w:t>
      </w:r>
    </w:p>
    <w:p w:rsidR="004C608D" w:rsidRDefault="004C608D" w:rsidP="004C608D"/>
    <w:p w:rsidR="004C608D" w:rsidRPr="008268BD" w:rsidRDefault="004C608D" w:rsidP="004C608D">
      <w:pPr>
        <w:rPr>
          <w:b/>
          <w:i/>
        </w:rPr>
      </w:pPr>
      <w:r>
        <w:t xml:space="preserve">The DBHDS still does not monitor the employment first requirements with DD Case Managers. They should develop a similar review process for the ISPs that DD Case Managers develop for individuals with DD who are not served by the CSBs. </w:t>
      </w:r>
    </w:p>
    <w:p w:rsidR="004C608D" w:rsidRPr="00F5743B" w:rsidRDefault="004C608D" w:rsidP="004C608D">
      <w:r>
        <w:t xml:space="preserve">The Commonwealth is not in compliance with </w:t>
      </w:r>
      <w:r w:rsidRPr="00F5743B">
        <w:rPr>
          <w:i/>
        </w:rPr>
        <w:t>III.C.7.b.</w:t>
      </w:r>
      <w:r>
        <w:rPr>
          <w:i/>
        </w:rPr>
        <w:t xml:space="preserve"> </w:t>
      </w:r>
      <w:r>
        <w:t>It is positive that DBHDS has revised the performance reporting requirements for the CSBs for the current and future fiscal years and that the CSBs have started to report this information. Quarterly reporting by the CSBs will provide DBHDS with accurate and current information about the implementation of Employment First. DBHDS needs to establish its own quality review protocol to analyze these reports and have a follow up strategy to work with any CSBs that are not in compliance. Corrective strategies should be required and there need to be consequences if progress is not achieved.  DBHDS needs to set the same requirements for DD case Managers and monitor these expectations.</w:t>
      </w:r>
    </w:p>
    <w:p w:rsidR="004C608D" w:rsidRDefault="004C608D" w:rsidP="004C608D"/>
    <w:p w:rsidR="004C608D" w:rsidRDefault="004C608D" w:rsidP="004C608D">
      <w:r w:rsidRPr="00D567EC">
        <w:rPr>
          <w:b/>
        </w:rPr>
        <w:t>The Engagement of the SELN</w:t>
      </w:r>
      <w:r>
        <w:t xml:space="preserve">: The VA SELN Advisory Group was established to assist DBHDS to develop its strategic employment plan, set the targets for the number of individuals in the target population who will be employed, and provide ongoing assistance to implement the plan and the Employment First Policy. This past year input was sought from SELN AG members to revise the definitions of employment services and to define integrated day opportunities which are also required as part of the Settlement Agreement. The VA SELN AG includes self-advocates, family members, advocacy organization members, CSB staff, state agency administrators, educators, and employment providers. The VA SELN AG was established in 2008. </w:t>
      </w:r>
    </w:p>
    <w:p w:rsidR="004C608D" w:rsidRDefault="004C608D" w:rsidP="004C608D"/>
    <w:p w:rsidR="004C608D" w:rsidRDefault="004C608D" w:rsidP="004C608D">
      <w:r>
        <w:t>I interviewed nine members as part of the review of Employment Services in 2013 and the Spring of 2014.The interviews included representatives of CSBs, educators, families, advocates, self advocates, state agencies and providers. In light of concerns interviewees expressed about the operation of the SELN and the group’s ability to have meaningful input into the employment planning process I chose to interview as many of the same members as were available for this review.  I asked all of the members interviewed about the operation of the SELN and the opportunity for input into the DBHDS planning process; target setting; training for case managers; the development of the plan for integrated day services; and outreach to the DD community.</w:t>
      </w:r>
    </w:p>
    <w:p w:rsidR="004C608D" w:rsidRDefault="004C608D" w:rsidP="004C608D"/>
    <w:p w:rsidR="004C608D" w:rsidRDefault="004C608D" w:rsidP="004C608D">
      <w:pPr>
        <w:rPr>
          <w:szCs w:val="28"/>
        </w:rPr>
      </w:pPr>
      <w:r>
        <w:rPr>
          <w:szCs w:val="28"/>
        </w:rPr>
        <w:t>The SELN AG</w:t>
      </w:r>
      <w:r w:rsidRPr="00C256E6">
        <w:rPr>
          <w:szCs w:val="28"/>
        </w:rPr>
        <w:t xml:space="preserve"> remains active in its advisory capacity to DBHDS regarding its employment initiative. I have reviewed the minutes of the meetings of the SELN and its sub-committees and interviewed nine members who represent a variety of stakeholders.</w:t>
      </w:r>
    </w:p>
    <w:p w:rsidR="004C608D" w:rsidRDefault="004C608D" w:rsidP="004C608D">
      <w:pPr>
        <w:rPr>
          <w:szCs w:val="28"/>
        </w:rPr>
      </w:pPr>
    </w:p>
    <w:p w:rsidR="004C608D" w:rsidRPr="003E57D1" w:rsidRDefault="004C608D" w:rsidP="004C608D">
      <w:pPr>
        <w:rPr>
          <w:szCs w:val="28"/>
        </w:rPr>
      </w:pPr>
      <w:r>
        <w:rPr>
          <w:szCs w:val="28"/>
        </w:rPr>
        <w:t xml:space="preserve">1.  </w:t>
      </w:r>
      <w:r w:rsidRPr="003E57D1">
        <w:rPr>
          <w:b/>
          <w:i/>
          <w:szCs w:val="28"/>
        </w:rPr>
        <w:t>The operation of the SELN and the opportunity afforded its members to have</w:t>
      </w:r>
      <w:r w:rsidRPr="003E57D1">
        <w:rPr>
          <w:szCs w:val="28"/>
        </w:rPr>
        <w:t xml:space="preserve"> </w:t>
      </w:r>
      <w:r w:rsidRPr="003E57D1">
        <w:rPr>
          <w:b/>
          <w:i/>
          <w:szCs w:val="28"/>
        </w:rPr>
        <w:t>input into the planning process.</w:t>
      </w:r>
      <w:r w:rsidRPr="003E57D1">
        <w:rPr>
          <w:szCs w:val="28"/>
        </w:rPr>
        <w:t xml:space="preserve"> All members who I interviewed report that the SELN is making progress. They appreciate the organization and structure that Heather Norton and Adam Sass have brought to the committee during the past six months.  Members report that the SELN is better able to adhere to it agenda and move discussions so that actions can be discussed and implemented. The SELN now has several sub-committees to address membership; data; policy; interagency efforts; and education and training. There is better notice of the meetings and members appreciate the efforts by the SELN chairpersons to use Doodle to efficiently determine dates and times of committee meetings. Members would appreciate receiving documents that relate to the agendas ahead of time to provide ample time to review these materials prior to the meetings.</w:t>
      </w:r>
    </w:p>
    <w:p w:rsidR="004C608D" w:rsidRPr="003E57D1" w:rsidRDefault="004C608D" w:rsidP="004C608D">
      <w:pPr>
        <w:ind w:left="360"/>
        <w:rPr>
          <w:szCs w:val="28"/>
        </w:rPr>
      </w:pPr>
    </w:p>
    <w:p w:rsidR="004C608D" w:rsidRPr="00C256E6" w:rsidRDefault="004C608D" w:rsidP="004C608D">
      <w:pPr>
        <w:rPr>
          <w:szCs w:val="28"/>
        </w:rPr>
      </w:pPr>
      <w:r w:rsidRPr="00C256E6">
        <w:rPr>
          <w:szCs w:val="28"/>
        </w:rPr>
        <w:t>The Membership Committee has recommended that the SELN reduce its membership. This is being done to achieve a better balance in the number of representatives for all stakeholder groups. DBHDS is sending a letter to each stakeholder group that is represented on the SELN to request that each group select a member who will serve a its representative on the SELN. DBHDS anticipates having this membership change in place by the end of the summer. The members that I interviewed believe this will bring greater consistency to attendance and will support the SELN’s efforts to focus on recommendations and decision-making. The DBHDS has made a commitment to use the Family and Youth Summits to continue to seek input f</w:t>
      </w:r>
      <w:r>
        <w:rPr>
          <w:szCs w:val="28"/>
        </w:rPr>
        <w:t>rom broader stakeholder groups.</w:t>
      </w:r>
    </w:p>
    <w:p w:rsidR="004C608D" w:rsidRPr="00C256E6" w:rsidRDefault="004C608D" w:rsidP="004C608D">
      <w:pPr>
        <w:rPr>
          <w:szCs w:val="28"/>
        </w:rPr>
      </w:pPr>
      <w:r w:rsidRPr="00C256E6">
        <w:rPr>
          <w:szCs w:val="28"/>
        </w:rPr>
        <w:t xml:space="preserve">The members are also positive about the </w:t>
      </w:r>
      <w:r>
        <w:rPr>
          <w:szCs w:val="28"/>
        </w:rPr>
        <w:t>department’s decision to create a separate advisory group</w:t>
      </w:r>
      <w:r w:rsidRPr="00C256E6">
        <w:rPr>
          <w:szCs w:val="28"/>
        </w:rPr>
        <w:t xml:space="preserve"> to address the plan for integrated day activities/integrated community.  This committee has also formed sub-committees to address policy and education and training issues relate to this initiative. </w:t>
      </w:r>
    </w:p>
    <w:p w:rsidR="004C608D" w:rsidRDefault="004C608D" w:rsidP="004C608D">
      <w:pPr>
        <w:ind w:left="360"/>
        <w:rPr>
          <w:szCs w:val="28"/>
        </w:rPr>
      </w:pPr>
    </w:p>
    <w:p w:rsidR="005F01A1" w:rsidRDefault="005F01A1" w:rsidP="004C608D">
      <w:pPr>
        <w:ind w:left="360"/>
        <w:rPr>
          <w:szCs w:val="28"/>
        </w:rPr>
      </w:pPr>
    </w:p>
    <w:p w:rsidR="005F01A1" w:rsidRPr="00C256E6" w:rsidRDefault="005F01A1" w:rsidP="004C608D">
      <w:pPr>
        <w:ind w:left="360"/>
        <w:rPr>
          <w:szCs w:val="28"/>
        </w:rPr>
      </w:pPr>
    </w:p>
    <w:p w:rsidR="004C608D" w:rsidRDefault="004C608D" w:rsidP="004C608D">
      <w:pPr>
        <w:rPr>
          <w:szCs w:val="28"/>
        </w:rPr>
      </w:pPr>
      <w:r>
        <w:rPr>
          <w:szCs w:val="28"/>
        </w:rPr>
        <w:t xml:space="preserve">2. </w:t>
      </w:r>
      <w:r w:rsidRPr="00E551DC">
        <w:rPr>
          <w:b/>
          <w:i/>
          <w:szCs w:val="28"/>
        </w:rPr>
        <w:t>Improving employment data</w:t>
      </w:r>
      <w:r>
        <w:rPr>
          <w:szCs w:val="28"/>
        </w:rPr>
        <w:t>-</w:t>
      </w:r>
      <w:r w:rsidRPr="00C256E6">
        <w:rPr>
          <w:szCs w:val="28"/>
        </w:rPr>
        <w:t>The SELN</w:t>
      </w:r>
      <w:r>
        <w:rPr>
          <w:szCs w:val="28"/>
        </w:rPr>
        <w:t xml:space="preserve"> AG</w:t>
      </w:r>
      <w:r w:rsidRPr="00C256E6">
        <w:rPr>
          <w:szCs w:val="28"/>
        </w:rPr>
        <w:t xml:space="preserve"> has had significant input into the department’s initiative to improve the data it has about employment including wage and hour data that has been unavailable during earlier </w:t>
      </w:r>
      <w:r>
        <w:rPr>
          <w:szCs w:val="28"/>
        </w:rPr>
        <w:t xml:space="preserve">reporting periods. The Data </w:t>
      </w:r>
      <w:r w:rsidRPr="00C256E6">
        <w:rPr>
          <w:szCs w:val="28"/>
        </w:rPr>
        <w:t xml:space="preserve">Committee had input into the survey that was sent to the Employment Service Organizations (ESO) and have made suggestions to improve the clarity of future surveys. Generally members report this is a good first step to improve the employment data that can be used to review and revise employment targets. </w:t>
      </w:r>
    </w:p>
    <w:p w:rsidR="004C608D" w:rsidRPr="00C256E6" w:rsidRDefault="004C608D" w:rsidP="004C608D">
      <w:pPr>
        <w:rPr>
          <w:szCs w:val="28"/>
        </w:rPr>
      </w:pPr>
    </w:p>
    <w:p w:rsidR="004C608D" w:rsidRDefault="004C608D" w:rsidP="004C608D">
      <w:pPr>
        <w:rPr>
          <w:szCs w:val="28"/>
        </w:rPr>
      </w:pPr>
      <w:r w:rsidRPr="00C256E6">
        <w:rPr>
          <w:szCs w:val="28"/>
        </w:rPr>
        <w:t xml:space="preserve">Members are concerned that DBHDS only </w:t>
      </w:r>
      <w:r w:rsidR="00FA3197">
        <w:rPr>
          <w:szCs w:val="28"/>
        </w:rPr>
        <w:t>received completed survey from 2</w:t>
      </w:r>
      <w:r w:rsidRPr="00C256E6">
        <w:rPr>
          <w:szCs w:val="28"/>
        </w:rPr>
        <w:t>8 of ESO providers.  The members support the department’s plan use DARS data in addition to the information provided by the ESOs. There is also data required by contract with the ESOs that the CSBs collect on hours worked and wages paid. The members want the data to be as accurate as possible and used for to make policy and strategic planni</w:t>
      </w:r>
      <w:r>
        <w:rPr>
          <w:szCs w:val="28"/>
        </w:rPr>
        <w:t>ng decisions. This issue is</w:t>
      </w:r>
      <w:r w:rsidRPr="00C256E6">
        <w:rPr>
          <w:szCs w:val="28"/>
        </w:rPr>
        <w:t xml:space="preserve"> discussed in greater detail under the section of the report on the employment targets. </w:t>
      </w:r>
    </w:p>
    <w:p w:rsidR="004C608D" w:rsidRPr="00C256E6" w:rsidRDefault="004C608D" w:rsidP="004C608D">
      <w:pPr>
        <w:rPr>
          <w:szCs w:val="28"/>
        </w:rPr>
      </w:pPr>
    </w:p>
    <w:p w:rsidR="004C608D" w:rsidRDefault="004C608D" w:rsidP="004C608D">
      <w:pPr>
        <w:rPr>
          <w:szCs w:val="28"/>
        </w:rPr>
      </w:pPr>
      <w:r>
        <w:rPr>
          <w:szCs w:val="28"/>
        </w:rPr>
        <w:t xml:space="preserve">3. </w:t>
      </w:r>
      <w:r w:rsidRPr="00E551DC">
        <w:rPr>
          <w:b/>
          <w:i/>
          <w:szCs w:val="28"/>
        </w:rPr>
        <w:t>Employment Service Planning</w:t>
      </w:r>
      <w:r>
        <w:rPr>
          <w:szCs w:val="28"/>
        </w:rPr>
        <w:t xml:space="preserve">- </w:t>
      </w:r>
      <w:r w:rsidRPr="00C256E6">
        <w:rPr>
          <w:szCs w:val="28"/>
        </w:rPr>
        <w:t>The DBHDS has made a decision to include the consumer –directed option for integrated day activities. The department has not yet decided if this option will be available to individuals who pursue employment under the HCBS waiver. The members who support this believe it provides individuals with another avenue to become successfully employed. Members who do not support it worry about the qualifications of the staff and their ability to complete the documentation that is required under the waivers. I recommend that the State seriously consider including consumer directed employment in its waiver amendments. It provides individuals with appropriate choice and much greater flexibility to use their networks to secure employment. Other states include this option for their waiver participants. DBHDS could adopt and/or revise the approaches used by other states to set staff qualifications and to define documentation requirements.</w:t>
      </w:r>
    </w:p>
    <w:p w:rsidR="004C608D" w:rsidRPr="00C256E6" w:rsidRDefault="004C608D" w:rsidP="004C608D">
      <w:pPr>
        <w:rPr>
          <w:szCs w:val="28"/>
        </w:rPr>
      </w:pPr>
    </w:p>
    <w:p w:rsidR="004C608D" w:rsidRDefault="004C608D" w:rsidP="004C608D">
      <w:pPr>
        <w:rPr>
          <w:szCs w:val="28"/>
        </w:rPr>
      </w:pPr>
      <w:r w:rsidRPr="00C256E6">
        <w:rPr>
          <w:szCs w:val="28"/>
        </w:rPr>
        <w:t>Some members express concern about the current transition from DARS to HCBS waiver service authorization and view it as an impediment to ESOs supporting individual supported employment. DARS and DBHDS worked together to develop a smooth transition process that would engage the Case Manager but that would be seamless for the individual and family. It is reported that DARS cannot currently fund additional individuals with I/DD for employment support. DARS is the first and primary fund</w:t>
      </w:r>
      <w:r>
        <w:rPr>
          <w:szCs w:val="28"/>
        </w:rPr>
        <w:t xml:space="preserve">er for employment support and is </w:t>
      </w:r>
      <w:r w:rsidRPr="00C256E6">
        <w:rPr>
          <w:szCs w:val="28"/>
        </w:rPr>
        <w:t>expected to provide the funding needed initially for assessment, job development and job placement. Individuals transition to the HCBS waivers after the funding from DARS is fully utilized. SELN members express concern that ESOs will not use waiver slots first for individuals who cannot receive DRS funding because they are concerned that they will be expected to pay back these funds when they are audited. There is also the unanswered question of the provider’s responsibility when DARS funding is once again available. Providers are uncertain if they are expected to transfer the individual from HCBS funding to DARS funding and then back to HCBS funding when the DARS funding has been exhausted. This is a potential barrier to em</w:t>
      </w:r>
      <w:r>
        <w:rPr>
          <w:szCs w:val="28"/>
        </w:rPr>
        <w:t xml:space="preserve">ployment for individuals with ID or </w:t>
      </w:r>
      <w:r w:rsidRPr="00C256E6">
        <w:rPr>
          <w:szCs w:val="28"/>
        </w:rPr>
        <w:t>DD.  DBHDS is addressing this on an individual basis when it is brought to the department’s attention. However, it needs to be addressed in policy and procedure so that all ESOs can address the funding issue in a consistent manner.</w:t>
      </w:r>
    </w:p>
    <w:p w:rsidR="004C608D" w:rsidRDefault="004C608D" w:rsidP="004C608D">
      <w:pPr>
        <w:rPr>
          <w:szCs w:val="28"/>
        </w:rPr>
      </w:pPr>
    </w:p>
    <w:p w:rsidR="005F01A1" w:rsidRPr="00C256E6" w:rsidRDefault="005F01A1" w:rsidP="004C608D">
      <w:pPr>
        <w:rPr>
          <w:szCs w:val="28"/>
        </w:rPr>
      </w:pPr>
    </w:p>
    <w:p w:rsidR="004C608D" w:rsidRDefault="004C608D" w:rsidP="004C608D">
      <w:pPr>
        <w:rPr>
          <w:szCs w:val="28"/>
        </w:rPr>
      </w:pPr>
      <w:r>
        <w:rPr>
          <w:szCs w:val="28"/>
        </w:rPr>
        <w:t>4</w:t>
      </w:r>
      <w:r w:rsidRPr="00E551DC">
        <w:rPr>
          <w:b/>
          <w:i/>
          <w:szCs w:val="28"/>
        </w:rPr>
        <w:t>. Training</w:t>
      </w:r>
      <w:r>
        <w:rPr>
          <w:szCs w:val="28"/>
        </w:rPr>
        <w:t>-</w:t>
      </w:r>
      <w:r w:rsidRPr="00C256E6">
        <w:rPr>
          <w:szCs w:val="28"/>
        </w:rPr>
        <w:t>The DBHDS recently provided training to provider</w:t>
      </w:r>
      <w:r>
        <w:rPr>
          <w:szCs w:val="28"/>
        </w:rPr>
        <w:t>s</w:t>
      </w:r>
      <w:r w:rsidRPr="00C256E6">
        <w:rPr>
          <w:szCs w:val="28"/>
        </w:rPr>
        <w:t xml:space="preserve"> in the new format of the ISP, which among other changes highlights employment to support Case Managers to engage in a meaningful discussion about employment as part of the annual planning process. This is a positive step.  There was concern that in parts of the state the training was only offered a week before the CSBs and providers were expected to use the new ISP format. </w:t>
      </w:r>
    </w:p>
    <w:p w:rsidR="004C608D" w:rsidRDefault="004C608D" w:rsidP="004C608D">
      <w:pPr>
        <w:rPr>
          <w:szCs w:val="28"/>
        </w:rPr>
      </w:pPr>
    </w:p>
    <w:p w:rsidR="004C608D" w:rsidRDefault="004C608D" w:rsidP="004C608D">
      <w:pPr>
        <w:rPr>
          <w:szCs w:val="28"/>
        </w:rPr>
      </w:pPr>
      <w:r>
        <w:rPr>
          <w:szCs w:val="28"/>
        </w:rPr>
        <w:t xml:space="preserve">5. </w:t>
      </w:r>
      <w:r w:rsidRPr="00B33A82">
        <w:rPr>
          <w:b/>
          <w:i/>
          <w:szCs w:val="28"/>
        </w:rPr>
        <w:t>Reviewing the</w:t>
      </w:r>
      <w:r>
        <w:rPr>
          <w:b/>
          <w:i/>
          <w:szCs w:val="28"/>
        </w:rPr>
        <w:t xml:space="preserve"> employment</w:t>
      </w:r>
      <w:r w:rsidRPr="00B33A82">
        <w:rPr>
          <w:b/>
          <w:i/>
          <w:szCs w:val="28"/>
        </w:rPr>
        <w:t xml:space="preserve"> targets and waiver redesign plans</w:t>
      </w:r>
      <w:r>
        <w:rPr>
          <w:szCs w:val="28"/>
        </w:rPr>
        <w:t>- SELN AG members report that DBHDS has not engaged them in the review of the targets. DBHDS plans to review this information with the SELN AG during April. SELN members have provided input to the WDAC regarding the definitions of services related to employment. There is a crossover of some members but SELN members report that DBHDS does not formally share information on the progress of the WDAC or if the committee has adopted the recommendations of the SELN.</w:t>
      </w:r>
    </w:p>
    <w:p w:rsidR="004C608D" w:rsidRDefault="004C608D" w:rsidP="004C608D">
      <w:pPr>
        <w:rPr>
          <w:szCs w:val="28"/>
        </w:rPr>
      </w:pPr>
    </w:p>
    <w:p w:rsidR="004C608D" w:rsidRDefault="004C608D" w:rsidP="004C608D">
      <w:pPr>
        <w:rPr>
          <w:szCs w:val="28"/>
        </w:rPr>
      </w:pPr>
      <w:r>
        <w:rPr>
          <w:szCs w:val="28"/>
        </w:rPr>
        <w:t xml:space="preserve">6. </w:t>
      </w:r>
      <w:r w:rsidRPr="00B33A82">
        <w:rPr>
          <w:b/>
          <w:i/>
          <w:szCs w:val="28"/>
        </w:rPr>
        <w:t>Review of the Community Engagement Plan</w:t>
      </w:r>
      <w:r>
        <w:rPr>
          <w:szCs w:val="28"/>
        </w:rPr>
        <w:t>- DBHDS has created a second Advisory Committee to provide recommendations regarding the implementation of the plan for Community Engagement Activities. All members who were interviewed think this is a positive step. The AG now has input into policy and education and training. This allows the SELN AG to devote its time and energies to the implementation of the Employment Plan.</w:t>
      </w:r>
    </w:p>
    <w:p w:rsidR="004C608D" w:rsidRDefault="004C608D" w:rsidP="004C608D">
      <w:pPr>
        <w:rPr>
          <w:szCs w:val="28"/>
        </w:rPr>
      </w:pPr>
    </w:p>
    <w:p w:rsidR="004C608D" w:rsidRPr="00C256E6" w:rsidRDefault="004C608D" w:rsidP="004C608D">
      <w:pPr>
        <w:rPr>
          <w:szCs w:val="28"/>
        </w:rPr>
      </w:pPr>
      <w:r>
        <w:rPr>
          <w:szCs w:val="28"/>
        </w:rPr>
        <w:t>7</w:t>
      </w:r>
      <w:r w:rsidRPr="00B02D45">
        <w:rPr>
          <w:b/>
          <w:i/>
          <w:szCs w:val="28"/>
        </w:rPr>
        <w:t>. Interagency Initiatives</w:t>
      </w:r>
      <w:r>
        <w:rPr>
          <w:szCs w:val="28"/>
        </w:rPr>
        <w:t>- the initiative shared in the last report has not been planned. This was to create collaboration among DARS, DOE and DBHDS to work with a rural school district to improve the employment readiness of its students. DARS is hiring an employment specialist in northern Virginia using funding from DOE to expand support for school to work transitions. DBHDS is transferring four positions to DARS for the same purpose but these will require new funding before employees can be hired.</w:t>
      </w:r>
    </w:p>
    <w:p w:rsidR="004C608D" w:rsidRPr="00C256E6" w:rsidRDefault="004C608D" w:rsidP="004C608D">
      <w:pPr>
        <w:ind w:left="360"/>
        <w:rPr>
          <w:szCs w:val="28"/>
        </w:rPr>
      </w:pPr>
    </w:p>
    <w:p w:rsidR="004C608D" w:rsidRPr="00C256E6" w:rsidRDefault="004C608D" w:rsidP="004C608D">
      <w:pPr>
        <w:rPr>
          <w:szCs w:val="28"/>
        </w:rPr>
      </w:pPr>
      <w:r>
        <w:rPr>
          <w:szCs w:val="28"/>
        </w:rPr>
        <w:t>Members have made specific</w:t>
      </w:r>
      <w:r w:rsidRPr="00C256E6">
        <w:rPr>
          <w:szCs w:val="28"/>
        </w:rPr>
        <w:t xml:space="preserve"> suggestions for DBHDS to consider:</w:t>
      </w:r>
    </w:p>
    <w:p w:rsidR="004C608D" w:rsidRPr="00C256E6" w:rsidRDefault="004C608D" w:rsidP="004C608D">
      <w:pPr>
        <w:pStyle w:val="ListParagraph"/>
        <w:numPr>
          <w:ilvl w:val="0"/>
          <w:numId w:val="62"/>
        </w:numPr>
        <w:rPr>
          <w:szCs w:val="28"/>
        </w:rPr>
      </w:pPr>
      <w:r w:rsidRPr="00C256E6">
        <w:rPr>
          <w:szCs w:val="28"/>
        </w:rPr>
        <w:t>Consider regional planning resources for the employment initiative so that plans and implementation reflect local differences that impact employment</w:t>
      </w:r>
    </w:p>
    <w:p w:rsidR="004C608D" w:rsidRPr="00C256E6" w:rsidRDefault="004C608D" w:rsidP="004C608D">
      <w:pPr>
        <w:pStyle w:val="ListParagraph"/>
        <w:numPr>
          <w:ilvl w:val="0"/>
          <w:numId w:val="62"/>
        </w:numPr>
        <w:rPr>
          <w:szCs w:val="28"/>
        </w:rPr>
      </w:pPr>
      <w:r w:rsidRPr="00C256E6">
        <w:rPr>
          <w:szCs w:val="28"/>
        </w:rPr>
        <w:t>Apprise the SELN and stakeholders of the changes being proposed for the waiver amendments and the status of submitting the waiver amendments to CMS for review and approval. The SELN has had limited input into the waiver redesign and has not received consistent feedback on</w:t>
      </w:r>
      <w:r>
        <w:rPr>
          <w:szCs w:val="28"/>
        </w:rPr>
        <w:t xml:space="preserve"> the WDAC’s</w:t>
      </w:r>
      <w:r w:rsidRPr="00C256E6">
        <w:rPr>
          <w:szCs w:val="28"/>
        </w:rPr>
        <w:t xml:space="preserve"> consideration of these ideas</w:t>
      </w:r>
    </w:p>
    <w:p w:rsidR="004C608D" w:rsidRPr="00C256E6" w:rsidRDefault="004C608D" w:rsidP="004C608D">
      <w:pPr>
        <w:pStyle w:val="ListParagraph"/>
        <w:numPr>
          <w:ilvl w:val="0"/>
          <w:numId w:val="62"/>
        </w:numPr>
        <w:rPr>
          <w:szCs w:val="28"/>
        </w:rPr>
      </w:pPr>
      <w:r w:rsidRPr="00C256E6">
        <w:rPr>
          <w:szCs w:val="28"/>
        </w:rPr>
        <w:t>Initiate conversations with providers to direct them on the preparation to become community integration providers building on the successful general presentations that DBHDS staff have made</w:t>
      </w:r>
    </w:p>
    <w:p w:rsidR="004C608D" w:rsidRDefault="004C608D" w:rsidP="004C608D"/>
    <w:p w:rsidR="004C608D" w:rsidRDefault="004C608D" w:rsidP="004C608D">
      <w:r w:rsidRPr="002529DF">
        <w:rPr>
          <w:b/>
          <w:i/>
        </w:rPr>
        <w:t>Conclusion and Recommendation</w:t>
      </w:r>
      <w:r>
        <w:t xml:space="preserve">: The DBHDS continues to meet the Settlement Agreement requirements to maintain the SELN, but is not in overall compliance with </w:t>
      </w:r>
      <w:r w:rsidRPr="008D7E26">
        <w:rPr>
          <w:i/>
        </w:rPr>
        <w:t>III.C.7.b.</w:t>
      </w:r>
      <w:r>
        <w:t xml:space="preserve"> It does not comply with the requirements to share employment as the first day service option using a person-centered process nor is it yet holding the CSBs accountable for the related requirements in the CSB Performance Contract. It is positive that the DBHDS is strengthening the requirements of the CSBs to offer employment first to participants but it needs to demonstrate that it is holding them accountable to be fully compliant. </w:t>
      </w:r>
    </w:p>
    <w:p w:rsidR="004C608D" w:rsidRDefault="004C608D" w:rsidP="004C608D">
      <w:pPr>
        <w:rPr>
          <w:sz w:val="28"/>
          <w:szCs w:val="28"/>
        </w:rPr>
      </w:pPr>
      <w:r>
        <w:t xml:space="preserve">The DBHDS should continue to work collaboratively with the SELN, implement the new membership plan, and include them in a more meaningful way in the review of reaching the employment targets and other employment initiatives. </w:t>
      </w:r>
    </w:p>
    <w:p w:rsidR="004C608D" w:rsidRDefault="004C608D" w:rsidP="004C608D"/>
    <w:p w:rsidR="004C608D" w:rsidRDefault="004C608D" w:rsidP="004C608D">
      <w:pPr>
        <w:rPr>
          <w:b/>
        </w:rPr>
      </w:pPr>
      <w:r w:rsidRPr="008D6704">
        <w:rPr>
          <w:b/>
        </w:rPr>
        <w:t>VII. SUMMARY</w:t>
      </w:r>
    </w:p>
    <w:p w:rsidR="004C608D" w:rsidRDefault="004C608D" w:rsidP="004C608D">
      <w:r>
        <w:t>DBHDS is in compliance with Sections:</w:t>
      </w:r>
    </w:p>
    <w:p w:rsidR="004C608D" w:rsidRDefault="004C608D" w:rsidP="004C608D">
      <w:pPr>
        <w:rPr>
          <w:i/>
        </w:rPr>
      </w:pPr>
      <w:r w:rsidRPr="008D6704">
        <w:rPr>
          <w:i/>
        </w:rPr>
        <w:t>III.</w:t>
      </w:r>
      <w:r>
        <w:rPr>
          <w:i/>
        </w:rPr>
        <w:t>C.</w:t>
      </w:r>
      <w:r w:rsidRPr="008D6704">
        <w:rPr>
          <w:i/>
        </w:rPr>
        <w:t>7</w:t>
      </w:r>
      <w:r>
        <w:rPr>
          <w:i/>
        </w:rPr>
        <w:t>.</w:t>
      </w:r>
      <w:r w:rsidRPr="008D6704">
        <w:rPr>
          <w:i/>
        </w:rPr>
        <w:t>b.i.A</w:t>
      </w:r>
    </w:p>
    <w:p w:rsidR="004C608D" w:rsidRDefault="004C608D" w:rsidP="004C608D">
      <w:pPr>
        <w:rPr>
          <w:i/>
        </w:rPr>
      </w:pPr>
      <w:r>
        <w:rPr>
          <w:i/>
        </w:rPr>
        <w:t>III.C.7.b</w:t>
      </w:r>
    </w:p>
    <w:p w:rsidR="004C608D" w:rsidRDefault="004C608D" w:rsidP="004C608D">
      <w:pPr>
        <w:rPr>
          <w:i/>
        </w:rPr>
      </w:pPr>
      <w:r>
        <w:rPr>
          <w:i/>
        </w:rPr>
        <w:t>III.C.7.c</w:t>
      </w:r>
    </w:p>
    <w:p w:rsidR="004C608D" w:rsidRDefault="004C608D" w:rsidP="004C608D">
      <w:pPr>
        <w:rPr>
          <w:i/>
        </w:rPr>
      </w:pPr>
      <w:r>
        <w:rPr>
          <w:i/>
        </w:rPr>
        <w:t>III.C.7.d</w:t>
      </w:r>
    </w:p>
    <w:p w:rsidR="004C608D" w:rsidRPr="008D6704" w:rsidRDefault="004C608D" w:rsidP="004C608D">
      <w:pPr>
        <w:rPr>
          <w:i/>
        </w:rPr>
      </w:pPr>
    </w:p>
    <w:p w:rsidR="004C608D" w:rsidRDefault="004C608D" w:rsidP="004C608D"/>
    <w:p w:rsidR="004C608D" w:rsidRDefault="004C608D" w:rsidP="004C608D">
      <w:r>
        <w:t>DBHDS is not in compliance with Sections:</w:t>
      </w:r>
    </w:p>
    <w:p w:rsidR="004C608D" w:rsidRPr="008D6704" w:rsidRDefault="004C608D" w:rsidP="004C608D">
      <w:pPr>
        <w:rPr>
          <w:i/>
        </w:rPr>
      </w:pPr>
      <w:r w:rsidRPr="008D6704">
        <w:rPr>
          <w:i/>
        </w:rPr>
        <w:t>III.</w:t>
      </w:r>
      <w:r>
        <w:rPr>
          <w:i/>
        </w:rPr>
        <w:t>C.</w:t>
      </w:r>
      <w:r w:rsidRPr="008D6704">
        <w:rPr>
          <w:i/>
        </w:rPr>
        <w:t>7.a</w:t>
      </w:r>
    </w:p>
    <w:p w:rsidR="004C608D" w:rsidRDefault="004C608D" w:rsidP="004C608D">
      <w:pPr>
        <w:rPr>
          <w:i/>
        </w:rPr>
      </w:pPr>
      <w:r w:rsidRPr="008D6704">
        <w:rPr>
          <w:i/>
        </w:rPr>
        <w:t>III.</w:t>
      </w:r>
      <w:r>
        <w:rPr>
          <w:i/>
        </w:rPr>
        <w:t>C.</w:t>
      </w:r>
      <w:r w:rsidRPr="008D6704">
        <w:rPr>
          <w:i/>
        </w:rPr>
        <w:t>7.b</w:t>
      </w:r>
    </w:p>
    <w:p w:rsidR="004C608D" w:rsidRDefault="004C608D" w:rsidP="004C608D">
      <w:pPr>
        <w:rPr>
          <w:i/>
        </w:rPr>
      </w:pPr>
      <w:r>
        <w:rPr>
          <w:i/>
        </w:rPr>
        <w:t>III.C.7.b.i.B.1.a, b, c, d, e</w:t>
      </w:r>
    </w:p>
    <w:p w:rsidR="004C608D" w:rsidRDefault="004C608D" w:rsidP="004C608D">
      <w:pPr>
        <w:rPr>
          <w:i/>
        </w:rPr>
      </w:pPr>
    </w:p>
    <w:p w:rsidR="004C608D" w:rsidRPr="00AE4597" w:rsidRDefault="004C608D" w:rsidP="004C608D">
      <w:r>
        <w:t>Compliance cannot be determined for Sections:</w:t>
      </w:r>
    </w:p>
    <w:p w:rsidR="004C608D" w:rsidRDefault="004C608D" w:rsidP="004C608D">
      <w:pPr>
        <w:rPr>
          <w:i/>
        </w:rPr>
      </w:pPr>
      <w:r w:rsidRPr="008D6704">
        <w:rPr>
          <w:i/>
        </w:rPr>
        <w:t>III.</w:t>
      </w:r>
      <w:r>
        <w:rPr>
          <w:i/>
        </w:rPr>
        <w:t>C.7.i.</w:t>
      </w:r>
      <w:r w:rsidRPr="008D6704">
        <w:rPr>
          <w:i/>
        </w:rPr>
        <w:t>B.2.a</w:t>
      </w:r>
      <w:r>
        <w:rPr>
          <w:i/>
        </w:rPr>
        <w:t>, b</w:t>
      </w:r>
    </w:p>
    <w:p w:rsidR="005F01A1" w:rsidRPr="008D6704" w:rsidRDefault="005F01A1" w:rsidP="004C608D">
      <w:pPr>
        <w:rPr>
          <w:i/>
        </w:rPr>
      </w:pPr>
    </w:p>
    <w:p w:rsidR="004C608D" w:rsidRDefault="004C608D" w:rsidP="004C608D">
      <w:r>
        <w:t>DBHDS has made significant gains during this reporting period in its data collection. It remains concerning that there is no availability of integrated day activities, Community Engagement, for individuals on the HCBS waivers.</w:t>
      </w:r>
    </w:p>
    <w:p w:rsidR="005F01A1" w:rsidRDefault="005F01A1" w:rsidP="004C608D"/>
    <w:p w:rsidR="004C608D" w:rsidRDefault="004C608D" w:rsidP="004C608D">
      <w:r>
        <w:t>I recommend that the Independent Reviewer consider if immediate action needs to be re</w:t>
      </w:r>
      <w:r w:rsidR="005F01A1">
        <w:t>quired of DBHDS by the Court to f</w:t>
      </w:r>
      <w:r>
        <w:t xml:space="preserve">inalize the implementation plan for Integrated Day Activities and </w:t>
      </w:r>
      <w:r w:rsidR="00BA02C5">
        <w:t xml:space="preserve">to </w:t>
      </w:r>
      <w:r>
        <w:t>provide these activities to some number of individuals using state funding until the new waiver is available.</w:t>
      </w:r>
    </w:p>
    <w:p w:rsidR="004C608D" w:rsidRDefault="004C608D" w:rsidP="004C608D">
      <w:pPr>
        <w:tabs>
          <w:tab w:val="left" w:pos="720"/>
        </w:tabs>
        <w:jc w:val="center"/>
      </w:pPr>
    </w:p>
    <w:p w:rsidR="004C608D" w:rsidRDefault="004C608D" w:rsidP="004C608D">
      <w:pPr>
        <w:tabs>
          <w:tab w:val="left" w:pos="720"/>
        </w:tabs>
        <w:jc w:val="center"/>
      </w:pPr>
    </w:p>
    <w:p w:rsidR="004C608D" w:rsidRDefault="004C608D" w:rsidP="004C608D">
      <w:pPr>
        <w:tabs>
          <w:tab w:val="left" w:pos="720"/>
        </w:tabs>
        <w:jc w:val="center"/>
      </w:pPr>
    </w:p>
    <w:p w:rsidR="004C608D" w:rsidRDefault="004C608D" w:rsidP="004C608D">
      <w:pPr>
        <w:tabs>
          <w:tab w:val="left" w:pos="720"/>
        </w:tabs>
        <w:jc w:val="center"/>
      </w:pPr>
    </w:p>
    <w:p w:rsidR="004C608D" w:rsidRDefault="004C608D" w:rsidP="004C608D">
      <w:pPr>
        <w:tabs>
          <w:tab w:val="left" w:pos="720"/>
        </w:tabs>
        <w:jc w:val="center"/>
      </w:pPr>
    </w:p>
    <w:p w:rsidR="004C608D" w:rsidRDefault="004C608D" w:rsidP="004C608D">
      <w:pPr>
        <w:tabs>
          <w:tab w:val="left" w:pos="720"/>
        </w:tabs>
        <w:jc w:val="cente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4F22CB" w:rsidRDefault="004F22CB"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BA02C5" w:rsidRDefault="00BA02C5" w:rsidP="004C608D">
      <w:pPr>
        <w:tabs>
          <w:tab w:val="left" w:pos="720"/>
        </w:tabs>
        <w:jc w:val="center"/>
        <w:rPr>
          <w:rFonts w:asciiTheme="minorHAnsi" w:hAnsiTheme="minorHAnsi" w:cs="Baskerville"/>
          <w:b/>
          <w:sz w:val="28"/>
          <w:szCs w:val="28"/>
          <w:u w:val="single"/>
        </w:rPr>
      </w:pPr>
    </w:p>
    <w:p w:rsidR="004C608D" w:rsidRPr="0075039E" w:rsidRDefault="004C608D" w:rsidP="004C608D">
      <w:pPr>
        <w:tabs>
          <w:tab w:val="left" w:pos="720"/>
        </w:tabs>
        <w:jc w:val="center"/>
      </w:pPr>
      <w:r>
        <w:rPr>
          <w:rFonts w:asciiTheme="minorHAnsi" w:hAnsiTheme="minorHAnsi" w:cs="Baskerville"/>
          <w:b/>
          <w:sz w:val="28"/>
          <w:szCs w:val="28"/>
          <w:u w:val="single"/>
        </w:rPr>
        <w:t xml:space="preserve">APPENDIX </w:t>
      </w:r>
      <w:r w:rsidR="00B2666B">
        <w:rPr>
          <w:rFonts w:asciiTheme="minorHAnsi" w:hAnsiTheme="minorHAnsi" w:cs="Baskerville"/>
          <w:b/>
          <w:sz w:val="28"/>
          <w:szCs w:val="28"/>
          <w:u w:val="single"/>
        </w:rPr>
        <w:t>E</w:t>
      </w:r>
    </w:p>
    <w:p w:rsidR="004C608D" w:rsidRDefault="004C608D" w:rsidP="004C608D">
      <w:pPr>
        <w:tabs>
          <w:tab w:val="left" w:pos="720"/>
          <w:tab w:val="center" w:pos="4752"/>
          <w:tab w:val="left" w:pos="7159"/>
        </w:tabs>
        <w:jc w:val="center"/>
        <w:rPr>
          <w:rFonts w:asciiTheme="minorHAnsi" w:hAnsiTheme="minorHAnsi"/>
          <w:b/>
          <w:sz w:val="28"/>
          <w:szCs w:val="28"/>
        </w:rPr>
      </w:pPr>
    </w:p>
    <w:p w:rsidR="004C608D" w:rsidRDefault="004C608D" w:rsidP="004C608D">
      <w:pPr>
        <w:tabs>
          <w:tab w:val="left" w:pos="720"/>
          <w:tab w:val="center" w:pos="4752"/>
          <w:tab w:val="left" w:pos="7159"/>
        </w:tabs>
        <w:jc w:val="center"/>
        <w:rPr>
          <w:rFonts w:asciiTheme="minorHAnsi" w:hAnsiTheme="minorHAnsi"/>
          <w:b/>
          <w:sz w:val="28"/>
          <w:szCs w:val="28"/>
        </w:rPr>
      </w:pPr>
    </w:p>
    <w:p w:rsidR="004C608D" w:rsidRDefault="004C608D" w:rsidP="004C608D">
      <w:pPr>
        <w:tabs>
          <w:tab w:val="left" w:pos="720"/>
          <w:tab w:val="center" w:pos="4752"/>
          <w:tab w:val="left" w:pos="7159"/>
        </w:tabs>
        <w:jc w:val="center"/>
        <w:rPr>
          <w:rFonts w:asciiTheme="minorHAnsi" w:hAnsiTheme="minorHAnsi"/>
          <w:b/>
          <w:sz w:val="28"/>
          <w:szCs w:val="28"/>
        </w:rPr>
      </w:pPr>
      <w:r>
        <w:rPr>
          <w:rFonts w:asciiTheme="minorHAnsi" w:hAnsiTheme="minorHAnsi"/>
          <w:b/>
          <w:sz w:val="28"/>
          <w:szCs w:val="28"/>
        </w:rPr>
        <w:t>INDIVIDUAL AND FAMILY SUPPORTS</w:t>
      </w:r>
    </w:p>
    <w:p w:rsidR="004C608D" w:rsidRPr="00125F80" w:rsidRDefault="004C608D" w:rsidP="004C608D">
      <w:pPr>
        <w:tabs>
          <w:tab w:val="left" w:pos="720"/>
          <w:tab w:val="center" w:pos="4752"/>
          <w:tab w:val="left" w:pos="7159"/>
        </w:tabs>
        <w:jc w:val="center"/>
        <w:rPr>
          <w:rFonts w:asciiTheme="minorHAnsi" w:hAnsiTheme="minorHAnsi" w:cs="Baskerville"/>
          <w:b/>
          <w:sz w:val="28"/>
          <w:szCs w:val="28"/>
        </w:rPr>
      </w:pPr>
    </w:p>
    <w:p w:rsidR="004C608D" w:rsidRDefault="004C608D" w:rsidP="004C608D">
      <w:pPr>
        <w:tabs>
          <w:tab w:val="left" w:pos="720"/>
          <w:tab w:val="center" w:pos="4752"/>
          <w:tab w:val="left" w:pos="7159"/>
        </w:tabs>
        <w:jc w:val="center"/>
        <w:rPr>
          <w:rFonts w:asciiTheme="minorHAnsi" w:hAnsiTheme="minorHAnsi" w:cs="Baskerville"/>
          <w:b/>
          <w:sz w:val="28"/>
          <w:szCs w:val="28"/>
        </w:rPr>
      </w:pPr>
      <w:r>
        <w:rPr>
          <w:rFonts w:asciiTheme="minorHAnsi" w:hAnsiTheme="minorHAnsi" w:cs="Baskerville"/>
          <w:b/>
          <w:sz w:val="28"/>
          <w:szCs w:val="28"/>
        </w:rPr>
        <w:t>and</w:t>
      </w:r>
    </w:p>
    <w:p w:rsidR="004C608D" w:rsidRDefault="004C608D" w:rsidP="004C608D">
      <w:pPr>
        <w:tabs>
          <w:tab w:val="left" w:pos="720"/>
          <w:tab w:val="center" w:pos="4752"/>
          <w:tab w:val="left" w:pos="7159"/>
        </w:tabs>
        <w:jc w:val="center"/>
        <w:rPr>
          <w:rFonts w:asciiTheme="minorHAnsi" w:hAnsiTheme="minorHAnsi" w:cs="Baskerville"/>
          <w:b/>
          <w:sz w:val="28"/>
          <w:szCs w:val="28"/>
        </w:rPr>
      </w:pPr>
    </w:p>
    <w:p w:rsidR="004C608D" w:rsidRDefault="004C608D" w:rsidP="004C608D">
      <w:pPr>
        <w:tabs>
          <w:tab w:val="left" w:pos="720"/>
          <w:tab w:val="center" w:pos="4752"/>
          <w:tab w:val="left" w:pos="7159"/>
        </w:tabs>
        <w:jc w:val="center"/>
        <w:rPr>
          <w:rFonts w:asciiTheme="minorHAnsi" w:hAnsiTheme="minorHAnsi" w:cs="Baskerville"/>
          <w:b/>
          <w:sz w:val="28"/>
          <w:szCs w:val="28"/>
        </w:rPr>
      </w:pPr>
      <w:r>
        <w:rPr>
          <w:rFonts w:asciiTheme="minorHAnsi" w:hAnsiTheme="minorHAnsi" w:cs="Baskerville"/>
          <w:b/>
          <w:sz w:val="28"/>
          <w:szCs w:val="28"/>
        </w:rPr>
        <w:t>GUIDELINES FOR FAMILIES SEEKING SERVICES</w:t>
      </w:r>
    </w:p>
    <w:p w:rsidR="004C608D" w:rsidRPr="00125F80" w:rsidRDefault="004C608D" w:rsidP="004C608D">
      <w:pPr>
        <w:tabs>
          <w:tab w:val="left" w:pos="720"/>
          <w:tab w:val="center" w:pos="4752"/>
          <w:tab w:val="left" w:pos="7159"/>
        </w:tabs>
        <w:jc w:val="center"/>
        <w:rPr>
          <w:rFonts w:asciiTheme="minorHAnsi" w:hAnsiTheme="minorHAnsi" w:cs="Baskerville"/>
          <w:b/>
          <w:sz w:val="28"/>
          <w:szCs w:val="28"/>
        </w:rPr>
      </w:pPr>
    </w:p>
    <w:p w:rsidR="004C608D" w:rsidRDefault="004C608D" w:rsidP="004C608D">
      <w:pPr>
        <w:tabs>
          <w:tab w:val="left" w:pos="720"/>
          <w:tab w:val="center" w:pos="4752"/>
          <w:tab w:val="left" w:pos="7159"/>
        </w:tabs>
        <w:jc w:val="center"/>
        <w:rPr>
          <w:rFonts w:asciiTheme="minorHAnsi" w:hAnsiTheme="minorHAnsi" w:cs="Baskerville"/>
          <w:b/>
          <w:bCs/>
          <w:sz w:val="28"/>
          <w:szCs w:val="28"/>
        </w:rPr>
      </w:pPr>
      <w:r>
        <w:rPr>
          <w:rFonts w:asciiTheme="minorHAnsi" w:hAnsiTheme="minorHAnsi" w:cs="Baskerville"/>
          <w:b/>
          <w:bCs/>
          <w:sz w:val="28"/>
          <w:szCs w:val="28"/>
        </w:rPr>
        <w:t>By: Rebecca Wright, MSW, LCSW</w:t>
      </w: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Pr>
        <w:tabs>
          <w:tab w:val="left" w:pos="720"/>
        </w:tabs>
        <w:jc w:val="center"/>
        <w:rPr>
          <w:rFonts w:asciiTheme="minorHAnsi" w:hAnsiTheme="minorHAnsi" w:cs="Baskerville"/>
          <w:b/>
          <w:bCs/>
          <w:sz w:val="28"/>
          <w:szCs w:val="28"/>
        </w:rPr>
      </w:pPr>
    </w:p>
    <w:p w:rsidR="004C608D" w:rsidRDefault="004C608D" w:rsidP="004C608D"/>
    <w:p w:rsidR="004F22CB" w:rsidRDefault="004F22CB" w:rsidP="004C608D"/>
    <w:p w:rsidR="004F22CB" w:rsidRDefault="004F22CB" w:rsidP="004C608D"/>
    <w:p w:rsidR="004F22CB" w:rsidRDefault="004F22CB" w:rsidP="004C608D"/>
    <w:p w:rsidR="004F22CB" w:rsidRDefault="004F22CB" w:rsidP="004C608D"/>
    <w:p w:rsidR="004F22CB" w:rsidRDefault="004F22CB" w:rsidP="004C608D"/>
    <w:p w:rsidR="004F22CB" w:rsidRDefault="004F22CB" w:rsidP="004C608D"/>
    <w:p w:rsidR="004F22CB" w:rsidRDefault="004F22CB">
      <w:r>
        <w:br w:type="page"/>
      </w:r>
    </w:p>
    <w:p w:rsidR="004F22CB" w:rsidRDefault="004F22CB" w:rsidP="004C608D"/>
    <w:p w:rsidR="004C608D" w:rsidRDefault="004C608D" w:rsidP="004C608D"/>
    <w:p w:rsidR="004C608D" w:rsidRDefault="004C608D" w:rsidP="004C608D"/>
    <w:p w:rsidR="004C608D" w:rsidRDefault="004C608D" w:rsidP="004C608D">
      <w:pPr>
        <w:jc w:val="both"/>
      </w:pPr>
    </w:p>
    <w:p w:rsidR="004C608D" w:rsidRDefault="004C608D" w:rsidP="004C608D">
      <w:pPr>
        <w:jc w:val="both"/>
      </w:pPr>
    </w:p>
    <w:p w:rsidR="004C608D" w:rsidRPr="00EF5B9D" w:rsidRDefault="004C608D" w:rsidP="004C608D">
      <w:pPr>
        <w:jc w:val="both"/>
      </w:pPr>
      <w:r w:rsidRPr="00EF5B9D">
        <w:rPr>
          <w:noProof/>
        </w:rPr>
        <w:drawing>
          <wp:inline distT="0" distB="0" distL="0" distR="0">
            <wp:extent cx="4648200" cy="1133203"/>
            <wp:effectExtent l="0" t="0" r="0" b="10160"/>
            <wp:docPr id="2" name="Picture 2" descr="65759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759_logo_final"/>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9003" cy="1133399"/>
                    </a:xfrm>
                    <a:prstGeom prst="rect">
                      <a:avLst/>
                    </a:prstGeom>
                    <a:noFill/>
                    <a:ln>
                      <a:noFill/>
                    </a:ln>
                  </pic:spPr>
                </pic:pic>
              </a:graphicData>
            </a:graphic>
          </wp:inline>
        </w:drawing>
      </w:r>
    </w:p>
    <w:p w:rsidR="004C608D" w:rsidRPr="00EF5B9D" w:rsidRDefault="004C608D" w:rsidP="004C608D">
      <w:pPr>
        <w:jc w:val="both"/>
      </w:pPr>
    </w:p>
    <w:p w:rsidR="004C608D" w:rsidRPr="00EF5B9D" w:rsidRDefault="004C608D" w:rsidP="004C608D">
      <w:pPr>
        <w:jc w:val="both"/>
      </w:pPr>
    </w:p>
    <w:p w:rsidR="004C608D" w:rsidRPr="00EF5B9D" w:rsidRDefault="004C608D" w:rsidP="004C608D">
      <w:pPr>
        <w:jc w:val="both"/>
        <w:rPr>
          <w:b/>
          <w:sz w:val="36"/>
          <w:szCs w:val="36"/>
        </w:rPr>
      </w:pPr>
    </w:p>
    <w:p w:rsidR="004C608D" w:rsidRDefault="004C608D" w:rsidP="004C608D">
      <w:pPr>
        <w:jc w:val="both"/>
        <w:rPr>
          <w:b/>
          <w:sz w:val="36"/>
          <w:szCs w:val="36"/>
        </w:rPr>
      </w:pPr>
    </w:p>
    <w:p w:rsidR="004C608D" w:rsidRPr="00EF5B9D" w:rsidRDefault="004C608D" w:rsidP="004C608D">
      <w:pPr>
        <w:jc w:val="both"/>
        <w:rPr>
          <w:b/>
          <w:sz w:val="36"/>
          <w:szCs w:val="36"/>
        </w:rPr>
      </w:pPr>
      <w:r w:rsidRPr="00EF5B9D">
        <w:rPr>
          <w:b/>
          <w:sz w:val="36"/>
          <w:szCs w:val="36"/>
        </w:rPr>
        <w:t xml:space="preserve">Report to the Independent Reviewer </w:t>
      </w:r>
    </w:p>
    <w:p w:rsidR="004C608D" w:rsidRPr="00EF5B9D" w:rsidRDefault="004C608D" w:rsidP="004C608D">
      <w:pPr>
        <w:jc w:val="both"/>
        <w:rPr>
          <w:b/>
          <w:i/>
          <w:sz w:val="36"/>
          <w:szCs w:val="36"/>
        </w:rPr>
      </w:pPr>
      <w:r w:rsidRPr="00EF5B9D">
        <w:rPr>
          <w:b/>
          <w:i/>
          <w:sz w:val="36"/>
          <w:szCs w:val="36"/>
        </w:rPr>
        <w:t>United States v. Commonwealth of Virginia</w:t>
      </w:r>
    </w:p>
    <w:p w:rsidR="004C608D" w:rsidRPr="00EF5B9D" w:rsidRDefault="004C608D" w:rsidP="004C608D">
      <w:pPr>
        <w:jc w:val="both"/>
        <w:rPr>
          <w:b/>
          <w:sz w:val="36"/>
          <w:szCs w:val="36"/>
        </w:rPr>
      </w:pPr>
    </w:p>
    <w:p w:rsidR="004C608D" w:rsidRPr="00EF5B9D" w:rsidRDefault="004C608D" w:rsidP="004C608D">
      <w:pPr>
        <w:jc w:val="both"/>
        <w:rPr>
          <w:b/>
          <w:sz w:val="36"/>
          <w:szCs w:val="36"/>
        </w:rPr>
      </w:pPr>
    </w:p>
    <w:p w:rsidR="004C608D" w:rsidRPr="00EF5B9D" w:rsidRDefault="004C608D" w:rsidP="004C608D">
      <w:pPr>
        <w:jc w:val="both"/>
        <w:rPr>
          <w:b/>
          <w:sz w:val="36"/>
          <w:szCs w:val="36"/>
        </w:rPr>
      </w:pPr>
    </w:p>
    <w:p w:rsidR="004C608D" w:rsidRPr="00EF5B9D" w:rsidRDefault="004C608D" w:rsidP="004C608D">
      <w:pPr>
        <w:jc w:val="both"/>
        <w:rPr>
          <w:b/>
          <w:sz w:val="36"/>
          <w:szCs w:val="36"/>
        </w:rPr>
      </w:pPr>
    </w:p>
    <w:p w:rsidR="004C608D" w:rsidRDefault="004C608D" w:rsidP="004C608D">
      <w:pPr>
        <w:jc w:val="both"/>
        <w:rPr>
          <w:b/>
          <w:sz w:val="36"/>
          <w:szCs w:val="36"/>
        </w:rPr>
      </w:pPr>
      <w:r w:rsidRPr="00EF5B9D">
        <w:rPr>
          <w:b/>
          <w:sz w:val="36"/>
          <w:szCs w:val="36"/>
        </w:rPr>
        <w:t>INDIVIDUAL AND FAMILY SUPPORTS</w:t>
      </w:r>
      <w:r>
        <w:rPr>
          <w:b/>
          <w:sz w:val="36"/>
          <w:szCs w:val="36"/>
        </w:rPr>
        <w:t>, and</w:t>
      </w:r>
    </w:p>
    <w:p w:rsidR="004C608D" w:rsidRDefault="004C608D" w:rsidP="004C608D">
      <w:pPr>
        <w:jc w:val="both"/>
        <w:rPr>
          <w:b/>
          <w:sz w:val="36"/>
          <w:szCs w:val="36"/>
        </w:rPr>
      </w:pPr>
    </w:p>
    <w:p w:rsidR="004C608D" w:rsidRPr="00EF5B9D" w:rsidRDefault="004C608D" w:rsidP="004C608D">
      <w:pPr>
        <w:jc w:val="both"/>
        <w:rPr>
          <w:b/>
          <w:sz w:val="36"/>
          <w:szCs w:val="36"/>
        </w:rPr>
      </w:pPr>
      <w:r>
        <w:rPr>
          <w:b/>
          <w:sz w:val="36"/>
          <w:szCs w:val="36"/>
        </w:rPr>
        <w:t>GUIDELINES FOR FAMILIES SEEKING SERVICES</w:t>
      </w:r>
    </w:p>
    <w:p w:rsidR="004C608D" w:rsidRPr="00EF5B9D" w:rsidRDefault="004C608D" w:rsidP="004C608D">
      <w:pPr>
        <w:jc w:val="both"/>
        <w:rPr>
          <w:b/>
          <w:sz w:val="36"/>
          <w:szCs w:val="36"/>
        </w:rPr>
      </w:pPr>
    </w:p>
    <w:p w:rsidR="004C608D" w:rsidRPr="00EF5B9D" w:rsidRDefault="004C608D" w:rsidP="004C608D">
      <w:pPr>
        <w:jc w:val="both"/>
        <w:rPr>
          <w:b/>
          <w:sz w:val="36"/>
          <w:szCs w:val="36"/>
        </w:rPr>
      </w:pPr>
    </w:p>
    <w:p w:rsidR="004C608D" w:rsidRPr="00EF5B9D" w:rsidRDefault="004C608D" w:rsidP="004C608D">
      <w:pPr>
        <w:jc w:val="both"/>
        <w:rPr>
          <w:b/>
          <w:sz w:val="36"/>
          <w:szCs w:val="36"/>
        </w:rPr>
      </w:pPr>
    </w:p>
    <w:p w:rsidR="004C608D" w:rsidRPr="00EF5B9D" w:rsidRDefault="004C608D" w:rsidP="004C608D">
      <w:pPr>
        <w:jc w:val="both"/>
        <w:rPr>
          <w:b/>
          <w:sz w:val="36"/>
          <w:szCs w:val="36"/>
        </w:rPr>
      </w:pPr>
      <w:r w:rsidRPr="00EF5B9D">
        <w:rPr>
          <w:b/>
          <w:sz w:val="36"/>
          <w:szCs w:val="36"/>
        </w:rPr>
        <w:t>By</w:t>
      </w:r>
    </w:p>
    <w:p w:rsidR="004C608D" w:rsidRPr="00EF5B9D" w:rsidRDefault="004C608D" w:rsidP="004C608D">
      <w:pPr>
        <w:jc w:val="both"/>
        <w:rPr>
          <w:b/>
          <w:sz w:val="36"/>
          <w:szCs w:val="36"/>
        </w:rPr>
      </w:pPr>
    </w:p>
    <w:p w:rsidR="004C608D" w:rsidRPr="00EF5B9D" w:rsidRDefault="004C608D" w:rsidP="004C608D">
      <w:pPr>
        <w:jc w:val="both"/>
        <w:rPr>
          <w:b/>
          <w:sz w:val="36"/>
          <w:szCs w:val="36"/>
        </w:rPr>
      </w:pPr>
      <w:r w:rsidRPr="00EF5B9D">
        <w:rPr>
          <w:b/>
          <w:sz w:val="36"/>
          <w:szCs w:val="36"/>
        </w:rPr>
        <w:t>Rebecca Wright, MSW, LCSW</w:t>
      </w:r>
    </w:p>
    <w:p w:rsidR="004C608D" w:rsidRPr="00EF5B9D" w:rsidRDefault="004C608D" w:rsidP="004C608D">
      <w:pPr>
        <w:jc w:val="both"/>
        <w:rPr>
          <w:b/>
          <w:sz w:val="36"/>
          <w:szCs w:val="36"/>
        </w:rPr>
      </w:pPr>
      <w:r w:rsidRPr="00EF5B9D">
        <w:rPr>
          <w:b/>
          <w:sz w:val="36"/>
          <w:szCs w:val="36"/>
        </w:rPr>
        <w:t>Consortium on Innovative Practices</w:t>
      </w:r>
    </w:p>
    <w:p w:rsidR="004C608D" w:rsidRPr="00EF5B9D" w:rsidRDefault="004C608D" w:rsidP="004C608D">
      <w:r w:rsidRPr="00EF5B9D">
        <w:rPr>
          <w:b/>
          <w:sz w:val="36"/>
          <w:szCs w:val="36"/>
        </w:rPr>
        <w:t>May 1, 2015</w:t>
      </w:r>
    </w:p>
    <w:p w:rsidR="004C608D" w:rsidRPr="00EF5B9D" w:rsidRDefault="004C608D" w:rsidP="004C608D">
      <w:pPr>
        <w:numPr>
          <w:ilvl w:val="0"/>
          <w:numId w:val="55"/>
        </w:numPr>
        <w:spacing w:before="100" w:beforeAutospacing="1" w:after="100" w:afterAutospacing="1" w:line="276" w:lineRule="auto"/>
        <w:jc w:val="both"/>
        <w:rPr>
          <w:b/>
          <w:sz w:val="28"/>
          <w:szCs w:val="28"/>
        </w:rPr>
      </w:pPr>
      <w:r w:rsidRPr="00EF5B9D">
        <w:rPr>
          <w:b/>
        </w:rPr>
        <w:br w:type="page"/>
      </w:r>
      <w:r w:rsidRPr="00EF5B9D">
        <w:rPr>
          <w:b/>
          <w:sz w:val="28"/>
          <w:szCs w:val="28"/>
        </w:rPr>
        <w:t>EXECUTIVE SUMMARY</w:t>
      </w:r>
    </w:p>
    <w:p w:rsidR="004C608D" w:rsidRPr="00EF5B9D" w:rsidRDefault="004C608D" w:rsidP="004C608D">
      <w:pPr>
        <w:spacing w:before="100" w:beforeAutospacing="1" w:after="100" w:afterAutospacing="1" w:line="276" w:lineRule="auto"/>
        <w:jc w:val="both"/>
      </w:pPr>
      <w:r w:rsidRPr="00EF5B9D">
        <w:t xml:space="preserve">The Settlement Agreement in U.S. v. Commonwealth of Virginia requires the Commonwealth to create an Individual and Family Support program for individuals with intellectual and developmental disabilities (ID/DD) whom the Commonwealth determines to be the most at risk of institutionalization.  The Report of the Independent Reviewer, dated December 8, 2014, found the Commonwealth had met the quantitative requirement for the IFSP by supporting the required number of individuals and families in FY 2014, but noted that certain qualitative requirements had not yet been reviewed, including 1) the good faith effort to determine who is most at risk of institutionalization, and 2) whether the current program and other family supports provided under the Agreement fulfill the requirements for individual and family supports.   The purpose of this review was to make a determination as to the compliance status of the qualitative requirements found in Sections II.D, III.C.2, III.C.8.b and IX.C of the Settlement Agreement.  Overall, the Commonwealth was not yet in compliance with any of these requirements. </w:t>
      </w:r>
    </w:p>
    <w:p w:rsidR="004C608D" w:rsidRPr="00EF5B9D" w:rsidRDefault="004C608D" w:rsidP="004C608D">
      <w:pPr>
        <w:spacing w:before="100" w:beforeAutospacing="1" w:after="100" w:afterAutospacing="1" w:line="276" w:lineRule="auto"/>
        <w:jc w:val="both"/>
      </w:pPr>
      <w:r w:rsidRPr="00EF5B9D">
        <w:t>Section II.C defines individual and family supports as a comprehensive and coordinated set of strategies designed to ensure that families who are assisting family members with ID/DD or individuals with ID/DD who live independently to have access to person-centered and family-centered resources, supports, services and other assistance. Thus far, DBHDS has focused on the development of an Individual and Family Support Program (IFSP) as a means of providing a modest monetary award to at least the number of individuals and families that is required in the Settlement Agreement, rather than on an approach that identifies gaps in current services and plans to ensure access to, and coordination of, comprehensive person-centered and family-centered resources, supports, services and other assistance. While the financial assistance available under the IFSP is certainly of some benefit to those fortunate enough to be selected to receive funding, it is essentially a one-time award rather than a comprehensive array of ongoing supports needed by individuals and families for community living.  It also does little to address these needs in a coordinated manner.  The current process does not include a deliberate review of whether the supports requested may be currently available to the individual or family without the IFSP funds, or assess other unaddressed needs.</w:t>
      </w:r>
    </w:p>
    <w:p w:rsidR="004C608D" w:rsidRPr="00EF5B9D" w:rsidRDefault="004C608D" w:rsidP="004C608D">
      <w:pPr>
        <w:spacing w:before="100" w:beforeAutospacing="1" w:after="100" w:afterAutospacing="1" w:line="276" w:lineRule="auto"/>
        <w:jc w:val="both"/>
      </w:pPr>
      <w:r w:rsidRPr="00EF5B9D">
        <w:t>The definition of individual and family supports stipulates that such supports are to be targeted to individuals not already receiving services under HCBS waivers, specifically the ID and IFSDD waivers; and that an individual and family support program be created for individuals with ID/IDD whom the Commonwealth determines to be most at risk of institutionalization.  DBHDS has addressed these requirements by defining presence on the ID or IFSDD waiver waitlist as the sole criterion for making the determination that someone is most at-risk for institutionalization and therefore potentially eligible to receive a monetary award limited to $3,000 per fiscal year under the IFSP.</w:t>
      </w:r>
    </w:p>
    <w:p w:rsidR="004C608D" w:rsidRPr="00EF5B9D" w:rsidRDefault="004C608D" w:rsidP="004C608D">
      <w:pPr>
        <w:spacing w:before="100" w:beforeAutospacing="1" w:after="100" w:afterAutospacing="1" w:line="276" w:lineRule="auto"/>
        <w:jc w:val="both"/>
      </w:pPr>
      <w:r w:rsidRPr="00EF5B9D">
        <w:t>The philosophical and practical bases for these decisions about who is “most at risk for institutionalization” have not been well documented or communicated, nor have stakeholders had significant input in the ongoing discussion. Overall there is a level of discomfort with this basis for distribution of funding.  There was a universal uneasiness expressed among all ten non DBHDS stakeholder interviewees as to whether the design of the IFSP may be inherently unfair to those who may need it the most.  For example, a common concern expressed was that the needs of individuals and families on the waitlists varied dramatically and there was no prioritization based on individual situations that may seem more important or urgent than others. At this point in time, there are approximately 9,800 individuals on those waiting lists.  Based on the experience of the program thus far, with 1300-1500 applications funded annually, the program can only be accessed by a relatively small percentage (approximately 15%) of those who would potentially be eligible.</w:t>
      </w:r>
    </w:p>
    <w:p w:rsidR="004C608D" w:rsidRDefault="004C608D" w:rsidP="004C608D">
      <w:pPr>
        <w:spacing w:before="100" w:beforeAutospacing="1" w:after="100" w:afterAutospacing="1" w:line="276" w:lineRule="auto"/>
        <w:contextualSpacing/>
        <w:jc w:val="both"/>
      </w:pPr>
      <w:r w:rsidRPr="00EF5B9D">
        <w:t>The Commonwealth has, as required in Section III.C.8.b, published guidelines for families seeking intellectual and developmental disability services on how and where to apply for and obtain IFSP services.  It has also published fact sheets (“Just the Facts”) for individuals/families with ID and IFSDD waiver slots. Section III.C.8.b</w:t>
      </w:r>
      <w:r w:rsidRPr="00EF5B9D" w:rsidDel="00512898">
        <w:t xml:space="preserve"> </w:t>
      </w:r>
      <w:r w:rsidRPr="00EF5B9D">
        <w:t xml:space="preserve">also requires that published guidelines be updated annually and provided to appropriate agencies for use in directing individuals in the target population to the correct point of entry to access services.  Appropriate agencies, such as Community Service Boards, advocacy organizations such as the Arc of Virginia and agencies providing private case management have been notified via email of the availability of the IFSP guidelines on-line via email and in various public meetings. The most recent update of the IFSP guidelines in February 2014 does not accurately represent some of the changes that have been made to the program methodology. Accessibility for individuals and families was limited by the level of language used and by the lack of general availability to them other than on the Internet. Both of these factors affect accessibility for individuals and families depending on their literacy needs, including Internet literacy.   The individual review study found that none (0%) of the twenty-three individuals with DD, other than ID, and their families </w:t>
      </w:r>
      <w:r w:rsidRPr="00EF5B9D">
        <w:rPr>
          <w:u w:val="single"/>
        </w:rPr>
        <w:t>reported</w:t>
      </w:r>
      <w:r w:rsidRPr="00EF5B9D">
        <w:t xml:space="preserve"> being aware of the Individual and Family Support Pr</w:t>
      </w:r>
      <w:r w:rsidR="004F22CB">
        <w:t>ogram. All had been on the IFDDS</w:t>
      </w:r>
      <w:r w:rsidRPr="00EF5B9D">
        <w:t xml:space="preserve"> waitlist when the IFSP program was initiated</w:t>
      </w:r>
      <w:r>
        <w:t>.</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It is clear that DBHDS has engaged in a good faith effort to address an aspect of the individual and family support program requirement in its development of the one-time monetary award program and by implementing it with urgency to meet the timeline required.  On the other hand, this effort to begin the program quickly has backfired to the extent that it was not based on a focused and systemic needs assessment or implemented as part of an overall plan to ensure that its individual and family support program provided comprehensiveness or coordinated supports. As an example, the first come-first served funding prioritization process has resulted in significant backlog in the IFSP office and lengthy delays in the actual disbursement of funds.  A core tenet of providing person-centered and family centered supports is input from the individuals and families.  A formalized avenue for stakeholder input is needed to help to guide the evolution of individual and family supports as a comprehensive set of strategies in the Commonwealth, and of the IFSP in particular as a part of that overall set of strategies. This lack of stakeholder involvement in the ongoing process may have contributed to a sense of frustration that appears to be growing among families and advocates interviewed for this study.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DBHDS has acknowledged its awareness of the concerns described in this report and has recently initiated a task force to address many of them.  DBHDS should prioritize stakeholder participation in both the design and implementation of individual and family support programs. It should</w:t>
      </w:r>
      <w:r>
        <w:t xml:space="preserve"> </w:t>
      </w:r>
      <w:r w:rsidRPr="00EF5B9D">
        <w:t>identify the information needed to adequately assess individual and family support program’s performance, impact and outcomes; and it should collect and analyze data regarding program performance versus indicators of the proper implementation of Sections II.D, III.C.2, III.C.8.b as required by Section IX.C.</w:t>
      </w:r>
    </w:p>
    <w:p w:rsidR="004C608D" w:rsidRPr="00EF5B9D" w:rsidRDefault="004C608D" w:rsidP="004C608D"/>
    <w:p w:rsidR="004C608D" w:rsidRPr="00EF5B9D" w:rsidRDefault="004C608D" w:rsidP="004C608D"/>
    <w:p w:rsidR="004C608D" w:rsidRPr="00EF5B9D" w:rsidRDefault="004C608D" w:rsidP="004C608D">
      <w:pPr>
        <w:numPr>
          <w:ilvl w:val="0"/>
          <w:numId w:val="55"/>
        </w:numPr>
        <w:spacing w:before="100" w:beforeAutospacing="1" w:after="100" w:afterAutospacing="1" w:line="276" w:lineRule="auto"/>
        <w:rPr>
          <w:rFonts w:ascii="Calibri" w:hAnsi="Calibri"/>
          <w:b/>
          <w:sz w:val="28"/>
          <w:szCs w:val="28"/>
        </w:rPr>
      </w:pPr>
      <w:r w:rsidRPr="00EF5B9D">
        <w:rPr>
          <w:b/>
        </w:rPr>
        <w:br w:type="page"/>
      </w:r>
      <w:r w:rsidRPr="00EF5B9D">
        <w:rPr>
          <w:b/>
          <w:sz w:val="28"/>
          <w:szCs w:val="28"/>
        </w:rPr>
        <w:t>PURPOSE OF THE REVIEW</w:t>
      </w:r>
    </w:p>
    <w:p w:rsidR="004C608D" w:rsidRPr="00EF5B9D" w:rsidRDefault="004C608D" w:rsidP="004C608D">
      <w:pPr>
        <w:spacing w:before="100" w:beforeAutospacing="1" w:after="100" w:afterAutospacing="1" w:line="276" w:lineRule="auto"/>
        <w:jc w:val="both"/>
      </w:pPr>
      <w:r w:rsidRPr="00EF5B9D">
        <w:t>The purpose of this review was to make a determination as to the compliance status of the qualitative requirements of the Settlement Agreement as they pertain to individual and family supports.  These requirements are as follows:</w:t>
      </w:r>
    </w:p>
    <w:p w:rsidR="004C608D" w:rsidRPr="00EF5B9D" w:rsidRDefault="004C608D" w:rsidP="004C608D">
      <w:pPr>
        <w:spacing w:line="276" w:lineRule="auto"/>
        <w:ind w:left="720"/>
        <w:jc w:val="both"/>
        <w:rPr>
          <w:i/>
        </w:rPr>
      </w:pPr>
      <w:r w:rsidRPr="00EF5B9D">
        <w:rPr>
          <w:b/>
        </w:rPr>
        <w:t xml:space="preserve">Section II.D: </w:t>
      </w:r>
      <w:r w:rsidRPr="00EF5B9D">
        <w:rPr>
          <w:i/>
        </w:rPr>
        <w:t>Individual and family supports are defined as a comprehensive and coordinated set of strategies that are designed to ensure that families who are assisting family members with intellectual or developmental disabilities (“ID/DD”) or individuals with ID/DD who live independently have access to person-centered and family-centered resources, supports, services and other assistance. Individual and family supports are targeted to individuals not already receiving services under HCBS waivers, as defined in Section II.C.</w:t>
      </w:r>
    </w:p>
    <w:p w:rsidR="004C608D" w:rsidRPr="00EF5B9D" w:rsidRDefault="004C608D" w:rsidP="004C608D">
      <w:pPr>
        <w:spacing w:before="100" w:beforeAutospacing="1" w:after="100" w:afterAutospacing="1" w:line="276" w:lineRule="auto"/>
        <w:contextualSpacing/>
        <w:jc w:val="both"/>
        <w:rPr>
          <w:i/>
        </w:rPr>
      </w:pPr>
      <w:r w:rsidRPr="00EF5B9D">
        <w:rPr>
          <w:i/>
        </w:rPr>
        <w:t>The family supports provided under this Agreement shall not supplant or in any way limit the availability of services provided through the Elderly or Disabled with Consumer Direction (“EDCD”) waiver, Early and Periodic Screening, Diagnosis and Treatment (“EPSDT”), or similar programs.</w:t>
      </w:r>
    </w:p>
    <w:p w:rsidR="004C608D" w:rsidRPr="00EF5B9D" w:rsidRDefault="004C608D" w:rsidP="004C608D">
      <w:pPr>
        <w:spacing w:before="100" w:beforeAutospacing="1" w:after="100" w:afterAutospacing="1" w:line="276" w:lineRule="auto"/>
        <w:ind w:left="720"/>
        <w:rPr>
          <w:i/>
        </w:rPr>
      </w:pPr>
      <w:r w:rsidRPr="00EF5B9D">
        <w:rPr>
          <w:b/>
        </w:rPr>
        <w:t xml:space="preserve">Section III.C.2:  </w:t>
      </w:r>
      <w:r w:rsidRPr="00EF5B9D">
        <w:rPr>
          <w:i/>
        </w:rPr>
        <w:t>The Commonwealth shall create an individual and family support program for individuals with ID/DD whom the Commonwealth determines to be most at risk of institutionalization…</w:t>
      </w:r>
    </w:p>
    <w:p w:rsidR="004C608D" w:rsidRPr="00EF5B9D" w:rsidRDefault="004C608D" w:rsidP="004C608D">
      <w:pPr>
        <w:spacing w:before="100" w:beforeAutospacing="1" w:after="100" w:afterAutospacing="1" w:line="276" w:lineRule="auto"/>
        <w:ind w:left="720"/>
        <w:rPr>
          <w:i/>
        </w:rPr>
      </w:pPr>
      <w:r w:rsidRPr="00EF5B9D">
        <w:rPr>
          <w:b/>
        </w:rPr>
        <w:t xml:space="preserve">Section III.C.8.b: </w:t>
      </w:r>
      <w:r w:rsidRPr="00EF5B9D">
        <w:rPr>
          <w:i/>
        </w:rPr>
        <w:t>The Commonwealth shall publish guidelines for families seeking intellectual and developmental disability services on how and where to apply for and obtain services. The guidelines will be updated annually and will be provided to appropriate agencies for use in directing individuals in the target population to the correct point of entry to access services.</w:t>
      </w:r>
    </w:p>
    <w:p w:rsidR="004C608D" w:rsidRPr="00EF5B9D" w:rsidRDefault="004C608D" w:rsidP="004C608D">
      <w:pPr>
        <w:widowControl w:val="0"/>
        <w:tabs>
          <w:tab w:val="left" w:pos="220"/>
          <w:tab w:val="left" w:pos="720"/>
        </w:tabs>
        <w:autoSpaceDE w:val="0"/>
        <w:autoSpaceDN w:val="0"/>
        <w:adjustRightInd w:val="0"/>
        <w:spacing w:after="280"/>
        <w:ind w:left="720"/>
        <w:rPr>
          <w:rFonts w:cs="Times"/>
        </w:rPr>
      </w:pPr>
      <w:r w:rsidRPr="00EF5B9D">
        <w:rPr>
          <w:b/>
        </w:rPr>
        <w:t>Section IX.</w:t>
      </w:r>
      <w:r w:rsidRPr="00EF5B9D">
        <w:t xml:space="preserve">C: </w:t>
      </w:r>
      <w:r w:rsidRPr="00EF5B9D">
        <w:rPr>
          <w:i/>
        </w:rPr>
        <w:t xml:space="preserve"> </w:t>
      </w:r>
      <w:r w:rsidRPr="00EF5B9D">
        <w:rPr>
          <w:rFonts w:cs="Times"/>
          <w:i/>
        </w:rPr>
        <w:t xml:space="preserve">The Commonwealth shall maintain sufficient records to document that the requirements of this Agreement are being properly implemented and shall make such records available to the Independent Reviewer for inspection and copying upon request and on a reasonable basis. </w:t>
      </w:r>
    </w:p>
    <w:p w:rsidR="004C608D" w:rsidRPr="00EF5B9D" w:rsidRDefault="004C608D" w:rsidP="004C608D">
      <w:pPr>
        <w:spacing w:before="100" w:beforeAutospacing="1" w:after="100" w:afterAutospacing="1" w:line="276" w:lineRule="auto"/>
        <w:contextualSpacing/>
        <w:jc w:val="both"/>
      </w:pPr>
      <w:r w:rsidRPr="00EF5B9D">
        <w:t>Specifically, the study analyzed whether both the design and implementation of the IFSP and other individual and family supports fulfill the requirements set forth in these sections, using the following ten criteria:</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design and implementation of the IFSP and other individual and family supports provided under the Agreement result in a set of strategies that can be considered comprehensive in nature.</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individual and family supports provided under the agreement are coordinated with other services and supports for which a family or individual may be eligible.</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 xml:space="preserve">Whether the design and implementation of the individual and family supports adequately facilitate access to person-centered and family-centered resources, supports, services and other assistance. </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design of the IFSP provides a clear and sound definition of “most at risk of institutionalization,” or whether the definition has been refined to reflect the priority of supports to those at greatest risk.</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design of the IFSP provides a clear and logical process, including prioritization criteria, for determining which individuals may be considered “most at risk of institutionalization,” and, if so, whether the process and prioritization criteria are implemented in a manner that is designed to address the risks of individuals who are most at risk of institutionalization.</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data has been collected and any trends analyzed to determine whether the IFSP is fulfilling the Commonwealth’s obligations under the Agreement, and whether the Commonwealth is maintaining sufficient records to demonstrate that the provision is being properly implemented.</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Commonwealth published IFSP guidelines as required and updated as needed, at least annually.</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appropriate outreach and dissemination processes were undertaken to ensure that individuals and families had access to the IFSP guidelines on a timely basis.</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Commonwealth identified the “appropriate agencies” and whether such agencies were provided with the IFSP guidelines on a timely basis.</w:t>
      </w:r>
    </w:p>
    <w:p w:rsidR="004C608D" w:rsidRPr="00EF5B9D" w:rsidRDefault="004C608D" w:rsidP="004C608D">
      <w:pPr>
        <w:numPr>
          <w:ilvl w:val="0"/>
          <w:numId w:val="52"/>
        </w:numPr>
        <w:spacing w:before="100" w:beforeAutospacing="1" w:after="100" w:afterAutospacing="1" w:line="276" w:lineRule="auto"/>
        <w:ind w:left="720"/>
        <w:contextualSpacing/>
        <w:jc w:val="both"/>
      </w:pPr>
      <w:r w:rsidRPr="00EF5B9D">
        <w:t>Whether the published IFSP guidelines were sufficient, in terms of detail, accuracy and accessibility to the population, to be effectively used to direct individuals in the target population to the correct point of entry to access services.</w:t>
      </w:r>
    </w:p>
    <w:p w:rsidR="004C608D" w:rsidRPr="00EF5B9D" w:rsidRDefault="004C608D" w:rsidP="004C608D">
      <w:pPr>
        <w:spacing w:before="100" w:beforeAutospacing="1" w:after="100" w:afterAutospacing="1" w:line="276" w:lineRule="auto"/>
        <w:contextualSpacing/>
        <w:jc w:val="both"/>
        <w:rPr>
          <w:b/>
        </w:rPr>
      </w:pPr>
    </w:p>
    <w:p w:rsidR="004C608D" w:rsidRPr="00EF5B9D" w:rsidRDefault="004C608D" w:rsidP="004C608D">
      <w:pPr>
        <w:numPr>
          <w:ilvl w:val="0"/>
          <w:numId w:val="55"/>
        </w:numPr>
        <w:spacing w:before="100" w:beforeAutospacing="1" w:after="100" w:afterAutospacing="1" w:line="276" w:lineRule="auto"/>
        <w:contextualSpacing/>
        <w:jc w:val="both"/>
        <w:rPr>
          <w:b/>
          <w:sz w:val="28"/>
          <w:szCs w:val="28"/>
        </w:rPr>
      </w:pPr>
      <w:r w:rsidRPr="00EF5B9D">
        <w:rPr>
          <w:b/>
        </w:rPr>
        <w:t xml:space="preserve">   </w:t>
      </w:r>
      <w:r w:rsidRPr="00EF5B9D">
        <w:rPr>
          <w:b/>
          <w:sz w:val="28"/>
          <w:szCs w:val="28"/>
        </w:rPr>
        <w:t xml:space="preserve">STUDY METHODOLOGY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In order to ascertain the status compliance for each of the criteria, the study methodology included components of document review, DBHDS staff interviews, stakeholder interviews, and review and analysis of available data. The document review process included requests made to DBHDS for any Workgroup and Project Team minutes, reports and any other work product related to the design of the IFSP; any needs assessment, data or information used in the design of the IFSP; IFSP Guidelines and administrative rules; IFSP application, instructions and any related protocol; any tools or processes used to assess individual and family assessment of and/or satisfaction with IFSP, including any reports, analyses or summaries of individual and family satisfaction; any reports or summaries of actions taken by IFSP staff to assist individuals and families to access supports from other paid or unpaid sources, including supports requested that did not meet IFSP funding criteria; a summary and copies of complaints, appeals and/or grievances from individuals and families related to the IFSP; and, any other records the Commonwealth maintains to document that the individual and family supports provided under the agreement are being properly implemented, ID and DD Wait List criteria and process. A full list of documents reviewed may be found in Appendix A.</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The data</w:t>
      </w:r>
      <w:r w:rsidRPr="00EF5B9D">
        <w:rPr>
          <w:b/>
        </w:rPr>
        <w:t xml:space="preserve"> </w:t>
      </w:r>
      <w:r w:rsidRPr="00EF5B9D">
        <w:t>review</w:t>
      </w:r>
      <w:r w:rsidRPr="00EF5B9D">
        <w:rPr>
          <w:b/>
        </w:rPr>
        <w:t xml:space="preserve"> </w:t>
      </w:r>
      <w:r w:rsidRPr="00EF5B9D">
        <w:t>included requests for any data collected by DBHDS on the categories of services and supports requested and funded; any data collected by DBHDS on applications made and applications funded by individuals living independently vs applications made and applications funded by families; any data collected by DBHDS on other services and supports received by individuals and families making application for IFSP; any data collected by DBHDS regarding the geographic distribution of IFSP funds; any data collected by DBHDS on individual and family assessment of and/or satisfaction with IFSP; and, any data collected by DBHDS to determine if its definition of who is most at risk of institutionalization can be improved and whether the pattern of fund distribution is managed to help avoid institutionalization for individuals with ID or DD, and any data to indicate that individuals/families on each waiver are aware of, and utilizing, the IFSP. Some of these data were not currently available as they were either not being collected or were not organized in a manner as to lend itself to aggregation and analysis. A complete list of data provided and reviewed is included in Appendix A.</w:t>
      </w:r>
    </w:p>
    <w:p w:rsidR="004C608D" w:rsidRPr="00EF5B9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r w:rsidRPr="00EF5B9D">
        <w:t>The expert consultant interviewed DBHDS staff involved in the development and design of the IFSP, DBHDS staff responsible for day-to-day administration of the IFSP; stakeholders with knowledge of the development of the IFSP; and a broad array of stakeholders including individuals and families and representatives of advocacy organizations and service organizations.  The Independent Reviewer also held a Focus Group3 with individuals and families on the IFSDD waitlist to obtain their input on individual and family supports and the design and implementation of the IFSP. This input also informed this report. A full list of individuals interviewed is included in Appendix B.</w:t>
      </w: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5"/>
        </w:numPr>
        <w:spacing w:before="100" w:beforeAutospacing="1" w:after="100" w:afterAutospacing="1" w:line="276" w:lineRule="auto"/>
        <w:rPr>
          <w:b/>
          <w:sz w:val="28"/>
          <w:szCs w:val="28"/>
        </w:rPr>
      </w:pPr>
      <w:r w:rsidRPr="00EF5B9D">
        <w:rPr>
          <w:b/>
          <w:sz w:val="28"/>
          <w:szCs w:val="28"/>
        </w:rPr>
        <w:t xml:space="preserve">FINDINGS </w:t>
      </w:r>
    </w:p>
    <w:p w:rsidR="004C608D" w:rsidRPr="00EF5B9D" w:rsidRDefault="004C608D" w:rsidP="004C608D">
      <w:pPr>
        <w:spacing w:before="100" w:beforeAutospacing="1" w:after="100" w:afterAutospacing="1" w:line="276" w:lineRule="auto"/>
        <w:contextualSpacing/>
        <w:rPr>
          <w:b/>
        </w:rPr>
      </w:pPr>
      <w:r w:rsidRPr="00EF5B9D">
        <w:rPr>
          <w:b/>
        </w:rPr>
        <w:t>Background</w:t>
      </w:r>
    </w:p>
    <w:p w:rsidR="004C608D" w:rsidRPr="00EF5B9D" w:rsidRDefault="004C608D" w:rsidP="004C608D">
      <w:pPr>
        <w:spacing w:before="100" w:beforeAutospacing="1" w:after="100" w:afterAutospacing="1" w:line="276" w:lineRule="auto"/>
        <w:contextualSpacing/>
        <w:jc w:val="both"/>
      </w:pPr>
      <w:r w:rsidRPr="00EF5B9D">
        <w:t>The concept of individual and family supports in the field of intellectual and developmental disabilities, and the development of such programs in states across the country, began in earnest in the last two decades of the twentieth century.  While approaches and program characteristics varied from place to place, there were certain principles, which were commonly accepted, as fundamental.  As a backdrop to the discussion that follows, it may be useful to articulate several of those key tenets as they also form the basic criteria by which the concept of person and family-centeredness, a requirement of the Settlement Agreement, is defined.</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6"/>
        </w:numPr>
        <w:spacing w:before="100" w:beforeAutospacing="1" w:after="100" w:afterAutospacing="1" w:line="276" w:lineRule="auto"/>
        <w:contextualSpacing/>
        <w:jc w:val="both"/>
        <w:rPr>
          <w:i/>
        </w:rPr>
      </w:pPr>
      <w:r w:rsidRPr="00EF5B9D">
        <w:rPr>
          <w:i/>
        </w:rPr>
        <w:t>Individuals and families know best what supports they need.</w:t>
      </w:r>
    </w:p>
    <w:p w:rsidR="004C608D" w:rsidRPr="00EF5B9D" w:rsidRDefault="004C608D" w:rsidP="004C608D">
      <w:pPr>
        <w:numPr>
          <w:ilvl w:val="0"/>
          <w:numId w:val="56"/>
        </w:numPr>
        <w:spacing w:before="100" w:beforeAutospacing="1" w:after="100" w:afterAutospacing="1" w:line="276" w:lineRule="auto"/>
        <w:contextualSpacing/>
        <w:jc w:val="both"/>
        <w:rPr>
          <w:i/>
        </w:rPr>
      </w:pPr>
      <w:r w:rsidRPr="00EF5B9D">
        <w:rPr>
          <w:i/>
        </w:rPr>
        <w:t>Supports should be broadly defined and flexible, and include, but not be limited to financial assistance, information and referral, peer support and family support groups.</w:t>
      </w:r>
    </w:p>
    <w:p w:rsidR="004C608D" w:rsidRPr="00EF5B9D" w:rsidRDefault="004C608D" w:rsidP="004C608D">
      <w:pPr>
        <w:numPr>
          <w:ilvl w:val="0"/>
          <w:numId w:val="56"/>
        </w:numPr>
        <w:spacing w:before="100" w:beforeAutospacing="1" w:after="100" w:afterAutospacing="1" w:line="276" w:lineRule="auto"/>
        <w:contextualSpacing/>
        <w:jc w:val="both"/>
        <w:rPr>
          <w:i/>
        </w:rPr>
      </w:pPr>
      <w:r w:rsidRPr="00EF5B9D">
        <w:rPr>
          <w:i/>
        </w:rPr>
        <w:t>Individual and families must be empowered to have a say in the design and implementation of systems intended to support them.</w:t>
      </w:r>
    </w:p>
    <w:p w:rsidR="004C608D" w:rsidRPr="00EF5B9D" w:rsidRDefault="004C608D" w:rsidP="004C608D">
      <w:pPr>
        <w:spacing w:before="100" w:beforeAutospacing="1" w:after="100" w:afterAutospacing="1" w:line="276" w:lineRule="auto"/>
        <w:contextualSpacing/>
        <w:jc w:val="both"/>
      </w:pPr>
      <w:r w:rsidRPr="00EF5B9D">
        <w:t xml:space="preserve">If, as the Settlement Agreement indicates, the purpose of a “comprehensive and coordinated set of strategies” is to ensure that families or individuals have access to person-centered and family-centered resources, supports, services and other assistance, then comprehensiveness and coordination will best be judged from the perspective of these individuals and families. Therefore, progress toward the achievement of a comprehensive and coordinated set of strategies must build in a feedback loop that includes gathering the perspectives and recommendations of individual and families to improve the design and implementation.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Despite some limited outreach activities, the process undertaken by the Commonwealth thus far in developing its approach to individual and family supports in response to the Settlement Agreement has not consistently provided for such a feedback loop.  In April 2012, DBHDS gathered a stakeholder group to consider and provide input on the Commonwealth’s planned approach to individual and family supports, specifically to assist in design decisions regarding the implementation of the IFSP.  DBHDS provided documentation of three meetings of this Workgroup, held respectively in April 2012, April 2013 and May 2014.    The deliberations and considerations were not well documented on a consistent basis, particularly in terms of the options considered and the rationales for each decision.  DBHDS staff acknowledge that original design decisions were made quickly, within a short time period to meet the Settlement Agreement timeline and to get funds to individuals and families in need as quickly as possible.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There has been no other ongoing formalized avenue for stakeholder input to help identify gaps in the comprehensive and coordination of current strategies or to help guide the evolution of individual and family supports program, or the IFSP in particular, to meet the definition in the Settlement Agreement.   Since its inception, ongoing changes to the IFSP processes have been made with hopes of streamlining the program and reducing response times but these have not been consistently vetted with the work group, or other stakeholder body, in order to ensure they adequately address the issues and concerns. </w:t>
      </w:r>
    </w:p>
    <w:p w:rsidR="004C608D" w:rsidRPr="00EF5B9D" w:rsidRDefault="004C608D" w:rsidP="004C608D">
      <w:pPr>
        <w:spacing w:before="100" w:beforeAutospacing="1" w:after="100" w:afterAutospacing="1" w:line="276" w:lineRule="auto"/>
        <w:contextualSpacing/>
      </w:pPr>
    </w:p>
    <w:p w:rsidR="004C608D" w:rsidRDefault="004C608D" w:rsidP="004C608D">
      <w:pPr>
        <w:spacing w:before="100" w:beforeAutospacing="1" w:after="100" w:afterAutospacing="1" w:line="276" w:lineRule="auto"/>
        <w:contextualSpacing/>
        <w:rPr>
          <w:b/>
        </w:rPr>
      </w:pPr>
      <w:r w:rsidRPr="00EF5B9D">
        <w:t xml:space="preserve">This lack of stakeholder involvement in the process may also have contributed to a sense of frustration that appears, based on interviews held for this study and described further below, to be growing among families and advocates.       </w:t>
      </w:r>
    </w:p>
    <w:p w:rsidR="004C608D" w:rsidRDefault="004C608D" w:rsidP="004C608D">
      <w:pPr>
        <w:spacing w:before="100" w:beforeAutospacing="1" w:after="100" w:afterAutospacing="1" w:line="276" w:lineRule="auto"/>
        <w:contextualSpacing/>
        <w:rPr>
          <w:b/>
        </w:rPr>
      </w:pPr>
    </w:p>
    <w:p w:rsidR="004C608D" w:rsidRPr="00EF5B9D" w:rsidRDefault="004C608D" w:rsidP="004C608D">
      <w:pPr>
        <w:spacing w:before="100" w:beforeAutospacing="1" w:after="100" w:afterAutospacing="1" w:line="276" w:lineRule="auto"/>
        <w:contextualSpacing/>
        <w:rPr>
          <w:b/>
        </w:rPr>
      </w:pPr>
      <w:r w:rsidRPr="00EF5B9D">
        <w:rPr>
          <w:b/>
        </w:rPr>
        <w:t>Compliance Findings for</w:t>
      </w:r>
      <w:r w:rsidRPr="00EF5B9D">
        <w:t xml:space="preserve"> </w:t>
      </w:r>
      <w:r w:rsidRPr="00EF5B9D">
        <w:rPr>
          <w:b/>
        </w:rPr>
        <w:t xml:space="preserve">Section II.D: </w:t>
      </w:r>
    </w:p>
    <w:p w:rsidR="004C608D" w:rsidRPr="00EF5B9D" w:rsidRDefault="004C608D" w:rsidP="004C608D">
      <w:pPr>
        <w:pBdr>
          <w:top w:val="single" w:sz="4" w:space="1" w:color="auto"/>
          <w:left w:val="single" w:sz="4" w:space="4" w:color="auto"/>
          <w:bottom w:val="single" w:sz="4" w:space="1" w:color="auto"/>
          <w:right w:val="single" w:sz="4" w:space="4" w:color="auto"/>
        </w:pBdr>
        <w:spacing w:after="160" w:line="254" w:lineRule="auto"/>
        <w:ind w:left="720" w:right="720"/>
        <w:contextualSpacing/>
        <w:jc w:val="both"/>
        <w:rPr>
          <w:i/>
        </w:rPr>
      </w:pPr>
      <w:r w:rsidRPr="00EF5B9D">
        <w:rPr>
          <w:i/>
        </w:rPr>
        <w:t>Individual and family supports are defined as a comprehensive and coordinated set of strategies that are designed to ensure that families who are assisting family members with intellectual or developmental disabilities (“ID/DD”) or individuals with ID/DD who live independently have access to person-centered and family-centered resources, supports, services and other assistance. Individual and family supports are targeted to individuals not already receiving services under HCBS waivers, as defined in Section II.C.</w:t>
      </w:r>
    </w:p>
    <w:p w:rsidR="004C608D" w:rsidRPr="00EF5B9D" w:rsidRDefault="004C608D" w:rsidP="004C608D">
      <w:pPr>
        <w:pBdr>
          <w:top w:val="single" w:sz="4" w:space="1" w:color="auto"/>
          <w:left w:val="single" w:sz="4" w:space="4" w:color="auto"/>
          <w:bottom w:val="single" w:sz="4" w:space="1" w:color="auto"/>
          <w:right w:val="single" w:sz="4" w:space="4" w:color="auto"/>
        </w:pBdr>
        <w:spacing w:after="160" w:line="254" w:lineRule="auto"/>
        <w:ind w:left="720" w:right="720"/>
        <w:contextualSpacing/>
        <w:jc w:val="both"/>
        <w:rPr>
          <w:i/>
        </w:rPr>
      </w:pPr>
      <w:r w:rsidRPr="00EF5B9D">
        <w:rPr>
          <w:i/>
        </w:rPr>
        <w:t>The family supports provided under this Agreement shall not supplant or in any way limit the availability of services provided through the Elderly or Disabled with Consumer Direction (“EDCD”) waiver, Early and Periodic Screening, Diagnosis and Treatment (“EPSDT”), or similar programs.</w:t>
      </w:r>
    </w:p>
    <w:p w:rsidR="004C608D" w:rsidRPr="00EF5B9D" w:rsidRDefault="004C608D" w:rsidP="004C608D">
      <w:pPr>
        <w:spacing w:after="160" w:line="256" w:lineRule="auto"/>
        <w:contextualSpacing/>
      </w:pPr>
    </w:p>
    <w:p w:rsidR="004C608D" w:rsidRDefault="004C608D" w:rsidP="004C608D">
      <w:pPr>
        <w:numPr>
          <w:ilvl w:val="0"/>
          <w:numId w:val="53"/>
        </w:numPr>
        <w:spacing w:before="100" w:beforeAutospacing="1" w:after="100" w:afterAutospacing="1"/>
        <w:contextualSpacing/>
        <w:jc w:val="both"/>
        <w:rPr>
          <w:b/>
        </w:rPr>
      </w:pPr>
      <w:r w:rsidRPr="00EF5B9D">
        <w:rPr>
          <w:b/>
        </w:rPr>
        <w:t>Does the design and implementation of the IFSP and other individual and family supports provided under the Agreement result in a set of strategies that can be considered comprehensive in nature?</w:t>
      </w:r>
    </w:p>
    <w:p w:rsidR="004C608D" w:rsidRPr="00EF5B9D" w:rsidRDefault="004C608D" w:rsidP="004C608D">
      <w:pPr>
        <w:spacing w:before="100" w:beforeAutospacing="1" w:after="100" w:afterAutospacing="1"/>
        <w:contextualSpacing/>
        <w:jc w:val="both"/>
        <w:rPr>
          <w:b/>
        </w:rPr>
      </w:pPr>
    </w:p>
    <w:p w:rsidR="004C608D" w:rsidRPr="00EF5B9D" w:rsidRDefault="004C608D" w:rsidP="004C608D">
      <w:pPr>
        <w:spacing w:before="100" w:beforeAutospacing="1" w:after="100" w:afterAutospacing="1" w:line="259" w:lineRule="auto"/>
        <w:contextualSpacing/>
        <w:jc w:val="both"/>
      </w:pPr>
      <w:r w:rsidRPr="00EF5B9D">
        <w:t xml:space="preserve">Funding through the IFSP should be viewed as only one component of a comprehensive individual and family support program that includes other resources: other financial resources, peer supports, family to family support, information and referral, etc.  While the financial assistance available under the IFSP is certainly of some benefit to those fortunate enough to be selected to receive funding, it is essentially a one-time award that can do little to address, in a comprehensive manner, the needs of individuals and families without consideration of other ongoing supports available to support community living. Otherwise, there were few concrete strategies in designing the IFSP to complement, or to coordinate with, other available supports.  The only significant exception was the allowance for funds to provide additional supports to individuals, and their families, who are served under the EDCD Waiver, the Day Supports Waiver and the Technology Assisted waiver, all of which provide some services, usually at a lower intensity overall than would be available under the ID or DD waivers. </w:t>
      </w:r>
    </w:p>
    <w:p w:rsidR="004C608D" w:rsidRDefault="004C608D" w:rsidP="004C608D">
      <w:pPr>
        <w:spacing w:after="160" w:line="259" w:lineRule="auto"/>
        <w:contextualSpacing/>
        <w:jc w:val="both"/>
      </w:pPr>
    </w:p>
    <w:p w:rsidR="004C608D" w:rsidRDefault="004C608D" w:rsidP="004C608D">
      <w:pPr>
        <w:spacing w:after="160" w:line="259" w:lineRule="auto"/>
        <w:contextualSpacing/>
        <w:jc w:val="both"/>
      </w:pPr>
    </w:p>
    <w:p w:rsidR="004C608D" w:rsidRDefault="004C608D" w:rsidP="004C608D">
      <w:pPr>
        <w:spacing w:after="160" w:line="259" w:lineRule="auto"/>
        <w:contextualSpacing/>
        <w:jc w:val="both"/>
      </w:pPr>
    </w:p>
    <w:p w:rsidR="004C608D" w:rsidRDefault="004C608D" w:rsidP="004C608D">
      <w:pPr>
        <w:spacing w:after="160" w:line="259" w:lineRule="auto"/>
        <w:contextualSpacing/>
        <w:jc w:val="both"/>
      </w:pPr>
    </w:p>
    <w:p w:rsidR="004C608D" w:rsidRPr="00EF5B9D" w:rsidRDefault="004C608D" w:rsidP="004C608D">
      <w:pPr>
        <w:spacing w:after="160" w:line="259" w:lineRule="auto"/>
        <w:contextualSpacing/>
        <w:jc w:val="both"/>
      </w:pPr>
    </w:p>
    <w:p w:rsidR="004C608D" w:rsidRPr="00EF5B9D" w:rsidRDefault="004C608D" w:rsidP="004C608D">
      <w:pPr>
        <w:spacing w:after="160" w:line="256" w:lineRule="auto"/>
        <w:contextualSpacing/>
        <w:jc w:val="both"/>
      </w:pPr>
      <w:r w:rsidRPr="00EF5B9D">
        <w:t xml:space="preserve">Overall, the IFSP does not include adequate design, or program evaluation, strategies to make progress toward achieving the overall goal of a comprehensive and coordinated set of strategies for individual and family support.  There has been no assessment of individual and family supports available statewide or any goals, objectives and timelines for developing a comprehensive and coordinated set of strategies.   There has also been no evaluation of whether the IFSP has made progress toward achieving a “comprehensive and coordinated set of strategies.” </w:t>
      </w:r>
    </w:p>
    <w:p w:rsidR="004C608D" w:rsidRPr="00EF5B9D" w:rsidRDefault="004C608D" w:rsidP="004C608D">
      <w:pPr>
        <w:spacing w:after="160" w:line="256" w:lineRule="auto"/>
        <w:contextualSpacing/>
        <w:jc w:val="both"/>
      </w:pPr>
    </w:p>
    <w:p w:rsidR="004C608D" w:rsidRPr="00EF5B9D" w:rsidRDefault="004C608D" w:rsidP="004C608D">
      <w:pPr>
        <w:numPr>
          <w:ilvl w:val="0"/>
          <w:numId w:val="53"/>
        </w:numPr>
        <w:spacing w:before="100" w:beforeAutospacing="1" w:after="100" w:afterAutospacing="1" w:line="276" w:lineRule="auto"/>
        <w:contextualSpacing/>
        <w:jc w:val="both"/>
        <w:rPr>
          <w:b/>
        </w:rPr>
      </w:pPr>
      <w:r w:rsidRPr="00EF5B9D">
        <w:rPr>
          <w:b/>
        </w:rPr>
        <w:t>Are the individual and family supports provided under the agreement coordinated with other services and supports for which a family or individual may be eligible?</w:t>
      </w:r>
    </w:p>
    <w:p w:rsidR="004C608D" w:rsidRPr="00EF5B9D" w:rsidRDefault="004C608D" w:rsidP="004C608D">
      <w:pPr>
        <w:spacing w:before="100" w:beforeAutospacing="1" w:after="100" w:afterAutospacing="1" w:line="276" w:lineRule="auto"/>
        <w:contextualSpacing/>
        <w:jc w:val="both"/>
      </w:pPr>
      <w:r w:rsidRPr="00EF5B9D">
        <w:t xml:space="preserve">From a systemic perspective, coordination with other services and supports for which a family or individual may be eligible has not yet been fully realized for individuals on the ID and IFSDD waitlists and their families, and the role of case management in facilitating this access and coordination of individual and family supports, and the IFSP in particular, has not been adequately examined.  The Settlement Agreement defines functions of case management, including assisting the individual to gain access to needed medical, social, education, housing, nutritional, therapeutic, behavioral, psychiatric, nursing, personal care, respite, and other services, all of which may be components of individual and family support, depending on the individualized situations. If the overall objective of providing individual and family supports is, as the IFSP Guidelines suggest, to support the continued residence of an individual with ID/DD in his/her own home or family home, then case management of the sort described above is essential to coordination of various services and supports that would be needed beyond a one-time monetary award.  </w:t>
      </w:r>
    </w:p>
    <w:p w:rsidR="004C608D" w:rsidRPr="00EF5B9D" w:rsidRDefault="004C608D" w:rsidP="004C608D">
      <w:pPr>
        <w:spacing w:before="100" w:beforeAutospacing="1" w:after="100" w:afterAutospacing="1" w:line="276" w:lineRule="auto"/>
        <w:contextualSpacing/>
        <w:jc w:val="both"/>
      </w:pPr>
    </w:p>
    <w:p w:rsidR="004C608D" w:rsidRPr="00EF5B9D" w:rsidRDefault="005137AF" w:rsidP="004C608D">
      <w:pPr>
        <w:spacing w:before="100" w:beforeAutospacing="1" w:after="100" w:afterAutospacing="1" w:line="276" w:lineRule="auto"/>
        <w:contextualSpacing/>
        <w:jc w:val="both"/>
      </w:pPr>
      <w:r>
        <w:t>Individuals on the ID and IFDDS</w:t>
      </w:r>
      <w:r w:rsidR="004C608D" w:rsidRPr="00EF5B9D">
        <w:t xml:space="preserve"> waitlists are assigned a case manager with a frequency of required contacts ranging from 30 to 90 days, depending on individual circumstances.  For individuals on the ID or DD waitlist who are receiving no services from other waivers, such contacts are not required to be face-to face meetings. Stakeholders reported in interviews that there is significant variability in the level of such assistance being provided to individuals on the waiver waitlists. This was reported to be most particularly for those on the IFSDD waitlist, which is consistent with the less intensive requirements for face-to-face case management for those individuals and their families.</w:t>
      </w:r>
    </w:p>
    <w:p w:rsidR="004C608D" w:rsidRPr="00EF5B9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contextualSpacing/>
        <w:jc w:val="both"/>
      </w:pPr>
      <w:r w:rsidRPr="00EF5B9D">
        <w:t>As it pertains specifically to the IFSP, there is not a role for case managers defined in the IFSP Guidelines, nor is there any indication in the IFSP application or instructions that guide individuals and families to their assigned case manager for any needed assistance.  DBHDS provided training to IFSDD case managers prior to this last round of funding, in January 2015, but again stakeholders reported some case managers take a more active role in notifying individuals and families of the opportunity, providing an application and/or providing guidance and assistance to those who need help with completing the application process. In an Individual and Family Support Focus Group held by the Independent Reviewer with indiv</w:t>
      </w:r>
      <w:r w:rsidR="005137AF">
        <w:t>iduals and families on the IFDDS</w:t>
      </w:r>
      <w:r w:rsidRPr="00EF5B9D">
        <w:t xml:space="preserve"> waitlist in March 2015, approximately 25% were not aware of the IFSP. The Independent Reviewer’s study of twenty-three individuals with DD, other than ID, and their families found that none (0%) </w:t>
      </w:r>
      <w:r w:rsidRPr="00EF5B9D">
        <w:rPr>
          <w:u w:val="single"/>
        </w:rPr>
        <w:t>reported</w:t>
      </w:r>
      <w:r w:rsidRPr="00EF5B9D">
        <w:t xml:space="preserve"> being familiar with the ISFP while they were on the IFSDD waitlist. While this is of note, data provided by DBHDS for FY 2014 indicated that 18% of funded applications were for individuals on the IFSDD waitlist, a figure which is consistent with the ratio of the ID waitlist vs. the IFSDD waitlist and would appear to indicate access to funding is equitable in that regard. Data for the other years would be needed to draw a clearer conclusion, however.</w:t>
      </w:r>
    </w:p>
    <w:p w:rsidR="004C608D" w:rsidRPr="00EF5B9D" w:rsidRDefault="004C608D" w:rsidP="004C608D">
      <w:pPr>
        <w:spacing w:before="100" w:beforeAutospacing="1" w:after="100" w:afterAutospacing="1" w:line="276" w:lineRule="auto"/>
        <w:contextualSpacing/>
        <w:jc w:val="both"/>
      </w:pPr>
    </w:p>
    <w:p w:rsidR="004C608D" w:rsidRDefault="004C608D" w:rsidP="004C608D">
      <w:pPr>
        <w:spacing w:before="100" w:beforeAutospacing="1" w:after="100" w:afterAutospacing="1" w:line="276" w:lineRule="auto"/>
        <w:jc w:val="both"/>
      </w:pPr>
      <w:r>
        <w:t>The number o</w:t>
      </w:r>
      <w:r w:rsidR="005137AF">
        <w:t>f applications for the IFSP has</w:t>
      </w:r>
      <w:r>
        <w:t xml:space="preserve"> grown between FY 2013 and FY 2015, from 1,744 to 5,500, an increase of 315%. The amounts requested also increased during that sme period from $2,303 to $2,500. (from 77% to 83% the maximum allowed). </w:t>
      </w:r>
      <w:r w:rsidRPr="00EF5B9D">
        <w:t xml:space="preserve">Current IFSP staffing resources are not sufficient to </w:t>
      </w:r>
      <w:r>
        <w:t xml:space="preserve">meet the turnaround goals set for handling and responding to applications before the most recent volume increase in the number of applications. These same staff resources cannot </w:t>
      </w:r>
      <w:r w:rsidRPr="00EF5B9D">
        <w:t xml:space="preserve">support </w:t>
      </w:r>
      <w:r>
        <w:t xml:space="preserve">the </w:t>
      </w:r>
      <w:r w:rsidRPr="00EF5B9D">
        <w:t>identification of other avai</w:t>
      </w:r>
      <w:r>
        <w:t>lable resources and coordinate</w:t>
      </w:r>
      <w:r w:rsidRPr="00EF5B9D">
        <w:t xml:space="preserve"> with other agencies for each appli</w:t>
      </w:r>
      <w:r>
        <w:t xml:space="preserve">cation it receives. </w:t>
      </w:r>
    </w:p>
    <w:p w:rsidR="004C608D" w:rsidRPr="00EF5B9D" w:rsidRDefault="004C608D" w:rsidP="004C608D">
      <w:pPr>
        <w:spacing w:before="100" w:beforeAutospacing="1" w:after="100" w:afterAutospacing="1" w:line="276" w:lineRule="auto"/>
        <w:jc w:val="both"/>
      </w:pPr>
      <w:r>
        <w:t>Families and advocates interviewed by the independent consultant consistently indicated frustration over the lack of transparency about the IFSP processes and perceived lack of responsiveness from IFSP at DBHDS</w:t>
      </w:r>
    </w:p>
    <w:p w:rsidR="004C608D" w:rsidRPr="00EF5B9D" w:rsidRDefault="004C608D" w:rsidP="004C608D">
      <w:pPr>
        <w:spacing w:before="100" w:beforeAutospacing="1" w:after="100" w:afterAutospacing="1" w:line="276" w:lineRule="auto"/>
        <w:jc w:val="both"/>
      </w:pPr>
      <w:r w:rsidRPr="00EF5B9D">
        <w:t xml:space="preserve">The IFSP Program Director from the first year of its operation reported she was able to do some such coordination informally in the first funding period, informing individuals and families of additional resources for their requested supports and facilitating contact. Current IFSP staff indicated in response to document review that some individuals were referred to DARS for respite grant funds, but no other coordination information was available.  </w:t>
      </w:r>
    </w:p>
    <w:p w:rsidR="004C608D" w:rsidRDefault="004C608D" w:rsidP="004C608D">
      <w:pPr>
        <w:numPr>
          <w:ilvl w:val="0"/>
          <w:numId w:val="53"/>
        </w:numPr>
        <w:spacing w:before="100" w:beforeAutospacing="1" w:after="100" w:afterAutospacing="1" w:line="276" w:lineRule="auto"/>
        <w:contextualSpacing/>
        <w:jc w:val="both"/>
        <w:rPr>
          <w:b/>
        </w:rPr>
      </w:pPr>
      <w:r w:rsidRPr="00EF5B9D">
        <w:rPr>
          <w:b/>
        </w:rPr>
        <w:t>Does the design and implementation of the individual and family supports adequately facilitate access to person-centered and family-centered resources, supports, services and other assistance?</w:t>
      </w:r>
      <w:r w:rsidRPr="00DE0923">
        <w:rPr>
          <w:rFonts w:cstheme="minorHAnsi"/>
        </w:rPr>
        <w:t xml:space="preserve"> </w:t>
      </w:r>
    </w:p>
    <w:p w:rsidR="004C608D" w:rsidRPr="00465359" w:rsidRDefault="004C608D" w:rsidP="004C608D">
      <w:pPr>
        <w:spacing w:before="100" w:beforeAutospacing="1" w:after="100" w:afterAutospacing="1" w:line="276" w:lineRule="auto"/>
        <w:contextualSpacing/>
        <w:jc w:val="both"/>
        <w:rPr>
          <w:b/>
        </w:rPr>
      </w:pPr>
    </w:p>
    <w:p w:rsidR="004C608D" w:rsidRPr="00EF5B9D" w:rsidRDefault="004C608D" w:rsidP="004C608D">
      <w:pPr>
        <w:spacing w:before="100" w:beforeAutospacing="1" w:after="100" w:afterAutospacing="1" w:line="276" w:lineRule="auto"/>
        <w:jc w:val="both"/>
      </w:pPr>
      <w:r w:rsidRPr="00EF5B9D">
        <w:t xml:space="preserve">As indicated above, systemic coordination of person-centered and family-centered resources, supports and services does not appear to be consistently available to individuals on the waitlists and their families at this time.  Other design and implementation factors also limit access, particularly related to the first-come first-served processes.  Since the initiation of the IFSP, the volume of applications has grown as individuals and families have become more aware of the program.  In FY 2014, there were 1,539 applications received and 1,300 (84%) were funded.  In the first funding period for FY 2015, 3,300 applications were received, but only 600 (18%) were funded.  A second FY 2015 funding period opened on March 31, 2015, and by April 14, 2015, approximately 2,000 applications had been received according to IFSP staff.  It would appear that the number of FY2015 applications would have at least tripled the </w:t>
      </w:r>
      <w:r>
        <w:t xml:space="preserve">, from 1,744 to 5,500, an increase of 315%. The amounts requested </w:t>
      </w:r>
      <w:r w:rsidRPr="00EF5B9D">
        <w:t xml:space="preserve">number received in FY2014.   There has also been a steady trend toward requests for a higher dollar amount, as represented on the table below. </w:t>
      </w:r>
    </w:p>
    <w:tbl>
      <w:tblPr>
        <w:tblpPr w:leftFromText="187" w:rightFromText="187" w:vertAnchor="text" w:horzAnchor="margin" w:tblpX="102"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512"/>
        <w:gridCol w:w="1512"/>
        <w:gridCol w:w="1512"/>
        <w:gridCol w:w="1512"/>
        <w:gridCol w:w="1512"/>
      </w:tblGrid>
      <w:tr w:rsidR="004C608D" w:rsidRPr="00EF5B9D" w:rsidTr="004C608D">
        <w:tc>
          <w:tcPr>
            <w:tcW w:w="1998" w:type="dxa"/>
            <w:tcBorders>
              <w:top w:val="single" w:sz="4" w:space="0" w:color="auto"/>
              <w:left w:val="single" w:sz="4" w:space="0" w:color="auto"/>
              <w:bottom w:val="single" w:sz="4" w:space="0" w:color="auto"/>
              <w:right w:val="single" w:sz="4" w:space="0" w:color="auto"/>
            </w:tcBorders>
            <w:shd w:val="clear" w:color="auto" w:fill="E7E6E6"/>
          </w:tcPr>
          <w:p w:rsidR="004C608D" w:rsidRPr="00EF5B9D" w:rsidRDefault="004C608D" w:rsidP="004C608D"/>
        </w:tc>
        <w:tc>
          <w:tcPr>
            <w:tcW w:w="1512" w:type="dxa"/>
            <w:tcBorders>
              <w:top w:val="single" w:sz="4" w:space="0" w:color="auto"/>
              <w:left w:val="single" w:sz="4" w:space="0" w:color="auto"/>
              <w:bottom w:val="single" w:sz="4" w:space="0" w:color="auto"/>
              <w:right w:val="single" w:sz="4" w:space="0" w:color="auto"/>
            </w:tcBorders>
            <w:shd w:val="clear" w:color="auto" w:fill="E7E6E6"/>
            <w:hideMark/>
          </w:tcPr>
          <w:p w:rsidR="004C608D" w:rsidRPr="00EF5B9D" w:rsidRDefault="004C608D" w:rsidP="004C608D">
            <w:r w:rsidRPr="00EF5B9D">
              <w:t>Applications Received</w:t>
            </w:r>
          </w:p>
        </w:tc>
        <w:tc>
          <w:tcPr>
            <w:tcW w:w="1512" w:type="dxa"/>
            <w:tcBorders>
              <w:top w:val="single" w:sz="4" w:space="0" w:color="auto"/>
              <w:left w:val="single" w:sz="4" w:space="0" w:color="auto"/>
              <w:bottom w:val="single" w:sz="4" w:space="0" w:color="auto"/>
              <w:right w:val="single" w:sz="4" w:space="0" w:color="auto"/>
            </w:tcBorders>
            <w:shd w:val="clear" w:color="auto" w:fill="E7E6E6"/>
            <w:hideMark/>
          </w:tcPr>
          <w:p w:rsidR="004C608D" w:rsidRPr="00EF5B9D" w:rsidRDefault="004C608D" w:rsidP="004C608D">
            <w:r w:rsidRPr="00EF5B9D">
              <w:t>Applications Funded</w:t>
            </w:r>
          </w:p>
        </w:tc>
        <w:tc>
          <w:tcPr>
            <w:tcW w:w="1512" w:type="dxa"/>
            <w:tcBorders>
              <w:top w:val="single" w:sz="4" w:space="0" w:color="auto"/>
              <w:left w:val="single" w:sz="4" w:space="0" w:color="auto"/>
              <w:bottom w:val="single" w:sz="4" w:space="0" w:color="auto"/>
              <w:right w:val="single" w:sz="4" w:space="0" w:color="auto"/>
            </w:tcBorders>
            <w:shd w:val="clear" w:color="auto" w:fill="E7E6E6"/>
            <w:hideMark/>
          </w:tcPr>
          <w:p w:rsidR="004C608D" w:rsidRPr="00EF5B9D" w:rsidRDefault="004C608D" w:rsidP="004C608D">
            <w:r w:rsidRPr="00EF5B9D">
              <w:t>Percentage</w:t>
            </w:r>
          </w:p>
          <w:p w:rsidR="004C608D" w:rsidRPr="00EF5B9D" w:rsidRDefault="004C608D" w:rsidP="004C608D">
            <w:r w:rsidRPr="00EF5B9D">
              <w:t>Funded</w:t>
            </w:r>
          </w:p>
        </w:tc>
        <w:tc>
          <w:tcPr>
            <w:tcW w:w="1512" w:type="dxa"/>
            <w:tcBorders>
              <w:top w:val="single" w:sz="4" w:space="0" w:color="auto"/>
              <w:left w:val="single" w:sz="4" w:space="0" w:color="auto"/>
              <w:bottom w:val="single" w:sz="4" w:space="0" w:color="auto"/>
              <w:right w:val="single" w:sz="4" w:space="0" w:color="auto"/>
            </w:tcBorders>
            <w:shd w:val="clear" w:color="auto" w:fill="E7E6E6"/>
            <w:hideMark/>
          </w:tcPr>
          <w:p w:rsidR="004C608D" w:rsidRPr="00EF5B9D" w:rsidRDefault="004C608D" w:rsidP="004C608D">
            <w:r w:rsidRPr="00EF5B9D">
              <w:t>Total Funds Expended</w:t>
            </w:r>
          </w:p>
        </w:tc>
        <w:tc>
          <w:tcPr>
            <w:tcW w:w="1512" w:type="dxa"/>
            <w:tcBorders>
              <w:top w:val="single" w:sz="4" w:space="0" w:color="auto"/>
              <w:left w:val="single" w:sz="4" w:space="0" w:color="auto"/>
              <w:bottom w:val="single" w:sz="4" w:space="0" w:color="auto"/>
              <w:right w:val="single" w:sz="4" w:space="0" w:color="auto"/>
            </w:tcBorders>
            <w:shd w:val="clear" w:color="auto" w:fill="E7E6E6"/>
            <w:hideMark/>
          </w:tcPr>
          <w:p w:rsidR="004C608D" w:rsidRPr="00EF5B9D" w:rsidRDefault="004C608D" w:rsidP="004C608D">
            <w:r w:rsidRPr="00EF5B9D">
              <w:t>Average Dollars per Application</w:t>
            </w:r>
          </w:p>
        </w:tc>
      </w:tr>
      <w:tr w:rsidR="004C608D" w:rsidRPr="00EF5B9D" w:rsidTr="004C608D">
        <w:tc>
          <w:tcPr>
            <w:tcW w:w="1998"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r w:rsidRPr="00EF5B9D">
              <w:t>FY 2013</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1,744</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825</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47%</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$1.9 million</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Default="004C608D" w:rsidP="004C608D">
            <w:pPr>
              <w:jc w:val="center"/>
            </w:pPr>
          </w:p>
          <w:p w:rsidR="004C608D" w:rsidRDefault="004C608D" w:rsidP="004C608D">
            <w:pPr>
              <w:jc w:val="center"/>
            </w:pPr>
            <w:r w:rsidRPr="00EF5B9D">
              <w:t>$2,303</w:t>
            </w:r>
          </w:p>
          <w:p w:rsidR="004C608D" w:rsidRPr="00EF5B9D" w:rsidRDefault="004C608D" w:rsidP="004C608D">
            <w:pPr>
              <w:jc w:val="center"/>
            </w:pPr>
          </w:p>
        </w:tc>
      </w:tr>
      <w:tr w:rsidR="004C608D" w:rsidRPr="00EF5B9D" w:rsidTr="004C608D">
        <w:tc>
          <w:tcPr>
            <w:tcW w:w="1998"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r w:rsidRPr="00EF5B9D">
              <w:t>FY 2014</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1,539</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1,300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84%</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$3.2 million</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Default="004C608D" w:rsidP="004C608D">
            <w:pPr>
              <w:jc w:val="center"/>
            </w:pPr>
          </w:p>
          <w:p w:rsidR="004C608D" w:rsidRDefault="004C608D" w:rsidP="004C608D">
            <w:pPr>
              <w:jc w:val="center"/>
            </w:pPr>
            <w:r w:rsidRPr="00EF5B9D">
              <w:t>$2,461</w:t>
            </w:r>
          </w:p>
          <w:p w:rsidR="004C608D" w:rsidRPr="00EF5B9D" w:rsidRDefault="004C608D" w:rsidP="004C608D">
            <w:pPr>
              <w:jc w:val="center"/>
            </w:pPr>
          </w:p>
        </w:tc>
      </w:tr>
      <w:tr w:rsidR="004C608D" w:rsidRPr="00EF5B9D" w:rsidTr="004C608D">
        <w:tc>
          <w:tcPr>
            <w:tcW w:w="1998"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r w:rsidRPr="00EF5B9D">
              <w:t xml:space="preserve">FY 2015 </w:t>
            </w:r>
          </w:p>
          <w:p w:rsidR="004C608D" w:rsidRPr="00EF5B9D" w:rsidRDefault="004C608D" w:rsidP="004C608D">
            <w:r w:rsidRPr="00EF5B9D">
              <w:t>(First Funding Period)</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3,300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600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18%</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$1.5 million</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$2,500</w:t>
            </w:r>
          </w:p>
        </w:tc>
      </w:tr>
      <w:tr w:rsidR="004C608D" w:rsidRPr="00EF5B9D" w:rsidTr="004C608D">
        <w:tc>
          <w:tcPr>
            <w:tcW w:w="1998" w:type="dxa"/>
            <w:tcBorders>
              <w:top w:val="single" w:sz="4" w:space="0" w:color="auto"/>
              <w:left w:val="single" w:sz="4" w:space="0" w:color="auto"/>
              <w:bottom w:val="single" w:sz="4" w:space="0" w:color="auto"/>
              <w:right w:val="single" w:sz="4" w:space="0" w:color="auto"/>
            </w:tcBorders>
            <w:hideMark/>
          </w:tcPr>
          <w:p w:rsidR="004C608D" w:rsidRDefault="004C608D" w:rsidP="004C608D">
            <w:r w:rsidRPr="00EF5B9D">
              <w:t>FY 2015</w:t>
            </w:r>
          </w:p>
          <w:p w:rsidR="004C608D" w:rsidRDefault="004C608D" w:rsidP="004C608D">
            <w:r>
              <w:t xml:space="preserve">(Second </w:t>
            </w:r>
            <w:r w:rsidRPr="00EF5B9D">
              <w:t xml:space="preserve">Funding </w:t>
            </w:r>
          </w:p>
          <w:p w:rsidR="004C608D" w:rsidRPr="00EF5B9D" w:rsidRDefault="004C608D" w:rsidP="004C608D">
            <w:r w:rsidRPr="00EF5B9D">
              <w:t>Period To Date)</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2,000</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TBD</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TBD</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TBD</w:t>
            </w:r>
          </w:p>
        </w:tc>
        <w:tc>
          <w:tcPr>
            <w:tcW w:w="1512" w:type="dxa"/>
            <w:tcBorders>
              <w:top w:val="single" w:sz="4" w:space="0" w:color="auto"/>
              <w:left w:val="single" w:sz="4" w:space="0" w:color="auto"/>
              <w:bottom w:val="single" w:sz="4" w:space="0" w:color="auto"/>
              <w:right w:val="single" w:sz="4" w:space="0" w:color="auto"/>
            </w:tcBorders>
            <w:vAlign w:val="center"/>
            <w:hideMark/>
          </w:tcPr>
          <w:p w:rsidR="004C608D" w:rsidRPr="00EF5B9D" w:rsidRDefault="004C608D" w:rsidP="004C608D">
            <w:pPr>
              <w:jc w:val="center"/>
            </w:pPr>
            <w:r w:rsidRPr="00EF5B9D">
              <w:t>TBD</w:t>
            </w:r>
          </w:p>
        </w:tc>
      </w:tr>
    </w:tbl>
    <w:p w:rsidR="004C608D" w:rsidRPr="00EF5B9D" w:rsidRDefault="004C608D" w:rsidP="004C608D">
      <w:pPr>
        <w:spacing w:before="100" w:beforeAutospacing="1" w:after="100" w:afterAutospacing="1" w:line="276" w:lineRule="auto"/>
        <w:contextualSpacing/>
        <w:jc w:val="both"/>
      </w:pPr>
      <w:r w:rsidRPr="00EF5B9D">
        <w:rPr>
          <w:b/>
          <w:sz w:val="20"/>
          <w:szCs w:val="20"/>
        </w:rPr>
        <w:t>Table 1: IFSP Funding Data by FY (Fiscal Year)</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IFSP staff report that individuals and families are increasingly requesting the maximum $3,000 amount of funding with increasing frequency.  Families are allowed to select among several various broad categories and have a full twelve months to expend the allotment.  In the most recent funding period, they also have had more flexibility to make unilateral adjustments to the original intended purpose for the funds, as long as the expense is among the approved potential expenditures. This trend may result in serving fewer individual and families, if the first funding period of FY 2015 is any indication.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Families and advocates interviewed for this study also consistently indicated frustration over a lack of clarity and transparency about the IFSP processes and perceived lack of responsiveness from IFSP staff at DBHDS.  This was the most frequent concern expressed across stakeholder interviews. There were many descriptions of frustrations experienced by the interviewees and the stakeholders they represent, including: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1"/>
        </w:numPr>
        <w:spacing w:before="100" w:beforeAutospacing="1" w:after="100" w:afterAutospacing="1" w:line="276" w:lineRule="auto"/>
        <w:contextualSpacing/>
        <w:jc w:val="both"/>
      </w:pPr>
      <w:r w:rsidRPr="00EF5B9D">
        <w:t xml:space="preserve">Individuals and families are unable to find out the status of an application for many months, including both whether it had been received, funded or not funded. </w:t>
      </w:r>
    </w:p>
    <w:p w:rsidR="004C608D" w:rsidRPr="00EF5B9D" w:rsidRDefault="004C608D" w:rsidP="004C608D">
      <w:pPr>
        <w:numPr>
          <w:ilvl w:val="0"/>
          <w:numId w:val="51"/>
        </w:numPr>
        <w:spacing w:before="100" w:beforeAutospacing="1" w:after="100" w:afterAutospacing="1" w:line="276" w:lineRule="auto"/>
        <w:contextualSpacing/>
        <w:jc w:val="both"/>
      </w:pPr>
      <w:r w:rsidRPr="00EF5B9D">
        <w:t>Individuals and families were requested in this fiscal year to delay asking for summer camp funding until the second funding period, but notifications of award were to begin on July 1.  By that time, most camp spots were likely to be filled, and it was not feasible to make deposits in the hopes of receiving funding in time, since reimbursement of that deposit is not allowed under the current guidelines.</w:t>
      </w:r>
    </w:p>
    <w:p w:rsidR="004C608D" w:rsidRPr="00EF5B9D" w:rsidRDefault="004C608D" w:rsidP="004C608D">
      <w:pPr>
        <w:numPr>
          <w:ilvl w:val="0"/>
          <w:numId w:val="51"/>
        </w:numPr>
        <w:spacing w:before="100" w:beforeAutospacing="1" w:after="100" w:afterAutospacing="1" w:line="276" w:lineRule="auto"/>
        <w:contextualSpacing/>
        <w:jc w:val="both"/>
      </w:pPr>
      <w:r w:rsidRPr="00EF5B9D">
        <w:t xml:space="preserve">In some instances, notifications of award status were never received. </w:t>
      </w:r>
    </w:p>
    <w:p w:rsidR="004C608D" w:rsidRPr="00EF5B9D" w:rsidRDefault="004C608D" w:rsidP="004C608D">
      <w:pPr>
        <w:numPr>
          <w:ilvl w:val="0"/>
          <w:numId w:val="51"/>
        </w:numPr>
        <w:spacing w:before="100" w:beforeAutospacing="1" w:after="100" w:afterAutospacing="1" w:line="276" w:lineRule="auto"/>
        <w:contextualSpacing/>
        <w:jc w:val="both"/>
      </w:pPr>
      <w:r w:rsidRPr="00EF5B9D">
        <w:t>There were changing expectations and due dates without adequate notice or explanation</w:t>
      </w:r>
    </w:p>
    <w:p w:rsidR="004C608D" w:rsidRPr="00EF5B9D" w:rsidRDefault="004C608D" w:rsidP="004C608D">
      <w:pPr>
        <w:numPr>
          <w:ilvl w:val="0"/>
          <w:numId w:val="51"/>
        </w:numPr>
        <w:spacing w:before="100" w:beforeAutospacing="1" w:after="100" w:afterAutospacing="1" w:line="276" w:lineRule="auto"/>
        <w:contextualSpacing/>
        <w:jc w:val="both"/>
      </w:pPr>
      <w:r w:rsidRPr="00EF5B9D">
        <w:t>Erroneous information, such as the incorrect zip code on the most recent application form</w:t>
      </w:r>
    </w:p>
    <w:p w:rsidR="004C608D" w:rsidRPr="00EF5B9D" w:rsidRDefault="004C608D" w:rsidP="004C608D">
      <w:pPr>
        <w:spacing w:before="100" w:beforeAutospacing="1" w:after="100" w:afterAutospacing="1" w:line="276" w:lineRule="auto"/>
        <w:contextualSpacing/>
        <w:jc w:val="both"/>
        <w:rPr>
          <w:b/>
        </w:rPr>
      </w:pPr>
    </w:p>
    <w:p w:rsidR="004C608D" w:rsidRDefault="004C608D" w:rsidP="004C608D">
      <w:pPr>
        <w:spacing w:before="100" w:beforeAutospacing="1" w:after="100" w:afterAutospacing="1" w:line="276" w:lineRule="auto"/>
        <w:contextualSpacing/>
        <w:jc w:val="both"/>
      </w:pPr>
      <w:r w:rsidRPr="00EF5B9D">
        <w:t>A Special Review of the Individual and Family Support Program, conducted by the DBHDS Office of Internal Audit, dated July 11, 2014, recommended that timeline goals be set for completion of application review and appropriate notifications.  Management response at that time, as noted in the audit document, was that the turn-around goal was 30 days between receipt of an application and submission of check requests to fiscal for processing, with 10 workdays allowed for check processing. This timeframe is considerably shorter than the current target dates described above.  IFSP staff stated in interviews conducted for this report that those proposed timeframes were unachievable given available staff resources and the growing volume of applications.</w:t>
      </w:r>
    </w:p>
    <w:p w:rsidR="004C608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rPr>
          <w:b/>
        </w:rPr>
      </w:pPr>
      <w:r w:rsidRPr="00EF5B9D">
        <w:rPr>
          <w:b/>
        </w:rPr>
        <w:t>Compliance Findings for</w:t>
      </w:r>
      <w:r w:rsidRPr="00EF5B9D">
        <w:t xml:space="preserve"> </w:t>
      </w:r>
      <w:r w:rsidRPr="00EF5B9D">
        <w:rPr>
          <w:b/>
        </w:rPr>
        <w:t>Section III.C.2.</w:t>
      </w:r>
    </w:p>
    <w:p w:rsidR="004C608D" w:rsidRPr="00EF5B9D" w:rsidRDefault="004C608D" w:rsidP="004C608D">
      <w:pPr>
        <w:pBdr>
          <w:top w:val="single" w:sz="4" w:space="1" w:color="auto"/>
          <w:left w:val="single" w:sz="4" w:space="4" w:color="auto"/>
          <w:bottom w:val="single" w:sz="4" w:space="1" w:color="auto"/>
          <w:right w:val="single" w:sz="4" w:space="4" w:color="auto"/>
        </w:pBdr>
        <w:ind w:left="720" w:right="720"/>
        <w:jc w:val="both"/>
        <w:rPr>
          <w:rFonts w:asciiTheme="minorHAnsi" w:hAnsiTheme="minorHAnsi"/>
          <w:i/>
        </w:rPr>
      </w:pPr>
      <w:r w:rsidRPr="00EF5B9D">
        <w:rPr>
          <w:rFonts w:asciiTheme="minorHAnsi" w:hAnsiTheme="minorHAnsi"/>
          <w:i/>
        </w:rPr>
        <w:t>The Commonwealth shall create an individual and family support program for individuals with ID/DD whom the Commonwealth determines to be most at risk of institutionalization. I</w:t>
      </w:r>
      <w:r w:rsidRPr="00EF5B9D">
        <w:rPr>
          <w:rFonts w:asciiTheme="minorHAnsi" w:hAnsiTheme="minorHAnsi" w:cs="Baskerville"/>
          <w:i/>
        </w:rPr>
        <w:t>n the State Fiscal Year 2015, a minimum of 1000 individuals supported.</w:t>
      </w:r>
    </w:p>
    <w:p w:rsidR="004C608D" w:rsidRPr="00EF5B9D" w:rsidRDefault="004C608D" w:rsidP="004C608D">
      <w:pPr>
        <w:spacing w:after="160" w:line="259" w:lineRule="auto"/>
        <w:contextualSpacing/>
        <w:jc w:val="both"/>
      </w:pPr>
    </w:p>
    <w:p w:rsidR="004C608D" w:rsidRPr="00EF5B9D" w:rsidRDefault="004C608D" w:rsidP="004C608D">
      <w:pPr>
        <w:numPr>
          <w:ilvl w:val="0"/>
          <w:numId w:val="53"/>
        </w:numPr>
        <w:spacing w:after="160"/>
        <w:contextualSpacing/>
        <w:jc w:val="both"/>
        <w:rPr>
          <w:b/>
        </w:rPr>
      </w:pPr>
      <w:r w:rsidRPr="00EF5B9D">
        <w:rPr>
          <w:b/>
        </w:rPr>
        <w:t>Does the design of the IFSP provide a clear and sound definition of “most at risk of institutionalization,” and has the definition has been refined to reflect the priority of supports to those at greatest risk?</w:t>
      </w:r>
      <w:r w:rsidRPr="00EF5B9D">
        <w:t xml:space="preserve"> </w:t>
      </w:r>
    </w:p>
    <w:p w:rsidR="004C608D" w:rsidRPr="00EF5B9D" w:rsidRDefault="004C608D" w:rsidP="004C608D">
      <w:pPr>
        <w:spacing w:before="100" w:beforeAutospacing="1" w:after="100" w:afterAutospacing="1" w:line="276" w:lineRule="auto"/>
        <w:jc w:val="both"/>
      </w:pPr>
      <w:r w:rsidRPr="00EF5B9D">
        <w:t>The “most at risk for institutionalization” requirement of the SA has been defined by DBHDS in a very broad manner.  Pr</w:t>
      </w:r>
      <w:r w:rsidR="005137AF">
        <w:t>esence on either the ID or IFDDS</w:t>
      </w:r>
      <w:r w:rsidRPr="00EF5B9D">
        <w:t xml:space="preserve"> waiver waitlist is the sole criterion for making the determination that someone is most at-risk for institutionalization and therefore eligible to receive a monetary award under the IFSP.  This broad definition is in keeping with the primary tenets of the traditional individual and family support programs that all individuals with intellectual and developmental disabilities and their families need and deserve supports and that they should not have to prove they are somehow more deserving than someone else.  </w:t>
      </w:r>
    </w:p>
    <w:p w:rsidR="004C608D" w:rsidRPr="00EF5B9D" w:rsidRDefault="004C608D" w:rsidP="004C608D">
      <w:pPr>
        <w:spacing w:before="100" w:beforeAutospacing="1" w:after="100" w:afterAutospacing="1" w:line="276" w:lineRule="auto"/>
        <w:contextualSpacing/>
        <w:jc w:val="both"/>
      </w:pPr>
      <w:r w:rsidRPr="00EF5B9D">
        <w:t xml:space="preserve">While most stakeholders appear to agree with this in principle, the philosophical and practical bases for these decisions have not been well documented or communicated, nor have stakeholders had ongoing input in the discussion to feel a level of comfort with the distribution of funding.  There is an almost universal uneasiness among stakeholder interviewees as to whether the design of the IFSP may be inherently unfair to those who need it the most.  A common theme expressed was that the needs of individuals and families on the waitlists varied dramatically and there was no prioritization based on individual situations that may seem more “important” or urgent than others. For example, there was some uneasiness expressed as to whether summer camp or violin lessons should be funded over health and safety-related needs.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The waitlist criteria for the ID and IFSDD waivers require only that individuals have diagnoses and needs that would necessitate the level of care provided in an institution if an appropriate community living environment were not otherwise provided. The ID waitlist is further stratified into “urgent” and “non-urgent,” but this differentiation is not factored in to the determination of most at risk or any prioritization.  On its face, this lack of most at risk prioritization between urgent and non-urgent appears to be contradictory.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There was a perception expressed among those interviewed that many more individuals were seeking to be placed on the IFSDD waitlist, in order to be eligible for IFSP funding, who might otherwise be in a relatively stable living situation that did not place them at imminent risk for institutionalization.  This is a consideration as it relates to whether such individuals are relatively most at risk.  While it was not possible within the scope of this project to make an assessment of why the IFSDD waitlist has grown, it had expanded at a more rapid pace than the ID waitlist.  Between June 2013 and April 2015, the DD waitlist grew from 1,300 to 1,885, a rate of 43%; during that same period the ID waitlist grew from 6,672 to 7,939, a rate of only 19%.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Each of these issues should be weighed carefully as the Commonwealth develops a comprehensive plan for individual and family supports.  There are arguments to be made on all sides, none of which is outside the bounds of the general principles upon which individual and family supports were originally founded.  Factors to be considered should include the requirements of the Settlement Agreement as well as the consensus of stakeholders’ perspectives regarding the significant gaps in comprehensiveness and coordination.</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3"/>
        </w:numPr>
        <w:spacing w:after="160"/>
        <w:contextualSpacing/>
        <w:jc w:val="both"/>
        <w:rPr>
          <w:b/>
        </w:rPr>
      </w:pPr>
      <w:r w:rsidRPr="00EF5B9D">
        <w:rPr>
          <w:b/>
        </w:rPr>
        <w:t>Does the design of the IFSP provide a clear and logical process, including prioritization criteria, for determining which individuals may be considered “most at risk of institutionalization,” and, if so, whether the process and prioritization criteria are implemented in a manner that is designed to address the risks of individuals who are most at risk of institutionalization.</w:t>
      </w:r>
    </w:p>
    <w:p w:rsidR="004C608D" w:rsidRPr="00EF5B9D" w:rsidRDefault="004C608D" w:rsidP="004C608D">
      <w:pPr>
        <w:spacing w:before="100" w:beforeAutospacing="1" w:after="100" w:afterAutospacing="1" w:line="276" w:lineRule="auto"/>
        <w:jc w:val="both"/>
      </w:pPr>
      <w:r w:rsidRPr="00EF5B9D">
        <w:t>The Administrative Code related to the IFSP (</w:t>
      </w:r>
      <w:r w:rsidRPr="00EF5B9D">
        <w:rPr>
          <w:rFonts w:ascii="Times New Roman" w:hAnsi="Times New Roman"/>
        </w:rPr>
        <w:t>§</w:t>
      </w:r>
      <w:r w:rsidRPr="00EF5B9D">
        <w:t xml:space="preserve">37.2-203) and the IFSP Guidelines, updated February 2014, do not provide any prioritization criteria for further determining which individuals may be most at risk for institutionalization beyond the requirement for being on the waitlist for either the ID or IFSDD waiver.  No assessment of level of need or current status as it relates to imminent risk of institutionalization is completed in the application review process.  Instead, the Code and Guidelines stipulate only that applications submitted by individuals and families will be considered on a first come-first served basis.  </w:t>
      </w:r>
    </w:p>
    <w:p w:rsidR="004C608D" w:rsidRPr="00EF5B9D" w:rsidRDefault="004C608D" w:rsidP="004C608D">
      <w:pPr>
        <w:spacing w:before="100" w:beforeAutospacing="1" w:after="100" w:afterAutospacing="1" w:line="276" w:lineRule="auto"/>
        <w:contextualSpacing/>
        <w:jc w:val="both"/>
      </w:pPr>
      <w:r w:rsidRPr="00EF5B9D">
        <w:t>As noted above, there was an almost universal uneasiness among stakeholder interviewees as to whether the design of the IFSP, particularly in this first come-first served approach, may be inherently unfair to those who need it the most. Most stakeholders shared concerns that higher-income and better-educated families are more likely to be able to get the application completed and submitted within the very small window that makes funding even possible.    The current guidelines require that an individual or family submit an application on one given day during the funding period to have any real chance of being approved.  This is a significant hardship for many.  Individuals and families cannot predict if a personal crisis, such as a family member illness, support staff not being available, car breakdown, etc.) may occur on the first day of the funding period; if so, and they cannot make it to the post office, their opportunity to receive funding is virtually nil.  Such crises also have the potential to occur more frequently for those with fewer social and financial resources, reinforcing the concern that those individuals and family members are at a disadvantage in terms of successfully receiving an award under the IFSP.</w:t>
      </w:r>
    </w:p>
    <w:p w:rsidR="004C608D" w:rsidRPr="00EF5B9D" w:rsidRDefault="004C608D" w:rsidP="004C608D">
      <w:pPr>
        <w:spacing w:after="160" w:line="259" w:lineRule="auto"/>
        <w:contextualSpacing/>
      </w:pPr>
    </w:p>
    <w:p w:rsidR="004C608D" w:rsidRPr="00EF5B9D" w:rsidRDefault="004C608D" w:rsidP="004C608D">
      <w:pPr>
        <w:spacing w:before="100" w:beforeAutospacing="1" w:after="100" w:afterAutospacing="1" w:line="276" w:lineRule="auto"/>
        <w:contextualSpacing/>
        <w:jc w:val="both"/>
      </w:pPr>
      <w:r w:rsidRPr="00EF5B9D">
        <w:t xml:space="preserve">Overall, the first come-first served structure has been unwieldy and impractical in any event. The volume of applications postmarked on the first day of the application far period exceeds the number that can be funded.  For example, of the 3,300 applications received in the first funding period for FY 2015, 2,278 were postmarked on the first day, and only 600 (26.3%) of those were approved for funding based on the available dollars.  As described elsewhere in this report, it was impossible to accurately determine which of the 600 among those 2,278 were actually “first-come.”  The resulting first-day volume also creates a sizeable backlog of applications and notifications that takes months to work through.  </w:t>
      </w:r>
    </w:p>
    <w:p w:rsidR="004C608D" w:rsidRPr="00EF5B9D" w:rsidRDefault="004C608D" w:rsidP="004C608D">
      <w:pPr>
        <w:spacing w:after="160" w:line="259" w:lineRule="auto"/>
        <w:contextualSpacing/>
        <w:jc w:val="both"/>
      </w:pPr>
    </w:p>
    <w:p w:rsidR="004C608D" w:rsidRPr="00EF5B9D" w:rsidRDefault="004C608D" w:rsidP="004C608D">
      <w:pPr>
        <w:numPr>
          <w:ilvl w:val="0"/>
          <w:numId w:val="53"/>
        </w:numPr>
        <w:spacing w:after="160"/>
        <w:contextualSpacing/>
        <w:jc w:val="both"/>
        <w:rPr>
          <w:b/>
        </w:rPr>
      </w:pPr>
      <w:r w:rsidRPr="00EF5B9D">
        <w:rPr>
          <w:b/>
        </w:rPr>
        <w:t>Has data been collected and any trends analyzed to determine whether the IFSP is fulfilling the Commonwealth’s obligations under the Agreement?</w:t>
      </w:r>
    </w:p>
    <w:p w:rsidR="004C608D" w:rsidRPr="00EF5B9D" w:rsidRDefault="004C608D" w:rsidP="004C608D">
      <w:pPr>
        <w:spacing w:after="160" w:line="259" w:lineRule="auto"/>
        <w:contextualSpacing/>
        <w:jc w:val="both"/>
      </w:pPr>
      <w:r w:rsidRPr="00EF5B9D">
        <w:t xml:space="preserve">DBHDS has been challenged with data collection and data management in the early going of the IFSP, primarily using spreadsheets that have been prone to error and difficult to manipulate for purposes of analysis and program evaluation.  A database has been developed that IFSP staff report has been functional since late CY2014.  This allows the IFSP office to present some data related to disbursement of the IFSP funds, but data are not yet being analyzed for quality improvement to any significant degree. </w:t>
      </w:r>
    </w:p>
    <w:p w:rsidR="004C608D" w:rsidRPr="00EF5B9D" w:rsidRDefault="004C608D" w:rsidP="004C608D">
      <w:pPr>
        <w:spacing w:after="160" w:line="259" w:lineRule="auto"/>
        <w:contextualSpacing/>
        <w:jc w:val="both"/>
      </w:pPr>
    </w:p>
    <w:p w:rsidR="004C608D" w:rsidRPr="00EF5B9D" w:rsidRDefault="004C608D" w:rsidP="004C608D">
      <w:pPr>
        <w:spacing w:after="160" w:line="259" w:lineRule="auto"/>
        <w:contextualSpacing/>
        <w:jc w:val="both"/>
        <w:rPr>
          <w:rFonts w:cs="Calibri"/>
        </w:rPr>
      </w:pPr>
      <w:r w:rsidRPr="00EF5B9D">
        <w:t xml:space="preserve">There have been no outcome or satisfaction indicators defined as of this date and no data collected related to performance, impact or satisfaction.  DBHDS expects to distribute a baseline satisfaction survey in the near future, according to the DBHDS </w:t>
      </w:r>
      <w:r w:rsidRPr="00EF5B9D">
        <w:rPr>
          <w:rFonts w:cs="Calibri"/>
        </w:rPr>
        <w:t>Director of Administrative and Community Operations, with a follow-up survey to be scheduled a year later.  This survey was in the process of being drafted at the time of this report.</w:t>
      </w:r>
    </w:p>
    <w:p w:rsidR="004C608D" w:rsidRPr="00EF5B9D" w:rsidRDefault="004C608D" w:rsidP="004C608D">
      <w:pPr>
        <w:spacing w:after="160" w:line="259" w:lineRule="auto"/>
        <w:contextualSpacing/>
        <w:jc w:val="both"/>
        <w:rPr>
          <w:rFonts w:cs="Calibri"/>
        </w:rPr>
      </w:pPr>
    </w:p>
    <w:p w:rsidR="004C608D" w:rsidRPr="00EF5B9D" w:rsidRDefault="004C608D" w:rsidP="004C608D">
      <w:pPr>
        <w:spacing w:after="160" w:line="259" w:lineRule="auto"/>
        <w:contextualSpacing/>
        <w:jc w:val="both"/>
      </w:pPr>
      <w:r w:rsidRPr="00EF5B9D">
        <w:rPr>
          <w:rFonts w:cs="Calibri"/>
        </w:rPr>
        <w:t>DBHDS also does not yet have a comprehensive picture of systemic individual and family supports on the broader scale and has not determined the indicators or data needed to demonstrate that the individual and family supports offered are comprehensive and coordinated.  For example, one stakeholder mentioned that at least some Community Service Boards (CSBs) had in the past received state performance contract funding to pay for individual and family supports for both children and adults, but that the funding was now only designated for children.  DBHDS was unable to provide any specific data regarding this funding, except to note the dollar amounts had been very small and that not all CSBs had received them.  It is essential a comprehensive and systemic needs and resource assessment be completed to ascertain how best to coordinate and use limited individual and family support funds.</w:t>
      </w:r>
    </w:p>
    <w:p w:rsidR="004C608D" w:rsidRPr="00EF5B9D" w:rsidRDefault="004C608D" w:rsidP="004C608D">
      <w:pPr>
        <w:spacing w:after="160" w:line="259" w:lineRule="auto"/>
        <w:contextualSpacing/>
      </w:pPr>
    </w:p>
    <w:p w:rsidR="004C608D" w:rsidRPr="00EF5B9D" w:rsidRDefault="004C608D" w:rsidP="004C608D">
      <w:pPr>
        <w:spacing w:after="160" w:line="259" w:lineRule="auto"/>
        <w:contextualSpacing/>
      </w:pPr>
      <w:r w:rsidRPr="00EF5B9D">
        <w:rPr>
          <w:b/>
        </w:rPr>
        <w:t>Compliance Findings for</w:t>
      </w:r>
      <w:r w:rsidRPr="00EF5B9D">
        <w:t xml:space="preserve"> </w:t>
      </w:r>
      <w:r w:rsidRPr="00EF5B9D">
        <w:rPr>
          <w:b/>
        </w:rPr>
        <w:t>Section III.C.8.b.</w:t>
      </w:r>
      <w:r w:rsidRPr="00EF5B9D">
        <w:t xml:space="preserve"> </w:t>
      </w:r>
    </w:p>
    <w:p w:rsidR="004C608D" w:rsidRPr="00EF5B9D" w:rsidRDefault="004C608D" w:rsidP="004C608D">
      <w:pPr>
        <w:pBdr>
          <w:top w:val="single" w:sz="4" w:space="1" w:color="auto"/>
          <w:left w:val="single" w:sz="4" w:space="4" w:color="auto"/>
          <w:bottom w:val="single" w:sz="4" w:space="1" w:color="auto"/>
          <w:right w:val="single" w:sz="4" w:space="4" w:color="auto"/>
        </w:pBdr>
        <w:ind w:left="720" w:right="720"/>
        <w:jc w:val="both"/>
        <w:rPr>
          <w:i/>
        </w:rPr>
      </w:pPr>
      <w:r w:rsidRPr="00EF5B9D">
        <w:rPr>
          <w:i/>
        </w:rPr>
        <w:t>The Commonwealth shall publish guidelines for families seeking intellectual and developmental disability services on how and where to apply for and obtain services. The guidelines will be updated annually and will be provided to appropriate agencies for use in directing individuals in the target population to the correct point of entry to access services.</w:t>
      </w:r>
    </w:p>
    <w:p w:rsidR="004C608D" w:rsidRPr="00EF5B9D" w:rsidRDefault="004C608D" w:rsidP="004C608D">
      <w:pPr>
        <w:spacing w:after="160" w:line="259" w:lineRule="auto"/>
        <w:ind w:left="360"/>
        <w:contextualSpacing/>
      </w:pPr>
    </w:p>
    <w:p w:rsidR="004C608D" w:rsidRPr="00EF5B9D" w:rsidRDefault="004C608D" w:rsidP="004C608D">
      <w:pPr>
        <w:spacing w:after="160" w:line="259" w:lineRule="auto"/>
        <w:contextualSpacing/>
      </w:pPr>
      <w:r w:rsidRPr="00EF5B9D">
        <w:t>Note: The IFSP Guidelines, application and application instructions were all considered in the evaluation of compliance for the Section.</w:t>
      </w:r>
    </w:p>
    <w:p w:rsidR="004C608D" w:rsidRPr="00EF5B9D" w:rsidRDefault="004C608D" w:rsidP="004C608D">
      <w:pPr>
        <w:spacing w:after="160" w:line="259" w:lineRule="auto"/>
        <w:contextualSpacing/>
      </w:pPr>
    </w:p>
    <w:p w:rsidR="004C608D" w:rsidRPr="00EF5B9D" w:rsidRDefault="004C608D" w:rsidP="004C608D">
      <w:pPr>
        <w:numPr>
          <w:ilvl w:val="0"/>
          <w:numId w:val="53"/>
        </w:numPr>
        <w:spacing w:after="160"/>
        <w:contextualSpacing/>
        <w:jc w:val="both"/>
        <w:rPr>
          <w:b/>
        </w:rPr>
      </w:pPr>
      <w:r w:rsidRPr="00EF5B9D">
        <w:rPr>
          <w:b/>
        </w:rPr>
        <w:t>Did the Commonwealth publish IFSP and other guidelines as required and updated as needed, at least annually?</w:t>
      </w:r>
    </w:p>
    <w:p w:rsidR="004C608D" w:rsidRPr="00EF5B9D" w:rsidRDefault="004C608D" w:rsidP="004C608D">
      <w:pPr>
        <w:spacing w:after="160"/>
        <w:ind w:left="360"/>
        <w:contextualSpacing/>
        <w:jc w:val="both"/>
      </w:pPr>
    </w:p>
    <w:p w:rsidR="004C608D" w:rsidRPr="00EF5B9D" w:rsidRDefault="004C608D" w:rsidP="004C608D">
      <w:pPr>
        <w:rPr>
          <w:rFonts w:ascii="Times" w:eastAsia="Times New Roman" w:hAnsi="Times"/>
          <w:sz w:val="20"/>
          <w:szCs w:val="20"/>
        </w:rPr>
      </w:pPr>
      <w:r w:rsidRPr="00EF5B9D">
        <w:rPr>
          <w:rFonts w:ascii="Times New Roman" w:eastAsia="Times New Roman" w:hAnsi="Times New Roman"/>
          <w:shd w:val="clear" w:color="auto" w:fill="FFFFFF"/>
        </w:rPr>
        <w:t>DBHDS last published updated IFSP Guidelines in February 2014.  These were largely identical, for the most part, to the Administrative Code (§37.2-203) promulgated September 9, 2014.  No additional updates have been made to the IFSP Guidelines, although some changes have been made to the processes that are not adequately represented in the current document.  In particular, the Guidelines indicate that individuals and families may submit applications throughout the year, but the current twice a year funding period process would render many of these applications unacceptable. The IFSP application and accompanying instructions have been revised on an ongoing basis and more accurately represent the current process, but individuals and families should not be required to attempt to reconcile these conflicts.  For purposes of accessing services generally, DBHDS-published fact sheets (“Just the Facts”) are available on-line for individuals/families and had been updated during the review period. Finding the guidelines is difficult, and not likely possible without detailed instructions. For example, locating guidelines for families seeking services requi</w:t>
      </w:r>
      <w:r>
        <w:rPr>
          <w:rFonts w:ascii="Times New Roman" w:eastAsia="Times New Roman" w:hAnsi="Times New Roman"/>
          <w:shd w:val="clear" w:color="auto" w:fill="FFFFFF"/>
        </w:rPr>
        <w:t>res</w:t>
      </w:r>
      <w:r w:rsidRPr="00EF5B9D">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the family to understand what services his or her family member might be eligible for </w:t>
      </w:r>
      <w:r w:rsidRPr="00EF5B9D">
        <w:rPr>
          <w:rFonts w:ascii="Times New Roman" w:eastAsia="Times New Roman" w:hAnsi="Times New Roman"/>
          <w:shd w:val="clear" w:color="auto" w:fill="FFFFFF"/>
        </w:rPr>
        <w:t xml:space="preserve">and then </w:t>
      </w:r>
      <w:r>
        <w:rPr>
          <w:rFonts w:ascii="Times New Roman" w:eastAsia="Times New Roman" w:hAnsi="Times New Roman"/>
          <w:shd w:val="clear" w:color="auto" w:fill="FFFFFF"/>
        </w:rPr>
        <w:t xml:space="preserve">navigating </w:t>
      </w:r>
      <w:r w:rsidRPr="00EF5B9D">
        <w:rPr>
          <w:rFonts w:ascii="Times New Roman" w:eastAsia="Times New Roman" w:hAnsi="Times New Roman"/>
          <w:shd w:val="clear" w:color="auto" w:fill="FFFFFF"/>
        </w:rPr>
        <w:t>a series of choices through four separate links on the DBHDS website to arrive at the ID waiver fact sheet. Once the fact sheet is opened, individuals</w:t>
      </w:r>
      <w:r>
        <w:rPr>
          <w:rFonts w:ascii="Times New Roman" w:eastAsia="Times New Roman" w:hAnsi="Times New Roman"/>
          <w:shd w:val="clear" w:color="auto" w:fill="FFFFFF"/>
        </w:rPr>
        <w:t>/families must then read through</w:t>
      </w:r>
      <w:r w:rsidRPr="00EF5B9D">
        <w:rPr>
          <w:rFonts w:ascii="Times New Roman" w:eastAsia="Times New Roman" w:hAnsi="Times New Roman"/>
          <w:shd w:val="clear" w:color="auto" w:fill="FFFFFF"/>
        </w:rPr>
        <w:t xml:space="preserve"> a nine-page document, without a table of contents, to find the </w:t>
      </w:r>
      <w:r>
        <w:rPr>
          <w:rFonts w:ascii="Times New Roman" w:eastAsia="Times New Roman" w:hAnsi="Times New Roman"/>
          <w:shd w:val="clear" w:color="auto" w:fill="FFFFFF"/>
        </w:rPr>
        <w:t>final section:</w:t>
      </w:r>
      <w:r w:rsidRPr="00EF5B9D">
        <w:rPr>
          <w:rFonts w:ascii="Times New Roman" w:eastAsia="Times New Roman" w:hAnsi="Times New Roman"/>
          <w:shd w:val="clear" w:color="auto" w:fill="FFFFFF"/>
        </w:rPr>
        <w:t xml:space="preserve"> “Accessing ID Waiver Services”.  This process must be repeat</w:t>
      </w:r>
      <w:r w:rsidR="004D2E71">
        <w:rPr>
          <w:rFonts w:ascii="Times New Roman" w:eastAsia="Times New Roman" w:hAnsi="Times New Roman"/>
          <w:shd w:val="clear" w:color="auto" w:fill="FFFFFF"/>
        </w:rPr>
        <w:t>ed for the Day Support and IFDDS</w:t>
      </w:r>
      <w:r w:rsidRPr="00EF5B9D">
        <w:rPr>
          <w:rFonts w:ascii="Times New Roman" w:eastAsia="Times New Roman" w:hAnsi="Times New Roman"/>
          <w:shd w:val="clear" w:color="auto" w:fill="FFFFFF"/>
        </w:rPr>
        <w:t xml:space="preserve"> fact sheets.</w:t>
      </w:r>
    </w:p>
    <w:p w:rsidR="004C608D" w:rsidRPr="00EF5B9D" w:rsidRDefault="004C608D" w:rsidP="004C608D">
      <w:pPr>
        <w:spacing w:after="160"/>
        <w:contextualSpacing/>
        <w:jc w:val="both"/>
      </w:pPr>
    </w:p>
    <w:p w:rsidR="004C608D" w:rsidRDefault="004C608D" w:rsidP="004C608D">
      <w:pPr>
        <w:numPr>
          <w:ilvl w:val="0"/>
          <w:numId w:val="53"/>
        </w:numPr>
        <w:spacing w:before="100" w:beforeAutospacing="1" w:after="100" w:afterAutospacing="1" w:line="276" w:lineRule="auto"/>
        <w:contextualSpacing/>
        <w:jc w:val="both"/>
        <w:rPr>
          <w:b/>
        </w:rPr>
      </w:pPr>
      <w:r w:rsidRPr="00EF5B9D">
        <w:rPr>
          <w:b/>
        </w:rPr>
        <w:t>Were appropriate outreach and dissemination processes undertaken to ensure individuals on the waitlists and their families had access to the IFSP guidelines on a timely basis?</w:t>
      </w:r>
    </w:p>
    <w:p w:rsidR="004C608D" w:rsidRPr="00EF5B9D" w:rsidRDefault="004C608D" w:rsidP="004C608D">
      <w:pPr>
        <w:spacing w:before="100" w:beforeAutospacing="1" w:after="100" w:afterAutospacing="1" w:line="276" w:lineRule="auto"/>
        <w:contextualSpacing/>
        <w:jc w:val="both"/>
        <w:rPr>
          <w:b/>
        </w:rPr>
      </w:pPr>
    </w:p>
    <w:p w:rsidR="004C608D" w:rsidRPr="00EF5B9D" w:rsidRDefault="004C608D" w:rsidP="004C608D">
      <w:pPr>
        <w:spacing w:before="100" w:beforeAutospacing="1" w:after="100" w:afterAutospacing="1" w:line="276" w:lineRule="auto"/>
        <w:jc w:val="both"/>
      </w:pPr>
      <w:r w:rsidRPr="00EF5B9D">
        <w:t xml:space="preserve">DBHDS reported it has implemented various outreach and dissemination strategies for the IFSP guidelines during each of the funding periods thus far. Overall, the IFSP Guidelines themselves have not been provided to individuals and families, other than to notify them of the availability of the document on-line.  In previous funding periods (FY 2013 and FY 2014) the application had been distributed to waiting list applicants by mail, but DBHDS has discontinued mailing the application in the last funding period (first half of FY 2015).  Instead, individuals on the waitlist who did not receive funding were notified by mail of the availability of the application on-line and of the date for the second funding period. This requires individuals and families to obtain these applications and other materials online or from a service or advocacy organization, which is of concern because not all individuals and families on the waitlists may have regular contact with such an organization or their designated case manager. </w:t>
      </w:r>
    </w:p>
    <w:p w:rsidR="004C608D" w:rsidRPr="00EF5B9D" w:rsidRDefault="004C608D" w:rsidP="004C608D">
      <w:pPr>
        <w:numPr>
          <w:ilvl w:val="0"/>
          <w:numId w:val="53"/>
        </w:numPr>
        <w:spacing w:after="160"/>
        <w:contextualSpacing/>
        <w:jc w:val="both"/>
        <w:rPr>
          <w:b/>
        </w:rPr>
      </w:pPr>
      <w:r w:rsidRPr="00EF5B9D">
        <w:rPr>
          <w:b/>
        </w:rPr>
        <w:t>Were appropriate agencies provided with the IFSP and other guidelines on a timely basis?</w:t>
      </w:r>
    </w:p>
    <w:p w:rsidR="004C608D" w:rsidRPr="00EF5B9D" w:rsidRDefault="004C608D" w:rsidP="004C608D">
      <w:pPr>
        <w:spacing w:after="160"/>
        <w:ind w:left="360"/>
        <w:contextualSpacing/>
        <w:jc w:val="both"/>
      </w:pPr>
    </w:p>
    <w:p w:rsidR="004C608D" w:rsidRPr="00EF5B9D" w:rsidRDefault="004C608D" w:rsidP="004C608D">
      <w:pPr>
        <w:spacing w:before="100" w:beforeAutospacing="1" w:after="100" w:afterAutospacing="1" w:line="276" w:lineRule="auto"/>
        <w:contextualSpacing/>
        <w:jc w:val="both"/>
      </w:pPr>
      <w:r w:rsidRPr="00EF5B9D">
        <w:t>DBHDS has disseminated the IFSP Guidelines primarily through publishing the document online at the DBHDS website. Appropriate agencies, such as Community Service Boards, advocacy organizations such as the Arc of Virginia and agencies providing private case management have been notified via email of the availability of the IFSP Guidelines and application form on-line.  There were no records of the Commonwealth providing the IFSP or other guidelines to the agencies that are frequently the first point of contact with a child with a significant developmental disability and his or her family, such as hospital neonatal intensive care units, pediatrician organizations, and the special education offices of public schools. It is again noted the IFSP Guidelines document was not updated during the past year and are not longer current with changes to the program. The IFSP Guidelines were last updated in February 2014 and do not accurately represent all current processes.</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53"/>
        </w:numPr>
        <w:spacing w:after="160"/>
        <w:contextualSpacing/>
        <w:jc w:val="both"/>
        <w:rPr>
          <w:b/>
        </w:rPr>
      </w:pPr>
      <w:r w:rsidRPr="00EF5B9D">
        <w:rPr>
          <w:b/>
        </w:rPr>
        <w:t>Were the published IFSP guidelines sufficient, in terms of detail, accuracy and accessibility to the population, to be effectively used to direct individuals in the target population to the correct point of entry to access services?</w:t>
      </w:r>
    </w:p>
    <w:p w:rsidR="004C608D" w:rsidRPr="00EF5B9D" w:rsidRDefault="004C608D" w:rsidP="004C608D">
      <w:pPr>
        <w:spacing w:after="160"/>
        <w:ind w:left="360"/>
        <w:contextualSpacing/>
        <w:jc w:val="both"/>
      </w:pPr>
    </w:p>
    <w:p w:rsidR="004C608D" w:rsidRPr="00EF5B9D" w:rsidRDefault="004C608D" w:rsidP="004C608D">
      <w:pPr>
        <w:spacing w:after="160"/>
        <w:contextualSpacing/>
        <w:jc w:val="both"/>
      </w:pPr>
      <w:r w:rsidRPr="00EF5B9D">
        <w:t>The IFSP Guidelines, as updated February, 2014, are not sufficient in terms of detail, accuracy and accessibility to the population, to be effectively used to direct individuals in the target population to the correct point of entry to access services. The Just the Facts guidelines are not designed for individuals/families who are not yet aware how to apply for waiver services or for those who have applied and are on the waitlists.</w:t>
      </w:r>
    </w:p>
    <w:p w:rsidR="004C608D" w:rsidRPr="00EF5B9D" w:rsidRDefault="004C608D" w:rsidP="004C608D">
      <w:pPr>
        <w:spacing w:after="160"/>
        <w:ind w:left="360"/>
        <w:contextualSpacing/>
        <w:jc w:val="both"/>
      </w:pPr>
    </w:p>
    <w:p w:rsidR="004C608D" w:rsidRPr="00EF5B9D" w:rsidRDefault="004C608D" w:rsidP="004C608D">
      <w:pPr>
        <w:spacing w:after="160"/>
        <w:contextualSpacing/>
        <w:jc w:val="both"/>
      </w:pPr>
      <w:r w:rsidRPr="00EF5B9D">
        <w:t xml:space="preserve">The IFSP Guidelines are not sufficiently accessible to all individuals and families.  The document is, with a few exceptions, a recapitulation of the Virginia Administrative Code and written in regulatory language that could not be considered accessible by many in the target population. </w:t>
      </w:r>
    </w:p>
    <w:p w:rsidR="004C608D" w:rsidRPr="00EF5B9D" w:rsidRDefault="004C608D" w:rsidP="004C608D">
      <w:pPr>
        <w:spacing w:after="160"/>
        <w:ind w:left="360"/>
        <w:contextualSpacing/>
        <w:jc w:val="both"/>
      </w:pPr>
    </w:p>
    <w:p w:rsidR="004C608D" w:rsidRPr="00EF5B9D" w:rsidRDefault="004C608D" w:rsidP="004C608D">
      <w:pPr>
        <w:spacing w:after="160"/>
        <w:contextualSpacing/>
        <w:jc w:val="both"/>
      </w:pPr>
      <w:r w:rsidRPr="00EF5B9D">
        <w:t xml:space="preserve">The IFSP Guidelines have not been updated and do not accurately reflect some of the changes that have occurred in the process since the last updating, or the realities of the first-come, first-serve process.  For example, the Guidelines state that individuals and families may apply for funding throughout the year; however, in the current bi-annual funding methodology, an application cannot be postmarked before a designated date to be considered eligible in the six-month period that follows.  This realistically means that an application submitted between the two funding period start dates would have no chance of being approved, since funds for the first period would have already been expended and the postmarked date would render it ineligible for the second period.  </w:t>
      </w:r>
    </w:p>
    <w:p w:rsidR="004C608D" w:rsidRPr="00EF5B9D" w:rsidRDefault="004C608D" w:rsidP="004C608D">
      <w:pPr>
        <w:spacing w:after="160"/>
        <w:contextualSpacing/>
        <w:jc w:val="both"/>
      </w:pPr>
    </w:p>
    <w:p w:rsidR="004C608D" w:rsidRPr="00EF5B9D" w:rsidRDefault="004C608D" w:rsidP="004C608D">
      <w:pPr>
        <w:spacing w:after="160"/>
        <w:contextualSpacing/>
        <w:jc w:val="both"/>
      </w:pPr>
      <w:r w:rsidRPr="00EF5B9D">
        <w:t>IFSP staff note that individuals and families do contact their office to try to understand what strategies are most likely to result in a positive outcome, i.e. making the cut before available funding is expended.  The current IFSP Guidelines do not provide a clear pathway in this regard, nor do the current first come-first served processes lend themselves to this level of clarity.</w:t>
      </w:r>
    </w:p>
    <w:p w:rsidR="004C608D" w:rsidRPr="00EF5B9D" w:rsidRDefault="004C608D" w:rsidP="004C608D">
      <w:pPr>
        <w:spacing w:after="160"/>
        <w:ind w:left="360"/>
        <w:contextualSpacing/>
        <w:jc w:val="both"/>
      </w:pPr>
    </w:p>
    <w:p w:rsidR="004C608D" w:rsidRPr="00EF5B9D" w:rsidRDefault="004C608D" w:rsidP="004C608D">
      <w:pPr>
        <w:numPr>
          <w:ilvl w:val="0"/>
          <w:numId w:val="54"/>
        </w:numPr>
        <w:spacing w:after="160" w:line="259" w:lineRule="auto"/>
        <w:contextualSpacing/>
        <w:rPr>
          <w:b/>
          <w:sz w:val="28"/>
          <w:szCs w:val="28"/>
        </w:rPr>
      </w:pPr>
      <w:r w:rsidRPr="00EF5B9D">
        <w:rPr>
          <w:b/>
          <w:sz w:val="28"/>
          <w:szCs w:val="28"/>
        </w:rPr>
        <w:t>CONCLUSIONS AND RECOMMENDATIONS</w:t>
      </w:r>
    </w:p>
    <w:p w:rsidR="004C608D" w:rsidRPr="00EF5B9D" w:rsidRDefault="004C608D" w:rsidP="004C608D">
      <w:pPr>
        <w:spacing w:after="160" w:line="259" w:lineRule="auto"/>
        <w:contextualSpacing/>
      </w:pPr>
    </w:p>
    <w:p w:rsidR="004C608D" w:rsidRPr="00EF5B9D" w:rsidRDefault="004C608D" w:rsidP="004C608D">
      <w:pPr>
        <w:spacing w:before="100" w:beforeAutospacing="1" w:after="100" w:afterAutospacing="1" w:line="276" w:lineRule="auto"/>
        <w:contextualSpacing/>
        <w:jc w:val="both"/>
      </w:pPr>
      <w:r w:rsidRPr="00EF5B9D">
        <w:t>The following recommendations are offered as steps toward achieving compliance with the individual and family support requirements of the Settlement Agreement.</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 xml:space="preserve">Develop and implement a formalized and ongoing avenue for stakeholder input to help to guide the evolution of individual and family support program as a person and family centered comprehensive and coordinated set of strategies in the Commonwealth, and of the IFSP in particular as a part of that overall set of strategies. </w:t>
      </w:r>
    </w:p>
    <w:p w:rsidR="004C608D" w:rsidRPr="00EF5B9D" w:rsidRDefault="004C608D" w:rsidP="004C608D">
      <w:pPr>
        <w:spacing w:before="100" w:beforeAutospacing="1" w:after="100" w:afterAutospacing="1" w:line="276" w:lineRule="auto"/>
        <w:ind w:left="360"/>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 xml:space="preserve">An overall strategic plan for individual and family supports should be developed through an inclusive stakeholder planning process.  Such indicators must reflect the broader definition of comprehensiveness and coordination and therefore a re-evaluation is needed of the conceptualization of an individual and family support program as more than a program of monetary awards. </w:t>
      </w:r>
    </w:p>
    <w:p w:rsidR="004C608D" w:rsidRPr="00EF5B9D" w:rsidRDefault="004C608D" w:rsidP="004C608D">
      <w:pPr>
        <w:spacing w:before="100" w:beforeAutospacing="1" w:after="100" w:afterAutospacing="1" w:line="276" w:lineRule="auto"/>
        <w:ind w:left="360"/>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 xml:space="preserve">The definition of “most at risk for institutionalization” should be fully explored with stakeholders in the process of strategic planning. </w:t>
      </w:r>
    </w:p>
    <w:p w:rsidR="004C608D" w:rsidRPr="00EF5B9D" w:rsidRDefault="004C608D" w:rsidP="004C608D">
      <w:pPr>
        <w:spacing w:before="100" w:beforeAutospacing="1" w:after="100" w:afterAutospacing="1" w:line="276" w:lineRule="auto"/>
        <w:ind w:left="360"/>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The roles of case management should be examined and expectations clearly defined as they relate to facilitating access to individual and family supports and to the IFSP in particula</w:t>
      </w:r>
      <w:r w:rsidR="004D2E71">
        <w:t>r for</w:t>
      </w:r>
      <w:r w:rsidR="003F2236">
        <w:t xml:space="preserve"> individuals on the ID and </w:t>
      </w:r>
      <w:r w:rsidRPr="00EF5B9D">
        <w:t xml:space="preserve">waiting lists and ensuring coordination with other services and supports for which they may be eligible.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An individual and family friendly guide to the IFSP and the application process should be developed and disseminated to individuals and families to ensure it provides a level of detail, accuracy and accessibility to the population, to be effectively used to direct individuals in the target population to the correct point of entry to access services.  It should be updated as programmatic changes occur that might affect eligibility, dates, supports available or any other modifications.</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Guidelines published for families seeking services should be designed to assist individuals/families who are not yet aware how to seek HCBS waiver services and for those who have applied and are on waitlists, as well as those who have been awarded a waiver slot.</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The Commonwealth should include the agencies that an individual/family is likely to be the first point of contact when a child is first diagnosed with a significant disability or when an individual is new to the Commonwealth, such as, hospital neonatal intensive care units, pediatrician organizations, and public school special education programs.</w:t>
      </w:r>
    </w:p>
    <w:p w:rsidR="004C608D" w:rsidRPr="00EF5B9D" w:rsidRDefault="004C608D" w:rsidP="004C608D">
      <w:pPr>
        <w:spacing w:before="100" w:beforeAutospacing="1" w:after="100" w:afterAutospacing="1" w:line="276" w:lineRule="auto"/>
        <w:ind w:left="360"/>
        <w:contextualSpacing/>
        <w:jc w:val="both"/>
      </w:pPr>
    </w:p>
    <w:p w:rsidR="004C608D" w:rsidRPr="00EF5B9D" w:rsidRDefault="004C608D" w:rsidP="004C608D">
      <w:pPr>
        <w:numPr>
          <w:ilvl w:val="0"/>
          <w:numId w:val="49"/>
        </w:numPr>
        <w:spacing w:before="100" w:beforeAutospacing="1" w:after="100" w:afterAutospacing="1" w:line="276" w:lineRule="auto"/>
        <w:ind w:left="360"/>
        <w:contextualSpacing/>
        <w:jc w:val="both"/>
      </w:pPr>
      <w:r w:rsidRPr="00EF5B9D">
        <w:t xml:space="preserve">DBHDS should identify indicators needed to adequately assess performance and outcomes related to access, comprehensiveness and coordination of individual and family supports and its impact on the risk of institutionalization and develop capacity for collection and analysis of the needed data.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 xml:space="preserve">DBHDS has acknowledged its awareness of the IFSP issues described in this report and has recently initiated a task force, led by the </w:t>
      </w:r>
      <w:r w:rsidRPr="00EF5B9D">
        <w:rPr>
          <w:rFonts w:cs="Calibri"/>
        </w:rPr>
        <w:t>Director of Administrative and Community Operations,</w:t>
      </w:r>
      <w:r w:rsidRPr="00EF5B9D">
        <w:rPr>
          <w:rFonts w:cs="Calibri"/>
          <w:b/>
        </w:rPr>
        <w:t xml:space="preserve"> </w:t>
      </w:r>
      <w:r w:rsidRPr="00EF5B9D">
        <w:t>to address many of them.  The stated purpose of this task force is to “develop a comprehensive family support system for the Commonwealth. To focus on and develop a viable work plan to address the S</w:t>
      </w:r>
      <w:r w:rsidR="00E66D28">
        <w:t xml:space="preserve">ettlement </w:t>
      </w:r>
      <w:r w:rsidRPr="00EF5B9D">
        <w:t>A</w:t>
      </w:r>
      <w:r w:rsidR="00E66D28">
        <w:t>greement</w:t>
      </w:r>
      <w:r w:rsidRPr="00EF5B9D">
        <w:t xml:space="preserve"> Project #19. To determine the overall composition of the work group including community stakeholders and to discuss upcoming meetings, goals, and foreseeable challenges.”  </w:t>
      </w:r>
    </w:p>
    <w:p w:rsidR="004C608D" w:rsidRPr="00EF5B9D" w:rsidRDefault="004C608D" w:rsidP="004C608D">
      <w:pPr>
        <w:spacing w:before="100" w:beforeAutospacing="1" w:after="100" w:afterAutospacing="1" w:line="276" w:lineRule="auto"/>
        <w:contextualSpacing/>
        <w:jc w:val="both"/>
      </w:pPr>
    </w:p>
    <w:p w:rsidR="004C608D" w:rsidRPr="00EF5B9D" w:rsidRDefault="004C608D" w:rsidP="004C608D">
      <w:pPr>
        <w:spacing w:before="100" w:beforeAutospacing="1" w:after="100" w:afterAutospacing="1" w:line="276" w:lineRule="auto"/>
        <w:contextualSpacing/>
        <w:jc w:val="both"/>
      </w:pPr>
      <w:r w:rsidRPr="00EF5B9D">
        <w:t>Some of the activities underway or planned include:</w:t>
      </w:r>
    </w:p>
    <w:p w:rsidR="004C608D" w:rsidRPr="00EF5B9D" w:rsidRDefault="004C608D" w:rsidP="004C608D">
      <w:pPr>
        <w:numPr>
          <w:ilvl w:val="0"/>
          <w:numId w:val="50"/>
        </w:numPr>
        <w:spacing w:before="100" w:beforeAutospacing="1" w:after="100" w:afterAutospacing="1" w:line="276" w:lineRule="auto"/>
        <w:contextualSpacing/>
      </w:pPr>
      <w:r w:rsidRPr="00EF5B9D">
        <w:t>Identification of stakeholder membership from across the Commonwealth.</w:t>
      </w:r>
    </w:p>
    <w:p w:rsidR="004C608D" w:rsidRPr="00EF5B9D" w:rsidRDefault="004C608D" w:rsidP="004C608D">
      <w:pPr>
        <w:numPr>
          <w:ilvl w:val="0"/>
          <w:numId w:val="50"/>
        </w:numPr>
        <w:spacing w:before="100" w:beforeAutospacing="1" w:after="100" w:afterAutospacing="1" w:line="276" w:lineRule="auto"/>
        <w:contextualSpacing/>
      </w:pPr>
      <w:r w:rsidRPr="00EF5B9D">
        <w:t xml:space="preserve">Research and analysis of other individual and family support programs across the country to identify best practices. </w:t>
      </w:r>
    </w:p>
    <w:p w:rsidR="004C608D" w:rsidRPr="00EF5B9D" w:rsidRDefault="004C608D" w:rsidP="004C608D">
      <w:pPr>
        <w:numPr>
          <w:ilvl w:val="0"/>
          <w:numId w:val="50"/>
        </w:numPr>
        <w:spacing w:before="100" w:beforeAutospacing="1" w:after="100" w:afterAutospacing="1" w:line="276" w:lineRule="auto"/>
        <w:contextualSpacing/>
      </w:pPr>
      <w:r w:rsidRPr="00EF5B9D">
        <w:t>Identifying and making needed revisions to the Administrative Code.</w:t>
      </w:r>
    </w:p>
    <w:p w:rsidR="004C608D" w:rsidRPr="00EF5B9D" w:rsidRDefault="004C608D" w:rsidP="004C608D">
      <w:pPr>
        <w:numPr>
          <w:ilvl w:val="0"/>
          <w:numId w:val="50"/>
        </w:numPr>
        <w:spacing w:before="100" w:beforeAutospacing="1" w:after="100" w:afterAutospacing="1" w:line="276" w:lineRule="auto"/>
        <w:contextualSpacing/>
      </w:pPr>
      <w:r w:rsidRPr="00EF5B9D">
        <w:t xml:space="preserve">Development of regional and statewide resource guides. </w:t>
      </w:r>
    </w:p>
    <w:p w:rsidR="004C608D" w:rsidRPr="00EF5B9D" w:rsidRDefault="004C608D" w:rsidP="004C608D">
      <w:pPr>
        <w:spacing w:before="100" w:beforeAutospacing="1" w:after="100" w:afterAutospacing="1" w:line="276" w:lineRule="auto"/>
        <w:contextualSpacing/>
      </w:pPr>
    </w:p>
    <w:p w:rsidR="004C608D" w:rsidRPr="00EF5B9D" w:rsidRDefault="004C608D" w:rsidP="004C608D">
      <w:pPr>
        <w:spacing w:before="100" w:beforeAutospacing="1" w:after="100" w:afterAutospacing="1" w:line="276" w:lineRule="auto"/>
        <w:contextualSpacing/>
        <w:jc w:val="both"/>
        <w:rPr>
          <w:rFonts w:cs="Calibri"/>
        </w:rPr>
      </w:pPr>
      <w:r w:rsidRPr="00EF5B9D">
        <w:t xml:space="preserve">Thus far, the proceedings have been internal to DBHDS.  The </w:t>
      </w:r>
      <w:r w:rsidRPr="00EF5B9D">
        <w:rPr>
          <w:rFonts w:cs="Calibri"/>
        </w:rPr>
        <w:t xml:space="preserve">Director of Administrative and Community Operations described a plan to bring a newly conceptualized framework to a re-constituted stakeholder workgroup for their review and input.  This framework generally would provide a more localized implementation structure for the IFSP; to be administered through regional individual and family controlled nonprofit organizations.  It would also expand individual and family supports to be provided to include the broader scope discussed earlier in this report, such as information and referral, family education, peer supports, family support groups, etc. </w:t>
      </w:r>
    </w:p>
    <w:p w:rsidR="004C608D" w:rsidRPr="00EF5B9D" w:rsidRDefault="004C608D" w:rsidP="004C608D">
      <w:pPr>
        <w:spacing w:before="100" w:beforeAutospacing="1" w:after="100" w:afterAutospacing="1" w:line="276" w:lineRule="auto"/>
        <w:contextualSpacing/>
        <w:jc w:val="both"/>
        <w:rPr>
          <w:rFonts w:cs="Calibri"/>
        </w:rPr>
      </w:pPr>
    </w:p>
    <w:p w:rsidR="004C608D" w:rsidRPr="00EF5B9D" w:rsidRDefault="004C608D" w:rsidP="004C608D">
      <w:pPr>
        <w:spacing w:before="100" w:beforeAutospacing="1" w:after="100" w:afterAutospacing="1" w:line="276" w:lineRule="auto"/>
        <w:contextualSpacing/>
        <w:jc w:val="both"/>
        <w:rPr>
          <w:rFonts w:cs="Calibri"/>
        </w:rPr>
      </w:pPr>
      <w:r w:rsidRPr="00EF5B9D">
        <w:rPr>
          <w:rFonts w:cs="Calibri"/>
        </w:rPr>
        <w:t>DBHDS should reference the recommendations provided above, particularly as they pertain to stakeholder participation in both the design and implementation of individual and family supports.  Such participation is not only critical to increased responsiveness to person and family-centered needs, it also builds acceptance and support for the design and ongoing implementation of the Commonwealth’s approach to the individual and family support program as a whole.</w:t>
      </w:r>
    </w:p>
    <w:p w:rsidR="004C608D" w:rsidRPr="00EF5B9D" w:rsidRDefault="004C608D" w:rsidP="004C608D">
      <w:pPr>
        <w:spacing w:before="100" w:beforeAutospacing="1" w:after="100" w:afterAutospacing="1" w:line="276" w:lineRule="auto"/>
        <w:contextualSpacing/>
        <w:jc w:val="both"/>
        <w:rPr>
          <w:rFonts w:cs="Calibri"/>
        </w:rPr>
      </w:pPr>
    </w:p>
    <w:p w:rsidR="004C608D" w:rsidRDefault="004C608D" w:rsidP="004C608D">
      <w:pPr>
        <w:spacing w:before="100" w:beforeAutospacing="1" w:after="100" w:afterAutospacing="1" w:line="276" w:lineRule="auto"/>
        <w:contextualSpacing/>
        <w:jc w:val="both"/>
        <w:rPr>
          <w:rFonts w:cs="Calibri"/>
        </w:rPr>
      </w:pPr>
      <w:r w:rsidRPr="00EF5B9D">
        <w:rPr>
          <w:rFonts w:cs="Calibri"/>
        </w:rPr>
        <w:t>Additional suggestions the Commonwealth may wish to consider as it moves forward with this initiative include:</w:t>
      </w:r>
    </w:p>
    <w:p w:rsidR="004C608D" w:rsidRPr="00EF5B9D" w:rsidRDefault="004C608D" w:rsidP="004C608D">
      <w:pPr>
        <w:spacing w:before="100" w:beforeAutospacing="1" w:after="100" w:afterAutospacing="1" w:line="276" w:lineRule="auto"/>
        <w:contextualSpacing/>
        <w:jc w:val="both"/>
        <w:rPr>
          <w:rFonts w:cs="Calibri"/>
        </w:rPr>
      </w:pPr>
    </w:p>
    <w:p w:rsidR="004C608D" w:rsidRDefault="004C608D" w:rsidP="004C608D">
      <w:pPr>
        <w:numPr>
          <w:ilvl w:val="0"/>
          <w:numId w:val="57"/>
        </w:numPr>
        <w:spacing w:before="100" w:beforeAutospacing="1" w:after="100" w:afterAutospacing="1" w:line="276" w:lineRule="auto"/>
        <w:ind w:left="360"/>
        <w:contextualSpacing/>
        <w:jc w:val="both"/>
      </w:pPr>
      <w:r w:rsidRPr="00EF5B9D">
        <w:t xml:space="preserve">As a strategic plan is developed, the Commonwealth should consider the cost/benefit of programmatic requirements that impose an additional burden on individuals and families without any significant rationale.  One example of such a consideration is whether the application period could be expanded, such that all applications received within, for example a two-week period, would be considered as a part of the first-come pool.  Since the current selection of approved applications is, in effect, randomly implemented anyway, this would allow for a more equitable and less stress-filled process.  Another consideration is whether requiring receipts for a relatively modest cash benefit is worth the time and effort expended by state personnel to collect and track them.  </w:t>
      </w:r>
    </w:p>
    <w:p w:rsidR="004C608D" w:rsidRPr="00EF5B9D" w:rsidRDefault="004C608D" w:rsidP="004C608D">
      <w:pPr>
        <w:spacing w:before="100" w:beforeAutospacing="1" w:after="100" w:afterAutospacing="1" w:line="276" w:lineRule="auto"/>
        <w:ind w:left="360"/>
        <w:contextualSpacing/>
        <w:jc w:val="both"/>
      </w:pPr>
    </w:p>
    <w:p w:rsidR="004C608D" w:rsidRPr="00EF5B9D" w:rsidRDefault="004C608D" w:rsidP="004C608D">
      <w:pPr>
        <w:numPr>
          <w:ilvl w:val="0"/>
          <w:numId w:val="57"/>
        </w:numPr>
        <w:spacing w:before="100" w:beforeAutospacing="1" w:after="100" w:afterAutospacing="1" w:line="276" w:lineRule="auto"/>
        <w:ind w:left="360"/>
        <w:contextualSpacing/>
        <w:jc w:val="both"/>
      </w:pPr>
      <w:r w:rsidRPr="00EF5B9D">
        <w:t xml:space="preserve">As the concept of “most at risk for institutionalization” is re-visited, it should take into account competing concerns.  These include the principle that all individuals with I/DD and families need and deserve supports, as well as the realization that some families may have more urgent and life-changing needs or that some may have more resources than others.  Whether or not to prioritize funding based on criteria such as financial need or degree of urgency are not simple and straightforward decisions, but rather a considered stakeholder consensus about how best to meet competing needs without excluding others completely. </w:t>
      </w:r>
    </w:p>
    <w:p w:rsidR="004C608D" w:rsidRPr="00EF5B9D" w:rsidRDefault="004C608D" w:rsidP="004C608D">
      <w:pPr>
        <w:spacing w:before="100" w:beforeAutospacing="1" w:after="100" w:afterAutospacing="1" w:line="276" w:lineRule="auto"/>
        <w:ind w:left="360"/>
        <w:contextualSpacing/>
        <w:jc w:val="both"/>
      </w:pPr>
    </w:p>
    <w:p w:rsidR="00926564" w:rsidRDefault="00926564" w:rsidP="004C608D">
      <w:pPr>
        <w:spacing w:before="100" w:beforeAutospacing="1" w:after="100" w:afterAutospacing="1" w:line="276" w:lineRule="auto"/>
        <w:contextualSpacing/>
        <w:jc w:val="both"/>
      </w:pPr>
    </w:p>
    <w:p w:rsidR="00926564" w:rsidRPr="00926564" w:rsidRDefault="00926564" w:rsidP="00926564"/>
    <w:p w:rsidR="00926564" w:rsidRPr="00926564" w:rsidRDefault="00926564" w:rsidP="00926564"/>
    <w:p w:rsidR="00926564" w:rsidRPr="00926564" w:rsidRDefault="00926564" w:rsidP="00926564"/>
    <w:p w:rsidR="00926564" w:rsidRDefault="00926564" w:rsidP="004C608D">
      <w:pPr>
        <w:spacing w:before="100" w:beforeAutospacing="1" w:after="100" w:afterAutospacing="1" w:line="276" w:lineRule="auto"/>
        <w:contextualSpacing/>
        <w:jc w:val="both"/>
      </w:pPr>
    </w:p>
    <w:p w:rsidR="00926564" w:rsidRDefault="00926564" w:rsidP="004C608D">
      <w:pPr>
        <w:spacing w:before="100" w:beforeAutospacing="1" w:after="100" w:afterAutospacing="1" w:line="276" w:lineRule="auto"/>
        <w:contextualSpacing/>
        <w:jc w:val="both"/>
      </w:pPr>
    </w:p>
    <w:p w:rsidR="00926564" w:rsidRDefault="00926564" w:rsidP="00926564">
      <w:pPr>
        <w:tabs>
          <w:tab w:val="left" w:pos="8753"/>
        </w:tabs>
        <w:spacing w:before="100" w:beforeAutospacing="1" w:after="100" w:afterAutospacing="1" w:line="276" w:lineRule="auto"/>
        <w:contextualSpacing/>
        <w:jc w:val="both"/>
      </w:pPr>
      <w:r>
        <w:tab/>
      </w:r>
    </w:p>
    <w:p w:rsidR="004C608D" w:rsidRPr="00EF5B9D" w:rsidRDefault="004C608D" w:rsidP="004C608D">
      <w:pPr>
        <w:spacing w:before="100" w:beforeAutospacing="1" w:after="100" w:afterAutospacing="1" w:line="276" w:lineRule="auto"/>
        <w:contextualSpacing/>
        <w:jc w:val="both"/>
        <w:rPr>
          <w:b/>
          <w:sz w:val="28"/>
          <w:szCs w:val="28"/>
        </w:rPr>
      </w:pPr>
      <w:r w:rsidRPr="00926564">
        <w:br w:type="page"/>
      </w:r>
      <w:r w:rsidRPr="00EF5B9D">
        <w:rPr>
          <w:b/>
          <w:sz w:val="28"/>
          <w:szCs w:val="28"/>
        </w:rPr>
        <w:t>APPENDIX A: DOCUMENT/DATA REVIEWED</w:t>
      </w:r>
    </w:p>
    <w:p w:rsidR="004C608D" w:rsidRPr="00EF5B9D" w:rsidRDefault="004C608D" w:rsidP="004C608D">
      <w:pPr>
        <w:spacing w:before="100" w:beforeAutospacing="1" w:after="100" w:afterAutospacing="1" w:line="276" w:lineRule="auto"/>
        <w:contextualSpacing/>
        <w:jc w:val="both"/>
        <w:rPr>
          <w:b/>
          <w:sz w:val="28"/>
          <w:szCs w:val="28"/>
        </w:rPr>
      </w:pP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Fonts w:ascii="Garamond" w:hAnsi="Garamond" w:cs="Calibri-Bold"/>
          <w:bCs/>
        </w:rPr>
        <w:t>Settlement Agreement Implementation Structure</w:t>
      </w:r>
    </w:p>
    <w:p w:rsidR="004C608D" w:rsidRPr="00EF5B9D" w:rsidRDefault="004C608D" w:rsidP="004C608D">
      <w:pPr>
        <w:pStyle w:val="s4"/>
        <w:numPr>
          <w:ilvl w:val="0"/>
          <w:numId w:val="58"/>
        </w:numPr>
        <w:spacing w:before="0" w:beforeAutospacing="0" w:after="0" w:afterAutospacing="0"/>
        <w:rPr>
          <w:rStyle w:val="s2"/>
          <w:rFonts w:ascii="Garamond" w:hAnsi="Garamond"/>
        </w:rPr>
      </w:pPr>
      <w:r w:rsidRPr="00EF5B9D">
        <w:rPr>
          <w:rFonts w:ascii="Garamond" w:hAnsi="Garamond" w:cs="Calibri-Bold"/>
          <w:bCs/>
        </w:rPr>
        <w:t>Initial creation and invite of IFSP Workgroup April 2012</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IFSP Meeting Notes 4-27-12</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IFSP Meeting Notes 4-27-12-1.</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Individual and Family Support Proposed Regulations-draft-5-7-12</w:t>
      </w:r>
    </w:p>
    <w:p w:rsidR="004C608D" w:rsidRPr="00EF5B9D" w:rsidRDefault="004C608D" w:rsidP="004C608D">
      <w:pPr>
        <w:numPr>
          <w:ilvl w:val="0"/>
          <w:numId w:val="58"/>
        </w:numPr>
        <w:spacing w:after="160" w:line="252" w:lineRule="auto"/>
        <w:contextualSpacing/>
      </w:pPr>
      <w:r w:rsidRPr="00EF5B9D">
        <w:t>Workgroup and Project Team minutes and reports for April 3, 2013 and May 15, 2014</w:t>
      </w:r>
    </w:p>
    <w:p w:rsidR="004C608D" w:rsidRPr="00EF5B9D" w:rsidRDefault="004C608D" w:rsidP="004C608D">
      <w:pPr>
        <w:numPr>
          <w:ilvl w:val="0"/>
          <w:numId w:val="58"/>
        </w:numPr>
        <w:spacing w:after="160" w:line="252" w:lineRule="auto"/>
        <w:contextualSpacing/>
      </w:pPr>
      <w:r w:rsidRPr="00EF5B9D">
        <w:t xml:space="preserve">DBHDS Individual and Family Support Program Guidelines, updated February 1, 2014 </w:t>
      </w:r>
    </w:p>
    <w:p w:rsidR="004C608D" w:rsidRPr="00EF5B9D" w:rsidRDefault="004C608D" w:rsidP="004C608D">
      <w:pPr>
        <w:numPr>
          <w:ilvl w:val="0"/>
          <w:numId w:val="58"/>
        </w:numPr>
        <w:spacing w:after="160" w:line="252" w:lineRule="auto"/>
        <w:contextualSpacing/>
      </w:pPr>
      <w:r w:rsidRPr="00EF5B9D">
        <w:t>IFSP Administrative Code (Virginia Administrative Code, Title 12. Health Agency 35. Department of Behavioral Health and Developmental Services, Chapter 230. Operation of the Individual and Family Support Program</w:t>
      </w:r>
    </w:p>
    <w:p w:rsidR="004C608D" w:rsidRPr="00EF5B9D" w:rsidRDefault="004C608D" w:rsidP="004C608D">
      <w:pPr>
        <w:numPr>
          <w:ilvl w:val="0"/>
          <w:numId w:val="58"/>
        </w:numPr>
        <w:spacing w:after="160" w:line="252" w:lineRule="auto"/>
        <w:contextualSpacing/>
      </w:pPr>
      <w:r w:rsidRPr="00EF5B9D">
        <w:t>IFSP Application and Instructions, FY 2015</w:t>
      </w:r>
    </w:p>
    <w:p w:rsidR="004C608D" w:rsidRPr="00EF5B9D" w:rsidRDefault="004C608D" w:rsidP="004C608D">
      <w:pPr>
        <w:numPr>
          <w:ilvl w:val="0"/>
          <w:numId w:val="58"/>
        </w:numPr>
        <w:spacing w:after="160" w:line="252" w:lineRule="auto"/>
        <w:contextualSpacing/>
      </w:pPr>
      <w:r w:rsidRPr="00EF5B9D">
        <w:t>Revised IFSP Application and Instructions, March 2015</w:t>
      </w:r>
    </w:p>
    <w:p w:rsidR="004C608D" w:rsidRPr="00EF5B9D" w:rsidRDefault="004C608D" w:rsidP="004C608D">
      <w:pPr>
        <w:numPr>
          <w:ilvl w:val="0"/>
          <w:numId w:val="58"/>
        </w:numPr>
        <w:spacing w:after="160" w:line="252" w:lineRule="auto"/>
        <w:contextualSpacing/>
      </w:pPr>
      <w:r w:rsidRPr="00EF5B9D">
        <w:t>DBHDS IFSP PowerPoint presentation, dated 7-10-13</w:t>
      </w:r>
    </w:p>
    <w:p w:rsidR="004C608D" w:rsidRPr="00EF5B9D" w:rsidRDefault="004C608D" w:rsidP="004C608D">
      <w:pPr>
        <w:numPr>
          <w:ilvl w:val="0"/>
          <w:numId w:val="58"/>
        </w:numPr>
        <w:spacing w:after="160" w:line="252" w:lineRule="auto"/>
        <w:contextualSpacing/>
      </w:pPr>
      <w:r w:rsidRPr="00EF5B9D">
        <w:t>Email to CSBs re: notification of IFSP applications to be mailed, June 16, 2014</w:t>
      </w:r>
    </w:p>
    <w:p w:rsidR="004C608D" w:rsidRPr="00EF5B9D" w:rsidRDefault="004C608D" w:rsidP="004C608D">
      <w:pPr>
        <w:numPr>
          <w:ilvl w:val="0"/>
          <w:numId w:val="58"/>
        </w:numPr>
        <w:spacing w:after="160" w:line="252" w:lineRule="auto"/>
        <w:contextualSpacing/>
      </w:pPr>
      <w:r w:rsidRPr="00EF5B9D">
        <w:t>Arc Webinar on IFSP Flyer, 2-14-14</w:t>
      </w:r>
    </w:p>
    <w:p w:rsidR="004C608D" w:rsidRPr="00EF5B9D" w:rsidRDefault="004C608D" w:rsidP="004C608D">
      <w:pPr>
        <w:numPr>
          <w:ilvl w:val="0"/>
          <w:numId w:val="58"/>
        </w:numPr>
        <w:spacing w:after="160" w:line="252" w:lineRule="auto"/>
        <w:contextualSpacing/>
      </w:pPr>
      <w:r w:rsidRPr="00EF5B9D">
        <w:t>Article for VA Board for People with Disabilities for their newsletter/website in December 2012</w:t>
      </w:r>
    </w:p>
    <w:p w:rsidR="004C608D" w:rsidRPr="00EF5B9D" w:rsidRDefault="004C608D" w:rsidP="004C608D">
      <w:pPr>
        <w:numPr>
          <w:ilvl w:val="0"/>
          <w:numId w:val="58"/>
        </w:numPr>
        <w:spacing w:after="160" w:line="252" w:lineRule="auto"/>
        <w:contextualSpacing/>
      </w:pPr>
      <w:r w:rsidRPr="00EF5B9D">
        <w:rPr>
          <w:bCs/>
        </w:rPr>
        <w:t>Virginia Lifespan Respite Voucher Program Application and Reimbursement Procedures</w:t>
      </w:r>
    </w:p>
    <w:p w:rsidR="004C608D" w:rsidRPr="00EF5B9D" w:rsidRDefault="004C608D" w:rsidP="004C608D">
      <w:pPr>
        <w:numPr>
          <w:ilvl w:val="0"/>
          <w:numId w:val="58"/>
        </w:numPr>
        <w:spacing w:after="160" w:line="252" w:lineRule="auto"/>
        <w:contextualSpacing/>
      </w:pPr>
      <w:r w:rsidRPr="00EF5B9D">
        <w:t>IFSP PowerPoint presentation to DD Case Managers January 2015</w:t>
      </w:r>
    </w:p>
    <w:p w:rsidR="004C608D" w:rsidRPr="00EF5B9D" w:rsidRDefault="004C608D" w:rsidP="004C608D">
      <w:pPr>
        <w:numPr>
          <w:ilvl w:val="0"/>
          <w:numId w:val="58"/>
        </w:numPr>
        <w:spacing w:after="160" w:line="252" w:lineRule="auto"/>
        <w:contextualSpacing/>
      </w:pPr>
      <w:r w:rsidRPr="00EF5B9D">
        <w:t>FY 15 Proposed Process Adjustments for IFSP  (Feb 2014)</w:t>
      </w:r>
    </w:p>
    <w:p w:rsidR="004C608D" w:rsidRPr="00EF5B9D" w:rsidRDefault="004C608D" w:rsidP="004C608D">
      <w:pPr>
        <w:numPr>
          <w:ilvl w:val="0"/>
          <w:numId w:val="58"/>
        </w:numPr>
        <w:spacing w:after="160" w:line="252" w:lineRule="auto"/>
        <w:contextualSpacing/>
      </w:pPr>
    </w:p>
    <w:p w:rsidR="004C608D" w:rsidRPr="00EF5B9D" w:rsidRDefault="004C608D" w:rsidP="004C608D">
      <w:pPr>
        <w:numPr>
          <w:ilvl w:val="0"/>
          <w:numId w:val="58"/>
        </w:numPr>
      </w:pPr>
      <w:r w:rsidRPr="00EF5B9D">
        <w:t>ID Wait List criteria and process (</w:t>
      </w:r>
      <w:hyperlink r:id="rId12" w:anchor="whatmakes" w:history="1">
        <w:r w:rsidRPr="00EF5B9D">
          <w:rPr>
            <w:rStyle w:val="Hyperlink"/>
          </w:rPr>
          <w:t>http://easyaccess.virginia.gov/waiver-mrid.shtml#whatmakes</w:t>
        </w:r>
      </w:hyperlink>
      <w:r w:rsidRPr="00EF5B9D">
        <w:t>)</w:t>
      </w:r>
    </w:p>
    <w:p w:rsidR="004C608D" w:rsidRPr="00EF5B9D" w:rsidRDefault="004C608D" w:rsidP="004C608D">
      <w:pPr>
        <w:numPr>
          <w:ilvl w:val="0"/>
          <w:numId w:val="58"/>
        </w:numPr>
      </w:pPr>
      <w:r w:rsidRPr="00EF5B9D">
        <w:t xml:space="preserve">IFSDD Wait List criteria and process </w:t>
      </w:r>
      <w:hyperlink r:id="rId13" w:anchor="whatmakes" w:history="1">
        <w:r w:rsidRPr="00EF5B9D">
          <w:rPr>
            <w:rStyle w:val="Hyperlink"/>
          </w:rPr>
          <w:t>http://easyaccess.virginia.gov/waiver-ifdds.shtml#whatmakes</w:t>
        </w:r>
      </w:hyperlink>
      <w:r w:rsidRPr="00EF5B9D">
        <w:t>)</w:t>
      </w:r>
    </w:p>
    <w:p w:rsidR="004C608D" w:rsidRPr="00EF5B9D" w:rsidRDefault="00801204" w:rsidP="004C608D">
      <w:pPr>
        <w:numPr>
          <w:ilvl w:val="0"/>
          <w:numId w:val="58"/>
        </w:numPr>
      </w:pPr>
      <w:hyperlink r:id="rId14" w:history="1">
        <w:r w:rsidR="004C608D" w:rsidRPr="00EF5B9D">
          <w:rPr>
            <w:rStyle w:val="Hyperlink"/>
          </w:rPr>
          <w:t>http://www.dbhds.virginia.gov/individuals-and-families/developmental-disabilities/community-support-services</w:t>
        </w:r>
      </w:hyperlink>
    </w:p>
    <w:p w:rsidR="004C608D" w:rsidRPr="00EF5B9D" w:rsidRDefault="004C608D" w:rsidP="004C608D">
      <w:pPr>
        <w:numPr>
          <w:ilvl w:val="0"/>
          <w:numId w:val="58"/>
        </w:numPr>
        <w:rPr>
          <w:rStyle w:val="s2"/>
        </w:rPr>
      </w:pPr>
      <w:r w:rsidRPr="00EF5B9D">
        <w:rPr>
          <w:rStyle w:val="s2"/>
        </w:rPr>
        <w:t>IFSP 2014 Data regarding # received FY 14</w:t>
      </w:r>
    </w:p>
    <w:p w:rsidR="004C608D" w:rsidRPr="00EF5B9D" w:rsidRDefault="004C608D" w:rsidP="004C608D">
      <w:pPr>
        <w:numPr>
          <w:ilvl w:val="0"/>
          <w:numId w:val="58"/>
        </w:numPr>
      </w:pPr>
      <w:r w:rsidRPr="00EF5B9D">
        <w:rPr>
          <w:rStyle w:val="s2"/>
        </w:rPr>
        <w:t>2014.05.15 - Individual and Family Support Program FY 13 – 14 Denial data</w:t>
      </w:r>
    </w:p>
    <w:p w:rsidR="004C608D" w:rsidRPr="00EF5B9D" w:rsidRDefault="004C608D" w:rsidP="004C608D">
      <w:pPr>
        <w:pStyle w:val="s4"/>
        <w:numPr>
          <w:ilvl w:val="0"/>
          <w:numId w:val="58"/>
        </w:numPr>
        <w:spacing w:before="0" w:beforeAutospacing="0" w:after="0" w:afterAutospacing="0"/>
        <w:rPr>
          <w:rStyle w:val="s2"/>
          <w:rFonts w:ascii="Garamond" w:hAnsi="Garamond"/>
        </w:rPr>
      </w:pPr>
      <w:r w:rsidRPr="00EF5B9D">
        <w:rPr>
          <w:rStyle w:val="s2"/>
          <w:rFonts w:ascii="Garamond" w:hAnsi="Garamond"/>
        </w:rPr>
        <w:t>2014.05.15 – Approved item details for FY 2014</w:t>
      </w:r>
    </w:p>
    <w:p w:rsidR="004C608D" w:rsidRPr="00EF5B9D" w:rsidRDefault="004C608D" w:rsidP="004C608D">
      <w:pPr>
        <w:pStyle w:val="s4"/>
        <w:numPr>
          <w:ilvl w:val="0"/>
          <w:numId w:val="58"/>
        </w:numPr>
        <w:spacing w:before="0" w:beforeAutospacing="0" w:after="0" w:afterAutospacing="0"/>
        <w:rPr>
          <w:rStyle w:val="s2"/>
          <w:rFonts w:ascii="Garamond" w:hAnsi="Garamond"/>
        </w:rPr>
      </w:pPr>
      <w:r w:rsidRPr="00EF5B9D">
        <w:rPr>
          <w:rStyle w:val="s2"/>
          <w:rFonts w:ascii="Garamond" w:hAnsi="Garamond"/>
        </w:rPr>
        <w:t>FY 2014 Final All IFSP Application 7-2-2014</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FINAL FY 2014 All accepted applications 7-2-2014</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 xml:space="preserve">Family Appeal Letter, dated 2-9-14 </w:t>
      </w:r>
    </w:p>
    <w:p w:rsidR="004C608D" w:rsidRPr="00EF5B9D" w:rsidRDefault="004C608D" w:rsidP="004C608D">
      <w:pPr>
        <w:pStyle w:val="PlainText"/>
        <w:numPr>
          <w:ilvl w:val="0"/>
          <w:numId w:val="58"/>
        </w:numPr>
        <w:spacing w:before="0" w:after="0"/>
        <w:rPr>
          <w:rFonts w:ascii="Garamond" w:hAnsi="Garamond"/>
          <w:sz w:val="24"/>
          <w:szCs w:val="24"/>
        </w:rPr>
      </w:pPr>
      <w:r w:rsidRPr="00EF5B9D">
        <w:rPr>
          <w:rFonts w:ascii="Garamond" w:hAnsi="Garamond"/>
          <w:sz w:val="24"/>
          <w:szCs w:val="24"/>
        </w:rPr>
        <w:t>2014 Assessment of Disability Services in Virginia, Virginia Board for People with Disabilities</w:t>
      </w:r>
    </w:p>
    <w:p w:rsidR="004C608D" w:rsidRPr="00EF5B9D" w:rsidRDefault="004C608D" w:rsidP="004C608D">
      <w:pPr>
        <w:pStyle w:val="s4"/>
        <w:numPr>
          <w:ilvl w:val="0"/>
          <w:numId w:val="58"/>
        </w:numPr>
        <w:spacing w:before="0" w:beforeAutospacing="0" w:after="0" w:afterAutospacing="0"/>
        <w:rPr>
          <w:rFonts w:ascii="Garamond" w:hAnsi="Garamond"/>
        </w:rPr>
      </w:pPr>
      <w:r w:rsidRPr="00EF5B9D">
        <w:rPr>
          <w:rStyle w:val="s2"/>
          <w:rFonts w:ascii="Garamond" w:hAnsi="Garamond"/>
        </w:rPr>
        <w:t>BRBH FAMILY SUPPORT PROGRAM GUIDELINES</w:t>
      </w:r>
    </w:p>
    <w:p w:rsidR="004C608D" w:rsidRPr="00EF5B9D" w:rsidRDefault="004C608D" w:rsidP="004C608D">
      <w:pPr>
        <w:pStyle w:val="PlainText"/>
        <w:ind w:left="720"/>
        <w:rPr>
          <w:rFonts w:ascii="Garamond" w:hAnsi="Garamond"/>
          <w:sz w:val="24"/>
          <w:szCs w:val="24"/>
        </w:rPr>
      </w:pPr>
    </w:p>
    <w:p w:rsidR="004C608D" w:rsidRPr="00EF5B9D" w:rsidRDefault="004C608D" w:rsidP="004C608D">
      <w:pPr>
        <w:pStyle w:val="PlainText"/>
        <w:rPr>
          <w:rFonts w:ascii="Times New Roman" w:hAnsi="Times New Roman"/>
          <w:sz w:val="22"/>
          <w:szCs w:val="22"/>
          <w:u w:val="single"/>
        </w:rPr>
      </w:pPr>
    </w:p>
    <w:p w:rsidR="004C608D" w:rsidRPr="00EF5B9D" w:rsidRDefault="004C608D" w:rsidP="004C608D"/>
    <w:p w:rsidR="004C608D" w:rsidRPr="00EF5B9D" w:rsidRDefault="004C608D" w:rsidP="004C608D">
      <w:pPr>
        <w:rPr>
          <w:sz w:val="22"/>
          <w:szCs w:val="22"/>
        </w:rPr>
      </w:pPr>
    </w:p>
    <w:p w:rsidR="004C608D" w:rsidRPr="00EF5B9D" w:rsidRDefault="004C608D" w:rsidP="004C608D">
      <w:pPr>
        <w:rPr>
          <w:rFonts w:ascii="Calibri" w:hAnsi="Calibri"/>
          <w:sz w:val="22"/>
          <w:szCs w:val="22"/>
        </w:rPr>
      </w:pPr>
    </w:p>
    <w:p w:rsidR="004C608D" w:rsidRPr="00EF5B9D" w:rsidRDefault="004C608D" w:rsidP="004C608D">
      <w:pPr>
        <w:rPr>
          <w:rFonts w:ascii="Calibri" w:hAnsi="Calibri"/>
          <w:sz w:val="22"/>
          <w:szCs w:val="22"/>
        </w:rPr>
      </w:pPr>
    </w:p>
    <w:p w:rsidR="004C608D" w:rsidRPr="00EF5B9D" w:rsidRDefault="004C608D" w:rsidP="004C608D">
      <w:pPr>
        <w:spacing w:after="160" w:line="252" w:lineRule="auto"/>
        <w:contextualSpacing/>
        <w:rPr>
          <w:sz w:val="22"/>
          <w:szCs w:val="22"/>
        </w:rPr>
      </w:pPr>
    </w:p>
    <w:p w:rsidR="004C608D" w:rsidRPr="00EF5B9D" w:rsidRDefault="004C608D" w:rsidP="004C608D">
      <w:pPr>
        <w:spacing w:before="100" w:beforeAutospacing="1" w:after="100" w:afterAutospacing="1" w:line="276" w:lineRule="auto"/>
        <w:contextualSpacing/>
        <w:jc w:val="both"/>
        <w:rPr>
          <w:b/>
          <w:sz w:val="28"/>
          <w:szCs w:val="28"/>
        </w:rPr>
      </w:pPr>
      <w:r w:rsidRPr="00EF5B9D">
        <w:rPr>
          <w:b/>
          <w:sz w:val="28"/>
          <w:szCs w:val="28"/>
        </w:rPr>
        <w:t>APPENDIX B: INTERVIEWS &amp; STAKEHOLDER INPUT</w:t>
      </w:r>
    </w:p>
    <w:p w:rsidR="004C608D" w:rsidRPr="00EF5B9D" w:rsidRDefault="004C608D" w:rsidP="004C608D">
      <w:pPr>
        <w:rPr>
          <w:rFonts w:ascii="Calibri" w:hAnsi="Calibri"/>
          <w:b/>
          <w:sz w:val="22"/>
          <w:szCs w:val="22"/>
        </w:rPr>
      </w:pPr>
    </w:p>
    <w:p w:rsidR="004C608D" w:rsidRPr="00EF5B9D" w:rsidRDefault="004C608D" w:rsidP="004C608D">
      <w:pPr>
        <w:numPr>
          <w:ilvl w:val="0"/>
          <w:numId w:val="59"/>
        </w:numPr>
      </w:pPr>
      <w:r w:rsidRPr="00EF5B9D">
        <w:t xml:space="preserve">Beverly Rollins, DBHDS </w:t>
      </w:r>
      <w:r w:rsidRPr="00EF5B9D">
        <w:rPr>
          <w:rFonts w:cs="Calibri"/>
        </w:rPr>
        <w:t>Director of Administrative and Community Operations</w:t>
      </w:r>
    </w:p>
    <w:p w:rsidR="004C608D" w:rsidRPr="00EF5B9D" w:rsidRDefault="004C608D" w:rsidP="004C608D">
      <w:pPr>
        <w:numPr>
          <w:ilvl w:val="0"/>
          <w:numId w:val="59"/>
        </w:numPr>
      </w:pPr>
      <w:r w:rsidRPr="00EF5B9D">
        <w:t>Angela Langrehr, Arc of Virginia, also a Parent</w:t>
      </w:r>
    </w:p>
    <w:p w:rsidR="004C608D" w:rsidRPr="00EF5B9D" w:rsidRDefault="004C608D" w:rsidP="004C608D">
      <w:pPr>
        <w:numPr>
          <w:ilvl w:val="0"/>
          <w:numId w:val="59"/>
        </w:numPr>
      </w:pPr>
      <w:r w:rsidRPr="00EF5B9D">
        <w:t>*Dana Yarbrough, Partnership for People with Disabilities, Family to Family, Parent</w:t>
      </w:r>
    </w:p>
    <w:p w:rsidR="004C608D" w:rsidRPr="00EF5B9D" w:rsidRDefault="004C608D" w:rsidP="004C608D">
      <w:pPr>
        <w:numPr>
          <w:ilvl w:val="0"/>
          <w:numId w:val="59"/>
        </w:numPr>
      </w:pPr>
      <w:r w:rsidRPr="00EF5B9D">
        <w:t>Debe Fults, disAbility Resource Center (CIL), also a Parent</w:t>
      </w:r>
    </w:p>
    <w:p w:rsidR="004C608D" w:rsidRPr="00EF5B9D" w:rsidRDefault="004C608D" w:rsidP="004C608D">
      <w:pPr>
        <w:numPr>
          <w:ilvl w:val="0"/>
          <w:numId w:val="59"/>
        </w:numPr>
      </w:pPr>
      <w:r w:rsidRPr="00EF5B9D">
        <w:t>Mattie Gray, IFSDD Case Manager</w:t>
      </w:r>
    </w:p>
    <w:p w:rsidR="004C608D" w:rsidRPr="00EF5B9D" w:rsidRDefault="004C608D" w:rsidP="004C608D">
      <w:pPr>
        <w:numPr>
          <w:ilvl w:val="0"/>
          <w:numId w:val="59"/>
        </w:numPr>
      </w:pPr>
      <w:r w:rsidRPr="00EF5B9D">
        <w:t>*Greg Preston, Piedmont Community Services Board</w:t>
      </w:r>
    </w:p>
    <w:p w:rsidR="004C608D" w:rsidRPr="00EF5B9D" w:rsidRDefault="004C608D" w:rsidP="004C608D">
      <w:pPr>
        <w:numPr>
          <w:ilvl w:val="0"/>
          <w:numId w:val="59"/>
        </w:numPr>
      </w:pPr>
      <w:r w:rsidRPr="00EF5B9D">
        <w:t>*Cindy Gwinn, DBHDS, also a Parent</w:t>
      </w:r>
    </w:p>
    <w:p w:rsidR="004C608D" w:rsidRPr="00EF5B9D" w:rsidRDefault="004C608D" w:rsidP="004C608D">
      <w:pPr>
        <w:numPr>
          <w:ilvl w:val="0"/>
          <w:numId w:val="59"/>
        </w:numPr>
      </w:pPr>
      <w:r w:rsidRPr="00EF5B9D">
        <w:t>Lucy Beadnell, Arc of Northern Virginia</w:t>
      </w:r>
    </w:p>
    <w:p w:rsidR="004C608D" w:rsidRPr="00EF5B9D" w:rsidRDefault="004C608D" w:rsidP="004C608D">
      <w:pPr>
        <w:numPr>
          <w:ilvl w:val="0"/>
          <w:numId w:val="59"/>
        </w:numPr>
      </w:pPr>
      <w:r w:rsidRPr="00EF5B9D">
        <w:t>Lucy Cantrell, Hanover Arc</w:t>
      </w:r>
    </w:p>
    <w:p w:rsidR="004C608D" w:rsidRPr="00EF5B9D" w:rsidRDefault="004C608D" w:rsidP="004C608D">
      <w:pPr>
        <w:numPr>
          <w:ilvl w:val="0"/>
          <w:numId w:val="59"/>
        </w:numPr>
      </w:pPr>
      <w:r w:rsidRPr="00EF5B9D">
        <w:t>Maureen Holloway, Endependence Center (CIL)</w:t>
      </w:r>
    </w:p>
    <w:p w:rsidR="004C608D" w:rsidRPr="00EF5B9D" w:rsidRDefault="004C608D" w:rsidP="004C608D">
      <w:pPr>
        <w:numPr>
          <w:ilvl w:val="0"/>
          <w:numId w:val="59"/>
        </w:numPr>
      </w:pPr>
      <w:r w:rsidRPr="00EF5B9D">
        <w:t>*Bradford Hulcher, Autism Society of Central Virginia, also a Parent</w:t>
      </w:r>
    </w:p>
    <w:p w:rsidR="004C608D" w:rsidRPr="00EF5B9D" w:rsidRDefault="004C608D" w:rsidP="004C608D">
      <w:pPr>
        <w:numPr>
          <w:ilvl w:val="0"/>
          <w:numId w:val="59"/>
        </w:numPr>
      </w:pPr>
      <w:r w:rsidRPr="00EF5B9D">
        <w:t>Heidi Lawyer, Virginia Board for People with Disabilities</w:t>
      </w:r>
    </w:p>
    <w:p w:rsidR="004C608D" w:rsidRPr="00EF5B9D" w:rsidRDefault="004C608D" w:rsidP="004C608D">
      <w:pPr>
        <w:numPr>
          <w:ilvl w:val="0"/>
          <w:numId w:val="59"/>
        </w:numPr>
      </w:pPr>
      <w:r w:rsidRPr="00EF5B9D">
        <w:t>Jae Benz, DBHDS</w:t>
      </w:r>
    </w:p>
    <w:p w:rsidR="004C608D" w:rsidRPr="00EF5B9D" w:rsidRDefault="004C608D" w:rsidP="004C608D">
      <w:pPr>
        <w:numPr>
          <w:ilvl w:val="0"/>
          <w:numId w:val="59"/>
        </w:numPr>
      </w:pPr>
      <w:r w:rsidRPr="00EF5B9D">
        <w:t>Bob Villa, DBHDS IFSP Program Manager</w:t>
      </w:r>
    </w:p>
    <w:p w:rsidR="004C608D" w:rsidRPr="00EF5B9D" w:rsidRDefault="004C608D" w:rsidP="004C608D"/>
    <w:p w:rsidR="004C608D" w:rsidRPr="00EF5B9D" w:rsidRDefault="004C608D" w:rsidP="004C608D">
      <w:pPr>
        <w:ind w:firstLine="360"/>
      </w:pPr>
      <w:r w:rsidRPr="00EF5B9D">
        <w:t>* Participated in IFS Workgroup</w:t>
      </w:r>
    </w:p>
    <w:p w:rsidR="004C608D" w:rsidRPr="00EF5B9D" w:rsidRDefault="004C608D" w:rsidP="004C608D"/>
    <w:p w:rsidR="004C608D" w:rsidRPr="00EF5B9D" w:rsidRDefault="004C608D" w:rsidP="004C608D">
      <w:r w:rsidRPr="00EF5B9D">
        <w:t>Other Stakeholder Input:</w:t>
      </w:r>
    </w:p>
    <w:p w:rsidR="004C608D" w:rsidRPr="00EF5B9D" w:rsidRDefault="004C608D" w:rsidP="004C608D">
      <w:pPr>
        <w:numPr>
          <w:ilvl w:val="0"/>
          <w:numId w:val="60"/>
        </w:numPr>
      </w:pPr>
      <w:r w:rsidRPr="00EF5B9D">
        <w:t>IFSP Focus Group held by Independent Reviewer</w:t>
      </w:r>
    </w:p>
    <w:p w:rsidR="004C608D" w:rsidRDefault="004C608D" w:rsidP="004C608D">
      <w:pPr>
        <w:numPr>
          <w:ilvl w:val="0"/>
          <w:numId w:val="60"/>
        </w:numPr>
      </w:pPr>
      <w:r w:rsidRPr="00EF5B9D">
        <w:t>Written input provided by families to the Arc of Northern Virginia</w:t>
      </w:r>
    </w:p>
    <w:p w:rsidR="004C608D" w:rsidRPr="00EF5B9D" w:rsidRDefault="004C608D" w:rsidP="004C608D"/>
    <w:p w:rsidR="004C608D" w:rsidRDefault="004C608D" w:rsidP="004C608D">
      <w:pPr>
        <w:rPr>
          <w:rFonts w:ascii="Baskerville" w:hAnsi="Baskerville"/>
        </w:rPr>
      </w:pPr>
      <w:r>
        <w:rPr>
          <w:rFonts w:ascii="Baskerville" w:hAnsi="Baskerville"/>
        </w:rPr>
        <w:br w:type="page"/>
      </w:r>
    </w:p>
    <w:p w:rsidR="004C608D" w:rsidRDefault="004C608D" w:rsidP="00996FC2">
      <w:pPr>
        <w:ind w:left="450"/>
        <w:jc w:val="center"/>
        <w:rPr>
          <w:rFonts w:ascii="Baskerville" w:hAnsi="Baskerville" w:cs="Baskerville"/>
          <w:b/>
          <w:sz w:val="28"/>
          <w:szCs w:val="28"/>
          <w:u w:val="single"/>
        </w:rPr>
      </w:pPr>
      <w:r>
        <w:rPr>
          <w:rFonts w:ascii="Baskerville" w:hAnsi="Baskerville" w:cs="Baskerville"/>
          <w:b/>
          <w:sz w:val="28"/>
          <w:szCs w:val="28"/>
          <w:u w:val="single"/>
        </w:rPr>
        <w:t>APPENDIX F</w:t>
      </w:r>
      <w:r w:rsidRPr="00BF570B">
        <w:rPr>
          <w:rFonts w:ascii="Baskerville" w:hAnsi="Baskerville" w:cs="Baskerville"/>
          <w:b/>
          <w:sz w:val="28"/>
          <w:szCs w:val="28"/>
          <w:u w:val="single"/>
        </w:rPr>
        <w:t>.</w:t>
      </w:r>
    </w:p>
    <w:p w:rsidR="008E24C7" w:rsidRPr="008E24C7" w:rsidRDefault="008E24C7" w:rsidP="00996FC2">
      <w:pPr>
        <w:ind w:left="450"/>
        <w:jc w:val="center"/>
        <w:rPr>
          <w:rFonts w:ascii="Baskerville" w:hAnsi="Baskerville" w:cs="Baskerville"/>
          <w:b/>
          <w:sz w:val="16"/>
          <w:szCs w:val="16"/>
          <w:u w:val="single"/>
        </w:rPr>
      </w:pPr>
      <w:r>
        <w:rPr>
          <w:rFonts w:ascii="Baskerville" w:hAnsi="Baskerville" w:cs="Baskerville"/>
          <w:b/>
          <w:sz w:val="16"/>
          <w:szCs w:val="16"/>
          <w:u w:val="single"/>
        </w:rPr>
        <w:t xml:space="preserve"> </w:t>
      </w:r>
    </w:p>
    <w:p w:rsidR="004C608D" w:rsidRPr="006C2573" w:rsidRDefault="004C608D" w:rsidP="004C608D">
      <w:pPr>
        <w:ind w:left="450"/>
        <w:jc w:val="center"/>
        <w:rPr>
          <w:rFonts w:ascii="Baskerville" w:hAnsi="Baskerville" w:cs="Baskerville"/>
          <w:b/>
          <w:sz w:val="28"/>
          <w:szCs w:val="28"/>
        </w:rPr>
      </w:pPr>
      <w:r w:rsidRPr="006C2573">
        <w:rPr>
          <w:rFonts w:ascii="Baskerville" w:hAnsi="Baskerville" w:cs="Baskerville"/>
          <w:b/>
          <w:sz w:val="28"/>
          <w:szCs w:val="28"/>
        </w:rPr>
        <w:t>LIST OF ACRONYMS</w:t>
      </w:r>
    </w:p>
    <w:p w:rsidR="004C608D" w:rsidRPr="006C2573" w:rsidRDefault="004C608D" w:rsidP="004C608D">
      <w:pPr>
        <w:ind w:left="450"/>
        <w:jc w:val="center"/>
        <w:rPr>
          <w:rFonts w:ascii="Baskerville" w:hAnsi="Baskerville" w:cs="Baskerville"/>
          <w:sz w:val="28"/>
          <w:szCs w:val="28"/>
        </w:rPr>
      </w:pPr>
    </w:p>
    <w:tbl>
      <w:tblPr>
        <w:tblStyle w:val="TableGrid"/>
        <w:tblW w:w="9360" w:type="dxa"/>
        <w:tblInd w:w="288" w:type="dxa"/>
        <w:tblLook w:val="04A0"/>
      </w:tblPr>
      <w:tblGrid>
        <w:gridCol w:w="1641"/>
        <w:gridCol w:w="7719"/>
      </w:tblGrid>
      <w:tr w:rsidR="00EC09D3" w:rsidRPr="006C2573" w:rsidTr="00F401D0">
        <w:tc>
          <w:tcPr>
            <w:tcW w:w="1641" w:type="dxa"/>
          </w:tcPr>
          <w:p w:rsidR="00EC09D3" w:rsidRPr="00996FC2" w:rsidRDefault="00EC09D3" w:rsidP="00A9604C">
            <w:pPr>
              <w:tabs>
                <w:tab w:val="left" w:pos="1272"/>
              </w:tabs>
              <w:ind w:left="72"/>
              <w:rPr>
                <w:rFonts w:ascii="Baskerville" w:hAnsi="Baskerville" w:cs="Baskerville"/>
                <w:sz w:val="20"/>
                <w:szCs w:val="20"/>
              </w:rPr>
            </w:pPr>
            <w:r w:rsidRPr="00996FC2">
              <w:rPr>
                <w:rFonts w:ascii="Baskerville" w:hAnsi="Baskerville" w:cs="Baskerville"/>
                <w:sz w:val="20"/>
                <w:szCs w:val="20"/>
              </w:rPr>
              <w:t>AR</w:t>
            </w:r>
          </w:p>
        </w:tc>
        <w:tc>
          <w:tcPr>
            <w:tcW w:w="7719" w:type="dxa"/>
          </w:tcPr>
          <w:p w:rsidR="00EC09D3" w:rsidRPr="00996FC2" w:rsidRDefault="00EC09D3" w:rsidP="002334B8">
            <w:pPr>
              <w:ind w:left="231"/>
              <w:rPr>
                <w:rFonts w:ascii="Baskerville" w:hAnsi="Baskerville" w:cs="Baskerville"/>
                <w:sz w:val="20"/>
                <w:szCs w:val="20"/>
              </w:rPr>
            </w:pPr>
            <w:r w:rsidRPr="00996FC2">
              <w:rPr>
                <w:rFonts w:ascii="Baskerville" w:hAnsi="Baskerville" w:cs="Baskerville"/>
                <w:sz w:val="20"/>
                <w:szCs w:val="20"/>
              </w:rPr>
              <w:t>Authorized Representative</w:t>
            </w:r>
          </w:p>
        </w:tc>
      </w:tr>
      <w:tr w:rsidR="00EC09D3" w:rsidRPr="006C2573" w:rsidTr="00F401D0">
        <w:tc>
          <w:tcPr>
            <w:tcW w:w="1641" w:type="dxa"/>
          </w:tcPr>
          <w:p w:rsidR="00EC09D3" w:rsidRPr="00996FC2" w:rsidRDefault="00EC09D3" w:rsidP="00A9604C">
            <w:pPr>
              <w:tabs>
                <w:tab w:val="left" w:pos="1272"/>
              </w:tabs>
              <w:ind w:left="72"/>
              <w:rPr>
                <w:rFonts w:ascii="Baskerville" w:hAnsi="Baskerville" w:cs="Baskerville"/>
                <w:sz w:val="20"/>
                <w:szCs w:val="20"/>
              </w:rPr>
            </w:pPr>
            <w:r w:rsidRPr="00996FC2">
              <w:rPr>
                <w:rFonts w:ascii="Baskerville" w:hAnsi="Baskerville" w:cs="Baskerville"/>
                <w:sz w:val="20"/>
                <w:szCs w:val="20"/>
              </w:rPr>
              <w:t>CAP</w:t>
            </w:r>
          </w:p>
        </w:tc>
        <w:tc>
          <w:tcPr>
            <w:tcW w:w="7719" w:type="dxa"/>
          </w:tcPr>
          <w:p w:rsidR="00EC09D3" w:rsidRPr="00996FC2" w:rsidRDefault="00EC09D3" w:rsidP="002334B8">
            <w:pPr>
              <w:ind w:left="231"/>
              <w:rPr>
                <w:rFonts w:ascii="Baskerville" w:hAnsi="Baskerville" w:cs="Baskerville"/>
                <w:sz w:val="20"/>
                <w:szCs w:val="20"/>
              </w:rPr>
            </w:pPr>
            <w:r w:rsidRPr="00996FC2">
              <w:rPr>
                <w:rFonts w:ascii="Baskerville" w:hAnsi="Baskerville" w:cs="Baskerville"/>
                <w:sz w:val="20"/>
                <w:szCs w:val="20"/>
              </w:rPr>
              <w:t>Corrective Action Plan</w:t>
            </w:r>
          </w:p>
        </w:tc>
      </w:tr>
      <w:tr w:rsidR="00A9604C" w:rsidRPr="006C2573" w:rsidTr="00F401D0">
        <w:tc>
          <w:tcPr>
            <w:tcW w:w="1641" w:type="dxa"/>
          </w:tcPr>
          <w:p w:rsidR="00A9604C" w:rsidRPr="00996FC2" w:rsidRDefault="00A9604C" w:rsidP="00A9604C">
            <w:pPr>
              <w:tabs>
                <w:tab w:val="left" w:pos="1272"/>
              </w:tabs>
              <w:ind w:left="72"/>
              <w:rPr>
                <w:rFonts w:ascii="Baskerville" w:hAnsi="Baskerville" w:cs="Baskerville"/>
                <w:sz w:val="20"/>
                <w:szCs w:val="20"/>
              </w:rPr>
            </w:pPr>
            <w:r w:rsidRPr="00996FC2">
              <w:rPr>
                <w:rFonts w:ascii="Baskerville" w:hAnsi="Baskerville" w:cs="Baskerville"/>
                <w:sz w:val="20"/>
                <w:szCs w:val="20"/>
              </w:rPr>
              <w:t>CIL</w:t>
            </w:r>
          </w:p>
        </w:tc>
        <w:tc>
          <w:tcPr>
            <w:tcW w:w="7719" w:type="dxa"/>
          </w:tcPr>
          <w:p w:rsidR="00A9604C" w:rsidRPr="00996FC2" w:rsidRDefault="00A9604C" w:rsidP="002334B8">
            <w:pPr>
              <w:ind w:left="231"/>
              <w:rPr>
                <w:rFonts w:ascii="Baskerville" w:hAnsi="Baskerville" w:cs="Baskerville"/>
                <w:sz w:val="20"/>
                <w:szCs w:val="20"/>
              </w:rPr>
            </w:pPr>
            <w:r w:rsidRPr="00996FC2">
              <w:rPr>
                <w:rFonts w:ascii="Baskerville" w:hAnsi="Baskerville" w:cs="Baskerville"/>
                <w:sz w:val="20"/>
                <w:szCs w:val="20"/>
              </w:rPr>
              <w:t>Center for Independent Living</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CIM</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Community Integration Managers</w:t>
            </w:r>
          </w:p>
        </w:tc>
      </w:tr>
      <w:tr w:rsidR="003F2236" w:rsidRPr="006C2573" w:rsidTr="00F401D0">
        <w:tc>
          <w:tcPr>
            <w:tcW w:w="1641" w:type="dxa"/>
          </w:tcPr>
          <w:p w:rsidR="003F2236" w:rsidRPr="00996FC2" w:rsidRDefault="003F2236" w:rsidP="002334B8">
            <w:pPr>
              <w:ind w:left="72"/>
              <w:rPr>
                <w:rFonts w:ascii="Baskerville" w:hAnsi="Baskerville" w:cs="Baskerville"/>
                <w:sz w:val="20"/>
                <w:szCs w:val="20"/>
              </w:rPr>
            </w:pPr>
            <w:r w:rsidRPr="00996FC2">
              <w:rPr>
                <w:rFonts w:ascii="Baskerville" w:hAnsi="Baskerville" w:cs="Baskerville"/>
                <w:sz w:val="20"/>
                <w:szCs w:val="20"/>
              </w:rPr>
              <w:t>CM</w:t>
            </w:r>
          </w:p>
        </w:tc>
        <w:tc>
          <w:tcPr>
            <w:tcW w:w="7719" w:type="dxa"/>
          </w:tcPr>
          <w:p w:rsidR="003F2236" w:rsidRPr="00996FC2" w:rsidRDefault="003F2236" w:rsidP="002334B8">
            <w:pPr>
              <w:ind w:left="231"/>
              <w:rPr>
                <w:rFonts w:ascii="Baskerville" w:hAnsi="Baskerville" w:cs="Baskerville"/>
                <w:sz w:val="20"/>
                <w:szCs w:val="20"/>
              </w:rPr>
            </w:pPr>
            <w:r w:rsidRPr="00996FC2">
              <w:rPr>
                <w:rFonts w:ascii="Baskerville" w:hAnsi="Baskerville" w:cs="Baskerville"/>
                <w:sz w:val="20"/>
                <w:szCs w:val="20"/>
              </w:rPr>
              <w:t>Case Manager</w:t>
            </w:r>
          </w:p>
        </w:tc>
      </w:tr>
      <w:tr w:rsidR="00582A0B" w:rsidRPr="006C2573" w:rsidTr="00F401D0">
        <w:tc>
          <w:tcPr>
            <w:tcW w:w="1641" w:type="dxa"/>
          </w:tcPr>
          <w:p w:rsidR="00582A0B" w:rsidRPr="00996FC2" w:rsidRDefault="00582A0B" w:rsidP="002334B8">
            <w:pPr>
              <w:ind w:left="72"/>
              <w:rPr>
                <w:rFonts w:ascii="Baskerville" w:hAnsi="Baskerville" w:cs="Baskerville"/>
                <w:sz w:val="20"/>
                <w:szCs w:val="20"/>
              </w:rPr>
            </w:pPr>
            <w:r w:rsidRPr="00996FC2">
              <w:rPr>
                <w:rFonts w:ascii="Baskerville" w:hAnsi="Baskerville" w:cs="Baskerville"/>
                <w:sz w:val="20"/>
                <w:szCs w:val="20"/>
              </w:rPr>
              <w:t>CMS</w:t>
            </w:r>
          </w:p>
        </w:tc>
        <w:tc>
          <w:tcPr>
            <w:tcW w:w="7719" w:type="dxa"/>
          </w:tcPr>
          <w:p w:rsidR="00582A0B" w:rsidRPr="00996FC2" w:rsidRDefault="00582A0B" w:rsidP="002334B8">
            <w:pPr>
              <w:ind w:left="231"/>
              <w:rPr>
                <w:rFonts w:ascii="Baskerville" w:hAnsi="Baskerville" w:cs="Baskerville"/>
                <w:sz w:val="20"/>
                <w:szCs w:val="20"/>
              </w:rPr>
            </w:pPr>
            <w:r w:rsidRPr="00996FC2">
              <w:rPr>
                <w:rFonts w:ascii="Baskerville" w:hAnsi="Baskerville" w:cs="Baskerville"/>
                <w:sz w:val="20"/>
                <w:szCs w:val="20"/>
              </w:rPr>
              <w:t>Center for Medicaid Services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CRC</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Community Resource Consultants</w:t>
            </w:r>
          </w:p>
        </w:tc>
      </w:tr>
      <w:tr w:rsidR="00A71BBE" w:rsidRPr="006C2573" w:rsidTr="00F401D0">
        <w:tc>
          <w:tcPr>
            <w:tcW w:w="1641" w:type="dxa"/>
          </w:tcPr>
          <w:p w:rsidR="00A71BBE" w:rsidRPr="00996FC2" w:rsidRDefault="00A71BBE" w:rsidP="002334B8">
            <w:pPr>
              <w:ind w:left="72"/>
              <w:rPr>
                <w:rFonts w:ascii="Baskerville" w:hAnsi="Baskerville" w:cs="Baskerville"/>
                <w:sz w:val="20"/>
                <w:szCs w:val="20"/>
              </w:rPr>
            </w:pPr>
            <w:r w:rsidRPr="00996FC2">
              <w:rPr>
                <w:rFonts w:ascii="Baskerville" w:hAnsi="Baskerville" w:cs="Baskerville"/>
                <w:sz w:val="20"/>
                <w:szCs w:val="20"/>
              </w:rPr>
              <w:t>CSB</w:t>
            </w:r>
          </w:p>
        </w:tc>
        <w:tc>
          <w:tcPr>
            <w:tcW w:w="7719" w:type="dxa"/>
          </w:tcPr>
          <w:p w:rsidR="00A71BBE" w:rsidRPr="00996FC2" w:rsidRDefault="00A71BBE" w:rsidP="002334B8">
            <w:pPr>
              <w:ind w:left="231"/>
              <w:rPr>
                <w:rFonts w:ascii="Baskerville" w:hAnsi="Baskerville" w:cs="Baskerville"/>
                <w:sz w:val="20"/>
                <w:szCs w:val="20"/>
              </w:rPr>
            </w:pPr>
            <w:r w:rsidRPr="00996FC2">
              <w:rPr>
                <w:rFonts w:ascii="Baskerville" w:hAnsi="Baskerville" w:cs="Baskerville"/>
                <w:sz w:val="20"/>
                <w:szCs w:val="20"/>
              </w:rPr>
              <w:t>Community Service Board</w:t>
            </w:r>
          </w:p>
        </w:tc>
      </w:tr>
      <w:tr w:rsidR="004C608D" w:rsidRPr="006C2573" w:rsidTr="00F401D0">
        <w:tc>
          <w:tcPr>
            <w:tcW w:w="1641" w:type="dxa"/>
          </w:tcPr>
          <w:p w:rsidR="004C608D" w:rsidRPr="00996FC2" w:rsidRDefault="00A71BBE" w:rsidP="002334B8">
            <w:pPr>
              <w:ind w:left="72"/>
              <w:rPr>
                <w:rFonts w:ascii="Baskerville" w:hAnsi="Baskerville" w:cs="Baskerville"/>
                <w:sz w:val="20"/>
                <w:szCs w:val="20"/>
              </w:rPr>
            </w:pPr>
            <w:r w:rsidRPr="00996FC2">
              <w:rPr>
                <w:rFonts w:ascii="Baskerville" w:hAnsi="Baskerville" w:cs="Baskerville"/>
                <w:sz w:val="20"/>
                <w:szCs w:val="20"/>
              </w:rPr>
              <w:t>CSB ES</w:t>
            </w:r>
          </w:p>
        </w:tc>
        <w:tc>
          <w:tcPr>
            <w:tcW w:w="7719" w:type="dxa"/>
          </w:tcPr>
          <w:p w:rsidR="004C608D" w:rsidRPr="00996FC2" w:rsidRDefault="00A71BBE" w:rsidP="002334B8">
            <w:pPr>
              <w:ind w:left="231"/>
              <w:rPr>
                <w:rFonts w:ascii="Baskerville" w:hAnsi="Baskerville" w:cs="Baskerville"/>
                <w:sz w:val="20"/>
                <w:szCs w:val="20"/>
              </w:rPr>
            </w:pPr>
            <w:r w:rsidRPr="00996FC2">
              <w:rPr>
                <w:rFonts w:ascii="Baskerville" w:hAnsi="Baskerville" w:cs="Baskerville"/>
                <w:sz w:val="20"/>
                <w:szCs w:val="20"/>
              </w:rPr>
              <w:t>Community Service Board Emergency Services</w:t>
            </w:r>
          </w:p>
        </w:tc>
      </w:tr>
      <w:tr w:rsidR="009B1028" w:rsidRPr="006C2573" w:rsidTr="00F401D0">
        <w:tc>
          <w:tcPr>
            <w:tcW w:w="1641" w:type="dxa"/>
          </w:tcPr>
          <w:p w:rsidR="009B1028" w:rsidRPr="00996FC2" w:rsidRDefault="009B1028" w:rsidP="009B1028">
            <w:pPr>
              <w:tabs>
                <w:tab w:val="left" w:pos="1183"/>
              </w:tabs>
              <w:ind w:left="72"/>
              <w:rPr>
                <w:rFonts w:ascii="Baskerville" w:hAnsi="Baskerville" w:cs="Baskerville"/>
                <w:sz w:val="20"/>
                <w:szCs w:val="20"/>
              </w:rPr>
            </w:pPr>
            <w:r w:rsidRPr="00996FC2">
              <w:rPr>
                <w:rFonts w:ascii="Baskerville" w:hAnsi="Baskerville" w:cs="Baskerville"/>
                <w:sz w:val="20"/>
                <w:szCs w:val="20"/>
              </w:rPr>
              <w:t>CTH</w:t>
            </w:r>
          </w:p>
        </w:tc>
        <w:tc>
          <w:tcPr>
            <w:tcW w:w="7719" w:type="dxa"/>
          </w:tcPr>
          <w:p w:rsidR="009B1028" w:rsidRPr="00996FC2" w:rsidRDefault="009B1028" w:rsidP="002334B8">
            <w:pPr>
              <w:ind w:left="231"/>
              <w:rPr>
                <w:rFonts w:ascii="Baskerville" w:hAnsi="Baskerville" w:cs="Baskerville"/>
                <w:sz w:val="20"/>
                <w:szCs w:val="20"/>
              </w:rPr>
            </w:pPr>
            <w:r w:rsidRPr="00996FC2">
              <w:rPr>
                <w:rFonts w:ascii="Baskerville" w:hAnsi="Baskerville" w:cs="Baskerville"/>
                <w:sz w:val="20"/>
                <w:szCs w:val="20"/>
              </w:rPr>
              <w:t>Crisis Therapeutic Home</w:t>
            </w:r>
          </w:p>
        </w:tc>
      </w:tr>
      <w:tr w:rsidR="004C608D" w:rsidRPr="006C2573" w:rsidTr="00F401D0">
        <w:tc>
          <w:tcPr>
            <w:tcW w:w="1641" w:type="dxa"/>
          </w:tcPr>
          <w:p w:rsidR="004C608D" w:rsidRPr="00996FC2" w:rsidRDefault="004C608D" w:rsidP="009B1028">
            <w:pPr>
              <w:tabs>
                <w:tab w:val="left" w:pos="1183"/>
              </w:tabs>
              <w:ind w:left="72"/>
              <w:rPr>
                <w:rFonts w:ascii="Baskerville" w:hAnsi="Baskerville" w:cs="Baskerville"/>
                <w:sz w:val="20"/>
                <w:szCs w:val="20"/>
              </w:rPr>
            </w:pPr>
            <w:r w:rsidRPr="00996FC2">
              <w:rPr>
                <w:rFonts w:ascii="Baskerville" w:hAnsi="Baskerville" w:cs="Baskerville"/>
                <w:sz w:val="20"/>
                <w:szCs w:val="20"/>
              </w:rPr>
              <w:t>DARS</w:t>
            </w:r>
            <w:r w:rsidR="009B1028" w:rsidRPr="00996FC2">
              <w:rPr>
                <w:rFonts w:ascii="Baskerville" w:hAnsi="Baskerville" w:cs="Baskerville"/>
                <w:sz w:val="20"/>
                <w:szCs w:val="20"/>
              </w:rPr>
              <w:tab/>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Department of Rehabilitation and Aging Services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DMAS</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Department of Medical Assistance Services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DBHDS</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Department of Behavioral Health and Developmental Services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DOJ</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Department of Justice, United States</w:t>
            </w:r>
          </w:p>
        </w:tc>
      </w:tr>
      <w:tr w:rsidR="003369DD" w:rsidRPr="006C2573" w:rsidTr="00F401D0">
        <w:tc>
          <w:tcPr>
            <w:tcW w:w="1641" w:type="dxa"/>
          </w:tcPr>
          <w:p w:rsidR="003369DD" w:rsidRPr="00996FC2" w:rsidRDefault="003369DD" w:rsidP="002334B8">
            <w:pPr>
              <w:ind w:left="72"/>
              <w:rPr>
                <w:rFonts w:ascii="Baskerville" w:hAnsi="Baskerville" w:cs="Baskerville"/>
                <w:sz w:val="20"/>
                <w:szCs w:val="20"/>
              </w:rPr>
            </w:pPr>
            <w:r w:rsidRPr="00996FC2">
              <w:rPr>
                <w:rFonts w:ascii="Baskerville" w:hAnsi="Baskerville" w:cs="Baskerville"/>
                <w:sz w:val="20"/>
                <w:szCs w:val="20"/>
              </w:rPr>
              <w:t>EDCD</w:t>
            </w:r>
          </w:p>
        </w:tc>
        <w:tc>
          <w:tcPr>
            <w:tcW w:w="7719" w:type="dxa"/>
          </w:tcPr>
          <w:p w:rsidR="003369DD" w:rsidRPr="00996FC2" w:rsidRDefault="003369DD" w:rsidP="002334B8">
            <w:pPr>
              <w:ind w:left="231"/>
              <w:rPr>
                <w:rFonts w:ascii="Baskerville" w:hAnsi="Baskerville" w:cs="Baskerville"/>
                <w:sz w:val="20"/>
                <w:szCs w:val="20"/>
              </w:rPr>
            </w:pPr>
            <w:r w:rsidRPr="00996FC2">
              <w:rPr>
                <w:rFonts w:ascii="Baskerville" w:hAnsi="Baskerville" w:cs="Baskerville"/>
                <w:sz w:val="20"/>
                <w:szCs w:val="20"/>
              </w:rPr>
              <w:t>Elderly or Disabled with Consumer Directed</w:t>
            </w:r>
            <w:r w:rsidR="008E24C7">
              <w:rPr>
                <w:rFonts w:ascii="Baskerville" w:hAnsi="Baskerville" w:cs="Baskerville"/>
                <w:sz w:val="20"/>
                <w:szCs w:val="20"/>
              </w:rPr>
              <w:t xml:space="preserve"> Services</w:t>
            </w:r>
          </w:p>
        </w:tc>
      </w:tr>
      <w:tr w:rsidR="00314660" w:rsidRPr="006C2573" w:rsidTr="00F401D0">
        <w:tc>
          <w:tcPr>
            <w:tcW w:w="1641" w:type="dxa"/>
          </w:tcPr>
          <w:p w:rsidR="00314660" w:rsidRPr="00996FC2" w:rsidRDefault="00314660" w:rsidP="002334B8">
            <w:pPr>
              <w:ind w:left="72"/>
              <w:rPr>
                <w:rFonts w:ascii="Baskerville" w:hAnsi="Baskerville" w:cs="Baskerville"/>
                <w:sz w:val="20"/>
                <w:szCs w:val="20"/>
              </w:rPr>
            </w:pPr>
            <w:r w:rsidRPr="00996FC2">
              <w:rPr>
                <w:rFonts w:ascii="Baskerville" w:hAnsi="Baskerville" w:cs="Baskerville"/>
                <w:sz w:val="20"/>
                <w:szCs w:val="20"/>
              </w:rPr>
              <w:t>EPSDT</w:t>
            </w:r>
          </w:p>
        </w:tc>
        <w:tc>
          <w:tcPr>
            <w:tcW w:w="7719" w:type="dxa"/>
          </w:tcPr>
          <w:p w:rsidR="00314660" w:rsidRPr="00996FC2" w:rsidRDefault="00314660" w:rsidP="002334B8">
            <w:pPr>
              <w:ind w:left="231"/>
              <w:rPr>
                <w:rFonts w:ascii="Baskerville" w:hAnsi="Baskerville" w:cs="Baskerville"/>
                <w:sz w:val="20"/>
                <w:szCs w:val="20"/>
              </w:rPr>
            </w:pPr>
            <w:r w:rsidRPr="00996FC2">
              <w:rPr>
                <w:rFonts w:ascii="Baskerville" w:hAnsi="Baskerville" w:cs="Baskerville"/>
                <w:sz w:val="20"/>
                <w:szCs w:val="20"/>
              </w:rPr>
              <w:t>Early and Periodic Screening</w:t>
            </w:r>
            <w:r w:rsidR="001B4FE5" w:rsidRPr="00996FC2">
              <w:rPr>
                <w:rFonts w:ascii="Baskerville" w:hAnsi="Baskerville" w:cs="Baskerville"/>
                <w:sz w:val="20"/>
                <w:szCs w:val="20"/>
              </w:rPr>
              <w:t xml:space="preserve"> Diagnosis and Treatment</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ESO</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Employment Service Organization</w:t>
            </w:r>
          </w:p>
        </w:tc>
      </w:tr>
      <w:tr w:rsidR="009B1028" w:rsidRPr="006C2573" w:rsidTr="00F401D0">
        <w:tc>
          <w:tcPr>
            <w:tcW w:w="1641" w:type="dxa"/>
          </w:tcPr>
          <w:p w:rsidR="009B1028" w:rsidRPr="00996FC2" w:rsidRDefault="009B1028" w:rsidP="002334B8">
            <w:pPr>
              <w:ind w:left="72"/>
              <w:rPr>
                <w:rFonts w:ascii="Baskerville" w:hAnsi="Baskerville" w:cs="Baskerville"/>
                <w:sz w:val="20"/>
                <w:szCs w:val="20"/>
              </w:rPr>
            </w:pPr>
            <w:r w:rsidRPr="00996FC2">
              <w:rPr>
                <w:rFonts w:ascii="Baskerville" w:hAnsi="Baskerville" w:cs="Baskerville"/>
                <w:sz w:val="20"/>
                <w:szCs w:val="20"/>
              </w:rPr>
              <w:t>GSE</w:t>
            </w:r>
          </w:p>
        </w:tc>
        <w:tc>
          <w:tcPr>
            <w:tcW w:w="7719" w:type="dxa"/>
          </w:tcPr>
          <w:p w:rsidR="009B1028" w:rsidRPr="00996FC2" w:rsidRDefault="009B1028" w:rsidP="002334B8">
            <w:pPr>
              <w:ind w:left="231"/>
              <w:rPr>
                <w:rFonts w:ascii="Baskerville" w:hAnsi="Baskerville" w:cs="Baskerville"/>
                <w:sz w:val="20"/>
                <w:szCs w:val="20"/>
              </w:rPr>
            </w:pPr>
            <w:r w:rsidRPr="00996FC2">
              <w:rPr>
                <w:rFonts w:ascii="Baskerville" w:hAnsi="Baskerville" w:cs="Baskerville"/>
                <w:sz w:val="20"/>
                <w:szCs w:val="20"/>
              </w:rPr>
              <w:t>Group Supported Employment</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HCBS</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 xml:space="preserve">Home and Community Based Services </w:t>
            </w:r>
          </w:p>
        </w:tc>
      </w:tr>
      <w:tr w:rsidR="00E74CDF" w:rsidRPr="006C2573" w:rsidTr="00F401D0">
        <w:tc>
          <w:tcPr>
            <w:tcW w:w="1641" w:type="dxa"/>
          </w:tcPr>
          <w:p w:rsidR="00E74CDF" w:rsidRPr="00996FC2" w:rsidRDefault="00241931" w:rsidP="002334B8">
            <w:pPr>
              <w:ind w:left="72"/>
              <w:rPr>
                <w:rFonts w:ascii="Baskerville" w:hAnsi="Baskerville" w:cs="Baskerville"/>
                <w:sz w:val="20"/>
                <w:szCs w:val="20"/>
              </w:rPr>
            </w:pPr>
            <w:r w:rsidRPr="00996FC2">
              <w:rPr>
                <w:rFonts w:ascii="Baskerville" w:hAnsi="Baskerville" w:cs="Baskerville"/>
                <w:sz w:val="20"/>
                <w:szCs w:val="20"/>
              </w:rPr>
              <w:t>HPR</w:t>
            </w:r>
          </w:p>
        </w:tc>
        <w:tc>
          <w:tcPr>
            <w:tcW w:w="7719" w:type="dxa"/>
          </w:tcPr>
          <w:p w:rsidR="00E74CDF" w:rsidRPr="00996FC2" w:rsidRDefault="00241931" w:rsidP="002334B8">
            <w:pPr>
              <w:ind w:left="231"/>
              <w:rPr>
                <w:rFonts w:ascii="Baskerville" w:hAnsi="Baskerville" w:cs="Baskerville"/>
                <w:sz w:val="20"/>
                <w:szCs w:val="20"/>
              </w:rPr>
            </w:pPr>
            <w:r w:rsidRPr="00996FC2">
              <w:rPr>
                <w:rFonts w:ascii="Baskerville" w:hAnsi="Baskerville" w:cs="Baskerville"/>
                <w:sz w:val="20"/>
                <w:szCs w:val="20"/>
              </w:rPr>
              <w:t>Health Planning Region</w:t>
            </w:r>
          </w:p>
        </w:tc>
      </w:tr>
      <w:tr w:rsidR="001B4FE5" w:rsidRPr="006C2573" w:rsidTr="00F401D0">
        <w:tc>
          <w:tcPr>
            <w:tcW w:w="1641" w:type="dxa"/>
          </w:tcPr>
          <w:p w:rsidR="001B4FE5" w:rsidRPr="00996FC2" w:rsidRDefault="001B4FE5" w:rsidP="002334B8">
            <w:pPr>
              <w:ind w:left="72"/>
              <w:rPr>
                <w:rFonts w:ascii="Baskerville" w:hAnsi="Baskerville" w:cs="Baskerville"/>
                <w:sz w:val="20"/>
                <w:szCs w:val="20"/>
              </w:rPr>
            </w:pPr>
            <w:r w:rsidRPr="00996FC2">
              <w:rPr>
                <w:rFonts w:ascii="Baskerville" w:hAnsi="Baskerville" w:cs="Baskerville"/>
                <w:sz w:val="20"/>
                <w:szCs w:val="20"/>
              </w:rPr>
              <w:t>ICF</w:t>
            </w:r>
          </w:p>
        </w:tc>
        <w:tc>
          <w:tcPr>
            <w:tcW w:w="7719" w:type="dxa"/>
          </w:tcPr>
          <w:p w:rsidR="001B4FE5" w:rsidRPr="00996FC2" w:rsidRDefault="001B4FE5" w:rsidP="002334B8">
            <w:pPr>
              <w:ind w:left="231"/>
              <w:rPr>
                <w:rFonts w:ascii="Baskerville" w:hAnsi="Baskerville" w:cs="Baskerville"/>
                <w:sz w:val="20"/>
                <w:szCs w:val="20"/>
              </w:rPr>
            </w:pPr>
            <w:r w:rsidRPr="00996FC2">
              <w:rPr>
                <w:rFonts w:ascii="Baskerville" w:hAnsi="Baskerville" w:cs="Baskerville"/>
                <w:sz w:val="20"/>
                <w:szCs w:val="20"/>
              </w:rPr>
              <w:t>Intermediate Care Facility</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IFDDS</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Individual and Family Developmental Disabilities Supports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IFSP</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Individual and Family Support Program</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IR</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Independent Reviewer</w:t>
            </w:r>
          </w:p>
        </w:tc>
      </w:tr>
      <w:tr w:rsidR="00E74CDF" w:rsidRPr="006C2573" w:rsidTr="00F401D0">
        <w:tc>
          <w:tcPr>
            <w:tcW w:w="1641" w:type="dxa"/>
          </w:tcPr>
          <w:p w:rsidR="00E74CDF" w:rsidRPr="00996FC2" w:rsidRDefault="00E74CDF" w:rsidP="002334B8">
            <w:pPr>
              <w:ind w:left="72"/>
              <w:rPr>
                <w:rFonts w:ascii="Baskerville" w:hAnsi="Baskerville" w:cs="Baskerville"/>
                <w:sz w:val="20"/>
                <w:szCs w:val="20"/>
              </w:rPr>
            </w:pPr>
            <w:r w:rsidRPr="00996FC2">
              <w:rPr>
                <w:rFonts w:ascii="Baskerville" w:hAnsi="Baskerville" w:cs="Baskerville"/>
                <w:sz w:val="20"/>
                <w:szCs w:val="20"/>
              </w:rPr>
              <w:t>ISE</w:t>
            </w:r>
          </w:p>
        </w:tc>
        <w:tc>
          <w:tcPr>
            <w:tcW w:w="7719" w:type="dxa"/>
          </w:tcPr>
          <w:p w:rsidR="00E74CDF" w:rsidRPr="00996FC2" w:rsidRDefault="00E74CDF" w:rsidP="002334B8">
            <w:pPr>
              <w:ind w:left="231"/>
              <w:rPr>
                <w:rFonts w:ascii="Baskerville" w:hAnsi="Baskerville" w:cs="Baskerville"/>
                <w:sz w:val="20"/>
                <w:szCs w:val="20"/>
              </w:rPr>
            </w:pPr>
            <w:r w:rsidRPr="00996FC2">
              <w:rPr>
                <w:rFonts w:ascii="Baskerville" w:hAnsi="Baskerville" w:cs="Baskerville"/>
                <w:sz w:val="20"/>
                <w:szCs w:val="20"/>
              </w:rPr>
              <w:t>Individual Supported Employment</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ISP</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Individual Supports Plan</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LIHTC</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Low Income Housing Tax Credit</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OHR</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Office of Human Rights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OLS</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Office of Licensure Services</w:t>
            </w:r>
          </w:p>
        </w:tc>
      </w:tr>
      <w:tr w:rsidR="0078060E" w:rsidRPr="006C2573" w:rsidTr="00F401D0">
        <w:tc>
          <w:tcPr>
            <w:tcW w:w="1641" w:type="dxa"/>
          </w:tcPr>
          <w:p w:rsidR="0078060E" w:rsidRPr="00996FC2" w:rsidRDefault="0078060E" w:rsidP="002334B8">
            <w:pPr>
              <w:ind w:left="72"/>
              <w:rPr>
                <w:rFonts w:ascii="Baskerville" w:hAnsi="Baskerville" w:cs="Baskerville"/>
                <w:sz w:val="20"/>
                <w:szCs w:val="20"/>
              </w:rPr>
            </w:pPr>
            <w:r w:rsidRPr="00996FC2">
              <w:rPr>
                <w:rFonts w:ascii="Baskerville" w:hAnsi="Baskerville" w:cs="Baskerville"/>
                <w:sz w:val="20"/>
                <w:szCs w:val="20"/>
              </w:rPr>
              <w:t>PCP</w:t>
            </w:r>
          </w:p>
        </w:tc>
        <w:tc>
          <w:tcPr>
            <w:tcW w:w="7719" w:type="dxa"/>
          </w:tcPr>
          <w:p w:rsidR="0078060E" w:rsidRPr="00996FC2" w:rsidRDefault="0078060E" w:rsidP="002334B8">
            <w:pPr>
              <w:ind w:left="231"/>
              <w:rPr>
                <w:rFonts w:ascii="Baskerville" w:hAnsi="Baskerville" w:cs="Baskerville"/>
                <w:sz w:val="20"/>
                <w:szCs w:val="20"/>
              </w:rPr>
            </w:pPr>
            <w:r w:rsidRPr="00996FC2">
              <w:rPr>
                <w:rFonts w:ascii="Baskerville" w:hAnsi="Baskerville" w:cs="Baskerville"/>
                <w:sz w:val="20"/>
                <w:szCs w:val="20"/>
              </w:rPr>
              <w:t>Primary Care Physician</w:t>
            </w:r>
          </w:p>
        </w:tc>
      </w:tr>
      <w:tr w:rsidR="00030D0A" w:rsidRPr="006C2573" w:rsidTr="00F401D0">
        <w:tc>
          <w:tcPr>
            <w:tcW w:w="1641" w:type="dxa"/>
          </w:tcPr>
          <w:p w:rsidR="00030D0A" w:rsidRPr="00996FC2" w:rsidRDefault="00030D0A" w:rsidP="002334B8">
            <w:pPr>
              <w:ind w:left="72"/>
              <w:rPr>
                <w:rFonts w:ascii="Baskerville" w:hAnsi="Baskerville" w:cs="Baskerville"/>
                <w:sz w:val="20"/>
                <w:szCs w:val="20"/>
              </w:rPr>
            </w:pPr>
            <w:r w:rsidRPr="00996FC2">
              <w:rPr>
                <w:rFonts w:ascii="Baskerville" w:hAnsi="Baskerville" w:cs="Baskerville"/>
                <w:sz w:val="20"/>
                <w:szCs w:val="20"/>
              </w:rPr>
              <w:t>POC</w:t>
            </w:r>
          </w:p>
        </w:tc>
        <w:tc>
          <w:tcPr>
            <w:tcW w:w="7719" w:type="dxa"/>
          </w:tcPr>
          <w:p w:rsidR="00030D0A" w:rsidRPr="00996FC2" w:rsidRDefault="00030D0A" w:rsidP="002334B8">
            <w:pPr>
              <w:ind w:left="231"/>
              <w:rPr>
                <w:rFonts w:ascii="Baskerville" w:hAnsi="Baskerville" w:cs="Baskerville"/>
                <w:sz w:val="20"/>
                <w:szCs w:val="20"/>
              </w:rPr>
            </w:pPr>
            <w:r w:rsidRPr="00996FC2">
              <w:rPr>
                <w:rFonts w:ascii="Baskerville" w:hAnsi="Baskerville" w:cs="Baskerville"/>
                <w:sz w:val="20"/>
                <w:szCs w:val="20"/>
              </w:rPr>
              <w:t>Plan of Care</w:t>
            </w:r>
          </w:p>
        </w:tc>
      </w:tr>
      <w:tr w:rsidR="00CB6049" w:rsidRPr="006C2573" w:rsidTr="00F401D0">
        <w:tc>
          <w:tcPr>
            <w:tcW w:w="1641" w:type="dxa"/>
          </w:tcPr>
          <w:p w:rsidR="00CB6049" w:rsidRPr="00996FC2" w:rsidRDefault="00CB6049" w:rsidP="002334B8">
            <w:pPr>
              <w:ind w:left="72"/>
              <w:rPr>
                <w:rFonts w:ascii="Baskerville" w:hAnsi="Baskerville" w:cs="Baskerville"/>
                <w:sz w:val="20"/>
                <w:szCs w:val="20"/>
              </w:rPr>
            </w:pPr>
            <w:r w:rsidRPr="00996FC2">
              <w:rPr>
                <w:rFonts w:ascii="Baskerville" w:hAnsi="Baskerville" w:cs="Baskerville"/>
                <w:sz w:val="20"/>
                <w:szCs w:val="20"/>
              </w:rPr>
              <w:t>PMM</w:t>
            </w:r>
          </w:p>
        </w:tc>
        <w:tc>
          <w:tcPr>
            <w:tcW w:w="7719" w:type="dxa"/>
          </w:tcPr>
          <w:p w:rsidR="00CB6049" w:rsidRPr="00996FC2" w:rsidRDefault="00CB6049" w:rsidP="002334B8">
            <w:pPr>
              <w:ind w:left="231"/>
              <w:rPr>
                <w:rFonts w:ascii="Baskerville" w:hAnsi="Baskerville" w:cs="Baskerville"/>
                <w:sz w:val="20"/>
                <w:szCs w:val="20"/>
              </w:rPr>
            </w:pPr>
            <w:r w:rsidRPr="00996FC2">
              <w:rPr>
                <w:rFonts w:ascii="Baskerville" w:hAnsi="Baskerville" w:cs="Baskerville"/>
                <w:sz w:val="20"/>
                <w:szCs w:val="20"/>
              </w:rPr>
              <w:t>Post-Move Monitoring</w:t>
            </w:r>
          </w:p>
        </w:tc>
      </w:tr>
      <w:tr w:rsidR="00582A0B" w:rsidRPr="006C2573" w:rsidTr="00F401D0">
        <w:tc>
          <w:tcPr>
            <w:tcW w:w="1641" w:type="dxa"/>
          </w:tcPr>
          <w:p w:rsidR="00582A0B" w:rsidRPr="00996FC2" w:rsidRDefault="00582A0B" w:rsidP="002334B8">
            <w:pPr>
              <w:ind w:left="72"/>
              <w:rPr>
                <w:rFonts w:ascii="Baskerville" w:hAnsi="Baskerville" w:cs="Baskerville"/>
                <w:sz w:val="20"/>
                <w:szCs w:val="20"/>
              </w:rPr>
            </w:pPr>
            <w:r w:rsidRPr="00996FC2">
              <w:rPr>
                <w:rFonts w:ascii="Baskerville" w:hAnsi="Baskerville" w:cs="Baskerville"/>
                <w:sz w:val="20"/>
                <w:szCs w:val="20"/>
              </w:rPr>
              <w:t>PST</w:t>
            </w:r>
          </w:p>
        </w:tc>
        <w:tc>
          <w:tcPr>
            <w:tcW w:w="7719" w:type="dxa"/>
          </w:tcPr>
          <w:p w:rsidR="00582A0B" w:rsidRPr="00996FC2" w:rsidRDefault="00582A0B" w:rsidP="002334B8">
            <w:pPr>
              <w:ind w:left="231"/>
              <w:rPr>
                <w:rFonts w:ascii="Baskerville" w:hAnsi="Baskerville" w:cs="Baskerville"/>
                <w:sz w:val="20"/>
                <w:szCs w:val="20"/>
              </w:rPr>
            </w:pPr>
            <w:r w:rsidRPr="00996FC2">
              <w:rPr>
                <w:rFonts w:ascii="Baskerville" w:hAnsi="Baskerville" w:cs="Baskerville"/>
                <w:sz w:val="20"/>
                <w:szCs w:val="20"/>
              </w:rPr>
              <w:t>Personal Support Team</w:t>
            </w:r>
          </w:p>
        </w:tc>
      </w:tr>
      <w:tr w:rsidR="005D0B41" w:rsidRPr="006C2573" w:rsidTr="00F401D0">
        <w:tc>
          <w:tcPr>
            <w:tcW w:w="1641" w:type="dxa"/>
          </w:tcPr>
          <w:p w:rsidR="005D0B41" w:rsidRPr="00996FC2" w:rsidRDefault="005D0B41" w:rsidP="002334B8">
            <w:pPr>
              <w:ind w:left="72"/>
              <w:rPr>
                <w:rFonts w:ascii="Baskerville" w:hAnsi="Baskerville" w:cs="Baskerville"/>
                <w:sz w:val="20"/>
                <w:szCs w:val="20"/>
              </w:rPr>
            </w:pPr>
            <w:r w:rsidRPr="00996FC2">
              <w:rPr>
                <w:rFonts w:ascii="Baskerville" w:hAnsi="Baskerville" w:cs="Baskerville"/>
                <w:sz w:val="20"/>
                <w:szCs w:val="20"/>
              </w:rPr>
              <w:t>QI</w:t>
            </w:r>
          </w:p>
        </w:tc>
        <w:tc>
          <w:tcPr>
            <w:tcW w:w="7719" w:type="dxa"/>
          </w:tcPr>
          <w:p w:rsidR="005D0B41" w:rsidRPr="00996FC2" w:rsidRDefault="005D0B41" w:rsidP="002334B8">
            <w:pPr>
              <w:ind w:left="231"/>
              <w:rPr>
                <w:rFonts w:ascii="Baskerville" w:hAnsi="Baskerville" w:cs="Baskerville"/>
                <w:sz w:val="20"/>
                <w:szCs w:val="20"/>
              </w:rPr>
            </w:pPr>
            <w:r w:rsidRPr="00996FC2">
              <w:rPr>
                <w:rFonts w:ascii="Baskerville" w:hAnsi="Baskerville" w:cs="Baskerville"/>
                <w:sz w:val="20"/>
                <w:szCs w:val="20"/>
              </w:rPr>
              <w:t>Quality Improvement</w:t>
            </w:r>
          </w:p>
        </w:tc>
      </w:tr>
      <w:tr w:rsidR="009C23D6" w:rsidRPr="006C2573" w:rsidTr="00F401D0">
        <w:tc>
          <w:tcPr>
            <w:tcW w:w="1641" w:type="dxa"/>
          </w:tcPr>
          <w:p w:rsidR="009C23D6" w:rsidRPr="00996FC2" w:rsidRDefault="009C23D6" w:rsidP="002334B8">
            <w:pPr>
              <w:ind w:left="72"/>
              <w:rPr>
                <w:rFonts w:ascii="Baskerville" w:hAnsi="Baskerville" w:cs="Baskerville"/>
                <w:sz w:val="20"/>
                <w:szCs w:val="20"/>
              </w:rPr>
            </w:pPr>
            <w:r w:rsidRPr="00996FC2">
              <w:rPr>
                <w:rFonts w:ascii="Baskerville" w:hAnsi="Baskerville" w:cs="Baskerville"/>
                <w:sz w:val="20"/>
                <w:szCs w:val="20"/>
              </w:rPr>
              <w:t>QSR</w:t>
            </w:r>
          </w:p>
        </w:tc>
        <w:tc>
          <w:tcPr>
            <w:tcW w:w="7719" w:type="dxa"/>
          </w:tcPr>
          <w:p w:rsidR="009C23D6" w:rsidRPr="00996FC2" w:rsidRDefault="009C23D6" w:rsidP="002334B8">
            <w:pPr>
              <w:ind w:left="231"/>
              <w:rPr>
                <w:rFonts w:ascii="Baskerville" w:hAnsi="Baskerville" w:cs="Baskerville"/>
                <w:sz w:val="20"/>
                <w:szCs w:val="20"/>
              </w:rPr>
            </w:pPr>
            <w:r w:rsidRPr="00996FC2">
              <w:rPr>
                <w:rFonts w:ascii="Baskerville" w:hAnsi="Baskerville" w:cs="Baskerville"/>
                <w:sz w:val="20"/>
                <w:szCs w:val="20"/>
              </w:rPr>
              <w:t>Quality Service Reviews</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RAC</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 xml:space="preserve">Regional Advisory Council </w:t>
            </w:r>
            <w:r w:rsidR="00A130CF">
              <w:rPr>
                <w:rFonts w:ascii="Baskerville" w:hAnsi="Baskerville" w:cs="Baskerville"/>
                <w:sz w:val="20"/>
                <w:szCs w:val="20"/>
              </w:rPr>
              <w:t>for REACH</w:t>
            </w:r>
          </w:p>
        </w:tc>
      </w:tr>
      <w:tr w:rsidR="00A4313C" w:rsidRPr="006C2573" w:rsidTr="00A4313C">
        <w:trPr>
          <w:trHeight w:val="152"/>
        </w:trPr>
        <w:tc>
          <w:tcPr>
            <w:tcW w:w="1641" w:type="dxa"/>
          </w:tcPr>
          <w:p w:rsidR="00A4313C" w:rsidRPr="00996FC2" w:rsidRDefault="00A4313C" w:rsidP="002334B8">
            <w:pPr>
              <w:ind w:left="72"/>
              <w:rPr>
                <w:rFonts w:ascii="Baskerville" w:hAnsi="Baskerville" w:cs="Baskerville"/>
                <w:sz w:val="20"/>
                <w:szCs w:val="20"/>
              </w:rPr>
            </w:pPr>
            <w:r w:rsidRPr="00996FC2">
              <w:rPr>
                <w:rFonts w:ascii="Baskerville" w:hAnsi="Baskerville" w:cs="Baskerville"/>
                <w:sz w:val="20"/>
                <w:szCs w:val="20"/>
              </w:rPr>
              <w:t>REACH</w:t>
            </w:r>
          </w:p>
        </w:tc>
        <w:tc>
          <w:tcPr>
            <w:tcW w:w="7719" w:type="dxa"/>
          </w:tcPr>
          <w:p w:rsidR="00A4313C" w:rsidRPr="00996FC2" w:rsidRDefault="00A4313C" w:rsidP="002334B8">
            <w:pPr>
              <w:ind w:left="231"/>
              <w:rPr>
                <w:rFonts w:ascii="Baskerville" w:hAnsi="Baskerville" w:cs="Baskerville"/>
                <w:sz w:val="20"/>
                <w:szCs w:val="20"/>
              </w:rPr>
            </w:pPr>
            <w:r w:rsidRPr="00996FC2">
              <w:rPr>
                <w:rFonts w:ascii="Baskerville" w:hAnsi="Baskerville" w:cs="Baskerville"/>
                <w:sz w:val="20"/>
                <w:szCs w:val="20"/>
              </w:rPr>
              <w:t>Regional Education</w:t>
            </w:r>
            <w:r w:rsidR="00F23FB1" w:rsidRPr="00996FC2">
              <w:rPr>
                <w:rFonts w:ascii="Baskerville" w:hAnsi="Baskerville" w:cs="Baskerville"/>
                <w:sz w:val="20"/>
                <w:szCs w:val="20"/>
              </w:rPr>
              <w:t>,</w:t>
            </w:r>
            <w:r w:rsidRPr="00996FC2">
              <w:rPr>
                <w:rFonts w:ascii="Baskerville" w:hAnsi="Baskerville" w:cs="Baskerville"/>
                <w:sz w:val="20"/>
                <w:szCs w:val="20"/>
              </w:rPr>
              <w:t xml:space="preserve"> Assessment</w:t>
            </w:r>
            <w:r w:rsidR="00F23FB1" w:rsidRPr="00996FC2">
              <w:rPr>
                <w:rFonts w:ascii="Baskerville" w:hAnsi="Baskerville" w:cs="Baskerville"/>
                <w:sz w:val="20"/>
                <w:szCs w:val="20"/>
              </w:rPr>
              <w:t>,</w:t>
            </w:r>
            <w:r w:rsidRPr="00996FC2">
              <w:rPr>
                <w:rFonts w:ascii="Baskerville" w:hAnsi="Baskerville" w:cs="Baskerville"/>
                <w:sz w:val="20"/>
                <w:szCs w:val="20"/>
              </w:rPr>
              <w:t xml:space="preserve"> Crisis Services</w:t>
            </w:r>
            <w:r w:rsidR="00F23FB1" w:rsidRPr="00996FC2">
              <w:rPr>
                <w:rFonts w:ascii="Baskerville" w:hAnsi="Baskerville" w:cs="Baskerville"/>
                <w:sz w:val="20"/>
                <w:szCs w:val="20"/>
              </w:rPr>
              <w:t>, Habilitation</w:t>
            </w:r>
          </w:p>
        </w:tc>
      </w:tr>
      <w:tr w:rsidR="004C608D" w:rsidRPr="006C2573" w:rsidTr="00A4313C">
        <w:trPr>
          <w:trHeight w:val="152"/>
        </w:trPr>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RST</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Regional Support Team</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RQC</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Regional Quality Council</w:t>
            </w:r>
          </w:p>
        </w:tc>
      </w:tr>
      <w:tr w:rsidR="00E66D28" w:rsidRPr="006C2573" w:rsidTr="00F401D0">
        <w:tc>
          <w:tcPr>
            <w:tcW w:w="1641" w:type="dxa"/>
          </w:tcPr>
          <w:p w:rsidR="00E66D28" w:rsidRPr="00996FC2" w:rsidRDefault="00E66D28" w:rsidP="002334B8">
            <w:pPr>
              <w:ind w:left="72"/>
              <w:rPr>
                <w:rFonts w:ascii="Baskerville" w:hAnsi="Baskerville" w:cs="Baskerville"/>
                <w:sz w:val="20"/>
                <w:szCs w:val="20"/>
              </w:rPr>
            </w:pPr>
            <w:r w:rsidRPr="00996FC2">
              <w:rPr>
                <w:rFonts w:ascii="Baskerville" w:hAnsi="Baskerville" w:cs="Baskerville"/>
                <w:sz w:val="20"/>
                <w:szCs w:val="20"/>
              </w:rPr>
              <w:t>SA</w:t>
            </w:r>
          </w:p>
        </w:tc>
        <w:tc>
          <w:tcPr>
            <w:tcW w:w="7719" w:type="dxa"/>
          </w:tcPr>
          <w:p w:rsidR="00E66D28" w:rsidRPr="00996FC2" w:rsidRDefault="00E66D28" w:rsidP="002334B8">
            <w:pPr>
              <w:ind w:left="231"/>
              <w:rPr>
                <w:rFonts w:ascii="Baskerville" w:hAnsi="Baskerville" w:cs="Baskerville"/>
                <w:sz w:val="20"/>
                <w:szCs w:val="20"/>
              </w:rPr>
            </w:pPr>
            <w:r w:rsidRPr="00996FC2">
              <w:rPr>
                <w:rFonts w:ascii="Baskerville" w:hAnsi="Baskerville" w:cs="Baskerville"/>
                <w:sz w:val="20"/>
                <w:szCs w:val="20"/>
              </w:rPr>
              <w:t xml:space="preserve">Settlement Agreement </w:t>
            </w:r>
            <w:r w:rsidR="00BE6BC1" w:rsidRPr="00996FC2">
              <w:rPr>
                <w:rFonts w:ascii="Baskerville" w:hAnsi="Baskerville" w:cs="Baskerville"/>
                <w:sz w:val="20"/>
                <w:szCs w:val="20"/>
              </w:rPr>
              <w:t>US v. VA 3:12 CV 059</w:t>
            </w:r>
          </w:p>
        </w:tc>
      </w:tr>
      <w:tr w:rsidR="00030D0A" w:rsidRPr="006C2573" w:rsidTr="00F401D0">
        <w:tc>
          <w:tcPr>
            <w:tcW w:w="1641" w:type="dxa"/>
          </w:tcPr>
          <w:p w:rsidR="00030D0A" w:rsidRPr="00996FC2" w:rsidRDefault="00030D0A" w:rsidP="002334B8">
            <w:pPr>
              <w:ind w:left="72"/>
              <w:rPr>
                <w:rFonts w:ascii="Baskerville" w:hAnsi="Baskerville" w:cs="Baskerville"/>
                <w:sz w:val="20"/>
                <w:szCs w:val="20"/>
              </w:rPr>
            </w:pPr>
            <w:r w:rsidRPr="00996FC2">
              <w:rPr>
                <w:rFonts w:ascii="Baskerville" w:hAnsi="Baskerville" w:cs="Baskerville"/>
                <w:sz w:val="20"/>
                <w:szCs w:val="20"/>
              </w:rPr>
              <w:t>SC</w:t>
            </w:r>
          </w:p>
        </w:tc>
        <w:tc>
          <w:tcPr>
            <w:tcW w:w="7719" w:type="dxa"/>
          </w:tcPr>
          <w:p w:rsidR="00030D0A" w:rsidRPr="00996FC2" w:rsidRDefault="00030D0A" w:rsidP="002334B8">
            <w:pPr>
              <w:ind w:left="231"/>
              <w:rPr>
                <w:rFonts w:ascii="Baskerville" w:hAnsi="Baskerville" w:cs="Baskerville"/>
                <w:sz w:val="20"/>
                <w:szCs w:val="20"/>
              </w:rPr>
            </w:pPr>
            <w:r w:rsidRPr="00996FC2">
              <w:rPr>
                <w:rFonts w:ascii="Baskerville" w:hAnsi="Baskerville" w:cs="Baskerville"/>
                <w:sz w:val="20"/>
                <w:szCs w:val="20"/>
              </w:rPr>
              <w:t>Support Coordinator</w:t>
            </w:r>
          </w:p>
        </w:tc>
      </w:tr>
      <w:tr w:rsidR="0038182F" w:rsidRPr="006C2573" w:rsidTr="00F401D0">
        <w:tc>
          <w:tcPr>
            <w:tcW w:w="1641" w:type="dxa"/>
          </w:tcPr>
          <w:p w:rsidR="0038182F" w:rsidRPr="00996FC2" w:rsidRDefault="0038182F" w:rsidP="00BA4292">
            <w:pPr>
              <w:ind w:left="72"/>
              <w:rPr>
                <w:rFonts w:ascii="Baskerville" w:hAnsi="Baskerville" w:cs="Baskerville"/>
                <w:sz w:val="20"/>
                <w:szCs w:val="20"/>
              </w:rPr>
            </w:pPr>
            <w:r w:rsidRPr="00996FC2">
              <w:rPr>
                <w:rFonts w:ascii="Baskerville" w:hAnsi="Baskerville" w:cs="Baskerville"/>
                <w:sz w:val="20"/>
                <w:szCs w:val="20"/>
              </w:rPr>
              <w:t>SIS</w:t>
            </w:r>
          </w:p>
        </w:tc>
        <w:tc>
          <w:tcPr>
            <w:tcW w:w="7719" w:type="dxa"/>
          </w:tcPr>
          <w:p w:rsidR="0038182F" w:rsidRPr="00996FC2" w:rsidRDefault="0038182F" w:rsidP="002334B8">
            <w:pPr>
              <w:ind w:left="231"/>
              <w:rPr>
                <w:rFonts w:ascii="Baskerville" w:hAnsi="Baskerville" w:cs="Baskerville"/>
                <w:sz w:val="20"/>
                <w:szCs w:val="20"/>
              </w:rPr>
            </w:pPr>
            <w:r w:rsidRPr="00996FC2">
              <w:rPr>
                <w:rFonts w:ascii="Baskerville" w:hAnsi="Baskerville" w:cs="Baskerville"/>
                <w:sz w:val="20"/>
                <w:szCs w:val="20"/>
              </w:rPr>
              <w:t>Supports Intensity Scale</w:t>
            </w:r>
          </w:p>
        </w:tc>
      </w:tr>
      <w:tr w:rsidR="00BA4292" w:rsidRPr="006C2573" w:rsidTr="00F401D0">
        <w:tc>
          <w:tcPr>
            <w:tcW w:w="1641" w:type="dxa"/>
          </w:tcPr>
          <w:p w:rsidR="00BA4292" w:rsidRPr="00996FC2" w:rsidRDefault="00BA4292" w:rsidP="00BA4292">
            <w:pPr>
              <w:ind w:left="72"/>
              <w:rPr>
                <w:rFonts w:ascii="Baskerville" w:hAnsi="Baskerville" w:cs="Baskerville"/>
                <w:sz w:val="20"/>
                <w:szCs w:val="20"/>
              </w:rPr>
            </w:pPr>
            <w:r w:rsidRPr="00996FC2">
              <w:rPr>
                <w:rFonts w:ascii="Baskerville" w:hAnsi="Baskerville" w:cs="Baskerville"/>
                <w:sz w:val="20"/>
                <w:szCs w:val="20"/>
              </w:rPr>
              <w:t>SW</w:t>
            </w:r>
          </w:p>
        </w:tc>
        <w:tc>
          <w:tcPr>
            <w:tcW w:w="7719" w:type="dxa"/>
          </w:tcPr>
          <w:p w:rsidR="00BA4292" w:rsidRPr="00996FC2" w:rsidRDefault="00BA4292" w:rsidP="002334B8">
            <w:pPr>
              <w:ind w:left="231"/>
              <w:rPr>
                <w:rFonts w:ascii="Baskerville" w:hAnsi="Baskerville" w:cs="Baskerville"/>
                <w:sz w:val="20"/>
                <w:szCs w:val="20"/>
              </w:rPr>
            </w:pPr>
            <w:r w:rsidRPr="00996FC2">
              <w:rPr>
                <w:rFonts w:ascii="Baskerville" w:hAnsi="Baskerville" w:cs="Baskerville"/>
                <w:sz w:val="20"/>
                <w:szCs w:val="20"/>
              </w:rPr>
              <w:t>Sheltered Work</w:t>
            </w:r>
          </w:p>
        </w:tc>
      </w:tr>
      <w:tr w:rsidR="004C608D" w:rsidRPr="006C2573" w:rsidTr="00F401D0">
        <w:tc>
          <w:tcPr>
            <w:tcW w:w="1641" w:type="dxa"/>
          </w:tcPr>
          <w:p w:rsidR="004C608D" w:rsidRPr="00996FC2" w:rsidRDefault="004C608D" w:rsidP="002334B8">
            <w:pPr>
              <w:ind w:left="72"/>
              <w:rPr>
                <w:rFonts w:ascii="Baskerville" w:hAnsi="Baskerville" w:cs="Baskerville"/>
                <w:sz w:val="20"/>
                <w:szCs w:val="20"/>
              </w:rPr>
            </w:pPr>
            <w:r w:rsidRPr="00996FC2">
              <w:rPr>
                <w:rFonts w:ascii="Baskerville" w:hAnsi="Baskerville" w:cs="Baskerville"/>
                <w:sz w:val="20"/>
                <w:szCs w:val="20"/>
              </w:rPr>
              <w:t>SELN AG</w:t>
            </w:r>
          </w:p>
        </w:tc>
        <w:tc>
          <w:tcPr>
            <w:tcW w:w="7719" w:type="dxa"/>
          </w:tcPr>
          <w:p w:rsidR="004C608D" w:rsidRPr="00996FC2" w:rsidRDefault="004C608D" w:rsidP="002334B8">
            <w:pPr>
              <w:ind w:left="231"/>
              <w:rPr>
                <w:rFonts w:ascii="Baskerville" w:hAnsi="Baskerville" w:cs="Baskerville"/>
                <w:sz w:val="20"/>
                <w:szCs w:val="20"/>
              </w:rPr>
            </w:pPr>
            <w:r w:rsidRPr="00996FC2">
              <w:rPr>
                <w:rFonts w:ascii="Baskerville" w:hAnsi="Baskerville" w:cs="Baskerville"/>
                <w:sz w:val="20"/>
                <w:szCs w:val="20"/>
              </w:rPr>
              <w:t>Supported Employment Leadership Network, Advisory Group</w:t>
            </w:r>
          </w:p>
        </w:tc>
      </w:tr>
      <w:tr w:rsidR="005D0B41" w:rsidRPr="006C2573" w:rsidTr="00F401D0">
        <w:tc>
          <w:tcPr>
            <w:tcW w:w="1641" w:type="dxa"/>
          </w:tcPr>
          <w:p w:rsidR="005D0B41" w:rsidRPr="00996FC2" w:rsidRDefault="005D0B41" w:rsidP="002334B8">
            <w:pPr>
              <w:ind w:left="72"/>
              <w:rPr>
                <w:rFonts w:ascii="Baskerville" w:hAnsi="Baskerville" w:cs="Baskerville"/>
                <w:sz w:val="20"/>
                <w:szCs w:val="20"/>
              </w:rPr>
            </w:pPr>
            <w:r w:rsidRPr="00996FC2">
              <w:rPr>
                <w:rFonts w:ascii="Baskerville" w:hAnsi="Baskerville" w:cs="Baskerville"/>
                <w:sz w:val="20"/>
                <w:szCs w:val="20"/>
              </w:rPr>
              <w:t>WDAC</w:t>
            </w:r>
          </w:p>
        </w:tc>
        <w:tc>
          <w:tcPr>
            <w:tcW w:w="7719" w:type="dxa"/>
          </w:tcPr>
          <w:p w:rsidR="005D0B41" w:rsidRPr="00996FC2" w:rsidRDefault="005D0B41" w:rsidP="002334B8">
            <w:pPr>
              <w:ind w:left="231"/>
              <w:rPr>
                <w:rFonts w:ascii="Baskerville" w:hAnsi="Baskerville" w:cs="Baskerville"/>
                <w:sz w:val="20"/>
                <w:szCs w:val="20"/>
              </w:rPr>
            </w:pPr>
            <w:r w:rsidRPr="00996FC2">
              <w:rPr>
                <w:rFonts w:ascii="Baskerville" w:hAnsi="Baskerville" w:cs="Baskerville"/>
                <w:sz w:val="20"/>
                <w:szCs w:val="20"/>
              </w:rPr>
              <w:t>Waiver Design Advisory Group</w:t>
            </w:r>
          </w:p>
        </w:tc>
      </w:tr>
    </w:tbl>
    <w:p w:rsidR="004C608D" w:rsidRPr="00EF5B9D" w:rsidRDefault="004C608D" w:rsidP="004C608D">
      <w:pPr>
        <w:ind w:firstLine="720"/>
        <w:rPr>
          <w:rFonts w:ascii="Baskerville" w:hAnsi="Baskerville"/>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D32D1F" w:rsidRDefault="00D32D1F" w:rsidP="00D32D1F">
      <w:pPr>
        <w:spacing w:before="100" w:beforeAutospacing="1" w:after="100" w:afterAutospacing="1" w:line="276" w:lineRule="auto"/>
        <w:ind w:left="540" w:hanging="540"/>
        <w:contextualSpacing/>
        <w:jc w:val="both"/>
        <w:rPr>
          <w:rFonts w:ascii="Baskerville" w:hAnsi="Baskerville" w:cs="Baskerville"/>
          <w:b/>
          <w:sz w:val="28"/>
          <w:szCs w:val="28"/>
        </w:rPr>
      </w:pPr>
    </w:p>
    <w:p w:rsidR="00E507C3" w:rsidRDefault="00E507C3"/>
    <w:sectPr w:rsidR="00E507C3" w:rsidSect="00393A05">
      <w:headerReference w:type="even" r:id="rId15"/>
      <w:headerReference w:type="default" r:id="rId16"/>
      <w:headerReference w:type="first" r:id="rId17"/>
      <w:type w:val="continuous"/>
      <w:pgSz w:w="12240" w:h="15840" w:code="1"/>
      <w:pgMar w:top="1296" w:right="1350"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5F" w:rsidRDefault="0059065F" w:rsidP="00B13584">
      <w:r>
        <w:separator/>
      </w:r>
    </w:p>
  </w:endnote>
  <w:endnote w:type="continuationSeparator" w:id="0">
    <w:p w:rsidR="0059065F" w:rsidRDefault="0059065F" w:rsidP="00B13584">
      <w:r>
        <w:continuationSeparator/>
      </w:r>
    </w:p>
  </w:endnote>
</w:endnotes>
</file>

<file path=word/fontTable.xml><?xml version="1.0" encoding="utf-8"?>
<w:fonts xmlns:r="http://schemas.openxmlformats.org/officeDocument/2006/relationships" xmlns:w="http://schemas.openxmlformats.org/wordprocessingml/2006/main">
  <w:font w:name="Univers Condense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Big Caslon">
    <w:charset w:val="00"/>
    <w:family w:val="auto"/>
    <w:pitch w:val="variable"/>
    <w:sig w:usb0="80000063" w:usb1="00000000" w:usb2="00000000" w:usb3="00000000" w:csb0="000001FB"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3" w:rsidRDefault="00801204" w:rsidP="00393A05">
    <w:pPr>
      <w:pStyle w:val="Footer"/>
      <w:framePr w:wrap="around" w:vAnchor="text" w:hAnchor="margin" w:xAlign="right" w:y="1"/>
      <w:rPr>
        <w:rStyle w:val="PageNumber"/>
      </w:rPr>
    </w:pPr>
    <w:r>
      <w:rPr>
        <w:rStyle w:val="PageNumber"/>
      </w:rPr>
      <w:fldChar w:fldCharType="begin"/>
    </w:r>
    <w:r w:rsidR="00E507C3">
      <w:rPr>
        <w:rStyle w:val="PageNumber"/>
      </w:rPr>
      <w:instrText xml:space="preserve">PAGE  </w:instrText>
    </w:r>
    <w:r>
      <w:rPr>
        <w:rStyle w:val="PageNumber"/>
      </w:rPr>
      <w:fldChar w:fldCharType="end"/>
    </w:r>
  </w:p>
  <w:p w:rsidR="00E507C3" w:rsidRDefault="00801204" w:rsidP="00797FD2">
    <w:pPr>
      <w:pStyle w:val="Footer"/>
      <w:ind w:right="360" w:firstLine="360"/>
    </w:pPr>
    <w:sdt>
      <w:sdtPr>
        <w:id w:val="969400743"/>
        <w:placeholder>
          <w:docPart w:val="EC62138A8B40B54AA4D206DECD2E8914"/>
        </w:placeholder>
        <w:temporary/>
        <w:showingPlcHdr/>
      </w:sdtPr>
      <w:sdtContent>
        <w:r w:rsidR="00E507C3">
          <w:t>[Type text]</w:t>
        </w:r>
      </w:sdtContent>
    </w:sdt>
    <w:r w:rsidR="00E507C3">
      <w:ptab w:relativeTo="margin" w:alignment="center" w:leader="none"/>
    </w:r>
    <w:sdt>
      <w:sdtPr>
        <w:id w:val="969400748"/>
        <w:placeholder>
          <w:docPart w:val="449F05007B83214997FF365C0EA188AF"/>
        </w:placeholder>
        <w:temporary/>
        <w:showingPlcHdr/>
      </w:sdtPr>
      <w:sdtContent>
        <w:r w:rsidR="00E507C3">
          <w:t>[Type text]</w:t>
        </w:r>
      </w:sdtContent>
    </w:sdt>
    <w:r w:rsidR="00E507C3">
      <w:ptab w:relativeTo="margin" w:alignment="right" w:leader="none"/>
    </w:r>
    <w:sdt>
      <w:sdtPr>
        <w:id w:val="969400753"/>
        <w:placeholder>
          <w:docPart w:val="3FB1E61D57E83B47947A379CF56D1E40"/>
        </w:placeholder>
        <w:temporary/>
        <w:showingPlcHdr/>
      </w:sdtPr>
      <w:sdtContent>
        <w:r w:rsidR="00E507C3">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3" w:rsidRDefault="00801204" w:rsidP="00393A05">
    <w:pPr>
      <w:pStyle w:val="Footer"/>
      <w:framePr w:wrap="around" w:vAnchor="text" w:hAnchor="margin" w:xAlign="right" w:y="1"/>
      <w:rPr>
        <w:rStyle w:val="PageNumber"/>
      </w:rPr>
    </w:pPr>
    <w:r>
      <w:rPr>
        <w:rStyle w:val="PageNumber"/>
      </w:rPr>
      <w:fldChar w:fldCharType="begin"/>
    </w:r>
    <w:r w:rsidR="00E507C3">
      <w:rPr>
        <w:rStyle w:val="PageNumber"/>
      </w:rPr>
      <w:instrText xml:space="preserve">PAGE  </w:instrText>
    </w:r>
    <w:r>
      <w:rPr>
        <w:rStyle w:val="PageNumber"/>
      </w:rPr>
      <w:fldChar w:fldCharType="separate"/>
    </w:r>
    <w:r w:rsidR="00E04750">
      <w:rPr>
        <w:rStyle w:val="PageNumber"/>
        <w:noProof/>
      </w:rPr>
      <w:t>151</w:t>
    </w:r>
    <w:r>
      <w:rPr>
        <w:rStyle w:val="PageNumber"/>
      </w:rPr>
      <w:fldChar w:fldCharType="end"/>
    </w:r>
  </w:p>
  <w:p w:rsidR="00E507C3" w:rsidRDefault="00E507C3" w:rsidP="00797FD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5F" w:rsidRDefault="0059065F" w:rsidP="00B13584">
      <w:r>
        <w:separator/>
      </w:r>
    </w:p>
  </w:footnote>
  <w:footnote w:type="continuationSeparator" w:id="0">
    <w:p w:rsidR="0059065F" w:rsidRDefault="0059065F" w:rsidP="00B13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3" w:rsidRDefault="00E50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3" w:rsidRDefault="00E50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C3" w:rsidRDefault="00E507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0C6372"/>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12A24ABE"/>
    <w:lvl w:ilvl="0">
      <w:start w:val="1"/>
      <w:numFmt w:val="bullet"/>
      <w:pStyle w:val="ListBullet2"/>
      <w:lvlText w:val="■"/>
      <w:lvlJc w:val="left"/>
      <w:pPr>
        <w:tabs>
          <w:tab w:val="num" w:pos="720"/>
        </w:tabs>
        <w:ind w:left="720" w:hanging="360"/>
      </w:pPr>
      <w:rPr>
        <w:rFonts w:ascii="Univers Condensed" w:hAnsi="Univers Condensed" w:cs="Univers Condensed" w:hint="default"/>
        <w:color w:val="1F671F"/>
        <w:sz w:val="22"/>
      </w:rPr>
    </w:lvl>
  </w:abstractNum>
  <w:abstractNum w:abstractNumId="2">
    <w:nsid w:val="FFFFFF89"/>
    <w:multiLevelType w:val="singleLevel"/>
    <w:tmpl w:val="90022220"/>
    <w:lvl w:ilvl="0">
      <w:start w:val="1"/>
      <w:numFmt w:val="bullet"/>
      <w:pStyle w:val="ListBullet"/>
      <w:lvlText w:val="►"/>
      <w:lvlJc w:val="left"/>
      <w:pPr>
        <w:tabs>
          <w:tab w:val="num" w:pos="360"/>
        </w:tabs>
        <w:ind w:left="360" w:hanging="360"/>
      </w:pPr>
      <w:rPr>
        <w:rFonts w:ascii="Book Antiqua" w:hAnsi="Book Antiqua" w:hint="default"/>
        <w:color w:val="00267F"/>
        <w:sz w:val="2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21C95"/>
    <w:multiLevelType w:val="hybridMultilevel"/>
    <w:tmpl w:val="6B44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C1C20"/>
    <w:multiLevelType w:val="hybridMultilevel"/>
    <w:tmpl w:val="4B741722"/>
    <w:lvl w:ilvl="0" w:tplc="BCB630EC">
      <w:start w:val="1"/>
      <w:numFmt w:val="bullet"/>
      <w:pStyle w:val="TableBullets"/>
      <w:lvlText w:val=""/>
      <w:lvlJc w:val="left"/>
      <w:pPr>
        <w:tabs>
          <w:tab w:val="num" w:pos="360"/>
        </w:tabs>
        <w:ind w:left="360" w:hanging="360"/>
      </w:pPr>
      <w:rPr>
        <w:rFonts w:ascii="Wingdings 3" w:hAnsi="Wingdings 3" w:hint="default"/>
        <w:color w:val="1F671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57466B9"/>
    <w:multiLevelType w:val="hybridMultilevel"/>
    <w:tmpl w:val="26E21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16BBB"/>
    <w:multiLevelType w:val="hybridMultilevel"/>
    <w:tmpl w:val="51E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90753E"/>
    <w:multiLevelType w:val="multilevel"/>
    <w:tmpl w:val="34EE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447AFD"/>
    <w:multiLevelType w:val="hybridMultilevel"/>
    <w:tmpl w:val="0C86E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5C6308"/>
    <w:multiLevelType w:val="hybridMultilevel"/>
    <w:tmpl w:val="BC9423B0"/>
    <w:lvl w:ilvl="0" w:tplc="79D8DDE6">
      <w:start w:val="1"/>
      <w:numFmt w:val="bullet"/>
      <w:pStyle w:val="FocusBoxNum"/>
      <w:lvlText w:val="►"/>
      <w:lvlJc w:val="left"/>
      <w:pPr>
        <w:tabs>
          <w:tab w:val="num" w:pos="360"/>
        </w:tabs>
        <w:ind w:left="360" w:hanging="360"/>
      </w:pPr>
      <w:rPr>
        <w:rFonts w:ascii="Book Antiqua" w:hAnsi="Book Antiqua" w:hint="default"/>
        <w:b w:val="0"/>
        <w:i w:val="0"/>
        <w:color w:val="00267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424A47"/>
    <w:multiLevelType w:val="hybridMultilevel"/>
    <w:tmpl w:val="D288671A"/>
    <w:lvl w:ilvl="0" w:tplc="6DA855CE">
      <w:start w:val="1"/>
      <w:numFmt w:val="bullet"/>
      <w:pStyle w:val="SectionSubbullet"/>
      <w:lvlText w:val="►"/>
      <w:lvlJc w:val="left"/>
      <w:pPr>
        <w:tabs>
          <w:tab w:val="num" w:pos="1440"/>
        </w:tabs>
        <w:ind w:left="1440" w:hanging="360"/>
      </w:pPr>
      <w:rPr>
        <w:rFonts w:ascii="Book Antiqua" w:hAnsi="Book Antiqua" w:hint="default"/>
        <w:color w:val="00267F"/>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12">
    <w:nsid w:val="0F4036A9"/>
    <w:multiLevelType w:val="hybridMultilevel"/>
    <w:tmpl w:val="C9963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D5E55"/>
    <w:multiLevelType w:val="multilevel"/>
    <w:tmpl w:val="0B3AF730"/>
    <w:lvl w:ilvl="0">
      <w:start w:val="1"/>
      <w:numFmt w:val="bullet"/>
      <w:pStyle w:val="TableBullet1"/>
      <w:lvlText w:val="►"/>
      <w:lvlJc w:val="left"/>
      <w:pPr>
        <w:ind w:left="1080" w:hanging="360"/>
      </w:pPr>
      <w:rPr>
        <w:rFonts w:ascii="Book Antiqua" w:hAnsi="Book Antiqua" w:hint="default"/>
        <w:caps w:val="0"/>
        <w:strike w:val="0"/>
        <w:dstrike w:val="0"/>
        <w:vanish w:val="0"/>
        <w:color w:val="00267F"/>
        <w:sz w:val="22"/>
        <w:vertAlign w:val="baseline"/>
      </w:rPr>
    </w:lvl>
    <w:lvl w:ilvl="1">
      <w:start w:val="1"/>
      <w:numFmt w:val="bullet"/>
      <w:pStyle w:val="TableBullet2"/>
      <w:lvlText w:val=""/>
      <w:lvlJc w:val="left"/>
      <w:pPr>
        <w:ind w:left="1800" w:hanging="360"/>
      </w:pPr>
      <w:rPr>
        <w:rFonts w:ascii="Symbol" w:hAnsi="Symbol" w:hint="default"/>
        <w:color w:val="1F821F"/>
        <w:spacing w:val="-2"/>
        <w:sz w:val="24"/>
      </w:rPr>
    </w:lvl>
    <w:lvl w:ilvl="2">
      <w:start w:val="1"/>
      <w:numFmt w:val="bullet"/>
      <w:pStyle w:val="TableBullet3"/>
      <w:lvlText w:val=""/>
      <w:lvlJc w:val="left"/>
      <w:pPr>
        <w:ind w:left="2520" w:hanging="360"/>
      </w:pPr>
      <w:rPr>
        <w:rFonts w:ascii="Wingdings" w:hAnsi="Wingdings" w:hint="default"/>
        <w:color w:val="00267F"/>
        <w:sz w:val="24"/>
      </w:rPr>
    </w:lvl>
    <w:lvl w:ilvl="3">
      <w:start w:val="1"/>
      <w:numFmt w:val="bullet"/>
      <w:lvlText w:val=""/>
      <w:lvlJc w:val="left"/>
      <w:pPr>
        <w:ind w:left="3240" w:hanging="360"/>
      </w:pPr>
      <w:rPr>
        <w:rFonts w:ascii="Symbol" w:hAnsi="Symbol" w:hint="default"/>
        <w:color w:val="1F821F"/>
      </w:rPr>
    </w:lvl>
    <w:lvl w:ilvl="4">
      <w:start w:val="1"/>
      <w:numFmt w:val="bullet"/>
      <w:lvlText w:val=""/>
      <w:lvlJc w:val="left"/>
      <w:pPr>
        <w:ind w:left="3960" w:hanging="36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128E12E8"/>
    <w:multiLevelType w:val="hybridMultilevel"/>
    <w:tmpl w:val="5422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97AF3"/>
    <w:multiLevelType w:val="hybridMultilevel"/>
    <w:tmpl w:val="24CCF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37E1A"/>
    <w:multiLevelType w:val="hybridMultilevel"/>
    <w:tmpl w:val="ECD43FC4"/>
    <w:lvl w:ilvl="0" w:tplc="0E76222E">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07A66"/>
    <w:multiLevelType w:val="hybridMultilevel"/>
    <w:tmpl w:val="252C5C68"/>
    <w:lvl w:ilvl="0" w:tplc="003AFABE">
      <w:start w:val="1"/>
      <w:numFmt w:val="bullet"/>
      <w:pStyle w:val="Source"/>
      <w:lvlText w:val=""/>
      <w:lvlJc w:val="left"/>
      <w:pPr>
        <w:tabs>
          <w:tab w:val="num" w:pos="288"/>
        </w:tabs>
        <w:ind w:left="288" w:hanging="432"/>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8">
    <w:nsid w:val="1D4E65D9"/>
    <w:multiLevelType w:val="hybridMultilevel"/>
    <w:tmpl w:val="8F2C0B9A"/>
    <w:lvl w:ilvl="0" w:tplc="04090001">
      <w:start w:val="1"/>
      <w:numFmt w:val="bullet"/>
      <w:lvlText w:val=""/>
      <w:lvlJc w:val="left"/>
      <w:pPr>
        <w:ind w:left="720" w:hanging="360"/>
      </w:pPr>
      <w:rPr>
        <w:rFonts w:ascii="Symbol" w:hAnsi="Symbol" w:hint="default"/>
      </w:rPr>
    </w:lvl>
    <w:lvl w:ilvl="1" w:tplc="6E043088">
      <w:start w:val="1"/>
      <w:numFmt w:val="upperLetter"/>
      <w:lvlText w:val="%2."/>
      <w:lvlJc w:val="left"/>
      <w:pPr>
        <w:ind w:left="1440" w:hanging="360"/>
      </w:pPr>
      <w:rPr>
        <w:rFonts w:asciiTheme="minorHAnsi" w:eastAsiaTheme="minorHAnsi" w:hAnsiTheme="minorHAnsi" w:cstheme="minorBidi"/>
      </w:rPr>
    </w:lvl>
    <w:lvl w:ilvl="2" w:tplc="9270759C">
      <w:start w:val="1"/>
      <w:numFmt w:val="decimal"/>
      <w:lvlText w:val="%3."/>
      <w:lvlJc w:val="left"/>
      <w:pPr>
        <w:ind w:left="2160" w:hanging="360"/>
      </w:pPr>
      <w:rPr>
        <w:rFonts w:asciiTheme="minorHAnsi" w:eastAsiaTheme="minorHAnsi" w:hAnsiTheme="minorHAnsi"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640CB"/>
    <w:multiLevelType w:val="hybridMultilevel"/>
    <w:tmpl w:val="F3022700"/>
    <w:lvl w:ilvl="0" w:tplc="4F164D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FC34BE"/>
    <w:multiLevelType w:val="multilevel"/>
    <w:tmpl w:val="C44649C0"/>
    <w:lvl w:ilvl="0">
      <w:start w:val="1"/>
      <w:numFmt w:val="decimal"/>
      <w:pStyle w:val="bullet2"/>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B93B40"/>
    <w:multiLevelType w:val="hybridMultilevel"/>
    <w:tmpl w:val="C2E6A978"/>
    <w:lvl w:ilvl="0" w:tplc="ECFE7800">
      <w:start w:val="1"/>
      <w:numFmt w:val="bullet"/>
      <w:pStyle w:val="Bulletlevel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4846AF"/>
    <w:multiLevelType w:val="hybridMultilevel"/>
    <w:tmpl w:val="BE7E8F2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F87D3A"/>
    <w:multiLevelType w:val="hybridMultilevel"/>
    <w:tmpl w:val="CF86C64E"/>
    <w:lvl w:ilvl="0" w:tplc="5256428E">
      <w:start w:val="1"/>
      <w:numFmt w:val="bullet"/>
      <w:pStyle w:val="FocusBoxBullets"/>
      <w:lvlText w:val=""/>
      <w:lvlJc w:val="left"/>
      <w:pPr>
        <w:ind w:left="720" w:hanging="360"/>
      </w:pPr>
      <w:rPr>
        <w:rFonts w:ascii="Wingdings" w:hAnsi="Wingdings" w:hint="default"/>
        <w:color w:val="0026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97B17"/>
    <w:multiLevelType w:val="hybridMultilevel"/>
    <w:tmpl w:val="CABAF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B21147"/>
    <w:multiLevelType w:val="hybridMultilevel"/>
    <w:tmpl w:val="BBFE7DDE"/>
    <w:lvl w:ilvl="0" w:tplc="0E8C8B32">
      <w:start w:val="1"/>
      <w:numFmt w:val="upp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9D28DA"/>
    <w:multiLevelType w:val="hybridMultilevel"/>
    <w:tmpl w:val="EED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C76F61"/>
    <w:multiLevelType w:val="hybridMultilevel"/>
    <w:tmpl w:val="8E62F12C"/>
    <w:lvl w:ilvl="0" w:tplc="C78A9760">
      <w:start w:val="1"/>
      <w:numFmt w:val="lowerLetter"/>
      <w:pStyle w:val="Heading6"/>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2E577313"/>
    <w:multiLevelType w:val="hybridMultilevel"/>
    <w:tmpl w:val="D290743A"/>
    <w:lvl w:ilvl="0" w:tplc="5BA68126">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703B03"/>
    <w:multiLevelType w:val="hybridMultilevel"/>
    <w:tmpl w:val="1AB4DFB4"/>
    <w:lvl w:ilvl="0" w:tplc="B9CA0460">
      <w:start w:val="1"/>
      <w:numFmt w:val="bullet"/>
      <w:pStyle w:val="FocusBoxBullet1"/>
      <w:lvlText w:val=""/>
      <w:lvlJc w:val="left"/>
      <w:pPr>
        <w:ind w:left="720" w:hanging="360"/>
      </w:pPr>
      <w:rPr>
        <w:rFonts w:ascii="Wingdings" w:hAnsi="Wingdings" w:hint="default"/>
        <w:color w:val="0026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7740EC"/>
    <w:multiLevelType w:val="multilevel"/>
    <w:tmpl w:val="B8A0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881B76"/>
    <w:multiLevelType w:val="hybridMultilevel"/>
    <w:tmpl w:val="12AEE1EE"/>
    <w:lvl w:ilvl="0" w:tplc="07B8980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5456142"/>
    <w:multiLevelType w:val="hybridMultilevel"/>
    <w:tmpl w:val="36501FCA"/>
    <w:lvl w:ilvl="0" w:tplc="F3CEBB8E">
      <w:start w:val="1"/>
      <w:numFmt w:val="bullet"/>
      <w:pStyle w:val="bulletresume"/>
      <w:lvlText w:val="►"/>
      <w:lvlJc w:val="left"/>
      <w:pPr>
        <w:ind w:left="720" w:hanging="360"/>
      </w:pPr>
      <w:rPr>
        <w:rFonts w:ascii="Book Antiqua" w:hAnsi="Book Antiqua" w:hint="default"/>
        <w:color w:val="00267F"/>
        <w:sz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58029A"/>
    <w:multiLevelType w:val="hybridMultilevel"/>
    <w:tmpl w:val="1F2A05B8"/>
    <w:lvl w:ilvl="0" w:tplc="AFC0D5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31228B"/>
    <w:multiLevelType w:val="hybridMultilevel"/>
    <w:tmpl w:val="58E6FF02"/>
    <w:lvl w:ilvl="0" w:tplc="A66CE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71127C"/>
    <w:multiLevelType w:val="hybridMultilevel"/>
    <w:tmpl w:val="0134A04C"/>
    <w:lvl w:ilvl="0" w:tplc="B0CE5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DF0892"/>
    <w:multiLevelType w:val="hybridMultilevel"/>
    <w:tmpl w:val="309ACEA2"/>
    <w:lvl w:ilvl="0" w:tplc="DA1AD98A">
      <w:start w:val="1"/>
      <w:numFmt w:val="bullet"/>
      <w:pStyle w:val="StyleBulletLevel2After3pt"/>
      <w:lvlText w:val="■"/>
      <w:lvlJc w:val="left"/>
      <w:pPr>
        <w:tabs>
          <w:tab w:val="num" w:pos="1080"/>
        </w:tabs>
        <w:ind w:left="1080" w:hanging="360"/>
      </w:pPr>
      <w:rPr>
        <w:rFonts w:ascii="Book Antiqua" w:hAnsi="Book Antiqua" w:hint="default"/>
        <w:color w:val="1F671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9D260F4"/>
    <w:multiLevelType w:val="hybridMultilevel"/>
    <w:tmpl w:val="5B60D4FE"/>
    <w:lvl w:ilvl="0" w:tplc="25F0D792">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A2653"/>
    <w:multiLevelType w:val="hybridMultilevel"/>
    <w:tmpl w:val="D19CCAB0"/>
    <w:lvl w:ilvl="0" w:tplc="B1AE0E32">
      <w:start w:val="2"/>
      <w:numFmt w:val="bullet"/>
      <w:lvlText w:val="-"/>
      <w:lvlJc w:val="left"/>
      <w:pPr>
        <w:ind w:left="720" w:hanging="360"/>
      </w:pPr>
      <w:rPr>
        <w:rFonts w:ascii="Baskerville" w:eastAsia="MS Mincho"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5C15F9"/>
    <w:multiLevelType w:val="hybridMultilevel"/>
    <w:tmpl w:val="5C520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E96DB9"/>
    <w:multiLevelType w:val="hybridMultilevel"/>
    <w:tmpl w:val="B38A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AB7F7E"/>
    <w:multiLevelType w:val="multilevel"/>
    <w:tmpl w:val="EEBC3DAA"/>
    <w:lvl w:ilvl="0">
      <w:start w:val="1"/>
      <w:numFmt w:val="bullet"/>
      <w:pStyle w:val="bullet1"/>
      <w:lvlText w:val="►"/>
      <w:lvlJc w:val="left"/>
      <w:pPr>
        <w:tabs>
          <w:tab w:val="num" w:pos="360"/>
        </w:tabs>
        <w:ind w:left="360" w:hanging="360"/>
      </w:pPr>
      <w:rPr>
        <w:rFonts w:ascii="Book Antiqua" w:hAnsi="Book Antiqua" w:hint="default"/>
        <w:caps w:val="0"/>
        <w:strike w:val="0"/>
        <w:dstrike w:val="0"/>
        <w:vanish w:val="0"/>
        <w:color w:val="00267F"/>
        <w:sz w:val="24"/>
        <w:vertAlign w:val="baseline"/>
      </w:rPr>
    </w:lvl>
    <w:lvl w:ilvl="1">
      <w:start w:val="1"/>
      <w:numFmt w:val="bullet"/>
      <w:lvlRestart w:val="0"/>
      <w:lvlText w:val=""/>
      <w:lvlJc w:val="left"/>
      <w:pPr>
        <w:tabs>
          <w:tab w:val="num" w:pos="720"/>
        </w:tabs>
        <w:ind w:left="720" w:firstLine="0"/>
      </w:pPr>
      <w:rPr>
        <w:rFonts w:ascii="Symbol" w:hAnsi="Symbol" w:hint="default"/>
        <w:color w:val="1F821F"/>
        <w:spacing w:val="-2"/>
        <w:sz w:val="24"/>
      </w:rPr>
    </w:lvl>
    <w:lvl w:ilvl="2">
      <w:start w:val="1"/>
      <w:numFmt w:val="bullet"/>
      <w:lvlRestart w:val="0"/>
      <w:pStyle w:val="bullet3"/>
      <w:lvlText w:val=""/>
      <w:lvlJc w:val="left"/>
      <w:pPr>
        <w:tabs>
          <w:tab w:val="num" w:pos="1080"/>
        </w:tabs>
        <w:ind w:left="1080" w:firstLine="0"/>
      </w:pPr>
      <w:rPr>
        <w:rFonts w:ascii="Wingdings" w:hAnsi="Wingdings" w:hint="default"/>
        <w:color w:val="A1BDEA"/>
      </w:rPr>
    </w:lvl>
    <w:lvl w:ilvl="3">
      <w:start w:val="1"/>
      <w:numFmt w:val="bullet"/>
      <w:lvlRestart w:val="0"/>
      <w:pStyle w:val="bullet4"/>
      <w:lvlText w:val="►"/>
      <w:lvlJc w:val="left"/>
      <w:pPr>
        <w:tabs>
          <w:tab w:val="num" w:pos="1440"/>
        </w:tabs>
        <w:ind w:left="1440" w:firstLine="0"/>
      </w:pPr>
      <w:rPr>
        <w:rFonts w:ascii="Book Antiqua" w:hAnsi="Book Antiqua" w:hint="default"/>
        <w:color w:val="1F821F"/>
        <w:sz w:val="18"/>
      </w:rPr>
    </w:lvl>
    <w:lvl w:ilvl="4">
      <w:start w:val="1"/>
      <w:numFmt w:val="bullet"/>
      <w:lvlText w:val=""/>
      <w:lvlJc w:val="left"/>
      <w:pPr>
        <w:tabs>
          <w:tab w:val="num" w:pos="1800"/>
        </w:tabs>
        <w:ind w:left="1800" w:firstLine="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nsid w:val="429E6984"/>
    <w:multiLevelType w:val="hybridMultilevel"/>
    <w:tmpl w:val="2C201FC6"/>
    <w:lvl w:ilvl="0" w:tplc="4142144E">
      <w:start w:val="1"/>
      <w:numFmt w:val="bullet"/>
      <w:pStyle w:val="ResumeBullets"/>
      <w:lvlText w:val="►"/>
      <w:lvlJc w:val="left"/>
      <w:pPr>
        <w:ind w:left="720" w:hanging="360"/>
      </w:pPr>
      <w:rPr>
        <w:rFonts w:ascii="Book Antiqua" w:hAnsi="Book Antiqua" w:hint="default"/>
        <w:color w:val="00267F"/>
        <w:sz w:val="20"/>
        <w:u w:color="FFFFFF"/>
      </w:rPr>
    </w:lvl>
    <w:lvl w:ilvl="1" w:tplc="30F6A98E">
      <w:start w:val="1"/>
      <w:numFmt w:val="bullet"/>
      <w:lvlText w:val=""/>
      <w:lvlJc w:val="left"/>
      <w:pPr>
        <w:ind w:left="1440" w:hanging="360"/>
      </w:pPr>
      <w:rPr>
        <w:rFonts w:ascii="Wingdings 2" w:hAnsi="Wingdings 2" w:hint="default"/>
        <w:b w:val="0"/>
        <w:i w:val="0"/>
        <w:color w:val="1F671F"/>
        <w:sz w:val="1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C00671"/>
    <w:multiLevelType w:val="hybridMultilevel"/>
    <w:tmpl w:val="9D2ABC26"/>
    <w:lvl w:ilvl="0" w:tplc="FFFFFFFF">
      <w:start w:val="1"/>
      <w:numFmt w:val="bullet"/>
      <w:pStyle w:val="Sidebar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47A6726A"/>
    <w:multiLevelType w:val="hybridMultilevel"/>
    <w:tmpl w:val="39943674"/>
    <w:lvl w:ilvl="0" w:tplc="76D2FAEA">
      <w:start w:val="1"/>
      <w:numFmt w:val="bullet"/>
      <w:pStyle w:val="resumebullet"/>
      <w:lvlText w:val="►"/>
      <w:lvlJc w:val="left"/>
      <w:pPr>
        <w:ind w:left="720" w:hanging="360"/>
      </w:pPr>
      <w:rPr>
        <w:rFonts w:ascii="Book Antiqua" w:hAnsi="Book Antiqua" w:hint="default"/>
        <w:color w:val="00267F"/>
        <w:sz w:val="20"/>
        <w:u w:color="FFFF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C20E54"/>
    <w:multiLevelType w:val="hybridMultilevel"/>
    <w:tmpl w:val="51EC394C"/>
    <w:lvl w:ilvl="0" w:tplc="FF3E89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7C5091C"/>
    <w:multiLevelType w:val="hybridMultilevel"/>
    <w:tmpl w:val="3F109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D814A9"/>
    <w:multiLevelType w:val="hybridMultilevel"/>
    <w:tmpl w:val="61C65C3C"/>
    <w:lvl w:ilvl="0" w:tplc="F53CB13C">
      <w:start w:val="1"/>
      <w:numFmt w:val="bullet"/>
      <w:pStyle w:val="TransmittalBullets"/>
      <w:lvlText w:val="►"/>
      <w:lvlJc w:val="left"/>
      <w:pPr>
        <w:ind w:left="720" w:hanging="360"/>
      </w:pPr>
      <w:rPr>
        <w:rFonts w:ascii="Book Antiqua" w:hAnsi="Book Antiqua" w:hint="default"/>
        <w:color w:val="00267F"/>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BEB455A"/>
    <w:multiLevelType w:val="hybridMultilevel"/>
    <w:tmpl w:val="BD7E0424"/>
    <w:lvl w:ilvl="0" w:tplc="270434A0">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1F068D"/>
    <w:multiLevelType w:val="hybridMultilevel"/>
    <w:tmpl w:val="68A622AA"/>
    <w:lvl w:ilvl="0" w:tplc="919A6342">
      <w:start w:val="1"/>
      <w:numFmt w:val="bullet"/>
      <w:pStyle w:val="ColumnBullet"/>
      <w:lvlText w:val="•"/>
      <w:lvlJc w:val="left"/>
      <w:pPr>
        <w:tabs>
          <w:tab w:val="num" w:pos="504"/>
        </w:tabs>
        <w:ind w:left="504" w:hanging="288"/>
      </w:pPr>
      <w:rPr>
        <w:rFonts w:ascii="Trebuchet MS" w:hAnsi="Trebuchet MS" w:hint="default"/>
        <w:b w:val="0"/>
        <w:i w:val="0"/>
        <w:color w:val="auto"/>
        <w:sz w:val="20"/>
      </w:rPr>
    </w:lvl>
    <w:lvl w:ilvl="1" w:tplc="2B00E678">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1376AD2"/>
    <w:multiLevelType w:val="hybridMultilevel"/>
    <w:tmpl w:val="AE9E80C0"/>
    <w:lvl w:ilvl="0" w:tplc="3BBCEC0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6F54C85"/>
    <w:multiLevelType w:val="hybridMultilevel"/>
    <w:tmpl w:val="9E385140"/>
    <w:lvl w:ilvl="0" w:tplc="3BBCEC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AD3E2F"/>
    <w:multiLevelType w:val="hybridMultilevel"/>
    <w:tmpl w:val="117C3896"/>
    <w:lvl w:ilvl="0" w:tplc="3C8E749C">
      <w:start w:val="1"/>
      <w:numFmt w:val="decimal"/>
      <w:pStyle w:val="SurveyQuestNumbered"/>
      <w:lvlText w:val="%1."/>
      <w:lvlJc w:val="left"/>
      <w:pPr>
        <w:tabs>
          <w:tab w:val="num" w:pos="720"/>
        </w:tabs>
        <w:ind w:left="720" w:hanging="360"/>
      </w:pPr>
      <w:rPr>
        <w:rFonts w:hint="default"/>
      </w:rPr>
    </w:lvl>
    <w:lvl w:ilvl="1" w:tplc="04090019">
      <w:start w:val="1"/>
      <w:numFmt w:val="lowerLetter"/>
      <w:lvlText w:val="%2."/>
      <w:lvlJc w:val="left"/>
      <w:pPr>
        <w:tabs>
          <w:tab w:val="num" w:pos="1460"/>
        </w:tabs>
        <w:ind w:left="14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8F27359"/>
    <w:multiLevelType w:val="hybridMultilevel"/>
    <w:tmpl w:val="647C6C14"/>
    <w:lvl w:ilvl="0" w:tplc="676E4880">
      <w:start w:val="1"/>
      <w:numFmt w:val="bullet"/>
      <w:pStyle w:val="Experience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B00997"/>
    <w:multiLevelType w:val="hybridMultilevel"/>
    <w:tmpl w:val="A57E65E6"/>
    <w:lvl w:ilvl="0" w:tplc="10387AD4">
      <w:start w:val="1"/>
      <w:numFmt w:val="bullet"/>
      <w:pStyle w:val="StyleListParagraphCambriaAfter0pt"/>
      <w:lvlText w:val="►"/>
      <w:lvlJc w:val="left"/>
      <w:pPr>
        <w:ind w:left="360" w:hanging="360"/>
      </w:pPr>
      <w:rPr>
        <w:rFonts w:ascii="Book Antiqua" w:hAnsi="Book Antiqua" w:hint="default"/>
        <w:color w:val="00267F"/>
        <w:sz w:val="20"/>
        <w:u w:color="FFFF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9C237FA"/>
    <w:multiLevelType w:val="hybridMultilevel"/>
    <w:tmpl w:val="62747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F962DB"/>
    <w:multiLevelType w:val="hybridMultilevel"/>
    <w:tmpl w:val="8A2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8276C2"/>
    <w:multiLevelType w:val="hybridMultilevel"/>
    <w:tmpl w:val="A7169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AC017C"/>
    <w:multiLevelType w:val="hybridMultilevel"/>
    <w:tmpl w:val="62606000"/>
    <w:lvl w:ilvl="0" w:tplc="354E7DB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3B070F"/>
    <w:multiLevelType w:val="hybridMultilevel"/>
    <w:tmpl w:val="1EB8C012"/>
    <w:lvl w:ilvl="0" w:tplc="04090001">
      <w:start w:val="1"/>
      <w:numFmt w:val="bullet"/>
      <w:pStyle w:val="SummaryBullet2"/>
      <w:lvlText w:val=""/>
      <w:lvlJc w:val="left"/>
      <w:pPr>
        <w:tabs>
          <w:tab w:val="num" w:pos="792"/>
        </w:tabs>
        <w:ind w:left="792" w:hanging="360"/>
      </w:pPr>
      <w:rPr>
        <w:rFonts w:ascii="Wingdings" w:hAnsi="Wingdings" w:hint="default"/>
        <w:b w:val="0"/>
        <w:i w:val="0"/>
        <w:color w:val="6E6E6E"/>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66855935"/>
    <w:multiLevelType w:val="hybridMultilevel"/>
    <w:tmpl w:val="0906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9749CD"/>
    <w:multiLevelType w:val="hybridMultilevel"/>
    <w:tmpl w:val="961E8530"/>
    <w:lvl w:ilvl="0" w:tplc="F940A6F4">
      <w:start w:val="1"/>
      <w:numFmt w:val="bullet"/>
      <w:pStyle w:val="TableBullets2"/>
      <w:lvlText w:val=""/>
      <w:lvlJc w:val="left"/>
      <w:pPr>
        <w:tabs>
          <w:tab w:val="num" w:pos="374"/>
        </w:tabs>
        <w:ind w:left="374" w:hanging="187"/>
      </w:pPr>
      <w:rPr>
        <w:rFonts w:ascii="Wingdings" w:hAnsi="Wingdings" w:hint="default"/>
        <w:color w:val="00267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8D03975"/>
    <w:multiLevelType w:val="multilevel"/>
    <w:tmpl w:val="15F0FE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nsid w:val="68E02DF1"/>
    <w:multiLevelType w:val="hybridMultilevel"/>
    <w:tmpl w:val="74BCE0E2"/>
    <w:lvl w:ilvl="0" w:tplc="6B787880">
      <w:start w:val="1"/>
      <w:numFmt w:val="bullet"/>
      <w:pStyle w:val="SummaryBullet1"/>
      <w:lvlText w:val=""/>
      <w:lvlJc w:val="left"/>
      <w:pPr>
        <w:tabs>
          <w:tab w:val="num" w:pos="360"/>
        </w:tabs>
        <w:ind w:left="360" w:hanging="360"/>
      </w:pPr>
      <w:rPr>
        <w:rFonts w:ascii="Wingdings" w:hAnsi="Wingdings" w:hint="default"/>
        <w:color w:val="45637A"/>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69F93CA3"/>
    <w:multiLevelType w:val="hybridMultilevel"/>
    <w:tmpl w:val="1A14E67E"/>
    <w:lvl w:ilvl="0" w:tplc="8B663476">
      <w:numFmt w:val="bullet"/>
      <w:pStyle w:val="Level1"/>
      <w:lvlText w:val=""/>
      <w:lvlJc w:val="left"/>
      <w:pPr>
        <w:tabs>
          <w:tab w:val="num" w:pos="720"/>
        </w:tabs>
        <w:ind w:left="720" w:hanging="360"/>
      </w:pPr>
      <w:rPr>
        <w:rFonts w:ascii="Symbol" w:eastAsia="Times New Roman" w:hAnsi="Symbol" w:hint="default"/>
      </w:rPr>
    </w:lvl>
    <w:lvl w:ilvl="1" w:tplc="ADAC15D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nsid w:val="6C34595C"/>
    <w:multiLevelType w:val="hybridMultilevel"/>
    <w:tmpl w:val="DD84B5D4"/>
    <w:lvl w:ilvl="0" w:tplc="C5AE53B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6B3B0B"/>
    <w:multiLevelType w:val="hybridMultilevel"/>
    <w:tmpl w:val="632613A0"/>
    <w:lvl w:ilvl="0" w:tplc="949E102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D02332"/>
    <w:multiLevelType w:val="hybridMultilevel"/>
    <w:tmpl w:val="F89AE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3623C14"/>
    <w:multiLevelType w:val="hybridMultilevel"/>
    <w:tmpl w:val="7C94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7D7E10"/>
    <w:multiLevelType w:val="hybridMultilevel"/>
    <w:tmpl w:val="B136F938"/>
    <w:lvl w:ilvl="0" w:tplc="2BE6A198">
      <w:start w:val="1"/>
      <w:numFmt w:val="decimal"/>
      <w:pStyle w:val="FocusBox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124921"/>
    <w:multiLevelType w:val="hybridMultilevel"/>
    <w:tmpl w:val="81925B78"/>
    <w:lvl w:ilvl="0" w:tplc="89AAA186">
      <w:start w:val="1"/>
      <w:numFmt w:val="bullet"/>
      <w:pStyle w:val="TableBullet"/>
      <w:lvlText w:val=""/>
      <w:lvlJc w:val="left"/>
      <w:pPr>
        <w:tabs>
          <w:tab w:val="num" w:pos="360"/>
        </w:tabs>
        <w:ind w:left="36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B011C88"/>
    <w:multiLevelType w:val="hybridMultilevel"/>
    <w:tmpl w:val="66E03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692705"/>
    <w:multiLevelType w:val="hybridMultilevel"/>
    <w:tmpl w:val="46405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DCD77AB"/>
    <w:multiLevelType w:val="hybridMultilevel"/>
    <w:tmpl w:val="5830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F56767"/>
    <w:multiLevelType w:val="hybridMultilevel"/>
    <w:tmpl w:val="E8080AAA"/>
    <w:lvl w:ilvl="0" w:tplc="5A2A8974">
      <w:start w:val="1"/>
      <w:numFmt w:val="upperRoman"/>
      <w:lvlText w:val="%1."/>
      <w:lvlJc w:val="left"/>
      <w:pPr>
        <w:ind w:left="780" w:hanging="720"/>
      </w:pPr>
      <w:rPr>
        <w:rFonts w:ascii="Garamond" w:hAnsi="Garamond"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nsid w:val="7F4A0C11"/>
    <w:multiLevelType w:val="hybridMultilevel"/>
    <w:tmpl w:val="4522996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6">
    <w:nsid w:val="7FFE0D2C"/>
    <w:multiLevelType w:val="multilevel"/>
    <w:tmpl w:val="F35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1"/>
  </w:num>
  <w:num w:numId="3">
    <w:abstractNumId w:val="21"/>
  </w:num>
  <w:num w:numId="4">
    <w:abstractNumId w:val="32"/>
  </w:num>
  <w:num w:numId="5">
    <w:abstractNumId w:val="49"/>
  </w:num>
  <w:num w:numId="6">
    <w:abstractNumId w:val="53"/>
  </w:num>
  <w:num w:numId="7">
    <w:abstractNumId w:val="29"/>
  </w:num>
  <w:num w:numId="8">
    <w:abstractNumId w:val="23"/>
  </w:num>
  <w:num w:numId="9">
    <w:abstractNumId w:val="10"/>
  </w:num>
  <w:num w:numId="10">
    <w:abstractNumId w:val="69"/>
  </w:num>
  <w:num w:numId="11">
    <w:abstractNumId w:val="25"/>
  </w:num>
  <w:num w:numId="12">
    <w:abstractNumId w:val="64"/>
  </w:num>
  <w:num w:numId="13">
    <w:abstractNumId w:val="2"/>
  </w:num>
  <w:num w:numId="14">
    <w:abstractNumId w:val="1"/>
  </w:num>
  <w:num w:numId="15">
    <w:abstractNumId w:val="28"/>
  </w:num>
  <w:num w:numId="16">
    <w:abstractNumId w:val="0"/>
  </w:num>
  <w:num w:numId="17">
    <w:abstractNumId w:val="48"/>
  </w:num>
  <w:num w:numId="18">
    <w:abstractNumId w:val="44"/>
  </w:num>
  <w:num w:numId="19">
    <w:abstractNumId w:val="42"/>
  </w:num>
  <w:num w:numId="20">
    <w:abstractNumId w:val="11"/>
  </w:num>
  <w:num w:numId="21">
    <w:abstractNumId w:val="43"/>
  </w:num>
  <w:num w:numId="22">
    <w:abstractNumId w:val="17"/>
  </w:num>
  <w:num w:numId="23">
    <w:abstractNumId w:val="36"/>
  </w:num>
  <w:num w:numId="24">
    <w:abstractNumId w:val="54"/>
  </w:num>
  <w:num w:numId="25">
    <w:abstractNumId w:val="63"/>
  </w:num>
  <w:num w:numId="26">
    <w:abstractNumId w:val="59"/>
  </w:num>
  <w:num w:numId="27">
    <w:abstractNumId w:val="52"/>
  </w:num>
  <w:num w:numId="28">
    <w:abstractNumId w:val="70"/>
  </w:num>
  <w:num w:numId="29">
    <w:abstractNumId w:val="13"/>
  </w:num>
  <w:num w:numId="30">
    <w:abstractNumId w:val="5"/>
  </w:num>
  <w:num w:numId="31">
    <w:abstractNumId w:val="61"/>
  </w:num>
  <w:num w:numId="32">
    <w:abstractNumId w:val="47"/>
  </w:num>
  <w:num w:numId="33">
    <w:abstractNumId w:val="27"/>
  </w:num>
  <w:num w:numId="34">
    <w:abstractNumId w:val="58"/>
  </w:num>
  <w:num w:numId="35">
    <w:abstractNumId w:val="3"/>
  </w:num>
  <w:num w:numId="36">
    <w:abstractNumId w:val="18"/>
  </w:num>
  <w:num w:numId="37">
    <w:abstractNumId w:val="60"/>
  </w:num>
  <w:num w:numId="38">
    <w:abstractNumId w:val="26"/>
  </w:num>
  <w:num w:numId="39">
    <w:abstractNumId w:val="56"/>
  </w:num>
  <w:num w:numId="40">
    <w:abstractNumId w:val="73"/>
  </w:num>
  <w:num w:numId="41">
    <w:abstractNumId w:val="15"/>
  </w:num>
  <w:num w:numId="42">
    <w:abstractNumId w:val="46"/>
  </w:num>
  <w:num w:numId="43">
    <w:abstractNumId w:val="19"/>
  </w:num>
  <w:num w:numId="44">
    <w:abstractNumId w:val="34"/>
  </w:num>
  <w:num w:numId="45">
    <w:abstractNumId w:val="65"/>
  </w:num>
  <w:num w:numId="46">
    <w:abstractNumId w:val="35"/>
  </w:num>
  <w:num w:numId="47">
    <w:abstractNumId w:val="31"/>
  </w:num>
  <w:num w:numId="48">
    <w:abstractNumId w:val="7"/>
  </w:num>
  <w:num w:numId="49">
    <w:abstractNumId w:val="16"/>
  </w:num>
  <w:num w:numId="50">
    <w:abstractNumId w:val="4"/>
  </w:num>
  <w:num w:numId="51">
    <w:abstractNumId w:val="50"/>
  </w:num>
  <w:num w:numId="52">
    <w:abstractNumId w:val="22"/>
  </w:num>
  <w:num w:numId="53">
    <w:abstractNumId w:val="45"/>
  </w:num>
  <w:num w:numId="54">
    <w:abstractNumId w:val="37"/>
  </w:num>
  <w:num w:numId="55">
    <w:abstractNumId w:val="74"/>
  </w:num>
  <w:num w:numId="56">
    <w:abstractNumId w:val="51"/>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9"/>
  </w:num>
  <w:num w:numId="60">
    <w:abstractNumId w:val="67"/>
  </w:num>
  <w:num w:numId="61">
    <w:abstractNumId w:val="14"/>
  </w:num>
  <w:num w:numId="62">
    <w:abstractNumId w:val="72"/>
  </w:num>
  <w:num w:numId="63">
    <w:abstractNumId w:val="40"/>
  </w:num>
  <w:num w:numId="64">
    <w:abstractNumId w:val="57"/>
  </w:num>
  <w:num w:numId="65">
    <w:abstractNumId w:val="71"/>
  </w:num>
  <w:num w:numId="66">
    <w:abstractNumId w:val="8"/>
  </w:num>
  <w:num w:numId="67">
    <w:abstractNumId w:val="76"/>
  </w:num>
  <w:num w:numId="68">
    <w:abstractNumId w:val="30"/>
  </w:num>
  <w:num w:numId="69">
    <w:abstractNumId w:val="62"/>
  </w:num>
  <w:num w:numId="70">
    <w:abstractNumId w:val="6"/>
  </w:num>
  <w:num w:numId="71">
    <w:abstractNumId w:val="24"/>
  </w:num>
  <w:num w:numId="72">
    <w:abstractNumId w:val="55"/>
  </w:num>
  <w:num w:numId="73">
    <w:abstractNumId w:val="39"/>
  </w:num>
  <w:num w:numId="74">
    <w:abstractNumId w:val="12"/>
  </w:num>
  <w:num w:numId="75">
    <w:abstractNumId w:val="75"/>
  </w:num>
  <w:num w:numId="76">
    <w:abstractNumId w:val="68"/>
  </w:num>
  <w:num w:numId="77">
    <w:abstractNumId w:val="38"/>
  </w:num>
  <w:num w:numId="78">
    <w:abstractNumId w:val="6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36696A"/>
    <w:rsid w:val="00000165"/>
    <w:rsid w:val="000001DC"/>
    <w:rsid w:val="0000068D"/>
    <w:rsid w:val="000006C9"/>
    <w:rsid w:val="000008CD"/>
    <w:rsid w:val="0000096E"/>
    <w:rsid w:val="00000E10"/>
    <w:rsid w:val="00000FB9"/>
    <w:rsid w:val="00001170"/>
    <w:rsid w:val="0000125D"/>
    <w:rsid w:val="00001292"/>
    <w:rsid w:val="00001377"/>
    <w:rsid w:val="0000194E"/>
    <w:rsid w:val="00001AD9"/>
    <w:rsid w:val="00001E14"/>
    <w:rsid w:val="00001E95"/>
    <w:rsid w:val="00002067"/>
    <w:rsid w:val="000021F1"/>
    <w:rsid w:val="00002286"/>
    <w:rsid w:val="000022CA"/>
    <w:rsid w:val="00002ACF"/>
    <w:rsid w:val="00002F40"/>
    <w:rsid w:val="00002FD7"/>
    <w:rsid w:val="0000300B"/>
    <w:rsid w:val="00003299"/>
    <w:rsid w:val="00003504"/>
    <w:rsid w:val="00003594"/>
    <w:rsid w:val="00003621"/>
    <w:rsid w:val="00003625"/>
    <w:rsid w:val="000039C8"/>
    <w:rsid w:val="00003C81"/>
    <w:rsid w:val="00003D56"/>
    <w:rsid w:val="000040AB"/>
    <w:rsid w:val="000040E2"/>
    <w:rsid w:val="00004156"/>
    <w:rsid w:val="0000474A"/>
    <w:rsid w:val="000047F8"/>
    <w:rsid w:val="00004820"/>
    <w:rsid w:val="00004894"/>
    <w:rsid w:val="000048E3"/>
    <w:rsid w:val="00004A44"/>
    <w:rsid w:val="00004B8F"/>
    <w:rsid w:val="00004CD3"/>
    <w:rsid w:val="00004E8C"/>
    <w:rsid w:val="00005318"/>
    <w:rsid w:val="00005369"/>
    <w:rsid w:val="000055DA"/>
    <w:rsid w:val="00005681"/>
    <w:rsid w:val="0000609E"/>
    <w:rsid w:val="00006359"/>
    <w:rsid w:val="0000638A"/>
    <w:rsid w:val="0000638D"/>
    <w:rsid w:val="00006471"/>
    <w:rsid w:val="00006572"/>
    <w:rsid w:val="000065C6"/>
    <w:rsid w:val="000067DB"/>
    <w:rsid w:val="00006817"/>
    <w:rsid w:val="000068B6"/>
    <w:rsid w:val="00006A7C"/>
    <w:rsid w:val="00006E50"/>
    <w:rsid w:val="00006E54"/>
    <w:rsid w:val="00007294"/>
    <w:rsid w:val="00007754"/>
    <w:rsid w:val="000077B9"/>
    <w:rsid w:val="0000798F"/>
    <w:rsid w:val="0000799C"/>
    <w:rsid w:val="00007D20"/>
    <w:rsid w:val="00007FB5"/>
    <w:rsid w:val="0001017D"/>
    <w:rsid w:val="00010371"/>
    <w:rsid w:val="000104F8"/>
    <w:rsid w:val="0001079B"/>
    <w:rsid w:val="00010940"/>
    <w:rsid w:val="00010A91"/>
    <w:rsid w:val="00010C9E"/>
    <w:rsid w:val="000110BB"/>
    <w:rsid w:val="00011101"/>
    <w:rsid w:val="00011178"/>
    <w:rsid w:val="00011315"/>
    <w:rsid w:val="00011541"/>
    <w:rsid w:val="0001187A"/>
    <w:rsid w:val="00011A1B"/>
    <w:rsid w:val="00011A44"/>
    <w:rsid w:val="00011D9E"/>
    <w:rsid w:val="00011EE6"/>
    <w:rsid w:val="00011FF5"/>
    <w:rsid w:val="000121C9"/>
    <w:rsid w:val="0001230D"/>
    <w:rsid w:val="00012312"/>
    <w:rsid w:val="00012440"/>
    <w:rsid w:val="0001258B"/>
    <w:rsid w:val="000126CD"/>
    <w:rsid w:val="000127F6"/>
    <w:rsid w:val="00012958"/>
    <w:rsid w:val="00012ACD"/>
    <w:rsid w:val="00012CA1"/>
    <w:rsid w:val="00012ECC"/>
    <w:rsid w:val="0001302A"/>
    <w:rsid w:val="000130D5"/>
    <w:rsid w:val="0001332F"/>
    <w:rsid w:val="00013492"/>
    <w:rsid w:val="000135B2"/>
    <w:rsid w:val="0001363A"/>
    <w:rsid w:val="00013708"/>
    <w:rsid w:val="00013814"/>
    <w:rsid w:val="00013891"/>
    <w:rsid w:val="000138A3"/>
    <w:rsid w:val="00013B57"/>
    <w:rsid w:val="000141C4"/>
    <w:rsid w:val="00014236"/>
    <w:rsid w:val="000142D0"/>
    <w:rsid w:val="00014513"/>
    <w:rsid w:val="00014516"/>
    <w:rsid w:val="00014635"/>
    <w:rsid w:val="00014CC0"/>
    <w:rsid w:val="00014DDC"/>
    <w:rsid w:val="00015159"/>
    <w:rsid w:val="00015523"/>
    <w:rsid w:val="00015989"/>
    <w:rsid w:val="00015A5C"/>
    <w:rsid w:val="00015BCB"/>
    <w:rsid w:val="00015DDA"/>
    <w:rsid w:val="00016050"/>
    <w:rsid w:val="000161CE"/>
    <w:rsid w:val="000162E4"/>
    <w:rsid w:val="00016441"/>
    <w:rsid w:val="000164D2"/>
    <w:rsid w:val="0001675B"/>
    <w:rsid w:val="000167C2"/>
    <w:rsid w:val="00016ADE"/>
    <w:rsid w:val="00016F1F"/>
    <w:rsid w:val="00016FCE"/>
    <w:rsid w:val="0001703E"/>
    <w:rsid w:val="000171A3"/>
    <w:rsid w:val="00017201"/>
    <w:rsid w:val="0001720D"/>
    <w:rsid w:val="00017385"/>
    <w:rsid w:val="00017714"/>
    <w:rsid w:val="0001780A"/>
    <w:rsid w:val="0001792A"/>
    <w:rsid w:val="0001792C"/>
    <w:rsid w:val="000179B2"/>
    <w:rsid w:val="00017CA1"/>
    <w:rsid w:val="00017DBD"/>
    <w:rsid w:val="00017E76"/>
    <w:rsid w:val="000205A9"/>
    <w:rsid w:val="00020E58"/>
    <w:rsid w:val="00020EE0"/>
    <w:rsid w:val="0002102E"/>
    <w:rsid w:val="00021164"/>
    <w:rsid w:val="000211A2"/>
    <w:rsid w:val="000212C0"/>
    <w:rsid w:val="000213F8"/>
    <w:rsid w:val="00021681"/>
    <w:rsid w:val="00021871"/>
    <w:rsid w:val="0002191D"/>
    <w:rsid w:val="00021950"/>
    <w:rsid w:val="00021C10"/>
    <w:rsid w:val="00021EA1"/>
    <w:rsid w:val="00022253"/>
    <w:rsid w:val="00022699"/>
    <w:rsid w:val="000226A0"/>
    <w:rsid w:val="000228FB"/>
    <w:rsid w:val="00022C62"/>
    <w:rsid w:val="00022CA0"/>
    <w:rsid w:val="000230AF"/>
    <w:rsid w:val="000233EC"/>
    <w:rsid w:val="0002365C"/>
    <w:rsid w:val="00023697"/>
    <w:rsid w:val="000236DE"/>
    <w:rsid w:val="000238F9"/>
    <w:rsid w:val="00023BE4"/>
    <w:rsid w:val="00023DD7"/>
    <w:rsid w:val="00023DF2"/>
    <w:rsid w:val="00024056"/>
    <w:rsid w:val="000240D3"/>
    <w:rsid w:val="000241D1"/>
    <w:rsid w:val="0002460A"/>
    <w:rsid w:val="000247E7"/>
    <w:rsid w:val="00024804"/>
    <w:rsid w:val="00024842"/>
    <w:rsid w:val="00024E20"/>
    <w:rsid w:val="00024E22"/>
    <w:rsid w:val="0002511B"/>
    <w:rsid w:val="000252A7"/>
    <w:rsid w:val="000253CB"/>
    <w:rsid w:val="00025454"/>
    <w:rsid w:val="000254F9"/>
    <w:rsid w:val="0002553E"/>
    <w:rsid w:val="00025864"/>
    <w:rsid w:val="00025898"/>
    <w:rsid w:val="000259C6"/>
    <w:rsid w:val="00025AF2"/>
    <w:rsid w:val="00025B21"/>
    <w:rsid w:val="00025E7C"/>
    <w:rsid w:val="00025E95"/>
    <w:rsid w:val="000262EB"/>
    <w:rsid w:val="00026345"/>
    <w:rsid w:val="0002663C"/>
    <w:rsid w:val="00026A3F"/>
    <w:rsid w:val="00026C11"/>
    <w:rsid w:val="00026DF7"/>
    <w:rsid w:val="00026E4B"/>
    <w:rsid w:val="00027101"/>
    <w:rsid w:val="00027241"/>
    <w:rsid w:val="0002756A"/>
    <w:rsid w:val="0002778A"/>
    <w:rsid w:val="00027AA0"/>
    <w:rsid w:val="00027B35"/>
    <w:rsid w:val="00027E58"/>
    <w:rsid w:val="000305A2"/>
    <w:rsid w:val="0003074C"/>
    <w:rsid w:val="00030A93"/>
    <w:rsid w:val="00030B96"/>
    <w:rsid w:val="00030BF3"/>
    <w:rsid w:val="00030C0A"/>
    <w:rsid w:val="00030D0A"/>
    <w:rsid w:val="00030D35"/>
    <w:rsid w:val="00030F7F"/>
    <w:rsid w:val="000310B6"/>
    <w:rsid w:val="00031403"/>
    <w:rsid w:val="000315A7"/>
    <w:rsid w:val="0003160F"/>
    <w:rsid w:val="00031844"/>
    <w:rsid w:val="00031877"/>
    <w:rsid w:val="00031944"/>
    <w:rsid w:val="00031A0A"/>
    <w:rsid w:val="00031C20"/>
    <w:rsid w:val="00032051"/>
    <w:rsid w:val="00032206"/>
    <w:rsid w:val="000327F3"/>
    <w:rsid w:val="0003289C"/>
    <w:rsid w:val="000328C8"/>
    <w:rsid w:val="00032952"/>
    <w:rsid w:val="0003298C"/>
    <w:rsid w:val="00032A00"/>
    <w:rsid w:val="00032A4D"/>
    <w:rsid w:val="00032B14"/>
    <w:rsid w:val="00032BAB"/>
    <w:rsid w:val="00032C0A"/>
    <w:rsid w:val="00032F5A"/>
    <w:rsid w:val="00032FAA"/>
    <w:rsid w:val="000331D3"/>
    <w:rsid w:val="000334C6"/>
    <w:rsid w:val="00033601"/>
    <w:rsid w:val="00033672"/>
    <w:rsid w:val="000339FA"/>
    <w:rsid w:val="00033DF6"/>
    <w:rsid w:val="00034713"/>
    <w:rsid w:val="00034936"/>
    <w:rsid w:val="00034B1B"/>
    <w:rsid w:val="00034B39"/>
    <w:rsid w:val="00034B7E"/>
    <w:rsid w:val="00034EF5"/>
    <w:rsid w:val="00034F66"/>
    <w:rsid w:val="000350EA"/>
    <w:rsid w:val="000350F0"/>
    <w:rsid w:val="00035389"/>
    <w:rsid w:val="00035700"/>
    <w:rsid w:val="000357C3"/>
    <w:rsid w:val="00035829"/>
    <w:rsid w:val="00035ADE"/>
    <w:rsid w:val="00035C8B"/>
    <w:rsid w:val="00035DBB"/>
    <w:rsid w:val="00036464"/>
    <w:rsid w:val="000364A0"/>
    <w:rsid w:val="000366F5"/>
    <w:rsid w:val="000368C5"/>
    <w:rsid w:val="00036948"/>
    <w:rsid w:val="00036A23"/>
    <w:rsid w:val="00036CBE"/>
    <w:rsid w:val="00036D9C"/>
    <w:rsid w:val="00036EDF"/>
    <w:rsid w:val="00037508"/>
    <w:rsid w:val="00037828"/>
    <w:rsid w:val="0003797C"/>
    <w:rsid w:val="000379E6"/>
    <w:rsid w:val="00037A76"/>
    <w:rsid w:val="00037B36"/>
    <w:rsid w:val="00037B9D"/>
    <w:rsid w:val="00040131"/>
    <w:rsid w:val="0004016F"/>
    <w:rsid w:val="00040299"/>
    <w:rsid w:val="000403FA"/>
    <w:rsid w:val="00040413"/>
    <w:rsid w:val="0004063E"/>
    <w:rsid w:val="00040787"/>
    <w:rsid w:val="000407C6"/>
    <w:rsid w:val="00040B38"/>
    <w:rsid w:val="00040B5B"/>
    <w:rsid w:val="00040DA6"/>
    <w:rsid w:val="00040F70"/>
    <w:rsid w:val="00041350"/>
    <w:rsid w:val="000413D9"/>
    <w:rsid w:val="000414CF"/>
    <w:rsid w:val="00041540"/>
    <w:rsid w:val="0004155D"/>
    <w:rsid w:val="00041685"/>
    <w:rsid w:val="00041822"/>
    <w:rsid w:val="00041ADA"/>
    <w:rsid w:val="00041B6D"/>
    <w:rsid w:val="00041BE1"/>
    <w:rsid w:val="00041C19"/>
    <w:rsid w:val="00041F06"/>
    <w:rsid w:val="00042031"/>
    <w:rsid w:val="000420B8"/>
    <w:rsid w:val="000422BE"/>
    <w:rsid w:val="0004232E"/>
    <w:rsid w:val="000425D0"/>
    <w:rsid w:val="00042651"/>
    <w:rsid w:val="000426CD"/>
    <w:rsid w:val="0004285F"/>
    <w:rsid w:val="000429AE"/>
    <w:rsid w:val="00042BE7"/>
    <w:rsid w:val="00043570"/>
    <w:rsid w:val="000436A8"/>
    <w:rsid w:val="000437C0"/>
    <w:rsid w:val="00043898"/>
    <w:rsid w:val="000439AF"/>
    <w:rsid w:val="00043CA5"/>
    <w:rsid w:val="00043CA8"/>
    <w:rsid w:val="00043FEA"/>
    <w:rsid w:val="000440DD"/>
    <w:rsid w:val="00044147"/>
    <w:rsid w:val="00044582"/>
    <w:rsid w:val="0004460F"/>
    <w:rsid w:val="0004469C"/>
    <w:rsid w:val="000448C5"/>
    <w:rsid w:val="00044BEA"/>
    <w:rsid w:val="00044D6C"/>
    <w:rsid w:val="00044E38"/>
    <w:rsid w:val="00044F74"/>
    <w:rsid w:val="000450D2"/>
    <w:rsid w:val="00045613"/>
    <w:rsid w:val="00045735"/>
    <w:rsid w:val="00045A06"/>
    <w:rsid w:val="00045B74"/>
    <w:rsid w:val="00045BEB"/>
    <w:rsid w:val="00045E95"/>
    <w:rsid w:val="00045F0B"/>
    <w:rsid w:val="00045FC0"/>
    <w:rsid w:val="0004613C"/>
    <w:rsid w:val="00046236"/>
    <w:rsid w:val="00046246"/>
    <w:rsid w:val="00046774"/>
    <w:rsid w:val="00046893"/>
    <w:rsid w:val="0004690E"/>
    <w:rsid w:val="00047234"/>
    <w:rsid w:val="000475D3"/>
    <w:rsid w:val="00047730"/>
    <w:rsid w:val="00047816"/>
    <w:rsid w:val="00047860"/>
    <w:rsid w:val="00047F40"/>
    <w:rsid w:val="00050178"/>
    <w:rsid w:val="000501A3"/>
    <w:rsid w:val="00050200"/>
    <w:rsid w:val="00050448"/>
    <w:rsid w:val="000507E0"/>
    <w:rsid w:val="00050BB2"/>
    <w:rsid w:val="00050D52"/>
    <w:rsid w:val="00050E53"/>
    <w:rsid w:val="0005105E"/>
    <w:rsid w:val="00051465"/>
    <w:rsid w:val="00051475"/>
    <w:rsid w:val="00051716"/>
    <w:rsid w:val="000517A5"/>
    <w:rsid w:val="000517B9"/>
    <w:rsid w:val="000517DA"/>
    <w:rsid w:val="0005187C"/>
    <w:rsid w:val="00051935"/>
    <w:rsid w:val="00051AD5"/>
    <w:rsid w:val="00051E12"/>
    <w:rsid w:val="00051EF0"/>
    <w:rsid w:val="000520C6"/>
    <w:rsid w:val="000521BA"/>
    <w:rsid w:val="000523CF"/>
    <w:rsid w:val="000523D8"/>
    <w:rsid w:val="000528C9"/>
    <w:rsid w:val="00052C6F"/>
    <w:rsid w:val="00052C7C"/>
    <w:rsid w:val="0005336C"/>
    <w:rsid w:val="00053544"/>
    <w:rsid w:val="00053577"/>
    <w:rsid w:val="00053985"/>
    <w:rsid w:val="00053B93"/>
    <w:rsid w:val="00053BE3"/>
    <w:rsid w:val="00053E1E"/>
    <w:rsid w:val="00053E3F"/>
    <w:rsid w:val="00053E4E"/>
    <w:rsid w:val="00053FF0"/>
    <w:rsid w:val="000540FF"/>
    <w:rsid w:val="000543A8"/>
    <w:rsid w:val="0005461F"/>
    <w:rsid w:val="0005474C"/>
    <w:rsid w:val="0005491C"/>
    <w:rsid w:val="00054A86"/>
    <w:rsid w:val="00054B54"/>
    <w:rsid w:val="00054FAB"/>
    <w:rsid w:val="000557BC"/>
    <w:rsid w:val="000557E1"/>
    <w:rsid w:val="00055A94"/>
    <w:rsid w:val="00055C6C"/>
    <w:rsid w:val="00055CB6"/>
    <w:rsid w:val="00056012"/>
    <w:rsid w:val="0005603D"/>
    <w:rsid w:val="000562B6"/>
    <w:rsid w:val="00056519"/>
    <w:rsid w:val="000565BB"/>
    <w:rsid w:val="00056620"/>
    <w:rsid w:val="0005670C"/>
    <w:rsid w:val="000567DA"/>
    <w:rsid w:val="00056846"/>
    <w:rsid w:val="000569F7"/>
    <w:rsid w:val="00056AC9"/>
    <w:rsid w:val="00056BBB"/>
    <w:rsid w:val="00056BC4"/>
    <w:rsid w:val="00056D16"/>
    <w:rsid w:val="00056DA7"/>
    <w:rsid w:val="00056DC2"/>
    <w:rsid w:val="00056FF9"/>
    <w:rsid w:val="00057167"/>
    <w:rsid w:val="0005767F"/>
    <w:rsid w:val="0005784E"/>
    <w:rsid w:val="00057BE4"/>
    <w:rsid w:val="000600A1"/>
    <w:rsid w:val="000601E5"/>
    <w:rsid w:val="000602C6"/>
    <w:rsid w:val="00060383"/>
    <w:rsid w:val="00060425"/>
    <w:rsid w:val="000605A5"/>
    <w:rsid w:val="0006071F"/>
    <w:rsid w:val="00060B36"/>
    <w:rsid w:val="00060B6A"/>
    <w:rsid w:val="00060F99"/>
    <w:rsid w:val="00060FC0"/>
    <w:rsid w:val="000610AC"/>
    <w:rsid w:val="000611BE"/>
    <w:rsid w:val="000612B5"/>
    <w:rsid w:val="00061432"/>
    <w:rsid w:val="0006146B"/>
    <w:rsid w:val="00061703"/>
    <w:rsid w:val="0006175E"/>
    <w:rsid w:val="00061FAD"/>
    <w:rsid w:val="000621E2"/>
    <w:rsid w:val="00062357"/>
    <w:rsid w:val="00062412"/>
    <w:rsid w:val="000626C9"/>
    <w:rsid w:val="00062A63"/>
    <w:rsid w:val="00062A66"/>
    <w:rsid w:val="00062D54"/>
    <w:rsid w:val="00062DD1"/>
    <w:rsid w:val="00062E29"/>
    <w:rsid w:val="00062E46"/>
    <w:rsid w:val="00062E68"/>
    <w:rsid w:val="000632C4"/>
    <w:rsid w:val="000632DA"/>
    <w:rsid w:val="000634BC"/>
    <w:rsid w:val="000634D3"/>
    <w:rsid w:val="0006356B"/>
    <w:rsid w:val="0006362A"/>
    <w:rsid w:val="000636D2"/>
    <w:rsid w:val="0006382D"/>
    <w:rsid w:val="00063B98"/>
    <w:rsid w:val="00063E94"/>
    <w:rsid w:val="00063F14"/>
    <w:rsid w:val="00063F41"/>
    <w:rsid w:val="00064115"/>
    <w:rsid w:val="000641FE"/>
    <w:rsid w:val="00064208"/>
    <w:rsid w:val="0006455B"/>
    <w:rsid w:val="00064819"/>
    <w:rsid w:val="000648CA"/>
    <w:rsid w:val="000648D2"/>
    <w:rsid w:val="00064C2F"/>
    <w:rsid w:val="00064C8F"/>
    <w:rsid w:val="00064D53"/>
    <w:rsid w:val="00064D91"/>
    <w:rsid w:val="00064E85"/>
    <w:rsid w:val="0006557B"/>
    <w:rsid w:val="000655BB"/>
    <w:rsid w:val="000656AF"/>
    <w:rsid w:val="000659A1"/>
    <w:rsid w:val="00065B07"/>
    <w:rsid w:val="00065B4B"/>
    <w:rsid w:val="00065CC2"/>
    <w:rsid w:val="00065DA4"/>
    <w:rsid w:val="00065E44"/>
    <w:rsid w:val="00066249"/>
    <w:rsid w:val="00066399"/>
    <w:rsid w:val="0006639C"/>
    <w:rsid w:val="000664C7"/>
    <w:rsid w:val="000664C9"/>
    <w:rsid w:val="000665CC"/>
    <w:rsid w:val="000665F2"/>
    <w:rsid w:val="00066626"/>
    <w:rsid w:val="00066720"/>
    <w:rsid w:val="0006696B"/>
    <w:rsid w:val="00066A22"/>
    <w:rsid w:val="00066ACC"/>
    <w:rsid w:val="00066BA3"/>
    <w:rsid w:val="00066DC4"/>
    <w:rsid w:val="000670BB"/>
    <w:rsid w:val="0006718F"/>
    <w:rsid w:val="000673AB"/>
    <w:rsid w:val="000676CB"/>
    <w:rsid w:val="0006770E"/>
    <w:rsid w:val="00067874"/>
    <w:rsid w:val="000678CD"/>
    <w:rsid w:val="00067A69"/>
    <w:rsid w:val="00067A76"/>
    <w:rsid w:val="00067C08"/>
    <w:rsid w:val="00067D57"/>
    <w:rsid w:val="0007028C"/>
    <w:rsid w:val="0007033D"/>
    <w:rsid w:val="00070639"/>
    <w:rsid w:val="00070705"/>
    <w:rsid w:val="000707B7"/>
    <w:rsid w:val="000709A9"/>
    <w:rsid w:val="0007101E"/>
    <w:rsid w:val="0007105D"/>
    <w:rsid w:val="00071281"/>
    <w:rsid w:val="000712EE"/>
    <w:rsid w:val="00071336"/>
    <w:rsid w:val="000714BD"/>
    <w:rsid w:val="00071518"/>
    <w:rsid w:val="00071847"/>
    <w:rsid w:val="00071BDA"/>
    <w:rsid w:val="00071E8F"/>
    <w:rsid w:val="00071ED9"/>
    <w:rsid w:val="00071F4F"/>
    <w:rsid w:val="0007213C"/>
    <w:rsid w:val="00072820"/>
    <w:rsid w:val="00072A7F"/>
    <w:rsid w:val="00072B20"/>
    <w:rsid w:val="00072BF6"/>
    <w:rsid w:val="00072F54"/>
    <w:rsid w:val="00072FF1"/>
    <w:rsid w:val="0007302A"/>
    <w:rsid w:val="000730FF"/>
    <w:rsid w:val="000731FA"/>
    <w:rsid w:val="00073576"/>
    <w:rsid w:val="00073910"/>
    <w:rsid w:val="00073A61"/>
    <w:rsid w:val="00073EAC"/>
    <w:rsid w:val="00073EDB"/>
    <w:rsid w:val="00073F1D"/>
    <w:rsid w:val="00074273"/>
    <w:rsid w:val="000742FF"/>
    <w:rsid w:val="000744AF"/>
    <w:rsid w:val="00074836"/>
    <w:rsid w:val="000753E5"/>
    <w:rsid w:val="00075433"/>
    <w:rsid w:val="00075541"/>
    <w:rsid w:val="00075704"/>
    <w:rsid w:val="00075765"/>
    <w:rsid w:val="00075891"/>
    <w:rsid w:val="000758F7"/>
    <w:rsid w:val="00075965"/>
    <w:rsid w:val="00075D71"/>
    <w:rsid w:val="00075E55"/>
    <w:rsid w:val="0007618B"/>
    <w:rsid w:val="00076292"/>
    <w:rsid w:val="000765EE"/>
    <w:rsid w:val="00077173"/>
    <w:rsid w:val="000773A8"/>
    <w:rsid w:val="0007743C"/>
    <w:rsid w:val="000774D9"/>
    <w:rsid w:val="00077608"/>
    <w:rsid w:val="000778A0"/>
    <w:rsid w:val="0007795A"/>
    <w:rsid w:val="00077B63"/>
    <w:rsid w:val="00077E3B"/>
    <w:rsid w:val="000803CD"/>
    <w:rsid w:val="00080452"/>
    <w:rsid w:val="000804A9"/>
    <w:rsid w:val="00080586"/>
    <w:rsid w:val="00080650"/>
    <w:rsid w:val="00080769"/>
    <w:rsid w:val="0008083E"/>
    <w:rsid w:val="00080908"/>
    <w:rsid w:val="00080EC4"/>
    <w:rsid w:val="00080FAD"/>
    <w:rsid w:val="00081215"/>
    <w:rsid w:val="00081702"/>
    <w:rsid w:val="00081713"/>
    <w:rsid w:val="00081824"/>
    <w:rsid w:val="000818A9"/>
    <w:rsid w:val="00081F26"/>
    <w:rsid w:val="00081F50"/>
    <w:rsid w:val="0008223F"/>
    <w:rsid w:val="000823D3"/>
    <w:rsid w:val="000824CF"/>
    <w:rsid w:val="000825DF"/>
    <w:rsid w:val="00082D0D"/>
    <w:rsid w:val="00082E25"/>
    <w:rsid w:val="00082F64"/>
    <w:rsid w:val="000831CA"/>
    <w:rsid w:val="000834CE"/>
    <w:rsid w:val="00083703"/>
    <w:rsid w:val="0008373A"/>
    <w:rsid w:val="00083802"/>
    <w:rsid w:val="000838F5"/>
    <w:rsid w:val="00083922"/>
    <w:rsid w:val="00083B64"/>
    <w:rsid w:val="00083C34"/>
    <w:rsid w:val="00083E30"/>
    <w:rsid w:val="00083E90"/>
    <w:rsid w:val="00083FA8"/>
    <w:rsid w:val="000841D3"/>
    <w:rsid w:val="00084643"/>
    <w:rsid w:val="00084867"/>
    <w:rsid w:val="000848F8"/>
    <w:rsid w:val="0008499D"/>
    <w:rsid w:val="00084B76"/>
    <w:rsid w:val="00084B89"/>
    <w:rsid w:val="00084D87"/>
    <w:rsid w:val="00084DA5"/>
    <w:rsid w:val="00084E04"/>
    <w:rsid w:val="00085207"/>
    <w:rsid w:val="00085216"/>
    <w:rsid w:val="000854B1"/>
    <w:rsid w:val="00085507"/>
    <w:rsid w:val="00085F5A"/>
    <w:rsid w:val="00085F7E"/>
    <w:rsid w:val="00085FCE"/>
    <w:rsid w:val="00086063"/>
    <w:rsid w:val="00086096"/>
    <w:rsid w:val="00086505"/>
    <w:rsid w:val="00086525"/>
    <w:rsid w:val="000865E7"/>
    <w:rsid w:val="000867C7"/>
    <w:rsid w:val="00086DCF"/>
    <w:rsid w:val="0008700B"/>
    <w:rsid w:val="000872FC"/>
    <w:rsid w:val="000876D4"/>
    <w:rsid w:val="00087A30"/>
    <w:rsid w:val="00087EB6"/>
    <w:rsid w:val="000900DF"/>
    <w:rsid w:val="00090BEE"/>
    <w:rsid w:val="00090C72"/>
    <w:rsid w:val="00090C88"/>
    <w:rsid w:val="00090E45"/>
    <w:rsid w:val="00090F5E"/>
    <w:rsid w:val="00090F75"/>
    <w:rsid w:val="000910DE"/>
    <w:rsid w:val="000911C0"/>
    <w:rsid w:val="000912B9"/>
    <w:rsid w:val="00091481"/>
    <w:rsid w:val="00091492"/>
    <w:rsid w:val="0009168C"/>
    <w:rsid w:val="000918C0"/>
    <w:rsid w:val="00091B71"/>
    <w:rsid w:val="00091B7C"/>
    <w:rsid w:val="00091BE8"/>
    <w:rsid w:val="00091BF5"/>
    <w:rsid w:val="00091DA6"/>
    <w:rsid w:val="00091DD4"/>
    <w:rsid w:val="00091FC2"/>
    <w:rsid w:val="000921DA"/>
    <w:rsid w:val="000924EB"/>
    <w:rsid w:val="0009254E"/>
    <w:rsid w:val="00092617"/>
    <w:rsid w:val="00092638"/>
    <w:rsid w:val="00092713"/>
    <w:rsid w:val="00092E60"/>
    <w:rsid w:val="00092F12"/>
    <w:rsid w:val="00092FD3"/>
    <w:rsid w:val="000930CB"/>
    <w:rsid w:val="000931D8"/>
    <w:rsid w:val="000931DE"/>
    <w:rsid w:val="000932D8"/>
    <w:rsid w:val="00093301"/>
    <w:rsid w:val="00093358"/>
    <w:rsid w:val="000934EF"/>
    <w:rsid w:val="000935AF"/>
    <w:rsid w:val="000935C6"/>
    <w:rsid w:val="000936B3"/>
    <w:rsid w:val="000937E1"/>
    <w:rsid w:val="0009397F"/>
    <w:rsid w:val="000939BC"/>
    <w:rsid w:val="00093A4A"/>
    <w:rsid w:val="00093A86"/>
    <w:rsid w:val="00093AC7"/>
    <w:rsid w:val="00093CFA"/>
    <w:rsid w:val="00093D75"/>
    <w:rsid w:val="00093E7A"/>
    <w:rsid w:val="00094126"/>
    <w:rsid w:val="00094134"/>
    <w:rsid w:val="000941FC"/>
    <w:rsid w:val="00094413"/>
    <w:rsid w:val="0009449F"/>
    <w:rsid w:val="00094B51"/>
    <w:rsid w:val="00094BB6"/>
    <w:rsid w:val="00094C40"/>
    <w:rsid w:val="00094F7A"/>
    <w:rsid w:val="000951AC"/>
    <w:rsid w:val="000952B1"/>
    <w:rsid w:val="00095416"/>
    <w:rsid w:val="0009586A"/>
    <w:rsid w:val="000958E4"/>
    <w:rsid w:val="00095922"/>
    <w:rsid w:val="0009600C"/>
    <w:rsid w:val="00096330"/>
    <w:rsid w:val="0009654A"/>
    <w:rsid w:val="00096665"/>
    <w:rsid w:val="000967A1"/>
    <w:rsid w:val="000967D3"/>
    <w:rsid w:val="00096ABE"/>
    <w:rsid w:val="00096ADD"/>
    <w:rsid w:val="00096C0B"/>
    <w:rsid w:val="00096D5C"/>
    <w:rsid w:val="00097763"/>
    <w:rsid w:val="0009783A"/>
    <w:rsid w:val="000978BC"/>
    <w:rsid w:val="00097D29"/>
    <w:rsid w:val="00097F07"/>
    <w:rsid w:val="000A004A"/>
    <w:rsid w:val="000A050A"/>
    <w:rsid w:val="000A0C87"/>
    <w:rsid w:val="000A0CB1"/>
    <w:rsid w:val="000A0F16"/>
    <w:rsid w:val="000A124D"/>
    <w:rsid w:val="000A12F6"/>
    <w:rsid w:val="000A13D8"/>
    <w:rsid w:val="000A13F5"/>
    <w:rsid w:val="000A15CE"/>
    <w:rsid w:val="000A15F8"/>
    <w:rsid w:val="000A16F9"/>
    <w:rsid w:val="000A184E"/>
    <w:rsid w:val="000A1A12"/>
    <w:rsid w:val="000A1B0B"/>
    <w:rsid w:val="000A1B31"/>
    <w:rsid w:val="000A1CDC"/>
    <w:rsid w:val="000A213B"/>
    <w:rsid w:val="000A239B"/>
    <w:rsid w:val="000A28B7"/>
    <w:rsid w:val="000A2A94"/>
    <w:rsid w:val="000A2C72"/>
    <w:rsid w:val="000A2E04"/>
    <w:rsid w:val="000A2FAA"/>
    <w:rsid w:val="000A3090"/>
    <w:rsid w:val="000A32A7"/>
    <w:rsid w:val="000A32EC"/>
    <w:rsid w:val="000A3365"/>
    <w:rsid w:val="000A34DD"/>
    <w:rsid w:val="000A3808"/>
    <w:rsid w:val="000A3849"/>
    <w:rsid w:val="000A390E"/>
    <w:rsid w:val="000A39AD"/>
    <w:rsid w:val="000A39EC"/>
    <w:rsid w:val="000A3A1E"/>
    <w:rsid w:val="000A3D65"/>
    <w:rsid w:val="000A3D6D"/>
    <w:rsid w:val="000A423F"/>
    <w:rsid w:val="000A42F9"/>
    <w:rsid w:val="000A430A"/>
    <w:rsid w:val="000A43EF"/>
    <w:rsid w:val="000A451A"/>
    <w:rsid w:val="000A47D9"/>
    <w:rsid w:val="000A4857"/>
    <w:rsid w:val="000A488B"/>
    <w:rsid w:val="000A495F"/>
    <w:rsid w:val="000A4BEA"/>
    <w:rsid w:val="000A4F46"/>
    <w:rsid w:val="000A4F6A"/>
    <w:rsid w:val="000A5045"/>
    <w:rsid w:val="000A5182"/>
    <w:rsid w:val="000A53BD"/>
    <w:rsid w:val="000A5411"/>
    <w:rsid w:val="000A54B2"/>
    <w:rsid w:val="000A563B"/>
    <w:rsid w:val="000A5714"/>
    <w:rsid w:val="000A5969"/>
    <w:rsid w:val="000A5BF1"/>
    <w:rsid w:val="000A5C8A"/>
    <w:rsid w:val="000A5CC2"/>
    <w:rsid w:val="000A5FD1"/>
    <w:rsid w:val="000A691D"/>
    <w:rsid w:val="000A69BD"/>
    <w:rsid w:val="000A6C52"/>
    <w:rsid w:val="000A6EAF"/>
    <w:rsid w:val="000A6EC5"/>
    <w:rsid w:val="000A6FEB"/>
    <w:rsid w:val="000A7137"/>
    <w:rsid w:val="000A748D"/>
    <w:rsid w:val="000A74F0"/>
    <w:rsid w:val="000A74F4"/>
    <w:rsid w:val="000A7676"/>
    <w:rsid w:val="000A76CF"/>
    <w:rsid w:val="000A7720"/>
    <w:rsid w:val="000A793A"/>
    <w:rsid w:val="000A7A77"/>
    <w:rsid w:val="000A7CCF"/>
    <w:rsid w:val="000B032C"/>
    <w:rsid w:val="000B086E"/>
    <w:rsid w:val="000B09A9"/>
    <w:rsid w:val="000B0C71"/>
    <w:rsid w:val="000B0CF9"/>
    <w:rsid w:val="000B0E52"/>
    <w:rsid w:val="000B0ED0"/>
    <w:rsid w:val="000B1038"/>
    <w:rsid w:val="000B1157"/>
    <w:rsid w:val="000B119E"/>
    <w:rsid w:val="000B11E9"/>
    <w:rsid w:val="000B1244"/>
    <w:rsid w:val="000B1245"/>
    <w:rsid w:val="000B1384"/>
    <w:rsid w:val="000B15A4"/>
    <w:rsid w:val="000B164B"/>
    <w:rsid w:val="000B16E9"/>
    <w:rsid w:val="000B19D7"/>
    <w:rsid w:val="000B1E34"/>
    <w:rsid w:val="000B1F0F"/>
    <w:rsid w:val="000B20C3"/>
    <w:rsid w:val="000B25CD"/>
    <w:rsid w:val="000B2774"/>
    <w:rsid w:val="000B27B7"/>
    <w:rsid w:val="000B285B"/>
    <w:rsid w:val="000B2962"/>
    <w:rsid w:val="000B2979"/>
    <w:rsid w:val="000B29FA"/>
    <w:rsid w:val="000B2AD3"/>
    <w:rsid w:val="000B2B3D"/>
    <w:rsid w:val="000B2C1D"/>
    <w:rsid w:val="000B2E28"/>
    <w:rsid w:val="000B2EC0"/>
    <w:rsid w:val="000B2FE6"/>
    <w:rsid w:val="000B305D"/>
    <w:rsid w:val="000B32E6"/>
    <w:rsid w:val="000B3394"/>
    <w:rsid w:val="000B3425"/>
    <w:rsid w:val="000B3635"/>
    <w:rsid w:val="000B3743"/>
    <w:rsid w:val="000B3AA4"/>
    <w:rsid w:val="000B3D18"/>
    <w:rsid w:val="000B3EAA"/>
    <w:rsid w:val="000B412D"/>
    <w:rsid w:val="000B462C"/>
    <w:rsid w:val="000B4A07"/>
    <w:rsid w:val="000B4C1E"/>
    <w:rsid w:val="000B4C4B"/>
    <w:rsid w:val="000B4E73"/>
    <w:rsid w:val="000B4FEA"/>
    <w:rsid w:val="000B514D"/>
    <w:rsid w:val="000B515C"/>
    <w:rsid w:val="000B515D"/>
    <w:rsid w:val="000B5257"/>
    <w:rsid w:val="000B5518"/>
    <w:rsid w:val="000B55A3"/>
    <w:rsid w:val="000B5827"/>
    <w:rsid w:val="000B59A1"/>
    <w:rsid w:val="000B59B6"/>
    <w:rsid w:val="000B5A10"/>
    <w:rsid w:val="000B5AAB"/>
    <w:rsid w:val="000B5BFF"/>
    <w:rsid w:val="000B5E40"/>
    <w:rsid w:val="000B5F8B"/>
    <w:rsid w:val="000B60B7"/>
    <w:rsid w:val="000B6243"/>
    <w:rsid w:val="000B6286"/>
    <w:rsid w:val="000B660C"/>
    <w:rsid w:val="000B685E"/>
    <w:rsid w:val="000B68A1"/>
    <w:rsid w:val="000B6A07"/>
    <w:rsid w:val="000B6E25"/>
    <w:rsid w:val="000B6EC8"/>
    <w:rsid w:val="000B6FEB"/>
    <w:rsid w:val="000B716F"/>
    <w:rsid w:val="000B720E"/>
    <w:rsid w:val="000B72CF"/>
    <w:rsid w:val="000B7305"/>
    <w:rsid w:val="000B73A6"/>
    <w:rsid w:val="000B7483"/>
    <w:rsid w:val="000B753A"/>
    <w:rsid w:val="000B75D8"/>
    <w:rsid w:val="000B7969"/>
    <w:rsid w:val="000B7AA8"/>
    <w:rsid w:val="000B7AD0"/>
    <w:rsid w:val="000B7D39"/>
    <w:rsid w:val="000B7D8F"/>
    <w:rsid w:val="000B7DEC"/>
    <w:rsid w:val="000C01B5"/>
    <w:rsid w:val="000C025B"/>
    <w:rsid w:val="000C047B"/>
    <w:rsid w:val="000C056F"/>
    <w:rsid w:val="000C0DE7"/>
    <w:rsid w:val="000C0F2B"/>
    <w:rsid w:val="000C0F31"/>
    <w:rsid w:val="000C14E8"/>
    <w:rsid w:val="000C1831"/>
    <w:rsid w:val="000C206A"/>
    <w:rsid w:val="000C23D5"/>
    <w:rsid w:val="000C2931"/>
    <w:rsid w:val="000C2C7C"/>
    <w:rsid w:val="000C2CFB"/>
    <w:rsid w:val="000C2D87"/>
    <w:rsid w:val="000C2D9B"/>
    <w:rsid w:val="000C2E4A"/>
    <w:rsid w:val="000C2FD4"/>
    <w:rsid w:val="000C3023"/>
    <w:rsid w:val="000C30E3"/>
    <w:rsid w:val="000C3242"/>
    <w:rsid w:val="000C372C"/>
    <w:rsid w:val="000C3825"/>
    <w:rsid w:val="000C3C1A"/>
    <w:rsid w:val="000C3E99"/>
    <w:rsid w:val="000C3EC1"/>
    <w:rsid w:val="000C4037"/>
    <w:rsid w:val="000C404C"/>
    <w:rsid w:val="000C41D9"/>
    <w:rsid w:val="000C44CB"/>
    <w:rsid w:val="000C44EF"/>
    <w:rsid w:val="000C4595"/>
    <w:rsid w:val="000C45DA"/>
    <w:rsid w:val="000C469D"/>
    <w:rsid w:val="000C46D2"/>
    <w:rsid w:val="000C4998"/>
    <w:rsid w:val="000C4BF7"/>
    <w:rsid w:val="000C4C85"/>
    <w:rsid w:val="000C4D83"/>
    <w:rsid w:val="000C51BE"/>
    <w:rsid w:val="000C5634"/>
    <w:rsid w:val="000C568C"/>
    <w:rsid w:val="000C5B13"/>
    <w:rsid w:val="000C5B26"/>
    <w:rsid w:val="000C5CDA"/>
    <w:rsid w:val="000C5E78"/>
    <w:rsid w:val="000C629B"/>
    <w:rsid w:val="000C62F0"/>
    <w:rsid w:val="000C630F"/>
    <w:rsid w:val="000C64D9"/>
    <w:rsid w:val="000C66DA"/>
    <w:rsid w:val="000C679E"/>
    <w:rsid w:val="000C6815"/>
    <w:rsid w:val="000C68B6"/>
    <w:rsid w:val="000C6D30"/>
    <w:rsid w:val="000C6D71"/>
    <w:rsid w:val="000C71B6"/>
    <w:rsid w:val="000C725D"/>
    <w:rsid w:val="000C7341"/>
    <w:rsid w:val="000C766C"/>
    <w:rsid w:val="000C76FA"/>
    <w:rsid w:val="000C7B4E"/>
    <w:rsid w:val="000C7B67"/>
    <w:rsid w:val="000C7C59"/>
    <w:rsid w:val="000D005B"/>
    <w:rsid w:val="000D049D"/>
    <w:rsid w:val="000D0658"/>
    <w:rsid w:val="000D0798"/>
    <w:rsid w:val="000D083C"/>
    <w:rsid w:val="000D0A84"/>
    <w:rsid w:val="000D0C87"/>
    <w:rsid w:val="000D0D32"/>
    <w:rsid w:val="000D0F02"/>
    <w:rsid w:val="000D0F30"/>
    <w:rsid w:val="000D111E"/>
    <w:rsid w:val="000D124E"/>
    <w:rsid w:val="000D14CD"/>
    <w:rsid w:val="000D15F0"/>
    <w:rsid w:val="000D162D"/>
    <w:rsid w:val="000D1B63"/>
    <w:rsid w:val="000D1C5A"/>
    <w:rsid w:val="000D1CBF"/>
    <w:rsid w:val="000D222A"/>
    <w:rsid w:val="000D2230"/>
    <w:rsid w:val="000D2308"/>
    <w:rsid w:val="000D24B2"/>
    <w:rsid w:val="000D25F2"/>
    <w:rsid w:val="000D28B6"/>
    <w:rsid w:val="000D29B4"/>
    <w:rsid w:val="000D2A5C"/>
    <w:rsid w:val="000D2EC1"/>
    <w:rsid w:val="000D2FBF"/>
    <w:rsid w:val="000D3362"/>
    <w:rsid w:val="000D3590"/>
    <w:rsid w:val="000D363C"/>
    <w:rsid w:val="000D37AA"/>
    <w:rsid w:val="000D39AA"/>
    <w:rsid w:val="000D3A4F"/>
    <w:rsid w:val="000D3A6D"/>
    <w:rsid w:val="000D3D5E"/>
    <w:rsid w:val="000D3DE1"/>
    <w:rsid w:val="000D3DE4"/>
    <w:rsid w:val="000D3DEF"/>
    <w:rsid w:val="000D4018"/>
    <w:rsid w:val="000D40CD"/>
    <w:rsid w:val="000D41B2"/>
    <w:rsid w:val="000D4205"/>
    <w:rsid w:val="000D4284"/>
    <w:rsid w:val="000D42A8"/>
    <w:rsid w:val="000D42C8"/>
    <w:rsid w:val="000D42F2"/>
    <w:rsid w:val="000D435B"/>
    <w:rsid w:val="000D4386"/>
    <w:rsid w:val="000D451C"/>
    <w:rsid w:val="000D45AC"/>
    <w:rsid w:val="000D4664"/>
    <w:rsid w:val="000D4760"/>
    <w:rsid w:val="000D4844"/>
    <w:rsid w:val="000D4924"/>
    <w:rsid w:val="000D495F"/>
    <w:rsid w:val="000D4A11"/>
    <w:rsid w:val="000D4CD9"/>
    <w:rsid w:val="000D4D0A"/>
    <w:rsid w:val="000D4DFE"/>
    <w:rsid w:val="000D4E32"/>
    <w:rsid w:val="000D4F8B"/>
    <w:rsid w:val="000D4FA1"/>
    <w:rsid w:val="000D4FED"/>
    <w:rsid w:val="000D5050"/>
    <w:rsid w:val="000D53A4"/>
    <w:rsid w:val="000D53C2"/>
    <w:rsid w:val="000D5433"/>
    <w:rsid w:val="000D5463"/>
    <w:rsid w:val="000D54B0"/>
    <w:rsid w:val="000D58F5"/>
    <w:rsid w:val="000D5980"/>
    <w:rsid w:val="000D5A0D"/>
    <w:rsid w:val="000D5D4C"/>
    <w:rsid w:val="000D5EA8"/>
    <w:rsid w:val="000D5ED7"/>
    <w:rsid w:val="000D5F6F"/>
    <w:rsid w:val="000D60BE"/>
    <w:rsid w:val="000D6209"/>
    <w:rsid w:val="000D626C"/>
    <w:rsid w:val="000D63A4"/>
    <w:rsid w:val="000D6406"/>
    <w:rsid w:val="000D667E"/>
    <w:rsid w:val="000D6684"/>
    <w:rsid w:val="000D672B"/>
    <w:rsid w:val="000D677E"/>
    <w:rsid w:val="000D6882"/>
    <w:rsid w:val="000D68D7"/>
    <w:rsid w:val="000D6AB6"/>
    <w:rsid w:val="000D6B29"/>
    <w:rsid w:val="000D6BA2"/>
    <w:rsid w:val="000D6DB7"/>
    <w:rsid w:val="000D6E7E"/>
    <w:rsid w:val="000D6EFC"/>
    <w:rsid w:val="000D6F5A"/>
    <w:rsid w:val="000D6F63"/>
    <w:rsid w:val="000D6FEB"/>
    <w:rsid w:val="000D7137"/>
    <w:rsid w:val="000D71AC"/>
    <w:rsid w:val="000D73CD"/>
    <w:rsid w:val="000D7772"/>
    <w:rsid w:val="000D798B"/>
    <w:rsid w:val="000E0248"/>
    <w:rsid w:val="000E02C3"/>
    <w:rsid w:val="000E02F6"/>
    <w:rsid w:val="000E035E"/>
    <w:rsid w:val="000E038D"/>
    <w:rsid w:val="000E04BF"/>
    <w:rsid w:val="000E0537"/>
    <w:rsid w:val="000E05CA"/>
    <w:rsid w:val="000E07F0"/>
    <w:rsid w:val="000E0828"/>
    <w:rsid w:val="000E085C"/>
    <w:rsid w:val="000E0CFE"/>
    <w:rsid w:val="000E17F5"/>
    <w:rsid w:val="000E18DE"/>
    <w:rsid w:val="000E198B"/>
    <w:rsid w:val="000E19FE"/>
    <w:rsid w:val="000E1A46"/>
    <w:rsid w:val="000E1C2E"/>
    <w:rsid w:val="000E1F52"/>
    <w:rsid w:val="000E1FE5"/>
    <w:rsid w:val="000E211B"/>
    <w:rsid w:val="000E2187"/>
    <w:rsid w:val="000E21ED"/>
    <w:rsid w:val="000E24C0"/>
    <w:rsid w:val="000E24DE"/>
    <w:rsid w:val="000E24FB"/>
    <w:rsid w:val="000E25B8"/>
    <w:rsid w:val="000E2674"/>
    <w:rsid w:val="000E29AA"/>
    <w:rsid w:val="000E2A68"/>
    <w:rsid w:val="000E2DE2"/>
    <w:rsid w:val="000E2E09"/>
    <w:rsid w:val="000E33EA"/>
    <w:rsid w:val="000E3421"/>
    <w:rsid w:val="000E3667"/>
    <w:rsid w:val="000E38D0"/>
    <w:rsid w:val="000E3995"/>
    <w:rsid w:val="000E3B22"/>
    <w:rsid w:val="000E3C1C"/>
    <w:rsid w:val="000E441B"/>
    <w:rsid w:val="000E461E"/>
    <w:rsid w:val="000E4D36"/>
    <w:rsid w:val="000E4E42"/>
    <w:rsid w:val="000E4EBB"/>
    <w:rsid w:val="000E4F5D"/>
    <w:rsid w:val="000E5108"/>
    <w:rsid w:val="000E511D"/>
    <w:rsid w:val="000E54EC"/>
    <w:rsid w:val="000E5648"/>
    <w:rsid w:val="000E564D"/>
    <w:rsid w:val="000E5718"/>
    <w:rsid w:val="000E5768"/>
    <w:rsid w:val="000E580C"/>
    <w:rsid w:val="000E5864"/>
    <w:rsid w:val="000E59F1"/>
    <w:rsid w:val="000E5B48"/>
    <w:rsid w:val="000E5C27"/>
    <w:rsid w:val="000E5D78"/>
    <w:rsid w:val="000E5DCC"/>
    <w:rsid w:val="000E5F40"/>
    <w:rsid w:val="000E6168"/>
    <w:rsid w:val="000E61F5"/>
    <w:rsid w:val="000E6221"/>
    <w:rsid w:val="000E622C"/>
    <w:rsid w:val="000E632D"/>
    <w:rsid w:val="000E6433"/>
    <w:rsid w:val="000E6625"/>
    <w:rsid w:val="000E6771"/>
    <w:rsid w:val="000E6783"/>
    <w:rsid w:val="000E69ED"/>
    <w:rsid w:val="000E6B5C"/>
    <w:rsid w:val="000E6B9F"/>
    <w:rsid w:val="000E6D51"/>
    <w:rsid w:val="000E6E2A"/>
    <w:rsid w:val="000E7035"/>
    <w:rsid w:val="000E727F"/>
    <w:rsid w:val="000E731F"/>
    <w:rsid w:val="000E73A2"/>
    <w:rsid w:val="000E73BA"/>
    <w:rsid w:val="000E73D8"/>
    <w:rsid w:val="000E74B3"/>
    <w:rsid w:val="000E796F"/>
    <w:rsid w:val="000E799A"/>
    <w:rsid w:val="000E7C49"/>
    <w:rsid w:val="000E7E7D"/>
    <w:rsid w:val="000F00CD"/>
    <w:rsid w:val="000F0746"/>
    <w:rsid w:val="000F0802"/>
    <w:rsid w:val="000F08E6"/>
    <w:rsid w:val="000F0BE4"/>
    <w:rsid w:val="000F0C51"/>
    <w:rsid w:val="000F0C65"/>
    <w:rsid w:val="000F0D42"/>
    <w:rsid w:val="000F1043"/>
    <w:rsid w:val="000F113C"/>
    <w:rsid w:val="000F118B"/>
    <w:rsid w:val="000F1314"/>
    <w:rsid w:val="000F1714"/>
    <w:rsid w:val="000F196C"/>
    <w:rsid w:val="000F1C9D"/>
    <w:rsid w:val="000F1CF3"/>
    <w:rsid w:val="000F1EAE"/>
    <w:rsid w:val="000F1EFF"/>
    <w:rsid w:val="000F1FB6"/>
    <w:rsid w:val="000F203B"/>
    <w:rsid w:val="000F20CB"/>
    <w:rsid w:val="000F2299"/>
    <w:rsid w:val="000F2497"/>
    <w:rsid w:val="000F261E"/>
    <w:rsid w:val="000F2802"/>
    <w:rsid w:val="000F2A13"/>
    <w:rsid w:val="000F2BC1"/>
    <w:rsid w:val="000F327D"/>
    <w:rsid w:val="000F3324"/>
    <w:rsid w:val="000F3368"/>
    <w:rsid w:val="000F33E6"/>
    <w:rsid w:val="000F34C5"/>
    <w:rsid w:val="000F37D1"/>
    <w:rsid w:val="000F3998"/>
    <w:rsid w:val="000F39DC"/>
    <w:rsid w:val="000F3DCE"/>
    <w:rsid w:val="000F3F63"/>
    <w:rsid w:val="000F3FAE"/>
    <w:rsid w:val="000F402D"/>
    <w:rsid w:val="000F4277"/>
    <w:rsid w:val="000F42D9"/>
    <w:rsid w:val="000F4387"/>
    <w:rsid w:val="000F44F3"/>
    <w:rsid w:val="000F472F"/>
    <w:rsid w:val="000F4A8C"/>
    <w:rsid w:val="000F4B78"/>
    <w:rsid w:val="000F534B"/>
    <w:rsid w:val="000F5580"/>
    <w:rsid w:val="000F59ED"/>
    <w:rsid w:val="000F5ADC"/>
    <w:rsid w:val="000F5C7E"/>
    <w:rsid w:val="000F5D27"/>
    <w:rsid w:val="000F5D6A"/>
    <w:rsid w:val="000F5E4C"/>
    <w:rsid w:val="000F5F3F"/>
    <w:rsid w:val="000F605F"/>
    <w:rsid w:val="000F6083"/>
    <w:rsid w:val="000F61E1"/>
    <w:rsid w:val="000F62A5"/>
    <w:rsid w:val="000F62DA"/>
    <w:rsid w:val="000F6341"/>
    <w:rsid w:val="000F6A7D"/>
    <w:rsid w:val="000F6B71"/>
    <w:rsid w:val="000F6BA5"/>
    <w:rsid w:val="000F6E81"/>
    <w:rsid w:val="000F6F31"/>
    <w:rsid w:val="000F6FCF"/>
    <w:rsid w:val="000F7081"/>
    <w:rsid w:val="000F70AC"/>
    <w:rsid w:val="000F7157"/>
    <w:rsid w:val="000F715F"/>
    <w:rsid w:val="000F720C"/>
    <w:rsid w:val="000F7239"/>
    <w:rsid w:val="000F746C"/>
    <w:rsid w:val="000F75FF"/>
    <w:rsid w:val="000F795D"/>
    <w:rsid w:val="000F7B2E"/>
    <w:rsid w:val="000F7B85"/>
    <w:rsid w:val="000F7C45"/>
    <w:rsid w:val="000F7C6B"/>
    <w:rsid w:val="000F7D9F"/>
    <w:rsid w:val="000F7E17"/>
    <w:rsid w:val="000F7EBE"/>
    <w:rsid w:val="000F7F3C"/>
    <w:rsid w:val="000F7F59"/>
    <w:rsid w:val="000F7F8A"/>
    <w:rsid w:val="00100013"/>
    <w:rsid w:val="001001C3"/>
    <w:rsid w:val="001001F2"/>
    <w:rsid w:val="00100668"/>
    <w:rsid w:val="00100AF8"/>
    <w:rsid w:val="00100BD3"/>
    <w:rsid w:val="00100BE5"/>
    <w:rsid w:val="00100DF0"/>
    <w:rsid w:val="00100E53"/>
    <w:rsid w:val="0010101A"/>
    <w:rsid w:val="001010F5"/>
    <w:rsid w:val="00101547"/>
    <w:rsid w:val="001015E7"/>
    <w:rsid w:val="0010179A"/>
    <w:rsid w:val="001019B2"/>
    <w:rsid w:val="001019C3"/>
    <w:rsid w:val="00101BD3"/>
    <w:rsid w:val="00101CB2"/>
    <w:rsid w:val="00101D88"/>
    <w:rsid w:val="00101D9E"/>
    <w:rsid w:val="00101E25"/>
    <w:rsid w:val="00101E3E"/>
    <w:rsid w:val="00101EFF"/>
    <w:rsid w:val="0010219E"/>
    <w:rsid w:val="00102431"/>
    <w:rsid w:val="001027EC"/>
    <w:rsid w:val="001028A2"/>
    <w:rsid w:val="001028D7"/>
    <w:rsid w:val="00102915"/>
    <w:rsid w:val="00102A2E"/>
    <w:rsid w:val="00102B45"/>
    <w:rsid w:val="00102B8E"/>
    <w:rsid w:val="00102C27"/>
    <w:rsid w:val="00102C78"/>
    <w:rsid w:val="00102DE8"/>
    <w:rsid w:val="00102F97"/>
    <w:rsid w:val="00102FA4"/>
    <w:rsid w:val="00103024"/>
    <w:rsid w:val="00103188"/>
    <w:rsid w:val="00103327"/>
    <w:rsid w:val="00103765"/>
    <w:rsid w:val="00103787"/>
    <w:rsid w:val="00103804"/>
    <w:rsid w:val="001039AD"/>
    <w:rsid w:val="00103B5F"/>
    <w:rsid w:val="00103ECA"/>
    <w:rsid w:val="001042E1"/>
    <w:rsid w:val="001045AC"/>
    <w:rsid w:val="00104887"/>
    <w:rsid w:val="00104955"/>
    <w:rsid w:val="00104B0E"/>
    <w:rsid w:val="00104C6F"/>
    <w:rsid w:val="00104DD9"/>
    <w:rsid w:val="001051B2"/>
    <w:rsid w:val="001051CA"/>
    <w:rsid w:val="001051E1"/>
    <w:rsid w:val="00105288"/>
    <w:rsid w:val="0010540E"/>
    <w:rsid w:val="00105882"/>
    <w:rsid w:val="001058D0"/>
    <w:rsid w:val="0010595B"/>
    <w:rsid w:val="00105A4D"/>
    <w:rsid w:val="00105D01"/>
    <w:rsid w:val="00105F80"/>
    <w:rsid w:val="00106026"/>
    <w:rsid w:val="0010627B"/>
    <w:rsid w:val="001063B1"/>
    <w:rsid w:val="001065BA"/>
    <w:rsid w:val="00106660"/>
    <w:rsid w:val="00106899"/>
    <w:rsid w:val="00106A34"/>
    <w:rsid w:val="00106AF2"/>
    <w:rsid w:val="00106E39"/>
    <w:rsid w:val="00106F67"/>
    <w:rsid w:val="0010703C"/>
    <w:rsid w:val="00107211"/>
    <w:rsid w:val="0010722C"/>
    <w:rsid w:val="0010736A"/>
    <w:rsid w:val="001073D3"/>
    <w:rsid w:val="00107406"/>
    <w:rsid w:val="0010743A"/>
    <w:rsid w:val="00107504"/>
    <w:rsid w:val="00107568"/>
    <w:rsid w:val="00107723"/>
    <w:rsid w:val="00107949"/>
    <w:rsid w:val="00107A63"/>
    <w:rsid w:val="00107DB6"/>
    <w:rsid w:val="00107E51"/>
    <w:rsid w:val="0011011E"/>
    <w:rsid w:val="00110180"/>
    <w:rsid w:val="001101CD"/>
    <w:rsid w:val="00110298"/>
    <w:rsid w:val="001103DC"/>
    <w:rsid w:val="001107CA"/>
    <w:rsid w:val="0011084C"/>
    <w:rsid w:val="001108EC"/>
    <w:rsid w:val="00110C5B"/>
    <w:rsid w:val="00110DD4"/>
    <w:rsid w:val="00110E29"/>
    <w:rsid w:val="00110FF1"/>
    <w:rsid w:val="001110E8"/>
    <w:rsid w:val="0011123E"/>
    <w:rsid w:val="001112B7"/>
    <w:rsid w:val="00111651"/>
    <w:rsid w:val="00111AAF"/>
    <w:rsid w:val="00111B33"/>
    <w:rsid w:val="00111BFA"/>
    <w:rsid w:val="00111C3F"/>
    <w:rsid w:val="00111E7F"/>
    <w:rsid w:val="0011202F"/>
    <w:rsid w:val="001123A8"/>
    <w:rsid w:val="0011258D"/>
    <w:rsid w:val="001125C5"/>
    <w:rsid w:val="001125DD"/>
    <w:rsid w:val="001126FA"/>
    <w:rsid w:val="00112847"/>
    <w:rsid w:val="00112998"/>
    <w:rsid w:val="001130A1"/>
    <w:rsid w:val="00113111"/>
    <w:rsid w:val="00113292"/>
    <w:rsid w:val="00113348"/>
    <w:rsid w:val="0011334C"/>
    <w:rsid w:val="00113400"/>
    <w:rsid w:val="0011342B"/>
    <w:rsid w:val="0011348D"/>
    <w:rsid w:val="0011354D"/>
    <w:rsid w:val="00113624"/>
    <w:rsid w:val="00113720"/>
    <w:rsid w:val="00113735"/>
    <w:rsid w:val="00113DD4"/>
    <w:rsid w:val="0011402C"/>
    <w:rsid w:val="0011409F"/>
    <w:rsid w:val="00114248"/>
    <w:rsid w:val="00114369"/>
    <w:rsid w:val="001145D3"/>
    <w:rsid w:val="00114DB7"/>
    <w:rsid w:val="0011515A"/>
    <w:rsid w:val="001151B3"/>
    <w:rsid w:val="001151EE"/>
    <w:rsid w:val="00115212"/>
    <w:rsid w:val="00115330"/>
    <w:rsid w:val="001153AD"/>
    <w:rsid w:val="0011553B"/>
    <w:rsid w:val="00115554"/>
    <w:rsid w:val="001158E1"/>
    <w:rsid w:val="00115AC5"/>
    <w:rsid w:val="00115EAC"/>
    <w:rsid w:val="0011614D"/>
    <w:rsid w:val="001162CD"/>
    <w:rsid w:val="0011633B"/>
    <w:rsid w:val="001163DD"/>
    <w:rsid w:val="00116441"/>
    <w:rsid w:val="00116758"/>
    <w:rsid w:val="00116837"/>
    <w:rsid w:val="00116876"/>
    <w:rsid w:val="001169FC"/>
    <w:rsid w:val="00116A9B"/>
    <w:rsid w:val="00116F01"/>
    <w:rsid w:val="00116F34"/>
    <w:rsid w:val="00117113"/>
    <w:rsid w:val="001176EF"/>
    <w:rsid w:val="001178F7"/>
    <w:rsid w:val="001179E1"/>
    <w:rsid w:val="00117D08"/>
    <w:rsid w:val="00117E8C"/>
    <w:rsid w:val="00117FFD"/>
    <w:rsid w:val="00120080"/>
    <w:rsid w:val="001206BE"/>
    <w:rsid w:val="00120CB0"/>
    <w:rsid w:val="00120D1D"/>
    <w:rsid w:val="00120DCC"/>
    <w:rsid w:val="00120E59"/>
    <w:rsid w:val="00120F14"/>
    <w:rsid w:val="0012105F"/>
    <w:rsid w:val="001210B3"/>
    <w:rsid w:val="001211DE"/>
    <w:rsid w:val="001214E5"/>
    <w:rsid w:val="00121975"/>
    <w:rsid w:val="00121B1F"/>
    <w:rsid w:val="00121D4C"/>
    <w:rsid w:val="00121D9F"/>
    <w:rsid w:val="00121E16"/>
    <w:rsid w:val="00121F29"/>
    <w:rsid w:val="00121FA5"/>
    <w:rsid w:val="0012224F"/>
    <w:rsid w:val="0012261E"/>
    <w:rsid w:val="00122777"/>
    <w:rsid w:val="0012291A"/>
    <w:rsid w:val="00122CC7"/>
    <w:rsid w:val="00122F58"/>
    <w:rsid w:val="001230EB"/>
    <w:rsid w:val="0012317B"/>
    <w:rsid w:val="001231E2"/>
    <w:rsid w:val="001234EF"/>
    <w:rsid w:val="001236C8"/>
    <w:rsid w:val="0012388F"/>
    <w:rsid w:val="001239D5"/>
    <w:rsid w:val="00123A42"/>
    <w:rsid w:val="00123B10"/>
    <w:rsid w:val="00123B88"/>
    <w:rsid w:val="00123C0E"/>
    <w:rsid w:val="00123D03"/>
    <w:rsid w:val="00123F40"/>
    <w:rsid w:val="001240C3"/>
    <w:rsid w:val="001243E6"/>
    <w:rsid w:val="00124504"/>
    <w:rsid w:val="001245C2"/>
    <w:rsid w:val="001245F4"/>
    <w:rsid w:val="00124644"/>
    <w:rsid w:val="0012489E"/>
    <w:rsid w:val="0012491D"/>
    <w:rsid w:val="00124B63"/>
    <w:rsid w:val="00124D6A"/>
    <w:rsid w:val="00124E1E"/>
    <w:rsid w:val="00124FC2"/>
    <w:rsid w:val="00125018"/>
    <w:rsid w:val="00125078"/>
    <w:rsid w:val="001252A7"/>
    <w:rsid w:val="0012563F"/>
    <w:rsid w:val="00125671"/>
    <w:rsid w:val="0012578A"/>
    <w:rsid w:val="00125797"/>
    <w:rsid w:val="001259E1"/>
    <w:rsid w:val="00125A59"/>
    <w:rsid w:val="00125BC4"/>
    <w:rsid w:val="00125DE2"/>
    <w:rsid w:val="00125E75"/>
    <w:rsid w:val="00125EB3"/>
    <w:rsid w:val="00125FB7"/>
    <w:rsid w:val="00126114"/>
    <w:rsid w:val="00126444"/>
    <w:rsid w:val="001265EC"/>
    <w:rsid w:val="0012670A"/>
    <w:rsid w:val="0012693A"/>
    <w:rsid w:val="00126973"/>
    <w:rsid w:val="00126988"/>
    <w:rsid w:val="00126A55"/>
    <w:rsid w:val="00126F32"/>
    <w:rsid w:val="001271C1"/>
    <w:rsid w:val="001272A8"/>
    <w:rsid w:val="001272F7"/>
    <w:rsid w:val="001275DA"/>
    <w:rsid w:val="001278CE"/>
    <w:rsid w:val="00127B92"/>
    <w:rsid w:val="00127E10"/>
    <w:rsid w:val="001301D2"/>
    <w:rsid w:val="00130237"/>
    <w:rsid w:val="00130429"/>
    <w:rsid w:val="001304D8"/>
    <w:rsid w:val="0013067B"/>
    <w:rsid w:val="001306AC"/>
    <w:rsid w:val="00130A59"/>
    <w:rsid w:val="00130F16"/>
    <w:rsid w:val="001310EC"/>
    <w:rsid w:val="00131285"/>
    <w:rsid w:val="00131473"/>
    <w:rsid w:val="001316F4"/>
    <w:rsid w:val="00131704"/>
    <w:rsid w:val="001319B8"/>
    <w:rsid w:val="00131D3B"/>
    <w:rsid w:val="00131F38"/>
    <w:rsid w:val="00131F4E"/>
    <w:rsid w:val="00132166"/>
    <w:rsid w:val="001321B4"/>
    <w:rsid w:val="00132234"/>
    <w:rsid w:val="00132313"/>
    <w:rsid w:val="001323BC"/>
    <w:rsid w:val="0013242D"/>
    <w:rsid w:val="00132438"/>
    <w:rsid w:val="001324B1"/>
    <w:rsid w:val="0013277C"/>
    <w:rsid w:val="00132869"/>
    <w:rsid w:val="00132B29"/>
    <w:rsid w:val="00132D24"/>
    <w:rsid w:val="00132D2B"/>
    <w:rsid w:val="001330D3"/>
    <w:rsid w:val="001330F5"/>
    <w:rsid w:val="00133304"/>
    <w:rsid w:val="00133481"/>
    <w:rsid w:val="001334D2"/>
    <w:rsid w:val="0013351E"/>
    <w:rsid w:val="001336FF"/>
    <w:rsid w:val="001338F3"/>
    <w:rsid w:val="00133910"/>
    <w:rsid w:val="00133C43"/>
    <w:rsid w:val="00133D2C"/>
    <w:rsid w:val="00133DCA"/>
    <w:rsid w:val="00133F2F"/>
    <w:rsid w:val="00133F83"/>
    <w:rsid w:val="00133FF2"/>
    <w:rsid w:val="00134061"/>
    <w:rsid w:val="001340CB"/>
    <w:rsid w:val="001341AA"/>
    <w:rsid w:val="001341E0"/>
    <w:rsid w:val="0013423F"/>
    <w:rsid w:val="001342E9"/>
    <w:rsid w:val="00134362"/>
    <w:rsid w:val="001343D2"/>
    <w:rsid w:val="0013446A"/>
    <w:rsid w:val="00134485"/>
    <w:rsid w:val="0013450C"/>
    <w:rsid w:val="0013490A"/>
    <w:rsid w:val="00134A0A"/>
    <w:rsid w:val="00134BF3"/>
    <w:rsid w:val="00134E0B"/>
    <w:rsid w:val="00134FD5"/>
    <w:rsid w:val="00134FF8"/>
    <w:rsid w:val="00135175"/>
    <w:rsid w:val="00135819"/>
    <w:rsid w:val="00135A34"/>
    <w:rsid w:val="00135EEA"/>
    <w:rsid w:val="00136267"/>
    <w:rsid w:val="00136412"/>
    <w:rsid w:val="0013643C"/>
    <w:rsid w:val="00136597"/>
    <w:rsid w:val="001368E1"/>
    <w:rsid w:val="00136903"/>
    <w:rsid w:val="0013692E"/>
    <w:rsid w:val="00136996"/>
    <w:rsid w:val="00136E4C"/>
    <w:rsid w:val="00136F0B"/>
    <w:rsid w:val="0013701B"/>
    <w:rsid w:val="001370E3"/>
    <w:rsid w:val="001371C2"/>
    <w:rsid w:val="001371E1"/>
    <w:rsid w:val="0013775A"/>
    <w:rsid w:val="00137858"/>
    <w:rsid w:val="00137918"/>
    <w:rsid w:val="00140150"/>
    <w:rsid w:val="0014017E"/>
    <w:rsid w:val="0014031E"/>
    <w:rsid w:val="001403E6"/>
    <w:rsid w:val="00140574"/>
    <w:rsid w:val="0014059D"/>
    <w:rsid w:val="0014083C"/>
    <w:rsid w:val="001408BE"/>
    <w:rsid w:val="001408E1"/>
    <w:rsid w:val="00140AED"/>
    <w:rsid w:val="00140B20"/>
    <w:rsid w:val="00140C3F"/>
    <w:rsid w:val="001411FE"/>
    <w:rsid w:val="001412B4"/>
    <w:rsid w:val="00141602"/>
    <w:rsid w:val="00141888"/>
    <w:rsid w:val="00141899"/>
    <w:rsid w:val="001419BE"/>
    <w:rsid w:val="00141A58"/>
    <w:rsid w:val="00141C14"/>
    <w:rsid w:val="00141C2E"/>
    <w:rsid w:val="00141CAA"/>
    <w:rsid w:val="00141DDA"/>
    <w:rsid w:val="00142409"/>
    <w:rsid w:val="0014244A"/>
    <w:rsid w:val="00142891"/>
    <w:rsid w:val="00142B28"/>
    <w:rsid w:val="00142D1D"/>
    <w:rsid w:val="00142E38"/>
    <w:rsid w:val="00143216"/>
    <w:rsid w:val="00143839"/>
    <w:rsid w:val="00143969"/>
    <w:rsid w:val="00143C2F"/>
    <w:rsid w:val="00143EAA"/>
    <w:rsid w:val="00143EDD"/>
    <w:rsid w:val="00144041"/>
    <w:rsid w:val="00144089"/>
    <w:rsid w:val="001440FF"/>
    <w:rsid w:val="00144289"/>
    <w:rsid w:val="00144479"/>
    <w:rsid w:val="001444B6"/>
    <w:rsid w:val="0014466B"/>
    <w:rsid w:val="00144956"/>
    <w:rsid w:val="001449FF"/>
    <w:rsid w:val="00144B88"/>
    <w:rsid w:val="00144DEC"/>
    <w:rsid w:val="00144EC2"/>
    <w:rsid w:val="00144EEE"/>
    <w:rsid w:val="0014502A"/>
    <w:rsid w:val="001451C8"/>
    <w:rsid w:val="0014529B"/>
    <w:rsid w:val="001454F3"/>
    <w:rsid w:val="0014554A"/>
    <w:rsid w:val="00145805"/>
    <w:rsid w:val="0014583E"/>
    <w:rsid w:val="00145872"/>
    <w:rsid w:val="001458CA"/>
    <w:rsid w:val="001459FE"/>
    <w:rsid w:val="00145A6C"/>
    <w:rsid w:val="00145BD0"/>
    <w:rsid w:val="00145D58"/>
    <w:rsid w:val="00145DB0"/>
    <w:rsid w:val="00145F82"/>
    <w:rsid w:val="00146051"/>
    <w:rsid w:val="001462D3"/>
    <w:rsid w:val="00146393"/>
    <w:rsid w:val="001464B2"/>
    <w:rsid w:val="0014657C"/>
    <w:rsid w:val="001465EB"/>
    <w:rsid w:val="00146668"/>
    <w:rsid w:val="001467CF"/>
    <w:rsid w:val="00146936"/>
    <w:rsid w:val="00146BE7"/>
    <w:rsid w:val="00146BF9"/>
    <w:rsid w:val="00146D1C"/>
    <w:rsid w:val="00146DC4"/>
    <w:rsid w:val="00146DDD"/>
    <w:rsid w:val="00146F27"/>
    <w:rsid w:val="0014709B"/>
    <w:rsid w:val="001470F5"/>
    <w:rsid w:val="001472B6"/>
    <w:rsid w:val="0014746C"/>
    <w:rsid w:val="0014750F"/>
    <w:rsid w:val="00147A86"/>
    <w:rsid w:val="00147C73"/>
    <w:rsid w:val="00147CC0"/>
    <w:rsid w:val="00147D41"/>
    <w:rsid w:val="00147E88"/>
    <w:rsid w:val="00147F21"/>
    <w:rsid w:val="00150077"/>
    <w:rsid w:val="001503D6"/>
    <w:rsid w:val="001503E3"/>
    <w:rsid w:val="001505E7"/>
    <w:rsid w:val="0015078F"/>
    <w:rsid w:val="001507D1"/>
    <w:rsid w:val="00150828"/>
    <w:rsid w:val="00150849"/>
    <w:rsid w:val="00150A61"/>
    <w:rsid w:val="00150B09"/>
    <w:rsid w:val="00150C0B"/>
    <w:rsid w:val="00150DCC"/>
    <w:rsid w:val="00150FD5"/>
    <w:rsid w:val="00151387"/>
    <w:rsid w:val="001516C2"/>
    <w:rsid w:val="0015176A"/>
    <w:rsid w:val="001519A9"/>
    <w:rsid w:val="00151BDD"/>
    <w:rsid w:val="00151DF9"/>
    <w:rsid w:val="00151E1D"/>
    <w:rsid w:val="00151F9B"/>
    <w:rsid w:val="001520A0"/>
    <w:rsid w:val="001521AB"/>
    <w:rsid w:val="00152427"/>
    <w:rsid w:val="00152488"/>
    <w:rsid w:val="00152678"/>
    <w:rsid w:val="001527E4"/>
    <w:rsid w:val="001528E6"/>
    <w:rsid w:val="001529E9"/>
    <w:rsid w:val="00152AE6"/>
    <w:rsid w:val="00152AF0"/>
    <w:rsid w:val="00152AF8"/>
    <w:rsid w:val="00152B80"/>
    <w:rsid w:val="00152BAC"/>
    <w:rsid w:val="00152BAD"/>
    <w:rsid w:val="00152F90"/>
    <w:rsid w:val="00152FC6"/>
    <w:rsid w:val="00153321"/>
    <w:rsid w:val="00153528"/>
    <w:rsid w:val="001535A3"/>
    <w:rsid w:val="001535DF"/>
    <w:rsid w:val="0015390C"/>
    <w:rsid w:val="001539CE"/>
    <w:rsid w:val="00153A2F"/>
    <w:rsid w:val="00153B0B"/>
    <w:rsid w:val="00154027"/>
    <w:rsid w:val="0015430E"/>
    <w:rsid w:val="001545DE"/>
    <w:rsid w:val="00154719"/>
    <w:rsid w:val="0015498B"/>
    <w:rsid w:val="0015498F"/>
    <w:rsid w:val="00154E78"/>
    <w:rsid w:val="0015513A"/>
    <w:rsid w:val="00155156"/>
    <w:rsid w:val="00155159"/>
    <w:rsid w:val="0015516D"/>
    <w:rsid w:val="001551DF"/>
    <w:rsid w:val="0015562C"/>
    <w:rsid w:val="001556EB"/>
    <w:rsid w:val="001557CF"/>
    <w:rsid w:val="00155DA0"/>
    <w:rsid w:val="00155DC0"/>
    <w:rsid w:val="00155EC9"/>
    <w:rsid w:val="00155F7D"/>
    <w:rsid w:val="001560DA"/>
    <w:rsid w:val="0015645D"/>
    <w:rsid w:val="00156713"/>
    <w:rsid w:val="00156BB0"/>
    <w:rsid w:val="00156D84"/>
    <w:rsid w:val="00156F9D"/>
    <w:rsid w:val="00156FBB"/>
    <w:rsid w:val="0015738E"/>
    <w:rsid w:val="00157476"/>
    <w:rsid w:val="0015753C"/>
    <w:rsid w:val="0015787E"/>
    <w:rsid w:val="00157E5B"/>
    <w:rsid w:val="00157EE6"/>
    <w:rsid w:val="00157F00"/>
    <w:rsid w:val="001601EC"/>
    <w:rsid w:val="001604A7"/>
    <w:rsid w:val="00160511"/>
    <w:rsid w:val="001605D5"/>
    <w:rsid w:val="001606C9"/>
    <w:rsid w:val="001607C5"/>
    <w:rsid w:val="00160C00"/>
    <w:rsid w:val="00160E6D"/>
    <w:rsid w:val="00160F4D"/>
    <w:rsid w:val="001611A1"/>
    <w:rsid w:val="00161280"/>
    <w:rsid w:val="00161394"/>
    <w:rsid w:val="001615EF"/>
    <w:rsid w:val="001617A6"/>
    <w:rsid w:val="00161819"/>
    <w:rsid w:val="001618B8"/>
    <w:rsid w:val="0016219E"/>
    <w:rsid w:val="0016223E"/>
    <w:rsid w:val="001622F6"/>
    <w:rsid w:val="00162308"/>
    <w:rsid w:val="0016232E"/>
    <w:rsid w:val="00162400"/>
    <w:rsid w:val="001627C8"/>
    <w:rsid w:val="00162AFC"/>
    <w:rsid w:val="00162E97"/>
    <w:rsid w:val="00163340"/>
    <w:rsid w:val="0016344A"/>
    <w:rsid w:val="0016375D"/>
    <w:rsid w:val="001637A1"/>
    <w:rsid w:val="00163901"/>
    <w:rsid w:val="00163902"/>
    <w:rsid w:val="001639EC"/>
    <w:rsid w:val="00163AE7"/>
    <w:rsid w:val="00163AF8"/>
    <w:rsid w:val="00163D93"/>
    <w:rsid w:val="00163D9F"/>
    <w:rsid w:val="00163EA6"/>
    <w:rsid w:val="0016400F"/>
    <w:rsid w:val="001641E1"/>
    <w:rsid w:val="00164703"/>
    <w:rsid w:val="00164760"/>
    <w:rsid w:val="00164821"/>
    <w:rsid w:val="001649C5"/>
    <w:rsid w:val="00164A89"/>
    <w:rsid w:val="00164E65"/>
    <w:rsid w:val="00165061"/>
    <w:rsid w:val="001651A0"/>
    <w:rsid w:val="001651C8"/>
    <w:rsid w:val="001651D0"/>
    <w:rsid w:val="00165A2F"/>
    <w:rsid w:val="00165AA2"/>
    <w:rsid w:val="00165D9A"/>
    <w:rsid w:val="00165DDC"/>
    <w:rsid w:val="00165DF9"/>
    <w:rsid w:val="001660DC"/>
    <w:rsid w:val="00166965"/>
    <w:rsid w:val="00166A14"/>
    <w:rsid w:val="00166BD1"/>
    <w:rsid w:val="00166C1C"/>
    <w:rsid w:val="00166C43"/>
    <w:rsid w:val="00166DF6"/>
    <w:rsid w:val="00166E19"/>
    <w:rsid w:val="00166E75"/>
    <w:rsid w:val="00166E9E"/>
    <w:rsid w:val="00166EF0"/>
    <w:rsid w:val="00166F0D"/>
    <w:rsid w:val="001673B5"/>
    <w:rsid w:val="001674E7"/>
    <w:rsid w:val="00167531"/>
    <w:rsid w:val="001676CD"/>
    <w:rsid w:val="00167829"/>
    <w:rsid w:val="0016784F"/>
    <w:rsid w:val="00167932"/>
    <w:rsid w:val="001679DF"/>
    <w:rsid w:val="00167A88"/>
    <w:rsid w:val="00167AAF"/>
    <w:rsid w:val="00167C84"/>
    <w:rsid w:val="00167DE8"/>
    <w:rsid w:val="00167E45"/>
    <w:rsid w:val="00167EC1"/>
    <w:rsid w:val="001702E5"/>
    <w:rsid w:val="001705C0"/>
    <w:rsid w:val="0017077D"/>
    <w:rsid w:val="00170BB7"/>
    <w:rsid w:val="00170CD3"/>
    <w:rsid w:val="00170D7A"/>
    <w:rsid w:val="00170DAE"/>
    <w:rsid w:val="00170DBC"/>
    <w:rsid w:val="00170E2C"/>
    <w:rsid w:val="00171136"/>
    <w:rsid w:val="0017116B"/>
    <w:rsid w:val="001712B2"/>
    <w:rsid w:val="001712F7"/>
    <w:rsid w:val="00171302"/>
    <w:rsid w:val="00171303"/>
    <w:rsid w:val="00171352"/>
    <w:rsid w:val="001715F6"/>
    <w:rsid w:val="00171759"/>
    <w:rsid w:val="0017184F"/>
    <w:rsid w:val="001718E6"/>
    <w:rsid w:val="00171D98"/>
    <w:rsid w:val="00171EB8"/>
    <w:rsid w:val="0017204F"/>
    <w:rsid w:val="0017215F"/>
    <w:rsid w:val="0017229C"/>
    <w:rsid w:val="00172551"/>
    <w:rsid w:val="00172686"/>
    <w:rsid w:val="001727E1"/>
    <w:rsid w:val="001729AA"/>
    <w:rsid w:val="00172A68"/>
    <w:rsid w:val="00172AE4"/>
    <w:rsid w:val="00172BB5"/>
    <w:rsid w:val="00172C87"/>
    <w:rsid w:val="00172CA3"/>
    <w:rsid w:val="00172CC1"/>
    <w:rsid w:val="00172CF2"/>
    <w:rsid w:val="00172DCB"/>
    <w:rsid w:val="00172EE9"/>
    <w:rsid w:val="00172F94"/>
    <w:rsid w:val="0017351C"/>
    <w:rsid w:val="00173577"/>
    <w:rsid w:val="00173734"/>
    <w:rsid w:val="00173748"/>
    <w:rsid w:val="0017378C"/>
    <w:rsid w:val="00173CB0"/>
    <w:rsid w:val="00173CCF"/>
    <w:rsid w:val="00173DA7"/>
    <w:rsid w:val="00173F84"/>
    <w:rsid w:val="0017400E"/>
    <w:rsid w:val="00174326"/>
    <w:rsid w:val="00174458"/>
    <w:rsid w:val="0017458A"/>
    <w:rsid w:val="001748FD"/>
    <w:rsid w:val="00174A7A"/>
    <w:rsid w:val="00174DE8"/>
    <w:rsid w:val="00174F02"/>
    <w:rsid w:val="0017525C"/>
    <w:rsid w:val="00175327"/>
    <w:rsid w:val="001754BF"/>
    <w:rsid w:val="00175552"/>
    <w:rsid w:val="00175897"/>
    <w:rsid w:val="00175C28"/>
    <w:rsid w:val="00175FBD"/>
    <w:rsid w:val="0017605C"/>
    <w:rsid w:val="00176254"/>
    <w:rsid w:val="00176266"/>
    <w:rsid w:val="00176637"/>
    <w:rsid w:val="001766A7"/>
    <w:rsid w:val="001767A3"/>
    <w:rsid w:val="0017690E"/>
    <w:rsid w:val="00176CAC"/>
    <w:rsid w:val="00176D18"/>
    <w:rsid w:val="00176D57"/>
    <w:rsid w:val="00176E82"/>
    <w:rsid w:val="00176EDA"/>
    <w:rsid w:val="00176FCB"/>
    <w:rsid w:val="00176FDA"/>
    <w:rsid w:val="00176FE1"/>
    <w:rsid w:val="0017724D"/>
    <w:rsid w:val="00177502"/>
    <w:rsid w:val="001776FE"/>
    <w:rsid w:val="00177957"/>
    <w:rsid w:val="00177A90"/>
    <w:rsid w:val="00177B6E"/>
    <w:rsid w:val="00177EBB"/>
    <w:rsid w:val="00180191"/>
    <w:rsid w:val="0018029D"/>
    <w:rsid w:val="001803A1"/>
    <w:rsid w:val="001803F3"/>
    <w:rsid w:val="0018041D"/>
    <w:rsid w:val="00180BA9"/>
    <w:rsid w:val="001811F2"/>
    <w:rsid w:val="001812E5"/>
    <w:rsid w:val="00181355"/>
    <w:rsid w:val="0018142B"/>
    <w:rsid w:val="0018153B"/>
    <w:rsid w:val="0018167E"/>
    <w:rsid w:val="001816F2"/>
    <w:rsid w:val="00181737"/>
    <w:rsid w:val="00181820"/>
    <w:rsid w:val="001819A3"/>
    <w:rsid w:val="00181BD5"/>
    <w:rsid w:val="00181C6A"/>
    <w:rsid w:val="00181CB2"/>
    <w:rsid w:val="00181DC9"/>
    <w:rsid w:val="00181E14"/>
    <w:rsid w:val="00181EC3"/>
    <w:rsid w:val="00181F85"/>
    <w:rsid w:val="001820CD"/>
    <w:rsid w:val="00182111"/>
    <w:rsid w:val="0018217E"/>
    <w:rsid w:val="00182542"/>
    <w:rsid w:val="0018264E"/>
    <w:rsid w:val="00182A4B"/>
    <w:rsid w:val="00182B7B"/>
    <w:rsid w:val="00182BC7"/>
    <w:rsid w:val="00182CDB"/>
    <w:rsid w:val="00182E82"/>
    <w:rsid w:val="00183075"/>
    <w:rsid w:val="001830E9"/>
    <w:rsid w:val="0018318E"/>
    <w:rsid w:val="0018340D"/>
    <w:rsid w:val="00183511"/>
    <w:rsid w:val="00183991"/>
    <w:rsid w:val="001839B2"/>
    <w:rsid w:val="00183A7D"/>
    <w:rsid w:val="00183C8C"/>
    <w:rsid w:val="00183E84"/>
    <w:rsid w:val="00183EF9"/>
    <w:rsid w:val="00183F00"/>
    <w:rsid w:val="00184066"/>
    <w:rsid w:val="00184301"/>
    <w:rsid w:val="0018431B"/>
    <w:rsid w:val="0018444B"/>
    <w:rsid w:val="0018445C"/>
    <w:rsid w:val="001845D3"/>
    <w:rsid w:val="00184751"/>
    <w:rsid w:val="001849A6"/>
    <w:rsid w:val="00184A2A"/>
    <w:rsid w:val="00184BE8"/>
    <w:rsid w:val="00184C53"/>
    <w:rsid w:val="00184EEE"/>
    <w:rsid w:val="00184FE0"/>
    <w:rsid w:val="001851B8"/>
    <w:rsid w:val="001852A0"/>
    <w:rsid w:val="00185331"/>
    <w:rsid w:val="001853C2"/>
    <w:rsid w:val="001855CB"/>
    <w:rsid w:val="00185628"/>
    <w:rsid w:val="001856F6"/>
    <w:rsid w:val="00185831"/>
    <w:rsid w:val="001858FB"/>
    <w:rsid w:val="001859B2"/>
    <w:rsid w:val="00185CA4"/>
    <w:rsid w:val="00185DF0"/>
    <w:rsid w:val="00185E23"/>
    <w:rsid w:val="00185F31"/>
    <w:rsid w:val="00186222"/>
    <w:rsid w:val="001862EB"/>
    <w:rsid w:val="001863DE"/>
    <w:rsid w:val="0018650C"/>
    <w:rsid w:val="001866F2"/>
    <w:rsid w:val="001866F9"/>
    <w:rsid w:val="001867F2"/>
    <w:rsid w:val="00186884"/>
    <w:rsid w:val="00186ABE"/>
    <w:rsid w:val="00186C74"/>
    <w:rsid w:val="00186D00"/>
    <w:rsid w:val="00186F70"/>
    <w:rsid w:val="001870FB"/>
    <w:rsid w:val="0018711F"/>
    <w:rsid w:val="001875F9"/>
    <w:rsid w:val="0018762D"/>
    <w:rsid w:val="0018775E"/>
    <w:rsid w:val="001877A1"/>
    <w:rsid w:val="001878AB"/>
    <w:rsid w:val="001878DB"/>
    <w:rsid w:val="0018796A"/>
    <w:rsid w:val="00187E2E"/>
    <w:rsid w:val="001901AD"/>
    <w:rsid w:val="0019056D"/>
    <w:rsid w:val="001905CB"/>
    <w:rsid w:val="001909D2"/>
    <w:rsid w:val="00190A0E"/>
    <w:rsid w:val="00190CA2"/>
    <w:rsid w:val="00190D73"/>
    <w:rsid w:val="00191021"/>
    <w:rsid w:val="00191058"/>
    <w:rsid w:val="001910E7"/>
    <w:rsid w:val="00191353"/>
    <w:rsid w:val="001913E5"/>
    <w:rsid w:val="0019163D"/>
    <w:rsid w:val="00191657"/>
    <w:rsid w:val="001916AE"/>
    <w:rsid w:val="00191755"/>
    <w:rsid w:val="00191839"/>
    <w:rsid w:val="0019186E"/>
    <w:rsid w:val="0019191F"/>
    <w:rsid w:val="00191CB5"/>
    <w:rsid w:val="00191E8D"/>
    <w:rsid w:val="001920C5"/>
    <w:rsid w:val="001922AE"/>
    <w:rsid w:val="001922CA"/>
    <w:rsid w:val="0019247C"/>
    <w:rsid w:val="0019254D"/>
    <w:rsid w:val="00192665"/>
    <w:rsid w:val="00192774"/>
    <w:rsid w:val="00192A3B"/>
    <w:rsid w:val="00192B19"/>
    <w:rsid w:val="00192CA2"/>
    <w:rsid w:val="00192E6D"/>
    <w:rsid w:val="00192E9F"/>
    <w:rsid w:val="001930B2"/>
    <w:rsid w:val="001934B7"/>
    <w:rsid w:val="0019381A"/>
    <w:rsid w:val="0019389E"/>
    <w:rsid w:val="00193B0A"/>
    <w:rsid w:val="00194055"/>
    <w:rsid w:val="0019421E"/>
    <w:rsid w:val="001943FA"/>
    <w:rsid w:val="0019454A"/>
    <w:rsid w:val="00194718"/>
    <w:rsid w:val="00194822"/>
    <w:rsid w:val="001948AD"/>
    <w:rsid w:val="0019494C"/>
    <w:rsid w:val="00194ED2"/>
    <w:rsid w:val="00194FB8"/>
    <w:rsid w:val="0019512D"/>
    <w:rsid w:val="00195507"/>
    <w:rsid w:val="00195600"/>
    <w:rsid w:val="0019566E"/>
    <w:rsid w:val="00195935"/>
    <w:rsid w:val="00195949"/>
    <w:rsid w:val="00195AB0"/>
    <w:rsid w:val="00195C1A"/>
    <w:rsid w:val="00195E5D"/>
    <w:rsid w:val="00196002"/>
    <w:rsid w:val="00196013"/>
    <w:rsid w:val="001960E2"/>
    <w:rsid w:val="0019628D"/>
    <w:rsid w:val="0019667F"/>
    <w:rsid w:val="001966B1"/>
    <w:rsid w:val="00196985"/>
    <w:rsid w:val="00196A56"/>
    <w:rsid w:val="00196AC4"/>
    <w:rsid w:val="00196C1E"/>
    <w:rsid w:val="00196CDF"/>
    <w:rsid w:val="00196D2A"/>
    <w:rsid w:val="00196E1A"/>
    <w:rsid w:val="001970FE"/>
    <w:rsid w:val="001971A0"/>
    <w:rsid w:val="001978D2"/>
    <w:rsid w:val="00197989"/>
    <w:rsid w:val="0019798A"/>
    <w:rsid w:val="00197E74"/>
    <w:rsid w:val="00197F2E"/>
    <w:rsid w:val="00197F2F"/>
    <w:rsid w:val="00197F9B"/>
    <w:rsid w:val="00197FD9"/>
    <w:rsid w:val="001A0070"/>
    <w:rsid w:val="001A0516"/>
    <w:rsid w:val="001A094D"/>
    <w:rsid w:val="001A0956"/>
    <w:rsid w:val="001A0A05"/>
    <w:rsid w:val="001A0B24"/>
    <w:rsid w:val="001A0C7B"/>
    <w:rsid w:val="001A0C85"/>
    <w:rsid w:val="001A0F47"/>
    <w:rsid w:val="001A10F1"/>
    <w:rsid w:val="001A1370"/>
    <w:rsid w:val="001A146A"/>
    <w:rsid w:val="001A15E5"/>
    <w:rsid w:val="001A1723"/>
    <w:rsid w:val="001A190E"/>
    <w:rsid w:val="001A1A08"/>
    <w:rsid w:val="001A1AD8"/>
    <w:rsid w:val="001A1B8C"/>
    <w:rsid w:val="001A1CBC"/>
    <w:rsid w:val="001A1D59"/>
    <w:rsid w:val="001A1E51"/>
    <w:rsid w:val="001A24DC"/>
    <w:rsid w:val="001A277D"/>
    <w:rsid w:val="001A2929"/>
    <w:rsid w:val="001A2A0A"/>
    <w:rsid w:val="001A2C44"/>
    <w:rsid w:val="001A2DB7"/>
    <w:rsid w:val="001A2F96"/>
    <w:rsid w:val="001A30DE"/>
    <w:rsid w:val="001A31B6"/>
    <w:rsid w:val="001A3243"/>
    <w:rsid w:val="001A34FC"/>
    <w:rsid w:val="001A35C0"/>
    <w:rsid w:val="001A3A15"/>
    <w:rsid w:val="001A3D6F"/>
    <w:rsid w:val="001A3DF2"/>
    <w:rsid w:val="001A3E7A"/>
    <w:rsid w:val="001A3FA2"/>
    <w:rsid w:val="001A40E4"/>
    <w:rsid w:val="001A4180"/>
    <w:rsid w:val="001A4192"/>
    <w:rsid w:val="001A449F"/>
    <w:rsid w:val="001A47FD"/>
    <w:rsid w:val="001A4822"/>
    <w:rsid w:val="001A4A5D"/>
    <w:rsid w:val="001A4B76"/>
    <w:rsid w:val="001A4CD1"/>
    <w:rsid w:val="001A4D2D"/>
    <w:rsid w:val="001A4D9F"/>
    <w:rsid w:val="001A52D4"/>
    <w:rsid w:val="001A545E"/>
    <w:rsid w:val="001A5DF8"/>
    <w:rsid w:val="001A5F8F"/>
    <w:rsid w:val="001A60E6"/>
    <w:rsid w:val="001A671A"/>
    <w:rsid w:val="001A671C"/>
    <w:rsid w:val="001A673A"/>
    <w:rsid w:val="001A69FA"/>
    <w:rsid w:val="001A6C85"/>
    <w:rsid w:val="001A6FE3"/>
    <w:rsid w:val="001A725C"/>
    <w:rsid w:val="001A7418"/>
    <w:rsid w:val="001A7431"/>
    <w:rsid w:val="001A76BF"/>
    <w:rsid w:val="001A77AD"/>
    <w:rsid w:val="001A78A0"/>
    <w:rsid w:val="001A7C12"/>
    <w:rsid w:val="001A7FE3"/>
    <w:rsid w:val="001B00D3"/>
    <w:rsid w:val="001B035B"/>
    <w:rsid w:val="001B0411"/>
    <w:rsid w:val="001B0465"/>
    <w:rsid w:val="001B04BD"/>
    <w:rsid w:val="001B051B"/>
    <w:rsid w:val="001B05D4"/>
    <w:rsid w:val="001B0833"/>
    <w:rsid w:val="001B086E"/>
    <w:rsid w:val="001B0A07"/>
    <w:rsid w:val="001B0A09"/>
    <w:rsid w:val="001B0A4C"/>
    <w:rsid w:val="001B0B6E"/>
    <w:rsid w:val="001B0C4E"/>
    <w:rsid w:val="001B0D1F"/>
    <w:rsid w:val="001B0F22"/>
    <w:rsid w:val="001B0F2A"/>
    <w:rsid w:val="001B0F7B"/>
    <w:rsid w:val="001B0FDF"/>
    <w:rsid w:val="001B10FE"/>
    <w:rsid w:val="001B149F"/>
    <w:rsid w:val="001B17DF"/>
    <w:rsid w:val="001B1852"/>
    <w:rsid w:val="001B1AA8"/>
    <w:rsid w:val="001B1B63"/>
    <w:rsid w:val="001B1C91"/>
    <w:rsid w:val="001B1E54"/>
    <w:rsid w:val="001B20A2"/>
    <w:rsid w:val="001B21F6"/>
    <w:rsid w:val="001B24A1"/>
    <w:rsid w:val="001B2726"/>
    <w:rsid w:val="001B280E"/>
    <w:rsid w:val="001B29A0"/>
    <w:rsid w:val="001B29FE"/>
    <w:rsid w:val="001B2A76"/>
    <w:rsid w:val="001B2AF3"/>
    <w:rsid w:val="001B2D3E"/>
    <w:rsid w:val="001B2E6A"/>
    <w:rsid w:val="001B2FF7"/>
    <w:rsid w:val="001B3228"/>
    <w:rsid w:val="001B3273"/>
    <w:rsid w:val="001B327E"/>
    <w:rsid w:val="001B3385"/>
    <w:rsid w:val="001B3548"/>
    <w:rsid w:val="001B36EB"/>
    <w:rsid w:val="001B3835"/>
    <w:rsid w:val="001B3931"/>
    <w:rsid w:val="001B3986"/>
    <w:rsid w:val="001B40C9"/>
    <w:rsid w:val="001B41BB"/>
    <w:rsid w:val="001B4218"/>
    <w:rsid w:val="001B4529"/>
    <w:rsid w:val="001B4B18"/>
    <w:rsid w:val="001B4C21"/>
    <w:rsid w:val="001B4CB9"/>
    <w:rsid w:val="001B4DE2"/>
    <w:rsid w:val="001B4EDA"/>
    <w:rsid w:val="001B4FAD"/>
    <w:rsid w:val="001B4FE5"/>
    <w:rsid w:val="001B519A"/>
    <w:rsid w:val="001B5206"/>
    <w:rsid w:val="001B523A"/>
    <w:rsid w:val="001B52B9"/>
    <w:rsid w:val="001B5832"/>
    <w:rsid w:val="001B5B50"/>
    <w:rsid w:val="001B5BA8"/>
    <w:rsid w:val="001B5DA5"/>
    <w:rsid w:val="001B61CF"/>
    <w:rsid w:val="001B629C"/>
    <w:rsid w:val="001B629D"/>
    <w:rsid w:val="001B64DE"/>
    <w:rsid w:val="001B65A0"/>
    <w:rsid w:val="001B671F"/>
    <w:rsid w:val="001B6835"/>
    <w:rsid w:val="001B6893"/>
    <w:rsid w:val="001B6A44"/>
    <w:rsid w:val="001B6A5D"/>
    <w:rsid w:val="001B6A83"/>
    <w:rsid w:val="001B6B09"/>
    <w:rsid w:val="001B703A"/>
    <w:rsid w:val="001B7082"/>
    <w:rsid w:val="001B71CA"/>
    <w:rsid w:val="001B71D2"/>
    <w:rsid w:val="001B73DB"/>
    <w:rsid w:val="001B74CF"/>
    <w:rsid w:val="001B79CB"/>
    <w:rsid w:val="001B7B9E"/>
    <w:rsid w:val="001B7DAE"/>
    <w:rsid w:val="001B7E4A"/>
    <w:rsid w:val="001C002E"/>
    <w:rsid w:val="001C036E"/>
    <w:rsid w:val="001C0475"/>
    <w:rsid w:val="001C0637"/>
    <w:rsid w:val="001C0887"/>
    <w:rsid w:val="001C0AE5"/>
    <w:rsid w:val="001C0CDE"/>
    <w:rsid w:val="001C0F2C"/>
    <w:rsid w:val="001C1050"/>
    <w:rsid w:val="001C13E2"/>
    <w:rsid w:val="001C146F"/>
    <w:rsid w:val="001C14A1"/>
    <w:rsid w:val="001C1658"/>
    <w:rsid w:val="001C18D8"/>
    <w:rsid w:val="001C1D12"/>
    <w:rsid w:val="001C21AC"/>
    <w:rsid w:val="001C2483"/>
    <w:rsid w:val="001C24FE"/>
    <w:rsid w:val="001C2661"/>
    <w:rsid w:val="001C286B"/>
    <w:rsid w:val="001C2871"/>
    <w:rsid w:val="001C2AD6"/>
    <w:rsid w:val="001C2AF5"/>
    <w:rsid w:val="001C2EB7"/>
    <w:rsid w:val="001C31C2"/>
    <w:rsid w:val="001C32FA"/>
    <w:rsid w:val="001C32FE"/>
    <w:rsid w:val="001C3500"/>
    <w:rsid w:val="001C36E5"/>
    <w:rsid w:val="001C382A"/>
    <w:rsid w:val="001C3B4A"/>
    <w:rsid w:val="001C3BFB"/>
    <w:rsid w:val="001C3C74"/>
    <w:rsid w:val="001C3C9A"/>
    <w:rsid w:val="001C3ED2"/>
    <w:rsid w:val="001C3FB2"/>
    <w:rsid w:val="001C4088"/>
    <w:rsid w:val="001C40A7"/>
    <w:rsid w:val="001C432B"/>
    <w:rsid w:val="001C4902"/>
    <w:rsid w:val="001C4954"/>
    <w:rsid w:val="001C4AA7"/>
    <w:rsid w:val="001C4B36"/>
    <w:rsid w:val="001C4BAA"/>
    <w:rsid w:val="001C4C01"/>
    <w:rsid w:val="001C4CB2"/>
    <w:rsid w:val="001C4CF1"/>
    <w:rsid w:val="001C4DE7"/>
    <w:rsid w:val="001C4EA7"/>
    <w:rsid w:val="001C4FB5"/>
    <w:rsid w:val="001C5013"/>
    <w:rsid w:val="001C5096"/>
    <w:rsid w:val="001C50BE"/>
    <w:rsid w:val="001C5110"/>
    <w:rsid w:val="001C51D4"/>
    <w:rsid w:val="001C5270"/>
    <w:rsid w:val="001C5299"/>
    <w:rsid w:val="001C52FC"/>
    <w:rsid w:val="001C5317"/>
    <w:rsid w:val="001C56A4"/>
    <w:rsid w:val="001C5767"/>
    <w:rsid w:val="001C58AF"/>
    <w:rsid w:val="001C5CFF"/>
    <w:rsid w:val="001C5DF3"/>
    <w:rsid w:val="001C5EA0"/>
    <w:rsid w:val="001C5F63"/>
    <w:rsid w:val="001C6041"/>
    <w:rsid w:val="001C6098"/>
    <w:rsid w:val="001C617D"/>
    <w:rsid w:val="001C634F"/>
    <w:rsid w:val="001C6634"/>
    <w:rsid w:val="001C6733"/>
    <w:rsid w:val="001C6BD4"/>
    <w:rsid w:val="001C6CF2"/>
    <w:rsid w:val="001C6ECB"/>
    <w:rsid w:val="001C70A5"/>
    <w:rsid w:val="001C71AC"/>
    <w:rsid w:val="001C71F1"/>
    <w:rsid w:val="001C73C4"/>
    <w:rsid w:val="001C740C"/>
    <w:rsid w:val="001C7424"/>
    <w:rsid w:val="001C7449"/>
    <w:rsid w:val="001C7489"/>
    <w:rsid w:val="001C7500"/>
    <w:rsid w:val="001C75FA"/>
    <w:rsid w:val="001C786E"/>
    <w:rsid w:val="001C7B38"/>
    <w:rsid w:val="001C7DA7"/>
    <w:rsid w:val="001C7E6D"/>
    <w:rsid w:val="001D0058"/>
    <w:rsid w:val="001D00A7"/>
    <w:rsid w:val="001D0151"/>
    <w:rsid w:val="001D019E"/>
    <w:rsid w:val="001D02E7"/>
    <w:rsid w:val="001D0351"/>
    <w:rsid w:val="001D0838"/>
    <w:rsid w:val="001D098A"/>
    <w:rsid w:val="001D0A7F"/>
    <w:rsid w:val="001D0BB0"/>
    <w:rsid w:val="001D0D42"/>
    <w:rsid w:val="001D0D91"/>
    <w:rsid w:val="001D0F06"/>
    <w:rsid w:val="001D0F44"/>
    <w:rsid w:val="001D0F7F"/>
    <w:rsid w:val="001D1159"/>
    <w:rsid w:val="001D118B"/>
    <w:rsid w:val="001D130F"/>
    <w:rsid w:val="001D14CB"/>
    <w:rsid w:val="001D1633"/>
    <w:rsid w:val="001D1748"/>
    <w:rsid w:val="001D19B7"/>
    <w:rsid w:val="001D1C31"/>
    <w:rsid w:val="001D1E0E"/>
    <w:rsid w:val="001D1E5B"/>
    <w:rsid w:val="001D1FE7"/>
    <w:rsid w:val="001D207E"/>
    <w:rsid w:val="001D217E"/>
    <w:rsid w:val="001D2382"/>
    <w:rsid w:val="001D257D"/>
    <w:rsid w:val="001D2622"/>
    <w:rsid w:val="001D267A"/>
    <w:rsid w:val="001D2814"/>
    <w:rsid w:val="001D28DC"/>
    <w:rsid w:val="001D297D"/>
    <w:rsid w:val="001D2A36"/>
    <w:rsid w:val="001D2DEB"/>
    <w:rsid w:val="001D2E02"/>
    <w:rsid w:val="001D2EF2"/>
    <w:rsid w:val="001D2FCC"/>
    <w:rsid w:val="001D309E"/>
    <w:rsid w:val="001D31B0"/>
    <w:rsid w:val="001D3236"/>
    <w:rsid w:val="001D36F6"/>
    <w:rsid w:val="001D376F"/>
    <w:rsid w:val="001D37CB"/>
    <w:rsid w:val="001D385D"/>
    <w:rsid w:val="001D3978"/>
    <w:rsid w:val="001D3A52"/>
    <w:rsid w:val="001D3AB6"/>
    <w:rsid w:val="001D3C35"/>
    <w:rsid w:val="001D3CC6"/>
    <w:rsid w:val="001D3CCD"/>
    <w:rsid w:val="001D3E82"/>
    <w:rsid w:val="001D3EF9"/>
    <w:rsid w:val="001D4160"/>
    <w:rsid w:val="001D42AE"/>
    <w:rsid w:val="001D4321"/>
    <w:rsid w:val="001D4775"/>
    <w:rsid w:val="001D479A"/>
    <w:rsid w:val="001D4810"/>
    <w:rsid w:val="001D48FB"/>
    <w:rsid w:val="001D491F"/>
    <w:rsid w:val="001D4B5E"/>
    <w:rsid w:val="001D50C8"/>
    <w:rsid w:val="001D5148"/>
    <w:rsid w:val="001D5164"/>
    <w:rsid w:val="001D589D"/>
    <w:rsid w:val="001D5973"/>
    <w:rsid w:val="001D59DF"/>
    <w:rsid w:val="001D5C1F"/>
    <w:rsid w:val="001D5CB7"/>
    <w:rsid w:val="001D5D83"/>
    <w:rsid w:val="001D5FFC"/>
    <w:rsid w:val="001D617C"/>
    <w:rsid w:val="001D621A"/>
    <w:rsid w:val="001D64A8"/>
    <w:rsid w:val="001D6514"/>
    <w:rsid w:val="001D659B"/>
    <w:rsid w:val="001D663B"/>
    <w:rsid w:val="001D67BD"/>
    <w:rsid w:val="001D6B46"/>
    <w:rsid w:val="001D6BFA"/>
    <w:rsid w:val="001D6D91"/>
    <w:rsid w:val="001D6E9E"/>
    <w:rsid w:val="001D6FD3"/>
    <w:rsid w:val="001D7055"/>
    <w:rsid w:val="001D70D8"/>
    <w:rsid w:val="001D75C1"/>
    <w:rsid w:val="001D7778"/>
    <w:rsid w:val="001D7893"/>
    <w:rsid w:val="001D7A25"/>
    <w:rsid w:val="001D7C61"/>
    <w:rsid w:val="001D7D55"/>
    <w:rsid w:val="001D7DB8"/>
    <w:rsid w:val="001D7F07"/>
    <w:rsid w:val="001E0464"/>
    <w:rsid w:val="001E04F7"/>
    <w:rsid w:val="001E07BF"/>
    <w:rsid w:val="001E083E"/>
    <w:rsid w:val="001E0878"/>
    <w:rsid w:val="001E0920"/>
    <w:rsid w:val="001E093B"/>
    <w:rsid w:val="001E0B5D"/>
    <w:rsid w:val="001E0C64"/>
    <w:rsid w:val="001E0D04"/>
    <w:rsid w:val="001E0F6B"/>
    <w:rsid w:val="001E0F70"/>
    <w:rsid w:val="001E1098"/>
    <w:rsid w:val="001E1232"/>
    <w:rsid w:val="001E12B3"/>
    <w:rsid w:val="001E130A"/>
    <w:rsid w:val="001E1416"/>
    <w:rsid w:val="001E1530"/>
    <w:rsid w:val="001E1721"/>
    <w:rsid w:val="001E19DF"/>
    <w:rsid w:val="001E19EA"/>
    <w:rsid w:val="001E1B0B"/>
    <w:rsid w:val="001E1C13"/>
    <w:rsid w:val="001E1E36"/>
    <w:rsid w:val="001E1FAE"/>
    <w:rsid w:val="001E2043"/>
    <w:rsid w:val="001E2265"/>
    <w:rsid w:val="001E22FC"/>
    <w:rsid w:val="001E23B3"/>
    <w:rsid w:val="001E243B"/>
    <w:rsid w:val="001E2761"/>
    <w:rsid w:val="001E284F"/>
    <w:rsid w:val="001E2954"/>
    <w:rsid w:val="001E295A"/>
    <w:rsid w:val="001E2A16"/>
    <w:rsid w:val="001E2C83"/>
    <w:rsid w:val="001E2FCB"/>
    <w:rsid w:val="001E31C6"/>
    <w:rsid w:val="001E3289"/>
    <w:rsid w:val="001E35C1"/>
    <w:rsid w:val="001E369B"/>
    <w:rsid w:val="001E383F"/>
    <w:rsid w:val="001E38F3"/>
    <w:rsid w:val="001E3959"/>
    <w:rsid w:val="001E3A1C"/>
    <w:rsid w:val="001E3C08"/>
    <w:rsid w:val="001E3EB1"/>
    <w:rsid w:val="001E4132"/>
    <w:rsid w:val="001E4150"/>
    <w:rsid w:val="001E41BE"/>
    <w:rsid w:val="001E4224"/>
    <w:rsid w:val="001E44D3"/>
    <w:rsid w:val="001E4822"/>
    <w:rsid w:val="001E4E42"/>
    <w:rsid w:val="001E4F0B"/>
    <w:rsid w:val="001E5190"/>
    <w:rsid w:val="001E532C"/>
    <w:rsid w:val="001E5340"/>
    <w:rsid w:val="001E584D"/>
    <w:rsid w:val="001E5C59"/>
    <w:rsid w:val="001E5CB6"/>
    <w:rsid w:val="001E5CF3"/>
    <w:rsid w:val="001E5D3F"/>
    <w:rsid w:val="001E5E63"/>
    <w:rsid w:val="001E6058"/>
    <w:rsid w:val="001E6071"/>
    <w:rsid w:val="001E60B3"/>
    <w:rsid w:val="001E617B"/>
    <w:rsid w:val="001E62BB"/>
    <w:rsid w:val="001E6601"/>
    <w:rsid w:val="001E678E"/>
    <w:rsid w:val="001E6AFB"/>
    <w:rsid w:val="001E6BF8"/>
    <w:rsid w:val="001E6C52"/>
    <w:rsid w:val="001E6F12"/>
    <w:rsid w:val="001E732C"/>
    <w:rsid w:val="001E73F8"/>
    <w:rsid w:val="001E75BD"/>
    <w:rsid w:val="001E760D"/>
    <w:rsid w:val="001E7853"/>
    <w:rsid w:val="001E78A3"/>
    <w:rsid w:val="001E78C1"/>
    <w:rsid w:val="001E7E62"/>
    <w:rsid w:val="001F0177"/>
    <w:rsid w:val="001F0250"/>
    <w:rsid w:val="001F02E4"/>
    <w:rsid w:val="001F05C4"/>
    <w:rsid w:val="001F05CA"/>
    <w:rsid w:val="001F0649"/>
    <w:rsid w:val="001F08C4"/>
    <w:rsid w:val="001F0EC5"/>
    <w:rsid w:val="001F1132"/>
    <w:rsid w:val="001F1238"/>
    <w:rsid w:val="001F123F"/>
    <w:rsid w:val="001F171E"/>
    <w:rsid w:val="001F1865"/>
    <w:rsid w:val="001F192F"/>
    <w:rsid w:val="001F1936"/>
    <w:rsid w:val="001F1E68"/>
    <w:rsid w:val="001F1F7F"/>
    <w:rsid w:val="001F2041"/>
    <w:rsid w:val="001F23E5"/>
    <w:rsid w:val="001F246D"/>
    <w:rsid w:val="001F2487"/>
    <w:rsid w:val="001F2493"/>
    <w:rsid w:val="001F24A9"/>
    <w:rsid w:val="001F2513"/>
    <w:rsid w:val="001F2717"/>
    <w:rsid w:val="001F2721"/>
    <w:rsid w:val="001F27E8"/>
    <w:rsid w:val="001F2870"/>
    <w:rsid w:val="001F28A0"/>
    <w:rsid w:val="001F2AD7"/>
    <w:rsid w:val="001F2F12"/>
    <w:rsid w:val="001F2F85"/>
    <w:rsid w:val="001F3216"/>
    <w:rsid w:val="001F3523"/>
    <w:rsid w:val="001F3524"/>
    <w:rsid w:val="001F359C"/>
    <w:rsid w:val="001F373F"/>
    <w:rsid w:val="001F3754"/>
    <w:rsid w:val="001F375F"/>
    <w:rsid w:val="001F3813"/>
    <w:rsid w:val="001F3B37"/>
    <w:rsid w:val="001F3D3F"/>
    <w:rsid w:val="001F3D77"/>
    <w:rsid w:val="001F3E3C"/>
    <w:rsid w:val="001F3E63"/>
    <w:rsid w:val="001F41D2"/>
    <w:rsid w:val="001F428C"/>
    <w:rsid w:val="001F464B"/>
    <w:rsid w:val="001F4838"/>
    <w:rsid w:val="001F4A61"/>
    <w:rsid w:val="001F4C29"/>
    <w:rsid w:val="001F4D1E"/>
    <w:rsid w:val="001F4D56"/>
    <w:rsid w:val="001F4E3B"/>
    <w:rsid w:val="001F4E40"/>
    <w:rsid w:val="001F4ECD"/>
    <w:rsid w:val="001F4FD4"/>
    <w:rsid w:val="001F52BF"/>
    <w:rsid w:val="001F54C2"/>
    <w:rsid w:val="001F555E"/>
    <w:rsid w:val="001F5608"/>
    <w:rsid w:val="001F567F"/>
    <w:rsid w:val="001F5945"/>
    <w:rsid w:val="001F59BE"/>
    <w:rsid w:val="001F5B0C"/>
    <w:rsid w:val="001F5DD6"/>
    <w:rsid w:val="001F61E6"/>
    <w:rsid w:val="001F6441"/>
    <w:rsid w:val="001F661E"/>
    <w:rsid w:val="001F6672"/>
    <w:rsid w:val="001F66AC"/>
    <w:rsid w:val="001F66EF"/>
    <w:rsid w:val="001F686B"/>
    <w:rsid w:val="001F6AA5"/>
    <w:rsid w:val="001F6AAD"/>
    <w:rsid w:val="001F6BA6"/>
    <w:rsid w:val="001F7088"/>
    <w:rsid w:val="001F7216"/>
    <w:rsid w:val="001F7323"/>
    <w:rsid w:val="001F7829"/>
    <w:rsid w:val="001F7959"/>
    <w:rsid w:val="001F79B3"/>
    <w:rsid w:val="001F79BE"/>
    <w:rsid w:val="001F7AD5"/>
    <w:rsid w:val="001F7C28"/>
    <w:rsid w:val="001F7C43"/>
    <w:rsid w:val="001F7D1C"/>
    <w:rsid w:val="001F7F53"/>
    <w:rsid w:val="00200198"/>
    <w:rsid w:val="002001D0"/>
    <w:rsid w:val="00200207"/>
    <w:rsid w:val="002004E0"/>
    <w:rsid w:val="0020084F"/>
    <w:rsid w:val="00200871"/>
    <w:rsid w:val="00201004"/>
    <w:rsid w:val="002011B7"/>
    <w:rsid w:val="002012C7"/>
    <w:rsid w:val="002019D9"/>
    <w:rsid w:val="00201F0E"/>
    <w:rsid w:val="00201F3C"/>
    <w:rsid w:val="00201FFF"/>
    <w:rsid w:val="0020210B"/>
    <w:rsid w:val="0020210C"/>
    <w:rsid w:val="00202251"/>
    <w:rsid w:val="0020234B"/>
    <w:rsid w:val="00202548"/>
    <w:rsid w:val="002026BE"/>
    <w:rsid w:val="00202779"/>
    <w:rsid w:val="0020284C"/>
    <w:rsid w:val="00202946"/>
    <w:rsid w:val="002029A4"/>
    <w:rsid w:val="00202F22"/>
    <w:rsid w:val="0020306E"/>
    <w:rsid w:val="002031EC"/>
    <w:rsid w:val="00203631"/>
    <w:rsid w:val="0020373B"/>
    <w:rsid w:val="0020389E"/>
    <w:rsid w:val="0020392B"/>
    <w:rsid w:val="0020399E"/>
    <w:rsid w:val="002039BC"/>
    <w:rsid w:val="00203BDC"/>
    <w:rsid w:val="00203C87"/>
    <w:rsid w:val="00203D88"/>
    <w:rsid w:val="00203ED7"/>
    <w:rsid w:val="00203FB6"/>
    <w:rsid w:val="00204296"/>
    <w:rsid w:val="00204511"/>
    <w:rsid w:val="00204586"/>
    <w:rsid w:val="0020462F"/>
    <w:rsid w:val="0020486D"/>
    <w:rsid w:val="00204875"/>
    <w:rsid w:val="00204A12"/>
    <w:rsid w:val="00204A94"/>
    <w:rsid w:val="00204CD6"/>
    <w:rsid w:val="00204EA9"/>
    <w:rsid w:val="002051BA"/>
    <w:rsid w:val="0020533F"/>
    <w:rsid w:val="002053E1"/>
    <w:rsid w:val="0020542E"/>
    <w:rsid w:val="00205724"/>
    <w:rsid w:val="00205759"/>
    <w:rsid w:val="00205A0E"/>
    <w:rsid w:val="00205AEF"/>
    <w:rsid w:val="00205AFC"/>
    <w:rsid w:val="00205C83"/>
    <w:rsid w:val="00205D5F"/>
    <w:rsid w:val="00205DBF"/>
    <w:rsid w:val="00205F41"/>
    <w:rsid w:val="00206081"/>
    <w:rsid w:val="00206090"/>
    <w:rsid w:val="002060BA"/>
    <w:rsid w:val="00206786"/>
    <w:rsid w:val="002067F4"/>
    <w:rsid w:val="00206919"/>
    <w:rsid w:val="002069B9"/>
    <w:rsid w:val="00206B32"/>
    <w:rsid w:val="00206B4D"/>
    <w:rsid w:val="00206BDE"/>
    <w:rsid w:val="00206C0F"/>
    <w:rsid w:val="00206E8F"/>
    <w:rsid w:val="00206FBA"/>
    <w:rsid w:val="00207055"/>
    <w:rsid w:val="0020705D"/>
    <w:rsid w:val="00207196"/>
    <w:rsid w:val="002071BF"/>
    <w:rsid w:val="0020726D"/>
    <w:rsid w:val="002072DF"/>
    <w:rsid w:val="00207505"/>
    <w:rsid w:val="0020750C"/>
    <w:rsid w:val="00207519"/>
    <w:rsid w:val="00207606"/>
    <w:rsid w:val="002076F5"/>
    <w:rsid w:val="00207D6B"/>
    <w:rsid w:val="00207E53"/>
    <w:rsid w:val="00207E55"/>
    <w:rsid w:val="002101DE"/>
    <w:rsid w:val="002102B4"/>
    <w:rsid w:val="00210363"/>
    <w:rsid w:val="002103AB"/>
    <w:rsid w:val="0021088E"/>
    <w:rsid w:val="00210A0E"/>
    <w:rsid w:val="00210DB7"/>
    <w:rsid w:val="0021107E"/>
    <w:rsid w:val="00211E78"/>
    <w:rsid w:val="00211F90"/>
    <w:rsid w:val="00212060"/>
    <w:rsid w:val="002123C4"/>
    <w:rsid w:val="00212491"/>
    <w:rsid w:val="002125DB"/>
    <w:rsid w:val="00212601"/>
    <w:rsid w:val="002128C0"/>
    <w:rsid w:val="00212A57"/>
    <w:rsid w:val="00212F48"/>
    <w:rsid w:val="0021364A"/>
    <w:rsid w:val="0021371D"/>
    <w:rsid w:val="00213938"/>
    <w:rsid w:val="002139B0"/>
    <w:rsid w:val="00213E55"/>
    <w:rsid w:val="00213E5C"/>
    <w:rsid w:val="0021406F"/>
    <w:rsid w:val="0021434C"/>
    <w:rsid w:val="00214360"/>
    <w:rsid w:val="00214464"/>
    <w:rsid w:val="0021465A"/>
    <w:rsid w:val="00214691"/>
    <w:rsid w:val="0021484A"/>
    <w:rsid w:val="0021490D"/>
    <w:rsid w:val="00214B5F"/>
    <w:rsid w:val="00214BC6"/>
    <w:rsid w:val="00214D0F"/>
    <w:rsid w:val="00214F8A"/>
    <w:rsid w:val="00215205"/>
    <w:rsid w:val="00215510"/>
    <w:rsid w:val="00215645"/>
    <w:rsid w:val="002156B2"/>
    <w:rsid w:val="002157A9"/>
    <w:rsid w:val="00215D11"/>
    <w:rsid w:val="00215EAE"/>
    <w:rsid w:val="00215F99"/>
    <w:rsid w:val="00215F9C"/>
    <w:rsid w:val="00215FD3"/>
    <w:rsid w:val="00216171"/>
    <w:rsid w:val="002161AE"/>
    <w:rsid w:val="002162C2"/>
    <w:rsid w:val="002165C9"/>
    <w:rsid w:val="002166B9"/>
    <w:rsid w:val="00216C24"/>
    <w:rsid w:val="00217045"/>
    <w:rsid w:val="00217135"/>
    <w:rsid w:val="00217268"/>
    <w:rsid w:val="002172E6"/>
    <w:rsid w:val="002173F0"/>
    <w:rsid w:val="002174FF"/>
    <w:rsid w:val="002176DC"/>
    <w:rsid w:val="0021773F"/>
    <w:rsid w:val="0021790D"/>
    <w:rsid w:val="0021792C"/>
    <w:rsid w:val="00217D6F"/>
    <w:rsid w:val="00217FB6"/>
    <w:rsid w:val="00217FBF"/>
    <w:rsid w:val="00220096"/>
    <w:rsid w:val="0022069D"/>
    <w:rsid w:val="002206D5"/>
    <w:rsid w:val="002208C4"/>
    <w:rsid w:val="0022094A"/>
    <w:rsid w:val="002209B6"/>
    <w:rsid w:val="00220A16"/>
    <w:rsid w:val="00220C65"/>
    <w:rsid w:val="00220C68"/>
    <w:rsid w:val="00220CC6"/>
    <w:rsid w:val="00220E11"/>
    <w:rsid w:val="002211F2"/>
    <w:rsid w:val="0022171A"/>
    <w:rsid w:val="00221952"/>
    <w:rsid w:val="00221972"/>
    <w:rsid w:val="00221CB8"/>
    <w:rsid w:val="00221D2E"/>
    <w:rsid w:val="00221EED"/>
    <w:rsid w:val="00222087"/>
    <w:rsid w:val="0022209F"/>
    <w:rsid w:val="0022218A"/>
    <w:rsid w:val="0022247E"/>
    <w:rsid w:val="002225D7"/>
    <w:rsid w:val="00222726"/>
    <w:rsid w:val="002227F0"/>
    <w:rsid w:val="002228A2"/>
    <w:rsid w:val="002228D1"/>
    <w:rsid w:val="0022296B"/>
    <w:rsid w:val="002229A7"/>
    <w:rsid w:val="002229B8"/>
    <w:rsid w:val="002229D2"/>
    <w:rsid w:val="00222F04"/>
    <w:rsid w:val="00222F6C"/>
    <w:rsid w:val="00223012"/>
    <w:rsid w:val="002232B1"/>
    <w:rsid w:val="00223325"/>
    <w:rsid w:val="00223334"/>
    <w:rsid w:val="002233AD"/>
    <w:rsid w:val="00223577"/>
    <w:rsid w:val="002236AC"/>
    <w:rsid w:val="0022385A"/>
    <w:rsid w:val="002238D6"/>
    <w:rsid w:val="00223C24"/>
    <w:rsid w:val="00223D0A"/>
    <w:rsid w:val="00223D34"/>
    <w:rsid w:val="00223E6A"/>
    <w:rsid w:val="00224115"/>
    <w:rsid w:val="00224208"/>
    <w:rsid w:val="00224451"/>
    <w:rsid w:val="00224677"/>
    <w:rsid w:val="002247C6"/>
    <w:rsid w:val="002247F1"/>
    <w:rsid w:val="00224A69"/>
    <w:rsid w:val="00224BD4"/>
    <w:rsid w:val="00225053"/>
    <w:rsid w:val="0022505E"/>
    <w:rsid w:val="002256EF"/>
    <w:rsid w:val="00225A07"/>
    <w:rsid w:val="00225A53"/>
    <w:rsid w:val="00225B14"/>
    <w:rsid w:val="00225C6E"/>
    <w:rsid w:val="00225D77"/>
    <w:rsid w:val="002260CE"/>
    <w:rsid w:val="0022616F"/>
    <w:rsid w:val="00226347"/>
    <w:rsid w:val="002263A7"/>
    <w:rsid w:val="002268A4"/>
    <w:rsid w:val="00226944"/>
    <w:rsid w:val="0022697F"/>
    <w:rsid w:val="00226A27"/>
    <w:rsid w:val="00226DFB"/>
    <w:rsid w:val="00226FB9"/>
    <w:rsid w:val="00226FF8"/>
    <w:rsid w:val="002270E0"/>
    <w:rsid w:val="002271F3"/>
    <w:rsid w:val="002273CF"/>
    <w:rsid w:val="00227459"/>
    <w:rsid w:val="002275A1"/>
    <w:rsid w:val="00227605"/>
    <w:rsid w:val="00227733"/>
    <w:rsid w:val="002277A8"/>
    <w:rsid w:val="0022781B"/>
    <w:rsid w:val="0022786E"/>
    <w:rsid w:val="00227B18"/>
    <w:rsid w:val="00227B49"/>
    <w:rsid w:val="00230079"/>
    <w:rsid w:val="00230111"/>
    <w:rsid w:val="0023017E"/>
    <w:rsid w:val="002301B3"/>
    <w:rsid w:val="002301F7"/>
    <w:rsid w:val="002302B0"/>
    <w:rsid w:val="0023036D"/>
    <w:rsid w:val="002304CD"/>
    <w:rsid w:val="00230E36"/>
    <w:rsid w:val="00230F19"/>
    <w:rsid w:val="00231187"/>
    <w:rsid w:val="0023118C"/>
    <w:rsid w:val="00231440"/>
    <w:rsid w:val="00231476"/>
    <w:rsid w:val="00231597"/>
    <w:rsid w:val="00231864"/>
    <w:rsid w:val="0023186F"/>
    <w:rsid w:val="00231C97"/>
    <w:rsid w:val="00231D59"/>
    <w:rsid w:val="00231D97"/>
    <w:rsid w:val="00231EB4"/>
    <w:rsid w:val="00231F4C"/>
    <w:rsid w:val="002320EA"/>
    <w:rsid w:val="00232136"/>
    <w:rsid w:val="002323F8"/>
    <w:rsid w:val="00232495"/>
    <w:rsid w:val="002324B9"/>
    <w:rsid w:val="002324E0"/>
    <w:rsid w:val="0023254B"/>
    <w:rsid w:val="00232655"/>
    <w:rsid w:val="002329C0"/>
    <w:rsid w:val="002329E6"/>
    <w:rsid w:val="00232ADA"/>
    <w:rsid w:val="00232B5F"/>
    <w:rsid w:val="00232BDE"/>
    <w:rsid w:val="00232BFD"/>
    <w:rsid w:val="00232C1D"/>
    <w:rsid w:val="00232F10"/>
    <w:rsid w:val="00232F5C"/>
    <w:rsid w:val="00232FA8"/>
    <w:rsid w:val="00233158"/>
    <w:rsid w:val="002331F0"/>
    <w:rsid w:val="002333DF"/>
    <w:rsid w:val="002334B8"/>
    <w:rsid w:val="00233598"/>
    <w:rsid w:val="00233685"/>
    <w:rsid w:val="00233984"/>
    <w:rsid w:val="00233A14"/>
    <w:rsid w:val="00233AAA"/>
    <w:rsid w:val="00233C96"/>
    <w:rsid w:val="00233D02"/>
    <w:rsid w:val="00233D5D"/>
    <w:rsid w:val="00234305"/>
    <w:rsid w:val="0023491E"/>
    <w:rsid w:val="0023496B"/>
    <w:rsid w:val="00234D03"/>
    <w:rsid w:val="0023510E"/>
    <w:rsid w:val="00235198"/>
    <w:rsid w:val="0023567C"/>
    <w:rsid w:val="0023586B"/>
    <w:rsid w:val="00235A1A"/>
    <w:rsid w:val="00235A62"/>
    <w:rsid w:val="00235B66"/>
    <w:rsid w:val="00235ECC"/>
    <w:rsid w:val="00235FBC"/>
    <w:rsid w:val="00236053"/>
    <w:rsid w:val="00236137"/>
    <w:rsid w:val="0023631F"/>
    <w:rsid w:val="00236386"/>
    <w:rsid w:val="002365FC"/>
    <w:rsid w:val="00236712"/>
    <w:rsid w:val="00236892"/>
    <w:rsid w:val="00236914"/>
    <w:rsid w:val="002369D8"/>
    <w:rsid w:val="00236F5E"/>
    <w:rsid w:val="00236F99"/>
    <w:rsid w:val="00237130"/>
    <w:rsid w:val="00237336"/>
    <w:rsid w:val="002373A7"/>
    <w:rsid w:val="00237529"/>
    <w:rsid w:val="002375DC"/>
    <w:rsid w:val="00237653"/>
    <w:rsid w:val="00237844"/>
    <w:rsid w:val="00237854"/>
    <w:rsid w:val="00237987"/>
    <w:rsid w:val="00237A86"/>
    <w:rsid w:val="00237B30"/>
    <w:rsid w:val="00237C2D"/>
    <w:rsid w:val="00237D29"/>
    <w:rsid w:val="00240127"/>
    <w:rsid w:val="002402B3"/>
    <w:rsid w:val="00240376"/>
    <w:rsid w:val="00240453"/>
    <w:rsid w:val="002408C0"/>
    <w:rsid w:val="00240937"/>
    <w:rsid w:val="00240957"/>
    <w:rsid w:val="00240B49"/>
    <w:rsid w:val="00240CC5"/>
    <w:rsid w:val="00240D81"/>
    <w:rsid w:val="00240E06"/>
    <w:rsid w:val="002410F8"/>
    <w:rsid w:val="002412A4"/>
    <w:rsid w:val="00241528"/>
    <w:rsid w:val="00241640"/>
    <w:rsid w:val="00241931"/>
    <w:rsid w:val="00241BF3"/>
    <w:rsid w:val="00241C1F"/>
    <w:rsid w:val="0024201B"/>
    <w:rsid w:val="00242138"/>
    <w:rsid w:val="00242349"/>
    <w:rsid w:val="00242384"/>
    <w:rsid w:val="002423B2"/>
    <w:rsid w:val="002424E3"/>
    <w:rsid w:val="002425A0"/>
    <w:rsid w:val="0024295E"/>
    <w:rsid w:val="002429BE"/>
    <w:rsid w:val="00242DCF"/>
    <w:rsid w:val="00242DEE"/>
    <w:rsid w:val="002430C9"/>
    <w:rsid w:val="0024317D"/>
    <w:rsid w:val="0024351A"/>
    <w:rsid w:val="00243567"/>
    <w:rsid w:val="002437DE"/>
    <w:rsid w:val="00243806"/>
    <w:rsid w:val="002439F0"/>
    <w:rsid w:val="00243A0A"/>
    <w:rsid w:val="00243C39"/>
    <w:rsid w:val="00243DE1"/>
    <w:rsid w:val="00243DF0"/>
    <w:rsid w:val="00244145"/>
    <w:rsid w:val="00244351"/>
    <w:rsid w:val="00244527"/>
    <w:rsid w:val="002446C5"/>
    <w:rsid w:val="00244801"/>
    <w:rsid w:val="002448D7"/>
    <w:rsid w:val="002448F3"/>
    <w:rsid w:val="0024490C"/>
    <w:rsid w:val="00244992"/>
    <w:rsid w:val="00244C9E"/>
    <w:rsid w:val="00244E13"/>
    <w:rsid w:val="00244EB1"/>
    <w:rsid w:val="00245582"/>
    <w:rsid w:val="002455CE"/>
    <w:rsid w:val="002456B6"/>
    <w:rsid w:val="00245702"/>
    <w:rsid w:val="00245925"/>
    <w:rsid w:val="00245AB9"/>
    <w:rsid w:val="00245ACC"/>
    <w:rsid w:val="00245B0C"/>
    <w:rsid w:val="00245D2B"/>
    <w:rsid w:val="00245E81"/>
    <w:rsid w:val="00245F25"/>
    <w:rsid w:val="002461D4"/>
    <w:rsid w:val="00246379"/>
    <w:rsid w:val="002469A4"/>
    <w:rsid w:val="00246B5E"/>
    <w:rsid w:val="00246EA7"/>
    <w:rsid w:val="00247152"/>
    <w:rsid w:val="002472A4"/>
    <w:rsid w:val="00247303"/>
    <w:rsid w:val="002475AA"/>
    <w:rsid w:val="002475E7"/>
    <w:rsid w:val="00247747"/>
    <w:rsid w:val="002477C3"/>
    <w:rsid w:val="00247989"/>
    <w:rsid w:val="00247C02"/>
    <w:rsid w:val="00247DD2"/>
    <w:rsid w:val="00247DE6"/>
    <w:rsid w:val="00247ED9"/>
    <w:rsid w:val="00250064"/>
    <w:rsid w:val="0025012B"/>
    <w:rsid w:val="00250140"/>
    <w:rsid w:val="0025016C"/>
    <w:rsid w:val="002501C8"/>
    <w:rsid w:val="00250234"/>
    <w:rsid w:val="002502C2"/>
    <w:rsid w:val="002504FF"/>
    <w:rsid w:val="0025065C"/>
    <w:rsid w:val="002507C1"/>
    <w:rsid w:val="00250A32"/>
    <w:rsid w:val="00250BB8"/>
    <w:rsid w:val="00250CCE"/>
    <w:rsid w:val="00250D5B"/>
    <w:rsid w:val="00250E7C"/>
    <w:rsid w:val="00250FDC"/>
    <w:rsid w:val="00251027"/>
    <w:rsid w:val="00251063"/>
    <w:rsid w:val="00251158"/>
    <w:rsid w:val="002512BD"/>
    <w:rsid w:val="0025158D"/>
    <w:rsid w:val="00251D86"/>
    <w:rsid w:val="00251DC1"/>
    <w:rsid w:val="00251EC3"/>
    <w:rsid w:val="00252402"/>
    <w:rsid w:val="002524B4"/>
    <w:rsid w:val="002525C3"/>
    <w:rsid w:val="002525E2"/>
    <w:rsid w:val="002528EF"/>
    <w:rsid w:val="00252993"/>
    <w:rsid w:val="00252D1E"/>
    <w:rsid w:val="00253070"/>
    <w:rsid w:val="002530AD"/>
    <w:rsid w:val="0025331E"/>
    <w:rsid w:val="0025336B"/>
    <w:rsid w:val="00253DC6"/>
    <w:rsid w:val="00253F0B"/>
    <w:rsid w:val="0025436E"/>
    <w:rsid w:val="002547F0"/>
    <w:rsid w:val="0025480C"/>
    <w:rsid w:val="0025489A"/>
    <w:rsid w:val="002549D6"/>
    <w:rsid w:val="00254A18"/>
    <w:rsid w:val="00254BDD"/>
    <w:rsid w:val="00254C81"/>
    <w:rsid w:val="00254FEA"/>
    <w:rsid w:val="00255047"/>
    <w:rsid w:val="0025518E"/>
    <w:rsid w:val="00255260"/>
    <w:rsid w:val="00255501"/>
    <w:rsid w:val="002557DE"/>
    <w:rsid w:val="002558D7"/>
    <w:rsid w:val="00255BA1"/>
    <w:rsid w:val="00255C2B"/>
    <w:rsid w:val="00255C69"/>
    <w:rsid w:val="002561A5"/>
    <w:rsid w:val="00256280"/>
    <w:rsid w:val="00256417"/>
    <w:rsid w:val="0025641B"/>
    <w:rsid w:val="00256484"/>
    <w:rsid w:val="0025658B"/>
    <w:rsid w:val="00256652"/>
    <w:rsid w:val="00256837"/>
    <w:rsid w:val="002568AF"/>
    <w:rsid w:val="002569EE"/>
    <w:rsid w:val="00256C8D"/>
    <w:rsid w:val="00256D35"/>
    <w:rsid w:val="002571BD"/>
    <w:rsid w:val="002571D0"/>
    <w:rsid w:val="002571EB"/>
    <w:rsid w:val="0025740E"/>
    <w:rsid w:val="00257622"/>
    <w:rsid w:val="002576E6"/>
    <w:rsid w:val="0025770C"/>
    <w:rsid w:val="002578B1"/>
    <w:rsid w:val="00257931"/>
    <w:rsid w:val="002579A4"/>
    <w:rsid w:val="00257C60"/>
    <w:rsid w:val="00257D25"/>
    <w:rsid w:val="00257DC8"/>
    <w:rsid w:val="00257DDB"/>
    <w:rsid w:val="00257E08"/>
    <w:rsid w:val="00257F4E"/>
    <w:rsid w:val="00257FDC"/>
    <w:rsid w:val="00260183"/>
    <w:rsid w:val="002602EC"/>
    <w:rsid w:val="0026070F"/>
    <w:rsid w:val="00260866"/>
    <w:rsid w:val="002609BC"/>
    <w:rsid w:val="002609FA"/>
    <w:rsid w:val="00260AA5"/>
    <w:rsid w:val="00260C12"/>
    <w:rsid w:val="00260F49"/>
    <w:rsid w:val="00260FE3"/>
    <w:rsid w:val="00261174"/>
    <w:rsid w:val="00261178"/>
    <w:rsid w:val="00261334"/>
    <w:rsid w:val="00261399"/>
    <w:rsid w:val="002613A9"/>
    <w:rsid w:val="002614BD"/>
    <w:rsid w:val="00261570"/>
    <w:rsid w:val="00261B2E"/>
    <w:rsid w:val="00261B5F"/>
    <w:rsid w:val="00261E21"/>
    <w:rsid w:val="00261E64"/>
    <w:rsid w:val="00261F76"/>
    <w:rsid w:val="00261FCC"/>
    <w:rsid w:val="002622DB"/>
    <w:rsid w:val="00262605"/>
    <w:rsid w:val="0026277B"/>
    <w:rsid w:val="0026289D"/>
    <w:rsid w:val="00262A67"/>
    <w:rsid w:val="00262D93"/>
    <w:rsid w:val="00262EBE"/>
    <w:rsid w:val="0026327F"/>
    <w:rsid w:val="00263293"/>
    <w:rsid w:val="0026362F"/>
    <w:rsid w:val="00263673"/>
    <w:rsid w:val="002637A6"/>
    <w:rsid w:val="00263A2D"/>
    <w:rsid w:val="00263AE1"/>
    <w:rsid w:val="00263D05"/>
    <w:rsid w:val="00263D86"/>
    <w:rsid w:val="00263F34"/>
    <w:rsid w:val="00263F36"/>
    <w:rsid w:val="00263F65"/>
    <w:rsid w:val="002645A3"/>
    <w:rsid w:val="002645DF"/>
    <w:rsid w:val="0026469D"/>
    <w:rsid w:val="00264879"/>
    <w:rsid w:val="00264D9C"/>
    <w:rsid w:val="00264E5B"/>
    <w:rsid w:val="00264F2C"/>
    <w:rsid w:val="00265289"/>
    <w:rsid w:val="00265346"/>
    <w:rsid w:val="00265391"/>
    <w:rsid w:val="002653F2"/>
    <w:rsid w:val="00265522"/>
    <w:rsid w:val="00265555"/>
    <w:rsid w:val="002658BC"/>
    <w:rsid w:val="002658DC"/>
    <w:rsid w:val="00265971"/>
    <w:rsid w:val="00265B76"/>
    <w:rsid w:val="00265CA2"/>
    <w:rsid w:val="00265DEA"/>
    <w:rsid w:val="00265F31"/>
    <w:rsid w:val="00266007"/>
    <w:rsid w:val="002662A7"/>
    <w:rsid w:val="002662B8"/>
    <w:rsid w:val="00266F28"/>
    <w:rsid w:val="002673D6"/>
    <w:rsid w:val="0026740C"/>
    <w:rsid w:val="00267447"/>
    <w:rsid w:val="00267660"/>
    <w:rsid w:val="00267709"/>
    <w:rsid w:val="002678ED"/>
    <w:rsid w:val="00267989"/>
    <w:rsid w:val="00267B42"/>
    <w:rsid w:val="00267E7F"/>
    <w:rsid w:val="00267FBE"/>
    <w:rsid w:val="00270118"/>
    <w:rsid w:val="002702AE"/>
    <w:rsid w:val="002703E2"/>
    <w:rsid w:val="00270451"/>
    <w:rsid w:val="002704B4"/>
    <w:rsid w:val="0027064A"/>
    <w:rsid w:val="0027087E"/>
    <w:rsid w:val="00270897"/>
    <w:rsid w:val="002708AB"/>
    <w:rsid w:val="00270BC7"/>
    <w:rsid w:val="00270CD4"/>
    <w:rsid w:val="00270DDF"/>
    <w:rsid w:val="00270EDC"/>
    <w:rsid w:val="0027102B"/>
    <w:rsid w:val="00271169"/>
    <w:rsid w:val="002712F4"/>
    <w:rsid w:val="00271475"/>
    <w:rsid w:val="0027164B"/>
    <w:rsid w:val="00271656"/>
    <w:rsid w:val="00271680"/>
    <w:rsid w:val="00271794"/>
    <w:rsid w:val="00271B0C"/>
    <w:rsid w:val="00271D93"/>
    <w:rsid w:val="00271D97"/>
    <w:rsid w:val="00271DEE"/>
    <w:rsid w:val="00271E38"/>
    <w:rsid w:val="002720EE"/>
    <w:rsid w:val="002720FC"/>
    <w:rsid w:val="00272248"/>
    <w:rsid w:val="002722FA"/>
    <w:rsid w:val="00272322"/>
    <w:rsid w:val="00272A6A"/>
    <w:rsid w:val="00272AF1"/>
    <w:rsid w:val="00272CC2"/>
    <w:rsid w:val="00272F92"/>
    <w:rsid w:val="00273213"/>
    <w:rsid w:val="0027339B"/>
    <w:rsid w:val="002733D9"/>
    <w:rsid w:val="00273536"/>
    <w:rsid w:val="002736D8"/>
    <w:rsid w:val="00273772"/>
    <w:rsid w:val="00273955"/>
    <w:rsid w:val="00273AF2"/>
    <w:rsid w:val="00273CC3"/>
    <w:rsid w:val="00273D74"/>
    <w:rsid w:val="00273EBC"/>
    <w:rsid w:val="002742E0"/>
    <w:rsid w:val="002742E7"/>
    <w:rsid w:val="002742F7"/>
    <w:rsid w:val="002744AC"/>
    <w:rsid w:val="002746FC"/>
    <w:rsid w:val="0027484A"/>
    <w:rsid w:val="002748F7"/>
    <w:rsid w:val="00274939"/>
    <w:rsid w:val="00274B39"/>
    <w:rsid w:val="00274FE0"/>
    <w:rsid w:val="00275190"/>
    <w:rsid w:val="002753AF"/>
    <w:rsid w:val="002753E7"/>
    <w:rsid w:val="002753FE"/>
    <w:rsid w:val="00275458"/>
    <w:rsid w:val="002754BA"/>
    <w:rsid w:val="002754FE"/>
    <w:rsid w:val="002755F5"/>
    <w:rsid w:val="0027567F"/>
    <w:rsid w:val="002757FD"/>
    <w:rsid w:val="00275AA3"/>
    <w:rsid w:val="00275B6F"/>
    <w:rsid w:val="00275D75"/>
    <w:rsid w:val="0027627C"/>
    <w:rsid w:val="002762D9"/>
    <w:rsid w:val="00276571"/>
    <w:rsid w:val="00276672"/>
    <w:rsid w:val="00276759"/>
    <w:rsid w:val="0027686C"/>
    <w:rsid w:val="00276B61"/>
    <w:rsid w:val="00276CC6"/>
    <w:rsid w:val="00276CF0"/>
    <w:rsid w:val="00276DD8"/>
    <w:rsid w:val="00276E70"/>
    <w:rsid w:val="00276ED5"/>
    <w:rsid w:val="00276FCC"/>
    <w:rsid w:val="002770D8"/>
    <w:rsid w:val="00277253"/>
    <w:rsid w:val="00277A91"/>
    <w:rsid w:val="00277B18"/>
    <w:rsid w:val="00277D62"/>
    <w:rsid w:val="00277D92"/>
    <w:rsid w:val="00277E6D"/>
    <w:rsid w:val="00277F55"/>
    <w:rsid w:val="002804CA"/>
    <w:rsid w:val="0028073D"/>
    <w:rsid w:val="00280B4D"/>
    <w:rsid w:val="00280C9F"/>
    <w:rsid w:val="00280F64"/>
    <w:rsid w:val="00280F6C"/>
    <w:rsid w:val="00280FCB"/>
    <w:rsid w:val="00281575"/>
    <w:rsid w:val="0028163D"/>
    <w:rsid w:val="0028165A"/>
    <w:rsid w:val="00281690"/>
    <w:rsid w:val="002816AF"/>
    <w:rsid w:val="002817B6"/>
    <w:rsid w:val="00281942"/>
    <w:rsid w:val="00281A54"/>
    <w:rsid w:val="00281AE5"/>
    <w:rsid w:val="00281C25"/>
    <w:rsid w:val="00281CD7"/>
    <w:rsid w:val="00281D3D"/>
    <w:rsid w:val="00281D72"/>
    <w:rsid w:val="00281E4D"/>
    <w:rsid w:val="00281F35"/>
    <w:rsid w:val="00282106"/>
    <w:rsid w:val="0028211A"/>
    <w:rsid w:val="0028250D"/>
    <w:rsid w:val="002825E4"/>
    <w:rsid w:val="0028270B"/>
    <w:rsid w:val="00282848"/>
    <w:rsid w:val="00282AAE"/>
    <w:rsid w:val="00282B55"/>
    <w:rsid w:val="00282C0F"/>
    <w:rsid w:val="00282D3D"/>
    <w:rsid w:val="00282F13"/>
    <w:rsid w:val="00282F3E"/>
    <w:rsid w:val="0028300C"/>
    <w:rsid w:val="00283033"/>
    <w:rsid w:val="00283221"/>
    <w:rsid w:val="00283456"/>
    <w:rsid w:val="002835E3"/>
    <w:rsid w:val="0028372B"/>
    <w:rsid w:val="00283799"/>
    <w:rsid w:val="002837B3"/>
    <w:rsid w:val="00283CF0"/>
    <w:rsid w:val="00283D1B"/>
    <w:rsid w:val="00283E11"/>
    <w:rsid w:val="00283FCD"/>
    <w:rsid w:val="00284194"/>
    <w:rsid w:val="002841A0"/>
    <w:rsid w:val="002842A8"/>
    <w:rsid w:val="00284706"/>
    <w:rsid w:val="0028471E"/>
    <w:rsid w:val="002848E0"/>
    <w:rsid w:val="00284AD1"/>
    <w:rsid w:val="00284C41"/>
    <w:rsid w:val="00284EB6"/>
    <w:rsid w:val="00284FA4"/>
    <w:rsid w:val="00285098"/>
    <w:rsid w:val="002851FA"/>
    <w:rsid w:val="002853FE"/>
    <w:rsid w:val="0028569D"/>
    <w:rsid w:val="0028574F"/>
    <w:rsid w:val="0028585B"/>
    <w:rsid w:val="00285896"/>
    <w:rsid w:val="00285A74"/>
    <w:rsid w:val="00285A8B"/>
    <w:rsid w:val="00285B20"/>
    <w:rsid w:val="00285BA3"/>
    <w:rsid w:val="00285C42"/>
    <w:rsid w:val="00285D9F"/>
    <w:rsid w:val="00285EB7"/>
    <w:rsid w:val="00285ECE"/>
    <w:rsid w:val="002860B6"/>
    <w:rsid w:val="00286125"/>
    <w:rsid w:val="0028615C"/>
    <w:rsid w:val="00286461"/>
    <w:rsid w:val="002864FE"/>
    <w:rsid w:val="0028652D"/>
    <w:rsid w:val="002866F5"/>
    <w:rsid w:val="00286876"/>
    <w:rsid w:val="00286A13"/>
    <w:rsid w:val="00286ACD"/>
    <w:rsid w:val="00286B2C"/>
    <w:rsid w:val="00286D3A"/>
    <w:rsid w:val="00286D49"/>
    <w:rsid w:val="00286F4D"/>
    <w:rsid w:val="002870BB"/>
    <w:rsid w:val="002872B9"/>
    <w:rsid w:val="002872EC"/>
    <w:rsid w:val="00287479"/>
    <w:rsid w:val="0028749E"/>
    <w:rsid w:val="0028784C"/>
    <w:rsid w:val="00287AC0"/>
    <w:rsid w:val="00290420"/>
    <w:rsid w:val="0029046B"/>
    <w:rsid w:val="002904B8"/>
    <w:rsid w:val="0029057D"/>
    <w:rsid w:val="00290862"/>
    <w:rsid w:val="00290A5E"/>
    <w:rsid w:val="00290CD0"/>
    <w:rsid w:val="00291052"/>
    <w:rsid w:val="00291134"/>
    <w:rsid w:val="002913FB"/>
    <w:rsid w:val="00291607"/>
    <w:rsid w:val="002918CE"/>
    <w:rsid w:val="002918F1"/>
    <w:rsid w:val="002919E7"/>
    <w:rsid w:val="002919F7"/>
    <w:rsid w:val="00291A41"/>
    <w:rsid w:val="00291DE3"/>
    <w:rsid w:val="00291F78"/>
    <w:rsid w:val="00292117"/>
    <w:rsid w:val="002922BA"/>
    <w:rsid w:val="00292331"/>
    <w:rsid w:val="00292378"/>
    <w:rsid w:val="00292440"/>
    <w:rsid w:val="00292637"/>
    <w:rsid w:val="0029287E"/>
    <w:rsid w:val="00292933"/>
    <w:rsid w:val="00292AE5"/>
    <w:rsid w:val="00292CB1"/>
    <w:rsid w:val="00292DBB"/>
    <w:rsid w:val="00292FAD"/>
    <w:rsid w:val="002934E9"/>
    <w:rsid w:val="00293525"/>
    <w:rsid w:val="002936F6"/>
    <w:rsid w:val="00293ADC"/>
    <w:rsid w:val="00293B7C"/>
    <w:rsid w:val="00293E5A"/>
    <w:rsid w:val="00293F6B"/>
    <w:rsid w:val="0029408A"/>
    <w:rsid w:val="00294243"/>
    <w:rsid w:val="0029449A"/>
    <w:rsid w:val="00294704"/>
    <w:rsid w:val="0029474E"/>
    <w:rsid w:val="002947D0"/>
    <w:rsid w:val="0029485D"/>
    <w:rsid w:val="00294967"/>
    <w:rsid w:val="002949D4"/>
    <w:rsid w:val="00294C0C"/>
    <w:rsid w:val="00294D2E"/>
    <w:rsid w:val="00294F65"/>
    <w:rsid w:val="0029541B"/>
    <w:rsid w:val="00295509"/>
    <w:rsid w:val="0029551D"/>
    <w:rsid w:val="002958C3"/>
    <w:rsid w:val="00295A21"/>
    <w:rsid w:val="00295B7F"/>
    <w:rsid w:val="00295DB0"/>
    <w:rsid w:val="00295DDE"/>
    <w:rsid w:val="00296001"/>
    <w:rsid w:val="00296009"/>
    <w:rsid w:val="0029604B"/>
    <w:rsid w:val="002961BF"/>
    <w:rsid w:val="002961E7"/>
    <w:rsid w:val="0029649A"/>
    <w:rsid w:val="00296510"/>
    <w:rsid w:val="00296A2C"/>
    <w:rsid w:val="00296A62"/>
    <w:rsid w:val="00296E5C"/>
    <w:rsid w:val="00296E79"/>
    <w:rsid w:val="002970E4"/>
    <w:rsid w:val="002973D6"/>
    <w:rsid w:val="0029741E"/>
    <w:rsid w:val="00297524"/>
    <w:rsid w:val="0029755D"/>
    <w:rsid w:val="0029767E"/>
    <w:rsid w:val="0029781E"/>
    <w:rsid w:val="002978EC"/>
    <w:rsid w:val="00297A1E"/>
    <w:rsid w:val="00297DCF"/>
    <w:rsid w:val="002A0001"/>
    <w:rsid w:val="002A015F"/>
    <w:rsid w:val="002A01B3"/>
    <w:rsid w:val="002A0213"/>
    <w:rsid w:val="002A033E"/>
    <w:rsid w:val="002A040F"/>
    <w:rsid w:val="002A0431"/>
    <w:rsid w:val="002A0510"/>
    <w:rsid w:val="002A054D"/>
    <w:rsid w:val="002A0566"/>
    <w:rsid w:val="002A05AC"/>
    <w:rsid w:val="002A076E"/>
    <w:rsid w:val="002A08BB"/>
    <w:rsid w:val="002A0A3C"/>
    <w:rsid w:val="002A0A90"/>
    <w:rsid w:val="002A0B3F"/>
    <w:rsid w:val="002A0B8D"/>
    <w:rsid w:val="002A0C8C"/>
    <w:rsid w:val="002A1075"/>
    <w:rsid w:val="002A12F7"/>
    <w:rsid w:val="002A130F"/>
    <w:rsid w:val="002A146E"/>
    <w:rsid w:val="002A1534"/>
    <w:rsid w:val="002A18D1"/>
    <w:rsid w:val="002A1AD2"/>
    <w:rsid w:val="002A1AF9"/>
    <w:rsid w:val="002A1B30"/>
    <w:rsid w:val="002A1B4B"/>
    <w:rsid w:val="002A21B3"/>
    <w:rsid w:val="002A22CB"/>
    <w:rsid w:val="002A25DF"/>
    <w:rsid w:val="002A2777"/>
    <w:rsid w:val="002A2C06"/>
    <w:rsid w:val="002A2E1A"/>
    <w:rsid w:val="002A2E20"/>
    <w:rsid w:val="002A2F69"/>
    <w:rsid w:val="002A314C"/>
    <w:rsid w:val="002A3180"/>
    <w:rsid w:val="002A339A"/>
    <w:rsid w:val="002A34E2"/>
    <w:rsid w:val="002A35A2"/>
    <w:rsid w:val="002A35C4"/>
    <w:rsid w:val="002A3759"/>
    <w:rsid w:val="002A3902"/>
    <w:rsid w:val="002A3988"/>
    <w:rsid w:val="002A39C0"/>
    <w:rsid w:val="002A4013"/>
    <w:rsid w:val="002A42AD"/>
    <w:rsid w:val="002A42C6"/>
    <w:rsid w:val="002A431A"/>
    <w:rsid w:val="002A44D6"/>
    <w:rsid w:val="002A4604"/>
    <w:rsid w:val="002A46C3"/>
    <w:rsid w:val="002A4708"/>
    <w:rsid w:val="002A473C"/>
    <w:rsid w:val="002A49C7"/>
    <w:rsid w:val="002A4C09"/>
    <w:rsid w:val="002A4C1E"/>
    <w:rsid w:val="002A4E74"/>
    <w:rsid w:val="002A53C6"/>
    <w:rsid w:val="002A5567"/>
    <w:rsid w:val="002A55C6"/>
    <w:rsid w:val="002A5852"/>
    <w:rsid w:val="002A58CB"/>
    <w:rsid w:val="002A58FD"/>
    <w:rsid w:val="002A59D2"/>
    <w:rsid w:val="002A5A71"/>
    <w:rsid w:val="002A5CD4"/>
    <w:rsid w:val="002A5D0A"/>
    <w:rsid w:val="002A5EC6"/>
    <w:rsid w:val="002A6058"/>
    <w:rsid w:val="002A62CC"/>
    <w:rsid w:val="002A63A3"/>
    <w:rsid w:val="002A6479"/>
    <w:rsid w:val="002A6532"/>
    <w:rsid w:val="002A6583"/>
    <w:rsid w:val="002A672A"/>
    <w:rsid w:val="002A6816"/>
    <w:rsid w:val="002A6835"/>
    <w:rsid w:val="002A6AD5"/>
    <w:rsid w:val="002A6BF7"/>
    <w:rsid w:val="002A74F0"/>
    <w:rsid w:val="002A753F"/>
    <w:rsid w:val="002A7780"/>
    <w:rsid w:val="002A79A1"/>
    <w:rsid w:val="002A7A6F"/>
    <w:rsid w:val="002A7D14"/>
    <w:rsid w:val="002A7DAF"/>
    <w:rsid w:val="002B0065"/>
    <w:rsid w:val="002B0081"/>
    <w:rsid w:val="002B018F"/>
    <w:rsid w:val="002B09AE"/>
    <w:rsid w:val="002B09B4"/>
    <w:rsid w:val="002B0C4D"/>
    <w:rsid w:val="002B0D96"/>
    <w:rsid w:val="002B0ECE"/>
    <w:rsid w:val="002B0F11"/>
    <w:rsid w:val="002B1078"/>
    <w:rsid w:val="002B1228"/>
    <w:rsid w:val="002B126A"/>
    <w:rsid w:val="002B1295"/>
    <w:rsid w:val="002B151A"/>
    <w:rsid w:val="002B163E"/>
    <w:rsid w:val="002B16A8"/>
    <w:rsid w:val="002B1765"/>
    <w:rsid w:val="002B1905"/>
    <w:rsid w:val="002B1F89"/>
    <w:rsid w:val="002B202D"/>
    <w:rsid w:val="002B265D"/>
    <w:rsid w:val="002B2721"/>
    <w:rsid w:val="002B2849"/>
    <w:rsid w:val="002B2D0C"/>
    <w:rsid w:val="002B2E05"/>
    <w:rsid w:val="002B3101"/>
    <w:rsid w:val="002B325A"/>
    <w:rsid w:val="002B3525"/>
    <w:rsid w:val="002B3948"/>
    <w:rsid w:val="002B3DD8"/>
    <w:rsid w:val="002B3E01"/>
    <w:rsid w:val="002B3F13"/>
    <w:rsid w:val="002B408B"/>
    <w:rsid w:val="002B40F1"/>
    <w:rsid w:val="002B4384"/>
    <w:rsid w:val="002B43C8"/>
    <w:rsid w:val="002B4456"/>
    <w:rsid w:val="002B465E"/>
    <w:rsid w:val="002B489C"/>
    <w:rsid w:val="002B4B0B"/>
    <w:rsid w:val="002B4B46"/>
    <w:rsid w:val="002B4C20"/>
    <w:rsid w:val="002B4DD7"/>
    <w:rsid w:val="002B5195"/>
    <w:rsid w:val="002B5218"/>
    <w:rsid w:val="002B5224"/>
    <w:rsid w:val="002B524F"/>
    <w:rsid w:val="002B54B1"/>
    <w:rsid w:val="002B577A"/>
    <w:rsid w:val="002B58F0"/>
    <w:rsid w:val="002B5A72"/>
    <w:rsid w:val="002B5CEC"/>
    <w:rsid w:val="002B5DC5"/>
    <w:rsid w:val="002B5DF3"/>
    <w:rsid w:val="002B6083"/>
    <w:rsid w:val="002B6089"/>
    <w:rsid w:val="002B613B"/>
    <w:rsid w:val="002B629E"/>
    <w:rsid w:val="002B66D4"/>
    <w:rsid w:val="002B672F"/>
    <w:rsid w:val="002B67B3"/>
    <w:rsid w:val="002B6992"/>
    <w:rsid w:val="002B69C7"/>
    <w:rsid w:val="002B6AC4"/>
    <w:rsid w:val="002B6C67"/>
    <w:rsid w:val="002B6EFB"/>
    <w:rsid w:val="002B6F31"/>
    <w:rsid w:val="002B72ED"/>
    <w:rsid w:val="002B72F4"/>
    <w:rsid w:val="002B756E"/>
    <w:rsid w:val="002B7665"/>
    <w:rsid w:val="002B76EB"/>
    <w:rsid w:val="002B79B8"/>
    <w:rsid w:val="002B7B1B"/>
    <w:rsid w:val="002B7C37"/>
    <w:rsid w:val="002B7DEE"/>
    <w:rsid w:val="002C0019"/>
    <w:rsid w:val="002C0268"/>
    <w:rsid w:val="002C029B"/>
    <w:rsid w:val="002C0496"/>
    <w:rsid w:val="002C09E5"/>
    <w:rsid w:val="002C0E0D"/>
    <w:rsid w:val="002C0FF6"/>
    <w:rsid w:val="002C1175"/>
    <w:rsid w:val="002C11B5"/>
    <w:rsid w:val="002C12E2"/>
    <w:rsid w:val="002C141E"/>
    <w:rsid w:val="002C14A1"/>
    <w:rsid w:val="002C14FB"/>
    <w:rsid w:val="002C1B8C"/>
    <w:rsid w:val="002C1F2F"/>
    <w:rsid w:val="002C2068"/>
    <w:rsid w:val="002C2158"/>
    <w:rsid w:val="002C2581"/>
    <w:rsid w:val="002C25D5"/>
    <w:rsid w:val="002C272B"/>
    <w:rsid w:val="002C28C8"/>
    <w:rsid w:val="002C2A02"/>
    <w:rsid w:val="002C2B37"/>
    <w:rsid w:val="002C2B3B"/>
    <w:rsid w:val="002C2C24"/>
    <w:rsid w:val="002C2C99"/>
    <w:rsid w:val="002C2EAA"/>
    <w:rsid w:val="002C2EC2"/>
    <w:rsid w:val="002C30DA"/>
    <w:rsid w:val="002C3296"/>
    <w:rsid w:val="002C3514"/>
    <w:rsid w:val="002C37FD"/>
    <w:rsid w:val="002C3876"/>
    <w:rsid w:val="002C38C3"/>
    <w:rsid w:val="002C3C31"/>
    <w:rsid w:val="002C41D3"/>
    <w:rsid w:val="002C42DC"/>
    <w:rsid w:val="002C43FE"/>
    <w:rsid w:val="002C4735"/>
    <w:rsid w:val="002C4962"/>
    <w:rsid w:val="002C4A05"/>
    <w:rsid w:val="002C4B75"/>
    <w:rsid w:val="002C4BC8"/>
    <w:rsid w:val="002C4C97"/>
    <w:rsid w:val="002C4DAD"/>
    <w:rsid w:val="002C4EF1"/>
    <w:rsid w:val="002C5074"/>
    <w:rsid w:val="002C50F1"/>
    <w:rsid w:val="002C54FB"/>
    <w:rsid w:val="002C5800"/>
    <w:rsid w:val="002C5B7C"/>
    <w:rsid w:val="002C5B86"/>
    <w:rsid w:val="002C5EC8"/>
    <w:rsid w:val="002C6148"/>
    <w:rsid w:val="002C6279"/>
    <w:rsid w:val="002C667A"/>
    <w:rsid w:val="002C66ED"/>
    <w:rsid w:val="002C6880"/>
    <w:rsid w:val="002C6B44"/>
    <w:rsid w:val="002C6C51"/>
    <w:rsid w:val="002C6EC5"/>
    <w:rsid w:val="002C6EED"/>
    <w:rsid w:val="002C705E"/>
    <w:rsid w:val="002C7121"/>
    <w:rsid w:val="002C7128"/>
    <w:rsid w:val="002C74CC"/>
    <w:rsid w:val="002C7512"/>
    <w:rsid w:val="002C755E"/>
    <w:rsid w:val="002C78C3"/>
    <w:rsid w:val="002C7AF1"/>
    <w:rsid w:val="002C7B45"/>
    <w:rsid w:val="002C7B7B"/>
    <w:rsid w:val="002C7C9E"/>
    <w:rsid w:val="002C7DE4"/>
    <w:rsid w:val="002D05A4"/>
    <w:rsid w:val="002D07F5"/>
    <w:rsid w:val="002D07FA"/>
    <w:rsid w:val="002D0C80"/>
    <w:rsid w:val="002D0D11"/>
    <w:rsid w:val="002D0F7A"/>
    <w:rsid w:val="002D1119"/>
    <w:rsid w:val="002D134B"/>
    <w:rsid w:val="002D1369"/>
    <w:rsid w:val="002D148D"/>
    <w:rsid w:val="002D1BFA"/>
    <w:rsid w:val="002D1DE5"/>
    <w:rsid w:val="002D1E4D"/>
    <w:rsid w:val="002D2032"/>
    <w:rsid w:val="002D2147"/>
    <w:rsid w:val="002D21DB"/>
    <w:rsid w:val="002D239A"/>
    <w:rsid w:val="002D2991"/>
    <w:rsid w:val="002D2D57"/>
    <w:rsid w:val="002D2D5A"/>
    <w:rsid w:val="002D2F0E"/>
    <w:rsid w:val="002D30E0"/>
    <w:rsid w:val="002D31BB"/>
    <w:rsid w:val="002D3410"/>
    <w:rsid w:val="002D3416"/>
    <w:rsid w:val="002D3915"/>
    <w:rsid w:val="002D3A69"/>
    <w:rsid w:val="002D3B03"/>
    <w:rsid w:val="002D3CD7"/>
    <w:rsid w:val="002D3D21"/>
    <w:rsid w:val="002D3EAC"/>
    <w:rsid w:val="002D3FF8"/>
    <w:rsid w:val="002D3FFA"/>
    <w:rsid w:val="002D47CE"/>
    <w:rsid w:val="002D48D8"/>
    <w:rsid w:val="002D49FB"/>
    <w:rsid w:val="002D52E3"/>
    <w:rsid w:val="002D5676"/>
    <w:rsid w:val="002D5C54"/>
    <w:rsid w:val="002D60DC"/>
    <w:rsid w:val="002D68C1"/>
    <w:rsid w:val="002D69AB"/>
    <w:rsid w:val="002D6A1B"/>
    <w:rsid w:val="002D6B5A"/>
    <w:rsid w:val="002D6C5C"/>
    <w:rsid w:val="002D6CBA"/>
    <w:rsid w:val="002D6F11"/>
    <w:rsid w:val="002D7093"/>
    <w:rsid w:val="002D73EB"/>
    <w:rsid w:val="002D75D8"/>
    <w:rsid w:val="002D7675"/>
    <w:rsid w:val="002D7812"/>
    <w:rsid w:val="002D7834"/>
    <w:rsid w:val="002D79C6"/>
    <w:rsid w:val="002D7B7E"/>
    <w:rsid w:val="002D7C0B"/>
    <w:rsid w:val="002D7E52"/>
    <w:rsid w:val="002E0211"/>
    <w:rsid w:val="002E0497"/>
    <w:rsid w:val="002E05B1"/>
    <w:rsid w:val="002E06B8"/>
    <w:rsid w:val="002E06BB"/>
    <w:rsid w:val="002E0A1D"/>
    <w:rsid w:val="002E0D66"/>
    <w:rsid w:val="002E0DA8"/>
    <w:rsid w:val="002E0F43"/>
    <w:rsid w:val="002E1035"/>
    <w:rsid w:val="002E125B"/>
    <w:rsid w:val="002E144B"/>
    <w:rsid w:val="002E14D3"/>
    <w:rsid w:val="002E1640"/>
    <w:rsid w:val="002E1792"/>
    <w:rsid w:val="002E189B"/>
    <w:rsid w:val="002E1A7E"/>
    <w:rsid w:val="002E249C"/>
    <w:rsid w:val="002E24D5"/>
    <w:rsid w:val="002E2669"/>
    <w:rsid w:val="002E2768"/>
    <w:rsid w:val="002E28DC"/>
    <w:rsid w:val="002E2BAD"/>
    <w:rsid w:val="002E2D85"/>
    <w:rsid w:val="002E2DAE"/>
    <w:rsid w:val="002E2E9B"/>
    <w:rsid w:val="002E2F4D"/>
    <w:rsid w:val="002E2F85"/>
    <w:rsid w:val="002E327A"/>
    <w:rsid w:val="002E32F3"/>
    <w:rsid w:val="002E33E6"/>
    <w:rsid w:val="002E3627"/>
    <w:rsid w:val="002E3692"/>
    <w:rsid w:val="002E369A"/>
    <w:rsid w:val="002E377D"/>
    <w:rsid w:val="002E3CC7"/>
    <w:rsid w:val="002E3E71"/>
    <w:rsid w:val="002E3EFF"/>
    <w:rsid w:val="002E40C1"/>
    <w:rsid w:val="002E412D"/>
    <w:rsid w:val="002E424F"/>
    <w:rsid w:val="002E42AC"/>
    <w:rsid w:val="002E42E0"/>
    <w:rsid w:val="002E4325"/>
    <w:rsid w:val="002E443C"/>
    <w:rsid w:val="002E456D"/>
    <w:rsid w:val="002E46AC"/>
    <w:rsid w:val="002E46AE"/>
    <w:rsid w:val="002E4736"/>
    <w:rsid w:val="002E4861"/>
    <w:rsid w:val="002E4BEF"/>
    <w:rsid w:val="002E4F5D"/>
    <w:rsid w:val="002E5082"/>
    <w:rsid w:val="002E52B3"/>
    <w:rsid w:val="002E5567"/>
    <w:rsid w:val="002E559F"/>
    <w:rsid w:val="002E5732"/>
    <w:rsid w:val="002E579A"/>
    <w:rsid w:val="002E59AA"/>
    <w:rsid w:val="002E5A88"/>
    <w:rsid w:val="002E5D81"/>
    <w:rsid w:val="002E6086"/>
    <w:rsid w:val="002E60C6"/>
    <w:rsid w:val="002E6210"/>
    <w:rsid w:val="002E63B5"/>
    <w:rsid w:val="002E65A7"/>
    <w:rsid w:val="002E66F4"/>
    <w:rsid w:val="002E72EC"/>
    <w:rsid w:val="002E72F5"/>
    <w:rsid w:val="002E73C6"/>
    <w:rsid w:val="002E7415"/>
    <w:rsid w:val="002E7489"/>
    <w:rsid w:val="002E7678"/>
    <w:rsid w:val="002E77AF"/>
    <w:rsid w:val="002E7ACE"/>
    <w:rsid w:val="002E7B13"/>
    <w:rsid w:val="002E7FE5"/>
    <w:rsid w:val="002F0353"/>
    <w:rsid w:val="002F0410"/>
    <w:rsid w:val="002F0478"/>
    <w:rsid w:val="002F04AA"/>
    <w:rsid w:val="002F09B7"/>
    <w:rsid w:val="002F0DD0"/>
    <w:rsid w:val="002F0E09"/>
    <w:rsid w:val="002F1052"/>
    <w:rsid w:val="002F1073"/>
    <w:rsid w:val="002F12F2"/>
    <w:rsid w:val="002F131B"/>
    <w:rsid w:val="002F16D8"/>
    <w:rsid w:val="002F1D53"/>
    <w:rsid w:val="002F1EDE"/>
    <w:rsid w:val="002F20DF"/>
    <w:rsid w:val="002F22D2"/>
    <w:rsid w:val="002F2668"/>
    <w:rsid w:val="002F267D"/>
    <w:rsid w:val="002F26AB"/>
    <w:rsid w:val="002F27B3"/>
    <w:rsid w:val="002F28FE"/>
    <w:rsid w:val="002F2B4E"/>
    <w:rsid w:val="002F2EE4"/>
    <w:rsid w:val="002F2F0C"/>
    <w:rsid w:val="002F3049"/>
    <w:rsid w:val="002F323B"/>
    <w:rsid w:val="002F34DD"/>
    <w:rsid w:val="002F362E"/>
    <w:rsid w:val="002F364F"/>
    <w:rsid w:val="002F36B4"/>
    <w:rsid w:val="002F3779"/>
    <w:rsid w:val="002F397F"/>
    <w:rsid w:val="002F39A3"/>
    <w:rsid w:val="002F3B0B"/>
    <w:rsid w:val="002F3CBC"/>
    <w:rsid w:val="002F3CF8"/>
    <w:rsid w:val="002F4044"/>
    <w:rsid w:val="002F4059"/>
    <w:rsid w:val="002F41C9"/>
    <w:rsid w:val="002F4590"/>
    <w:rsid w:val="002F4801"/>
    <w:rsid w:val="002F4B59"/>
    <w:rsid w:val="002F4C01"/>
    <w:rsid w:val="002F4CE3"/>
    <w:rsid w:val="002F4D88"/>
    <w:rsid w:val="002F4E3F"/>
    <w:rsid w:val="002F5154"/>
    <w:rsid w:val="002F518C"/>
    <w:rsid w:val="002F5473"/>
    <w:rsid w:val="002F5678"/>
    <w:rsid w:val="002F5862"/>
    <w:rsid w:val="002F5A24"/>
    <w:rsid w:val="002F5A7B"/>
    <w:rsid w:val="002F5BCE"/>
    <w:rsid w:val="002F620A"/>
    <w:rsid w:val="002F62FC"/>
    <w:rsid w:val="002F63F4"/>
    <w:rsid w:val="002F647C"/>
    <w:rsid w:val="002F66A3"/>
    <w:rsid w:val="002F66CC"/>
    <w:rsid w:val="002F6785"/>
    <w:rsid w:val="002F699C"/>
    <w:rsid w:val="002F6F99"/>
    <w:rsid w:val="002F76F6"/>
    <w:rsid w:val="002F7991"/>
    <w:rsid w:val="002F7A36"/>
    <w:rsid w:val="002F7D61"/>
    <w:rsid w:val="002F7DAE"/>
    <w:rsid w:val="002F7ECD"/>
    <w:rsid w:val="00300006"/>
    <w:rsid w:val="003001DF"/>
    <w:rsid w:val="003003B7"/>
    <w:rsid w:val="003004D0"/>
    <w:rsid w:val="0030051D"/>
    <w:rsid w:val="00300585"/>
    <w:rsid w:val="0030088B"/>
    <w:rsid w:val="00300B14"/>
    <w:rsid w:val="00300B22"/>
    <w:rsid w:val="00300FC4"/>
    <w:rsid w:val="0030111B"/>
    <w:rsid w:val="0030125A"/>
    <w:rsid w:val="003012D1"/>
    <w:rsid w:val="0030148C"/>
    <w:rsid w:val="003017B5"/>
    <w:rsid w:val="003019D9"/>
    <w:rsid w:val="00301DCD"/>
    <w:rsid w:val="00301EEC"/>
    <w:rsid w:val="00301F66"/>
    <w:rsid w:val="00301F7E"/>
    <w:rsid w:val="00302213"/>
    <w:rsid w:val="00302478"/>
    <w:rsid w:val="00302524"/>
    <w:rsid w:val="003027DF"/>
    <w:rsid w:val="00302A13"/>
    <w:rsid w:val="00302A53"/>
    <w:rsid w:val="00302AEF"/>
    <w:rsid w:val="00302B5F"/>
    <w:rsid w:val="00302BCB"/>
    <w:rsid w:val="00302C31"/>
    <w:rsid w:val="00302D48"/>
    <w:rsid w:val="00302DF1"/>
    <w:rsid w:val="00302FEC"/>
    <w:rsid w:val="00303172"/>
    <w:rsid w:val="003032DD"/>
    <w:rsid w:val="0030347A"/>
    <w:rsid w:val="003034D6"/>
    <w:rsid w:val="003038F2"/>
    <w:rsid w:val="00303913"/>
    <w:rsid w:val="00303A47"/>
    <w:rsid w:val="00303ECF"/>
    <w:rsid w:val="00303ED6"/>
    <w:rsid w:val="00304092"/>
    <w:rsid w:val="003043CB"/>
    <w:rsid w:val="003044D3"/>
    <w:rsid w:val="0030496F"/>
    <w:rsid w:val="003049E1"/>
    <w:rsid w:val="00304AE2"/>
    <w:rsid w:val="00304C34"/>
    <w:rsid w:val="003050D0"/>
    <w:rsid w:val="0030519F"/>
    <w:rsid w:val="003056C7"/>
    <w:rsid w:val="0030582F"/>
    <w:rsid w:val="00305C26"/>
    <w:rsid w:val="00305D24"/>
    <w:rsid w:val="00305D46"/>
    <w:rsid w:val="00305E84"/>
    <w:rsid w:val="00305EBD"/>
    <w:rsid w:val="00305FB0"/>
    <w:rsid w:val="003061A4"/>
    <w:rsid w:val="00306204"/>
    <w:rsid w:val="00306249"/>
    <w:rsid w:val="00306425"/>
    <w:rsid w:val="0030652A"/>
    <w:rsid w:val="00306870"/>
    <w:rsid w:val="00306A36"/>
    <w:rsid w:val="00306B53"/>
    <w:rsid w:val="00306BBE"/>
    <w:rsid w:val="00306C98"/>
    <w:rsid w:val="00306F33"/>
    <w:rsid w:val="00306F77"/>
    <w:rsid w:val="00306F8E"/>
    <w:rsid w:val="00306FC6"/>
    <w:rsid w:val="003071C1"/>
    <w:rsid w:val="00307220"/>
    <w:rsid w:val="003074D8"/>
    <w:rsid w:val="003075C8"/>
    <w:rsid w:val="00307795"/>
    <w:rsid w:val="003077C0"/>
    <w:rsid w:val="003078C0"/>
    <w:rsid w:val="00307939"/>
    <w:rsid w:val="00307C51"/>
    <w:rsid w:val="00307FFB"/>
    <w:rsid w:val="00310039"/>
    <w:rsid w:val="003102F3"/>
    <w:rsid w:val="00310385"/>
    <w:rsid w:val="003103F9"/>
    <w:rsid w:val="0031046D"/>
    <w:rsid w:val="003104C0"/>
    <w:rsid w:val="00310502"/>
    <w:rsid w:val="00310527"/>
    <w:rsid w:val="00310938"/>
    <w:rsid w:val="0031096B"/>
    <w:rsid w:val="003109C1"/>
    <w:rsid w:val="00310A73"/>
    <w:rsid w:val="00310B0A"/>
    <w:rsid w:val="00310B66"/>
    <w:rsid w:val="00310DEB"/>
    <w:rsid w:val="00310E33"/>
    <w:rsid w:val="00310E34"/>
    <w:rsid w:val="00311083"/>
    <w:rsid w:val="003111C2"/>
    <w:rsid w:val="003111FC"/>
    <w:rsid w:val="0031175B"/>
    <w:rsid w:val="00311E04"/>
    <w:rsid w:val="0031221F"/>
    <w:rsid w:val="0031228C"/>
    <w:rsid w:val="003122D2"/>
    <w:rsid w:val="00312374"/>
    <w:rsid w:val="003127A0"/>
    <w:rsid w:val="003129F9"/>
    <w:rsid w:val="00312A71"/>
    <w:rsid w:val="00312AC4"/>
    <w:rsid w:val="00312B42"/>
    <w:rsid w:val="00312E88"/>
    <w:rsid w:val="00313041"/>
    <w:rsid w:val="003131BB"/>
    <w:rsid w:val="003133E5"/>
    <w:rsid w:val="0031353A"/>
    <w:rsid w:val="00313CFB"/>
    <w:rsid w:val="00313E36"/>
    <w:rsid w:val="00313E54"/>
    <w:rsid w:val="00313E70"/>
    <w:rsid w:val="003140DE"/>
    <w:rsid w:val="0031424C"/>
    <w:rsid w:val="00314456"/>
    <w:rsid w:val="00314660"/>
    <w:rsid w:val="00314791"/>
    <w:rsid w:val="00314CF1"/>
    <w:rsid w:val="00314DDB"/>
    <w:rsid w:val="00315311"/>
    <w:rsid w:val="003153F0"/>
    <w:rsid w:val="00315667"/>
    <w:rsid w:val="003158D7"/>
    <w:rsid w:val="00315904"/>
    <w:rsid w:val="00315946"/>
    <w:rsid w:val="00315D7F"/>
    <w:rsid w:val="00315DA3"/>
    <w:rsid w:val="00315E0F"/>
    <w:rsid w:val="00315E6C"/>
    <w:rsid w:val="00315EED"/>
    <w:rsid w:val="00315FC3"/>
    <w:rsid w:val="0031636F"/>
    <w:rsid w:val="003163C8"/>
    <w:rsid w:val="003163D4"/>
    <w:rsid w:val="00316594"/>
    <w:rsid w:val="0031682A"/>
    <w:rsid w:val="00316AED"/>
    <w:rsid w:val="00316BE2"/>
    <w:rsid w:val="00316D02"/>
    <w:rsid w:val="00316DA6"/>
    <w:rsid w:val="00316FC8"/>
    <w:rsid w:val="003170F1"/>
    <w:rsid w:val="00317105"/>
    <w:rsid w:val="0031755E"/>
    <w:rsid w:val="003175D7"/>
    <w:rsid w:val="00317952"/>
    <w:rsid w:val="00317CDC"/>
    <w:rsid w:val="00317D95"/>
    <w:rsid w:val="00317EF3"/>
    <w:rsid w:val="00317F24"/>
    <w:rsid w:val="0032028C"/>
    <w:rsid w:val="003203AC"/>
    <w:rsid w:val="003203E7"/>
    <w:rsid w:val="00320468"/>
    <w:rsid w:val="00320576"/>
    <w:rsid w:val="0032068E"/>
    <w:rsid w:val="0032070F"/>
    <w:rsid w:val="003207BA"/>
    <w:rsid w:val="00320C14"/>
    <w:rsid w:val="00320D50"/>
    <w:rsid w:val="0032102A"/>
    <w:rsid w:val="003211EA"/>
    <w:rsid w:val="003211F4"/>
    <w:rsid w:val="00321247"/>
    <w:rsid w:val="003212AB"/>
    <w:rsid w:val="00321476"/>
    <w:rsid w:val="00321560"/>
    <w:rsid w:val="00321622"/>
    <w:rsid w:val="00321A5B"/>
    <w:rsid w:val="00321A70"/>
    <w:rsid w:val="00321AB4"/>
    <w:rsid w:val="00321E96"/>
    <w:rsid w:val="00321F5D"/>
    <w:rsid w:val="00321F68"/>
    <w:rsid w:val="00321FF3"/>
    <w:rsid w:val="00322204"/>
    <w:rsid w:val="00322342"/>
    <w:rsid w:val="0032238F"/>
    <w:rsid w:val="003223C9"/>
    <w:rsid w:val="003223DC"/>
    <w:rsid w:val="003224DB"/>
    <w:rsid w:val="003227B6"/>
    <w:rsid w:val="003228F4"/>
    <w:rsid w:val="00322A81"/>
    <w:rsid w:val="00322C58"/>
    <w:rsid w:val="00322CCF"/>
    <w:rsid w:val="00322F36"/>
    <w:rsid w:val="00323166"/>
    <w:rsid w:val="00323171"/>
    <w:rsid w:val="0032332C"/>
    <w:rsid w:val="00323614"/>
    <w:rsid w:val="0032371B"/>
    <w:rsid w:val="0032384E"/>
    <w:rsid w:val="003238D3"/>
    <w:rsid w:val="00323ABA"/>
    <w:rsid w:val="00323BD6"/>
    <w:rsid w:val="00323CAE"/>
    <w:rsid w:val="00323D54"/>
    <w:rsid w:val="00323DC2"/>
    <w:rsid w:val="00323DE8"/>
    <w:rsid w:val="00323ECA"/>
    <w:rsid w:val="003246E8"/>
    <w:rsid w:val="00324779"/>
    <w:rsid w:val="00324797"/>
    <w:rsid w:val="0032482B"/>
    <w:rsid w:val="0032488B"/>
    <w:rsid w:val="00324AA3"/>
    <w:rsid w:val="00324C4E"/>
    <w:rsid w:val="00324C7B"/>
    <w:rsid w:val="00324CA1"/>
    <w:rsid w:val="00324F72"/>
    <w:rsid w:val="00325034"/>
    <w:rsid w:val="00325321"/>
    <w:rsid w:val="003256E5"/>
    <w:rsid w:val="00325787"/>
    <w:rsid w:val="003257CE"/>
    <w:rsid w:val="00325AB2"/>
    <w:rsid w:val="00325D58"/>
    <w:rsid w:val="00325DD1"/>
    <w:rsid w:val="0032641A"/>
    <w:rsid w:val="00326439"/>
    <w:rsid w:val="0032661E"/>
    <w:rsid w:val="003268AD"/>
    <w:rsid w:val="00326BC6"/>
    <w:rsid w:val="00326D56"/>
    <w:rsid w:val="00326E1C"/>
    <w:rsid w:val="00326E36"/>
    <w:rsid w:val="00326EA9"/>
    <w:rsid w:val="00326F21"/>
    <w:rsid w:val="00327011"/>
    <w:rsid w:val="00327132"/>
    <w:rsid w:val="00327234"/>
    <w:rsid w:val="00327337"/>
    <w:rsid w:val="003274F6"/>
    <w:rsid w:val="00327565"/>
    <w:rsid w:val="0032785F"/>
    <w:rsid w:val="003278BE"/>
    <w:rsid w:val="00327968"/>
    <w:rsid w:val="00327B2E"/>
    <w:rsid w:val="00327B69"/>
    <w:rsid w:val="00327C98"/>
    <w:rsid w:val="00330094"/>
    <w:rsid w:val="00330172"/>
    <w:rsid w:val="00330321"/>
    <w:rsid w:val="00330382"/>
    <w:rsid w:val="0033049F"/>
    <w:rsid w:val="0033099C"/>
    <w:rsid w:val="00330BBE"/>
    <w:rsid w:val="00330D9B"/>
    <w:rsid w:val="00330ED8"/>
    <w:rsid w:val="00330FE1"/>
    <w:rsid w:val="00330FF8"/>
    <w:rsid w:val="003310CD"/>
    <w:rsid w:val="003313B0"/>
    <w:rsid w:val="0033142C"/>
    <w:rsid w:val="00331597"/>
    <w:rsid w:val="0033180D"/>
    <w:rsid w:val="00331CED"/>
    <w:rsid w:val="00331EB2"/>
    <w:rsid w:val="00332036"/>
    <w:rsid w:val="003321B8"/>
    <w:rsid w:val="00332329"/>
    <w:rsid w:val="00332745"/>
    <w:rsid w:val="003328F5"/>
    <w:rsid w:val="00332B15"/>
    <w:rsid w:val="00332B82"/>
    <w:rsid w:val="00332BAC"/>
    <w:rsid w:val="00332D20"/>
    <w:rsid w:val="00332E0A"/>
    <w:rsid w:val="00332E87"/>
    <w:rsid w:val="00332F3D"/>
    <w:rsid w:val="0033315A"/>
    <w:rsid w:val="00333535"/>
    <w:rsid w:val="0033360D"/>
    <w:rsid w:val="00333782"/>
    <w:rsid w:val="00333A55"/>
    <w:rsid w:val="00333EE7"/>
    <w:rsid w:val="00334097"/>
    <w:rsid w:val="003343B1"/>
    <w:rsid w:val="003343CD"/>
    <w:rsid w:val="0033445B"/>
    <w:rsid w:val="003344B1"/>
    <w:rsid w:val="00334589"/>
    <w:rsid w:val="00334697"/>
    <w:rsid w:val="0033474E"/>
    <w:rsid w:val="00334800"/>
    <w:rsid w:val="00334C78"/>
    <w:rsid w:val="00334C79"/>
    <w:rsid w:val="00334FE2"/>
    <w:rsid w:val="003350E2"/>
    <w:rsid w:val="0033520B"/>
    <w:rsid w:val="0033532F"/>
    <w:rsid w:val="00335594"/>
    <w:rsid w:val="0033575A"/>
    <w:rsid w:val="00335BCC"/>
    <w:rsid w:val="00335C63"/>
    <w:rsid w:val="00335E27"/>
    <w:rsid w:val="00335E2F"/>
    <w:rsid w:val="00335E75"/>
    <w:rsid w:val="00335EE2"/>
    <w:rsid w:val="0033606D"/>
    <w:rsid w:val="003362C5"/>
    <w:rsid w:val="0033630E"/>
    <w:rsid w:val="003364A7"/>
    <w:rsid w:val="003365CF"/>
    <w:rsid w:val="00336652"/>
    <w:rsid w:val="00336841"/>
    <w:rsid w:val="00336908"/>
    <w:rsid w:val="003369DD"/>
    <w:rsid w:val="00336BB7"/>
    <w:rsid w:val="00336BDC"/>
    <w:rsid w:val="00336C72"/>
    <w:rsid w:val="00336D33"/>
    <w:rsid w:val="00336D7D"/>
    <w:rsid w:val="00336F89"/>
    <w:rsid w:val="00336FA4"/>
    <w:rsid w:val="00336FC7"/>
    <w:rsid w:val="00337283"/>
    <w:rsid w:val="0033742E"/>
    <w:rsid w:val="00337474"/>
    <w:rsid w:val="00337486"/>
    <w:rsid w:val="003374F1"/>
    <w:rsid w:val="003378D9"/>
    <w:rsid w:val="00337AFF"/>
    <w:rsid w:val="00337CF6"/>
    <w:rsid w:val="003401B6"/>
    <w:rsid w:val="00340582"/>
    <w:rsid w:val="003406AC"/>
    <w:rsid w:val="003406F4"/>
    <w:rsid w:val="003408B9"/>
    <w:rsid w:val="003409F1"/>
    <w:rsid w:val="00340B1F"/>
    <w:rsid w:val="00340DCB"/>
    <w:rsid w:val="00341063"/>
    <w:rsid w:val="003410F4"/>
    <w:rsid w:val="0034146D"/>
    <w:rsid w:val="00341558"/>
    <w:rsid w:val="003416E4"/>
    <w:rsid w:val="0034196C"/>
    <w:rsid w:val="0034198E"/>
    <w:rsid w:val="003419E1"/>
    <w:rsid w:val="00341AD5"/>
    <w:rsid w:val="00341BD1"/>
    <w:rsid w:val="00341BEB"/>
    <w:rsid w:val="00341CCC"/>
    <w:rsid w:val="00341D37"/>
    <w:rsid w:val="003423DD"/>
    <w:rsid w:val="003425FB"/>
    <w:rsid w:val="00342A8D"/>
    <w:rsid w:val="00342AD9"/>
    <w:rsid w:val="00342D26"/>
    <w:rsid w:val="00343072"/>
    <w:rsid w:val="003430FE"/>
    <w:rsid w:val="003431CA"/>
    <w:rsid w:val="003431D5"/>
    <w:rsid w:val="00343401"/>
    <w:rsid w:val="0034345C"/>
    <w:rsid w:val="0034349D"/>
    <w:rsid w:val="00343578"/>
    <w:rsid w:val="003435EB"/>
    <w:rsid w:val="003435FE"/>
    <w:rsid w:val="00343972"/>
    <w:rsid w:val="00344012"/>
    <w:rsid w:val="003440D9"/>
    <w:rsid w:val="00344296"/>
    <w:rsid w:val="0034429C"/>
    <w:rsid w:val="00344301"/>
    <w:rsid w:val="0034483F"/>
    <w:rsid w:val="00344840"/>
    <w:rsid w:val="0034488D"/>
    <w:rsid w:val="003448F2"/>
    <w:rsid w:val="00344A92"/>
    <w:rsid w:val="00344D76"/>
    <w:rsid w:val="00344E76"/>
    <w:rsid w:val="00344FB5"/>
    <w:rsid w:val="00345014"/>
    <w:rsid w:val="00345289"/>
    <w:rsid w:val="00345398"/>
    <w:rsid w:val="00345470"/>
    <w:rsid w:val="00345DB5"/>
    <w:rsid w:val="00345E36"/>
    <w:rsid w:val="00345E97"/>
    <w:rsid w:val="00345F88"/>
    <w:rsid w:val="0034602D"/>
    <w:rsid w:val="00346303"/>
    <w:rsid w:val="00346340"/>
    <w:rsid w:val="003466F3"/>
    <w:rsid w:val="003467DB"/>
    <w:rsid w:val="00346892"/>
    <w:rsid w:val="00346997"/>
    <w:rsid w:val="003469B9"/>
    <w:rsid w:val="00346B99"/>
    <w:rsid w:val="00346F94"/>
    <w:rsid w:val="00346FB0"/>
    <w:rsid w:val="003470BE"/>
    <w:rsid w:val="0034756B"/>
    <w:rsid w:val="00347A93"/>
    <w:rsid w:val="00347AB1"/>
    <w:rsid w:val="00347BB6"/>
    <w:rsid w:val="00347E49"/>
    <w:rsid w:val="00347ECA"/>
    <w:rsid w:val="003500B2"/>
    <w:rsid w:val="003501F1"/>
    <w:rsid w:val="0035028F"/>
    <w:rsid w:val="003503FE"/>
    <w:rsid w:val="003504E6"/>
    <w:rsid w:val="0035050D"/>
    <w:rsid w:val="0035055C"/>
    <w:rsid w:val="003505F7"/>
    <w:rsid w:val="0035090E"/>
    <w:rsid w:val="00350D47"/>
    <w:rsid w:val="00350DDE"/>
    <w:rsid w:val="00350E88"/>
    <w:rsid w:val="00350F01"/>
    <w:rsid w:val="00350F1E"/>
    <w:rsid w:val="00351179"/>
    <w:rsid w:val="00351319"/>
    <w:rsid w:val="0035134E"/>
    <w:rsid w:val="0035152F"/>
    <w:rsid w:val="003515BF"/>
    <w:rsid w:val="003516D8"/>
    <w:rsid w:val="003517D5"/>
    <w:rsid w:val="003518ED"/>
    <w:rsid w:val="003518FC"/>
    <w:rsid w:val="00351D25"/>
    <w:rsid w:val="00351DBA"/>
    <w:rsid w:val="003523F4"/>
    <w:rsid w:val="003523FD"/>
    <w:rsid w:val="00352419"/>
    <w:rsid w:val="00352491"/>
    <w:rsid w:val="003527B1"/>
    <w:rsid w:val="00352C8C"/>
    <w:rsid w:val="00352EB5"/>
    <w:rsid w:val="00352F6F"/>
    <w:rsid w:val="00352F7B"/>
    <w:rsid w:val="00353065"/>
    <w:rsid w:val="00353310"/>
    <w:rsid w:val="0035337E"/>
    <w:rsid w:val="0035369C"/>
    <w:rsid w:val="00353751"/>
    <w:rsid w:val="0035377E"/>
    <w:rsid w:val="0035381E"/>
    <w:rsid w:val="003538B7"/>
    <w:rsid w:val="00353ACA"/>
    <w:rsid w:val="00353BE9"/>
    <w:rsid w:val="00353C10"/>
    <w:rsid w:val="003540A2"/>
    <w:rsid w:val="003545FA"/>
    <w:rsid w:val="00354600"/>
    <w:rsid w:val="00354756"/>
    <w:rsid w:val="0035476B"/>
    <w:rsid w:val="00354A06"/>
    <w:rsid w:val="00354DBD"/>
    <w:rsid w:val="00354EE8"/>
    <w:rsid w:val="0035510A"/>
    <w:rsid w:val="0035546F"/>
    <w:rsid w:val="0035571A"/>
    <w:rsid w:val="00355B4C"/>
    <w:rsid w:val="00355BE3"/>
    <w:rsid w:val="00355C83"/>
    <w:rsid w:val="003561AA"/>
    <w:rsid w:val="00356518"/>
    <w:rsid w:val="003565EB"/>
    <w:rsid w:val="0035665B"/>
    <w:rsid w:val="003566CC"/>
    <w:rsid w:val="00356714"/>
    <w:rsid w:val="00356976"/>
    <w:rsid w:val="00356A65"/>
    <w:rsid w:val="00356B73"/>
    <w:rsid w:val="00356C0A"/>
    <w:rsid w:val="00356CAA"/>
    <w:rsid w:val="00356EE1"/>
    <w:rsid w:val="00356F59"/>
    <w:rsid w:val="00357056"/>
    <w:rsid w:val="0035725F"/>
    <w:rsid w:val="003572EF"/>
    <w:rsid w:val="0035749A"/>
    <w:rsid w:val="003578CD"/>
    <w:rsid w:val="00357935"/>
    <w:rsid w:val="00357A64"/>
    <w:rsid w:val="00357AF0"/>
    <w:rsid w:val="00357BC6"/>
    <w:rsid w:val="00357C3E"/>
    <w:rsid w:val="00357C4E"/>
    <w:rsid w:val="00357E4C"/>
    <w:rsid w:val="00357E74"/>
    <w:rsid w:val="00357FA1"/>
    <w:rsid w:val="00360025"/>
    <w:rsid w:val="003602AB"/>
    <w:rsid w:val="003603CD"/>
    <w:rsid w:val="00360553"/>
    <w:rsid w:val="003606EF"/>
    <w:rsid w:val="003606F2"/>
    <w:rsid w:val="0036070D"/>
    <w:rsid w:val="0036076C"/>
    <w:rsid w:val="0036089B"/>
    <w:rsid w:val="003608B0"/>
    <w:rsid w:val="003608ED"/>
    <w:rsid w:val="00360CA6"/>
    <w:rsid w:val="00360D18"/>
    <w:rsid w:val="00360F0D"/>
    <w:rsid w:val="00361339"/>
    <w:rsid w:val="003613C4"/>
    <w:rsid w:val="00361445"/>
    <w:rsid w:val="00361475"/>
    <w:rsid w:val="0036147B"/>
    <w:rsid w:val="00361866"/>
    <w:rsid w:val="00361966"/>
    <w:rsid w:val="00361983"/>
    <w:rsid w:val="00361B9B"/>
    <w:rsid w:val="00361BD5"/>
    <w:rsid w:val="00361E7F"/>
    <w:rsid w:val="00362007"/>
    <w:rsid w:val="003621C4"/>
    <w:rsid w:val="00362426"/>
    <w:rsid w:val="003624A8"/>
    <w:rsid w:val="003624CF"/>
    <w:rsid w:val="003625BC"/>
    <w:rsid w:val="003625C2"/>
    <w:rsid w:val="00362602"/>
    <w:rsid w:val="00362629"/>
    <w:rsid w:val="0036283E"/>
    <w:rsid w:val="00362848"/>
    <w:rsid w:val="003629D7"/>
    <w:rsid w:val="003629F1"/>
    <w:rsid w:val="00362A11"/>
    <w:rsid w:val="00362D54"/>
    <w:rsid w:val="00362DCB"/>
    <w:rsid w:val="00362DF0"/>
    <w:rsid w:val="00362F5D"/>
    <w:rsid w:val="003632F0"/>
    <w:rsid w:val="003634A0"/>
    <w:rsid w:val="00363672"/>
    <w:rsid w:val="0036368B"/>
    <w:rsid w:val="00363803"/>
    <w:rsid w:val="0036387B"/>
    <w:rsid w:val="00363DF9"/>
    <w:rsid w:val="003641BC"/>
    <w:rsid w:val="00364253"/>
    <w:rsid w:val="003642F6"/>
    <w:rsid w:val="0036434A"/>
    <w:rsid w:val="00364369"/>
    <w:rsid w:val="00364639"/>
    <w:rsid w:val="00364804"/>
    <w:rsid w:val="003649E7"/>
    <w:rsid w:val="00364C2F"/>
    <w:rsid w:val="00364CDA"/>
    <w:rsid w:val="00364DE6"/>
    <w:rsid w:val="00364E72"/>
    <w:rsid w:val="00364F38"/>
    <w:rsid w:val="00365047"/>
    <w:rsid w:val="0036506D"/>
    <w:rsid w:val="003650FA"/>
    <w:rsid w:val="00365199"/>
    <w:rsid w:val="003651CA"/>
    <w:rsid w:val="00365250"/>
    <w:rsid w:val="003656AD"/>
    <w:rsid w:val="00365801"/>
    <w:rsid w:val="00365851"/>
    <w:rsid w:val="00365973"/>
    <w:rsid w:val="003659FE"/>
    <w:rsid w:val="00365CF5"/>
    <w:rsid w:val="00365F47"/>
    <w:rsid w:val="00366264"/>
    <w:rsid w:val="0036633B"/>
    <w:rsid w:val="003664A2"/>
    <w:rsid w:val="003664B6"/>
    <w:rsid w:val="003668F6"/>
    <w:rsid w:val="0036696A"/>
    <w:rsid w:val="00366B55"/>
    <w:rsid w:val="00366BDF"/>
    <w:rsid w:val="00366DE1"/>
    <w:rsid w:val="00366FA0"/>
    <w:rsid w:val="0036703C"/>
    <w:rsid w:val="0036717A"/>
    <w:rsid w:val="00367231"/>
    <w:rsid w:val="00367438"/>
    <w:rsid w:val="003675CE"/>
    <w:rsid w:val="00367604"/>
    <w:rsid w:val="00367622"/>
    <w:rsid w:val="00367791"/>
    <w:rsid w:val="00367B30"/>
    <w:rsid w:val="00367C0F"/>
    <w:rsid w:val="00367F24"/>
    <w:rsid w:val="0037004B"/>
    <w:rsid w:val="0037010C"/>
    <w:rsid w:val="00370158"/>
    <w:rsid w:val="003706CD"/>
    <w:rsid w:val="0037082A"/>
    <w:rsid w:val="003709BD"/>
    <w:rsid w:val="003709BE"/>
    <w:rsid w:val="00370A0E"/>
    <w:rsid w:val="00370E0C"/>
    <w:rsid w:val="00371000"/>
    <w:rsid w:val="003710B1"/>
    <w:rsid w:val="003712D5"/>
    <w:rsid w:val="003713CD"/>
    <w:rsid w:val="003716A1"/>
    <w:rsid w:val="00371910"/>
    <w:rsid w:val="00371B71"/>
    <w:rsid w:val="00371F20"/>
    <w:rsid w:val="00371FA8"/>
    <w:rsid w:val="0037239E"/>
    <w:rsid w:val="00372B1B"/>
    <w:rsid w:val="00373184"/>
    <w:rsid w:val="003731DC"/>
    <w:rsid w:val="003733FB"/>
    <w:rsid w:val="003734DF"/>
    <w:rsid w:val="0037354A"/>
    <w:rsid w:val="003737F0"/>
    <w:rsid w:val="00373815"/>
    <w:rsid w:val="0037389B"/>
    <w:rsid w:val="00373A71"/>
    <w:rsid w:val="00373BB4"/>
    <w:rsid w:val="00373DD1"/>
    <w:rsid w:val="00373EE0"/>
    <w:rsid w:val="003741B8"/>
    <w:rsid w:val="00374403"/>
    <w:rsid w:val="0037476D"/>
    <w:rsid w:val="003748EC"/>
    <w:rsid w:val="00374A3C"/>
    <w:rsid w:val="00374CDF"/>
    <w:rsid w:val="00374D90"/>
    <w:rsid w:val="00374FE9"/>
    <w:rsid w:val="0037505E"/>
    <w:rsid w:val="0037512C"/>
    <w:rsid w:val="003751E1"/>
    <w:rsid w:val="003753E7"/>
    <w:rsid w:val="00375736"/>
    <w:rsid w:val="00375945"/>
    <w:rsid w:val="00375A9F"/>
    <w:rsid w:val="00375AEB"/>
    <w:rsid w:val="00375F8D"/>
    <w:rsid w:val="003765D7"/>
    <w:rsid w:val="00376739"/>
    <w:rsid w:val="00376835"/>
    <w:rsid w:val="00376B99"/>
    <w:rsid w:val="00376DF7"/>
    <w:rsid w:val="00376EDD"/>
    <w:rsid w:val="00376F96"/>
    <w:rsid w:val="00377104"/>
    <w:rsid w:val="00377127"/>
    <w:rsid w:val="0037714C"/>
    <w:rsid w:val="00377649"/>
    <w:rsid w:val="00377678"/>
    <w:rsid w:val="00377912"/>
    <w:rsid w:val="00377C08"/>
    <w:rsid w:val="00377C35"/>
    <w:rsid w:val="00377F6B"/>
    <w:rsid w:val="003801E5"/>
    <w:rsid w:val="003802EE"/>
    <w:rsid w:val="003805CF"/>
    <w:rsid w:val="00380741"/>
    <w:rsid w:val="00380B8B"/>
    <w:rsid w:val="00380DB8"/>
    <w:rsid w:val="0038117F"/>
    <w:rsid w:val="003813BC"/>
    <w:rsid w:val="00381488"/>
    <w:rsid w:val="0038159A"/>
    <w:rsid w:val="0038182F"/>
    <w:rsid w:val="00381860"/>
    <w:rsid w:val="00381876"/>
    <w:rsid w:val="00381A4B"/>
    <w:rsid w:val="00381AC8"/>
    <w:rsid w:val="00381C94"/>
    <w:rsid w:val="00381D12"/>
    <w:rsid w:val="0038204A"/>
    <w:rsid w:val="0038204B"/>
    <w:rsid w:val="0038219F"/>
    <w:rsid w:val="003821D2"/>
    <w:rsid w:val="003821F4"/>
    <w:rsid w:val="003822B0"/>
    <w:rsid w:val="0038248A"/>
    <w:rsid w:val="003824D0"/>
    <w:rsid w:val="0038299D"/>
    <w:rsid w:val="00382B84"/>
    <w:rsid w:val="00382C86"/>
    <w:rsid w:val="00382F43"/>
    <w:rsid w:val="0038308D"/>
    <w:rsid w:val="0038310C"/>
    <w:rsid w:val="0038346C"/>
    <w:rsid w:val="00383533"/>
    <w:rsid w:val="003835A1"/>
    <w:rsid w:val="00383A50"/>
    <w:rsid w:val="00384041"/>
    <w:rsid w:val="00384207"/>
    <w:rsid w:val="00384449"/>
    <w:rsid w:val="00384634"/>
    <w:rsid w:val="00384754"/>
    <w:rsid w:val="003847D6"/>
    <w:rsid w:val="0038492C"/>
    <w:rsid w:val="00384C6E"/>
    <w:rsid w:val="00384E36"/>
    <w:rsid w:val="00385049"/>
    <w:rsid w:val="0038517C"/>
    <w:rsid w:val="003853D8"/>
    <w:rsid w:val="003854F1"/>
    <w:rsid w:val="0038551E"/>
    <w:rsid w:val="003856A4"/>
    <w:rsid w:val="0038582F"/>
    <w:rsid w:val="003858AC"/>
    <w:rsid w:val="00385947"/>
    <w:rsid w:val="00385B2F"/>
    <w:rsid w:val="00385B36"/>
    <w:rsid w:val="0038650C"/>
    <w:rsid w:val="0038660D"/>
    <w:rsid w:val="00386753"/>
    <w:rsid w:val="003869F1"/>
    <w:rsid w:val="00386AC0"/>
    <w:rsid w:val="00386BE2"/>
    <w:rsid w:val="00386BF3"/>
    <w:rsid w:val="00386C5C"/>
    <w:rsid w:val="00386D07"/>
    <w:rsid w:val="00386F40"/>
    <w:rsid w:val="00386F42"/>
    <w:rsid w:val="003870D1"/>
    <w:rsid w:val="003870E5"/>
    <w:rsid w:val="00387275"/>
    <w:rsid w:val="0038727C"/>
    <w:rsid w:val="003872D1"/>
    <w:rsid w:val="0038741E"/>
    <w:rsid w:val="0038744D"/>
    <w:rsid w:val="0038769A"/>
    <w:rsid w:val="0038770D"/>
    <w:rsid w:val="00387E25"/>
    <w:rsid w:val="00387FA0"/>
    <w:rsid w:val="00390057"/>
    <w:rsid w:val="0039006C"/>
    <w:rsid w:val="00390106"/>
    <w:rsid w:val="003901E3"/>
    <w:rsid w:val="0039040D"/>
    <w:rsid w:val="00390431"/>
    <w:rsid w:val="003904EB"/>
    <w:rsid w:val="00390515"/>
    <w:rsid w:val="0039064F"/>
    <w:rsid w:val="003906EE"/>
    <w:rsid w:val="00390752"/>
    <w:rsid w:val="00390BCE"/>
    <w:rsid w:val="00390C3D"/>
    <w:rsid w:val="00390CD1"/>
    <w:rsid w:val="00390D3B"/>
    <w:rsid w:val="00390E0C"/>
    <w:rsid w:val="00390F72"/>
    <w:rsid w:val="00391347"/>
    <w:rsid w:val="003913A7"/>
    <w:rsid w:val="00391428"/>
    <w:rsid w:val="00391514"/>
    <w:rsid w:val="00391589"/>
    <w:rsid w:val="0039173D"/>
    <w:rsid w:val="00391829"/>
    <w:rsid w:val="00391968"/>
    <w:rsid w:val="00391AC9"/>
    <w:rsid w:val="00391AE5"/>
    <w:rsid w:val="00391B00"/>
    <w:rsid w:val="00391B6E"/>
    <w:rsid w:val="00391C33"/>
    <w:rsid w:val="00391C39"/>
    <w:rsid w:val="00391D4D"/>
    <w:rsid w:val="00391D82"/>
    <w:rsid w:val="00391EAA"/>
    <w:rsid w:val="0039226B"/>
    <w:rsid w:val="0039226E"/>
    <w:rsid w:val="00392297"/>
    <w:rsid w:val="0039251C"/>
    <w:rsid w:val="00392C1F"/>
    <w:rsid w:val="00392C82"/>
    <w:rsid w:val="00392F29"/>
    <w:rsid w:val="00393110"/>
    <w:rsid w:val="00393A05"/>
    <w:rsid w:val="00393B80"/>
    <w:rsid w:val="00393EFF"/>
    <w:rsid w:val="00393F8A"/>
    <w:rsid w:val="00393FFC"/>
    <w:rsid w:val="00394022"/>
    <w:rsid w:val="00394029"/>
    <w:rsid w:val="0039418F"/>
    <w:rsid w:val="003942DA"/>
    <w:rsid w:val="0039434F"/>
    <w:rsid w:val="003943C5"/>
    <w:rsid w:val="00394670"/>
    <w:rsid w:val="00394684"/>
    <w:rsid w:val="0039476F"/>
    <w:rsid w:val="00394A30"/>
    <w:rsid w:val="00394B65"/>
    <w:rsid w:val="00394C11"/>
    <w:rsid w:val="00394DE6"/>
    <w:rsid w:val="00394F22"/>
    <w:rsid w:val="00395080"/>
    <w:rsid w:val="00395180"/>
    <w:rsid w:val="00395235"/>
    <w:rsid w:val="003952FA"/>
    <w:rsid w:val="003953A6"/>
    <w:rsid w:val="00395462"/>
    <w:rsid w:val="003955AD"/>
    <w:rsid w:val="00395686"/>
    <w:rsid w:val="003956D2"/>
    <w:rsid w:val="003959AC"/>
    <w:rsid w:val="00395BE2"/>
    <w:rsid w:val="00395F1B"/>
    <w:rsid w:val="00396058"/>
    <w:rsid w:val="0039605A"/>
    <w:rsid w:val="00396191"/>
    <w:rsid w:val="003961A1"/>
    <w:rsid w:val="003961E4"/>
    <w:rsid w:val="003963BE"/>
    <w:rsid w:val="0039685E"/>
    <w:rsid w:val="00396B3C"/>
    <w:rsid w:val="00396C72"/>
    <w:rsid w:val="00396DD8"/>
    <w:rsid w:val="00396FDB"/>
    <w:rsid w:val="00397025"/>
    <w:rsid w:val="00397229"/>
    <w:rsid w:val="00397287"/>
    <w:rsid w:val="003972AD"/>
    <w:rsid w:val="0039757E"/>
    <w:rsid w:val="003975F1"/>
    <w:rsid w:val="00397746"/>
    <w:rsid w:val="00397960"/>
    <w:rsid w:val="0039796F"/>
    <w:rsid w:val="00397C35"/>
    <w:rsid w:val="00397CFE"/>
    <w:rsid w:val="00397E17"/>
    <w:rsid w:val="00397E55"/>
    <w:rsid w:val="00397E79"/>
    <w:rsid w:val="00397FB0"/>
    <w:rsid w:val="003A00FE"/>
    <w:rsid w:val="003A03F9"/>
    <w:rsid w:val="003A076E"/>
    <w:rsid w:val="003A086E"/>
    <w:rsid w:val="003A08B2"/>
    <w:rsid w:val="003A0920"/>
    <w:rsid w:val="003A0BBF"/>
    <w:rsid w:val="003A0BE9"/>
    <w:rsid w:val="003A0E1B"/>
    <w:rsid w:val="003A0F28"/>
    <w:rsid w:val="003A11A0"/>
    <w:rsid w:val="003A11F1"/>
    <w:rsid w:val="003A1283"/>
    <w:rsid w:val="003A1584"/>
    <w:rsid w:val="003A15A1"/>
    <w:rsid w:val="003A1808"/>
    <w:rsid w:val="003A1A68"/>
    <w:rsid w:val="003A1AAE"/>
    <w:rsid w:val="003A1C3A"/>
    <w:rsid w:val="003A1FE5"/>
    <w:rsid w:val="003A205B"/>
    <w:rsid w:val="003A2073"/>
    <w:rsid w:val="003A20BF"/>
    <w:rsid w:val="003A20FA"/>
    <w:rsid w:val="003A2321"/>
    <w:rsid w:val="003A25D3"/>
    <w:rsid w:val="003A25FC"/>
    <w:rsid w:val="003A2696"/>
    <w:rsid w:val="003A26AF"/>
    <w:rsid w:val="003A26F7"/>
    <w:rsid w:val="003A27EA"/>
    <w:rsid w:val="003A2882"/>
    <w:rsid w:val="003A2AE6"/>
    <w:rsid w:val="003A2DB9"/>
    <w:rsid w:val="003A2EE5"/>
    <w:rsid w:val="003A2EE6"/>
    <w:rsid w:val="003A306A"/>
    <w:rsid w:val="003A30CD"/>
    <w:rsid w:val="003A3283"/>
    <w:rsid w:val="003A34C4"/>
    <w:rsid w:val="003A34EF"/>
    <w:rsid w:val="003A3543"/>
    <w:rsid w:val="003A35D5"/>
    <w:rsid w:val="003A387D"/>
    <w:rsid w:val="003A3E73"/>
    <w:rsid w:val="003A4056"/>
    <w:rsid w:val="003A4228"/>
    <w:rsid w:val="003A42E5"/>
    <w:rsid w:val="003A430A"/>
    <w:rsid w:val="003A439D"/>
    <w:rsid w:val="003A4850"/>
    <w:rsid w:val="003A4CF8"/>
    <w:rsid w:val="003A4D63"/>
    <w:rsid w:val="003A50FE"/>
    <w:rsid w:val="003A5218"/>
    <w:rsid w:val="003A5358"/>
    <w:rsid w:val="003A536B"/>
    <w:rsid w:val="003A53CB"/>
    <w:rsid w:val="003A55AC"/>
    <w:rsid w:val="003A570C"/>
    <w:rsid w:val="003A5729"/>
    <w:rsid w:val="003A573F"/>
    <w:rsid w:val="003A5A4D"/>
    <w:rsid w:val="003A5E04"/>
    <w:rsid w:val="003A5E8D"/>
    <w:rsid w:val="003A5FA3"/>
    <w:rsid w:val="003A61B5"/>
    <w:rsid w:val="003A633B"/>
    <w:rsid w:val="003A6A7C"/>
    <w:rsid w:val="003A6BA3"/>
    <w:rsid w:val="003A6C08"/>
    <w:rsid w:val="003A6D27"/>
    <w:rsid w:val="003A6DD4"/>
    <w:rsid w:val="003A6FDF"/>
    <w:rsid w:val="003A7121"/>
    <w:rsid w:val="003A75A4"/>
    <w:rsid w:val="003A75CE"/>
    <w:rsid w:val="003A778F"/>
    <w:rsid w:val="003A780C"/>
    <w:rsid w:val="003A7B36"/>
    <w:rsid w:val="003A7B78"/>
    <w:rsid w:val="003A7BBF"/>
    <w:rsid w:val="003B0267"/>
    <w:rsid w:val="003B02D8"/>
    <w:rsid w:val="003B0747"/>
    <w:rsid w:val="003B075C"/>
    <w:rsid w:val="003B0825"/>
    <w:rsid w:val="003B098C"/>
    <w:rsid w:val="003B09CE"/>
    <w:rsid w:val="003B09E7"/>
    <w:rsid w:val="003B0A32"/>
    <w:rsid w:val="003B0B7C"/>
    <w:rsid w:val="003B0BC7"/>
    <w:rsid w:val="003B0FDC"/>
    <w:rsid w:val="003B10BB"/>
    <w:rsid w:val="003B12A6"/>
    <w:rsid w:val="003B1371"/>
    <w:rsid w:val="003B13BE"/>
    <w:rsid w:val="003B1529"/>
    <w:rsid w:val="003B1610"/>
    <w:rsid w:val="003B16C2"/>
    <w:rsid w:val="003B1786"/>
    <w:rsid w:val="003B1806"/>
    <w:rsid w:val="003B1827"/>
    <w:rsid w:val="003B185A"/>
    <w:rsid w:val="003B197C"/>
    <w:rsid w:val="003B19DA"/>
    <w:rsid w:val="003B1F66"/>
    <w:rsid w:val="003B1FB8"/>
    <w:rsid w:val="003B2150"/>
    <w:rsid w:val="003B245C"/>
    <w:rsid w:val="003B24AE"/>
    <w:rsid w:val="003B2507"/>
    <w:rsid w:val="003B25B3"/>
    <w:rsid w:val="003B25FB"/>
    <w:rsid w:val="003B2740"/>
    <w:rsid w:val="003B2748"/>
    <w:rsid w:val="003B277C"/>
    <w:rsid w:val="003B2DF1"/>
    <w:rsid w:val="003B2E71"/>
    <w:rsid w:val="003B2EB7"/>
    <w:rsid w:val="003B2F47"/>
    <w:rsid w:val="003B2F93"/>
    <w:rsid w:val="003B316B"/>
    <w:rsid w:val="003B32AC"/>
    <w:rsid w:val="003B38BD"/>
    <w:rsid w:val="003B3A77"/>
    <w:rsid w:val="003B4006"/>
    <w:rsid w:val="003B442E"/>
    <w:rsid w:val="003B4491"/>
    <w:rsid w:val="003B45A4"/>
    <w:rsid w:val="003B4661"/>
    <w:rsid w:val="003B4740"/>
    <w:rsid w:val="003B4921"/>
    <w:rsid w:val="003B4B81"/>
    <w:rsid w:val="003B4E2A"/>
    <w:rsid w:val="003B510A"/>
    <w:rsid w:val="003B58A9"/>
    <w:rsid w:val="003B58B2"/>
    <w:rsid w:val="003B5A07"/>
    <w:rsid w:val="003B6025"/>
    <w:rsid w:val="003B63DB"/>
    <w:rsid w:val="003B6530"/>
    <w:rsid w:val="003B6892"/>
    <w:rsid w:val="003B6956"/>
    <w:rsid w:val="003B6AFC"/>
    <w:rsid w:val="003B6CA7"/>
    <w:rsid w:val="003B6DDC"/>
    <w:rsid w:val="003B6FD2"/>
    <w:rsid w:val="003B7099"/>
    <w:rsid w:val="003B721E"/>
    <w:rsid w:val="003B731D"/>
    <w:rsid w:val="003B784D"/>
    <w:rsid w:val="003B7B08"/>
    <w:rsid w:val="003B7B36"/>
    <w:rsid w:val="003B7B67"/>
    <w:rsid w:val="003B7D4F"/>
    <w:rsid w:val="003B7D6C"/>
    <w:rsid w:val="003B7E26"/>
    <w:rsid w:val="003B7EF8"/>
    <w:rsid w:val="003C019B"/>
    <w:rsid w:val="003C01A5"/>
    <w:rsid w:val="003C01C7"/>
    <w:rsid w:val="003C02B3"/>
    <w:rsid w:val="003C034B"/>
    <w:rsid w:val="003C0421"/>
    <w:rsid w:val="003C04AC"/>
    <w:rsid w:val="003C05DB"/>
    <w:rsid w:val="003C072E"/>
    <w:rsid w:val="003C079D"/>
    <w:rsid w:val="003C0889"/>
    <w:rsid w:val="003C092B"/>
    <w:rsid w:val="003C092E"/>
    <w:rsid w:val="003C0949"/>
    <w:rsid w:val="003C0ADC"/>
    <w:rsid w:val="003C0AF9"/>
    <w:rsid w:val="003C0C36"/>
    <w:rsid w:val="003C11C4"/>
    <w:rsid w:val="003C13DC"/>
    <w:rsid w:val="003C18E9"/>
    <w:rsid w:val="003C19A0"/>
    <w:rsid w:val="003C2131"/>
    <w:rsid w:val="003C22E6"/>
    <w:rsid w:val="003C23B8"/>
    <w:rsid w:val="003C23DE"/>
    <w:rsid w:val="003C261F"/>
    <w:rsid w:val="003C27D3"/>
    <w:rsid w:val="003C2A51"/>
    <w:rsid w:val="003C2A76"/>
    <w:rsid w:val="003C2B0E"/>
    <w:rsid w:val="003C2B29"/>
    <w:rsid w:val="003C2D2C"/>
    <w:rsid w:val="003C2DD0"/>
    <w:rsid w:val="003C2DEE"/>
    <w:rsid w:val="003C2E6A"/>
    <w:rsid w:val="003C2EC4"/>
    <w:rsid w:val="003C2F8F"/>
    <w:rsid w:val="003C31E1"/>
    <w:rsid w:val="003C31E7"/>
    <w:rsid w:val="003C3259"/>
    <w:rsid w:val="003C3545"/>
    <w:rsid w:val="003C396D"/>
    <w:rsid w:val="003C3A18"/>
    <w:rsid w:val="003C3A5D"/>
    <w:rsid w:val="003C3A81"/>
    <w:rsid w:val="003C3AF1"/>
    <w:rsid w:val="003C3DB1"/>
    <w:rsid w:val="003C3FF4"/>
    <w:rsid w:val="003C40F1"/>
    <w:rsid w:val="003C432E"/>
    <w:rsid w:val="003C44B9"/>
    <w:rsid w:val="003C44DD"/>
    <w:rsid w:val="003C4546"/>
    <w:rsid w:val="003C4633"/>
    <w:rsid w:val="003C46ED"/>
    <w:rsid w:val="003C480A"/>
    <w:rsid w:val="003C4B7D"/>
    <w:rsid w:val="003C4C91"/>
    <w:rsid w:val="003C521A"/>
    <w:rsid w:val="003C524E"/>
    <w:rsid w:val="003C525D"/>
    <w:rsid w:val="003C52B7"/>
    <w:rsid w:val="003C54B5"/>
    <w:rsid w:val="003C55B1"/>
    <w:rsid w:val="003C5614"/>
    <w:rsid w:val="003C57F4"/>
    <w:rsid w:val="003C598B"/>
    <w:rsid w:val="003C5AA1"/>
    <w:rsid w:val="003C5C4D"/>
    <w:rsid w:val="003C5D04"/>
    <w:rsid w:val="003C5F4E"/>
    <w:rsid w:val="003C6278"/>
    <w:rsid w:val="003C6504"/>
    <w:rsid w:val="003C6613"/>
    <w:rsid w:val="003C6724"/>
    <w:rsid w:val="003C6AAB"/>
    <w:rsid w:val="003C6F2D"/>
    <w:rsid w:val="003C6F3A"/>
    <w:rsid w:val="003C7005"/>
    <w:rsid w:val="003C72CD"/>
    <w:rsid w:val="003C733E"/>
    <w:rsid w:val="003C73A1"/>
    <w:rsid w:val="003C74C9"/>
    <w:rsid w:val="003C7548"/>
    <w:rsid w:val="003C767D"/>
    <w:rsid w:val="003C7B20"/>
    <w:rsid w:val="003C7C93"/>
    <w:rsid w:val="003C7FD2"/>
    <w:rsid w:val="003D009A"/>
    <w:rsid w:val="003D0387"/>
    <w:rsid w:val="003D0405"/>
    <w:rsid w:val="003D040E"/>
    <w:rsid w:val="003D07E5"/>
    <w:rsid w:val="003D0872"/>
    <w:rsid w:val="003D0EC0"/>
    <w:rsid w:val="003D0F03"/>
    <w:rsid w:val="003D10A5"/>
    <w:rsid w:val="003D12D8"/>
    <w:rsid w:val="003D140A"/>
    <w:rsid w:val="003D1459"/>
    <w:rsid w:val="003D14D1"/>
    <w:rsid w:val="003D1564"/>
    <w:rsid w:val="003D16CF"/>
    <w:rsid w:val="003D1780"/>
    <w:rsid w:val="003D197C"/>
    <w:rsid w:val="003D1A50"/>
    <w:rsid w:val="003D2260"/>
    <w:rsid w:val="003D230A"/>
    <w:rsid w:val="003D2601"/>
    <w:rsid w:val="003D2726"/>
    <w:rsid w:val="003D2A22"/>
    <w:rsid w:val="003D2BA6"/>
    <w:rsid w:val="003D2FB6"/>
    <w:rsid w:val="003D30A6"/>
    <w:rsid w:val="003D347E"/>
    <w:rsid w:val="003D358B"/>
    <w:rsid w:val="003D36A6"/>
    <w:rsid w:val="003D3CA6"/>
    <w:rsid w:val="003D3D2E"/>
    <w:rsid w:val="003D3DE9"/>
    <w:rsid w:val="003D3FBC"/>
    <w:rsid w:val="003D405E"/>
    <w:rsid w:val="003D42EC"/>
    <w:rsid w:val="003D42F4"/>
    <w:rsid w:val="003D4391"/>
    <w:rsid w:val="003D43B9"/>
    <w:rsid w:val="003D46EB"/>
    <w:rsid w:val="003D4A81"/>
    <w:rsid w:val="003D4CBF"/>
    <w:rsid w:val="003D4DBF"/>
    <w:rsid w:val="003D4EB4"/>
    <w:rsid w:val="003D4EDD"/>
    <w:rsid w:val="003D4F28"/>
    <w:rsid w:val="003D522D"/>
    <w:rsid w:val="003D54C8"/>
    <w:rsid w:val="003D555E"/>
    <w:rsid w:val="003D5608"/>
    <w:rsid w:val="003D5839"/>
    <w:rsid w:val="003D59D1"/>
    <w:rsid w:val="003D5A43"/>
    <w:rsid w:val="003D5CE3"/>
    <w:rsid w:val="003D5D44"/>
    <w:rsid w:val="003D5D7D"/>
    <w:rsid w:val="003D5F32"/>
    <w:rsid w:val="003D5FA3"/>
    <w:rsid w:val="003D6059"/>
    <w:rsid w:val="003D60D8"/>
    <w:rsid w:val="003D62AF"/>
    <w:rsid w:val="003D637E"/>
    <w:rsid w:val="003D63D8"/>
    <w:rsid w:val="003D65AB"/>
    <w:rsid w:val="003D6797"/>
    <w:rsid w:val="003D679E"/>
    <w:rsid w:val="003D6940"/>
    <w:rsid w:val="003D6FFC"/>
    <w:rsid w:val="003D735C"/>
    <w:rsid w:val="003D75A8"/>
    <w:rsid w:val="003D7662"/>
    <w:rsid w:val="003D77B0"/>
    <w:rsid w:val="003D7A54"/>
    <w:rsid w:val="003D7AC7"/>
    <w:rsid w:val="003D7B74"/>
    <w:rsid w:val="003D7F22"/>
    <w:rsid w:val="003E00BD"/>
    <w:rsid w:val="003E00DC"/>
    <w:rsid w:val="003E04FE"/>
    <w:rsid w:val="003E0671"/>
    <w:rsid w:val="003E0685"/>
    <w:rsid w:val="003E0845"/>
    <w:rsid w:val="003E0B48"/>
    <w:rsid w:val="003E0DB9"/>
    <w:rsid w:val="003E0E2B"/>
    <w:rsid w:val="003E1728"/>
    <w:rsid w:val="003E1815"/>
    <w:rsid w:val="003E18EF"/>
    <w:rsid w:val="003E1AEA"/>
    <w:rsid w:val="003E1D0F"/>
    <w:rsid w:val="003E1DA8"/>
    <w:rsid w:val="003E1DDF"/>
    <w:rsid w:val="003E1E1F"/>
    <w:rsid w:val="003E200C"/>
    <w:rsid w:val="003E233E"/>
    <w:rsid w:val="003E251A"/>
    <w:rsid w:val="003E251C"/>
    <w:rsid w:val="003E255E"/>
    <w:rsid w:val="003E2653"/>
    <w:rsid w:val="003E27C6"/>
    <w:rsid w:val="003E2B66"/>
    <w:rsid w:val="003E2BE6"/>
    <w:rsid w:val="003E2E00"/>
    <w:rsid w:val="003E2E67"/>
    <w:rsid w:val="003E3144"/>
    <w:rsid w:val="003E3203"/>
    <w:rsid w:val="003E32AD"/>
    <w:rsid w:val="003E32D7"/>
    <w:rsid w:val="003E342E"/>
    <w:rsid w:val="003E350C"/>
    <w:rsid w:val="003E3610"/>
    <w:rsid w:val="003E3643"/>
    <w:rsid w:val="003E3D94"/>
    <w:rsid w:val="003E3DE3"/>
    <w:rsid w:val="003E3E88"/>
    <w:rsid w:val="003E3FB6"/>
    <w:rsid w:val="003E4068"/>
    <w:rsid w:val="003E410C"/>
    <w:rsid w:val="003E434C"/>
    <w:rsid w:val="003E4489"/>
    <w:rsid w:val="003E4490"/>
    <w:rsid w:val="003E47AF"/>
    <w:rsid w:val="003E496F"/>
    <w:rsid w:val="003E499A"/>
    <w:rsid w:val="003E4A54"/>
    <w:rsid w:val="003E4B21"/>
    <w:rsid w:val="003E4B4C"/>
    <w:rsid w:val="003E4C8E"/>
    <w:rsid w:val="003E4C98"/>
    <w:rsid w:val="003E4E2B"/>
    <w:rsid w:val="003E4F22"/>
    <w:rsid w:val="003E4F2A"/>
    <w:rsid w:val="003E5069"/>
    <w:rsid w:val="003E55E7"/>
    <w:rsid w:val="003E55EB"/>
    <w:rsid w:val="003E568C"/>
    <w:rsid w:val="003E575C"/>
    <w:rsid w:val="003E57D1"/>
    <w:rsid w:val="003E593C"/>
    <w:rsid w:val="003E5A6A"/>
    <w:rsid w:val="003E5B22"/>
    <w:rsid w:val="003E5F90"/>
    <w:rsid w:val="003E60A7"/>
    <w:rsid w:val="003E6290"/>
    <w:rsid w:val="003E66D0"/>
    <w:rsid w:val="003E67CE"/>
    <w:rsid w:val="003E68DE"/>
    <w:rsid w:val="003E6DDA"/>
    <w:rsid w:val="003E6E6A"/>
    <w:rsid w:val="003E6F71"/>
    <w:rsid w:val="003E71C0"/>
    <w:rsid w:val="003E71C9"/>
    <w:rsid w:val="003E7AD5"/>
    <w:rsid w:val="003E7E5E"/>
    <w:rsid w:val="003E7FDE"/>
    <w:rsid w:val="003F02DE"/>
    <w:rsid w:val="003F032A"/>
    <w:rsid w:val="003F04E6"/>
    <w:rsid w:val="003F0507"/>
    <w:rsid w:val="003F05AA"/>
    <w:rsid w:val="003F0902"/>
    <w:rsid w:val="003F0AB2"/>
    <w:rsid w:val="003F1203"/>
    <w:rsid w:val="003F1434"/>
    <w:rsid w:val="003F1814"/>
    <w:rsid w:val="003F18BB"/>
    <w:rsid w:val="003F1939"/>
    <w:rsid w:val="003F1A8C"/>
    <w:rsid w:val="003F1AA8"/>
    <w:rsid w:val="003F1BE6"/>
    <w:rsid w:val="003F1C59"/>
    <w:rsid w:val="003F1CF1"/>
    <w:rsid w:val="003F217D"/>
    <w:rsid w:val="003F2236"/>
    <w:rsid w:val="003F287A"/>
    <w:rsid w:val="003F2C8A"/>
    <w:rsid w:val="003F2C9D"/>
    <w:rsid w:val="003F2CF2"/>
    <w:rsid w:val="003F2CFE"/>
    <w:rsid w:val="003F2D5A"/>
    <w:rsid w:val="003F2E7A"/>
    <w:rsid w:val="003F2E88"/>
    <w:rsid w:val="003F2FC6"/>
    <w:rsid w:val="003F3382"/>
    <w:rsid w:val="003F343A"/>
    <w:rsid w:val="003F34F5"/>
    <w:rsid w:val="003F37A0"/>
    <w:rsid w:val="003F3837"/>
    <w:rsid w:val="003F3871"/>
    <w:rsid w:val="003F3911"/>
    <w:rsid w:val="003F3965"/>
    <w:rsid w:val="003F39DD"/>
    <w:rsid w:val="003F3B4E"/>
    <w:rsid w:val="003F3B87"/>
    <w:rsid w:val="003F3B9C"/>
    <w:rsid w:val="003F3CBB"/>
    <w:rsid w:val="003F3ECC"/>
    <w:rsid w:val="003F4299"/>
    <w:rsid w:val="003F43B9"/>
    <w:rsid w:val="003F465F"/>
    <w:rsid w:val="003F47DB"/>
    <w:rsid w:val="003F4983"/>
    <w:rsid w:val="003F4AF6"/>
    <w:rsid w:val="003F4B36"/>
    <w:rsid w:val="003F4C46"/>
    <w:rsid w:val="003F4DF3"/>
    <w:rsid w:val="003F51F2"/>
    <w:rsid w:val="003F524C"/>
    <w:rsid w:val="003F546C"/>
    <w:rsid w:val="003F550E"/>
    <w:rsid w:val="003F551E"/>
    <w:rsid w:val="003F5558"/>
    <w:rsid w:val="003F5A31"/>
    <w:rsid w:val="003F5D5F"/>
    <w:rsid w:val="003F5E92"/>
    <w:rsid w:val="003F6022"/>
    <w:rsid w:val="003F605D"/>
    <w:rsid w:val="003F612F"/>
    <w:rsid w:val="003F6147"/>
    <w:rsid w:val="003F622E"/>
    <w:rsid w:val="003F62E6"/>
    <w:rsid w:val="003F63AA"/>
    <w:rsid w:val="003F66FE"/>
    <w:rsid w:val="003F6754"/>
    <w:rsid w:val="003F675F"/>
    <w:rsid w:val="003F677B"/>
    <w:rsid w:val="003F67D0"/>
    <w:rsid w:val="003F6898"/>
    <w:rsid w:val="003F68D3"/>
    <w:rsid w:val="003F6B6E"/>
    <w:rsid w:val="003F6EF3"/>
    <w:rsid w:val="003F7158"/>
    <w:rsid w:val="003F716B"/>
    <w:rsid w:val="003F71DF"/>
    <w:rsid w:val="003F733D"/>
    <w:rsid w:val="003F74B8"/>
    <w:rsid w:val="003F7610"/>
    <w:rsid w:val="003F763F"/>
    <w:rsid w:val="003F76E7"/>
    <w:rsid w:val="003F76EE"/>
    <w:rsid w:val="003F79D3"/>
    <w:rsid w:val="003F7B00"/>
    <w:rsid w:val="003F7DF6"/>
    <w:rsid w:val="003F7FBB"/>
    <w:rsid w:val="00400213"/>
    <w:rsid w:val="004002E7"/>
    <w:rsid w:val="0040033B"/>
    <w:rsid w:val="00400497"/>
    <w:rsid w:val="004005FA"/>
    <w:rsid w:val="00400691"/>
    <w:rsid w:val="004007B6"/>
    <w:rsid w:val="004007DA"/>
    <w:rsid w:val="004008AC"/>
    <w:rsid w:val="00400EEE"/>
    <w:rsid w:val="00401040"/>
    <w:rsid w:val="00401468"/>
    <w:rsid w:val="00401502"/>
    <w:rsid w:val="004017F4"/>
    <w:rsid w:val="00401842"/>
    <w:rsid w:val="0040185C"/>
    <w:rsid w:val="00401BBE"/>
    <w:rsid w:val="00401BEC"/>
    <w:rsid w:val="00401C4B"/>
    <w:rsid w:val="00401EC5"/>
    <w:rsid w:val="00402121"/>
    <w:rsid w:val="004021F8"/>
    <w:rsid w:val="004022BE"/>
    <w:rsid w:val="00402352"/>
    <w:rsid w:val="004023A7"/>
    <w:rsid w:val="004024D6"/>
    <w:rsid w:val="0040273E"/>
    <w:rsid w:val="0040284E"/>
    <w:rsid w:val="00402897"/>
    <w:rsid w:val="004028C5"/>
    <w:rsid w:val="004028EC"/>
    <w:rsid w:val="00402930"/>
    <w:rsid w:val="00402963"/>
    <w:rsid w:val="00402CFB"/>
    <w:rsid w:val="00402DC6"/>
    <w:rsid w:val="00402FDC"/>
    <w:rsid w:val="0040312A"/>
    <w:rsid w:val="004031A8"/>
    <w:rsid w:val="004032D5"/>
    <w:rsid w:val="00403308"/>
    <w:rsid w:val="00403326"/>
    <w:rsid w:val="004033FC"/>
    <w:rsid w:val="0040362E"/>
    <w:rsid w:val="0040382C"/>
    <w:rsid w:val="004039DD"/>
    <w:rsid w:val="00403B89"/>
    <w:rsid w:val="00403DB5"/>
    <w:rsid w:val="00403E21"/>
    <w:rsid w:val="00403E3E"/>
    <w:rsid w:val="00403F00"/>
    <w:rsid w:val="00404397"/>
    <w:rsid w:val="004043B3"/>
    <w:rsid w:val="00404406"/>
    <w:rsid w:val="00404728"/>
    <w:rsid w:val="0040487E"/>
    <w:rsid w:val="00404A30"/>
    <w:rsid w:val="00404A5D"/>
    <w:rsid w:val="00404C1C"/>
    <w:rsid w:val="00404C25"/>
    <w:rsid w:val="00404DF6"/>
    <w:rsid w:val="00404E0B"/>
    <w:rsid w:val="00404F93"/>
    <w:rsid w:val="004050A3"/>
    <w:rsid w:val="0040514B"/>
    <w:rsid w:val="00405441"/>
    <w:rsid w:val="00405722"/>
    <w:rsid w:val="0040576A"/>
    <w:rsid w:val="00405B29"/>
    <w:rsid w:val="00405BE9"/>
    <w:rsid w:val="00405D08"/>
    <w:rsid w:val="00405D0E"/>
    <w:rsid w:val="00405DC5"/>
    <w:rsid w:val="00405E25"/>
    <w:rsid w:val="00405F89"/>
    <w:rsid w:val="004060E5"/>
    <w:rsid w:val="00406207"/>
    <w:rsid w:val="004064BD"/>
    <w:rsid w:val="004066B9"/>
    <w:rsid w:val="004066C6"/>
    <w:rsid w:val="00406BC3"/>
    <w:rsid w:val="00406BF5"/>
    <w:rsid w:val="00406CB9"/>
    <w:rsid w:val="00406E95"/>
    <w:rsid w:val="00406FAF"/>
    <w:rsid w:val="00407313"/>
    <w:rsid w:val="00407389"/>
    <w:rsid w:val="004073B1"/>
    <w:rsid w:val="00407415"/>
    <w:rsid w:val="004074EF"/>
    <w:rsid w:val="0040778D"/>
    <w:rsid w:val="00407852"/>
    <w:rsid w:val="00407C8D"/>
    <w:rsid w:val="00407EAE"/>
    <w:rsid w:val="0041004D"/>
    <w:rsid w:val="00410153"/>
    <w:rsid w:val="00410154"/>
    <w:rsid w:val="00410230"/>
    <w:rsid w:val="0041044A"/>
    <w:rsid w:val="0041059A"/>
    <w:rsid w:val="0041060E"/>
    <w:rsid w:val="00410730"/>
    <w:rsid w:val="00410900"/>
    <w:rsid w:val="004109ED"/>
    <w:rsid w:val="00410AE7"/>
    <w:rsid w:val="00410ED0"/>
    <w:rsid w:val="00411050"/>
    <w:rsid w:val="00411271"/>
    <w:rsid w:val="004112A8"/>
    <w:rsid w:val="004112E7"/>
    <w:rsid w:val="004118FC"/>
    <w:rsid w:val="00411B52"/>
    <w:rsid w:val="00411C98"/>
    <w:rsid w:val="00411CC4"/>
    <w:rsid w:val="00411D48"/>
    <w:rsid w:val="00411ECC"/>
    <w:rsid w:val="00411F2D"/>
    <w:rsid w:val="00411FDC"/>
    <w:rsid w:val="004124B0"/>
    <w:rsid w:val="00412501"/>
    <w:rsid w:val="004128C9"/>
    <w:rsid w:val="00412977"/>
    <w:rsid w:val="00412BB9"/>
    <w:rsid w:val="00412BEB"/>
    <w:rsid w:val="00412C1B"/>
    <w:rsid w:val="00412C5C"/>
    <w:rsid w:val="00412F8B"/>
    <w:rsid w:val="00412FF2"/>
    <w:rsid w:val="004131A9"/>
    <w:rsid w:val="00413233"/>
    <w:rsid w:val="00413591"/>
    <w:rsid w:val="004136D1"/>
    <w:rsid w:val="00413773"/>
    <w:rsid w:val="00413867"/>
    <w:rsid w:val="004139BD"/>
    <w:rsid w:val="00413AA9"/>
    <w:rsid w:val="00413B63"/>
    <w:rsid w:val="00413B8F"/>
    <w:rsid w:val="00413BC9"/>
    <w:rsid w:val="00413C61"/>
    <w:rsid w:val="00414249"/>
    <w:rsid w:val="00414341"/>
    <w:rsid w:val="0041450F"/>
    <w:rsid w:val="00414944"/>
    <w:rsid w:val="00414C71"/>
    <w:rsid w:val="00414E2C"/>
    <w:rsid w:val="0041526E"/>
    <w:rsid w:val="004152B4"/>
    <w:rsid w:val="00415982"/>
    <w:rsid w:val="00415A57"/>
    <w:rsid w:val="00415AC4"/>
    <w:rsid w:val="00415B41"/>
    <w:rsid w:val="00415B88"/>
    <w:rsid w:val="004161CB"/>
    <w:rsid w:val="00416281"/>
    <w:rsid w:val="004162FA"/>
    <w:rsid w:val="004163F9"/>
    <w:rsid w:val="004164D0"/>
    <w:rsid w:val="004164E0"/>
    <w:rsid w:val="00416544"/>
    <w:rsid w:val="00416620"/>
    <w:rsid w:val="00416703"/>
    <w:rsid w:val="00416793"/>
    <w:rsid w:val="00416A79"/>
    <w:rsid w:val="00416B46"/>
    <w:rsid w:val="00416C0E"/>
    <w:rsid w:val="00416D73"/>
    <w:rsid w:val="00417303"/>
    <w:rsid w:val="004173BC"/>
    <w:rsid w:val="004174BC"/>
    <w:rsid w:val="00417571"/>
    <w:rsid w:val="0041757C"/>
    <w:rsid w:val="00417845"/>
    <w:rsid w:val="004178CA"/>
    <w:rsid w:val="00417A5A"/>
    <w:rsid w:val="00417AB8"/>
    <w:rsid w:val="00417AC7"/>
    <w:rsid w:val="00417B13"/>
    <w:rsid w:val="00417B44"/>
    <w:rsid w:val="00417E1A"/>
    <w:rsid w:val="00417E64"/>
    <w:rsid w:val="00420317"/>
    <w:rsid w:val="004204D7"/>
    <w:rsid w:val="004205C4"/>
    <w:rsid w:val="004209A8"/>
    <w:rsid w:val="00420A6F"/>
    <w:rsid w:val="00420B18"/>
    <w:rsid w:val="00420BF5"/>
    <w:rsid w:val="00420D0B"/>
    <w:rsid w:val="00420DB7"/>
    <w:rsid w:val="00420E31"/>
    <w:rsid w:val="00420FF9"/>
    <w:rsid w:val="0042111C"/>
    <w:rsid w:val="0042112C"/>
    <w:rsid w:val="00421201"/>
    <w:rsid w:val="00421423"/>
    <w:rsid w:val="00421430"/>
    <w:rsid w:val="0042146D"/>
    <w:rsid w:val="004214B8"/>
    <w:rsid w:val="004216DA"/>
    <w:rsid w:val="0042190B"/>
    <w:rsid w:val="00421A2F"/>
    <w:rsid w:val="00421A3C"/>
    <w:rsid w:val="00421BCB"/>
    <w:rsid w:val="00421BD6"/>
    <w:rsid w:val="00421D12"/>
    <w:rsid w:val="00421F51"/>
    <w:rsid w:val="00421F57"/>
    <w:rsid w:val="00421FDC"/>
    <w:rsid w:val="00422001"/>
    <w:rsid w:val="00422183"/>
    <w:rsid w:val="00422372"/>
    <w:rsid w:val="00422640"/>
    <w:rsid w:val="0042276A"/>
    <w:rsid w:val="00422B7D"/>
    <w:rsid w:val="00422C4F"/>
    <w:rsid w:val="00422D1B"/>
    <w:rsid w:val="00422E93"/>
    <w:rsid w:val="00422F25"/>
    <w:rsid w:val="0042303C"/>
    <w:rsid w:val="0042323E"/>
    <w:rsid w:val="0042324E"/>
    <w:rsid w:val="004232CE"/>
    <w:rsid w:val="004232EC"/>
    <w:rsid w:val="00423339"/>
    <w:rsid w:val="004234C1"/>
    <w:rsid w:val="004234DA"/>
    <w:rsid w:val="00423525"/>
    <w:rsid w:val="004236DD"/>
    <w:rsid w:val="00423EC5"/>
    <w:rsid w:val="00423F0E"/>
    <w:rsid w:val="00423F6E"/>
    <w:rsid w:val="0042438E"/>
    <w:rsid w:val="004243C4"/>
    <w:rsid w:val="004246B3"/>
    <w:rsid w:val="004246CC"/>
    <w:rsid w:val="00424A5F"/>
    <w:rsid w:val="00424A7F"/>
    <w:rsid w:val="00424A8B"/>
    <w:rsid w:val="00424AC0"/>
    <w:rsid w:val="00424D91"/>
    <w:rsid w:val="00424DF1"/>
    <w:rsid w:val="00424E57"/>
    <w:rsid w:val="00424E82"/>
    <w:rsid w:val="00424E9F"/>
    <w:rsid w:val="00424EE5"/>
    <w:rsid w:val="00424FE1"/>
    <w:rsid w:val="0042514F"/>
    <w:rsid w:val="00425270"/>
    <w:rsid w:val="004252CB"/>
    <w:rsid w:val="00425348"/>
    <w:rsid w:val="00425C4A"/>
    <w:rsid w:val="00426137"/>
    <w:rsid w:val="004264E0"/>
    <w:rsid w:val="00426506"/>
    <w:rsid w:val="00426535"/>
    <w:rsid w:val="004266C1"/>
    <w:rsid w:val="0042670C"/>
    <w:rsid w:val="004268F1"/>
    <w:rsid w:val="004269B8"/>
    <w:rsid w:val="00426A2C"/>
    <w:rsid w:val="00426AD0"/>
    <w:rsid w:val="00426E1A"/>
    <w:rsid w:val="00426E34"/>
    <w:rsid w:val="00427161"/>
    <w:rsid w:val="00427245"/>
    <w:rsid w:val="00427266"/>
    <w:rsid w:val="00427301"/>
    <w:rsid w:val="004273C1"/>
    <w:rsid w:val="00427540"/>
    <w:rsid w:val="004277A2"/>
    <w:rsid w:val="00427CD2"/>
    <w:rsid w:val="00427E56"/>
    <w:rsid w:val="00427F51"/>
    <w:rsid w:val="0043000F"/>
    <w:rsid w:val="00430025"/>
    <w:rsid w:val="00430419"/>
    <w:rsid w:val="004304EC"/>
    <w:rsid w:val="00430530"/>
    <w:rsid w:val="00430841"/>
    <w:rsid w:val="00430887"/>
    <w:rsid w:val="004308C8"/>
    <w:rsid w:val="00430A48"/>
    <w:rsid w:val="00430C6A"/>
    <w:rsid w:val="00430D07"/>
    <w:rsid w:val="00430E0C"/>
    <w:rsid w:val="00430E3C"/>
    <w:rsid w:val="00431033"/>
    <w:rsid w:val="00431092"/>
    <w:rsid w:val="004311FA"/>
    <w:rsid w:val="0043150A"/>
    <w:rsid w:val="00431601"/>
    <w:rsid w:val="004317DC"/>
    <w:rsid w:val="00431883"/>
    <w:rsid w:val="004319EE"/>
    <w:rsid w:val="00431A51"/>
    <w:rsid w:val="00431AD0"/>
    <w:rsid w:val="00431E2D"/>
    <w:rsid w:val="00432097"/>
    <w:rsid w:val="00432247"/>
    <w:rsid w:val="004323D1"/>
    <w:rsid w:val="004325EA"/>
    <w:rsid w:val="0043265D"/>
    <w:rsid w:val="00432726"/>
    <w:rsid w:val="0043272D"/>
    <w:rsid w:val="00432D4F"/>
    <w:rsid w:val="004332DF"/>
    <w:rsid w:val="004334CF"/>
    <w:rsid w:val="00433567"/>
    <w:rsid w:val="0043384A"/>
    <w:rsid w:val="00433859"/>
    <w:rsid w:val="00433CD5"/>
    <w:rsid w:val="00433E2C"/>
    <w:rsid w:val="00433E2F"/>
    <w:rsid w:val="00433EFE"/>
    <w:rsid w:val="00433F5F"/>
    <w:rsid w:val="00434402"/>
    <w:rsid w:val="0043445A"/>
    <w:rsid w:val="00434688"/>
    <w:rsid w:val="0043479A"/>
    <w:rsid w:val="004347DE"/>
    <w:rsid w:val="004348DD"/>
    <w:rsid w:val="00434A27"/>
    <w:rsid w:val="00434A6A"/>
    <w:rsid w:val="00434BAC"/>
    <w:rsid w:val="00434D6B"/>
    <w:rsid w:val="00434E87"/>
    <w:rsid w:val="004353E1"/>
    <w:rsid w:val="00435636"/>
    <w:rsid w:val="004357E1"/>
    <w:rsid w:val="0043582E"/>
    <w:rsid w:val="00435A7C"/>
    <w:rsid w:val="00435CAB"/>
    <w:rsid w:val="00435E6D"/>
    <w:rsid w:val="00435F92"/>
    <w:rsid w:val="00436112"/>
    <w:rsid w:val="004362AC"/>
    <w:rsid w:val="0043635D"/>
    <w:rsid w:val="00436368"/>
    <w:rsid w:val="00436539"/>
    <w:rsid w:val="004369A3"/>
    <w:rsid w:val="00436A4F"/>
    <w:rsid w:val="00436B8C"/>
    <w:rsid w:val="00436C37"/>
    <w:rsid w:val="00436E42"/>
    <w:rsid w:val="00436ED1"/>
    <w:rsid w:val="00436F2E"/>
    <w:rsid w:val="00437210"/>
    <w:rsid w:val="00437424"/>
    <w:rsid w:val="00437870"/>
    <w:rsid w:val="00437BCC"/>
    <w:rsid w:val="00437E09"/>
    <w:rsid w:val="00437FFD"/>
    <w:rsid w:val="00440440"/>
    <w:rsid w:val="00440513"/>
    <w:rsid w:val="00440601"/>
    <w:rsid w:val="004408A1"/>
    <w:rsid w:val="004408E1"/>
    <w:rsid w:val="0044092E"/>
    <w:rsid w:val="00440A98"/>
    <w:rsid w:val="00440BDD"/>
    <w:rsid w:val="00440C8C"/>
    <w:rsid w:val="0044103C"/>
    <w:rsid w:val="00441135"/>
    <w:rsid w:val="00441234"/>
    <w:rsid w:val="004412A5"/>
    <w:rsid w:val="004412E2"/>
    <w:rsid w:val="00441366"/>
    <w:rsid w:val="00441487"/>
    <w:rsid w:val="004414F7"/>
    <w:rsid w:val="0044172C"/>
    <w:rsid w:val="00441828"/>
    <w:rsid w:val="004418C4"/>
    <w:rsid w:val="00441965"/>
    <w:rsid w:val="00441BF1"/>
    <w:rsid w:val="00441FC6"/>
    <w:rsid w:val="0044241A"/>
    <w:rsid w:val="00442588"/>
    <w:rsid w:val="004426FF"/>
    <w:rsid w:val="004427D6"/>
    <w:rsid w:val="0044289D"/>
    <w:rsid w:val="00442D9C"/>
    <w:rsid w:val="004430EE"/>
    <w:rsid w:val="0044315F"/>
    <w:rsid w:val="004431AE"/>
    <w:rsid w:val="00443256"/>
    <w:rsid w:val="004435E9"/>
    <w:rsid w:val="004437A2"/>
    <w:rsid w:val="00443C4F"/>
    <w:rsid w:val="00443EF9"/>
    <w:rsid w:val="0044421E"/>
    <w:rsid w:val="00444271"/>
    <w:rsid w:val="004445C4"/>
    <w:rsid w:val="0044472C"/>
    <w:rsid w:val="0044478A"/>
    <w:rsid w:val="004447FA"/>
    <w:rsid w:val="00444815"/>
    <w:rsid w:val="004448E7"/>
    <w:rsid w:val="004448F4"/>
    <w:rsid w:val="00444D6B"/>
    <w:rsid w:val="00444FD0"/>
    <w:rsid w:val="004451B8"/>
    <w:rsid w:val="00445246"/>
    <w:rsid w:val="00445258"/>
    <w:rsid w:val="004452F6"/>
    <w:rsid w:val="004453EA"/>
    <w:rsid w:val="0044547C"/>
    <w:rsid w:val="0044562B"/>
    <w:rsid w:val="00445637"/>
    <w:rsid w:val="0044563E"/>
    <w:rsid w:val="00445734"/>
    <w:rsid w:val="00445B0E"/>
    <w:rsid w:val="00445C7C"/>
    <w:rsid w:val="00445E46"/>
    <w:rsid w:val="00445ED8"/>
    <w:rsid w:val="00446012"/>
    <w:rsid w:val="00446262"/>
    <w:rsid w:val="00446301"/>
    <w:rsid w:val="00446366"/>
    <w:rsid w:val="0044688D"/>
    <w:rsid w:val="004469B0"/>
    <w:rsid w:val="0044721D"/>
    <w:rsid w:val="00447375"/>
    <w:rsid w:val="004474F6"/>
    <w:rsid w:val="00447766"/>
    <w:rsid w:val="00447770"/>
    <w:rsid w:val="00447ABC"/>
    <w:rsid w:val="00447CBE"/>
    <w:rsid w:val="00447D74"/>
    <w:rsid w:val="00447DE6"/>
    <w:rsid w:val="00447E45"/>
    <w:rsid w:val="00450268"/>
    <w:rsid w:val="004502CB"/>
    <w:rsid w:val="00450555"/>
    <w:rsid w:val="00450740"/>
    <w:rsid w:val="0045082F"/>
    <w:rsid w:val="004509BA"/>
    <w:rsid w:val="00450A93"/>
    <w:rsid w:val="00450B6C"/>
    <w:rsid w:val="00450BE8"/>
    <w:rsid w:val="00450BF5"/>
    <w:rsid w:val="00450DFA"/>
    <w:rsid w:val="0045101A"/>
    <w:rsid w:val="004511C6"/>
    <w:rsid w:val="00451328"/>
    <w:rsid w:val="00451732"/>
    <w:rsid w:val="004518FF"/>
    <w:rsid w:val="00451ADE"/>
    <w:rsid w:val="00451B08"/>
    <w:rsid w:val="00451B43"/>
    <w:rsid w:val="00451B64"/>
    <w:rsid w:val="00451B6E"/>
    <w:rsid w:val="0045204D"/>
    <w:rsid w:val="004521F2"/>
    <w:rsid w:val="004521F8"/>
    <w:rsid w:val="004524CE"/>
    <w:rsid w:val="004525B9"/>
    <w:rsid w:val="004525DC"/>
    <w:rsid w:val="00452651"/>
    <w:rsid w:val="004528AA"/>
    <w:rsid w:val="004528F0"/>
    <w:rsid w:val="00452968"/>
    <w:rsid w:val="00452BAC"/>
    <w:rsid w:val="00452DCB"/>
    <w:rsid w:val="00452E15"/>
    <w:rsid w:val="00452E31"/>
    <w:rsid w:val="00453139"/>
    <w:rsid w:val="00453196"/>
    <w:rsid w:val="00453325"/>
    <w:rsid w:val="00453375"/>
    <w:rsid w:val="004533CD"/>
    <w:rsid w:val="004534A9"/>
    <w:rsid w:val="00453655"/>
    <w:rsid w:val="00453689"/>
    <w:rsid w:val="004539CE"/>
    <w:rsid w:val="004539FA"/>
    <w:rsid w:val="004542BD"/>
    <w:rsid w:val="004542D3"/>
    <w:rsid w:val="00454473"/>
    <w:rsid w:val="0045460D"/>
    <w:rsid w:val="004548E2"/>
    <w:rsid w:val="00454DF9"/>
    <w:rsid w:val="00454FAD"/>
    <w:rsid w:val="00454FE2"/>
    <w:rsid w:val="0045507C"/>
    <w:rsid w:val="0045510E"/>
    <w:rsid w:val="004559A0"/>
    <w:rsid w:val="00455A6F"/>
    <w:rsid w:val="00455A9C"/>
    <w:rsid w:val="00455C4D"/>
    <w:rsid w:val="00455F8A"/>
    <w:rsid w:val="00455FF0"/>
    <w:rsid w:val="004560FA"/>
    <w:rsid w:val="004562A9"/>
    <w:rsid w:val="00456490"/>
    <w:rsid w:val="004564BD"/>
    <w:rsid w:val="00456666"/>
    <w:rsid w:val="0045667C"/>
    <w:rsid w:val="00456759"/>
    <w:rsid w:val="0045676A"/>
    <w:rsid w:val="00456CA4"/>
    <w:rsid w:val="00456F87"/>
    <w:rsid w:val="00456FF7"/>
    <w:rsid w:val="0045718F"/>
    <w:rsid w:val="0045722F"/>
    <w:rsid w:val="00457329"/>
    <w:rsid w:val="00457406"/>
    <w:rsid w:val="00457558"/>
    <w:rsid w:val="00457698"/>
    <w:rsid w:val="00457834"/>
    <w:rsid w:val="00457890"/>
    <w:rsid w:val="00457B96"/>
    <w:rsid w:val="00457DBC"/>
    <w:rsid w:val="00457FC2"/>
    <w:rsid w:val="0046014C"/>
    <w:rsid w:val="0046015C"/>
    <w:rsid w:val="00460197"/>
    <w:rsid w:val="004602E9"/>
    <w:rsid w:val="00460445"/>
    <w:rsid w:val="004604EB"/>
    <w:rsid w:val="00460758"/>
    <w:rsid w:val="004607FB"/>
    <w:rsid w:val="0046094C"/>
    <w:rsid w:val="00460AF7"/>
    <w:rsid w:val="00460C3C"/>
    <w:rsid w:val="00460C97"/>
    <w:rsid w:val="00460CCF"/>
    <w:rsid w:val="00460D26"/>
    <w:rsid w:val="00460FFD"/>
    <w:rsid w:val="0046135F"/>
    <w:rsid w:val="0046148D"/>
    <w:rsid w:val="004614A7"/>
    <w:rsid w:val="004615F5"/>
    <w:rsid w:val="0046177C"/>
    <w:rsid w:val="004619CF"/>
    <w:rsid w:val="00461BE7"/>
    <w:rsid w:val="00462159"/>
    <w:rsid w:val="0046295D"/>
    <w:rsid w:val="00462AE4"/>
    <w:rsid w:val="00462AE6"/>
    <w:rsid w:val="00462C4C"/>
    <w:rsid w:val="00462C86"/>
    <w:rsid w:val="00462CFE"/>
    <w:rsid w:val="00462FF7"/>
    <w:rsid w:val="004631C7"/>
    <w:rsid w:val="0046337F"/>
    <w:rsid w:val="004634D9"/>
    <w:rsid w:val="00463661"/>
    <w:rsid w:val="0046368C"/>
    <w:rsid w:val="00463709"/>
    <w:rsid w:val="004637E0"/>
    <w:rsid w:val="004638D0"/>
    <w:rsid w:val="00463AE1"/>
    <w:rsid w:val="00463B86"/>
    <w:rsid w:val="00463C2E"/>
    <w:rsid w:val="00463C31"/>
    <w:rsid w:val="00463E64"/>
    <w:rsid w:val="00463F2E"/>
    <w:rsid w:val="0046405F"/>
    <w:rsid w:val="004641DB"/>
    <w:rsid w:val="0046438E"/>
    <w:rsid w:val="0046452E"/>
    <w:rsid w:val="0046455A"/>
    <w:rsid w:val="004645AB"/>
    <w:rsid w:val="0046479A"/>
    <w:rsid w:val="004647E7"/>
    <w:rsid w:val="00464A01"/>
    <w:rsid w:val="00464B3F"/>
    <w:rsid w:val="00464C8E"/>
    <w:rsid w:val="00464DFE"/>
    <w:rsid w:val="00465359"/>
    <w:rsid w:val="004653DF"/>
    <w:rsid w:val="00465875"/>
    <w:rsid w:val="004658AC"/>
    <w:rsid w:val="00465B77"/>
    <w:rsid w:val="00465BD5"/>
    <w:rsid w:val="00465C86"/>
    <w:rsid w:val="00465CA9"/>
    <w:rsid w:val="00465F1E"/>
    <w:rsid w:val="00465F7A"/>
    <w:rsid w:val="004661CE"/>
    <w:rsid w:val="0046656E"/>
    <w:rsid w:val="00466ABB"/>
    <w:rsid w:val="00466E27"/>
    <w:rsid w:val="00466E7D"/>
    <w:rsid w:val="00467112"/>
    <w:rsid w:val="00467219"/>
    <w:rsid w:val="00467744"/>
    <w:rsid w:val="00467A8B"/>
    <w:rsid w:val="00467B8F"/>
    <w:rsid w:val="00467C27"/>
    <w:rsid w:val="00467C61"/>
    <w:rsid w:val="00467E63"/>
    <w:rsid w:val="00467FCB"/>
    <w:rsid w:val="00470048"/>
    <w:rsid w:val="0047012D"/>
    <w:rsid w:val="00470130"/>
    <w:rsid w:val="00470284"/>
    <w:rsid w:val="00470441"/>
    <w:rsid w:val="004704CA"/>
    <w:rsid w:val="004707A2"/>
    <w:rsid w:val="004707F5"/>
    <w:rsid w:val="0047084B"/>
    <w:rsid w:val="00470AC5"/>
    <w:rsid w:val="00470B50"/>
    <w:rsid w:val="00470C80"/>
    <w:rsid w:val="00470D22"/>
    <w:rsid w:val="00470DFC"/>
    <w:rsid w:val="00470E7D"/>
    <w:rsid w:val="00470EC8"/>
    <w:rsid w:val="0047107C"/>
    <w:rsid w:val="0047109F"/>
    <w:rsid w:val="004710B5"/>
    <w:rsid w:val="00471122"/>
    <w:rsid w:val="0047114E"/>
    <w:rsid w:val="004712AD"/>
    <w:rsid w:val="004716AE"/>
    <w:rsid w:val="00471706"/>
    <w:rsid w:val="00471740"/>
    <w:rsid w:val="004717D1"/>
    <w:rsid w:val="004718AA"/>
    <w:rsid w:val="0047197C"/>
    <w:rsid w:val="00471AD7"/>
    <w:rsid w:val="00471B22"/>
    <w:rsid w:val="00471E7D"/>
    <w:rsid w:val="00471F6F"/>
    <w:rsid w:val="00472138"/>
    <w:rsid w:val="00472191"/>
    <w:rsid w:val="0047221B"/>
    <w:rsid w:val="004722A1"/>
    <w:rsid w:val="0047234A"/>
    <w:rsid w:val="0047243A"/>
    <w:rsid w:val="00472593"/>
    <w:rsid w:val="00472958"/>
    <w:rsid w:val="00472B34"/>
    <w:rsid w:val="00472F71"/>
    <w:rsid w:val="004730A5"/>
    <w:rsid w:val="0047329E"/>
    <w:rsid w:val="004732EA"/>
    <w:rsid w:val="00473325"/>
    <w:rsid w:val="004733B7"/>
    <w:rsid w:val="004735F5"/>
    <w:rsid w:val="00473786"/>
    <w:rsid w:val="004739B2"/>
    <w:rsid w:val="00473B86"/>
    <w:rsid w:val="00473BEE"/>
    <w:rsid w:val="00473C8F"/>
    <w:rsid w:val="004740D0"/>
    <w:rsid w:val="0047429E"/>
    <w:rsid w:val="00474425"/>
    <w:rsid w:val="0047452F"/>
    <w:rsid w:val="004745F5"/>
    <w:rsid w:val="00474836"/>
    <w:rsid w:val="00474A9C"/>
    <w:rsid w:val="00474E21"/>
    <w:rsid w:val="00474ECD"/>
    <w:rsid w:val="004751E3"/>
    <w:rsid w:val="0047583C"/>
    <w:rsid w:val="0047589D"/>
    <w:rsid w:val="004759E0"/>
    <w:rsid w:val="004759ED"/>
    <w:rsid w:val="00475A98"/>
    <w:rsid w:val="00475D8E"/>
    <w:rsid w:val="00475DE2"/>
    <w:rsid w:val="00476045"/>
    <w:rsid w:val="0047605E"/>
    <w:rsid w:val="0047619E"/>
    <w:rsid w:val="00476411"/>
    <w:rsid w:val="004764C0"/>
    <w:rsid w:val="00476630"/>
    <w:rsid w:val="00476910"/>
    <w:rsid w:val="00476A0E"/>
    <w:rsid w:val="00476B23"/>
    <w:rsid w:val="00476B54"/>
    <w:rsid w:val="00476C96"/>
    <w:rsid w:val="00476E31"/>
    <w:rsid w:val="00476E73"/>
    <w:rsid w:val="00476EB3"/>
    <w:rsid w:val="004771C1"/>
    <w:rsid w:val="0047721D"/>
    <w:rsid w:val="004772EF"/>
    <w:rsid w:val="00477489"/>
    <w:rsid w:val="00477898"/>
    <w:rsid w:val="00477B74"/>
    <w:rsid w:val="00477C6F"/>
    <w:rsid w:val="004802CA"/>
    <w:rsid w:val="004804E6"/>
    <w:rsid w:val="00480541"/>
    <w:rsid w:val="004808AC"/>
    <w:rsid w:val="00480945"/>
    <w:rsid w:val="00480DA8"/>
    <w:rsid w:val="00480E48"/>
    <w:rsid w:val="00480E4E"/>
    <w:rsid w:val="00480EC8"/>
    <w:rsid w:val="00481268"/>
    <w:rsid w:val="00481391"/>
    <w:rsid w:val="004813DD"/>
    <w:rsid w:val="004814F1"/>
    <w:rsid w:val="00481729"/>
    <w:rsid w:val="00481846"/>
    <w:rsid w:val="00481916"/>
    <w:rsid w:val="00481BF0"/>
    <w:rsid w:val="00481C51"/>
    <w:rsid w:val="00481CEC"/>
    <w:rsid w:val="00481F0D"/>
    <w:rsid w:val="004821A6"/>
    <w:rsid w:val="004822BB"/>
    <w:rsid w:val="00482702"/>
    <w:rsid w:val="00482745"/>
    <w:rsid w:val="004829DB"/>
    <w:rsid w:val="00482ACD"/>
    <w:rsid w:val="00482D5D"/>
    <w:rsid w:val="004831A6"/>
    <w:rsid w:val="0048325E"/>
    <w:rsid w:val="00483311"/>
    <w:rsid w:val="004833F8"/>
    <w:rsid w:val="004834A3"/>
    <w:rsid w:val="00483547"/>
    <w:rsid w:val="004835A6"/>
    <w:rsid w:val="004836D4"/>
    <w:rsid w:val="0048391B"/>
    <w:rsid w:val="00483A8B"/>
    <w:rsid w:val="00483C8D"/>
    <w:rsid w:val="00483EEA"/>
    <w:rsid w:val="00484291"/>
    <w:rsid w:val="0048489B"/>
    <w:rsid w:val="004848AA"/>
    <w:rsid w:val="00484A4C"/>
    <w:rsid w:val="00484AC9"/>
    <w:rsid w:val="00484BE8"/>
    <w:rsid w:val="00484C3A"/>
    <w:rsid w:val="004850E8"/>
    <w:rsid w:val="0048566F"/>
    <w:rsid w:val="00485691"/>
    <w:rsid w:val="004858DD"/>
    <w:rsid w:val="00485904"/>
    <w:rsid w:val="00485956"/>
    <w:rsid w:val="004859CD"/>
    <w:rsid w:val="00485A27"/>
    <w:rsid w:val="00485A7C"/>
    <w:rsid w:val="00485C7C"/>
    <w:rsid w:val="00485DE9"/>
    <w:rsid w:val="00485EA2"/>
    <w:rsid w:val="00485F7A"/>
    <w:rsid w:val="00485FA9"/>
    <w:rsid w:val="00485FBE"/>
    <w:rsid w:val="004860D9"/>
    <w:rsid w:val="00486656"/>
    <w:rsid w:val="00486871"/>
    <w:rsid w:val="004868D6"/>
    <w:rsid w:val="004869C0"/>
    <w:rsid w:val="00486E81"/>
    <w:rsid w:val="00486F38"/>
    <w:rsid w:val="00486FEA"/>
    <w:rsid w:val="0048711A"/>
    <w:rsid w:val="004871A0"/>
    <w:rsid w:val="00487695"/>
    <w:rsid w:val="00487878"/>
    <w:rsid w:val="004878C9"/>
    <w:rsid w:val="004879E5"/>
    <w:rsid w:val="00487A62"/>
    <w:rsid w:val="00487F1A"/>
    <w:rsid w:val="00487FEC"/>
    <w:rsid w:val="00490053"/>
    <w:rsid w:val="004903B6"/>
    <w:rsid w:val="00490623"/>
    <w:rsid w:val="00490762"/>
    <w:rsid w:val="004907EB"/>
    <w:rsid w:val="00490906"/>
    <w:rsid w:val="00490996"/>
    <w:rsid w:val="00490B61"/>
    <w:rsid w:val="00490C32"/>
    <w:rsid w:val="00491079"/>
    <w:rsid w:val="0049118C"/>
    <w:rsid w:val="00491264"/>
    <w:rsid w:val="00491277"/>
    <w:rsid w:val="004914E4"/>
    <w:rsid w:val="004914EA"/>
    <w:rsid w:val="0049151E"/>
    <w:rsid w:val="00491DB1"/>
    <w:rsid w:val="00491F9C"/>
    <w:rsid w:val="00491FF6"/>
    <w:rsid w:val="00492074"/>
    <w:rsid w:val="00492395"/>
    <w:rsid w:val="0049258B"/>
    <w:rsid w:val="00492658"/>
    <w:rsid w:val="00492B5D"/>
    <w:rsid w:val="00492BFD"/>
    <w:rsid w:val="00492C66"/>
    <w:rsid w:val="00492CFA"/>
    <w:rsid w:val="00492F8D"/>
    <w:rsid w:val="00492FAB"/>
    <w:rsid w:val="00492FE6"/>
    <w:rsid w:val="00493275"/>
    <w:rsid w:val="004934EE"/>
    <w:rsid w:val="00493529"/>
    <w:rsid w:val="004935FE"/>
    <w:rsid w:val="004937BB"/>
    <w:rsid w:val="00493A33"/>
    <w:rsid w:val="00493B4B"/>
    <w:rsid w:val="00493E6F"/>
    <w:rsid w:val="00493F94"/>
    <w:rsid w:val="00494051"/>
    <w:rsid w:val="00494364"/>
    <w:rsid w:val="004947FE"/>
    <w:rsid w:val="0049496B"/>
    <w:rsid w:val="00494B7C"/>
    <w:rsid w:val="00494C29"/>
    <w:rsid w:val="00494C42"/>
    <w:rsid w:val="004950B4"/>
    <w:rsid w:val="004950E3"/>
    <w:rsid w:val="004950E9"/>
    <w:rsid w:val="00495549"/>
    <w:rsid w:val="00495A02"/>
    <w:rsid w:val="00495A1E"/>
    <w:rsid w:val="00495B31"/>
    <w:rsid w:val="00495B49"/>
    <w:rsid w:val="00495D89"/>
    <w:rsid w:val="00495E80"/>
    <w:rsid w:val="00495FA7"/>
    <w:rsid w:val="0049642D"/>
    <w:rsid w:val="00496515"/>
    <w:rsid w:val="0049668F"/>
    <w:rsid w:val="004966C8"/>
    <w:rsid w:val="0049675C"/>
    <w:rsid w:val="0049689C"/>
    <w:rsid w:val="00496A23"/>
    <w:rsid w:val="00496C96"/>
    <w:rsid w:val="00496D13"/>
    <w:rsid w:val="00497627"/>
    <w:rsid w:val="004976D1"/>
    <w:rsid w:val="00497859"/>
    <w:rsid w:val="0049792C"/>
    <w:rsid w:val="004979FD"/>
    <w:rsid w:val="00497C41"/>
    <w:rsid w:val="00497EB2"/>
    <w:rsid w:val="00497F13"/>
    <w:rsid w:val="004A0030"/>
    <w:rsid w:val="004A009E"/>
    <w:rsid w:val="004A01F6"/>
    <w:rsid w:val="004A03BD"/>
    <w:rsid w:val="004A03EA"/>
    <w:rsid w:val="004A06F3"/>
    <w:rsid w:val="004A0795"/>
    <w:rsid w:val="004A0831"/>
    <w:rsid w:val="004A0912"/>
    <w:rsid w:val="004A0AC7"/>
    <w:rsid w:val="004A0C1A"/>
    <w:rsid w:val="004A1049"/>
    <w:rsid w:val="004A1062"/>
    <w:rsid w:val="004A1333"/>
    <w:rsid w:val="004A1550"/>
    <w:rsid w:val="004A15D6"/>
    <w:rsid w:val="004A1691"/>
    <w:rsid w:val="004A1729"/>
    <w:rsid w:val="004A1791"/>
    <w:rsid w:val="004A1B7D"/>
    <w:rsid w:val="004A1BE2"/>
    <w:rsid w:val="004A1D34"/>
    <w:rsid w:val="004A1E3D"/>
    <w:rsid w:val="004A21EC"/>
    <w:rsid w:val="004A2208"/>
    <w:rsid w:val="004A2211"/>
    <w:rsid w:val="004A2293"/>
    <w:rsid w:val="004A23E3"/>
    <w:rsid w:val="004A26BD"/>
    <w:rsid w:val="004A2869"/>
    <w:rsid w:val="004A2A0C"/>
    <w:rsid w:val="004A2A43"/>
    <w:rsid w:val="004A2A5C"/>
    <w:rsid w:val="004A2ADD"/>
    <w:rsid w:val="004A2BA1"/>
    <w:rsid w:val="004A2F11"/>
    <w:rsid w:val="004A2FF2"/>
    <w:rsid w:val="004A32A8"/>
    <w:rsid w:val="004A34E0"/>
    <w:rsid w:val="004A370D"/>
    <w:rsid w:val="004A3934"/>
    <w:rsid w:val="004A39C4"/>
    <w:rsid w:val="004A39FB"/>
    <w:rsid w:val="004A3A07"/>
    <w:rsid w:val="004A3AB1"/>
    <w:rsid w:val="004A3B65"/>
    <w:rsid w:val="004A3ECF"/>
    <w:rsid w:val="004A4486"/>
    <w:rsid w:val="004A4862"/>
    <w:rsid w:val="004A49E9"/>
    <w:rsid w:val="004A4A77"/>
    <w:rsid w:val="004A4B42"/>
    <w:rsid w:val="004A5029"/>
    <w:rsid w:val="004A5116"/>
    <w:rsid w:val="004A5120"/>
    <w:rsid w:val="004A5242"/>
    <w:rsid w:val="004A5346"/>
    <w:rsid w:val="004A5415"/>
    <w:rsid w:val="004A5801"/>
    <w:rsid w:val="004A58C4"/>
    <w:rsid w:val="004A5911"/>
    <w:rsid w:val="004A5954"/>
    <w:rsid w:val="004A59FB"/>
    <w:rsid w:val="004A5CE7"/>
    <w:rsid w:val="004A5FD0"/>
    <w:rsid w:val="004A62DB"/>
    <w:rsid w:val="004A6300"/>
    <w:rsid w:val="004A63D2"/>
    <w:rsid w:val="004A6511"/>
    <w:rsid w:val="004A66A6"/>
    <w:rsid w:val="004A6802"/>
    <w:rsid w:val="004A6A16"/>
    <w:rsid w:val="004A6B8F"/>
    <w:rsid w:val="004A6D87"/>
    <w:rsid w:val="004A6F43"/>
    <w:rsid w:val="004A709D"/>
    <w:rsid w:val="004A7273"/>
    <w:rsid w:val="004A7292"/>
    <w:rsid w:val="004A7451"/>
    <w:rsid w:val="004A75DD"/>
    <w:rsid w:val="004A77A8"/>
    <w:rsid w:val="004A783D"/>
    <w:rsid w:val="004A7928"/>
    <w:rsid w:val="004A79FC"/>
    <w:rsid w:val="004A7B24"/>
    <w:rsid w:val="004A7D9F"/>
    <w:rsid w:val="004A7E1E"/>
    <w:rsid w:val="004A7E53"/>
    <w:rsid w:val="004A7F21"/>
    <w:rsid w:val="004B0114"/>
    <w:rsid w:val="004B0768"/>
    <w:rsid w:val="004B07BF"/>
    <w:rsid w:val="004B093D"/>
    <w:rsid w:val="004B0B0E"/>
    <w:rsid w:val="004B0B48"/>
    <w:rsid w:val="004B0BCF"/>
    <w:rsid w:val="004B0DD0"/>
    <w:rsid w:val="004B0E87"/>
    <w:rsid w:val="004B0EE2"/>
    <w:rsid w:val="004B115C"/>
    <w:rsid w:val="004B12BB"/>
    <w:rsid w:val="004B14EC"/>
    <w:rsid w:val="004B15F0"/>
    <w:rsid w:val="004B1969"/>
    <w:rsid w:val="004B1B33"/>
    <w:rsid w:val="004B1B64"/>
    <w:rsid w:val="004B1BB5"/>
    <w:rsid w:val="004B1BBC"/>
    <w:rsid w:val="004B1C8D"/>
    <w:rsid w:val="004B1D63"/>
    <w:rsid w:val="004B1E1A"/>
    <w:rsid w:val="004B20ED"/>
    <w:rsid w:val="004B222A"/>
    <w:rsid w:val="004B2262"/>
    <w:rsid w:val="004B23C2"/>
    <w:rsid w:val="004B271D"/>
    <w:rsid w:val="004B276A"/>
    <w:rsid w:val="004B2798"/>
    <w:rsid w:val="004B279A"/>
    <w:rsid w:val="004B27BA"/>
    <w:rsid w:val="004B295F"/>
    <w:rsid w:val="004B2C00"/>
    <w:rsid w:val="004B2C4A"/>
    <w:rsid w:val="004B2C80"/>
    <w:rsid w:val="004B2D1C"/>
    <w:rsid w:val="004B2EDF"/>
    <w:rsid w:val="004B3115"/>
    <w:rsid w:val="004B327E"/>
    <w:rsid w:val="004B37A2"/>
    <w:rsid w:val="004B3A70"/>
    <w:rsid w:val="004B3BF3"/>
    <w:rsid w:val="004B3E2B"/>
    <w:rsid w:val="004B3FA8"/>
    <w:rsid w:val="004B407D"/>
    <w:rsid w:val="004B40EE"/>
    <w:rsid w:val="004B42E0"/>
    <w:rsid w:val="004B452E"/>
    <w:rsid w:val="004B46F8"/>
    <w:rsid w:val="004B476F"/>
    <w:rsid w:val="004B498E"/>
    <w:rsid w:val="004B49A0"/>
    <w:rsid w:val="004B49FB"/>
    <w:rsid w:val="004B4A85"/>
    <w:rsid w:val="004B4B8E"/>
    <w:rsid w:val="004B4BF4"/>
    <w:rsid w:val="004B4C7A"/>
    <w:rsid w:val="004B4D50"/>
    <w:rsid w:val="004B5004"/>
    <w:rsid w:val="004B5129"/>
    <w:rsid w:val="004B55E4"/>
    <w:rsid w:val="004B56BB"/>
    <w:rsid w:val="004B56BD"/>
    <w:rsid w:val="004B56C6"/>
    <w:rsid w:val="004B574E"/>
    <w:rsid w:val="004B5894"/>
    <w:rsid w:val="004B595A"/>
    <w:rsid w:val="004B5A5A"/>
    <w:rsid w:val="004B5B9F"/>
    <w:rsid w:val="004B5E1F"/>
    <w:rsid w:val="004B5F95"/>
    <w:rsid w:val="004B5FCB"/>
    <w:rsid w:val="004B6224"/>
    <w:rsid w:val="004B6366"/>
    <w:rsid w:val="004B6724"/>
    <w:rsid w:val="004B6AA5"/>
    <w:rsid w:val="004B70EE"/>
    <w:rsid w:val="004B714E"/>
    <w:rsid w:val="004B715D"/>
    <w:rsid w:val="004B7BCF"/>
    <w:rsid w:val="004B7E3F"/>
    <w:rsid w:val="004B7F51"/>
    <w:rsid w:val="004C0062"/>
    <w:rsid w:val="004C0189"/>
    <w:rsid w:val="004C05BD"/>
    <w:rsid w:val="004C0693"/>
    <w:rsid w:val="004C06BC"/>
    <w:rsid w:val="004C070B"/>
    <w:rsid w:val="004C0779"/>
    <w:rsid w:val="004C0900"/>
    <w:rsid w:val="004C0BEA"/>
    <w:rsid w:val="004C0D11"/>
    <w:rsid w:val="004C10C9"/>
    <w:rsid w:val="004C1215"/>
    <w:rsid w:val="004C1436"/>
    <w:rsid w:val="004C15F4"/>
    <w:rsid w:val="004C17AB"/>
    <w:rsid w:val="004C1980"/>
    <w:rsid w:val="004C1C0F"/>
    <w:rsid w:val="004C1CA6"/>
    <w:rsid w:val="004C1D1E"/>
    <w:rsid w:val="004C1F6C"/>
    <w:rsid w:val="004C1F7D"/>
    <w:rsid w:val="004C2023"/>
    <w:rsid w:val="004C2311"/>
    <w:rsid w:val="004C2372"/>
    <w:rsid w:val="004C2430"/>
    <w:rsid w:val="004C2690"/>
    <w:rsid w:val="004C273E"/>
    <w:rsid w:val="004C2B15"/>
    <w:rsid w:val="004C2BD7"/>
    <w:rsid w:val="004C2D00"/>
    <w:rsid w:val="004C2ED4"/>
    <w:rsid w:val="004C3013"/>
    <w:rsid w:val="004C350C"/>
    <w:rsid w:val="004C3617"/>
    <w:rsid w:val="004C367C"/>
    <w:rsid w:val="004C3A40"/>
    <w:rsid w:val="004C3D0B"/>
    <w:rsid w:val="004C3DEE"/>
    <w:rsid w:val="004C3E32"/>
    <w:rsid w:val="004C3E4B"/>
    <w:rsid w:val="004C3FBB"/>
    <w:rsid w:val="004C41C8"/>
    <w:rsid w:val="004C4378"/>
    <w:rsid w:val="004C4405"/>
    <w:rsid w:val="004C475F"/>
    <w:rsid w:val="004C4834"/>
    <w:rsid w:val="004C48BE"/>
    <w:rsid w:val="004C4C42"/>
    <w:rsid w:val="004C4C80"/>
    <w:rsid w:val="004C4DE3"/>
    <w:rsid w:val="004C4EA7"/>
    <w:rsid w:val="004C4FE5"/>
    <w:rsid w:val="004C4FE7"/>
    <w:rsid w:val="004C5056"/>
    <w:rsid w:val="004C536C"/>
    <w:rsid w:val="004C580C"/>
    <w:rsid w:val="004C5978"/>
    <w:rsid w:val="004C5D03"/>
    <w:rsid w:val="004C5F45"/>
    <w:rsid w:val="004C6081"/>
    <w:rsid w:val="004C608D"/>
    <w:rsid w:val="004C65B2"/>
    <w:rsid w:val="004C65F4"/>
    <w:rsid w:val="004C6BCC"/>
    <w:rsid w:val="004C7116"/>
    <w:rsid w:val="004C7485"/>
    <w:rsid w:val="004C752E"/>
    <w:rsid w:val="004C7646"/>
    <w:rsid w:val="004C7807"/>
    <w:rsid w:val="004C7882"/>
    <w:rsid w:val="004C78C7"/>
    <w:rsid w:val="004C7916"/>
    <w:rsid w:val="004C7927"/>
    <w:rsid w:val="004C7BA7"/>
    <w:rsid w:val="004C7CA8"/>
    <w:rsid w:val="004C7CE7"/>
    <w:rsid w:val="004C7F4B"/>
    <w:rsid w:val="004D0225"/>
    <w:rsid w:val="004D0268"/>
    <w:rsid w:val="004D028A"/>
    <w:rsid w:val="004D04CC"/>
    <w:rsid w:val="004D063C"/>
    <w:rsid w:val="004D0756"/>
    <w:rsid w:val="004D08F2"/>
    <w:rsid w:val="004D0C3F"/>
    <w:rsid w:val="004D0D71"/>
    <w:rsid w:val="004D0E67"/>
    <w:rsid w:val="004D0EAA"/>
    <w:rsid w:val="004D0EE5"/>
    <w:rsid w:val="004D0F06"/>
    <w:rsid w:val="004D0F29"/>
    <w:rsid w:val="004D1264"/>
    <w:rsid w:val="004D1381"/>
    <w:rsid w:val="004D19B0"/>
    <w:rsid w:val="004D1C6B"/>
    <w:rsid w:val="004D1DDA"/>
    <w:rsid w:val="004D2045"/>
    <w:rsid w:val="004D214F"/>
    <w:rsid w:val="004D2183"/>
    <w:rsid w:val="004D237F"/>
    <w:rsid w:val="004D2626"/>
    <w:rsid w:val="004D26B5"/>
    <w:rsid w:val="004D272B"/>
    <w:rsid w:val="004D2782"/>
    <w:rsid w:val="004D28B9"/>
    <w:rsid w:val="004D2959"/>
    <w:rsid w:val="004D29A5"/>
    <w:rsid w:val="004D2A8A"/>
    <w:rsid w:val="004D2E71"/>
    <w:rsid w:val="004D2E74"/>
    <w:rsid w:val="004D3027"/>
    <w:rsid w:val="004D305D"/>
    <w:rsid w:val="004D3167"/>
    <w:rsid w:val="004D3366"/>
    <w:rsid w:val="004D360F"/>
    <w:rsid w:val="004D36F8"/>
    <w:rsid w:val="004D3774"/>
    <w:rsid w:val="004D385A"/>
    <w:rsid w:val="004D3C97"/>
    <w:rsid w:val="004D3E8F"/>
    <w:rsid w:val="004D3F0E"/>
    <w:rsid w:val="004D3F26"/>
    <w:rsid w:val="004D3F7C"/>
    <w:rsid w:val="004D3FAD"/>
    <w:rsid w:val="004D4019"/>
    <w:rsid w:val="004D4450"/>
    <w:rsid w:val="004D464E"/>
    <w:rsid w:val="004D466B"/>
    <w:rsid w:val="004D4A46"/>
    <w:rsid w:val="004D4B13"/>
    <w:rsid w:val="004D4E4C"/>
    <w:rsid w:val="004D4EEE"/>
    <w:rsid w:val="004D507F"/>
    <w:rsid w:val="004D5290"/>
    <w:rsid w:val="004D553F"/>
    <w:rsid w:val="004D59C0"/>
    <w:rsid w:val="004D5A72"/>
    <w:rsid w:val="004D5D88"/>
    <w:rsid w:val="004D6505"/>
    <w:rsid w:val="004D6569"/>
    <w:rsid w:val="004D6672"/>
    <w:rsid w:val="004D675A"/>
    <w:rsid w:val="004D6869"/>
    <w:rsid w:val="004D6925"/>
    <w:rsid w:val="004D6AE0"/>
    <w:rsid w:val="004D6BD6"/>
    <w:rsid w:val="004D6D34"/>
    <w:rsid w:val="004D6E0A"/>
    <w:rsid w:val="004D7662"/>
    <w:rsid w:val="004D76AE"/>
    <w:rsid w:val="004D7ACB"/>
    <w:rsid w:val="004D7B27"/>
    <w:rsid w:val="004D7BF6"/>
    <w:rsid w:val="004D7DA3"/>
    <w:rsid w:val="004D7F00"/>
    <w:rsid w:val="004E00A2"/>
    <w:rsid w:val="004E00D2"/>
    <w:rsid w:val="004E027B"/>
    <w:rsid w:val="004E03E5"/>
    <w:rsid w:val="004E056D"/>
    <w:rsid w:val="004E072D"/>
    <w:rsid w:val="004E0805"/>
    <w:rsid w:val="004E0817"/>
    <w:rsid w:val="004E0A79"/>
    <w:rsid w:val="004E0D2A"/>
    <w:rsid w:val="004E0EBE"/>
    <w:rsid w:val="004E1397"/>
    <w:rsid w:val="004E1504"/>
    <w:rsid w:val="004E1545"/>
    <w:rsid w:val="004E1718"/>
    <w:rsid w:val="004E1958"/>
    <w:rsid w:val="004E205F"/>
    <w:rsid w:val="004E213E"/>
    <w:rsid w:val="004E2190"/>
    <w:rsid w:val="004E22B2"/>
    <w:rsid w:val="004E25D6"/>
    <w:rsid w:val="004E2668"/>
    <w:rsid w:val="004E280D"/>
    <w:rsid w:val="004E2B61"/>
    <w:rsid w:val="004E2C54"/>
    <w:rsid w:val="004E2C68"/>
    <w:rsid w:val="004E2CB9"/>
    <w:rsid w:val="004E2D9D"/>
    <w:rsid w:val="004E2FE7"/>
    <w:rsid w:val="004E3276"/>
    <w:rsid w:val="004E336E"/>
    <w:rsid w:val="004E33EB"/>
    <w:rsid w:val="004E36F6"/>
    <w:rsid w:val="004E3922"/>
    <w:rsid w:val="004E3927"/>
    <w:rsid w:val="004E393C"/>
    <w:rsid w:val="004E3C61"/>
    <w:rsid w:val="004E3CEA"/>
    <w:rsid w:val="004E3F03"/>
    <w:rsid w:val="004E4125"/>
    <w:rsid w:val="004E4425"/>
    <w:rsid w:val="004E4562"/>
    <w:rsid w:val="004E47F7"/>
    <w:rsid w:val="004E488D"/>
    <w:rsid w:val="004E4902"/>
    <w:rsid w:val="004E4CE4"/>
    <w:rsid w:val="004E4F96"/>
    <w:rsid w:val="004E51D0"/>
    <w:rsid w:val="004E5352"/>
    <w:rsid w:val="004E56D7"/>
    <w:rsid w:val="004E56EF"/>
    <w:rsid w:val="004E5743"/>
    <w:rsid w:val="004E57EE"/>
    <w:rsid w:val="004E5844"/>
    <w:rsid w:val="004E58AB"/>
    <w:rsid w:val="004E597C"/>
    <w:rsid w:val="004E5A98"/>
    <w:rsid w:val="004E5B85"/>
    <w:rsid w:val="004E5BB5"/>
    <w:rsid w:val="004E5F1E"/>
    <w:rsid w:val="004E6027"/>
    <w:rsid w:val="004E611B"/>
    <w:rsid w:val="004E6195"/>
    <w:rsid w:val="004E6378"/>
    <w:rsid w:val="004E64FE"/>
    <w:rsid w:val="004E6525"/>
    <w:rsid w:val="004E65F4"/>
    <w:rsid w:val="004E671C"/>
    <w:rsid w:val="004E675C"/>
    <w:rsid w:val="004E6A56"/>
    <w:rsid w:val="004E6A96"/>
    <w:rsid w:val="004E6C0D"/>
    <w:rsid w:val="004E6C23"/>
    <w:rsid w:val="004E6C5B"/>
    <w:rsid w:val="004E6C84"/>
    <w:rsid w:val="004E6D9A"/>
    <w:rsid w:val="004E7083"/>
    <w:rsid w:val="004E71EB"/>
    <w:rsid w:val="004E73AA"/>
    <w:rsid w:val="004E7405"/>
    <w:rsid w:val="004E74F5"/>
    <w:rsid w:val="004E759F"/>
    <w:rsid w:val="004E765B"/>
    <w:rsid w:val="004E7A4F"/>
    <w:rsid w:val="004E7C98"/>
    <w:rsid w:val="004E7C99"/>
    <w:rsid w:val="004E7CA1"/>
    <w:rsid w:val="004E7CF8"/>
    <w:rsid w:val="004E7D28"/>
    <w:rsid w:val="004E7E56"/>
    <w:rsid w:val="004E7E99"/>
    <w:rsid w:val="004F02A2"/>
    <w:rsid w:val="004F03D5"/>
    <w:rsid w:val="004F03E6"/>
    <w:rsid w:val="004F0448"/>
    <w:rsid w:val="004F0509"/>
    <w:rsid w:val="004F05E4"/>
    <w:rsid w:val="004F0753"/>
    <w:rsid w:val="004F08D0"/>
    <w:rsid w:val="004F092B"/>
    <w:rsid w:val="004F0934"/>
    <w:rsid w:val="004F0B6D"/>
    <w:rsid w:val="004F0BD5"/>
    <w:rsid w:val="004F0D37"/>
    <w:rsid w:val="004F0E61"/>
    <w:rsid w:val="004F102C"/>
    <w:rsid w:val="004F14AB"/>
    <w:rsid w:val="004F14FB"/>
    <w:rsid w:val="004F153A"/>
    <w:rsid w:val="004F16BB"/>
    <w:rsid w:val="004F1710"/>
    <w:rsid w:val="004F182E"/>
    <w:rsid w:val="004F1CF1"/>
    <w:rsid w:val="004F20E6"/>
    <w:rsid w:val="004F2215"/>
    <w:rsid w:val="004F22CB"/>
    <w:rsid w:val="004F2690"/>
    <w:rsid w:val="004F2798"/>
    <w:rsid w:val="004F28B5"/>
    <w:rsid w:val="004F2E35"/>
    <w:rsid w:val="004F2F1E"/>
    <w:rsid w:val="004F2F6D"/>
    <w:rsid w:val="004F2FF6"/>
    <w:rsid w:val="004F2FF9"/>
    <w:rsid w:val="004F3196"/>
    <w:rsid w:val="004F3606"/>
    <w:rsid w:val="004F394B"/>
    <w:rsid w:val="004F3A87"/>
    <w:rsid w:val="004F3F3E"/>
    <w:rsid w:val="004F3F77"/>
    <w:rsid w:val="004F4071"/>
    <w:rsid w:val="004F4437"/>
    <w:rsid w:val="004F45F2"/>
    <w:rsid w:val="004F4815"/>
    <w:rsid w:val="004F4843"/>
    <w:rsid w:val="004F4882"/>
    <w:rsid w:val="004F4912"/>
    <w:rsid w:val="004F4B1E"/>
    <w:rsid w:val="004F4BFF"/>
    <w:rsid w:val="004F4DBB"/>
    <w:rsid w:val="004F4F4F"/>
    <w:rsid w:val="004F4FFF"/>
    <w:rsid w:val="004F5151"/>
    <w:rsid w:val="004F523F"/>
    <w:rsid w:val="004F53EE"/>
    <w:rsid w:val="004F55C0"/>
    <w:rsid w:val="004F5A0F"/>
    <w:rsid w:val="004F5BF2"/>
    <w:rsid w:val="004F5F32"/>
    <w:rsid w:val="004F60B7"/>
    <w:rsid w:val="004F617E"/>
    <w:rsid w:val="004F61F9"/>
    <w:rsid w:val="004F631B"/>
    <w:rsid w:val="004F6504"/>
    <w:rsid w:val="004F6507"/>
    <w:rsid w:val="004F6553"/>
    <w:rsid w:val="004F672E"/>
    <w:rsid w:val="004F686F"/>
    <w:rsid w:val="004F6CDF"/>
    <w:rsid w:val="004F6D6A"/>
    <w:rsid w:val="004F6EC8"/>
    <w:rsid w:val="004F700C"/>
    <w:rsid w:val="004F708D"/>
    <w:rsid w:val="004F7204"/>
    <w:rsid w:val="004F731A"/>
    <w:rsid w:val="004F7325"/>
    <w:rsid w:val="004F73FD"/>
    <w:rsid w:val="004F744C"/>
    <w:rsid w:val="004F7508"/>
    <w:rsid w:val="004F75F6"/>
    <w:rsid w:val="004F768C"/>
    <w:rsid w:val="004F7AAE"/>
    <w:rsid w:val="004F7B35"/>
    <w:rsid w:val="004F7C66"/>
    <w:rsid w:val="004F7EED"/>
    <w:rsid w:val="004F7F54"/>
    <w:rsid w:val="004F7F76"/>
    <w:rsid w:val="0050014E"/>
    <w:rsid w:val="0050015C"/>
    <w:rsid w:val="0050020C"/>
    <w:rsid w:val="00500277"/>
    <w:rsid w:val="005002DA"/>
    <w:rsid w:val="00500318"/>
    <w:rsid w:val="00500515"/>
    <w:rsid w:val="005005BE"/>
    <w:rsid w:val="0050069D"/>
    <w:rsid w:val="00500884"/>
    <w:rsid w:val="00500A9C"/>
    <w:rsid w:val="00500CFA"/>
    <w:rsid w:val="00500D7F"/>
    <w:rsid w:val="00500F5C"/>
    <w:rsid w:val="0050100D"/>
    <w:rsid w:val="005011C5"/>
    <w:rsid w:val="00501217"/>
    <w:rsid w:val="0050134D"/>
    <w:rsid w:val="00501408"/>
    <w:rsid w:val="00501452"/>
    <w:rsid w:val="00501738"/>
    <w:rsid w:val="00501B2A"/>
    <w:rsid w:val="00501FD1"/>
    <w:rsid w:val="0050214C"/>
    <w:rsid w:val="0050224A"/>
    <w:rsid w:val="0050255A"/>
    <w:rsid w:val="00502A02"/>
    <w:rsid w:val="00502A20"/>
    <w:rsid w:val="00502AF0"/>
    <w:rsid w:val="00502EA9"/>
    <w:rsid w:val="00502F4A"/>
    <w:rsid w:val="00502FC9"/>
    <w:rsid w:val="0050307A"/>
    <w:rsid w:val="005032D5"/>
    <w:rsid w:val="0050336D"/>
    <w:rsid w:val="00503561"/>
    <w:rsid w:val="005035BD"/>
    <w:rsid w:val="00503868"/>
    <w:rsid w:val="00503B02"/>
    <w:rsid w:val="00503BDF"/>
    <w:rsid w:val="00503C4A"/>
    <w:rsid w:val="00503E48"/>
    <w:rsid w:val="00503F51"/>
    <w:rsid w:val="00503F5D"/>
    <w:rsid w:val="00504100"/>
    <w:rsid w:val="0050474D"/>
    <w:rsid w:val="00504926"/>
    <w:rsid w:val="00504AB9"/>
    <w:rsid w:val="00504E26"/>
    <w:rsid w:val="00505255"/>
    <w:rsid w:val="00505272"/>
    <w:rsid w:val="005052E5"/>
    <w:rsid w:val="00505596"/>
    <w:rsid w:val="005055B6"/>
    <w:rsid w:val="0050568B"/>
    <w:rsid w:val="00505987"/>
    <w:rsid w:val="00505A09"/>
    <w:rsid w:val="00505F12"/>
    <w:rsid w:val="00506026"/>
    <w:rsid w:val="005062A1"/>
    <w:rsid w:val="0050641C"/>
    <w:rsid w:val="00506642"/>
    <w:rsid w:val="00506E8A"/>
    <w:rsid w:val="0050711F"/>
    <w:rsid w:val="00507338"/>
    <w:rsid w:val="005077BF"/>
    <w:rsid w:val="00507BF4"/>
    <w:rsid w:val="00507C1E"/>
    <w:rsid w:val="00507EF6"/>
    <w:rsid w:val="00510082"/>
    <w:rsid w:val="005100AA"/>
    <w:rsid w:val="00510264"/>
    <w:rsid w:val="00510555"/>
    <w:rsid w:val="005108E3"/>
    <w:rsid w:val="00510BDA"/>
    <w:rsid w:val="00510C16"/>
    <w:rsid w:val="00510E53"/>
    <w:rsid w:val="005111B7"/>
    <w:rsid w:val="00511230"/>
    <w:rsid w:val="0051130A"/>
    <w:rsid w:val="00511969"/>
    <w:rsid w:val="005119D9"/>
    <w:rsid w:val="00511AD7"/>
    <w:rsid w:val="00511CC7"/>
    <w:rsid w:val="00511E2E"/>
    <w:rsid w:val="00511E72"/>
    <w:rsid w:val="00511F99"/>
    <w:rsid w:val="00511FB2"/>
    <w:rsid w:val="005121C4"/>
    <w:rsid w:val="00512404"/>
    <w:rsid w:val="005125DF"/>
    <w:rsid w:val="005125F3"/>
    <w:rsid w:val="00512DBB"/>
    <w:rsid w:val="00512EF6"/>
    <w:rsid w:val="00512F8B"/>
    <w:rsid w:val="00512FC3"/>
    <w:rsid w:val="00513104"/>
    <w:rsid w:val="005132A9"/>
    <w:rsid w:val="00513348"/>
    <w:rsid w:val="00513363"/>
    <w:rsid w:val="0051342F"/>
    <w:rsid w:val="005135C0"/>
    <w:rsid w:val="005135DD"/>
    <w:rsid w:val="00513723"/>
    <w:rsid w:val="0051375C"/>
    <w:rsid w:val="00513796"/>
    <w:rsid w:val="005137AF"/>
    <w:rsid w:val="0051380A"/>
    <w:rsid w:val="0051396D"/>
    <w:rsid w:val="00513AC9"/>
    <w:rsid w:val="00513B64"/>
    <w:rsid w:val="0051442D"/>
    <w:rsid w:val="005146B4"/>
    <w:rsid w:val="0051495C"/>
    <w:rsid w:val="005149D4"/>
    <w:rsid w:val="00514D75"/>
    <w:rsid w:val="00514E72"/>
    <w:rsid w:val="005152F3"/>
    <w:rsid w:val="005153BA"/>
    <w:rsid w:val="005155A7"/>
    <w:rsid w:val="00515605"/>
    <w:rsid w:val="00515A1E"/>
    <w:rsid w:val="00515C62"/>
    <w:rsid w:val="00515E33"/>
    <w:rsid w:val="00516068"/>
    <w:rsid w:val="005162B0"/>
    <w:rsid w:val="00516304"/>
    <w:rsid w:val="0051651A"/>
    <w:rsid w:val="0051667D"/>
    <w:rsid w:val="00516921"/>
    <w:rsid w:val="00516977"/>
    <w:rsid w:val="00516B63"/>
    <w:rsid w:val="00516C95"/>
    <w:rsid w:val="00516C9F"/>
    <w:rsid w:val="00517160"/>
    <w:rsid w:val="00517543"/>
    <w:rsid w:val="005176D7"/>
    <w:rsid w:val="00517884"/>
    <w:rsid w:val="00517938"/>
    <w:rsid w:val="00517B77"/>
    <w:rsid w:val="00517C1B"/>
    <w:rsid w:val="00517CF1"/>
    <w:rsid w:val="00517EA7"/>
    <w:rsid w:val="00517ED6"/>
    <w:rsid w:val="00520044"/>
    <w:rsid w:val="005200A2"/>
    <w:rsid w:val="00520596"/>
    <w:rsid w:val="0052065E"/>
    <w:rsid w:val="00520871"/>
    <w:rsid w:val="00520950"/>
    <w:rsid w:val="00520A94"/>
    <w:rsid w:val="00520BBA"/>
    <w:rsid w:val="0052105A"/>
    <w:rsid w:val="005210C7"/>
    <w:rsid w:val="00521397"/>
    <w:rsid w:val="005214E6"/>
    <w:rsid w:val="00521773"/>
    <w:rsid w:val="005219EA"/>
    <w:rsid w:val="00521B00"/>
    <w:rsid w:val="00521EA1"/>
    <w:rsid w:val="005227D8"/>
    <w:rsid w:val="00522C95"/>
    <w:rsid w:val="00522EE2"/>
    <w:rsid w:val="00522F81"/>
    <w:rsid w:val="00523007"/>
    <w:rsid w:val="005231DF"/>
    <w:rsid w:val="00523296"/>
    <w:rsid w:val="005232A4"/>
    <w:rsid w:val="005234C9"/>
    <w:rsid w:val="005235D3"/>
    <w:rsid w:val="00523625"/>
    <w:rsid w:val="0052362B"/>
    <w:rsid w:val="0052372A"/>
    <w:rsid w:val="005238F9"/>
    <w:rsid w:val="00523BE1"/>
    <w:rsid w:val="00523CA3"/>
    <w:rsid w:val="00523FF6"/>
    <w:rsid w:val="00524277"/>
    <w:rsid w:val="005242D8"/>
    <w:rsid w:val="00524481"/>
    <w:rsid w:val="00524542"/>
    <w:rsid w:val="0052463B"/>
    <w:rsid w:val="00524656"/>
    <w:rsid w:val="005246EA"/>
    <w:rsid w:val="00524866"/>
    <w:rsid w:val="005249ED"/>
    <w:rsid w:val="00524A88"/>
    <w:rsid w:val="00524B38"/>
    <w:rsid w:val="00524BA7"/>
    <w:rsid w:val="00524D47"/>
    <w:rsid w:val="00524EBC"/>
    <w:rsid w:val="00524F2C"/>
    <w:rsid w:val="0052504E"/>
    <w:rsid w:val="00525186"/>
    <w:rsid w:val="00525679"/>
    <w:rsid w:val="00525697"/>
    <w:rsid w:val="00525959"/>
    <w:rsid w:val="00525FAF"/>
    <w:rsid w:val="00526304"/>
    <w:rsid w:val="00526354"/>
    <w:rsid w:val="00526361"/>
    <w:rsid w:val="00526395"/>
    <w:rsid w:val="00526553"/>
    <w:rsid w:val="005265E2"/>
    <w:rsid w:val="00526620"/>
    <w:rsid w:val="00526739"/>
    <w:rsid w:val="00526795"/>
    <w:rsid w:val="0052686B"/>
    <w:rsid w:val="00526923"/>
    <w:rsid w:val="0052693C"/>
    <w:rsid w:val="00526A0D"/>
    <w:rsid w:val="00526D79"/>
    <w:rsid w:val="00527064"/>
    <w:rsid w:val="0052706A"/>
    <w:rsid w:val="00527296"/>
    <w:rsid w:val="00527315"/>
    <w:rsid w:val="00527440"/>
    <w:rsid w:val="0052776D"/>
    <w:rsid w:val="00527795"/>
    <w:rsid w:val="00527931"/>
    <w:rsid w:val="00527A7D"/>
    <w:rsid w:val="00527FD9"/>
    <w:rsid w:val="005300B4"/>
    <w:rsid w:val="005301EA"/>
    <w:rsid w:val="005302A0"/>
    <w:rsid w:val="005302AA"/>
    <w:rsid w:val="005303A9"/>
    <w:rsid w:val="005304D8"/>
    <w:rsid w:val="005305A1"/>
    <w:rsid w:val="00530AA4"/>
    <w:rsid w:val="00530B8F"/>
    <w:rsid w:val="00530E12"/>
    <w:rsid w:val="00530F4B"/>
    <w:rsid w:val="00530F9A"/>
    <w:rsid w:val="00531069"/>
    <w:rsid w:val="005311B1"/>
    <w:rsid w:val="0053130C"/>
    <w:rsid w:val="0053166F"/>
    <w:rsid w:val="005319AF"/>
    <w:rsid w:val="00531A84"/>
    <w:rsid w:val="00531B88"/>
    <w:rsid w:val="00531EBF"/>
    <w:rsid w:val="00531ED8"/>
    <w:rsid w:val="005321E5"/>
    <w:rsid w:val="0053228D"/>
    <w:rsid w:val="005324D0"/>
    <w:rsid w:val="00532883"/>
    <w:rsid w:val="00532A3E"/>
    <w:rsid w:val="00532BFB"/>
    <w:rsid w:val="00532C1E"/>
    <w:rsid w:val="00532CF8"/>
    <w:rsid w:val="00532D1E"/>
    <w:rsid w:val="00532DC1"/>
    <w:rsid w:val="00532E0F"/>
    <w:rsid w:val="00532EEB"/>
    <w:rsid w:val="00532FD4"/>
    <w:rsid w:val="0053349B"/>
    <w:rsid w:val="005334DE"/>
    <w:rsid w:val="0053370F"/>
    <w:rsid w:val="00533E38"/>
    <w:rsid w:val="00534000"/>
    <w:rsid w:val="005342B8"/>
    <w:rsid w:val="005342DC"/>
    <w:rsid w:val="00534448"/>
    <w:rsid w:val="005347BD"/>
    <w:rsid w:val="00534CA7"/>
    <w:rsid w:val="00534D09"/>
    <w:rsid w:val="00534E9C"/>
    <w:rsid w:val="005352A8"/>
    <w:rsid w:val="005357FD"/>
    <w:rsid w:val="00535A3E"/>
    <w:rsid w:val="00536133"/>
    <w:rsid w:val="00536258"/>
    <w:rsid w:val="00536262"/>
    <w:rsid w:val="005364AA"/>
    <w:rsid w:val="00536769"/>
    <w:rsid w:val="00536C08"/>
    <w:rsid w:val="00536D95"/>
    <w:rsid w:val="005370E3"/>
    <w:rsid w:val="00537250"/>
    <w:rsid w:val="0053788E"/>
    <w:rsid w:val="00537BA6"/>
    <w:rsid w:val="00537C38"/>
    <w:rsid w:val="00537EB3"/>
    <w:rsid w:val="00540123"/>
    <w:rsid w:val="0054017C"/>
    <w:rsid w:val="00540266"/>
    <w:rsid w:val="005409EC"/>
    <w:rsid w:val="00540A94"/>
    <w:rsid w:val="00540BFC"/>
    <w:rsid w:val="005410E0"/>
    <w:rsid w:val="0054127E"/>
    <w:rsid w:val="005413EB"/>
    <w:rsid w:val="0054145E"/>
    <w:rsid w:val="0054153B"/>
    <w:rsid w:val="005416EA"/>
    <w:rsid w:val="005417FC"/>
    <w:rsid w:val="00541859"/>
    <w:rsid w:val="00541905"/>
    <w:rsid w:val="00541933"/>
    <w:rsid w:val="00541A6A"/>
    <w:rsid w:val="00541ABE"/>
    <w:rsid w:val="00541BDB"/>
    <w:rsid w:val="00541CB4"/>
    <w:rsid w:val="00541D47"/>
    <w:rsid w:val="00541E8E"/>
    <w:rsid w:val="00541F86"/>
    <w:rsid w:val="00542269"/>
    <w:rsid w:val="00542377"/>
    <w:rsid w:val="0054259D"/>
    <w:rsid w:val="005429E3"/>
    <w:rsid w:val="00542E8F"/>
    <w:rsid w:val="0054357C"/>
    <w:rsid w:val="0054359F"/>
    <w:rsid w:val="00543897"/>
    <w:rsid w:val="00543C36"/>
    <w:rsid w:val="00543C8A"/>
    <w:rsid w:val="00543EA8"/>
    <w:rsid w:val="00543F6D"/>
    <w:rsid w:val="005442D8"/>
    <w:rsid w:val="0054436F"/>
    <w:rsid w:val="005445D1"/>
    <w:rsid w:val="005446C7"/>
    <w:rsid w:val="005447FD"/>
    <w:rsid w:val="00544A2C"/>
    <w:rsid w:val="00544C85"/>
    <w:rsid w:val="00544EE5"/>
    <w:rsid w:val="00544EF2"/>
    <w:rsid w:val="00544F96"/>
    <w:rsid w:val="0054500E"/>
    <w:rsid w:val="00545504"/>
    <w:rsid w:val="005456D4"/>
    <w:rsid w:val="00545D3D"/>
    <w:rsid w:val="00545E01"/>
    <w:rsid w:val="00545E0E"/>
    <w:rsid w:val="00545E45"/>
    <w:rsid w:val="00545FD9"/>
    <w:rsid w:val="00546390"/>
    <w:rsid w:val="00546514"/>
    <w:rsid w:val="005466EC"/>
    <w:rsid w:val="0054678A"/>
    <w:rsid w:val="005467C6"/>
    <w:rsid w:val="00546C8B"/>
    <w:rsid w:val="00546D79"/>
    <w:rsid w:val="00546EEC"/>
    <w:rsid w:val="00546FDD"/>
    <w:rsid w:val="00547195"/>
    <w:rsid w:val="00547490"/>
    <w:rsid w:val="0054799C"/>
    <w:rsid w:val="005479B2"/>
    <w:rsid w:val="00547A33"/>
    <w:rsid w:val="00547D82"/>
    <w:rsid w:val="00547DE4"/>
    <w:rsid w:val="00547E32"/>
    <w:rsid w:val="00547E90"/>
    <w:rsid w:val="005500F2"/>
    <w:rsid w:val="005501C6"/>
    <w:rsid w:val="005501C9"/>
    <w:rsid w:val="005501FA"/>
    <w:rsid w:val="0055041B"/>
    <w:rsid w:val="00550503"/>
    <w:rsid w:val="005505AB"/>
    <w:rsid w:val="005505AD"/>
    <w:rsid w:val="00550710"/>
    <w:rsid w:val="00550711"/>
    <w:rsid w:val="005507AD"/>
    <w:rsid w:val="00550863"/>
    <w:rsid w:val="00550877"/>
    <w:rsid w:val="0055087A"/>
    <w:rsid w:val="0055094D"/>
    <w:rsid w:val="0055098B"/>
    <w:rsid w:val="005509AC"/>
    <w:rsid w:val="00550A2A"/>
    <w:rsid w:val="00550B90"/>
    <w:rsid w:val="00550CD0"/>
    <w:rsid w:val="00550E5D"/>
    <w:rsid w:val="00551142"/>
    <w:rsid w:val="005512EE"/>
    <w:rsid w:val="005513F1"/>
    <w:rsid w:val="005515AC"/>
    <w:rsid w:val="00551669"/>
    <w:rsid w:val="0055190E"/>
    <w:rsid w:val="00551A7B"/>
    <w:rsid w:val="00551B94"/>
    <w:rsid w:val="00551BAE"/>
    <w:rsid w:val="00551D51"/>
    <w:rsid w:val="00551D52"/>
    <w:rsid w:val="00551F30"/>
    <w:rsid w:val="00552515"/>
    <w:rsid w:val="0055284C"/>
    <w:rsid w:val="00552A13"/>
    <w:rsid w:val="00553207"/>
    <w:rsid w:val="00553248"/>
    <w:rsid w:val="0055377D"/>
    <w:rsid w:val="005539DA"/>
    <w:rsid w:val="00553CC7"/>
    <w:rsid w:val="005543FA"/>
    <w:rsid w:val="00554CA5"/>
    <w:rsid w:val="00554CF7"/>
    <w:rsid w:val="00554EAE"/>
    <w:rsid w:val="00554EB7"/>
    <w:rsid w:val="00554FA3"/>
    <w:rsid w:val="0055500A"/>
    <w:rsid w:val="00555429"/>
    <w:rsid w:val="0055544A"/>
    <w:rsid w:val="0055595B"/>
    <w:rsid w:val="00555B15"/>
    <w:rsid w:val="00555C44"/>
    <w:rsid w:val="00555F02"/>
    <w:rsid w:val="005560FA"/>
    <w:rsid w:val="00556542"/>
    <w:rsid w:val="00556717"/>
    <w:rsid w:val="005567A8"/>
    <w:rsid w:val="00556924"/>
    <w:rsid w:val="005569DB"/>
    <w:rsid w:val="00556B9D"/>
    <w:rsid w:val="00556CA7"/>
    <w:rsid w:val="00556FC1"/>
    <w:rsid w:val="005570DF"/>
    <w:rsid w:val="005572AD"/>
    <w:rsid w:val="005573E2"/>
    <w:rsid w:val="005574A7"/>
    <w:rsid w:val="00557642"/>
    <w:rsid w:val="00557696"/>
    <w:rsid w:val="005577CF"/>
    <w:rsid w:val="00557848"/>
    <w:rsid w:val="00557994"/>
    <w:rsid w:val="00557ABC"/>
    <w:rsid w:val="00557F2B"/>
    <w:rsid w:val="00557FCF"/>
    <w:rsid w:val="00560038"/>
    <w:rsid w:val="00560170"/>
    <w:rsid w:val="00560303"/>
    <w:rsid w:val="00560374"/>
    <w:rsid w:val="00560705"/>
    <w:rsid w:val="00560806"/>
    <w:rsid w:val="00560B1B"/>
    <w:rsid w:val="00560B9F"/>
    <w:rsid w:val="00560C05"/>
    <w:rsid w:val="00560C9C"/>
    <w:rsid w:val="00560DC2"/>
    <w:rsid w:val="00560ED1"/>
    <w:rsid w:val="00560F48"/>
    <w:rsid w:val="005611C6"/>
    <w:rsid w:val="005614B4"/>
    <w:rsid w:val="0056151E"/>
    <w:rsid w:val="0056161C"/>
    <w:rsid w:val="00561875"/>
    <w:rsid w:val="00561889"/>
    <w:rsid w:val="005619C2"/>
    <w:rsid w:val="00561AA2"/>
    <w:rsid w:val="00561BC7"/>
    <w:rsid w:val="00561F2C"/>
    <w:rsid w:val="00562152"/>
    <w:rsid w:val="0056232E"/>
    <w:rsid w:val="00562369"/>
    <w:rsid w:val="00562457"/>
    <w:rsid w:val="00562714"/>
    <w:rsid w:val="005628A9"/>
    <w:rsid w:val="00562990"/>
    <w:rsid w:val="00562B1A"/>
    <w:rsid w:val="00562BB0"/>
    <w:rsid w:val="00562C01"/>
    <w:rsid w:val="00562C40"/>
    <w:rsid w:val="00562C76"/>
    <w:rsid w:val="00563073"/>
    <w:rsid w:val="005631FC"/>
    <w:rsid w:val="0056324B"/>
    <w:rsid w:val="00563363"/>
    <w:rsid w:val="005637FA"/>
    <w:rsid w:val="00563834"/>
    <w:rsid w:val="0056392D"/>
    <w:rsid w:val="00563945"/>
    <w:rsid w:val="00563966"/>
    <w:rsid w:val="005639CD"/>
    <w:rsid w:val="00563A85"/>
    <w:rsid w:val="00563AA5"/>
    <w:rsid w:val="00563B33"/>
    <w:rsid w:val="00563BD5"/>
    <w:rsid w:val="00563E03"/>
    <w:rsid w:val="00563FAE"/>
    <w:rsid w:val="00564177"/>
    <w:rsid w:val="00564235"/>
    <w:rsid w:val="00564320"/>
    <w:rsid w:val="005643EF"/>
    <w:rsid w:val="0056445A"/>
    <w:rsid w:val="00564834"/>
    <w:rsid w:val="00564A01"/>
    <w:rsid w:val="00564C7B"/>
    <w:rsid w:val="00564DC7"/>
    <w:rsid w:val="00564E11"/>
    <w:rsid w:val="00564F94"/>
    <w:rsid w:val="00565280"/>
    <w:rsid w:val="00565434"/>
    <w:rsid w:val="00565490"/>
    <w:rsid w:val="005656B8"/>
    <w:rsid w:val="00565A3E"/>
    <w:rsid w:val="00565AFA"/>
    <w:rsid w:val="00565C18"/>
    <w:rsid w:val="00565C6E"/>
    <w:rsid w:val="00565C7C"/>
    <w:rsid w:val="00566006"/>
    <w:rsid w:val="005662A6"/>
    <w:rsid w:val="005663DA"/>
    <w:rsid w:val="005666A5"/>
    <w:rsid w:val="00566992"/>
    <w:rsid w:val="00566ABD"/>
    <w:rsid w:val="00566BA6"/>
    <w:rsid w:val="00566BE9"/>
    <w:rsid w:val="00566E6C"/>
    <w:rsid w:val="00567076"/>
    <w:rsid w:val="005672E0"/>
    <w:rsid w:val="00567375"/>
    <w:rsid w:val="0056738E"/>
    <w:rsid w:val="0056753C"/>
    <w:rsid w:val="0056754F"/>
    <w:rsid w:val="0056770E"/>
    <w:rsid w:val="00567852"/>
    <w:rsid w:val="00567980"/>
    <w:rsid w:val="005679AA"/>
    <w:rsid w:val="00567CE1"/>
    <w:rsid w:val="00567F2E"/>
    <w:rsid w:val="00570064"/>
    <w:rsid w:val="0057012F"/>
    <w:rsid w:val="005702F0"/>
    <w:rsid w:val="005707C3"/>
    <w:rsid w:val="00570A45"/>
    <w:rsid w:val="00570B3D"/>
    <w:rsid w:val="00570C5F"/>
    <w:rsid w:val="00570E12"/>
    <w:rsid w:val="00570E42"/>
    <w:rsid w:val="0057128C"/>
    <w:rsid w:val="00571827"/>
    <w:rsid w:val="0057199C"/>
    <w:rsid w:val="00571A68"/>
    <w:rsid w:val="00571D5D"/>
    <w:rsid w:val="00571D8C"/>
    <w:rsid w:val="00571F95"/>
    <w:rsid w:val="00571FDF"/>
    <w:rsid w:val="0057202C"/>
    <w:rsid w:val="005721D4"/>
    <w:rsid w:val="00572459"/>
    <w:rsid w:val="00572745"/>
    <w:rsid w:val="00572757"/>
    <w:rsid w:val="0057288C"/>
    <w:rsid w:val="00572D93"/>
    <w:rsid w:val="00572E16"/>
    <w:rsid w:val="00572E75"/>
    <w:rsid w:val="00572F22"/>
    <w:rsid w:val="0057313E"/>
    <w:rsid w:val="0057378E"/>
    <w:rsid w:val="00573A39"/>
    <w:rsid w:val="00573C09"/>
    <w:rsid w:val="00573C36"/>
    <w:rsid w:val="00573FF5"/>
    <w:rsid w:val="005740A1"/>
    <w:rsid w:val="005744AE"/>
    <w:rsid w:val="005747E5"/>
    <w:rsid w:val="005748E6"/>
    <w:rsid w:val="005748F1"/>
    <w:rsid w:val="00574905"/>
    <w:rsid w:val="0057497B"/>
    <w:rsid w:val="00574AE8"/>
    <w:rsid w:val="00574B0E"/>
    <w:rsid w:val="00574D16"/>
    <w:rsid w:val="00574E69"/>
    <w:rsid w:val="00574ED2"/>
    <w:rsid w:val="0057500C"/>
    <w:rsid w:val="00575053"/>
    <w:rsid w:val="005754E2"/>
    <w:rsid w:val="005756AC"/>
    <w:rsid w:val="00575948"/>
    <w:rsid w:val="00575CCE"/>
    <w:rsid w:val="00575F03"/>
    <w:rsid w:val="00576016"/>
    <w:rsid w:val="00576077"/>
    <w:rsid w:val="00576142"/>
    <w:rsid w:val="005763DA"/>
    <w:rsid w:val="00576457"/>
    <w:rsid w:val="00576495"/>
    <w:rsid w:val="00576889"/>
    <w:rsid w:val="0057691D"/>
    <w:rsid w:val="00576B7B"/>
    <w:rsid w:val="00576DC9"/>
    <w:rsid w:val="00576DD1"/>
    <w:rsid w:val="00576E7F"/>
    <w:rsid w:val="0057709A"/>
    <w:rsid w:val="005770BD"/>
    <w:rsid w:val="00577203"/>
    <w:rsid w:val="00577A3E"/>
    <w:rsid w:val="00577A93"/>
    <w:rsid w:val="00577CE2"/>
    <w:rsid w:val="00577E7F"/>
    <w:rsid w:val="00577E96"/>
    <w:rsid w:val="0058012F"/>
    <w:rsid w:val="00580141"/>
    <w:rsid w:val="00580256"/>
    <w:rsid w:val="005802E5"/>
    <w:rsid w:val="00580A82"/>
    <w:rsid w:val="00580AAC"/>
    <w:rsid w:val="00580B18"/>
    <w:rsid w:val="0058100C"/>
    <w:rsid w:val="0058128D"/>
    <w:rsid w:val="00581425"/>
    <w:rsid w:val="005814B7"/>
    <w:rsid w:val="0058184B"/>
    <w:rsid w:val="005819EA"/>
    <w:rsid w:val="005819FC"/>
    <w:rsid w:val="00581CEF"/>
    <w:rsid w:val="00581D23"/>
    <w:rsid w:val="00581E3D"/>
    <w:rsid w:val="00581F42"/>
    <w:rsid w:val="00581F47"/>
    <w:rsid w:val="005821AC"/>
    <w:rsid w:val="005824A7"/>
    <w:rsid w:val="0058264C"/>
    <w:rsid w:val="00582794"/>
    <w:rsid w:val="005828A2"/>
    <w:rsid w:val="00582A0B"/>
    <w:rsid w:val="00582AF9"/>
    <w:rsid w:val="00582AFF"/>
    <w:rsid w:val="00582D04"/>
    <w:rsid w:val="00582DC3"/>
    <w:rsid w:val="00582E50"/>
    <w:rsid w:val="00582EB4"/>
    <w:rsid w:val="00582FD6"/>
    <w:rsid w:val="00583324"/>
    <w:rsid w:val="00583479"/>
    <w:rsid w:val="00583568"/>
    <w:rsid w:val="005838CE"/>
    <w:rsid w:val="00583944"/>
    <w:rsid w:val="00583AB2"/>
    <w:rsid w:val="00583B59"/>
    <w:rsid w:val="00583B60"/>
    <w:rsid w:val="00583C04"/>
    <w:rsid w:val="00584278"/>
    <w:rsid w:val="0058441C"/>
    <w:rsid w:val="00584502"/>
    <w:rsid w:val="0058455F"/>
    <w:rsid w:val="00584870"/>
    <w:rsid w:val="0058488B"/>
    <w:rsid w:val="00584A23"/>
    <w:rsid w:val="00584AA8"/>
    <w:rsid w:val="00584C8A"/>
    <w:rsid w:val="00584E2A"/>
    <w:rsid w:val="00585063"/>
    <w:rsid w:val="00585177"/>
    <w:rsid w:val="0058550A"/>
    <w:rsid w:val="00585608"/>
    <w:rsid w:val="00585A68"/>
    <w:rsid w:val="00585D24"/>
    <w:rsid w:val="00585DF4"/>
    <w:rsid w:val="00585EC8"/>
    <w:rsid w:val="00585EDC"/>
    <w:rsid w:val="00586027"/>
    <w:rsid w:val="005862BB"/>
    <w:rsid w:val="0058635E"/>
    <w:rsid w:val="0058654F"/>
    <w:rsid w:val="005865BA"/>
    <w:rsid w:val="00586B43"/>
    <w:rsid w:val="00586F8E"/>
    <w:rsid w:val="00586FA6"/>
    <w:rsid w:val="00586FDA"/>
    <w:rsid w:val="00586FEE"/>
    <w:rsid w:val="005872C6"/>
    <w:rsid w:val="0058731F"/>
    <w:rsid w:val="005873B9"/>
    <w:rsid w:val="005874B9"/>
    <w:rsid w:val="00587665"/>
    <w:rsid w:val="00587707"/>
    <w:rsid w:val="005878C2"/>
    <w:rsid w:val="00587E4B"/>
    <w:rsid w:val="00587EC1"/>
    <w:rsid w:val="00590035"/>
    <w:rsid w:val="005900CA"/>
    <w:rsid w:val="0059033D"/>
    <w:rsid w:val="0059039A"/>
    <w:rsid w:val="00590412"/>
    <w:rsid w:val="00590453"/>
    <w:rsid w:val="00590602"/>
    <w:rsid w:val="0059065F"/>
    <w:rsid w:val="00590A91"/>
    <w:rsid w:val="00590B67"/>
    <w:rsid w:val="00590CD2"/>
    <w:rsid w:val="00590DE2"/>
    <w:rsid w:val="0059108F"/>
    <w:rsid w:val="005910D4"/>
    <w:rsid w:val="0059110A"/>
    <w:rsid w:val="00591113"/>
    <w:rsid w:val="00591948"/>
    <w:rsid w:val="00591958"/>
    <w:rsid w:val="005919E7"/>
    <w:rsid w:val="00591A2D"/>
    <w:rsid w:val="00591A59"/>
    <w:rsid w:val="00591C01"/>
    <w:rsid w:val="00591C1D"/>
    <w:rsid w:val="00591D37"/>
    <w:rsid w:val="00591F00"/>
    <w:rsid w:val="005922DD"/>
    <w:rsid w:val="005927F0"/>
    <w:rsid w:val="00592C97"/>
    <w:rsid w:val="00592D35"/>
    <w:rsid w:val="00592D86"/>
    <w:rsid w:val="00592DF6"/>
    <w:rsid w:val="00592F04"/>
    <w:rsid w:val="00592F28"/>
    <w:rsid w:val="00592FBB"/>
    <w:rsid w:val="00593098"/>
    <w:rsid w:val="005930EE"/>
    <w:rsid w:val="005933A6"/>
    <w:rsid w:val="005933BA"/>
    <w:rsid w:val="005936B5"/>
    <w:rsid w:val="00593949"/>
    <w:rsid w:val="00593A8E"/>
    <w:rsid w:val="00593B72"/>
    <w:rsid w:val="00593C7E"/>
    <w:rsid w:val="00593E6F"/>
    <w:rsid w:val="00593E85"/>
    <w:rsid w:val="00593F72"/>
    <w:rsid w:val="00593FCB"/>
    <w:rsid w:val="005940D1"/>
    <w:rsid w:val="0059419E"/>
    <w:rsid w:val="0059427B"/>
    <w:rsid w:val="00594462"/>
    <w:rsid w:val="00594482"/>
    <w:rsid w:val="005946CC"/>
    <w:rsid w:val="005946D0"/>
    <w:rsid w:val="00594795"/>
    <w:rsid w:val="0059492A"/>
    <w:rsid w:val="00594964"/>
    <w:rsid w:val="00594E2D"/>
    <w:rsid w:val="00594F0C"/>
    <w:rsid w:val="0059505E"/>
    <w:rsid w:val="0059551B"/>
    <w:rsid w:val="005957C8"/>
    <w:rsid w:val="0059586C"/>
    <w:rsid w:val="005958A8"/>
    <w:rsid w:val="0059593D"/>
    <w:rsid w:val="00595A04"/>
    <w:rsid w:val="00595A42"/>
    <w:rsid w:val="00595B90"/>
    <w:rsid w:val="00595BDE"/>
    <w:rsid w:val="00595C06"/>
    <w:rsid w:val="00595D4C"/>
    <w:rsid w:val="00595D66"/>
    <w:rsid w:val="00595DAA"/>
    <w:rsid w:val="00595E00"/>
    <w:rsid w:val="00595EFB"/>
    <w:rsid w:val="00596559"/>
    <w:rsid w:val="00596A97"/>
    <w:rsid w:val="00596D92"/>
    <w:rsid w:val="00596E25"/>
    <w:rsid w:val="0059724C"/>
    <w:rsid w:val="0059759B"/>
    <w:rsid w:val="005975A6"/>
    <w:rsid w:val="00597881"/>
    <w:rsid w:val="00597D2E"/>
    <w:rsid w:val="00597EFA"/>
    <w:rsid w:val="005A0065"/>
    <w:rsid w:val="005A0083"/>
    <w:rsid w:val="005A00F2"/>
    <w:rsid w:val="005A0258"/>
    <w:rsid w:val="005A0353"/>
    <w:rsid w:val="005A042F"/>
    <w:rsid w:val="005A0452"/>
    <w:rsid w:val="005A04DE"/>
    <w:rsid w:val="005A05A1"/>
    <w:rsid w:val="005A073F"/>
    <w:rsid w:val="005A081D"/>
    <w:rsid w:val="005A0E0B"/>
    <w:rsid w:val="005A116C"/>
    <w:rsid w:val="005A138C"/>
    <w:rsid w:val="005A1472"/>
    <w:rsid w:val="005A1E31"/>
    <w:rsid w:val="005A200D"/>
    <w:rsid w:val="005A22D2"/>
    <w:rsid w:val="005A24E3"/>
    <w:rsid w:val="005A2504"/>
    <w:rsid w:val="005A250A"/>
    <w:rsid w:val="005A2AF3"/>
    <w:rsid w:val="005A30A6"/>
    <w:rsid w:val="005A3121"/>
    <w:rsid w:val="005A3264"/>
    <w:rsid w:val="005A3284"/>
    <w:rsid w:val="005A35D9"/>
    <w:rsid w:val="005A38EA"/>
    <w:rsid w:val="005A39A9"/>
    <w:rsid w:val="005A3EF5"/>
    <w:rsid w:val="005A406E"/>
    <w:rsid w:val="005A412D"/>
    <w:rsid w:val="005A417E"/>
    <w:rsid w:val="005A4209"/>
    <w:rsid w:val="005A4299"/>
    <w:rsid w:val="005A4301"/>
    <w:rsid w:val="005A4672"/>
    <w:rsid w:val="005A4A82"/>
    <w:rsid w:val="005A4EBD"/>
    <w:rsid w:val="005A4FCD"/>
    <w:rsid w:val="005A4FD2"/>
    <w:rsid w:val="005A5000"/>
    <w:rsid w:val="005A500D"/>
    <w:rsid w:val="005A5063"/>
    <w:rsid w:val="005A5081"/>
    <w:rsid w:val="005A5341"/>
    <w:rsid w:val="005A5593"/>
    <w:rsid w:val="005A56DA"/>
    <w:rsid w:val="005A5B07"/>
    <w:rsid w:val="005A5D2E"/>
    <w:rsid w:val="005A5EB9"/>
    <w:rsid w:val="005A5F17"/>
    <w:rsid w:val="005A5F72"/>
    <w:rsid w:val="005A613E"/>
    <w:rsid w:val="005A6258"/>
    <w:rsid w:val="005A66DC"/>
    <w:rsid w:val="005A6906"/>
    <w:rsid w:val="005A6ADD"/>
    <w:rsid w:val="005A6C7F"/>
    <w:rsid w:val="005A6C87"/>
    <w:rsid w:val="005A70B7"/>
    <w:rsid w:val="005A746F"/>
    <w:rsid w:val="005A749A"/>
    <w:rsid w:val="005A756C"/>
    <w:rsid w:val="005A75BF"/>
    <w:rsid w:val="005A77CA"/>
    <w:rsid w:val="005A7917"/>
    <w:rsid w:val="005A797A"/>
    <w:rsid w:val="005A7A5C"/>
    <w:rsid w:val="005A7AF1"/>
    <w:rsid w:val="005A7B8A"/>
    <w:rsid w:val="005B0207"/>
    <w:rsid w:val="005B0664"/>
    <w:rsid w:val="005B0777"/>
    <w:rsid w:val="005B07DE"/>
    <w:rsid w:val="005B0807"/>
    <w:rsid w:val="005B08B7"/>
    <w:rsid w:val="005B0BAB"/>
    <w:rsid w:val="005B0C98"/>
    <w:rsid w:val="005B0CE9"/>
    <w:rsid w:val="005B0D20"/>
    <w:rsid w:val="005B0E0F"/>
    <w:rsid w:val="005B0E63"/>
    <w:rsid w:val="005B1070"/>
    <w:rsid w:val="005B1176"/>
    <w:rsid w:val="005B1194"/>
    <w:rsid w:val="005B1313"/>
    <w:rsid w:val="005B1349"/>
    <w:rsid w:val="005B143D"/>
    <w:rsid w:val="005B16E3"/>
    <w:rsid w:val="005B1A9C"/>
    <w:rsid w:val="005B1B5F"/>
    <w:rsid w:val="005B1BA5"/>
    <w:rsid w:val="005B1C4E"/>
    <w:rsid w:val="005B1D32"/>
    <w:rsid w:val="005B2396"/>
    <w:rsid w:val="005B23DC"/>
    <w:rsid w:val="005B25FB"/>
    <w:rsid w:val="005B262D"/>
    <w:rsid w:val="005B27A4"/>
    <w:rsid w:val="005B2B5D"/>
    <w:rsid w:val="005B2DD3"/>
    <w:rsid w:val="005B2E37"/>
    <w:rsid w:val="005B3002"/>
    <w:rsid w:val="005B3051"/>
    <w:rsid w:val="005B30BE"/>
    <w:rsid w:val="005B3187"/>
    <w:rsid w:val="005B347F"/>
    <w:rsid w:val="005B34A0"/>
    <w:rsid w:val="005B36EC"/>
    <w:rsid w:val="005B38B7"/>
    <w:rsid w:val="005B3909"/>
    <w:rsid w:val="005B3963"/>
    <w:rsid w:val="005B39BB"/>
    <w:rsid w:val="005B3AEC"/>
    <w:rsid w:val="005B3CC2"/>
    <w:rsid w:val="005B3DBE"/>
    <w:rsid w:val="005B3F06"/>
    <w:rsid w:val="005B3F2B"/>
    <w:rsid w:val="005B4160"/>
    <w:rsid w:val="005B41BD"/>
    <w:rsid w:val="005B41CB"/>
    <w:rsid w:val="005B443C"/>
    <w:rsid w:val="005B455E"/>
    <w:rsid w:val="005B4618"/>
    <w:rsid w:val="005B4770"/>
    <w:rsid w:val="005B47C0"/>
    <w:rsid w:val="005B48F1"/>
    <w:rsid w:val="005B49E9"/>
    <w:rsid w:val="005B49FE"/>
    <w:rsid w:val="005B4A3A"/>
    <w:rsid w:val="005B4C27"/>
    <w:rsid w:val="005B4EB0"/>
    <w:rsid w:val="005B4F8E"/>
    <w:rsid w:val="005B4FCA"/>
    <w:rsid w:val="005B4FD5"/>
    <w:rsid w:val="005B4FFB"/>
    <w:rsid w:val="005B51F0"/>
    <w:rsid w:val="005B534B"/>
    <w:rsid w:val="005B54FB"/>
    <w:rsid w:val="005B5543"/>
    <w:rsid w:val="005B5567"/>
    <w:rsid w:val="005B5D83"/>
    <w:rsid w:val="005B5DB7"/>
    <w:rsid w:val="005B6386"/>
    <w:rsid w:val="005B6452"/>
    <w:rsid w:val="005B65B5"/>
    <w:rsid w:val="005B676A"/>
    <w:rsid w:val="005B6CB6"/>
    <w:rsid w:val="005B6CD7"/>
    <w:rsid w:val="005B6F03"/>
    <w:rsid w:val="005B6F39"/>
    <w:rsid w:val="005B6F4F"/>
    <w:rsid w:val="005B715B"/>
    <w:rsid w:val="005B742F"/>
    <w:rsid w:val="005B776A"/>
    <w:rsid w:val="005B78C1"/>
    <w:rsid w:val="005B7990"/>
    <w:rsid w:val="005B7CFE"/>
    <w:rsid w:val="005C0124"/>
    <w:rsid w:val="005C0514"/>
    <w:rsid w:val="005C0562"/>
    <w:rsid w:val="005C0584"/>
    <w:rsid w:val="005C0657"/>
    <w:rsid w:val="005C068B"/>
    <w:rsid w:val="005C08BB"/>
    <w:rsid w:val="005C08BE"/>
    <w:rsid w:val="005C09B7"/>
    <w:rsid w:val="005C0A53"/>
    <w:rsid w:val="005C0DFA"/>
    <w:rsid w:val="005C0EB3"/>
    <w:rsid w:val="005C1009"/>
    <w:rsid w:val="005C1194"/>
    <w:rsid w:val="005C1226"/>
    <w:rsid w:val="005C13E6"/>
    <w:rsid w:val="005C1567"/>
    <w:rsid w:val="005C15B0"/>
    <w:rsid w:val="005C17F1"/>
    <w:rsid w:val="005C1826"/>
    <w:rsid w:val="005C1871"/>
    <w:rsid w:val="005C19E1"/>
    <w:rsid w:val="005C19FA"/>
    <w:rsid w:val="005C1BA7"/>
    <w:rsid w:val="005C1C60"/>
    <w:rsid w:val="005C1F18"/>
    <w:rsid w:val="005C20C0"/>
    <w:rsid w:val="005C218F"/>
    <w:rsid w:val="005C2305"/>
    <w:rsid w:val="005C2418"/>
    <w:rsid w:val="005C253C"/>
    <w:rsid w:val="005C2B3A"/>
    <w:rsid w:val="005C2E82"/>
    <w:rsid w:val="005C31B3"/>
    <w:rsid w:val="005C31EC"/>
    <w:rsid w:val="005C31F0"/>
    <w:rsid w:val="005C32BE"/>
    <w:rsid w:val="005C3594"/>
    <w:rsid w:val="005C3807"/>
    <w:rsid w:val="005C380F"/>
    <w:rsid w:val="005C38F1"/>
    <w:rsid w:val="005C3A42"/>
    <w:rsid w:val="005C3C1C"/>
    <w:rsid w:val="005C3DA1"/>
    <w:rsid w:val="005C3DB3"/>
    <w:rsid w:val="005C3DF8"/>
    <w:rsid w:val="005C413B"/>
    <w:rsid w:val="005C4145"/>
    <w:rsid w:val="005C4261"/>
    <w:rsid w:val="005C42F3"/>
    <w:rsid w:val="005C437C"/>
    <w:rsid w:val="005C450E"/>
    <w:rsid w:val="005C4658"/>
    <w:rsid w:val="005C497D"/>
    <w:rsid w:val="005C49C2"/>
    <w:rsid w:val="005C4A56"/>
    <w:rsid w:val="005C4DF3"/>
    <w:rsid w:val="005C4E31"/>
    <w:rsid w:val="005C4EB3"/>
    <w:rsid w:val="005C4EF8"/>
    <w:rsid w:val="005C4FA6"/>
    <w:rsid w:val="005C4FBA"/>
    <w:rsid w:val="005C5003"/>
    <w:rsid w:val="005C52F4"/>
    <w:rsid w:val="005C54D1"/>
    <w:rsid w:val="005C5816"/>
    <w:rsid w:val="005C594A"/>
    <w:rsid w:val="005C59E8"/>
    <w:rsid w:val="005C5AA6"/>
    <w:rsid w:val="005C5B71"/>
    <w:rsid w:val="005C5BED"/>
    <w:rsid w:val="005C5C14"/>
    <w:rsid w:val="005C5FD6"/>
    <w:rsid w:val="005C600A"/>
    <w:rsid w:val="005C610D"/>
    <w:rsid w:val="005C62CD"/>
    <w:rsid w:val="005C6369"/>
    <w:rsid w:val="005C656D"/>
    <w:rsid w:val="005C6626"/>
    <w:rsid w:val="005C67A4"/>
    <w:rsid w:val="005C6962"/>
    <w:rsid w:val="005C6C8B"/>
    <w:rsid w:val="005C6D8A"/>
    <w:rsid w:val="005C6DD3"/>
    <w:rsid w:val="005C6E10"/>
    <w:rsid w:val="005C6E46"/>
    <w:rsid w:val="005C6F6F"/>
    <w:rsid w:val="005C7603"/>
    <w:rsid w:val="005C7A2F"/>
    <w:rsid w:val="005C7AA7"/>
    <w:rsid w:val="005C7AE7"/>
    <w:rsid w:val="005C7B99"/>
    <w:rsid w:val="005C7C7C"/>
    <w:rsid w:val="005D0373"/>
    <w:rsid w:val="005D03E1"/>
    <w:rsid w:val="005D045C"/>
    <w:rsid w:val="005D04F7"/>
    <w:rsid w:val="005D093C"/>
    <w:rsid w:val="005D09E6"/>
    <w:rsid w:val="005D0A14"/>
    <w:rsid w:val="005D0B41"/>
    <w:rsid w:val="005D0CAA"/>
    <w:rsid w:val="005D1032"/>
    <w:rsid w:val="005D1232"/>
    <w:rsid w:val="005D13EA"/>
    <w:rsid w:val="005D14A7"/>
    <w:rsid w:val="005D1910"/>
    <w:rsid w:val="005D1A98"/>
    <w:rsid w:val="005D1C6D"/>
    <w:rsid w:val="005D2316"/>
    <w:rsid w:val="005D28AD"/>
    <w:rsid w:val="005D28CE"/>
    <w:rsid w:val="005D2912"/>
    <w:rsid w:val="005D2A97"/>
    <w:rsid w:val="005D2E66"/>
    <w:rsid w:val="005D2EAA"/>
    <w:rsid w:val="005D3042"/>
    <w:rsid w:val="005D3063"/>
    <w:rsid w:val="005D321F"/>
    <w:rsid w:val="005D3336"/>
    <w:rsid w:val="005D34B3"/>
    <w:rsid w:val="005D355F"/>
    <w:rsid w:val="005D35EB"/>
    <w:rsid w:val="005D3D0F"/>
    <w:rsid w:val="005D3FBE"/>
    <w:rsid w:val="005D3FEB"/>
    <w:rsid w:val="005D43E1"/>
    <w:rsid w:val="005D44B5"/>
    <w:rsid w:val="005D459A"/>
    <w:rsid w:val="005D45DE"/>
    <w:rsid w:val="005D46DA"/>
    <w:rsid w:val="005D48BF"/>
    <w:rsid w:val="005D4BE6"/>
    <w:rsid w:val="005D4C23"/>
    <w:rsid w:val="005D4EB8"/>
    <w:rsid w:val="005D4EEA"/>
    <w:rsid w:val="005D518D"/>
    <w:rsid w:val="005D529B"/>
    <w:rsid w:val="005D554D"/>
    <w:rsid w:val="005D5A72"/>
    <w:rsid w:val="005D5AC0"/>
    <w:rsid w:val="005D5B9B"/>
    <w:rsid w:val="005D5BFB"/>
    <w:rsid w:val="005D5D95"/>
    <w:rsid w:val="005D5EE8"/>
    <w:rsid w:val="005D623B"/>
    <w:rsid w:val="005D6285"/>
    <w:rsid w:val="005D69F7"/>
    <w:rsid w:val="005D6B97"/>
    <w:rsid w:val="005D70AC"/>
    <w:rsid w:val="005D70C2"/>
    <w:rsid w:val="005D70C8"/>
    <w:rsid w:val="005D7119"/>
    <w:rsid w:val="005D71A1"/>
    <w:rsid w:val="005D71F4"/>
    <w:rsid w:val="005D74DC"/>
    <w:rsid w:val="005D755E"/>
    <w:rsid w:val="005D7733"/>
    <w:rsid w:val="005D79C3"/>
    <w:rsid w:val="005D7FD2"/>
    <w:rsid w:val="005E0037"/>
    <w:rsid w:val="005E011C"/>
    <w:rsid w:val="005E058F"/>
    <w:rsid w:val="005E0927"/>
    <w:rsid w:val="005E0A50"/>
    <w:rsid w:val="005E0A84"/>
    <w:rsid w:val="005E0A9C"/>
    <w:rsid w:val="005E0CD0"/>
    <w:rsid w:val="005E101A"/>
    <w:rsid w:val="005E1136"/>
    <w:rsid w:val="005E1314"/>
    <w:rsid w:val="005E1448"/>
    <w:rsid w:val="005E1450"/>
    <w:rsid w:val="005E1531"/>
    <w:rsid w:val="005E16E3"/>
    <w:rsid w:val="005E1A5A"/>
    <w:rsid w:val="005E1B8A"/>
    <w:rsid w:val="005E1C9B"/>
    <w:rsid w:val="005E1D1B"/>
    <w:rsid w:val="005E2092"/>
    <w:rsid w:val="005E216B"/>
    <w:rsid w:val="005E2208"/>
    <w:rsid w:val="005E2335"/>
    <w:rsid w:val="005E23A8"/>
    <w:rsid w:val="005E26FA"/>
    <w:rsid w:val="005E2B89"/>
    <w:rsid w:val="005E2C93"/>
    <w:rsid w:val="005E2D1D"/>
    <w:rsid w:val="005E2EFD"/>
    <w:rsid w:val="005E3182"/>
    <w:rsid w:val="005E360D"/>
    <w:rsid w:val="005E37AE"/>
    <w:rsid w:val="005E388E"/>
    <w:rsid w:val="005E38AA"/>
    <w:rsid w:val="005E3920"/>
    <w:rsid w:val="005E3985"/>
    <w:rsid w:val="005E3BD7"/>
    <w:rsid w:val="005E3C62"/>
    <w:rsid w:val="005E3E14"/>
    <w:rsid w:val="005E3EE9"/>
    <w:rsid w:val="005E4033"/>
    <w:rsid w:val="005E404F"/>
    <w:rsid w:val="005E4383"/>
    <w:rsid w:val="005E4912"/>
    <w:rsid w:val="005E4990"/>
    <w:rsid w:val="005E4A90"/>
    <w:rsid w:val="005E4D1F"/>
    <w:rsid w:val="005E4E40"/>
    <w:rsid w:val="005E4F45"/>
    <w:rsid w:val="005E5274"/>
    <w:rsid w:val="005E5455"/>
    <w:rsid w:val="005E56A7"/>
    <w:rsid w:val="005E5818"/>
    <w:rsid w:val="005E5DA7"/>
    <w:rsid w:val="005E5EE7"/>
    <w:rsid w:val="005E5EF3"/>
    <w:rsid w:val="005E610C"/>
    <w:rsid w:val="005E6315"/>
    <w:rsid w:val="005E6465"/>
    <w:rsid w:val="005E67F1"/>
    <w:rsid w:val="005E67FA"/>
    <w:rsid w:val="005E69AC"/>
    <w:rsid w:val="005E6C92"/>
    <w:rsid w:val="005E6DD4"/>
    <w:rsid w:val="005E6EAD"/>
    <w:rsid w:val="005E6F57"/>
    <w:rsid w:val="005E706C"/>
    <w:rsid w:val="005E71C2"/>
    <w:rsid w:val="005E7271"/>
    <w:rsid w:val="005E72E7"/>
    <w:rsid w:val="005E7395"/>
    <w:rsid w:val="005E756A"/>
    <w:rsid w:val="005E778C"/>
    <w:rsid w:val="005E798F"/>
    <w:rsid w:val="005E7A1F"/>
    <w:rsid w:val="005E7B5F"/>
    <w:rsid w:val="005E7BE1"/>
    <w:rsid w:val="005E7D64"/>
    <w:rsid w:val="005E7E70"/>
    <w:rsid w:val="005F0194"/>
    <w:rsid w:val="005F01A1"/>
    <w:rsid w:val="005F0838"/>
    <w:rsid w:val="005F0F77"/>
    <w:rsid w:val="005F12DD"/>
    <w:rsid w:val="005F141E"/>
    <w:rsid w:val="005F14B6"/>
    <w:rsid w:val="005F14D5"/>
    <w:rsid w:val="005F14DE"/>
    <w:rsid w:val="005F175B"/>
    <w:rsid w:val="005F178D"/>
    <w:rsid w:val="005F1827"/>
    <w:rsid w:val="005F1C14"/>
    <w:rsid w:val="005F1C7B"/>
    <w:rsid w:val="005F1E00"/>
    <w:rsid w:val="005F1F8F"/>
    <w:rsid w:val="005F2146"/>
    <w:rsid w:val="005F21C8"/>
    <w:rsid w:val="005F2215"/>
    <w:rsid w:val="005F279C"/>
    <w:rsid w:val="005F2818"/>
    <w:rsid w:val="005F2892"/>
    <w:rsid w:val="005F2934"/>
    <w:rsid w:val="005F2966"/>
    <w:rsid w:val="005F29F0"/>
    <w:rsid w:val="005F2B91"/>
    <w:rsid w:val="005F2D19"/>
    <w:rsid w:val="005F34AF"/>
    <w:rsid w:val="005F3710"/>
    <w:rsid w:val="005F3798"/>
    <w:rsid w:val="005F37C4"/>
    <w:rsid w:val="005F3895"/>
    <w:rsid w:val="005F3A88"/>
    <w:rsid w:val="005F3AEB"/>
    <w:rsid w:val="005F3C0F"/>
    <w:rsid w:val="005F3F00"/>
    <w:rsid w:val="005F403F"/>
    <w:rsid w:val="005F4095"/>
    <w:rsid w:val="005F414A"/>
    <w:rsid w:val="005F42A2"/>
    <w:rsid w:val="005F4812"/>
    <w:rsid w:val="005F4834"/>
    <w:rsid w:val="005F48B1"/>
    <w:rsid w:val="005F48E8"/>
    <w:rsid w:val="005F4A71"/>
    <w:rsid w:val="005F4B3E"/>
    <w:rsid w:val="005F4D5B"/>
    <w:rsid w:val="005F4E40"/>
    <w:rsid w:val="005F53EA"/>
    <w:rsid w:val="005F5509"/>
    <w:rsid w:val="005F57B0"/>
    <w:rsid w:val="005F5850"/>
    <w:rsid w:val="005F5BBE"/>
    <w:rsid w:val="005F5DDB"/>
    <w:rsid w:val="005F5F29"/>
    <w:rsid w:val="005F6020"/>
    <w:rsid w:val="005F60AC"/>
    <w:rsid w:val="005F61A2"/>
    <w:rsid w:val="005F67DD"/>
    <w:rsid w:val="005F6836"/>
    <w:rsid w:val="005F6D0A"/>
    <w:rsid w:val="005F6E00"/>
    <w:rsid w:val="005F6E9C"/>
    <w:rsid w:val="005F7056"/>
    <w:rsid w:val="005F70A7"/>
    <w:rsid w:val="005F74C0"/>
    <w:rsid w:val="005F76F5"/>
    <w:rsid w:val="005F7889"/>
    <w:rsid w:val="005F78AB"/>
    <w:rsid w:val="005F7F8F"/>
    <w:rsid w:val="005F7FAF"/>
    <w:rsid w:val="005F7FD3"/>
    <w:rsid w:val="00600102"/>
    <w:rsid w:val="0060022B"/>
    <w:rsid w:val="0060053B"/>
    <w:rsid w:val="0060069B"/>
    <w:rsid w:val="00600C55"/>
    <w:rsid w:val="00600D22"/>
    <w:rsid w:val="00600D27"/>
    <w:rsid w:val="00600D80"/>
    <w:rsid w:val="00600DA5"/>
    <w:rsid w:val="00600F34"/>
    <w:rsid w:val="00600F55"/>
    <w:rsid w:val="00601224"/>
    <w:rsid w:val="006014E6"/>
    <w:rsid w:val="00601789"/>
    <w:rsid w:val="00601857"/>
    <w:rsid w:val="006019B4"/>
    <w:rsid w:val="006019BB"/>
    <w:rsid w:val="00601B48"/>
    <w:rsid w:val="0060203B"/>
    <w:rsid w:val="00602063"/>
    <w:rsid w:val="006021FA"/>
    <w:rsid w:val="00602347"/>
    <w:rsid w:val="00602416"/>
    <w:rsid w:val="0060266E"/>
    <w:rsid w:val="00602988"/>
    <w:rsid w:val="00602AE4"/>
    <w:rsid w:val="00602B0E"/>
    <w:rsid w:val="00602B15"/>
    <w:rsid w:val="00602E63"/>
    <w:rsid w:val="00602ED7"/>
    <w:rsid w:val="0060355E"/>
    <w:rsid w:val="00603CEB"/>
    <w:rsid w:val="00603D0F"/>
    <w:rsid w:val="0060400C"/>
    <w:rsid w:val="006041FF"/>
    <w:rsid w:val="00604202"/>
    <w:rsid w:val="00604420"/>
    <w:rsid w:val="006045B6"/>
    <w:rsid w:val="00604909"/>
    <w:rsid w:val="00604A30"/>
    <w:rsid w:val="00604B97"/>
    <w:rsid w:val="00604BB7"/>
    <w:rsid w:val="00604D97"/>
    <w:rsid w:val="0060504E"/>
    <w:rsid w:val="00605261"/>
    <w:rsid w:val="0060544B"/>
    <w:rsid w:val="00605599"/>
    <w:rsid w:val="00605AB5"/>
    <w:rsid w:val="00605DFA"/>
    <w:rsid w:val="00605E7E"/>
    <w:rsid w:val="00605F46"/>
    <w:rsid w:val="00606072"/>
    <w:rsid w:val="00606259"/>
    <w:rsid w:val="00606377"/>
    <w:rsid w:val="006064C5"/>
    <w:rsid w:val="006064C8"/>
    <w:rsid w:val="00606949"/>
    <w:rsid w:val="0060695F"/>
    <w:rsid w:val="00606AE2"/>
    <w:rsid w:val="00606BF1"/>
    <w:rsid w:val="006075B1"/>
    <w:rsid w:val="006076B2"/>
    <w:rsid w:val="006076E1"/>
    <w:rsid w:val="00607A5E"/>
    <w:rsid w:val="00607C97"/>
    <w:rsid w:val="00607CD2"/>
    <w:rsid w:val="00607D1B"/>
    <w:rsid w:val="0061013B"/>
    <w:rsid w:val="00610512"/>
    <w:rsid w:val="00610535"/>
    <w:rsid w:val="0061068D"/>
    <w:rsid w:val="00610819"/>
    <w:rsid w:val="00610AAA"/>
    <w:rsid w:val="00610B1B"/>
    <w:rsid w:val="00610DBA"/>
    <w:rsid w:val="00610DD0"/>
    <w:rsid w:val="00611119"/>
    <w:rsid w:val="00611241"/>
    <w:rsid w:val="006112C1"/>
    <w:rsid w:val="00611355"/>
    <w:rsid w:val="00611384"/>
    <w:rsid w:val="006114FA"/>
    <w:rsid w:val="006118CC"/>
    <w:rsid w:val="0061214A"/>
    <w:rsid w:val="00612269"/>
    <w:rsid w:val="00612331"/>
    <w:rsid w:val="00612339"/>
    <w:rsid w:val="0061252D"/>
    <w:rsid w:val="0061264F"/>
    <w:rsid w:val="0061269E"/>
    <w:rsid w:val="006128EE"/>
    <w:rsid w:val="00612D7F"/>
    <w:rsid w:val="00612DC8"/>
    <w:rsid w:val="00613034"/>
    <w:rsid w:val="0061335D"/>
    <w:rsid w:val="00613511"/>
    <w:rsid w:val="00613519"/>
    <w:rsid w:val="006138E8"/>
    <w:rsid w:val="00613D82"/>
    <w:rsid w:val="006142C4"/>
    <w:rsid w:val="006146C9"/>
    <w:rsid w:val="006147D2"/>
    <w:rsid w:val="00614809"/>
    <w:rsid w:val="006148BC"/>
    <w:rsid w:val="006149BA"/>
    <w:rsid w:val="00614C2C"/>
    <w:rsid w:val="00614E2B"/>
    <w:rsid w:val="00614E61"/>
    <w:rsid w:val="00614F2E"/>
    <w:rsid w:val="00615314"/>
    <w:rsid w:val="00615346"/>
    <w:rsid w:val="0061536D"/>
    <w:rsid w:val="006153D3"/>
    <w:rsid w:val="006153EA"/>
    <w:rsid w:val="0061545F"/>
    <w:rsid w:val="0061573C"/>
    <w:rsid w:val="006159C4"/>
    <w:rsid w:val="00615D64"/>
    <w:rsid w:val="00615DF9"/>
    <w:rsid w:val="00615FA2"/>
    <w:rsid w:val="00616053"/>
    <w:rsid w:val="006160A8"/>
    <w:rsid w:val="006162EB"/>
    <w:rsid w:val="0061643E"/>
    <w:rsid w:val="0061646A"/>
    <w:rsid w:val="006164E9"/>
    <w:rsid w:val="00616654"/>
    <w:rsid w:val="006166B1"/>
    <w:rsid w:val="0061671E"/>
    <w:rsid w:val="00616D19"/>
    <w:rsid w:val="00616ED5"/>
    <w:rsid w:val="00616FAC"/>
    <w:rsid w:val="00617248"/>
    <w:rsid w:val="006176F4"/>
    <w:rsid w:val="006178A1"/>
    <w:rsid w:val="0061795C"/>
    <w:rsid w:val="00617A03"/>
    <w:rsid w:val="00617AD3"/>
    <w:rsid w:val="00617CCA"/>
    <w:rsid w:val="00617D63"/>
    <w:rsid w:val="0062021A"/>
    <w:rsid w:val="00620486"/>
    <w:rsid w:val="00620490"/>
    <w:rsid w:val="0062087C"/>
    <w:rsid w:val="0062097D"/>
    <w:rsid w:val="00620A85"/>
    <w:rsid w:val="00620B4E"/>
    <w:rsid w:val="00620BE0"/>
    <w:rsid w:val="00620C41"/>
    <w:rsid w:val="00620D25"/>
    <w:rsid w:val="00620DC9"/>
    <w:rsid w:val="00620F6E"/>
    <w:rsid w:val="00621690"/>
    <w:rsid w:val="0062171B"/>
    <w:rsid w:val="00621778"/>
    <w:rsid w:val="006218F6"/>
    <w:rsid w:val="00621A90"/>
    <w:rsid w:val="006222A6"/>
    <w:rsid w:val="0062254E"/>
    <w:rsid w:val="0062281C"/>
    <w:rsid w:val="00622892"/>
    <w:rsid w:val="00622C3C"/>
    <w:rsid w:val="00622DE0"/>
    <w:rsid w:val="00622DE5"/>
    <w:rsid w:val="00622E4D"/>
    <w:rsid w:val="00622F70"/>
    <w:rsid w:val="006230ED"/>
    <w:rsid w:val="00623155"/>
    <w:rsid w:val="006231B6"/>
    <w:rsid w:val="006233A3"/>
    <w:rsid w:val="006234AC"/>
    <w:rsid w:val="00623585"/>
    <w:rsid w:val="006237DF"/>
    <w:rsid w:val="006237FF"/>
    <w:rsid w:val="006239E1"/>
    <w:rsid w:val="00623F4D"/>
    <w:rsid w:val="0062413E"/>
    <w:rsid w:val="006245E1"/>
    <w:rsid w:val="006246FC"/>
    <w:rsid w:val="006248D3"/>
    <w:rsid w:val="006248F2"/>
    <w:rsid w:val="006249DA"/>
    <w:rsid w:val="00624BA4"/>
    <w:rsid w:val="00624CD9"/>
    <w:rsid w:val="00624DC2"/>
    <w:rsid w:val="00624DED"/>
    <w:rsid w:val="0062502E"/>
    <w:rsid w:val="0062544A"/>
    <w:rsid w:val="00625566"/>
    <w:rsid w:val="006256A6"/>
    <w:rsid w:val="00625769"/>
    <w:rsid w:val="00625AC0"/>
    <w:rsid w:val="00625AD9"/>
    <w:rsid w:val="00625B4B"/>
    <w:rsid w:val="00625D75"/>
    <w:rsid w:val="00625DD5"/>
    <w:rsid w:val="00625EC9"/>
    <w:rsid w:val="0062605B"/>
    <w:rsid w:val="006260ED"/>
    <w:rsid w:val="006265B5"/>
    <w:rsid w:val="00626A4E"/>
    <w:rsid w:val="00626B73"/>
    <w:rsid w:val="00626DD7"/>
    <w:rsid w:val="00627091"/>
    <w:rsid w:val="0062711F"/>
    <w:rsid w:val="0062715E"/>
    <w:rsid w:val="00627176"/>
    <w:rsid w:val="006271D1"/>
    <w:rsid w:val="006271EB"/>
    <w:rsid w:val="00627281"/>
    <w:rsid w:val="00627329"/>
    <w:rsid w:val="00627672"/>
    <w:rsid w:val="00627969"/>
    <w:rsid w:val="00627AB5"/>
    <w:rsid w:val="00627CB1"/>
    <w:rsid w:val="00627EF5"/>
    <w:rsid w:val="0063004C"/>
    <w:rsid w:val="006308DF"/>
    <w:rsid w:val="00630A66"/>
    <w:rsid w:val="00630B36"/>
    <w:rsid w:val="00630CF7"/>
    <w:rsid w:val="00630D03"/>
    <w:rsid w:val="00630D64"/>
    <w:rsid w:val="00630DD3"/>
    <w:rsid w:val="00630E0B"/>
    <w:rsid w:val="00631424"/>
    <w:rsid w:val="00631450"/>
    <w:rsid w:val="0063162D"/>
    <w:rsid w:val="0063173A"/>
    <w:rsid w:val="00631B08"/>
    <w:rsid w:val="00631B7F"/>
    <w:rsid w:val="00631CDE"/>
    <w:rsid w:val="00631DF7"/>
    <w:rsid w:val="00631FD1"/>
    <w:rsid w:val="00631FD4"/>
    <w:rsid w:val="00632007"/>
    <w:rsid w:val="00632032"/>
    <w:rsid w:val="006320FF"/>
    <w:rsid w:val="0063217C"/>
    <w:rsid w:val="006321BA"/>
    <w:rsid w:val="00632359"/>
    <w:rsid w:val="0063241F"/>
    <w:rsid w:val="0063279E"/>
    <w:rsid w:val="006328B9"/>
    <w:rsid w:val="006329FC"/>
    <w:rsid w:val="00632AC9"/>
    <w:rsid w:val="00632B44"/>
    <w:rsid w:val="00632C56"/>
    <w:rsid w:val="00632D2B"/>
    <w:rsid w:val="006332B0"/>
    <w:rsid w:val="00633400"/>
    <w:rsid w:val="0063350A"/>
    <w:rsid w:val="00633A77"/>
    <w:rsid w:val="00633D7C"/>
    <w:rsid w:val="00633EE4"/>
    <w:rsid w:val="00634041"/>
    <w:rsid w:val="006340C4"/>
    <w:rsid w:val="0063413E"/>
    <w:rsid w:val="00634454"/>
    <w:rsid w:val="00634512"/>
    <w:rsid w:val="00634583"/>
    <w:rsid w:val="0063463E"/>
    <w:rsid w:val="006348D0"/>
    <w:rsid w:val="00634C34"/>
    <w:rsid w:val="006350C8"/>
    <w:rsid w:val="00635257"/>
    <w:rsid w:val="00635270"/>
    <w:rsid w:val="006352B0"/>
    <w:rsid w:val="0063532C"/>
    <w:rsid w:val="00635599"/>
    <w:rsid w:val="006355D6"/>
    <w:rsid w:val="006355EF"/>
    <w:rsid w:val="0063560E"/>
    <w:rsid w:val="00635780"/>
    <w:rsid w:val="00635BCA"/>
    <w:rsid w:val="00635C03"/>
    <w:rsid w:val="00635C24"/>
    <w:rsid w:val="00635D46"/>
    <w:rsid w:val="0063606B"/>
    <w:rsid w:val="00636075"/>
    <w:rsid w:val="00636137"/>
    <w:rsid w:val="00636226"/>
    <w:rsid w:val="006362D3"/>
    <w:rsid w:val="00636347"/>
    <w:rsid w:val="00636720"/>
    <w:rsid w:val="00636827"/>
    <w:rsid w:val="0063683D"/>
    <w:rsid w:val="00636BD3"/>
    <w:rsid w:val="00636C55"/>
    <w:rsid w:val="00636C76"/>
    <w:rsid w:val="00636D5C"/>
    <w:rsid w:val="00636DB1"/>
    <w:rsid w:val="0063716B"/>
    <w:rsid w:val="006371A5"/>
    <w:rsid w:val="006371D9"/>
    <w:rsid w:val="0063733B"/>
    <w:rsid w:val="006373B9"/>
    <w:rsid w:val="00637670"/>
    <w:rsid w:val="00637764"/>
    <w:rsid w:val="006377B8"/>
    <w:rsid w:val="0063797C"/>
    <w:rsid w:val="00637A57"/>
    <w:rsid w:val="00637B46"/>
    <w:rsid w:val="00637CE0"/>
    <w:rsid w:val="00640010"/>
    <w:rsid w:val="006400A6"/>
    <w:rsid w:val="006400AE"/>
    <w:rsid w:val="006400E3"/>
    <w:rsid w:val="006401D6"/>
    <w:rsid w:val="00640286"/>
    <w:rsid w:val="006402DA"/>
    <w:rsid w:val="006403D7"/>
    <w:rsid w:val="006403E2"/>
    <w:rsid w:val="006404EB"/>
    <w:rsid w:val="0064085C"/>
    <w:rsid w:val="006408D0"/>
    <w:rsid w:val="00640B3B"/>
    <w:rsid w:val="00640CB3"/>
    <w:rsid w:val="00640D3B"/>
    <w:rsid w:val="00641025"/>
    <w:rsid w:val="0064117C"/>
    <w:rsid w:val="00641203"/>
    <w:rsid w:val="00641270"/>
    <w:rsid w:val="006412CC"/>
    <w:rsid w:val="0064131E"/>
    <w:rsid w:val="00641450"/>
    <w:rsid w:val="006415B9"/>
    <w:rsid w:val="006416D4"/>
    <w:rsid w:val="0064191A"/>
    <w:rsid w:val="00641D31"/>
    <w:rsid w:val="00641E21"/>
    <w:rsid w:val="006424E1"/>
    <w:rsid w:val="006425F9"/>
    <w:rsid w:val="006426E0"/>
    <w:rsid w:val="0064298D"/>
    <w:rsid w:val="00642994"/>
    <w:rsid w:val="006429BF"/>
    <w:rsid w:val="00642A5F"/>
    <w:rsid w:val="00642AD2"/>
    <w:rsid w:val="00642C17"/>
    <w:rsid w:val="00642D7D"/>
    <w:rsid w:val="00642E29"/>
    <w:rsid w:val="00642E3F"/>
    <w:rsid w:val="00642E4D"/>
    <w:rsid w:val="00642E75"/>
    <w:rsid w:val="00643482"/>
    <w:rsid w:val="00643851"/>
    <w:rsid w:val="006438C7"/>
    <w:rsid w:val="00643A7D"/>
    <w:rsid w:val="00643C4A"/>
    <w:rsid w:val="00643C52"/>
    <w:rsid w:val="00643CD1"/>
    <w:rsid w:val="00643E6D"/>
    <w:rsid w:val="00643F78"/>
    <w:rsid w:val="00643FAA"/>
    <w:rsid w:val="00644146"/>
    <w:rsid w:val="006442E3"/>
    <w:rsid w:val="0064450C"/>
    <w:rsid w:val="006445A8"/>
    <w:rsid w:val="006445BA"/>
    <w:rsid w:val="0064461E"/>
    <w:rsid w:val="00644681"/>
    <w:rsid w:val="006447F2"/>
    <w:rsid w:val="00644A8B"/>
    <w:rsid w:val="00644CDF"/>
    <w:rsid w:val="00644E4F"/>
    <w:rsid w:val="00645037"/>
    <w:rsid w:val="006452C2"/>
    <w:rsid w:val="006452FB"/>
    <w:rsid w:val="00645327"/>
    <w:rsid w:val="00645355"/>
    <w:rsid w:val="00645465"/>
    <w:rsid w:val="00645576"/>
    <w:rsid w:val="006455CF"/>
    <w:rsid w:val="00645898"/>
    <w:rsid w:val="00645958"/>
    <w:rsid w:val="00645A17"/>
    <w:rsid w:val="00645C48"/>
    <w:rsid w:val="00645DA3"/>
    <w:rsid w:val="00645DD5"/>
    <w:rsid w:val="00646122"/>
    <w:rsid w:val="00646191"/>
    <w:rsid w:val="00646362"/>
    <w:rsid w:val="006464DF"/>
    <w:rsid w:val="00646532"/>
    <w:rsid w:val="0064663F"/>
    <w:rsid w:val="006469C8"/>
    <w:rsid w:val="00646B36"/>
    <w:rsid w:val="00646B73"/>
    <w:rsid w:val="00646B87"/>
    <w:rsid w:val="00646BD2"/>
    <w:rsid w:val="00646C8C"/>
    <w:rsid w:val="00646D79"/>
    <w:rsid w:val="00647780"/>
    <w:rsid w:val="006477A5"/>
    <w:rsid w:val="00647C86"/>
    <w:rsid w:val="00647F22"/>
    <w:rsid w:val="006501D5"/>
    <w:rsid w:val="006501FE"/>
    <w:rsid w:val="006502EA"/>
    <w:rsid w:val="00650366"/>
    <w:rsid w:val="00650553"/>
    <w:rsid w:val="00650656"/>
    <w:rsid w:val="006506BA"/>
    <w:rsid w:val="00650837"/>
    <w:rsid w:val="00650847"/>
    <w:rsid w:val="0065089F"/>
    <w:rsid w:val="006509DC"/>
    <w:rsid w:val="00650B43"/>
    <w:rsid w:val="00650B83"/>
    <w:rsid w:val="00650D34"/>
    <w:rsid w:val="00650D4E"/>
    <w:rsid w:val="00650DA8"/>
    <w:rsid w:val="00651118"/>
    <w:rsid w:val="006511B4"/>
    <w:rsid w:val="006511EC"/>
    <w:rsid w:val="006512CF"/>
    <w:rsid w:val="00651300"/>
    <w:rsid w:val="00651389"/>
    <w:rsid w:val="006513D4"/>
    <w:rsid w:val="0065145F"/>
    <w:rsid w:val="00651558"/>
    <w:rsid w:val="00651719"/>
    <w:rsid w:val="00651B0D"/>
    <w:rsid w:val="00651B3E"/>
    <w:rsid w:val="00651CD6"/>
    <w:rsid w:val="00651D4D"/>
    <w:rsid w:val="00651EB2"/>
    <w:rsid w:val="00651EDB"/>
    <w:rsid w:val="00651F56"/>
    <w:rsid w:val="0065219C"/>
    <w:rsid w:val="00652257"/>
    <w:rsid w:val="0065265D"/>
    <w:rsid w:val="0065269C"/>
    <w:rsid w:val="006526F7"/>
    <w:rsid w:val="0065278C"/>
    <w:rsid w:val="00652A36"/>
    <w:rsid w:val="00652A83"/>
    <w:rsid w:val="00652D3F"/>
    <w:rsid w:val="00652E69"/>
    <w:rsid w:val="00652F59"/>
    <w:rsid w:val="00652F91"/>
    <w:rsid w:val="00653159"/>
    <w:rsid w:val="006531C3"/>
    <w:rsid w:val="006533F1"/>
    <w:rsid w:val="006534C3"/>
    <w:rsid w:val="00653A0E"/>
    <w:rsid w:val="00653A44"/>
    <w:rsid w:val="00653A78"/>
    <w:rsid w:val="00653B05"/>
    <w:rsid w:val="00653BB7"/>
    <w:rsid w:val="00653DEE"/>
    <w:rsid w:val="00653F22"/>
    <w:rsid w:val="00653F7E"/>
    <w:rsid w:val="006540D1"/>
    <w:rsid w:val="00654283"/>
    <w:rsid w:val="0065497C"/>
    <w:rsid w:val="006549FF"/>
    <w:rsid w:val="00654E03"/>
    <w:rsid w:val="00654E17"/>
    <w:rsid w:val="00654E3C"/>
    <w:rsid w:val="00654E6D"/>
    <w:rsid w:val="00655066"/>
    <w:rsid w:val="006551AB"/>
    <w:rsid w:val="00655457"/>
    <w:rsid w:val="00655495"/>
    <w:rsid w:val="00655674"/>
    <w:rsid w:val="00655775"/>
    <w:rsid w:val="0065580B"/>
    <w:rsid w:val="00655877"/>
    <w:rsid w:val="0065597E"/>
    <w:rsid w:val="00655BF9"/>
    <w:rsid w:val="00655C5A"/>
    <w:rsid w:val="00655C9C"/>
    <w:rsid w:val="00655D7F"/>
    <w:rsid w:val="00655EDC"/>
    <w:rsid w:val="00655F6C"/>
    <w:rsid w:val="00656349"/>
    <w:rsid w:val="00656427"/>
    <w:rsid w:val="00656484"/>
    <w:rsid w:val="00656788"/>
    <w:rsid w:val="0065678A"/>
    <w:rsid w:val="0065679E"/>
    <w:rsid w:val="00656801"/>
    <w:rsid w:val="00656A02"/>
    <w:rsid w:val="00656A75"/>
    <w:rsid w:val="00656C45"/>
    <w:rsid w:val="00656C86"/>
    <w:rsid w:val="00656DB0"/>
    <w:rsid w:val="00656FA2"/>
    <w:rsid w:val="006570B2"/>
    <w:rsid w:val="0065741C"/>
    <w:rsid w:val="00657BAF"/>
    <w:rsid w:val="00657C13"/>
    <w:rsid w:val="00657C86"/>
    <w:rsid w:val="00657E01"/>
    <w:rsid w:val="00657E4E"/>
    <w:rsid w:val="00660041"/>
    <w:rsid w:val="006601E3"/>
    <w:rsid w:val="0066023C"/>
    <w:rsid w:val="0066058B"/>
    <w:rsid w:val="006607CB"/>
    <w:rsid w:val="0066086D"/>
    <w:rsid w:val="006608EC"/>
    <w:rsid w:val="00660C30"/>
    <w:rsid w:val="00660CA8"/>
    <w:rsid w:val="006610A6"/>
    <w:rsid w:val="006611A6"/>
    <w:rsid w:val="006611CD"/>
    <w:rsid w:val="00661405"/>
    <w:rsid w:val="0066147D"/>
    <w:rsid w:val="00661563"/>
    <w:rsid w:val="0066184D"/>
    <w:rsid w:val="006619C5"/>
    <w:rsid w:val="00661B2C"/>
    <w:rsid w:val="00661BDF"/>
    <w:rsid w:val="00661CDD"/>
    <w:rsid w:val="00661F1A"/>
    <w:rsid w:val="0066214B"/>
    <w:rsid w:val="006622D6"/>
    <w:rsid w:val="00662509"/>
    <w:rsid w:val="00662A32"/>
    <w:rsid w:val="00662A7A"/>
    <w:rsid w:val="00662EFC"/>
    <w:rsid w:val="00663235"/>
    <w:rsid w:val="0066329B"/>
    <w:rsid w:val="006633D9"/>
    <w:rsid w:val="006634CA"/>
    <w:rsid w:val="006638CB"/>
    <w:rsid w:val="006638E5"/>
    <w:rsid w:val="00663A6E"/>
    <w:rsid w:val="00663B0D"/>
    <w:rsid w:val="00663D5F"/>
    <w:rsid w:val="0066418D"/>
    <w:rsid w:val="00664266"/>
    <w:rsid w:val="00664275"/>
    <w:rsid w:val="00664277"/>
    <w:rsid w:val="006642CD"/>
    <w:rsid w:val="006644A9"/>
    <w:rsid w:val="0066460E"/>
    <w:rsid w:val="006648C4"/>
    <w:rsid w:val="00664B30"/>
    <w:rsid w:val="00664B36"/>
    <w:rsid w:val="00664BB2"/>
    <w:rsid w:val="00664EF6"/>
    <w:rsid w:val="0066532D"/>
    <w:rsid w:val="0066549A"/>
    <w:rsid w:val="00665523"/>
    <w:rsid w:val="006656F0"/>
    <w:rsid w:val="00665932"/>
    <w:rsid w:val="00665BB4"/>
    <w:rsid w:val="00665D44"/>
    <w:rsid w:val="00666132"/>
    <w:rsid w:val="00666179"/>
    <w:rsid w:val="00666244"/>
    <w:rsid w:val="006662A3"/>
    <w:rsid w:val="0066639E"/>
    <w:rsid w:val="00666416"/>
    <w:rsid w:val="00666430"/>
    <w:rsid w:val="006668A4"/>
    <w:rsid w:val="006668CB"/>
    <w:rsid w:val="00666D91"/>
    <w:rsid w:val="00666DBA"/>
    <w:rsid w:val="00667112"/>
    <w:rsid w:val="00667680"/>
    <w:rsid w:val="0066784C"/>
    <w:rsid w:val="006678DE"/>
    <w:rsid w:val="00667A0D"/>
    <w:rsid w:val="00667D57"/>
    <w:rsid w:val="00667E03"/>
    <w:rsid w:val="00667E7D"/>
    <w:rsid w:val="006700AD"/>
    <w:rsid w:val="00670159"/>
    <w:rsid w:val="0067017D"/>
    <w:rsid w:val="0067068F"/>
    <w:rsid w:val="00670780"/>
    <w:rsid w:val="00670885"/>
    <w:rsid w:val="006708E5"/>
    <w:rsid w:val="00670975"/>
    <w:rsid w:val="00670A25"/>
    <w:rsid w:val="00670BFF"/>
    <w:rsid w:val="00670F38"/>
    <w:rsid w:val="00670FFB"/>
    <w:rsid w:val="00671118"/>
    <w:rsid w:val="006715C0"/>
    <w:rsid w:val="0067170D"/>
    <w:rsid w:val="00671774"/>
    <w:rsid w:val="00671871"/>
    <w:rsid w:val="00671943"/>
    <w:rsid w:val="006719B1"/>
    <w:rsid w:val="00671AEC"/>
    <w:rsid w:val="00671BD4"/>
    <w:rsid w:val="00671C40"/>
    <w:rsid w:val="00671C79"/>
    <w:rsid w:val="0067201B"/>
    <w:rsid w:val="00672257"/>
    <w:rsid w:val="00672389"/>
    <w:rsid w:val="006724CE"/>
    <w:rsid w:val="006727AE"/>
    <w:rsid w:val="006727F9"/>
    <w:rsid w:val="0067281D"/>
    <w:rsid w:val="006728C8"/>
    <w:rsid w:val="006728CA"/>
    <w:rsid w:val="006729C9"/>
    <w:rsid w:val="00672B27"/>
    <w:rsid w:val="00672B36"/>
    <w:rsid w:val="00673077"/>
    <w:rsid w:val="0067318E"/>
    <w:rsid w:val="00673677"/>
    <w:rsid w:val="00673681"/>
    <w:rsid w:val="006736D4"/>
    <w:rsid w:val="006736D5"/>
    <w:rsid w:val="006737EE"/>
    <w:rsid w:val="00673846"/>
    <w:rsid w:val="006739FB"/>
    <w:rsid w:val="00673D5D"/>
    <w:rsid w:val="00673FBA"/>
    <w:rsid w:val="00674124"/>
    <w:rsid w:val="0067414A"/>
    <w:rsid w:val="006741ED"/>
    <w:rsid w:val="00674270"/>
    <w:rsid w:val="00674521"/>
    <w:rsid w:val="006746DD"/>
    <w:rsid w:val="00674733"/>
    <w:rsid w:val="00674759"/>
    <w:rsid w:val="00674A17"/>
    <w:rsid w:val="00674BCB"/>
    <w:rsid w:val="00674D34"/>
    <w:rsid w:val="00675003"/>
    <w:rsid w:val="006751FE"/>
    <w:rsid w:val="0067540E"/>
    <w:rsid w:val="00675C84"/>
    <w:rsid w:val="00675CBE"/>
    <w:rsid w:val="00675DDD"/>
    <w:rsid w:val="00675E32"/>
    <w:rsid w:val="00675EC9"/>
    <w:rsid w:val="00675FF7"/>
    <w:rsid w:val="00675FF9"/>
    <w:rsid w:val="006765F1"/>
    <w:rsid w:val="00676822"/>
    <w:rsid w:val="00676F09"/>
    <w:rsid w:val="00677028"/>
    <w:rsid w:val="00677084"/>
    <w:rsid w:val="00677120"/>
    <w:rsid w:val="0067760B"/>
    <w:rsid w:val="0067776F"/>
    <w:rsid w:val="006777D3"/>
    <w:rsid w:val="006779FA"/>
    <w:rsid w:val="00677A6A"/>
    <w:rsid w:val="00677C23"/>
    <w:rsid w:val="00677CDA"/>
    <w:rsid w:val="00677DE5"/>
    <w:rsid w:val="006801E3"/>
    <w:rsid w:val="006803BA"/>
    <w:rsid w:val="006803DA"/>
    <w:rsid w:val="006803F7"/>
    <w:rsid w:val="00680479"/>
    <w:rsid w:val="006804F1"/>
    <w:rsid w:val="00680610"/>
    <w:rsid w:val="006806EF"/>
    <w:rsid w:val="006808DA"/>
    <w:rsid w:val="0068090F"/>
    <w:rsid w:val="00680AEA"/>
    <w:rsid w:val="00680BEE"/>
    <w:rsid w:val="00680C9A"/>
    <w:rsid w:val="00680CCE"/>
    <w:rsid w:val="00680E98"/>
    <w:rsid w:val="00680F57"/>
    <w:rsid w:val="00681283"/>
    <w:rsid w:val="00681523"/>
    <w:rsid w:val="0068155A"/>
    <w:rsid w:val="00681791"/>
    <w:rsid w:val="006819B4"/>
    <w:rsid w:val="006819E5"/>
    <w:rsid w:val="00681A23"/>
    <w:rsid w:val="00681BB9"/>
    <w:rsid w:val="00681D78"/>
    <w:rsid w:val="00681DB6"/>
    <w:rsid w:val="00681F83"/>
    <w:rsid w:val="00682035"/>
    <w:rsid w:val="0068206E"/>
    <w:rsid w:val="00682142"/>
    <w:rsid w:val="00682162"/>
    <w:rsid w:val="006821E3"/>
    <w:rsid w:val="0068242E"/>
    <w:rsid w:val="0068274F"/>
    <w:rsid w:val="0068275B"/>
    <w:rsid w:val="00682D44"/>
    <w:rsid w:val="00682F29"/>
    <w:rsid w:val="00682F2D"/>
    <w:rsid w:val="006830C7"/>
    <w:rsid w:val="006831A2"/>
    <w:rsid w:val="006833E5"/>
    <w:rsid w:val="00683495"/>
    <w:rsid w:val="00683509"/>
    <w:rsid w:val="00683760"/>
    <w:rsid w:val="00683835"/>
    <w:rsid w:val="00683B10"/>
    <w:rsid w:val="00683CB8"/>
    <w:rsid w:val="00683FBD"/>
    <w:rsid w:val="00683FC7"/>
    <w:rsid w:val="006841BE"/>
    <w:rsid w:val="00684307"/>
    <w:rsid w:val="00684759"/>
    <w:rsid w:val="00684DDE"/>
    <w:rsid w:val="006851C7"/>
    <w:rsid w:val="0068521B"/>
    <w:rsid w:val="006853E3"/>
    <w:rsid w:val="006855DA"/>
    <w:rsid w:val="00685618"/>
    <w:rsid w:val="0068562B"/>
    <w:rsid w:val="00685639"/>
    <w:rsid w:val="00685734"/>
    <w:rsid w:val="0068589E"/>
    <w:rsid w:val="00685AD1"/>
    <w:rsid w:val="00685F65"/>
    <w:rsid w:val="00685FF5"/>
    <w:rsid w:val="00686017"/>
    <w:rsid w:val="006860E6"/>
    <w:rsid w:val="006860F4"/>
    <w:rsid w:val="00686270"/>
    <w:rsid w:val="00686349"/>
    <w:rsid w:val="006865CC"/>
    <w:rsid w:val="006865D7"/>
    <w:rsid w:val="0068666C"/>
    <w:rsid w:val="00686737"/>
    <w:rsid w:val="006869F6"/>
    <w:rsid w:val="00686BC9"/>
    <w:rsid w:val="00686BF3"/>
    <w:rsid w:val="00686E02"/>
    <w:rsid w:val="00686FB0"/>
    <w:rsid w:val="006871A5"/>
    <w:rsid w:val="006871EB"/>
    <w:rsid w:val="006874E2"/>
    <w:rsid w:val="00687989"/>
    <w:rsid w:val="00687BD1"/>
    <w:rsid w:val="00690293"/>
    <w:rsid w:val="006902FC"/>
    <w:rsid w:val="006904C2"/>
    <w:rsid w:val="006907DE"/>
    <w:rsid w:val="00690810"/>
    <w:rsid w:val="0069089C"/>
    <w:rsid w:val="00691358"/>
    <w:rsid w:val="00691720"/>
    <w:rsid w:val="0069181E"/>
    <w:rsid w:val="00691852"/>
    <w:rsid w:val="00691867"/>
    <w:rsid w:val="00691911"/>
    <w:rsid w:val="006919F2"/>
    <w:rsid w:val="00691BB5"/>
    <w:rsid w:val="00691C9C"/>
    <w:rsid w:val="00691F56"/>
    <w:rsid w:val="00692681"/>
    <w:rsid w:val="0069271A"/>
    <w:rsid w:val="0069271C"/>
    <w:rsid w:val="00692888"/>
    <w:rsid w:val="00692896"/>
    <w:rsid w:val="00693068"/>
    <w:rsid w:val="006930A9"/>
    <w:rsid w:val="00693166"/>
    <w:rsid w:val="00693291"/>
    <w:rsid w:val="00693634"/>
    <w:rsid w:val="0069369F"/>
    <w:rsid w:val="006936F7"/>
    <w:rsid w:val="00693726"/>
    <w:rsid w:val="00693C19"/>
    <w:rsid w:val="00693C51"/>
    <w:rsid w:val="00693C56"/>
    <w:rsid w:val="00693EB0"/>
    <w:rsid w:val="00693FDF"/>
    <w:rsid w:val="00694080"/>
    <w:rsid w:val="00694102"/>
    <w:rsid w:val="0069428F"/>
    <w:rsid w:val="006942B1"/>
    <w:rsid w:val="00694428"/>
    <w:rsid w:val="006947FE"/>
    <w:rsid w:val="00694CB5"/>
    <w:rsid w:val="00694E17"/>
    <w:rsid w:val="00694F92"/>
    <w:rsid w:val="00695215"/>
    <w:rsid w:val="0069527F"/>
    <w:rsid w:val="006952B7"/>
    <w:rsid w:val="0069544E"/>
    <w:rsid w:val="006955BD"/>
    <w:rsid w:val="00695691"/>
    <w:rsid w:val="006959A1"/>
    <w:rsid w:val="00695BAB"/>
    <w:rsid w:val="00695D05"/>
    <w:rsid w:val="00696279"/>
    <w:rsid w:val="006962C8"/>
    <w:rsid w:val="006963D4"/>
    <w:rsid w:val="006965D7"/>
    <w:rsid w:val="006965FD"/>
    <w:rsid w:val="006969CA"/>
    <w:rsid w:val="00696AF3"/>
    <w:rsid w:val="00696B62"/>
    <w:rsid w:val="00696E26"/>
    <w:rsid w:val="006970AF"/>
    <w:rsid w:val="00697112"/>
    <w:rsid w:val="00697318"/>
    <w:rsid w:val="0069731F"/>
    <w:rsid w:val="006973B0"/>
    <w:rsid w:val="006977A6"/>
    <w:rsid w:val="006977C7"/>
    <w:rsid w:val="00697808"/>
    <w:rsid w:val="0069785F"/>
    <w:rsid w:val="00697AAB"/>
    <w:rsid w:val="00697AF5"/>
    <w:rsid w:val="00697B46"/>
    <w:rsid w:val="00697E53"/>
    <w:rsid w:val="00697F42"/>
    <w:rsid w:val="006A021C"/>
    <w:rsid w:val="006A0385"/>
    <w:rsid w:val="006A060A"/>
    <w:rsid w:val="006A06FB"/>
    <w:rsid w:val="006A0920"/>
    <w:rsid w:val="006A0EF2"/>
    <w:rsid w:val="006A0FDF"/>
    <w:rsid w:val="006A0FF9"/>
    <w:rsid w:val="006A1007"/>
    <w:rsid w:val="006A1074"/>
    <w:rsid w:val="006A12B3"/>
    <w:rsid w:val="006A12E3"/>
    <w:rsid w:val="006A14E0"/>
    <w:rsid w:val="006A16C4"/>
    <w:rsid w:val="006A16CE"/>
    <w:rsid w:val="006A174B"/>
    <w:rsid w:val="006A1883"/>
    <w:rsid w:val="006A1A53"/>
    <w:rsid w:val="006A20CD"/>
    <w:rsid w:val="006A21A2"/>
    <w:rsid w:val="006A2283"/>
    <w:rsid w:val="006A2484"/>
    <w:rsid w:val="006A2799"/>
    <w:rsid w:val="006A2CEB"/>
    <w:rsid w:val="006A2D22"/>
    <w:rsid w:val="006A2E23"/>
    <w:rsid w:val="006A317B"/>
    <w:rsid w:val="006A3224"/>
    <w:rsid w:val="006A38AD"/>
    <w:rsid w:val="006A3920"/>
    <w:rsid w:val="006A3B20"/>
    <w:rsid w:val="006A3B34"/>
    <w:rsid w:val="006A3CD2"/>
    <w:rsid w:val="006A3E3F"/>
    <w:rsid w:val="006A40D4"/>
    <w:rsid w:val="006A4102"/>
    <w:rsid w:val="006A415F"/>
    <w:rsid w:val="006A438B"/>
    <w:rsid w:val="006A43F3"/>
    <w:rsid w:val="006A4403"/>
    <w:rsid w:val="006A46C0"/>
    <w:rsid w:val="006A4758"/>
    <w:rsid w:val="006A480E"/>
    <w:rsid w:val="006A4A96"/>
    <w:rsid w:val="006A4ECA"/>
    <w:rsid w:val="006A5121"/>
    <w:rsid w:val="006A5470"/>
    <w:rsid w:val="006A54A7"/>
    <w:rsid w:val="006A555B"/>
    <w:rsid w:val="006A55B4"/>
    <w:rsid w:val="006A5809"/>
    <w:rsid w:val="006A5A3B"/>
    <w:rsid w:val="006A5A48"/>
    <w:rsid w:val="006A5C71"/>
    <w:rsid w:val="006A5D8A"/>
    <w:rsid w:val="006A5DF1"/>
    <w:rsid w:val="006A5F48"/>
    <w:rsid w:val="006A5F65"/>
    <w:rsid w:val="006A60BD"/>
    <w:rsid w:val="006A62AE"/>
    <w:rsid w:val="006A6A02"/>
    <w:rsid w:val="006A6AB7"/>
    <w:rsid w:val="006A6AF5"/>
    <w:rsid w:val="006A714F"/>
    <w:rsid w:val="006A7172"/>
    <w:rsid w:val="006A71D7"/>
    <w:rsid w:val="006A72BC"/>
    <w:rsid w:val="006A734B"/>
    <w:rsid w:val="006A7501"/>
    <w:rsid w:val="006A761B"/>
    <w:rsid w:val="006A7877"/>
    <w:rsid w:val="006A7946"/>
    <w:rsid w:val="006A7B56"/>
    <w:rsid w:val="006A7B73"/>
    <w:rsid w:val="006A7CFF"/>
    <w:rsid w:val="006A7DFC"/>
    <w:rsid w:val="006A7E9C"/>
    <w:rsid w:val="006B004A"/>
    <w:rsid w:val="006B01D6"/>
    <w:rsid w:val="006B0597"/>
    <w:rsid w:val="006B05D7"/>
    <w:rsid w:val="006B071C"/>
    <w:rsid w:val="006B0906"/>
    <w:rsid w:val="006B0926"/>
    <w:rsid w:val="006B0ADC"/>
    <w:rsid w:val="006B0CAB"/>
    <w:rsid w:val="006B0E13"/>
    <w:rsid w:val="006B0F73"/>
    <w:rsid w:val="006B105F"/>
    <w:rsid w:val="006B1148"/>
    <w:rsid w:val="006B13DC"/>
    <w:rsid w:val="006B15B1"/>
    <w:rsid w:val="006B1929"/>
    <w:rsid w:val="006B19FD"/>
    <w:rsid w:val="006B1CAC"/>
    <w:rsid w:val="006B1F58"/>
    <w:rsid w:val="006B1F94"/>
    <w:rsid w:val="006B210A"/>
    <w:rsid w:val="006B210F"/>
    <w:rsid w:val="006B2114"/>
    <w:rsid w:val="006B213D"/>
    <w:rsid w:val="006B2165"/>
    <w:rsid w:val="006B2266"/>
    <w:rsid w:val="006B256B"/>
    <w:rsid w:val="006B25C8"/>
    <w:rsid w:val="006B2651"/>
    <w:rsid w:val="006B2804"/>
    <w:rsid w:val="006B280C"/>
    <w:rsid w:val="006B2A8B"/>
    <w:rsid w:val="006B2AB9"/>
    <w:rsid w:val="006B2AE9"/>
    <w:rsid w:val="006B2B7F"/>
    <w:rsid w:val="006B2D3B"/>
    <w:rsid w:val="006B2D9A"/>
    <w:rsid w:val="006B2DD2"/>
    <w:rsid w:val="006B2EC8"/>
    <w:rsid w:val="006B30F3"/>
    <w:rsid w:val="006B332A"/>
    <w:rsid w:val="006B3482"/>
    <w:rsid w:val="006B3657"/>
    <w:rsid w:val="006B37BB"/>
    <w:rsid w:val="006B39B0"/>
    <w:rsid w:val="006B3AA1"/>
    <w:rsid w:val="006B3B15"/>
    <w:rsid w:val="006B3D8E"/>
    <w:rsid w:val="006B3FF6"/>
    <w:rsid w:val="006B4141"/>
    <w:rsid w:val="006B420E"/>
    <w:rsid w:val="006B4340"/>
    <w:rsid w:val="006B44A4"/>
    <w:rsid w:val="006B450C"/>
    <w:rsid w:val="006B450F"/>
    <w:rsid w:val="006B489C"/>
    <w:rsid w:val="006B4AEC"/>
    <w:rsid w:val="006B4B81"/>
    <w:rsid w:val="006B4BB6"/>
    <w:rsid w:val="006B4C3B"/>
    <w:rsid w:val="006B4E07"/>
    <w:rsid w:val="006B4FD9"/>
    <w:rsid w:val="006B502F"/>
    <w:rsid w:val="006B5193"/>
    <w:rsid w:val="006B5696"/>
    <w:rsid w:val="006B57E6"/>
    <w:rsid w:val="006B582F"/>
    <w:rsid w:val="006B58B2"/>
    <w:rsid w:val="006B58B7"/>
    <w:rsid w:val="006B5E2C"/>
    <w:rsid w:val="006B63F7"/>
    <w:rsid w:val="006B6608"/>
    <w:rsid w:val="006B6620"/>
    <w:rsid w:val="006B668D"/>
    <w:rsid w:val="006B66B1"/>
    <w:rsid w:val="006B6727"/>
    <w:rsid w:val="006B6933"/>
    <w:rsid w:val="006B6D29"/>
    <w:rsid w:val="006B6E59"/>
    <w:rsid w:val="006B7029"/>
    <w:rsid w:val="006B72D7"/>
    <w:rsid w:val="006B768A"/>
    <w:rsid w:val="006B777E"/>
    <w:rsid w:val="006B79D7"/>
    <w:rsid w:val="006B7B79"/>
    <w:rsid w:val="006B7E2C"/>
    <w:rsid w:val="006B7FED"/>
    <w:rsid w:val="006C063B"/>
    <w:rsid w:val="006C0805"/>
    <w:rsid w:val="006C09A0"/>
    <w:rsid w:val="006C0AC1"/>
    <w:rsid w:val="006C1067"/>
    <w:rsid w:val="006C108F"/>
    <w:rsid w:val="006C1186"/>
    <w:rsid w:val="006C14D3"/>
    <w:rsid w:val="006C1BD9"/>
    <w:rsid w:val="006C1EC8"/>
    <w:rsid w:val="006C1F56"/>
    <w:rsid w:val="006C1FB5"/>
    <w:rsid w:val="006C219E"/>
    <w:rsid w:val="006C242A"/>
    <w:rsid w:val="006C2671"/>
    <w:rsid w:val="006C2814"/>
    <w:rsid w:val="006C2842"/>
    <w:rsid w:val="006C2921"/>
    <w:rsid w:val="006C2AF3"/>
    <w:rsid w:val="006C2B6F"/>
    <w:rsid w:val="006C2C05"/>
    <w:rsid w:val="006C2C09"/>
    <w:rsid w:val="006C30C3"/>
    <w:rsid w:val="006C33BD"/>
    <w:rsid w:val="006C3588"/>
    <w:rsid w:val="006C35C5"/>
    <w:rsid w:val="006C3921"/>
    <w:rsid w:val="006C3A23"/>
    <w:rsid w:val="006C3C26"/>
    <w:rsid w:val="006C3CEE"/>
    <w:rsid w:val="006C404A"/>
    <w:rsid w:val="006C4342"/>
    <w:rsid w:val="006C4573"/>
    <w:rsid w:val="006C4AD8"/>
    <w:rsid w:val="006C4EEC"/>
    <w:rsid w:val="006C5052"/>
    <w:rsid w:val="006C5067"/>
    <w:rsid w:val="006C511B"/>
    <w:rsid w:val="006C5620"/>
    <w:rsid w:val="006C57D3"/>
    <w:rsid w:val="006C57F7"/>
    <w:rsid w:val="006C5A04"/>
    <w:rsid w:val="006C5B66"/>
    <w:rsid w:val="006C5BA8"/>
    <w:rsid w:val="006C5E71"/>
    <w:rsid w:val="006C5FFA"/>
    <w:rsid w:val="006C628C"/>
    <w:rsid w:val="006C62C5"/>
    <w:rsid w:val="006C6383"/>
    <w:rsid w:val="006C676E"/>
    <w:rsid w:val="006C67D1"/>
    <w:rsid w:val="006C68F2"/>
    <w:rsid w:val="006C6AA8"/>
    <w:rsid w:val="006C6B1E"/>
    <w:rsid w:val="006C6B47"/>
    <w:rsid w:val="006C6FAC"/>
    <w:rsid w:val="006C720D"/>
    <w:rsid w:val="006C7270"/>
    <w:rsid w:val="006C73EE"/>
    <w:rsid w:val="006C7866"/>
    <w:rsid w:val="006C798C"/>
    <w:rsid w:val="006C7B08"/>
    <w:rsid w:val="006C7B90"/>
    <w:rsid w:val="006C7CA4"/>
    <w:rsid w:val="006C7CD9"/>
    <w:rsid w:val="006C7D80"/>
    <w:rsid w:val="006C7E8B"/>
    <w:rsid w:val="006D0250"/>
    <w:rsid w:val="006D0252"/>
    <w:rsid w:val="006D02BA"/>
    <w:rsid w:val="006D0328"/>
    <w:rsid w:val="006D038D"/>
    <w:rsid w:val="006D0498"/>
    <w:rsid w:val="006D06E9"/>
    <w:rsid w:val="006D070F"/>
    <w:rsid w:val="006D07C2"/>
    <w:rsid w:val="006D07E0"/>
    <w:rsid w:val="006D086A"/>
    <w:rsid w:val="006D087D"/>
    <w:rsid w:val="006D0967"/>
    <w:rsid w:val="006D0974"/>
    <w:rsid w:val="006D0A86"/>
    <w:rsid w:val="006D0B01"/>
    <w:rsid w:val="006D0C71"/>
    <w:rsid w:val="006D0D79"/>
    <w:rsid w:val="006D0F09"/>
    <w:rsid w:val="006D0F36"/>
    <w:rsid w:val="006D108C"/>
    <w:rsid w:val="006D1099"/>
    <w:rsid w:val="006D1128"/>
    <w:rsid w:val="006D124A"/>
    <w:rsid w:val="006D1407"/>
    <w:rsid w:val="006D1794"/>
    <w:rsid w:val="006D1875"/>
    <w:rsid w:val="006D18E1"/>
    <w:rsid w:val="006D19EC"/>
    <w:rsid w:val="006D19F4"/>
    <w:rsid w:val="006D1A94"/>
    <w:rsid w:val="006D1BD0"/>
    <w:rsid w:val="006D1F33"/>
    <w:rsid w:val="006D229E"/>
    <w:rsid w:val="006D22C3"/>
    <w:rsid w:val="006D24E3"/>
    <w:rsid w:val="006D2608"/>
    <w:rsid w:val="006D266A"/>
    <w:rsid w:val="006D272D"/>
    <w:rsid w:val="006D2B18"/>
    <w:rsid w:val="006D2BF8"/>
    <w:rsid w:val="006D2C92"/>
    <w:rsid w:val="006D2CCC"/>
    <w:rsid w:val="006D2E0F"/>
    <w:rsid w:val="006D2EF9"/>
    <w:rsid w:val="006D2F26"/>
    <w:rsid w:val="006D31CD"/>
    <w:rsid w:val="006D32FA"/>
    <w:rsid w:val="006D3542"/>
    <w:rsid w:val="006D357A"/>
    <w:rsid w:val="006D363F"/>
    <w:rsid w:val="006D3BC9"/>
    <w:rsid w:val="006D3C08"/>
    <w:rsid w:val="006D3EDC"/>
    <w:rsid w:val="006D3EF9"/>
    <w:rsid w:val="006D43A2"/>
    <w:rsid w:val="006D44B3"/>
    <w:rsid w:val="006D452D"/>
    <w:rsid w:val="006D4569"/>
    <w:rsid w:val="006D468F"/>
    <w:rsid w:val="006D479B"/>
    <w:rsid w:val="006D4B42"/>
    <w:rsid w:val="006D4CFA"/>
    <w:rsid w:val="006D4E9D"/>
    <w:rsid w:val="006D4ED8"/>
    <w:rsid w:val="006D52A2"/>
    <w:rsid w:val="006D55A2"/>
    <w:rsid w:val="006D55FD"/>
    <w:rsid w:val="006D5A87"/>
    <w:rsid w:val="006D5DB0"/>
    <w:rsid w:val="006D5DDB"/>
    <w:rsid w:val="006D60C1"/>
    <w:rsid w:val="006D638D"/>
    <w:rsid w:val="006D6650"/>
    <w:rsid w:val="006D6661"/>
    <w:rsid w:val="006D667B"/>
    <w:rsid w:val="006D66EE"/>
    <w:rsid w:val="006D67EE"/>
    <w:rsid w:val="006D6839"/>
    <w:rsid w:val="006D6855"/>
    <w:rsid w:val="006D688A"/>
    <w:rsid w:val="006D6A82"/>
    <w:rsid w:val="006D6AB1"/>
    <w:rsid w:val="006D7083"/>
    <w:rsid w:val="006D71F6"/>
    <w:rsid w:val="006D732D"/>
    <w:rsid w:val="006D7375"/>
    <w:rsid w:val="006D7430"/>
    <w:rsid w:val="006D7545"/>
    <w:rsid w:val="006D7A1E"/>
    <w:rsid w:val="006D7AC7"/>
    <w:rsid w:val="006D7B30"/>
    <w:rsid w:val="006D7C2E"/>
    <w:rsid w:val="006D7C8A"/>
    <w:rsid w:val="006D7EB1"/>
    <w:rsid w:val="006E003A"/>
    <w:rsid w:val="006E0279"/>
    <w:rsid w:val="006E0351"/>
    <w:rsid w:val="006E0729"/>
    <w:rsid w:val="006E0AD4"/>
    <w:rsid w:val="006E105E"/>
    <w:rsid w:val="006E11CA"/>
    <w:rsid w:val="006E1249"/>
    <w:rsid w:val="006E1588"/>
    <w:rsid w:val="006E15BD"/>
    <w:rsid w:val="006E1672"/>
    <w:rsid w:val="006E1675"/>
    <w:rsid w:val="006E16E8"/>
    <w:rsid w:val="006E1C31"/>
    <w:rsid w:val="006E1D7A"/>
    <w:rsid w:val="006E1DB3"/>
    <w:rsid w:val="006E1E96"/>
    <w:rsid w:val="006E2534"/>
    <w:rsid w:val="006E261A"/>
    <w:rsid w:val="006E262F"/>
    <w:rsid w:val="006E280C"/>
    <w:rsid w:val="006E286D"/>
    <w:rsid w:val="006E2930"/>
    <w:rsid w:val="006E2B4F"/>
    <w:rsid w:val="006E2CA1"/>
    <w:rsid w:val="006E2CF3"/>
    <w:rsid w:val="006E2D46"/>
    <w:rsid w:val="006E2DBD"/>
    <w:rsid w:val="006E323F"/>
    <w:rsid w:val="006E329C"/>
    <w:rsid w:val="006E346C"/>
    <w:rsid w:val="006E34DC"/>
    <w:rsid w:val="006E3520"/>
    <w:rsid w:val="006E360E"/>
    <w:rsid w:val="006E3651"/>
    <w:rsid w:val="006E36DE"/>
    <w:rsid w:val="006E371E"/>
    <w:rsid w:val="006E375D"/>
    <w:rsid w:val="006E37BC"/>
    <w:rsid w:val="006E3A8A"/>
    <w:rsid w:val="006E3C4B"/>
    <w:rsid w:val="006E3DF7"/>
    <w:rsid w:val="006E4059"/>
    <w:rsid w:val="006E406C"/>
    <w:rsid w:val="006E40C5"/>
    <w:rsid w:val="006E411F"/>
    <w:rsid w:val="006E41A3"/>
    <w:rsid w:val="006E41E7"/>
    <w:rsid w:val="006E432F"/>
    <w:rsid w:val="006E4493"/>
    <w:rsid w:val="006E450E"/>
    <w:rsid w:val="006E45F9"/>
    <w:rsid w:val="006E45FB"/>
    <w:rsid w:val="006E4923"/>
    <w:rsid w:val="006E49BC"/>
    <w:rsid w:val="006E4D15"/>
    <w:rsid w:val="006E4EBD"/>
    <w:rsid w:val="006E4FB7"/>
    <w:rsid w:val="006E5302"/>
    <w:rsid w:val="006E5344"/>
    <w:rsid w:val="006E53EC"/>
    <w:rsid w:val="006E5427"/>
    <w:rsid w:val="006E54B8"/>
    <w:rsid w:val="006E5798"/>
    <w:rsid w:val="006E579C"/>
    <w:rsid w:val="006E5C12"/>
    <w:rsid w:val="006E5F37"/>
    <w:rsid w:val="006E5F3A"/>
    <w:rsid w:val="006E640D"/>
    <w:rsid w:val="006E6515"/>
    <w:rsid w:val="006E673D"/>
    <w:rsid w:val="006E6750"/>
    <w:rsid w:val="006E6757"/>
    <w:rsid w:val="006E6A5C"/>
    <w:rsid w:val="006E6C14"/>
    <w:rsid w:val="006E6CDE"/>
    <w:rsid w:val="006E6E0C"/>
    <w:rsid w:val="006E6E6E"/>
    <w:rsid w:val="006E6F43"/>
    <w:rsid w:val="006E6FD9"/>
    <w:rsid w:val="006E727A"/>
    <w:rsid w:val="006E743B"/>
    <w:rsid w:val="006E7549"/>
    <w:rsid w:val="006E75C4"/>
    <w:rsid w:val="006E7642"/>
    <w:rsid w:val="006E7833"/>
    <w:rsid w:val="006E7E25"/>
    <w:rsid w:val="006F016B"/>
    <w:rsid w:val="006F0815"/>
    <w:rsid w:val="006F08F0"/>
    <w:rsid w:val="006F08F3"/>
    <w:rsid w:val="006F098D"/>
    <w:rsid w:val="006F0A20"/>
    <w:rsid w:val="006F0B3A"/>
    <w:rsid w:val="006F0B83"/>
    <w:rsid w:val="006F0C98"/>
    <w:rsid w:val="006F12C4"/>
    <w:rsid w:val="006F12F9"/>
    <w:rsid w:val="006F12FE"/>
    <w:rsid w:val="006F1449"/>
    <w:rsid w:val="006F14FF"/>
    <w:rsid w:val="006F1687"/>
    <w:rsid w:val="006F1749"/>
    <w:rsid w:val="006F18C3"/>
    <w:rsid w:val="006F1EAE"/>
    <w:rsid w:val="006F1F49"/>
    <w:rsid w:val="006F20D0"/>
    <w:rsid w:val="006F2216"/>
    <w:rsid w:val="006F228C"/>
    <w:rsid w:val="006F22E2"/>
    <w:rsid w:val="006F2430"/>
    <w:rsid w:val="006F25AF"/>
    <w:rsid w:val="006F288A"/>
    <w:rsid w:val="006F290F"/>
    <w:rsid w:val="006F2A4C"/>
    <w:rsid w:val="006F2E5D"/>
    <w:rsid w:val="006F2EBA"/>
    <w:rsid w:val="006F35F1"/>
    <w:rsid w:val="006F3937"/>
    <w:rsid w:val="006F398D"/>
    <w:rsid w:val="006F3AE8"/>
    <w:rsid w:val="006F3CA9"/>
    <w:rsid w:val="006F3E28"/>
    <w:rsid w:val="006F3E36"/>
    <w:rsid w:val="006F3F3E"/>
    <w:rsid w:val="006F41CD"/>
    <w:rsid w:val="006F41D0"/>
    <w:rsid w:val="006F42FA"/>
    <w:rsid w:val="006F4310"/>
    <w:rsid w:val="006F4571"/>
    <w:rsid w:val="006F4603"/>
    <w:rsid w:val="006F46B1"/>
    <w:rsid w:val="006F49B7"/>
    <w:rsid w:val="006F4A16"/>
    <w:rsid w:val="006F4D42"/>
    <w:rsid w:val="006F5576"/>
    <w:rsid w:val="006F55B5"/>
    <w:rsid w:val="006F5700"/>
    <w:rsid w:val="006F5BF9"/>
    <w:rsid w:val="006F5D70"/>
    <w:rsid w:val="006F5EE1"/>
    <w:rsid w:val="006F5F44"/>
    <w:rsid w:val="006F5F96"/>
    <w:rsid w:val="006F6261"/>
    <w:rsid w:val="006F62E5"/>
    <w:rsid w:val="006F6390"/>
    <w:rsid w:val="006F650A"/>
    <w:rsid w:val="006F6592"/>
    <w:rsid w:val="006F66F6"/>
    <w:rsid w:val="006F679A"/>
    <w:rsid w:val="006F6966"/>
    <w:rsid w:val="006F6C90"/>
    <w:rsid w:val="006F6D58"/>
    <w:rsid w:val="006F6E2C"/>
    <w:rsid w:val="006F7344"/>
    <w:rsid w:val="006F7393"/>
    <w:rsid w:val="006F73CA"/>
    <w:rsid w:val="006F7481"/>
    <w:rsid w:val="006F75D1"/>
    <w:rsid w:val="006F7860"/>
    <w:rsid w:val="006F791C"/>
    <w:rsid w:val="006F7AE5"/>
    <w:rsid w:val="006F7B45"/>
    <w:rsid w:val="006F7B62"/>
    <w:rsid w:val="006F7C33"/>
    <w:rsid w:val="006F7C6E"/>
    <w:rsid w:val="006F7CCB"/>
    <w:rsid w:val="006F7E0A"/>
    <w:rsid w:val="006F7E12"/>
    <w:rsid w:val="007001AF"/>
    <w:rsid w:val="007001CC"/>
    <w:rsid w:val="007004F9"/>
    <w:rsid w:val="0070050B"/>
    <w:rsid w:val="0070054E"/>
    <w:rsid w:val="007006A5"/>
    <w:rsid w:val="007006FD"/>
    <w:rsid w:val="007007C5"/>
    <w:rsid w:val="00700B1D"/>
    <w:rsid w:val="00700B74"/>
    <w:rsid w:val="00700D79"/>
    <w:rsid w:val="00700E5A"/>
    <w:rsid w:val="00701133"/>
    <w:rsid w:val="007012A9"/>
    <w:rsid w:val="00701309"/>
    <w:rsid w:val="007015E6"/>
    <w:rsid w:val="007016A8"/>
    <w:rsid w:val="007016C6"/>
    <w:rsid w:val="007017A5"/>
    <w:rsid w:val="00701A9F"/>
    <w:rsid w:val="00701B65"/>
    <w:rsid w:val="00701CF9"/>
    <w:rsid w:val="00701DED"/>
    <w:rsid w:val="00701EDE"/>
    <w:rsid w:val="0070208E"/>
    <w:rsid w:val="00702211"/>
    <w:rsid w:val="00702389"/>
    <w:rsid w:val="007027F2"/>
    <w:rsid w:val="00702865"/>
    <w:rsid w:val="00702A53"/>
    <w:rsid w:val="00702A6C"/>
    <w:rsid w:val="00702BF2"/>
    <w:rsid w:val="00702D2C"/>
    <w:rsid w:val="00702DC3"/>
    <w:rsid w:val="00702EBC"/>
    <w:rsid w:val="00702F09"/>
    <w:rsid w:val="00702F20"/>
    <w:rsid w:val="0070335A"/>
    <w:rsid w:val="0070350C"/>
    <w:rsid w:val="00703587"/>
    <w:rsid w:val="007038D0"/>
    <w:rsid w:val="007040BC"/>
    <w:rsid w:val="007041DD"/>
    <w:rsid w:val="007041F0"/>
    <w:rsid w:val="00704453"/>
    <w:rsid w:val="00704B22"/>
    <w:rsid w:val="00704C12"/>
    <w:rsid w:val="0070507E"/>
    <w:rsid w:val="00705161"/>
    <w:rsid w:val="00705263"/>
    <w:rsid w:val="0070536D"/>
    <w:rsid w:val="007054EC"/>
    <w:rsid w:val="00705BC3"/>
    <w:rsid w:val="00705D2A"/>
    <w:rsid w:val="00705F43"/>
    <w:rsid w:val="0070644A"/>
    <w:rsid w:val="0070655A"/>
    <w:rsid w:val="007065D8"/>
    <w:rsid w:val="00706637"/>
    <w:rsid w:val="00706647"/>
    <w:rsid w:val="00706A41"/>
    <w:rsid w:val="00706BE7"/>
    <w:rsid w:val="00706BFE"/>
    <w:rsid w:val="00706D24"/>
    <w:rsid w:val="00706DC6"/>
    <w:rsid w:val="00706E31"/>
    <w:rsid w:val="00706F9E"/>
    <w:rsid w:val="0070733D"/>
    <w:rsid w:val="0070750A"/>
    <w:rsid w:val="00707557"/>
    <w:rsid w:val="007076A1"/>
    <w:rsid w:val="007077C6"/>
    <w:rsid w:val="00707C4A"/>
    <w:rsid w:val="00707DAB"/>
    <w:rsid w:val="00707DF3"/>
    <w:rsid w:val="007101CF"/>
    <w:rsid w:val="0071037B"/>
    <w:rsid w:val="00710425"/>
    <w:rsid w:val="007104D8"/>
    <w:rsid w:val="00710582"/>
    <w:rsid w:val="00710811"/>
    <w:rsid w:val="00710826"/>
    <w:rsid w:val="00710AA3"/>
    <w:rsid w:val="00710BAD"/>
    <w:rsid w:val="00710BE6"/>
    <w:rsid w:val="00710D83"/>
    <w:rsid w:val="00710F6B"/>
    <w:rsid w:val="007111F2"/>
    <w:rsid w:val="00711376"/>
    <w:rsid w:val="007115C2"/>
    <w:rsid w:val="007116DD"/>
    <w:rsid w:val="00711755"/>
    <w:rsid w:val="00711787"/>
    <w:rsid w:val="00711B4E"/>
    <w:rsid w:val="00711B57"/>
    <w:rsid w:val="00712A58"/>
    <w:rsid w:val="00712AC4"/>
    <w:rsid w:val="00712AD9"/>
    <w:rsid w:val="00712BF8"/>
    <w:rsid w:val="007137F6"/>
    <w:rsid w:val="007139F8"/>
    <w:rsid w:val="00714099"/>
    <w:rsid w:val="007144BA"/>
    <w:rsid w:val="0071457F"/>
    <w:rsid w:val="00714590"/>
    <w:rsid w:val="0071470C"/>
    <w:rsid w:val="00714A02"/>
    <w:rsid w:val="00714BF6"/>
    <w:rsid w:val="00714D49"/>
    <w:rsid w:val="00714EA9"/>
    <w:rsid w:val="00715073"/>
    <w:rsid w:val="0071519B"/>
    <w:rsid w:val="007151B2"/>
    <w:rsid w:val="007153F0"/>
    <w:rsid w:val="0071543C"/>
    <w:rsid w:val="00715921"/>
    <w:rsid w:val="00715BA7"/>
    <w:rsid w:val="00715C74"/>
    <w:rsid w:val="00715D20"/>
    <w:rsid w:val="00715DDA"/>
    <w:rsid w:val="007160C9"/>
    <w:rsid w:val="00716480"/>
    <w:rsid w:val="007164E8"/>
    <w:rsid w:val="00716630"/>
    <w:rsid w:val="00716767"/>
    <w:rsid w:val="00716809"/>
    <w:rsid w:val="00716A5C"/>
    <w:rsid w:val="00716B15"/>
    <w:rsid w:val="00716C68"/>
    <w:rsid w:val="00717238"/>
    <w:rsid w:val="0071728F"/>
    <w:rsid w:val="00717741"/>
    <w:rsid w:val="007177A5"/>
    <w:rsid w:val="007177C3"/>
    <w:rsid w:val="007178A4"/>
    <w:rsid w:val="007178D0"/>
    <w:rsid w:val="0071797C"/>
    <w:rsid w:val="00717A10"/>
    <w:rsid w:val="00717C59"/>
    <w:rsid w:val="00717CB6"/>
    <w:rsid w:val="00717D42"/>
    <w:rsid w:val="00720223"/>
    <w:rsid w:val="0072026A"/>
    <w:rsid w:val="00720310"/>
    <w:rsid w:val="0072049D"/>
    <w:rsid w:val="00720582"/>
    <w:rsid w:val="00720945"/>
    <w:rsid w:val="007209FB"/>
    <w:rsid w:val="00720A93"/>
    <w:rsid w:val="00720DCF"/>
    <w:rsid w:val="007211C4"/>
    <w:rsid w:val="00721270"/>
    <w:rsid w:val="00721287"/>
    <w:rsid w:val="007213FB"/>
    <w:rsid w:val="00721900"/>
    <w:rsid w:val="00721A02"/>
    <w:rsid w:val="00721A27"/>
    <w:rsid w:val="00721CD9"/>
    <w:rsid w:val="00721E05"/>
    <w:rsid w:val="00721FEB"/>
    <w:rsid w:val="00722284"/>
    <w:rsid w:val="00722492"/>
    <w:rsid w:val="00722A61"/>
    <w:rsid w:val="00722B77"/>
    <w:rsid w:val="00722E4C"/>
    <w:rsid w:val="0072312E"/>
    <w:rsid w:val="0072323A"/>
    <w:rsid w:val="007232E1"/>
    <w:rsid w:val="00723728"/>
    <w:rsid w:val="00723883"/>
    <w:rsid w:val="00723A00"/>
    <w:rsid w:val="00723BEF"/>
    <w:rsid w:val="00723C79"/>
    <w:rsid w:val="00723C81"/>
    <w:rsid w:val="00723CC1"/>
    <w:rsid w:val="00723F1A"/>
    <w:rsid w:val="00723F2D"/>
    <w:rsid w:val="00723FE1"/>
    <w:rsid w:val="007242EB"/>
    <w:rsid w:val="00724416"/>
    <w:rsid w:val="0072467C"/>
    <w:rsid w:val="00724900"/>
    <w:rsid w:val="007249B7"/>
    <w:rsid w:val="00724B37"/>
    <w:rsid w:val="00724BED"/>
    <w:rsid w:val="00724C49"/>
    <w:rsid w:val="00724EFC"/>
    <w:rsid w:val="007251C2"/>
    <w:rsid w:val="0072524D"/>
    <w:rsid w:val="00725337"/>
    <w:rsid w:val="0072545B"/>
    <w:rsid w:val="007254D9"/>
    <w:rsid w:val="007255E6"/>
    <w:rsid w:val="007257D5"/>
    <w:rsid w:val="00725A37"/>
    <w:rsid w:val="00725BEB"/>
    <w:rsid w:val="00725D45"/>
    <w:rsid w:val="00725F91"/>
    <w:rsid w:val="007261B2"/>
    <w:rsid w:val="007261D8"/>
    <w:rsid w:val="00726286"/>
    <w:rsid w:val="007263A2"/>
    <w:rsid w:val="007263AE"/>
    <w:rsid w:val="00726408"/>
    <w:rsid w:val="00726892"/>
    <w:rsid w:val="00726D90"/>
    <w:rsid w:val="00726E99"/>
    <w:rsid w:val="00727850"/>
    <w:rsid w:val="00727AF0"/>
    <w:rsid w:val="00727BED"/>
    <w:rsid w:val="00727C7A"/>
    <w:rsid w:val="00727EFE"/>
    <w:rsid w:val="00727F97"/>
    <w:rsid w:val="00730009"/>
    <w:rsid w:val="007300B3"/>
    <w:rsid w:val="00730137"/>
    <w:rsid w:val="007302DA"/>
    <w:rsid w:val="007305AB"/>
    <w:rsid w:val="007305F7"/>
    <w:rsid w:val="0073076A"/>
    <w:rsid w:val="007308AA"/>
    <w:rsid w:val="007308E2"/>
    <w:rsid w:val="00730B08"/>
    <w:rsid w:val="00730BAE"/>
    <w:rsid w:val="00730D24"/>
    <w:rsid w:val="00730D62"/>
    <w:rsid w:val="00730E99"/>
    <w:rsid w:val="00730EA7"/>
    <w:rsid w:val="0073133E"/>
    <w:rsid w:val="00731404"/>
    <w:rsid w:val="00731687"/>
    <w:rsid w:val="00731874"/>
    <w:rsid w:val="00731973"/>
    <w:rsid w:val="00731AEA"/>
    <w:rsid w:val="0073238E"/>
    <w:rsid w:val="007323F3"/>
    <w:rsid w:val="0073246E"/>
    <w:rsid w:val="007325CC"/>
    <w:rsid w:val="0073286F"/>
    <w:rsid w:val="0073297F"/>
    <w:rsid w:val="00732D30"/>
    <w:rsid w:val="007331E9"/>
    <w:rsid w:val="007337FB"/>
    <w:rsid w:val="0073382D"/>
    <w:rsid w:val="00733AF9"/>
    <w:rsid w:val="00733BE9"/>
    <w:rsid w:val="00733CEC"/>
    <w:rsid w:val="00733F2B"/>
    <w:rsid w:val="00733F63"/>
    <w:rsid w:val="007340F1"/>
    <w:rsid w:val="007342D7"/>
    <w:rsid w:val="00734320"/>
    <w:rsid w:val="007344BD"/>
    <w:rsid w:val="00734775"/>
    <w:rsid w:val="007347F7"/>
    <w:rsid w:val="00734AD9"/>
    <w:rsid w:val="00734BF4"/>
    <w:rsid w:val="007350C0"/>
    <w:rsid w:val="00735388"/>
    <w:rsid w:val="0073539F"/>
    <w:rsid w:val="0073547B"/>
    <w:rsid w:val="007354A4"/>
    <w:rsid w:val="00735571"/>
    <w:rsid w:val="00735577"/>
    <w:rsid w:val="00735873"/>
    <w:rsid w:val="00735991"/>
    <w:rsid w:val="00735C01"/>
    <w:rsid w:val="00735D90"/>
    <w:rsid w:val="0073617C"/>
    <w:rsid w:val="007361B5"/>
    <w:rsid w:val="00736200"/>
    <w:rsid w:val="00736265"/>
    <w:rsid w:val="007362DA"/>
    <w:rsid w:val="007364A6"/>
    <w:rsid w:val="007366CF"/>
    <w:rsid w:val="00736A28"/>
    <w:rsid w:val="00736E48"/>
    <w:rsid w:val="00736E8F"/>
    <w:rsid w:val="00736FCE"/>
    <w:rsid w:val="007370B7"/>
    <w:rsid w:val="007371EE"/>
    <w:rsid w:val="007373E0"/>
    <w:rsid w:val="00737714"/>
    <w:rsid w:val="00737782"/>
    <w:rsid w:val="007377D8"/>
    <w:rsid w:val="00737922"/>
    <w:rsid w:val="00737963"/>
    <w:rsid w:val="007379A7"/>
    <w:rsid w:val="00737E0A"/>
    <w:rsid w:val="00737EC6"/>
    <w:rsid w:val="00737F4B"/>
    <w:rsid w:val="007400A4"/>
    <w:rsid w:val="0074020F"/>
    <w:rsid w:val="0074030B"/>
    <w:rsid w:val="0074049E"/>
    <w:rsid w:val="007404AE"/>
    <w:rsid w:val="0074068D"/>
    <w:rsid w:val="00740BBE"/>
    <w:rsid w:val="00740C2B"/>
    <w:rsid w:val="00740CCA"/>
    <w:rsid w:val="00740DF4"/>
    <w:rsid w:val="00741574"/>
    <w:rsid w:val="00741739"/>
    <w:rsid w:val="00741AEC"/>
    <w:rsid w:val="00741B7A"/>
    <w:rsid w:val="00741D80"/>
    <w:rsid w:val="00741DA8"/>
    <w:rsid w:val="00741F4A"/>
    <w:rsid w:val="00742071"/>
    <w:rsid w:val="00742173"/>
    <w:rsid w:val="00742195"/>
    <w:rsid w:val="00742351"/>
    <w:rsid w:val="0074265D"/>
    <w:rsid w:val="00742889"/>
    <w:rsid w:val="00742A71"/>
    <w:rsid w:val="00742AD9"/>
    <w:rsid w:val="00742B52"/>
    <w:rsid w:val="00742B54"/>
    <w:rsid w:val="00742D14"/>
    <w:rsid w:val="00742D60"/>
    <w:rsid w:val="00742DC1"/>
    <w:rsid w:val="00742EC1"/>
    <w:rsid w:val="00742EF9"/>
    <w:rsid w:val="0074313A"/>
    <w:rsid w:val="00743903"/>
    <w:rsid w:val="007439E7"/>
    <w:rsid w:val="00743A0D"/>
    <w:rsid w:val="00743E3F"/>
    <w:rsid w:val="007441E6"/>
    <w:rsid w:val="007445A0"/>
    <w:rsid w:val="007446E2"/>
    <w:rsid w:val="007447AF"/>
    <w:rsid w:val="00744BC4"/>
    <w:rsid w:val="00744D7D"/>
    <w:rsid w:val="00744DAB"/>
    <w:rsid w:val="00744E6A"/>
    <w:rsid w:val="00744E9C"/>
    <w:rsid w:val="00745120"/>
    <w:rsid w:val="00745676"/>
    <w:rsid w:val="007459A6"/>
    <w:rsid w:val="00745B5B"/>
    <w:rsid w:val="00745CD8"/>
    <w:rsid w:val="00746000"/>
    <w:rsid w:val="00746037"/>
    <w:rsid w:val="00746196"/>
    <w:rsid w:val="007461D2"/>
    <w:rsid w:val="007461DB"/>
    <w:rsid w:val="007462B0"/>
    <w:rsid w:val="00746303"/>
    <w:rsid w:val="0074638F"/>
    <w:rsid w:val="0074660A"/>
    <w:rsid w:val="00746639"/>
    <w:rsid w:val="00746869"/>
    <w:rsid w:val="00746B10"/>
    <w:rsid w:val="00746B7B"/>
    <w:rsid w:val="00746C11"/>
    <w:rsid w:val="00746E42"/>
    <w:rsid w:val="00747015"/>
    <w:rsid w:val="00747077"/>
    <w:rsid w:val="00747092"/>
    <w:rsid w:val="007470A7"/>
    <w:rsid w:val="007470D3"/>
    <w:rsid w:val="007470E1"/>
    <w:rsid w:val="0074715E"/>
    <w:rsid w:val="0074716C"/>
    <w:rsid w:val="00747570"/>
    <w:rsid w:val="00747620"/>
    <w:rsid w:val="00747724"/>
    <w:rsid w:val="0074798E"/>
    <w:rsid w:val="00747F75"/>
    <w:rsid w:val="00747FB7"/>
    <w:rsid w:val="007501D1"/>
    <w:rsid w:val="00750201"/>
    <w:rsid w:val="0075021E"/>
    <w:rsid w:val="0075039E"/>
    <w:rsid w:val="00750678"/>
    <w:rsid w:val="007506DE"/>
    <w:rsid w:val="007506E4"/>
    <w:rsid w:val="00750AC8"/>
    <w:rsid w:val="00750F33"/>
    <w:rsid w:val="00751041"/>
    <w:rsid w:val="00751066"/>
    <w:rsid w:val="007512E6"/>
    <w:rsid w:val="00751470"/>
    <w:rsid w:val="007516B8"/>
    <w:rsid w:val="00751946"/>
    <w:rsid w:val="00751A2B"/>
    <w:rsid w:val="00751A6F"/>
    <w:rsid w:val="00752183"/>
    <w:rsid w:val="0075236B"/>
    <w:rsid w:val="007523A2"/>
    <w:rsid w:val="007524B1"/>
    <w:rsid w:val="0075253D"/>
    <w:rsid w:val="00752615"/>
    <w:rsid w:val="0075271D"/>
    <w:rsid w:val="007527E5"/>
    <w:rsid w:val="00752905"/>
    <w:rsid w:val="00752AEF"/>
    <w:rsid w:val="00752BBB"/>
    <w:rsid w:val="00752C4B"/>
    <w:rsid w:val="00752D13"/>
    <w:rsid w:val="00752D36"/>
    <w:rsid w:val="0075301D"/>
    <w:rsid w:val="00753201"/>
    <w:rsid w:val="00753390"/>
    <w:rsid w:val="007533F1"/>
    <w:rsid w:val="0075348B"/>
    <w:rsid w:val="00753669"/>
    <w:rsid w:val="00753A32"/>
    <w:rsid w:val="00753A5B"/>
    <w:rsid w:val="00753BCA"/>
    <w:rsid w:val="00753CAF"/>
    <w:rsid w:val="00753F4E"/>
    <w:rsid w:val="0075411B"/>
    <w:rsid w:val="007541DF"/>
    <w:rsid w:val="007544F9"/>
    <w:rsid w:val="00754601"/>
    <w:rsid w:val="007546F8"/>
    <w:rsid w:val="00754700"/>
    <w:rsid w:val="00754ACA"/>
    <w:rsid w:val="00754AE5"/>
    <w:rsid w:val="00754AF7"/>
    <w:rsid w:val="00754C5E"/>
    <w:rsid w:val="00755060"/>
    <w:rsid w:val="007550F0"/>
    <w:rsid w:val="0075551B"/>
    <w:rsid w:val="00755715"/>
    <w:rsid w:val="00755C78"/>
    <w:rsid w:val="00755C98"/>
    <w:rsid w:val="00755FE9"/>
    <w:rsid w:val="007561CA"/>
    <w:rsid w:val="007561DA"/>
    <w:rsid w:val="00756219"/>
    <w:rsid w:val="00756236"/>
    <w:rsid w:val="0075624F"/>
    <w:rsid w:val="00756571"/>
    <w:rsid w:val="007566A2"/>
    <w:rsid w:val="007567C2"/>
    <w:rsid w:val="00756AFE"/>
    <w:rsid w:val="00756B24"/>
    <w:rsid w:val="00756DC6"/>
    <w:rsid w:val="00757364"/>
    <w:rsid w:val="007575B5"/>
    <w:rsid w:val="00757743"/>
    <w:rsid w:val="00757752"/>
    <w:rsid w:val="00757757"/>
    <w:rsid w:val="00757940"/>
    <w:rsid w:val="00757A8E"/>
    <w:rsid w:val="00757B22"/>
    <w:rsid w:val="00760140"/>
    <w:rsid w:val="0076082B"/>
    <w:rsid w:val="007609DC"/>
    <w:rsid w:val="00760B83"/>
    <w:rsid w:val="00760BBF"/>
    <w:rsid w:val="00760C93"/>
    <w:rsid w:val="00760D24"/>
    <w:rsid w:val="00760DB7"/>
    <w:rsid w:val="00760E08"/>
    <w:rsid w:val="00761131"/>
    <w:rsid w:val="00761257"/>
    <w:rsid w:val="00761449"/>
    <w:rsid w:val="00761454"/>
    <w:rsid w:val="00761539"/>
    <w:rsid w:val="0076158A"/>
    <w:rsid w:val="0076162F"/>
    <w:rsid w:val="007618D2"/>
    <w:rsid w:val="00761B87"/>
    <w:rsid w:val="00761CEB"/>
    <w:rsid w:val="00761FB5"/>
    <w:rsid w:val="00762106"/>
    <w:rsid w:val="0076215E"/>
    <w:rsid w:val="0076218E"/>
    <w:rsid w:val="00762263"/>
    <w:rsid w:val="00762567"/>
    <w:rsid w:val="007627ED"/>
    <w:rsid w:val="00762846"/>
    <w:rsid w:val="007629EE"/>
    <w:rsid w:val="00762A72"/>
    <w:rsid w:val="00762AD0"/>
    <w:rsid w:val="00762B22"/>
    <w:rsid w:val="00762E7E"/>
    <w:rsid w:val="00763020"/>
    <w:rsid w:val="007633A2"/>
    <w:rsid w:val="007634E6"/>
    <w:rsid w:val="00763885"/>
    <w:rsid w:val="0076399B"/>
    <w:rsid w:val="007639A4"/>
    <w:rsid w:val="00763D21"/>
    <w:rsid w:val="00764036"/>
    <w:rsid w:val="0076417D"/>
    <w:rsid w:val="0076420C"/>
    <w:rsid w:val="0076429C"/>
    <w:rsid w:val="00764593"/>
    <w:rsid w:val="00764618"/>
    <w:rsid w:val="00764C58"/>
    <w:rsid w:val="00764DA1"/>
    <w:rsid w:val="00764DC0"/>
    <w:rsid w:val="00764DE9"/>
    <w:rsid w:val="00764E79"/>
    <w:rsid w:val="00764F2E"/>
    <w:rsid w:val="00764FC5"/>
    <w:rsid w:val="007650C1"/>
    <w:rsid w:val="007651B8"/>
    <w:rsid w:val="007651C9"/>
    <w:rsid w:val="0076530D"/>
    <w:rsid w:val="007655AA"/>
    <w:rsid w:val="007658BC"/>
    <w:rsid w:val="00765ACD"/>
    <w:rsid w:val="00765B22"/>
    <w:rsid w:val="00765E9B"/>
    <w:rsid w:val="00765EAD"/>
    <w:rsid w:val="00765EEF"/>
    <w:rsid w:val="00765FFD"/>
    <w:rsid w:val="0076621F"/>
    <w:rsid w:val="00766300"/>
    <w:rsid w:val="0076638B"/>
    <w:rsid w:val="00766595"/>
    <w:rsid w:val="0076664D"/>
    <w:rsid w:val="00766667"/>
    <w:rsid w:val="007667F6"/>
    <w:rsid w:val="00766811"/>
    <w:rsid w:val="00766881"/>
    <w:rsid w:val="00766947"/>
    <w:rsid w:val="00766B3B"/>
    <w:rsid w:val="00766B6E"/>
    <w:rsid w:val="00766B7F"/>
    <w:rsid w:val="00766C18"/>
    <w:rsid w:val="00766DBA"/>
    <w:rsid w:val="00766E66"/>
    <w:rsid w:val="00766F3B"/>
    <w:rsid w:val="007670D3"/>
    <w:rsid w:val="00767220"/>
    <w:rsid w:val="00767604"/>
    <w:rsid w:val="00767A92"/>
    <w:rsid w:val="00767D28"/>
    <w:rsid w:val="00767DF6"/>
    <w:rsid w:val="00767E94"/>
    <w:rsid w:val="00767EF6"/>
    <w:rsid w:val="00767FB1"/>
    <w:rsid w:val="007701EC"/>
    <w:rsid w:val="00770384"/>
    <w:rsid w:val="0077051F"/>
    <w:rsid w:val="00770633"/>
    <w:rsid w:val="007707AC"/>
    <w:rsid w:val="007709AB"/>
    <w:rsid w:val="00770AD3"/>
    <w:rsid w:val="00770FB4"/>
    <w:rsid w:val="0077105B"/>
    <w:rsid w:val="007711B6"/>
    <w:rsid w:val="007711D8"/>
    <w:rsid w:val="007711E0"/>
    <w:rsid w:val="007713A2"/>
    <w:rsid w:val="007713C3"/>
    <w:rsid w:val="007713FE"/>
    <w:rsid w:val="007714A3"/>
    <w:rsid w:val="0077157E"/>
    <w:rsid w:val="00771738"/>
    <w:rsid w:val="007718B6"/>
    <w:rsid w:val="007719B8"/>
    <w:rsid w:val="007719BE"/>
    <w:rsid w:val="00771E93"/>
    <w:rsid w:val="00771EB2"/>
    <w:rsid w:val="00772361"/>
    <w:rsid w:val="0077278C"/>
    <w:rsid w:val="0077280F"/>
    <w:rsid w:val="00772D58"/>
    <w:rsid w:val="007730AA"/>
    <w:rsid w:val="00773253"/>
    <w:rsid w:val="0077364E"/>
    <w:rsid w:val="00773678"/>
    <w:rsid w:val="0077370F"/>
    <w:rsid w:val="0077371C"/>
    <w:rsid w:val="007737CD"/>
    <w:rsid w:val="00773A40"/>
    <w:rsid w:val="00773B6B"/>
    <w:rsid w:val="00773DEA"/>
    <w:rsid w:val="00773DF5"/>
    <w:rsid w:val="007742C6"/>
    <w:rsid w:val="007742F9"/>
    <w:rsid w:val="00774652"/>
    <w:rsid w:val="0077482B"/>
    <w:rsid w:val="007748BB"/>
    <w:rsid w:val="007748FB"/>
    <w:rsid w:val="007749C0"/>
    <w:rsid w:val="00774A95"/>
    <w:rsid w:val="00774B0A"/>
    <w:rsid w:val="00774BA7"/>
    <w:rsid w:val="00774C82"/>
    <w:rsid w:val="00774D10"/>
    <w:rsid w:val="00774D8C"/>
    <w:rsid w:val="00774DAA"/>
    <w:rsid w:val="007750D8"/>
    <w:rsid w:val="0077520D"/>
    <w:rsid w:val="0077523B"/>
    <w:rsid w:val="00775455"/>
    <w:rsid w:val="0077598B"/>
    <w:rsid w:val="00775A14"/>
    <w:rsid w:val="00775A39"/>
    <w:rsid w:val="00775A56"/>
    <w:rsid w:val="00775A89"/>
    <w:rsid w:val="00775B4D"/>
    <w:rsid w:val="00775BED"/>
    <w:rsid w:val="00775CB3"/>
    <w:rsid w:val="00775DBC"/>
    <w:rsid w:val="00775DD5"/>
    <w:rsid w:val="00775DE7"/>
    <w:rsid w:val="00775FC0"/>
    <w:rsid w:val="0077611E"/>
    <w:rsid w:val="00776182"/>
    <w:rsid w:val="007761C2"/>
    <w:rsid w:val="00776203"/>
    <w:rsid w:val="007765F8"/>
    <w:rsid w:val="0077665E"/>
    <w:rsid w:val="007766A1"/>
    <w:rsid w:val="007766CC"/>
    <w:rsid w:val="007766CF"/>
    <w:rsid w:val="00776C25"/>
    <w:rsid w:val="0077709B"/>
    <w:rsid w:val="0077722D"/>
    <w:rsid w:val="0077734D"/>
    <w:rsid w:val="00777397"/>
    <w:rsid w:val="00777487"/>
    <w:rsid w:val="0077749F"/>
    <w:rsid w:val="00777A23"/>
    <w:rsid w:val="00777FAC"/>
    <w:rsid w:val="00777FB4"/>
    <w:rsid w:val="00780515"/>
    <w:rsid w:val="0078060E"/>
    <w:rsid w:val="00780630"/>
    <w:rsid w:val="00780631"/>
    <w:rsid w:val="007806AE"/>
    <w:rsid w:val="00780848"/>
    <w:rsid w:val="007809DE"/>
    <w:rsid w:val="007809E7"/>
    <w:rsid w:val="00780BB2"/>
    <w:rsid w:val="00780DF3"/>
    <w:rsid w:val="0078114F"/>
    <w:rsid w:val="00781306"/>
    <w:rsid w:val="0078135C"/>
    <w:rsid w:val="00781541"/>
    <w:rsid w:val="00781ABF"/>
    <w:rsid w:val="00781D40"/>
    <w:rsid w:val="00782189"/>
    <w:rsid w:val="00782249"/>
    <w:rsid w:val="007822A1"/>
    <w:rsid w:val="00782323"/>
    <w:rsid w:val="007824D9"/>
    <w:rsid w:val="007825C6"/>
    <w:rsid w:val="00782BDF"/>
    <w:rsid w:val="00782CB5"/>
    <w:rsid w:val="00782D6E"/>
    <w:rsid w:val="00782F50"/>
    <w:rsid w:val="00782FBE"/>
    <w:rsid w:val="00783001"/>
    <w:rsid w:val="00783097"/>
    <w:rsid w:val="0078347A"/>
    <w:rsid w:val="00783480"/>
    <w:rsid w:val="0078364C"/>
    <w:rsid w:val="00783659"/>
    <w:rsid w:val="0078382D"/>
    <w:rsid w:val="007838E7"/>
    <w:rsid w:val="00783945"/>
    <w:rsid w:val="00783C51"/>
    <w:rsid w:val="00783CAC"/>
    <w:rsid w:val="0078420E"/>
    <w:rsid w:val="00784480"/>
    <w:rsid w:val="00784831"/>
    <w:rsid w:val="007848B8"/>
    <w:rsid w:val="00784AE3"/>
    <w:rsid w:val="00784CE5"/>
    <w:rsid w:val="00784E62"/>
    <w:rsid w:val="00784E80"/>
    <w:rsid w:val="00784EA7"/>
    <w:rsid w:val="00785150"/>
    <w:rsid w:val="0078548C"/>
    <w:rsid w:val="0078576D"/>
    <w:rsid w:val="00785B0C"/>
    <w:rsid w:val="00785E83"/>
    <w:rsid w:val="00785EC1"/>
    <w:rsid w:val="00785FBD"/>
    <w:rsid w:val="007861C3"/>
    <w:rsid w:val="007861CB"/>
    <w:rsid w:val="007864A8"/>
    <w:rsid w:val="007865D5"/>
    <w:rsid w:val="007867BE"/>
    <w:rsid w:val="0078683D"/>
    <w:rsid w:val="0078683E"/>
    <w:rsid w:val="00786929"/>
    <w:rsid w:val="00786A6A"/>
    <w:rsid w:val="00786F81"/>
    <w:rsid w:val="0078700E"/>
    <w:rsid w:val="007870FE"/>
    <w:rsid w:val="007871A7"/>
    <w:rsid w:val="00787278"/>
    <w:rsid w:val="00787368"/>
    <w:rsid w:val="00787424"/>
    <w:rsid w:val="0078744C"/>
    <w:rsid w:val="00787689"/>
    <w:rsid w:val="00787B25"/>
    <w:rsid w:val="00787B76"/>
    <w:rsid w:val="00787CB2"/>
    <w:rsid w:val="00787EBB"/>
    <w:rsid w:val="0079025E"/>
    <w:rsid w:val="007904CE"/>
    <w:rsid w:val="00790590"/>
    <w:rsid w:val="00790609"/>
    <w:rsid w:val="007907A3"/>
    <w:rsid w:val="007907CE"/>
    <w:rsid w:val="007912B2"/>
    <w:rsid w:val="00791642"/>
    <w:rsid w:val="00791707"/>
    <w:rsid w:val="007917C3"/>
    <w:rsid w:val="00791CF2"/>
    <w:rsid w:val="00791DD7"/>
    <w:rsid w:val="00791F64"/>
    <w:rsid w:val="00792020"/>
    <w:rsid w:val="007924EC"/>
    <w:rsid w:val="00792618"/>
    <w:rsid w:val="00792988"/>
    <w:rsid w:val="00792C8E"/>
    <w:rsid w:val="00792CB0"/>
    <w:rsid w:val="00792CB3"/>
    <w:rsid w:val="00793241"/>
    <w:rsid w:val="007932C4"/>
    <w:rsid w:val="0079350F"/>
    <w:rsid w:val="00793556"/>
    <w:rsid w:val="00793903"/>
    <w:rsid w:val="00793C05"/>
    <w:rsid w:val="00793C96"/>
    <w:rsid w:val="00793CAB"/>
    <w:rsid w:val="00793D09"/>
    <w:rsid w:val="00793E19"/>
    <w:rsid w:val="00793FE3"/>
    <w:rsid w:val="007945FE"/>
    <w:rsid w:val="00794727"/>
    <w:rsid w:val="00794765"/>
    <w:rsid w:val="00794787"/>
    <w:rsid w:val="007947C8"/>
    <w:rsid w:val="00794B01"/>
    <w:rsid w:val="00795035"/>
    <w:rsid w:val="007952E0"/>
    <w:rsid w:val="007953EE"/>
    <w:rsid w:val="0079557B"/>
    <w:rsid w:val="00795B35"/>
    <w:rsid w:val="00795BA8"/>
    <w:rsid w:val="00795ED2"/>
    <w:rsid w:val="007960CF"/>
    <w:rsid w:val="007963EF"/>
    <w:rsid w:val="00796809"/>
    <w:rsid w:val="0079680E"/>
    <w:rsid w:val="0079687C"/>
    <w:rsid w:val="007968D9"/>
    <w:rsid w:val="00796BA8"/>
    <w:rsid w:val="00797302"/>
    <w:rsid w:val="007978A3"/>
    <w:rsid w:val="007978EB"/>
    <w:rsid w:val="00797B22"/>
    <w:rsid w:val="00797BDF"/>
    <w:rsid w:val="00797C4E"/>
    <w:rsid w:val="00797F63"/>
    <w:rsid w:val="00797FD2"/>
    <w:rsid w:val="007A00B5"/>
    <w:rsid w:val="007A01C5"/>
    <w:rsid w:val="007A0400"/>
    <w:rsid w:val="007A0413"/>
    <w:rsid w:val="007A0688"/>
    <w:rsid w:val="007A06C4"/>
    <w:rsid w:val="007A081E"/>
    <w:rsid w:val="007A0925"/>
    <w:rsid w:val="007A0D8A"/>
    <w:rsid w:val="007A1079"/>
    <w:rsid w:val="007A14A4"/>
    <w:rsid w:val="007A14EE"/>
    <w:rsid w:val="007A15CD"/>
    <w:rsid w:val="007A15EF"/>
    <w:rsid w:val="007A1868"/>
    <w:rsid w:val="007A18AF"/>
    <w:rsid w:val="007A1A25"/>
    <w:rsid w:val="007A1CCA"/>
    <w:rsid w:val="007A1E89"/>
    <w:rsid w:val="007A24F6"/>
    <w:rsid w:val="007A25A2"/>
    <w:rsid w:val="007A27F0"/>
    <w:rsid w:val="007A2AF1"/>
    <w:rsid w:val="007A2D0B"/>
    <w:rsid w:val="007A2D55"/>
    <w:rsid w:val="007A2DC1"/>
    <w:rsid w:val="007A2E23"/>
    <w:rsid w:val="007A2F94"/>
    <w:rsid w:val="007A3053"/>
    <w:rsid w:val="007A30BC"/>
    <w:rsid w:val="007A31B8"/>
    <w:rsid w:val="007A31F1"/>
    <w:rsid w:val="007A31F2"/>
    <w:rsid w:val="007A334A"/>
    <w:rsid w:val="007A33AF"/>
    <w:rsid w:val="007A36B1"/>
    <w:rsid w:val="007A3B98"/>
    <w:rsid w:val="007A3D33"/>
    <w:rsid w:val="007A3D9A"/>
    <w:rsid w:val="007A3DBD"/>
    <w:rsid w:val="007A3EA3"/>
    <w:rsid w:val="007A3FD6"/>
    <w:rsid w:val="007A407B"/>
    <w:rsid w:val="007A40B8"/>
    <w:rsid w:val="007A4329"/>
    <w:rsid w:val="007A43E3"/>
    <w:rsid w:val="007A4420"/>
    <w:rsid w:val="007A4620"/>
    <w:rsid w:val="007A465A"/>
    <w:rsid w:val="007A4740"/>
    <w:rsid w:val="007A4963"/>
    <w:rsid w:val="007A49BD"/>
    <w:rsid w:val="007A4ADE"/>
    <w:rsid w:val="007A4D43"/>
    <w:rsid w:val="007A5057"/>
    <w:rsid w:val="007A5112"/>
    <w:rsid w:val="007A51A5"/>
    <w:rsid w:val="007A5202"/>
    <w:rsid w:val="007A52A7"/>
    <w:rsid w:val="007A54D7"/>
    <w:rsid w:val="007A5563"/>
    <w:rsid w:val="007A571C"/>
    <w:rsid w:val="007A5914"/>
    <w:rsid w:val="007A5A8D"/>
    <w:rsid w:val="007A5AED"/>
    <w:rsid w:val="007A5CDE"/>
    <w:rsid w:val="007A5EF5"/>
    <w:rsid w:val="007A5F58"/>
    <w:rsid w:val="007A5FF7"/>
    <w:rsid w:val="007A601E"/>
    <w:rsid w:val="007A608F"/>
    <w:rsid w:val="007A6105"/>
    <w:rsid w:val="007A6120"/>
    <w:rsid w:val="007A6291"/>
    <w:rsid w:val="007A62EE"/>
    <w:rsid w:val="007A62FB"/>
    <w:rsid w:val="007A631D"/>
    <w:rsid w:val="007A6372"/>
    <w:rsid w:val="007A63A5"/>
    <w:rsid w:val="007A6488"/>
    <w:rsid w:val="007A6496"/>
    <w:rsid w:val="007A64DC"/>
    <w:rsid w:val="007A660A"/>
    <w:rsid w:val="007A660B"/>
    <w:rsid w:val="007A664E"/>
    <w:rsid w:val="007A6944"/>
    <w:rsid w:val="007A6A06"/>
    <w:rsid w:val="007A6A14"/>
    <w:rsid w:val="007A6A63"/>
    <w:rsid w:val="007A6A8B"/>
    <w:rsid w:val="007A6C2F"/>
    <w:rsid w:val="007A6F7C"/>
    <w:rsid w:val="007A6FCA"/>
    <w:rsid w:val="007A76F9"/>
    <w:rsid w:val="007A7944"/>
    <w:rsid w:val="007A79D0"/>
    <w:rsid w:val="007A7B7D"/>
    <w:rsid w:val="007A7BB4"/>
    <w:rsid w:val="007B0083"/>
    <w:rsid w:val="007B01D5"/>
    <w:rsid w:val="007B02F3"/>
    <w:rsid w:val="007B0386"/>
    <w:rsid w:val="007B04B6"/>
    <w:rsid w:val="007B06CF"/>
    <w:rsid w:val="007B0801"/>
    <w:rsid w:val="007B0AB6"/>
    <w:rsid w:val="007B0B87"/>
    <w:rsid w:val="007B0C6D"/>
    <w:rsid w:val="007B1432"/>
    <w:rsid w:val="007B149D"/>
    <w:rsid w:val="007B1538"/>
    <w:rsid w:val="007B16CA"/>
    <w:rsid w:val="007B1E64"/>
    <w:rsid w:val="007B1F0D"/>
    <w:rsid w:val="007B273C"/>
    <w:rsid w:val="007B2841"/>
    <w:rsid w:val="007B2B9F"/>
    <w:rsid w:val="007B2C10"/>
    <w:rsid w:val="007B2CD3"/>
    <w:rsid w:val="007B2E4A"/>
    <w:rsid w:val="007B2EE1"/>
    <w:rsid w:val="007B2F45"/>
    <w:rsid w:val="007B2F7F"/>
    <w:rsid w:val="007B3183"/>
    <w:rsid w:val="007B32D4"/>
    <w:rsid w:val="007B3366"/>
    <w:rsid w:val="007B36EC"/>
    <w:rsid w:val="007B37C8"/>
    <w:rsid w:val="007B3961"/>
    <w:rsid w:val="007B3A52"/>
    <w:rsid w:val="007B3B27"/>
    <w:rsid w:val="007B3B7F"/>
    <w:rsid w:val="007B3BCC"/>
    <w:rsid w:val="007B3F92"/>
    <w:rsid w:val="007B41B5"/>
    <w:rsid w:val="007B420C"/>
    <w:rsid w:val="007B4289"/>
    <w:rsid w:val="007B43D6"/>
    <w:rsid w:val="007B4771"/>
    <w:rsid w:val="007B477F"/>
    <w:rsid w:val="007B47A6"/>
    <w:rsid w:val="007B49B0"/>
    <w:rsid w:val="007B4A89"/>
    <w:rsid w:val="007B4E8D"/>
    <w:rsid w:val="007B52B7"/>
    <w:rsid w:val="007B555A"/>
    <w:rsid w:val="007B5707"/>
    <w:rsid w:val="007B58B0"/>
    <w:rsid w:val="007B5BFC"/>
    <w:rsid w:val="007B5C24"/>
    <w:rsid w:val="007B5F6D"/>
    <w:rsid w:val="007B628D"/>
    <w:rsid w:val="007B6358"/>
    <w:rsid w:val="007B63A4"/>
    <w:rsid w:val="007B64D0"/>
    <w:rsid w:val="007B6519"/>
    <w:rsid w:val="007B6A7C"/>
    <w:rsid w:val="007B6C62"/>
    <w:rsid w:val="007B6EA4"/>
    <w:rsid w:val="007B6F39"/>
    <w:rsid w:val="007B73F8"/>
    <w:rsid w:val="007B7730"/>
    <w:rsid w:val="007B7902"/>
    <w:rsid w:val="007B7946"/>
    <w:rsid w:val="007B7A48"/>
    <w:rsid w:val="007B7AFC"/>
    <w:rsid w:val="007B7B19"/>
    <w:rsid w:val="007B7C7B"/>
    <w:rsid w:val="007B7D20"/>
    <w:rsid w:val="007C07CE"/>
    <w:rsid w:val="007C0A82"/>
    <w:rsid w:val="007C0BF2"/>
    <w:rsid w:val="007C0E17"/>
    <w:rsid w:val="007C0EAB"/>
    <w:rsid w:val="007C1087"/>
    <w:rsid w:val="007C10E4"/>
    <w:rsid w:val="007C114B"/>
    <w:rsid w:val="007C1340"/>
    <w:rsid w:val="007C13DF"/>
    <w:rsid w:val="007C1456"/>
    <w:rsid w:val="007C1530"/>
    <w:rsid w:val="007C1673"/>
    <w:rsid w:val="007C19C6"/>
    <w:rsid w:val="007C19E7"/>
    <w:rsid w:val="007C1A4B"/>
    <w:rsid w:val="007C1C80"/>
    <w:rsid w:val="007C2028"/>
    <w:rsid w:val="007C2222"/>
    <w:rsid w:val="007C2354"/>
    <w:rsid w:val="007C237D"/>
    <w:rsid w:val="007C25EB"/>
    <w:rsid w:val="007C26F3"/>
    <w:rsid w:val="007C27ED"/>
    <w:rsid w:val="007C29F3"/>
    <w:rsid w:val="007C2A74"/>
    <w:rsid w:val="007C3137"/>
    <w:rsid w:val="007C3234"/>
    <w:rsid w:val="007C3237"/>
    <w:rsid w:val="007C3519"/>
    <w:rsid w:val="007C3597"/>
    <w:rsid w:val="007C366B"/>
    <w:rsid w:val="007C36EB"/>
    <w:rsid w:val="007C371A"/>
    <w:rsid w:val="007C3799"/>
    <w:rsid w:val="007C3B56"/>
    <w:rsid w:val="007C3EDE"/>
    <w:rsid w:val="007C3EFD"/>
    <w:rsid w:val="007C4156"/>
    <w:rsid w:val="007C4191"/>
    <w:rsid w:val="007C429E"/>
    <w:rsid w:val="007C43B2"/>
    <w:rsid w:val="007C47FA"/>
    <w:rsid w:val="007C4938"/>
    <w:rsid w:val="007C4A62"/>
    <w:rsid w:val="007C4C50"/>
    <w:rsid w:val="007C4D9A"/>
    <w:rsid w:val="007C5315"/>
    <w:rsid w:val="007C5502"/>
    <w:rsid w:val="007C559B"/>
    <w:rsid w:val="007C55B6"/>
    <w:rsid w:val="007C55E6"/>
    <w:rsid w:val="007C5834"/>
    <w:rsid w:val="007C5A49"/>
    <w:rsid w:val="007C5F6E"/>
    <w:rsid w:val="007C609B"/>
    <w:rsid w:val="007C614D"/>
    <w:rsid w:val="007C61D8"/>
    <w:rsid w:val="007C61FA"/>
    <w:rsid w:val="007C63C1"/>
    <w:rsid w:val="007C63D7"/>
    <w:rsid w:val="007C64C7"/>
    <w:rsid w:val="007C6690"/>
    <w:rsid w:val="007C6693"/>
    <w:rsid w:val="007C66F8"/>
    <w:rsid w:val="007C67D3"/>
    <w:rsid w:val="007C67D5"/>
    <w:rsid w:val="007C6A98"/>
    <w:rsid w:val="007C6CA9"/>
    <w:rsid w:val="007C6CD4"/>
    <w:rsid w:val="007C6EC4"/>
    <w:rsid w:val="007C6ECF"/>
    <w:rsid w:val="007C701B"/>
    <w:rsid w:val="007C7198"/>
    <w:rsid w:val="007C74FF"/>
    <w:rsid w:val="007C78DD"/>
    <w:rsid w:val="007C7DF6"/>
    <w:rsid w:val="007C7F39"/>
    <w:rsid w:val="007D026B"/>
    <w:rsid w:val="007D02A4"/>
    <w:rsid w:val="007D041C"/>
    <w:rsid w:val="007D066C"/>
    <w:rsid w:val="007D06E9"/>
    <w:rsid w:val="007D0769"/>
    <w:rsid w:val="007D095B"/>
    <w:rsid w:val="007D0CE5"/>
    <w:rsid w:val="007D0D07"/>
    <w:rsid w:val="007D0E59"/>
    <w:rsid w:val="007D0EB6"/>
    <w:rsid w:val="007D108C"/>
    <w:rsid w:val="007D10E9"/>
    <w:rsid w:val="007D124C"/>
    <w:rsid w:val="007D1323"/>
    <w:rsid w:val="007D153B"/>
    <w:rsid w:val="007D156E"/>
    <w:rsid w:val="007D1597"/>
    <w:rsid w:val="007D191B"/>
    <w:rsid w:val="007D1C7B"/>
    <w:rsid w:val="007D1E2C"/>
    <w:rsid w:val="007D1E5A"/>
    <w:rsid w:val="007D1F41"/>
    <w:rsid w:val="007D21CD"/>
    <w:rsid w:val="007D21DE"/>
    <w:rsid w:val="007D24CD"/>
    <w:rsid w:val="007D2524"/>
    <w:rsid w:val="007D286C"/>
    <w:rsid w:val="007D2894"/>
    <w:rsid w:val="007D2933"/>
    <w:rsid w:val="007D2973"/>
    <w:rsid w:val="007D2C22"/>
    <w:rsid w:val="007D2C35"/>
    <w:rsid w:val="007D2C4C"/>
    <w:rsid w:val="007D2C98"/>
    <w:rsid w:val="007D2D5B"/>
    <w:rsid w:val="007D2E1A"/>
    <w:rsid w:val="007D3035"/>
    <w:rsid w:val="007D34EA"/>
    <w:rsid w:val="007D3561"/>
    <w:rsid w:val="007D3612"/>
    <w:rsid w:val="007D3881"/>
    <w:rsid w:val="007D3B64"/>
    <w:rsid w:val="007D3CA3"/>
    <w:rsid w:val="007D3CB9"/>
    <w:rsid w:val="007D3E32"/>
    <w:rsid w:val="007D3E5D"/>
    <w:rsid w:val="007D3F4E"/>
    <w:rsid w:val="007D429C"/>
    <w:rsid w:val="007D42F7"/>
    <w:rsid w:val="007D4B24"/>
    <w:rsid w:val="007D4D53"/>
    <w:rsid w:val="007D4D61"/>
    <w:rsid w:val="007D4FFB"/>
    <w:rsid w:val="007D510A"/>
    <w:rsid w:val="007D533E"/>
    <w:rsid w:val="007D54E6"/>
    <w:rsid w:val="007D55CA"/>
    <w:rsid w:val="007D574A"/>
    <w:rsid w:val="007D5765"/>
    <w:rsid w:val="007D57C3"/>
    <w:rsid w:val="007D5858"/>
    <w:rsid w:val="007D5972"/>
    <w:rsid w:val="007D5A8E"/>
    <w:rsid w:val="007D5BB0"/>
    <w:rsid w:val="007D5CAF"/>
    <w:rsid w:val="007D5D63"/>
    <w:rsid w:val="007D5DB2"/>
    <w:rsid w:val="007D621B"/>
    <w:rsid w:val="007D67C0"/>
    <w:rsid w:val="007D67EE"/>
    <w:rsid w:val="007D6899"/>
    <w:rsid w:val="007D68E2"/>
    <w:rsid w:val="007D6909"/>
    <w:rsid w:val="007D6A58"/>
    <w:rsid w:val="007D6A75"/>
    <w:rsid w:val="007D6D1D"/>
    <w:rsid w:val="007D6E5A"/>
    <w:rsid w:val="007D6F05"/>
    <w:rsid w:val="007D7100"/>
    <w:rsid w:val="007D73F4"/>
    <w:rsid w:val="007D73FB"/>
    <w:rsid w:val="007D761E"/>
    <w:rsid w:val="007D777C"/>
    <w:rsid w:val="007D7821"/>
    <w:rsid w:val="007D798D"/>
    <w:rsid w:val="007D7A02"/>
    <w:rsid w:val="007D7ADD"/>
    <w:rsid w:val="007D7C1C"/>
    <w:rsid w:val="007D7C2D"/>
    <w:rsid w:val="007D7D56"/>
    <w:rsid w:val="007D7E06"/>
    <w:rsid w:val="007D7E54"/>
    <w:rsid w:val="007E07F7"/>
    <w:rsid w:val="007E08CC"/>
    <w:rsid w:val="007E0954"/>
    <w:rsid w:val="007E0993"/>
    <w:rsid w:val="007E0B78"/>
    <w:rsid w:val="007E0C26"/>
    <w:rsid w:val="007E0F00"/>
    <w:rsid w:val="007E1297"/>
    <w:rsid w:val="007E12CF"/>
    <w:rsid w:val="007E17AF"/>
    <w:rsid w:val="007E1A03"/>
    <w:rsid w:val="007E1AFA"/>
    <w:rsid w:val="007E1AFB"/>
    <w:rsid w:val="007E1BCB"/>
    <w:rsid w:val="007E2088"/>
    <w:rsid w:val="007E20C8"/>
    <w:rsid w:val="007E2288"/>
    <w:rsid w:val="007E2907"/>
    <w:rsid w:val="007E2A87"/>
    <w:rsid w:val="007E2A9B"/>
    <w:rsid w:val="007E2AB3"/>
    <w:rsid w:val="007E2E6E"/>
    <w:rsid w:val="007E2E7B"/>
    <w:rsid w:val="007E3057"/>
    <w:rsid w:val="007E32B6"/>
    <w:rsid w:val="007E32E1"/>
    <w:rsid w:val="007E33F1"/>
    <w:rsid w:val="007E3542"/>
    <w:rsid w:val="007E35A1"/>
    <w:rsid w:val="007E3626"/>
    <w:rsid w:val="007E3695"/>
    <w:rsid w:val="007E3936"/>
    <w:rsid w:val="007E3F62"/>
    <w:rsid w:val="007E44E6"/>
    <w:rsid w:val="007E46A7"/>
    <w:rsid w:val="007E46B0"/>
    <w:rsid w:val="007E4939"/>
    <w:rsid w:val="007E49A6"/>
    <w:rsid w:val="007E4A37"/>
    <w:rsid w:val="007E4ADF"/>
    <w:rsid w:val="007E4D7B"/>
    <w:rsid w:val="007E4DA0"/>
    <w:rsid w:val="007E503E"/>
    <w:rsid w:val="007E50B3"/>
    <w:rsid w:val="007E514C"/>
    <w:rsid w:val="007E5411"/>
    <w:rsid w:val="007E5787"/>
    <w:rsid w:val="007E5827"/>
    <w:rsid w:val="007E5905"/>
    <w:rsid w:val="007E5BC8"/>
    <w:rsid w:val="007E5BDC"/>
    <w:rsid w:val="007E5C8A"/>
    <w:rsid w:val="007E5CA3"/>
    <w:rsid w:val="007E5EF4"/>
    <w:rsid w:val="007E601B"/>
    <w:rsid w:val="007E620E"/>
    <w:rsid w:val="007E64FA"/>
    <w:rsid w:val="007E67D1"/>
    <w:rsid w:val="007E69CA"/>
    <w:rsid w:val="007E6A1C"/>
    <w:rsid w:val="007E6A6D"/>
    <w:rsid w:val="007E6FA6"/>
    <w:rsid w:val="007E6FF8"/>
    <w:rsid w:val="007E7198"/>
    <w:rsid w:val="007E7487"/>
    <w:rsid w:val="007E74C2"/>
    <w:rsid w:val="007E7551"/>
    <w:rsid w:val="007E781C"/>
    <w:rsid w:val="007E7899"/>
    <w:rsid w:val="007E7BCD"/>
    <w:rsid w:val="007E7C76"/>
    <w:rsid w:val="007E7DE0"/>
    <w:rsid w:val="007F00D1"/>
    <w:rsid w:val="007F04E0"/>
    <w:rsid w:val="007F052C"/>
    <w:rsid w:val="007F0546"/>
    <w:rsid w:val="007F0A86"/>
    <w:rsid w:val="007F0ACA"/>
    <w:rsid w:val="007F0AF1"/>
    <w:rsid w:val="007F0B91"/>
    <w:rsid w:val="007F0BD7"/>
    <w:rsid w:val="007F0C6A"/>
    <w:rsid w:val="007F0E6B"/>
    <w:rsid w:val="007F0E72"/>
    <w:rsid w:val="007F0F11"/>
    <w:rsid w:val="007F0F6D"/>
    <w:rsid w:val="007F1024"/>
    <w:rsid w:val="007F1039"/>
    <w:rsid w:val="007F1063"/>
    <w:rsid w:val="007F153F"/>
    <w:rsid w:val="007F17BF"/>
    <w:rsid w:val="007F1B5F"/>
    <w:rsid w:val="007F1D1B"/>
    <w:rsid w:val="007F20A8"/>
    <w:rsid w:val="007F20B0"/>
    <w:rsid w:val="007F23AB"/>
    <w:rsid w:val="007F2429"/>
    <w:rsid w:val="007F25A7"/>
    <w:rsid w:val="007F26B9"/>
    <w:rsid w:val="007F278D"/>
    <w:rsid w:val="007F2857"/>
    <w:rsid w:val="007F2CBF"/>
    <w:rsid w:val="007F2D0E"/>
    <w:rsid w:val="007F2EFA"/>
    <w:rsid w:val="007F3072"/>
    <w:rsid w:val="007F3173"/>
    <w:rsid w:val="007F33DB"/>
    <w:rsid w:val="007F345E"/>
    <w:rsid w:val="007F353C"/>
    <w:rsid w:val="007F3650"/>
    <w:rsid w:val="007F372D"/>
    <w:rsid w:val="007F37B0"/>
    <w:rsid w:val="007F3BC9"/>
    <w:rsid w:val="007F3D64"/>
    <w:rsid w:val="007F3DDD"/>
    <w:rsid w:val="007F3E59"/>
    <w:rsid w:val="007F3F5E"/>
    <w:rsid w:val="007F406A"/>
    <w:rsid w:val="007F4218"/>
    <w:rsid w:val="007F433E"/>
    <w:rsid w:val="007F4600"/>
    <w:rsid w:val="007F4655"/>
    <w:rsid w:val="007F47F6"/>
    <w:rsid w:val="007F49DA"/>
    <w:rsid w:val="007F4F55"/>
    <w:rsid w:val="007F4F75"/>
    <w:rsid w:val="007F4FD7"/>
    <w:rsid w:val="007F5411"/>
    <w:rsid w:val="007F54B4"/>
    <w:rsid w:val="007F563D"/>
    <w:rsid w:val="007F56F8"/>
    <w:rsid w:val="007F5816"/>
    <w:rsid w:val="007F5851"/>
    <w:rsid w:val="007F5930"/>
    <w:rsid w:val="007F5BAB"/>
    <w:rsid w:val="007F5C23"/>
    <w:rsid w:val="007F5C41"/>
    <w:rsid w:val="007F6090"/>
    <w:rsid w:val="007F62C1"/>
    <w:rsid w:val="007F65D8"/>
    <w:rsid w:val="007F664C"/>
    <w:rsid w:val="007F665F"/>
    <w:rsid w:val="007F66D8"/>
    <w:rsid w:val="007F66FC"/>
    <w:rsid w:val="007F6BF1"/>
    <w:rsid w:val="007F6C2C"/>
    <w:rsid w:val="007F7043"/>
    <w:rsid w:val="007F7081"/>
    <w:rsid w:val="007F70A8"/>
    <w:rsid w:val="007F72F0"/>
    <w:rsid w:val="007F7450"/>
    <w:rsid w:val="007F7476"/>
    <w:rsid w:val="007F74B2"/>
    <w:rsid w:val="007F77F0"/>
    <w:rsid w:val="007F7A4F"/>
    <w:rsid w:val="007F7CE0"/>
    <w:rsid w:val="0080015E"/>
    <w:rsid w:val="00800471"/>
    <w:rsid w:val="00800473"/>
    <w:rsid w:val="0080074C"/>
    <w:rsid w:val="00800A45"/>
    <w:rsid w:val="00800A4B"/>
    <w:rsid w:val="00800AA2"/>
    <w:rsid w:val="00800C8C"/>
    <w:rsid w:val="00800F19"/>
    <w:rsid w:val="00801142"/>
    <w:rsid w:val="00801204"/>
    <w:rsid w:val="008012C9"/>
    <w:rsid w:val="008013C2"/>
    <w:rsid w:val="00801404"/>
    <w:rsid w:val="00801813"/>
    <w:rsid w:val="0080182E"/>
    <w:rsid w:val="00801C70"/>
    <w:rsid w:val="00801DF7"/>
    <w:rsid w:val="00802018"/>
    <w:rsid w:val="0080204F"/>
    <w:rsid w:val="008021CD"/>
    <w:rsid w:val="008022D2"/>
    <w:rsid w:val="008025A5"/>
    <w:rsid w:val="00802731"/>
    <w:rsid w:val="0080285D"/>
    <w:rsid w:val="00802880"/>
    <w:rsid w:val="00802A4C"/>
    <w:rsid w:val="00802B45"/>
    <w:rsid w:val="00802FD0"/>
    <w:rsid w:val="00803455"/>
    <w:rsid w:val="008034D4"/>
    <w:rsid w:val="0080355C"/>
    <w:rsid w:val="008035AA"/>
    <w:rsid w:val="00803673"/>
    <w:rsid w:val="008036E7"/>
    <w:rsid w:val="00803E0F"/>
    <w:rsid w:val="00803E4A"/>
    <w:rsid w:val="00803EFC"/>
    <w:rsid w:val="0080446E"/>
    <w:rsid w:val="008044DA"/>
    <w:rsid w:val="0080458F"/>
    <w:rsid w:val="008045E0"/>
    <w:rsid w:val="00804671"/>
    <w:rsid w:val="00804719"/>
    <w:rsid w:val="008047D7"/>
    <w:rsid w:val="00804939"/>
    <w:rsid w:val="00804A81"/>
    <w:rsid w:val="00804BAD"/>
    <w:rsid w:val="00804BC4"/>
    <w:rsid w:val="00804BE3"/>
    <w:rsid w:val="00804CAD"/>
    <w:rsid w:val="00804CCA"/>
    <w:rsid w:val="00804E3A"/>
    <w:rsid w:val="00804FDC"/>
    <w:rsid w:val="00805055"/>
    <w:rsid w:val="0080520F"/>
    <w:rsid w:val="00805299"/>
    <w:rsid w:val="00805322"/>
    <w:rsid w:val="0080585F"/>
    <w:rsid w:val="0080586B"/>
    <w:rsid w:val="008059CC"/>
    <w:rsid w:val="00805A2D"/>
    <w:rsid w:val="00805BC6"/>
    <w:rsid w:val="00805CB4"/>
    <w:rsid w:val="00805CDC"/>
    <w:rsid w:val="00805DA3"/>
    <w:rsid w:val="00806428"/>
    <w:rsid w:val="008064ED"/>
    <w:rsid w:val="0080658F"/>
    <w:rsid w:val="00806621"/>
    <w:rsid w:val="0080675F"/>
    <w:rsid w:val="00806778"/>
    <w:rsid w:val="00806851"/>
    <w:rsid w:val="00806D25"/>
    <w:rsid w:val="00806DD9"/>
    <w:rsid w:val="00806E93"/>
    <w:rsid w:val="00806F42"/>
    <w:rsid w:val="00807124"/>
    <w:rsid w:val="0080719F"/>
    <w:rsid w:val="00807547"/>
    <w:rsid w:val="008075E6"/>
    <w:rsid w:val="008076DD"/>
    <w:rsid w:val="008076F6"/>
    <w:rsid w:val="00807740"/>
    <w:rsid w:val="00807860"/>
    <w:rsid w:val="00807A2A"/>
    <w:rsid w:val="00807CE7"/>
    <w:rsid w:val="00807ECB"/>
    <w:rsid w:val="00810257"/>
    <w:rsid w:val="008106A1"/>
    <w:rsid w:val="00810978"/>
    <w:rsid w:val="00810A7D"/>
    <w:rsid w:val="00810AFD"/>
    <w:rsid w:val="00810D79"/>
    <w:rsid w:val="00810E70"/>
    <w:rsid w:val="00810F98"/>
    <w:rsid w:val="00811278"/>
    <w:rsid w:val="00811301"/>
    <w:rsid w:val="008113BD"/>
    <w:rsid w:val="00811468"/>
    <w:rsid w:val="00811519"/>
    <w:rsid w:val="00811540"/>
    <w:rsid w:val="00811846"/>
    <w:rsid w:val="0081185F"/>
    <w:rsid w:val="00811E33"/>
    <w:rsid w:val="00811E63"/>
    <w:rsid w:val="00811F9F"/>
    <w:rsid w:val="00811FC8"/>
    <w:rsid w:val="00812296"/>
    <w:rsid w:val="008122A0"/>
    <w:rsid w:val="0081231A"/>
    <w:rsid w:val="008123E5"/>
    <w:rsid w:val="00812429"/>
    <w:rsid w:val="008124EF"/>
    <w:rsid w:val="0081259A"/>
    <w:rsid w:val="0081269F"/>
    <w:rsid w:val="008127CF"/>
    <w:rsid w:val="0081289B"/>
    <w:rsid w:val="008129CB"/>
    <w:rsid w:val="00812B57"/>
    <w:rsid w:val="00812E49"/>
    <w:rsid w:val="008130DD"/>
    <w:rsid w:val="00813260"/>
    <w:rsid w:val="00813432"/>
    <w:rsid w:val="008135CC"/>
    <w:rsid w:val="008138AD"/>
    <w:rsid w:val="00813B07"/>
    <w:rsid w:val="00813D5A"/>
    <w:rsid w:val="00814035"/>
    <w:rsid w:val="0081405C"/>
    <w:rsid w:val="008140D7"/>
    <w:rsid w:val="00814621"/>
    <w:rsid w:val="00814698"/>
    <w:rsid w:val="008147E9"/>
    <w:rsid w:val="00814962"/>
    <w:rsid w:val="0081497A"/>
    <w:rsid w:val="00814AB2"/>
    <w:rsid w:val="00814C07"/>
    <w:rsid w:val="00814C3D"/>
    <w:rsid w:val="00814EF3"/>
    <w:rsid w:val="00815058"/>
    <w:rsid w:val="0081509B"/>
    <w:rsid w:val="008150C8"/>
    <w:rsid w:val="00815202"/>
    <w:rsid w:val="00815468"/>
    <w:rsid w:val="008156E7"/>
    <w:rsid w:val="00815C8E"/>
    <w:rsid w:val="00815CD8"/>
    <w:rsid w:val="00815D97"/>
    <w:rsid w:val="00815E4A"/>
    <w:rsid w:val="00815EAE"/>
    <w:rsid w:val="008162E1"/>
    <w:rsid w:val="0081634A"/>
    <w:rsid w:val="0081639F"/>
    <w:rsid w:val="008163EE"/>
    <w:rsid w:val="008164E9"/>
    <w:rsid w:val="00816513"/>
    <w:rsid w:val="00816849"/>
    <w:rsid w:val="00816988"/>
    <w:rsid w:val="00816AD2"/>
    <w:rsid w:val="00816D9C"/>
    <w:rsid w:val="00816F68"/>
    <w:rsid w:val="00816F6D"/>
    <w:rsid w:val="00816FE2"/>
    <w:rsid w:val="0081706F"/>
    <w:rsid w:val="00817397"/>
    <w:rsid w:val="008175A5"/>
    <w:rsid w:val="008176D3"/>
    <w:rsid w:val="0082002F"/>
    <w:rsid w:val="00820031"/>
    <w:rsid w:val="008203C7"/>
    <w:rsid w:val="00820471"/>
    <w:rsid w:val="008204D5"/>
    <w:rsid w:val="0082061F"/>
    <w:rsid w:val="008206D3"/>
    <w:rsid w:val="00820754"/>
    <w:rsid w:val="00820C38"/>
    <w:rsid w:val="00820C6F"/>
    <w:rsid w:val="00820C89"/>
    <w:rsid w:val="00820D1D"/>
    <w:rsid w:val="00820D34"/>
    <w:rsid w:val="00820FA8"/>
    <w:rsid w:val="0082114D"/>
    <w:rsid w:val="008212C0"/>
    <w:rsid w:val="00821483"/>
    <w:rsid w:val="00821595"/>
    <w:rsid w:val="0082161E"/>
    <w:rsid w:val="00821643"/>
    <w:rsid w:val="00821773"/>
    <w:rsid w:val="008218D6"/>
    <w:rsid w:val="0082196D"/>
    <w:rsid w:val="00821F56"/>
    <w:rsid w:val="0082208B"/>
    <w:rsid w:val="00822820"/>
    <w:rsid w:val="00822A64"/>
    <w:rsid w:val="00822E36"/>
    <w:rsid w:val="0082323D"/>
    <w:rsid w:val="00823261"/>
    <w:rsid w:val="008235C9"/>
    <w:rsid w:val="0082361E"/>
    <w:rsid w:val="008236AB"/>
    <w:rsid w:val="008238BD"/>
    <w:rsid w:val="00823C1F"/>
    <w:rsid w:val="00823E7C"/>
    <w:rsid w:val="00823F12"/>
    <w:rsid w:val="008241D5"/>
    <w:rsid w:val="00824277"/>
    <w:rsid w:val="008243BA"/>
    <w:rsid w:val="008243F3"/>
    <w:rsid w:val="00824412"/>
    <w:rsid w:val="008245DF"/>
    <w:rsid w:val="00824A24"/>
    <w:rsid w:val="00824AF8"/>
    <w:rsid w:val="00824B0F"/>
    <w:rsid w:val="00824CCF"/>
    <w:rsid w:val="00824D62"/>
    <w:rsid w:val="00824D69"/>
    <w:rsid w:val="00824E88"/>
    <w:rsid w:val="00825214"/>
    <w:rsid w:val="00825336"/>
    <w:rsid w:val="00825405"/>
    <w:rsid w:val="008256BF"/>
    <w:rsid w:val="00825709"/>
    <w:rsid w:val="00825AE2"/>
    <w:rsid w:val="00825DB4"/>
    <w:rsid w:val="00825FCE"/>
    <w:rsid w:val="00826095"/>
    <w:rsid w:val="0082637B"/>
    <w:rsid w:val="008263E6"/>
    <w:rsid w:val="00826912"/>
    <w:rsid w:val="0082692A"/>
    <w:rsid w:val="008269BE"/>
    <w:rsid w:val="008269C9"/>
    <w:rsid w:val="008269E8"/>
    <w:rsid w:val="00826A3F"/>
    <w:rsid w:val="00826B52"/>
    <w:rsid w:val="00826E24"/>
    <w:rsid w:val="00826F16"/>
    <w:rsid w:val="00826FF7"/>
    <w:rsid w:val="00827088"/>
    <w:rsid w:val="00827229"/>
    <w:rsid w:val="00827289"/>
    <w:rsid w:val="0082736C"/>
    <w:rsid w:val="008273B5"/>
    <w:rsid w:val="00827407"/>
    <w:rsid w:val="0082741C"/>
    <w:rsid w:val="00827735"/>
    <w:rsid w:val="00827898"/>
    <w:rsid w:val="0082794B"/>
    <w:rsid w:val="00827B03"/>
    <w:rsid w:val="00827B49"/>
    <w:rsid w:val="00827B86"/>
    <w:rsid w:val="00827F92"/>
    <w:rsid w:val="00827FAC"/>
    <w:rsid w:val="00830141"/>
    <w:rsid w:val="00830251"/>
    <w:rsid w:val="00830764"/>
    <w:rsid w:val="008307D8"/>
    <w:rsid w:val="008307F6"/>
    <w:rsid w:val="00830834"/>
    <w:rsid w:val="00830AE6"/>
    <w:rsid w:val="00830FE5"/>
    <w:rsid w:val="0083106F"/>
    <w:rsid w:val="0083134F"/>
    <w:rsid w:val="008319CE"/>
    <w:rsid w:val="008319E7"/>
    <w:rsid w:val="00831B14"/>
    <w:rsid w:val="00832172"/>
    <w:rsid w:val="008321DB"/>
    <w:rsid w:val="00832407"/>
    <w:rsid w:val="00832583"/>
    <w:rsid w:val="00832820"/>
    <w:rsid w:val="00832A8E"/>
    <w:rsid w:val="00832AE6"/>
    <w:rsid w:val="00832BF9"/>
    <w:rsid w:val="00832CF9"/>
    <w:rsid w:val="0083305E"/>
    <w:rsid w:val="00833085"/>
    <w:rsid w:val="00833178"/>
    <w:rsid w:val="0083331B"/>
    <w:rsid w:val="008333DF"/>
    <w:rsid w:val="008334F3"/>
    <w:rsid w:val="008335DC"/>
    <w:rsid w:val="0083366F"/>
    <w:rsid w:val="00833685"/>
    <w:rsid w:val="008338FE"/>
    <w:rsid w:val="00833A29"/>
    <w:rsid w:val="00833A56"/>
    <w:rsid w:val="00833B36"/>
    <w:rsid w:val="00833CB5"/>
    <w:rsid w:val="00833EEB"/>
    <w:rsid w:val="00833F5D"/>
    <w:rsid w:val="00833FDC"/>
    <w:rsid w:val="00834308"/>
    <w:rsid w:val="0083438E"/>
    <w:rsid w:val="00834397"/>
    <w:rsid w:val="00834547"/>
    <w:rsid w:val="008345EA"/>
    <w:rsid w:val="008346AE"/>
    <w:rsid w:val="00834701"/>
    <w:rsid w:val="00834888"/>
    <w:rsid w:val="00834BE3"/>
    <w:rsid w:val="00834D8A"/>
    <w:rsid w:val="008350FB"/>
    <w:rsid w:val="0083537D"/>
    <w:rsid w:val="008355C3"/>
    <w:rsid w:val="008356CC"/>
    <w:rsid w:val="00835770"/>
    <w:rsid w:val="008359AA"/>
    <w:rsid w:val="00835C13"/>
    <w:rsid w:val="00835D51"/>
    <w:rsid w:val="00835E26"/>
    <w:rsid w:val="00835E8D"/>
    <w:rsid w:val="00836030"/>
    <w:rsid w:val="0083615C"/>
    <w:rsid w:val="008363DC"/>
    <w:rsid w:val="00836542"/>
    <w:rsid w:val="0083654B"/>
    <w:rsid w:val="00836893"/>
    <w:rsid w:val="008369C9"/>
    <w:rsid w:val="00836A53"/>
    <w:rsid w:val="00836C5B"/>
    <w:rsid w:val="00836EA2"/>
    <w:rsid w:val="00836EB1"/>
    <w:rsid w:val="008370D9"/>
    <w:rsid w:val="008374A9"/>
    <w:rsid w:val="0083763B"/>
    <w:rsid w:val="00837A7C"/>
    <w:rsid w:val="00837ADA"/>
    <w:rsid w:val="00837D84"/>
    <w:rsid w:val="00837FD0"/>
    <w:rsid w:val="00840035"/>
    <w:rsid w:val="008403BE"/>
    <w:rsid w:val="008403BF"/>
    <w:rsid w:val="008404B6"/>
    <w:rsid w:val="00840535"/>
    <w:rsid w:val="00840806"/>
    <w:rsid w:val="008408C6"/>
    <w:rsid w:val="00840B7F"/>
    <w:rsid w:val="00840CDD"/>
    <w:rsid w:val="00840DA5"/>
    <w:rsid w:val="00840DF6"/>
    <w:rsid w:val="00840F29"/>
    <w:rsid w:val="00841112"/>
    <w:rsid w:val="00841141"/>
    <w:rsid w:val="0084117E"/>
    <w:rsid w:val="008413C3"/>
    <w:rsid w:val="0084141A"/>
    <w:rsid w:val="008414A4"/>
    <w:rsid w:val="008416EF"/>
    <w:rsid w:val="00841721"/>
    <w:rsid w:val="00841782"/>
    <w:rsid w:val="008417F2"/>
    <w:rsid w:val="0084189F"/>
    <w:rsid w:val="00841930"/>
    <w:rsid w:val="008419AA"/>
    <w:rsid w:val="00841A37"/>
    <w:rsid w:val="00841B56"/>
    <w:rsid w:val="00841C3B"/>
    <w:rsid w:val="00841D2D"/>
    <w:rsid w:val="00841DBC"/>
    <w:rsid w:val="0084203E"/>
    <w:rsid w:val="0084220E"/>
    <w:rsid w:val="0084225E"/>
    <w:rsid w:val="00842260"/>
    <w:rsid w:val="0084227F"/>
    <w:rsid w:val="00842299"/>
    <w:rsid w:val="0084234B"/>
    <w:rsid w:val="008423A4"/>
    <w:rsid w:val="00842593"/>
    <w:rsid w:val="0084268B"/>
    <w:rsid w:val="00842694"/>
    <w:rsid w:val="00842739"/>
    <w:rsid w:val="00842936"/>
    <w:rsid w:val="00842956"/>
    <w:rsid w:val="008429BC"/>
    <w:rsid w:val="00842CC5"/>
    <w:rsid w:val="00842DEA"/>
    <w:rsid w:val="00842FB9"/>
    <w:rsid w:val="0084300E"/>
    <w:rsid w:val="008432C5"/>
    <w:rsid w:val="0084365F"/>
    <w:rsid w:val="0084366E"/>
    <w:rsid w:val="00843894"/>
    <w:rsid w:val="00843C39"/>
    <w:rsid w:val="00843D2A"/>
    <w:rsid w:val="00843D45"/>
    <w:rsid w:val="00843D46"/>
    <w:rsid w:val="00843D94"/>
    <w:rsid w:val="00843F42"/>
    <w:rsid w:val="00843F5C"/>
    <w:rsid w:val="00844033"/>
    <w:rsid w:val="008443B0"/>
    <w:rsid w:val="00844936"/>
    <w:rsid w:val="008449EE"/>
    <w:rsid w:val="00844A5D"/>
    <w:rsid w:val="00844B1B"/>
    <w:rsid w:val="00844C4F"/>
    <w:rsid w:val="00844D92"/>
    <w:rsid w:val="00844EC1"/>
    <w:rsid w:val="00845055"/>
    <w:rsid w:val="008450F1"/>
    <w:rsid w:val="00845112"/>
    <w:rsid w:val="0084525B"/>
    <w:rsid w:val="0084545D"/>
    <w:rsid w:val="008455E0"/>
    <w:rsid w:val="00845869"/>
    <w:rsid w:val="00845D26"/>
    <w:rsid w:val="00846042"/>
    <w:rsid w:val="008461DE"/>
    <w:rsid w:val="00846588"/>
    <w:rsid w:val="0084663E"/>
    <w:rsid w:val="008466A9"/>
    <w:rsid w:val="008467F8"/>
    <w:rsid w:val="0084683F"/>
    <w:rsid w:val="00846B6E"/>
    <w:rsid w:val="00846D64"/>
    <w:rsid w:val="00846D9C"/>
    <w:rsid w:val="00847656"/>
    <w:rsid w:val="00847919"/>
    <w:rsid w:val="00847AD4"/>
    <w:rsid w:val="00847B98"/>
    <w:rsid w:val="00847BA8"/>
    <w:rsid w:val="00847C35"/>
    <w:rsid w:val="00847CAE"/>
    <w:rsid w:val="00847D66"/>
    <w:rsid w:val="00847F8A"/>
    <w:rsid w:val="008500AB"/>
    <w:rsid w:val="008500AD"/>
    <w:rsid w:val="0085021F"/>
    <w:rsid w:val="008502F4"/>
    <w:rsid w:val="00850528"/>
    <w:rsid w:val="008506CD"/>
    <w:rsid w:val="0085076E"/>
    <w:rsid w:val="00850B7F"/>
    <w:rsid w:val="00850E3B"/>
    <w:rsid w:val="00851067"/>
    <w:rsid w:val="00851182"/>
    <w:rsid w:val="008511EF"/>
    <w:rsid w:val="00851511"/>
    <w:rsid w:val="008516F9"/>
    <w:rsid w:val="008517E7"/>
    <w:rsid w:val="00851B55"/>
    <w:rsid w:val="00851E13"/>
    <w:rsid w:val="00852407"/>
    <w:rsid w:val="00852430"/>
    <w:rsid w:val="00852448"/>
    <w:rsid w:val="0085244D"/>
    <w:rsid w:val="0085246B"/>
    <w:rsid w:val="00852644"/>
    <w:rsid w:val="008526F4"/>
    <w:rsid w:val="008528B4"/>
    <w:rsid w:val="008528B5"/>
    <w:rsid w:val="00852A0E"/>
    <w:rsid w:val="00852A91"/>
    <w:rsid w:val="00852BB7"/>
    <w:rsid w:val="00852C67"/>
    <w:rsid w:val="00852D03"/>
    <w:rsid w:val="00852E0C"/>
    <w:rsid w:val="00852EAA"/>
    <w:rsid w:val="00852EB0"/>
    <w:rsid w:val="00853167"/>
    <w:rsid w:val="008531CD"/>
    <w:rsid w:val="008537E9"/>
    <w:rsid w:val="00853915"/>
    <w:rsid w:val="00853917"/>
    <w:rsid w:val="008539AA"/>
    <w:rsid w:val="00853B05"/>
    <w:rsid w:val="00853C1F"/>
    <w:rsid w:val="00854006"/>
    <w:rsid w:val="0085411F"/>
    <w:rsid w:val="00854464"/>
    <w:rsid w:val="008549FB"/>
    <w:rsid w:val="00854A5C"/>
    <w:rsid w:val="00854AB4"/>
    <w:rsid w:val="00854B71"/>
    <w:rsid w:val="00854C9F"/>
    <w:rsid w:val="00854D3C"/>
    <w:rsid w:val="00854DBB"/>
    <w:rsid w:val="00854DFF"/>
    <w:rsid w:val="00854E12"/>
    <w:rsid w:val="008552A4"/>
    <w:rsid w:val="008553F6"/>
    <w:rsid w:val="008557CA"/>
    <w:rsid w:val="008558B2"/>
    <w:rsid w:val="0085593E"/>
    <w:rsid w:val="0085598C"/>
    <w:rsid w:val="00855994"/>
    <w:rsid w:val="00855B7B"/>
    <w:rsid w:val="00855F9B"/>
    <w:rsid w:val="008561C2"/>
    <w:rsid w:val="0085626B"/>
    <w:rsid w:val="0085641C"/>
    <w:rsid w:val="00856625"/>
    <w:rsid w:val="00856639"/>
    <w:rsid w:val="0085671D"/>
    <w:rsid w:val="00856766"/>
    <w:rsid w:val="0085676B"/>
    <w:rsid w:val="008567AD"/>
    <w:rsid w:val="008567B3"/>
    <w:rsid w:val="008569F7"/>
    <w:rsid w:val="00856BC9"/>
    <w:rsid w:val="00856C97"/>
    <w:rsid w:val="00856D53"/>
    <w:rsid w:val="00856D71"/>
    <w:rsid w:val="00856F0C"/>
    <w:rsid w:val="00857025"/>
    <w:rsid w:val="00857360"/>
    <w:rsid w:val="00857413"/>
    <w:rsid w:val="0085749C"/>
    <w:rsid w:val="008574C4"/>
    <w:rsid w:val="0085759A"/>
    <w:rsid w:val="008575DB"/>
    <w:rsid w:val="0085764B"/>
    <w:rsid w:val="00857A44"/>
    <w:rsid w:val="00857A58"/>
    <w:rsid w:val="00857B1E"/>
    <w:rsid w:val="00857E70"/>
    <w:rsid w:val="00857F81"/>
    <w:rsid w:val="00860365"/>
    <w:rsid w:val="008603F9"/>
    <w:rsid w:val="0086040B"/>
    <w:rsid w:val="008606CB"/>
    <w:rsid w:val="008606D0"/>
    <w:rsid w:val="00860A7F"/>
    <w:rsid w:val="00860C32"/>
    <w:rsid w:val="00860D29"/>
    <w:rsid w:val="00860D2F"/>
    <w:rsid w:val="00860E85"/>
    <w:rsid w:val="00861035"/>
    <w:rsid w:val="008611FD"/>
    <w:rsid w:val="00861305"/>
    <w:rsid w:val="00861593"/>
    <w:rsid w:val="008616B9"/>
    <w:rsid w:val="0086181C"/>
    <w:rsid w:val="00861B76"/>
    <w:rsid w:val="00861C12"/>
    <w:rsid w:val="00861C30"/>
    <w:rsid w:val="00861DAA"/>
    <w:rsid w:val="00861FBB"/>
    <w:rsid w:val="00862590"/>
    <w:rsid w:val="008625F2"/>
    <w:rsid w:val="0086271E"/>
    <w:rsid w:val="00862728"/>
    <w:rsid w:val="00862755"/>
    <w:rsid w:val="00862882"/>
    <w:rsid w:val="0086289B"/>
    <w:rsid w:val="008628F2"/>
    <w:rsid w:val="00862A29"/>
    <w:rsid w:val="00862C9F"/>
    <w:rsid w:val="00862FC1"/>
    <w:rsid w:val="00863061"/>
    <w:rsid w:val="00863141"/>
    <w:rsid w:val="008632C8"/>
    <w:rsid w:val="008632E7"/>
    <w:rsid w:val="00863470"/>
    <w:rsid w:val="008634EA"/>
    <w:rsid w:val="0086358D"/>
    <w:rsid w:val="0086379D"/>
    <w:rsid w:val="00863890"/>
    <w:rsid w:val="00863C58"/>
    <w:rsid w:val="00863D7A"/>
    <w:rsid w:val="00863F22"/>
    <w:rsid w:val="0086469F"/>
    <w:rsid w:val="00864808"/>
    <w:rsid w:val="008649F6"/>
    <w:rsid w:val="00864B97"/>
    <w:rsid w:val="00864C3E"/>
    <w:rsid w:val="00864E89"/>
    <w:rsid w:val="00864F98"/>
    <w:rsid w:val="00864FAB"/>
    <w:rsid w:val="0086508F"/>
    <w:rsid w:val="008650CA"/>
    <w:rsid w:val="00865209"/>
    <w:rsid w:val="0086554E"/>
    <w:rsid w:val="00865713"/>
    <w:rsid w:val="0086593E"/>
    <w:rsid w:val="00865968"/>
    <w:rsid w:val="0086596E"/>
    <w:rsid w:val="008659F5"/>
    <w:rsid w:val="00865C4E"/>
    <w:rsid w:val="00865D7F"/>
    <w:rsid w:val="00865F27"/>
    <w:rsid w:val="00865F91"/>
    <w:rsid w:val="008660D7"/>
    <w:rsid w:val="008661E2"/>
    <w:rsid w:val="00866343"/>
    <w:rsid w:val="008665C4"/>
    <w:rsid w:val="008667AB"/>
    <w:rsid w:val="00866956"/>
    <w:rsid w:val="00866C13"/>
    <w:rsid w:val="00866D1D"/>
    <w:rsid w:val="008670F4"/>
    <w:rsid w:val="0086726B"/>
    <w:rsid w:val="0086729C"/>
    <w:rsid w:val="0086756D"/>
    <w:rsid w:val="0086771B"/>
    <w:rsid w:val="008679DB"/>
    <w:rsid w:val="00867A23"/>
    <w:rsid w:val="00867A44"/>
    <w:rsid w:val="00867D41"/>
    <w:rsid w:val="00867EFA"/>
    <w:rsid w:val="00867F2B"/>
    <w:rsid w:val="0087000A"/>
    <w:rsid w:val="0087069F"/>
    <w:rsid w:val="00870868"/>
    <w:rsid w:val="008708C3"/>
    <w:rsid w:val="00870BE4"/>
    <w:rsid w:val="00870C58"/>
    <w:rsid w:val="00870DCF"/>
    <w:rsid w:val="00870F07"/>
    <w:rsid w:val="00870FF5"/>
    <w:rsid w:val="00871206"/>
    <w:rsid w:val="0087131F"/>
    <w:rsid w:val="00871337"/>
    <w:rsid w:val="00871427"/>
    <w:rsid w:val="00871720"/>
    <w:rsid w:val="008718B1"/>
    <w:rsid w:val="00871DEF"/>
    <w:rsid w:val="00871F28"/>
    <w:rsid w:val="00872160"/>
    <w:rsid w:val="00872254"/>
    <w:rsid w:val="00872579"/>
    <w:rsid w:val="008725D0"/>
    <w:rsid w:val="00872740"/>
    <w:rsid w:val="008728A9"/>
    <w:rsid w:val="00872911"/>
    <w:rsid w:val="00872993"/>
    <w:rsid w:val="00872E85"/>
    <w:rsid w:val="00872FDC"/>
    <w:rsid w:val="00873328"/>
    <w:rsid w:val="00873513"/>
    <w:rsid w:val="0087357C"/>
    <w:rsid w:val="00873710"/>
    <w:rsid w:val="00873A63"/>
    <w:rsid w:val="00873A8A"/>
    <w:rsid w:val="00873B96"/>
    <w:rsid w:val="008740CF"/>
    <w:rsid w:val="00874284"/>
    <w:rsid w:val="008742E6"/>
    <w:rsid w:val="008743FD"/>
    <w:rsid w:val="00874719"/>
    <w:rsid w:val="00874723"/>
    <w:rsid w:val="00874938"/>
    <w:rsid w:val="00874A63"/>
    <w:rsid w:val="00874B18"/>
    <w:rsid w:val="00874B50"/>
    <w:rsid w:val="00874CDE"/>
    <w:rsid w:val="00874DBD"/>
    <w:rsid w:val="00874EF3"/>
    <w:rsid w:val="008751EF"/>
    <w:rsid w:val="0087530A"/>
    <w:rsid w:val="00875949"/>
    <w:rsid w:val="008759CF"/>
    <w:rsid w:val="00875A2E"/>
    <w:rsid w:val="0087607C"/>
    <w:rsid w:val="00876ADA"/>
    <w:rsid w:val="00876CDE"/>
    <w:rsid w:val="00876EE7"/>
    <w:rsid w:val="00877116"/>
    <w:rsid w:val="008774DC"/>
    <w:rsid w:val="00877600"/>
    <w:rsid w:val="0087769C"/>
    <w:rsid w:val="00877999"/>
    <w:rsid w:val="00877A89"/>
    <w:rsid w:val="00877B2F"/>
    <w:rsid w:val="00877B98"/>
    <w:rsid w:val="00877C66"/>
    <w:rsid w:val="00877CD6"/>
    <w:rsid w:val="00877E70"/>
    <w:rsid w:val="00880061"/>
    <w:rsid w:val="0088014D"/>
    <w:rsid w:val="008801AD"/>
    <w:rsid w:val="00880486"/>
    <w:rsid w:val="00880A87"/>
    <w:rsid w:val="00880AAF"/>
    <w:rsid w:val="00880E41"/>
    <w:rsid w:val="00880E48"/>
    <w:rsid w:val="0088154A"/>
    <w:rsid w:val="00881633"/>
    <w:rsid w:val="00881751"/>
    <w:rsid w:val="0088195D"/>
    <w:rsid w:val="008819B1"/>
    <w:rsid w:val="00881A2D"/>
    <w:rsid w:val="00881A7F"/>
    <w:rsid w:val="00881D3B"/>
    <w:rsid w:val="00881D7D"/>
    <w:rsid w:val="00881E0B"/>
    <w:rsid w:val="00881F23"/>
    <w:rsid w:val="008820B1"/>
    <w:rsid w:val="0088226A"/>
    <w:rsid w:val="0088232B"/>
    <w:rsid w:val="00882495"/>
    <w:rsid w:val="00882496"/>
    <w:rsid w:val="008826C3"/>
    <w:rsid w:val="00882728"/>
    <w:rsid w:val="00882769"/>
    <w:rsid w:val="0088276B"/>
    <w:rsid w:val="008828A5"/>
    <w:rsid w:val="008829F3"/>
    <w:rsid w:val="00882E82"/>
    <w:rsid w:val="00882EEE"/>
    <w:rsid w:val="008831ED"/>
    <w:rsid w:val="0088321F"/>
    <w:rsid w:val="00883394"/>
    <w:rsid w:val="0088359F"/>
    <w:rsid w:val="0088396D"/>
    <w:rsid w:val="00883B3D"/>
    <w:rsid w:val="00883C27"/>
    <w:rsid w:val="00883F0B"/>
    <w:rsid w:val="00884261"/>
    <w:rsid w:val="00884426"/>
    <w:rsid w:val="00884743"/>
    <w:rsid w:val="00884972"/>
    <w:rsid w:val="00884A05"/>
    <w:rsid w:val="00884AAE"/>
    <w:rsid w:val="00884BCB"/>
    <w:rsid w:val="00884C59"/>
    <w:rsid w:val="00884F44"/>
    <w:rsid w:val="00885245"/>
    <w:rsid w:val="008853C6"/>
    <w:rsid w:val="008855C8"/>
    <w:rsid w:val="008855CF"/>
    <w:rsid w:val="0088568B"/>
    <w:rsid w:val="00885842"/>
    <w:rsid w:val="008858E7"/>
    <w:rsid w:val="0088592A"/>
    <w:rsid w:val="008859E3"/>
    <w:rsid w:val="00885A84"/>
    <w:rsid w:val="00885F61"/>
    <w:rsid w:val="00886394"/>
    <w:rsid w:val="00886A86"/>
    <w:rsid w:val="00886AB0"/>
    <w:rsid w:val="00886D2F"/>
    <w:rsid w:val="008871F4"/>
    <w:rsid w:val="00887380"/>
    <w:rsid w:val="008873AC"/>
    <w:rsid w:val="00887744"/>
    <w:rsid w:val="00887937"/>
    <w:rsid w:val="00887BE8"/>
    <w:rsid w:val="00887CEE"/>
    <w:rsid w:val="00887F10"/>
    <w:rsid w:val="00887FE9"/>
    <w:rsid w:val="00890490"/>
    <w:rsid w:val="00890598"/>
    <w:rsid w:val="0089061E"/>
    <w:rsid w:val="008906F9"/>
    <w:rsid w:val="00890975"/>
    <w:rsid w:val="00890AC8"/>
    <w:rsid w:val="00890C19"/>
    <w:rsid w:val="00891034"/>
    <w:rsid w:val="00891241"/>
    <w:rsid w:val="00891355"/>
    <w:rsid w:val="00891440"/>
    <w:rsid w:val="00891729"/>
    <w:rsid w:val="008917CA"/>
    <w:rsid w:val="00891AEC"/>
    <w:rsid w:val="00891D77"/>
    <w:rsid w:val="00891E13"/>
    <w:rsid w:val="00891F09"/>
    <w:rsid w:val="008921D3"/>
    <w:rsid w:val="008921F6"/>
    <w:rsid w:val="0089225D"/>
    <w:rsid w:val="00892612"/>
    <w:rsid w:val="00892631"/>
    <w:rsid w:val="0089266C"/>
    <w:rsid w:val="0089293F"/>
    <w:rsid w:val="00892B0B"/>
    <w:rsid w:val="00892C6F"/>
    <w:rsid w:val="00892FB7"/>
    <w:rsid w:val="0089304B"/>
    <w:rsid w:val="008931BA"/>
    <w:rsid w:val="008931EE"/>
    <w:rsid w:val="00893282"/>
    <w:rsid w:val="00893322"/>
    <w:rsid w:val="00893409"/>
    <w:rsid w:val="00893425"/>
    <w:rsid w:val="008934F7"/>
    <w:rsid w:val="00893809"/>
    <w:rsid w:val="008938DB"/>
    <w:rsid w:val="00893B1F"/>
    <w:rsid w:val="00893E38"/>
    <w:rsid w:val="008940E1"/>
    <w:rsid w:val="00894256"/>
    <w:rsid w:val="008943C9"/>
    <w:rsid w:val="008944C5"/>
    <w:rsid w:val="00894548"/>
    <w:rsid w:val="0089490C"/>
    <w:rsid w:val="008949B8"/>
    <w:rsid w:val="00894C26"/>
    <w:rsid w:val="00894E24"/>
    <w:rsid w:val="008950DF"/>
    <w:rsid w:val="008951BA"/>
    <w:rsid w:val="0089524B"/>
    <w:rsid w:val="008953BE"/>
    <w:rsid w:val="008953C4"/>
    <w:rsid w:val="008953E8"/>
    <w:rsid w:val="0089586F"/>
    <w:rsid w:val="00895892"/>
    <w:rsid w:val="00895BF7"/>
    <w:rsid w:val="00895C12"/>
    <w:rsid w:val="00895EE6"/>
    <w:rsid w:val="00895FBF"/>
    <w:rsid w:val="008962E1"/>
    <w:rsid w:val="00896315"/>
    <w:rsid w:val="00896501"/>
    <w:rsid w:val="00896675"/>
    <w:rsid w:val="008966BF"/>
    <w:rsid w:val="008969ED"/>
    <w:rsid w:val="00896A4B"/>
    <w:rsid w:val="00896CE6"/>
    <w:rsid w:val="0089705F"/>
    <w:rsid w:val="00897163"/>
    <w:rsid w:val="00897562"/>
    <w:rsid w:val="00897569"/>
    <w:rsid w:val="00897960"/>
    <w:rsid w:val="00897A31"/>
    <w:rsid w:val="00897C4D"/>
    <w:rsid w:val="00897CB5"/>
    <w:rsid w:val="00897CC1"/>
    <w:rsid w:val="008A0053"/>
    <w:rsid w:val="008A0199"/>
    <w:rsid w:val="008A04AE"/>
    <w:rsid w:val="008A0534"/>
    <w:rsid w:val="008A0696"/>
    <w:rsid w:val="008A09A1"/>
    <w:rsid w:val="008A09D9"/>
    <w:rsid w:val="008A0A13"/>
    <w:rsid w:val="008A0B96"/>
    <w:rsid w:val="008A0C24"/>
    <w:rsid w:val="008A0C77"/>
    <w:rsid w:val="008A14A8"/>
    <w:rsid w:val="008A1608"/>
    <w:rsid w:val="008A1DAC"/>
    <w:rsid w:val="008A1DB6"/>
    <w:rsid w:val="008A1EDC"/>
    <w:rsid w:val="008A2068"/>
    <w:rsid w:val="008A228E"/>
    <w:rsid w:val="008A2415"/>
    <w:rsid w:val="008A24D0"/>
    <w:rsid w:val="008A2646"/>
    <w:rsid w:val="008A279D"/>
    <w:rsid w:val="008A2B80"/>
    <w:rsid w:val="008A2BF7"/>
    <w:rsid w:val="008A2E9E"/>
    <w:rsid w:val="008A2ECB"/>
    <w:rsid w:val="008A3039"/>
    <w:rsid w:val="008A3180"/>
    <w:rsid w:val="008A3195"/>
    <w:rsid w:val="008A32A8"/>
    <w:rsid w:val="008A3328"/>
    <w:rsid w:val="008A35E1"/>
    <w:rsid w:val="008A387F"/>
    <w:rsid w:val="008A3B6A"/>
    <w:rsid w:val="008A3BE7"/>
    <w:rsid w:val="008A3D20"/>
    <w:rsid w:val="008A40C4"/>
    <w:rsid w:val="008A422F"/>
    <w:rsid w:val="008A4326"/>
    <w:rsid w:val="008A44B4"/>
    <w:rsid w:val="008A467D"/>
    <w:rsid w:val="008A48A9"/>
    <w:rsid w:val="008A48B3"/>
    <w:rsid w:val="008A4939"/>
    <w:rsid w:val="008A4C5D"/>
    <w:rsid w:val="008A4FA5"/>
    <w:rsid w:val="008A5010"/>
    <w:rsid w:val="008A5024"/>
    <w:rsid w:val="008A5083"/>
    <w:rsid w:val="008A5199"/>
    <w:rsid w:val="008A51B6"/>
    <w:rsid w:val="008A52A5"/>
    <w:rsid w:val="008A565C"/>
    <w:rsid w:val="008A575A"/>
    <w:rsid w:val="008A5F5E"/>
    <w:rsid w:val="008A601A"/>
    <w:rsid w:val="008A6230"/>
    <w:rsid w:val="008A63F3"/>
    <w:rsid w:val="008A66E7"/>
    <w:rsid w:val="008A6785"/>
    <w:rsid w:val="008A681B"/>
    <w:rsid w:val="008A68BF"/>
    <w:rsid w:val="008A6A16"/>
    <w:rsid w:val="008A6B9A"/>
    <w:rsid w:val="008A6BE5"/>
    <w:rsid w:val="008A6C08"/>
    <w:rsid w:val="008A6D5F"/>
    <w:rsid w:val="008A6DC1"/>
    <w:rsid w:val="008A6EB7"/>
    <w:rsid w:val="008A6F07"/>
    <w:rsid w:val="008A6FBC"/>
    <w:rsid w:val="008A70D1"/>
    <w:rsid w:val="008A7139"/>
    <w:rsid w:val="008A73B7"/>
    <w:rsid w:val="008A775F"/>
    <w:rsid w:val="008A78B5"/>
    <w:rsid w:val="008A7B44"/>
    <w:rsid w:val="008A7C88"/>
    <w:rsid w:val="008A7D3F"/>
    <w:rsid w:val="008A7D7B"/>
    <w:rsid w:val="008A7DFF"/>
    <w:rsid w:val="008A7E6E"/>
    <w:rsid w:val="008A7E91"/>
    <w:rsid w:val="008A7F16"/>
    <w:rsid w:val="008A7F26"/>
    <w:rsid w:val="008A7F75"/>
    <w:rsid w:val="008B01F8"/>
    <w:rsid w:val="008B029F"/>
    <w:rsid w:val="008B02CD"/>
    <w:rsid w:val="008B052E"/>
    <w:rsid w:val="008B0BAD"/>
    <w:rsid w:val="008B0C3B"/>
    <w:rsid w:val="008B0F8D"/>
    <w:rsid w:val="008B1050"/>
    <w:rsid w:val="008B118D"/>
    <w:rsid w:val="008B12E0"/>
    <w:rsid w:val="008B18B8"/>
    <w:rsid w:val="008B196A"/>
    <w:rsid w:val="008B1B7A"/>
    <w:rsid w:val="008B1BBA"/>
    <w:rsid w:val="008B1ED3"/>
    <w:rsid w:val="008B1FB5"/>
    <w:rsid w:val="008B2B18"/>
    <w:rsid w:val="008B2B75"/>
    <w:rsid w:val="008B2D01"/>
    <w:rsid w:val="008B32A7"/>
    <w:rsid w:val="008B3359"/>
    <w:rsid w:val="008B35C3"/>
    <w:rsid w:val="008B35D1"/>
    <w:rsid w:val="008B379A"/>
    <w:rsid w:val="008B39C9"/>
    <w:rsid w:val="008B3B3D"/>
    <w:rsid w:val="008B3EF6"/>
    <w:rsid w:val="008B3FE9"/>
    <w:rsid w:val="008B41E6"/>
    <w:rsid w:val="008B44AA"/>
    <w:rsid w:val="008B46CF"/>
    <w:rsid w:val="008B473F"/>
    <w:rsid w:val="008B48F6"/>
    <w:rsid w:val="008B49A7"/>
    <w:rsid w:val="008B49BB"/>
    <w:rsid w:val="008B4C97"/>
    <w:rsid w:val="008B4E4F"/>
    <w:rsid w:val="008B4F5B"/>
    <w:rsid w:val="008B50A4"/>
    <w:rsid w:val="008B50AD"/>
    <w:rsid w:val="008B5623"/>
    <w:rsid w:val="008B59EA"/>
    <w:rsid w:val="008B59FA"/>
    <w:rsid w:val="008B5A14"/>
    <w:rsid w:val="008B5A1A"/>
    <w:rsid w:val="008B5CA9"/>
    <w:rsid w:val="008B5D5F"/>
    <w:rsid w:val="008B5E1F"/>
    <w:rsid w:val="008B5FF5"/>
    <w:rsid w:val="008B61A9"/>
    <w:rsid w:val="008B61F4"/>
    <w:rsid w:val="008B6336"/>
    <w:rsid w:val="008B6750"/>
    <w:rsid w:val="008B6898"/>
    <w:rsid w:val="008B69B6"/>
    <w:rsid w:val="008B6A80"/>
    <w:rsid w:val="008B6B40"/>
    <w:rsid w:val="008B6CDC"/>
    <w:rsid w:val="008B6CF9"/>
    <w:rsid w:val="008B6E0A"/>
    <w:rsid w:val="008B6FB6"/>
    <w:rsid w:val="008B7135"/>
    <w:rsid w:val="008B71BA"/>
    <w:rsid w:val="008B7499"/>
    <w:rsid w:val="008B7598"/>
    <w:rsid w:val="008B773A"/>
    <w:rsid w:val="008B7778"/>
    <w:rsid w:val="008B782B"/>
    <w:rsid w:val="008B78B3"/>
    <w:rsid w:val="008B7E9D"/>
    <w:rsid w:val="008B7F5C"/>
    <w:rsid w:val="008C0147"/>
    <w:rsid w:val="008C05B9"/>
    <w:rsid w:val="008C05BF"/>
    <w:rsid w:val="008C05F0"/>
    <w:rsid w:val="008C0643"/>
    <w:rsid w:val="008C0747"/>
    <w:rsid w:val="008C088A"/>
    <w:rsid w:val="008C09DA"/>
    <w:rsid w:val="008C0CFA"/>
    <w:rsid w:val="008C0E7F"/>
    <w:rsid w:val="008C0F03"/>
    <w:rsid w:val="008C0F6C"/>
    <w:rsid w:val="008C1032"/>
    <w:rsid w:val="008C1141"/>
    <w:rsid w:val="008C1430"/>
    <w:rsid w:val="008C14BC"/>
    <w:rsid w:val="008C16ED"/>
    <w:rsid w:val="008C16F0"/>
    <w:rsid w:val="008C187B"/>
    <w:rsid w:val="008C18BC"/>
    <w:rsid w:val="008C18CB"/>
    <w:rsid w:val="008C18D7"/>
    <w:rsid w:val="008C193E"/>
    <w:rsid w:val="008C1A6D"/>
    <w:rsid w:val="008C1D74"/>
    <w:rsid w:val="008C1F6F"/>
    <w:rsid w:val="008C1FD4"/>
    <w:rsid w:val="008C248F"/>
    <w:rsid w:val="008C25E6"/>
    <w:rsid w:val="008C262C"/>
    <w:rsid w:val="008C2724"/>
    <w:rsid w:val="008C27DB"/>
    <w:rsid w:val="008C2860"/>
    <w:rsid w:val="008C2902"/>
    <w:rsid w:val="008C2A66"/>
    <w:rsid w:val="008C2B15"/>
    <w:rsid w:val="008C2BCE"/>
    <w:rsid w:val="008C2E11"/>
    <w:rsid w:val="008C2EC6"/>
    <w:rsid w:val="008C2EFA"/>
    <w:rsid w:val="008C2F3A"/>
    <w:rsid w:val="008C31BE"/>
    <w:rsid w:val="008C31C9"/>
    <w:rsid w:val="008C3585"/>
    <w:rsid w:val="008C36B4"/>
    <w:rsid w:val="008C3813"/>
    <w:rsid w:val="008C3960"/>
    <w:rsid w:val="008C3AD9"/>
    <w:rsid w:val="008C3B72"/>
    <w:rsid w:val="008C3B89"/>
    <w:rsid w:val="008C3EE3"/>
    <w:rsid w:val="008C3F4C"/>
    <w:rsid w:val="008C3FC7"/>
    <w:rsid w:val="008C457B"/>
    <w:rsid w:val="008C457D"/>
    <w:rsid w:val="008C4730"/>
    <w:rsid w:val="008C4B3A"/>
    <w:rsid w:val="008C4B62"/>
    <w:rsid w:val="008C5091"/>
    <w:rsid w:val="008C55E9"/>
    <w:rsid w:val="008C561A"/>
    <w:rsid w:val="008C58FA"/>
    <w:rsid w:val="008C58FC"/>
    <w:rsid w:val="008C5A67"/>
    <w:rsid w:val="008C5C88"/>
    <w:rsid w:val="008C5E1B"/>
    <w:rsid w:val="008C5E5F"/>
    <w:rsid w:val="008C60D9"/>
    <w:rsid w:val="008C6139"/>
    <w:rsid w:val="008C6443"/>
    <w:rsid w:val="008C6560"/>
    <w:rsid w:val="008C6600"/>
    <w:rsid w:val="008C667B"/>
    <w:rsid w:val="008C66ED"/>
    <w:rsid w:val="008C67A7"/>
    <w:rsid w:val="008C68BD"/>
    <w:rsid w:val="008C6AE3"/>
    <w:rsid w:val="008C6D8F"/>
    <w:rsid w:val="008C6DA4"/>
    <w:rsid w:val="008C6DC9"/>
    <w:rsid w:val="008C6E6F"/>
    <w:rsid w:val="008C6EBC"/>
    <w:rsid w:val="008C7011"/>
    <w:rsid w:val="008C70B2"/>
    <w:rsid w:val="008C722A"/>
    <w:rsid w:val="008C73BE"/>
    <w:rsid w:val="008C73D4"/>
    <w:rsid w:val="008C74A7"/>
    <w:rsid w:val="008C7576"/>
    <w:rsid w:val="008C7619"/>
    <w:rsid w:val="008C771A"/>
    <w:rsid w:val="008C7B8D"/>
    <w:rsid w:val="008C7CE9"/>
    <w:rsid w:val="008C7DA7"/>
    <w:rsid w:val="008C7F34"/>
    <w:rsid w:val="008D0659"/>
    <w:rsid w:val="008D089D"/>
    <w:rsid w:val="008D0CAE"/>
    <w:rsid w:val="008D0D50"/>
    <w:rsid w:val="008D1113"/>
    <w:rsid w:val="008D1274"/>
    <w:rsid w:val="008D13B4"/>
    <w:rsid w:val="008D1611"/>
    <w:rsid w:val="008D17F6"/>
    <w:rsid w:val="008D1991"/>
    <w:rsid w:val="008D19ED"/>
    <w:rsid w:val="008D1CB4"/>
    <w:rsid w:val="008D1CF1"/>
    <w:rsid w:val="008D1D82"/>
    <w:rsid w:val="008D1E0F"/>
    <w:rsid w:val="008D1FAB"/>
    <w:rsid w:val="008D22B5"/>
    <w:rsid w:val="008D24E4"/>
    <w:rsid w:val="008D24E5"/>
    <w:rsid w:val="008D27B2"/>
    <w:rsid w:val="008D2DF7"/>
    <w:rsid w:val="008D2F8A"/>
    <w:rsid w:val="008D3050"/>
    <w:rsid w:val="008D3102"/>
    <w:rsid w:val="008D35AC"/>
    <w:rsid w:val="008D3A07"/>
    <w:rsid w:val="008D3CE3"/>
    <w:rsid w:val="008D3DE5"/>
    <w:rsid w:val="008D3EC2"/>
    <w:rsid w:val="008D404A"/>
    <w:rsid w:val="008D4384"/>
    <w:rsid w:val="008D44B4"/>
    <w:rsid w:val="008D471C"/>
    <w:rsid w:val="008D49EF"/>
    <w:rsid w:val="008D4BF8"/>
    <w:rsid w:val="008D4D96"/>
    <w:rsid w:val="008D4DAE"/>
    <w:rsid w:val="008D4F0E"/>
    <w:rsid w:val="008D50F7"/>
    <w:rsid w:val="008D511A"/>
    <w:rsid w:val="008D5148"/>
    <w:rsid w:val="008D515C"/>
    <w:rsid w:val="008D5420"/>
    <w:rsid w:val="008D547D"/>
    <w:rsid w:val="008D5B84"/>
    <w:rsid w:val="008D5CE3"/>
    <w:rsid w:val="008D5D38"/>
    <w:rsid w:val="008D5E9B"/>
    <w:rsid w:val="008D606D"/>
    <w:rsid w:val="008D60AE"/>
    <w:rsid w:val="008D6511"/>
    <w:rsid w:val="008D685D"/>
    <w:rsid w:val="008D6911"/>
    <w:rsid w:val="008D6CDB"/>
    <w:rsid w:val="008D6D28"/>
    <w:rsid w:val="008D6D80"/>
    <w:rsid w:val="008D6E19"/>
    <w:rsid w:val="008D6FB7"/>
    <w:rsid w:val="008D710C"/>
    <w:rsid w:val="008D71BF"/>
    <w:rsid w:val="008D71C1"/>
    <w:rsid w:val="008D724C"/>
    <w:rsid w:val="008D7593"/>
    <w:rsid w:val="008D7710"/>
    <w:rsid w:val="008D771B"/>
    <w:rsid w:val="008D77C9"/>
    <w:rsid w:val="008D785C"/>
    <w:rsid w:val="008D792B"/>
    <w:rsid w:val="008D7BDC"/>
    <w:rsid w:val="008D7C06"/>
    <w:rsid w:val="008D7C1A"/>
    <w:rsid w:val="008D7CFA"/>
    <w:rsid w:val="008E01CD"/>
    <w:rsid w:val="008E04A0"/>
    <w:rsid w:val="008E069F"/>
    <w:rsid w:val="008E072A"/>
    <w:rsid w:val="008E0951"/>
    <w:rsid w:val="008E09F5"/>
    <w:rsid w:val="008E0FA4"/>
    <w:rsid w:val="008E104B"/>
    <w:rsid w:val="008E13A2"/>
    <w:rsid w:val="008E14F0"/>
    <w:rsid w:val="008E1AC2"/>
    <w:rsid w:val="008E1DD0"/>
    <w:rsid w:val="008E1F50"/>
    <w:rsid w:val="008E2205"/>
    <w:rsid w:val="008E2380"/>
    <w:rsid w:val="008E24C7"/>
    <w:rsid w:val="008E251E"/>
    <w:rsid w:val="008E26B4"/>
    <w:rsid w:val="008E282E"/>
    <w:rsid w:val="008E2886"/>
    <w:rsid w:val="008E2A54"/>
    <w:rsid w:val="008E3078"/>
    <w:rsid w:val="008E30E6"/>
    <w:rsid w:val="008E34DF"/>
    <w:rsid w:val="008E36CF"/>
    <w:rsid w:val="008E3801"/>
    <w:rsid w:val="008E38A0"/>
    <w:rsid w:val="008E3932"/>
    <w:rsid w:val="008E3BFA"/>
    <w:rsid w:val="008E3C8F"/>
    <w:rsid w:val="008E3CD2"/>
    <w:rsid w:val="008E3EF5"/>
    <w:rsid w:val="008E4121"/>
    <w:rsid w:val="008E41BD"/>
    <w:rsid w:val="008E4269"/>
    <w:rsid w:val="008E449A"/>
    <w:rsid w:val="008E452C"/>
    <w:rsid w:val="008E4536"/>
    <w:rsid w:val="008E466D"/>
    <w:rsid w:val="008E4692"/>
    <w:rsid w:val="008E47B7"/>
    <w:rsid w:val="008E48E8"/>
    <w:rsid w:val="008E4946"/>
    <w:rsid w:val="008E4B0C"/>
    <w:rsid w:val="008E4B0D"/>
    <w:rsid w:val="008E4C31"/>
    <w:rsid w:val="008E4DE4"/>
    <w:rsid w:val="008E4F5A"/>
    <w:rsid w:val="008E4FA3"/>
    <w:rsid w:val="008E4FA8"/>
    <w:rsid w:val="008E5283"/>
    <w:rsid w:val="008E5781"/>
    <w:rsid w:val="008E58F9"/>
    <w:rsid w:val="008E58FE"/>
    <w:rsid w:val="008E59A9"/>
    <w:rsid w:val="008E5EF8"/>
    <w:rsid w:val="008E6453"/>
    <w:rsid w:val="008E655B"/>
    <w:rsid w:val="008E66D4"/>
    <w:rsid w:val="008E67AA"/>
    <w:rsid w:val="008E67F8"/>
    <w:rsid w:val="008E6928"/>
    <w:rsid w:val="008E6F01"/>
    <w:rsid w:val="008E7095"/>
    <w:rsid w:val="008E7383"/>
    <w:rsid w:val="008E73F5"/>
    <w:rsid w:val="008E757B"/>
    <w:rsid w:val="008E7824"/>
    <w:rsid w:val="008E7A18"/>
    <w:rsid w:val="008E7A6A"/>
    <w:rsid w:val="008E7B15"/>
    <w:rsid w:val="008E7C92"/>
    <w:rsid w:val="008E7C9C"/>
    <w:rsid w:val="008E7E2B"/>
    <w:rsid w:val="008E7FFD"/>
    <w:rsid w:val="008F02DA"/>
    <w:rsid w:val="008F03CC"/>
    <w:rsid w:val="008F03D1"/>
    <w:rsid w:val="008F06C9"/>
    <w:rsid w:val="008F06EB"/>
    <w:rsid w:val="008F076B"/>
    <w:rsid w:val="008F0833"/>
    <w:rsid w:val="008F0B13"/>
    <w:rsid w:val="008F0ED7"/>
    <w:rsid w:val="008F0FF5"/>
    <w:rsid w:val="008F1209"/>
    <w:rsid w:val="008F154F"/>
    <w:rsid w:val="008F17CE"/>
    <w:rsid w:val="008F18FC"/>
    <w:rsid w:val="008F197A"/>
    <w:rsid w:val="008F1D9C"/>
    <w:rsid w:val="008F1E25"/>
    <w:rsid w:val="008F1FB4"/>
    <w:rsid w:val="008F1FF3"/>
    <w:rsid w:val="008F1FF5"/>
    <w:rsid w:val="008F20F1"/>
    <w:rsid w:val="008F226C"/>
    <w:rsid w:val="008F2491"/>
    <w:rsid w:val="008F2593"/>
    <w:rsid w:val="008F26D6"/>
    <w:rsid w:val="008F2836"/>
    <w:rsid w:val="008F29AA"/>
    <w:rsid w:val="008F2B04"/>
    <w:rsid w:val="008F2BFD"/>
    <w:rsid w:val="008F2C80"/>
    <w:rsid w:val="008F2C82"/>
    <w:rsid w:val="008F2CEC"/>
    <w:rsid w:val="008F2D58"/>
    <w:rsid w:val="008F2D62"/>
    <w:rsid w:val="008F2E1E"/>
    <w:rsid w:val="008F2F1E"/>
    <w:rsid w:val="008F36BC"/>
    <w:rsid w:val="008F3BC1"/>
    <w:rsid w:val="008F3D36"/>
    <w:rsid w:val="008F3D8E"/>
    <w:rsid w:val="008F40F3"/>
    <w:rsid w:val="008F4103"/>
    <w:rsid w:val="008F422C"/>
    <w:rsid w:val="008F4514"/>
    <w:rsid w:val="008F45D8"/>
    <w:rsid w:val="008F4611"/>
    <w:rsid w:val="008F46DA"/>
    <w:rsid w:val="008F4764"/>
    <w:rsid w:val="008F48BE"/>
    <w:rsid w:val="008F4A3E"/>
    <w:rsid w:val="008F4A6A"/>
    <w:rsid w:val="008F4A89"/>
    <w:rsid w:val="008F4B11"/>
    <w:rsid w:val="008F4EFD"/>
    <w:rsid w:val="008F5283"/>
    <w:rsid w:val="008F5320"/>
    <w:rsid w:val="008F532D"/>
    <w:rsid w:val="008F532E"/>
    <w:rsid w:val="008F5566"/>
    <w:rsid w:val="008F5570"/>
    <w:rsid w:val="008F5759"/>
    <w:rsid w:val="008F579B"/>
    <w:rsid w:val="008F585A"/>
    <w:rsid w:val="008F5AED"/>
    <w:rsid w:val="008F5B3A"/>
    <w:rsid w:val="008F5CA6"/>
    <w:rsid w:val="008F610C"/>
    <w:rsid w:val="008F61C3"/>
    <w:rsid w:val="008F634C"/>
    <w:rsid w:val="008F6A0F"/>
    <w:rsid w:val="008F6B22"/>
    <w:rsid w:val="008F6BDF"/>
    <w:rsid w:val="008F6C68"/>
    <w:rsid w:val="008F6C73"/>
    <w:rsid w:val="008F7188"/>
    <w:rsid w:val="008F719F"/>
    <w:rsid w:val="008F72F3"/>
    <w:rsid w:val="008F7312"/>
    <w:rsid w:val="008F7589"/>
    <w:rsid w:val="008F79D5"/>
    <w:rsid w:val="008F7AA6"/>
    <w:rsid w:val="008F7D53"/>
    <w:rsid w:val="0090003D"/>
    <w:rsid w:val="00900192"/>
    <w:rsid w:val="009001DB"/>
    <w:rsid w:val="009004CF"/>
    <w:rsid w:val="009005A2"/>
    <w:rsid w:val="00900770"/>
    <w:rsid w:val="00900A88"/>
    <w:rsid w:val="00900AEA"/>
    <w:rsid w:val="00900E19"/>
    <w:rsid w:val="00900EEA"/>
    <w:rsid w:val="00900F8B"/>
    <w:rsid w:val="00900F9D"/>
    <w:rsid w:val="0090100A"/>
    <w:rsid w:val="0090116F"/>
    <w:rsid w:val="00901243"/>
    <w:rsid w:val="0090128A"/>
    <w:rsid w:val="009012DD"/>
    <w:rsid w:val="00901636"/>
    <w:rsid w:val="00901637"/>
    <w:rsid w:val="00901669"/>
    <w:rsid w:val="009016DA"/>
    <w:rsid w:val="009017AC"/>
    <w:rsid w:val="00901B13"/>
    <w:rsid w:val="00901C00"/>
    <w:rsid w:val="00901CA5"/>
    <w:rsid w:val="00901CCD"/>
    <w:rsid w:val="00901D71"/>
    <w:rsid w:val="00901E53"/>
    <w:rsid w:val="0090210F"/>
    <w:rsid w:val="0090226D"/>
    <w:rsid w:val="0090228C"/>
    <w:rsid w:val="0090245F"/>
    <w:rsid w:val="00902545"/>
    <w:rsid w:val="009026F2"/>
    <w:rsid w:val="009028C4"/>
    <w:rsid w:val="009028DD"/>
    <w:rsid w:val="009029C2"/>
    <w:rsid w:val="00902A79"/>
    <w:rsid w:val="00902C0B"/>
    <w:rsid w:val="00902D06"/>
    <w:rsid w:val="00902E1D"/>
    <w:rsid w:val="00902E87"/>
    <w:rsid w:val="0090337C"/>
    <w:rsid w:val="00903542"/>
    <w:rsid w:val="00903559"/>
    <w:rsid w:val="00903604"/>
    <w:rsid w:val="009036F5"/>
    <w:rsid w:val="00903901"/>
    <w:rsid w:val="00903915"/>
    <w:rsid w:val="00903A31"/>
    <w:rsid w:val="00903BD3"/>
    <w:rsid w:val="00904086"/>
    <w:rsid w:val="00904532"/>
    <w:rsid w:val="009045A4"/>
    <w:rsid w:val="009046B9"/>
    <w:rsid w:val="00904CB9"/>
    <w:rsid w:val="00904DF6"/>
    <w:rsid w:val="00904F12"/>
    <w:rsid w:val="00904F62"/>
    <w:rsid w:val="00905034"/>
    <w:rsid w:val="009050A5"/>
    <w:rsid w:val="00905671"/>
    <w:rsid w:val="009056A3"/>
    <w:rsid w:val="009058AD"/>
    <w:rsid w:val="00905937"/>
    <w:rsid w:val="00905B8C"/>
    <w:rsid w:val="00905BFF"/>
    <w:rsid w:val="0090617F"/>
    <w:rsid w:val="009063D9"/>
    <w:rsid w:val="009065BB"/>
    <w:rsid w:val="00906904"/>
    <w:rsid w:val="009069B2"/>
    <w:rsid w:val="00906AE2"/>
    <w:rsid w:val="009070E1"/>
    <w:rsid w:val="0090754E"/>
    <w:rsid w:val="00907B57"/>
    <w:rsid w:val="00910203"/>
    <w:rsid w:val="00910220"/>
    <w:rsid w:val="00910475"/>
    <w:rsid w:val="0091052B"/>
    <w:rsid w:val="009105AB"/>
    <w:rsid w:val="0091076D"/>
    <w:rsid w:val="00910988"/>
    <w:rsid w:val="00910B4A"/>
    <w:rsid w:val="00910C59"/>
    <w:rsid w:val="00910D3E"/>
    <w:rsid w:val="00910F69"/>
    <w:rsid w:val="0091120F"/>
    <w:rsid w:val="009112D5"/>
    <w:rsid w:val="00911781"/>
    <w:rsid w:val="0091184C"/>
    <w:rsid w:val="009118AD"/>
    <w:rsid w:val="00911ABE"/>
    <w:rsid w:val="00911C3C"/>
    <w:rsid w:val="00911D92"/>
    <w:rsid w:val="00911F14"/>
    <w:rsid w:val="0091213A"/>
    <w:rsid w:val="009123AB"/>
    <w:rsid w:val="0091257B"/>
    <w:rsid w:val="0091265E"/>
    <w:rsid w:val="009126C7"/>
    <w:rsid w:val="0091286D"/>
    <w:rsid w:val="009128A6"/>
    <w:rsid w:val="009129B2"/>
    <w:rsid w:val="009129F4"/>
    <w:rsid w:val="00912BBB"/>
    <w:rsid w:val="00912C22"/>
    <w:rsid w:val="00912DF7"/>
    <w:rsid w:val="00913126"/>
    <w:rsid w:val="009132CB"/>
    <w:rsid w:val="00913462"/>
    <w:rsid w:val="00913683"/>
    <w:rsid w:val="009137EA"/>
    <w:rsid w:val="00913931"/>
    <w:rsid w:val="00913AFF"/>
    <w:rsid w:val="00913D45"/>
    <w:rsid w:val="00913F7C"/>
    <w:rsid w:val="00913FF3"/>
    <w:rsid w:val="00914101"/>
    <w:rsid w:val="00914129"/>
    <w:rsid w:val="009141B7"/>
    <w:rsid w:val="009142A4"/>
    <w:rsid w:val="0091441C"/>
    <w:rsid w:val="009146E1"/>
    <w:rsid w:val="0091484B"/>
    <w:rsid w:val="00914968"/>
    <w:rsid w:val="009149BA"/>
    <w:rsid w:val="00914A28"/>
    <w:rsid w:val="00914A8B"/>
    <w:rsid w:val="00914C2F"/>
    <w:rsid w:val="0091506B"/>
    <w:rsid w:val="009150DB"/>
    <w:rsid w:val="00915148"/>
    <w:rsid w:val="0091548C"/>
    <w:rsid w:val="009158AB"/>
    <w:rsid w:val="009158C2"/>
    <w:rsid w:val="00915917"/>
    <w:rsid w:val="00915A47"/>
    <w:rsid w:val="00915BAC"/>
    <w:rsid w:val="00915F65"/>
    <w:rsid w:val="00915F8E"/>
    <w:rsid w:val="00916051"/>
    <w:rsid w:val="00916063"/>
    <w:rsid w:val="0091619F"/>
    <w:rsid w:val="0091641B"/>
    <w:rsid w:val="0091647D"/>
    <w:rsid w:val="00916BF7"/>
    <w:rsid w:val="00916CE3"/>
    <w:rsid w:val="00916E53"/>
    <w:rsid w:val="00916E8F"/>
    <w:rsid w:val="00917017"/>
    <w:rsid w:val="00917109"/>
    <w:rsid w:val="009174B1"/>
    <w:rsid w:val="00917781"/>
    <w:rsid w:val="00917888"/>
    <w:rsid w:val="009178FA"/>
    <w:rsid w:val="00917A8C"/>
    <w:rsid w:val="00917BB1"/>
    <w:rsid w:val="00917EB6"/>
    <w:rsid w:val="00920330"/>
    <w:rsid w:val="009203B7"/>
    <w:rsid w:val="009203E5"/>
    <w:rsid w:val="009203F6"/>
    <w:rsid w:val="00920431"/>
    <w:rsid w:val="0092063A"/>
    <w:rsid w:val="0092086D"/>
    <w:rsid w:val="00920BD9"/>
    <w:rsid w:val="00920D26"/>
    <w:rsid w:val="00920DD8"/>
    <w:rsid w:val="00920DD9"/>
    <w:rsid w:val="00920E2E"/>
    <w:rsid w:val="00920EEF"/>
    <w:rsid w:val="009211DE"/>
    <w:rsid w:val="009213B5"/>
    <w:rsid w:val="00921558"/>
    <w:rsid w:val="009215E6"/>
    <w:rsid w:val="009218E3"/>
    <w:rsid w:val="00921A15"/>
    <w:rsid w:val="00921B35"/>
    <w:rsid w:val="00921C13"/>
    <w:rsid w:val="00921D06"/>
    <w:rsid w:val="00921EBC"/>
    <w:rsid w:val="00921EDE"/>
    <w:rsid w:val="00922076"/>
    <w:rsid w:val="009226A1"/>
    <w:rsid w:val="00922A05"/>
    <w:rsid w:val="00922A98"/>
    <w:rsid w:val="00922E6C"/>
    <w:rsid w:val="00923148"/>
    <w:rsid w:val="0092318D"/>
    <w:rsid w:val="009232E5"/>
    <w:rsid w:val="00923430"/>
    <w:rsid w:val="00923548"/>
    <w:rsid w:val="00923560"/>
    <w:rsid w:val="00923617"/>
    <w:rsid w:val="009239DE"/>
    <w:rsid w:val="00923DDD"/>
    <w:rsid w:val="00923F43"/>
    <w:rsid w:val="00924696"/>
    <w:rsid w:val="00924802"/>
    <w:rsid w:val="00924D17"/>
    <w:rsid w:val="0092501B"/>
    <w:rsid w:val="00925078"/>
    <w:rsid w:val="009253DC"/>
    <w:rsid w:val="0092552F"/>
    <w:rsid w:val="009256F5"/>
    <w:rsid w:val="0092585F"/>
    <w:rsid w:val="009258FE"/>
    <w:rsid w:val="009259E9"/>
    <w:rsid w:val="00925A8C"/>
    <w:rsid w:val="00925B35"/>
    <w:rsid w:val="00925DA4"/>
    <w:rsid w:val="00925F69"/>
    <w:rsid w:val="00925F81"/>
    <w:rsid w:val="00925FCD"/>
    <w:rsid w:val="00926219"/>
    <w:rsid w:val="009262E9"/>
    <w:rsid w:val="00926564"/>
    <w:rsid w:val="00926658"/>
    <w:rsid w:val="00926762"/>
    <w:rsid w:val="009268BB"/>
    <w:rsid w:val="00926950"/>
    <w:rsid w:val="00926A43"/>
    <w:rsid w:val="00926C3E"/>
    <w:rsid w:val="00926E63"/>
    <w:rsid w:val="0092701B"/>
    <w:rsid w:val="0092709F"/>
    <w:rsid w:val="0092777D"/>
    <w:rsid w:val="00927A26"/>
    <w:rsid w:val="00927EF1"/>
    <w:rsid w:val="00927F1E"/>
    <w:rsid w:val="00930096"/>
    <w:rsid w:val="00930126"/>
    <w:rsid w:val="00930157"/>
    <w:rsid w:val="009301C9"/>
    <w:rsid w:val="009302F3"/>
    <w:rsid w:val="00930581"/>
    <w:rsid w:val="00930690"/>
    <w:rsid w:val="009308BD"/>
    <w:rsid w:val="00930933"/>
    <w:rsid w:val="00930C5C"/>
    <w:rsid w:val="00930CDD"/>
    <w:rsid w:val="00930DAE"/>
    <w:rsid w:val="00930DAF"/>
    <w:rsid w:val="00930DFB"/>
    <w:rsid w:val="00930E0F"/>
    <w:rsid w:val="00930E5B"/>
    <w:rsid w:val="00931060"/>
    <w:rsid w:val="00931080"/>
    <w:rsid w:val="00931467"/>
    <w:rsid w:val="0093151D"/>
    <w:rsid w:val="009315A7"/>
    <w:rsid w:val="009316A4"/>
    <w:rsid w:val="00931AC0"/>
    <w:rsid w:val="00931B54"/>
    <w:rsid w:val="00931D2B"/>
    <w:rsid w:val="00931E51"/>
    <w:rsid w:val="00932016"/>
    <w:rsid w:val="009320BB"/>
    <w:rsid w:val="00932626"/>
    <w:rsid w:val="00932755"/>
    <w:rsid w:val="00932780"/>
    <w:rsid w:val="009327C8"/>
    <w:rsid w:val="00932929"/>
    <w:rsid w:val="009329D6"/>
    <w:rsid w:val="00932A40"/>
    <w:rsid w:val="00932DC0"/>
    <w:rsid w:val="00933254"/>
    <w:rsid w:val="009334A5"/>
    <w:rsid w:val="00933697"/>
    <w:rsid w:val="0093371D"/>
    <w:rsid w:val="009337BD"/>
    <w:rsid w:val="00933912"/>
    <w:rsid w:val="009339C6"/>
    <w:rsid w:val="00933A5F"/>
    <w:rsid w:val="00933E4F"/>
    <w:rsid w:val="00933F04"/>
    <w:rsid w:val="00934079"/>
    <w:rsid w:val="0093436A"/>
    <w:rsid w:val="009345CF"/>
    <w:rsid w:val="009346A4"/>
    <w:rsid w:val="0093497B"/>
    <w:rsid w:val="00934B2F"/>
    <w:rsid w:val="00934B37"/>
    <w:rsid w:val="00934C2E"/>
    <w:rsid w:val="00934FCD"/>
    <w:rsid w:val="0093561E"/>
    <w:rsid w:val="0093573B"/>
    <w:rsid w:val="009359A0"/>
    <w:rsid w:val="00935A03"/>
    <w:rsid w:val="00935A52"/>
    <w:rsid w:val="00935A8C"/>
    <w:rsid w:val="00935BCB"/>
    <w:rsid w:val="00935C1A"/>
    <w:rsid w:val="00935D96"/>
    <w:rsid w:val="00935E10"/>
    <w:rsid w:val="00935E2D"/>
    <w:rsid w:val="009361AF"/>
    <w:rsid w:val="00936327"/>
    <w:rsid w:val="00936339"/>
    <w:rsid w:val="009364F6"/>
    <w:rsid w:val="009365D7"/>
    <w:rsid w:val="00936649"/>
    <w:rsid w:val="00936674"/>
    <w:rsid w:val="00936B09"/>
    <w:rsid w:val="00936BA2"/>
    <w:rsid w:val="00936BD3"/>
    <w:rsid w:val="00936C0D"/>
    <w:rsid w:val="00936FA4"/>
    <w:rsid w:val="0093712C"/>
    <w:rsid w:val="009374BD"/>
    <w:rsid w:val="0093751D"/>
    <w:rsid w:val="00937537"/>
    <w:rsid w:val="00937946"/>
    <w:rsid w:val="00937954"/>
    <w:rsid w:val="00937ACF"/>
    <w:rsid w:val="00937CAD"/>
    <w:rsid w:val="00937D36"/>
    <w:rsid w:val="009401B4"/>
    <w:rsid w:val="009401E5"/>
    <w:rsid w:val="0094024B"/>
    <w:rsid w:val="00940292"/>
    <w:rsid w:val="009403D6"/>
    <w:rsid w:val="00940460"/>
    <w:rsid w:val="00940576"/>
    <w:rsid w:val="009405E4"/>
    <w:rsid w:val="00940745"/>
    <w:rsid w:val="0094082C"/>
    <w:rsid w:val="009409B6"/>
    <w:rsid w:val="00940A0F"/>
    <w:rsid w:val="00940A5C"/>
    <w:rsid w:val="00940B24"/>
    <w:rsid w:val="00940DAE"/>
    <w:rsid w:val="009412E8"/>
    <w:rsid w:val="0094144A"/>
    <w:rsid w:val="0094147B"/>
    <w:rsid w:val="00941538"/>
    <w:rsid w:val="0094170D"/>
    <w:rsid w:val="00941722"/>
    <w:rsid w:val="009419FD"/>
    <w:rsid w:val="00941A83"/>
    <w:rsid w:val="00941ABF"/>
    <w:rsid w:val="00941F17"/>
    <w:rsid w:val="00941F2E"/>
    <w:rsid w:val="00942091"/>
    <w:rsid w:val="0094229B"/>
    <w:rsid w:val="009426A3"/>
    <w:rsid w:val="0094271D"/>
    <w:rsid w:val="0094275C"/>
    <w:rsid w:val="009427D9"/>
    <w:rsid w:val="00942B8E"/>
    <w:rsid w:val="00942DA1"/>
    <w:rsid w:val="00942DAA"/>
    <w:rsid w:val="00942DE5"/>
    <w:rsid w:val="009430CC"/>
    <w:rsid w:val="009431E3"/>
    <w:rsid w:val="00943528"/>
    <w:rsid w:val="009437BA"/>
    <w:rsid w:val="00943A7D"/>
    <w:rsid w:val="00943B40"/>
    <w:rsid w:val="00943DFC"/>
    <w:rsid w:val="00943E72"/>
    <w:rsid w:val="0094431F"/>
    <w:rsid w:val="00944377"/>
    <w:rsid w:val="00944475"/>
    <w:rsid w:val="00944553"/>
    <w:rsid w:val="0094464C"/>
    <w:rsid w:val="00944BEC"/>
    <w:rsid w:val="00944C0D"/>
    <w:rsid w:val="00944F84"/>
    <w:rsid w:val="0094511A"/>
    <w:rsid w:val="009451B8"/>
    <w:rsid w:val="0094521F"/>
    <w:rsid w:val="0094529B"/>
    <w:rsid w:val="0094597C"/>
    <w:rsid w:val="009459FE"/>
    <w:rsid w:val="00945A88"/>
    <w:rsid w:val="00945AC3"/>
    <w:rsid w:val="00945E22"/>
    <w:rsid w:val="00945E26"/>
    <w:rsid w:val="00945FFB"/>
    <w:rsid w:val="009461B4"/>
    <w:rsid w:val="00946523"/>
    <w:rsid w:val="009465FF"/>
    <w:rsid w:val="0094676E"/>
    <w:rsid w:val="009469A1"/>
    <w:rsid w:val="00946C04"/>
    <w:rsid w:val="00946CCE"/>
    <w:rsid w:val="00947252"/>
    <w:rsid w:val="0094731E"/>
    <w:rsid w:val="0094744A"/>
    <w:rsid w:val="00947459"/>
    <w:rsid w:val="009477B4"/>
    <w:rsid w:val="009479A3"/>
    <w:rsid w:val="00947AEC"/>
    <w:rsid w:val="00947C08"/>
    <w:rsid w:val="00947DD7"/>
    <w:rsid w:val="00947EB0"/>
    <w:rsid w:val="00947FBC"/>
    <w:rsid w:val="00947FFE"/>
    <w:rsid w:val="009504B1"/>
    <w:rsid w:val="00950704"/>
    <w:rsid w:val="00950723"/>
    <w:rsid w:val="009509B2"/>
    <w:rsid w:val="00950A8D"/>
    <w:rsid w:val="00950ADD"/>
    <w:rsid w:val="00950B95"/>
    <w:rsid w:val="00950DE1"/>
    <w:rsid w:val="00951595"/>
    <w:rsid w:val="00951718"/>
    <w:rsid w:val="009517A3"/>
    <w:rsid w:val="0095198F"/>
    <w:rsid w:val="00951C11"/>
    <w:rsid w:val="00951C39"/>
    <w:rsid w:val="00951D32"/>
    <w:rsid w:val="009520A0"/>
    <w:rsid w:val="009520F3"/>
    <w:rsid w:val="00952179"/>
    <w:rsid w:val="009521A5"/>
    <w:rsid w:val="009521B2"/>
    <w:rsid w:val="009522CE"/>
    <w:rsid w:val="009522D0"/>
    <w:rsid w:val="0095236C"/>
    <w:rsid w:val="009525E1"/>
    <w:rsid w:val="009526E4"/>
    <w:rsid w:val="00952D75"/>
    <w:rsid w:val="00952E9D"/>
    <w:rsid w:val="0095309D"/>
    <w:rsid w:val="00953276"/>
    <w:rsid w:val="00953641"/>
    <w:rsid w:val="009536C6"/>
    <w:rsid w:val="00953AD0"/>
    <w:rsid w:val="00953C95"/>
    <w:rsid w:val="00953DCD"/>
    <w:rsid w:val="00953E01"/>
    <w:rsid w:val="00953F10"/>
    <w:rsid w:val="00953FF1"/>
    <w:rsid w:val="00954238"/>
    <w:rsid w:val="0095435F"/>
    <w:rsid w:val="00954569"/>
    <w:rsid w:val="0095463A"/>
    <w:rsid w:val="009546A4"/>
    <w:rsid w:val="0095471B"/>
    <w:rsid w:val="00954768"/>
    <w:rsid w:val="009548A2"/>
    <w:rsid w:val="00954AE2"/>
    <w:rsid w:val="00954B71"/>
    <w:rsid w:val="0095506B"/>
    <w:rsid w:val="00955091"/>
    <w:rsid w:val="009550C7"/>
    <w:rsid w:val="00955385"/>
    <w:rsid w:val="00955495"/>
    <w:rsid w:val="00955861"/>
    <w:rsid w:val="0095588C"/>
    <w:rsid w:val="00955A9F"/>
    <w:rsid w:val="00955C94"/>
    <w:rsid w:val="00955D37"/>
    <w:rsid w:val="00955E8A"/>
    <w:rsid w:val="00955EE4"/>
    <w:rsid w:val="00955FC8"/>
    <w:rsid w:val="009560DB"/>
    <w:rsid w:val="00956183"/>
    <w:rsid w:val="009562CA"/>
    <w:rsid w:val="009563E6"/>
    <w:rsid w:val="00956848"/>
    <w:rsid w:val="009568C4"/>
    <w:rsid w:val="00956A95"/>
    <w:rsid w:val="00956AF3"/>
    <w:rsid w:val="00956DEC"/>
    <w:rsid w:val="00956F46"/>
    <w:rsid w:val="00956F89"/>
    <w:rsid w:val="00956FFE"/>
    <w:rsid w:val="009571B2"/>
    <w:rsid w:val="0095721A"/>
    <w:rsid w:val="0095745E"/>
    <w:rsid w:val="009578B4"/>
    <w:rsid w:val="00957A8A"/>
    <w:rsid w:val="00957D1C"/>
    <w:rsid w:val="00957D53"/>
    <w:rsid w:val="00957E5A"/>
    <w:rsid w:val="00957E7D"/>
    <w:rsid w:val="00957FC1"/>
    <w:rsid w:val="00960291"/>
    <w:rsid w:val="00960478"/>
    <w:rsid w:val="009605EB"/>
    <w:rsid w:val="0096076A"/>
    <w:rsid w:val="00960777"/>
    <w:rsid w:val="00960847"/>
    <w:rsid w:val="00960A7E"/>
    <w:rsid w:val="00960C7E"/>
    <w:rsid w:val="00960D75"/>
    <w:rsid w:val="00960EC2"/>
    <w:rsid w:val="00960FBE"/>
    <w:rsid w:val="00960FC6"/>
    <w:rsid w:val="009610B7"/>
    <w:rsid w:val="00961132"/>
    <w:rsid w:val="009612BF"/>
    <w:rsid w:val="009613DE"/>
    <w:rsid w:val="00961589"/>
    <w:rsid w:val="009618FE"/>
    <w:rsid w:val="00961A2A"/>
    <w:rsid w:val="00961BFD"/>
    <w:rsid w:val="00961EAA"/>
    <w:rsid w:val="009620EF"/>
    <w:rsid w:val="009621C3"/>
    <w:rsid w:val="0096226E"/>
    <w:rsid w:val="009623A0"/>
    <w:rsid w:val="0096275F"/>
    <w:rsid w:val="00962879"/>
    <w:rsid w:val="00962911"/>
    <w:rsid w:val="009629CF"/>
    <w:rsid w:val="009629E0"/>
    <w:rsid w:val="00962EEE"/>
    <w:rsid w:val="0096364C"/>
    <w:rsid w:val="0096365E"/>
    <w:rsid w:val="009636A7"/>
    <w:rsid w:val="00963970"/>
    <w:rsid w:val="00963A61"/>
    <w:rsid w:val="00963B59"/>
    <w:rsid w:val="00963F57"/>
    <w:rsid w:val="00963FBA"/>
    <w:rsid w:val="0096410E"/>
    <w:rsid w:val="0096421A"/>
    <w:rsid w:val="00964242"/>
    <w:rsid w:val="00964353"/>
    <w:rsid w:val="0096435A"/>
    <w:rsid w:val="00964368"/>
    <w:rsid w:val="009644A8"/>
    <w:rsid w:val="00964516"/>
    <w:rsid w:val="0096451A"/>
    <w:rsid w:val="0096466D"/>
    <w:rsid w:val="009646B9"/>
    <w:rsid w:val="0096479D"/>
    <w:rsid w:val="009647E3"/>
    <w:rsid w:val="0096490C"/>
    <w:rsid w:val="00964911"/>
    <w:rsid w:val="009649AC"/>
    <w:rsid w:val="009649DD"/>
    <w:rsid w:val="00964B00"/>
    <w:rsid w:val="00964C4B"/>
    <w:rsid w:val="00964D0D"/>
    <w:rsid w:val="00964D96"/>
    <w:rsid w:val="00964F71"/>
    <w:rsid w:val="0096511B"/>
    <w:rsid w:val="009652F4"/>
    <w:rsid w:val="00965524"/>
    <w:rsid w:val="00965682"/>
    <w:rsid w:val="009657C0"/>
    <w:rsid w:val="00965843"/>
    <w:rsid w:val="00965853"/>
    <w:rsid w:val="009659BF"/>
    <w:rsid w:val="00966151"/>
    <w:rsid w:val="009661B6"/>
    <w:rsid w:val="00966250"/>
    <w:rsid w:val="009662A3"/>
    <w:rsid w:val="00966305"/>
    <w:rsid w:val="00966360"/>
    <w:rsid w:val="00966373"/>
    <w:rsid w:val="00966615"/>
    <w:rsid w:val="00966A49"/>
    <w:rsid w:val="00966C0C"/>
    <w:rsid w:val="00966C44"/>
    <w:rsid w:val="00966C87"/>
    <w:rsid w:val="00966DED"/>
    <w:rsid w:val="0096703D"/>
    <w:rsid w:val="00967268"/>
    <w:rsid w:val="00967660"/>
    <w:rsid w:val="009676A5"/>
    <w:rsid w:val="009677E4"/>
    <w:rsid w:val="00967891"/>
    <w:rsid w:val="009678B6"/>
    <w:rsid w:val="009678EB"/>
    <w:rsid w:val="0096792B"/>
    <w:rsid w:val="0096796F"/>
    <w:rsid w:val="00967A21"/>
    <w:rsid w:val="0097012D"/>
    <w:rsid w:val="00970130"/>
    <w:rsid w:val="009703DD"/>
    <w:rsid w:val="0097083B"/>
    <w:rsid w:val="00970847"/>
    <w:rsid w:val="00970993"/>
    <w:rsid w:val="00970A01"/>
    <w:rsid w:val="00970B5D"/>
    <w:rsid w:val="00970E3E"/>
    <w:rsid w:val="00970F40"/>
    <w:rsid w:val="0097101F"/>
    <w:rsid w:val="009711CE"/>
    <w:rsid w:val="009713E0"/>
    <w:rsid w:val="00971497"/>
    <w:rsid w:val="009714EF"/>
    <w:rsid w:val="009715BC"/>
    <w:rsid w:val="0097169A"/>
    <w:rsid w:val="0097172F"/>
    <w:rsid w:val="009719C0"/>
    <w:rsid w:val="00971A37"/>
    <w:rsid w:val="00971B0F"/>
    <w:rsid w:val="00971B4C"/>
    <w:rsid w:val="00971EBB"/>
    <w:rsid w:val="00971ECA"/>
    <w:rsid w:val="0097232A"/>
    <w:rsid w:val="00972426"/>
    <w:rsid w:val="0097250D"/>
    <w:rsid w:val="009726CC"/>
    <w:rsid w:val="009726F8"/>
    <w:rsid w:val="009728AC"/>
    <w:rsid w:val="00972E57"/>
    <w:rsid w:val="00972EF8"/>
    <w:rsid w:val="0097303E"/>
    <w:rsid w:val="00973297"/>
    <w:rsid w:val="009733BE"/>
    <w:rsid w:val="00973456"/>
    <w:rsid w:val="009734BB"/>
    <w:rsid w:val="009735F6"/>
    <w:rsid w:val="0097363D"/>
    <w:rsid w:val="009736BD"/>
    <w:rsid w:val="009737FB"/>
    <w:rsid w:val="00973D9B"/>
    <w:rsid w:val="00973F10"/>
    <w:rsid w:val="00974419"/>
    <w:rsid w:val="009746A8"/>
    <w:rsid w:val="0097490F"/>
    <w:rsid w:val="00974932"/>
    <w:rsid w:val="00974B84"/>
    <w:rsid w:val="00974E6A"/>
    <w:rsid w:val="00974ECD"/>
    <w:rsid w:val="00974F57"/>
    <w:rsid w:val="009754C0"/>
    <w:rsid w:val="0097561F"/>
    <w:rsid w:val="009757CD"/>
    <w:rsid w:val="009759B1"/>
    <w:rsid w:val="00975C32"/>
    <w:rsid w:val="00975C3A"/>
    <w:rsid w:val="00975C3E"/>
    <w:rsid w:val="00975D6C"/>
    <w:rsid w:val="00975D99"/>
    <w:rsid w:val="00975E60"/>
    <w:rsid w:val="0097637B"/>
    <w:rsid w:val="009768F4"/>
    <w:rsid w:val="00976C7E"/>
    <w:rsid w:val="00976CB8"/>
    <w:rsid w:val="00976D2A"/>
    <w:rsid w:val="00976DA6"/>
    <w:rsid w:val="0097709F"/>
    <w:rsid w:val="0097729F"/>
    <w:rsid w:val="009772AA"/>
    <w:rsid w:val="009772B6"/>
    <w:rsid w:val="009775AF"/>
    <w:rsid w:val="009775CF"/>
    <w:rsid w:val="0097768D"/>
    <w:rsid w:val="009777EA"/>
    <w:rsid w:val="0097784A"/>
    <w:rsid w:val="00977B30"/>
    <w:rsid w:val="00977C0E"/>
    <w:rsid w:val="00977E82"/>
    <w:rsid w:val="00977FB9"/>
    <w:rsid w:val="00980126"/>
    <w:rsid w:val="009807A3"/>
    <w:rsid w:val="0098080D"/>
    <w:rsid w:val="00980DF4"/>
    <w:rsid w:val="00980EF2"/>
    <w:rsid w:val="009810E5"/>
    <w:rsid w:val="00981121"/>
    <w:rsid w:val="0098119A"/>
    <w:rsid w:val="0098159A"/>
    <w:rsid w:val="0098167F"/>
    <w:rsid w:val="00981D14"/>
    <w:rsid w:val="00981EA2"/>
    <w:rsid w:val="00981F41"/>
    <w:rsid w:val="00982428"/>
    <w:rsid w:val="00982504"/>
    <w:rsid w:val="00982684"/>
    <w:rsid w:val="009828AE"/>
    <w:rsid w:val="00982B1E"/>
    <w:rsid w:val="00982B5E"/>
    <w:rsid w:val="00982B70"/>
    <w:rsid w:val="00982DDB"/>
    <w:rsid w:val="00982E22"/>
    <w:rsid w:val="00982E88"/>
    <w:rsid w:val="009831B9"/>
    <w:rsid w:val="00983387"/>
    <w:rsid w:val="00983400"/>
    <w:rsid w:val="00983544"/>
    <w:rsid w:val="00983622"/>
    <w:rsid w:val="0098388A"/>
    <w:rsid w:val="009839BD"/>
    <w:rsid w:val="00983B67"/>
    <w:rsid w:val="00983F2E"/>
    <w:rsid w:val="009841C2"/>
    <w:rsid w:val="00984219"/>
    <w:rsid w:val="009843C7"/>
    <w:rsid w:val="009843DF"/>
    <w:rsid w:val="0098446B"/>
    <w:rsid w:val="00984540"/>
    <w:rsid w:val="009845DC"/>
    <w:rsid w:val="009846F8"/>
    <w:rsid w:val="009848CC"/>
    <w:rsid w:val="00984AB7"/>
    <w:rsid w:val="00984B11"/>
    <w:rsid w:val="00984DA9"/>
    <w:rsid w:val="00984DF6"/>
    <w:rsid w:val="00984E71"/>
    <w:rsid w:val="00985011"/>
    <w:rsid w:val="00985417"/>
    <w:rsid w:val="009856C4"/>
    <w:rsid w:val="009856D5"/>
    <w:rsid w:val="00985A2B"/>
    <w:rsid w:val="00985AC6"/>
    <w:rsid w:val="00985B3F"/>
    <w:rsid w:val="00985B78"/>
    <w:rsid w:val="00985E9A"/>
    <w:rsid w:val="00985EAB"/>
    <w:rsid w:val="00985ECB"/>
    <w:rsid w:val="00985FD1"/>
    <w:rsid w:val="0098619B"/>
    <w:rsid w:val="009861DF"/>
    <w:rsid w:val="009862BE"/>
    <w:rsid w:val="009863AE"/>
    <w:rsid w:val="009863B9"/>
    <w:rsid w:val="009865A4"/>
    <w:rsid w:val="0098684D"/>
    <w:rsid w:val="009869F3"/>
    <w:rsid w:val="00986CFA"/>
    <w:rsid w:val="00986E3C"/>
    <w:rsid w:val="00986E42"/>
    <w:rsid w:val="00986EB2"/>
    <w:rsid w:val="00986ECD"/>
    <w:rsid w:val="00986EED"/>
    <w:rsid w:val="009870A3"/>
    <w:rsid w:val="009871AF"/>
    <w:rsid w:val="0098736F"/>
    <w:rsid w:val="00987371"/>
    <w:rsid w:val="00987663"/>
    <w:rsid w:val="009876F5"/>
    <w:rsid w:val="00987744"/>
    <w:rsid w:val="0098783D"/>
    <w:rsid w:val="00987891"/>
    <w:rsid w:val="00987933"/>
    <w:rsid w:val="009879E1"/>
    <w:rsid w:val="00987A10"/>
    <w:rsid w:val="00987A20"/>
    <w:rsid w:val="00987AD0"/>
    <w:rsid w:val="00987B26"/>
    <w:rsid w:val="00987B8C"/>
    <w:rsid w:val="00987B98"/>
    <w:rsid w:val="00987C18"/>
    <w:rsid w:val="00987C37"/>
    <w:rsid w:val="009901E0"/>
    <w:rsid w:val="009904E3"/>
    <w:rsid w:val="009906D7"/>
    <w:rsid w:val="0099079F"/>
    <w:rsid w:val="009907C1"/>
    <w:rsid w:val="009908E0"/>
    <w:rsid w:val="009908E4"/>
    <w:rsid w:val="00990A69"/>
    <w:rsid w:val="00990C34"/>
    <w:rsid w:val="00990D28"/>
    <w:rsid w:val="00990DBD"/>
    <w:rsid w:val="00990F5C"/>
    <w:rsid w:val="00990FD1"/>
    <w:rsid w:val="009911A9"/>
    <w:rsid w:val="00991279"/>
    <w:rsid w:val="0099127B"/>
    <w:rsid w:val="009912A0"/>
    <w:rsid w:val="00991687"/>
    <w:rsid w:val="00991761"/>
    <w:rsid w:val="009918B1"/>
    <w:rsid w:val="009918FC"/>
    <w:rsid w:val="00991D2F"/>
    <w:rsid w:val="00991F78"/>
    <w:rsid w:val="00992141"/>
    <w:rsid w:val="00992156"/>
    <w:rsid w:val="009922B9"/>
    <w:rsid w:val="009923F6"/>
    <w:rsid w:val="00992529"/>
    <w:rsid w:val="009926C0"/>
    <w:rsid w:val="009928D8"/>
    <w:rsid w:val="009928EF"/>
    <w:rsid w:val="00992AC1"/>
    <w:rsid w:val="00992AF0"/>
    <w:rsid w:val="00992BF5"/>
    <w:rsid w:val="00992CFD"/>
    <w:rsid w:val="00992DB3"/>
    <w:rsid w:val="00992E20"/>
    <w:rsid w:val="00993088"/>
    <w:rsid w:val="0099339D"/>
    <w:rsid w:val="00993415"/>
    <w:rsid w:val="0099348E"/>
    <w:rsid w:val="00993575"/>
    <w:rsid w:val="00993648"/>
    <w:rsid w:val="009936C5"/>
    <w:rsid w:val="009937D7"/>
    <w:rsid w:val="0099382E"/>
    <w:rsid w:val="0099388A"/>
    <w:rsid w:val="00993B30"/>
    <w:rsid w:val="00993BEE"/>
    <w:rsid w:val="00993EAA"/>
    <w:rsid w:val="00994115"/>
    <w:rsid w:val="00994174"/>
    <w:rsid w:val="00994420"/>
    <w:rsid w:val="00994519"/>
    <w:rsid w:val="00994A20"/>
    <w:rsid w:val="00994A96"/>
    <w:rsid w:val="00994AE2"/>
    <w:rsid w:val="00995560"/>
    <w:rsid w:val="00995695"/>
    <w:rsid w:val="009957B2"/>
    <w:rsid w:val="009958B2"/>
    <w:rsid w:val="00995936"/>
    <w:rsid w:val="00995AED"/>
    <w:rsid w:val="00995B1D"/>
    <w:rsid w:val="00995CEA"/>
    <w:rsid w:val="00995DAA"/>
    <w:rsid w:val="009960D2"/>
    <w:rsid w:val="009961D0"/>
    <w:rsid w:val="0099644E"/>
    <w:rsid w:val="009966A3"/>
    <w:rsid w:val="009968CA"/>
    <w:rsid w:val="009969AC"/>
    <w:rsid w:val="00996FC2"/>
    <w:rsid w:val="00996FE2"/>
    <w:rsid w:val="00997069"/>
    <w:rsid w:val="009970FF"/>
    <w:rsid w:val="00997311"/>
    <w:rsid w:val="00997552"/>
    <w:rsid w:val="009975EB"/>
    <w:rsid w:val="0099763C"/>
    <w:rsid w:val="00997660"/>
    <w:rsid w:val="009977CE"/>
    <w:rsid w:val="00997963"/>
    <w:rsid w:val="0099798F"/>
    <w:rsid w:val="00997A0C"/>
    <w:rsid w:val="00997A61"/>
    <w:rsid w:val="00997A82"/>
    <w:rsid w:val="00997B58"/>
    <w:rsid w:val="00997B5F"/>
    <w:rsid w:val="00997C0C"/>
    <w:rsid w:val="00997C3B"/>
    <w:rsid w:val="009A09F0"/>
    <w:rsid w:val="009A0F51"/>
    <w:rsid w:val="009A154A"/>
    <w:rsid w:val="009A15E0"/>
    <w:rsid w:val="009A16F6"/>
    <w:rsid w:val="009A183C"/>
    <w:rsid w:val="009A19A2"/>
    <w:rsid w:val="009A1A06"/>
    <w:rsid w:val="009A1B18"/>
    <w:rsid w:val="009A1CDE"/>
    <w:rsid w:val="009A1D45"/>
    <w:rsid w:val="009A1D99"/>
    <w:rsid w:val="009A1EB9"/>
    <w:rsid w:val="009A25F1"/>
    <w:rsid w:val="009A26BE"/>
    <w:rsid w:val="009A26BF"/>
    <w:rsid w:val="009A2842"/>
    <w:rsid w:val="009A2852"/>
    <w:rsid w:val="009A2A1A"/>
    <w:rsid w:val="009A2A5A"/>
    <w:rsid w:val="009A2A8D"/>
    <w:rsid w:val="009A2BD4"/>
    <w:rsid w:val="009A2F66"/>
    <w:rsid w:val="009A3406"/>
    <w:rsid w:val="009A348A"/>
    <w:rsid w:val="009A34BB"/>
    <w:rsid w:val="009A3535"/>
    <w:rsid w:val="009A397B"/>
    <w:rsid w:val="009A3A2B"/>
    <w:rsid w:val="009A3B72"/>
    <w:rsid w:val="009A3C3D"/>
    <w:rsid w:val="009A3C89"/>
    <w:rsid w:val="009A3D32"/>
    <w:rsid w:val="009A3F0F"/>
    <w:rsid w:val="009A414C"/>
    <w:rsid w:val="009A41EE"/>
    <w:rsid w:val="009A42AF"/>
    <w:rsid w:val="009A4423"/>
    <w:rsid w:val="009A44E1"/>
    <w:rsid w:val="009A4528"/>
    <w:rsid w:val="009A4638"/>
    <w:rsid w:val="009A469C"/>
    <w:rsid w:val="009A4A56"/>
    <w:rsid w:val="009A4ABE"/>
    <w:rsid w:val="009A4DA0"/>
    <w:rsid w:val="009A51C3"/>
    <w:rsid w:val="009A51EE"/>
    <w:rsid w:val="009A53B1"/>
    <w:rsid w:val="009A56C2"/>
    <w:rsid w:val="009A5B8D"/>
    <w:rsid w:val="009A60A0"/>
    <w:rsid w:val="009A61C7"/>
    <w:rsid w:val="009A626D"/>
    <w:rsid w:val="009A637F"/>
    <w:rsid w:val="009A6475"/>
    <w:rsid w:val="009A66DD"/>
    <w:rsid w:val="009A6884"/>
    <w:rsid w:val="009A688D"/>
    <w:rsid w:val="009A68F2"/>
    <w:rsid w:val="009A6905"/>
    <w:rsid w:val="009A6A11"/>
    <w:rsid w:val="009A6B2A"/>
    <w:rsid w:val="009A6DB0"/>
    <w:rsid w:val="009A71B3"/>
    <w:rsid w:val="009A7200"/>
    <w:rsid w:val="009A72AB"/>
    <w:rsid w:val="009A756F"/>
    <w:rsid w:val="009A765A"/>
    <w:rsid w:val="009A766F"/>
    <w:rsid w:val="009A7843"/>
    <w:rsid w:val="009A7C4B"/>
    <w:rsid w:val="009B0115"/>
    <w:rsid w:val="009B0165"/>
    <w:rsid w:val="009B05C5"/>
    <w:rsid w:val="009B05EE"/>
    <w:rsid w:val="009B099F"/>
    <w:rsid w:val="009B0B98"/>
    <w:rsid w:val="009B0C74"/>
    <w:rsid w:val="009B0E74"/>
    <w:rsid w:val="009B0F4B"/>
    <w:rsid w:val="009B1028"/>
    <w:rsid w:val="009B1118"/>
    <w:rsid w:val="009B11F8"/>
    <w:rsid w:val="009B1216"/>
    <w:rsid w:val="009B1523"/>
    <w:rsid w:val="009B15C6"/>
    <w:rsid w:val="009B196B"/>
    <w:rsid w:val="009B1A2D"/>
    <w:rsid w:val="009B1D44"/>
    <w:rsid w:val="009B1F38"/>
    <w:rsid w:val="009B215B"/>
    <w:rsid w:val="009B231D"/>
    <w:rsid w:val="009B2372"/>
    <w:rsid w:val="009B253A"/>
    <w:rsid w:val="009B2608"/>
    <w:rsid w:val="009B2894"/>
    <w:rsid w:val="009B2BD7"/>
    <w:rsid w:val="009B2CB4"/>
    <w:rsid w:val="009B2CB9"/>
    <w:rsid w:val="009B2D81"/>
    <w:rsid w:val="009B2E08"/>
    <w:rsid w:val="009B2E78"/>
    <w:rsid w:val="009B2F7D"/>
    <w:rsid w:val="009B33CB"/>
    <w:rsid w:val="009B3521"/>
    <w:rsid w:val="009B3A68"/>
    <w:rsid w:val="009B3AA6"/>
    <w:rsid w:val="009B3B03"/>
    <w:rsid w:val="009B3E9E"/>
    <w:rsid w:val="009B4135"/>
    <w:rsid w:val="009B41E9"/>
    <w:rsid w:val="009B4457"/>
    <w:rsid w:val="009B4492"/>
    <w:rsid w:val="009B4644"/>
    <w:rsid w:val="009B46B6"/>
    <w:rsid w:val="009B479E"/>
    <w:rsid w:val="009B4800"/>
    <w:rsid w:val="009B4C70"/>
    <w:rsid w:val="009B4C9E"/>
    <w:rsid w:val="009B52CF"/>
    <w:rsid w:val="009B5416"/>
    <w:rsid w:val="009B5496"/>
    <w:rsid w:val="009B5510"/>
    <w:rsid w:val="009B5731"/>
    <w:rsid w:val="009B5E7B"/>
    <w:rsid w:val="009B5FFB"/>
    <w:rsid w:val="009B60BF"/>
    <w:rsid w:val="009B63F5"/>
    <w:rsid w:val="009B66F0"/>
    <w:rsid w:val="009B6BE1"/>
    <w:rsid w:val="009B6C25"/>
    <w:rsid w:val="009B6C33"/>
    <w:rsid w:val="009B6C5A"/>
    <w:rsid w:val="009B6CB5"/>
    <w:rsid w:val="009B6D5D"/>
    <w:rsid w:val="009B6E4C"/>
    <w:rsid w:val="009B70B3"/>
    <w:rsid w:val="009B7258"/>
    <w:rsid w:val="009B7289"/>
    <w:rsid w:val="009B730B"/>
    <w:rsid w:val="009B7331"/>
    <w:rsid w:val="009B7654"/>
    <w:rsid w:val="009B7847"/>
    <w:rsid w:val="009B78B2"/>
    <w:rsid w:val="009B78D0"/>
    <w:rsid w:val="009B78E7"/>
    <w:rsid w:val="009C004D"/>
    <w:rsid w:val="009C0331"/>
    <w:rsid w:val="009C03AA"/>
    <w:rsid w:val="009C03EA"/>
    <w:rsid w:val="009C063B"/>
    <w:rsid w:val="009C0645"/>
    <w:rsid w:val="009C06D0"/>
    <w:rsid w:val="009C0D96"/>
    <w:rsid w:val="009C11AD"/>
    <w:rsid w:val="009C14A3"/>
    <w:rsid w:val="009C1980"/>
    <w:rsid w:val="009C19BE"/>
    <w:rsid w:val="009C1A28"/>
    <w:rsid w:val="009C1A85"/>
    <w:rsid w:val="009C1E6D"/>
    <w:rsid w:val="009C1E99"/>
    <w:rsid w:val="009C20ED"/>
    <w:rsid w:val="009C22C7"/>
    <w:rsid w:val="009C23D6"/>
    <w:rsid w:val="009C23E2"/>
    <w:rsid w:val="009C254B"/>
    <w:rsid w:val="009C2585"/>
    <w:rsid w:val="009C259E"/>
    <w:rsid w:val="009C26C1"/>
    <w:rsid w:val="009C27A7"/>
    <w:rsid w:val="009C2802"/>
    <w:rsid w:val="009C2A5C"/>
    <w:rsid w:val="009C3253"/>
    <w:rsid w:val="009C35C3"/>
    <w:rsid w:val="009C36DD"/>
    <w:rsid w:val="009C3712"/>
    <w:rsid w:val="009C372F"/>
    <w:rsid w:val="009C3773"/>
    <w:rsid w:val="009C37F1"/>
    <w:rsid w:val="009C387A"/>
    <w:rsid w:val="009C3935"/>
    <w:rsid w:val="009C39A7"/>
    <w:rsid w:val="009C3A64"/>
    <w:rsid w:val="009C3E0E"/>
    <w:rsid w:val="009C3E71"/>
    <w:rsid w:val="009C3FFF"/>
    <w:rsid w:val="009C4AD4"/>
    <w:rsid w:val="009C4AED"/>
    <w:rsid w:val="009C4C11"/>
    <w:rsid w:val="009C4CA8"/>
    <w:rsid w:val="009C4D33"/>
    <w:rsid w:val="009C595C"/>
    <w:rsid w:val="009C5AA3"/>
    <w:rsid w:val="009C5B33"/>
    <w:rsid w:val="009C5BEA"/>
    <w:rsid w:val="009C5C78"/>
    <w:rsid w:val="009C5D8A"/>
    <w:rsid w:val="009C5EB1"/>
    <w:rsid w:val="009C60ED"/>
    <w:rsid w:val="009C6497"/>
    <w:rsid w:val="009C6AC1"/>
    <w:rsid w:val="009C7076"/>
    <w:rsid w:val="009C722D"/>
    <w:rsid w:val="009C76D4"/>
    <w:rsid w:val="009C7852"/>
    <w:rsid w:val="009C791B"/>
    <w:rsid w:val="009C7991"/>
    <w:rsid w:val="009C79AA"/>
    <w:rsid w:val="009C79EF"/>
    <w:rsid w:val="009C7AE1"/>
    <w:rsid w:val="009C7B4F"/>
    <w:rsid w:val="009C7DB0"/>
    <w:rsid w:val="009C7E63"/>
    <w:rsid w:val="009C7E6F"/>
    <w:rsid w:val="009C7EF7"/>
    <w:rsid w:val="009D007F"/>
    <w:rsid w:val="009D01B3"/>
    <w:rsid w:val="009D02CF"/>
    <w:rsid w:val="009D06D9"/>
    <w:rsid w:val="009D06F4"/>
    <w:rsid w:val="009D0966"/>
    <w:rsid w:val="009D0C92"/>
    <w:rsid w:val="009D0CEB"/>
    <w:rsid w:val="009D0CF1"/>
    <w:rsid w:val="009D0FE3"/>
    <w:rsid w:val="009D0FFF"/>
    <w:rsid w:val="009D1124"/>
    <w:rsid w:val="009D1436"/>
    <w:rsid w:val="009D18B2"/>
    <w:rsid w:val="009D18C3"/>
    <w:rsid w:val="009D1926"/>
    <w:rsid w:val="009D19BE"/>
    <w:rsid w:val="009D1A41"/>
    <w:rsid w:val="009D1B8A"/>
    <w:rsid w:val="009D1BAE"/>
    <w:rsid w:val="009D1D3E"/>
    <w:rsid w:val="009D1F38"/>
    <w:rsid w:val="009D20A5"/>
    <w:rsid w:val="009D20DD"/>
    <w:rsid w:val="009D2327"/>
    <w:rsid w:val="009D2354"/>
    <w:rsid w:val="009D2620"/>
    <w:rsid w:val="009D29CB"/>
    <w:rsid w:val="009D2A39"/>
    <w:rsid w:val="009D2B5B"/>
    <w:rsid w:val="009D2F12"/>
    <w:rsid w:val="009D3236"/>
    <w:rsid w:val="009D3249"/>
    <w:rsid w:val="009D3397"/>
    <w:rsid w:val="009D34D7"/>
    <w:rsid w:val="009D36FC"/>
    <w:rsid w:val="009D3A12"/>
    <w:rsid w:val="009D3ACC"/>
    <w:rsid w:val="009D3B01"/>
    <w:rsid w:val="009D3D13"/>
    <w:rsid w:val="009D416C"/>
    <w:rsid w:val="009D4294"/>
    <w:rsid w:val="009D442F"/>
    <w:rsid w:val="009D4AF3"/>
    <w:rsid w:val="009D4F9B"/>
    <w:rsid w:val="009D50C3"/>
    <w:rsid w:val="009D5271"/>
    <w:rsid w:val="009D53F4"/>
    <w:rsid w:val="009D54E0"/>
    <w:rsid w:val="009D5563"/>
    <w:rsid w:val="009D577F"/>
    <w:rsid w:val="009D57D2"/>
    <w:rsid w:val="009D57F2"/>
    <w:rsid w:val="009D59F2"/>
    <w:rsid w:val="009D5A0F"/>
    <w:rsid w:val="009D5B31"/>
    <w:rsid w:val="009D5BB5"/>
    <w:rsid w:val="009D5CF4"/>
    <w:rsid w:val="009D5DC2"/>
    <w:rsid w:val="009D5E51"/>
    <w:rsid w:val="009D5FAA"/>
    <w:rsid w:val="009D61D3"/>
    <w:rsid w:val="009D638C"/>
    <w:rsid w:val="009D68B5"/>
    <w:rsid w:val="009D691D"/>
    <w:rsid w:val="009D6A4D"/>
    <w:rsid w:val="009D6DF8"/>
    <w:rsid w:val="009D6F7D"/>
    <w:rsid w:val="009D705A"/>
    <w:rsid w:val="009D7288"/>
    <w:rsid w:val="009D7350"/>
    <w:rsid w:val="009D7535"/>
    <w:rsid w:val="009D75BC"/>
    <w:rsid w:val="009D75C1"/>
    <w:rsid w:val="009D7A0B"/>
    <w:rsid w:val="009D7A4E"/>
    <w:rsid w:val="009D7CFD"/>
    <w:rsid w:val="009D7DD1"/>
    <w:rsid w:val="009D7E8F"/>
    <w:rsid w:val="009E01F1"/>
    <w:rsid w:val="009E0263"/>
    <w:rsid w:val="009E0662"/>
    <w:rsid w:val="009E0842"/>
    <w:rsid w:val="009E0850"/>
    <w:rsid w:val="009E086F"/>
    <w:rsid w:val="009E08DC"/>
    <w:rsid w:val="009E0D37"/>
    <w:rsid w:val="009E1119"/>
    <w:rsid w:val="009E1192"/>
    <w:rsid w:val="009E12AD"/>
    <w:rsid w:val="009E14AA"/>
    <w:rsid w:val="009E165C"/>
    <w:rsid w:val="009E166D"/>
    <w:rsid w:val="009E1BCD"/>
    <w:rsid w:val="009E1D3E"/>
    <w:rsid w:val="009E221F"/>
    <w:rsid w:val="009E22DE"/>
    <w:rsid w:val="009E22E2"/>
    <w:rsid w:val="009E23BD"/>
    <w:rsid w:val="009E23C3"/>
    <w:rsid w:val="009E240D"/>
    <w:rsid w:val="009E2551"/>
    <w:rsid w:val="009E2E40"/>
    <w:rsid w:val="009E3006"/>
    <w:rsid w:val="009E31C1"/>
    <w:rsid w:val="009E324E"/>
    <w:rsid w:val="009E33B1"/>
    <w:rsid w:val="009E34FD"/>
    <w:rsid w:val="009E3521"/>
    <w:rsid w:val="009E3707"/>
    <w:rsid w:val="009E38A1"/>
    <w:rsid w:val="009E3B13"/>
    <w:rsid w:val="009E3B51"/>
    <w:rsid w:val="009E3BF3"/>
    <w:rsid w:val="009E3C54"/>
    <w:rsid w:val="009E3C67"/>
    <w:rsid w:val="009E3D63"/>
    <w:rsid w:val="009E3DF3"/>
    <w:rsid w:val="009E3E68"/>
    <w:rsid w:val="009E3EE5"/>
    <w:rsid w:val="009E3F6B"/>
    <w:rsid w:val="009E413D"/>
    <w:rsid w:val="009E418E"/>
    <w:rsid w:val="009E42D4"/>
    <w:rsid w:val="009E436E"/>
    <w:rsid w:val="009E44EE"/>
    <w:rsid w:val="009E47D4"/>
    <w:rsid w:val="009E4B0B"/>
    <w:rsid w:val="009E4B85"/>
    <w:rsid w:val="009E4BD8"/>
    <w:rsid w:val="009E4CB5"/>
    <w:rsid w:val="009E4E2F"/>
    <w:rsid w:val="009E4E4A"/>
    <w:rsid w:val="009E5233"/>
    <w:rsid w:val="009E52CB"/>
    <w:rsid w:val="009E5646"/>
    <w:rsid w:val="009E5DDD"/>
    <w:rsid w:val="009E6189"/>
    <w:rsid w:val="009E62E9"/>
    <w:rsid w:val="009E62FF"/>
    <w:rsid w:val="009E6B49"/>
    <w:rsid w:val="009E6B89"/>
    <w:rsid w:val="009E6CDB"/>
    <w:rsid w:val="009E6EB3"/>
    <w:rsid w:val="009E6ECF"/>
    <w:rsid w:val="009E72FC"/>
    <w:rsid w:val="009E731C"/>
    <w:rsid w:val="009E74BB"/>
    <w:rsid w:val="009E7595"/>
    <w:rsid w:val="009E7857"/>
    <w:rsid w:val="009E78E7"/>
    <w:rsid w:val="009E7B1F"/>
    <w:rsid w:val="009E7BA6"/>
    <w:rsid w:val="009E7C49"/>
    <w:rsid w:val="009E7CDC"/>
    <w:rsid w:val="009E7DF1"/>
    <w:rsid w:val="009E7E22"/>
    <w:rsid w:val="009E7E42"/>
    <w:rsid w:val="009E7E99"/>
    <w:rsid w:val="009F01BF"/>
    <w:rsid w:val="009F0436"/>
    <w:rsid w:val="009F0642"/>
    <w:rsid w:val="009F0747"/>
    <w:rsid w:val="009F0F88"/>
    <w:rsid w:val="009F10F5"/>
    <w:rsid w:val="009F1126"/>
    <w:rsid w:val="009F112C"/>
    <w:rsid w:val="009F121E"/>
    <w:rsid w:val="009F14A4"/>
    <w:rsid w:val="009F1B4F"/>
    <w:rsid w:val="009F1E5B"/>
    <w:rsid w:val="009F1E75"/>
    <w:rsid w:val="009F2080"/>
    <w:rsid w:val="009F20FC"/>
    <w:rsid w:val="009F2379"/>
    <w:rsid w:val="009F253B"/>
    <w:rsid w:val="009F279D"/>
    <w:rsid w:val="009F2914"/>
    <w:rsid w:val="009F2933"/>
    <w:rsid w:val="009F2A39"/>
    <w:rsid w:val="009F2BB3"/>
    <w:rsid w:val="009F2C7D"/>
    <w:rsid w:val="009F2CC2"/>
    <w:rsid w:val="009F2D51"/>
    <w:rsid w:val="009F30EF"/>
    <w:rsid w:val="009F31A0"/>
    <w:rsid w:val="009F3649"/>
    <w:rsid w:val="009F37F1"/>
    <w:rsid w:val="009F381D"/>
    <w:rsid w:val="009F3908"/>
    <w:rsid w:val="009F3957"/>
    <w:rsid w:val="009F3A41"/>
    <w:rsid w:val="009F3B4E"/>
    <w:rsid w:val="009F3B52"/>
    <w:rsid w:val="009F3B62"/>
    <w:rsid w:val="009F3B8B"/>
    <w:rsid w:val="009F3CDD"/>
    <w:rsid w:val="009F3E38"/>
    <w:rsid w:val="009F3F70"/>
    <w:rsid w:val="009F3FC5"/>
    <w:rsid w:val="009F4056"/>
    <w:rsid w:val="009F415D"/>
    <w:rsid w:val="009F4235"/>
    <w:rsid w:val="009F47F0"/>
    <w:rsid w:val="009F4AEC"/>
    <w:rsid w:val="009F4BB0"/>
    <w:rsid w:val="009F4C84"/>
    <w:rsid w:val="009F4DCB"/>
    <w:rsid w:val="009F4E1B"/>
    <w:rsid w:val="009F508D"/>
    <w:rsid w:val="009F50BA"/>
    <w:rsid w:val="009F5373"/>
    <w:rsid w:val="009F5472"/>
    <w:rsid w:val="009F54A5"/>
    <w:rsid w:val="009F5628"/>
    <w:rsid w:val="009F5684"/>
    <w:rsid w:val="009F5747"/>
    <w:rsid w:val="009F5BF3"/>
    <w:rsid w:val="009F5D9D"/>
    <w:rsid w:val="009F5E27"/>
    <w:rsid w:val="009F5FB8"/>
    <w:rsid w:val="009F6186"/>
    <w:rsid w:val="009F61B4"/>
    <w:rsid w:val="009F65D3"/>
    <w:rsid w:val="009F65E8"/>
    <w:rsid w:val="009F662D"/>
    <w:rsid w:val="009F69FD"/>
    <w:rsid w:val="009F6AA1"/>
    <w:rsid w:val="009F6C4F"/>
    <w:rsid w:val="009F6D4A"/>
    <w:rsid w:val="009F6F15"/>
    <w:rsid w:val="009F6FB6"/>
    <w:rsid w:val="009F701E"/>
    <w:rsid w:val="009F7329"/>
    <w:rsid w:val="009F735D"/>
    <w:rsid w:val="009F7459"/>
    <w:rsid w:val="009F75A8"/>
    <w:rsid w:val="009F7609"/>
    <w:rsid w:val="009F7680"/>
    <w:rsid w:val="009F7733"/>
    <w:rsid w:val="009F7889"/>
    <w:rsid w:val="009F7A2D"/>
    <w:rsid w:val="009F7C34"/>
    <w:rsid w:val="009F7C7B"/>
    <w:rsid w:val="009F7E06"/>
    <w:rsid w:val="009F7FA9"/>
    <w:rsid w:val="009F7FDB"/>
    <w:rsid w:val="00A000C5"/>
    <w:rsid w:val="00A0082D"/>
    <w:rsid w:val="00A00989"/>
    <w:rsid w:val="00A00DE5"/>
    <w:rsid w:val="00A00F8A"/>
    <w:rsid w:val="00A01098"/>
    <w:rsid w:val="00A010ED"/>
    <w:rsid w:val="00A0114B"/>
    <w:rsid w:val="00A0117A"/>
    <w:rsid w:val="00A011CE"/>
    <w:rsid w:val="00A0164F"/>
    <w:rsid w:val="00A018E6"/>
    <w:rsid w:val="00A01A8F"/>
    <w:rsid w:val="00A01AA7"/>
    <w:rsid w:val="00A01B09"/>
    <w:rsid w:val="00A01B2C"/>
    <w:rsid w:val="00A02027"/>
    <w:rsid w:val="00A0206D"/>
    <w:rsid w:val="00A0207A"/>
    <w:rsid w:val="00A02289"/>
    <w:rsid w:val="00A02376"/>
    <w:rsid w:val="00A02397"/>
    <w:rsid w:val="00A024BC"/>
    <w:rsid w:val="00A025C1"/>
    <w:rsid w:val="00A0278D"/>
    <w:rsid w:val="00A02903"/>
    <w:rsid w:val="00A02B68"/>
    <w:rsid w:val="00A02BED"/>
    <w:rsid w:val="00A02E4A"/>
    <w:rsid w:val="00A02F91"/>
    <w:rsid w:val="00A030E0"/>
    <w:rsid w:val="00A030F8"/>
    <w:rsid w:val="00A030FB"/>
    <w:rsid w:val="00A030FC"/>
    <w:rsid w:val="00A034AD"/>
    <w:rsid w:val="00A034F1"/>
    <w:rsid w:val="00A03556"/>
    <w:rsid w:val="00A035AF"/>
    <w:rsid w:val="00A03829"/>
    <w:rsid w:val="00A03831"/>
    <w:rsid w:val="00A038A7"/>
    <w:rsid w:val="00A039B8"/>
    <w:rsid w:val="00A03D38"/>
    <w:rsid w:val="00A03D63"/>
    <w:rsid w:val="00A03D7F"/>
    <w:rsid w:val="00A03D9C"/>
    <w:rsid w:val="00A03E61"/>
    <w:rsid w:val="00A04138"/>
    <w:rsid w:val="00A044D3"/>
    <w:rsid w:val="00A045FE"/>
    <w:rsid w:val="00A04682"/>
    <w:rsid w:val="00A0482D"/>
    <w:rsid w:val="00A0487F"/>
    <w:rsid w:val="00A04FDD"/>
    <w:rsid w:val="00A05151"/>
    <w:rsid w:val="00A053FE"/>
    <w:rsid w:val="00A055C4"/>
    <w:rsid w:val="00A056BB"/>
    <w:rsid w:val="00A05926"/>
    <w:rsid w:val="00A05FBD"/>
    <w:rsid w:val="00A064DD"/>
    <w:rsid w:val="00A065B2"/>
    <w:rsid w:val="00A068D8"/>
    <w:rsid w:val="00A070E5"/>
    <w:rsid w:val="00A070E7"/>
    <w:rsid w:val="00A071D4"/>
    <w:rsid w:val="00A07201"/>
    <w:rsid w:val="00A07408"/>
    <w:rsid w:val="00A076EA"/>
    <w:rsid w:val="00A07988"/>
    <w:rsid w:val="00A07CA6"/>
    <w:rsid w:val="00A07CC6"/>
    <w:rsid w:val="00A07FAB"/>
    <w:rsid w:val="00A1007C"/>
    <w:rsid w:val="00A10197"/>
    <w:rsid w:val="00A103D1"/>
    <w:rsid w:val="00A104F3"/>
    <w:rsid w:val="00A105D7"/>
    <w:rsid w:val="00A10808"/>
    <w:rsid w:val="00A10B40"/>
    <w:rsid w:val="00A10BA4"/>
    <w:rsid w:val="00A10E4A"/>
    <w:rsid w:val="00A10E67"/>
    <w:rsid w:val="00A10E87"/>
    <w:rsid w:val="00A1102C"/>
    <w:rsid w:val="00A11058"/>
    <w:rsid w:val="00A11292"/>
    <w:rsid w:val="00A113D1"/>
    <w:rsid w:val="00A11791"/>
    <w:rsid w:val="00A117D2"/>
    <w:rsid w:val="00A11B82"/>
    <w:rsid w:val="00A11B8D"/>
    <w:rsid w:val="00A11C9A"/>
    <w:rsid w:val="00A11FE7"/>
    <w:rsid w:val="00A12003"/>
    <w:rsid w:val="00A1200A"/>
    <w:rsid w:val="00A1205C"/>
    <w:rsid w:val="00A12086"/>
    <w:rsid w:val="00A120FE"/>
    <w:rsid w:val="00A121F7"/>
    <w:rsid w:val="00A12272"/>
    <w:rsid w:val="00A122C0"/>
    <w:rsid w:val="00A12316"/>
    <w:rsid w:val="00A12869"/>
    <w:rsid w:val="00A129A6"/>
    <w:rsid w:val="00A129E1"/>
    <w:rsid w:val="00A12A6F"/>
    <w:rsid w:val="00A12C1B"/>
    <w:rsid w:val="00A12C4C"/>
    <w:rsid w:val="00A12D44"/>
    <w:rsid w:val="00A12F8D"/>
    <w:rsid w:val="00A12FBB"/>
    <w:rsid w:val="00A130CF"/>
    <w:rsid w:val="00A130E0"/>
    <w:rsid w:val="00A13379"/>
    <w:rsid w:val="00A1344C"/>
    <w:rsid w:val="00A13484"/>
    <w:rsid w:val="00A134C2"/>
    <w:rsid w:val="00A1359A"/>
    <w:rsid w:val="00A1373A"/>
    <w:rsid w:val="00A137E5"/>
    <w:rsid w:val="00A13D28"/>
    <w:rsid w:val="00A13E4C"/>
    <w:rsid w:val="00A13ED1"/>
    <w:rsid w:val="00A13F87"/>
    <w:rsid w:val="00A1400F"/>
    <w:rsid w:val="00A14285"/>
    <w:rsid w:val="00A147C1"/>
    <w:rsid w:val="00A148BA"/>
    <w:rsid w:val="00A14999"/>
    <w:rsid w:val="00A14A1E"/>
    <w:rsid w:val="00A14AD0"/>
    <w:rsid w:val="00A14B18"/>
    <w:rsid w:val="00A14BEB"/>
    <w:rsid w:val="00A15182"/>
    <w:rsid w:val="00A15270"/>
    <w:rsid w:val="00A1543F"/>
    <w:rsid w:val="00A15830"/>
    <w:rsid w:val="00A15879"/>
    <w:rsid w:val="00A158B4"/>
    <w:rsid w:val="00A15964"/>
    <w:rsid w:val="00A15BE8"/>
    <w:rsid w:val="00A15C54"/>
    <w:rsid w:val="00A16521"/>
    <w:rsid w:val="00A16638"/>
    <w:rsid w:val="00A1674E"/>
    <w:rsid w:val="00A1686B"/>
    <w:rsid w:val="00A169F8"/>
    <w:rsid w:val="00A16A57"/>
    <w:rsid w:val="00A16D6A"/>
    <w:rsid w:val="00A1748C"/>
    <w:rsid w:val="00A17596"/>
    <w:rsid w:val="00A175E9"/>
    <w:rsid w:val="00A1760A"/>
    <w:rsid w:val="00A176C1"/>
    <w:rsid w:val="00A176C4"/>
    <w:rsid w:val="00A17AE0"/>
    <w:rsid w:val="00A17AEA"/>
    <w:rsid w:val="00A17D7F"/>
    <w:rsid w:val="00A17E82"/>
    <w:rsid w:val="00A17EC0"/>
    <w:rsid w:val="00A20070"/>
    <w:rsid w:val="00A2027D"/>
    <w:rsid w:val="00A20A28"/>
    <w:rsid w:val="00A20ACA"/>
    <w:rsid w:val="00A20EEA"/>
    <w:rsid w:val="00A211AE"/>
    <w:rsid w:val="00A212B4"/>
    <w:rsid w:val="00A21361"/>
    <w:rsid w:val="00A21385"/>
    <w:rsid w:val="00A21580"/>
    <w:rsid w:val="00A21647"/>
    <w:rsid w:val="00A2185D"/>
    <w:rsid w:val="00A218A4"/>
    <w:rsid w:val="00A21B8F"/>
    <w:rsid w:val="00A21BD9"/>
    <w:rsid w:val="00A21C4A"/>
    <w:rsid w:val="00A21C7A"/>
    <w:rsid w:val="00A22082"/>
    <w:rsid w:val="00A221FE"/>
    <w:rsid w:val="00A222DC"/>
    <w:rsid w:val="00A2242D"/>
    <w:rsid w:val="00A2260A"/>
    <w:rsid w:val="00A22815"/>
    <w:rsid w:val="00A22930"/>
    <w:rsid w:val="00A229E4"/>
    <w:rsid w:val="00A22A56"/>
    <w:rsid w:val="00A22C57"/>
    <w:rsid w:val="00A22C99"/>
    <w:rsid w:val="00A235EE"/>
    <w:rsid w:val="00A23933"/>
    <w:rsid w:val="00A23C67"/>
    <w:rsid w:val="00A23CAD"/>
    <w:rsid w:val="00A23E8A"/>
    <w:rsid w:val="00A23F4A"/>
    <w:rsid w:val="00A2400E"/>
    <w:rsid w:val="00A24309"/>
    <w:rsid w:val="00A244E4"/>
    <w:rsid w:val="00A244F6"/>
    <w:rsid w:val="00A24630"/>
    <w:rsid w:val="00A246BE"/>
    <w:rsid w:val="00A249D7"/>
    <w:rsid w:val="00A24AF9"/>
    <w:rsid w:val="00A24B83"/>
    <w:rsid w:val="00A24D2B"/>
    <w:rsid w:val="00A24DB7"/>
    <w:rsid w:val="00A25223"/>
    <w:rsid w:val="00A25234"/>
    <w:rsid w:val="00A25566"/>
    <w:rsid w:val="00A2556A"/>
    <w:rsid w:val="00A25767"/>
    <w:rsid w:val="00A25790"/>
    <w:rsid w:val="00A25999"/>
    <w:rsid w:val="00A259CC"/>
    <w:rsid w:val="00A25C85"/>
    <w:rsid w:val="00A25EB6"/>
    <w:rsid w:val="00A2605B"/>
    <w:rsid w:val="00A26087"/>
    <w:rsid w:val="00A2650F"/>
    <w:rsid w:val="00A2666D"/>
    <w:rsid w:val="00A26751"/>
    <w:rsid w:val="00A26A43"/>
    <w:rsid w:val="00A26C90"/>
    <w:rsid w:val="00A26CE5"/>
    <w:rsid w:val="00A26F82"/>
    <w:rsid w:val="00A26F97"/>
    <w:rsid w:val="00A27025"/>
    <w:rsid w:val="00A27163"/>
    <w:rsid w:val="00A27418"/>
    <w:rsid w:val="00A274F1"/>
    <w:rsid w:val="00A275A1"/>
    <w:rsid w:val="00A275C7"/>
    <w:rsid w:val="00A27C17"/>
    <w:rsid w:val="00A27CF4"/>
    <w:rsid w:val="00A27E10"/>
    <w:rsid w:val="00A30148"/>
    <w:rsid w:val="00A303C8"/>
    <w:rsid w:val="00A30417"/>
    <w:rsid w:val="00A306ED"/>
    <w:rsid w:val="00A307BE"/>
    <w:rsid w:val="00A308F5"/>
    <w:rsid w:val="00A30A99"/>
    <w:rsid w:val="00A30DA2"/>
    <w:rsid w:val="00A30E8A"/>
    <w:rsid w:val="00A31067"/>
    <w:rsid w:val="00A3142A"/>
    <w:rsid w:val="00A315D2"/>
    <w:rsid w:val="00A31BAA"/>
    <w:rsid w:val="00A31BC9"/>
    <w:rsid w:val="00A31DBB"/>
    <w:rsid w:val="00A31DC2"/>
    <w:rsid w:val="00A31EA4"/>
    <w:rsid w:val="00A31EBF"/>
    <w:rsid w:val="00A31F6D"/>
    <w:rsid w:val="00A32012"/>
    <w:rsid w:val="00A32207"/>
    <w:rsid w:val="00A3227D"/>
    <w:rsid w:val="00A32294"/>
    <w:rsid w:val="00A323DE"/>
    <w:rsid w:val="00A3264C"/>
    <w:rsid w:val="00A32706"/>
    <w:rsid w:val="00A32947"/>
    <w:rsid w:val="00A32B89"/>
    <w:rsid w:val="00A32BA3"/>
    <w:rsid w:val="00A334C1"/>
    <w:rsid w:val="00A33838"/>
    <w:rsid w:val="00A338D1"/>
    <w:rsid w:val="00A33AE9"/>
    <w:rsid w:val="00A33B40"/>
    <w:rsid w:val="00A33CE4"/>
    <w:rsid w:val="00A34004"/>
    <w:rsid w:val="00A340E7"/>
    <w:rsid w:val="00A34251"/>
    <w:rsid w:val="00A34450"/>
    <w:rsid w:val="00A345C9"/>
    <w:rsid w:val="00A345D3"/>
    <w:rsid w:val="00A3460A"/>
    <w:rsid w:val="00A34616"/>
    <w:rsid w:val="00A3466E"/>
    <w:rsid w:val="00A348A6"/>
    <w:rsid w:val="00A3496C"/>
    <w:rsid w:val="00A34A33"/>
    <w:rsid w:val="00A34A56"/>
    <w:rsid w:val="00A34C32"/>
    <w:rsid w:val="00A34E6A"/>
    <w:rsid w:val="00A34EAA"/>
    <w:rsid w:val="00A34FAA"/>
    <w:rsid w:val="00A350BC"/>
    <w:rsid w:val="00A35182"/>
    <w:rsid w:val="00A351FB"/>
    <w:rsid w:val="00A35219"/>
    <w:rsid w:val="00A35A20"/>
    <w:rsid w:val="00A35CC2"/>
    <w:rsid w:val="00A35CE2"/>
    <w:rsid w:val="00A35D05"/>
    <w:rsid w:val="00A35E2B"/>
    <w:rsid w:val="00A36135"/>
    <w:rsid w:val="00A3620C"/>
    <w:rsid w:val="00A36308"/>
    <w:rsid w:val="00A363E8"/>
    <w:rsid w:val="00A36619"/>
    <w:rsid w:val="00A368A6"/>
    <w:rsid w:val="00A36E97"/>
    <w:rsid w:val="00A36F5B"/>
    <w:rsid w:val="00A3740C"/>
    <w:rsid w:val="00A375C7"/>
    <w:rsid w:val="00A375DD"/>
    <w:rsid w:val="00A3762C"/>
    <w:rsid w:val="00A37658"/>
    <w:rsid w:val="00A378B7"/>
    <w:rsid w:val="00A378CF"/>
    <w:rsid w:val="00A37FBD"/>
    <w:rsid w:val="00A400AE"/>
    <w:rsid w:val="00A40127"/>
    <w:rsid w:val="00A4012C"/>
    <w:rsid w:val="00A4014B"/>
    <w:rsid w:val="00A40215"/>
    <w:rsid w:val="00A4035F"/>
    <w:rsid w:val="00A404DD"/>
    <w:rsid w:val="00A404FD"/>
    <w:rsid w:val="00A4056A"/>
    <w:rsid w:val="00A40668"/>
    <w:rsid w:val="00A40699"/>
    <w:rsid w:val="00A408C2"/>
    <w:rsid w:val="00A409D5"/>
    <w:rsid w:val="00A40CFD"/>
    <w:rsid w:val="00A40D4F"/>
    <w:rsid w:val="00A40D5F"/>
    <w:rsid w:val="00A40ECF"/>
    <w:rsid w:val="00A41101"/>
    <w:rsid w:val="00A41280"/>
    <w:rsid w:val="00A4151A"/>
    <w:rsid w:val="00A4177B"/>
    <w:rsid w:val="00A417A0"/>
    <w:rsid w:val="00A4193B"/>
    <w:rsid w:val="00A41CCB"/>
    <w:rsid w:val="00A423C6"/>
    <w:rsid w:val="00A4240C"/>
    <w:rsid w:val="00A4244B"/>
    <w:rsid w:val="00A42498"/>
    <w:rsid w:val="00A424C7"/>
    <w:rsid w:val="00A4253A"/>
    <w:rsid w:val="00A425BE"/>
    <w:rsid w:val="00A42AD5"/>
    <w:rsid w:val="00A42BBA"/>
    <w:rsid w:val="00A42D64"/>
    <w:rsid w:val="00A43044"/>
    <w:rsid w:val="00A4313C"/>
    <w:rsid w:val="00A431F9"/>
    <w:rsid w:val="00A433DA"/>
    <w:rsid w:val="00A43950"/>
    <w:rsid w:val="00A43975"/>
    <w:rsid w:val="00A43C9F"/>
    <w:rsid w:val="00A43E6C"/>
    <w:rsid w:val="00A43F1B"/>
    <w:rsid w:val="00A43F83"/>
    <w:rsid w:val="00A44342"/>
    <w:rsid w:val="00A44548"/>
    <w:rsid w:val="00A4477C"/>
    <w:rsid w:val="00A447DF"/>
    <w:rsid w:val="00A449B5"/>
    <w:rsid w:val="00A4502A"/>
    <w:rsid w:val="00A45169"/>
    <w:rsid w:val="00A451ED"/>
    <w:rsid w:val="00A4538C"/>
    <w:rsid w:val="00A45430"/>
    <w:rsid w:val="00A45590"/>
    <w:rsid w:val="00A45598"/>
    <w:rsid w:val="00A45796"/>
    <w:rsid w:val="00A45874"/>
    <w:rsid w:val="00A4597A"/>
    <w:rsid w:val="00A459D7"/>
    <w:rsid w:val="00A45A2D"/>
    <w:rsid w:val="00A45B9A"/>
    <w:rsid w:val="00A45E37"/>
    <w:rsid w:val="00A45EAC"/>
    <w:rsid w:val="00A45EC8"/>
    <w:rsid w:val="00A45EFE"/>
    <w:rsid w:val="00A45F1B"/>
    <w:rsid w:val="00A46127"/>
    <w:rsid w:val="00A463E1"/>
    <w:rsid w:val="00A463E6"/>
    <w:rsid w:val="00A46747"/>
    <w:rsid w:val="00A46805"/>
    <w:rsid w:val="00A46819"/>
    <w:rsid w:val="00A46B6F"/>
    <w:rsid w:val="00A46E3B"/>
    <w:rsid w:val="00A47029"/>
    <w:rsid w:val="00A47125"/>
    <w:rsid w:val="00A473F3"/>
    <w:rsid w:val="00A47495"/>
    <w:rsid w:val="00A47C09"/>
    <w:rsid w:val="00A47E0B"/>
    <w:rsid w:val="00A47F08"/>
    <w:rsid w:val="00A50272"/>
    <w:rsid w:val="00A5035A"/>
    <w:rsid w:val="00A50418"/>
    <w:rsid w:val="00A50457"/>
    <w:rsid w:val="00A504E3"/>
    <w:rsid w:val="00A5050D"/>
    <w:rsid w:val="00A505B2"/>
    <w:rsid w:val="00A50654"/>
    <w:rsid w:val="00A506EF"/>
    <w:rsid w:val="00A50A04"/>
    <w:rsid w:val="00A50DD1"/>
    <w:rsid w:val="00A50F59"/>
    <w:rsid w:val="00A50FEA"/>
    <w:rsid w:val="00A51286"/>
    <w:rsid w:val="00A51321"/>
    <w:rsid w:val="00A515B3"/>
    <w:rsid w:val="00A51A95"/>
    <w:rsid w:val="00A51C02"/>
    <w:rsid w:val="00A51C07"/>
    <w:rsid w:val="00A51C15"/>
    <w:rsid w:val="00A51C7E"/>
    <w:rsid w:val="00A51E8B"/>
    <w:rsid w:val="00A52590"/>
    <w:rsid w:val="00A52880"/>
    <w:rsid w:val="00A52B9D"/>
    <w:rsid w:val="00A52BBE"/>
    <w:rsid w:val="00A52C00"/>
    <w:rsid w:val="00A52DA8"/>
    <w:rsid w:val="00A52F95"/>
    <w:rsid w:val="00A5326C"/>
    <w:rsid w:val="00A5328B"/>
    <w:rsid w:val="00A53956"/>
    <w:rsid w:val="00A53D4C"/>
    <w:rsid w:val="00A53EAE"/>
    <w:rsid w:val="00A53FFA"/>
    <w:rsid w:val="00A54050"/>
    <w:rsid w:val="00A540F0"/>
    <w:rsid w:val="00A542C1"/>
    <w:rsid w:val="00A542F9"/>
    <w:rsid w:val="00A54340"/>
    <w:rsid w:val="00A5439B"/>
    <w:rsid w:val="00A544E9"/>
    <w:rsid w:val="00A54696"/>
    <w:rsid w:val="00A54930"/>
    <w:rsid w:val="00A54A5C"/>
    <w:rsid w:val="00A54BA5"/>
    <w:rsid w:val="00A54C70"/>
    <w:rsid w:val="00A54CD7"/>
    <w:rsid w:val="00A54E81"/>
    <w:rsid w:val="00A54F42"/>
    <w:rsid w:val="00A54FDA"/>
    <w:rsid w:val="00A553F8"/>
    <w:rsid w:val="00A55446"/>
    <w:rsid w:val="00A55774"/>
    <w:rsid w:val="00A558A1"/>
    <w:rsid w:val="00A559C7"/>
    <w:rsid w:val="00A55A4F"/>
    <w:rsid w:val="00A55ABD"/>
    <w:rsid w:val="00A55CB9"/>
    <w:rsid w:val="00A55E3A"/>
    <w:rsid w:val="00A55ECC"/>
    <w:rsid w:val="00A5602C"/>
    <w:rsid w:val="00A560DF"/>
    <w:rsid w:val="00A5630A"/>
    <w:rsid w:val="00A56322"/>
    <w:rsid w:val="00A564F6"/>
    <w:rsid w:val="00A567AB"/>
    <w:rsid w:val="00A5686E"/>
    <w:rsid w:val="00A568A2"/>
    <w:rsid w:val="00A56A2C"/>
    <w:rsid w:val="00A56A60"/>
    <w:rsid w:val="00A56C88"/>
    <w:rsid w:val="00A56EEC"/>
    <w:rsid w:val="00A56FD9"/>
    <w:rsid w:val="00A570C0"/>
    <w:rsid w:val="00A5710C"/>
    <w:rsid w:val="00A571B7"/>
    <w:rsid w:val="00A572C6"/>
    <w:rsid w:val="00A572F4"/>
    <w:rsid w:val="00A57348"/>
    <w:rsid w:val="00A57580"/>
    <w:rsid w:val="00A57A57"/>
    <w:rsid w:val="00A57AD8"/>
    <w:rsid w:val="00A57B68"/>
    <w:rsid w:val="00A57CA0"/>
    <w:rsid w:val="00A57CBC"/>
    <w:rsid w:val="00A57D29"/>
    <w:rsid w:val="00A57DE6"/>
    <w:rsid w:val="00A57FDF"/>
    <w:rsid w:val="00A60062"/>
    <w:rsid w:val="00A60127"/>
    <w:rsid w:val="00A60292"/>
    <w:rsid w:val="00A60706"/>
    <w:rsid w:val="00A60718"/>
    <w:rsid w:val="00A60721"/>
    <w:rsid w:val="00A60789"/>
    <w:rsid w:val="00A60BF2"/>
    <w:rsid w:val="00A60CFC"/>
    <w:rsid w:val="00A60E13"/>
    <w:rsid w:val="00A60E22"/>
    <w:rsid w:val="00A610CC"/>
    <w:rsid w:val="00A61108"/>
    <w:rsid w:val="00A612AE"/>
    <w:rsid w:val="00A612E3"/>
    <w:rsid w:val="00A6144C"/>
    <w:rsid w:val="00A616AA"/>
    <w:rsid w:val="00A61945"/>
    <w:rsid w:val="00A61C07"/>
    <w:rsid w:val="00A61E03"/>
    <w:rsid w:val="00A621A0"/>
    <w:rsid w:val="00A624B6"/>
    <w:rsid w:val="00A6259A"/>
    <w:rsid w:val="00A62782"/>
    <w:rsid w:val="00A62899"/>
    <w:rsid w:val="00A628A6"/>
    <w:rsid w:val="00A62ABF"/>
    <w:rsid w:val="00A62C78"/>
    <w:rsid w:val="00A632B6"/>
    <w:rsid w:val="00A6331A"/>
    <w:rsid w:val="00A6335A"/>
    <w:rsid w:val="00A634E6"/>
    <w:rsid w:val="00A63651"/>
    <w:rsid w:val="00A63F6E"/>
    <w:rsid w:val="00A63FDD"/>
    <w:rsid w:val="00A642DA"/>
    <w:rsid w:val="00A642F9"/>
    <w:rsid w:val="00A64540"/>
    <w:rsid w:val="00A6465D"/>
    <w:rsid w:val="00A6487D"/>
    <w:rsid w:val="00A6488B"/>
    <w:rsid w:val="00A64BE7"/>
    <w:rsid w:val="00A64D11"/>
    <w:rsid w:val="00A64F10"/>
    <w:rsid w:val="00A64F2E"/>
    <w:rsid w:val="00A65388"/>
    <w:rsid w:val="00A655E3"/>
    <w:rsid w:val="00A65962"/>
    <w:rsid w:val="00A659E2"/>
    <w:rsid w:val="00A65B01"/>
    <w:rsid w:val="00A65C3B"/>
    <w:rsid w:val="00A65EE9"/>
    <w:rsid w:val="00A6610F"/>
    <w:rsid w:val="00A6622D"/>
    <w:rsid w:val="00A6627D"/>
    <w:rsid w:val="00A6652D"/>
    <w:rsid w:val="00A6699C"/>
    <w:rsid w:val="00A66CDD"/>
    <w:rsid w:val="00A67016"/>
    <w:rsid w:val="00A6719F"/>
    <w:rsid w:val="00A67738"/>
    <w:rsid w:val="00A67771"/>
    <w:rsid w:val="00A677AA"/>
    <w:rsid w:val="00A677D4"/>
    <w:rsid w:val="00A67A27"/>
    <w:rsid w:val="00A67D37"/>
    <w:rsid w:val="00A67DA2"/>
    <w:rsid w:val="00A70CA5"/>
    <w:rsid w:val="00A71120"/>
    <w:rsid w:val="00A71188"/>
    <w:rsid w:val="00A713C0"/>
    <w:rsid w:val="00A7174D"/>
    <w:rsid w:val="00A71A12"/>
    <w:rsid w:val="00A71A2A"/>
    <w:rsid w:val="00A71A56"/>
    <w:rsid w:val="00A71B32"/>
    <w:rsid w:val="00A71B87"/>
    <w:rsid w:val="00A71BBA"/>
    <w:rsid w:val="00A71BBE"/>
    <w:rsid w:val="00A71CF0"/>
    <w:rsid w:val="00A720AC"/>
    <w:rsid w:val="00A72125"/>
    <w:rsid w:val="00A72168"/>
    <w:rsid w:val="00A721D7"/>
    <w:rsid w:val="00A7225E"/>
    <w:rsid w:val="00A72334"/>
    <w:rsid w:val="00A7248B"/>
    <w:rsid w:val="00A7250B"/>
    <w:rsid w:val="00A72600"/>
    <w:rsid w:val="00A72F97"/>
    <w:rsid w:val="00A73120"/>
    <w:rsid w:val="00A73593"/>
    <w:rsid w:val="00A7360C"/>
    <w:rsid w:val="00A73623"/>
    <w:rsid w:val="00A7378C"/>
    <w:rsid w:val="00A73CDE"/>
    <w:rsid w:val="00A74096"/>
    <w:rsid w:val="00A74172"/>
    <w:rsid w:val="00A741BC"/>
    <w:rsid w:val="00A741C9"/>
    <w:rsid w:val="00A74304"/>
    <w:rsid w:val="00A746D7"/>
    <w:rsid w:val="00A7478D"/>
    <w:rsid w:val="00A7495A"/>
    <w:rsid w:val="00A74A36"/>
    <w:rsid w:val="00A74B8F"/>
    <w:rsid w:val="00A75050"/>
    <w:rsid w:val="00A751B3"/>
    <w:rsid w:val="00A75793"/>
    <w:rsid w:val="00A75882"/>
    <w:rsid w:val="00A75912"/>
    <w:rsid w:val="00A75BA4"/>
    <w:rsid w:val="00A75C7E"/>
    <w:rsid w:val="00A75D5D"/>
    <w:rsid w:val="00A75DC2"/>
    <w:rsid w:val="00A75EEA"/>
    <w:rsid w:val="00A76032"/>
    <w:rsid w:val="00A7610A"/>
    <w:rsid w:val="00A761B7"/>
    <w:rsid w:val="00A76F52"/>
    <w:rsid w:val="00A76F7A"/>
    <w:rsid w:val="00A76FBA"/>
    <w:rsid w:val="00A77566"/>
    <w:rsid w:val="00A777FB"/>
    <w:rsid w:val="00A77840"/>
    <w:rsid w:val="00A77A4A"/>
    <w:rsid w:val="00A77AF5"/>
    <w:rsid w:val="00A80015"/>
    <w:rsid w:val="00A80265"/>
    <w:rsid w:val="00A802CC"/>
    <w:rsid w:val="00A807EE"/>
    <w:rsid w:val="00A80C98"/>
    <w:rsid w:val="00A80F11"/>
    <w:rsid w:val="00A80F83"/>
    <w:rsid w:val="00A8129C"/>
    <w:rsid w:val="00A81308"/>
    <w:rsid w:val="00A8161C"/>
    <w:rsid w:val="00A81789"/>
    <w:rsid w:val="00A8178D"/>
    <w:rsid w:val="00A81825"/>
    <w:rsid w:val="00A81A02"/>
    <w:rsid w:val="00A81BC4"/>
    <w:rsid w:val="00A81BC6"/>
    <w:rsid w:val="00A81C00"/>
    <w:rsid w:val="00A81D3C"/>
    <w:rsid w:val="00A81DB0"/>
    <w:rsid w:val="00A82217"/>
    <w:rsid w:val="00A82421"/>
    <w:rsid w:val="00A82571"/>
    <w:rsid w:val="00A826E1"/>
    <w:rsid w:val="00A82796"/>
    <w:rsid w:val="00A82AAB"/>
    <w:rsid w:val="00A82D06"/>
    <w:rsid w:val="00A82D38"/>
    <w:rsid w:val="00A82D4B"/>
    <w:rsid w:val="00A83065"/>
    <w:rsid w:val="00A8307D"/>
    <w:rsid w:val="00A830D4"/>
    <w:rsid w:val="00A83151"/>
    <w:rsid w:val="00A83163"/>
    <w:rsid w:val="00A8319D"/>
    <w:rsid w:val="00A831C1"/>
    <w:rsid w:val="00A83220"/>
    <w:rsid w:val="00A83698"/>
    <w:rsid w:val="00A839CC"/>
    <w:rsid w:val="00A83C89"/>
    <w:rsid w:val="00A83EC9"/>
    <w:rsid w:val="00A83F1C"/>
    <w:rsid w:val="00A84538"/>
    <w:rsid w:val="00A848FD"/>
    <w:rsid w:val="00A8492E"/>
    <w:rsid w:val="00A84AF1"/>
    <w:rsid w:val="00A84C52"/>
    <w:rsid w:val="00A84D72"/>
    <w:rsid w:val="00A84EC3"/>
    <w:rsid w:val="00A84F3C"/>
    <w:rsid w:val="00A85144"/>
    <w:rsid w:val="00A8582B"/>
    <w:rsid w:val="00A85B3A"/>
    <w:rsid w:val="00A85B9A"/>
    <w:rsid w:val="00A85C3D"/>
    <w:rsid w:val="00A85E61"/>
    <w:rsid w:val="00A85ECF"/>
    <w:rsid w:val="00A85ED3"/>
    <w:rsid w:val="00A85F27"/>
    <w:rsid w:val="00A863C8"/>
    <w:rsid w:val="00A86451"/>
    <w:rsid w:val="00A864AB"/>
    <w:rsid w:val="00A865C3"/>
    <w:rsid w:val="00A86A3D"/>
    <w:rsid w:val="00A86C43"/>
    <w:rsid w:val="00A86EA4"/>
    <w:rsid w:val="00A87417"/>
    <w:rsid w:val="00A87478"/>
    <w:rsid w:val="00A875B7"/>
    <w:rsid w:val="00A87825"/>
    <w:rsid w:val="00A87871"/>
    <w:rsid w:val="00A87A51"/>
    <w:rsid w:val="00A87AF2"/>
    <w:rsid w:val="00A87B94"/>
    <w:rsid w:val="00A87BE9"/>
    <w:rsid w:val="00A87E29"/>
    <w:rsid w:val="00A903B3"/>
    <w:rsid w:val="00A90985"/>
    <w:rsid w:val="00A90F5D"/>
    <w:rsid w:val="00A91152"/>
    <w:rsid w:val="00A91227"/>
    <w:rsid w:val="00A9141A"/>
    <w:rsid w:val="00A91551"/>
    <w:rsid w:val="00A91645"/>
    <w:rsid w:val="00A9189A"/>
    <w:rsid w:val="00A9190C"/>
    <w:rsid w:val="00A91A1D"/>
    <w:rsid w:val="00A91A21"/>
    <w:rsid w:val="00A91B2F"/>
    <w:rsid w:val="00A91B4E"/>
    <w:rsid w:val="00A91EB4"/>
    <w:rsid w:val="00A91FBA"/>
    <w:rsid w:val="00A921B2"/>
    <w:rsid w:val="00A9244A"/>
    <w:rsid w:val="00A92511"/>
    <w:rsid w:val="00A92536"/>
    <w:rsid w:val="00A925DD"/>
    <w:rsid w:val="00A9278B"/>
    <w:rsid w:val="00A9285B"/>
    <w:rsid w:val="00A928DD"/>
    <w:rsid w:val="00A92977"/>
    <w:rsid w:val="00A929B0"/>
    <w:rsid w:val="00A929C7"/>
    <w:rsid w:val="00A92C35"/>
    <w:rsid w:val="00A92DCC"/>
    <w:rsid w:val="00A92E59"/>
    <w:rsid w:val="00A92E96"/>
    <w:rsid w:val="00A92FCE"/>
    <w:rsid w:val="00A930B9"/>
    <w:rsid w:val="00A93635"/>
    <w:rsid w:val="00A939FF"/>
    <w:rsid w:val="00A93B4E"/>
    <w:rsid w:val="00A93D5C"/>
    <w:rsid w:val="00A93D70"/>
    <w:rsid w:val="00A93F66"/>
    <w:rsid w:val="00A94341"/>
    <w:rsid w:val="00A94342"/>
    <w:rsid w:val="00A944F8"/>
    <w:rsid w:val="00A94636"/>
    <w:rsid w:val="00A947A1"/>
    <w:rsid w:val="00A947E3"/>
    <w:rsid w:val="00A9486B"/>
    <w:rsid w:val="00A9486F"/>
    <w:rsid w:val="00A94A96"/>
    <w:rsid w:val="00A94DE2"/>
    <w:rsid w:val="00A9514F"/>
    <w:rsid w:val="00A9519D"/>
    <w:rsid w:val="00A951CA"/>
    <w:rsid w:val="00A95213"/>
    <w:rsid w:val="00A95273"/>
    <w:rsid w:val="00A952D7"/>
    <w:rsid w:val="00A952E7"/>
    <w:rsid w:val="00A9541E"/>
    <w:rsid w:val="00A9549B"/>
    <w:rsid w:val="00A954F5"/>
    <w:rsid w:val="00A955A8"/>
    <w:rsid w:val="00A955E2"/>
    <w:rsid w:val="00A957E2"/>
    <w:rsid w:val="00A958CF"/>
    <w:rsid w:val="00A95933"/>
    <w:rsid w:val="00A95A44"/>
    <w:rsid w:val="00A95AC5"/>
    <w:rsid w:val="00A95CB2"/>
    <w:rsid w:val="00A95EC3"/>
    <w:rsid w:val="00A9604C"/>
    <w:rsid w:val="00A964EC"/>
    <w:rsid w:val="00A96568"/>
    <w:rsid w:val="00A96721"/>
    <w:rsid w:val="00A96761"/>
    <w:rsid w:val="00A96E55"/>
    <w:rsid w:val="00A97213"/>
    <w:rsid w:val="00A972B2"/>
    <w:rsid w:val="00A973D7"/>
    <w:rsid w:val="00A9742C"/>
    <w:rsid w:val="00A977EC"/>
    <w:rsid w:val="00A97A71"/>
    <w:rsid w:val="00A97AFE"/>
    <w:rsid w:val="00A97D89"/>
    <w:rsid w:val="00A97F0C"/>
    <w:rsid w:val="00AA0002"/>
    <w:rsid w:val="00AA00F4"/>
    <w:rsid w:val="00AA0205"/>
    <w:rsid w:val="00AA02DB"/>
    <w:rsid w:val="00AA032F"/>
    <w:rsid w:val="00AA03B6"/>
    <w:rsid w:val="00AA03F6"/>
    <w:rsid w:val="00AA051F"/>
    <w:rsid w:val="00AA06E6"/>
    <w:rsid w:val="00AA087E"/>
    <w:rsid w:val="00AA0898"/>
    <w:rsid w:val="00AA08BE"/>
    <w:rsid w:val="00AA09A1"/>
    <w:rsid w:val="00AA09A7"/>
    <w:rsid w:val="00AA0C06"/>
    <w:rsid w:val="00AA0C19"/>
    <w:rsid w:val="00AA0C77"/>
    <w:rsid w:val="00AA0D72"/>
    <w:rsid w:val="00AA0E84"/>
    <w:rsid w:val="00AA1181"/>
    <w:rsid w:val="00AA13C8"/>
    <w:rsid w:val="00AA17C0"/>
    <w:rsid w:val="00AA1814"/>
    <w:rsid w:val="00AA183D"/>
    <w:rsid w:val="00AA1886"/>
    <w:rsid w:val="00AA18D5"/>
    <w:rsid w:val="00AA1D0F"/>
    <w:rsid w:val="00AA1D20"/>
    <w:rsid w:val="00AA1D9F"/>
    <w:rsid w:val="00AA2408"/>
    <w:rsid w:val="00AA2575"/>
    <w:rsid w:val="00AA2B86"/>
    <w:rsid w:val="00AA2C2B"/>
    <w:rsid w:val="00AA2E7D"/>
    <w:rsid w:val="00AA2EF3"/>
    <w:rsid w:val="00AA2F39"/>
    <w:rsid w:val="00AA2F96"/>
    <w:rsid w:val="00AA3284"/>
    <w:rsid w:val="00AA36BA"/>
    <w:rsid w:val="00AA378A"/>
    <w:rsid w:val="00AA387A"/>
    <w:rsid w:val="00AA3C9E"/>
    <w:rsid w:val="00AA40B0"/>
    <w:rsid w:val="00AA410C"/>
    <w:rsid w:val="00AA43EB"/>
    <w:rsid w:val="00AA453E"/>
    <w:rsid w:val="00AA4940"/>
    <w:rsid w:val="00AA4AE0"/>
    <w:rsid w:val="00AA4B96"/>
    <w:rsid w:val="00AA4CF5"/>
    <w:rsid w:val="00AA501B"/>
    <w:rsid w:val="00AA5043"/>
    <w:rsid w:val="00AA525B"/>
    <w:rsid w:val="00AA52C1"/>
    <w:rsid w:val="00AA5416"/>
    <w:rsid w:val="00AA56A7"/>
    <w:rsid w:val="00AA5708"/>
    <w:rsid w:val="00AA5732"/>
    <w:rsid w:val="00AA5786"/>
    <w:rsid w:val="00AA58B3"/>
    <w:rsid w:val="00AA59B3"/>
    <w:rsid w:val="00AA59E2"/>
    <w:rsid w:val="00AA5C07"/>
    <w:rsid w:val="00AA62B7"/>
    <w:rsid w:val="00AA6308"/>
    <w:rsid w:val="00AA64F3"/>
    <w:rsid w:val="00AA6738"/>
    <w:rsid w:val="00AA6B07"/>
    <w:rsid w:val="00AA6C9E"/>
    <w:rsid w:val="00AA6CE8"/>
    <w:rsid w:val="00AA6D72"/>
    <w:rsid w:val="00AA6F15"/>
    <w:rsid w:val="00AA7090"/>
    <w:rsid w:val="00AA7275"/>
    <w:rsid w:val="00AA7296"/>
    <w:rsid w:val="00AA746F"/>
    <w:rsid w:val="00AA7627"/>
    <w:rsid w:val="00AA7DE7"/>
    <w:rsid w:val="00AB07EA"/>
    <w:rsid w:val="00AB089A"/>
    <w:rsid w:val="00AB09E4"/>
    <w:rsid w:val="00AB0C17"/>
    <w:rsid w:val="00AB0D03"/>
    <w:rsid w:val="00AB11F1"/>
    <w:rsid w:val="00AB1379"/>
    <w:rsid w:val="00AB13F7"/>
    <w:rsid w:val="00AB147D"/>
    <w:rsid w:val="00AB151E"/>
    <w:rsid w:val="00AB1672"/>
    <w:rsid w:val="00AB18C5"/>
    <w:rsid w:val="00AB195B"/>
    <w:rsid w:val="00AB19FC"/>
    <w:rsid w:val="00AB1C8C"/>
    <w:rsid w:val="00AB1E00"/>
    <w:rsid w:val="00AB1E6C"/>
    <w:rsid w:val="00AB2048"/>
    <w:rsid w:val="00AB22EF"/>
    <w:rsid w:val="00AB25DE"/>
    <w:rsid w:val="00AB261E"/>
    <w:rsid w:val="00AB26D9"/>
    <w:rsid w:val="00AB2765"/>
    <w:rsid w:val="00AB285F"/>
    <w:rsid w:val="00AB2BB1"/>
    <w:rsid w:val="00AB2BEB"/>
    <w:rsid w:val="00AB2E49"/>
    <w:rsid w:val="00AB304A"/>
    <w:rsid w:val="00AB3078"/>
    <w:rsid w:val="00AB31A8"/>
    <w:rsid w:val="00AB3484"/>
    <w:rsid w:val="00AB391F"/>
    <w:rsid w:val="00AB3B10"/>
    <w:rsid w:val="00AB3BCA"/>
    <w:rsid w:val="00AB3E05"/>
    <w:rsid w:val="00AB3E71"/>
    <w:rsid w:val="00AB3F24"/>
    <w:rsid w:val="00AB40D6"/>
    <w:rsid w:val="00AB43EC"/>
    <w:rsid w:val="00AB45E1"/>
    <w:rsid w:val="00AB4874"/>
    <w:rsid w:val="00AB4AC1"/>
    <w:rsid w:val="00AB4D0F"/>
    <w:rsid w:val="00AB4D26"/>
    <w:rsid w:val="00AB4DCD"/>
    <w:rsid w:val="00AB570A"/>
    <w:rsid w:val="00AB58E3"/>
    <w:rsid w:val="00AB598F"/>
    <w:rsid w:val="00AB59B1"/>
    <w:rsid w:val="00AB5D7B"/>
    <w:rsid w:val="00AB5E42"/>
    <w:rsid w:val="00AB6287"/>
    <w:rsid w:val="00AB649D"/>
    <w:rsid w:val="00AB64A5"/>
    <w:rsid w:val="00AB64C0"/>
    <w:rsid w:val="00AB64D0"/>
    <w:rsid w:val="00AB6505"/>
    <w:rsid w:val="00AB65DD"/>
    <w:rsid w:val="00AB6A46"/>
    <w:rsid w:val="00AB6A53"/>
    <w:rsid w:val="00AB6AE6"/>
    <w:rsid w:val="00AB6DA6"/>
    <w:rsid w:val="00AB6F54"/>
    <w:rsid w:val="00AB7102"/>
    <w:rsid w:val="00AB71D8"/>
    <w:rsid w:val="00AB7218"/>
    <w:rsid w:val="00AB72BF"/>
    <w:rsid w:val="00AB7317"/>
    <w:rsid w:val="00AB76D2"/>
    <w:rsid w:val="00AB77AF"/>
    <w:rsid w:val="00AB78A7"/>
    <w:rsid w:val="00AB7AE1"/>
    <w:rsid w:val="00AB7E20"/>
    <w:rsid w:val="00AB7F2F"/>
    <w:rsid w:val="00AB7F5D"/>
    <w:rsid w:val="00AC0431"/>
    <w:rsid w:val="00AC04CC"/>
    <w:rsid w:val="00AC079B"/>
    <w:rsid w:val="00AC0860"/>
    <w:rsid w:val="00AC09EC"/>
    <w:rsid w:val="00AC0C09"/>
    <w:rsid w:val="00AC131C"/>
    <w:rsid w:val="00AC1445"/>
    <w:rsid w:val="00AC15BC"/>
    <w:rsid w:val="00AC18EF"/>
    <w:rsid w:val="00AC19D6"/>
    <w:rsid w:val="00AC1A9A"/>
    <w:rsid w:val="00AC1B62"/>
    <w:rsid w:val="00AC1D22"/>
    <w:rsid w:val="00AC1E6D"/>
    <w:rsid w:val="00AC1E7A"/>
    <w:rsid w:val="00AC1F77"/>
    <w:rsid w:val="00AC2080"/>
    <w:rsid w:val="00AC24FD"/>
    <w:rsid w:val="00AC261A"/>
    <w:rsid w:val="00AC27FC"/>
    <w:rsid w:val="00AC296E"/>
    <w:rsid w:val="00AC2B76"/>
    <w:rsid w:val="00AC2E92"/>
    <w:rsid w:val="00AC2ED1"/>
    <w:rsid w:val="00AC2F04"/>
    <w:rsid w:val="00AC2F36"/>
    <w:rsid w:val="00AC2FD6"/>
    <w:rsid w:val="00AC30A5"/>
    <w:rsid w:val="00AC3205"/>
    <w:rsid w:val="00AC3412"/>
    <w:rsid w:val="00AC34C9"/>
    <w:rsid w:val="00AC3536"/>
    <w:rsid w:val="00AC3744"/>
    <w:rsid w:val="00AC37ED"/>
    <w:rsid w:val="00AC3A43"/>
    <w:rsid w:val="00AC3A9B"/>
    <w:rsid w:val="00AC3ACD"/>
    <w:rsid w:val="00AC3CC0"/>
    <w:rsid w:val="00AC3D99"/>
    <w:rsid w:val="00AC40FD"/>
    <w:rsid w:val="00AC43ED"/>
    <w:rsid w:val="00AC45A3"/>
    <w:rsid w:val="00AC46E4"/>
    <w:rsid w:val="00AC4AB0"/>
    <w:rsid w:val="00AC4C3D"/>
    <w:rsid w:val="00AC4C65"/>
    <w:rsid w:val="00AC4C70"/>
    <w:rsid w:val="00AC4EAE"/>
    <w:rsid w:val="00AC4F3F"/>
    <w:rsid w:val="00AC5135"/>
    <w:rsid w:val="00AC520B"/>
    <w:rsid w:val="00AC5240"/>
    <w:rsid w:val="00AC53AB"/>
    <w:rsid w:val="00AC5597"/>
    <w:rsid w:val="00AC5680"/>
    <w:rsid w:val="00AC5764"/>
    <w:rsid w:val="00AC58DD"/>
    <w:rsid w:val="00AC5BAC"/>
    <w:rsid w:val="00AC5CEA"/>
    <w:rsid w:val="00AC5D78"/>
    <w:rsid w:val="00AC5F9F"/>
    <w:rsid w:val="00AC6078"/>
    <w:rsid w:val="00AC60BE"/>
    <w:rsid w:val="00AC615E"/>
    <w:rsid w:val="00AC633B"/>
    <w:rsid w:val="00AC6803"/>
    <w:rsid w:val="00AC6870"/>
    <w:rsid w:val="00AC6917"/>
    <w:rsid w:val="00AC6B50"/>
    <w:rsid w:val="00AC6CEC"/>
    <w:rsid w:val="00AC6D5C"/>
    <w:rsid w:val="00AC6D84"/>
    <w:rsid w:val="00AC6DEC"/>
    <w:rsid w:val="00AC6FFE"/>
    <w:rsid w:val="00AC70CD"/>
    <w:rsid w:val="00AC71B6"/>
    <w:rsid w:val="00AC7216"/>
    <w:rsid w:val="00AC72A2"/>
    <w:rsid w:val="00AC76F7"/>
    <w:rsid w:val="00AC7851"/>
    <w:rsid w:val="00AC788E"/>
    <w:rsid w:val="00AC79FE"/>
    <w:rsid w:val="00AC7B0D"/>
    <w:rsid w:val="00AC7C92"/>
    <w:rsid w:val="00AC7E90"/>
    <w:rsid w:val="00AD01A3"/>
    <w:rsid w:val="00AD0480"/>
    <w:rsid w:val="00AD060E"/>
    <w:rsid w:val="00AD0907"/>
    <w:rsid w:val="00AD09C6"/>
    <w:rsid w:val="00AD0A06"/>
    <w:rsid w:val="00AD0EE9"/>
    <w:rsid w:val="00AD0F1F"/>
    <w:rsid w:val="00AD0FCA"/>
    <w:rsid w:val="00AD104A"/>
    <w:rsid w:val="00AD1107"/>
    <w:rsid w:val="00AD1134"/>
    <w:rsid w:val="00AD118B"/>
    <w:rsid w:val="00AD120D"/>
    <w:rsid w:val="00AD120F"/>
    <w:rsid w:val="00AD135C"/>
    <w:rsid w:val="00AD13EA"/>
    <w:rsid w:val="00AD14BC"/>
    <w:rsid w:val="00AD179F"/>
    <w:rsid w:val="00AD17AA"/>
    <w:rsid w:val="00AD1C6E"/>
    <w:rsid w:val="00AD1E90"/>
    <w:rsid w:val="00AD1EA1"/>
    <w:rsid w:val="00AD217F"/>
    <w:rsid w:val="00AD2484"/>
    <w:rsid w:val="00AD263D"/>
    <w:rsid w:val="00AD2679"/>
    <w:rsid w:val="00AD295D"/>
    <w:rsid w:val="00AD2E7C"/>
    <w:rsid w:val="00AD2F6B"/>
    <w:rsid w:val="00AD3220"/>
    <w:rsid w:val="00AD3261"/>
    <w:rsid w:val="00AD32FE"/>
    <w:rsid w:val="00AD344C"/>
    <w:rsid w:val="00AD372E"/>
    <w:rsid w:val="00AD3D8E"/>
    <w:rsid w:val="00AD4201"/>
    <w:rsid w:val="00AD433C"/>
    <w:rsid w:val="00AD4386"/>
    <w:rsid w:val="00AD44DF"/>
    <w:rsid w:val="00AD473F"/>
    <w:rsid w:val="00AD482E"/>
    <w:rsid w:val="00AD4C03"/>
    <w:rsid w:val="00AD4D2F"/>
    <w:rsid w:val="00AD4D78"/>
    <w:rsid w:val="00AD4DE9"/>
    <w:rsid w:val="00AD4E04"/>
    <w:rsid w:val="00AD508A"/>
    <w:rsid w:val="00AD539D"/>
    <w:rsid w:val="00AD5404"/>
    <w:rsid w:val="00AD548A"/>
    <w:rsid w:val="00AD5493"/>
    <w:rsid w:val="00AD549A"/>
    <w:rsid w:val="00AD582E"/>
    <w:rsid w:val="00AD5D6B"/>
    <w:rsid w:val="00AD5E9D"/>
    <w:rsid w:val="00AD5EDF"/>
    <w:rsid w:val="00AD5EED"/>
    <w:rsid w:val="00AD6044"/>
    <w:rsid w:val="00AD61FB"/>
    <w:rsid w:val="00AD6235"/>
    <w:rsid w:val="00AD6355"/>
    <w:rsid w:val="00AD6730"/>
    <w:rsid w:val="00AD6B90"/>
    <w:rsid w:val="00AD6CE2"/>
    <w:rsid w:val="00AD6F5E"/>
    <w:rsid w:val="00AD6FFE"/>
    <w:rsid w:val="00AD7084"/>
    <w:rsid w:val="00AD769D"/>
    <w:rsid w:val="00AD77E6"/>
    <w:rsid w:val="00AD7994"/>
    <w:rsid w:val="00AD7A98"/>
    <w:rsid w:val="00AD7C2C"/>
    <w:rsid w:val="00AD7C95"/>
    <w:rsid w:val="00AE01EE"/>
    <w:rsid w:val="00AE0248"/>
    <w:rsid w:val="00AE0311"/>
    <w:rsid w:val="00AE03DE"/>
    <w:rsid w:val="00AE041E"/>
    <w:rsid w:val="00AE053B"/>
    <w:rsid w:val="00AE069F"/>
    <w:rsid w:val="00AE091C"/>
    <w:rsid w:val="00AE0B77"/>
    <w:rsid w:val="00AE0FDC"/>
    <w:rsid w:val="00AE10C7"/>
    <w:rsid w:val="00AE10C8"/>
    <w:rsid w:val="00AE10D7"/>
    <w:rsid w:val="00AE1161"/>
    <w:rsid w:val="00AE11B4"/>
    <w:rsid w:val="00AE11C8"/>
    <w:rsid w:val="00AE1466"/>
    <w:rsid w:val="00AE1585"/>
    <w:rsid w:val="00AE1D75"/>
    <w:rsid w:val="00AE1F86"/>
    <w:rsid w:val="00AE1F91"/>
    <w:rsid w:val="00AE204D"/>
    <w:rsid w:val="00AE2054"/>
    <w:rsid w:val="00AE2055"/>
    <w:rsid w:val="00AE23DC"/>
    <w:rsid w:val="00AE24DE"/>
    <w:rsid w:val="00AE26C2"/>
    <w:rsid w:val="00AE2900"/>
    <w:rsid w:val="00AE2E97"/>
    <w:rsid w:val="00AE2EE9"/>
    <w:rsid w:val="00AE2F10"/>
    <w:rsid w:val="00AE30BB"/>
    <w:rsid w:val="00AE3382"/>
    <w:rsid w:val="00AE341B"/>
    <w:rsid w:val="00AE3655"/>
    <w:rsid w:val="00AE3671"/>
    <w:rsid w:val="00AE3788"/>
    <w:rsid w:val="00AE3843"/>
    <w:rsid w:val="00AE3992"/>
    <w:rsid w:val="00AE3ABF"/>
    <w:rsid w:val="00AE3CD8"/>
    <w:rsid w:val="00AE3D13"/>
    <w:rsid w:val="00AE3E03"/>
    <w:rsid w:val="00AE3E23"/>
    <w:rsid w:val="00AE3F7B"/>
    <w:rsid w:val="00AE3F7D"/>
    <w:rsid w:val="00AE3FB3"/>
    <w:rsid w:val="00AE43BC"/>
    <w:rsid w:val="00AE45A5"/>
    <w:rsid w:val="00AE4667"/>
    <w:rsid w:val="00AE4694"/>
    <w:rsid w:val="00AE4CF8"/>
    <w:rsid w:val="00AE52C1"/>
    <w:rsid w:val="00AE5498"/>
    <w:rsid w:val="00AE56A4"/>
    <w:rsid w:val="00AE56BB"/>
    <w:rsid w:val="00AE57D7"/>
    <w:rsid w:val="00AE57DA"/>
    <w:rsid w:val="00AE5A12"/>
    <w:rsid w:val="00AE5E02"/>
    <w:rsid w:val="00AE5E66"/>
    <w:rsid w:val="00AE5EE0"/>
    <w:rsid w:val="00AE5EE2"/>
    <w:rsid w:val="00AE5F4F"/>
    <w:rsid w:val="00AE5FB5"/>
    <w:rsid w:val="00AE6014"/>
    <w:rsid w:val="00AE6247"/>
    <w:rsid w:val="00AE62C1"/>
    <w:rsid w:val="00AE6419"/>
    <w:rsid w:val="00AE66AC"/>
    <w:rsid w:val="00AE689C"/>
    <w:rsid w:val="00AE6B80"/>
    <w:rsid w:val="00AE6E0C"/>
    <w:rsid w:val="00AE6E3D"/>
    <w:rsid w:val="00AE6E6D"/>
    <w:rsid w:val="00AE708F"/>
    <w:rsid w:val="00AE70EA"/>
    <w:rsid w:val="00AE710E"/>
    <w:rsid w:val="00AE7288"/>
    <w:rsid w:val="00AE744E"/>
    <w:rsid w:val="00AE75BE"/>
    <w:rsid w:val="00AE762C"/>
    <w:rsid w:val="00AE7993"/>
    <w:rsid w:val="00AE7BC6"/>
    <w:rsid w:val="00AE7D26"/>
    <w:rsid w:val="00AE7EBA"/>
    <w:rsid w:val="00AE7F63"/>
    <w:rsid w:val="00AF0023"/>
    <w:rsid w:val="00AF01B2"/>
    <w:rsid w:val="00AF01D0"/>
    <w:rsid w:val="00AF043A"/>
    <w:rsid w:val="00AF0537"/>
    <w:rsid w:val="00AF0564"/>
    <w:rsid w:val="00AF0687"/>
    <w:rsid w:val="00AF0B58"/>
    <w:rsid w:val="00AF0BDD"/>
    <w:rsid w:val="00AF0CCE"/>
    <w:rsid w:val="00AF0F4C"/>
    <w:rsid w:val="00AF1017"/>
    <w:rsid w:val="00AF11D0"/>
    <w:rsid w:val="00AF1218"/>
    <w:rsid w:val="00AF1F09"/>
    <w:rsid w:val="00AF1F35"/>
    <w:rsid w:val="00AF1F39"/>
    <w:rsid w:val="00AF1F6C"/>
    <w:rsid w:val="00AF21C7"/>
    <w:rsid w:val="00AF22FC"/>
    <w:rsid w:val="00AF24F4"/>
    <w:rsid w:val="00AF2608"/>
    <w:rsid w:val="00AF2902"/>
    <w:rsid w:val="00AF2974"/>
    <w:rsid w:val="00AF2A0E"/>
    <w:rsid w:val="00AF2D57"/>
    <w:rsid w:val="00AF2E64"/>
    <w:rsid w:val="00AF31CD"/>
    <w:rsid w:val="00AF3200"/>
    <w:rsid w:val="00AF328F"/>
    <w:rsid w:val="00AF3373"/>
    <w:rsid w:val="00AF3646"/>
    <w:rsid w:val="00AF370C"/>
    <w:rsid w:val="00AF3A9A"/>
    <w:rsid w:val="00AF3B60"/>
    <w:rsid w:val="00AF3BDE"/>
    <w:rsid w:val="00AF4049"/>
    <w:rsid w:val="00AF40F6"/>
    <w:rsid w:val="00AF41A7"/>
    <w:rsid w:val="00AF41C9"/>
    <w:rsid w:val="00AF4303"/>
    <w:rsid w:val="00AF4524"/>
    <w:rsid w:val="00AF4684"/>
    <w:rsid w:val="00AF4878"/>
    <w:rsid w:val="00AF4A13"/>
    <w:rsid w:val="00AF4B9C"/>
    <w:rsid w:val="00AF4C60"/>
    <w:rsid w:val="00AF4D3A"/>
    <w:rsid w:val="00AF4D83"/>
    <w:rsid w:val="00AF4DF7"/>
    <w:rsid w:val="00AF53FE"/>
    <w:rsid w:val="00AF559B"/>
    <w:rsid w:val="00AF58BA"/>
    <w:rsid w:val="00AF5C10"/>
    <w:rsid w:val="00AF5C62"/>
    <w:rsid w:val="00AF5CC9"/>
    <w:rsid w:val="00AF6024"/>
    <w:rsid w:val="00AF629D"/>
    <w:rsid w:val="00AF644D"/>
    <w:rsid w:val="00AF6462"/>
    <w:rsid w:val="00AF6526"/>
    <w:rsid w:val="00AF69A3"/>
    <w:rsid w:val="00AF6B62"/>
    <w:rsid w:val="00AF6DA8"/>
    <w:rsid w:val="00AF6E35"/>
    <w:rsid w:val="00AF6E67"/>
    <w:rsid w:val="00AF7036"/>
    <w:rsid w:val="00AF7085"/>
    <w:rsid w:val="00AF70A3"/>
    <w:rsid w:val="00AF76AA"/>
    <w:rsid w:val="00AF76B9"/>
    <w:rsid w:val="00AF76D5"/>
    <w:rsid w:val="00AF77AC"/>
    <w:rsid w:val="00AF77BE"/>
    <w:rsid w:val="00AF78FA"/>
    <w:rsid w:val="00AF79D6"/>
    <w:rsid w:val="00AF7B34"/>
    <w:rsid w:val="00AF7FE0"/>
    <w:rsid w:val="00B00062"/>
    <w:rsid w:val="00B000DC"/>
    <w:rsid w:val="00B0013A"/>
    <w:rsid w:val="00B00361"/>
    <w:rsid w:val="00B00387"/>
    <w:rsid w:val="00B003F2"/>
    <w:rsid w:val="00B00446"/>
    <w:rsid w:val="00B00CBF"/>
    <w:rsid w:val="00B0131A"/>
    <w:rsid w:val="00B0160B"/>
    <w:rsid w:val="00B01893"/>
    <w:rsid w:val="00B01A50"/>
    <w:rsid w:val="00B01BDA"/>
    <w:rsid w:val="00B01E06"/>
    <w:rsid w:val="00B026D2"/>
    <w:rsid w:val="00B02F66"/>
    <w:rsid w:val="00B02FAF"/>
    <w:rsid w:val="00B02FFC"/>
    <w:rsid w:val="00B0303A"/>
    <w:rsid w:val="00B0311A"/>
    <w:rsid w:val="00B031B7"/>
    <w:rsid w:val="00B03515"/>
    <w:rsid w:val="00B0369E"/>
    <w:rsid w:val="00B03B9C"/>
    <w:rsid w:val="00B03C04"/>
    <w:rsid w:val="00B03C31"/>
    <w:rsid w:val="00B03C72"/>
    <w:rsid w:val="00B0405A"/>
    <w:rsid w:val="00B040D3"/>
    <w:rsid w:val="00B0411E"/>
    <w:rsid w:val="00B04172"/>
    <w:rsid w:val="00B0428E"/>
    <w:rsid w:val="00B042B0"/>
    <w:rsid w:val="00B043A5"/>
    <w:rsid w:val="00B04564"/>
    <w:rsid w:val="00B045CB"/>
    <w:rsid w:val="00B04874"/>
    <w:rsid w:val="00B048B6"/>
    <w:rsid w:val="00B04986"/>
    <w:rsid w:val="00B049AA"/>
    <w:rsid w:val="00B04A5A"/>
    <w:rsid w:val="00B04EEF"/>
    <w:rsid w:val="00B04EF5"/>
    <w:rsid w:val="00B04F88"/>
    <w:rsid w:val="00B052BB"/>
    <w:rsid w:val="00B057FB"/>
    <w:rsid w:val="00B05804"/>
    <w:rsid w:val="00B0581B"/>
    <w:rsid w:val="00B058DC"/>
    <w:rsid w:val="00B059EC"/>
    <w:rsid w:val="00B05BE2"/>
    <w:rsid w:val="00B05CA4"/>
    <w:rsid w:val="00B05E21"/>
    <w:rsid w:val="00B05E51"/>
    <w:rsid w:val="00B05EE4"/>
    <w:rsid w:val="00B05EF7"/>
    <w:rsid w:val="00B06119"/>
    <w:rsid w:val="00B06294"/>
    <w:rsid w:val="00B062C6"/>
    <w:rsid w:val="00B062E4"/>
    <w:rsid w:val="00B06365"/>
    <w:rsid w:val="00B06649"/>
    <w:rsid w:val="00B0680E"/>
    <w:rsid w:val="00B06B2C"/>
    <w:rsid w:val="00B06B80"/>
    <w:rsid w:val="00B06F5E"/>
    <w:rsid w:val="00B077C8"/>
    <w:rsid w:val="00B0785B"/>
    <w:rsid w:val="00B07894"/>
    <w:rsid w:val="00B07A56"/>
    <w:rsid w:val="00B07A92"/>
    <w:rsid w:val="00B07B1B"/>
    <w:rsid w:val="00B07CBE"/>
    <w:rsid w:val="00B07D1D"/>
    <w:rsid w:val="00B10012"/>
    <w:rsid w:val="00B100C8"/>
    <w:rsid w:val="00B1015F"/>
    <w:rsid w:val="00B101A6"/>
    <w:rsid w:val="00B10302"/>
    <w:rsid w:val="00B10510"/>
    <w:rsid w:val="00B10600"/>
    <w:rsid w:val="00B10615"/>
    <w:rsid w:val="00B10765"/>
    <w:rsid w:val="00B10784"/>
    <w:rsid w:val="00B10826"/>
    <w:rsid w:val="00B10A06"/>
    <w:rsid w:val="00B10C3D"/>
    <w:rsid w:val="00B10D20"/>
    <w:rsid w:val="00B10DFA"/>
    <w:rsid w:val="00B10F57"/>
    <w:rsid w:val="00B110EC"/>
    <w:rsid w:val="00B1110B"/>
    <w:rsid w:val="00B111F1"/>
    <w:rsid w:val="00B11312"/>
    <w:rsid w:val="00B11767"/>
    <w:rsid w:val="00B117E0"/>
    <w:rsid w:val="00B1181A"/>
    <w:rsid w:val="00B11A6C"/>
    <w:rsid w:val="00B11C8A"/>
    <w:rsid w:val="00B11E89"/>
    <w:rsid w:val="00B12061"/>
    <w:rsid w:val="00B120A7"/>
    <w:rsid w:val="00B12264"/>
    <w:rsid w:val="00B12314"/>
    <w:rsid w:val="00B1247D"/>
    <w:rsid w:val="00B12801"/>
    <w:rsid w:val="00B12A80"/>
    <w:rsid w:val="00B13059"/>
    <w:rsid w:val="00B13115"/>
    <w:rsid w:val="00B13401"/>
    <w:rsid w:val="00B13508"/>
    <w:rsid w:val="00B13584"/>
    <w:rsid w:val="00B13AFF"/>
    <w:rsid w:val="00B13B1B"/>
    <w:rsid w:val="00B13B2F"/>
    <w:rsid w:val="00B13B41"/>
    <w:rsid w:val="00B13EEE"/>
    <w:rsid w:val="00B14354"/>
    <w:rsid w:val="00B1435E"/>
    <w:rsid w:val="00B1446C"/>
    <w:rsid w:val="00B14736"/>
    <w:rsid w:val="00B1481D"/>
    <w:rsid w:val="00B148E9"/>
    <w:rsid w:val="00B14A8A"/>
    <w:rsid w:val="00B14EB6"/>
    <w:rsid w:val="00B14F84"/>
    <w:rsid w:val="00B150B3"/>
    <w:rsid w:val="00B15133"/>
    <w:rsid w:val="00B1537F"/>
    <w:rsid w:val="00B153B6"/>
    <w:rsid w:val="00B1577E"/>
    <w:rsid w:val="00B157B6"/>
    <w:rsid w:val="00B15991"/>
    <w:rsid w:val="00B15A07"/>
    <w:rsid w:val="00B15A0D"/>
    <w:rsid w:val="00B15B0F"/>
    <w:rsid w:val="00B15C8E"/>
    <w:rsid w:val="00B15D8A"/>
    <w:rsid w:val="00B15E49"/>
    <w:rsid w:val="00B15F3C"/>
    <w:rsid w:val="00B16018"/>
    <w:rsid w:val="00B1647B"/>
    <w:rsid w:val="00B16860"/>
    <w:rsid w:val="00B16878"/>
    <w:rsid w:val="00B16BDF"/>
    <w:rsid w:val="00B16BED"/>
    <w:rsid w:val="00B16C69"/>
    <w:rsid w:val="00B16C7B"/>
    <w:rsid w:val="00B16CA9"/>
    <w:rsid w:val="00B16F31"/>
    <w:rsid w:val="00B17133"/>
    <w:rsid w:val="00B171CC"/>
    <w:rsid w:val="00B171FC"/>
    <w:rsid w:val="00B1733C"/>
    <w:rsid w:val="00B178C6"/>
    <w:rsid w:val="00B1791D"/>
    <w:rsid w:val="00B1794B"/>
    <w:rsid w:val="00B17A38"/>
    <w:rsid w:val="00B17A3A"/>
    <w:rsid w:val="00B17A7A"/>
    <w:rsid w:val="00B201E7"/>
    <w:rsid w:val="00B202DF"/>
    <w:rsid w:val="00B20410"/>
    <w:rsid w:val="00B206C2"/>
    <w:rsid w:val="00B20783"/>
    <w:rsid w:val="00B20793"/>
    <w:rsid w:val="00B20A3C"/>
    <w:rsid w:val="00B20D5E"/>
    <w:rsid w:val="00B20DDC"/>
    <w:rsid w:val="00B20E13"/>
    <w:rsid w:val="00B20E4E"/>
    <w:rsid w:val="00B20F5A"/>
    <w:rsid w:val="00B20FA9"/>
    <w:rsid w:val="00B2148E"/>
    <w:rsid w:val="00B21504"/>
    <w:rsid w:val="00B21553"/>
    <w:rsid w:val="00B21730"/>
    <w:rsid w:val="00B217ED"/>
    <w:rsid w:val="00B21B79"/>
    <w:rsid w:val="00B21B88"/>
    <w:rsid w:val="00B21BD2"/>
    <w:rsid w:val="00B21C5C"/>
    <w:rsid w:val="00B21C94"/>
    <w:rsid w:val="00B21D3A"/>
    <w:rsid w:val="00B21FC2"/>
    <w:rsid w:val="00B22056"/>
    <w:rsid w:val="00B2221A"/>
    <w:rsid w:val="00B2224C"/>
    <w:rsid w:val="00B223ED"/>
    <w:rsid w:val="00B225A4"/>
    <w:rsid w:val="00B226C0"/>
    <w:rsid w:val="00B226C8"/>
    <w:rsid w:val="00B227DF"/>
    <w:rsid w:val="00B227F9"/>
    <w:rsid w:val="00B22884"/>
    <w:rsid w:val="00B22E04"/>
    <w:rsid w:val="00B2311C"/>
    <w:rsid w:val="00B23356"/>
    <w:rsid w:val="00B2338A"/>
    <w:rsid w:val="00B2340D"/>
    <w:rsid w:val="00B2349A"/>
    <w:rsid w:val="00B235A0"/>
    <w:rsid w:val="00B236B4"/>
    <w:rsid w:val="00B238FE"/>
    <w:rsid w:val="00B23AD5"/>
    <w:rsid w:val="00B23B29"/>
    <w:rsid w:val="00B23C58"/>
    <w:rsid w:val="00B23DF5"/>
    <w:rsid w:val="00B23E8E"/>
    <w:rsid w:val="00B2437F"/>
    <w:rsid w:val="00B244B4"/>
    <w:rsid w:val="00B2475F"/>
    <w:rsid w:val="00B24772"/>
    <w:rsid w:val="00B248B2"/>
    <w:rsid w:val="00B2499B"/>
    <w:rsid w:val="00B249D8"/>
    <w:rsid w:val="00B24B4F"/>
    <w:rsid w:val="00B24F30"/>
    <w:rsid w:val="00B24FE1"/>
    <w:rsid w:val="00B25044"/>
    <w:rsid w:val="00B2526A"/>
    <w:rsid w:val="00B2527B"/>
    <w:rsid w:val="00B252AA"/>
    <w:rsid w:val="00B25335"/>
    <w:rsid w:val="00B25706"/>
    <w:rsid w:val="00B25C20"/>
    <w:rsid w:val="00B25C2A"/>
    <w:rsid w:val="00B25CC2"/>
    <w:rsid w:val="00B25E5A"/>
    <w:rsid w:val="00B261D8"/>
    <w:rsid w:val="00B26341"/>
    <w:rsid w:val="00B26425"/>
    <w:rsid w:val="00B2666B"/>
    <w:rsid w:val="00B267D8"/>
    <w:rsid w:val="00B26E12"/>
    <w:rsid w:val="00B26E98"/>
    <w:rsid w:val="00B27193"/>
    <w:rsid w:val="00B27296"/>
    <w:rsid w:val="00B27309"/>
    <w:rsid w:val="00B2745A"/>
    <w:rsid w:val="00B274AA"/>
    <w:rsid w:val="00B2769F"/>
    <w:rsid w:val="00B27B0E"/>
    <w:rsid w:val="00B3004D"/>
    <w:rsid w:val="00B30180"/>
    <w:rsid w:val="00B303CF"/>
    <w:rsid w:val="00B30404"/>
    <w:rsid w:val="00B30761"/>
    <w:rsid w:val="00B3087C"/>
    <w:rsid w:val="00B30A33"/>
    <w:rsid w:val="00B30AEB"/>
    <w:rsid w:val="00B30BA3"/>
    <w:rsid w:val="00B30CEA"/>
    <w:rsid w:val="00B30E09"/>
    <w:rsid w:val="00B30EAD"/>
    <w:rsid w:val="00B30F3A"/>
    <w:rsid w:val="00B30F99"/>
    <w:rsid w:val="00B3103C"/>
    <w:rsid w:val="00B3103D"/>
    <w:rsid w:val="00B31263"/>
    <w:rsid w:val="00B31894"/>
    <w:rsid w:val="00B31B1C"/>
    <w:rsid w:val="00B31D6F"/>
    <w:rsid w:val="00B31E8A"/>
    <w:rsid w:val="00B3200E"/>
    <w:rsid w:val="00B320F4"/>
    <w:rsid w:val="00B3227D"/>
    <w:rsid w:val="00B324A6"/>
    <w:rsid w:val="00B32974"/>
    <w:rsid w:val="00B32A03"/>
    <w:rsid w:val="00B32BB9"/>
    <w:rsid w:val="00B32C4D"/>
    <w:rsid w:val="00B32CB9"/>
    <w:rsid w:val="00B32D4D"/>
    <w:rsid w:val="00B32ED9"/>
    <w:rsid w:val="00B32EF6"/>
    <w:rsid w:val="00B331B5"/>
    <w:rsid w:val="00B332E2"/>
    <w:rsid w:val="00B332E9"/>
    <w:rsid w:val="00B332EA"/>
    <w:rsid w:val="00B333CF"/>
    <w:rsid w:val="00B33559"/>
    <w:rsid w:val="00B33647"/>
    <w:rsid w:val="00B33877"/>
    <w:rsid w:val="00B339F1"/>
    <w:rsid w:val="00B33CC4"/>
    <w:rsid w:val="00B33D34"/>
    <w:rsid w:val="00B33FB5"/>
    <w:rsid w:val="00B33FC8"/>
    <w:rsid w:val="00B342B3"/>
    <w:rsid w:val="00B343D9"/>
    <w:rsid w:val="00B34464"/>
    <w:rsid w:val="00B345D1"/>
    <w:rsid w:val="00B3461D"/>
    <w:rsid w:val="00B3468B"/>
    <w:rsid w:val="00B347F4"/>
    <w:rsid w:val="00B34856"/>
    <w:rsid w:val="00B34CB9"/>
    <w:rsid w:val="00B3521D"/>
    <w:rsid w:val="00B352ED"/>
    <w:rsid w:val="00B356C0"/>
    <w:rsid w:val="00B35791"/>
    <w:rsid w:val="00B3587F"/>
    <w:rsid w:val="00B35B40"/>
    <w:rsid w:val="00B35D4C"/>
    <w:rsid w:val="00B35D5B"/>
    <w:rsid w:val="00B35D5C"/>
    <w:rsid w:val="00B35EF3"/>
    <w:rsid w:val="00B35F15"/>
    <w:rsid w:val="00B36021"/>
    <w:rsid w:val="00B361AF"/>
    <w:rsid w:val="00B3638C"/>
    <w:rsid w:val="00B36530"/>
    <w:rsid w:val="00B36680"/>
    <w:rsid w:val="00B36AA6"/>
    <w:rsid w:val="00B36ABE"/>
    <w:rsid w:val="00B36C59"/>
    <w:rsid w:val="00B36CFF"/>
    <w:rsid w:val="00B36D30"/>
    <w:rsid w:val="00B36DC0"/>
    <w:rsid w:val="00B36DF8"/>
    <w:rsid w:val="00B36E3F"/>
    <w:rsid w:val="00B36FA0"/>
    <w:rsid w:val="00B36FCA"/>
    <w:rsid w:val="00B373A9"/>
    <w:rsid w:val="00B37489"/>
    <w:rsid w:val="00B37716"/>
    <w:rsid w:val="00B3783D"/>
    <w:rsid w:val="00B378CE"/>
    <w:rsid w:val="00B379AB"/>
    <w:rsid w:val="00B37A6D"/>
    <w:rsid w:val="00B37B95"/>
    <w:rsid w:val="00B37C53"/>
    <w:rsid w:val="00B37CB2"/>
    <w:rsid w:val="00B37E84"/>
    <w:rsid w:val="00B37F6D"/>
    <w:rsid w:val="00B401E9"/>
    <w:rsid w:val="00B40327"/>
    <w:rsid w:val="00B40400"/>
    <w:rsid w:val="00B40778"/>
    <w:rsid w:val="00B407E9"/>
    <w:rsid w:val="00B40891"/>
    <w:rsid w:val="00B40BCA"/>
    <w:rsid w:val="00B40CFD"/>
    <w:rsid w:val="00B40F12"/>
    <w:rsid w:val="00B40F6F"/>
    <w:rsid w:val="00B410E4"/>
    <w:rsid w:val="00B41327"/>
    <w:rsid w:val="00B41637"/>
    <w:rsid w:val="00B41696"/>
    <w:rsid w:val="00B416B1"/>
    <w:rsid w:val="00B416F5"/>
    <w:rsid w:val="00B41846"/>
    <w:rsid w:val="00B41891"/>
    <w:rsid w:val="00B419DE"/>
    <w:rsid w:val="00B41C9F"/>
    <w:rsid w:val="00B41CF2"/>
    <w:rsid w:val="00B41DF5"/>
    <w:rsid w:val="00B41FEB"/>
    <w:rsid w:val="00B42529"/>
    <w:rsid w:val="00B4252D"/>
    <w:rsid w:val="00B42628"/>
    <w:rsid w:val="00B42965"/>
    <w:rsid w:val="00B42D61"/>
    <w:rsid w:val="00B42E71"/>
    <w:rsid w:val="00B42EB3"/>
    <w:rsid w:val="00B43211"/>
    <w:rsid w:val="00B436FF"/>
    <w:rsid w:val="00B4370E"/>
    <w:rsid w:val="00B43777"/>
    <w:rsid w:val="00B43814"/>
    <w:rsid w:val="00B43877"/>
    <w:rsid w:val="00B438D4"/>
    <w:rsid w:val="00B4395B"/>
    <w:rsid w:val="00B4396C"/>
    <w:rsid w:val="00B439C5"/>
    <w:rsid w:val="00B43A65"/>
    <w:rsid w:val="00B43AC8"/>
    <w:rsid w:val="00B43ACC"/>
    <w:rsid w:val="00B43EF2"/>
    <w:rsid w:val="00B4401D"/>
    <w:rsid w:val="00B4410B"/>
    <w:rsid w:val="00B44359"/>
    <w:rsid w:val="00B446AC"/>
    <w:rsid w:val="00B446B9"/>
    <w:rsid w:val="00B4485D"/>
    <w:rsid w:val="00B44886"/>
    <w:rsid w:val="00B44C22"/>
    <w:rsid w:val="00B44CC5"/>
    <w:rsid w:val="00B44E84"/>
    <w:rsid w:val="00B44F69"/>
    <w:rsid w:val="00B44F94"/>
    <w:rsid w:val="00B450E4"/>
    <w:rsid w:val="00B452D7"/>
    <w:rsid w:val="00B45483"/>
    <w:rsid w:val="00B45526"/>
    <w:rsid w:val="00B456D0"/>
    <w:rsid w:val="00B45707"/>
    <w:rsid w:val="00B457C7"/>
    <w:rsid w:val="00B45866"/>
    <w:rsid w:val="00B458AA"/>
    <w:rsid w:val="00B45B7B"/>
    <w:rsid w:val="00B45D6A"/>
    <w:rsid w:val="00B45ED0"/>
    <w:rsid w:val="00B460C9"/>
    <w:rsid w:val="00B461C8"/>
    <w:rsid w:val="00B461DB"/>
    <w:rsid w:val="00B462FB"/>
    <w:rsid w:val="00B46789"/>
    <w:rsid w:val="00B46968"/>
    <w:rsid w:val="00B46B06"/>
    <w:rsid w:val="00B46BB2"/>
    <w:rsid w:val="00B46C1E"/>
    <w:rsid w:val="00B46E3A"/>
    <w:rsid w:val="00B46F2A"/>
    <w:rsid w:val="00B46FA2"/>
    <w:rsid w:val="00B47068"/>
    <w:rsid w:val="00B4758F"/>
    <w:rsid w:val="00B477E5"/>
    <w:rsid w:val="00B478AC"/>
    <w:rsid w:val="00B47934"/>
    <w:rsid w:val="00B47A0C"/>
    <w:rsid w:val="00B47AE2"/>
    <w:rsid w:val="00B47B6E"/>
    <w:rsid w:val="00B50313"/>
    <w:rsid w:val="00B50497"/>
    <w:rsid w:val="00B50633"/>
    <w:rsid w:val="00B5074E"/>
    <w:rsid w:val="00B50792"/>
    <w:rsid w:val="00B508D9"/>
    <w:rsid w:val="00B508ED"/>
    <w:rsid w:val="00B50B15"/>
    <w:rsid w:val="00B50B7A"/>
    <w:rsid w:val="00B50CA8"/>
    <w:rsid w:val="00B50D06"/>
    <w:rsid w:val="00B50E57"/>
    <w:rsid w:val="00B51020"/>
    <w:rsid w:val="00B51427"/>
    <w:rsid w:val="00B51613"/>
    <w:rsid w:val="00B5172A"/>
    <w:rsid w:val="00B51907"/>
    <w:rsid w:val="00B51AA5"/>
    <w:rsid w:val="00B51CE9"/>
    <w:rsid w:val="00B51DC1"/>
    <w:rsid w:val="00B52097"/>
    <w:rsid w:val="00B522A4"/>
    <w:rsid w:val="00B524DA"/>
    <w:rsid w:val="00B52528"/>
    <w:rsid w:val="00B525B1"/>
    <w:rsid w:val="00B52665"/>
    <w:rsid w:val="00B5272D"/>
    <w:rsid w:val="00B529F2"/>
    <w:rsid w:val="00B52C5B"/>
    <w:rsid w:val="00B52C60"/>
    <w:rsid w:val="00B52D04"/>
    <w:rsid w:val="00B52D3A"/>
    <w:rsid w:val="00B52D66"/>
    <w:rsid w:val="00B5326D"/>
    <w:rsid w:val="00B535D5"/>
    <w:rsid w:val="00B53787"/>
    <w:rsid w:val="00B537DD"/>
    <w:rsid w:val="00B538F2"/>
    <w:rsid w:val="00B53A0D"/>
    <w:rsid w:val="00B53AC3"/>
    <w:rsid w:val="00B5403D"/>
    <w:rsid w:val="00B5410C"/>
    <w:rsid w:val="00B54127"/>
    <w:rsid w:val="00B542A3"/>
    <w:rsid w:val="00B54361"/>
    <w:rsid w:val="00B5440B"/>
    <w:rsid w:val="00B545BC"/>
    <w:rsid w:val="00B546BE"/>
    <w:rsid w:val="00B5480C"/>
    <w:rsid w:val="00B54948"/>
    <w:rsid w:val="00B54A11"/>
    <w:rsid w:val="00B54B82"/>
    <w:rsid w:val="00B54E96"/>
    <w:rsid w:val="00B54EB2"/>
    <w:rsid w:val="00B554C0"/>
    <w:rsid w:val="00B5583B"/>
    <w:rsid w:val="00B55860"/>
    <w:rsid w:val="00B55B54"/>
    <w:rsid w:val="00B55B80"/>
    <w:rsid w:val="00B55C54"/>
    <w:rsid w:val="00B55DA1"/>
    <w:rsid w:val="00B560AD"/>
    <w:rsid w:val="00B564AA"/>
    <w:rsid w:val="00B56571"/>
    <w:rsid w:val="00B565B0"/>
    <w:rsid w:val="00B56650"/>
    <w:rsid w:val="00B566BD"/>
    <w:rsid w:val="00B566CA"/>
    <w:rsid w:val="00B5671E"/>
    <w:rsid w:val="00B5672C"/>
    <w:rsid w:val="00B56771"/>
    <w:rsid w:val="00B5697C"/>
    <w:rsid w:val="00B569EB"/>
    <w:rsid w:val="00B56B0D"/>
    <w:rsid w:val="00B56D3E"/>
    <w:rsid w:val="00B56D71"/>
    <w:rsid w:val="00B5702A"/>
    <w:rsid w:val="00B573AC"/>
    <w:rsid w:val="00B5757E"/>
    <w:rsid w:val="00B57957"/>
    <w:rsid w:val="00B57A3B"/>
    <w:rsid w:val="00B57CEF"/>
    <w:rsid w:val="00B57E0F"/>
    <w:rsid w:val="00B60032"/>
    <w:rsid w:val="00B60147"/>
    <w:rsid w:val="00B602CD"/>
    <w:rsid w:val="00B606F2"/>
    <w:rsid w:val="00B607BE"/>
    <w:rsid w:val="00B607DC"/>
    <w:rsid w:val="00B60937"/>
    <w:rsid w:val="00B60A0D"/>
    <w:rsid w:val="00B60C2F"/>
    <w:rsid w:val="00B6101D"/>
    <w:rsid w:val="00B6107D"/>
    <w:rsid w:val="00B61080"/>
    <w:rsid w:val="00B610CD"/>
    <w:rsid w:val="00B6148F"/>
    <w:rsid w:val="00B6158F"/>
    <w:rsid w:val="00B6163A"/>
    <w:rsid w:val="00B618CD"/>
    <w:rsid w:val="00B61A30"/>
    <w:rsid w:val="00B61A7A"/>
    <w:rsid w:val="00B61A9D"/>
    <w:rsid w:val="00B61E9F"/>
    <w:rsid w:val="00B620C5"/>
    <w:rsid w:val="00B62135"/>
    <w:rsid w:val="00B6240D"/>
    <w:rsid w:val="00B626B0"/>
    <w:rsid w:val="00B62884"/>
    <w:rsid w:val="00B628B0"/>
    <w:rsid w:val="00B6298D"/>
    <w:rsid w:val="00B62C30"/>
    <w:rsid w:val="00B62EEB"/>
    <w:rsid w:val="00B62F67"/>
    <w:rsid w:val="00B630B4"/>
    <w:rsid w:val="00B630DA"/>
    <w:rsid w:val="00B633E5"/>
    <w:rsid w:val="00B633FF"/>
    <w:rsid w:val="00B63461"/>
    <w:rsid w:val="00B63555"/>
    <w:rsid w:val="00B635DF"/>
    <w:rsid w:val="00B63655"/>
    <w:rsid w:val="00B63893"/>
    <w:rsid w:val="00B639E7"/>
    <w:rsid w:val="00B63AB2"/>
    <w:rsid w:val="00B63C38"/>
    <w:rsid w:val="00B63C46"/>
    <w:rsid w:val="00B63E4F"/>
    <w:rsid w:val="00B63F25"/>
    <w:rsid w:val="00B63FE4"/>
    <w:rsid w:val="00B64109"/>
    <w:rsid w:val="00B64274"/>
    <w:rsid w:val="00B642C2"/>
    <w:rsid w:val="00B64351"/>
    <w:rsid w:val="00B643C1"/>
    <w:rsid w:val="00B644E5"/>
    <w:rsid w:val="00B644EC"/>
    <w:rsid w:val="00B64544"/>
    <w:rsid w:val="00B6463F"/>
    <w:rsid w:val="00B649DC"/>
    <w:rsid w:val="00B64A32"/>
    <w:rsid w:val="00B64B65"/>
    <w:rsid w:val="00B64C45"/>
    <w:rsid w:val="00B64C6B"/>
    <w:rsid w:val="00B6517E"/>
    <w:rsid w:val="00B65321"/>
    <w:rsid w:val="00B6541B"/>
    <w:rsid w:val="00B654A9"/>
    <w:rsid w:val="00B654E0"/>
    <w:rsid w:val="00B656FD"/>
    <w:rsid w:val="00B65A33"/>
    <w:rsid w:val="00B65F6F"/>
    <w:rsid w:val="00B66089"/>
    <w:rsid w:val="00B66168"/>
    <w:rsid w:val="00B6618B"/>
    <w:rsid w:val="00B661E2"/>
    <w:rsid w:val="00B66274"/>
    <w:rsid w:val="00B66971"/>
    <w:rsid w:val="00B66E64"/>
    <w:rsid w:val="00B67009"/>
    <w:rsid w:val="00B6720A"/>
    <w:rsid w:val="00B67690"/>
    <w:rsid w:val="00B677E6"/>
    <w:rsid w:val="00B67A7C"/>
    <w:rsid w:val="00B67B07"/>
    <w:rsid w:val="00B67B88"/>
    <w:rsid w:val="00B67EF7"/>
    <w:rsid w:val="00B70119"/>
    <w:rsid w:val="00B7021E"/>
    <w:rsid w:val="00B70479"/>
    <w:rsid w:val="00B70709"/>
    <w:rsid w:val="00B707EA"/>
    <w:rsid w:val="00B7092A"/>
    <w:rsid w:val="00B7096B"/>
    <w:rsid w:val="00B70A14"/>
    <w:rsid w:val="00B70BBC"/>
    <w:rsid w:val="00B70BCD"/>
    <w:rsid w:val="00B70C2A"/>
    <w:rsid w:val="00B70D35"/>
    <w:rsid w:val="00B714DC"/>
    <w:rsid w:val="00B71835"/>
    <w:rsid w:val="00B718DF"/>
    <w:rsid w:val="00B71923"/>
    <w:rsid w:val="00B7199E"/>
    <w:rsid w:val="00B71C01"/>
    <w:rsid w:val="00B71FC3"/>
    <w:rsid w:val="00B720C4"/>
    <w:rsid w:val="00B723B8"/>
    <w:rsid w:val="00B72967"/>
    <w:rsid w:val="00B72B4E"/>
    <w:rsid w:val="00B72D95"/>
    <w:rsid w:val="00B72E4D"/>
    <w:rsid w:val="00B73057"/>
    <w:rsid w:val="00B73058"/>
    <w:rsid w:val="00B73337"/>
    <w:rsid w:val="00B73369"/>
    <w:rsid w:val="00B736D8"/>
    <w:rsid w:val="00B7370F"/>
    <w:rsid w:val="00B73BB5"/>
    <w:rsid w:val="00B73E77"/>
    <w:rsid w:val="00B73FB2"/>
    <w:rsid w:val="00B741D2"/>
    <w:rsid w:val="00B74538"/>
    <w:rsid w:val="00B7461C"/>
    <w:rsid w:val="00B74DEC"/>
    <w:rsid w:val="00B74EB2"/>
    <w:rsid w:val="00B74EC8"/>
    <w:rsid w:val="00B74EF6"/>
    <w:rsid w:val="00B750A3"/>
    <w:rsid w:val="00B753D6"/>
    <w:rsid w:val="00B754E5"/>
    <w:rsid w:val="00B757C3"/>
    <w:rsid w:val="00B757F0"/>
    <w:rsid w:val="00B75A5E"/>
    <w:rsid w:val="00B76062"/>
    <w:rsid w:val="00B760DF"/>
    <w:rsid w:val="00B76105"/>
    <w:rsid w:val="00B76143"/>
    <w:rsid w:val="00B767F1"/>
    <w:rsid w:val="00B768BC"/>
    <w:rsid w:val="00B76943"/>
    <w:rsid w:val="00B769A1"/>
    <w:rsid w:val="00B76AA7"/>
    <w:rsid w:val="00B76AE0"/>
    <w:rsid w:val="00B76CFC"/>
    <w:rsid w:val="00B76DE3"/>
    <w:rsid w:val="00B76E17"/>
    <w:rsid w:val="00B7715F"/>
    <w:rsid w:val="00B7722B"/>
    <w:rsid w:val="00B772FE"/>
    <w:rsid w:val="00B773FA"/>
    <w:rsid w:val="00B77418"/>
    <w:rsid w:val="00B77583"/>
    <w:rsid w:val="00B775CB"/>
    <w:rsid w:val="00B775FA"/>
    <w:rsid w:val="00B776E0"/>
    <w:rsid w:val="00B7782B"/>
    <w:rsid w:val="00B778DE"/>
    <w:rsid w:val="00B77A04"/>
    <w:rsid w:val="00B77A38"/>
    <w:rsid w:val="00B77B0C"/>
    <w:rsid w:val="00B77C5E"/>
    <w:rsid w:val="00B77DDC"/>
    <w:rsid w:val="00B8020C"/>
    <w:rsid w:val="00B80490"/>
    <w:rsid w:val="00B8099C"/>
    <w:rsid w:val="00B80A84"/>
    <w:rsid w:val="00B80BAB"/>
    <w:rsid w:val="00B80F94"/>
    <w:rsid w:val="00B80FB2"/>
    <w:rsid w:val="00B81081"/>
    <w:rsid w:val="00B810A8"/>
    <w:rsid w:val="00B8115D"/>
    <w:rsid w:val="00B81205"/>
    <w:rsid w:val="00B81822"/>
    <w:rsid w:val="00B819EC"/>
    <w:rsid w:val="00B819FD"/>
    <w:rsid w:val="00B81A09"/>
    <w:rsid w:val="00B81B7E"/>
    <w:rsid w:val="00B81C5F"/>
    <w:rsid w:val="00B81DB3"/>
    <w:rsid w:val="00B81E3B"/>
    <w:rsid w:val="00B81F23"/>
    <w:rsid w:val="00B82254"/>
    <w:rsid w:val="00B82402"/>
    <w:rsid w:val="00B826E9"/>
    <w:rsid w:val="00B828EE"/>
    <w:rsid w:val="00B82A29"/>
    <w:rsid w:val="00B82B4C"/>
    <w:rsid w:val="00B82DBD"/>
    <w:rsid w:val="00B82F25"/>
    <w:rsid w:val="00B83143"/>
    <w:rsid w:val="00B832F0"/>
    <w:rsid w:val="00B8341F"/>
    <w:rsid w:val="00B8392A"/>
    <w:rsid w:val="00B83D84"/>
    <w:rsid w:val="00B83E6C"/>
    <w:rsid w:val="00B83F35"/>
    <w:rsid w:val="00B840DC"/>
    <w:rsid w:val="00B841FF"/>
    <w:rsid w:val="00B8420F"/>
    <w:rsid w:val="00B843A1"/>
    <w:rsid w:val="00B84425"/>
    <w:rsid w:val="00B84942"/>
    <w:rsid w:val="00B84ACD"/>
    <w:rsid w:val="00B84B7C"/>
    <w:rsid w:val="00B84BAE"/>
    <w:rsid w:val="00B84CB3"/>
    <w:rsid w:val="00B84EA5"/>
    <w:rsid w:val="00B84F72"/>
    <w:rsid w:val="00B8508B"/>
    <w:rsid w:val="00B852BB"/>
    <w:rsid w:val="00B85312"/>
    <w:rsid w:val="00B85565"/>
    <w:rsid w:val="00B85769"/>
    <w:rsid w:val="00B859E2"/>
    <w:rsid w:val="00B859E6"/>
    <w:rsid w:val="00B85AE6"/>
    <w:rsid w:val="00B85B6A"/>
    <w:rsid w:val="00B8602F"/>
    <w:rsid w:val="00B86301"/>
    <w:rsid w:val="00B863DB"/>
    <w:rsid w:val="00B8653E"/>
    <w:rsid w:val="00B8658B"/>
    <w:rsid w:val="00B8665F"/>
    <w:rsid w:val="00B866FA"/>
    <w:rsid w:val="00B86B52"/>
    <w:rsid w:val="00B86CF2"/>
    <w:rsid w:val="00B87183"/>
    <w:rsid w:val="00B871E9"/>
    <w:rsid w:val="00B871F7"/>
    <w:rsid w:val="00B87351"/>
    <w:rsid w:val="00B873E5"/>
    <w:rsid w:val="00B878FA"/>
    <w:rsid w:val="00B8795E"/>
    <w:rsid w:val="00B87A59"/>
    <w:rsid w:val="00B87A8A"/>
    <w:rsid w:val="00B87AA5"/>
    <w:rsid w:val="00B87B56"/>
    <w:rsid w:val="00B87C02"/>
    <w:rsid w:val="00B87E07"/>
    <w:rsid w:val="00B900AB"/>
    <w:rsid w:val="00B901C4"/>
    <w:rsid w:val="00B90243"/>
    <w:rsid w:val="00B90394"/>
    <w:rsid w:val="00B906DE"/>
    <w:rsid w:val="00B90760"/>
    <w:rsid w:val="00B907B8"/>
    <w:rsid w:val="00B908AF"/>
    <w:rsid w:val="00B90AB6"/>
    <w:rsid w:val="00B90ABC"/>
    <w:rsid w:val="00B90CAA"/>
    <w:rsid w:val="00B90D01"/>
    <w:rsid w:val="00B90DB4"/>
    <w:rsid w:val="00B91326"/>
    <w:rsid w:val="00B9148E"/>
    <w:rsid w:val="00B914ED"/>
    <w:rsid w:val="00B917FC"/>
    <w:rsid w:val="00B91FC6"/>
    <w:rsid w:val="00B920E1"/>
    <w:rsid w:val="00B925BA"/>
    <w:rsid w:val="00B926B2"/>
    <w:rsid w:val="00B9274A"/>
    <w:rsid w:val="00B9274B"/>
    <w:rsid w:val="00B929AA"/>
    <w:rsid w:val="00B929C6"/>
    <w:rsid w:val="00B92DA2"/>
    <w:rsid w:val="00B92DA3"/>
    <w:rsid w:val="00B92DBD"/>
    <w:rsid w:val="00B92EF3"/>
    <w:rsid w:val="00B92F7A"/>
    <w:rsid w:val="00B93105"/>
    <w:rsid w:val="00B935ED"/>
    <w:rsid w:val="00B9387A"/>
    <w:rsid w:val="00B93AAC"/>
    <w:rsid w:val="00B93D8C"/>
    <w:rsid w:val="00B93E3D"/>
    <w:rsid w:val="00B93E78"/>
    <w:rsid w:val="00B942DC"/>
    <w:rsid w:val="00B944AA"/>
    <w:rsid w:val="00B94553"/>
    <w:rsid w:val="00B94952"/>
    <w:rsid w:val="00B94C2E"/>
    <w:rsid w:val="00B94DB5"/>
    <w:rsid w:val="00B95163"/>
    <w:rsid w:val="00B951B5"/>
    <w:rsid w:val="00B95408"/>
    <w:rsid w:val="00B95700"/>
    <w:rsid w:val="00B9579A"/>
    <w:rsid w:val="00B957C9"/>
    <w:rsid w:val="00B95831"/>
    <w:rsid w:val="00B95C11"/>
    <w:rsid w:val="00B95C43"/>
    <w:rsid w:val="00B95D2A"/>
    <w:rsid w:val="00B95E0E"/>
    <w:rsid w:val="00B95E28"/>
    <w:rsid w:val="00B96092"/>
    <w:rsid w:val="00B9612F"/>
    <w:rsid w:val="00B9627E"/>
    <w:rsid w:val="00B96482"/>
    <w:rsid w:val="00B964B0"/>
    <w:rsid w:val="00B964FB"/>
    <w:rsid w:val="00B965E6"/>
    <w:rsid w:val="00B96B8F"/>
    <w:rsid w:val="00B96E86"/>
    <w:rsid w:val="00B9702F"/>
    <w:rsid w:val="00B970B5"/>
    <w:rsid w:val="00B97513"/>
    <w:rsid w:val="00B976BC"/>
    <w:rsid w:val="00B978C0"/>
    <w:rsid w:val="00B97B99"/>
    <w:rsid w:val="00B97D24"/>
    <w:rsid w:val="00B97E2C"/>
    <w:rsid w:val="00B97F30"/>
    <w:rsid w:val="00B97FC5"/>
    <w:rsid w:val="00BA02C5"/>
    <w:rsid w:val="00BA03E3"/>
    <w:rsid w:val="00BA06CD"/>
    <w:rsid w:val="00BA08DF"/>
    <w:rsid w:val="00BA0A9F"/>
    <w:rsid w:val="00BA0C19"/>
    <w:rsid w:val="00BA0C91"/>
    <w:rsid w:val="00BA0C94"/>
    <w:rsid w:val="00BA0CD2"/>
    <w:rsid w:val="00BA0D35"/>
    <w:rsid w:val="00BA0D76"/>
    <w:rsid w:val="00BA11C3"/>
    <w:rsid w:val="00BA12F3"/>
    <w:rsid w:val="00BA135F"/>
    <w:rsid w:val="00BA15A7"/>
    <w:rsid w:val="00BA16BB"/>
    <w:rsid w:val="00BA17B0"/>
    <w:rsid w:val="00BA17DE"/>
    <w:rsid w:val="00BA1907"/>
    <w:rsid w:val="00BA1ADE"/>
    <w:rsid w:val="00BA1CFB"/>
    <w:rsid w:val="00BA1D91"/>
    <w:rsid w:val="00BA1DBF"/>
    <w:rsid w:val="00BA222A"/>
    <w:rsid w:val="00BA28C9"/>
    <w:rsid w:val="00BA2990"/>
    <w:rsid w:val="00BA3297"/>
    <w:rsid w:val="00BA3354"/>
    <w:rsid w:val="00BA3CD6"/>
    <w:rsid w:val="00BA4067"/>
    <w:rsid w:val="00BA40F5"/>
    <w:rsid w:val="00BA417B"/>
    <w:rsid w:val="00BA41EA"/>
    <w:rsid w:val="00BA4263"/>
    <w:rsid w:val="00BA4292"/>
    <w:rsid w:val="00BA4302"/>
    <w:rsid w:val="00BA4B21"/>
    <w:rsid w:val="00BA4E88"/>
    <w:rsid w:val="00BA5105"/>
    <w:rsid w:val="00BA52D2"/>
    <w:rsid w:val="00BA541E"/>
    <w:rsid w:val="00BA5554"/>
    <w:rsid w:val="00BA5859"/>
    <w:rsid w:val="00BA5AF3"/>
    <w:rsid w:val="00BA5B42"/>
    <w:rsid w:val="00BA5B93"/>
    <w:rsid w:val="00BA5C86"/>
    <w:rsid w:val="00BA600F"/>
    <w:rsid w:val="00BA616B"/>
    <w:rsid w:val="00BA6383"/>
    <w:rsid w:val="00BA63B1"/>
    <w:rsid w:val="00BA6942"/>
    <w:rsid w:val="00BA6D90"/>
    <w:rsid w:val="00BA6DAF"/>
    <w:rsid w:val="00BA6E1C"/>
    <w:rsid w:val="00BA6E4E"/>
    <w:rsid w:val="00BA6FEF"/>
    <w:rsid w:val="00BA76FC"/>
    <w:rsid w:val="00BA792C"/>
    <w:rsid w:val="00BA7939"/>
    <w:rsid w:val="00BA797C"/>
    <w:rsid w:val="00BA79C6"/>
    <w:rsid w:val="00BA7AB4"/>
    <w:rsid w:val="00BA7AF7"/>
    <w:rsid w:val="00BA7B05"/>
    <w:rsid w:val="00BA7BAF"/>
    <w:rsid w:val="00BA7D66"/>
    <w:rsid w:val="00BB0016"/>
    <w:rsid w:val="00BB026B"/>
    <w:rsid w:val="00BB0285"/>
    <w:rsid w:val="00BB03B8"/>
    <w:rsid w:val="00BB0B46"/>
    <w:rsid w:val="00BB0BAE"/>
    <w:rsid w:val="00BB0C33"/>
    <w:rsid w:val="00BB0CB6"/>
    <w:rsid w:val="00BB0FD7"/>
    <w:rsid w:val="00BB116A"/>
    <w:rsid w:val="00BB148A"/>
    <w:rsid w:val="00BB14D5"/>
    <w:rsid w:val="00BB1569"/>
    <w:rsid w:val="00BB1710"/>
    <w:rsid w:val="00BB176C"/>
    <w:rsid w:val="00BB1AF4"/>
    <w:rsid w:val="00BB1C5F"/>
    <w:rsid w:val="00BB2025"/>
    <w:rsid w:val="00BB2091"/>
    <w:rsid w:val="00BB2199"/>
    <w:rsid w:val="00BB22D1"/>
    <w:rsid w:val="00BB23D4"/>
    <w:rsid w:val="00BB23DE"/>
    <w:rsid w:val="00BB2417"/>
    <w:rsid w:val="00BB2487"/>
    <w:rsid w:val="00BB2710"/>
    <w:rsid w:val="00BB2871"/>
    <w:rsid w:val="00BB28DE"/>
    <w:rsid w:val="00BB29B0"/>
    <w:rsid w:val="00BB2AFB"/>
    <w:rsid w:val="00BB2CF9"/>
    <w:rsid w:val="00BB2D1C"/>
    <w:rsid w:val="00BB2DA3"/>
    <w:rsid w:val="00BB2FF1"/>
    <w:rsid w:val="00BB303E"/>
    <w:rsid w:val="00BB305F"/>
    <w:rsid w:val="00BB3073"/>
    <w:rsid w:val="00BB328C"/>
    <w:rsid w:val="00BB328D"/>
    <w:rsid w:val="00BB34A3"/>
    <w:rsid w:val="00BB3901"/>
    <w:rsid w:val="00BB3BC9"/>
    <w:rsid w:val="00BB3DFD"/>
    <w:rsid w:val="00BB40A4"/>
    <w:rsid w:val="00BB417E"/>
    <w:rsid w:val="00BB42C4"/>
    <w:rsid w:val="00BB4378"/>
    <w:rsid w:val="00BB4B15"/>
    <w:rsid w:val="00BB4F39"/>
    <w:rsid w:val="00BB5024"/>
    <w:rsid w:val="00BB516C"/>
    <w:rsid w:val="00BB51CA"/>
    <w:rsid w:val="00BB531C"/>
    <w:rsid w:val="00BB5432"/>
    <w:rsid w:val="00BB5496"/>
    <w:rsid w:val="00BB54C2"/>
    <w:rsid w:val="00BB58AA"/>
    <w:rsid w:val="00BB5964"/>
    <w:rsid w:val="00BB59A6"/>
    <w:rsid w:val="00BB5D41"/>
    <w:rsid w:val="00BB5EA9"/>
    <w:rsid w:val="00BB6059"/>
    <w:rsid w:val="00BB60BD"/>
    <w:rsid w:val="00BB614F"/>
    <w:rsid w:val="00BB6210"/>
    <w:rsid w:val="00BB6267"/>
    <w:rsid w:val="00BB63F9"/>
    <w:rsid w:val="00BB6438"/>
    <w:rsid w:val="00BB64BC"/>
    <w:rsid w:val="00BB6671"/>
    <w:rsid w:val="00BB66F4"/>
    <w:rsid w:val="00BB69A7"/>
    <w:rsid w:val="00BB69F5"/>
    <w:rsid w:val="00BB6A9E"/>
    <w:rsid w:val="00BB6BB2"/>
    <w:rsid w:val="00BB6D9B"/>
    <w:rsid w:val="00BB6FCF"/>
    <w:rsid w:val="00BB70DD"/>
    <w:rsid w:val="00BB73C4"/>
    <w:rsid w:val="00BB7580"/>
    <w:rsid w:val="00BB764B"/>
    <w:rsid w:val="00BB76F4"/>
    <w:rsid w:val="00BB7723"/>
    <w:rsid w:val="00BB7A0B"/>
    <w:rsid w:val="00BB7A21"/>
    <w:rsid w:val="00BB7B6A"/>
    <w:rsid w:val="00BB7D6A"/>
    <w:rsid w:val="00BB7DB8"/>
    <w:rsid w:val="00BC0263"/>
    <w:rsid w:val="00BC04AE"/>
    <w:rsid w:val="00BC0785"/>
    <w:rsid w:val="00BC08BB"/>
    <w:rsid w:val="00BC0B11"/>
    <w:rsid w:val="00BC0B6D"/>
    <w:rsid w:val="00BC0CC0"/>
    <w:rsid w:val="00BC0F31"/>
    <w:rsid w:val="00BC1380"/>
    <w:rsid w:val="00BC172E"/>
    <w:rsid w:val="00BC17BB"/>
    <w:rsid w:val="00BC17F8"/>
    <w:rsid w:val="00BC1C73"/>
    <w:rsid w:val="00BC1DA4"/>
    <w:rsid w:val="00BC264E"/>
    <w:rsid w:val="00BC267E"/>
    <w:rsid w:val="00BC26DA"/>
    <w:rsid w:val="00BC27F9"/>
    <w:rsid w:val="00BC2815"/>
    <w:rsid w:val="00BC2868"/>
    <w:rsid w:val="00BC29EB"/>
    <w:rsid w:val="00BC2A75"/>
    <w:rsid w:val="00BC2B75"/>
    <w:rsid w:val="00BC2C3F"/>
    <w:rsid w:val="00BC3039"/>
    <w:rsid w:val="00BC31B1"/>
    <w:rsid w:val="00BC32F6"/>
    <w:rsid w:val="00BC3422"/>
    <w:rsid w:val="00BC34B8"/>
    <w:rsid w:val="00BC3B84"/>
    <w:rsid w:val="00BC3B94"/>
    <w:rsid w:val="00BC3D95"/>
    <w:rsid w:val="00BC4060"/>
    <w:rsid w:val="00BC40D4"/>
    <w:rsid w:val="00BC41A0"/>
    <w:rsid w:val="00BC42D0"/>
    <w:rsid w:val="00BC4566"/>
    <w:rsid w:val="00BC49AA"/>
    <w:rsid w:val="00BC49EC"/>
    <w:rsid w:val="00BC4BE7"/>
    <w:rsid w:val="00BC4BF5"/>
    <w:rsid w:val="00BC4D78"/>
    <w:rsid w:val="00BC506F"/>
    <w:rsid w:val="00BC50FF"/>
    <w:rsid w:val="00BC53E4"/>
    <w:rsid w:val="00BC56B4"/>
    <w:rsid w:val="00BC56B8"/>
    <w:rsid w:val="00BC56EF"/>
    <w:rsid w:val="00BC5753"/>
    <w:rsid w:val="00BC57CF"/>
    <w:rsid w:val="00BC5812"/>
    <w:rsid w:val="00BC5B00"/>
    <w:rsid w:val="00BC5B2A"/>
    <w:rsid w:val="00BC5CBE"/>
    <w:rsid w:val="00BC5D11"/>
    <w:rsid w:val="00BC5E35"/>
    <w:rsid w:val="00BC5EB6"/>
    <w:rsid w:val="00BC5F2B"/>
    <w:rsid w:val="00BC5FAB"/>
    <w:rsid w:val="00BC61F1"/>
    <w:rsid w:val="00BC62DA"/>
    <w:rsid w:val="00BC63F8"/>
    <w:rsid w:val="00BC64DB"/>
    <w:rsid w:val="00BC6547"/>
    <w:rsid w:val="00BC674F"/>
    <w:rsid w:val="00BC6782"/>
    <w:rsid w:val="00BC7354"/>
    <w:rsid w:val="00BC74AD"/>
    <w:rsid w:val="00BC74DF"/>
    <w:rsid w:val="00BC7537"/>
    <w:rsid w:val="00BC75B5"/>
    <w:rsid w:val="00BC75BD"/>
    <w:rsid w:val="00BC77E0"/>
    <w:rsid w:val="00BC78D5"/>
    <w:rsid w:val="00BC7DC6"/>
    <w:rsid w:val="00BD00E9"/>
    <w:rsid w:val="00BD00F8"/>
    <w:rsid w:val="00BD01A7"/>
    <w:rsid w:val="00BD044C"/>
    <w:rsid w:val="00BD0482"/>
    <w:rsid w:val="00BD051D"/>
    <w:rsid w:val="00BD0540"/>
    <w:rsid w:val="00BD0587"/>
    <w:rsid w:val="00BD06FA"/>
    <w:rsid w:val="00BD09B7"/>
    <w:rsid w:val="00BD0A1E"/>
    <w:rsid w:val="00BD0AD0"/>
    <w:rsid w:val="00BD0F1F"/>
    <w:rsid w:val="00BD124A"/>
    <w:rsid w:val="00BD1A65"/>
    <w:rsid w:val="00BD1D01"/>
    <w:rsid w:val="00BD2204"/>
    <w:rsid w:val="00BD22E2"/>
    <w:rsid w:val="00BD22F2"/>
    <w:rsid w:val="00BD24F7"/>
    <w:rsid w:val="00BD277B"/>
    <w:rsid w:val="00BD27B6"/>
    <w:rsid w:val="00BD2825"/>
    <w:rsid w:val="00BD2C07"/>
    <w:rsid w:val="00BD2D6F"/>
    <w:rsid w:val="00BD2DF8"/>
    <w:rsid w:val="00BD2E0D"/>
    <w:rsid w:val="00BD2F32"/>
    <w:rsid w:val="00BD307F"/>
    <w:rsid w:val="00BD3255"/>
    <w:rsid w:val="00BD327D"/>
    <w:rsid w:val="00BD36C3"/>
    <w:rsid w:val="00BD37CC"/>
    <w:rsid w:val="00BD3915"/>
    <w:rsid w:val="00BD3C95"/>
    <w:rsid w:val="00BD404D"/>
    <w:rsid w:val="00BD4182"/>
    <w:rsid w:val="00BD4196"/>
    <w:rsid w:val="00BD41EC"/>
    <w:rsid w:val="00BD42C0"/>
    <w:rsid w:val="00BD4886"/>
    <w:rsid w:val="00BD496C"/>
    <w:rsid w:val="00BD4A30"/>
    <w:rsid w:val="00BD4A72"/>
    <w:rsid w:val="00BD4AD2"/>
    <w:rsid w:val="00BD4E10"/>
    <w:rsid w:val="00BD4EF6"/>
    <w:rsid w:val="00BD5136"/>
    <w:rsid w:val="00BD51C1"/>
    <w:rsid w:val="00BD552F"/>
    <w:rsid w:val="00BD55DE"/>
    <w:rsid w:val="00BD56D6"/>
    <w:rsid w:val="00BD5D19"/>
    <w:rsid w:val="00BD5DCA"/>
    <w:rsid w:val="00BD619F"/>
    <w:rsid w:val="00BD6265"/>
    <w:rsid w:val="00BD6317"/>
    <w:rsid w:val="00BD6468"/>
    <w:rsid w:val="00BD6B1A"/>
    <w:rsid w:val="00BD6D83"/>
    <w:rsid w:val="00BD6DBF"/>
    <w:rsid w:val="00BD6EF2"/>
    <w:rsid w:val="00BD6F35"/>
    <w:rsid w:val="00BD6F44"/>
    <w:rsid w:val="00BD7003"/>
    <w:rsid w:val="00BD7066"/>
    <w:rsid w:val="00BD71F6"/>
    <w:rsid w:val="00BD721C"/>
    <w:rsid w:val="00BD73A9"/>
    <w:rsid w:val="00BD7479"/>
    <w:rsid w:val="00BD7494"/>
    <w:rsid w:val="00BD74D2"/>
    <w:rsid w:val="00BD78CC"/>
    <w:rsid w:val="00BD7B28"/>
    <w:rsid w:val="00BD7BC4"/>
    <w:rsid w:val="00BD7BF2"/>
    <w:rsid w:val="00BD7C22"/>
    <w:rsid w:val="00BD7C64"/>
    <w:rsid w:val="00BD7CB6"/>
    <w:rsid w:val="00BD7EC8"/>
    <w:rsid w:val="00BD7F34"/>
    <w:rsid w:val="00BE0255"/>
    <w:rsid w:val="00BE02E1"/>
    <w:rsid w:val="00BE032E"/>
    <w:rsid w:val="00BE03EA"/>
    <w:rsid w:val="00BE04F9"/>
    <w:rsid w:val="00BE0689"/>
    <w:rsid w:val="00BE0AC0"/>
    <w:rsid w:val="00BE0E99"/>
    <w:rsid w:val="00BE0F8C"/>
    <w:rsid w:val="00BE1405"/>
    <w:rsid w:val="00BE1858"/>
    <w:rsid w:val="00BE19E9"/>
    <w:rsid w:val="00BE1A6D"/>
    <w:rsid w:val="00BE1B35"/>
    <w:rsid w:val="00BE1B6B"/>
    <w:rsid w:val="00BE1B96"/>
    <w:rsid w:val="00BE1BA6"/>
    <w:rsid w:val="00BE1FAC"/>
    <w:rsid w:val="00BE23E1"/>
    <w:rsid w:val="00BE245F"/>
    <w:rsid w:val="00BE24C7"/>
    <w:rsid w:val="00BE258D"/>
    <w:rsid w:val="00BE2701"/>
    <w:rsid w:val="00BE294C"/>
    <w:rsid w:val="00BE29D3"/>
    <w:rsid w:val="00BE2B46"/>
    <w:rsid w:val="00BE2BFD"/>
    <w:rsid w:val="00BE2F3F"/>
    <w:rsid w:val="00BE32BD"/>
    <w:rsid w:val="00BE33F5"/>
    <w:rsid w:val="00BE378A"/>
    <w:rsid w:val="00BE37AB"/>
    <w:rsid w:val="00BE3BEA"/>
    <w:rsid w:val="00BE3C21"/>
    <w:rsid w:val="00BE3C97"/>
    <w:rsid w:val="00BE3E8C"/>
    <w:rsid w:val="00BE3E96"/>
    <w:rsid w:val="00BE4082"/>
    <w:rsid w:val="00BE40E1"/>
    <w:rsid w:val="00BE42CD"/>
    <w:rsid w:val="00BE4691"/>
    <w:rsid w:val="00BE4C3D"/>
    <w:rsid w:val="00BE4CCE"/>
    <w:rsid w:val="00BE5071"/>
    <w:rsid w:val="00BE52E6"/>
    <w:rsid w:val="00BE5372"/>
    <w:rsid w:val="00BE545A"/>
    <w:rsid w:val="00BE565F"/>
    <w:rsid w:val="00BE5761"/>
    <w:rsid w:val="00BE599B"/>
    <w:rsid w:val="00BE5C1E"/>
    <w:rsid w:val="00BE6186"/>
    <w:rsid w:val="00BE6387"/>
    <w:rsid w:val="00BE63E6"/>
    <w:rsid w:val="00BE67C3"/>
    <w:rsid w:val="00BE6938"/>
    <w:rsid w:val="00BE6977"/>
    <w:rsid w:val="00BE69D8"/>
    <w:rsid w:val="00BE6A84"/>
    <w:rsid w:val="00BE6BB9"/>
    <w:rsid w:val="00BE6BC1"/>
    <w:rsid w:val="00BE6C1D"/>
    <w:rsid w:val="00BE6C1E"/>
    <w:rsid w:val="00BE6E28"/>
    <w:rsid w:val="00BE6F12"/>
    <w:rsid w:val="00BE705D"/>
    <w:rsid w:val="00BE7190"/>
    <w:rsid w:val="00BE76DD"/>
    <w:rsid w:val="00BE7728"/>
    <w:rsid w:val="00BE7792"/>
    <w:rsid w:val="00BE7935"/>
    <w:rsid w:val="00BF01C4"/>
    <w:rsid w:val="00BF026B"/>
    <w:rsid w:val="00BF0684"/>
    <w:rsid w:val="00BF0956"/>
    <w:rsid w:val="00BF0B03"/>
    <w:rsid w:val="00BF0B21"/>
    <w:rsid w:val="00BF1274"/>
    <w:rsid w:val="00BF1392"/>
    <w:rsid w:val="00BF13A4"/>
    <w:rsid w:val="00BF1985"/>
    <w:rsid w:val="00BF1A77"/>
    <w:rsid w:val="00BF1CF9"/>
    <w:rsid w:val="00BF1DC3"/>
    <w:rsid w:val="00BF2371"/>
    <w:rsid w:val="00BF257A"/>
    <w:rsid w:val="00BF27D0"/>
    <w:rsid w:val="00BF27E1"/>
    <w:rsid w:val="00BF2A51"/>
    <w:rsid w:val="00BF2C1F"/>
    <w:rsid w:val="00BF2EED"/>
    <w:rsid w:val="00BF36DE"/>
    <w:rsid w:val="00BF372A"/>
    <w:rsid w:val="00BF3748"/>
    <w:rsid w:val="00BF388B"/>
    <w:rsid w:val="00BF38D1"/>
    <w:rsid w:val="00BF38FF"/>
    <w:rsid w:val="00BF3954"/>
    <w:rsid w:val="00BF3B8F"/>
    <w:rsid w:val="00BF3B94"/>
    <w:rsid w:val="00BF3BA9"/>
    <w:rsid w:val="00BF3BE6"/>
    <w:rsid w:val="00BF40FC"/>
    <w:rsid w:val="00BF4221"/>
    <w:rsid w:val="00BF42A3"/>
    <w:rsid w:val="00BF4590"/>
    <w:rsid w:val="00BF471A"/>
    <w:rsid w:val="00BF4AA2"/>
    <w:rsid w:val="00BF4C46"/>
    <w:rsid w:val="00BF4E68"/>
    <w:rsid w:val="00BF5009"/>
    <w:rsid w:val="00BF500B"/>
    <w:rsid w:val="00BF524F"/>
    <w:rsid w:val="00BF535E"/>
    <w:rsid w:val="00BF53D0"/>
    <w:rsid w:val="00BF552C"/>
    <w:rsid w:val="00BF55C2"/>
    <w:rsid w:val="00BF56CE"/>
    <w:rsid w:val="00BF570B"/>
    <w:rsid w:val="00BF577C"/>
    <w:rsid w:val="00BF5A2C"/>
    <w:rsid w:val="00BF5B62"/>
    <w:rsid w:val="00BF5D02"/>
    <w:rsid w:val="00BF5F55"/>
    <w:rsid w:val="00BF62B6"/>
    <w:rsid w:val="00BF6456"/>
    <w:rsid w:val="00BF66B7"/>
    <w:rsid w:val="00BF66FF"/>
    <w:rsid w:val="00BF676B"/>
    <w:rsid w:val="00BF69B7"/>
    <w:rsid w:val="00BF6AF5"/>
    <w:rsid w:val="00BF6C7E"/>
    <w:rsid w:val="00BF6CE3"/>
    <w:rsid w:val="00BF6E36"/>
    <w:rsid w:val="00BF6EBC"/>
    <w:rsid w:val="00BF6F44"/>
    <w:rsid w:val="00BF6FBC"/>
    <w:rsid w:val="00BF701F"/>
    <w:rsid w:val="00BF702A"/>
    <w:rsid w:val="00BF753E"/>
    <w:rsid w:val="00BF7AC1"/>
    <w:rsid w:val="00BF7B81"/>
    <w:rsid w:val="00BF7BFA"/>
    <w:rsid w:val="00BF7D03"/>
    <w:rsid w:val="00BF7F41"/>
    <w:rsid w:val="00C003A4"/>
    <w:rsid w:val="00C00475"/>
    <w:rsid w:val="00C006BA"/>
    <w:rsid w:val="00C0089F"/>
    <w:rsid w:val="00C009D4"/>
    <w:rsid w:val="00C00B28"/>
    <w:rsid w:val="00C00D56"/>
    <w:rsid w:val="00C0127D"/>
    <w:rsid w:val="00C01910"/>
    <w:rsid w:val="00C01CDC"/>
    <w:rsid w:val="00C01CED"/>
    <w:rsid w:val="00C01DB7"/>
    <w:rsid w:val="00C0227C"/>
    <w:rsid w:val="00C022C0"/>
    <w:rsid w:val="00C02908"/>
    <w:rsid w:val="00C029D1"/>
    <w:rsid w:val="00C02C8A"/>
    <w:rsid w:val="00C02DD7"/>
    <w:rsid w:val="00C03144"/>
    <w:rsid w:val="00C032AE"/>
    <w:rsid w:val="00C0344A"/>
    <w:rsid w:val="00C0374A"/>
    <w:rsid w:val="00C03E79"/>
    <w:rsid w:val="00C04122"/>
    <w:rsid w:val="00C04400"/>
    <w:rsid w:val="00C04440"/>
    <w:rsid w:val="00C044D0"/>
    <w:rsid w:val="00C04972"/>
    <w:rsid w:val="00C04B17"/>
    <w:rsid w:val="00C04BE9"/>
    <w:rsid w:val="00C04CA1"/>
    <w:rsid w:val="00C04E36"/>
    <w:rsid w:val="00C04EFD"/>
    <w:rsid w:val="00C04F5F"/>
    <w:rsid w:val="00C0521E"/>
    <w:rsid w:val="00C0523C"/>
    <w:rsid w:val="00C052B6"/>
    <w:rsid w:val="00C0549C"/>
    <w:rsid w:val="00C0591E"/>
    <w:rsid w:val="00C05BFC"/>
    <w:rsid w:val="00C05D33"/>
    <w:rsid w:val="00C05D3E"/>
    <w:rsid w:val="00C05D88"/>
    <w:rsid w:val="00C060CD"/>
    <w:rsid w:val="00C0622D"/>
    <w:rsid w:val="00C06820"/>
    <w:rsid w:val="00C06DAF"/>
    <w:rsid w:val="00C06DE7"/>
    <w:rsid w:val="00C071C0"/>
    <w:rsid w:val="00C071C3"/>
    <w:rsid w:val="00C073C9"/>
    <w:rsid w:val="00C07998"/>
    <w:rsid w:val="00C07A63"/>
    <w:rsid w:val="00C07E5F"/>
    <w:rsid w:val="00C1034E"/>
    <w:rsid w:val="00C10594"/>
    <w:rsid w:val="00C1075B"/>
    <w:rsid w:val="00C1079E"/>
    <w:rsid w:val="00C108B1"/>
    <w:rsid w:val="00C10A2D"/>
    <w:rsid w:val="00C10AF1"/>
    <w:rsid w:val="00C10BCE"/>
    <w:rsid w:val="00C10D3D"/>
    <w:rsid w:val="00C10D56"/>
    <w:rsid w:val="00C10EA3"/>
    <w:rsid w:val="00C10EFC"/>
    <w:rsid w:val="00C110BE"/>
    <w:rsid w:val="00C110F8"/>
    <w:rsid w:val="00C11284"/>
    <w:rsid w:val="00C11369"/>
    <w:rsid w:val="00C116A4"/>
    <w:rsid w:val="00C116B1"/>
    <w:rsid w:val="00C11D09"/>
    <w:rsid w:val="00C11D6C"/>
    <w:rsid w:val="00C11F1A"/>
    <w:rsid w:val="00C11FD3"/>
    <w:rsid w:val="00C1200F"/>
    <w:rsid w:val="00C120D2"/>
    <w:rsid w:val="00C12371"/>
    <w:rsid w:val="00C12578"/>
    <w:rsid w:val="00C125FE"/>
    <w:rsid w:val="00C12819"/>
    <w:rsid w:val="00C128AF"/>
    <w:rsid w:val="00C129CE"/>
    <w:rsid w:val="00C12B14"/>
    <w:rsid w:val="00C12C90"/>
    <w:rsid w:val="00C12F5B"/>
    <w:rsid w:val="00C12FF2"/>
    <w:rsid w:val="00C13130"/>
    <w:rsid w:val="00C13254"/>
    <w:rsid w:val="00C1340A"/>
    <w:rsid w:val="00C1345A"/>
    <w:rsid w:val="00C1357A"/>
    <w:rsid w:val="00C1359A"/>
    <w:rsid w:val="00C13609"/>
    <w:rsid w:val="00C136AB"/>
    <w:rsid w:val="00C136E8"/>
    <w:rsid w:val="00C13976"/>
    <w:rsid w:val="00C139BE"/>
    <w:rsid w:val="00C13C60"/>
    <w:rsid w:val="00C13FC1"/>
    <w:rsid w:val="00C13FEE"/>
    <w:rsid w:val="00C14048"/>
    <w:rsid w:val="00C14086"/>
    <w:rsid w:val="00C142E8"/>
    <w:rsid w:val="00C1435F"/>
    <w:rsid w:val="00C14458"/>
    <w:rsid w:val="00C14543"/>
    <w:rsid w:val="00C1454D"/>
    <w:rsid w:val="00C14651"/>
    <w:rsid w:val="00C1504D"/>
    <w:rsid w:val="00C1511C"/>
    <w:rsid w:val="00C15366"/>
    <w:rsid w:val="00C153EB"/>
    <w:rsid w:val="00C154F1"/>
    <w:rsid w:val="00C15A25"/>
    <w:rsid w:val="00C15FDA"/>
    <w:rsid w:val="00C160C1"/>
    <w:rsid w:val="00C161FA"/>
    <w:rsid w:val="00C16318"/>
    <w:rsid w:val="00C163A0"/>
    <w:rsid w:val="00C165E2"/>
    <w:rsid w:val="00C16701"/>
    <w:rsid w:val="00C1676A"/>
    <w:rsid w:val="00C16832"/>
    <w:rsid w:val="00C168AB"/>
    <w:rsid w:val="00C168F1"/>
    <w:rsid w:val="00C16993"/>
    <w:rsid w:val="00C16EE8"/>
    <w:rsid w:val="00C17049"/>
    <w:rsid w:val="00C1715F"/>
    <w:rsid w:val="00C171C2"/>
    <w:rsid w:val="00C171E5"/>
    <w:rsid w:val="00C173E3"/>
    <w:rsid w:val="00C179EA"/>
    <w:rsid w:val="00C17B2F"/>
    <w:rsid w:val="00C17E49"/>
    <w:rsid w:val="00C17E76"/>
    <w:rsid w:val="00C200D7"/>
    <w:rsid w:val="00C20213"/>
    <w:rsid w:val="00C205E1"/>
    <w:rsid w:val="00C205F4"/>
    <w:rsid w:val="00C20912"/>
    <w:rsid w:val="00C20998"/>
    <w:rsid w:val="00C20AA8"/>
    <w:rsid w:val="00C20B1B"/>
    <w:rsid w:val="00C20C17"/>
    <w:rsid w:val="00C20CE8"/>
    <w:rsid w:val="00C21110"/>
    <w:rsid w:val="00C212B0"/>
    <w:rsid w:val="00C213FD"/>
    <w:rsid w:val="00C2171A"/>
    <w:rsid w:val="00C22048"/>
    <w:rsid w:val="00C2217D"/>
    <w:rsid w:val="00C2284E"/>
    <w:rsid w:val="00C228E0"/>
    <w:rsid w:val="00C22903"/>
    <w:rsid w:val="00C22AFB"/>
    <w:rsid w:val="00C22F60"/>
    <w:rsid w:val="00C23083"/>
    <w:rsid w:val="00C230D5"/>
    <w:rsid w:val="00C231A1"/>
    <w:rsid w:val="00C232B0"/>
    <w:rsid w:val="00C23488"/>
    <w:rsid w:val="00C234F7"/>
    <w:rsid w:val="00C235D8"/>
    <w:rsid w:val="00C23639"/>
    <w:rsid w:val="00C2390E"/>
    <w:rsid w:val="00C2397A"/>
    <w:rsid w:val="00C23CA6"/>
    <w:rsid w:val="00C23EB3"/>
    <w:rsid w:val="00C23EBD"/>
    <w:rsid w:val="00C23FA2"/>
    <w:rsid w:val="00C23FD7"/>
    <w:rsid w:val="00C242BA"/>
    <w:rsid w:val="00C24543"/>
    <w:rsid w:val="00C245BD"/>
    <w:rsid w:val="00C248A4"/>
    <w:rsid w:val="00C248BE"/>
    <w:rsid w:val="00C249C6"/>
    <w:rsid w:val="00C24A88"/>
    <w:rsid w:val="00C24CF7"/>
    <w:rsid w:val="00C25020"/>
    <w:rsid w:val="00C2507E"/>
    <w:rsid w:val="00C252AC"/>
    <w:rsid w:val="00C252C5"/>
    <w:rsid w:val="00C25345"/>
    <w:rsid w:val="00C2534A"/>
    <w:rsid w:val="00C253A2"/>
    <w:rsid w:val="00C25469"/>
    <w:rsid w:val="00C2553D"/>
    <w:rsid w:val="00C2595F"/>
    <w:rsid w:val="00C25A0B"/>
    <w:rsid w:val="00C25C2E"/>
    <w:rsid w:val="00C25D90"/>
    <w:rsid w:val="00C25FC8"/>
    <w:rsid w:val="00C25FD5"/>
    <w:rsid w:val="00C26017"/>
    <w:rsid w:val="00C2625A"/>
    <w:rsid w:val="00C26433"/>
    <w:rsid w:val="00C265EA"/>
    <w:rsid w:val="00C2665A"/>
    <w:rsid w:val="00C267D4"/>
    <w:rsid w:val="00C26823"/>
    <w:rsid w:val="00C26894"/>
    <w:rsid w:val="00C269BB"/>
    <w:rsid w:val="00C26A13"/>
    <w:rsid w:val="00C26AB1"/>
    <w:rsid w:val="00C26AD5"/>
    <w:rsid w:val="00C26CC0"/>
    <w:rsid w:val="00C26CE1"/>
    <w:rsid w:val="00C26DBD"/>
    <w:rsid w:val="00C26F6E"/>
    <w:rsid w:val="00C27051"/>
    <w:rsid w:val="00C27063"/>
    <w:rsid w:val="00C27143"/>
    <w:rsid w:val="00C2717A"/>
    <w:rsid w:val="00C27204"/>
    <w:rsid w:val="00C27301"/>
    <w:rsid w:val="00C27449"/>
    <w:rsid w:val="00C275CE"/>
    <w:rsid w:val="00C2798C"/>
    <w:rsid w:val="00C27A62"/>
    <w:rsid w:val="00C27D10"/>
    <w:rsid w:val="00C3006C"/>
    <w:rsid w:val="00C300B8"/>
    <w:rsid w:val="00C3048B"/>
    <w:rsid w:val="00C30509"/>
    <w:rsid w:val="00C306AB"/>
    <w:rsid w:val="00C306E4"/>
    <w:rsid w:val="00C307A7"/>
    <w:rsid w:val="00C307D9"/>
    <w:rsid w:val="00C30803"/>
    <w:rsid w:val="00C3090E"/>
    <w:rsid w:val="00C309B8"/>
    <w:rsid w:val="00C30A37"/>
    <w:rsid w:val="00C30B3D"/>
    <w:rsid w:val="00C30CB9"/>
    <w:rsid w:val="00C30E28"/>
    <w:rsid w:val="00C31052"/>
    <w:rsid w:val="00C3106B"/>
    <w:rsid w:val="00C312EA"/>
    <w:rsid w:val="00C31445"/>
    <w:rsid w:val="00C315F7"/>
    <w:rsid w:val="00C31728"/>
    <w:rsid w:val="00C31751"/>
    <w:rsid w:val="00C318CC"/>
    <w:rsid w:val="00C31CF2"/>
    <w:rsid w:val="00C31E2D"/>
    <w:rsid w:val="00C31FFA"/>
    <w:rsid w:val="00C32029"/>
    <w:rsid w:val="00C322E2"/>
    <w:rsid w:val="00C3266B"/>
    <w:rsid w:val="00C327D8"/>
    <w:rsid w:val="00C329D6"/>
    <w:rsid w:val="00C32B43"/>
    <w:rsid w:val="00C32D93"/>
    <w:rsid w:val="00C32FA0"/>
    <w:rsid w:val="00C3304B"/>
    <w:rsid w:val="00C3332C"/>
    <w:rsid w:val="00C33697"/>
    <w:rsid w:val="00C3395F"/>
    <w:rsid w:val="00C33CD2"/>
    <w:rsid w:val="00C33F34"/>
    <w:rsid w:val="00C34869"/>
    <w:rsid w:val="00C349CB"/>
    <w:rsid w:val="00C34BE8"/>
    <w:rsid w:val="00C34CBE"/>
    <w:rsid w:val="00C34D47"/>
    <w:rsid w:val="00C3507A"/>
    <w:rsid w:val="00C350EB"/>
    <w:rsid w:val="00C35124"/>
    <w:rsid w:val="00C351F8"/>
    <w:rsid w:val="00C352D3"/>
    <w:rsid w:val="00C35545"/>
    <w:rsid w:val="00C358CC"/>
    <w:rsid w:val="00C3597D"/>
    <w:rsid w:val="00C35B37"/>
    <w:rsid w:val="00C35C2A"/>
    <w:rsid w:val="00C35E64"/>
    <w:rsid w:val="00C36101"/>
    <w:rsid w:val="00C36226"/>
    <w:rsid w:val="00C3627D"/>
    <w:rsid w:val="00C362B8"/>
    <w:rsid w:val="00C365FD"/>
    <w:rsid w:val="00C3675F"/>
    <w:rsid w:val="00C36803"/>
    <w:rsid w:val="00C369F2"/>
    <w:rsid w:val="00C36A05"/>
    <w:rsid w:val="00C36B39"/>
    <w:rsid w:val="00C36BCD"/>
    <w:rsid w:val="00C36D9D"/>
    <w:rsid w:val="00C370C9"/>
    <w:rsid w:val="00C371A7"/>
    <w:rsid w:val="00C3725D"/>
    <w:rsid w:val="00C3751C"/>
    <w:rsid w:val="00C378EC"/>
    <w:rsid w:val="00C37979"/>
    <w:rsid w:val="00C37F49"/>
    <w:rsid w:val="00C400A1"/>
    <w:rsid w:val="00C40423"/>
    <w:rsid w:val="00C405DA"/>
    <w:rsid w:val="00C409EF"/>
    <w:rsid w:val="00C40A42"/>
    <w:rsid w:val="00C40CB9"/>
    <w:rsid w:val="00C41061"/>
    <w:rsid w:val="00C410E5"/>
    <w:rsid w:val="00C41640"/>
    <w:rsid w:val="00C41655"/>
    <w:rsid w:val="00C41828"/>
    <w:rsid w:val="00C419AD"/>
    <w:rsid w:val="00C419E1"/>
    <w:rsid w:val="00C41C4A"/>
    <w:rsid w:val="00C41DBD"/>
    <w:rsid w:val="00C421E9"/>
    <w:rsid w:val="00C42219"/>
    <w:rsid w:val="00C422BF"/>
    <w:rsid w:val="00C423CE"/>
    <w:rsid w:val="00C424C8"/>
    <w:rsid w:val="00C4267D"/>
    <w:rsid w:val="00C42765"/>
    <w:rsid w:val="00C42AB7"/>
    <w:rsid w:val="00C42B16"/>
    <w:rsid w:val="00C42BA3"/>
    <w:rsid w:val="00C42BE1"/>
    <w:rsid w:val="00C42D11"/>
    <w:rsid w:val="00C42E13"/>
    <w:rsid w:val="00C42E6C"/>
    <w:rsid w:val="00C430E1"/>
    <w:rsid w:val="00C4323F"/>
    <w:rsid w:val="00C43366"/>
    <w:rsid w:val="00C433B2"/>
    <w:rsid w:val="00C4353D"/>
    <w:rsid w:val="00C43659"/>
    <w:rsid w:val="00C43731"/>
    <w:rsid w:val="00C4374B"/>
    <w:rsid w:val="00C4381B"/>
    <w:rsid w:val="00C4385E"/>
    <w:rsid w:val="00C43A4B"/>
    <w:rsid w:val="00C43AAD"/>
    <w:rsid w:val="00C43BE1"/>
    <w:rsid w:val="00C43D3D"/>
    <w:rsid w:val="00C43E5A"/>
    <w:rsid w:val="00C43E86"/>
    <w:rsid w:val="00C443C7"/>
    <w:rsid w:val="00C44462"/>
    <w:rsid w:val="00C444BD"/>
    <w:rsid w:val="00C445F5"/>
    <w:rsid w:val="00C44735"/>
    <w:rsid w:val="00C44924"/>
    <w:rsid w:val="00C44928"/>
    <w:rsid w:val="00C44D85"/>
    <w:rsid w:val="00C44E30"/>
    <w:rsid w:val="00C45083"/>
    <w:rsid w:val="00C45235"/>
    <w:rsid w:val="00C45342"/>
    <w:rsid w:val="00C45343"/>
    <w:rsid w:val="00C45752"/>
    <w:rsid w:val="00C45836"/>
    <w:rsid w:val="00C4592A"/>
    <w:rsid w:val="00C45B9A"/>
    <w:rsid w:val="00C45EB6"/>
    <w:rsid w:val="00C45F48"/>
    <w:rsid w:val="00C46080"/>
    <w:rsid w:val="00C4625B"/>
    <w:rsid w:val="00C463D8"/>
    <w:rsid w:val="00C4646F"/>
    <w:rsid w:val="00C46628"/>
    <w:rsid w:val="00C469B3"/>
    <w:rsid w:val="00C46C90"/>
    <w:rsid w:val="00C46C9E"/>
    <w:rsid w:val="00C46CB7"/>
    <w:rsid w:val="00C46CF1"/>
    <w:rsid w:val="00C46F62"/>
    <w:rsid w:val="00C471BB"/>
    <w:rsid w:val="00C47296"/>
    <w:rsid w:val="00C47562"/>
    <w:rsid w:val="00C476EC"/>
    <w:rsid w:val="00C4776A"/>
    <w:rsid w:val="00C477C4"/>
    <w:rsid w:val="00C47827"/>
    <w:rsid w:val="00C47960"/>
    <w:rsid w:val="00C479BC"/>
    <w:rsid w:val="00C47C98"/>
    <w:rsid w:val="00C47CD2"/>
    <w:rsid w:val="00C47CFA"/>
    <w:rsid w:val="00C47F30"/>
    <w:rsid w:val="00C5006F"/>
    <w:rsid w:val="00C500F8"/>
    <w:rsid w:val="00C50121"/>
    <w:rsid w:val="00C50250"/>
    <w:rsid w:val="00C502C1"/>
    <w:rsid w:val="00C502E9"/>
    <w:rsid w:val="00C5061B"/>
    <w:rsid w:val="00C5097D"/>
    <w:rsid w:val="00C50A55"/>
    <w:rsid w:val="00C50A85"/>
    <w:rsid w:val="00C50BAB"/>
    <w:rsid w:val="00C50BF4"/>
    <w:rsid w:val="00C50C0F"/>
    <w:rsid w:val="00C50CA7"/>
    <w:rsid w:val="00C50E43"/>
    <w:rsid w:val="00C50EC0"/>
    <w:rsid w:val="00C50F33"/>
    <w:rsid w:val="00C50F53"/>
    <w:rsid w:val="00C51005"/>
    <w:rsid w:val="00C51052"/>
    <w:rsid w:val="00C510C0"/>
    <w:rsid w:val="00C5118B"/>
    <w:rsid w:val="00C5124B"/>
    <w:rsid w:val="00C51253"/>
    <w:rsid w:val="00C51396"/>
    <w:rsid w:val="00C51660"/>
    <w:rsid w:val="00C51683"/>
    <w:rsid w:val="00C519AC"/>
    <w:rsid w:val="00C51A68"/>
    <w:rsid w:val="00C51C9F"/>
    <w:rsid w:val="00C51D8B"/>
    <w:rsid w:val="00C522AF"/>
    <w:rsid w:val="00C52584"/>
    <w:rsid w:val="00C526A6"/>
    <w:rsid w:val="00C5284F"/>
    <w:rsid w:val="00C52B7B"/>
    <w:rsid w:val="00C52D67"/>
    <w:rsid w:val="00C52F1D"/>
    <w:rsid w:val="00C52F22"/>
    <w:rsid w:val="00C5325A"/>
    <w:rsid w:val="00C5334B"/>
    <w:rsid w:val="00C5357A"/>
    <w:rsid w:val="00C53653"/>
    <w:rsid w:val="00C53A8B"/>
    <w:rsid w:val="00C53AE8"/>
    <w:rsid w:val="00C53B48"/>
    <w:rsid w:val="00C53B86"/>
    <w:rsid w:val="00C53CB9"/>
    <w:rsid w:val="00C53D0D"/>
    <w:rsid w:val="00C53D55"/>
    <w:rsid w:val="00C53DC2"/>
    <w:rsid w:val="00C53EBE"/>
    <w:rsid w:val="00C53FCC"/>
    <w:rsid w:val="00C54279"/>
    <w:rsid w:val="00C54284"/>
    <w:rsid w:val="00C542F7"/>
    <w:rsid w:val="00C544C1"/>
    <w:rsid w:val="00C54553"/>
    <w:rsid w:val="00C545E6"/>
    <w:rsid w:val="00C54723"/>
    <w:rsid w:val="00C54806"/>
    <w:rsid w:val="00C54814"/>
    <w:rsid w:val="00C54A37"/>
    <w:rsid w:val="00C54E8A"/>
    <w:rsid w:val="00C55078"/>
    <w:rsid w:val="00C551BB"/>
    <w:rsid w:val="00C553DB"/>
    <w:rsid w:val="00C5555F"/>
    <w:rsid w:val="00C556CB"/>
    <w:rsid w:val="00C55879"/>
    <w:rsid w:val="00C558DA"/>
    <w:rsid w:val="00C55943"/>
    <w:rsid w:val="00C55DEC"/>
    <w:rsid w:val="00C56247"/>
    <w:rsid w:val="00C5632C"/>
    <w:rsid w:val="00C56355"/>
    <w:rsid w:val="00C563B8"/>
    <w:rsid w:val="00C56520"/>
    <w:rsid w:val="00C56547"/>
    <w:rsid w:val="00C5657A"/>
    <w:rsid w:val="00C565F5"/>
    <w:rsid w:val="00C5660A"/>
    <w:rsid w:val="00C5662E"/>
    <w:rsid w:val="00C56BEB"/>
    <w:rsid w:val="00C56C88"/>
    <w:rsid w:val="00C571A9"/>
    <w:rsid w:val="00C5731D"/>
    <w:rsid w:val="00C577C3"/>
    <w:rsid w:val="00C5791C"/>
    <w:rsid w:val="00C57DFD"/>
    <w:rsid w:val="00C57F09"/>
    <w:rsid w:val="00C60032"/>
    <w:rsid w:val="00C6014B"/>
    <w:rsid w:val="00C605ED"/>
    <w:rsid w:val="00C6074E"/>
    <w:rsid w:val="00C607B6"/>
    <w:rsid w:val="00C60A7D"/>
    <w:rsid w:val="00C60BEF"/>
    <w:rsid w:val="00C60C30"/>
    <w:rsid w:val="00C60CE1"/>
    <w:rsid w:val="00C60F9E"/>
    <w:rsid w:val="00C6112A"/>
    <w:rsid w:val="00C6128F"/>
    <w:rsid w:val="00C615D5"/>
    <w:rsid w:val="00C6174E"/>
    <w:rsid w:val="00C61836"/>
    <w:rsid w:val="00C61988"/>
    <w:rsid w:val="00C61A82"/>
    <w:rsid w:val="00C61B17"/>
    <w:rsid w:val="00C61C25"/>
    <w:rsid w:val="00C62152"/>
    <w:rsid w:val="00C62236"/>
    <w:rsid w:val="00C62749"/>
    <w:rsid w:val="00C62915"/>
    <w:rsid w:val="00C6293F"/>
    <w:rsid w:val="00C6294D"/>
    <w:rsid w:val="00C62E41"/>
    <w:rsid w:val="00C62FC2"/>
    <w:rsid w:val="00C631B9"/>
    <w:rsid w:val="00C63313"/>
    <w:rsid w:val="00C63424"/>
    <w:rsid w:val="00C63496"/>
    <w:rsid w:val="00C63569"/>
    <w:rsid w:val="00C63948"/>
    <w:rsid w:val="00C6397C"/>
    <w:rsid w:val="00C63B42"/>
    <w:rsid w:val="00C63B82"/>
    <w:rsid w:val="00C63C38"/>
    <w:rsid w:val="00C63DCB"/>
    <w:rsid w:val="00C6415E"/>
    <w:rsid w:val="00C6423A"/>
    <w:rsid w:val="00C6450F"/>
    <w:rsid w:val="00C64551"/>
    <w:rsid w:val="00C645FE"/>
    <w:rsid w:val="00C64717"/>
    <w:rsid w:val="00C648B5"/>
    <w:rsid w:val="00C64983"/>
    <w:rsid w:val="00C64C43"/>
    <w:rsid w:val="00C64D52"/>
    <w:rsid w:val="00C6501F"/>
    <w:rsid w:val="00C65059"/>
    <w:rsid w:val="00C652DC"/>
    <w:rsid w:val="00C65313"/>
    <w:rsid w:val="00C6560F"/>
    <w:rsid w:val="00C65879"/>
    <w:rsid w:val="00C659F9"/>
    <w:rsid w:val="00C65AC0"/>
    <w:rsid w:val="00C65AC3"/>
    <w:rsid w:val="00C65B2F"/>
    <w:rsid w:val="00C65F41"/>
    <w:rsid w:val="00C6601B"/>
    <w:rsid w:val="00C66587"/>
    <w:rsid w:val="00C66700"/>
    <w:rsid w:val="00C66937"/>
    <w:rsid w:val="00C66B7D"/>
    <w:rsid w:val="00C66D07"/>
    <w:rsid w:val="00C66D7B"/>
    <w:rsid w:val="00C67295"/>
    <w:rsid w:val="00C679AF"/>
    <w:rsid w:val="00C67A90"/>
    <w:rsid w:val="00C7017E"/>
    <w:rsid w:val="00C701AC"/>
    <w:rsid w:val="00C702C6"/>
    <w:rsid w:val="00C702ED"/>
    <w:rsid w:val="00C70339"/>
    <w:rsid w:val="00C704A2"/>
    <w:rsid w:val="00C709F5"/>
    <w:rsid w:val="00C70A92"/>
    <w:rsid w:val="00C70FDE"/>
    <w:rsid w:val="00C710CD"/>
    <w:rsid w:val="00C712E0"/>
    <w:rsid w:val="00C7150A"/>
    <w:rsid w:val="00C715F6"/>
    <w:rsid w:val="00C71C0C"/>
    <w:rsid w:val="00C71E2C"/>
    <w:rsid w:val="00C71ED3"/>
    <w:rsid w:val="00C71F13"/>
    <w:rsid w:val="00C720CE"/>
    <w:rsid w:val="00C720F8"/>
    <w:rsid w:val="00C72109"/>
    <w:rsid w:val="00C724E6"/>
    <w:rsid w:val="00C726FD"/>
    <w:rsid w:val="00C72720"/>
    <w:rsid w:val="00C727D2"/>
    <w:rsid w:val="00C7281F"/>
    <w:rsid w:val="00C72DA5"/>
    <w:rsid w:val="00C730D1"/>
    <w:rsid w:val="00C7319D"/>
    <w:rsid w:val="00C7333D"/>
    <w:rsid w:val="00C73461"/>
    <w:rsid w:val="00C73520"/>
    <w:rsid w:val="00C73674"/>
    <w:rsid w:val="00C7376C"/>
    <w:rsid w:val="00C737DD"/>
    <w:rsid w:val="00C73AD1"/>
    <w:rsid w:val="00C73D28"/>
    <w:rsid w:val="00C73E1C"/>
    <w:rsid w:val="00C73E60"/>
    <w:rsid w:val="00C73F1C"/>
    <w:rsid w:val="00C74021"/>
    <w:rsid w:val="00C743A0"/>
    <w:rsid w:val="00C743B3"/>
    <w:rsid w:val="00C74668"/>
    <w:rsid w:val="00C746E7"/>
    <w:rsid w:val="00C74942"/>
    <w:rsid w:val="00C74A1E"/>
    <w:rsid w:val="00C74E48"/>
    <w:rsid w:val="00C74FBA"/>
    <w:rsid w:val="00C75658"/>
    <w:rsid w:val="00C75F0A"/>
    <w:rsid w:val="00C76170"/>
    <w:rsid w:val="00C7621B"/>
    <w:rsid w:val="00C76347"/>
    <w:rsid w:val="00C76455"/>
    <w:rsid w:val="00C76553"/>
    <w:rsid w:val="00C7670E"/>
    <w:rsid w:val="00C76A6E"/>
    <w:rsid w:val="00C76B8F"/>
    <w:rsid w:val="00C76C1E"/>
    <w:rsid w:val="00C76C46"/>
    <w:rsid w:val="00C76C78"/>
    <w:rsid w:val="00C76F5B"/>
    <w:rsid w:val="00C77676"/>
    <w:rsid w:val="00C7797F"/>
    <w:rsid w:val="00C77B12"/>
    <w:rsid w:val="00C77BEB"/>
    <w:rsid w:val="00C80BEB"/>
    <w:rsid w:val="00C80E75"/>
    <w:rsid w:val="00C80E9F"/>
    <w:rsid w:val="00C80F1B"/>
    <w:rsid w:val="00C80F61"/>
    <w:rsid w:val="00C80FB1"/>
    <w:rsid w:val="00C810A8"/>
    <w:rsid w:val="00C8119C"/>
    <w:rsid w:val="00C8120B"/>
    <w:rsid w:val="00C81342"/>
    <w:rsid w:val="00C8157A"/>
    <w:rsid w:val="00C818AA"/>
    <w:rsid w:val="00C81919"/>
    <w:rsid w:val="00C81AF8"/>
    <w:rsid w:val="00C81EB9"/>
    <w:rsid w:val="00C820A8"/>
    <w:rsid w:val="00C826F3"/>
    <w:rsid w:val="00C826FA"/>
    <w:rsid w:val="00C82707"/>
    <w:rsid w:val="00C8271D"/>
    <w:rsid w:val="00C827FE"/>
    <w:rsid w:val="00C8291E"/>
    <w:rsid w:val="00C82A52"/>
    <w:rsid w:val="00C82A8C"/>
    <w:rsid w:val="00C82F8A"/>
    <w:rsid w:val="00C8336B"/>
    <w:rsid w:val="00C83488"/>
    <w:rsid w:val="00C83692"/>
    <w:rsid w:val="00C838C1"/>
    <w:rsid w:val="00C83C21"/>
    <w:rsid w:val="00C83C93"/>
    <w:rsid w:val="00C83EA6"/>
    <w:rsid w:val="00C8418D"/>
    <w:rsid w:val="00C8427A"/>
    <w:rsid w:val="00C842ED"/>
    <w:rsid w:val="00C84778"/>
    <w:rsid w:val="00C8480B"/>
    <w:rsid w:val="00C84BD7"/>
    <w:rsid w:val="00C84F54"/>
    <w:rsid w:val="00C85126"/>
    <w:rsid w:val="00C8535E"/>
    <w:rsid w:val="00C85536"/>
    <w:rsid w:val="00C855C8"/>
    <w:rsid w:val="00C8579D"/>
    <w:rsid w:val="00C85D08"/>
    <w:rsid w:val="00C85D34"/>
    <w:rsid w:val="00C85DF4"/>
    <w:rsid w:val="00C85EB7"/>
    <w:rsid w:val="00C86046"/>
    <w:rsid w:val="00C8606F"/>
    <w:rsid w:val="00C861F6"/>
    <w:rsid w:val="00C86311"/>
    <w:rsid w:val="00C8641B"/>
    <w:rsid w:val="00C8675D"/>
    <w:rsid w:val="00C867A2"/>
    <w:rsid w:val="00C8680E"/>
    <w:rsid w:val="00C868A9"/>
    <w:rsid w:val="00C86AF8"/>
    <w:rsid w:val="00C86C9B"/>
    <w:rsid w:val="00C86EB2"/>
    <w:rsid w:val="00C8713D"/>
    <w:rsid w:val="00C8748F"/>
    <w:rsid w:val="00C8758F"/>
    <w:rsid w:val="00C8776A"/>
    <w:rsid w:val="00C87A67"/>
    <w:rsid w:val="00C87BEB"/>
    <w:rsid w:val="00C87E01"/>
    <w:rsid w:val="00C90335"/>
    <w:rsid w:val="00C9038A"/>
    <w:rsid w:val="00C905EC"/>
    <w:rsid w:val="00C90683"/>
    <w:rsid w:val="00C907A2"/>
    <w:rsid w:val="00C9088D"/>
    <w:rsid w:val="00C90985"/>
    <w:rsid w:val="00C909C1"/>
    <w:rsid w:val="00C90B90"/>
    <w:rsid w:val="00C90C8F"/>
    <w:rsid w:val="00C90CD8"/>
    <w:rsid w:val="00C90E7D"/>
    <w:rsid w:val="00C90F44"/>
    <w:rsid w:val="00C90F81"/>
    <w:rsid w:val="00C90FA3"/>
    <w:rsid w:val="00C9100F"/>
    <w:rsid w:val="00C9104C"/>
    <w:rsid w:val="00C9110B"/>
    <w:rsid w:val="00C91133"/>
    <w:rsid w:val="00C91474"/>
    <w:rsid w:val="00C91623"/>
    <w:rsid w:val="00C91AFF"/>
    <w:rsid w:val="00C91C98"/>
    <w:rsid w:val="00C91D01"/>
    <w:rsid w:val="00C91D17"/>
    <w:rsid w:val="00C91E25"/>
    <w:rsid w:val="00C92058"/>
    <w:rsid w:val="00C92186"/>
    <w:rsid w:val="00C921B9"/>
    <w:rsid w:val="00C922BB"/>
    <w:rsid w:val="00C92335"/>
    <w:rsid w:val="00C925B1"/>
    <w:rsid w:val="00C92775"/>
    <w:rsid w:val="00C92895"/>
    <w:rsid w:val="00C92A93"/>
    <w:rsid w:val="00C92B75"/>
    <w:rsid w:val="00C92BCB"/>
    <w:rsid w:val="00C92C79"/>
    <w:rsid w:val="00C92E24"/>
    <w:rsid w:val="00C93163"/>
    <w:rsid w:val="00C9316D"/>
    <w:rsid w:val="00C932C0"/>
    <w:rsid w:val="00C933A0"/>
    <w:rsid w:val="00C93F3D"/>
    <w:rsid w:val="00C945FA"/>
    <w:rsid w:val="00C94703"/>
    <w:rsid w:val="00C94709"/>
    <w:rsid w:val="00C9474F"/>
    <w:rsid w:val="00C9491E"/>
    <w:rsid w:val="00C9493E"/>
    <w:rsid w:val="00C94A58"/>
    <w:rsid w:val="00C94C5A"/>
    <w:rsid w:val="00C94E36"/>
    <w:rsid w:val="00C95036"/>
    <w:rsid w:val="00C950C1"/>
    <w:rsid w:val="00C95115"/>
    <w:rsid w:val="00C95159"/>
    <w:rsid w:val="00C956B6"/>
    <w:rsid w:val="00C959ED"/>
    <w:rsid w:val="00C95BCE"/>
    <w:rsid w:val="00C95DC1"/>
    <w:rsid w:val="00C95E8E"/>
    <w:rsid w:val="00C95EF6"/>
    <w:rsid w:val="00C960EB"/>
    <w:rsid w:val="00C96275"/>
    <w:rsid w:val="00C96284"/>
    <w:rsid w:val="00C96322"/>
    <w:rsid w:val="00C967AC"/>
    <w:rsid w:val="00C96A80"/>
    <w:rsid w:val="00C96AC5"/>
    <w:rsid w:val="00C9731F"/>
    <w:rsid w:val="00C9761A"/>
    <w:rsid w:val="00C9762A"/>
    <w:rsid w:val="00C97756"/>
    <w:rsid w:val="00C97C81"/>
    <w:rsid w:val="00C97F1B"/>
    <w:rsid w:val="00CA0011"/>
    <w:rsid w:val="00CA00F9"/>
    <w:rsid w:val="00CA0137"/>
    <w:rsid w:val="00CA01DC"/>
    <w:rsid w:val="00CA02A3"/>
    <w:rsid w:val="00CA03BA"/>
    <w:rsid w:val="00CA0862"/>
    <w:rsid w:val="00CA090D"/>
    <w:rsid w:val="00CA0B95"/>
    <w:rsid w:val="00CA0C25"/>
    <w:rsid w:val="00CA0C87"/>
    <w:rsid w:val="00CA1091"/>
    <w:rsid w:val="00CA1105"/>
    <w:rsid w:val="00CA11A7"/>
    <w:rsid w:val="00CA140D"/>
    <w:rsid w:val="00CA14AA"/>
    <w:rsid w:val="00CA1506"/>
    <w:rsid w:val="00CA1796"/>
    <w:rsid w:val="00CA181D"/>
    <w:rsid w:val="00CA186F"/>
    <w:rsid w:val="00CA1DE3"/>
    <w:rsid w:val="00CA1F0E"/>
    <w:rsid w:val="00CA1FF3"/>
    <w:rsid w:val="00CA1FFC"/>
    <w:rsid w:val="00CA2044"/>
    <w:rsid w:val="00CA20C0"/>
    <w:rsid w:val="00CA20CB"/>
    <w:rsid w:val="00CA211D"/>
    <w:rsid w:val="00CA2345"/>
    <w:rsid w:val="00CA237D"/>
    <w:rsid w:val="00CA27BC"/>
    <w:rsid w:val="00CA28BF"/>
    <w:rsid w:val="00CA29E1"/>
    <w:rsid w:val="00CA2B35"/>
    <w:rsid w:val="00CA2CF0"/>
    <w:rsid w:val="00CA3192"/>
    <w:rsid w:val="00CA328E"/>
    <w:rsid w:val="00CA32AC"/>
    <w:rsid w:val="00CA3800"/>
    <w:rsid w:val="00CA3A38"/>
    <w:rsid w:val="00CA3AD9"/>
    <w:rsid w:val="00CA3B2D"/>
    <w:rsid w:val="00CA3B48"/>
    <w:rsid w:val="00CA3BF6"/>
    <w:rsid w:val="00CA3D67"/>
    <w:rsid w:val="00CA41F3"/>
    <w:rsid w:val="00CA4251"/>
    <w:rsid w:val="00CA457A"/>
    <w:rsid w:val="00CA4686"/>
    <w:rsid w:val="00CA4890"/>
    <w:rsid w:val="00CA4E1D"/>
    <w:rsid w:val="00CA4E46"/>
    <w:rsid w:val="00CA4F95"/>
    <w:rsid w:val="00CA4FF8"/>
    <w:rsid w:val="00CA500A"/>
    <w:rsid w:val="00CA5313"/>
    <w:rsid w:val="00CA5399"/>
    <w:rsid w:val="00CA577F"/>
    <w:rsid w:val="00CA5C22"/>
    <w:rsid w:val="00CA5CC6"/>
    <w:rsid w:val="00CA5D7E"/>
    <w:rsid w:val="00CA5EBE"/>
    <w:rsid w:val="00CA5F24"/>
    <w:rsid w:val="00CA5FB5"/>
    <w:rsid w:val="00CA6249"/>
    <w:rsid w:val="00CA626C"/>
    <w:rsid w:val="00CA62E4"/>
    <w:rsid w:val="00CA640E"/>
    <w:rsid w:val="00CA69F5"/>
    <w:rsid w:val="00CA6C5C"/>
    <w:rsid w:val="00CA6D1D"/>
    <w:rsid w:val="00CA7171"/>
    <w:rsid w:val="00CA71B6"/>
    <w:rsid w:val="00CA73A3"/>
    <w:rsid w:val="00CA76C1"/>
    <w:rsid w:val="00CA7838"/>
    <w:rsid w:val="00CA7985"/>
    <w:rsid w:val="00CA79A2"/>
    <w:rsid w:val="00CA7EFD"/>
    <w:rsid w:val="00CA7FE2"/>
    <w:rsid w:val="00CA7FED"/>
    <w:rsid w:val="00CB002B"/>
    <w:rsid w:val="00CB0550"/>
    <w:rsid w:val="00CB0781"/>
    <w:rsid w:val="00CB088F"/>
    <w:rsid w:val="00CB0BB7"/>
    <w:rsid w:val="00CB0CA0"/>
    <w:rsid w:val="00CB0CEA"/>
    <w:rsid w:val="00CB0E0E"/>
    <w:rsid w:val="00CB1115"/>
    <w:rsid w:val="00CB12F7"/>
    <w:rsid w:val="00CB1458"/>
    <w:rsid w:val="00CB1504"/>
    <w:rsid w:val="00CB15BD"/>
    <w:rsid w:val="00CB1AA2"/>
    <w:rsid w:val="00CB1AC6"/>
    <w:rsid w:val="00CB1B6E"/>
    <w:rsid w:val="00CB1CD5"/>
    <w:rsid w:val="00CB1D82"/>
    <w:rsid w:val="00CB1F08"/>
    <w:rsid w:val="00CB2127"/>
    <w:rsid w:val="00CB23C9"/>
    <w:rsid w:val="00CB2541"/>
    <w:rsid w:val="00CB257B"/>
    <w:rsid w:val="00CB2749"/>
    <w:rsid w:val="00CB276A"/>
    <w:rsid w:val="00CB2807"/>
    <w:rsid w:val="00CB2833"/>
    <w:rsid w:val="00CB28CF"/>
    <w:rsid w:val="00CB290D"/>
    <w:rsid w:val="00CB2922"/>
    <w:rsid w:val="00CB2B0E"/>
    <w:rsid w:val="00CB2D74"/>
    <w:rsid w:val="00CB2F1E"/>
    <w:rsid w:val="00CB300D"/>
    <w:rsid w:val="00CB30E1"/>
    <w:rsid w:val="00CB3175"/>
    <w:rsid w:val="00CB331E"/>
    <w:rsid w:val="00CB340F"/>
    <w:rsid w:val="00CB34E1"/>
    <w:rsid w:val="00CB3851"/>
    <w:rsid w:val="00CB38B0"/>
    <w:rsid w:val="00CB38E1"/>
    <w:rsid w:val="00CB3A54"/>
    <w:rsid w:val="00CB3C47"/>
    <w:rsid w:val="00CB3C93"/>
    <w:rsid w:val="00CB3F30"/>
    <w:rsid w:val="00CB428E"/>
    <w:rsid w:val="00CB43DE"/>
    <w:rsid w:val="00CB45F0"/>
    <w:rsid w:val="00CB4676"/>
    <w:rsid w:val="00CB46A0"/>
    <w:rsid w:val="00CB4A78"/>
    <w:rsid w:val="00CB4C51"/>
    <w:rsid w:val="00CB4ED3"/>
    <w:rsid w:val="00CB5109"/>
    <w:rsid w:val="00CB57F1"/>
    <w:rsid w:val="00CB5A03"/>
    <w:rsid w:val="00CB5A87"/>
    <w:rsid w:val="00CB5B1C"/>
    <w:rsid w:val="00CB5D83"/>
    <w:rsid w:val="00CB5E06"/>
    <w:rsid w:val="00CB5E78"/>
    <w:rsid w:val="00CB5EC3"/>
    <w:rsid w:val="00CB5FA1"/>
    <w:rsid w:val="00CB6049"/>
    <w:rsid w:val="00CB60B4"/>
    <w:rsid w:val="00CB6128"/>
    <w:rsid w:val="00CB6251"/>
    <w:rsid w:val="00CB6404"/>
    <w:rsid w:val="00CB6908"/>
    <w:rsid w:val="00CB6A2B"/>
    <w:rsid w:val="00CB6AD3"/>
    <w:rsid w:val="00CB6AF5"/>
    <w:rsid w:val="00CB6CB2"/>
    <w:rsid w:val="00CB6E5C"/>
    <w:rsid w:val="00CB6EE8"/>
    <w:rsid w:val="00CB6F54"/>
    <w:rsid w:val="00CB6F5A"/>
    <w:rsid w:val="00CB701E"/>
    <w:rsid w:val="00CB7025"/>
    <w:rsid w:val="00CB7031"/>
    <w:rsid w:val="00CB715D"/>
    <w:rsid w:val="00CB71C2"/>
    <w:rsid w:val="00CB74A1"/>
    <w:rsid w:val="00CB76F6"/>
    <w:rsid w:val="00CB76FE"/>
    <w:rsid w:val="00CB79B7"/>
    <w:rsid w:val="00CB7CE5"/>
    <w:rsid w:val="00CC0285"/>
    <w:rsid w:val="00CC033A"/>
    <w:rsid w:val="00CC0539"/>
    <w:rsid w:val="00CC073E"/>
    <w:rsid w:val="00CC0C14"/>
    <w:rsid w:val="00CC1211"/>
    <w:rsid w:val="00CC134E"/>
    <w:rsid w:val="00CC1542"/>
    <w:rsid w:val="00CC15C5"/>
    <w:rsid w:val="00CC1644"/>
    <w:rsid w:val="00CC1988"/>
    <w:rsid w:val="00CC1A81"/>
    <w:rsid w:val="00CC1C91"/>
    <w:rsid w:val="00CC1DF4"/>
    <w:rsid w:val="00CC20C0"/>
    <w:rsid w:val="00CC2263"/>
    <w:rsid w:val="00CC24BF"/>
    <w:rsid w:val="00CC25D1"/>
    <w:rsid w:val="00CC2696"/>
    <w:rsid w:val="00CC2979"/>
    <w:rsid w:val="00CC299E"/>
    <w:rsid w:val="00CC29CA"/>
    <w:rsid w:val="00CC2A3B"/>
    <w:rsid w:val="00CC2B5E"/>
    <w:rsid w:val="00CC2B75"/>
    <w:rsid w:val="00CC2C25"/>
    <w:rsid w:val="00CC2C57"/>
    <w:rsid w:val="00CC2E88"/>
    <w:rsid w:val="00CC2ED0"/>
    <w:rsid w:val="00CC3511"/>
    <w:rsid w:val="00CC3817"/>
    <w:rsid w:val="00CC3879"/>
    <w:rsid w:val="00CC3923"/>
    <w:rsid w:val="00CC3927"/>
    <w:rsid w:val="00CC39C5"/>
    <w:rsid w:val="00CC3AE8"/>
    <w:rsid w:val="00CC3C4D"/>
    <w:rsid w:val="00CC3E57"/>
    <w:rsid w:val="00CC3E58"/>
    <w:rsid w:val="00CC4034"/>
    <w:rsid w:val="00CC42A5"/>
    <w:rsid w:val="00CC4378"/>
    <w:rsid w:val="00CC46C3"/>
    <w:rsid w:val="00CC4B60"/>
    <w:rsid w:val="00CC4C6A"/>
    <w:rsid w:val="00CC4CB0"/>
    <w:rsid w:val="00CC4DC8"/>
    <w:rsid w:val="00CC4DFB"/>
    <w:rsid w:val="00CC4F40"/>
    <w:rsid w:val="00CC5098"/>
    <w:rsid w:val="00CC50DE"/>
    <w:rsid w:val="00CC541B"/>
    <w:rsid w:val="00CC54F7"/>
    <w:rsid w:val="00CC569B"/>
    <w:rsid w:val="00CC593F"/>
    <w:rsid w:val="00CC59BE"/>
    <w:rsid w:val="00CC5A59"/>
    <w:rsid w:val="00CC5AB4"/>
    <w:rsid w:val="00CC5AF9"/>
    <w:rsid w:val="00CC5B72"/>
    <w:rsid w:val="00CC5F26"/>
    <w:rsid w:val="00CC5FAA"/>
    <w:rsid w:val="00CC67A2"/>
    <w:rsid w:val="00CC67D7"/>
    <w:rsid w:val="00CC69F3"/>
    <w:rsid w:val="00CC6E7D"/>
    <w:rsid w:val="00CC748C"/>
    <w:rsid w:val="00CC74F3"/>
    <w:rsid w:val="00CC7575"/>
    <w:rsid w:val="00CC7BDC"/>
    <w:rsid w:val="00CC7DA2"/>
    <w:rsid w:val="00CC7FF2"/>
    <w:rsid w:val="00CD01F4"/>
    <w:rsid w:val="00CD0236"/>
    <w:rsid w:val="00CD033C"/>
    <w:rsid w:val="00CD06BA"/>
    <w:rsid w:val="00CD073B"/>
    <w:rsid w:val="00CD085C"/>
    <w:rsid w:val="00CD0934"/>
    <w:rsid w:val="00CD0A1A"/>
    <w:rsid w:val="00CD0AA1"/>
    <w:rsid w:val="00CD0E5E"/>
    <w:rsid w:val="00CD0F4D"/>
    <w:rsid w:val="00CD10B0"/>
    <w:rsid w:val="00CD149F"/>
    <w:rsid w:val="00CD16FC"/>
    <w:rsid w:val="00CD193A"/>
    <w:rsid w:val="00CD1FA7"/>
    <w:rsid w:val="00CD217E"/>
    <w:rsid w:val="00CD2494"/>
    <w:rsid w:val="00CD2589"/>
    <w:rsid w:val="00CD290F"/>
    <w:rsid w:val="00CD2A2B"/>
    <w:rsid w:val="00CD2B94"/>
    <w:rsid w:val="00CD2C21"/>
    <w:rsid w:val="00CD2FC9"/>
    <w:rsid w:val="00CD310A"/>
    <w:rsid w:val="00CD3254"/>
    <w:rsid w:val="00CD3481"/>
    <w:rsid w:val="00CD35F3"/>
    <w:rsid w:val="00CD36B6"/>
    <w:rsid w:val="00CD3940"/>
    <w:rsid w:val="00CD3A67"/>
    <w:rsid w:val="00CD3C3F"/>
    <w:rsid w:val="00CD3FB0"/>
    <w:rsid w:val="00CD4119"/>
    <w:rsid w:val="00CD412E"/>
    <w:rsid w:val="00CD43F3"/>
    <w:rsid w:val="00CD44A4"/>
    <w:rsid w:val="00CD45F5"/>
    <w:rsid w:val="00CD4A1E"/>
    <w:rsid w:val="00CD4EE0"/>
    <w:rsid w:val="00CD5067"/>
    <w:rsid w:val="00CD51DD"/>
    <w:rsid w:val="00CD5706"/>
    <w:rsid w:val="00CD574F"/>
    <w:rsid w:val="00CD610B"/>
    <w:rsid w:val="00CD61E7"/>
    <w:rsid w:val="00CD6372"/>
    <w:rsid w:val="00CD648A"/>
    <w:rsid w:val="00CD68FA"/>
    <w:rsid w:val="00CD6D6D"/>
    <w:rsid w:val="00CD6DD9"/>
    <w:rsid w:val="00CD6DF3"/>
    <w:rsid w:val="00CD6E5D"/>
    <w:rsid w:val="00CD6E84"/>
    <w:rsid w:val="00CD6FB6"/>
    <w:rsid w:val="00CD705D"/>
    <w:rsid w:val="00CD71D0"/>
    <w:rsid w:val="00CD7473"/>
    <w:rsid w:val="00CD74E1"/>
    <w:rsid w:val="00CD7574"/>
    <w:rsid w:val="00CD7738"/>
    <w:rsid w:val="00CD77B5"/>
    <w:rsid w:val="00CD7BDF"/>
    <w:rsid w:val="00CD7CD8"/>
    <w:rsid w:val="00CE030A"/>
    <w:rsid w:val="00CE03D7"/>
    <w:rsid w:val="00CE0557"/>
    <w:rsid w:val="00CE073A"/>
    <w:rsid w:val="00CE0D1B"/>
    <w:rsid w:val="00CE0F37"/>
    <w:rsid w:val="00CE12F0"/>
    <w:rsid w:val="00CE1515"/>
    <w:rsid w:val="00CE1538"/>
    <w:rsid w:val="00CE15C7"/>
    <w:rsid w:val="00CE15CD"/>
    <w:rsid w:val="00CE174F"/>
    <w:rsid w:val="00CE1831"/>
    <w:rsid w:val="00CE1907"/>
    <w:rsid w:val="00CE1ADA"/>
    <w:rsid w:val="00CE1AEF"/>
    <w:rsid w:val="00CE1B7F"/>
    <w:rsid w:val="00CE1C66"/>
    <w:rsid w:val="00CE1D73"/>
    <w:rsid w:val="00CE2048"/>
    <w:rsid w:val="00CE2055"/>
    <w:rsid w:val="00CE20A2"/>
    <w:rsid w:val="00CE2291"/>
    <w:rsid w:val="00CE2323"/>
    <w:rsid w:val="00CE23CC"/>
    <w:rsid w:val="00CE26D2"/>
    <w:rsid w:val="00CE27A9"/>
    <w:rsid w:val="00CE289B"/>
    <w:rsid w:val="00CE2909"/>
    <w:rsid w:val="00CE2C1D"/>
    <w:rsid w:val="00CE2C51"/>
    <w:rsid w:val="00CE2C9D"/>
    <w:rsid w:val="00CE2D0C"/>
    <w:rsid w:val="00CE308D"/>
    <w:rsid w:val="00CE3444"/>
    <w:rsid w:val="00CE34A1"/>
    <w:rsid w:val="00CE38CB"/>
    <w:rsid w:val="00CE3A4D"/>
    <w:rsid w:val="00CE3A5D"/>
    <w:rsid w:val="00CE3B3E"/>
    <w:rsid w:val="00CE3C58"/>
    <w:rsid w:val="00CE3CD9"/>
    <w:rsid w:val="00CE3D4E"/>
    <w:rsid w:val="00CE4427"/>
    <w:rsid w:val="00CE4525"/>
    <w:rsid w:val="00CE456D"/>
    <w:rsid w:val="00CE4601"/>
    <w:rsid w:val="00CE4784"/>
    <w:rsid w:val="00CE48F0"/>
    <w:rsid w:val="00CE49EF"/>
    <w:rsid w:val="00CE4A7E"/>
    <w:rsid w:val="00CE4ECC"/>
    <w:rsid w:val="00CE4ECF"/>
    <w:rsid w:val="00CE5087"/>
    <w:rsid w:val="00CE50F7"/>
    <w:rsid w:val="00CE5219"/>
    <w:rsid w:val="00CE52D5"/>
    <w:rsid w:val="00CE5428"/>
    <w:rsid w:val="00CE5545"/>
    <w:rsid w:val="00CE55DD"/>
    <w:rsid w:val="00CE5ACB"/>
    <w:rsid w:val="00CE6585"/>
    <w:rsid w:val="00CE66BB"/>
    <w:rsid w:val="00CE67FD"/>
    <w:rsid w:val="00CE6805"/>
    <w:rsid w:val="00CE6950"/>
    <w:rsid w:val="00CE6953"/>
    <w:rsid w:val="00CE6A46"/>
    <w:rsid w:val="00CE6E7D"/>
    <w:rsid w:val="00CE6EC6"/>
    <w:rsid w:val="00CE6ED1"/>
    <w:rsid w:val="00CE6ED4"/>
    <w:rsid w:val="00CE7555"/>
    <w:rsid w:val="00CE7AF1"/>
    <w:rsid w:val="00CF002A"/>
    <w:rsid w:val="00CF04F5"/>
    <w:rsid w:val="00CF05C4"/>
    <w:rsid w:val="00CF0660"/>
    <w:rsid w:val="00CF06B1"/>
    <w:rsid w:val="00CF0812"/>
    <w:rsid w:val="00CF0859"/>
    <w:rsid w:val="00CF0A63"/>
    <w:rsid w:val="00CF0B8C"/>
    <w:rsid w:val="00CF0D44"/>
    <w:rsid w:val="00CF0D5C"/>
    <w:rsid w:val="00CF10C9"/>
    <w:rsid w:val="00CF13B6"/>
    <w:rsid w:val="00CF140C"/>
    <w:rsid w:val="00CF1567"/>
    <w:rsid w:val="00CF165F"/>
    <w:rsid w:val="00CF189A"/>
    <w:rsid w:val="00CF1B4B"/>
    <w:rsid w:val="00CF1BDA"/>
    <w:rsid w:val="00CF1CED"/>
    <w:rsid w:val="00CF1DEB"/>
    <w:rsid w:val="00CF1E97"/>
    <w:rsid w:val="00CF21E5"/>
    <w:rsid w:val="00CF22E9"/>
    <w:rsid w:val="00CF247E"/>
    <w:rsid w:val="00CF248F"/>
    <w:rsid w:val="00CF257D"/>
    <w:rsid w:val="00CF2638"/>
    <w:rsid w:val="00CF2657"/>
    <w:rsid w:val="00CF2862"/>
    <w:rsid w:val="00CF2938"/>
    <w:rsid w:val="00CF2B64"/>
    <w:rsid w:val="00CF2CA2"/>
    <w:rsid w:val="00CF2DE0"/>
    <w:rsid w:val="00CF2EB5"/>
    <w:rsid w:val="00CF2EBF"/>
    <w:rsid w:val="00CF2FA3"/>
    <w:rsid w:val="00CF321F"/>
    <w:rsid w:val="00CF34AA"/>
    <w:rsid w:val="00CF3675"/>
    <w:rsid w:val="00CF36D7"/>
    <w:rsid w:val="00CF37B2"/>
    <w:rsid w:val="00CF384E"/>
    <w:rsid w:val="00CF389F"/>
    <w:rsid w:val="00CF39E1"/>
    <w:rsid w:val="00CF3BFD"/>
    <w:rsid w:val="00CF3E78"/>
    <w:rsid w:val="00CF413E"/>
    <w:rsid w:val="00CF4364"/>
    <w:rsid w:val="00CF4496"/>
    <w:rsid w:val="00CF47EE"/>
    <w:rsid w:val="00CF480E"/>
    <w:rsid w:val="00CF48FC"/>
    <w:rsid w:val="00CF49C2"/>
    <w:rsid w:val="00CF4B0B"/>
    <w:rsid w:val="00CF4B47"/>
    <w:rsid w:val="00CF4BFA"/>
    <w:rsid w:val="00CF4EBC"/>
    <w:rsid w:val="00CF5341"/>
    <w:rsid w:val="00CF5373"/>
    <w:rsid w:val="00CF546E"/>
    <w:rsid w:val="00CF55A1"/>
    <w:rsid w:val="00CF55DB"/>
    <w:rsid w:val="00CF560A"/>
    <w:rsid w:val="00CF58D9"/>
    <w:rsid w:val="00CF5C8D"/>
    <w:rsid w:val="00CF5CA1"/>
    <w:rsid w:val="00CF5F69"/>
    <w:rsid w:val="00CF60CE"/>
    <w:rsid w:val="00CF60D0"/>
    <w:rsid w:val="00CF62BF"/>
    <w:rsid w:val="00CF6672"/>
    <w:rsid w:val="00CF66E3"/>
    <w:rsid w:val="00CF672C"/>
    <w:rsid w:val="00CF6996"/>
    <w:rsid w:val="00CF6AC6"/>
    <w:rsid w:val="00CF6C18"/>
    <w:rsid w:val="00CF6CFB"/>
    <w:rsid w:val="00CF70C1"/>
    <w:rsid w:val="00CF7173"/>
    <w:rsid w:val="00CF743F"/>
    <w:rsid w:val="00CF7A80"/>
    <w:rsid w:val="00CF7C72"/>
    <w:rsid w:val="00CF7DAF"/>
    <w:rsid w:val="00CF7DD5"/>
    <w:rsid w:val="00CF7EBF"/>
    <w:rsid w:val="00D00086"/>
    <w:rsid w:val="00D000BA"/>
    <w:rsid w:val="00D0012B"/>
    <w:rsid w:val="00D00221"/>
    <w:rsid w:val="00D00233"/>
    <w:rsid w:val="00D002A8"/>
    <w:rsid w:val="00D006A0"/>
    <w:rsid w:val="00D007C3"/>
    <w:rsid w:val="00D00850"/>
    <w:rsid w:val="00D009BC"/>
    <w:rsid w:val="00D00BF8"/>
    <w:rsid w:val="00D00EA0"/>
    <w:rsid w:val="00D0141D"/>
    <w:rsid w:val="00D016C7"/>
    <w:rsid w:val="00D017AB"/>
    <w:rsid w:val="00D01907"/>
    <w:rsid w:val="00D0198C"/>
    <w:rsid w:val="00D019F5"/>
    <w:rsid w:val="00D01AF7"/>
    <w:rsid w:val="00D01E0E"/>
    <w:rsid w:val="00D01FE3"/>
    <w:rsid w:val="00D021E8"/>
    <w:rsid w:val="00D022F4"/>
    <w:rsid w:val="00D02650"/>
    <w:rsid w:val="00D0274D"/>
    <w:rsid w:val="00D028F1"/>
    <w:rsid w:val="00D02B43"/>
    <w:rsid w:val="00D02E2F"/>
    <w:rsid w:val="00D02E59"/>
    <w:rsid w:val="00D02F72"/>
    <w:rsid w:val="00D02FE2"/>
    <w:rsid w:val="00D03089"/>
    <w:rsid w:val="00D0359E"/>
    <w:rsid w:val="00D03604"/>
    <w:rsid w:val="00D03704"/>
    <w:rsid w:val="00D03A5A"/>
    <w:rsid w:val="00D03B1F"/>
    <w:rsid w:val="00D03B66"/>
    <w:rsid w:val="00D03CDC"/>
    <w:rsid w:val="00D03E27"/>
    <w:rsid w:val="00D04120"/>
    <w:rsid w:val="00D04407"/>
    <w:rsid w:val="00D044FB"/>
    <w:rsid w:val="00D04588"/>
    <w:rsid w:val="00D046AD"/>
    <w:rsid w:val="00D0497C"/>
    <w:rsid w:val="00D04E06"/>
    <w:rsid w:val="00D04EA0"/>
    <w:rsid w:val="00D04F14"/>
    <w:rsid w:val="00D04F17"/>
    <w:rsid w:val="00D04FF1"/>
    <w:rsid w:val="00D051B1"/>
    <w:rsid w:val="00D052E6"/>
    <w:rsid w:val="00D05634"/>
    <w:rsid w:val="00D05774"/>
    <w:rsid w:val="00D058AD"/>
    <w:rsid w:val="00D058EC"/>
    <w:rsid w:val="00D05AE1"/>
    <w:rsid w:val="00D05B6B"/>
    <w:rsid w:val="00D05CA8"/>
    <w:rsid w:val="00D05DE8"/>
    <w:rsid w:val="00D05FE0"/>
    <w:rsid w:val="00D06249"/>
    <w:rsid w:val="00D0631C"/>
    <w:rsid w:val="00D065B1"/>
    <w:rsid w:val="00D06A77"/>
    <w:rsid w:val="00D06ACA"/>
    <w:rsid w:val="00D06B92"/>
    <w:rsid w:val="00D07118"/>
    <w:rsid w:val="00D07164"/>
    <w:rsid w:val="00D07192"/>
    <w:rsid w:val="00D0730E"/>
    <w:rsid w:val="00D07329"/>
    <w:rsid w:val="00D07409"/>
    <w:rsid w:val="00D07647"/>
    <w:rsid w:val="00D076C5"/>
    <w:rsid w:val="00D07808"/>
    <w:rsid w:val="00D07987"/>
    <w:rsid w:val="00D07A62"/>
    <w:rsid w:val="00D07A79"/>
    <w:rsid w:val="00D07D53"/>
    <w:rsid w:val="00D07EFD"/>
    <w:rsid w:val="00D101BA"/>
    <w:rsid w:val="00D101DA"/>
    <w:rsid w:val="00D1020E"/>
    <w:rsid w:val="00D102E6"/>
    <w:rsid w:val="00D10570"/>
    <w:rsid w:val="00D10604"/>
    <w:rsid w:val="00D10687"/>
    <w:rsid w:val="00D10927"/>
    <w:rsid w:val="00D109FC"/>
    <w:rsid w:val="00D10A9A"/>
    <w:rsid w:val="00D10E0A"/>
    <w:rsid w:val="00D10FDB"/>
    <w:rsid w:val="00D111DD"/>
    <w:rsid w:val="00D11266"/>
    <w:rsid w:val="00D113F0"/>
    <w:rsid w:val="00D11679"/>
    <w:rsid w:val="00D118C7"/>
    <w:rsid w:val="00D1196F"/>
    <w:rsid w:val="00D11999"/>
    <w:rsid w:val="00D119B9"/>
    <w:rsid w:val="00D11D50"/>
    <w:rsid w:val="00D11F7F"/>
    <w:rsid w:val="00D12208"/>
    <w:rsid w:val="00D12274"/>
    <w:rsid w:val="00D1229D"/>
    <w:rsid w:val="00D124AD"/>
    <w:rsid w:val="00D1251B"/>
    <w:rsid w:val="00D1259B"/>
    <w:rsid w:val="00D125A5"/>
    <w:rsid w:val="00D12A1B"/>
    <w:rsid w:val="00D12BB7"/>
    <w:rsid w:val="00D12D63"/>
    <w:rsid w:val="00D12FB7"/>
    <w:rsid w:val="00D13494"/>
    <w:rsid w:val="00D135FD"/>
    <w:rsid w:val="00D1362C"/>
    <w:rsid w:val="00D13990"/>
    <w:rsid w:val="00D139A9"/>
    <w:rsid w:val="00D13A70"/>
    <w:rsid w:val="00D13B45"/>
    <w:rsid w:val="00D13CE5"/>
    <w:rsid w:val="00D13CFD"/>
    <w:rsid w:val="00D13D87"/>
    <w:rsid w:val="00D13FE3"/>
    <w:rsid w:val="00D1405C"/>
    <w:rsid w:val="00D1417D"/>
    <w:rsid w:val="00D1483B"/>
    <w:rsid w:val="00D14979"/>
    <w:rsid w:val="00D149D8"/>
    <w:rsid w:val="00D14B81"/>
    <w:rsid w:val="00D14C88"/>
    <w:rsid w:val="00D14F10"/>
    <w:rsid w:val="00D15063"/>
    <w:rsid w:val="00D15402"/>
    <w:rsid w:val="00D1553B"/>
    <w:rsid w:val="00D1566A"/>
    <w:rsid w:val="00D15679"/>
    <w:rsid w:val="00D156D2"/>
    <w:rsid w:val="00D15777"/>
    <w:rsid w:val="00D15892"/>
    <w:rsid w:val="00D15A35"/>
    <w:rsid w:val="00D15B7F"/>
    <w:rsid w:val="00D15C3D"/>
    <w:rsid w:val="00D160F0"/>
    <w:rsid w:val="00D16125"/>
    <w:rsid w:val="00D16135"/>
    <w:rsid w:val="00D16217"/>
    <w:rsid w:val="00D16517"/>
    <w:rsid w:val="00D1653A"/>
    <w:rsid w:val="00D165A1"/>
    <w:rsid w:val="00D16733"/>
    <w:rsid w:val="00D168D3"/>
    <w:rsid w:val="00D16AC1"/>
    <w:rsid w:val="00D16B11"/>
    <w:rsid w:val="00D16C52"/>
    <w:rsid w:val="00D16CF3"/>
    <w:rsid w:val="00D16FD6"/>
    <w:rsid w:val="00D16FEB"/>
    <w:rsid w:val="00D1730F"/>
    <w:rsid w:val="00D17440"/>
    <w:rsid w:val="00D1746D"/>
    <w:rsid w:val="00D1786A"/>
    <w:rsid w:val="00D178FA"/>
    <w:rsid w:val="00D17A98"/>
    <w:rsid w:val="00D17B06"/>
    <w:rsid w:val="00D17D59"/>
    <w:rsid w:val="00D17DC4"/>
    <w:rsid w:val="00D17DD4"/>
    <w:rsid w:val="00D20462"/>
    <w:rsid w:val="00D2061F"/>
    <w:rsid w:val="00D20A5E"/>
    <w:rsid w:val="00D20AC2"/>
    <w:rsid w:val="00D20E7C"/>
    <w:rsid w:val="00D20ED7"/>
    <w:rsid w:val="00D21058"/>
    <w:rsid w:val="00D21124"/>
    <w:rsid w:val="00D21214"/>
    <w:rsid w:val="00D212E6"/>
    <w:rsid w:val="00D212EA"/>
    <w:rsid w:val="00D214CE"/>
    <w:rsid w:val="00D218DA"/>
    <w:rsid w:val="00D21972"/>
    <w:rsid w:val="00D219F6"/>
    <w:rsid w:val="00D21CCC"/>
    <w:rsid w:val="00D21E65"/>
    <w:rsid w:val="00D21F12"/>
    <w:rsid w:val="00D21F97"/>
    <w:rsid w:val="00D22014"/>
    <w:rsid w:val="00D22031"/>
    <w:rsid w:val="00D22080"/>
    <w:rsid w:val="00D22131"/>
    <w:rsid w:val="00D2220A"/>
    <w:rsid w:val="00D222D3"/>
    <w:rsid w:val="00D224AF"/>
    <w:rsid w:val="00D225B2"/>
    <w:rsid w:val="00D22756"/>
    <w:rsid w:val="00D228D7"/>
    <w:rsid w:val="00D22B42"/>
    <w:rsid w:val="00D22DCA"/>
    <w:rsid w:val="00D22F86"/>
    <w:rsid w:val="00D23006"/>
    <w:rsid w:val="00D234C6"/>
    <w:rsid w:val="00D23530"/>
    <w:rsid w:val="00D235E5"/>
    <w:rsid w:val="00D2369E"/>
    <w:rsid w:val="00D23C8D"/>
    <w:rsid w:val="00D24298"/>
    <w:rsid w:val="00D245E5"/>
    <w:rsid w:val="00D245F5"/>
    <w:rsid w:val="00D248B8"/>
    <w:rsid w:val="00D24AFE"/>
    <w:rsid w:val="00D24BB1"/>
    <w:rsid w:val="00D24BE9"/>
    <w:rsid w:val="00D24BFA"/>
    <w:rsid w:val="00D24E62"/>
    <w:rsid w:val="00D24E87"/>
    <w:rsid w:val="00D250C5"/>
    <w:rsid w:val="00D2536B"/>
    <w:rsid w:val="00D254A8"/>
    <w:rsid w:val="00D254E7"/>
    <w:rsid w:val="00D256F7"/>
    <w:rsid w:val="00D25972"/>
    <w:rsid w:val="00D25AE4"/>
    <w:rsid w:val="00D25D7F"/>
    <w:rsid w:val="00D265E1"/>
    <w:rsid w:val="00D26804"/>
    <w:rsid w:val="00D26ABB"/>
    <w:rsid w:val="00D26AF6"/>
    <w:rsid w:val="00D26BEE"/>
    <w:rsid w:val="00D26F03"/>
    <w:rsid w:val="00D26F29"/>
    <w:rsid w:val="00D272AF"/>
    <w:rsid w:val="00D272D0"/>
    <w:rsid w:val="00D27377"/>
    <w:rsid w:val="00D275BC"/>
    <w:rsid w:val="00D27696"/>
    <w:rsid w:val="00D27700"/>
    <w:rsid w:val="00D278D3"/>
    <w:rsid w:val="00D27CC9"/>
    <w:rsid w:val="00D27DF0"/>
    <w:rsid w:val="00D27FF5"/>
    <w:rsid w:val="00D30037"/>
    <w:rsid w:val="00D3006E"/>
    <w:rsid w:val="00D30200"/>
    <w:rsid w:val="00D3033A"/>
    <w:rsid w:val="00D303CC"/>
    <w:rsid w:val="00D3043C"/>
    <w:rsid w:val="00D304AA"/>
    <w:rsid w:val="00D30863"/>
    <w:rsid w:val="00D30939"/>
    <w:rsid w:val="00D30BFC"/>
    <w:rsid w:val="00D30C7B"/>
    <w:rsid w:val="00D3104F"/>
    <w:rsid w:val="00D3111D"/>
    <w:rsid w:val="00D312AF"/>
    <w:rsid w:val="00D3139D"/>
    <w:rsid w:val="00D31677"/>
    <w:rsid w:val="00D3167B"/>
    <w:rsid w:val="00D3169F"/>
    <w:rsid w:val="00D316B6"/>
    <w:rsid w:val="00D317C3"/>
    <w:rsid w:val="00D31A49"/>
    <w:rsid w:val="00D31CF8"/>
    <w:rsid w:val="00D31D8D"/>
    <w:rsid w:val="00D31DA1"/>
    <w:rsid w:val="00D31E39"/>
    <w:rsid w:val="00D320CE"/>
    <w:rsid w:val="00D321CC"/>
    <w:rsid w:val="00D3229E"/>
    <w:rsid w:val="00D328BB"/>
    <w:rsid w:val="00D329E7"/>
    <w:rsid w:val="00D32A8B"/>
    <w:rsid w:val="00D32B2A"/>
    <w:rsid w:val="00D32BC3"/>
    <w:rsid w:val="00D32C2B"/>
    <w:rsid w:val="00D32D1F"/>
    <w:rsid w:val="00D32D51"/>
    <w:rsid w:val="00D330F5"/>
    <w:rsid w:val="00D33101"/>
    <w:rsid w:val="00D3310F"/>
    <w:rsid w:val="00D3327A"/>
    <w:rsid w:val="00D332D6"/>
    <w:rsid w:val="00D335B6"/>
    <w:rsid w:val="00D336A7"/>
    <w:rsid w:val="00D337BF"/>
    <w:rsid w:val="00D337D0"/>
    <w:rsid w:val="00D33980"/>
    <w:rsid w:val="00D339B5"/>
    <w:rsid w:val="00D339B9"/>
    <w:rsid w:val="00D339D3"/>
    <w:rsid w:val="00D33DBF"/>
    <w:rsid w:val="00D33DEC"/>
    <w:rsid w:val="00D33E40"/>
    <w:rsid w:val="00D33F1A"/>
    <w:rsid w:val="00D33FFB"/>
    <w:rsid w:val="00D34117"/>
    <w:rsid w:val="00D34141"/>
    <w:rsid w:val="00D34156"/>
    <w:rsid w:val="00D3421A"/>
    <w:rsid w:val="00D34306"/>
    <w:rsid w:val="00D34326"/>
    <w:rsid w:val="00D347C7"/>
    <w:rsid w:val="00D34CD0"/>
    <w:rsid w:val="00D34E35"/>
    <w:rsid w:val="00D34E6D"/>
    <w:rsid w:val="00D34E7E"/>
    <w:rsid w:val="00D34EEE"/>
    <w:rsid w:val="00D34F1D"/>
    <w:rsid w:val="00D34FF4"/>
    <w:rsid w:val="00D350E8"/>
    <w:rsid w:val="00D3526A"/>
    <w:rsid w:val="00D352DD"/>
    <w:rsid w:val="00D35370"/>
    <w:rsid w:val="00D353D5"/>
    <w:rsid w:val="00D354A9"/>
    <w:rsid w:val="00D35A32"/>
    <w:rsid w:val="00D35CFE"/>
    <w:rsid w:val="00D35D9D"/>
    <w:rsid w:val="00D35DB6"/>
    <w:rsid w:val="00D36142"/>
    <w:rsid w:val="00D36295"/>
    <w:rsid w:val="00D3646F"/>
    <w:rsid w:val="00D36825"/>
    <w:rsid w:val="00D36883"/>
    <w:rsid w:val="00D368DD"/>
    <w:rsid w:val="00D36A2B"/>
    <w:rsid w:val="00D36BB4"/>
    <w:rsid w:val="00D36D2F"/>
    <w:rsid w:val="00D36E44"/>
    <w:rsid w:val="00D3717B"/>
    <w:rsid w:val="00D37240"/>
    <w:rsid w:val="00D37295"/>
    <w:rsid w:val="00D3745E"/>
    <w:rsid w:val="00D37613"/>
    <w:rsid w:val="00D3766B"/>
    <w:rsid w:val="00D378AD"/>
    <w:rsid w:val="00D37A7E"/>
    <w:rsid w:val="00D37BD2"/>
    <w:rsid w:val="00D37E44"/>
    <w:rsid w:val="00D37F76"/>
    <w:rsid w:val="00D4004F"/>
    <w:rsid w:val="00D403AE"/>
    <w:rsid w:val="00D403C9"/>
    <w:rsid w:val="00D4049B"/>
    <w:rsid w:val="00D40894"/>
    <w:rsid w:val="00D408B9"/>
    <w:rsid w:val="00D409ED"/>
    <w:rsid w:val="00D40B7F"/>
    <w:rsid w:val="00D40C24"/>
    <w:rsid w:val="00D40DE3"/>
    <w:rsid w:val="00D40ED6"/>
    <w:rsid w:val="00D41249"/>
    <w:rsid w:val="00D413C9"/>
    <w:rsid w:val="00D417C2"/>
    <w:rsid w:val="00D418AE"/>
    <w:rsid w:val="00D4191B"/>
    <w:rsid w:val="00D41AC9"/>
    <w:rsid w:val="00D41BB8"/>
    <w:rsid w:val="00D41DB5"/>
    <w:rsid w:val="00D421AD"/>
    <w:rsid w:val="00D42360"/>
    <w:rsid w:val="00D42740"/>
    <w:rsid w:val="00D428A3"/>
    <w:rsid w:val="00D42985"/>
    <w:rsid w:val="00D429FF"/>
    <w:rsid w:val="00D42A80"/>
    <w:rsid w:val="00D42BA7"/>
    <w:rsid w:val="00D42CCE"/>
    <w:rsid w:val="00D42D49"/>
    <w:rsid w:val="00D432A5"/>
    <w:rsid w:val="00D43B03"/>
    <w:rsid w:val="00D43F81"/>
    <w:rsid w:val="00D4407C"/>
    <w:rsid w:val="00D440FD"/>
    <w:rsid w:val="00D4464C"/>
    <w:rsid w:val="00D44765"/>
    <w:rsid w:val="00D447B0"/>
    <w:rsid w:val="00D448ED"/>
    <w:rsid w:val="00D448F4"/>
    <w:rsid w:val="00D44AF8"/>
    <w:rsid w:val="00D44BDF"/>
    <w:rsid w:val="00D44D7A"/>
    <w:rsid w:val="00D44FBB"/>
    <w:rsid w:val="00D4505E"/>
    <w:rsid w:val="00D4519D"/>
    <w:rsid w:val="00D45379"/>
    <w:rsid w:val="00D45393"/>
    <w:rsid w:val="00D4539E"/>
    <w:rsid w:val="00D45477"/>
    <w:rsid w:val="00D455B2"/>
    <w:rsid w:val="00D45656"/>
    <w:rsid w:val="00D4565D"/>
    <w:rsid w:val="00D456AE"/>
    <w:rsid w:val="00D45783"/>
    <w:rsid w:val="00D45B3D"/>
    <w:rsid w:val="00D45B49"/>
    <w:rsid w:val="00D45D57"/>
    <w:rsid w:val="00D45E07"/>
    <w:rsid w:val="00D45E2C"/>
    <w:rsid w:val="00D45EFF"/>
    <w:rsid w:val="00D45F28"/>
    <w:rsid w:val="00D45FAA"/>
    <w:rsid w:val="00D46009"/>
    <w:rsid w:val="00D46239"/>
    <w:rsid w:val="00D4631F"/>
    <w:rsid w:val="00D46366"/>
    <w:rsid w:val="00D4637B"/>
    <w:rsid w:val="00D46437"/>
    <w:rsid w:val="00D4651D"/>
    <w:rsid w:val="00D468AD"/>
    <w:rsid w:val="00D46A59"/>
    <w:rsid w:val="00D46A5F"/>
    <w:rsid w:val="00D46CC2"/>
    <w:rsid w:val="00D47089"/>
    <w:rsid w:val="00D4708A"/>
    <w:rsid w:val="00D47240"/>
    <w:rsid w:val="00D47B9F"/>
    <w:rsid w:val="00D47EC9"/>
    <w:rsid w:val="00D50187"/>
    <w:rsid w:val="00D5021A"/>
    <w:rsid w:val="00D5038E"/>
    <w:rsid w:val="00D50838"/>
    <w:rsid w:val="00D509A5"/>
    <w:rsid w:val="00D509E1"/>
    <w:rsid w:val="00D50A6B"/>
    <w:rsid w:val="00D50BBC"/>
    <w:rsid w:val="00D51052"/>
    <w:rsid w:val="00D51251"/>
    <w:rsid w:val="00D515EA"/>
    <w:rsid w:val="00D51601"/>
    <w:rsid w:val="00D5177A"/>
    <w:rsid w:val="00D517D7"/>
    <w:rsid w:val="00D5199B"/>
    <w:rsid w:val="00D51A7D"/>
    <w:rsid w:val="00D51D51"/>
    <w:rsid w:val="00D51EB5"/>
    <w:rsid w:val="00D51FB2"/>
    <w:rsid w:val="00D52491"/>
    <w:rsid w:val="00D5250A"/>
    <w:rsid w:val="00D52594"/>
    <w:rsid w:val="00D5297D"/>
    <w:rsid w:val="00D52D0D"/>
    <w:rsid w:val="00D52D54"/>
    <w:rsid w:val="00D52DD5"/>
    <w:rsid w:val="00D53007"/>
    <w:rsid w:val="00D53041"/>
    <w:rsid w:val="00D5335B"/>
    <w:rsid w:val="00D53400"/>
    <w:rsid w:val="00D534D9"/>
    <w:rsid w:val="00D53534"/>
    <w:rsid w:val="00D53557"/>
    <w:rsid w:val="00D536E3"/>
    <w:rsid w:val="00D538C9"/>
    <w:rsid w:val="00D538DF"/>
    <w:rsid w:val="00D538FC"/>
    <w:rsid w:val="00D53A16"/>
    <w:rsid w:val="00D53A1F"/>
    <w:rsid w:val="00D53C97"/>
    <w:rsid w:val="00D53CBD"/>
    <w:rsid w:val="00D53D70"/>
    <w:rsid w:val="00D542B7"/>
    <w:rsid w:val="00D54751"/>
    <w:rsid w:val="00D547FE"/>
    <w:rsid w:val="00D548BF"/>
    <w:rsid w:val="00D549A0"/>
    <w:rsid w:val="00D54A17"/>
    <w:rsid w:val="00D54A65"/>
    <w:rsid w:val="00D54B4F"/>
    <w:rsid w:val="00D54D95"/>
    <w:rsid w:val="00D54EA3"/>
    <w:rsid w:val="00D5506F"/>
    <w:rsid w:val="00D5517C"/>
    <w:rsid w:val="00D551CC"/>
    <w:rsid w:val="00D5529D"/>
    <w:rsid w:val="00D552ED"/>
    <w:rsid w:val="00D5532F"/>
    <w:rsid w:val="00D553DF"/>
    <w:rsid w:val="00D554E1"/>
    <w:rsid w:val="00D55673"/>
    <w:rsid w:val="00D5569B"/>
    <w:rsid w:val="00D558A5"/>
    <w:rsid w:val="00D559F4"/>
    <w:rsid w:val="00D55C2C"/>
    <w:rsid w:val="00D55C70"/>
    <w:rsid w:val="00D55D01"/>
    <w:rsid w:val="00D55D35"/>
    <w:rsid w:val="00D55E94"/>
    <w:rsid w:val="00D55F5F"/>
    <w:rsid w:val="00D560C3"/>
    <w:rsid w:val="00D560D0"/>
    <w:rsid w:val="00D561D8"/>
    <w:rsid w:val="00D56218"/>
    <w:rsid w:val="00D56469"/>
    <w:rsid w:val="00D567D1"/>
    <w:rsid w:val="00D56909"/>
    <w:rsid w:val="00D56B1F"/>
    <w:rsid w:val="00D56C8B"/>
    <w:rsid w:val="00D56CC4"/>
    <w:rsid w:val="00D56D2D"/>
    <w:rsid w:val="00D56F69"/>
    <w:rsid w:val="00D56FCF"/>
    <w:rsid w:val="00D571B1"/>
    <w:rsid w:val="00D572DD"/>
    <w:rsid w:val="00D573BD"/>
    <w:rsid w:val="00D5740C"/>
    <w:rsid w:val="00D57458"/>
    <w:rsid w:val="00D5745A"/>
    <w:rsid w:val="00D5753F"/>
    <w:rsid w:val="00D5764C"/>
    <w:rsid w:val="00D5769D"/>
    <w:rsid w:val="00D578A6"/>
    <w:rsid w:val="00D57916"/>
    <w:rsid w:val="00D579F4"/>
    <w:rsid w:val="00D57E1D"/>
    <w:rsid w:val="00D57E31"/>
    <w:rsid w:val="00D57F28"/>
    <w:rsid w:val="00D6003E"/>
    <w:rsid w:val="00D6009F"/>
    <w:rsid w:val="00D601BC"/>
    <w:rsid w:val="00D60214"/>
    <w:rsid w:val="00D6048D"/>
    <w:rsid w:val="00D60540"/>
    <w:rsid w:val="00D6068F"/>
    <w:rsid w:val="00D60769"/>
    <w:rsid w:val="00D6093C"/>
    <w:rsid w:val="00D60BAC"/>
    <w:rsid w:val="00D6100C"/>
    <w:rsid w:val="00D61330"/>
    <w:rsid w:val="00D61418"/>
    <w:rsid w:val="00D6147D"/>
    <w:rsid w:val="00D61567"/>
    <w:rsid w:val="00D61579"/>
    <w:rsid w:val="00D615B6"/>
    <w:rsid w:val="00D615C4"/>
    <w:rsid w:val="00D61682"/>
    <w:rsid w:val="00D61863"/>
    <w:rsid w:val="00D61870"/>
    <w:rsid w:val="00D61BDA"/>
    <w:rsid w:val="00D61C3B"/>
    <w:rsid w:val="00D61CB4"/>
    <w:rsid w:val="00D61CC0"/>
    <w:rsid w:val="00D61D7B"/>
    <w:rsid w:val="00D61EBE"/>
    <w:rsid w:val="00D61F28"/>
    <w:rsid w:val="00D6232B"/>
    <w:rsid w:val="00D62383"/>
    <w:rsid w:val="00D625CE"/>
    <w:rsid w:val="00D62B55"/>
    <w:rsid w:val="00D62B90"/>
    <w:rsid w:val="00D62BB4"/>
    <w:rsid w:val="00D62BED"/>
    <w:rsid w:val="00D62DFF"/>
    <w:rsid w:val="00D630DC"/>
    <w:rsid w:val="00D6320F"/>
    <w:rsid w:val="00D63230"/>
    <w:rsid w:val="00D632E4"/>
    <w:rsid w:val="00D636D3"/>
    <w:rsid w:val="00D63817"/>
    <w:rsid w:val="00D63A9C"/>
    <w:rsid w:val="00D63C1E"/>
    <w:rsid w:val="00D63C76"/>
    <w:rsid w:val="00D63C95"/>
    <w:rsid w:val="00D63CAA"/>
    <w:rsid w:val="00D63CC1"/>
    <w:rsid w:val="00D63D28"/>
    <w:rsid w:val="00D63D90"/>
    <w:rsid w:val="00D63EFC"/>
    <w:rsid w:val="00D6418B"/>
    <w:rsid w:val="00D643E1"/>
    <w:rsid w:val="00D64744"/>
    <w:rsid w:val="00D647F4"/>
    <w:rsid w:val="00D64884"/>
    <w:rsid w:val="00D649B6"/>
    <w:rsid w:val="00D64C91"/>
    <w:rsid w:val="00D64F15"/>
    <w:rsid w:val="00D65003"/>
    <w:rsid w:val="00D652C8"/>
    <w:rsid w:val="00D6532A"/>
    <w:rsid w:val="00D65339"/>
    <w:rsid w:val="00D654D5"/>
    <w:rsid w:val="00D6558F"/>
    <w:rsid w:val="00D6562F"/>
    <w:rsid w:val="00D657A2"/>
    <w:rsid w:val="00D65855"/>
    <w:rsid w:val="00D6585A"/>
    <w:rsid w:val="00D65A4C"/>
    <w:rsid w:val="00D65F25"/>
    <w:rsid w:val="00D6624B"/>
    <w:rsid w:val="00D66262"/>
    <w:rsid w:val="00D6647F"/>
    <w:rsid w:val="00D666AA"/>
    <w:rsid w:val="00D667C1"/>
    <w:rsid w:val="00D66846"/>
    <w:rsid w:val="00D66926"/>
    <w:rsid w:val="00D66F7D"/>
    <w:rsid w:val="00D67243"/>
    <w:rsid w:val="00D67260"/>
    <w:rsid w:val="00D6739F"/>
    <w:rsid w:val="00D673C8"/>
    <w:rsid w:val="00D6746D"/>
    <w:rsid w:val="00D674FE"/>
    <w:rsid w:val="00D6756E"/>
    <w:rsid w:val="00D67581"/>
    <w:rsid w:val="00D6784B"/>
    <w:rsid w:val="00D679DB"/>
    <w:rsid w:val="00D67A7A"/>
    <w:rsid w:val="00D67B67"/>
    <w:rsid w:val="00D67C43"/>
    <w:rsid w:val="00D67D57"/>
    <w:rsid w:val="00D67D64"/>
    <w:rsid w:val="00D67ED7"/>
    <w:rsid w:val="00D67EE4"/>
    <w:rsid w:val="00D7006C"/>
    <w:rsid w:val="00D70274"/>
    <w:rsid w:val="00D703CC"/>
    <w:rsid w:val="00D7061E"/>
    <w:rsid w:val="00D7070B"/>
    <w:rsid w:val="00D70A29"/>
    <w:rsid w:val="00D70B40"/>
    <w:rsid w:val="00D70BCD"/>
    <w:rsid w:val="00D7101B"/>
    <w:rsid w:val="00D711B5"/>
    <w:rsid w:val="00D711DF"/>
    <w:rsid w:val="00D71760"/>
    <w:rsid w:val="00D7192F"/>
    <w:rsid w:val="00D71A4F"/>
    <w:rsid w:val="00D71B3E"/>
    <w:rsid w:val="00D72130"/>
    <w:rsid w:val="00D721F3"/>
    <w:rsid w:val="00D7243D"/>
    <w:rsid w:val="00D72554"/>
    <w:rsid w:val="00D72579"/>
    <w:rsid w:val="00D72AA0"/>
    <w:rsid w:val="00D72BA3"/>
    <w:rsid w:val="00D72BCE"/>
    <w:rsid w:val="00D72C9F"/>
    <w:rsid w:val="00D72E2A"/>
    <w:rsid w:val="00D73283"/>
    <w:rsid w:val="00D7360D"/>
    <w:rsid w:val="00D7370E"/>
    <w:rsid w:val="00D7386D"/>
    <w:rsid w:val="00D738B1"/>
    <w:rsid w:val="00D7394A"/>
    <w:rsid w:val="00D73A61"/>
    <w:rsid w:val="00D74055"/>
    <w:rsid w:val="00D74113"/>
    <w:rsid w:val="00D74258"/>
    <w:rsid w:val="00D7438B"/>
    <w:rsid w:val="00D7449B"/>
    <w:rsid w:val="00D7461C"/>
    <w:rsid w:val="00D746EF"/>
    <w:rsid w:val="00D74807"/>
    <w:rsid w:val="00D74D81"/>
    <w:rsid w:val="00D74D82"/>
    <w:rsid w:val="00D74FA3"/>
    <w:rsid w:val="00D75138"/>
    <w:rsid w:val="00D7517D"/>
    <w:rsid w:val="00D75388"/>
    <w:rsid w:val="00D754F9"/>
    <w:rsid w:val="00D755D8"/>
    <w:rsid w:val="00D7562D"/>
    <w:rsid w:val="00D75664"/>
    <w:rsid w:val="00D756F9"/>
    <w:rsid w:val="00D75769"/>
    <w:rsid w:val="00D75806"/>
    <w:rsid w:val="00D7581D"/>
    <w:rsid w:val="00D7594E"/>
    <w:rsid w:val="00D75C04"/>
    <w:rsid w:val="00D75CF4"/>
    <w:rsid w:val="00D75D8A"/>
    <w:rsid w:val="00D75DD3"/>
    <w:rsid w:val="00D75E87"/>
    <w:rsid w:val="00D760AB"/>
    <w:rsid w:val="00D76107"/>
    <w:rsid w:val="00D7610D"/>
    <w:rsid w:val="00D76128"/>
    <w:rsid w:val="00D761A4"/>
    <w:rsid w:val="00D76363"/>
    <w:rsid w:val="00D76410"/>
    <w:rsid w:val="00D76623"/>
    <w:rsid w:val="00D76678"/>
    <w:rsid w:val="00D766BD"/>
    <w:rsid w:val="00D76B05"/>
    <w:rsid w:val="00D76C01"/>
    <w:rsid w:val="00D76DC0"/>
    <w:rsid w:val="00D774DC"/>
    <w:rsid w:val="00D774EF"/>
    <w:rsid w:val="00D77696"/>
    <w:rsid w:val="00D777D7"/>
    <w:rsid w:val="00D77AC4"/>
    <w:rsid w:val="00D77D53"/>
    <w:rsid w:val="00D77F1A"/>
    <w:rsid w:val="00D80001"/>
    <w:rsid w:val="00D80351"/>
    <w:rsid w:val="00D80631"/>
    <w:rsid w:val="00D808D3"/>
    <w:rsid w:val="00D80C71"/>
    <w:rsid w:val="00D80DD6"/>
    <w:rsid w:val="00D8108E"/>
    <w:rsid w:val="00D81332"/>
    <w:rsid w:val="00D81570"/>
    <w:rsid w:val="00D815B7"/>
    <w:rsid w:val="00D81669"/>
    <w:rsid w:val="00D816E0"/>
    <w:rsid w:val="00D81709"/>
    <w:rsid w:val="00D817D9"/>
    <w:rsid w:val="00D819CD"/>
    <w:rsid w:val="00D81D93"/>
    <w:rsid w:val="00D81E66"/>
    <w:rsid w:val="00D82295"/>
    <w:rsid w:val="00D826B4"/>
    <w:rsid w:val="00D826BE"/>
    <w:rsid w:val="00D829AB"/>
    <w:rsid w:val="00D82B3D"/>
    <w:rsid w:val="00D82B61"/>
    <w:rsid w:val="00D82C0D"/>
    <w:rsid w:val="00D82F67"/>
    <w:rsid w:val="00D831CB"/>
    <w:rsid w:val="00D834BD"/>
    <w:rsid w:val="00D834ED"/>
    <w:rsid w:val="00D83597"/>
    <w:rsid w:val="00D8378B"/>
    <w:rsid w:val="00D83791"/>
    <w:rsid w:val="00D8380D"/>
    <w:rsid w:val="00D83C9C"/>
    <w:rsid w:val="00D83DD1"/>
    <w:rsid w:val="00D83E72"/>
    <w:rsid w:val="00D83EF3"/>
    <w:rsid w:val="00D842D3"/>
    <w:rsid w:val="00D843CA"/>
    <w:rsid w:val="00D84415"/>
    <w:rsid w:val="00D8452A"/>
    <w:rsid w:val="00D84556"/>
    <w:rsid w:val="00D8463B"/>
    <w:rsid w:val="00D846B0"/>
    <w:rsid w:val="00D84872"/>
    <w:rsid w:val="00D84977"/>
    <w:rsid w:val="00D84AA3"/>
    <w:rsid w:val="00D84AD3"/>
    <w:rsid w:val="00D84C23"/>
    <w:rsid w:val="00D84D9B"/>
    <w:rsid w:val="00D84F6F"/>
    <w:rsid w:val="00D851AD"/>
    <w:rsid w:val="00D8531A"/>
    <w:rsid w:val="00D85436"/>
    <w:rsid w:val="00D857EC"/>
    <w:rsid w:val="00D858C3"/>
    <w:rsid w:val="00D85940"/>
    <w:rsid w:val="00D859C6"/>
    <w:rsid w:val="00D85A01"/>
    <w:rsid w:val="00D85E64"/>
    <w:rsid w:val="00D86193"/>
    <w:rsid w:val="00D8649F"/>
    <w:rsid w:val="00D8657F"/>
    <w:rsid w:val="00D86A31"/>
    <w:rsid w:val="00D86AB7"/>
    <w:rsid w:val="00D86B56"/>
    <w:rsid w:val="00D86EC5"/>
    <w:rsid w:val="00D8711B"/>
    <w:rsid w:val="00D874A4"/>
    <w:rsid w:val="00D875EB"/>
    <w:rsid w:val="00D87606"/>
    <w:rsid w:val="00D8760F"/>
    <w:rsid w:val="00D8765B"/>
    <w:rsid w:val="00D87702"/>
    <w:rsid w:val="00D87AE6"/>
    <w:rsid w:val="00D87B7B"/>
    <w:rsid w:val="00D87D28"/>
    <w:rsid w:val="00D87F6E"/>
    <w:rsid w:val="00D9038B"/>
    <w:rsid w:val="00D90594"/>
    <w:rsid w:val="00D909D0"/>
    <w:rsid w:val="00D910A3"/>
    <w:rsid w:val="00D91138"/>
    <w:rsid w:val="00D91514"/>
    <w:rsid w:val="00D91657"/>
    <w:rsid w:val="00D916E5"/>
    <w:rsid w:val="00D9173D"/>
    <w:rsid w:val="00D9175C"/>
    <w:rsid w:val="00D91AAB"/>
    <w:rsid w:val="00D91B9D"/>
    <w:rsid w:val="00D91C38"/>
    <w:rsid w:val="00D91F36"/>
    <w:rsid w:val="00D9209D"/>
    <w:rsid w:val="00D924C5"/>
    <w:rsid w:val="00D92842"/>
    <w:rsid w:val="00D9284F"/>
    <w:rsid w:val="00D92A05"/>
    <w:rsid w:val="00D92A8F"/>
    <w:rsid w:val="00D92B32"/>
    <w:rsid w:val="00D92C0E"/>
    <w:rsid w:val="00D92C18"/>
    <w:rsid w:val="00D92D64"/>
    <w:rsid w:val="00D92FAA"/>
    <w:rsid w:val="00D92FF6"/>
    <w:rsid w:val="00D93492"/>
    <w:rsid w:val="00D9361D"/>
    <w:rsid w:val="00D9364E"/>
    <w:rsid w:val="00D93664"/>
    <w:rsid w:val="00D936D8"/>
    <w:rsid w:val="00D9377F"/>
    <w:rsid w:val="00D9391C"/>
    <w:rsid w:val="00D939A6"/>
    <w:rsid w:val="00D93A65"/>
    <w:rsid w:val="00D93C5E"/>
    <w:rsid w:val="00D93C85"/>
    <w:rsid w:val="00D93FFA"/>
    <w:rsid w:val="00D941F6"/>
    <w:rsid w:val="00D942A4"/>
    <w:rsid w:val="00D943A8"/>
    <w:rsid w:val="00D94749"/>
    <w:rsid w:val="00D9481E"/>
    <w:rsid w:val="00D94AD2"/>
    <w:rsid w:val="00D94B43"/>
    <w:rsid w:val="00D94D90"/>
    <w:rsid w:val="00D94F9B"/>
    <w:rsid w:val="00D951FD"/>
    <w:rsid w:val="00D95506"/>
    <w:rsid w:val="00D95913"/>
    <w:rsid w:val="00D95946"/>
    <w:rsid w:val="00D95AA3"/>
    <w:rsid w:val="00D95C1C"/>
    <w:rsid w:val="00D95C36"/>
    <w:rsid w:val="00D95F1B"/>
    <w:rsid w:val="00D97426"/>
    <w:rsid w:val="00D9748C"/>
    <w:rsid w:val="00D975FB"/>
    <w:rsid w:val="00D97921"/>
    <w:rsid w:val="00D97C05"/>
    <w:rsid w:val="00D97EAC"/>
    <w:rsid w:val="00D97FAC"/>
    <w:rsid w:val="00DA036D"/>
    <w:rsid w:val="00DA0560"/>
    <w:rsid w:val="00DA05AC"/>
    <w:rsid w:val="00DA07A2"/>
    <w:rsid w:val="00DA08C4"/>
    <w:rsid w:val="00DA0979"/>
    <w:rsid w:val="00DA0A0F"/>
    <w:rsid w:val="00DA0A88"/>
    <w:rsid w:val="00DA0C1D"/>
    <w:rsid w:val="00DA1215"/>
    <w:rsid w:val="00DA1287"/>
    <w:rsid w:val="00DA158C"/>
    <w:rsid w:val="00DA1664"/>
    <w:rsid w:val="00DA1B2F"/>
    <w:rsid w:val="00DA1C03"/>
    <w:rsid w:val="00DA1D17"/>
    <w:rsid w:val="00DA1D94"/>
    <w:rsid w:val="00DA1E06"/>
    <w:rsid w:val="00DA1FB5"/>
    <w:rsid w:val="00DA2242"/>
    <w:rsid w:val="00DA22BE"/>
    <w:rsid w:val="00DA23D4"/>
    <w:rsid w:val="00DA2401"/>
    <w:rsid w:val="00DA2665"/>
    <w:rsid w:val="00DA2921"/>
    <w:rsid w:val="00DA2BCA"/>
    <w:rsid w:val="00DA2EEE"/>
    <w:rsid w:val="00DA31BC"/>
    <w:rsid w:val="00DA33B7"/>
    <w:rsid w:val="00DA3402"/>
    <w:rsid w:val="00DA3621"/>
    <w:rsid w:val="00DA3670"/>
    <w:rsid w:val="00DA36B2"/>
    <w:rsid w:val="00DA3909"/>
    <w:rsid w:val="00DA390F"/>
    <w:rsid w:val="00DA39BE"/>
    <w:rsid w:val="00DA3B70"/>
    <w:rsid w:val="00DA3C58"/>
    <w:rsid w:val="00DA3D3D"/>
    <w:rsid w:val="00DA3EAE"/>
    <w:rsid w:val="00DA3F53"/>
    <w:rsid w:val="00DA4054"/>
    <w:rsid w:val="00DA4586"/>
    <w:rsid w:val="00DA468F"/>
    <w:rsid w:val="00DA47EA"/>
    <w:rsid w:val="00DA48DE"/>
    <w:rsid w:val="00DA49D3"/>
    <w:rsid w:val="00DA4A03"/>
    <w:rsid w:val="00DA4B74"/>
    <w:rsid w:val="00DA4C41"/>
    <w:rsid w:val="00DA4C9D"/>
    <w:rsid w:val="00DA50B9"/>
    <w:rsid w:val="00DA52E4"/>
    <w:rsid w:val="00DA5432"/>
    <w:rsid w:val="00DA549A"/>
    <w:rsid w:val="00DA54FA"/>
    <w:rsid w:val="00DA5704"/>
    <w:rsid w:val="00DA5728"/>
    <w:rsid w:val="00DA5742"/>
    <w:rsid w:val="00DA5766"/>
    <w:rsid w:val="00DA581B"/>
    <w:rsid w:val="00DA5C2B"/>
    <w:rsid w:val="00DA5D00"/>
    <w:rsid w:val="00DA5D33"/>
    <w:rsid w:val="00DA5D37"/>
    <w:rsid w:val="00DA5F57"/>
    <w:rsid w:val="00DA5F6E"/>
    <w:rsid w:val="00DA5FD1"/>
    <w:rsid w:val="00DA6143"/>
    <w:rsid w:val="00DA61CE"/>
    <w:rsid w:val="00DA6335"/>
    <w:rsid w:val="00DA6488"/>
    <w:rsid w:val="00DA6759"/>
    <w:rsid w:val="00DA69E1"/>
    <w:rsid w:val="00DA6B08"/>
    <w:rsid w:val="00DA6D17"/>
    <w:rsid w:val="00DA71C6"/>
    <w:rsid w:val="00DA72D4"/>
    <w:rsid w:val="00DA72E2"/>
    <w:rsid w:val="00DA7369"/>
    <w:rsid w:val="00DA73A7"/>
    <w:rsid w:val="00DA744A"/>
    <w:rsid w:val="00DA77C9"/>
    <w:rsid w:val="00DA792D"/>
    <w:rsid w:val="00DA7B28"/>
    <w:rsid w:val="00DA7BF5"/>
    <w:rsid w:val="00DA7C6A"/>
    <w:rsid w:val="00DB05F6"/>
    <w:rsid w:val="00DB09D4"/>
    <w:rsid w:val="00DB0B88"/>
    <w:rsid w:val="00DB0E5A"/>
    <w:rsid w:val="00DB0FA7"/>
    <w:rsid w:val="00DB112E"/>
    <w:rsid w:val="00DB1160"/>
    <w:rsid w:val="00DB1229"/>
    <w:rsid w:val="00DB1754"/>
    <w:rsid w:val="00DB178D"/>
    <w:rsid w:val="00DB183F"/>
    <w:rsid w:val="00DB195F"/>
    <w:rsid w:val="00DB1B50"/>
    <w:rsid w:val="00DB1BB2"/>
    <w:rsid w:val="00DB1C00"/>
    <w:rsid w:val="00DB1E17"/>
    <w:rsid w:val="00DB1E1E"/>
    <w:rsid w:val="00DB1E24"/>
    <w:rsid w:val="00DB2093"/>
    <w:rsid w:val="00DB2182"/>
    <w:rsid w:val="00DB2253"/>
    <w:rsid w:val="00DB225A"/>
    <w:rsid w:val="00DB22BB"/>
    <w:rsid w:val="00DB24B3"/>
    <w:rsid w:val="00DB286D"/>
    <w:rsid w:val="00DB28FF"/>
    <w:rsid w:val="00DB29C4"/>
    <w:rsid w:val="00DB2A90"/>
    <w:rsid w:val="00DB2C7A"/>
    <w:rsid w:val="00DB2D4E"/>
    <w:rsid w:val="00DB3125"/>
    <w:rsid w:val="00DB3677"/>
    <w:rsid w:val="00DB3689"/>
    <w:rsid w:val="00DB36DA"/>
    <w:rsid w:val="00DB3B26"/>
    <w:rsid w:val="00DB3F50"/>
    <w:rsid w:val="00DB3F92"/>
    <w:rsid w:val="00DB3FCE"/>
    <w:rsid w:val="00DB4125"/>
    <w:rsid w:val="00DB4389"/>
    <w:rsid w:val="00DB4540"/>
    <w:rsid w:val="00DB462F"/>
    <w:rsid w:val="00DB4A81"/>
    <w:rsid w:val="00DB4E93"/>
    <w:rsid w:val="00DB4E96"/>
    <w:rsid w:val="00DB507D"/>
    <w:rsid w:val="00DB50FA"/>
    <w:rsid w:val="00DB51AD"/>
    <w:rsid w:val="00DB5269"/>
    <w:rsid w:val="00DB52BD"/>
    <w:rsid w:val="00DB546F"/>
    <w:rsid w:val="00DB5555"/>
    <w:rsid w:val="00DB587F"/>
    <w:rsid w:val="00DB592D"/>
    <w:rsid w:val="00DB5A70"/>
    <w:rsid w:val="00DB5BFD"/>
    <w:rsid w:val="00DB5CE2"/>
    <w:rsid w:val="00DB5D0A"/>
    <w:rsid w:val="00DB5D2C"/>
    <w:rsid w:val="00DB5DC0"/>
    <w:rsid w:val="00DB5EEE"/>
    <w:rsid w:val="00DB6131"/>
    <w:rsid w:val="00DB621A"/>
    <w:rsid w:val="00DB658F"/>
    <w:rsid w:val="00DB663D"/>
    <w:rsid w:val="00DB6756"/>
    <w:rsid w:val="00DB6774"/>
    <w:rsid w:val="00DB6A4F"/>
    <w:rsid w:val="00DB6BE5"/>
    <w:rsid w:val="00DB6C8D"/>
    <w:rsid w:val="00DB6DA0"/>
    <w:rsid w:val="00DB749A"/>
    <w:rsid w:val="00DB74C6"/>
    <w:rsid w:val="00DB75BD"/>
    <w:rsid w:val="00DB77A7"/>
    <w:rsid w:val="00DB7898"/>
    <w:rsid w:val="00DB7959"/>
    <w:rsid w:val="00DB7B6F"/>
    <w:rsid w:val="00DB7B75"/>
    <w:rsid w:val="00DC029F"/>
    <w:rsid w:val="00DC0334"/>
    <w:rsid w:val="00DC0491"/>
    <w:rsid w:val="00DC0519"/>
    <w:rsid w:val="00DC06B7"/>
    <w:rsid w:val="00DC0A0D"/>
    <w:rsid w:val="00DC0C36"/>
    <w:rsid w:val="00DC0D31"/>
    <w:rsid w:val="00DC1179"/>
    <w:rsid w:val="00DC13D1"/>
    <w:rsid w:val="00DC1628"/>
    <w:rsid w:val="00DC1680"/>
    <w:rsid w:val="00DC1684"/>
    <w:rsid w:val="00DC1740"/>
    <w:rsid w:val="00DC1950"/>
    <w:rsid w:val="00DC1984"/>
    <w:rsid w:val="00DC1AAD"/>
    <w:rsid w:val="00DC1FE9"/>
    <w:rsid w:val="00DC2102"/>
    <w:rsid w:val="00DC21A1"/>
    <w:rsid w:val="00DC21AE"/>
    <w:rsid w:val="00DC242B"/>
    <w:rsid w:val="00DC2554"/>
    <w:rsid w:val="00DC2580"/>
    <w:rsid w:val="00DC272C"/>
    <w:rsid w:val="00DC27EC"/>
    <w:rsid w:val="00DC2879"/>
    <w:rsid w:val="00DC292E"/>
    <w:rsid w:val="00DC2941"/>
    <w:rsid w:val="00DC2963"/>
    <w:rsid w:val="00DC2A36"/>
    <w:rsid w:val="00DC2ABC"/>
    <w:rsid w:val="00DC2BFD"/>
    <w:rsid w:val="00DC2C12"/>
    <w:rsid w:val="00DC2C50"/>
    <w:rsid w:val="00DC2C76"/>
    <w:rsid w:val="00DC2F2C"/>
    <w:rsid w:val="00DC32EB"/>
    <w:rsid w:val="00DC3546"/>
    <w:rsid w:val="00DC361C"/>
    <w:rsid w:val="00DC3644"/>
    <w:rsid w:val="00DC3978"/>
    <w:rsid w:val="00DC3A1C"/>
    <w:rsid w:val="00DC3B76"/>
    <w:rsid w:val="00DC3C98"/>
    <w:rsid w:val="00DC3C9E"/>
    <w:rsid w:val="00DC3D8E"/>
    <w:rsid w:val="00DC3E74"/>
    <w:rsid w:val="00DC3EFE"/>
    <w:rsid w:val="00DC412E"/>
    <w:rsid w:val="00DC41DF"/>
    <w:rsid w:val="00DC4305"/>
    <w:rsid w:val="00DC45BE"/>
    <w:rsid w:val="00DC466D"/>
    <w:rsid w:val="00DC4C3D"/>
    <w:rsid w:val="00DC4C40"/>
    <w:rsid w:val="00DC4D93"/>
    <w:rsid w:val="00DC5398"/>
    <w:rsid w:val="00DC53F7"/>
    <w:rsid w:val="00DC54ED"/>
    <w:rsid w:val="00DC56EF"/>
    <w:rsid w:val="00DC5818"/>
    <w:rsid w:val="00DC5825"/>
    <w:rsid w:val="00DC5A06"/>
    <w:rsid w:val="00DC5C1B"/>
    <w:rsid w:val="00DC5D7F"/>
    <w:rsid w:val="00DC5DB1"/>
    <w:rsid w:val="00DC5F02"/>
    <w:rsid w:val="00DC617E"/>
    <w:rsid w:val="00DC62F6"/>
    <w:rsid w:val="00DC637B"/>
    <w:rsid w:val="00DC63F7"/>
    <w:rsid w:val="00DC650D"/>
    <w:rsid w:val="00DC658E"/>
    <w:rsid w:val="00DC65D6"/>
    <w:rsid w:val="00DC6A52"/>
    <w:rsid w:val="00DC6A90"/>
    <w:rsid w:val="00DC6DEF"/>
    <w:rsid w:val="00DC6FF9"/>
    <w:rsid w:val="00DC7236"/>
    <w:rsid w:val="00DC72ED"/>
    <w:rsid w:val="00DC73AE"/>
    <w:rsid w:val="00DC7494"/>
    <w:rsid w:val="00DC75B9"/>
    <w:rsid w:val="00DC7737"/>
    <w:rsid w:val="00DC7761"/>
    <w:rsid w:val="00DC7774"/>
    <w:rsid w:val="00DC790E"/>
    <w:rsid w:val="00DC7C49"/>
    <w:rsid w:val="00DC7C60"/>
    <w:rsid w:val="00DC7C96"/>
    <w:rsid w:val="00DC7CF8"/>
    <w:rsid w:val="00DC7F0A"/>
    <w:rsid w:val="00DC7F7B"/>
    <w:rsid w:val="00DD013E"/>
    <w:rsid w:val="00DD0480"/>
    <w:rsid w:val="00DD0647"/>
    <w:rsid w:val="00DD0704"/>
    <w:rsid w:val="00DD0726"/>
    <w:rsid w:val="00DD07BB"/>
    <w:rsid w:val="00DD07BF"/>
    <w:rsid w:val="00DD0897"/>
    <w:rsid w:val="00DD08EF"/>
    <w:rsid w:val="00DD09F8"/>
    <w:rsid w:val="00DD0C42"/>
    <w:rsid w:val="00DD0C9A"/>
    <w:rsid w:val="00DD0CAA"/>
    <w:rsid w:val="00DD0CCB"/>
    <w:rsid w:val="00DD14AA"/>
    <w:rsid w:val="00DD1722"/>
    <w:rsid w:val="00DD1B0A"/>
    <w:rsid w:val="00DD1C83"/>
    <w:rsid w:val="00DD1D71"/>
    <w:rsid w:val="00DD1E6E"/>
    <w:rsid w:val="00DD1F2C"/>
    <w:rsid w:val="00DD2076"/>
    <w:rsid w:val="00DD2173"/>
    <w:rsid w:val="00DD2253"/>
    <w:rsid w:val="00DD2380"/>
    <w:rsid w:val="00DD24E0"/>
    <w:rsid w:val="00DD263F"/>
    <w:rsid w:val="00DD2977"/>
    <w:rsid w:val="00DD29A2"/>
    <w:rsid w:val="00DD2AA4"/>
    <w:rsid w:val="00DD2DBD"/>
    <w:rsid w:val="00DD2DE7"/>
    <w:rsid w:val="00DD2DF2"/>
    <w:rsid w:val="00DD2FA6"/>
    <w:rsid w:val="00DD2FCA"/>
    <w:rsid w:val="00DD3072"/>
    <w:rsid w:val="00DD30C3"/>
    <w:rsid w:val="00DD3173"/>
    <w:rsid w:val="00DD31C1"/>
    <w:rsid w:val="00DD32E8"/>
    <w:rsid w:val="00DD3443"/>
    <w:rsid w:val="00DD34D9"/>
    <w:rsid w:val="00DD35BB"/>
    <w:rsid w:val="00DD36D9"/>
    <w:rsid w:val="00DD38E7"/>
    <w:rsid w:val="00DD38ED"/>
    <w:rsid w:val="00DD3ECF"/>
    <w:rsid w:val="00DD3F26"/>
    <w:rsid w:val="00DD3F52"/>
    <w:rsid w:val="00DD4364"/>
    <w:rsid w:val="00DD43FA"/>
    <w:rsid w:val="00DD4574"/>
    <w:rsid w:val="00DD4619"/>
    <w:rsid w:val="00DD46C8"/>
    <w:rsid w:val="00DD4742"/>
    <w:rsid w:val="00DD4933"/>
    <w:rsid w:val="00DD4A78"/>
    <w:rsid w:val="00DD4D6A"/>
    <w:rsid w:val="00DD4D89"/>
    <w:rsid w:val="00DD4E74"/>
    <w:rsid w:val="00DD4F39"/>
    <w:rsid w:val="00DD50C7"/>
    <w:rsid w:val="00DD51D0"/>
    <w:rsid w:val="00DD5216"/>
    <w:rsid w:val="00DD5377"/>
    <w:rsid w:val="00DD53C5"/>
    <w:rsid w:val="00DD541D"/>
    <w:rsid w:val="00DD548A"/>
    <w:rsid w:val="00DD5492"/>
    <w:rsid w:val="00DD568D"/>
    <w:rsid w:val="00DD56DE"/>
    <w:rsid w:val="00DD579C"/>
    <w:rsid w:val="00DD583C"/>
    <w:rsid w:val="00DD585B"/>
    <w:rsid w:val="00DD5874"/>
    <w:rsid w:val="00DD5BC5"/>
    <w:rsid w:val="00DD5BDD"/>
    <w:rsid w:val="00DD5D62"/>
    <w:rsid w:val="00DD5E28"/>
    <w:rsid w:val="00DD5FBA"/>
    <w:rsid w:val="00DD6006"/>
    <w:rsid w:val="00DD6029"/>
    <w:rsid w:val="00DD6305"/>
    <w:rsid w:val="00DD654B"/>
    <w:rsid w:val="00DD6666"/>
    <w:rsid w:val="00DD6A4F"/>
    <w:rsid w:val="00DD6A5A"/>
    <w:rsid w:val="00DD6E19"/>
    <w:rsid w:val="00DD6EBC"/>
    <w:rsid w:val="00DD708E"/>
    <w:rsid w:val="00DD70DA"/>
    <w:rsid w:val="00DD74EC"/>
    <w:rsid w:val="00DD7585"/>
    <w:rsid w:val="00DD75D2"/>
    <w:rsid w:val="00DD7600"/>
    <w:rsid w:val="00DD77EB"/>
    <w:rsid w:val="00DD78AC"/>
    <w:rsid w:val="00DD7D0F"/>
    <w:rsid w:val="00DE00D3"/>
    <w:rsid w:val="00DE0548"/>
    <w:rsid w:val="00DE0569"/>
    <w:rsid w:val="00DE08E0"/>
    <w:rsid w:val="00DE0957"/>
    <w:rsid w:val="00DE0A0E"/>
    <w:rsid w:val="00DE0C11"/>
    <w:rsid w:val="00DE0C36"/>
    <w:rsid w:val="00DE0C55"/>
    <w:rsid w:val="00DE0D8E"/>
    <w:rsid w:val="00DE0F2B"/>
    <w:rsid w:val="00DE10B4"/>
    <w:rsid w:val="00DE1594"/>
    <w:rsid w:val="00DE15DC"/>
    <w:rsid w:val="00DE18A5"/>
    <w:rsid w:val="00DE1939"/>
    <w:rsid w:val="00DE1D08"/>
    <w:rsid w:val="00DE212B"/>
    <w:rsid w:val="00DE22C4"/>
    <w:rsid w:val="00DE26DB"/>
    <w:rsid w:val="00DE280A"/>
    <w:rsid w:val="00DE2951"/>
    <w:rsid w:val="00DE2987"/>
    <w:rsid w:val="00DE29BB"/>
    <w:rsid w:val="00DE2C47"/>
    <w:rsid w:val="00DE2F80"/>
    <w:rsid w:val="00DE3002"/>
    <w:rsid w:val="00DE3187"/>
    <w:rsid w:val="00DE31AC"/>
    <w:rsid w:val="00DE329B"/>
    <w:rsid w:val="00DE32D7"/>
    <w:rsid w:val="00DE3451"/>
    <w:rsid w:val="00DE34DB"/>
    <w:rsid w:val="00DE34E3"/>
    <w:rsid w:val="00DE353A"/>
    <w:rsid w:val="00DE353F"/>
    <w:rsid w:val="00DE35FE"/>
    <w:rsid w:val="00DE37C8"/>
    <w:rsid w:val="00DE3A9E"/>
    <w:rsid w:val="00DE3C06"/>
    <w:rsid w:val="00DE3F86"/>
    <w:rsid w:val="00DE4176"/>
    <w:rsid w:val="00DE423F"/>
    <w:rsid w:val="00DE4529"/>
    <w:rsid w:val="00DE4591"/>
    <w:rsid w:val="00DE46A4"/>
    <w:rsid w:val="00DE46FD"/>
    <w:rsid w:val="00DE478C"/>
    <w:rsid w:val="00DE49EE"/>
    <w:rsid w:val="00DE4E01"/>
    <w:rsid w:val="00DE4EBF"/>
    <w:rsid w:val="00DE5015"/>
    <w:rsid w:val="00DE54FF"/>
    <w:rsid w:val="00DE571E"/>
    <w:rsid w:val="00DE58FC"/>
    <w:rsid w:val="00DE5DA2"/>
    <w:rsid w:val="00DE5DC2"/>
    <w:rsid w:val="00DE5E08"/>
    <w:rsid w:val="00DE5FA0"/>
    <w:rsid w:val="00DE6249"/>
    <w:rsid w:val="00DE6267"/>
    <w:rsid w:val="00DE6324"/>
    <w:rsid w:val="00DE656B"/>
    <w:rsid w:val="00DE6607"/>
    <w:rsid w:val="00DE6778"/>
    <w:rsid w:val="00DE6850"/>
    <w:rsid w:val="00DE6917"/>
    <w:rsid w:val="00DE6CAF"/>
    <w:rsid w:val="00DE6CBB"/>
    <w:rsid w:val="00DE6E90"/>
    <w:rsid w:val="00DE6F4F"/>
    <w:rsid w:val="00DE6FCB"/>
    <w:rsid w:val="00DE7192"/>
    <w:rsid w:val="00DE7378"/>
    <w:rsid w:val="00DE749C"/>
    <w:rsid w:val="00DE7802"/>
    <w:rsid w:val="00DE799D"/>
    <w:rsid w:val="00DE7B17"/>
    <w:rsid w:val="00DE7E8F"/>
    <w:rsid w:val="00DF0012"/>
    <w:rsid w:val="00DF037F"/>
    <w:rsid w:val="00DF0414"/>
    <w:rsid w:val="00DF08B8"/>
    <w:rsid w:val="00DF0D61"/>
    <w:rsid w:val="00DF0E3C"/>
    <w:rsid w:val="00DF0F77"/>
    <w:rsid w:val="00DF0FA7"/>
    <w:rsid w:val="00DF0FAE"/>
    <w:rsid w:val="00DF1249"/>
    <w:rsid w:val="00DF16A4"/>
    <w:rsid w:val="00DF170A"/>
    <w:rsid w:val="00DF171E"/>
    <w:rsid w:val="00DF1A4B"/>
    <w:rsid w:val="00DF1E2F"/>
    <w:rsid w:val="00DF20B3"/>
    <w:rsid w:val="00DF22B9"/>
    <w:rsid w:val="00DF22F3"/>
    <w:rsid w:val="00DF23FD"/>
    <w:rsid w:val="00DF2642"/>
    <w:rsid w:val="00DF27C7"/>
    <w:rsid w:val="00DF27F9"/>
    <w:rsid w:val="00DF284E"/>
    <w:rsid w:val="00DF2A0E"/>
    <w:rsid w:val="00DF2AE4"/>
    <w:rsid w:val="00DF2E91"/>
    <w:rsid w:val="00DF306D"/>
    <w:rsid w:val="00DF3083"/>
    <w:rsid w:val="00DF32B6"/>
    <w:rsid w:val="00DF3507"/>
    <w:rsid w:val="00DF360F"/>
    <w:rsid w:val="00DF3957"/>
    <w:rsid w:val="00DF39F3"/>
    <w:rsid w:val="00DF3A53"/>
    <w:rsid w:val="00DF3ACB"/>
    <w:rsid w:val="00DF3AF2"/>
    <w:rsid w:val="00DF3CE4"/>
    <w:rsid w:val="00DF3EEB"/>
    <w:rsid w:val="00DF3F56"/>
    <w:rsid w:val="00DF4159"/>
    <w:rsid w:val="00DF4466"/>
    <w:rsid w:val="00DF44A1"/>
    <w:rsid w:val="00DF4765"/>
    <w:rsid w:val="00DF4827"/>
    <w:rsid w:val="00DF49BC"/>
    <w:rsid w:val="00DF4B2A"/>
    <w:rsid w:val="00DF4BE1"/>
    <w:rsid w:val="00DF4E6E"/>
    <w:rsid w:val="00DF51FE"/>
    <w:rsid w:val="00DF52DD"/>
    <w:rsid w:val="00DF541C"/>
    <w:rsid w:val="00DF5608"/>
    <w:rsid w:val="00DF5878"/>
    <w:rsid w:val="00DF58AB"/>
    <w:rsid w:val="00DF598F"/>
    <w:rsid w:val="00DF5B68"/>
    <w:rsid w:val="00DF5E03"/>
    <w:rsid w:val="00DF5EBF"/>
    <w:rsid w:val="00DF5F3A"/>
    <w:rsid w:val="00DF5F71"/>
    <w:rsid w:val="00DF6106"/>
    <w:rsid w:val="00DF61C7"/>
    <w:rsid w:val="00DF61F0"/>
    <w:rsid w:val="00DF6332"/>
    <w:rsid w:val="00DF6358"/>
    <w:rsid w:val="00DF644A"/>
    <w:rsid w:val="00DF647A"/>
    <w:rsid w:val="00DF655F"/>
    <w:rsid w:val="00DF6B2B"/>
    <w:rsid w:val="00DF6B98"/>
    <w:rsid w:val="00DF6BC7"/>
    <w:rsid w:val="00DF6C75"/>
    <w:rsid w:val="00DF6D92"/>
    <w:rsid w:val="00DF7085"/>
    <w:rsid w:val="00DF7341"/>
    <w:rsid w:val="00DF7398"/>
    <w:rsid w:val="00DF74A3"/>
    <w:rsid w:val="00DF79FF"/>
    <w:rsid w:val="00DF7A45"/>
    <w:rsid w:val="00DF7C2F"/>
    <w:rsid w:val="00DF7C9E"/>
    <w:rsid w:val="00DF7D69"/>
    <w:rsid w:val="00DF7DA1"/>
    <w:rsid w:val="00DF7EA2"/>
    <w:rsid w:val="00E0004B"/>
    <w:rsid w:val="00E004B1"/>
    <w:rsid w:val="00E00500"/>
    <w:rsid w:val="00E0055B"/>
    <w:rsid w:val="00E005A8"/>
    <w:rsid w:val="00E005B3"/>
    <w:rsid w:val="00E00674"/>
    <w:rsid w:val="00E00696"/>
    <w:rsid w:val="00E007E6"/>
    <w:rsid w:val="00E00856"/>
    <w:rsid w:val="00E008DC"/>
    <w:rsid w:val="00E00A48"/>
    <w:rsid w:val="00E00A51"/>
    <w:rsid w:val="00E00AAA"/>
    <w:rsid w:val="00E00AC5"/>
    <w:rsid w:val="00E00BFA"/>
    <w:rsid w:val="00E00C54"/>
    <w:rsid w:val="00E0121C"/>
    <w:rsid w:val="00E0133B"/>
    <w:rsid w:val="00E01575"/>
    <w:rsid w:val="00E0161C"/>
    <w:rsid w:val="00E0174A"/>
    <w:rsid w:val="00E0183B"/>
    <w:rsid w:val="00E01855"/>
    <w:rsid w:val="00E01A67"/>
    <w:rsid w:val="00E01A77"/>
    <w:rsid w:val="00E01C92"/>
    <w:rsid w:val="00E01FA1"/>
    <w:rsid w:val="00E02008"/>
    <w:rsid w:val="00E0208B"/>
    <w:rsid w:val="00E021B5"/>
    <w:rsid w:val="00E021FC"/>
    <w:rsid w:val="00E024F3"/>
    <w:rsid w:val="00E02724"/>
    <w:rsid w:val="00E02727"/>
    <w:rsid w:val="00E02746"/>
    <w:rsid w:val="00E027FD"/>
    <w:rsid w:val="00E02899"/>
    <w:rsid w:val="00E028B5"/>
    <w:rsid w:val="00E02BA6"/>
    <w:rsid w:val="00E02CC9"/>
    <w:rsid w:val="00E02EE5"/>
    <w:rsid w:val="00E02FE5"/>
    <w:rsid w:val="00E0303D"/>
    <w:rsid w:val="00E0341B"/>
    <w:rsid w:val="00E0353C"/>
    <w:rsid w:val="00E03591"/>
    <w:rsid w:val="00E0373E"/>
    <w:rsid w:val="00E03A74"/>
    <w:rsid w:val="00E03B36"/>
    <w:rsid w:val="00E03CE8"/>
    <w:rsid w:val="00E03F8B"/>
    <w:rsid w:val="00E03FBD"/>
    <w:rsid w:val="00E04332"/>
    <w:rsid w:val="00E043B3"/>
    <w:rsid w:val="00E0444A"/>
    <w:rsid w:val="00E04750"/>
    <w:rsid w:val="00E04909"/>
    <w:rsid w:val="00E04AA1"/>
    <w:rsid w:val="00E04AB6"/>
    <w:rsid w:val="00E04C80"/>
    <w:rsid w:val="00E04CB9"/>
    <w:rsid w:val="00E04CC9"/>
    <w:rsid w:val="00E05028"/>
    <w:rsid w:val="00E050DA"/>
    <w:rsid w:val="00E0511A"/>
    <w:rsid w:val="00E05145"/>
    <w:rsid w:val="00E052A4"/>
    <w:rsid w:val="00E05CF1"/>
    <w:rsid w:val="00E05CF9"/>
    <w:rsid w:val="00E05F3C"/>
    <w:rsid w:val="00E06070"/>
    <w:rsid w:val="00E060E5"/>
    <w:rsid w:val="00E0617A"/>
    <w:rsid w:val="00E06189"/>
    <w:rsid w:val="00E062C9"/>
    <w:rsid w:val="00E064B5"/>
    <w:rsid w:val="00E068BB"/>
    <w:rsid w:val="00E06B11"/>
    <w:rsid w:val="00E06CD3"/>
    <w:rsid w:val="00E06CFD"/>
    <w:rsid w:val="00E06DAF"/>
    <w:rsid w:val="00E06F56"/>
    <w:rsid w:val="00E0708D"/>
    <w:rsid w:val="00E0791B"/>
    <w:rsid w:val="00E07923"/>
    <w:rsid w:val="00E07BE3"/>
    <w:rsid w:val="00E07EDB"/>
    <w:rsid w:val="00E10476"/>
    <w:rsid w:val="00E105B5"/>
    <w:rsid w:val="00E10772"/>
    <w:rsid w:val="00E1078D"/>
    <w:rsid w:val="00E10A26"/>
    <w:rsid w:val="00E10A65"/>
    <w:rsid w:val="00E11146"/>
    <w:rsid w:val="00E11167"/>
    <w:rsid w:val="00E1118A"/>
    <w:rsid w:val="00E111CF"/>
    <w:rsid w:val="00E11477"/>
    <w:rsid w:val="00E11826"/>
    <w:rsid w:val="00E11903"/>
    <w:rsid w:val="00E1191C"/>
    <w:rsid w:val="00E11984"/>
    <w:rsid w:val="00E11A20"/>
    <w:rsid w:val="00E11B89"/>
    <w:rsid w:val="00E11C01"/>
    <w:rsid w:val="00E11CEF"/>
    <w:rsid w:val="00E11ED6"/>
    <w:rsid w:val="00E1202B"/>
    <w:rsid w:val="00E1228C"/>
    <w:rsid w:val="00E124C6"/>
    <w:rsid w:val="00E128A6"/>
    <w:rsid w:val="00E12A99"/>
    <w:rsid w:val="00E12B4F"/>
    <w:rsid w:val="00E12BD7"/>
    <w:rsid w:val="00E12C33"/>
    <w:rsid w:val="00E130A7"/>
    <w:rsid w:val="00E130BB"/>
    <w:rsid w:val="00E131BB"/>
    <w:rsid w:val="00E13253"/>
    <w:rsid w:val="00E13420"/>
    <w:rsid w:val="00E13545"/>
    <w:rsid w:val="00E13709"/>
    <w:rsid w:val="00E13BBC"/>
    <w:rsid w:val="00E13E32"/>
    <w:rsid w:val="00E144A3"/>
    <w:rsid w:val="00E1472D"/>
    <w:rsid w:val="00E14EBD"/>
    <w:rsid w:val="00E14F58"/>
    <w:rsid w:val="00E14F86"/>
    <w:rsid w:val="00E14FF4"/>
    <w:rsid w:val="00E1500F"/>
    <w:rsid w:val="00E1506A"/>
    <w:rsid w:val="00E1510E"/>
    <w:rsid w:val="00E15593"/>
    <w:rsid w:val="00E155E2"/>
    <w:rsid w:val="00E1581E"/>
    <w:rsid w:val="00E15AF6"/>
    <w:rsid w:val="00E15B04"/>
    <w:rsid w:val="00E15CC2"/>
    <w:rsid w:val="00E15D4E"/>
    <w:rsid w:val="00E15F39"/>
    <w:rsid w:val="00E16057"/>
    <w:rsid w:val="00E160C2"/>
    <w:rsid w:val="00E16725"/>
    <w:rsid w:val="00E16778"/>
    <w:rsid w:val="00E16849"/>
    <w:rsid w:val="00E16C42"/>
    <w:rsid w:val="00E1701C"/>
    <w:rsid w:val="00E170A6"/>
    <w:rsid w:val="00E170B3"/>
    <w:rsid w:val="00E1712F"/>
    <w:rsid w:val="00E17361"/>
    <w:rsid w:val="00E17426"/>
    <w:rsid w:val="00E1752B"/>
    <w:rsid w:val="00E17736"/>
    <w:rsid w:val="00E177CB"/>
    <w:rsid w:val="00E17AD9"/>
    <w:rsid w:val="00E17CA4"/>
    <w:rsid w:val="00E17E8F"/>
    <w:rsid w:val="00E20033"/>
    <w:rsid w:val="00E20059"/>
    <w:rsid w:val="00E2046B"/>
    <w:rsid w:val="00E204E2"/>
    <w:rsid w:val="00E204FE"/>
    <w:rsid w:val="00E20583"/>
    <w:rsid w:val="00E20A6F"/>
    <w:rsid w:val="00E20D4D"/>
    <w:rsid w:val="00E20DDD"/>
    <w:rsid w:val="00E20F2A"/>
    <w:rsid w:val="00E21247"/>
    <w:rsid w:val="00E213D7"/>
    <w:rsid w:val="00E214D4"/>
    <w:rsid w:val="00E215FD"/>
    <w:rsid w:val="00E217D1"/>
    <w:rsid w:val="00E21804"/>
    <w:rsid w:val="00E2181F"/>
    <w:rsid w:val="00E21B4D"/>
    <w:rsid w:val="00E21B78"/>
    <w:rsid w:val="00E21C08"/>
    <w:rsid w:val="00E21C38"/>
    <w:rsid w:val="00E21D10"/>
    <w:rsid w:val="00E21DC2"/>
    <w:rsid w:val="00E21E5A"/>
    <w:rsid w:val="00E21F48"/>
    <w:rsid w:val="00E21FE5"/>
    <w:rsid w:val="00E22900"/>
    <w:rsid w:val="00E22979"/>
    <w:rsid w:val="00E22AA8"/>
    <w:rsid w:val="00E22AE7"/>
    <w:rsid w:val="00E22C2A"/>
    <w:rsid w:val="00E22EC7"/>
    <w:rsid w:val="00E231C9"/>
    <w:rsid w:val="00E231CF"/>
    <w:rsid w:val="00E23421"/>
    <w:rsid w:val="00E2343F"/>
    <w:rsid w:val="00E23A21"/>
    <w:rsid w:val="00E23B5B"/>
    <w:rsid w:val="00E23C69"/>
    <w:rsid w:val="00E23CE8"/>
    <w:rsid w:val="00E23F5E"/>
    <w:rsid w:val="00E24314"/>
    <w:rsid w:val="00E2437C"/>
    <w:rsid w:val="00E24423"/>
    <w:rsid w:val="00E2469D"/>
    <w:rsid w:val="00E246C4"/>
    <w:rsid w:val="00E24971"/>
    <w:rsid w:val="00E249C9"/>
    <w:rsid w:val="00E24B22"/>
    <w:rsid w:val="00E24C40"/>
    <w:rsid w:val="00E24E6F"/>
    <w:rsid w:val="00E250BF"/>
    <w:rsid w:val="00E2513F"/>
    <w:rsid w:val="00E2532F"/>
    <w:rsid w:val="00E25589"/>
    <w:rsid w:val="00E256EE"/>
    <w:rsid w:val="00E257C9"/>
    <w:rsid w:val="00E258D5"/>
    <w:rsid w:val="00E25C28"/>
    <w:rsid w:val="00E25C80"/>
    <w:rsid w:val="00E25FE6"/>
    <w:rsid w:val="00E25FEF"/>
    <w:rsid w:val="00E2601E"/>
    <w:rsid w:val="00E260AE"/>
    <w:rsid w:val="00E260ED"/>
    <w:rsid w:val="00E2611B"/>
    <w:rsid w:val="00E26255"/>
    <w:rsid w:val="00E26318"/>
    <w:rsid w:val="00E265AE"/>
    <w:rsid w:val="00E267AF"/>
    <w:rsid w:val="00E26B75"/>
    <w:rsid w:val="00E26BE6"/>
    <w:rsid w:val="00E26D9C"/>
    <w:rsid w:val="00E26FE4"/>
    <w:rsid w:val="00E27065"/>
    <w:rsid w:val="00E2726A"/>
    <w:rsid w:val="00E2727B"/>
    <w:rsid w:val="00E2733F"/>
    <w:rsid w:val="00E2742C"/>
    <w:rsid w:val="00E275BB"/>
    <w:rsid w:val="00E27659"/>
    <w:rsid w:val="00E277A9"/>
    <w:rsid w:val="00E27B81"/>
    <w:rsid w:val="00E27CF7"/>
    <w:rsid w:val="00E27E69"/>
    <w:rsid w:val="00E27EFC"/>
    <w:rsid w:val="00E30063"/>
    <w:rsid w:val="00E300AB"/>
    <w:rsid w:val="00E3036F"/>
    <w:rsid w:val="00E3047A"/>
    <w:rsid w:val="00E3068E"/>
    <w:rsid w:val="00E3075A"/>
    <w:rsid w:val="00E307E2"/>
    <w:rsid w:val="00E30899"/>
    <w:rsid w:val="00E30A29"/>
    <w:rsid w:val="00E30BD3"/>
    <w:rsid w:val="00E30CCB"/>
    <w:rsid w:val="00E30FB3"/>
    <w:rsid w:val="00E312B4"/>
    <w:rsid w:val="00E317DA"/>
    <w:rsid w:val="00E31C89"/>
    <w:rsid w:val="00E31EDC"/>
    <w:rsid w:val="00E320E3"/>
    <w:rsid w:val="00E32211"/>
    <w:rsid w:val="00E32229"/>
    <w:rsid w:val="00E323D2"/>
    <w:rsid w:val="00E324B7"/>
    <w:rsid w:val="00E32717"/>
    <w:rsid w:val="00E32804"/>
    <w:rsid w:val="00E3293F"/>
    <w:rsid w:val="00E32D50"/>
    <w:rsid w:val="00E32DA9"/>
    <w:rsid w:val="00E32DD6"/>
    <w:rsid w:val="00E32E4B"/>
    <w:rsid w:val="00E3310C"/>
    <w:rsid w:val="00E331C8"/>
    <w:rsid w:val="00E333ED"/>
    <w:rsid w:val="00E335C0"/>
    <w:rsid w:val="00E33627"/>
    <w:rsid w:val="00E3371E"/>
    <w:rsid w:val="00E3374C"/>
    <w:rsid w:val="00E337D2"/>
    <w:rsid w:val="00E33949"/>
    <w:rsid w:val="00E33A4D"/>
    <w:rsid w:val="00E33AA0"/>
    <w:rsid w:val="00E33AAD"/>
    <w:rsid w:val="00E33D6F"/>
    <w:rsid w:val="00E34247"/>
    <w:rsid w:val="00E34366"/>
    <w:rsid w:val="00E34409"/>
    <w:rsid w:val="00E34423"/>
    <w:rsid w:val="00E34432"/>
    <w:rsid w:val="00E3445E"/>
    <w:rsid w:val="00E34526"/>
    <w:rsid w:val="00E3467D"/>
    <w:rsid w:val="00E34C20"/>
    <w:rsid w:val="00E34EFC"/>
    <w:rsid w:val="00E350F1"/>
    <w:rsid w:val="00E35355"/>
    <w:rsid w:val="00E35389"/>
    <w:rsid w:val="00E356E7"/>
    <w:rsid w:val="00E357C7"/>
    <w:rsid w:val="00E35871"/>
    <w:rsid w:val="00E35AAE"/>
    <w:rsid w:val="00E35B17"/>
    <w:rsid w:val="00E35CDC"/>
    <w:rsid w:val="00E35F2A"/>
    <w:rsid w:val="00E35F93"/>
    <w:rsid w:val="00E36183"/>
    <w:rsid w:val="00E362D5"/>
    <w:rsid w:val="00E3640E"/>
    <w:rsid w:val="00E366AC"/>
    <w:rsid w:val="00E368D8"/>
    <w:rsid w:val="00E36BE1"/>
    <w:rsid w:val="00E36CBB"/>
    <w:rsid w:val="00E36DB4"/>
    <w:rsid w:val="00E36DC9"/>
    <w:rsid w:val="00E36F62"/>
    <w:rsid w:val="00E37487"/>
    <w:rsid w:val="00E374A4"/>
    <w:rsid w:val="00E374FB"/>
    <w:rsid w:val="00E3757A"/>
    <w:rsid w:val="00E375C0"/>
    <w:rsid w:val="00E375F5"/>
    <w:rsid w:val="00E3765F"/>
    <w:rsid w:val="00E376BA"/>
    <w:rsid w:val="00E376D7"/>
    <w:rsid w:val="00E37BFF"/>
    <w:rsid w:val="00E37D88"/>
    <w:rsid w:val="00E37FAF"/>
    <w:rsid w:val="00E37FB3"/>
    <w:rsid w:val="00E40006"/>
    <w:rsid w:val="00E403AF"/>
    <w:rsid w:val="00E406E7"/>
    <w:rsid w:val="00E4086D"/>
    <w:rsid w:val="00E40AC1"/>
    <w:rsid w:val="00E40B68"/>
    <w:rsid w:val="00E40DB4"/>
    <w:rsid w:val="00E40DE7"/>
    <w:rsid w:val="00E410E4"/>
    <w:rsid w:val="00E41390"/>
    <w:rsid w:val="00E413A5"/>
    <w:rsid w:val="00E4149C"/>
    <w:rsid w:val="00E41795"/>
    <w:rsid w:val="00E418D0"/>
    <w:rsid w:val="00E419C7"/>
    <w:rsid w:val="00E41AB8"/>
    <w:rsid w:val="00E41D87"/>
    <w:rsid w:val="00E41FC5"/>
    <w:rsid w:val="00E41FDE"/>
    <w:rsid w:val="00E42147"/>
    <w:rsid w:val="00E421E3"/>
    <w:rsid w:val="00E4232E"/>
    <w:rsid w:val="00E42422"/>
    <w:rsid w:val="00E42480"/>
    <w:rsid w:val="00E424B7"/>
    <w:rsid w:val="00E425C4"/>
    <w:rsid w:val="00E426C3"/>
    <w:rsid w:val="00E42727"/>
    <w:rsid w:val="00E427CD"/>
    <w:rsid w:val="00E42913"/>
    <w:rsid w:val="00E42992"/>
    <w:rsid w:val="00E429E5"/>
    <w:rsid w:val="00E42A3A"/>
    <w:rsid w:val="00E4344E"/>
    <w:rsid w:val="00E43685"/>
    <w:rsid w:val="00E43732"/>
    <w:rsid w:val="00E437A7"/>
    <w:rsid w:val="00E437E1"/>
    <w:rsid w:val="00E438A5"/>
    <w:rsid w:val="00E43A4F"/>
    <w:rsid w:val="00E43D3E"/>
    <w:rsid w:val="00E43D62"/>
    <w:rsid w:val="00E4414D"/>
    <w:rsid w:val="00E442FC"/>
    <w:rsid w:val="00E44429"/>
    <w:rsid w:val="00E44722"/>
    <w:rsid w:val="00E44757"/>
    <w:rsid w:val="00E44795"/>
    <w:rsid w:val="00E44A5E"/>
    <w:rsid w:val="00E44AD0"/>
    <w:rsid w:val="00E44B0A"/>
    <w:rsid w:val="00E44C6F"/>
    <w:rsid w:val="00E44F27"/>
    <w:rsid w:val="00E45431"/>
    <w:rsid w:val="00E4547A"/>
    <w:rsid w:val="00E4549D"/>
    <w:rsid w:val="00E4568A"/>
    <w:rsid w:val="00E45721"/>
    <w:rsid w:val="00E45973"/>
    <w:rsid w:val="00E45C2D"/>
    <w:rsid w:val="00E45D51"/>
    <w:rsid w:val="00E45DC8"/>
    <w:rsid w:val="00E45E55"/>
    <w:rsid w:val="00E45EFA"/>
    <w:rsid w:val="00E45F27"/>
    <w:rsid w:val="00E46346"/>
    <w:rsid w:val="00E4638F"/>
    <w:rsid w:val="00E463BD"/>
    <w:rsid w:val="00E463C1"/>
    <w:rsid w:val="00E465C3"/>
    <w:rsid w:val="00E4660E"/>
    <w:rsid w:val="00E466E9"/>
    <w:rsid w:val="00E469D8"/>
    <w:rsid w:val="00E46A21"/>
    <w:rsid w:val="00E46B3E"/>
    <w:rsid w:val="00E46D76"/>
    <w:rsid w:val="00E46DBC"/>
    <w:rsid w:val="00E46E90"/>
    <w:rsid w:val="00E46E9E"/>
    <w:rsid w:val="00E46F33"/>
    <w:rsid w:val="00E47030"/>
    <w:rsid w:val="00E4750B"/>
    <w:rsid w:val="00E477F3"/>
    <w:rsid w:val="00E478BA"/>
    <w:rsid w:val="00E47928"/>
    <w:rsid w:val="00E47973"/>
    <w:rsid w:val="00E47C3E"/>
    <w:rsid w:val="00E47DAA"/>
    <w:rsid w:val="00E5007F"/>
    <w:rsid w:val="00E50148"/>
    <w:rsid w:val="00E503A3"/>
    <w:rsid w:val="00E5054D"/>
    <w:rsid w:val="00E50772"/>
    <w:rsid w:val="00E507C3"/>
    <w:rsid w:val="00E508C4"/>
    <w:rsid w:val="00E509B2"/>
    <w:rsid w:val="00E50A20"/>
    <w:rsid w:val="00E50B68"/>
    <w:rsid w:val="00E50D06"/>
    <w:rsid w:val="00E50D3A"/>
    <w:rsid w:val="00E50D94"/>
    <w:rsid w:val="00E511C4"/>
    <w:rsid w:val="00E512CA"/>
    <w:rsid w:val="00E513B9"/>
    <w:rsid w:val="00E5141F"/>
    <w:rsid w:val="00E51527"/>
    <w:rsid w:val="00E515BB"/>
    <w:rsid w:val="00E51689"/>
    <w:rsid w:val="00E5178D"/>
    <w:rsid w:val="00E5199D"/>
    <w:rsid w:val="00E51B54"/>
    <w:rsid w:val="00E51D77"/>
    <w:rsid w:val="00E51D9A"/>
    <w:rsid w:val="00E5206F"/>
    <w:rsid w:val="00E524FE"/>
    <w:rsid w:val="00E5260F"/>
    <w:rsid w:val="00E52670"/>
    <w:rsid w:val="00E5272A"/>
    <w:rsid w:val="00E52A32"/>
    <w:rsid w:val="00E52A79"/>
    <w:rsid w:val="00E52B4E"/>
    <w:rsid w:val="00E52E21"/>
    <w:rsid w:val="00E52F69"/>
    <w:rsid w:val="00E5309B"/>
    <w:rsid w:val="00E53127"/>
    <w:rsid w:val="00E53178"/>
    <w:rsid w:val="00E5321F"/>
    <w:rsid w:val="00E532CB"/>
    <w:rsid w:val="00E5334D"/>
    <w:rsid w:val="00E5335E"/>
    <w:rsid w:val="00E53585"/>
    <w:rsid w:val="00E536F4"/>
    <w:rsid w:val="00E53850"/>
    <w:rsid w:val="00E538F4"/>
    <w:rsid w:val="00E53AA9"/>
    <w:rsid w:val="00E53BBD"/>
    <w:rsid w:val="00E53DFF"/>
    <w:rsid w:val="00E541BD"/>
    <w:rsid w:val="00E541D0"/>
    <w:rsid w:val="00E54252"/>
    <w:rsid w:val="00E545C8"/>
    <w:rsid w:val="00E545D7"/>
    <w:rsid w:val="00E547B0"/>
    <w:rsid w:val="00E54815"/>
    <w:rsid w:val="00E5497C"/>
    <w:rsid w:val="00E549CD"/>
    <w:rsid w:val="00E54CBE"/>
    <w:rsid w:val="00E54CEA"/>
    <w:rsid w:val="00E54D9D"/>
    <w:rsid w:val="00E54DE9"/>
    <w:rsid w:val="00E54EEC"/>
    <w:rsid w:val="00E54FC7"/>
    <w:rsid w:val="00E552BE"/>
    <w:rsid w:val="00E55353"/>
    <w:rsid w:val="00E553B2"/>
    <w:rsid w:val="00E55492"/>
    <w:rsid w:val="00E55633"/>
    <w:rsid w:val="00E556AD"/>
    <w:rsid w:val="00E55B3A"/>
    <w:rsid w:val="00E55CBE"/>
    <w:rsid w:val="00E5614D"/>
    <w:rsid w:val="00E56205"/>
    <w:rsid w:val="00E563AE"/>
    <w:rsid w:val="00E5640D"/>
    <w:rsid w:val="00E5649B"/>
    <w:rsid w:val="00E564AE"/>
    <w:rsid w:val="00E5653A"/>
    <w:rsid w:val="00E565E1"/>
    <w:rsid w:val="00E5685E"/>
    <w:rsid w:val="00E5694E"/>
    <w:rsid w:val="00E56959"/>
    <w:rsid w:val="00E56B77"/>
    <w:rsid w:val="00E56C13"/>
    <w:rsid w:val="00E56EB3"/>
    <w:rsid w:val="00E5708B"/>
    <w:rsid w:val="00E570AB"/>
    <w:rsid w:val="00E572D1"/>
    <w:rsid w:val="00E5742A"/>
    <w:rsid w:val="00E57446"/>
    <w:rsid w:val="00E5744D"/>
    <w:rsid w:val="00E57465"/>
    <w:rsid w:val="00E57751"/>
    <w:rsid w:val="00E57818"/>
    <w:rsid w:val="00E5782C"/>
    <w:rsid w:val="00E57B09"/>
    <w:rsid w:val="00E57C9B"/>
    <w:rsid w:val="00E57E44"/>
    <w:rsid w:val="00E57F70"/>
    <w:rsid w:val="00E60042"/>
    <w:rsid w:val="00E60399"/>
    <w:rsid w:val="00E604C1"/>
    <w:rsid w:val="00E60797"/>
    <w:rsid w:val="00E60B3E"/>
    <w:rsid w:val="00E60B72"/>
    <w:rsid w:val="00E60B88"/>
    <w:rsid w:val="00E60BC5"/>
    <w:rsid w:val="00E60D24"/>
    <w:rsid w:val="00E60E33"/>
    <w:rsid w:val="00E60E8F"/>
    <w:rsid w:val="00E60F6B"/>
    <w:rsid w:val="00E60FC1"/>
    <w:rsid w:val="00E61016"/>
    <w:rsid w:val="00E611E1"/>
    <w:rsid w:val="00E614C5"/>
    <w:rsid w:val="00E61603"/>
    <w:rsid w:val="00E61611"/>
    <w:rsid w:val="00E6186C"/>
    <w:rsid w:val="00E61B6F"/>
    <w:rsid w:val="00E61BC2"/>
    <w:rsid w:val="00E61CBB"/>
    <w:rsid w:val="00E62052"/>
    <w:rsid w:val="00E620F8"/>
    <w:rsid w:val="00E6215F"/>
    <w:rsid w:val="00E6252D"/>
    <w:rsid w:val="00E625CD"/>
    <w:rsid w:val="00E62638"/>
    <w:rsid w:val="00E62726"/>
    <w:rsid w:val="00E62A60"/>
    <w:rsid w:val="00E62A84"/>
    <w:rsid w:val="00E62CD5"/>
    <w:rsid w:val="00E62D2B"/>
    <w:rsid w:val="00E6338B"/>
    <w:rsid w:val="00E635C9"/>
    <w:rsid w:val="00E63CE0"/>
    <w:rsid w:val="00E63DE4"/>
    <w:rsid w:val="00E63EE5"/>
    <w:rsid w:val="00E63F25"/>
    <w:rsid w:val="00E6448D"/>
    <w:rsid w:val="00E644DD"/>
    <w:rsid w:val="00E6468C"/>
    <w:rsid w:val="00E64AE8"/>
    <w:rsid w:val="00E64B05"/>
    <w:rsid w:val="00E64BEF"/>
    <w:rsid w:val="00E64EE8"/>
    <w:rsid w:val="00E652BA"/>
    <w:rsid w:val="00E6553A"/>
    <w:rsid w:val="00E656B9"/>
    <w:rsid w:val="00E65C80"/>
    <w:rsid w:val="00E65CA3"/>
    <w:rsid w:val="00E65D4D"/>
    <w:rsid w:val="00E65EA3"/>
    <w:rsid w:val="00E65F4F"/>
    <w:rsid w:val="00E660A8"/>
    <w:rsid w:val="00E66151"/>
    <w:rsid w:val="00E66818"/>
    <w:rsid w:val="00E66A21"/>
    <w:rsid w:val="00E66D28"/>
    <w:rsid w:val="00E66D90"/>
    <w:rsid w:val="00E66E9F"/>
    <w:rsid w:val="00E66EBD"/>
    <w:rsid w:val="00E671DC"/>
    <w:rsid w:val="00E67222"/>
    <w:rsid w:val="00E673E3"/>
    <w:rsid w:val="00E6789B"/>
    <w:rsid w:val="00E67A02"/>
    <w:rsid w:val="00E67B05"/>
    <w:rsid w:val="00E67DAC"/>
    <w:rsid w:val="00E67E31"/>
    <w:rsid w:val="00E7027A"/>
    <w:rsid w:val="00E70462"/>
    <w:rsid w:val="00E70A77"/>
    <w:rsid w:val="00E70AA0"/>
    <w:rsid w:val="00E70AE7"/>
    <w:rsid w:val="00E70B5D"/>
    <w:rsid w:val="00E70C57"/>
    <w:rsid w:val="00E70E3B"/>
    <w:rsid w:val="00E70E43"/>
    <w:rsid w:val="00E70E6B"/>
    <w:rsid w:val="00E70F82"/>
    <w:rsid w:val="00E71094"/>
    <w:rsid w:val="00E711D1"/>
    <w:rsid w:val="00E71220"/>
    <w:rsid w:val="00E712F5"/>
    <w:rsid w:val="00E713BC"/>
    <w:rsid w:val="00E71491"/>
    <w:rsid w:val="00E7153F"/>
    <w:rsid w:val="00E71586"/>
    <w:rsid w:val="00E71624"/>
    <w:rsid w:val="00E7184D"/>
    <w:rsid w:val="00E71A1D"/>
    <w:rsid w:val="00E71AF6"/>
    <w:rsid w:val="00E71C0D"/>
    <w:rsid w:val="00E71C3E"/>
    <w:rsid w:val="00E71F34"/>
    <w:rsid w:val="00E71F3D"/>
    <w:rsid w:val="00E72089"/>
    <w:rsid w:val="00E722B9"/>
    <w:rsid w:val="00E723B7"/>
    <w:rsid w:val="00E72720"/>
    <w:rsid w:val="00E72C7E"/>
    <w:rsid w:val="00E72D22"/>
    <w:rsid w:val="00E72EC1"/>
    <w:rsid w:val="00E72ED0"/>
    <w:rsid w:val="00E72F4C"/>
    <w:rsid w:val="00E73145"/>
    <w:rsid w:val="00E7328F"/>
    <w:rsid w:val="00E734CE"/>
    <w:rsid w:val="00E734FF"/>
    <w:rsid w:val="00E73749"/>
    <w:rsid w:val="00E737BF"/>
    <w:rsid w:val="00E737DE"/>
    <w:rsid w:val="00E73B3C"/>
    <w:rsid w:val="00E73CBC"/>
    <w:rsid w:val="00E73D9A"/>
    <w:rsid w:val="00E73E0C"/>
    <w:rsid w:val="00E7421A"/>
    <w:rsid w:val="00E743DD"/>
    <w:rsid w:val="00E7445C"/>
    <w:rsid w:val="00E7478B"/>
    <w:rsid w:val="00E7485B"/>
    <w:rsid w:val="00E749F6"/>
    <w:rsid w:val="00E74A82"/>
    <w:rsid w:val="00E74A94"/>
    <w:rsid w:val="00E74A9F"/>
    <w:rsid w:val="00E74CDF"/>
    <w:rsid w:val="00E74D55"/>
    <w:rsid w:val="00E74FE1"/>
    <w:rsid w:val="00E7502B"/>
    <w:rsid w:val="00E751AC"/>
    <w:rsid w:val="00E751B3"/>
    <w:rsid w:val="00E75279"/>
    <w:rsid w:val="00E755E2"/>
    <w:rsid w:val="00E756CA"/>
    <w:rsid w:val="00E756F9"/>
    <w:rsid w:val="00E75B26"/>
    <w:rsid w:val="00E75BBB"/>
    <w:rsid w:val="00E75C36"/>
    <w:rsid w:val="00E75C8C"/>
    <w:rsid w:val="00E75D0E"/>
    <w:rsid w:val="00E75D98"/>
    <w:rsid w:val="00E75EE8"/>
    <w:rsid w:val="00E7606C"/>
    <w:rsid w:val="00E7624A"/>
    <w:rsid w:val="00E7624C"/>
    <w:rsid w:val="00E762B6"/>
    <w:rsid w:val="00E7636D"/>
    <w:rsid w:val="00E7668D"/>
    <w:rsid w:val="00E76826"/>
    <w:rsid w:val="00E76926"/>
    <w:rsid w:val="00E769CD"/>
    <w:rsid w:val="00E76AF7"/>
    <w:rsid w:val="00E76C24"/>
    <w:rsid w:val="00E76C78"/>
    <w:rsid w:val="00E76C97"/>
    <w:rsid w:val="00E76D73"/>
    <w:rsid w:val="00E76EBB"/>
    <w:rsid w:val="00E77188"/>
    <w:rsid w:val="00E7719C"/>
    <w:rsid w:val="00E7730E"/>
    <w:rsid w:val="00E773AF"/>
    <w:rsid w:val="00E77499"/>
    <w:rsid w:val="00E775DB"/>
    <w:rsid w:val="00E776EF"/>
    <w:rsid w:val="00E7772F"/>
    <w:rsid w:val="00E777A0"/>
    <w:rsid w:val="00E7789F"/>
    <w:rsid w:val="00E77991"/>
    <w:rsid w:val="00E77B38"/>
    <w:rsid w:val="00E77B8A"/>
    <w:rsid w:val="00E77FD1"/>
    <w:rsid w:val="00E800F5"/>
    <w:rsid w:val="00E80155"/>
    <w:rsid w:val="00E8020C"/>
    <w:rsid w:val="00E802D9"/>
    <w:rsid w:val="00E8040A"/>
    <w:rsid w:val="00E804CF"/>
    <w:rsid w:val="00E80582"/>
    <w:rsid w:val="00E80768"/>
    <w:rsid w:val="00E807E2"/>
    <w:rsid w:val="00E807F6"/>
    <w:rsid w:val="00E80808"/>
    <w:rsid w:val="00E80B37"/>
    <w:rsid w:val="00E80C77"/>
    <w:rsid w:val="00E80FC3"/>
    <w:rsid w:val="00E8157A"/>
    <w:rsid w:val="00E81746"/>
    <w:rsid w:val="00E81781"/>
    <w:rsid w:val="00E818C9"/>
    <w:rsid w:val="00E818DB"/>
    <w:rsid w:val="00E81B06"/>
    <w:rsid w:val="00E81CDD"/>
    <w:rsid w:val="00E81D14"/>
    <w:rsid w:val="00E81E99"/>
    <w:rsid w:val="00E81F4C"/>
    <w:rsid w:val="00E821D9"/>
    <w:rsid w:val="00E821F4"/>
    <w:rsid w:val="00E8228E"/>
    <w:rsid w:val="00E824F5"/>
    <w:rsid w:val="00E8258D"/>
    <w:rsid w:val="00E82697"/>
    <w:rsid w:val="00E82C88"/>
    <w:rsid w:val="00E83279"/>
    <w:rsid w:val="00E8342E"/>
    <w:rsid w:val="00E834A6"/>
    <w:rsid w:val="00E835B6"/>
    <w:rsid w:val="00E83633"/>
    <w:rsid w:val="00E836C2"/>
    <w:rsid w:val="00E83761"/>
    <w:rsid w:val="00E83764"/>
    <w:rsid w:val="00E83A82"/>
    <w:rsid w:val="00E83A85"/>
    <w:rsid w:val="00E83B5D"/>
    <w:rsid w:val="00E83C70"/>
    <w:rsid w:val="00E83E7F"/>
    <w:rsid w:val="00E83EF9"/>
    <w:rsid w:val="00E84005"/>
    <w:rsid w:val="00E8409D"/>
    <w:rsid w:val="00E84637"/>
    <w:rsid w:val="00E8471A"/>
    <w:rsid w:val="00E847A2"/>
    <w:rsid w:val="00E84B20"/>
    <w:rsid w:val="00E84BAF"/>
    <w:rsid w:val="00E84C5D"/>
    <w:rsid w:val="00E84C6F"/>
    <w:rsid w:val="00E84C91"/>
    <w:rsid w:val="00E84CD5"/>
    <w:rsid w:val="00E850A6"/>
    <w:rsid w:val="00E8514D"/>
    <w:rsid w:val="00E85325"/>
    <w:rsid w:val="00E853AB"/>
    <w:rsid w:val="00E85589"/>
    <w:rsid w:val="00E8563F"/>
    <w:rsid w:val="00E8574C"/>
    <w:rsid w:val="00E85B46"/>
    <w:rsid w:val="00E85C24"/>
    <w:rsid w:val="00E85C44"/>
    <w:rsid w:val="00E85E4C"/>
    <w:rsid w:val="00E86076"/>
    <w:rsid w:val="00E860F2"/>
    <w:rsid w:val="00E862D0"/>
    <w:rsid w:val="00E86713"/>
    <w:rsid w:val="00E86B56"/>
    <w:rsid w:val="00E86CD6"/>
    <w:rsid w:val="00E86E8F"/>
    <w:rsid w:val="00E87019"/>
    <w:rsid w:val="00E87038"/>
    <w:rsid w:val="00E871B0"/>
    <w:rsid w:val="00E871BC"/>
    <w:rsid w:val="00E87256"/>
    <w:rsid w:val="00E872E0"/>
    <w:rsid w:val="00E873E2"/>
    <w:rsid w:val="00E87508"/>
    <w:rsid w:val="00E87517"/>
    <w:rsid w:val="00E87558"/>
    <w:rsid w:val="00E87765"/>
    <w:rsid w:val="00E878FA"/>
    <w:rsid w:val="00E87934"/>
    <w:rsid w:val="00E87C90"/>
    <w:rsid w:val="00E87D4D"/>
    <w:rsid w:val="00E87E99"/>
    <w:rsid w:val="00E90076"/>
    <w:rsid w:val="00E90111"/>
    <w:rsid w:val="00E90253"/>
    <w:rsid w:val="00E9030D"/>
    <w:rsid w:val="00E90546"/>
    <w:rsid w:val="00E90702"/>
    <w:rsid w:val="00E9092B"/>
    <w:rsid w:val="00E90A1A"/>
    <w:rsid w:val="00E90B30"/>
    <w:rsid w:val="00E90BDB"/>
    <w:rsid w:val="00E90F22"/>
    <w:rsid w:val="00E9118E"/>
    <w:rsid w:val="00E91194"/>
    <w:rsid w:val="00E911C5"/>
    <w:rsid w:val="00E91330"/>
    <w:rsid w:val="00E91406"/>
    <w:rsid w:val="00E91448"/>
    <w:rsid w:val="00E915D6"/>
    <w:rsid w:val="00E91601"/>
    <w:rsid w:val="00E9166A"/>
    <w:rsid w:val="00E916F4"/>
    <w:rsid w:val="00E9171E"/>
    <w:rsid w:val="00E91A5F"/>
    <w:rsid w:val="00E91BB4"/>
    <w:rsid w:val="00E91C41"/>
    <w:rsid w:val="00E91D8A"/>
    <w:rsid w:val="00E91E89"/>
    <w:rsid w:val="00E91F65"/>
    <w:rsid w:val="00E92162"/>
    <w:rsid w:val="00E921B8"/>
    <w:rsid w:val="00E92256"/>
    <w:rsid w:val="00E92594"/>
    <w:rsid w:val="00E92662"/>
    <w:rsid w:val="00E92C67"/>
    <w:rsid w:val="00E92E80"/>
    <w:rsid w:val="00E931B3"/>
    <w:rsid w:val="00E931E4"/>
    <w:rsid w:val="00E932C7"/>
    <w:rsid w:val="00E933DD"/>
    <w:rsid w:val="00E9357E"/>
    <w:rsid w:val="00E9370F"/>
    <w:rsid w:val="00E93AAF"/>
    <w:rsid w:val="00E93C4C"/>
    <w:rsid w:val="00E93D42"/>
    <w:rsid w:val="00E9411B"/>
    <w:rsid w:val="00E94648"/>
    <w:rsid w:val="00E94A92"/>
    <w:rsid w:val="00E94BEF"/>
    <w:rsid w:val="00E94E02"/>
    <w:rsid w:val="00E94F2B"/>
    <w:rsid w:val="00E95063"/>
    <w:rsid w:val="00E9507E"/>
    <w:rsid w:val="00E95099"/>
    <w:rsid w:val="00E95128"/>
    <w:rsid w:val="00E95256"/>
    <w:rsid w:val="00E95344"/>
    <w:rsid w:val="00E955FF"/>
    <w:rsid w:val="00E95740"/>
    <w:rsid w:val="00E9585D"/>
    <w:rsid w:val="00E95A0B"/>
    <w:rsid w:val="00E95B45"/>
    <w:rsid w:val="00E962F8"/>
    <w:rsid w:val="00E96354"/>
    <w:rsid w:val="00E9641C"/>
    <w:rsid w:val="00E96446"/>
    <w:rsid w:val="00E9669F"/>
    <w:rsid w:val="00E966DF"/>
    <w:rsid w:val="00E96992"/>
    <w:rsid w:val="00E96B0D"/>
    <w:rsid w:val="00E96EE9"/>
    <w:rsid w:val="00E96F3D"/>
    <w:rsid w:val="00E96F50"/>
    <w:rsid w:val="00E9717F"/>
    <w:rsid w:val="00E9718D"/>
    <w:rsid w:val="00E97213"/>
    <w:rsid w:val="00E97320"/>
    <w:rsid w:val="00E974DF"/>
    <w:rsid w:val="00E97767"/>
    <w:rsid w:val="00E978A6"/>
    <w:rsid w:val="00E978FA"/>
    <w:rsid w:val="00E97A3D"/>
    <w:rsid w:val="00E97B51"/>
    <w:rsid w:val="00E97EE5"/>
    <w:rsid w:val="00EA03EC"/>
    <w:rsid w:val="00EA0845"/>
    <w:rsid w:val="00EA0858"/>
    <w:rsid w:val="00EA0938"/>
    <w:rsid w:val="00EA0C77"/>
    <w:rsid w:val="00EA0D6F"/>
    <w:rsid w:val="00EA0DD5"/>
    <w:rsid w:val="00EA0E9F"/>
    <w:rsid w:val="00EA1139"/>
    <w:rsid w:val="00EA13B8"/>
    <w:rsid w:val="00EA13EF"/>
    <w:rsid w:val="00EA154F"/>
    <w:rsid w:val="00EA156B"/>
    <w:rsid w:val="00EA15EC"/>
    <w:rsid w:val="00EA16C1"/>
    <w:rsid w:val="00EA189D"/>
    <w:rsid w:val="00EA18ED"/>
    <w:rsid w:val="00EA1D4F"/>
    <w:rsid w:val="00EA1E08"/>
    <w:rsid w:val="00EA1E84"/>
    <w:rsid w:val="00EA1EA5"/>
    <w:rsid w:val="00EA1F78"/>
    <w:rsid w:val="00EA1FE0"/>
    <w:rsid w:val="00EA241C"/>
    <w:rsid w:val="00EA2542"/>
    <w:rsid w:val="00EA2729"/>
    <w:rsid w:val="00EA2A0E"/>
    <w:rsid w:val="00EA2BB1"/>
    <w:rsid w:val="00EA2E0F"/>
    <w:rsid w:val="00EA2E7E"/>
    <w:rsid w:val="00EA2EC6"/>
    <w:rsid w:val="00EA2F42"/>
    <w:rsid w:val="00EA3173"/>
    <w:rsid w:val="00EA3179"/>
    <w:rsid w:val="00EA328B"/>
    <w:rsid w:val="00EA3340"/>
    <w:rsid w:val="00EA349E"/>
    <w:rsid w:val="00EA3536"/>
    <w:rsid w:val="00EA3BB6"/>
    <w:rsid w:val="00EA3BE0"/>
    <w:rsid w:val="00EA3D29"/>
    <w:rsid w:val="00EA3E25"/>
    <w:rsid w:val="00EA3F0D"/>
    <w:rsid w:val="00EA3F7D"/>
    <w:rsid w:val="00EA446A"/>
    <w:rsid w:val="00EA44EE"/>
    <w:rsid w:val="00EA4592"/>
    <w:rsid w:val="00EA46E0"/>
    <w:rsid w:val="00EA4747"/>
    <w:rsid w:val="00EA49A7"/>
    <w:rsid w:val="00EA4A3E"/>
    <w:rsid w:val="00EA4A75"/>
    <w:rsid w:val="00EA4A95"/>
    <w:rsid w:val="00EA4BCB"/>
    <w:rsid w:val="00EA4DA1"/>
    <w:rsid w:val="00EA4F28"/>
    <w:rsid w:val="00EA4F2C"/>
    <w:rsid w:val="00EA50E8"/>
    <w:rsid w:val="00EA519F"/>
    <w:rsid w:val="00EA540F"/>
    <w:rsid w:val="00EA57C1"/>
    <w:rsid w:val="00EA5895"/>
    <w:rsid w:val="00EA58E0"/>
    <w:rsid w:val="00EA5DBC"/>
    <w:rsid w:val="00EA5FDF"/>
    <w:rsid w:val="00EA6768"/>
    <w:rsid w:val="00EA67AA"/>
    <w:rsid w:val="00EA6866"/>
    <w:rsid w:val="00EA69D1"/>
    <w:rsid w:val="00EA6A70"/>
    <w:rsid w:val="00EA705A"/>
    <w:rsid w:val="00EA7527"/>
    <w:rsid w:val="00EA756A"/>
    <w:rsid w:val="00EA7676"/>
    <w:rsid w:val="00EA7AEC"/>
    <w:rsid w:val="00EA7D0E"/>
    <w:rsid w:val="00EA7DD9"/>
    <w:rsid w:val="00EA7EA3"/>
    <w:rsid w:val="00EB009D"/>
    <w:rsid w:val="00EB00AC"/>
    <w:rsid w:val="00EB011D"/>
    <w:rsid w:val="00EB030F"/>
    <w:rsid w:val="00EB041C"/>
    <w:rsid w:val="00EB0637"/>
    <w:rsid w:val="00EB09A4"/>
    <w:rsid w:val="00EB09F6"/>
    <w:rsid w:val="00EB0AB4"/>
    <w:rsid w:val="00EB0BBC"/>
    <w:rsid w:val="00EB0D7F"/>
    <w:rsid w:val="00EB0D98"/>
    <w:rsid w:val="00EB1717"/>
    <w:rsid w:val="00EB1870"/>
    <w:rsid w:val="00EB18D5"/>
    <w:rsid w:val="00EB1C36"/>
    <w:rsid w:val="00EB1CC2"/>
    <w:rsid w:val="00EB1F28"/>
    <w:rsid w:val="00EB2017"/>
    <w:rsid w:val="00EB2069"/>
    <w:rsid w:val="00EB228B"/>
    <w:rsid w:val="00EB2295"/>
    <w:rsid w:val="00EB22AF"/>
    <w:rsid w:val="00EB25B7"/>
    <w:rsid w:val="00EB2616"/>
    <w:rsid w:val="00EB28E8"/>
    <w:rsid w:val="00EB2D5C"/>
    <w:rsid w:val="00EB3027"/>
    <w:rsid w:val="00EB324A"/>
    <w:rsid w:val="00EB3255"/>
    <w:rsid w:val="00EB349E"/>
    <w:rsid w:val="00EB3516"/>
    <w:rsid w:val="00EB3694"/>
    <w:rsid w:val="00EB370F"/>
    <w:rsid w:val="00EB3738"/>
    <w:rsid w:val="00EB383E"/>
    <w:rsid w:val="00EB3862"/>
    <w:rsid w:val="00EB3A52"/>
    <w:rsid w:val="00EB3B73"/>
    <w:rsid w:val="00EB3BFC"/>
    <w:rsid w:val="00EB3F63"/>
    <w:rsid w:val="00EB4116"/>
    <w:rsid w:val="00EB4136"/>
    <w:rsid w:val="00EB4383"/>
    <w:rsid w:val="00EB438E"/>
    <w:rsid w:val="00EB46F2"/>
    <w:rsid w:val="00EB4864"/>
    <w:rsid w:val="00EB48D8"/>
    <w:rsid w:val="00EB4A5A"/>
    <w:rsid w:val="00EB4AA8"/>
    <w:rsid w:val="00EB4C3A"/>
    <w:rsid w:val="00EB50AB"/>
    <w:rsid w:val="00EB5405"/>
    <w:rsid w:val="00EB56B2"/>
    <w:rsid w:val="00EB5B5B"/>
    <w:rsid w:val="00EB5C78"/>
    <w:rsid w:val="00EB5E0C"/>
    <w:rsid w:val="00EB5E5D"/>
    <w:rsid w:val="00EB5FC4"/>
    <w:rsid w:val="00EB6745"/>
    <w:rsid w:val="00EB6748"/>
    <w:rsid w:val="00EB6778"/>
    <w:rsid w:val="00EB69D4"/>
    <w:rsid w:val="00EB6ADD"/>
    <w:rsid w:val="00EB6AFD"/>
    <w:rsid w:val="00EB6BA8"/>
    <w:rsid w:val="00EB6F27"/>
    <w:rsid w:val="00EB6FE5"/>
    <w:rsid w:val="00EB70B3"/>
    <w:rsid w:val="00EB7213"/>
    <w:rsid w:val="00EB73E2"/>
    <w:rsid w:val="00EB73FF"/>
    <w:rsid w:val="00EB76E1"/>
    <w:rsid w:val="00EB781B"/>
    <w:rsid w:val="00EB7A6E"/>
    <w:rsid w:val="00EB7A77"/>
    <w:rsid w:val="00EB7AB9"/>
    <w:rsid w:val="00EB7BC5"/>
    <w:rsid w:val="00EB7D26"/>
    <w:rsid w:val="00EB7DCB"/>
    <w:rsid w:val="00EB7EDA"/>
    <w:rsid w:val="00EB7F49"/>
    <w:rsid w:val="00EC0058"/>
    <w:rsid w:val="00EC02B3"/>
    <w:rsid w:val="00EC0767"/>
    <w:rsid w:val="00EC09D3"/>
    <w:rsid w:val="00EC0BD0"/>
    <w:rsid w:val="00EC0C21"/>
    <w:rsid w:val="00EC0C7E"/>
    <w:rsid w:val="00EC0C9A"/>
    <w:rsid w:val="00EC0D89"/>
    <w:rsid w:val="00EC0D93"/>
    <w:rsid w:val="00EC0F45"/>
    <w:rsid w:val="00EC0FC9"/>
    <w:rsid w:val="00EC1081"/>
    <w:rsid w:val="00EC135D"/>
    <w:rsid w:val="00EC1393"/>
    <w:rsid w:val="00EC13EA"/>
    <w:rsid w:val="00EC1436"/>
    <w:rsid w:val="00EC15F0"/>
    <w:rsid w:val="00EC1629"/>
    <w:rsid w:val="00EC1630"/>
    <w:rsid w:val="00EC1703"/>
    <w:rsid w:val="00EC1770"/>
    <w:rsid w:val="00EC1CC7"/>
    <w:rsid w:val="00EC2131"/>
    <w:rsid w:val="00EC2254"/>
    <w:rsid w:val="00EC247D"/>
    <w:rsid w:val="00EC24FF"/>
    <w:rsid w:val="00EC2929"/>
    <w:rsid w:val="00EC2933"/>
    <w:rsid w:val="00EC2B56"/>
    <w:rsid w:val="00EC2D0A"/>
    <w:rsid w:val="00EC2DA4"/>
    <w:rsid w:val="00EC2E13"/>
    <w:rsid w:val="00EC2E8B"/>
    <w:rsid w:val="00EC31A2"/>
    <w:rsid w:val="00EC3289"/>
    <w:rsid w:val="00EC3394"/>
    <w:rsid w:val="00EC3566"/>
    <w:rsid w:val="00EC3670"/>
    <w:rsid w:val="00EC3673"/>
    <w:rsid w:val="00EC36E6"/>
    <w:rsid w:val="00EC3ACD"/>
    <w:rsid w:val="00EC3B58"/>
    <w:rsid w:val="00EC3F2D"/>
    <w:rsid w:val="00EC417F"/>
    <w:rsid w:val="00EC426E"/>
    <w:rsid w:val="00EC43A5"/>
    <w:rsid w:val="00EC43B6"/>
    <w:rsid w:val="00EC44BE"/>
    <w:rsid w:val="00EC4571"/>
    <w:rsid w:val="00EC4B2F"/>
    <w:rsid w:val="00EC4CBE"/>
    <w:rsid w:val="00EC4D3E"/>
    <w:rsid w:val="00EC4E6E"/>
    <w:rsid w:val="00EC4E7E"/>
    <w:rsid w:val="00EC4F36"/>
    <w:rsid w:val="00EC4FF3"/>
    <w:rsid w:val="00EC505C"/>
    <w:rsid w:val="00EC5241"/>
    <w:rsid w:val="00EC5276"/>
    <w:rsid w:val="00EC5521"/>
    <w:rsid w:val="00EC5615"/>
    <w:rsid w:val="00EC5673"/>
    <w:rsid w:val="00EC5689"/>
    <w:rsid w:val="00EC58E9"/>
    <w:rsid w:val="00EC5A01"/>
    <w:rsid w:val="00EC5E5D"/>
    <w:rsid w:val="00EC5E5E"/>
    <w:rsid w:val="00EC60F2"/>
    <w:rsid w:val="00EC64F1"/>
    <w:rsid w:val="00EC6518"/>
    <w:rsid w:val="00EC653E"/>
    <w:rsid w:val="00EC65F3"/>
    <w:rsid w:val="00EC6ADF"/>
    <w:rsid w:val="00EC6C42"/>
    <w:rsid w:val="00EC6CC6"/>
    <w:rsid w:val="00EC6EE3"/>
    <w:rsid w:val="00EC6F42"/>
    <w:rsid w:val="00EC75A2"/>
    <w:rsid w:val="00EC75DA"/>
    <w:rsid w:val="00EC7864"/>
    <w:rsid w:val="00EC7BFE"/>
    <w:rsid w:val="00EC7D36"/>
    <w:rsid w:val="00ED0028"/>
    <w:rsid w:val="00ED006D"/>
    <w:rsid w:val="00ED0247"/>
    <w:rsid w:val="00ED0878"/>
    <w:rsid w:val="00ED0B06"/>
    <w:rsid w:val="00ED0D5F"/>
    <w:rsid w:val="00ED1008"/>
    <w:rsid w:val="00ED1069"/>
    <w:rsid w:val="00ED11E2"/>
    <w:rsid w:val="00ED1695"/>
    <w:rsid w:val="00ED188E"/>
    <w:rsid w:val="00ED18AA"/>
    <w:rsid w:val="00ED19F4"/>
    <w:rsid w:val="00ED1BD4"/>
    <w:rsid w:val="00ED1C39"/>
    <w:rsid w:val="00ED1D4E"/>
    <w:rsid w:val="00ED1E1F"/>
    <w:rsid w:val="00ED225D"/>
    <w:rsid w:val="00ED232A"/>
    <w:rsid w:val="00ED23E2"/>
    <w:rsid w:val="00ED24D7"/>
    <w:rsid w:val="00ED2583"/>
    <w:rsid w:val="00ED266F"/>
    <w:rsid w:val="00ED2776"/>
    <w:rsid w:val="00ED28A0"/>
    <w:rsid w:val="00ED2988"/>
    <w:rsid w:val="00ED2B99"/>
    <w:rsid w:val="00ED2C09"/>
    <w:rsid w:val="00ED2F42"/>
    <w:rsid w:val="00ED2F63"/>
    <w:rsid w:val="00ED3029"/>
    <w:rsid w:val="00ED3087"/>
    <w:rsid w:val="00ED30B6"/>
    <w:rsid w:val="00ED32E6"/>
    <w:rsid w:val="00ED344C"/>
    <w:rsid w:val="00ED3663"/>
    <w:rsid w:val="00ED39F5"/>
    <w:rsid w:val="00ED3EC6"/>
    <w:rsid w:val="00ED3F30"/>
    <w:rsid w:val="00ED4038"/>
    <w:rsid w:val="00ED42F2"/>
    <w:rsid w:val="00ED435C"/>
    <w:rsid w:val="00ED443B"/>
    <w:rsid w:val="00ED4584"/>
    <w:rsid w:val="00ED4AE4"/>
    <w:rsid w:val="00ED4C2D"/>
    <w:rsid w:val="00ED4E23"/>
    <w:rsid w:val="00ED4F35"/>
    <w:rsid w:val="00ED500D"/>
    <w:rsid w:val="00ED5018"/>
    <w:rsid w:val="00ED5164"/>
    <w:rsid w:val="00ED51AF"/>
    <w:rsid w:val="00ED5286"/>
    <w:rsid w:val="00ED5311"/>
    <w:rsid w:val="00ED53BE"/>
    <w:rsid w:val="00ED578D"/>
    <w:rsid w:val="00ED581F"/>
    <w:rsid w:val="00ED5B79"/>
    <w:rsid w:val="00ED5C5E"/>
    <w:rsid w:val="00ED5E1A"/>
    <w:rsid w:val="00ED5E5F"/>
    <w:rsid w:val="00ED5F24"/>
    <w:rsid w:val="00ED5FBB"/>
    <w:rsid w:val="00ED6014"/>
    <w:rsid w:val="00ED6112"/>
    <w:rsid w:val="00ED6371"/>
    <w:rsid w:val="00ED63BF"/>
    <w:rsid w:val="00ED6593"/>
    <w:rsid w:val="00ED661B"/>
    <w:rsid w:val="00ED6698"/>
    <w:rsid w:val="00ED682A"/>
    <w:rsid w:val="00ED68FB"/>
    <w:rsid w:val="00ED6C4A"/>
    <w:rsid w:val="00ED7009"/>
    <w:rsid w:val="00ED7301"/>
    <w:rsid w:val="00ED74EC"/>
    <w:rsid w:val="00ED751C"/>
    <w:rsid w:val="00ED75E3"/>
    <w:rsid w:val="00ED75F5"/>
    <w:rsid w:val="00ED7687"/>
    <w:rsid w:val="00ED76A5"/>
    <w:rsid w:val="00ED77DD"/>
    <w:rsid w:val="00ED7B91"/>
    <w:rsid w:val="00ED7C53"/>
    <w:rsid w:val="00ED7E35"/>
    <w:rsid w:val="00ED7FF3"/>
    <w:rsid w:val="00EE01D6"/>
    <w:rsid w:val="00EE01E0"/>
    <w:rsid w:val="00EE03E4"/>
    <w:rsid w:val="00EE075E"/>
    <w:rsid w:val="00EE0866"/>
    <w:rsid w:val="00EE09E8"/>
    <w:rsid w:val="00EE0B02"/>
    <w:rsid w:val="00EE0C8A"/>
    <w:rsid w:val="00EE0D30"/>
    <w:rsid w:val="00EE0F0E"/>
    <w:rsid w:val="00EE1092"/>
    <w:rsid w:val="00EE10E4"/>
    <w:rsid w:val="00EE1115"/>
    <w:rsid w:val="00EE1661"/>
    <w:rsid w:val="00EE1735"/>
    <w:rsid w:val="00EE197F"/>
    <w:rsid w:val="00EE1B22"/>
    <w:rsid w:val="00EE1C51"/>
    <w:rsid w:val="00EE1D23"/>
    <w:rsid w:val="00EE1FBB"/>
    <w:rsid w:val="00EE2175"/>
    <w:rsid w:val="00EE231C"/>
    <w:rsid w:val="00EE23EB"/>
    <w:rsid w:val="00EE23FB"/>
    <w:rsid w:val="00EE2552"/>
    <w:rsid w:val="00EE2557"/>
    <w:rsid w:val="00EE27FF"/>
    <w:rsid w:val="00EE297F"/>
    <w:rsid w:val="00EE29DF"/>
    <w:rsid w:val="00EE2B03"/>
    <w:rsid w:val="00EE2C07"/>
    <w:rsid w:val="00EE2CD8"/>
    <w:rsid w:val="00EE2DA1"/>
    <w:rsid w:val="00EE31E2"/>
    <w:rsid w:val="00EE320C"/>
    <w:rsid w:val="00EE326D"/>
    <w:rsid w:val="00EE3349"/>
    <w:rsid w:val="00EE33D4"/>
    <w:rsid w:val="00EE355E"/>
    <w:rsid w:val="00EE35FC"/>
    <w:rsid w:val="00EE3871"/>
    <w:rsid w:val="00EE391A"/>
    <w:rsid w:val="00EE3C01"/>
    <w:rsid w:val="00EE3C2B"/>
    <w:rsid w:val="00EE3D54"/>
    <w:rsid w:val="00EE3DDB"/>
    <w:rsid w:val="00EE412C"/>
    <w:rsid w:val="00EE418C"/>
    <w:rsid w:val="00EE419C"/>
    <w:rsid w:val="00EE4225"/>
    <w:rsid w:val="00EE4352"/>
    <w:rsid w:val="00EE4464"/>
    <w:rsid w:val="00EE44DD"/>
    <w:rsid w:val="00EE4519"/>
    <w:rsid w:val="00EE45E2"/>
    <w:rsid w:val="00EE46CF"/>
    <w:rsid w:val="00EE4713"/>
    <w:rsid w:val="00EE486E"/>
    <w:rsid w:val="00EE48A6"/>
    <w:rsid w:val="00EE4C82"/>
    <w:rsid w:val="00EE4D34"/>
    <w:rsid w:val="00EE4DE5"/>
    <w:rsid w:val="00EE4EBD"/>
    <w:rsid w:val="00EE4F44"/>
    <w:rsid w:val="00EE4F45"/>
    <w:rsid w:val="00EE50BA"/>
    <w:rsid w:val="00EE53F3"/>
    <w:rsid w:val="00EE5514"/>
    <w:rsid w:val="00EE5535"/>
    <w:rsid w:val="00EE5620"/>
    <w:rsid w:val="00EE57CE"/>
    <w:rsid w:val="00EE5B35"/>
    <w:rsid w:val="00EE5D5B"/>
    <w:rsid w:val="00EE60BA"/>
    <w:rsid w:val="00EE6106"/>
    <w:rsid w:val="00EE6116"/>
    <w:rsid w:val="00EE61FC"/>
    <w:rsid w:val="00EE6421"/>
    <w:rsid w:val="00EE673A"/>
    <w:rsid w:val="00EE6743"/>
    <w:rsid w:val="00EE689B"/>
    <w:rsid w:val="00EE6AB3"/>
    <w:rsid w:val="00EE6B24"/>
    <w:rsid w:val="00EE6DDD"/>
    <w:rsid w:val="00EE6E83"/>
    <w:rsid w:val="00EE6F08"/>
    <w:rsid w:val="00EE6F18"/>
    <w:rsid w:val="00EE70E3"/>
    <w:rsid w:val="00EE751C"/>
    <w:rsid w:val="00EE7530"/>
    <w:rsid w:val="00EE7591"/>
    <w:rsid w:val="00EE75D8"/>
    <w:rsid w:val="00EE75EF"/>
    <w:rsid w:val="00EE795F"/>
    <w:rsid w:val="00EE7A2D"/>
    <w:rsid w:val="00EE7AE6"/>
    <w:rsid w:val="00EE7AF9"/>
    <w:rsid w:val="00EE7BB5"/>
    <w:rsid w:val="00EE7BC7"/>
    <w:rsid w:val="00EE7BF9"/>
    <w:rsid w:val="00EE7C0B"/>
    <w:rsid w:val="00EE7C69"/>
    <w:rsid w:val="00EE7D03"/>
    <w:rsid w:val="00EE7E01"/>
    <w:rsid w:val="00EE7EF6"/>
    <w:rsid w:val="00EE7EF8"/>
    <w:rsid w:val="00EE7F74"/>
    <w:rsid w:val="00EF0012"/>
    <w:rsid w:val="00EF01E2"/>
    <w:rsid w:val="00EF0407"/>
    <w:rsid w:val="00EF04B7"/>
    <w:rsid w:val="00EF0557"/>
    <w:rsid w:val="00EF0614"/>
    <w:rsid w:val="00EF0618"/>
    <w:rsid w:val="00EF06B3"/>
    <w:rsid w:val="00EF080E"/>
    <w:rsid w:val="00EF0929"/>
    <w:rsid w:val="00EF0E82"/>
    <w:rsid w:val="00EF0EC2"/>
    <w:rsid w:val="00EF0F2A"/>
    <w:rsid w:val="00EF121D"/>
    <w:rsid w:val="00EF13F0"/>
    <w:rsid w:val="00EF142B"/>
    <w:rsid w:val="00EF146D"/>
    <w:rsid w:val="00EF1991"/>
    <w:rsid w:val="00EF1AC3"/>
    <w:rsid w:val="00EF1CC2"/>
    <w:rsid w:val="00EF1D11"/>
    <w:rsid w:val="00EF2186"/>
    <w:rsid w:val="00EF218C"/>
    <w:rsid w:val="00EF2336"/>
    <w:rsid w:val="00EF245B"/>
    <w:rsid w:val="00EF2498"/>
    <w:rsid w:val="00EF24AD"/>
    <w:rsid w:val="00EF25B4"/>
    <w:rsid w:val="00EF2698"/>
    <w:rsid w:val="00EF2706"/>
    <w:rsid w:val="00EF29BF"/>
    <w:rsid w:val="00EF29FE"/>
    <w:rsid w:val="00EF2C46"/>
    <w:rsid w:val="00EF3163"/>
    <w:rsid w:val="00EF31E7"/>
    <w:rsid w:val="00EF330D"/>
    <w:rsid w:val="00EF3818"/>
    <w:rsid w:val="00EF3A0E"/>
    <w:rsid w:val="00EF3DBA"/>
    <w:rsid w:val="00EF3DDA"/>
    <w:rsid w:val="00EF3E69"/>
    <w:rsid w:val="00EF3EF7"/>
    <w:rsid w:val="00EF3F4E"/>
    <w:rsid w:val="00EF3F69"/>
    <w:rsid w:val="00EF42A3"/>
    <w:rsid w:val="00EF4313"/>
    <w:rsid w:val="00EF43DE"/>
    <w:rsid w:val="00EF4400"/>
    <w:rsid w:val="00EF4458"/>
    <w:rsid w:val="00EF44EA"/>
    <w:rsid w:val="00EF461C"/>
    <w:rsid w:val="00EF4655"/>
    <w:rsid w:val="00EF46BC"/>
    <w:rsid w:val="00EF4753"/>
    <w:rsid w:val="00EF4808"/>
    <w:rsid w:val="00EF4E29"/>
    <w:rsid w:val="00EF52BC"/>
    <w:rsid w:val="00EF5617"/>
    <w:rsid w:val="00EF577E"/>
    <w:rsid w:val="00EF58E8"/>
    <w:rsid w:val="00EF590F"/>
    <w:rsid w:val="00EF5942"/>
    <w:rsid w:val="00EF5BD9"/>
    <w:rsid w:val="00EF5CA2"/>
    <w:rsid w:val="00EF5DCD"/>
    <w:rsid w:val="00EF629F"/>
    <w:rsid w:val="00EF65BF"/>
    <w:rsid w:val="00EF6661"/>
    <w:rsid w:val="00EF666F"/>
    <w:rsid w:val="00EF6765"/>
    <w:rsid w:val="00EF6982"/>
    <w:rsid w:val="00EF6AD9"/>
    <w:rsid w:val="00EF6DD2"/>
    <w:rsid w:val="00EF6EFE"/>
    <w:rsid w:val="00EF7187"/>
    <w:rsid w:val="00EF71CF"/>
    <w:rsid w:val="00EF7292"/>
    <w:rsid w:val="00EF77D7"/>
    <w:rsid w:val="00EF7A23"/>
    <w:rsid w:val="00EF7C29"/>
    <w:rsid w:val="00EF7C3C"/>
    <w:rsid w:val="00EF7D5B"/>
    <w:rsid w:val="00EF7F95"/>
    <w:rsid w:val="00EF7FA2"/>
    <w:rsid w:val="00F00512"/>
    <w:rsid w:val="00F00626"/>
    <w:rsid w:val="00F00642"/>
    <w:rsid w:val="00F006E1"/>
    <w:rsid w:val="00F0082E"/>
    <w:rsid w:val="00F0091C"/>
    <w:rsid w:val="00F00A22"/>
    <w:rsid w:val="00F00C0E"/>
    <w:rsid w:val="00F00E67"/>
    <w:rsid w:val="00F013C8"/>
    <w:rsid w:val="00F01BEF"/>
    <w:rsid w:val="00F02030"/>
    <w:rsid w:val="00F022EE"/>
    <w:rsid w:val="00F024AA"/>
    <w:rsid w:val="00F026EA"/>
    <w:rsid w:val="00F027E3"/>
    <w:rsid w:val="00F02804"/>
    <w:rsid w:val="00F02837"/>
    <w:rsid w:val="00F029E8"/>
    <w:rsid w:val="00F02B5F"/>
    <w:rsid w:val="00F02F4B"/>
    <w:rsid w:val="00F02FA3"/>
    <w:rsid w:val="00F02FA9"/>
    <w:rsid w:val="00F03130"/>
    <w:rsid w:val="00F03411"/>
    <w:rsid w:val="00F0349F"/>
    <w:rsid w:val="00F0397A"/>
    <w:rsid w:val="00F03A3A"/>
    <w:rsid w:val="00F03FB4"/>
    <w:rsid w:val="00F04160"/>
    <w:rsid w:val="00F041C4"/>
    <w:rsid w:val="00F04740"/>
    <w:rsid w:val="00F04B7A"/>
    <w:rsid w:val="00F051BF"/>
    <w:rsid w:val="00F05459"/>
    <w:rsid w:val="00F0551D"/>
    <w:rsid w:val="00F05583"/>
    <w:rsid w:val="00F05674"/>
    <w:rsid w:val="00F056FB"/>
    <w:rsid w:val="00F057CB"/>
    <w:rsid w:val="00F05D42"/>
    <w:rsid w:val="00F06311"/>
    <w:rsid w:val="00F065DE"/>
    <w:rsid w:val="00F067CE"/>
    <w:rsid w:val="00F06808"/>
    <w:rsid w:val="00F0683D"/>
    <w:rsid w:val="00F06C2D"/>
    <w:rsid w:val="00F06E22"/>
    <w:rsid w:val="00F06F9F"/>
    <w:rsid w:val="00F0709D"/>
    <w:rsid w:val="00F070CA"/>
    <w:rsid w:val="00F07346"/>
    <w:rsid w:val="00F07384"/>
    <w:rsid w:val="00F0764D"/>
    <w:rsid w:val="00F07784"/>
    <w:rsid w:val="00F0789C"/>
    <w:rsid w:val="00F07A32"/>
    <w:rsid w:val="00F07A56"/>
    <w:rsid w:val="00F07C45"/>
    <w:rsid w:val="00F07D71"/>
    <w:rsid w:val="00F07DCE"/>
    <w:rsid w:val="00F07F55"/>
    <w:rsid w:val="00F10194"/>
    <w:rsid w:val="00F103DC"/>
    <w:rsid w:val="00F103E3"/>
    <w:rsid w:val="00F10404"/>
    <w:rsid w:val="00F104DF"/>
    <w:rsid w:val="00F10594"/>
    <w:rsid w:val="00F105A8"/>
    <w:rsid w:val="00F10939"/>
    <w:rsid w:val="00F10957"/>
    <w:rsid w:val="00F109B7"/>
    <w:rsid w:val="00F10A42"/>
    <w:rsid w:val="00F10CAA"/>
    <w:rsid w:val="00F10E00"/>
    <w:rsid w:val="00F10E33"/>
    <w:rsid w:val="00F1105A"/>
    <w:rsid w:val="00F11062"/>
    <w:rsid w:val="00F111D4"/>
    <w:rsid w:val="00F113CB"/>
    <w:rsid w:val="00F11408"/>
    <w:rsid w:val="00F11A8C"/>
    <w:rsid w:val="00F11AE9"/>
    <w:rsid w:val="00F11CC7"/>
    <w:rsid w:val="00F11D5A"/>
    <w:rsid w:val="00F11DCB"/>
    <w:rsid w:val="00F12006"/>
    <w:rsid w:val="00F12090"/>
    <w:rsid w:val="00F12120"/>
    <w:rsid w:val="00F12153"/>
    <w:rsid w:val="00F1218C"/>
    <w:rsid w:val="00F121CC"/>
    <w:rsid w:val="00F122B7"/>
    <w:rsid w:val="00F12585"/>
    <w:rsid w:val="00F1261F"/>
    <w:rsid w:val="00F1278D"/>
    <w:rsid w:val="00F12B5B"/>
    <w:rsid w:val="00F12CE1"/>
    <w:rsid w:val="00F13186"/>
    <w:rsid w:val="00F13748"/>
    <w:rsid w:val="00F13B37"/>
    <w:rsid w:val="00F13ED2"/>
    <w:rsid w:val="00F141B3"/>
    <w:rsid w:val="00F14452"/>
    <w:rsid w:val="00F14558"/>
    <w:rsid w:val="00F1459C"/>
    <w:rsid w:val="00F145AB"/>
    <w:rsid w:val="00F148B7"/>
    <w:rsid w:val="00F148E8"/>
    <w:rsid w:val="00F14B62"/>
    <w:rsid w:val="00F150AD"/>
    <w:rsid w:val="00F1516A"/>
    <w:rsid w:val="00F1530B"/>
    <w:rsid w:val="00F153D5"/>
    <w:rsid w:val="00F1560D"/>
    <w:rsid w:val="00F157D0"/>
    <w:rsid w:val="00F158F6"/>
    <w:rsid w:val="00F15AD7"/>
    <w:rsid w:val="00F15B00"/>
    <w:rsid w:val="00F15B76"/>
    <w:rsid w:val="00F15B85"/>
    <w:rsid w:val="00F15ECC"/>
    <w:rsid w:val="00F160BF"/>
    <w:rsid w:val="00F16184"/>
    <w:rsid w:val="00F16188"/>
    <w:rsid w:val="00F16208"/>
    <w:rsid w:val="00F1671A"/>
    <w:rsid w:val="00F16757"/>
    <w:rsid w:val="00F1687F"/>
    <w:rsid w:val="00F168A0"/>
    <w:rsid w:val="00F16B3E"/>
    <w:rsid w:val="00F16D8C"/>
    <w:rsid w:val="00F16FC7"/>
    <w:rsid w:val="00F17130"/>
    <w:rsid w:val="00F1752E"/>
    <w:rsid w:val="00F1753B"/>
    <w:rsid w:val="00F17750"/>
    <w:rsid w:val="00F177E1"/>
    <w:rsid w:val="00F17910"/>
    <w:rsid w:val="00F179A4"/>
    <w:rsid w:val="00F17CC5"/>
    <w:rsid w:val="00F17CDD"/>
    <w:rsid w:val="00F17D73"/>
    <w:rsid w:val="00F17E4A"/>
    <w:rsid w:val="00F17EEF"/>
    <w:rsid w:val="00F17F3B"/>
    <w:rsid w:val="00F2018E"/>
    <w:rsid w:val="00F202E0"/>
    <w:rsid w:val="00F203EB"/>
    <w:rsid w:val="00F204AA"/>
    <w:rsid w:val="00F20500"/>
    <w:rsid w:val="00F20738"/>
    <w:rsid w:val="00F20872"/>
    <w:rsid w:val="00F20E1C"/>
    <w:rsid w:val="00F20EED"/>
    <w:rsid w:val="00F211F8"/>
    <w:rsid w:val="00F21266"/>
    <w:rsid w:val="00F21315"/>
    <w:rsid w:val="00F21345"/>
    <w:rsid w:val="00F21661"/>
    <w:rsid w:val="00F2175E"/>
    <w:rsid w:val="00F21965"/>
    <w:rsid w:val="00F21E7F"/>
    <w:rsid w:val="00F221DF"/>
    <w:rsid w:val="00F22259"/>
    <w:rsid w:val="00F22311"/>
    <w:rsid w:val="00F2231E"/>
    <w:rsid w:val="00F22635"/>
    <w:rsid w:val="00F2276B"/>
    <w:rsid w:val="00F228C5"/>
    <w:rsid w:val="00F22ABB"/>
    <w:rsid w:val="00F22CE4"/>
    <w:rsid w:val="00F23029"/>
    <w:rsid w:val="00F231C1"/>
    <w:rsid w:val="00F23236"/>
    <w:rsid w:val="00F23305"/>
    <w:rsid w:val="00F233E4"/>
    <w:rsid w:val="00F234CA"/>
    <w:rsid w:val="00F23568"/>
    <w:rsid w:val="00F23A07"/>
    <w:rsid w:val="00F23A8C"/>
    <w:rsid w:val="00F23C5B"/>
    <w:rsid w:val="00F23C80"/>
    <w:rsid w:val="00F23CE6"/>
    <w:rsid w:val="00F23D1D"/>
    <w:rsid w:val="00F23DE3"/>
    <w:rsid w:val="00F23F15"/>
    <w:rsid w:val="00F23FB1"/>
    <w:rsid w:val="00F241FD"/>
    <w:rsid w:val="00F243F4"/>
    <w:rsid w:val="00F24736"/>
    <w:rsid w:val="00F247EB"/>
    <w:rsid w:val="00F248CD"/>
    <w:rsid w:val="00F24927"/>
    <w:rsid w:val="00F24A2D"/>
    <w:rsid w:val="00F24B24"/>
    <w:rsid w:val="00F24C43"/>
    <w:rsid w:val="00F24CA8"/>
    <w:rsid w:val="00F24DDB"/>
    <w:rsid w:val="00F24DDE"/>
    <w:rsid w:val="00F250B5"/>
    <w:rsid w:val="00F25337"/>
    <w:rsid w:val="00F25443"/>
    <w:rsid w:val="00F256AF"/>
    <w:rsid w:val="00F258A8"/>
    <w:rsid w:val="00F258F2"/>
    <w:rsid w:val="00F25A35"/>
    <w:rsid w:val="00F25BE4"/>
    <w:rsid w:val="00F25D11"/>
    <w:rsid w:val="00F25F31"/>
    <w:rsid w:val="00F2624A"/>
    <w:rsid w:val="00F2633D"/>
    <w:rsid w:val="00F26417"/>
    <w:rsid w:val="00F2649C"/>
    <w:rsid w:val="00F26716"/>
    <w:rsid w:val="00F26837"/>
    <w:rsid w:val="00F26964"/>
    <w:rsid w:val="00F26996"/>
    <w:rsid w:val="00F26CDD"/>
    <w:rsid w:val="00F26EA1"/>
    <w:rsid w:val="00F26EF4"/>
    <w:rsid w:val="00F26F0E"/>
    <w:rsid w:val="00F2718B"/>
    <w:rsid w:val="00F2752C"/>
    <w:rsid w:val="00F27C53"/>
    <w:rsid w:val="00F27D8F"/>
    <w:rsid w:val="00F27F99"/>
    <w:rsid w:val="00F27FC3"/>
    <w:rsid w:val="00F30246"/>
    <w:rsid w:val="00F3078D"/>
    <w:rsid w:val="00F3087F"/>
    <w:rsid w:val="00F308F7"/>
    <w:rsid w:val="00F31753"/>
    <w:rsid w:val="00F3196A"/>
    <w:rsid w:val="00F31D8F"/>
    <w:rsid w:val="00F31E66"/>
    <w:rsid w:val="00F327A2"/>
    <w:rsid w:val="00F327C7"/>
    <w:rsid w:val="00F32981"/>
    <w:rsid w:val="00F32A4C"/>
    <w:rsid w:val="00F32B77"/>
    <w:rsid w:val="00F32B81"/>
    <w:rsid w:val="00F32FF3"/>
    <w:rsid w:val="00F33107"/>
    <w:rsid w:val="00F33194"/>
    <w:rsid w:val="00F337CD"/>
    <w:rsid w:val="00F339D4"/>
    <w:rsid w:val="00F33DA0"/>
    <w:rsid w:val="00F33EE9"/>
    <w:rsid w:val="00F3401B"/>
    <w:rsid w:val="00F34408"/>
    <w:rsid w:val="00F34648"/>
    <w:rsid w:val="00F3469B"/>
    <w:rsid w:val="00F3495B"/>
    <w:rsid w:val="00F34B4E"/>
    <w:rsid w:val="00F34BAC"/>
    <w:rsid w:val="00F34CAB"/>
    <w:rsid w:val="00F350CF"/>
    <w:rsid w:val="00F351BC"/>
    <w:rsid w:val="00F35439"/>
    <w:rsid w:val="00F35501"/>
    <w:rsid w:val="00F355E1"/>
    <w:rsid w:val="00F35B7A"/>
    <w:rsid w:val="00F35C57"/>
    <w:rsid w:val="00F35D54"/>
    <w:rsid w:val="00F35EDE"/>
    <w:rsid w:val="00F36225"/>
    <w:rsid w:val="00F362D5"/>
    <w:rsid w:val="00F36454"/>
    <w:rsid w:val="00F364E4"/>
    <w:rsid w:val="00F364FB"/>
    <w:rsid w:val="00F3651F"/>
    <w:rsid w:val="00F3659C"/>
    <w:rsid w:val="00F365CC"/>
    <w:rsid w:val="00F3676D"/>
    <w:rsid w:val="00F3688B"/>
    <w:rsid w:val="00F36AD9"/>
    <w:rsid w:val="00F36DAE"/>
    <w:rsid w:val="00F36E9C"/>
    <w:rsid w:val="00F36F36"/>
    <w:rsid w:val="00F36F5D"/>
    <w:rsid w:val="00F370AA"/>
    <w:rsid w:val="00F37164"/>
    <w:rsid w:val="00F37371"/>
    <w:rsid w:val="00F3751A"/>
    <w:rsid w:val="00F375DC"/>
    <w:rsid w:val="00F37639"/>
    <w:rsid w:val="00F3763A"/>
    <w:rsid w:val="00F376C1"/>
    <w:rsid w:val="00F37729"/>
    <w:rsid w:val="00F378D8"/>
    <w:rsid w:val="00F37970"/>
    <w:rsid w:val="00F37A80"/>
    <w:rsid w:val="00F37E5C"/>
    <w:rsid w:val="00F40005"/>
    <w:rsid w:val="00F4019E"/>
    <w:rsid w:val="00F401D0"/>
    <w:rsid w:val="00F404A4"/>
    <w:rsid w:val="00F405A5"/>
    <w:rsid w:val="00F40678"/>
    <w:rsid w:val="00F4070F"/>
    <w:rsid w:val="00F40864"/>
    <w:rsid w:val="00F40883"/>
    <w:rsid w:val="00F408DD"/>
    <w:rsid w:val="00F40BB1"/>
    <w:rsid w:val="00F40BD3"/>
    <w:rsid w:val="00F41053"/>
    <w:rsid w:val="00F41366"/>
    <w:rsid w:val="00F41405"/>
    <w:rsid w:val="00F414DC"/>
    <w:rsid w:val="00F416F9"/>
    <w:rsid w:val="00F41820"/>
    <w:rsid w:val="00F41C28"/>
    <w:rsid w:val="00F41CBD"/>
    <w:rsid w:val="00F41DAC"/>
    <w:rsid w:val="00F41FEE"/>
    <w:rsid w:val="00F4277E"/>
    <w:rsid w:val="00F42782"/>
    <w:rsid w:val="00F42828"/>
    <w:rsid w:val="00F428D4"/>
    <w:rsid w:val="00F42A74"/>
    <w:rsid w:val="00F42EE2"/>
    <w:rsid w:val="00F42FBF"/>
    <w:rsid w:val="00F4304F"/>
    <w:rsid w:val="00F43303"/>
    <w:rsid w:val="00F436B8"/>
    <w:rsid w:val="00F43877"/>
    <w:rsid w:val="00F438BB"/>
    <w:rsid w:val="00F43925"/>
    <w:rsid w:val="00F43CCB"/>
    <w:rsid w:val="00F43E5B"/>
    <w:rsid w:val="00F44130"/>
    <w:rsid w:val="00F4450B"/>
    <w:rsid w:val="00F4487F"/>
    <w:rsid w:val="00F44989"/>
    <w:rsid w:val="00F44ADC"/>
    <w:rsid w:val="00F44C60"/>
    <w:rsid w:val="00F44D49"/>
    <w:rsid w:val="00F44DF2"/>
    <w:rsid w:val="00F44E51"/>
    <w:rsid w:val="00F44E91"/>
    <w:rsid w:val="00F45158"/>
    <w:rsid w:val="00F453E1"/>
    <w:rsid w:val="00F4583E"/>
    <w:rsid w:val="00F45932"/>
    <w:rsid w:val="00F45B2D"/>
    <w:rsid w:val="00F45EA6"/>
    <w:rsid w:val="00F45F69"/>
    <w:rsid w:val="00F45F75"/>
    <w:rsid w:val="00F46184"/>
    <w:rsid w:val="00F4629E"/>
    <w:rsid w:val="00F46456"/>
    <w:rsid w:val="00F46495"/>
    <w:rsid w:val="00F46505"/>
    <w:rsid w:val="00F4664E"/>
    <w:rsid w:val="00F4672B"/>
    <w:rsid w:val="00F4698E"/>
    <w:rsid w:val="00F46AA7"/>
    <w:rsid w:val="00F46B2A"/>
    <w:rsid w:val="00F46B4B"/>
    <w:rsid w:val="00F46D21"/>
    <w:rsid w:val="00F46D7A"/>
    <w:rsid w:val="00F46DF0"/>
    <w:rsid w:val="00F46E71"/>
    <w:rsid w:val="00F46EE9"/>
    <w:rsid w:val="00F46F17"/>
    <w:rsid w:val="00F46F25"/>
    <w:rsid w:val="00F46F50"/>
    <w:rsid w:val="00F470F9"/>
    <w:rsid w:val="00F47180"/>
    <w:rsid w:val="00F471F7"/>
    <w:rsid w:val="00F47242"/>
    <w:rsid w:val="00F47484"/>
    <w:rsid w:val="00F4790F"/>
    <w:rsid w:val="00F47C80"/>
    <w:rsid w:val="00F47CB5"/>
    <w:rsid w:val="00F47E67"/>
    <w:rsid w:val="00F47F9D"/>
    <w:rsid w:val="00F50008"/>
    <w:rsid w:val="00F5049F"/>
    <w:rsid w:val="00F504B3"/>
    <w:rsid w:val="00F505EB"/>
    <w:rsid w:val="00F50826"/>
    <w:rsid w:val="00F50905"/>
    <w:rsid w:val="00F50AAC"/>
    <w:rsid w:val="00F50FD5"/>
    <w:rsid w:val="00F51267"/>
    <w:rsid w:val="00F513D6"/>
    <w:rsid w:val="00F51418"/>
    <w:rsid w:val="00F51459"/>
    <w:rsid w:val="00F514CC"/>
    <w:rsid w:val="00F51507"/>
    <w:rsid w:val="00F51666"/>
    <w:rsid w:val="00F516CA"/>
    <w:rsid w:val="00F51819"/>
    <w:rsid w:val="00F518C3"/>
    <w:rsid w:val="00F519B4"/>
    <w:rsid w:val="00F519BD"/>
    <w:rsid w:val="00F51A05"/>
    <w:rsid w:val="00F51C6C"/>
    <w:rsid w:val="00F51E42"/>
    <w:rsid w:val="00F52012"/>
    <w:rsid w:val="00F52130"/>
    <w:rsid w:val="00F5229E"/>
    <w:rsid w:val="00F5232D"/>
    <w:rsid w:val="00F5246B"/>
    <w:rsid w:val="00F529EA"/>
    <w:rsid w:val="00F52A77"/>
    <w:rsid w:val="00F52B44"/>
    <w:rsid w:val="00F52E2F"/>
    <w:rsid w:val="00F52F62"/>
    <w:rsid w:val="00F5325A"/>
    <w:rsid w:val="00F53399"/>
    <w:rsid w:val="00F5341C"/>
    <w:rsid w:val="00F5344F"/>
    <w:rsid w:val="00F535E4"/>
    <w:rsid w:val="00F535F6"/>
    <w:rsid w:val="00F5364B"/>
    <w:rsid w:val="00F5372D"/>
    <w:rsid w:val="00F5377D"/>
    <w:rsid w:val="00F53844"/>
    <w:rsid w:val="00F53877"/>
    <w:rsid w:val="00F53913"/>
    <w:rsid w:val="00F53A82"/>
    <w:rsid w:val="00F53BD8"/>
    <w:rsid w:val="00F53C11"/>
    <w:rsid w:val="00F53E7C"/>
    <w:rsid w:val="00F53ECF"/>
    <w:rsid w:val="00F541F4"/>
    <w:rsid w:val="00F542EA"/>
    <w:rsid w:val="00F54438"/>
    <w:rsid w:val="00F544A9"/>
    <w:rsid w:val="00F545E0"/>
    <w:rsid w:val="00F54753"/>
    <w:rsid w:val="00F54CC5"/>
    <w:rsid w:val="00F54D8F"/>
    <w:rsid w:val="00F5532A"/>
    <w:rsid w:val="00F555A1"/>
    <w:rsid w:val="00F558B7"/>
    <w:rsid w:val="00F5596E"/>
    <w:rsid w:val="00F55ABA"/>
    <w:rsid w:val="00F55B69"/>
    <w:rsid w:val="00F55C68"/>
    <w:rsid w:val="00F56092"/>
    <w:rsid w:val="00F565B8"/>
    <w:rsid w:val="00F5674F"/>
    <w:rsid w:val="00F56BD1"/>
    <w:rsid w:val="00F56C09"/>
    <w:rsid w:val="00F5704A"/>
    <w:rsid w:val="00F57317"/>
    <w:rsid w:val="00F574DB"/>
    <w:rsid w:val="00F5770B"/>
    <w:rsid w:val="00F577B2"/>
    <w:rsid w:val="00F57D51"/>
    <w:rsid w:val="00F57E66"/>
    <w:rsid w:val="00F57F66"/>
    <w:rsid w:val="00F60049"/>
    <w:rsid w:val="00F60072"/>
    <w:rsid w:val="00F60080"/>
    <w:rsid w:val="00F600A7"/>
    <w:rsid w:val="00F602EC"/>
    <w:rsid w:val="00F6030D"/>
    <w:rsid w:val="00F60345"/>
    <w:rsid w:val="00F6035B"/>
    <w:rsid w:val="00F60381"/>
    <w:rsid w:val="00F604BD"/>
    <w:rsid w:val="00F6070C"/>
    <w:rsid w:val="00F60AD2"/>
    <w:rsid w:val="00F60BA4"/>
    <w:rsid w:val="00F60CC8"/>
    <w:rsid w:val="00F6104D"/>
    <w:rsid w:val="00F610E7"/>
    <w:rsid w:val="00F6126B"/>
    <w:rsid w:val="00F612EC"/>
    <w:rsid w:val="00F61367"/>
    <w:rsid w:val="00F61414"/>
    <w:rsid w:val="00F61439"/>
    <w:rsid w:val="00F615F6"/>
    <w:rsid w:val="00F6189E"/>
    <w:rsid w:val="00F618D9"/>
    <w:rsid w:val="00F61937"/>
    <w:rsid w:val="00F61A39"/>
    <w:rsid w:val="00F61AAD"/>
    <w:rsid w:val="00F61BA7"/>
    <w:rsid w:val="00F61C6F"/>
    <w:rsid w:val="00F61D40"/>
    <w:rsid w:val="00F61F9C"/>
    <w:rsid w:val="00F61FAB"/>
    <w:rsid w:val="00F620A5"/>
    <w:rsid w:val="00F62370"/>
    <w:rsid w:val="00F624C4"/>
    <w:rsid w:val="00F6259F"/>
    <w:rsid w:val="00F62AAB"/>
    <w:rsid w:val="00F62B4D"/>
    <w:rsid w:val="00F63194"/>
    <w:rsid w:val="00F631CB"/>
    <w:rsid w:val="00F63371"/>
    <w:rsid w:val="00F633B8"/>
    <w:rsid w:val="00F634E6"/>
    <w:rsid w:val="00F636BF"/>
    <w:rsid w:val="00F63703"/>
    <w:rsid w:val="00F63A38"/>
    <w:rsid w:val="00F63CCD"/>
    <w:rsid w:val="00F63E1E"/>
    <w:rsid w:val="00F63EA4"/>
    <w:rsid w:val="00F63F68"/>
    <w:rsid w:val="00F63FAD"/>
    <w:rsid w:val="00F64151"/>
    <w:rsid w:val="00F641B1"/>
    <w:rsid w:val="00F641DE"/>
    <w:rsid w:val="00F64226"/>
    <w:rsid w:val="00F6430D"/>
    <w:rsid w:val="00F644C8"/>
    <w:rsid w:val="00F64637"/>
    <w:rsid w:val="00F646DF"/>
    <w:rsid w:val="00F64894"/>
    <w:rsid w:val="00F648E1"/>
    <w:rsid w:val="00F648ED"/>
    <w:rsid w:val="00F64917"/>
    <w:rsid w:val="00F64B32"/>
    <w:rsid w:val="00F64BE4"/>
    <w:rsid w:val="00F64EEE"/>
    <w:rsid w:val="00F64FFA"/>
    <w:rsid w:val="00F65007"/>
    <w:rsid w:val="00F653A2"/>
    <w:rsid w:val="00F6540D"/>
    <w:rsid w:val="00F6543A"/>
    <w:rsid w:val="00F654AA"/>
    <w:rsid w:val="00F65847"/>
    <w:rsid w:val="00F65A67"/>
    <w:rsid w:val="00F65B82"/>
    <w:rsid w:val="00F65F6D"/>
    <w:rsid w:val="00F65FFA"/>
    <w:rsid w:val="00F66007"/>
    <w:rsid w:val="00F66040"/>
    <w:rsid w:val="00F66348"/>
    <w:rsid w:val="00F666A0"/>
    <w:rsid w:val="00F66709"/>
    <w:rsid w:val="00F669D6"/>
    <w:rsid w:val="00F66A3A"/>
    <w:rsid w:val="00F66ACE"/>
    <w:rsid w:val="00F66B0D"/>
    <w:rsid w:val="00F6712D"/>
    <w:rsid w:val="00F671E8"/>
    <w:rsid w:val="00F6742B"/>
    <w:rsid w:val="00F6758D"/>
    <w:rsid w:val="00F6769E"/>
    <w:rsid w:val="00F677B5"/>
    <w:rsid w:val="00F67833"/>
    <w:rsid w:val="00F67998"/>
    <w:rsid w:val="00F67A82"/>
    <w:rsid w:val="00F67C63"/>
    <w:rsid w:val="00F67F28"/>
    <w:rsid w:val="00F700BA"/>
    <w:rsid w:val="00F700F5"/>
    <w:rsid w:val="00F70165"/>
    <w:rsid w:val="00F70200"/>
    <w:rsid w:val="00F70231"/>
    <w:rsid w:val="00F7023C"/>
    <w:rsid w:val="00F70252"/>
    <w:rsid w:val="00F703C3"/>
    <w:rsid w:val="00F7049E"/>
    <w:rsid w:val="00F704AA"/>
    <w:rsid w:val="00F704AD"/>
    <w:rsid w:val="00F7058A"/>
    <w:rsid w:val="00F70659"/>
    <w:rsid w:val="00F707B3"/>
    <w:rsid w:val="00F70822"/>
    <w:rsid w:val="00F70FC3"/>
    <w:rsid w:val="00F70FC5"/>
    <w:rsid w:val="00F710D4"/>
    <w:rsid w:val="00F711B3"/>
    <w:rsid w:val="00F7154A"/>
    <w:rsid w:val="00F716DF"/>
    <w:rsid w:val="00F71B30"/>
    <w:rsid w:val="00F71E3F"/>
    <w:rsid w:val="00F72014"/>
    <w:rsid w:val="00F72119"/>
    <w:rsid w:val="00F7212F"/>
    <w:rsid w:val="00F72267"/>
    <w:rsid w:val="00F722CD"/>
    <w:rsid w:val="00F72366"/>
    <w:rsid w:val="00F723F6"/>
    <w:rsid w:val="00F7263E"/>
    <w:rsid w:val="00F72652"/>
    <w:rsid w:val="00F7271A"/>
    <w:rsid w:val="00F72727"/>
    <w:rsid w:val="00F72A05"/>
    <w:rsid w:val="00F72E7C"/>
    <w:rsid w:val="00F72F73"/>
    <w:rsid w:val="00F73089"/>
    <w:rsid w:val="00F7318E"/>
    <w:rsid w:val="00F7318F"/>
    <w:rsid w:val="00F732C3"/>
    <w:rsid w:val="00F73991"/>
    <w:rsid w:val="00F73AFE"/>
    <w:rsid w:val="00F73BB7"/>
    <w:rsid w:val="00F73CEE"/>
    <w:rsid w:val="00F73F28"/>
    <w:rsid w:val="00F7402E"/>
    <w:rsid w:val="00F74056"/>
    <w:rsid w:val="00F74325"/>
    <w:rsid w:val="00F74356"/>
    <w:rsid w:val="00F743C0"/>
    <w:rsid w:val="00F74430"/>
    <w:rsid w:val="00F74539"/>
    <w:rsid w:val="00F7456D"/>
    <w:rsid w:val="00F748FA"/>
    <w:rsid w:val="00F74B02"/>
    <w:rsid w:val="00F74D5D"/>
    <w:rsid w:val="00F75100"/>
    <w:rsid w:val="00F75211"/>
    <w:rsid w:val="00F753F9"/>
    <w:rsid w:val="00F757A9"/>
    <w:rsid w:val="00F758C2"/>
    <w:rsid w:val="00F75E09"/>
    <w:rsid w:val="00F75E42"/>
    <w:rsid w:val="00F75F97"/>
    <w:rsid w:val="00F75FC9"/>
    <w:rsid w:val="00F76082"/>
    <w:rsid w:val="00F760B4"/>
    <w:rsid w:val="00F761DA"/>
    <w:rsid w:val="00F762A0"/>
    <w:rsid w:val="00F76712"/>
    <w:rsid w:val="00F7672C"/>
    <w:rsid w:val="00F76754"/>
    <w:rsid w:val="00F76A56"/>
    <w:rsid w:val="00F76A57"/>
    <w:rsid w:val="00F76B90"/>
    <w:rsid w:val="00F77000"/>
    <w:rsid w:val="00F7727B"/>
    <w:rsid w:val="00F7775E"/>
    <w:rsid w:val="00F7785F"/>
    <w:rsid w:val="00F77A7F"/>
    <w:rsid w:val="00F77ABA"/>
    <w:rsid w:val="00F77EC1"/>
    <w:rsid w:val="00F77F0C"/>
    <w:rsid w:val="00F80113"/>
    <w:rsid w:val="00F8026A"/>
    <w:rsid w:val="00F8029F"/>
    <w:rsid w:val="00F80548"/>
    <w:rsid w:val="00F80782"/>
    <w:rsid w:val="00F80845"/>
    <w:rsid w:val="00F80B1F"/>
    <w:rsid w:val="00F80B4F"/>
    <w:rsid w:val="00F80CA8"/>
    <w:rsid w:val="00F80CED"/>
    <w:rsid w:val="00F80D45"/>
    <w:rsid w:val="00F80E5E"/>
    <w:rsid w:val="00F80F97"/>
    <w:rsid w:val="00F8119E"/>
    <w:rsid w:val="00F81223"/>
    <w:rsid w:val="00F8122C"/>
    <w:rsid w:val="00F81477"/>
    <w:rsid w:val="00F81568"/>
    <w:rsid w:val="00F815E4"/>
    <w:rsid w:val="00F817B7"/>
    <w:rsid w:val="00F8183F"/>
    <w:rsid w:val="00F818BF"/>
    <w:rsid w:val="00F818C0"/>
    <w:rsid w:val="00F81995"/>
    <w:rsid w:val="00F8207F"/>
    <w:rsid w:val="00F8210C"/>
    <w:rsid w:val="00F823BF"/>
    <w:rsid w:val="00F823D0"/>
    <w:rsid w:val="00F824B8"/>
    <w:rsid w:val="00F824C0"/>
    <w:rsid w:val="00F8256B"/>
    <w:rsid w:val="00F8270F"/>
    <w:rsid w:val="00F829F2"/>
    <w:rsid w:val="00F82E50"/>
    <w:rsid w:val="00F82F55"/>
    <w:rsid w:val="00F835C4"/>
    <w:rsid w:val="00F83839"/>
    <w:rsid w:val="00F83868"/>
    <w:rsid w:val="00F838DC"/>
    <w:rsid w:val="00F83AAA"/>
    <w:rsid w:val="00F83AFD"/>
    <w:rsid w:val="00F83EB8"/>
    <w:rsid w:val="00F8403F"/>
    <w:rsid w:val="00F84074"/>
    <w:rsid w:val="00F84161"/>
    <w:rsid w:val="00F84446"/>
    <w:rsid w:val="00F845DE"/>
    <w:rsid w:val="00F84822"/>
    <w:rsid w:val="00F84972"/>
    <w:rsid w:val="00F84A48"/>
    <w:rsid w:val="00F84AA3"/>
    <w:rsid w:val="00F84CE8"/>
    <w:rsid w:val="00F84D22"/>
    <w:rsid w:val="00F84DC8"/>
    <w:rsid w:val="00F84E88"/>
    <w:rsid w:val="00F84E8D"/>
    <w:rsid w:val="00F85123"/>
    <w:rsid w:val="00F8533D"/>
    <w:rsid w:val="00F857E2"/>
    <w:rsid w:val="00F85856"/>
    <w:rsid w:val="00F85BE0"/>
    <w:rsid w:val="00F85DC7"/>
    <w:rsid w:val="00F86012"/>
    <w:rsid w:val="00F860CE"/>
    <w:rsid w:val="00F86793"/>
    <w:rsid w:val="00F868A3"/>
    <w:rsid w:val="00F86A0C"/>
    <w:rsid w:val="00F86A1D"/>
    <w:rsid w:val="00F86B07"/>
    <w:rsid w:val="00F86E11"/>
    <w:rsid w:val="00F87064"/>
    <w:rsid w:val="00F8775D"/>
    <w:rsid w:val="00F8789B"/>
    <w:rsid w:val="00F878D1"/>
    <w:rsid w:val="00F87C35"/>
    <w:rsid w:val="00F87DBB"/>
    <w:rsid w:val="00F87E38"/>
    <w:rsid w:val="00F87E4E"/>
    <w:rsid w:val="00F87EE6"/>
    <w:rsid w:val="00F901A9"/>
    <w:rsid w:val="00F902FB"/>
    <w:rsid w:val="00F903EB"/>
    <w:rsid w:val="00F90483"/>
    <w:rsid w:val="00F90886"/>
    <w:rsid w:val="00F90C04"/>
    <w:rsid w:val="00F90CC0"/>
    <w:rsid w:val="00F90F41"/>
    <w:rsid w:val="00F91007"/>
    <w:rsid w:val="00F910AA"/>
    <w:rsid w:val="00F910D3"/>
    <w:rsid w:val="00F9138A"/>
    <w:rsid w:val="00F915D1"/>
    <w:rsid w:val="00F91668"/>
    <w:rsid w:val="00F91861"/>
    <w:rsid w:val="00F91A44"/>
    <w:rsid w:val="00F91B60"/>
    <w:rsid w:val="00F91D65"/>
    <w:rsid w:val="00F9233A"/>
    <w:rsid w:val="00F92389"/>
    <w:rsid w:val="00F923C2"/>
    <w:rsid w:val="00F923EE"/>
    <w:rsid w:val="00F924BF"/>
    <w:rsid w:val="00F92587"/>
    <w:rsid w:val="00F92818"/>
    <w:rsid w:val="00F92C8F"/>
    <w:rsid w:val="00F92CA3"/>
    <w:rsid w:val="00F92F0E"/>
    <w:rsid w:val="00F93065"/>
    <w:rsid w:val="00F9327D"/>
    <w:rsid w:val="00F93775"/>
    <w:rsid w:val="00F937AB"/>
    <w:rsid w:val="00F93933"/>
    <w:rsid w:val="00F93ADF"/>
    <w:rsid w:val="00F93AF7"/>
    <w:rsid w:val="00F93ED2"/>
    <w:rsid w:val="00F942A8"/>
    <w:rsid w:val="00F94509"/>
    <w:rsid w:val="00F94A7D"/>
    <w:rsid w:val="00F94AA1"/>
    <w:rsid w:val="00F94C3A"/>
    <w:rsid w:val="00F94D91"/>
    <w:rsid w:val="00F94E2E"/>
    <w:rsid w:val="00F94E74"/>
    <w:rsid w:val="00F94EB3"/>
    <w:rsid w:val="00F950DE"/>
    <w:rsid w:val="00F951BE"/>
    <w:rsid w:val="00F956A8"/>
    <w:rsid w:val="00F959E8"/>
    <w:rsid w:val="00F95BF4"/>
    <w:rsid w:val="00F95E4F"/>
    <w:rsid w:val="00F95E52"/>
    <w:rsid w:val="00F95E87"/>
    <w:rsid w:val="00F965C6"/>
    <w:rsid w:val="00F967B3"/>
    <w:rsid w:val="00F967F6"/>
    <w:rsid w:val="00F96835"/>
    <w:rsid w:val="00F96986"/>
    <w:rsid w:val="00F96DD5"/>
    <w:rsid w:val="00F96E80"/>
    <w:rsid w:val="00F97061"/>
    <w:rsid w:val="00F97182"/>
    <w:rsid w:val="00F9734D"/>
    <w:rsid w:val="00F97399"/>
    <w:rsid w:val="00F97496"/>
    <w:rsid w:val="00F974FC"/>
    <w:rsid w:val="00F975F7"/>
    <w:rsid w:val="00F97853"/>
    <w:rsid w:val="00F97AB3"/>
    <w:rsid w:val="00F97BBD"/>
    <w:rsid w:val="00F97BED"/>
    <w:rsid w:val="00FA0050"/>
    <w:rsid w:val="00FA00D2"/>
    <w:rsid w:val="00FA0386"/>
    <w:rsid w:val="00FA0519"/>
    <w:rsid w:val="00FA071D"/>
    <w:rsid w:val="00FA07C6"/>
    <w:rsid w:val="00FA0826"/>
    <w:rsid w:val="00FA08AD"/>
    <w:rsid w:val="00FA08D3"/>
    <w:rsid w:val="00FA0A36"/>
    <w:rsid w:val="00FA0B60"/>
    <w:rsid w:val="00FA0F7E"/>
    <w:rsid w:val="00FA1142"/>
    <w:rsid w:val="00FA11D4"/>
    <w:rsid w:val="00FA1208"/>
    <w:rsid w:val="00FA126E"/>
    <w:rsid w:val="00FA19BB"/>
    <w:rsid w:val="00FA1B0A"/>
    <w:rsid w:val="00FA1CD7"/>
    <w:rsid w:val="00FA1E4D"/>
    <w:rsid w:val="00FA2105"/>
    <w:rsid w:val="00FA220F"/>
    <w:rsid w:val="00FA224D"/>
    <w:rsid w:val="00FA2311"/>
    <w:rsid w:val="00FA24BD"/>
    <w:rsid w:val="00FA26D8"/>
    <w:rsid w:val="00FA27CB"/>
    <w:rsid w:val="00FA2A8B"/>
    <w:rsid w:val="00FA2B3A"/>
    <w:rsid w:val="00FA2C1A"/>
    <w:rsid w:val="00FA3197"/>
    <w:rsid w:val="00FA31CA"/>
    <w:rsid w:val="00FA35F1"/>
    <w:rsid w:val="00FA36D0"/>
    <w:rsid w:val="00FA36F9"/>
    <w:rsid w:val="00FA37D6"/>
    <w:rsid w:val="00FA389C"/>
    <w:rsid w:val="00FA38F6"/>
    <w:rsid w:val="00FA3AA7"/>
    <w:rsid w:val="00FA3B4F"/>
    <w:rsid w:val="00FA3D01"/>
    <w:rsid w:val="00FA3D0F"/>
    <w:rsid w:val="00FA3E20"/>
    <w:rsid w:val="00FA3EC8"/>
    <w:rsid w:val="00FA40EF"/>
    <w:rsid w:val="00FA411B"/>
    <w:rsid w:val="00FA463A"/>
    <w:rsid w:val="00FA4A05"/>
    <w:rsid w:val="00FA4D06"/>
    <w:rsid w:val="00FA4E2E"/>
    <w:rsid w:val="00FA507F"/>
    <w:rsid w:val="00FA508F"/>
    <w:rsid w:val="00FA5139"/>
    <w:rsid w:val="00FA522D"/>
    <w:rsid w:val="00FA529D"/>
    <w:rsid w:val="00FA52BC"/>
    <w:rsid w:val="00FA5386"/>
    <w:rsid w:val="00FA53C7"/>
    <w:rsid w:val="00FA55E7"/>
    <w:rsid w:val="00FA5623"/>
    <w:rsid w:val="00FA5A07"/>
    <w:rsid w:val="00FA5B25"/>
    <w:rsid w:val="00FA5B3D"/>
    <w:rsid w:val="00FA5D8F"/>
    <w:rsid w:val="00FA6140"/>
    <w:rsid w:val="00FA63CD"/>
    <w:rsid w:val="00FA66E4"/>
    <w:rsid w:val="00FA68AF"/>
    <w:rsid w:val="00FA6AFC"/>
    <w:rsid w:val="00FA6DEA"/>
    <w:rsid w:val="00FA6ED9"/>
    <w:rsid w:val="00FA7059"/>
    <w:rsid w:val="00FA70B4"/>
    <w:rsid w:val="00FA7233"/>
    <w:rsid w:val="00FA724F"/>
    <w:rsid w:val="00FA7301"/>
    <w:rsid w:val="00FA73DE"/>
    <w:rsid w:val="00FA73E0"/>
    <w:rsid w:val="00FA7A40"/>
    <w:rsid w:val="00FA7B60"/>
    <w:rsid w:val="00FA7D08"/>
    <w:rsid w:val="00FB0149"/>
    <w:rsid w:val="00FB01D2"/>
    <w:rsid w:val="00FB03B4"/>
    <w:rsid w:val="00FB09FE"/>
    <w:rsid w:val="00FB0A0C"/>
    <w:rsid w:val="00FB0CD7"/>
    <w:rsid w:val="00FB0E0F"/>
    <w:rsid w:val="00FB0E8C"/>
    <w:rsid w:val="00FB0EEB"/>
    <w:rsid w:val="00FB10D1"/>
    <w:rsid w:val="00FB11FA"/>
    <w:rsid w:val="00FB128C"/>
    <w:rsid w:val="00FB1314"/>
    <w:rsid w:val="00FB194C"/>
    <w:rsid w:val="00FB1AD6"/>
    <w:rsid w:val="00FB1B95"/>
    <w:rsid w:val="00FB1ED7"/>
    <w:rsid w:val="00FB20B5"/>
    <w:rsid w:val="00FB235E"/>
    <w:rsid w:val="00FB2492"/>
    <w:rsid w:val="00FB259F"/>
    <w:rsid w:val="00FB2682"/>
    <w:rsid w:val="00FB2AE6"/>
    <w:rsid w:val="00FB2B52"/>
    <w:rsid w:val="00FB2C1B"/>
    <w:rsid w:val="00FB2ECD"/>
    <w:rsid w:val="00FB2F08"/>
    <w:rsid w:val="00FB350B"/>
    <w:rsid w:val="00FB35E0"/>
    <w:rsid w:val="00FB35FF"/>
    <w:rsid w:val="00FB3619"/>
    <w:rsid w:val="00FB37B9"/>
    <w:rsid w:val="00FB3829"/>
    <w:rsid w:val="00FB3996"/>
    <w:rsid w:val="00FB3A6C"/>
    <w:rsid w:val="00FB3ADC"/>
    <w:rsid w:val="00FB3CE6"/>
    <w:rsid w:val="00FB3E71"/>
    <w:rsid w:val="00FB4180"/>
    <w:rsid w:val="00FB43FE"/>
    <w:rsid w:val="00FB4585"/>
    <w:rsid w:val="00FB47F3"/>
    <w:rsid w:val="00FB486B"/>
    <w:rsid w:val="00FB4B06"/>
    <w:rsid w:val="00FB4C74"/>
    <w:rsid w:val="00FB51CE"/>
    <w:rsid w:val="00FB52DE"/>
    <w:rsid w:val="00FB550D"/>
    <w:rsid w:val="00FB59E3"/>
    <w:rsid w:val="00FB5AB1"/>
    <w:rsid w:val="00FB5CD7"/>
    <w:rsid w:val="00FB5D19"/>
    <w:rsid w:val="00FB64C4"/>
    <w:rsid w:val="00FB65F7"/>
    <w:rsid w:val="00FB6646"/>
    <w:rsid w:val="00FB667D"/>
    <w:rsid w:val="00FB66C4"/>
    <w:rsid w:val="00FB68E3"/>
    <w:rsid w:val="00FB6A97"/>
    <w:rsid w:val="00FB6B61"/>
    <w:rsid w:val="00FB7230"/>
    <w:rsid w:val="00FB7306"/>
    <w:rsid w:val="00FB751A"/>
    <w:rsid w:val="00FB7534"/>
    <w:rsid w:val="00FB761A"/>
    <w:rsid w:val="00FB79ED"/>
    <w:rsid w:val="00FB7BE8"/>
    <w:rsid w:val="00FB7DB7"/>
    <w:rsid w:val="00FC006E"/>
    <w:rsid w:val="00FC00AA"/>
    <w:rsid w:val="00FC010C"/>
    <w:rsid w:val="00FC0399"/>
    <w:rsid w:val="00FC0432"/>
    <w:rsid w:val="00FC0834"/>
    <w:rsid w:val="00FC08A4"/>
    <w:rsid w:val="00FC0939"/>
    <w:rsid w:val="00FC0949"/>
    <w:rsid w:val="00FC0B60"/>
    <w:rsid w:val="00FC0D4C"/>
    <w:rsid w:val="00FC0EFF"/>
    <w:rsid w:val="00FC1096"/>
    <w:rsid w:val="00FC1150"/>
    <w:rsid w:val="00FC117E"/>
    <w:rsid w:val="00FC1221"/>
    <w:rsid w:val="00FC1236"/>
    <w:rsid w:val="00FC1275"/>
    <w:rsid w:val="00FC153A"/>
    <w:rsid w:val="00FC16C3"/>
    <w:rsid w:val="00FC1A7D"/>
    <w:rsid w:val="00FC1BA6"/>
    <w:rsid w:val="00FC1E56"/>
    <w:rsid w:val="00FC1E91"/>
    <w:rsid w:val="00FC1ECD"/>
    <w:rsid w:val="00FC1F72"/>
    <w:rsid w:val="00FC2156"/>
    <w:rsid w:val="00FC21CD"/>
    <w:rsid w:val="00FC21DE"/>
    <w:rsid w:val="00FC2405"/>
    <w:rsid w:val="00FC258A"/>
    <w:rsid w:val="00FC2593"/>
    <w:rsid w:val="00FC290A"/>
    <w:rsid w:val="00FC2B7D"/>
    <w:rsid w:val="00FC2BE8"/>
    <w:rsid w:val="00FC2CF1"/>
    <w:rsid w:val="00FC2D76"/>
    <w:rsid w:val="00FC30BA"/>
    <w:rsid w:val="00FC31C8"/>
    <w:rsid w:val="00FC3783"/>
    <w:rsid w:val="00FC3817"/>
    <w:rsid w:val="00FC395B"/>
    <w:rsid w:val="00FC3AC9"/>
    <w:rsid w:val="00FC3B72"/>
    <w:rsid w:val="00FC3C3A"/>
    <w:rsid w:val="00FC3E19"/>
    <w:rsid w:val="00FC4169"/>
    <w:rsid w:val="00FC4243"/>
    <w:rsid w:val="00FC451A"/>
    <w:rsid w:val="00FC452E"/>
    <w:rsid w:val="00FC4590"/>
    <w:rsid w:val="00FC46B2"/>
    <w:rsid w:val="00FC4768"/>
    <w:rsid w:val="00FC4935"/>
    <w:rsid w:val="00FC4A3F"/>
    <w:rsid w:val="00FC4A9C"/>
    <w:rsid w:val="00FC4E5F"/>
    <w:rsid w:val="00FC4FF9"/>
    <w:rsid w:val="00FC51AF"/>
    <w:rsid w:val="00FC521D"/>
    <w:rsid w:val="00FC54C6"/>
    <w:rsid w:val="00FC569A"/>
    <w:rsid w:val="00FC5BD2"/>
    <w:rsid w:val="00FC5C1A"/>
    <w:rsid w:val="00FC5C28"/>
    <w:rsid w:val="00FC5D78"/>
    <w:rsid w:val="00FC5FA0"/>
    <w:rsid w:val="00FC6093"/>
    <w:rsid w:val="00FC612A"/>
    <w:rsid w:val="00FC62F5"/>
    <w:rsid w:val="00FC6512"/>
    <w:rsid w:val="00FC66D5"/>
    <w:rsid w:val="00FC6773"/>
    <w:rsid w:val="00FC6973"/>
    <w:rsid w:val="00FC6BE0"/>
    <w:rsid w:val="00FC6CBD"/>
    <w:rsid w:val="00FC6D66"/>
    <w:rsid w:val="00FC6FBD"/>
    <w:rsid w:val="00FC7044"/>
    <w:rsid w:val="00FC735D"/>
    <w:rsid w:val="00FC73CC"/>
    <w:rsid w:val="00FC78CD"/>
    <w:rsid w:val="00FC7960"/>
    <w:rsid w:val="00FC7A8F"/>
    <w:rsid w:val="00FC7BA3"/>
    <w:rsid w:val="00FC7CBF"/>
    <w:rsid w:val="00FC7FD7"/>
    <w:rsid w:val="00FD0016"/>
    <w:rsid w:val="00FD02F9"/>
    <w:rsid w:val="00FD0325"/>
    <w:rsid w:val="00FD033B"/>
    <w:rsid w:val="00FD0420"/>
    <w:rsid w:val="00FD050D"/>
    <w:rsid w:val="00FD0611"/>
    <w:rsid w:val="00FD06D7"/>
    <w:rsid w:val="00FD0EBD"/>
    <w:rsid w:val="00FD0F60"/>
    <w:rsid w:val="00FD100D"/>
    <w:rsid w:val="00FD131E"/>
    <w:rsid w:val="00FD1473"/>
    <w:rsid w:val="00FD14F6"/>
    <w:rsid w:val="00FD1504"/>
    <w:rsid w:val="00FD15D4"/>
    <w:rsid w:val="00FD1622"/>
    <w:rsid w:val="00FD16D5"/>
    <w:rsid w:val="00FD1724"/>
    <w:rsid w:val="00FD1B88"/>
    <w:rsid w:val="00FD1E4A"/>
    <w:rsid w:val="00FD2051"/>
    <w:rsid w:val="00FD24D2"/>
    <w:rsid w:val="00FD250B"/>
    <w:rsid w:val="00FD2522"/>
    <w:rsid w:val="00FD2768"/>
    <w:rsid w:val="00FD2D5B"/>
    <w:rsid w:val="00FD2F7C"/>
    <w:rsid w:val="00FD342E"/>
    <w:rsid w:val="00FD381B"/>
    <w:rsid w:val="00FD38C4"/>
    <w:rsid w:val="00FD3908"/>
    <w:rsid w:val="00FD394F"/>
    <w:rsid w:val="00FD3A8C"/>
    <w:rsid w:val="00FD40B8"/>
    <w:rsid w:val="00FD40EB"/>
    <w:rsid w:val="00FD41CA"/>
    <w:rsid w:val="00FD466C"/>
    <w:rsid w:val="00FD46ED"/>
    <w:rsid w:val="00FD4947"/>
    <w:rsid w:val="00FD49B1"/>
    <w:rsid w:val="00FD4E4A"/>
    <w:rsid w:val="00FD5278"/>
    <w:rsid w:val="00FD53A0"/>
    <w:rsid w:val="00FD58CA"/>
    <w:rsid w:val="00FD5979"/>
    <w:rsid w:val="00FD59EA"/>
    <w:rsid w:val="00FD5A9B"/>
    <w:rsid w:val="00FD5AD2"/>
    <w:rsid w:val="00FD5AF1"/>
    <w:rsid w:val="00FD5DEC"/>
    <w:rsid w:val="00FD6307"/>
    <w:rsid w:val="00FD6318"/>
    <w:rsid w:val="00FD63D8"/>
    <w:rsid w:val="00FD6426"/>
    <w:rsid w:val="00FD6867"/>
    <w:rsid w:val="00FD6926"/>
    <w:rsid w:val="00FD6AEB"/>
    <w:rsid w:val="00FD6C6F"/>
    <w:rsid w:val="00FD6D07"/>
    <w:rsid w:val="00FD7116"/>
    <w:rsid w:val="00FD72AE"/>
    <w:rsid w:val="00FD7388"/>
    <w:rsid w:val="00FD7584"/>
    <w:rsid w:val="00FD773E"/>
    <w:rsid w:val="00FD7858"/>
    <w:rsid w:val="00FE0123"/>
    <w:rsid w:val="00FE01CE"/>
    <w:rsid w:val="00FE01DF"/>
    <w:rsid w:val="00FE0574"/>
    <w:rsid w:val="00FE0731"/>
    <w:rsid w:val="00FE075D"/>
    <w:rsid w:val="00FE09F7"/>
    <w:rsid w:val="00FE0AA0"/>
    <w:rsid w:val="00FE0B1B"/>
    <w:rsid w:val="00FE0C11"/>
    <w:rsid w:val="00FE0D15"/>
    <w:rsid w:val="00FE0E9C"/>
    <w:rsid w:val="00FE1001"/>
    <w:rsid w:val="00FE105D"/>
    <w:rsid w:val="00FE11A7"/>
    <w:rsid w:val="00FE1B8D"/>
    <w:rsid w:val="00FE1C4E"/>
    <w:rsid w:val="00FE1C7B"/>
    <w:rsid w:val="00FE1C86"/>
    <w:rsid w:val="00FE1F4B"/>
    <w:rsid w:val="00FE267C"/>
    <w:rsid w:val="00FE275A"/>
    <w:rsid w:val="00FE29B6"/>
    <w:rsid w:val="00FE29FE"/>
    <w:rsid w:val="00FE2A73"/>
    <w:rsid w:val="00FE2CB3"/>
    <w:rsid w:val="00FE2CD7"/>
    <w:rsid w:val="00FE2EAF"/>
    <w:rsid w:val="00FE2F85"/>
    <w:rsid w:val="00FE2FA1"/>
    <w:rsid w:val="00FE33FD"/>
    <w:rsid w:val="00FE345E"/>
    <w:rsid w:val="00FE34F7"/>
    <w:rsid w:val="00FE35D4"/>
    <w:rsid w:val="00FE3931"/>
    <w:rsid w:val="00FE39A1"/>
    <w:rsid w:val="00FE3A95"/>
    <w:rsid w:val="00FE3AC7"/>
    <w:rsid w:val="00FE3B59"/>
    <w:rsid w:val="00FE3EFC"/>
    <w:rsid w:val="00FE407E"/>
    <w:rsid w:val="00FE409C"/>
    <w:rsid w:val="00FE40CC"/>
    <w:rsid w:val="00FE4183"/>
    <w:rsid w:val="00FE4298"/>
    <w:rsid w:val="00FE42FB"/>
    <w:rsid w:val="00FE45F2"/>
    <w:rsid w:val="00FE48CD"/>
    <w:rsid w:val="00FE4956"/>
    <w:rsid w:val="00FE49F2"/>
    <w:rsid w:val="00FE4BAC"/>
    <w:rsid w:val="00FE4BC6"/>
    <w:rsid w:val="00FE4C1A"/>
    <w:rsid w:val="00FE4ECC"/>
    <w:rsid w:val="00FE4F5D"/>
    <w:rsid w:val="00FE4F80"/>
    <w:rsid w:val="00FE5277"/>
    <w:rsid w:val="00FE551E"/>
    <w:rsid w:val="00FE56CC"/>
    <w:rsid w:val="00FE5788"/>
    <w:rsid w:val="00FE584C"/>
    <w:rsid w:val="00FE5DDD"/>
    <w:rsid w:val="00FE5E9E"/>
    <w:rsid w:val="00FE6091"/>
    <w:rsid w:val="00FE64A3"/>
    <w:rsid w:val="00FE6514"/>
    <w:rsid w:val="00FE6580"/>
    <w:rsid w:val="00FE6591"/>
    <w:rsid w:val="00FE6620"/>
    <w:rsid w:val="00FE6755"/>
    <w:rsid w:val="00FE6906"/>
    <w:rsid w:val="00FE69E1"/>
    <w:rsid w:val="00FE6AFB"/>
    <w:rsid w:val="00FE6B7C"/>
    <w:rsid w:val="00FE6CA0"/>
    <w:rsid w:val="00FE706D"/>
    <w:rsid w:val="00FE74A9"/>
    <w:rsid w:val="00FE74CD"/>
    <w:rsid w:val="00FE7580"/>
    <w:rsid w:val="00FE75AD"/>
    <w:rsid w:val="00FE75E8"/>
    <w:rsid w:val="00FE7788"/>
    <w:rsid w:val="00FE786B"/>
    <w:rsid w:val="00FE786F"/>
    <w:rsid w:val="00FE7934"/>
    <w:rsid w:val="00FE7A77"/>
    <w:rsid w:val="00FE7AF1"/>
    <w:rsid w:val="00FE7C77"/>
    <w:rsid w:val="00FE7DE6"/>
    <w:rsid w:val="00FF0047"/>
    <w:rsid w:val="00FF0120"/>
    <w:rsid w:val="00FF020C"/>
    <w:rsid w:val="00FF0660"/>
    <w:rsid w:val="00FF0704"/>
    <w:rsid w:val="00FF0745"/>
    <w:rsid w:val="00FF0EE0"/>
    <w:rsid w:val="00FF0F9E"/>
    <w:rsid w:val="00FF1087"/>
    <w:rsid w:val="00FF10CE"/>
    <w:rsid w:val="00FF167F"/>
    <w:rsid w:val="00FF18E7"/>
    <w:rsid w:val="00FF1998"/>
    <w:rsid w:val="00FF19AF"/>
    <w:rsid w:val="00FF1A91"/>
    <w:rsid w:val="00FF1DB5"/>
    <w:rsid w:val="00FF1E96"/>
    <w:rsid w:val="00FF1F29"/>
    <w:rsid w:val="00FF20C8"/>
    <w:rsid w:val="00FF214E"/>
    <w:rsid w:val="00FF239F"/>
    <w:rsid w:val="00FF2407"/>
    <w:rsid w:val="00FF24A8"/>
    <w:rsid w:val="00FF2545"/>
    <w:rsid w:val="00FF255F"/>
    <w:rsid w:val="00FF2764"/>
    <w:rsid w:val="00FF2931"/>
    <w:rsid w:val="00FF2C6E"/>
    <w:rsid w:val="00FF3034"/>
    <w:rsid w:val="00FF30F9"/>
    <w:rsid w:val="00FF31AF"/>
    <w:rsid w:val="00FF33C8"/>
    <w:rsid w:val="00FF373F"/>
    <w:rsid w:val="00FF38EF"/>
    <w:rsid w:val="00FF396A"/>
    <w:rsid w:val="00FF39BF"/>
    <w:rsid w:val="00FF3A5E"/>
    <w:rsid w:val="00FF3AE6"/>
    <w:rsid w:val="00FF3D22"/>
    <w:rsid w:val="00FF3EF1"/>
    <w:rsid w:val="00FF3F8F"/>
    <w:rsid w:val="00FF4533"/>
    <w:rsid w:val="00FF4927"/>
    <w:rsid w:val="00FF4AC0"/>
    <w:rsid w:val="00FF4DC3"/>
    <w:rsid w:val="00FF4DCA"/>
    <w:rsid w:val="00FF4EB4"/>
    <w:rsid w:val="00FF4F03"/>
    <w:rsid w:val="00FF50F0"/>
    <w:rsid w:val="00FF51E8"/>
    <w:rsid w:val="00FF52FC"/>
    <w:rsid w:val="00FF564C"/>
    <w:rsid w:val="00FF57C1"/>
    <w:rsid w:val="00FF5985"/>
    <w:rsid w:val="00FF5A8E"/>
    <w:rsid w:val="00FF5A8F"/>
    <w:rsid w:val="00FF5D75"/>
    <w:rsid w:val="00FF5DE4"/>
    <w:rsid w:val="00FF5E72"/>
    <w:rsid w:val="00FF6083"/>
    <w:rsid w:val="00FF6326"/>
    <w:rsid w:val="00FF64C2"/>
    <w:rsid w:val="00FF664E"/>
    <w:rsid w:val="00FF6F7E"/>
    <w:rsid w:val="00FF7271"/>
    <w:rsid w:val="00FF72EE"/>
    <w:rsid w:val="00FF776F"/>
    <w:rsid w:val="00FF78DB"/>
    <w:rsid w:val="00FF79D8"/>
    <w:rsid w:val="00FF7A7A"/>
    <w:rsid w:val="00FF7E31"/>
    <w:rsid w:val="00FF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7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A"/>
  </w:style>
  <w:style w:type="paragraph" w:styleId="Heading1">
    <w:name w:val="heading 1"/>
    <w:basedOn w:val="Normal"/>
    <w:next w:val="Normal"/>
    <w:link w:val="Heading1Char"/>
    <w:uiPriority w:val="9"/>
    <w:qFormat/>
    <w:rsid w:val="003B277C"/>
    <w:pPr>
      <w:keepNext/>
      <w:keepLines/>
      <w:spacing w:before="240" w:after="240"/>
      <w:outlineLvl w:val="0"/>
    </w:pPr>
    <w:rPr>
      <w:rFonts w:eastAsia="MS Gothic"/>
      <w:b/>
      <w:bCs/>
      <w:color w:val="244061"/>
      <w:sz w:val="28"/>
      <w:szCs w:val="28"/>
    </w:rPr>
  </w:style>
  <w:style w:type="paragraph" w:styleId="Heading2">
    <w:name w:val="heading 2"/>
    <w:basedOn w:val="Normal"/>
    <w:next w:val="Normal"/>
    <w:link w:val="Heading2Char"/>
    <w:uiPriority w:val="9"/>
    <w:qFormat/>
    <w:rsid w:val="003B277C"/>
    <w:pPr>
      <w:keepNext/>
      <w:keepLines/>
      <w:spacing w:before="200" w:after="240"/>
      <w:outlineLvl w:val="1"/>
    </w:pPr>
    <w:rPr>
      <w:rFonts w:ascii="Trebuchet MS" w:eastAsia="MS Gothic" w:hAnsi="Trebuchet MS"/>
      <w:b/>
      <w:bCs/>
      <w:color w:val="4F6228"/>
      <w:sz w:val="26"/>
      <w:szCs w:val="26"/>
    </w:rPr>
  </w:style>
  <w:style w:type="paragraph" w:styleId="Heading3">
    <w:name w:val="heading 3"/>
    <w:basedOn w:val="Normal"/>
    <w:next w:val="Normal"/>
    <w:link w:val="Heading3Char"/>
    <w:uiPriority w:val="9"/>
    <w:qFormat/>
    <w:rsid w:val="003B277C"/>
    <w:pPr>
      <w:keepNext/>
      <w:keepLines/>
      <w:spacing w:before="120" w:after="240"/>
      <w:outlineLvl w:val="2"/>
    </w:pPr>
    <w:rPr>
      <w:rFonts w:ascii="Calibri" w:eastAsia="MS Gothic" w:hAnsi="Calibri"/>
      <w:b/>
      <w:bCs/>
      <w:color w:val="4F81BD"/>
      <w:sz w:val="22"/>
      <w:szCs w:val="22"/>
    </w:rPr>
  </w:style>
  <w:style w:type="paragraph" w:styleId="Heading4">
    <w:name w:val="heading 4"/>
    <w:basedOn w:val="Normal"/>
    <w:next w:val="Normal"/>
    <w:link w:val="Heading4Char"/>
    <w:uiPriority w:val="9"/>
    <w:qFormat/>
    <w:rsid w:val="003B277C"/>
    <w:pPr>
      <w:keepNext/>
      <w:keepLines/>
      <w:spacing w:before="200"/>
      <w:outlineLvl w:val="3"/>
    </w:pPr>
    <w:rPr>
      <w:rFonts w:eastAsia="MS Gothic"/>
      <w:b/>
      <w:bCs/>
      <w:i/>
      <w:iCs/>
      <w:color w:val="4F81BD"/>
      <w:sz w:val="22"/>
      <w:szCs w:val="22"/>
    </w:rPr>
  </w:style>
  <w:style w:type="paragraph" w:styleId="Heading5">
    <w:name w:val="heading 5"/>
    <w:basedOn w:val="Normal"/>
    <w:link w:val="Heading5Char"/>
    <w:uiPriority w:val="9"/>
    <w:unhideWhenUsed/>
    <w:qFormat/>
    <w:rsid w:val="009E7B1F"/>
    <w:pPr>
      <w:numPr>
        <w:numId w:val="11"/>
      </w:numPr>
      <w:tabs>
        <w:tab w:val="left" w:pos="1080"/>
      </w:tabs>
      <w:spacing w:before="120" w:after="160"/>
      <w:outlineLvl w:val="4"/>
    </w:pPr>
    <w:rPr>
      <w:rFonts w:ascii="Times New Roman" w:eastAsia="Cambria" w:hAnsi="Times New Roman"/>
    </w:rPr>
  </w:style>
  <w:style w:type="paragraph" w:styleId="Heading6">
    <w:name w:val="heading 6"/>
    <w:basedOn w:val="Normal"/>
    <w:next w:val="Normal"/>
    <w:link w:val="Heading6Char"/>
    <w:uiPriority w:val="9"/>
    <w:qFormat/>
    <w:rsid w:val="009E7B1F"/>
    <w:pPr>
      <w:numPr>
        <w:numId w:val="33"/>
      </w:numPr>
      <w:spacing w:before="200" w:after="240"/>
      <w:ind w:left="720"/>
      <w:outlineLvl w:val="5"/>
    </w:pPr>
    <w:rPr>
      <w:rFonts w:ascii="Times New Roman" w:eastAsia="Cambria" w:hAnsi="Times New Roman"/>
      <w:iCs/>
      <w:szCs w:val="20"/>
    </w:rPr>
  </w:style>
  <w:style w:type="paragraph" w:styleId="Heading7">
    <w:name w:val="heading 7"/>
    <w:basedOn w:val="Normal"/>
    <w:next w:val="Normal"/>
    <w:link w:val="Heading7Char"/>
    <w:uiPriority w:val="9"/>
    <w:qFormat/>
    <w:rsid w:val="009E7B1F"/>
    <w:pPr>
      <w:spacing w:before="200" w:after="240"/>
      <w:ind w:left="4320"/>
      <w:outlineLvl w:val="6"/>
    </w:pPr>
    <w:rPr>
      <w:rFonts w:eastAsia="Cambria"/>
      <w:i/>
      <w:iCs/>
      <w:color w:val="404040"/>
      <w:szCs w:val="20"/>
    </w:rPr>
  </w:style>
  <w:style w:type="paragraph" w:styleId="Heading8">
    <w:name w:val="heading 8"/>
    <w:basedOn w:val="Normal"/>
    <w:next w:val="Normal"/>
    <w:link w:val="Heading8Char"/>
    <w:uiPriority w:val="9"/>
    <w:qFormat/>
    <w:rsid w:val="009E7B1F"/>
    <w:pPr>
      <w:spacing w:before="200" w:after="240"/>
      <w:ind w:left="5040"/>
      <w:outlineLvl w:val="7"/>
    </w:pPr>
    <w:rPr>
      <w:rFonts w:eastAsia="Cambria"/>
      <w:color w:val="404040"/>
      <w:sz w:val="20"/>
      <w:szCs w:val="20"/>
    </w:rPr>
  </w:style>
  <w:style w:type="paragraph" w:styleId="Heading9">
    <w:name w:val="heading 9"/>
    <w:basedOn w:val="Normal"/>
    <w:next w:val="Normal"/>
    <w:link w:val="Heading9Char"/>
    <w:uiPriority w:val="9"/>
    <w:qFormat/>
    <w:rsid w:val="009E7B1F"/>
    <w:pPr>
      <w:spacing w:before="200" w:after="240"/>
      <w:ind w:left="5760"/>
      <w:outlineLvl w:val="8"/>
    </w:pPr>
    <w:rPr>
      <w:rFonts w:eastAsia="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6696A"/>
    <w:pPr>
      <w:autoSpaceDE w:val="0"/>
      <w:autoSpaceDN w:val="0"/>
      <w:adjustRightInd w:val="0"/>
    </w:pPr>
    <w:rPr>
      <w:rFonts w:ascii="Century Schoolbook" w:eastAsia="Calibri" w:hAnsi="Century Schoolbook" w:cs="Century Schoolbook"/>
      <w:color w:val="000000"/>
    </w:rPr>
  </w:style>
  <w:style w:type="paragraph" w:customStyle="1" w:styleId="CM24">
    <w:name w:val="CM24"/>
    <w:basedOn w:val="Default"/>
    <w:next w:val="Default"/>
    <w:uiPriority w:val="99"/>
    <w:rsid w:val="0036696A"/>
    <w:rPr>
      <w:rFonts w:cs="Times New Roman"/>
      <w:color w:val="auto"/>
    </w:rPr>
  </w:style>
  <w:style w:type="paragraph" w:customStyle="1" w:styleId="ColorfulList-Accent11">
    <w:name w:val="Colorful List - Accent 11"/>
    <w:basedOn w:val="Normal"/>
    <w:uiPriority w:val="34"/>
    <w:qFormat/>
    <w:rsid w:val="00E84B20"/>
    <w:pPr>
      <w:ind w:left="720"/>
      <w:contextualSpacing/>
    </w:pPr>
  </w:style>
  <w:style w:type="paragraph" w:styleId="Header">
    <w:name w:val="header"/>
    <w:basedOn w:val="Normal"/>
    <w:link w:val="HeaderChar"/>
    <w:uiPriority w:val="99"/>
    <w:unhideWhenUsed/>
    <w:rsid w:val="00B13584"/>
    <w:pPr>
      <w:tabs>
        <w:tab w:val="center" w:pos="4680"/>
        <w:tab w:val="right" w:pos="9360"/>
      </w:tabs>
    </w:pPr>
  </w:style>
  <w:style w:type="character" w:customStyle="1" w:styleId="HeaderChar">
    <w:name w:val="Header Char"/>
    <w:basedOn w:val="DefaultParagraphFont"/>
    <w:link w:val="Header"/>
    <w:uiPriority w:val="99"/>
    <w:rsid w:val="00B13584"/>
  </w:style>
  <w:style w:type="paragraph" w:styleId="Footer">
    <w:name w:val="footer"/>
    <w:basedOn w:val="Normal"/>
    <w:link w:val="FooterChar"/>
    <w:uiPriority w:val="99"/>
    <w:unhideWhenUsed/>
    <w:rsid w:val="00B13584"/>
    <w:pPr>
      <w:tabs>
        <w:tab w:val="center" w:pos="4680"/>
        <w:tab w:val="right" w:pos="9360"/>
      </w:tabs>
    </w:pPr>
  </w:style>
  <w:style w:type="character" w:customStyle="1" w:styleId="FooterChar">
    <w:name w:val="Footer Char"/>
    <w:basedOn w:val="DefaultParagraphFont"/>
    <w:link w:val="Footer"/>
    <w:uiPriority w:val="99"/>
    <w:rsid w:val="00B13584"/>
  </w:style>
  <w:style w:type="paragraph" w:styleId="NoSpacing">
    <w:name w:val="No Spacing"/>
    <w:link w:val="NoSpacingChar"/>
    <w:uiPriority w:val="1"/>
    <w:qFormat/>
    <w:rsid w:val="00651EB2"/>
    <w:rPr>
      <w:rFonts w:ascii="Times New Roman" w:hAnsi="Times New Roman"/>
    </w:rPr>
  </w:style>
  <w:style w:type="paragraph" w:styleId="Title">
    <w:name w:val="Title"/>
    <w:basedOn w:val="Normal"/>
    <w:next w:val="Normal"/>
    <w:link w:val="TitleChar"/>
    <w:qFormat/>
    <w:rsid w:val="007D6D1D"/>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rsid w:val="007D6D1D"/>
    <w:rPr>
      <w:rFonts w:ascii="Cambria" w:eastAsia="MS Gothic" w:hAnsi="Cambria" w:cs="Times New Roman"/>
      <w:color w:val="17365D"/>
      <w:spacing w:val="5"/>
      <w:kern w:val="28"/>
      <w:sz w:val="52"/>
      <w:szCs w:val="52"/>
    </w:rPr>
  </w:style>
  <w:style w:type="character" w:customStyle="1" w:styleId="NoSpacingChar">
    <w:name w:val="No Spacing Char"/>
    <w:link w:val="NoSpacing"/>
    <w:rsid w:val="008C6560"/>
    <w:rPr>
      <w:rFonts w:ascii="Times New Roman" w:hAnsi="Times New Roman"/>
      <w:szCs w:val="24"/>
      <w:lang w:val="en-US" w:eastAsia="en-US" w:bidi="ar-SA"/>
    </w:rPr>
  </w:style>
  <w:style w:type="paragraph" w:styleId="BalloonText">
    <w:name w:val="Balloon Text"/>
    <w:basedOn w:val="Normal"/>
    <w:link w:val="BalloonTextChar"/>
    <w:uiPriority w:val="99"/>
    <w:unhideWhenUsed/>
    <w:rsid w:val="00491DB1"/>
    <w:rPr>
      <w:rFonts w:ascii="Tahoma" w:hAnsi="Tahoma"/>
      <w:sz w:val="16"/>
      <w:szCs w:val="16"/>
    </w:rPr>
  </w:style>
  <w:style w:type="character" w:customStyle="1" w:styleId="BalloonTextChar">
    <w:name w:val="Balloon Text Char"/>
    <w:link w:val="BalloonText"/>
    <w:uiPriority w:val="99"/>
    <w:rsid w:val="00491DB1"/>
    <w:rPr>
      <w:rFonts w:ascii="Tahoma" w:hAnsi="Tahoma" w:cs="Tahoma"/>
      <w:sz w:val="16"/>
      <w:szCs w:val="16"/>
    </w:rPr>
  </w:style>
  <w:style w:type="character" w:styleId="PageNumber">
    <w:name w:val="page number"/>
    <w:basedOn w:val="DefaultParagraphFont"/>
    <w:uiPriority w:val="99"/>
    <w:semiHidden/>
    <w:unhideWhenUsed/>
    <w:rsid w:val="00EC6F42"/>
  </w:style>
  <w:style w:type="paragraph" w:customStyle="1" w:styleId="ColorfulShading-Accent11">
    <w:name w:val="Colorful Shading - Accent 11"/>
    <w:hidden/>
    <w:uiPriority w:val="66"/>
    <w:rsid w:val="00990D28"/>
  </w:style>
  <w:style w:type="character" w:customStyle="1" w:styleId="Heading1Char">
    <w:name w:val="Heading 1 Char"/>
    <w:link w:val="Heading1"/>
    <w:uiPriority w:val="9"/>
    <w:rsid w:val="003B277C"/>
    <w:rPr>
      <w:rFonts w:eastAsia="MS Gothic"/>
      <w:b/>
      <w:bCs/>
      <w:color w:val="244061"/>
      <w:sz w:val="28"/>
      <w:szCs w:val="28"/>
    </w:rPr>
  </w:style>
  <w:style w:type="character" w:customStyle="1" w:styleId="Heading2Char">
    <w:name w:val="Heading 2 Char"/>
    <w:link w:val="Heading2"/>
    <w:uiPriority w:val="9"/>
    <w:rsid w:val="003B277C"/>
    <w:rPr>
      <w:rFonts w:ascii="Trebuchet MS" w:eastAsia="MS Gothic" w:hAnsi="Trebuchet MS"/>
      <w:b/>
      <w:bCs/>
      <w:color w:val="4F6228"/>
      <w:sz w:val="26"/>
      <w:szCs w:val="26"/>
    </w:rPr>
  </w:style>
  <w:style w:type="character" w:customStyle="1" w:styleId="Heading3Char">
    <w:name w:val="Heading 3 Char"/>
    <w:link w:val="Heading3"/>
    <w:uiPriority w:val="9"/>
    <w:rsid w:val="003B277C"/>
    <w:rPr>
      <w:rFonts w:ascii="Calibri" w:eastAsia="MS Gothic" w:hAnsi="Calibri"/>
      <w:b/>
      <w:bCs/>
      <w:color w:val="4F81BD"/>
      <w:sz w:val="22"/>
      <w:szCs w:val="22"/>
    </w:rPr>
  </w:style>
  <w:style w:type="character" w:customStyle="1" w:styleId="Heading4Char">
    <w:name w:val="Heading 4 Char"/>
    <w:link w:val="Heading4"/>
    <w:uiPriority w:val="9"/>
    <w:rsid w:val="003B277C"/>
    <w:rPr>
      <w:rFonts w:eastAsia="MS Gothic"/>
      <w:b/>
      <w:bCs/>
      <w:i/>
      <w:iCs/>
      <w:color w:val="4F81BD"/>
      <w:sz w:val="22"/>
      <w:szCs w:val="22"/>
    </w:rPr>
  </w:style>
  <w:style w:type="character" w:styleId="Hyperlink">
    <w:name w:val="Hyperlink"/>
    <w:unhideWhenUsed/>
    <w:rsid w:val="003B277C"/>
    <w:rPr>
      <w:color w:val="0000FF"/>
      <w:u w:val="single"/>
    </w:rPr>
  </w:style>
  <w:style w:type="paragraph" w:styleId="TOC1">
    <w:name w:val="toc 1"/>
    <w:basedOn w:val="Normal"/>
    <w:next w:val="Normal"/>
    <w:autoRedefine/>
    <w:uiPriority w:val="39"/>
    <w:unhideWhenUsed/>
    <w:rsid w:val="003B277C"/>
    <w:pPr>
      <w:spacing w:before="120" w:after="120"/>
    </w:pPr>
    <w:rPr>
      <w:rFonts w:ascii="Calibri" w:eastAsia="Calibri" w:hAnsi="Calibri" w:cs="Calibri"/>
      <w:b/>
      <w:bCs/>
      <w:caps/>
      <w:sz w:val="20"/>
      <w:szCs w:val="20"/>
    </w:rPr>
  </w:style>
  <w:style w:type="paragraph" w:styleId="TOC2">
    <w:name w:val="toc 2"/>
    <w:basedOn w:val="Normal"/>
    <w:next w:val="Normal"/>
    <w:autoRedefine/>
    <w:uiPriority w:val="39"/>
    <w:unhideWhenUsed/>
    <w:rsid w:val="003B277C"/>
    <w:pPr>
      <w:ind w:left="220"/>
    </w:pPr>
    <w:rPr>
      <w:rFonts w:ascii="Calibri" w:eastAsia="Calibri" w:hAnsi="Calibri" w:cs="Calibri"/>
      <w:smallCaps/>
      <w:sz w:val="20"/>
      <w:szCs w:val="20"/>
    </w:rPr>
  </w:style>
  <w:style w:type="paragraph" w:styleId="TOC3">
    <w:name w:val="toc 3"/>
    <w:basedOn w:val="Normal"/>
    <w:next w:val="Normal"/>
    <w:autoRedefine/>
    <w:uiPriority w:val="39"/>
    <w:unhideWhenUsed/>
    <w:rsid w:val="003B277C"/>
    <w:pPr>
      <w:ind w:left="440"/>
    </w:pPr>
    <w:rPr>
      <w:rFonts w:ascii="Calibri" w:eastAsia="Calibri" w:hAnsi="Calibri" w:cs="Calibri"/>
      <w:i/>
      <w:iCs/>
      <w:sz w:val="20"/>
      <w:szCs w:val="20"/>
    </w:rPr>
  </w:style>
  <w:style w:type="paragraph" w:styleId="TOC4">
    <w:name w:val="toc 4"/>
    <w:basedOn w:val="Normal"/>
    <w:next w:val="Normal"/>
    <w:autoRedefine/>
    <w:uiPriority w:val="39"/>
    <w:unhideWhenUsed/>
    <w:rsid w:val="003B277C"/>
    <w:pPr>
      <w:ind w:left="660"/>
    </w:pPr>
    <w:rPr>
      <w:rFonts w:ascii="Calibri" w:eastAsia="Calibri" w:hAnsi="Calibri" w:cs="Calibri"/>
      <w:sz w:val="18"/>
      <w:szCs w:val="18"/>
    </w:rPr>
  </w:style>
  <w:style w:type="paragraph" w:styleId="TOC5">
    <w:name w:val="toc 5"/>
    <w:basedOn w:val="Normal"/>
    <w:next w:val="Normal"/>
    <w:autoRedefine/>
    <w:uiPriority w:val="39"/>
    <w:unhideWhenUsed/>
    <w:rsid w:val="003B277C"/>
    <w:pPr>
      <w:ind w:left="880"/>
    </w:pPr>
    <w:rPr>
      <w:rFonts w:ascii="Calibri" w:eastAsia="Calibri" w:hAnsi="Calibri" w:cs="Calibri"/>
      <w:sz w:val="18"/>
      <w:szCs w:val="18"/>
    </w:rPr>
  </w:style>
  <w:style w:type="paragraph" w:styleId="TOC6">
    <w:name w:val="toc 6"/>
    <w:basedOn w:val="Normal"/>
    <w:next w:val="Normal"/>
    <w:autoRedefine/>
    <w:uiPriority w:val="39"/>
    <w:unhideWhenUsed/>
    <w:rsid w:val="003B277C"/>
    <w:pPr>
      <w:ind w:left="1100"/>
    </w:pPr>
    <w:rPr>
      <w:rFonts w:ascii="Calibri" w:eastAsia="Calibri" w:hAnsi="Calibri" w:cs="Calibri"/>
      <w:sz w:val="18"/>
      <w:szCs w:val="18"/>
    </w:rPr>
  </w:style>
  <w:style w:type="paragraph" w:styleId="TOC7">
    <w:name w:val="toc 7"/>
    <w:basedOn w:val="Normal"/>
    <w:next w:val="Normal"/>
    <w:autoRedefine/>
    <w:uiPriority w:val="39"/>
    <w:unhideWhenUsed/>
    <w:rsid w:val="003B277C"/>
    <w:pPr>
      <w:ind w:left="1320"/>
    </w:pPr>
    <w:rPr>
      <w:rFonts w:ascii="Calibri" w:eastAsia="Calibri" w:hAnsi="Calibri" w:cs="Calibri"/>
      <w:sz w:val="18"/>
      <w:szCs w:val="18"/>
    </w:rPr>
  </w:style>
  <w:style w:type="paragraph" w:styleId="TOC8">
    <w:name w:val="toc 8"/>
    <w:basedOn w:val="Normal"/>
    <w:next w:val="Normal"/>
    <w:autoRedefine/>
    <w:uiPriority w:val="39"/>
    <w:unhideWhenUsed/>
    <w:rsid w:val="003B277C"/>
    <w:pPr>
      <w:ind w:left="1540"/>
    </w:pPr>
    <w:rPr>
      <w:rFonts w:ascii="Calibri" w:eastAsia="Calibri" w:hAnsi="Calibri" w:cs="Calibri"/>
      <w:sz w:val="18"/>
      <w:szCs w:val="18"/>
    </w:rPr>
  </w:style>
  <w:style w:type="paragraph" w:styleId="TOC9">
    <w:name w:val="toc 9"/>
    <w:basedOn w:val="Normal"/>
    <w:next w:val="Normal"/>
    <w:autoRedefine/>
    <w:uiPriority w:val="39"/>
    <w:unhideWhenUsed/>
    <w:rsid w:val="003B277C"/>
    <w:pPr>
      <w:ind w:left="1760"/>
    </w:pPr>
    <w:rPr>
      <w:rFonts w:ascii="Calibri" w:eastAsia="Calibri" w:hAnsi="Calibri" w:cs="Calibri"/>
      <w:sz w:val="18"/>
      <w:szCs w:val="18"/>
    </w:rPr>
  </w:style>
  <w:style w:type="paragraph" w:styleId="FootnoteText">
    <w:name w:val="footnote text"/>
    <w:basedOn w:val="Normal"/>
    <w:link w:val="FootnoteTextChar"/>
    <w:uiPriority w:val="99"/>
    <w:unhideWhenUsed/>
    <w:rsid w:val="00390431"/>
    <w:rPr>
      <w:sz w:val="20"/>
      <w:szCs w:val="20"/>
    </w:rPr>
  </w:style>
  <w:style w:type="character" w:customStyle="1" w:styleId="FootnoteTextChar">
    <w:name w:val="Footnote Text Char"/>
    <w:basedOn w:val="DefaultParagraphFont"/>
    <w:link w:val="FootnoteText"/>
    <w:uiPriority w:val="99"/>
    <w:rsid w:val="00390431"/>
  </w:style>
  <w:style w:type="character" w:styleId="FootnoteReference">
    <w:name w:val="footnote reference"/>
    <w:uiPriority w:val="99"/>
    <w:unhideWhenUsed/>
    <w:qFormat/>
    <w:rsid w:val="00390431"/>
    <w:rPr>
      <w:vertAlign w:val="superscript"/>
    </w:rPr>
  </w:style>
  <w:style w:type="paragraph" w:styleId="ListParagraph">
    <w:name w:val="List Paragraph"/>
    <w:basedOn w:val="Normal"/>
    <w:uiPriority w:val="34"/>
    <w:qFormat/>
    <w:rsid w:val="00B74EB2"/>
    <w:pPr>
      <w:ind w:left="720"/>
      <w:contextualSpacing/>
    </w:pPr>
  </w:style>
  <w:style w:type="character" w:styleId="CommentReference">
    <w:name w:val="annotation reference"/>
    <w:uiPriority w:val="99"/>
    <w:unhideWhenUsed/>
    <w:rsid w:val="00330ED8"/>
    <w:rPr>
      <w:sz w:val="18"/>
      <w:szCs w:val="18"/>
    </w:rPr>
  </w:style>
  <w:style w:type="paragraph" w:styleId="CommentText">
    <w:name w:val="annotation text"/>
    <w:basedOn w:val="Normal"/>
    <w:link w:val="CommentTextChar"/>
    <w:uiPriority w:val="99"/>
    <w:unhideWhenUsed/>
    <w:rsid w:val="00330ED8"/>
  </w:style>
  <w:style w:type="character" w:customStyle="1" w:styleId="CommentTextChar">
    <w:name w:val="Comment Text Char"/>
    <w:link w:val="CommentText"/>
    <w:uiPriority w:val="99"/>
    <w:rsid w:val="00330ED8"/>
    <w:rPr>
      <w:sz w:val="24"/>
      <w:szCs w:val="24"/>
    </w:rPr>
  </w:style>
  <w:style w:type="paragraph" w:styleId="CommentSubject">
    <w:name w:val="annotation subject"/>
    <w:basedOn w:val="CommentText"/>
    <w:next w:val="CommentText"/>
    <w:link w:val="CommentSubjectChar"/>
    <w:uiPriority w:val="99"/>
    <w:unhideWhenUsed/>
    <w:rsid w:val="00330ED8"/>
    <w:rPr>
      <w:b/>
      <w:bCs/>
    </w:rPr>
  </w:style>
  <w:style w:type="character" w:customStyle="1" w:styleId="CommentSubjectChar">
    <w:name w:val="Comment Subject Char"/>
    <w:link w:val="CommentSubject"/>
    <w:uiPriority w:val="99"/>
    <w:rsid w:val="00330ED8"/>
    <w:rPr>
      <w:b/>
      <w:bCs/>
      <w:sz w:val="24"/>
      <w:szCs w:val="24"/>
    </w:rPr>
  </w:style>
  <w:style w:type="paragraph" w:styleId="Revision">
    <w:name w:val="Revision"/>
    <w:hidden/>
    <w:uiPriority w:val="99"/>
    <w:rsid w:val="00DD579C"/>
  </w:style>
  <w:style w:type="paragraph" w:styleId="TOCHeading">
    <w:name w:val="TOC Heading"/>
    <w:basedOn w:val="Heading1"/>
    <w:next w:val="Normal"/>
    <w:uiPriority w:val="39"/>
    <w:unhideWhenUsed/>
    <w:qFormat/>
    <w:rsid w:val="009E7B1F"/>
    <w:pPr>
      <w:spacing w:before="480" w:after="0"/>
      <w:outlineLvl w:val="9"/>
    </w:pPr>
    <w:rPr>
      <w:rFonts w:ascii="Calibri" w:eastAsia="Times New Roman" w:hAnsi="Calibri"/>
      <w:color w:val="345A8A"/>
      <w:sz w:val="32"/>
      <w:szCs w:val="32"/>
    </w:rPr>
  </w:style>
  <w:style w:type="character" w:customStyle="1" w:styleId="Heading5Char">
    <w:name w:val="Heading 5 Char"/>
    <w:link w:val="Heading5"/>
    <w:uiPriority w:val="9"/>
    <w:rsid w:val="009E7B1F"/>
    <w:rPr>
      <w:rFonts w:ascii="Times New Roman" w:eastAsia="Cambria" w:hAnsi="Times New Roman"/>
    </w:rPr>
  </w:style>
  <w:style w:type="character" w:customStyle="1" w:styleId="Heading6Char">
    <w:name w:val="Heading 6 Char"/>
    <w:link w:val="Heading6"/>
    <w:uiPriority w:val="9"/>
    <w:rsid w:val="009E7B1F"/>
    <w:rPr>
      <w:rFonts w:ascii="Times New Roman" w:eastAsia="Cambria" w:hAnsi="Times New Roman"/>
      <w:iCs/>
      <w:szCs w:val="20"/>
    </w:rPr>
  </w:style>
  <w:style w:type="character" w:customStyle="1" w:styleId="Heading7Char">
    <w:name w:val="Heading 7 Char"/>
    <w:link w:val="Heading7"/>
    <w:uiPriority w:val="9"/>
    <w:rsid w:val="009E7B1F"/>
    <w:rPr>
      <w:rFonts w:eastAsia="Cambria" w:cs="Times New Roman"/>
      <w:i/>
      <w:iCs/>
      <w:color w:val="404040"/>
      <w:sz w:val="24"/>
    </w:rPr>
  </w:style>
  <w:style w:type="character" w:customStyle="1" w:styleId="Heading8Char">
    <w:name w:val="Heading 8 Char"/>
    <w:link w:val="Heading8"/>
    <w:uiPriority w:val="9"/>
    <w:rsid w:val="009E7B1F"/>
    <w:rPr>
      <w:rFonts w:eastAsia="Cambria" w:cs="Times New Roman"/>
      <w:color w:val="404040"/>
    </w:rPr>
  </w:style>
  <w:style w:type="character" w:customStyle="1" w:styleId="Heading9Char">
    <w:name w:val="Heading 9 Char"/>
    <w:link w:val="Heading9"/>
    <w:uiPriority w:val="9"/>
    <w:rsid w:val="009E7B1F"/>
    <w:rPr>
      <w:rFonts w:eastAsia="Cambria" w:cs="Times New Roman"/>
      <w:i/>
      <w:iCs/>
      <w:color w:val="404040"/>
    </w:rPr>
  </w:style>
  <w:style w:type="paragraph" w:customStyle="1" w:styleId="1stlinewspace">
    <w:name w:val="1st line w/space"/>
    <w:basedOn w:val="Normal"/>
    <w:link w:val="1stlinewspaceCharChar"/>
    <w:rsid w:val="009E7B1F"/>
    <w:pPr>
      <w:spacing w:before="100"/>
    </w:pPr>
    <w:rPr>
      <w:rFonts w:ascii="Garamond" w:eastAsia="Cambria" w:hAnsi="Garamond"/>
      <w:bCs/>
      <w:sz w:val="20"/>
    </w:rPr>
  </w:style>
  <w:style w:type="character" w:customStyle="1" w:styleId="1stlinewspaceCharChar">
    <w:name w:val="1st line w/space Char Char"/>
    <w:link w:val="1stlinewspace"/>
    <w:rsid w:val="009E7B1F"/>
    <w:rPr>
      <w:rFonts w:ascii="Garamond" w:eastAsia="Cambria" w:hAnsi="Garamond" w:cs="Times New Roman"/>
      <w:bCs/>
      <w:szCs w:val="24"/>
    </w:rPr>
  </w:style>
  <w:style w:type="paragraph" w:customStyle="1" w:styleId="35Heading">
    <w:name w:val="3.5 Heading"/>
    <w:qFormat/>
    <w:rsid w:val="009E7B1F"/>
    <w:pPr>
      <w:spacing w:before="40" w:after="40"/>
      <w:jc w:val="center"/>
    </w:pPr>
    <w:rPr>
      <w:rFonts w:ascii="Arial" w:eastAsia="Times New Roman" w:hAnsi="Arial" w:cs="Arial"/>
      <w:sz w:val="22"/>
    </w:rPr>
  </w:style>
  <w:style w:type="paragraph" w:customStyle="1" w:styleId="35Text">
    <w:name w:val="3.5 Text"/>
    <w:qFormat/>
    <w:rsid w:val="009E7B1F"/>
    <w:pPr>
      <w:spacing w:after="120"/>
    </w:pPr>
    <w:rPr>
      <w:rFonts w:ascii="Calibri" w:eastAsia="Times New Roman" w:hAnsi="Calibri" w:cs="Calibri"/>
    </w:rPr>
  </w:style>
  <w:style w:type="table" w:customStyle="1" w:styleId="508Table">
    <w:name w:val="508 Table"/>
    <w:basedOn w:val="TableNormal"/>
    <w:uiPriority w:val="99"/>
    <w:rsid w:val="009E7B1F"/>
    <w:rPr>
      <w:rFonts w:ascii="Calibri" w:eastAsia="Calibri" w:hAnsi="Calibri"/>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character" w:customStyle="1" w:styleId="A0">
    <w:name w:val="A0"/>
    <w:uiPriority w:val="99"/>
    <w:rsid w:val="009E7B1F"/>
    <w:rPr>
      <w:rFonts w:cs="Trebuchet MS"/>
      <w:b/>
      <w:bCs/>
      <w:i/>
      <w:iCs/>
      <w:color w:val="000000"/>
      <w:sz w:val="22"/>
      <w:szCs w:val="22"/>
    </w:rPr>
  </w:style>
  <w:style w:type="character" w:customStyle="1" w:styleId="A3">
    <w:name w:val="A3"/>
    <w:uiPriority w:val="99"/>
    <w:rsid w:val="009E7B1F"/>
    <w:rPr>
      <w:rFonts w:cs="Trebuchet MS"/>
      <w:b/>
      <w:bCs/>
      <w:color w:val="000000"/>
      <w:sz w:val="26"/>
      <w:szCs w:val="26"/>
    </w:rPr>
  </w:style>
  <w:style w:type="character" w:customStyle="1" w:styleId="A5">
    <w:name w:val="A5"/>
    <w:uiPriority w:val="99"/>
    <w:rsid w:val="009E7B1F"/>
    <w:rPr>
      <w:rFonts w:cs="Calibri"/>
      <w:color w:val="000000"/>
      <w:sz w:val="15"/>
      <w:szCs w:val="15"/>
    </w:rPr>
  </w:style>
  <w:style w:type="character" w:customStyle="1" w:styleId="apple-converted-space">
    <w:name w:val="apple-converted-space"/>
    <w:basedOn w:val="DefaultParagraphFont"/>
    <w:rsid w:val="009E7B1F"/>
  </w:style>
  <w:style w:type="character" w:customStyle="1" w:styleId="apple-style-span">
    <w:name w:val="apple-style-span"/>
    <w:basedOn w:val="DefaultParagraphFont"/>
    <w:uiPriority w:val="99"/>
    <w:rsid w:val="009E7B1F"/>
  </w:style>
  <w:style w:type="paragraph" w:customStyle="1" w:styleId="Bibliography1">
    <w:name w:val="Bibliography1"/>
    <w:basedOn w:val="Normal"/>
    <w:rsid w:val="009E7B1F"/>
    <w:pPr>
      <w:keepLines/>
      <w:widowControl w:val="0"/>
      <w:spacing w:before="120"/>
      <w:ind w:left="288" w:hanging="288"/>
    </w:pPr>
    <w:rPr>
      <w:rFonts w:ascii="AGaramond" w:eastAsia="Cambria" w:hAnsi="AGaramond"/>
      <w:sz w:val="20"/>
      <w:szCs w:val="20"/>
    </w:rPr>
  </w:style>
  <w:style w:type="character" w:customStyle="1" w:styleId="bigaccentcolor1">
    <w:name w:val="big_accent_color1"/>
    <w:rsid w:val="009E7B1F"/>
    <w:rPr>
      <w:color w:val="2B5555"/>
      <w:sz w:val="18"/>
      <w:szCs w:val="18"/>
    </w:rPr>
  </w:style>
  <w:style w:type="character" w:customStyle="1" w:styleId="Black">
    <w:name w:val="Black"/>
    <w:uiPriority w:val="1"/>
    <w:qFormat/>
    <w:rsid w:val="009E7B1F"/>
    <w:rPr>
      <w:b/>
      <w:color w:val="auto"/>
    </w:rPr>
  </w:style>
  <w:style w:type="paragraph" w:styleId="BlockText">
    <w:name w:val="Block Text"/>
    <w:basedOn w:val="Normal"/>
    <w:uiPriority w:val="99"/>
    <w:unhideWhenUsed/>
    <w:rsid w:val="009E7B1F"/>
    <w:pPr>
      <w:keepNext/>
      <w:pBdr>
        <w:top w:val="single" w:sz="18" w:space="10" w:color="4F81BD" w:shadow="1"/>
        <w:left w:val="single" w:sz="18" w:space="10" w:color="4F81BD" w:shadow="1"/>
        <w:bottom w:val="single" w:sz="18" w:space="10" w:color="4F81BD" w:shadow="1"/>
        <w:right w:val="single" w:sz="18" w:space="10" w:color="4F81BD" w:shadow="1"/>
      </w:pBdr>
      <w:spacing w:before="120" w:after="160"/>
      <w:ind w:left="684" w:right="585"/>
    </w:pPr>
    <w:rPr>
      <w:rFonts w:ascii="Calibri" w:eastAsia="Cambria" w:hAnsi="Calibri"/>
      <w:i/>
      <w:iCs/>
      <w:color w:val="00267F"/>
      <w:spacing w:val="16"/>
    </w:rPr>
  </w:style>
  <w:style w:type="paragraph" w:customStyle="1" w:styleId="BlockText2">
    <w:name w:val="Block Text 2"/>
    <w:basedOn w:val="BlockText"/>
    <w:qFormat/>
    <w:rsid w:val="009E7B1F"/>
    <w:pPr>
      <w:shd w:val="clear" w:color="auto" w:fill="F2F2F2"/>
      <w:spacing w:after="120"/>
      <w:ind w:left="855" w:right="756"/>
    </w:pPr>
    <w:rPr>
      <w:sz w:val="20"/>
    </w:rPr>
  </w:style>
  <w:style w:type="paragraph" w:customStyle="1" w:styleId="BlockTextBulley">
    <w:name w:val="Block Text Bulley"/>
    <w:basedOn w:val="BlockText2"/>
    <w:qFormat/>
    <w:rsid w:val="009E7B1F"/>
    <w:pPr>
      <w:ind w:left="1053" w:hanging="189"/>
    </w:pPr>
  </w:style>
  <w:style w:type="paragraph" w:customStyle="1" w:styleId="BlockTextHEAD">
    <w:name w:val="Block Text HEAD"/>
    <w:basedOn w:val="BlockText"/>
    <w:rsid w:val="009E7B1F"/>
    <w:pPr>
      <w:shd w:val="clear" w:color="auto" w:fill="EEECE1"/>
      <w:spacing w:after="0"/>
      <w:ind w:left="855" w:right="756"/>
    </w:pPr>
    <w:rPr>
      <w:szCs w:val="20"/>
    </w:rPr>
  </w:style>
  <w:style w:type="character" w:customStyle="1" w:styleId="blue">
    <w:name w:val="blue"/>
    <w:qFormat/>
    <w:rsid w:val="009E7B1F"/>
    <w:rPr>
      <w:b/>
      <w:color w:val="00267F"/>
    </w:rPr>
  </w:style>
  <w:style w:type="character" w:customStyle="1" w:styleId="Blue0">
    <w:name w:val="Blue"/>
    <w:qFormat/>
    <w:rsid w:val="009E7B1F"/>
    <w:rPr>
      <w:color w:val="FFFFFF"/>
      <w:bdr w:val="none" w:sz="0" w:space="0" w:color="auto"/>
      <w:shd w:val="clear" w:color="auto" w:fill="32649B"/>
    </w:rPr>
  </w:style>
  <w:style w:type="paragraph" w:customStyle="1" w:styleId="Blurb">
    <w:name w:val="Blurb"/>
    <w:basedOn w:val="Normal"/>
    <w:link w:val="BlurbChar"/>
    <w:rsid w:val="009E7B1F"/>
    <w:pPr>
      <w:spacing w:after="240"/>
    </w:pPr>
    <w:rPr>
      <w:rFonts w:ascii="Book Antiqua" w:eastAsia="Cambria" w:hAnsi="Book Antiqua"/>
      <w:sz w:val="22"/>
      <w:szCs w:val="20"/>
    </w:rPr>
  </w:style>
  <w:style w:type="character" w:customStyle="1" w:styleId="BlurbChar">
    <w:name w:val="Blurb Char"/>
    <w:link w:val="Blurb"/>
    <w:rsid w:val="009E7B1F"/>
    <w:rPr>
      <w:rFonts w:ascii="Book Antiqua" w:eastAsia="Cambria" w:hAnsi="Book Antiqua" w:cs="Times New Roman"/>
      <w:sz w:val="22"/>
    </w:rPr>
  </w:style>
  <w:style w:type="paragraph" w:customStyle="1" w:styleId="BodTxt2">
    <w:name w:val="Bod Txt 2"/>
    <w:basedOn w:val="Normal"/>
    <w:link w:val="BodTxt2Char"/>
    <w:rsid w:val="009E7B1F"/>
    <w:pPr>
      <w:tabs>
        <w:tab w:val="left" w:pos="6480"/>
      </w:tabs>
      <w:ind w:left="1440" w:hanging="720"/>
    </w:pPr>
    <w:rPr>
      <w:rFonts w:ascii="Times New Roman" w:eastAsia="Cambria" w:hAnsi="Times New Roman"/>
      <w:szCs w:val="22"/>
    </w:rPr>
  </w:style>
  <w:style w:type="character" w:customStyle="1" w:styleId="BodTxt2Char">
    <w:name w:val="Bod Txt 2 Char"/>
    <w:link w:val="BodTxt2"/>
    <w:rsid w:val="009E7B1F"/>
    <w:rPr>
      <w:rFonts w:ascii="Times New Roman" w:eastAsia="Cambria" w:hAnsi="Times New Roman" w:cs="Times New Roman"/>
      <w:sz w:val="24"/>
      <w:szCs w:val="22"/>
    </w:rPr>
  </w:style>
  <w:style w:type="paragraph" w:customStyle="1" w:styleId="BodTxt3">
    <w:name w:val="Bod Txt 3"/>
    <w:basedOn w:val="BodTxt2"/>
    <w:rsid w:val="009E7B1F"/>
    <w:pPr>
      <w:tabs>
        <w:tab w:val="clear" w:pos="6480"/>
        <w:tab w:val="left" w:pos="1440"/>
      </w:tabs>
      <w:spacing w:after="120"/>
    </w:pPr>
    <w:rPr>
      <w:spacing w:val="-3"/>
    </w:rPr>
  </w:style>
  <w:style w:type="paragraph" w:customStyle="1" w:styleId="BodTxt4">
    <w:name w:val="Bod Txt 4"/>
    <w:basedOn w:val="BodTxt3"/>
    <w:rsid w:val="009E7B1F"/>
    <w:pPr>
      <w:tabs>
        <w:tab w:val="clear" w:pos="1440"/>
        <w:tab w:val="left" w:pos="2520"/>
      </w:tabs>
    </w:pPr>
  </w:style>
  <w:style w:type="paragraph" w:styleId="BodyText2">
    <w:name w:val="Body Text 2"/>
    <w:basedOn w:val="Normal"/>
    <w:link w:val="BodyText2Char"/>
    <w:semiHidden/>
    <w:rsid w:val="009E7B1F"/>
    <w:pPr>
      <w:spacing w:after="160" w:line="480" w:lineRule="auto"/>
    </w:pPr>
    <w:rPr>
      <w:rFonts w:ascii="Times New Roman" w:eastAsia="Cambria" w:hAnsi="Times New Roman"/>
    </w:rPr>
  </w:style>
  <w:style w:type="character" w:customStyle="1" w:styleId="BodyText2Char">
    <w:name w:val="Body Text 2 Char"/>
    <w:link w:val="BodyText2"/>
    <w:semiHidden/>
    <w:rsid w:val="009E7B1F"/>
    <w:rPr>
      <w:rFonts w:ascii="Times New Roman" w:eastAsia="Cambria" w:hAnsi="Times New Roman" w:cs="Times New Roman"/>
      <w:sz w:val="24"/>
      <w:szCs w:val="24"/>
    </w:rPr>
  </w:style>
  <w:style w:type="paragraph" w:styleId="BodyText3">
    <w:name w:val="Body Text 3"/>
    <w:basedOn w:val="Normal"/>
    <w:link w:val="BodyText3Char"/>
    <w:rsid w:val="009E7B1F"/>
    <w:pPr>
      <w:spacing w:after="160"/>
    </w:pPr>
    <w:rPr>
      <w:rFonts w:ascii="Times New Roman" w:eastAsia="Cambria" w:hAnsi="Times New Roman"/>
      <w:sz w:val="16"/>
      <w:szCs w:val="16"/>
    </w:rPr>
  </w:style>
  <w:style w:type="character" w:customStyle="1" w:styleId="BodyText3Char">
    <w:name w:val="Body Text 3 Char"/>
    <w:link w:val="BodyText3"/>
    <w:rsid w:val="009E7B1F"/>
    <w:rPr>
      <w:rFonts w:ascii="Times New Roman" w:eastAsia="Cambria" w:hAnsi="Times New Roman" w:cs="Times New Roman"/>
      <w:sz w:val="16"/>
      <w:szCs w:val="16"/>
    </w:rPr>
  </w:style>
  <w:style w:type="paragraph" w:styleId="BodyText">
    <w:name w:val="Body Text"/>
    <w:aliases w:val="Right,bold"/>
    <w:basedOn w:val="Normal"/>
    <w:link w:val="BodyTextChar"/>
    <w:rsid w:val="009E7B1F"/>
    <w:pPr>
      <w:spacing w:before="120" w:after="160"/>
    </w:pPr>
    <w:rPr>
      <w:rFonts w:ascii="Times New Roman" w:eastAsia="Cambria" w:hAnsi="Times New Roman"/>
    </w:rPr>
  </w:style>
  <w:style w:type="character" w:customStyle="1" w:styleId="BodyTextChar">
    <w:name w:val="Body Text Char"/>
    <w:aliases w:val="Right Char,bold Char"/>
    <w:link w:val="BodyText"/>
    <w:rsid w:val="009E7B1F"/>
    <w:rPr>
      <w:rFonts w:ascii="Times New Roman" w:eastAsia="Cambria" w:hAnsi="Times New Roman" w:cs="Times New Roman"/>
      <w:sz w:val="24"/>
      <w:szCs w:val="24"/>
    </w:rPr>
  </w:style>
  <w:style w:type="paragraph" w:styleId="BodyTextFirstIndent">
    <w:name w:val="Body Text First Indent"/>
    <w:basedOn w:val="BodyText"/>
    <w:link w:val="BodyTextFirstIndentChar"/>
    <w:uiPriority w:val="99"/>
    <w:unhideWhenUsed/>
    <w:rsid w:val="009E7B1F"/>
    <w:pPr>
      <w:spacing w:before="0" w:after="120"/>
      <w:ind w:firstLine="210"/>
    </w:pPr>
  </w:style>
  <w:style w:type="character" w:customStyle="1" w:styleId="BodyTextFirstIndentChar">
    <w:name w:val="Body Text First Indent Char"/>
    <w:link w:val="BodyTextFirstIndent"/>
    <w:uiPriority w:val="99"/>
    <w:rsid w:val="009E7B1F"/>
    <w:rPr>
      <w:rFonts w:ascii="Times New Roman" w:eastAsia="Cambria" w:hAnsi="Times New Roman" w:cs="Times New Roman"/>
      <w:sz w:val="24"/>
      <w:szCs w:val="24"/>
    </w:rPr>
  </w:style>
  <w:style w:type="paragraph" w:styleId="BodyTextIndent">
    <w:name w:val="Body Text Indent"/>
    <w:basedOn w:val="Normal"/>
    <w:link w:val="BodyTextIndentChar"/>
    <w:uiPriority w:val="99"/>
    <w:unhideWhenUsed/>
    <w:rsid w:val="009E7B1F"/>
    <w:pPr>
      <w:spacing w:before="120" w:after="120"/>
      <w:ind w:left="360"/>
    </w:pPr>
    <w:rPr>
      <w:rFonts w:ascii="Times New Roman" w:eastAsia="Cambria" w:hAnsi="Times New Roman"/>
    </w:rPr>
  </w:style>
  <w:style w:type="character" w:customStyle="1" w:styleId="BodyTextIndentChar">
    <w:name w:val="Body Text Indent Char"/>
    <w:link w:val="BodyTextIndent"/>
    <w:uiPriority w:val="99"/>
    <w:rsid w:val="009E7B1F"/>
    <w:rPr>
      <w:rFonts w:ascii="Times New Roman" w:eastAsia="Cambria" w:hAnsi="Times New Roman" w:cs="Times New Roman"/>
      <w:sz w:val="24"/>
      <w:szCs w:val="24"/>
    </w:rPr>
  </w:style>
  <w:style w:type="paragraph" w:styleId="BodyTextIndent2">
    <w:name w:val="Body Text Indent 2"/>
    <w:basedOn w:val="Normal"/>
    <w:link w:val="BodyTextIndent2Char"/>
    <w:uiPriority w:val="99"/>
    <w:semiHidden/>
    <w:unhideWhenUsed/>
    <w:rsid w:val="009E7B1F"/>
    <w:pPr>
      <w:spacing w:after="240" w:line="480" w:lineRule="auto"/>
      <w:ind w:left="360"/>
    </w:pPr>
    <w:rPr>
      <w:rFonts w:ascii="Book Antiqua" w:eastAsia="Cambria" w:hAnsi="Book Antiqua"/>
      <w:sz w:val="22"/>
      <w:szCs w:val="20"/>
    </w:rPr>
  </w:style>
  <w:style w:type="character" w:customStyle="1" w:styleId="BodyTextIndent2Char">
    <w:name w:val="Body Text Indent 2 Char"/>
    <w:link w:val="BodyTextIndent2"/>
    <w:uiPriority w:val="99"/>
    <w:semiHidden/>
    <w:rsid w:val="009E7B1F"/>
    <w:rPr>
      <w:rFonts w:ascii="Book Antiqua" w:eastAsia="Cambria" w:hAnsi="Book Antiqua" w:cs="Times New Roman"/>
      <w:sz w:val="22"/>
    </w:rPr>
  </w:style>
  <w:style w:type="paragraph" w:styleId="BodyTextIndent3">
    <w:name w:val="Body Text Indent 3"/>
    <w:basedOn w:val="Normal"/>
    <w:link w:val="BodyTextIndent3Char"/>
    <w:uiPriority w:val="99"/>
    <w:rsid w:val="009E7B1F"/>
    <w:pPr>
      <w:spacing w:after="160"/>
      <w:ind w:left="360"/>
    </w:pPr>
    <w:rPr>
      <w:rFonts w:ascii="Times New Roman" w:eastAsia="Cambria" w:hAnsi="Times New Roman"/>
      <w:sz w:val="16"/>
      <w:szCs w:val="16"/>
    </w:rPr>
  </w:style>
  <w:style w:type="character" w:customStyle="1" w:styleId="BodyTextIndent3Char">
    <w:name w:val="Body Text Indent 3 Char"/>
    <w:link w:val="BodyTextIndent3"/>
    <w:uiPriority w:val="99"/>
    <w:rsid w:val="009E7B1F"/>
    <w:rPr>
      <w:rFonts w:ascii="Times New Roman" w:eastAsia="Cambria" w:hAnsi="Times New Roman" w:cs="Times New Roman"/>
      <w:sz w:val="16"/>
      <w:szCs w:val="16"/>
    </w:rPr>
  </w:style>
  <w:style w:type="paragraph" w:customStyle="1" w:styleId="BodyTextBook">
    <w:name w:val="BodyText(Book)"/>
    <w:rsid w:val="009E7B1F"/>
    <w:pPr>
      <w:spacing w:line="260" w:lineRule="exact"/>
    </w:pPr>
    <w:rPr>
      <w:rFonts w:ascii="Book Antiqua" w:eastAsia="Times New Roman" w:hAnsi="Book Antiqua"/>
      <w:noProof/>
      <w:sz w:val="19"/>
    </w:rPr>
  </w:style>
  <w:style w:type="paragraph" w:styleId="List">
    <w:name w:val="List"/>
    <w:basedOn w:val="Normal"/>
    <w:uiPriority w:val="99"/>
    <w:rsid w:val="009E7B1F"/>
    <w:pPr>
      <w:spacing w:before="120" w:after="160"/>
      <w:ind w:left="360" w:hanging="360"/>
      <w:contextualSpacing/>
    </w:pPr>
    <w:rPr>
      <w:rFonts w:ascii="Times New Roman" w:eastAsia="Cambria" w:hAnsi="Times New Roman"/>
    </w:rPr>
  </w:style>
  <w:style w:type="paragraph" w:customStyle="1" w:styleId="bullet1">
    <w:name w:val="bullet 1"/>
    <w:basedOn w:val="List"/>
    <w:link w:val="bullet1CharChar"/>
    <w:rsid w:val="009E7B1F"/>
    <w:pPr>
      <w:numPr>
        <w:numId w:val="2"/>
      </w:numPr>
      <w:spacing w:before="0" w:after="0"/>
      <w:contextualSpacing w:val="0"/>
    </w:pPr>
    <w:rPr>
      <w:spacing w:val="-2"/>
      <w:sz w:val="20"/>
      <w:szCs w:val="22"/>
    </w:rPr>
  </w:style>
  <w:style w:type="character" w:customStyle="1" w:styleId="bullet1CharChar">
    <w:name w:val="bullet 1 Char Char"/>
    <w:link w:val="bullet1"/>
    <w:rsid w:val="009E7B1F"/>
    <w:rPr>
      <w:rFonts w:ascii="Times New Roman" w:eastAsia="Cambria" w:hAnsi="Times New Roman"/>
      <w:spacing w:val="-2"/>
      <w:sz w:val="20"/>
      <w:szCs w:val="22"/>
    </w:rPr>
  </w:style>
  <w:style w:type="character" w:customStyle="1" w:styleId="bullet1Char">
    <w:name w:val="bullet 1 Char"/>
    <w:rsid w:val="009E7B1F"/>
    <w:rPr>
      <w:rFonts w:ascii="Times New Roman" w:eastAsia="Times New Roman" w:hAnsi="Times New Roman" w:cs="Times New Roman"/>
      <w:spacing w:val="-2"/>
      <w:sz w:val="24"/>
    </w:rPr>
  </w:style>
  <w:style w:type="paragraph" w:customStyle="1" w:styleId="bullet1last">
    <w:name w:val="bullet 1 last"/>
    <w:basedOn w:val="bullet1"/>
    <w:rsid w:val="009E7B1F"/>
    <w:pPr>
      <w:numPr>
        <w:numId w:val="0"/>
      </w:numPr>
      <w:spacing w:after="240"/>
    </w:pPr>
  </w:style>
  <w:style w:type="paragraph" w:customStyle="1" w:styleId="bullet1LAST0">
    <w:name w:val="bullet 1 LAST"/>
    <w:basedOn w:val="bullet1"/>
    <w:link w:val="bullet1LASTChar"/>
    <w:rsid w:val="009E7B1F"/>
    <w:pPr>
      <w:spacing w:after="360"/>
    </w:pPr>
  </w:style>
  <w:style w:type="character" w:customStyle="1" w:styleId="bullet1LASTChar">
    <w:name w:val="bullet 1 LAST Char"/>
    <w:link w:val="bullet1LAST0"/>
    <w:rsid w:val="009E7B1F"/>
    <w:rPr>
      <w:rFonts w:ascii="Times New Roman" w:eastAsia="Cambria" w:hAnsi="Times New Roman"/>
      <w:spacing w:val="-2"/>
      <w:sz w:val="20"/>
      <w:szCs w:val="22"/>
    </w:rPr>
  </w:style>
  <w:style w:type="paragraph" w:customStyle="1" w:styleId="bullet2">
    <w:name w:val="bullet 2"/>
    <w:basedOn w:val="bullet1"/>
    <w:qFormat/>
    <w:rsid w:val="009E7B1F"/>
    <w:pPr>
      <w:numPr>
        <w:numId w:val="1"/>
      </w:numPr>
      <w:tabs>
        <w:tab w:val="num" w:pos="360"/>
      </w:tabs>
      <w:ind w:left="1440"/>
    </w:pPr>
    <w:rPr>
      <w:sz w:val="23"/>
      <w:szCs w:val="23"/>
    </w:rPr>
  </w:style>
  <w:style w:type="paragraph" w:customStyle="1" w:styleId="bullet2LAST">
    <w:name w:val="bullet 2 LAST"/>
    <w:basedOn w:val="bullet2"/>
    <w:qFormat/>
    <w:rsid w:val="009E7B1F"/>
    <w:pPr>
      <w:numPr>
        <w:numId w:val="0"/>
      </w:numPr>
      <w:spacing w:after="240"/>
    </w:pPr>
  </w:style>
  <w:style w:type="paragraph" w:customStyle="1" w:styleId="bullet3">
    <w:name w:val="bullet 3"/>
    <w:basedOn w:val="bullet1"/>
    <w:qFormat/>
    <w:rsid w:val="009E7B1F"/>
    <w:pPr>
      <w:numPr>
        <w:ilvl w:val="2"/>
      </w:numPr>
      <w:tabs>
        <w:tab w:val="clear" w:pos="1080"/>
        <w:tab w:val="num" w:pos="360"/>
      </w:tabs>
      <w:spacing w:before="40" w:after="120"/>
      <w:ind w:left="2160" w:hanging="360"/>
    </w:pPr>
  </w:style>
  <w:style w:type="paragraph" w:customStyle="1" w:styleId="bullet4">
    <w:name w:val="bullet 4"/>
    <w:basedOn w:val="bullet1"/>
    <w:qFormat/>
    <w:rsid w:val="009E7B1F"/>
    <w:pPr>
      <w:numPr>
        <w:ilvl w:val="3"/>
      </w:numPr>
      <w:tabs>
        <w:tab w:val="clear" w:pos="1440"/>
        <w:tab w:val="num" w:pos="360"/>
      </w:tabs>
      <w:spacing w:before="40" w:after="80"/>
      <w:ind w:left="2880" w:hanging="360"/>
    </w:pPr>
  </w:style>
  <w:style w:type="paragraph" w:customStyle="1" w:styleId="BulletLevel10">
    <w:name w:val="Bullet Level 1"/>
    <w:basedOn w:val="Normal"/>
    <w:link w:val="BulletLevel1Char"/>
    <w:rsid w:val="009E7B1F"/>
    <w:pPr>
      <w:spacing w:before="120" w:after="240"/>
    </w:pPr>
    <w:rPr>
      <w:rFonts w:ascii="Book Antiqua" w:eastAsia="Calibri" w:hAnsi="Book Antiqua"/>
      <w:sz w:val="20"/>
    </w:rPr>
  </w:style>
  <w:style w:type="character" w:customStyle="1" w:styleId="BulletLevel1Char">
    <w:name w:val="Bullet Level 1 Char"/>
    <w:link w:val="BulletLevel10"/>
    <w:locked/>
    <w:rsid w:val="009E7B1F"/>
    <w:rPr>
      <w:rFonts w:ascii="Book Antiqua" w:eastAsia="Calibri" w:hAnsi="Book Antiqua" w:cs="Times New Roman"/>
      <w:szCs w:val="24"/>
    </w:rPr>
  </w:style>
  <w:style w:type="paragraph" w:customStyle="1" w:styleId="Bulletlevel1">
    <w:name w:val="Bullet level 1"/>
    <w:basedOn w:val="BodyText"/>
    <w:link w:val="Bulletlevel1Char0"/>
    <w:qFormat/>
    <w:rsid w:val="009E7B1F"/>
    <w:pPr>
      <w:widowControl w:val="0"/>
      <w:numPr>
        <w:numId w:val="3"/>
      </w:numPr>
      <w:spacing w:before="0" w:after="120"/>
    </w:pPr>
    <w:rPr>
      <w:sz w:val="22"/>
      <w:szCs w:val="20"/>
    </w:rPr>
  </w:style>
  <w:style w:type="character" w:customStyle="1" w:styleId="Bulletlevel1Char0">
    <w:name w:val="Bullet level 1 Char"/>
    <w:link w:val="Bulletlevel1"/>
    <w:rsid w:val="009E7B1F"/>
    <w:rPr>
      <w:rFonts w:ascii="Times New Roman" w:eastAsia="Cambria" w:hAnsi="Times New Roman"/>
      <w:sz w:val="22"/>
      <w:szCs w:val="20"/>
    </w:rPr>
  </w:style>
  <w:style w:type="paragraph" w:customStyle="1" w:styleId="BulletLevel1LST">
    <w:name w:val="Bullet Level 1 LST"/>
    <w:basedOn w:val="Normal"/>
    <w:rsid w:val="009E7B1F"/>
    <w:pPr>
      <w:spacing w:after="200"/>
    </w:pPr>
    <w:rPr>
      <w:rFonts w:ascii="Book Antiqua" w:eastAsia="Cambria" w:hAnsi="Book Antiqua"/>
      <w:szCs w:val="20"/>
    </w:rPr>
  </w:style>
  <w:style w:type="paragraph" w:customStyle="1" w:styleId="BulletLevel2">
    <w:name w:val="Bullet Level 2"/>
    <w:basedOn w:val="Normal"/>
    <w:link w:val="BulletLevel2Char"/>
    <w:qFormat/>
    <w:rsid w:val="009E7B1F"/>
    <w:pPr>
      <w:spacing w:after="160"/>
    </w:pPr>
    <w:rPr>
      <w:rFonts w:ascii="Times New Roman" w:eastAsia="Cambria" w:hAnsi="Times New Roman"/>
    </w:rPr>
  </w:style>
  <w:style w:type="character" w:customStyle="1" w:styleId="BulletLevel2Char">
    <w:name w:val="Bullet Level 2 Char"/>
    <w:link w:val="BulletLevel2"/>
    <w:rsid w:val="009E7B1F"/>
    <w:rPr>
      <w:rFonts w:ascii="Times New Roman" w:eastAsia="Cambria" w:hAnsi="Times New Roman" w:cs="Times New Roman"/>
      <w:sz w:val="24"/>
      <w:szCs w:val="24"/>
    </w:rPr>
  </w:style>
  <w:style w:type="paragraph" w:customStyle="1" w:styleId="bulletresume">
    <w:name w:val="bullet resume"/>
    <w:qFormat/>
    <w:rsid w:val="009E7B1F"/>
    <w:pPr>
      <w:framePr w:hSpace="187" w:wrap="around" w:vAnchor="page" w:hAnchor="margin" w:xAlign="right" w:y="7561"/>
      <w:numPr>
        <w:numId w:val="4"/>
      </w:numPr>
      <w:suppressOverlap/>
    </w:pPr>
    <w:rPr>
      <w:rFonts w:ascii="Times New Roman" w:eastAsia="Times New Roman" w:hAnsi="Times New Roman"/>
      <w:spacing w:val="-2"/>
    </w:rPr>
  </w:style>
  <w:style w:type="paragraph" w:customStyle="1" w:styleId="BulletedList">
    <w:name w:val="Bulleted List"/>
    <w:basedOn w:val="Normal"/>
    <w:rsid w:val="009E7B1F"/>
    <w:pPr>
      <w:keepLines/>
      <w:widowControl w:val="0"/>
    </w:pPr>
    <w:rPr>
      <w:rFonts w:ascii="AGaramond" w:eastAsia="Cambria" w:hAnsi="AGaramond"/>
      <w:sz w:val="20"/>
      <w:szCs w:val="20"/>
    </w:rPr>
  </w:style>
  <w:style w:type="paragraph" w:customStyle="1" w:styleId="bulletlevel11">
    <w:name w:val="bulletlevel1"/>
    <w:basedOn w:val="Normal"/>
    <w:rsid w:val="009E7B1F"/>
    <w:pPr>
      <w:tabs>
        <w:tab w:val="num" w:pos="792"/>
      </w:tabs>
      <w:ind w:left="792" w:hanging="360"/>
    </w:pPr>
    <w:rPr>
      <w:rFonts w:ascii="Times New Roman" w:eastAsia="Cambria" w:hAnsi="Times New Roman"/>
      <w:spacing w:val="-2"/>
      <w:sz w:val="22"/>
      <w:szCs w:val="22"/>
    </w:rPr>
  </w:style>
  <w:style w:type="paragraph" w:customStyle="1" w:styleId="c6">
    <w:name w:val="c6"/>
    <w:basedOn w:val="Normal"/>
    <w:rsid w:val="009E7B1F"/>
    <w:pPr>
      <w:spacing w:before="120" w:after="160" w:line="240" w:lineRule="atLeast"/>
      <w:jc w:val="center"/>
    </w:pPr>
    <w:rPr>
      <w:rFonts w:ascii="Times New Roman" w:eastAsia="Cambria" w:hAnsi="Times New Roman"/>
      <w:snapToGrid w:val="0"/>
      <w:szCs w:val="20"/>
    </w:rPr>
  </w:style>
  <w:style w:type="paragraph" w:styleId="Caption">
    <w:name w:val="caption"/>
    <w:basedOn w:val="Normal"/>
    <w:next w:val="Normal"/>
    <w:uiPriority w:val="35"/>
    <w:semiHidden/>
    <w:unhideWhenUsed/>
    <w:qFormat/>
    <w:rsid w:val="009E7B1F"/>
    <w:pPr>
      <w:spacing w:after="200"/>
    </w:pPr>
    <w:rPr>
      <w:rFonts w:ascii="Calibri" w:eastAsia="Calibri" w:hAnsi="Calibri"/>
      <w:b/>
      <w:bCs/>
      <w:color w:val="4F81BD"/>
      <w:sz w:val="18"/>
      <w:szCs w:val="18"/>
    </w:rPr>
  </w:style>
  <w:style w:type="character" w:customStyle="1" w:styleId="cit-first-element2">
    <w:name w:val="cit-first-element2"/>
    <w:rsid w:val="009E7B1F"/>
  </w:style>
  <w:style w:type="paragraph" w:customStyle="1" w:styleId="Submitted">
    <w:name w:val="Submitted"/>
    <w:aliases w:val="Prepared"/>
    <w:basedOn w:val="Normal"/>
    <w:rsid w:val="009E7B1F"/>
    <w:rPr>
      <w:rFonts w:ascii="Trebuchet MS" w:eastAsia="Cambria" w:hAnsi="Trebuchet MS"/>
      <w:i/>
      <w:sz w:val="32"/>
    </w:rPr>
  </w:style>
  <w:style w:type="paragraph" w:customStyle="1" w:styleId="Client">
    <w:name w:val="Client"/>
    <w:aliases w:val="Lewin"/>
    <w:basedOn w:val="Submitted"/>
    <w:rsid w:val="009E7B1F"/>
    <w:rPr>
      <w:b/>
      <w:i w:val="0"/>
      <w:sz w:val="36"/>
    </w:rPr>
  </w:style>
  <w:style w:type="paragraph" w:customStyle="1" w:styleId="CM2">
    <w:name w:val="CM2"/>
    <w:basedOn w:val="Normal"/>
    <w:next w:val="Normal"/>
    <w:uiPriority w:val="99"/>
    <w:rsid w:val="009E7B1F"/>
    <w:pPr>
      <w:widowControl w:val="0"/>
      <w:autoSpaceDE w:val="0"/>
      <w:autoSpaceDN w:val="0"/>
      <w:adjustRightInd w:val="0"/>
      <w:spacing w:line="253" w:lineRule="atLeast"/>
    </w:pPr>
    <w:rPr>
      <w:rFonts w:ascii="Arial" w:eastAsia="Cambria" w:hAnsi="Arial" w:cs="Arial"/>
      <w:szCs w:val="20"/>
    </w:rPr>
  </w:style>
  <w:style w:type="paragraph" w:customStyle="1" w:styleId="CM280">
    <w:name w:val="CM280"/>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M287">
    <w:name w:val="CM287"/>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olumnBullet">
    <w:name w:val="ColumnBullet"/>
    <w:rsid w:val="009E7B1F"/>
    <w:pPr>
      <w:numPr>
        <w:numId w:val="5"/>
      </w:numPr>
      <w:spacing w:before="60" w:after="60"/>
    </w:pPr>
    <w:rPr>
      <w:rFonts w:ascii="Book Antiqua" w:eastAsia="Times New Roman" w:hAnsi="Book Antiqua"/>
      <w:kern w:val="18"/>
    </w:rPr>
  </w:style>
  <w:style w:type="paragraph" w:customStyle="1" w:styleId="ColumnText">
    <w:name w:val="ColumnText"/>
    <w:link w:val="ColumnTextChar"/>
    <w:rsid w:val="009E7B1F"/>
    <w:pPr>
      <w:spacing w:before="60" w:after="60"/>
    </w:pPr>
    <w:rPr>
      <w:rFonts w:ascii="Book Antiqua" w:eastAsia="Times New Roman" w:hAnsi="Book Antiqua"/>
      <w:kern w:val="18"/>
    </w:rPr>
  </w:style>
  <w:style w:type="character" w:customStyle="1" w:styleId="ColumnTextChar">
    <w:name w:val="ColumnText Char"/>
    <w:link w:val="ColumnText"/>
    <w:rsid w:val="009E7B1F"/>
    <w:rPr>
      <w:rFonts w:ascii="Book Antiqua" w:eastAsia="Times New Roman" w:hAnsi="Book Antiqua"/>
      <w:kern w:val="18"/>
      <w:szCs w:val="24"/>
      <w:lang w:bidi="ar-SA"/>
    </w:rPr>
  </w:style>
  <w:style w:type="character" w:customStyle="1" w:styleId="content">
    <w:name w:val="content"/>
    <w:rsid w:val="009E7B1F"/>
  </w:style>
  <w:style w:type="paragraph" w:customStyle="1" w:styleId="CoverPage1">
    <w:name w:val="Cover Page 1"/>
    <w:basedOn w:val="Normal"/>
    <w:rsid w:val="009E7B1F"/>
    <w:pPr>
      <w:spacing w:before="360" w:after="160"/>
    </w:pPr>
    <w:rPr>
      <w:rFonts w:ascii="Trebuchet MS" w:eastAsia="Cambria" w:hAnsi="Trebuchet MS" w:cs="Arial"/>
      <w:b/>
      <w:color w:val="00267F"/>
      <w:sz w:val="32"/>
      <w:szCs w:val="28"/>
    </w:rPr>
  </w:style>
  <w:style w:type="paragraph" w:customStyle="1" w:styleId="CoverPage125">
    <w:name w:val="Cover Page 1.25"/>
    <w:basedOn w:val="CoverPage1"/>
    <w:qFormat/>
    <w:rsid w:val="009E7B1F"/>
    <w:pPr>
      <w:spacing w:before="0" w:after="120"/>
    </w:pPr>
    <w:rPr>
      <w:sz w:val="24"/>
      <w:szCs w:val="36"/>
    </w:rPr>
  </w:style>
  <w:style w:type="paragraph" w:customStyle="1" w:styleId="CoverPage15">
    <w:name w:val="Cover Page 1.5"/>
    <w:basedOn w:val="Normal"/>
    <w:qFormat/>
    <w:rsid w:val="009E7B1F"/>
    <w:rPr>
      <w:rFonts w:ascii="Trebuchet MS" w:eastAsia="Cambria" w:hAnsi="Trebuchet MS" w:cs="Arial"/>
      <w:b/>
      <w:i/>
      <w:color w:val="00267F"/>
      <w:spacing w:val="-2"/>
      <w:sz w:val="32"/>
      <w:szCs w:val="32"/>
    </w:rPr>
  </w:style>
  <w:style w:type="paragraph" w:customStyle="1" w:styleId="CoverPage2">
    <w:name w:val="Cover Page 2"/>
    <w:basedOn w:val="Normal"/>
    <w:rsid w:val="009E7B1F"/>
    <w:pPr>
      <w:tabs>
        <w:tab w:val="left" w:pos="2160"/>
      </w:tabs>
      <w:spacing w:before="120"/>
    </w:pPr>
    <w:rPr>
      <w:rFonts w:ascii="Trebuchet MS" w:eastAsia="Cambria" w:hAnsi="Trebuchet MS" w:cs="Arial"/>
      <w:szCs w:val="20"/>
    </w:rPr>
  </w:style>
  <w:style w:type="paragraph" w:customStyle="1" w:styleId="CoverPage3Date">
    <w:name w:val="Cover Page 3 Date"/>
    <w:basedOn w:val="Normal"/>
    <w:qFormat/>
    <w:rsid w:val="009E7B1F"/>
    <w:pPr>
      <w:tabs>
        <w:tab w:val="left" w:pos="2160"/>
      </w:tabs>
      <w:spacing w:after="160"/>
      <w:ind w:left="2160" w:hanging="2160"/>
    </w:pPr>
    <w:rPr>
      <w:rFonts w:ascii="Trebuchet MS" w:eastAsia="Cambria" w:hAnsi="Trebuchet MS" w:cs="Arial"/>
      <w:b/>
      <w:i/>
      <w:color w:val="00267F"/>
      <w:sz w:val="28"/>
      <w:szCs w:val="20"/>
    </w:rPr>
  </w:style>
  <w:style w:type="paragraph" w:customStyle="1" w:styleId="DeliverableType">
    <w:name w:val="Deliverable Type"/>
    <w:basedOn w:val="Normal"/>
    <w:rsid w:val="009E7B1F"/>
    <w:pPr>
      <w:spacing w:after="600"/>
      <w:jc w:val="center"/>
    </w:pPr>
    <w:rPr>
      <w:rFonts w:ascii="Trebuchet MS" w:eastAsia="Cambria" w:hAnsi="Trebuchet MS"/>
      <w:b/>
      <w:i/>
      <w:sz w:val="40"/>
    </w:rPr>
  </w:style>
  <w:style w:type="paragraph" w:customStyle="1" w:styleId="Disclaimer1">
    <w:name w:val="Disclaimer 1"/>
    <w:basedOn w:val="Normal"/>
    <w:rsid w:val="009E7B1F"/>
    <w:pPr>
      <w:autoSpaceDE w:val="0"/>
      <w:autoSpaceDN w:val="0"/>
      <w:adjustRightInd w:val="0"/>
      <w:spacing w:before="600"/>
    </w:pPr>
    <w:rPr>
      <w:rFonts w:ascii="BookAntiqua" w:eastAsia="Cambria" w:hAnsi="BookAntiqua" w:cs="BookAntiqua"/>
      <w:color w:val="00267F"/>
      <w:sz w:val="17"/>
      <w:szCs w:val="18"/>
    </w:rPr>
  </w:style>
  <w:style w:type="paragraph" w:customStyle="1" w:styleId="DisclosureStmt34margin">
    <w:name w:val="Disclosure Stmt—3/4&quot; margin"/>
    <w:basedOn w:val="Normal"/>
    <w:rsid w:val="009E7B1F"/>
    <w:pPr>
      <w:tabs>
        <w:tab w:val="right" w:pos="9720"/>
      </w:tabs>
      <w:ind w:left="360"/>
      <w:jc w:val="center"/>
    </w:pPr>
    <w:rPr>
      <w:rFonts w:ascii="Trebuchet MS" w:eastAsia="Cambria" w:hAnsi="Trebuchet MS"/>
      <w:color w:val="00267F"/>
      <w:sz w:val="16"/>
      <w:szCs w:val="16"/>
    </w:rPr>
  </w:style>
  <w:style w:type="paragraph" w:styleId="DocumentMap">
    <w:name w:val="Document Map"/>
    <w:basedOn w:val="Normal"/>
    <w:link w:val="DocumentMapChar"/>
    <w:semiHidden/>
    <w:rsid w:val="009E7B1F"/>
    <w:pPr>
      <w:shd w:val="clear" w:color="auto" w:fill="000080"/>
      <w:spacing w:after="240"/>
    </w:pPr>
    <w:rPr>
      <w:rFonts w:ascii="Tahoma" w:eastAsia="Cambria" w:hAnsi="Tahoma" w:cs="Tahoma"/>
      <w:sz w:val="20"/>
      <w:szCs w:val="20"/>
    </w:rPr>
  </w:style>
  <w:style w:type="character" w:customStyle="1" w:styleId="DocumentMapChar">
    <w:name w:val="Document Map Char"/>
    <w:link w:val="DocumentMap"/>
    <w:semiHidden/>
    <w:rsid w:val="009E7B1F"/>
    <w:rPr>
      <w:rFonts w:ascii="Tahoma" w:eastAsia="Cambria" w:hAnsi="Tahoma" w:cs="Tahoma"/>
      <w:shd w:val="clear" w:color="auto" w:fill="000080"/>
    </w:rPr>
  </w:style>
  <w:style w:type="table" w:styleId="TableTheme">
    <w:name w:val="Table Theme"/>
    <w:basedOn w:val="TableNormal"/>
    <w:uiPriority w:val="99"/>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9E7B1F"/>
    <w:pPr>
      <w:spacing w:before="0" w:after="0"/>
      <w:contextualSpacing/>
    </w:p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00" w:lineRule="exact"/>
        <w:ind w:leftChars="0" w:left="0" w:rightChars="0" w:right="0" w:firstLineChars="0" w:firstLine="0"/>
        <w:contextualSpacing/>
        <w:jc w:val="center"/>
        <w:outlineLvl w:val="9"/>
      </w:pPr>
      <w:rPr>
        <w:rFonts w:ascii="Cambria Math" w:hAnsi="Cambria Math"/>
        <w:b/>
        <w:i w:val="0"/>
        <w:color w:val="FFFFFF"/>
        <w:sz w:val="24"/>
      </w:rPr>
      <w:tblPr/>
      <w:tcPr>
        <w:tcBorders>
          <w:insideV w:val="dashed" w:sz="4" w:space="0" w:color="FFFFFF"/>
        </w:tcBorders>
        <w:shd w:val="clear" w:color="auto" w:fill="00267F"/>
      </w:tcPr>
    </w:tblStylePr>
    <w:tblStylePr w:type="lastRow">
      <w:tblPr/>
      <w:tcPr>
        <w:tcBorders>
          <w:bottom w:val="single" w:sz="36" w:space="0" w:color="00267F"/>
        </w:tcBorders>
      </w:tcPr>
    </w:tblStylePr>
    <w:tblStylePr w:type="band1Horz">
      <w:tblPr/>
      <w:tcPr>
        <w:shd w:val="clear" w:color="auto" w:fill="F0E8D4"/>
      </w:tcPr>
    </w:tblStylePr>
  </w:style>
  <w:style w:type="table" w:customStyle="1" w:styleId="DukeTable1">
    <w:name w:val="Duke Table1"/>
    <w:basedOn w:val="TableTheme"/>
    <w:rsid w:val="009E7B1F"/>
    <w:pPr>
      <w:spacing w:before="0" w:after="0"/>
    </w:pPr>
    <w:rPr>
      <w:rFonts w:ascii="Times New Roman" w:eastAsia="SimSun" w:hAnsi="Times New Roman"/>
      <w:sz w:val="20"/>
      <w:szCs w:val="20"/>
    </w:rPr>
    <w:tblPr>
      <w:tblStyleRowBandSize w:val="1"/>
      <w:tblInd w:w="0" w:type="dxa"/>
      <w:tblBorders>
        <w:insideH w:val="single" w:sz="4" w:space="0" w:color="00267F"/>
        <w:insideV w:val="single" w:sz="4" w:space="0" w:color="00267F"/>
      </w:tblBorders>
      <w:tblCellMar>
        <w:top w:w="0" w:type="dxa"/>
        <w:left w:w="108" w:type="dxa"/>
        <w:bottom w:w="0" w:type="dxa"/>
        <w:right w:w="108" w:type="dxa"/>
      </w:tblCellMar>
    </w:tblPr>
    <w:tblStylePr w:type="firstRow">
      <w:rPr>
        <w:rFonts w:ascii="Cambria Math" w:hAnsi="Cambria Math" w:cs="Cambria Math" w:hint="default"/>
        <w:b w:val="0"/>
        <w:i w:val="0"/>
        <w:sz w:val="24"/>
        <w:szCs w:val="24"/>
      </w:rPr>
      <w:tblPr/>
      <w:tcPr>
        <w:tcBorders>
          <w:insideH w:val="single" w:sz="4" w:space="0" w:color="FFFFFF"/>
          <w:insideV w:val="single" w:sz="4" w:space="0" w:color="FFFFFF"/>
        </w:tcBorders>
        <w:shd w:val="clear" w:color="auto" w:fill="00267F"/>
      </w:tcPr>
    </w:tblStylePr>
    <w:tblStylePr w:type="lastRow">
      <w:tblPr/>
      <w:tcPr>
        <w:tcBorders>
          <w:bottom w:val="nil"/>
        </w:tcBorders>
      </w:tcPr>
    </w:tblStylePr>
    <w:tblStylePr w:type="band2Horz">
      <w:tblPr/>
      <w:tcPr>
        <w:shd w:val="clear" w:color="auto" w:fill="F0E8D4"/>
      </w:tcPr>
    </w:tblStylePr>
  </w:style>
  <w:style w:type="paragraph" w:customStyle="1" w:styleId="Education">
    <w:name w:val="Education"/>
    <w:basedOn w:val="Normal"/>
    <w:link w:val="EducationChar"/>
    <w:qFormat/>
    <w:rsid w:val="009E7B1F"/>
    <w:pPr>
      <w:spacing w:after="120"/>
      <w:ind w:left="864" w:hanging="432"/>
    </w:pPr>
    <w:rPr>
      <w:rFonts w:ascii="Book Antiqua" w:eastAsia="Cambria" w:hAnsi="Book Antiqua"/>
      <w:sz w:val="22"/>
      <w:szCs w:val="22"/>
    </w:rPr>
  </w:style>
  <w:style w:type="character" w:customStyle="1" w:styleId="EducationChar">
    <w:name w:val="Education Char"/>
    <w:link w:val="Education"/>
    <w:rsid w:val="009E7B1F"/>
    <w:rPr>
      <w:rFonts w:ascii="Book Antiqua" w:eastAsia="Cambria" w:hAnsi="Book Antiqua" w:cs="Times New Roman"/>
      <w:sz w:val="22"/>
      <w:szCs w:val="22"/>
    </w:rPr>
  </w:style>
  <w:style w:type="character" w:styleId="Emphasis">
    <w:name w:val="Emphasis"/>
    <w:qFormat/>
    <w:rsid w:val="009E7B1F"/>
    <w:rPr>
      <w:i/>
      <w:iCs/>
    </w:rPr>
  </w:style>
  <w:style w:type="character" w:styleId="EndnoteReference">
    <w:name w:val="endnote reference"/>
    <w:semiHidden/>
    <w:rsid w:val="009E7B1F"/>
    <w:rPr>
      <w:vertAlign w:val="superscript"/>
    </w:rPr>
  </w:style>
  <w:style w:type="paragraph" w:styleId="EndnoteText">
    <w:name w:val="endnote text"/>
    <w:basedOn w:val="Normal"/>
    <w:link w:val="EndnoteTextChar"/>
    <w:autoRedefine/>
    <w:rsid w:val="009E7B1F"/>
    <w:pPr>
      <w:tabs>
        <w:tab w:val="left" w:pos="6480"/>
      </w:tabs>
      <w:spacing w:after="40"/>
      <w:ind w:left="360" w:hanging="360"/>
    </w:pPr>
    <w:rPr>
      <w:rFonts w:ascii="Calibri" w:eastAsia="Cambria" w:hAnsi="Calibri"/>
      <w:snapToGrid w:val="0"/>
      <w:sz w:val="18"/>
      <w:szCs w:val="20"/>
    </w:rPr>
  </w:style>
  <w:style w:type="character" w:customStyle="1" w:styleId="EndnoteTextChar">
    <w:name w:val="Endnote Text Char"/>
    <w:link w:val="EndnoteText"/>
    <w:rsid w:val="009E7B1F"/>
    <w:rPr>
      <w:rFonts w:ascii="Calibri" w:eastAsia="Cambria" w:hAnsi="Calibri" w:cs="Times New Roman"/>
      <w:snapToGrid w:val="0"/>
      <w:sz w:val="18"/>
    </w:rPr>
  </w:style>
  <w:style w:type="paragraph" w:customStyle="1" w:styleId="ExhibitColumnHeads">
    <w:name w:val="Exhibit Column Heads"/>
    <w:basedOn w:val="BodyText"/>
    <w:rsid w:val="009E7B1F"/>
    <w:pPr>
      <w:spacing w:before="0" w:after="0"/>
      <w:jc w:val="center"/>
    </w:pPr>
    <w:rPr>
      <w:rFonts w:ascii="Arial" w:hAnsi="Arial" w:cs="Arial"/>
      <w:b/>
      <w:sz w:val="20"/>
      <w:szCs w:val="20"/>
    </w:rPr>
  </w:style>
  <w:style w:type="paragraph" w:customStyle="1" w:styleId="Expheading">
    <w:name w:val="Exp heading"/>
    <w:basedOn w:val="Normal"/>
    <w:link w:val="ExpheadingChar"/>
    <w:rsid w:val="009E7B1F"/>
    <w:pPr>
      <w:spacing w:before="240" w:after="240"/>
    </w:pPr>
    <w:rPr>
      <w:rFonts w:ascii="Book Antiqua" w:eastAsia="Cambria" w:hAnsi="Book Antiqua"/>
      <w:b/>
      <w:caps/>
      <w:sz w:val="22"/>
      <w:szCs w:val="22"/>
    </w:rPr>
  </w:style>
  <w:style w:type="character" w:customStyle="1" w:styleId="ExpheadingChar">
    <w:name w:val="Exp heading Char"/>
    <w:link w:val="Expheading"/>
    <w:rsid w:val="009E7B1F"/>
    <w:rPr>
      <w:rFonts w:ascii="Book Antiqua" w:eastAsia="Cambria" w:hAnsi="Book Antiqua" w:cs="Times New Roman"/>
      <w:b/>
      <w:caps/>
      <w:sz w:val="22"/>
      <w:szCs w:val="22"/>
    </w:rPr>
  </w:style>
  <w:style w:type="paragraph" w:customStyle="1" w:styleId="ExperienceBullet">
    <w:name w:val="Experience Bullet"/>
    <w:basedOn w:val="Normal"/>
    <w:link w:val="ExperienceBulletChar"/>
    <w:rsid w:val="009E7B1F"/>
    <w:pPr>
      <w:numPr>
        <w:numId w:val="6"/>
      </w:numPr>
      <w:spacing w:after="240"/>
    </w:pPr>
    <w:rPr>
      <w:rFonts w:ascii="Book Antiqua" w:eastAsia="Cambria" w:hAnsi="Book Antiqua"/>
      <w:sz w:val="22"/>
      <w:szCs w:val="20"/>
    </w:rPr>
  </w:style>
  <w:style w:type="character" w:customStyle="1" w:styleId="ExperienceBulletChar">
    <w:name w:val="Experience Bullet Char"/>
    <w:link w:val="ExperienceBullet"/>
    <w:rsid w:val="009E7B1F"/>
    <w:rPr>
      <w:rFonts w:ascii="Book Antiqua" w:eastAsia="Cambria" w:hAnsi="Book Antiqua"/>
      <w:sz w:val="22"/>
      <w:szCs w:val="20"/>
    </w:rPr>
  </w:style>
  <w:style w:type="paragraph" w:customStyle="1" w:styleId="FocusBoxHeading">
    <w:name w:val="Focus Box Heading"/>
    <w:basedOn w:val="Normal"/>
    <w:next w:val="Normal"/>
    <w:rsid w:val="009E7B1F"/>
    <w:pPr>
      <w:pBdr>
        <w:top w:val="single" w:sz="18" w:space="1" w:color="00267F"/>
        <w:bottom w:val="single" w:sz="18" w:space="1" w:color="00267F"/>
      </w:pBdr>
      <w:shd w:val="clear" w:color="auto" w:fill="F0E8D4"/>
      <w:spacing w:before="120" w:after="160"/>
      <w:ind w:left="-360" w:right="-302"/>
      <w:jc w:val="center"/>
    </w:pPr>
    <w:rPr>
      <w:rFonts w:ascii="Arial" w:eastAsia="Cambria" w:hAnsi="Arial"/>
      <w:b/>
    </w:rPr>
  </w:style>
  <w:style w:type="paragraph" w:customStyle="1" w:styleId="FocusBox2Heading">
    <w:name w:val="Focus Box 2 Heading"/>
    <w:basedOn w:val="FocusBoxHeading"/>
    <w:qFormat/>
    <w:rsid w:val="009E7B1F"/>
    <w:pPr>
      <w:framePr w:hSpace="187" w:wrap="around" w:vAnchor="text" w:hAnchor="text" w:xAlign="right" w:y="620"/>
      <w:pBdr>
        <w:top w:val="none" w:sz="0" w:space="0" w:color="auto"/>
        <w:bottom w:val="none" w:sz="0" w:space="0" w:color="auto"/>
      </w:pBdr>
      <w:shd w:val="clear" w:color="auto" w:fill="auto"/>
      <w:spacing w:before="80" w:after="40"/>
      <w:ind w:left="0" w:right="-214" w:hanging="180"/>
    </w:pPr>
    <w:rPr>
      <w:snapToGrid w:val="0"/>
    </w:rPr>
  </w:style>
  <w:style w:type="paragraph" w:customStyle="1" w:styleId="FocusBoxBullet1">
    <w:name w:val="Focus Box Bullet 1"/>
    <w:basedOn w:val="Normal"/>
    <w:rsid w:val="009E7B1F"/>
    <w:pPr>
      <w:numPr>
        <w:numId w:val="7"/>
      </w:numPr>
      <w:spacing w:after="240"/>
    </w:pPr>
    <w:rPr>
      <w:rFonts w:ascii="Times New Roman" w:eastAsia="Cambria" w:hAnsi="Times New Roman"/>
      <w:snapToGrid w:val="0"/>
      <w:color w:val="000000"/>
      <w:szCs w:val="20"/>
    </w:rPr>
  </w:style>
  <w:style w:type="paragraph" w:customStyle="1" w:styleId="FocusBoxBullets">
    <w:name w:val="Focus Box Bullets"/>
    <w:qFormat/>
    <w:rsid w:val="009E7B1F"/>
    <w:pPr>
      <w:numPr>
        <w:numId w:val="8"/>
      </w:numPr>
      <w:tabs>
        <w:tab w:val="left" w:pos="540"/>
      </w:tabs>
      <w:spacing w:before="40" w:after="40"/>
    </w:pPr>
    <w:rPr>
      <w:rFonts w:ascii="Calibri" w:eastAsia="Times New Roman" w:hAnsi="Calibri"/>
      <w:spacing w:val="-2"/>
      <w:sz w:val="22"/>
      <w:szCs w:val="22"/>
    </w:rPr>
  </w:style>
  <w:style w:type="paragraph" w:customStyle="1" w:styleId="FocusBoxText">
    <w:name w:val="Focus Box Text"/>
    <w:qFormat/>
    <w:rsid w:val="009E7B1F"/>
    <w:pPr>
      <w:spacing w:after="120"/>
    </w:pPr>
    <w:rPr>
      <w:rFonts w:ascii="Arial" w:eastAsia="Times New Roman" w:hAnsi="Arial"/>
      <w:spacing w:val="12"/>
    </w:rPr>
  </w:style>
  <w:style w:type="paragraph" w:customStyle="1" w:styleId="FocusBoxBullets2">
    <w:name w:val="Focus Box Bullets 2"/>
    <w:basedOn w:val="FocusBoxText"/>
    <w:qFormat/>
    <w:rsid w:val="009E7B1F"/>
    <w:pPr>
      <w:framePr w:hSpace="187" w:vSpace="86" w:wrap="around" w:vAnchor="page" w:hAnchor="margin" w:xAlign="right" w:y="4901"/>
      <w:tabs>
        <w:tab w:val="left" w:pos="900"/>
      </w:tabs>
      <w:spacing w:before="120" w:line="400" w:lineRule="exact"/>
      <w:ind w:left="86"/>
    </w:pPr>
    <w:rPr>
      <w:rFonts w:ascii="Book Antiqua" w:eastAsia="Calibri" w:hAnsi="Book Antiqua"/>
      <w:i/>
      <w:color w:val="00267F"/>
      <w:spacing w:val="-2"/>
    </w:rPr>
  </w:style>
  <w:style w:type="paragraph" w:customStyle="1" w:styleId="FocusBoxNum">
    <w:name w:val="Focus Box Num"/>
    <w:basedOn w:val="Normal"/>
    <w:rsid w:val="009E7B1F"/>
    <w:pPr>
      <w:framePr w:hSpace="187" w:vSpace="144" w:wrap="around" w:vAnchor="text" w:hAnchor="margin" w:xAlign="right" w:y="-2080"/>
      <w:numPr>
        <w:numId w:val="9"/>
      </w:numPr>
      <w:spacing w:before="40" w:after="80"/>
    </w:pPr>
    <w:rPr>
      <w:rFonts w:ascii="Arial" w:eastAsia="Batang" w:hAnsi="Arial" w:cs="Calibri"/>
      <w:sz w:val="20"/>
      <w:szCs w:val="20"/>
    </w:rPr>
  </w:style>
  <w:style w:type="paragraph" w:customStyle="1" w:styleId="FocusBoxNumbers">
    <w:name w:val="Focus Box Numbers"/>
    <w:qFormat/>
    <w:rsid w:val="009E7B1F"/>
    <w:pPr>
      <w:numPr>
        <w:numId w:val="10"/>
      </w:numPr>
      <w:spacing w:after="120"/>
    </w:pPr>
    <w:rPr>
      <w:rFonts w:ascii="Book Antiqua" w:eastAsia="Calibri" w:hAnsi="Book Antiqua"/>
    </w:rPr>
  </w:style>
  <w:style w:type="paragraph" w:customStyle="1" w:styleId="FocusBoxText2">
    <w:name w:val="Focus Box Text 2"/>
    <w:basedOn w:val="Normal"/>
    <w:qFormat/>
    <w:rsid w:val="009E7B1F"/>
    <w:pPr>
      <w:spacing w:before="240" w:after="120"/>
      <w:jc w:val="both"/>
    </w:pPr>
    <w:rPr>
      <w:rFonts w:ascii="Arial" w:eastAsia="Cambria" w:hAnsi="Arial" w:cs="Arial"/>
      <w:i/>
      <w:iCs/>
      <w:color w:val="00267F"/>
      <w:szCs w:val="20"/>
    </w:rPr>
  </w:style>
  <w:style w:type="paragraph" w:customStyle="1" w:styleId="FocusBoxText3">
    <w:name w:val="Focus Box Text 3"/>
    <w:basedOn w:val="FocusBoxText"/>
    <w:qFormat/>
    <w:rsid w:val="009E7B1F"/>
    <w:pPr>
      <w:framePr w:hSpace="187" w:wrap="around" w:vAnchor="page" w:hAnchor="margin" w:xAlign="right" w:y="6481"/>
      <w:spacing w:before="120"/>
      <w:ind w:left="150"/>
    </w:pPr>
    <w:rPr>
      <w:b/>
      <w:sz w:val="20"/>
    </w:rPr>
  </w:style>
  <w:style w:type="character" w:styleId="FollowedHyperlink">
    <w:name w:val="FollowedHyperlink"/>
    <w:uiPriority w:val="99"/>
    <w:semiHidden/>
    <w:unhideWhenUsed/>
    <w:rsid w:val="009E7B1F"/>
    <w:rPr>
      <w:color w:val="800080"/>
      <w:u w:val="single"/>
    </w:rPr>
  </w:style>
  <w:style w:type="character" w:customStyle="1" w:styleId="FontStyle31">
    <w:name w:val="Font Style31"/>
    <w:uiPriority w:val="99"/>
    <w:rsid w:val="009E7B1F"/>
    <w:rPr>
      <w:rFonts w:ascii="Times New Roman" w:hAnsi="Times New Roman" w:cs="Times New Roman"/>
      <w:color w:val="000000"/>
      <w:sz w:val="22"/>
      <w:szCs w:val="22"/>
    </w:rPr>
  </w:style>
  <w:style w:type="paragraph" w:customStyle="1" w:styleId="Graphic">
    <w:name w:val="Graphic"/>
    <w:qFormat/>
    <w:rsid w:val="009E7B1F"/>
    <w:pPr>
      <w:spacing w:after="120"/>
      <w:jc w:val="center"/>
    </w:pPr>
    <w:rPr>
      <w:rFonts w:ascii="Calibri" w:eastAsia="Times New Roman" w:hAnsi="Calibri"/>
    </w:rPr>
  </w:style>
  <w:style w:type="paragraph" w:customStyle="1" w:styleId="Graphic2">
    <w:name w:val="Graphic 2"/>
    <w:basedOn w:val="Graphic"/>
    <w:qFormat/>
    <w:rsid w:val="009E7B1F"/>
    <w:pPr>
      <w:spacing w:after="40"/>
    </w:pPr>
    <w:rPr>
      <w:rFonts w:ascii="Times New Roman" w:hAnsi="Times New Roman"/>
      <w:szCs w:val="20"/>
    </w:rPr>
  </w:style>
  <w:style w:type="paragraph" w:customStyle="1" w:styleId="Heading">
    <w:name w:val="Heading"/>
    <w:link w:val="HeadingChar"/>
    <w:qFormat/>
    <w:rsid w:val="009E7B1F"/>
    <w:pPr>
      <w:spacing w:before="240" w:after="240"/>
    </w:pPr>
    <w:rPr>
      <w:rFonts w:ascii="Book Antiqua" w:eastAsia="Times New Roman" w:hAnsi="Book Antiqua"/>
      <w:b/>
      <w:caps/>
      <w:sz w:val="22"/>
      <w:szCs w:val="22"/>
    </w:rPr>
  </w:style>
  <w:style w:type="character" w:customStyle="1" w:styleId="HeadingChar">
    <w:name w:val="Heading Char"/>
    <w:link w:val="Heading"/>
    <w:rsid w:val="009E7B1F"/>
    <w:rPr>
      <w:rFonts w:ascii="Book Antiqua" w:eastAsia="Times New Roman" w:hAnsi="Book Antiqua"/>
      <w:b/>
      <w:caps/>
      <w:sz w:val="22"/>
      <w:szCs w:val="22"/>
      <w:lang w:bidi="ar-SA"/>
    </w:rPr>
  </w:style>
  <w:style w:type="paragraph" w:customStyle="1" w:styleId="Headline">
    <w:name w:val="Headline"/>
    <w:basedOn w:val="Normal"/>
    <w:rsid w:val="009E7B1F"/>
    <w:pPr>
      <w:spacing w:after="120"/>
      <w:ind w:left="-1440" w:hanging="720"/>
    </w:pPr>
    <w:rPr>
      <w:rFonts w:ascii="Arial" w:eastAsia="Cambria" w:hAnsi="Arial" w:cs="Arial"/>
      <w:b/>
      <w:sz w:val="32"/>
      <w:szCs w:val="32"/>
    </w:rPr>
  </w:style>
  <w:style w:type="paragraph" w:customStyle="1" w:styleId="HHSAR">
    <w:name w:val="HHSAR"/>
    <w:basedOn w:val="Normal"/>
    <w:link w:val="HHSARChar"/>
    <w:uiPriority w:val="99"/>
    <w:rsid w:val="009E7B1F"/>
    <w:pPr>
      <w:spacing w:before="120" w:after="200" w:line="276" w:lineRule="auto"/>
    </w:pPr>
    <w:rPr>
      <w:rFonts w:ascii="Arial" w:eastAsia="Cambria" w:hAnsi="Arial" w:cs="Arial"/>
      <w:b/>
      <w:bCs/>
      <w:color w:val="0033CC"/>
      <w:sz w:val="22"/>
      <w:szCs w:val="22"/>
    </w:rPr>
  </w:style>
  <w:style w:type="character" w:customStyle="1" w:styleId="HHSARChar">
    <w:name w:val="HHSAR Char"/>
    <w:link w:val="HHSAR"/>
    <w:uiPriority w:val="99"/>
    <w:locked/>
    <w:rsid w:val="009E7B1F"/>
    <w:rPr>
      <w:rFonts w:ascii="Arial" w:eastAsia="Cambria" w:hAnsi="Arial" w:cs="Arial"/>
      <w:b/>
      <w:bCs/>
      <w:color w:val="0033CC"/>
      <w:sz w:val="22"/>
      <w:szCs w:val="22"/>
    </w:rPr>
  </w:style>
  <w:style w:type="character" w:customStyle="1" w:styleId="Inlinetext">
    <w:name w:val="Inline text"/>
    <w:uiPriority w:val="99"/>
    <w:rsid w:val="009E7B1F"/>
    <w:rPr>
      <w:rFonts w:ascii="Times New Roman" w:hAnsi="Times New Roman" w:cs="Times New Roman" w:hint="default"/>
      <w:b/>
      <w:bCs/>
      <w:i/>
      <w:iCs/>
      <w:color w:val="1F497D"/>
    </w:rPr>
  </w:style>
  <w:style w:type="character" w:styleId="IntenseEmphasis">
    <w:name w:val="Intense Emphasis"/>
    <w:uiPriority w:val="21"/>
    <w:qFormat/>
    <w:rsid w:val="009E7B1F"/>
    <w:rPr>
      <w:b/>
      <w:bCs/>
      <w:i w:val="0"/>
      <w:iCs/>
      <w:color w:val="00267F"/>
    </w:rPr>
  </w:style>
  <w:style w:type="character" w:customStyle="1" w:styleId="Italics">
    <w:name w:val="Italics"/>
    <w:uiPriority w:val="1"/>
    <w:qFormat/>
    <w:rsid w:val="009E7B1F"/>
    <w:rPr>
      <w:rFonts w:ascii="Calibri" w:hAnsi="Calibri" w:cs="Calibri"/>
      <w:i/>
      <w:sz w:val="22"/>
      <w:szCs w:val="22"/>
    </w:rPr>
  </w:style>
  <w:style w:type="paragraph" w:customStyle="1" w:styleId="Level1">
    <w:name w:val="Level 1"/>
    <w:basedOn w:val="Normal"/>
    <w:uiPriority w:val="99"/>
    <w:rsid w:val="009E7B1F"/>
    <w:pPr>
      <w:numPr>
        <w:numId w:val="12"/>
      </w:numPr>
      <w:spacing w:before="120" w:after="160"/>
      <w:outlineLvl w:val="0"/>
    </w:pPr>
    <w:rPr>
      <w:rFonts w:ascii="Times New Roman" w:eastAsia="Cambria" w:hAnsi="Times New Roman"/>
    </w:rPr>
  </w:style>
  <w:style w:type="paragraph" w:customStyle="1" w:styleId="Level3">
    <w:name w:val="Level 3"/>
    <w:basedOn w:val="Normal"/>
    <w:rsid w:val="009E7B1F"/>
    <w:pPr>
      <w:tabs>
        <w:tab w:val="num" w:pos="2160"/>
      </w:tabs>
      <w:spacing w:before="120" w:after="160"/>
      <w:ind w:left="2160" w:hanging="360"/>
      <w:outlineLvl w:val="2"/>
    </w:pPr>
    <w:rPr>
      <w:rFonts w:ascii="Times New Roman" w:eastAsia="Cambria" w:hAnsi="Times New Roman"/>
    </w:rPr>
  </w:style>
  <w:style w:type="paragraph" w:customStyle="1" w:styleId="LewinLogo">
    <w:name w:val="Lewin Logo"/>
    <w:qFormat/>
    <w:rsid w:val="009E7B1F"/>
    <w:pPr>
      <w:tabs>
        <w:tab w:val="left" w:pos="9360"/>
      </w:tabs>
      <w:ind w:left="-360"/>
    </w:pPr>
    <w:rPr>
      <w:rFonts w:ascii="Times New Roman" w:eastAsia="Times New Roman" w:hAnsi="Times New Roman"/>
    </w:rPr>
  </w:style>
  <w:style w:type="paragraph" w:styleId="List2">
    <w:name w:val="List 2"/>
    <w:basedOn w:val="Normal"/>
    <w:uiPriority w:val="99"/>
    <w:unhideWhenUsed/>
    <w:rsid w:val="009E7B1F"/>
    <w:pPr>
      <w:spacing w:after="240"/>
      <w:ind w:left="720" w:hanging="360"/>
      <w:contextualSpacing/>
    </w:pPr>
    <w:rPr>
      <w:rFonts w:ascii="Times New Roman" w:eastAsia="Cambria" w:hAnsi="Times New Roman"/>
      <w:szCs w:val="20"/>
    </w:rPr>
  </w:style>
  <w:style w:type="paragraph" w:styleId="ListBullet">
    <w:name w:val="List Bullet"/>
    <w:basedOn w:val="Normal"/>
    <w:rsid w:val="009E7B1F"/>
    <w:pPr>
      <w:numPr>
        <w:numId w:val="13"/>
      </w:numPr>
      <w:spacing w:before="120" w:after="160"/>
    </w:pPr>
    <w:rPr>
      <w:rFonts w:ascii="Times New Roman" w:eastAsia="Cambria" w:hAnsi="Times New Roman"/>
    </w:rPr>
  </w:style>
  <w:style w:type="paragraph" w:styleId="ListBullet2">
    <w:name w:val="List Bullet 2"/>
    <w:basedOn w:val="Normal"/>
    <w:rsid w:val="009E7B1F"/>
    <w:pPr>
      <w:numPr>
        <w:numId w:val="14"/>
      </w:numPr>
      <w:spacing w:before="120" w:after="160"/>
    </w:pPr>
    <w:rPr>
      <w:rFonts w:ascii="Times New Roman" w:eastAsia="Cambria" w:hAnsi="Times New Roman"/>
    </w:rPr>
  </w:style>
  <w:style w:type="paragraph" w:styleId="ListNumber">
    <w:name w:val="List Number"/>
    <w:basedOn w:val="Normal"/>
    <w:rsid w:val="009E7B1F"/>
    <w:pPr>
      <w:spacing w:after="120"/>
      <w:ind w:left="1080" w:hanging="360"/>
    </w:pPr>
    <w:rPr>
      <w:rFonts w:ascii="Times New Roman" w:eastAsia="Cambria" w:hAnsi="Times New Roman"/>
    </w:rPr>
  </w:style>
  <w:style w:type="paragraph" w:styleId="ListNumber2">
    <w:name w:val="List Number 2"/>
    <w:basedOn w:val="Normal"/>
    <w:rsid w:val="009E7B1F"/>
    <w:pPr>
      <w:numPr>
        <w:numId w:val="15"/>
      </w:numPr>
      <w:tabs>
        <w:tab w:val="left" w:pos="1620"/>
      </w:tabs>
      <w:spacing w:before="120" w:after="160"/>
    </w:pPr>
    <w:rPr>
      <w:rFonts w:ascii="Times New Roman" w:eastAsia="Cambria" w:hAnsi="Times New Roman"/>
    </w:rPr>
  </w:style>
  <w:style w:type="paragraph" w:styleId="ListNumber3">
    <w:name w:val="List Number 3"/>
    <w:basedOn w:val="Normal"/>
    <w:rsid w:val="009E7B1F"/>
    <w:pPr>
      <w:numPr>
        <w:numId w:val="16"/>
      </w:numPr>
      <w:spacing w:before="120" w:after="160"/>
      <w:contextualSpacing/>
    </w:pPr>
    <w:rPr>
      <w:rFonts w:ascii="Times New Roman" w:eastAsia="Cambria" w:hAnsi="Times New Roman"/>
    </w:rPr>
  </w:style>
  <w:style w:type="paragraph" w:customStyle="1" w:styleId="Measles">
    <w:name w:val="Measles"/>
    <w:rsid w:val="009E7B1F"/>
    <w:pPr>
      <w:jc w:val="center"/>
    </w:pPr>
    <w:rPr>
      <w:rFonts w:ascii="Wingdings 2" w:eastAsia="Times New Roman" w:hAnsi="Wingdings 2" w:cs="Arial"/>
      <w:b/>
      <w:color w:val="00267F"/>
      <w:sz w:val="18"/>
      <w:szCs w:val="18"/>
    </w:rPr>
  </w:style>
  <w:style w:type="table" w:customStyle="1" w:styleId="MediumShading1-Accent11">
    <w:name w:val="Medium Shading 1 - Accent 11"/>
    <w:basedOn w:val="TableNormal"/>
    <w:uiPriority w:val="63"/>
    <w:rsid w:val="009E7B1F"/>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E7B1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PS">
    <w:name w:val="MEPS"/>
    <w:basedOn w:val="TableNormal"/>
    <w:rsid w:val="009E7B1F"/>
    <w:rPr>
      <w:rFonts w:ascii="Calibri" w:eastAsia="SimSun" w:hAnsi="Calibri"/>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mbria Math" w:hAnsi="Cambria Math"/>
        <w:sz w:val="20"/>
      </w:rPr>
      <w:tblPr/>
      <w:tcPr>
        <w:shd w:val="clear" w:color="auto" w:fill="D9D9D9"/>
      </w:tcPr>
    </w:tblStylePr>
  </w:style>
  <w:style w:type="paragraph" w:styleId="MessageHeader">
    <w:name w:val="Message Header"/>
    <w:basedOn w:val="Normal"/>
    <w:link w:val="MessageHeaderChar"/>
    <w:uiPriority w:val="99"/>
    <w:unhideWhenUsed/>
    <w:rsid w:val="009E7B1F"/>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Cambria"/>
      <w:szCs w:val="20"/>
    </w:rPr>
  </w:style>
  <w:style w:type="character" w:customStyle="1" w:styleId="MessageHeaderChar">
    <w:name w:val="Message Header Char"/>
    <w:link w:val="MessageHeader"/>
    <w:uiPriority w:val="99"/>
    <w:rsid w:val="009E7B1F"/>
    <w:rPr>
      <w:rFonts w:eastAsia="Cambria" w:cs="Times New Roman"/>
      <w:sz w:val="24"/>
      <w:shd w:val="pct20" w:color="auto" w:fill="auto"/>
    </w:rPr>
  </w:style>
  <w:style w:type="paragraph" w:customStyle="1" w:styleId="Name">
    <w:name w:val="Name"/>
    <w:basedOn w:val="Normal"/>
    <w:link w:val="NameChar"/>
    <w:qFormat/>
    <w:rsid w:val="009E7B1F"/>
    <w:pPr>
      <w:spacing w:after="240"/>
    </w:pPr>
    <w:rPr>
      <w:rFonts w:ascii="Book Antiqua" w:eastAsia="Cambria" w:hAnsi="Book Antiqua"/>
      <w:b/>
      <w:caps/>
      <w:szCs w:val="22"/>
    </w:rPr>
  </w:style>
  <w:style w:type="character" w:customStyle="1" w:styleId="NameChar">
    <w:name w:val="Name Char"/>
    <w:link w:val="Name"/>
    <w:rsid w:val="009E7B1F"/>
    <w:rPr>
      <w:rFonts w:ascii="Book Antiqua" w:eastAsia="Cambria" w:hAnsi="Book Antiqua" w:cs="Times New Roman"/>
      <w:b/>
      <w:caps/>
      <w:sz w:val="24"/>
      <w:szCs w:val="22"/>
    </w:rPr>
  </w:style>
  <w:style w:type="paragraph" w:customStyle="1" w:styleId="NAME0">
    <w:name w:val="NAME"/>
    <w:qFormat/>
    <w:rsid w:val="009E7B1F"/>
    <w:rPr>
      <w:rFonts w:ascii="Trebuchet MS" w:eastAsia="Calibri" w:hAnsi="Trebuchet MS"/>
      <w:b/>
      <w:caps/>
      <w:color w:val="00267F"/>
    </w:rPr>
  </w:style>
  <w:style w:type="numbering" w:customStyle="1" w:styleId="NoList1">
    <w:name w:val="No List1"/>
    <w:next w:val="NoList"/>
    <w:uiPriority w:val="99"/>
    <w:semiHidden/>
    <w:unhideWhenUsed/>
    <w:rsid w:val="009E7B1F"/>
  </w:style>
  <w:style w:type="numbering" w:customStyle="1" w:styleId="NoList2">
    <w:name w:val="No List2"/>
    <w:next w:val="NoList"/>
    <w:uiPriority w:val="99"/>
    <w:semiHidden/>
    <w:unhideWhenUsed/>
    <w:rsid w:val="009E7B1F"/>
  </w:style>
  <w:style w:type="numbering" w:customStyle="1" w:styleId="NoList3">
    <w:name w:val="No List3"/>
    <w:next w:val="NoList"/>
    <w:uiPriority w:val="99"/>
    <w:semiHidden/>
    <w:unhideWhenUsed/>
    <w:rsid w:val="009E7B1F"/>
  </w:style>
  <w:style w:type="paragraph" w:styleId="NormalWeb">
    <w:name w:val="Normal (Web)"/>
    <w:basedOn w:val="Normal"/>
    <w:uiPriority w:val="99"/>
    <w:rsid w:val="009E7B1F"/>
    <w:pPr>
      <w:spacing w:before="100" w:beforeAutospacing="1" w:after="100" w:afterAutospacing="1" w:line="312" w:lineRule="auto"/>
    </w:pPr>
    <w:rPr>
      <w:rFonts w:ascii="Verdana" w:eastAsia="Calibri" w:hAnsi="Verdana"/>
      <w:sz w:val="18"/>
      <w:szCs w:val="18"/>
    </w:rPr>
  </w:style>
  <w:style w:type="paragraph" w:customStyle="1" w:styleId="Normal1">
    <w:name w:val="Normal1"/>
    <w:basedOn w:val="Normal"/>
    <w:uiPriority w:val="99"/>
    <w:rsid w:val="009E7B1F"/>
    <w:pPr>
      <w:spacing w:before="100" w:beforeAutospacing="1" w:after="100" w:afterAutospacing="1"/>
    </w:pPr>
    <w:rPr>
      <w:rFonts w:ascii="Times New Roman" w:eastAsia="Cambria" w:hAnsi="Times New Roman"/>
    </w:rPr>
  </w:style>
  <w:style w:type="paragraph" w:customStyle="1" w:styleId="Numbered">
    <w:name w:val="Numbered"/>
    <w:basedOn w:val="BodyText"/>
    <w:rsid w:val="009E7B1F"/>
    <w:pPr>
      <w:numPr>
        <w:numId w:val="17"/>
      </w:numPr>
      <w:spacing w:before="0" w:after="120"/>
    </w:pPr>
    <w:rPr>
      <w:rFonts w:eastAsia="Calibri"/>
    </w:rPr>
  </w:style>
  <w:style w:type="paragraph" w:customStyle="1" w:styleId="Pa8">
    <w:name w:val="Pa8"/>
    <w:basedOn w:val="Default"/>
    <w:next w:val="Default"/>
    <w:uiPriority w:val="99"/>
    <w:rsid w:val="009E7B1F"/>
    <w:pPr>
      <w:spacing w:line="201" w:lineRule="atLeast"/>
    </w:pPr>
    <w:rPr>
      <w:rFonts w:ascii="Calibri" w:hAnsi="Calibri" w:cs="Times New Roman"/>
      <w:color w:val="auto"/>
    </w:rPr>
  </w:style>
  <w:style w:type="paragraph" w:customStyle="1" w:styleId="Pa9">
    <w:name w:val="Pa9"/>
    <w:basedOn w:val="Default"/>
    <w:next w:val="Default"/>
    <w:uiPriority w:val="99"/>
    <w:rsid w:val="009E7B1F"/>
    <w:pPr>
      <w:spacing w:line="201" w:lineRule="atLeast"/>
    </w:pPr>
    <w:rPr>
      <w:rFonts w:ascii="Calibri" w:hAnsi="Calibri" w:cs="Times New Roman"/>
      <w:color w:val="auto"/>
    </w:rPr>
  </w:style>
  <w:style w:type="paragraph" w:customStyle="1" w:styleId="PageHeader">
    <w:name w:val="Page Header"/>
    <w:basedOn w:val="Normal"/>
    <w:rsid w:val="009E7B1F"/>
    <w:rPr>
      <w:rFonts w:ascii="Times New Roman" w:eastAsia="Batang" w:hAnsi="Times New Roman"/>
      <w:b/>
      <w:i/>
      <w:sz w:val="20"/>
      <w:szCs w:val="20"/>
    </w:rPr>
  </w:style>
  <w:style w:type="character" w:styleId="PlaceholderText">
    <w:name w:val="Placeholder Text"/>
    <w:uiPriority w:val="99"/>
    <w:semiHidden/>
    <w:rsid w:val="009E7B1F"/>
    <w:rPr>
      <w:color w:val="808080"/>
    </w:rPr>
  </w:style>
  <w:style w:type="paragraph" w:styleId="PlainText">
    <w:name w:val="Plain Text"/>
    <w:basedOn w:val="Normal"/>
    <w:link w:val="PlainTextChar"/>
    <w:uiPriority w:val="99"/>
    <w:rsid w:val="009E7B1F"/>
    <w:pPr>
      <w:spacing w:before="120" w:after="160"/>
    </w:pPr>
    <w:rPr>
      <w:rFonts w:ascii="Consolas" w:eastAsia="Cambria" w:hAnsi="Consolas"/>
      <w:sz w:val="21"/>
      <w:szCs w:val="21"/>
    </w:rPr>
  </w:style>
  <w:style w:type="character" w:customStyle="1" w:styleId="PlainTextChar">
    <w:name w:val="Plain Text Char"/>
    <w:link w:val="PlainText"/>
    <w:uiPriority w:val="99"/>
    <w:rsid w:val="009E7B1F"/>
    <w:rPr>
      <w:rFonts w:ascii="Consolas" w:eastAsia="Cambria" w:hAnsi="Consolas" w:cs="Times New Roman"/>
      <w:sz w:val="21"/>
      <w:szCs w:val="21"/>
    </w:rPr>
  </w:style>
  <w:style w:type="paragraph" w:customStyle="1" w:styleId="Position">
    <w:name w:val="Position"/>
    <w:basedOn w:val="Name"/>
    <w:link w:val="PositionChar"/>
    <w:qFormat/>
    <w:rsid w:val="009E7B1F"/>
  </w:style>
  <w:style w:type="character" w:customStyle="1" w:styleId="PositionChar">
    <w:name w:val="Position Char"/>
    <w:link w:val="Position"/>
    <w:rsid w:val="009E7B1F"/>
    <w:rPr>
      <w:rFonts w:ascii="Book Antiqua" w:eastAsia="Cambria" w:hAnsi="Book Antiqua" w:cs="Times New Roman"/>
      <w:b/>
      <w:caps/>
      <w:sz w:val="24"/>
      <w:szCs w:val="22"/>
    </w:rPr>
  </w:style>
  <w:style w:type="paragraph" w:customStyle="1" w:styleId="PositionTitle">
    <w:name w:val="PositionTitle"/>
    <w:rsid w:val="009E7B1F"/>
    <w:pPr>
      <w:pBdr>
        <w:bottom w:val="single" w:sz="12" w:space="1" w:color="auto"/>
      </w:pBdr>
    </w:pPr>
    <w:rPr>
      <w:rFonts w:ascii="Trebuchet MS" w:eastAsia="Times New Roman" w:hAnsi="Trebuchet MS"/>
      <w:b/>
      <w:bCs/>
      <w:color w:val="003366"/>
      <w:sz w:val="38"/>
    </w:rPr>
  </w:style>
  <w:style w:type="paragraph" w:customStyle="1" w:styleId="ProjectTitle">
    <w:name w:val="Project Title"/>
    <w:basedOn w:val="Normal"/>
    <w:rsid w:val="009E7B1F"/>
    <w:rPr>
      <w:rFonts w:ascii="Trebuchet MS" w:eastAsia="Cambria" w:hAnsi="Trebuchet MS"/>
      <w:b/>
      <w:sz w:val="48"/>
    </w:rPr>
  </w:style>
  <w:style w:type="paragraph" w:customStyle="1" w:styleId="Publications">
    <w:name w:val="Publications"/>
    <w:basedOn w:val="Normal"/>
    <w:link w:val="PublicationsChar"/>
    <w:rsid w:val="009E7B1F"/>
    <w:pPr>
      <w:spacing w:after="160"/>
      <w:ind w:left="547" w:hanging="547"/>
    </w:pPr>
    <w:rPr>
      <w:rFonts w:ascii="Times New Roman" w:eastAsia="Cambria" w:hAnsi="Times New Roman"/>
    </w:rPr>
  </w:style>
  <w:style w:type="character" w:customStyle="1" w:styleId="PublicationsChar">
    <w:name w:val="Publications Char"/>
    <w:link w:val="Publications"/>
    <w:rsid w:val="009E7B1F"/>
    <w:rPr>
      <w:rFonts w:ascii="Times New Roman" w:eastAsia="Cambria" w:hAnsi="Times New Roman" w:cs="Times New Roman"/>
      <w:sz w:val="24"/>
      <w:szCs w:val="24"/>
    </w:rPr>
  </w:style>
  <w:style w:type="paragraph" w:customStyle="1" w:styleId="pullquote">
    <w:name w:val="pull quote"/>
    <w:basedOn w:val="Normal"/>
    <w:rsid w:val="009E7B1F"/>
    <w:pPr>
      <w:pBdr>
        <w:top w:val="single" w:sz="18" w:space="5" w:color="6E6E6E"/>
        <w:bottom w:val="single" w:sz="18" w:space="5" w:color="6E6E6E"/>
      </w:pBdr>
      <w:spacing w:after="240"/>
      <w:jc w:val="center"/>
    </w:pPr>
    <w:rPr>
      <w:rFonts w:ascii="Times New Roman" w:eastAsia="Cambria" w:hAnsi="Times New Roman"/>
      <w:i/>
      <w:color w:val="533E2F"/>
      <w:szCs w:val="20"/>
    </w:rPr>
  </w:style>
  <w:style w:type="paragraph" w:customStyle="1" w:styleId="QuoteBox">
    <w:name w:val="Quote Box"/>
    <w:basedOn w:val="Normal"/>
    <w:qFormat/>
    <w:rsid w:val="009E7B1F"/>
    <w:pPr>
      <w:keepNext/>
      <w:pBdr>
        <w:top w:val="single" w:sz="18" w:space="1" w:color="00267F"/>
        <w:bottom w:val="single" w:sz="18" w:space="1" w:color="00267F"/>
      </w:pBdr>
      <w:shd w:val="clear" w:color="auto" w:fill="EEECE1"/>
      <w:tabs>
        <w:tab w:val="left" w:pos="2880"/>
      </w:tabs>
      <w:spacing w:after="240"/>
      <w:ind w:left="360" w:right="360"/>
    </w:pPr>
    <w:rPr>
      <w:rFonts w:ascii="Trebuchet MS" w:eastAsia="Calibri" w:hAnsi="Trebuchet MS"/>
      <w:sz w:val="20"/>
      <w:szCs w:val="20"/>
    </w:rPr>
  </w:style>
  <w:style w:type="paragraph" w:customStyle="1" w:styleId="Reference">
    <w:name w:val="Reference"/>
    <w:basedOn w:val="Normal"/>
    <w:link w:val="ReferenceChar"/>
    <w:rsid w:val="009E7B1F"/>
    <w:pPr>
      <w:spacing w:after="240"/>
      <w:ind w:left="432" w:hanging="432"/>
    </w:pPr>
    <w:rPr>
      <w:rFonts w:ascii="Book Antiqua" w:eastAsia="Cambria" w:hAnsi="Book Antiqua"/>
      <w:sz w:val="22"/>
      <w:szCs w:val="20"/>
    </w:rPr>
  </w:style>
  <w:style w:type="character" w:customStyle="1" w:styleId="ReferenceChar">
    <w:name w:val="Reference Char"/>
    <w:link w:val="Reference"/>
    <w:rsid w:val="009E7B1F"/>
    <w:rPr>
      <w:rFonts w:ascii="Book Antiqua" w:eastAsia="Cambria" w:hAnsi="Book Antiqua" w:cs="Times New Roman"/>
      <w:sz w:val="22"/>
    </w:rPr>
  </w:style>
  <w:style w:type="paragraph" w:customStyle="1" w:styleId="ReferenceLine">
    <w:name w:val="Reference Line"/>
    <w:basedOn w:val="BodyText"/>
    <w:rsid w:val="009E7B1F"/>
    <w:pPr>
      <w:spacing w:after="0"/>
    </w:pPr>
    <w:rPr>
      <w:szCs w:val="20"/>
    </w:rPr>
  </w:style>
  <w:style w:type="paragraph" w:customStyle="1" w:styleId="ResumeBullet0">
    <w:name w:val="Resume Bullet"/>
    <w:basedOn w:val="BodyText"/>
    <w:autoRedefine/>
    <w:rsid w:val="009E7B1F"/>
    <w:pPr>
      <w:spacing w:before="0" w:after="240"/>
    </w:pPr>
    <w:rPr>
      <w:rFonts w:ascii="Palatino Linotype" w:hAnsi="Palatino Linotype"/>
      <w:bCs/>
      <w:spacing w:val="-3"/>
      <w:sz w:val="20"/>
      <w:szCs w:val="20"/>
    </w:rPr>
  </w:style>
  <w:style w:type="paragraph" w:customStyle="1" w:styleId="resumebullet">
    <w:name w:val="resume bullet"/>
    <w:qFormat/>
    <w:rsid w:val="009E7B1F"/>
    <w:pPr>
      <w:numPr>
        <w:numId w:val="18"/>
      </w:numPr>
      <w:spacing w:before="60" w:after="120"/>
    </w:pPr>
    <w:rPr>
      <w:rFonts w:ascii="Times New Roman" w:eastAsia="Times New Roman" w:hAnsi="Times New Roman"/>
      <w:spacing w:val="-2"/>
    </w:rPr>
  </w:style>
  <w:style w:type="paragraph" w:customStyle="1" w:styleId="ResumeBullets">
    <w:name w:val="Resume Bullets"/>
    <w:uiPriority w:val="99"/>
    <w:qFormat/>
    <w:rsid w:val="009E7B1F"/>
    <w:pPr>
      <w:numPr>
        <w:numId w:val="19"/>
      </w:numPr>
      <w:spacing w:after="60"/>
    </w:pPr>
    <w:rPr>
      <w:rFonts w:ascii="Times New Roman" w:eastAsia="Calibri" w:hAnsi="Times New Roman"/>
    </w:rPr>
  </w:style>
  <w:style w:type="paragraph" w:customStyle="1" w:styleId="ResumeBulletsLST">
    <w:name w:val="Resume Bullets LST"/>
    <w:basedOn w:val="ResumeBullets"/>
    <w:qFormat/>
    <w:rsid w:val="009E7B1F"/>
    <w:pPr>
      <w:numPr>
        <w:numId w:val="0"/>
      </w:numPr>
      <w:spacing w:after="480"/>
      <w:ind w:left="540" w:hanging="360"/>
    </w:pPr>
  </w:style>
  <w:style w:type="paragraph" w:customStyle="1" w:styleId="ResumeIndent75">
    <w:name w:val="Resume Indent .75"/>
    <w:basedOn w:val="Normal"/>
    <w:rsid w:val="009E7B1F"/>
    <w:pPr>
      <w:tabs>
        <w:tab w:val="left" w:pos="2880"/>
      </w:tabs>
      <w:spacing w:after="80"/>
      <w:ind w:left="2880" w:hanging="1800"/>
    </w:pPr>
    <w:rPr>
      <w:rFonts w:ascii="Times New Roman" w:eastAsia="Batang" w:hAnsi="Times New Roman"/>
      <w:i/>
      <w:sz w:val="21"/>
      <w:szCs w:val="21"/>
    </w:rPr>
  </w:style>
  <w:style w:type="paragraph" w:customStyle="1" w:styleId="ResumeName">
    <w:name w:val="Resume Name"/>
    <w:basedOn w:val="Title"/>
    <w:rsid w:val="009E7B1F"/>
    <w:pPr>
      <w:widowControl w:val="0"/>
      <w:pBdr>
        <w:bottom w:val="none" w:sz="0" w:space="0" w:color="auto"/>
      </w:pBdr>
      <w:spacing w:after="0"/>
      <w:contextualSpacing w:val="0"/>
    </w:pPr>
    <w:rPr>
      <w:rFonts w:ascii="Times New Roman" w:eastAsia="Times New Roman" w:hAnsi="Times New Roman"/>
      <w:b/>
      <w:snapToGrid w:val="0"/>
      <w:color w:val="auto"/>
      <w:spacing w:val="0"/>
      <w:kern w:val="0"/>
      <w:sz w:val="32"/>
      <w:szCs w:val="20"/>
    </w:rPr>
  </w:style>
  <w:style w:type="paragraph" w:customStyle="1" w:styleId="ResumeTableText">
    <w:name w:val="Resume Table Text"/>
    <w:link w:val="ResumeTableTextChar"/>
    <w:qFormat/>
    <w:rsid w:val="009E7B1F"/>
    <w:pPr>
      <w:spacing w:before="20" w:after="20"/>
    </w:pPr>
    <w:rPr>
      <w:rFonts w:ascii="Arial" w:eastAsia="Times New Roman" w:hAnsi="Arial"/>
      <w:sz w:val="19"/>
      <w:szCs w:val="19"/>
    </w:rPr>
  </w:style>
  <w:style w:type="character" w:customStyle="1" w:styleId="ResumeTableTextChar">
    <w:name w:val="Resume Table Text Char"/>
    <w:link w:val="ResumeTableText"/>
    <w:rsid w:val="009E7B1F"/>
    <w:rPr>
      <w:rFonts w:ascii="Arial" w:eastAsia="Times New Roman" w:hAnsi="Arial"/>
      <w:sz w:val="19"/>
      <w:szCs w:val="19"/>
      <w:lang w:bidi="ar-SA"/>
    </w:rPr>
  </w:style>
  <w:style w:type="paragraph" w:customStyle="1" w:styleId="ResumeTitle">
    <w:name w:val="Resume Title"/>
    <w:qFormat/>
    <w:rsid w:val="009E7B1F"/>
    <w:rPr>
      <w:rFonts w:ascii="Trebuchet MS" w:eastAsia="Times New Roman" w:hAnsi="Trebuchet MS"/>
      <w:i/>
      <w:color w:val="00267F"/>
      <w:spacing w:val="5"/>
      <w:kern w:val="28"/>
    </w:rPr>
  </w:style>
  <w:style w:type="paragraph" w:customStyle="1" w:styleId="ResumeTOC">
    <w:name w:val="ResumeTOC"/>
    <w:qFormat/>
    <w:rsid w:val="009E7B1F"/>
    <w:pPr>
      <w:tabs>
        <w:tab w:val="right" w:leader="dot" w:pos="7920"/>
      </w:tabs>
      <w:spacing w:after="120"/>
      <w:ind w:left="907"/>
    </w:pPr>
    <w:rPr>
      <w:rFonts w:ascii="Trebuchet MS" w:eastAsia="Times New Roman" w:hAnsi="Trebuchet MS"/>
      <w:b/>
      <w:noProof/>
      <w:color w:val="00267F"/>
    </w:rPr>
  </w:style>
  <w:style w:type="character" w:customStyle="1" w:styleId="RFPNumber">
    <w:name w:val="RFP Number"/>
    <w:uiPriority w:val="1"/>
    <w:qFormat/>
    <w:rsid w:val="009E7B1F"/>
    <w:rPr>
      <w:b w:val="0"/>
      <w:bCs w:val="0"/>
      <w:i w:val="0"/>
      <w:iCs w:val="0"/>
      <w:color w:val="00267F"/>
      <w:sz w:val="20"/>
    </w:rPr>
  </w:style>
  <w:style w:type="paragraph" w:customStyle="1" w:styleId="r-heading">
    <w:name w:val="r-heading"/>
    <w:aliases w:val="rh"/>
    <w:basedOn w:val="Normal"/>
    <w:next w:val="Normal"/>
    <w:link w:val="r-headingChar"/>
    <w:uiPriority w:val="99"/>
    <w:rsid w:val="009E7B1F"/>
    <w:pPr>
      <w:keepNext/>
      <w:spacing w:before="240" w:after="180"/>
    </w:pPr>
    <w:rPr>
      <w:rFonts w:ascii="Arial Narrow" w:eastAsia="Cambria" w:hAnsi="Arial Narrow" w:cs="Arial"/>
      <w:b/>
      <w:bCs/>
      <w:color w:val="365F91"/>
    </w:rPr>
  </w:style>
  <w:style w:type="character" w:customStyle="1" w:styleId="r-headingChar">
    <w:name w:val="r-heading Char"/>
    <w:link w:val="r-heading"/>
    <w:uiPriority w:val="99"/>
    <w:locked/>
    <w:rsid w:val="009E7B1F"/>
    <w:rPr>
      <w:rFonts w:ascii="Arial Narrow" w:eastAsia="Cambria" w:hAnsi="Arial Narrow" w:cs="Arial"/>
      <w:b/>
      <w:bCs/>
      <w:color w:val="365F91"/>
      <w:sz w:val="24"/>
      <w:szCs w:val="24"/>
    </w:rPr>
  </w:style>
  <w:style w:type="paragraph" w:customStyle="1" w:styleId="r-name">
    <w:name w:val="r-name"/>
    <w:aliases w:val="rn"/>
    <w:basedOn w:val="Normal"/>
    <w:next w:val="Normal"/>
    <w:link w:val="r-nameChar"/>
    <w:uiPriority w:val="99"/>
    <w:rsid w:val="009E7B1F"/>
    <w:pPr>
      <w:keepNext/>
      <w:pageBreakBefore/>
      <w:spacing w:after="180"/>
      <w:outlineLvl w:val="3"/>
    </w:pPr>
    <w:rPr>
      <w:rFonts w:ascii="Arial Narrow" w:eastAsia="Cambria" w:hAnsi="Arial Narrow" w:cs="Arial"/>
      <w:b/>
      <w:bCs/>
      <w:sz w:val="44"/>
      <w:szCs w:val="44"/>
    </w:rPr>
  </w:style>
  <w:style w:type="character" w:customStyle="1" w:styleId="r-nameChar">
    <w:name w:val="r-name Char"/>
    <w:aliases w:val="rn Char"/>
    <w:link w:val="r-name"/>
    <w:uiPriority w:val="99"/>
    <w:locked/>
    <w:rsid w:val="009E7B1F"/>
    <w:rPr>
      <w:rFonts w:ascii="Arial Narrow" w:eastAsia="Cambria" w:hAnsi="Arial Narrow" w:cs="Arial"/>
      <w:b/>
      <w:bCs/>
      <w:sz w:val="44"/>
      <w:szCs w:val="44"/>
    </w:rPr>
  </w:style>
  <w:style w:type="paragraph" w:customStyle="1" w:styleId="r-role">
    <w:name w:val="r-role"/>
    <w:aliases w:val="role"/>
    <w:basedOn w:val="Normal"/>
    <w:next w:val="Normal"/>
    <w:uiPriority w:val="99"/>
    <w:rsid w:val="009E7B1F"/>
    <w:pPr>
      <w:keepNext/>
      <w:pBdr>
        <w:top w:val="single" w:sz="4" w:space="3" w:color="auto"/>
        <w:bottom w:val="single" w:sz="4" w:space="3" w:color="auto"/>
      </w:pBdr>
      <w:tabs>
        <w:tab w:val="right" w:pos="9360"/>
      </w:tabs>
      <w:spacing w:after="180"/>
    </w:pPr>
    <w:rPr>
      <w:rFonts w:ascii="Arial Narrow" w:eastAsia="Cambria" w:hAnsi="Arial Narrow"/>
      <w:b/>
      <w:bCs/>
      <w:iCs/>
      <w:szCs w:val="20"/>
    </w:rPr>
  </w:style>
  <w:style w:type="paragraph" w:customStyle="1" w:styleId="SectionBegin">
    <w:name w:val="Section Begin"/>
    <w:basedOn w:val="Normal"/>
    <w:rsid w:val="009E7B1F"/>
    <w:pPr>
      <w:keepNext/>
      <w:spacing w:after="60"/>
    </w:pPr>
    <w:rPr>
      <w:rFonts w:ascii="Arial" w:eastAsia="MS PGothic" w:hAnsi="Arial" w:cs="Arial"/>
      <w:b/>
      <w:bCs/>
      <w:szCs w:val="20"/>
      <w:u w:val="single"/>
      <w:lang w:eastAsia="ja-JP"/>
    </w:rPr>
  </w:style>
  <w:style w:type="paragraph" w:customStyle="1" w:styleId="SectionCostHeaders">
    <w:name w:val="Section Cost Headers"/>
    <w:rsid w:val="009E7B1F"/>
    <w:pPr>
      <w:spacing w:before="2000"/>
      <w:jc w:val="center"/>
    </w:pPr>
    <w:rPr>
      <w:rFonts w:ascii="Trebuchet MS" w:eastAsia="Times New Roman" w:hAnsi="Trebuchet MS"/>
      <w:sz w:val="50"/>
      <w:szCs w:val="50"/>
    </w:rPr>
  </w:style>
  <w:style w:type="paragraph" w:customStyle="1" w:styleId="SectionCostLogo">
    <w:name w:val="Section Cost Logo"/>
    <w:basedOn w:val="Normal"/>
    <w:rsid w:val="009E7B1F"/>
    <w:pPr>
      <w:tabs>
        <w:tab w:val="right" w:pos="9720"/>
        <w:tab w:val="right" w:pos="13860"/>
      </w:tabs>
      <w:ind w:left="-792" w:right="-360"/>
    </w:pPr>
    <w:rPr>
      <w:rFonts w:ascii="Times New Roman" w:eastAsia="Cambria" w:hAnsi="Times New Roman"/>
      <w:sz w:val="20"/>
    </w:rPr>
  </w:style>
  <w:style w:type="paragraph" w:customStyle="1" w:styleId="SectionHeading">
    <w:name w:val="Section Heading"/>
    <w:qFormat/>
    <w:rsid w:val="009E7B1F"/>
    <w:pPr>
      <w:pBdr>
        <w:top w:val="single" w:sz="18" w:space="1" w:color="00267F"/>
        <w:bottom w:val="single" w:sz="18" w:space="1" w:color="00267F"/>
      </w:pBdr>
      <w:shd w:val="clear" w:color="auto" w:fill="E6D9B8"/>
      <w:spacing w:before="120"/>
      <w:jc w:val="center"/>
    </w:pPr>
    <w:rPr>
      <w:rFonts w:ascii="Trebuchet MS" w:eastAsia="Calibri" w:hAnsi="Trebuchet MS"/>
      <w:b/>
      <w:sz w:val="36"/>
      <w:szCs w:val="36"/>
    </w:rPr>
  </w:style>
  <w:style w:type="paragraph" w:customStyle="1" w:styleId="SectionSub1">
    <w:name w:val="Section Sub 1"/>
    <w:basedOn w:val="Normal"/>
    <w:rsid w:val="009E7B1F"/>
    <w:pPr>
      <w:spacing w:before="120" w:after="160"/>
      <w:ind w:left="720" w:hanging="720"/>
    </w:pPr>
    <w:rPr>
      <w:rFonts w:ascii="Trebuchet MS" w:eastAsia="Cambria" w:hAnsi="Trebuchet MS"/>
    </w:rPr>
  </w:style>
  <w:style w:type="paragraph" w:customStyle="1" w:styleId="SectionSub2">
    <w:name w:val="Section Sub 2"/>
    <w:rsid w:val="009E7B1F"/>
    <w:pPr>
      <w:spacing w:before="240"/>
      <w:ind w:left="720"/>
    </w:pPr>
    <w:rPr>
      <w:rFonts w:ascii="Trebuchet MS" w:eastAsia="Times New Roman" w:hAnsi="Trebuchet MS"/>
      <w:b/>
    </w:rPr>
  </w:style>
  <w:style w:type="paragraph" w:customStyle="1" w:styleId="SectionSubbullet">
    <w:name w:val="Section Sub bullet"/>
    <w:basedOn w:val="Normal"/>
    <w:rsid w:val="009E7B1F"/>
    <w:pPr>
      <w:numPr>
        <w:numId w:val="20"/>
      </w:numPr>
      <w:tabs>
        <w:tab w:val="right" w:leader="dot" w:pos="9000"/>
      </w:tabs>
      <w:spacing w:before="120" w:after="160"/>
    </w:pPr>
    <w:rPr>
      <w:rFonts w:ascii="Times New Roman" w:eastAsia="Cambria" w:hAnsi="Times New Roman"/>
    </w:rPr>
  </w:style>
  <w:style w:type="paragraph" w:customStyle="1" w:styleId="SectionSubCostHead">
    <w:name w:val="Section Sub Cost Head"/>
    <w:rsid w:val="009E7B1F"/>
    <w:pPr>
      <w:spacing w:before="400"/>
      <w:jc w:val="center"/>
    </w:pPr>
    <w:rPr>
      <w:rFonts w:ascii="Trebuchet MS" w:eastAsia="Times New Roman" w:hAnsi="Trebuchet MS"/>
      <w:sz w:val="30"/>
      <w:szCs w:val="50"/>
    </w:rPr>
  </w:style>
  <w:style w:type="paragraph" w:customStyle="1" w:styleId="SidePhoto">
    <w:name w:val="Side Photo"/>
    <w:qFormat/>
    <w:rsid w:val="009E7B1F"/>
    <w:pPr>
      <w:framePr w:hSpace="180" w:wrap="around" w:vAnchor="text" w:hAnchor="page" w:x="739" w:y="230"/>
    </w:pPr>
    <w:rPr>
      <w:rFonts w:ascii="Calibri" w:eastAsia="SimSun" w:hAnsi="Calibri"/>
      <w:sz w:val="22"/>
      <w:szCs w:val="22"/>
      <w:lang w:eastAsia="zh-CN"/>
    </w:rPr>
  </w:style>
  <w:style w:type="paragraph" w:customStyle="1" w:styleId="SidePhotoCaption">
    <w:name w:val="Side Photo Caption"/>
    <w:qFormat/>
    <w:rsid w:val="009E7B1F"/>
    <w:pPr>
      <w:framePr w:hSpace="180" w:wrap="around" w:vAnchor="text" w:hAnchor="page" w:x="739" w:y="230"/>
      <w:spacing w:before="120"/>
    </w:pPr>
    <w:rPr>
      <w:rFonts w:ascii="Calibri" w:eastAsia="SimSun" w:hAnsi="Calibri"/>
      <w:i/>
      <w:color w:val="2D6AB0"/>
      <w:szCs w:val="22"/>
      <w:lang w:eastAsia="zh-CN"/>
    </w:rPr>
  </w:style>
  <w:style w:type="paragraph" w:customStyle="1" w:styleId="SidebarBullet">
    <w:name w:val="Sidebar Bullet"/>
    <w:basedOn w:val="Normal"/>
    <w:rsid w:val="009E7B1F"/>
    <w:pPr>
      <w:numPr>
        <w:numId w:val="21"/>
      </w:numPr>
      <w:spacing w:before="40"/>
    </w:pPr>
    <w:rPr>
      <w:rFonts w:ascii="Arial Narrow" w:eastAsia="Cambria" w:hAnsi="Arial Narrow" w:cs="Arial"/>
      <w:color w:val="000000"/>
      <w:sz w:val="17"/>
      <w:szCs w:val="20"/>
      <w:lang w:val="fr-FR"/>
    </w:rPr>
  </w:style>
  <w:style w:type="paragraph" w:customStyle="1" w:styleId="SidebarTitle">
    <w:name w:val="Sidebar Title"/>
    <w:basedOn w:val="Normal"/>
    <w:rsid w:val="009E7B1F"/>
    <w:pPr>
      <w:spacing w:before="240"/>
      <w:jc w:val="both"/>
    </w:pPr>
    <w:rPr>
      <w:rFonts w:ascii="Arial Narrow" w:eastAsia="Cambria" w:hAnsi="Arial Narrow" w:cs="Arial"/>
      <w:b/>
      <w:color w:val="000000"/>
      <w:sz w:val="17"/>
      <w:szCs w:val="20"/>
    </w:rPr>
  </w:style>
  <w:style w:type="character" w:customStyle="1" w:styleId="SkillsSymbols">
    <w:name w:val="Skills Symbols"/>
    <w:rsid w:val="009E7B1F"/>
    <w:rPr>
      <w:sz w:val="32"/>
    </w:rPr>
  </w:style>
  <w:style w:type="paragraph" w:customStyle="1" w:styleId="Source">
    <w:name w:val="Source"/>
    <w:basedOn w:val="Normal"/>
    <w:next w:val="Normal"/>
    <w:rsid w:val="009E7B1F"/>
    <w:pPr>
      <w:numPr>
        <w:numId w:val="22"/>
      </w:numPr>
      <w:spacing w:before="120" w:after="240"/>
    </w:pPr>
    <w:rPr>
      <w:rFonts w:ascii="Arial" w:eastAsia="Cambria" w:hAnsi="Arial"/>
      <w:sz w:val="20"/>
      <w:szCs w:val="20"/>
    </w:rPr>
  </w:style>
  <w:style w:type="paragraph" w:customStyle="1" w:styleId="SpecialTableText">
    <w:name w:val="Special Table Text"/>
    <w:qFormat/>
    <w:rsid w:val="009E7B1F"/>
    <w:rPr>
      <w:rFonts w:ascii="Book Antiqua" w:eastAsia="Times New Roman" w:hAnsi="Book Antiqua"/>
      <w:snapToGrid w:val="0"/>
      <w:sz w:val="18"/>
      <w:szCs w:val="18"/>
    </w:rPr>
  </w:style>
  <w:style w:type="paragraph" w:customStyle="1" w:styleId="SpecialTableNumbers">
    <w:name w:val="Special Table Numbers"/>
    <w:basedOn w:val="SpecialTableText"/>
    <w:autoRedefine/>
    <w:qFormat/>
    <w:rsid w:val="009E7B1F"/>
    <w:pPr>
      <w:ind w:left="245" w:hanging="180"/>
    </w:pPr>
  </w:style>
  <w:style w:type="paragraph" w:customStyle="1" w:styleId="SpecialTableSubhead">
    <w:name w:val="Special Table Subhead"/>
    <w:qFormat/>
    <w:rsid w:val="009E7B1F"/>
    <w:rPr>
      <w:rFonts w:ascii="Trebuchet MS" w:eastAsia="Times New Roman" w:hAnsi="Trebuchet MS"/>
      <w:b/>
      <w:szCs w:val="18"/>
    </w:rPr>
  </w:style>
  <w:style w:type="character" w:customStyle="1" w:styleId="spelle">
    <w:name w:val="spelle"/>
    <w:uiPriority w:val="99"/>
    <w:rsid w:val="009E7B1F"/>
    <w:rPr>
      <w:rFonts w:cs="Times New Roman"/>
    </w:rPr>
  </w:style>
  <w:style w:type="character" w:customStyle="1" w:styleId="st">
    <w:name w:val="st"/>
    <w:rsid w:val="009E7B1F"/>
  </w:style>
  <w:style w:type="character" w:customStyle="1" w:styleId="st1">
    <w:name w:val="st1"/>
    <w:rsid w:val="009E7B1F"/>
  </w:style>
  <w:style w:type="character" w:styleId="Strong">
    <w:name w:val="Strong"/>
    <w:qFormat/>
    <w:rsid w:val="009E7B1F"/>
    <w:rPr>
      <w:b/>
      <w:bCs/>
      <w:i w:val="0"/>
      <w:color w:val="00267F"/>
    </w:rPr>
  </w:style>
  <w:style w:type="paragraph" w:customStyle="1" w:styleId="StyleAfter12pt">
    <w:name w:val="Style After:  12 pt"/>
    <w:basedOn w:val="Normal"/>
    <w:rsid w:val="009E7B1F"/>
    <w:pPr>
      <w:spacing w:after="240"/>
    </w:pPr>
    <w:rPr>
      <w:rFonts w:ascii="Book Antiqua" w:eastAsia="Calibri" w:hAnsi="Book Antiqua"/>
      <w:sz w:val="22"/>
      <w:szCs w:val="22"/>
    </w:rPr>
  </w:style>
  <w:style w:type="character" w:customStyle="1" w:styleId="StyleBold">
    <w:name w:val="Style Bold"/>
    <w:rsid w:val="009E7B1F"/>
    <w:rPr>
      <w:b/>
      <w:bCs/>
      <w:sz w:val="24"/>
    </w:rPr>
  </w:style>
  <w:style w:type="paragraph" w:customStyle="1" w:styleId="StyleBulletLevel2After3pt">
    <w:name w:val="Style Bullet Level 2 + After:  3 pt"/>
    <w:basedOn w:val="BulletLevel2"/>
    <w:rsid w:val="009E7B1F"/>
    <w:pPr>
      <w:numPr>
        <w:numId w:val="23"/>
      </w:numPr>
      <w:tabs>
        <w:tab w:val="clear" w:pos="1080"/>
        <w:tab w:val="num" w:pos="360"/>
      </w:tabs>
      <w:spacing w:after="60"/>
      <w:ind w:left="0" w:firstLine="0"/>
    </w:pPr>
    <w:rPr>
      <w:szCs w:val="20"/>
    </w:rPr>
  </w:style>
  <w:style w:type="character" w:customStyle="1" w:styleId="StyleItalic">
    <w:name w:val="Style Italic"/>
    <w:rsid w:val="009E7B1F"/>
    <w:rPr>
      <w:i/>
      <w:iCs/>
    </w:rPr>
  </w:style>
  <w:style w:type="paragraph" w:customStyle="1" w:styleId="StyleLinespacingDouble">
    <w:name w:val="Style Line spacing:  Double"/>
    <w:basedOn w:val="Normal"/>
    <w:link w:val="StyleLinespacingDoubleChar"/>
    <w:rsid w:val="009E7B1F"/>
    <w:pPr>
      <w:spacing w:before="120" w:after="240" w:line="480" w:lineRule="auto"/>
    </w:pPr>
    <w:rPr>
      <w:rFonts w:ascii="Calibri" w:eastAsia="Calibri" w:hAnsi="Calibri"/>
    </w:rPr>
  </w:style>
  <w:style w:type="character" w:customStyle="1" w:styleId="StyleLinespacingDoubleChar">
    <w:name w:val="Style Line spacing:  Double Char"/>
    <w:link w:val="StyleLinespacingDouble"/>
    <w:locked/>
    <w:rsid w:val="009E7B1F"/>
    <w:rPr>
      <w:rFonts w:ascii="Calibri" w:eastAsia="Calibri" w:hAnsi="Calibri" w:cs="Times New Roman"/>
      <w:sz w:val="24"/>
      <w:szCs w:val="24"/>
    </w:rPr>
  </w:style>
  <w:style w:type="paragraph" w:customStyle="1" w:styleId="StyleListParagraphCambriaAfter0pt">
    <w:name w:val="Style List Paragraph + Cambria After:  0 pt"/>
    <w:basedOn w:val="ListParagraph"/>
    <w:rsid w:val="009E7B1F"/>
    <w:pPr>
      <w:numPr>
        <w:numId w:val="24"/>
      </w:numPr>
      <w:spacing w:after="200" w:line="276" w:lineRule="auto"/>
    </w:pPr>
    <w:rPr>
      <w:rFonts w:ascii="Times New Roman" w:eastAsia="Cambria" w:hAnsi="Times New Roman"/>
      <w:szCs w:val="22"/>
    </w:rPr>
  </w:style>
  <w:style w:type="paragraph" w:customStyle="1" w:styleId="TableText">
    <w:name w:val="Table Text"/>
    <w:link w:val="TableTextChar"/>
    <w:qFormat/>
    <w:rsid w:val="009E7B1F"/>
    <w:pPr>
      <w:spacing w:before="60" w:after="60"/>
    </w:pPr>
    <w:rPr>
      <w:rFonts w:ascii="Arial" w:eastAsia="Times New Roman" w:hAnsi="Arial"/>
      <w:szCs w:val="22"/>
    </w:rPr>
  </w:style>
  <w:style w:type="character" w:customStyle="1" w:styleId="TableTextChar">
    <w:name w:val="Table Text Char"/>
    <w:link w:val="TableText"/>
    <w:rsid w:val="009E7B1F"/>
    <w:rPr>
      <w:rFonts w:ascii="Arial" w:eastAsia="Times New Roman" w:hAnsi="Arial"/>
      <w:szCs w:val="22"/>
      <w:lang w:bidi="ar-SA"/>
    </w:rPr>
  </w:style>
  <w:style w:type="paragraph" w:customStyle="1" w:styleId="StyleTableTextCentered">
    <w:name w:val="Style Table Text + Centered"/>
    <w:basedOn w:val="TableText"/>
    <w:rsid w:val="009E7B1F"/>
    <w:pPr>
      <w:spacing w:after="20"/>
      <w:jc w:val="center"/>
    </w:pPr>
    <w:rPr>
      <w:szCs w:val="20"/>
    </w:rPr>
  </w:style>
  <w:style w:type="paragraph" w:customStyle="1" w:styleId="StyleTableTextCentered1">
    <w:name w:val="Style Table Text + Centered1"/>
    <w:basedOn w:val="TableText"/>
    <w:rsid w:val="009E7B1F"/>
    <w:pPr>
      <w:spacing w:after="20"/>
      <w:jc w:val="center"/>
    </w:pPr>
    <w:rPr>
      <w:szCs w:val="20"/>
    </w:rPr>
  </w:style>
  <w:style w:type="character" w:customStyle="1" w:styleId="StyleTrebuchetMS16pt">
    <w:name w:val="Style Trebuchet MS 16 pt"/>
    <w:rsid w:val="009E7B1F"/>
    <w:rPr>
      <w:rFonts w:ascii="Trebuchet MS" w:hAnsi="Trebuchet MS"/>
      <w:color w:val="00267F"/>
      <w:sz w:val="32"/>
    </w:rPr>
  </w:style>
  <w:style w:type="character" w:customStyle="1" w:styleId="StyleUnderline">
    <w:name w:val="Style Underline"/>
    <w:qFormat/>
    <w:rsid w:val="009E7B1F"/>
    <w:rPr>
      <w:u w:val="single"/>
    </w:rPr>
  </w:style>
  <w:style w:type="paragraph" w:customStyle="1" w:styleId="Style4">
    <w:name w:val="Style4"/>
    <w:basedOn w:val="Normal"/>
    <w:uiPriority w:val="99"/>
    <w:rsid w:val="009E7B1F"/>
    <w:pPr>
      <w:widowControl w:val="0"/>
      <w:autoSpaceDE w:val="0"/>
      <w:autoSpaceDN w:val="0"/>
      <w:adjustRightInd w:val="0"/>
      <w:spacing w:after="240" w:line="276" w:lineRule="exact"/>
    </w:pPr>
    <w:rPr>
      <w:rFonts w:ascii="Times New Roman" w:eastAsia="Cambria" w:hAnsi="Times New Roman"/>
      <w:szCs w:val="20"/>
    </w:rPr>
  </w:style>
  <w:style w:type="paragraph" w:customStyle="1" w:styleId="Subhead1">
    <w:name w:val="Subhead 1"/>
    <w:basedOn w:val="Normal"/>
    <w:link w:val="Subhead1Char"/>
    <w:rsid w:val="009E7B1F"/>
    <w:pPr>
      <w:keepNext/>
      <w:pageBreakBefore/>
      <w:shd w:val="clear" w:color="auto" w:fill="A1BDEA"/>
    </w:pPr>
    <w:rPr>
      <w:rFonts w:ascii="Arial" w:eastAsia="Cambria" w:hAnsi="Arial"/>
      <w:b/>
      <w:smallCaps/>
      <w:color w:val="00267F"/>
      <w:sz w:val="28"/>
      <w:szCs w:val="28"/>
    </w:rPr>
  </w:style>
  <w:style w:type="character" w:customStyle="1" w:styleId="Subhead1Char">
    <w:name w:val="Subhead 1 Char"/>
    <w:link w:val="Subhead1"/>
    <w:rsid w:val="009E7B1F"/>
    <w:rPr>
      <w:rFonts w:ascii="Arial" w:eastAsia="Cambria" w:hAnsi="Arial" w:cs="Arial"/>
      <w:b/>
      <w:smallCaps/>
      <w:color w:val="00267F"/>
      <w:sz w:val="28"/>
      <w:szCs w:val="28"/>
      <w:shd w:val="clear" w:color="auto" w:fill="A1BDEA"/>
    </w:rPr>
  </w:style>
  <w:style w:type="paragraph" w:customStyle="1" w:styleId="Subhead2">
    <w:name w:val="Subhead 2"/>
    <w:basedOn w:val="Normal"/>
    <w:link w:val="Subhead2Char"/>
    <w:rsid w:val="009E7B1F"/>
    <w:pPr>
      <w:keepNext/>
      <w:spacing w:before="240" w:after="80"/>
      <w:ind w:left="900" w:hanging="907"/>
    </w:pPr>
    <w:rPr>
      <w:rFonts w:ascii="Trebuchet MS" w:eastAsia="Cambria" w:hAnsi="Trebuchet MS"/>
      <w:b/>
      <w:color w:val="1F821F"/>
    </w:rPr>
  </w:style>
  <w:style w:type="character" w:customStyle="1" w:styleId="Subhead2Char">
    <w:name w:val="Subhead 2 Char"/>
    <w:link w:val="Subhead2"/>
    <w:rsid w:val="009E7B1F"/>
    <w:rPr>
      <w:rFonts w:ascii="Trebuchet MS" w:eastAsia="Cambria" w:hAnsi="Trebuchet MS" w:cs="Arial"/>
      <w:b/>
      <w:color w:val="1F821F"/>
      <w:sz w:val="24"/>
      <w:szCs w:val="24"/>
    </w:rPr>
  </w:style>
  <w:style w:type="paragraph" w:customStyle="1" w:styleId="Subhead3">
    <w:name w:val="Subhead 3"/>
    <w:basedOn w:val="Subhead2"/>
    <w:link w:val="Subhead3Char"/>
    <w:rsid w:val="009E7B1F"/>
    <w:pPr>
      <w:spacing w:before="200" w:after="40"/>
      <w:ind w:left="907"/>
    </w:pPr>
  </w:style>
  <w:style w:type="character" w:customStyle="1" w:styleId="Subhead3Char">
    <w:name w:val="Subhead 3 Char"/>
    <w:link w:val="Subhead3"/>
    <w:rsid w:val="009E7B1F"/>
    <w:rPr>
      <w:rFonts w:ascii="Trebuchet MS" w:eastAsia="Cambria" w:hAnsi="Trebuchet MS" w:cs="Arial"/>
      <w:b/>
      <w:color w:val="1F821F"/>
      <w:sz w:val="24"/>
      <w:szCs w:val="24"/>
    </w:rPr>
  </w:style>
  <w:style w:type="paragraph" w:customStyle="1" w:styleId="Subheadnotoc">
    <w:name w:val="Subheadnotoc"/>
    <w:basedOn w:val="Subhead3"/>
    <w:link w:val="SubheadnotocChar"/>
    <w:rsid w:val="009E7B1F"/>
    <w:pPr>
      <w:spacing w:before="120"/>
      <w:ind w:left="1440" w:hanging="1260"/>
      <w:outlineLvl w:val="0"/>
    </w:pPr>
    <w:rPr>
      <w:i/>
      <w:color w:val="00267F"/>
    </w:rPr>
  </w:style>
  <w:style w:type="character" w:customStyle="1" w:styleId="SubheadnotocChar">
    <w:name w:val="Subheadnotoc Char"/>
    <w:link w:val="Subheadnotoc"/>
    <w:rsid w:val="009E7B1F"/>
    <w:rPr>
      <w:rFonts w:ascii="Trebuchet MS" w:eastAsia="Cambria" w:hAnsi="Trebuchet MS" w:cs="Arial"/>
      <w:b/>
      <w:i/>
      <w:color w:val="00267F"/>
      <w:sz w:val="24"/>
      <w:szCs w:val="24"/>
    </w:rPr>
  </w:style>
  <w:style w:type="paragraph" w:customStyle="1" w:styleId="SubheadSpace">
    <w:name w:val="Subhead Space"/>
    <w:basedOn w:val="Subheadnotoc"/>
    <w:qFormat/>
    <w:rsid w:val="009E7B1F"/>
    <w:pPr>
      <w:spacing w:before="160" w:after="0"/>
      <w:ind w:left="360" w:hanging="360"/>
      <w:outlineLvl w:val="9"/>
    </w:pPr>
    <w:rPr>
      <w:i w:val="0"/>
      <w:color w:val="auto"/>
    </w:rPr>
  </w:style>
  <w:style w:type="paragraph" w:customStyle="1" w:styleId="SubheadTitle">
    <w:name w:val="Subhead Title"/>
    <w:qFormat/>
    <w:rsid w:val="009E7B1F"/>
    <w:pPr>
      <w:shd w:val="clear" w:color="auto" w:fill="EEECE1"/>
      <w:spacing w:after="240"/>
      <w:outlineLvl w:val="0"/>
    </w:pPr>
    <w:rPr>
      <w:rFonts w:ascii="Trebuchet MS" w:eastAsia="Times New Roman" w:hAnsi="Trebuchet MS"/>
    </w:rPr>
  </w:style>
  <w:style w:type="paragraph" w:customStyle="1" w:styleId="Subheading">
    <w:name w:val="Subheading"/>
    <w:basedOn w:val="Blurb"/>
    <w:link w:val="SubheadingChar"/>
    <w:qFormat/>
    <w:rsid w:val="009E7B1F"/>
    <w:pPr>
      <w:spacing w:before="120" w:after="160"/>
    </w:pPr>
    <w:rPr>
      <w:b/>
    </w:rPr>
  </w:style>
  <w:style w:type="character" w:customStyle="1" w:styleId="SubheadingChar">
    <w:name w:val="Subheading Char"/>
    <w:link w:val="Subheading"/>
    <w:rsid w:val="009E7B1F"/>
    <w:rPr>
      <w:rFonts w:ascii="Book Antiqua" w:eastAsia="Cambria" w:hAnsi="Book Antiqua" w:cs="Times New Roman"/>
      <w:b/>
      <w:sz w:val="22"/>
    </w:rPr>
  </w:style>
  <w:style w:type="paragraph" w:customStyle="1" w:styleId="SubHeading0">
    <w:name w:val="SubHeading"/>
    <w:basedOn w:val="Normal"/>
    <w:rsid w:val="009E7B1F"/>
    <w:pPr>
      <w:spacing w:before="240" w:after="120"/>
      <w:ind w:left="720"/>
      <w:jc w:val="both"/>
    </w:pPr>
    <w:rPr>
      <w:rFonts w:ascii="Times New Roman" w:eastAsia="Cambria" w:hAnsi="Times New Roman"/>
      <w:b/>
      <w:szCs w:val="20"/>
    </w:rPr>
  </w:style>
  <w:style w:type="paragraph" w:customStyle="1" w:styleId="Subheading2">
    <w:name w:val="Subheading 2"/>
    <w:basedOn w:val="Heading4"/>
    <w:rsid w:val="009E7B1F"/>
    <w:pPr>
      <w:keepLines w:val="0"/>
      <w:spacing w:before="0" w:after="240"/>
      <w:ind w:left="1296" w:hanging="432"/>
    </w:pPr>
    <w:rPr>
      <w:rFonts w:eastAsia="Cambria" w:cs="Cambria"/>
      <w:b w:val="0"/>
      <w:iCs w:val="0"/>
      <w:color w:val="003366"/>
      <w:sz w:val="24"/>
      <w:szCs w:val="28"/>
    </w:rPr>
  </w:style>
  <w:style w:type="paragraph" w:customStyle="1" w:styleId="Subheadno2">
    <w:name w:val="Subheadno2"/>
    <w:basedOn w:val="Subheadnotoc"/>
    <w:link w:val="Subheadno2Char"/>
    <w:rsid w:val="009E7B1F"/>
    <w:pPr>
      <w:tabs>
        <w:tab w:val="left" w:pos="540"/>
        <w:tab w:val="right" w:pos="9360"/>
      </w:tabs>
      <w:spacing w:before="160"/>
      <w:ind w:left="540" w:hanging="540"/>
    </w:pPr>
    <w:rPr>
      <w:sz w:val="22"/>
      <w:szCs w:val="22"/>
    </w:rPr>
  </w:style>
  <w:style w:type="character" w:customStyle="1" w:styleId="Subheadno2Char">
    <w:name w:val="Subheadno2 Char"/>
    <w:link w:val="Subheadno2"/>
    <w:rsid w:val="009E7B1F"/>
    <w:rPr>
      <w:rFonts w:ascii="Trebuchet MS" w:eastAsia="Cambria" w:hAnsi="Trebuchet MS" w:cs="Arial"/>
      <w:b/>
      <w:i/>
      <w:color w:val="00267F"/>
      <w:sz w:val="22"/>
      <w:szCs w:val="22"/>
    </w:rPr>
  </w:style>
  <w:style w:type="paragraph" w:customStyle="1" w:styleId="Subheadno2-2">
    <w:name w:val="Subheadno2-2"/>
    <w:basedOn w:val="Subheadno2"/>
    <w:link w:val="Subheadno2-2Char"/>
    <w:rsid w:val="009E7B1F"/>
    <w:pPr>
      <w:spacing w:before="0" w:after="80"/>
      <w:ind w:left="0" w:firstLine="0"/>
    </w:pPr>
  </w:style>
  <w:style w:type="character" w:customStyle="1" w:styleId="Subheadno2-2Char">
    <w:name w:val="Subheadno2-2 Char"/>
    <w:link w:val="Subheadno2-2"/>
    <w:rsid w:val="009E7B1F"/>
    <w:rPr>
      <w:rFonts w:ascii="Trebuchet MS" w:eastAsia="Cambria" w:hAnsi="Trebuchet MS" w:cs="Arial"/>
      <w:b/>
      <w:i/>
      <w:color w:val="00267F"/>
      <w:sz w:val="22"/>
      <w:szCs w:val="22"/>
    </w:rPr>
  </w:style>
  <w:style w:type="paragraph" w:customStyle="1" w:styleId="Subheadno3">
    <w:name w:val="Subheadno3"/>
    <w:basedOn w:val="Normal"/>
    <w:link w:val="Subheadno3Char"/>
    <w:rsid w:val="009E7B1F"/>
    <w:pPr>
      <w:keepNext/>
      <w:tabs>
        <w:tab w:val="left" w:pos="1440"/>
        <w:tab w:val="right" w:pos="9360"/>
      </w:tabs>
      <w:spacing w:after="80"/>
      <w:outlineLvl w:val="0"/>
    </w:pPr>
    <w:rPr>
      <w:rFonts w:ascii="Trebuchet MS" w:eastAsia="Cambria" w:hAnsi="Trebuchet MS"/>
      <w:b/>
      <w:color w:val="00267F"/>
      <w:sz w:val="22"/>
      <w:szCs w:val="22"/>
    </w:rPr>
  </w:style>
  <w:style w:type="character" w:customStyle="1" w:styleId="Subheadno3Char">
    <w:name w:val="Subheadno3 Char"/>
    <w:link w:val="Subheadno3"/>
    <w:rsid w:val="009E7B1F"/>
    <w:rPr>
      <w:rFonts w:ascii="Trebuchet MS" w:eastAsia="Cambria" w:hAnsi="Trebuchet MS" w:cs="Arial"/>
      <w:b/>
      <w:color w:val="00267F"/>
      <w:sz w:val="22"/>
      <w:szCs w:val="22"/>
    </w:rPr>
  </w:style>
  <w:style w:type="paragraph" w:customStyle="1" w:styleId="Subheadno4">
    <w:name w:val="Subheadno4"/>
    <w:qFormat/>
    <w:rsid w:val="009E7B1F"/>
    <w:pPr>
      <w:keepNext/>
      <w:keepLines/>
      <w:spacing w:before="240" w:after="240"/>
      <w:jc w:val="center"/>
    </w:pPr>
    <w:rPr>
      <w:rFonts w:ascii="Trebuchet MS" w:eastAsia="Times New Roman" w:hAnsi="Trebuchet MS" w:cs="Arial"/>
      <w:b/>
      <w:color w:val="00267F"/>
      <w:sz w:val="22"/>
      <w:szCs w:val="22"/>
    </w:rPr>
  </w:style>
  <w:style w:type="paragraph" w:styleId="Subtitle">
    <w:name w:val="Subtitle"/>
    <w:basedOn w:val="Normal"/>
    <w:link w:val="SubtitleChar"/>
    <w:uiPriority w:val="11"/>
    <w:qFormat/>
    <w:rsid w:val="009E7B1F"/>
    <w:pPr>
      <w:spacing w:after="60" w:line="280" w:lineRule="exact"/>
      <w:jc w:val="center"/>
      <w:outlineLvl w:val="1"/>
    </w:pPr>
    <w:rPr>
      <w:rFonts w:ascii="Arial" w:eastAsia="Cambria" w:hAnsi="Arial" w:cs="Arial"/>
      <w:sz w:val="22"/>
      <w:szCs w:val="20"/>
    </w:rPr>
  </w:style>
  <w:style w:type="character" w:customStyle="1" w:styleId="SubtitleChar">
    <w:name w:val="Subtitle Char"/>
    <w:link w:val="Subtitle"/>
    <w:uiPriority w:val="11"/>
    <w:rsid w:val="009E7B1F"/>
    <w:rPr>
      <w:rFonts w:ascii="Arial" w:eastAsia="Cambria" w:hAnsi="Arial" w:cs="Arial"/>
      <w:sz w:val="22"/>
    </w:rPr>
  </w:style>
  <w:style w:type="paragraph" w:customStyle="1" w:styleId="SummaryBullet1">
    <w:name w:val="Summary Bullet 1"/>
    <w:basedOn w:val="Normal"/>
    <w:rsid w:val="009E7B1F"/>
    <w:pPr>
      <w:numPr>
        <w:numId w:val="25"/>
      </w:numPr>
      <w:spacing w:after="120" w:line="312" w:lineRule="auto"/>
    </w:pPr>
    <w:rPr>
      <w:rFonts w:ascii="Book Antiqua" w:eastAsia="Cambria" w:hAnsi="Book Antiqua"/>
      <w:sz w:val="22"/>
    </w:rPr>
  </w:style>
  <w:style w:type="paragraph" w:customStyle="1" w:styleId="SummaryBullet2">
    <w:name w:val="Summary Bullet 2"/>
    <w:basedOn w:val="Normal"/>
    <w:rsid w:val="009E7B1F"/>
    <w:pPr>
      <w:numPr>
        <w:numId w:val="26"/>
      </w:numPr>
      <w:spacing w:before="60" w:after="60" w:line="312" w:lineRule="auto"/>
    </w:pPr>
    <w:rPr>
      <w:rFonts w:ascii="Book Antiqua" w:eastAsia="Cambria" w:hAnsi="Book Antiqua"/>
      <w:sz w:val="22"/>
      <w:szCs w:val="22"/>
    </w:rPr>
  </w:style>
  <w:style w:type="character" w:customStyle="1" w:styleId="Superscript">
    <w:name w:val="Superscript"/>
    <w:qFormat/>
    <w:rsid w:val="009E7B1F"/>
    <w:rPr>
      <w:caps w:val="0"/>
      <w:smallCaps w:val="0"/>
      <w:strike w:val="0"/>
      <w:dstrike w:val="0"/>
      <w:vanish w:val="0"/>
      <w:vertAlign w:val="superscript"/>
    </w:rPr>
  </w:style>
  <w:style w:type="paragraph" w:customStyle="1" w:styleId="SurveyQuestNumbered">
    <w:name w:val="Survey Quest Numbered"/>
    <w:qFormat/>
    <w:rsid w:val="009E7B1F"/>
    <w:pPr>
      <w:numPr>
        <w:numId w:val="27"/>
      </w:numPr>
      <w:spacing w:before="120" w:after="240"/>
    </w:pPr>
    <w:rPr>
      <w:rFonts w:ascii="Arial" w:eastAsia="Times New Roman" w:hAnsi="Arial" w:cs="Arial"/>
      <w:b/>
      <w:sz w:val="22"/>
    </w:rPr>
  </w:style>
  <w:style w:type="paragraph" w:customStyle="1" w:styleId="TableBullet">
    <w:name w:val="Table Bullet"/>
    <w:basedOn w:val="Normal"/>
    <w:autoRedefine/>
    <w:rsid w:val="009E7B1F"/>
    <w:pPr>
      <w:numPr>
        <w:numId w:val="28"/>
      </w:numPr>
      <w:tabs>
        <w:tab w:val="left" w:pos="490"/>
      </w:tabs>
      <w:spacing w:before="20" w:after="20"/>
    </w:pPr>
    <w:rPr>
      <w:rFonts w:ascii="Calibri" w:eastAsia="Batang" w:hAnsi="Calibri" w:cs="Calibri"/>
      <w:sz w:val="20"/>
      <w:szCs w:val="20"/>
    </w:rPr>
  </w:style>
  <w:style w:type="paragraph" w:customStyle="1" w:styleId="TableBullet1">
    <w:name w:val="Table Bullet 1"/>
    <w:basedOn w:val="TableText"/>
    <w:qFormat/>
    <w:rsid w:val="009E7B1F"/>
    <w:pPr>
      <w:numPr>
        <w:numId w:val="29"/>
      </w:numPr>
      <w:tabs>
        <w:tab w:val="num" w:pos="360"/>
      </w:tabs>
      <w:spacing w:before="40"/>
      <w:ind w:left="0" w:firstLine="0"/>
    </w:pPr>
    <w:rPr>
      <w:rFonts w:ascii="Calibri" w:eastAsia="SimSun" w:hAnsi="Calibri" w:cs="Calibri"/>
      <w:sz w:val="22"/>
    </w:rPr>
  </w:style>
  <w:style w:type="paragraph" w:customStyle="1" w:styleId="TableBullet2">
    <w:name w:val="Table Bullet 2"/>
    <w:basedOn w:val="TableText"/>
    <w:qFormat/>
    <w:rsid w:val="009E7B1F"/>
    <w:pPr>
      <w:numPr>
        <w:ilvl w:val="1"/>
        <w:numId w:val="29"/>
      </w:numPr>
      <w:tabs>
        <w:tab w:val="num" w:pos="360"/>
      </w:tabs>
      <w:spacing w:before="40"/>
      <w:ind w:left="0" w:firstLine="0"/>
    </w:pPr>
    <w:rPr>
      <w:rFonts w:ascii="Calibri" w:eastAsia="SimSun" w:hAnsi="Calibri" w:cs="Calibri"/>
      <w:sz w:val="22"/>
    </w:rPr>
  </w:style>
  <w:style w:type="paragraph" w:customStyle="1" w:styleId="TableBullet3">
    <w:name w:val="Table Bullet 3"/>
    <w:basedOn w:val="TableText"/>
    <w:qFormat/>
    <w:rsid w:val="009E7B1F"/>
    <w:pPr>
      <w:numPr>
        <w:ilvl w:val="2"/>
        <w:numId w:val="29"/>
      </w:numPr>
      <w:tabs>
        <w:tab w:val="num" w:pos="360"/>
      </w:tabs>
      <w:spacing w:before="40"/>
      <w:ind w:left="0" w:firstLine="0"/>
    </w:pPr>
    <w:rPr>
      <w:rFonts w:ascii="Calibri" w:eastAsia="SimSun" w:hAnsi="Calibri" w:cs="Calibri"/>
      <w:sz w:val="22"/>
    </w:rPr>
  </w:style>
  <w:style w:type="paragraph" w:customStyle="1" w:styleId="TableBullet4">
    <w:name w:val="Table Bullet 4"/>
    <w:basedOn w:val="Normal"/>
    <w:rsid w:val="009E7B1F"/>
    <w:pPr>
      <w:tabs>
        <w:tab w:val="num" w:pos="1440"/>
      </w:tabs>
      <w:spacing w:before="40" w:after="40"/>
      <w:ind w:left="1440" w:hanging="360"/>
      <w:outlineLvl w:val="7"/>
    </w:pPr>
    <w:rPr>
      <w:rFonts w:ascii="Arial" w:eastAsia="Cambria" w:hAnsi="Arial" w:cs="Arial"/>
      <w:sz w:val="20"/>
      <w:szCs w:val="20"/>
    </w:rPr>
  </w:style>
  <w:style w:type="paragraph" w:customStyle="1" w:styleId="TableBullets">
    <w:name w:val="Table Bullets"/>
    <w:basedOn w:val="Normal"/>
    <w:qFormat/>
    <w:rsid w:val="009E7B1F"/>
    <w:pPr>
      <w:numPr>
        <w:numId w:val="30"/>
      </w:numPr>
      <w:spacing w:before="40" w:after="40"/>
    </w:pPr>
    <w:rPr>
      <w:rFonts w:ascii="Calibri" w:eastAsia="Calibri" w:hAnsi="Calibri" w:cs="Calibri"/>
      <w:sz w:val="21"/>
      <w:szCs w:val="23"/>
    </w:rPr>
  </w:style>
  <w:style w:type="paragraph" w:customStyle="1" w:styleId="TableBullets2">
    <w:name w:val="Table Bullets 2"/>
    <w:qFormat/>
    <w:rsid w:val="009E7B1F"/>
    <w:pPr>
      <w:numPr>
        <w:numId w:val="31"/>
      </w:numPr>
    </w:pPr>
    <w:rPr>
      <w:rFonts w:ascii="Calibri" w:eastAsia="Times New Roman" w:hAnsi="Calibri" w:cs="Calibri"/>
      <w:szCs w:val="22"/>
    </w:rPr>
  </w:style>
  <w:style w:type="table" w:customStyle="1" w:styleId="TableGrid1">
    <w:name w:val="Table Grid1"/>
    <w:basedOn w:val="TableNormal"/>
    <w:next w:val="TableGrid"/>
    <w:rsid w:val="009E7B1F"/>
    <w:pPr>
      <w:spacing w:before="40" w:after="40"/>
      <w:jc w:val="center"/>
    </w:pPr>
    <w:rPr>
      <w:rFonts w:ascii="Trebuchet MS" w:eastAsia="Times New Roman" w:hAnsi="Trebuchet M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rFonts w:ascii="Cambria Math" w:hAnsi="Cambria Math"/>
        <w:b/>
        <w:sz w:val="20"/>
      </w:rPr>
      <w:tblPr/>
      <w:tcPr>
        <w:tcBorders>
          <w:bottom w:val="single" w:sz="12" w:space="0" w:color="auto"/>
        </w:tcBorders>
      </w:tcPr>
    </w:tblStylePr>
    <w:tblStylePr w:type="lastRow">
      <w:pPr>
        <w:wordWrap/>
        <w:spacing w:beforeLines="0" w:beforeAutospacing="0" w:afterLines="0" w:afterAutospacing="0"/>
      </w:pPr>
      <w:rPr>
        <w:rFonts w:ascii="Cambria Math" w:hAnsi="Cambria Math"/>
        <w:sz w:val="20"/>
      </w:rPr>
      <w:tblPr/>
      <w:tcPr>
        <w:tcBorders>
          <w:bottom w:val="single" w:sz="12" w:space="0" w:color="auto"/>
        </w:tcBorders>
      </w:tcPr>
    </w:tblStylePr>
  </w:style>
  <w:style w:type="paragraph" w:customStyle="1" w:styleId="TableHead">
    <w:name w:val="Table Head"/>
    <w:basedOn w:val="Normal"/>
    <w:qFormat/>
    <w:rsid w:val="009E7B1F"/>
    <w:pPr>
      <w:spacing w:before="60" w:after="60" w:line="300" w:lineRule="exact"/>
      <w:jc w:val="center"/>
    </w:pPr>
    <w:rPr>
      <w:rFonts w:ascii="Arial" w:eastAsia="SimSun" w:hAnsi="Arial"/>
      <w:color w:val="FFFFFF"/>
      <w:sz w:val="20"/>
    </w:rPr>
  </w:style>
  <w:style w:type="paragraph" w:customStyle="1" w:styleId="TableHeadingText">
    <w:name w:val="Table Heading Text"/>
    <w:basedOn w:val="Normal"/>
    <w:rsid w:val="009E7B1F"/>
    <w:pPr>
      <w:spacing w:before="60" w:after="60"/>
    </w:pPr>
    <w:rPr>
      <w:rFonts w:ascii="Arial Black" w:eastAsia="Cambria" w:hAnsi="Arial Black"/>
      <w:sz w:val="18"/>
      <w:szCs w:val="20"/>
    </w:rPr>
  </w:style>
  <w:style w:type="paragraph" w:customStyle="1" w:styleId="TableMeasels">
    <w:name w:val="Table Measels"/>
    <w:qFormat/>
    <w:rsid w:val="009E7B1F"/>
    <w:pPr>
      <w:jc w:val="center"/>
    </w:pPr>
    <w:rPr>
      <w:rFonts w:ascii="Arial" w:eastAsia="Times New Roman" w:hAnsi="Arial"/>
      <w:color w:val="00267F"/>
      <w:sz w:val="48"/>
    </w:rPr>
  </w:style>
  <w:style w:type="paragraph" w:styleId="TableofFigures">
    <w:name w:val="table of figures"/>
    <w:basedOn w:val="Normal"/>
    <w:next w:val="Normal"/>
    <w:uiPriority w:val="99"/>
    <w:unhideWhenUsed/>
    <w:rsid w:val="009E7B1F"/>
    <w:pPr>
      <w:tabs>
        <w:tab w:val="right" w:leader="dot" w:pos="9360"/>
      </w:tabs>
      <w:spacing w:after="120"/>
      <w:ind w:left="963" w:hanging="963"/>
    </w:pPr>
    <w:rPr>
      <w:rFonts w:ascii="Arial" w:eastAsia="Cambria" w:hAnsi="Arial"/>
      <w:noProof/>
      <w:color w:val="00267F"/>
      <w:sz w:val="22"/>
    </w:rPr>
  </w:style>
  <w:style w:type="paragraph" w:customStyle="1" w:styleId="TableSpacer">
    <w:name w:val="Table Spacer"/>
    <w:qFormat/>
    <w:rsid w:val="009E7B1F"/>
    <w:pPr>
      <w:spacing w:after="240"/>
      <w:jc w:val="both"/>
    </w:pPr>
    <w:rPr>
      <w:rFonts w:ascii="Times New Roman" w:eastAsia="Times New Roman" w:hAnsi="Times New Roman"/>
      <w:bCs/>
    </w:rPr>
  </w:style>
  <w:style w:type="paragraph" w:customStyle="1" w:styleId="TableSubhead">
    <w:name w:val="Table Subhead"/>
    <w:basedOn w:val="Normal"/>
    <w:rsid w:val="009E7B1F"/>
    <w:pPr>
      <w:spacing w:before="40" w:after="40"/>
      <w:ind w:left="70"/>
      <w:jc w:val="center"/>
    </w:pPr>
    <w:rPr>
      <w:rFonts w:ascii="Arial" w:eastAsia="Cambria" w:hAnsi="Arial" w:cs="Arial"/>
      <w:color w:val="00267F"/>
      <w:sz w:val="22"/>
      <w:szCs w:val="22"/>
    </w:rPr>
  </w:style>
  <w:style w:type="paragraph" w:customStyle="1" w:styleId="TableSubhead2">
    <w:name w:val="Table Subhead 2"/>
    <w:basedOn w:val="Normal"/>
    <w:rsid w:val="009E7B1F"/>
    <w:pPr>
      <w:spacing w:before="60" w:after="60"/>
    </w:pPr>
    <w:rPr>
      <w:rFonts w:ascii="Arial" w:eastAsia="Cambria" w:hAnsi="Arial"/>
      <w:b/>
      <w:i/>
      <w:color w:val="00267F"/>
      <w:sz w:val="20"/>
      <w:szCs w:val="20"/>
    </w:rPr>
  </w:style>
  <w:style w:type="paragraph" w:customStyle="1" w:styleId="TableSubhead3">
    <w:name w:val="Table Subhead 3"/>
    <w:basedOn w:val="TableSubhead2"/>
    <w:qFormat/>
    <w:rsid w:val="009E7B1F"/>
    <w:pPr>
      <w:ind w:left="61"/>
      <w:contextualSpacing/>
    </w:pPr>
    <w:rPr>
      <w:sz w:val="18"/>
    </w:rPr>
  </w:style>
  <w:style w:type="paragraph" w:customStyle="1" w:styleId="TableSubheadNo">
    <w:name w:val="Table Subhead No"/>
    <w:basedOn w:val="Normal"/>
    <w:qFormat/>
    <w:rsid w:val="009E7B1F"/>
    <w:pPr>
      <w:spacing w:before="120" w:after="160"/>
      <w:ind w:left="612" w:right="120" w:hanging="297"/>
    </w:pPr>
    <w:rPr>
      <w:rFonts w:ascii="Times New Roman" w:eastAsia="Cambria" w:hAnsi="Times New Roman"/>
      <w:b/>
      <w:sz w:val="22"/>
      <w:szCs w:val="22"/>
    </w:rPr>
  </w:style>
  <w:style w:type="paragraph" w:customStyle="1" w:styleId="TableText15">
    <w:name w:val="Table Text 1.5"/>
    <w:basedOn w:val="TableText"/>
    <w:rsid w:val="009E7B1F"/>
    <w:pPr>
      <w:spacing w:after="40"/>
      <w:ind w:left="317" w:hanging="237"/>
    </w:pPr>
  </w:style>
  <w:style w:type="paragraph" w:customStyle="1" w:styleId="TableText2">
    <w:name w:val="Table Text 2"/>
    <w:basedOn w:val="TableText"/>
    <w:qFormat/>
    <w:rsid w:val="009E7B1F"/>
  </w:style>
  <w:style w:type="paragraph" w:customStyle="1" w:styleId="TableTextCenter">
    <w:name w:val="Table Text Center"/>
    <w:basedOn w:val="TableText"/>
    <w:qFormat/>
    <w:rsid w:val="009E7B1F"/>
    <w:pPr>
      <w:spacing w:before="40" w:after="40"/>
      <w:contextualSpacing/>
      <w:jc w:val="center"/>
    </w:pPr>
    <w:rPr>
      <w:szCs w:val="19"/>
    </w:rPr>
  </w:style>
  <w:style w:type="paragraph" w:customStyle="1" w:styleId="TableTextLg">
    <w:name w:val="Table Text Lg"/>
    <w:basedOn w:val="TableText"/>
    <w:qFormat/>
    <w:rsid w:val="009E7B1F"/>
    <w:pPr>
      <w:spacing w:after="40"/>
    </w:pPr>
    <w:rPr>
      <w:rFonts w:ascii="Calibri" w:hAnsi="Calibri"/>
      <w:sz w:val="22"/>
      <w:szCs w:val="19"/>
    </w:rPr>
  </w:style>
  <w:style w:type="paragraph" w:customStyle="1" w:styleId="TableTextMoreSpace">
    <w:name w:val="Table Text More Space"/>
    <w:basedOn w:val="TableText"/>
    <w:qFormat/>
    <w:rsid w:val="009E7B1F"/>
    <w:pPr>
      <w:spacing w:before="80" w:after="80"/>
    </w:pPr>
    <w:rPr>
      <w:rFonts w:ascii="Calibri" w:hAnsi="Calibri" w:cs="Calibri"/>
      <w:sz w:val="22"/>
    </w:rPr>
  </w:style>
  <w:style w:type="paragraph" w:customStyle="1" w:styleId="TableTextNumbers">
    <w:name w:val="Table Text Numbers"/>
    <w:basedOn w:val="TableText"/>
    <w:qFormat/>
    <w:rsid w:val="009E7B1F"/>
    <w:pPr>
      <w:ind w:left="324" w:hanging="324"/>
    </w:pPr>
  </w:style>
  <w:style w:type="paragraph" w:customStyle="1" w:styleId="TableTextResume">
    <w:name w:val="Table Text Resume"/>
    <w:basedOn w:val="TableTextNumbers"/>
    <w:rsid w:val="009E7B1F"/>
    <w:pPr>
      <w:ind w:left="12" w:firstLine="0"/>
    </w:pPr>
    <w:rPr>
      <w:b/>
    </w:rPr>
  </w:style>
  <w:style w:type="paragraph" w:customStyle="1" w:styleId="TableText20">
    <w:name w:val="Table Text2"/>
    <w:basedOn w:val="Normal"/>
    <w:qFormat/>
    <w:rsid w:val="009E7B1F"/>
    <w:pPr>
      <w:spacing w:line="220" w:lineRule="exact"/>
      <w:ind w:left="72" w:right="72"/>
    </w:pPr>
    <w:rPr>
      <w:rFonts w:eastAsia="Cambria" w:cs="Cambria"/>
      <w:color w:val="00267F"/>
      <w:sz w:val="20"/>
    </w:rPr>
  </w:style>
  <w:style w:type="table" w:customStyle="1" w:styleId="TableTheme1">
    <w:name w:val="Table Theme1"/>
    <w:basedOn w:val="TableNormal"/>
    <w:next w:val="TableTheme"/>
    <w:uiPriority w:val="99"/>
    <w:semiHidden/>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xtPPerform">
    <w:name w:val="Table Txt PPerform"/>
    <w:qFormat/>
    <w:rsid w:val="009E7B1F"/>
    <w:pPr>
      <w:spacing w:before="40" w:after="240"/>
    </w:pPr>
    <w:rPr>
      <w:rFonts w:ascii="Arial" w:eastAsia="Times New Roman" w:hAnsi="Arial" w:cs="Arial"/>
      <w:sz w:val="19"/>
      <w:szCs w:val="19"/>
    </w:rPr>
  </w:style>
  <w:style w:type="paragraph" w:customStyle="1" w:styleId="TableFigureExhibitTitle">
    <w:name w:val="Table/Figure/Exhibit Title"/>
    <w:basedOn w:val="Normal"/>
    <w:link w:val="TableFigureExhibitTitleChar"/>
    <w:rsid w:val="009E7B1F"/>
    <w:pPr>
      <w:keepNext/>
      <w:spacing w:before="480" w:after="60"/>
      <w:ind w:left="245" w:right="720" w:firstLine="144"/>
      <w:jc w:val="center"/>
    </w:pPr>
    <w:rPr>
      <w:rFonts w:ascii="Trebuchet MS" w:eastAsia="Cambria" w:hAnsi="Trebuchet MS"/>
      <w:b/>
      <w:color w:val="00267F"/>
      <w:sz w:val="23"/>
      <w:szCs w:val="23"/>
    </w:rPr>
  </w:style>
  <w:style w:type="character" w:customStyle="1" w:styleId="TableFigureExhibitTitleChar">
    <w:name w:val="Table/Figure/Exhibit Title Char"/>
    <w:link w:val="TableFigureExhibitTitle"/>
    <w:locked/>
    <w:rsid w:val="009E7B1F"/>
    <w:rPr>
      <w:rFonts w:ascii="Trebuchet MS" w:eastAsia="Cambria" w:hAnsi="Trebuchet MS" w:cs="Times New Roman"/>
      <w:b/>
      <w:color w:val="00267F"/>
      <w:sz w:val="23"/>
      <w:szCs w:val="23"/>
    </w:rPr>
  </w:style>
  <w:style w:type="paragraph" w:customStyle="1" w:styleId="TableTextSpace">
    <w:name w:val="TableText Space"/>
    <w:qFormat/>
    <w:rsid w:val="009E7B1F"/>
    <w:pPr>
      <w:spacing w:after="120"/>
    </w:pPr>
    <w:rPr>
      <w:rFonts w:ascii="Arial" w:eastAsia="Calibri" w:hAnsi="Arial" w:cs="Arial"/>
      <w:szCs w:val="22"/>
    </w:rPr>
  </w:style>
  <w:style w:type="paragraph" w:customStyle="1" w:styleId="Tag">
    <w:name w:val="Tag"/>
    <w:rsid w:val="009E7B1F"/>
    <w:pPr>
      <w:spacing w:before="60"/>
      <w:jc w:val="right"/>
    </w:pPr>
    <w:rPr>
      <w:rFonts w:ascii="Trebuchet MS" w:eastAsia="Times New Roman" w:hAnsi="Trebuchet MS"/>
      <w:b/>
      <w:bCs/>
      <w:color w:val="003366"/>
    </w:rPr>
  </w:style>
  <w:style w:type="paragraph" w:customStyle="1" w:styleId="TextIndent">
    <w:name w:val="Text Indent"/>
    <w:basedOn w:val="Normal"/>
    <w:rsid w:val="009E7B1F"/>
    <w:pPr>
      <w:spacing w:after="240"/>
      <w:ind w:left="547" w:hanging="7"/>
    </w:pPr>
    <w:rPr>
      <w:rFonts w:ascii="Arial" w:eastAsia="Cambria" w:hAnsi="Arial"/>
      <w:sz w:val="21"/>
      <w:szCs w:val="20"/>
    </w:rPr>
  </w:style>
  <w:style w:type="paragraph" w:customStyle="1" w:styleId="TimeHead1">
    <w:name w:val="Time Head 1"/>
    <w:basedOn w:val="TableHead"/>
    <w:qFormat/>
    <w:rsid w:val="009E7B1F"/>
    <w:pPr>
      <w:spacing w:before="0" w:after="0"/>
    </w:pPr>
    <w:rPr>
      <w:rFonts w:ascii="Calibri" w:hAnsi="Calibri" w:cs="Calibri"/>
      <w:b/>
      <w:color w:val="auto"/>
      <w:szCs w:val="20"/>
    </w:rPr>
  </w:style>
  <w:style w:type="paragraph" w:customStyle="1" w:styleId="TimeHead2">
    <w:name w:val="Time Head 2"/>
    <w:qFormat/>
    <w:rsid w:val="009E7B1F"/>
    <w:pPr>
      <w:spacing w:line="220" w:lineRule="exact"/>
    </w:pPr>
    <w:rPr>
      <w:rFonts w:ascii="Calibri" w:eastAsia="Times New Roman" w:hAnsi="Calibri" w:cs="Calibri"/>
      <w:b/>
      <w:color w:val="00267F"/>
      <w:sz w:val="22"/>
    </w:rPr>
  </w:style>
  <w:style w:type="paragraph" w:customStyle="1" w:styleId="TimeHead3">
    <w:name w:val="Time Head 3"/>
    <w:basedOn w:val="TimeHead2"/>
    <w:qFormat/>
    <w:rsid w:val="009E7B1F"/>
    <w:rPr>
      <w:b w:val="0"/>
      <w:i/>
      <w:sz w:val="21"/>
      <w:szCs w:val="20"/>
    </w:rPr>
  </w:style>
  <w:style w:type="paragraph" w:customStyle="1" w:styleId="TimeHeadDate">
    <w:name w:val="Time Head Date"/>
    <w:qFormat/>
    <w:rsid w:val="009E7B1F"/>
    <w:pPr>
      <w:jc w:val="center"/>
    </w:pPr>
    <w:rPr>
      <w:rFonts w:ascii="Calibri" w:eastAsia="Times New Roman" w:hAnsi="Calibri" w:cs="Calibri"/>
      <w:color w:val="FFFFFF"/>
      <w:sz w:val="16"/>
      <w:szCs w:val="14"/>
    </w:rPr>
  </w:style>
  <w:style w:type="paragraph" w:customStyle="1" w:styleId="TimeHeading">
    <w:name w:val="Time Heading"/>
    <w:basedOn w:val="Normal"/>
    <w:qFormat/>
    <w:rsid w:val="009E7B1F"/>
    <w:pPr>
      <w:spacing w:before="60" w:after="60"/>
    </w:pPr>
    <w:rPr>
      <w:rFonts w:ascii="Calibri" w:eastAsia="Cambria" w:hAnsi="Calibri" w:cs="Calibri"/>
      <w:b/>
      <w:szCs w:val="20"/>
    </w:rPr>
  </w:style>
  <w:style w:type="paragraph" w:customStyle="1" w:styleId="TimeTableText">
    <w:name w:val="Time Table Text"/>
    <w:qFormat/>
    <w:rsid w:val="009E7B1F"/>
    <w:pPr>
      <w:ind w:left="366" w:hanging="324"/>
    </w:pPr>
    <w:rPr>
      <w:rFonts w:ascii="Calibri" w:eastAsia="Times New Roman" w:hAnsi="Calibri" w:cs="Arial"/>
      <w:szCs w:val="19"/>
    </w:rPr>
  </w:style>
  <w:style w:type="paragraph" w:customStyle="1" w:styleId="TimeTskNumbers">
    <w:name w:val="Time TskNumbers"/>
    <w:qFormat/>
    <w:rsid w:val="009E7B1F"/>
    <w:rPr>
      <w:rFonts w:ascii="Calibri" w:eastAsia="Times New Roman" w:hAnsi="Calibri" w:cs="Calibri"/>
      <w:i/>
      <w:color w:val="00267F"/>
    </w:rPr>
  </w:style>
  <w:style w:type="paragraph" w:customStyle="1" w:styleId="TimelineShading">
    <w:name w:val="Timeline Shading"/>
    <w:qFormat/>
    <w:rsid w:val="009E7B1F"/>
    <w:pPr>
      <w:spacing w:before="40"/>
      <w:jc w:val="center"/>
    </w:pPr>
    <w:rPr>
      <w:rFonts w:ascii="Calibri" w:eastAsia="Times New Roman" w:hAnsi="Calibri"/>
    </w:rPr>
  </w:style>
  <w:style w:type="table" w:customStyle="1" w:styleId="TimelineTable">
    <w:name w:val="Timeline Table"/>
    <w:basedOn w:val="DukeTable"/>
    <w:uiPriority w:val="99"/>
    <w:rsid w:val="009E7B1F"/>
    <w:pPr>
      <w:spacing w:line="240" w:lineRule="exact"/>
    </w:pPr>
    <w:rPr>
      <w:sz w:val="18"/>
    </w:r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40" w:afterAutospacing="0" w:line="240" w:lineRule="auto"/>
        <w:ind w:leftChars="0" w:left="0" w:rightChars="0" w:right="0" w:firstLineChars="0" w:firstLine="0"/>
        <w:contextualSpacing w:val="0"/>
        <w:jc w:val="left"/>
        <w:outlineLvl w:val="9"/>
      </w:pPr>
      <w:rPr>
        <w:rFonts w:ascii="Symbol" w:hAnsi="Symbol"/>
        <w:b/>
        <w:i w:val="0"/>
        <w:color w:val="FFFFFF"/>
        <w:sz w:val="22"/>
      </w:rPr>
      <w:tblPr/>
      <w:tcPr>
        <w:tcBorders>
          <w:insideV w:val="dashed" w:sz="4" w:space="0" w:color="FFFFFF"/>
        </w:tcBorders>
        <w:shd w:val="clear" w:color="auto" w:fill="00267F"/>
      </w:tcPr>
    </w:tblStylePr>
    <w:tblStylePr w:type="lastRow">
      <w:tblPr/>
      <w:tcPr>
        <w:tcBorders>
          <w:bottom w:val="single" w:sz="24" w:space="0" w:color="00267F"/>
        </w:tcBorders>
      </w:tcPr>
    </w:tblStylePr>
    <w:tblStylePr w:type="firstCol">
      <w:pPr>
        <w:jc w:val="center"/>
      </w:pPr>
    </w:tblStylePr>
    <w:tblStylePr w:type="band1Horz">
      <w:tblPr/>
      <w:tcPr>
        <w:shd w:val="clear" w:color="auto" w:fill="F0E8D4"/>
      </w:tcPr>
    </w:tblStylePr>
    <w:tblStylePr w:type="band2Horz">
      <w:tblPr/>
      <w:tcPr>
        <w:shd w:val="clear" w:color="auto" w:fill="F0E8D4"/>
      </w:tcPr>
    </w:tblStylePr>
  </w:style>
  <w:style w:type="paragraph" w:customStyle="1" w:styleId="TimelineTableText">
    <w:name w:val="Timeline Table Text"/>
    <w:uiPriority w:val="99"/>
    <w:qFormat/>
    <w:rsid w:val="009E7B1F"/>
    <w:pPr>
      <w:tabs>
        <w:tab w:val="left" w:pos="220"/>
      </w:tabs>
    </w:pPr>
    <w:rPr>
      <w:rFonts w:ascii="Calibri" w:eastAsia="Times New Roman" w:hAnsi="Calibri" w:cs="Calibri"/>
    </w:rPr>
  </w:style>
  <w:style w:type="paragraph" w:customStyle="1" w:styleId="TimelineText">
    <w:name w:val="Timeline Text"/>
    <w:uiPriority w:val="99"/>
    <w:qFormat/>
    <w:rsid w:val="009E7B1F"/>
    <w:pPr>
      <w:spacing w:line="220" w:lineRule="exact"/>
      <w:ind w:left="432" w:hanging="432"/>
    </w:pPr>
    <w:rPr>
      <w:rFonts w:ascii="Calibri" w:eastAsia="Times New Roman" w:hAnsi="Calibri"/>
      <w:sz w:val="18"/>
      <w:szCs w:val="22"/>
    </w:rPr>
  </w:style>
  <w:style w:type="paragraph" w:customStyle="1" w:styleId="Title1">
    <w:name w:val="Title 1"/>
    <w:rsid w:val="009E7B1F"/>
    <w:pPr>
      <w:spacing w:before="1080" w:after="1200"/>
    </w:pPr>
    <w:rPr>
      <w:rFonts w:ascii="Arial" w:eastAsia="Times New Roman" w:hAnsi="Arial"/>
      <w:b/>
      <w:color w:val="00267F"/>
      <w:sz w:val="72"/>
      <w:szCs w:val="48"/>
    </w:rPr>
  </w:style>
  <w:style w:type="character" w:customStyle="1" w:styleId="Title15">
    <w:name w:val="Title 1.5"/>
    <w:uiPriority w:val="1"/>
    <w:qFormat/>
    <w:rsid w:val="009E7B1F"/>
    <w:rPr>
      <w:sz w:val="36"/>
    </w:rPr>
  </w:style>
  <w:style w:type="paragraph" w:customStyle="1" w:styleId="Title2-DelivType">
    <w:name w:val="Title 2 - Deliv. Type"/>
    <w:basedOn w:val="Normal"/>
    <w:rsid w:val="009E7B1F"/>
    <w:pPr>
      <w:spacing w:after="600"/>
    </w:pPr>
    <w:rPr>
      <w:rFonts w:ascii="Arial" w:eastAsia="Cambria" w:hAnsi="Arial"/>
      <w:b/>
      <w:i/>
      <w:sz w:val="40"/>
    </w:rPr>
  </w:style>
  <w:style w:type="paragraph" w:customStyle="1" w:styleId="Title3-PrepSub">
    <w:name w:val="Title 3 - Prep/Sub"/>
    <w:basedOn w:val="Normal"/>
    <w:rsid w:val="009E7B1F"/>
    <w:rPr>
      <w:rFonts w:ascii="Arial" w:eastAsia="Cambria" w:hAnsi="Arial"/>
      <w:i/>
      <w:color w:val="1F821F"/>
      <w:sz w:val="32"/>
    </w:rPr>
  </w:style>
  <w:style w:type="paragraph" w:customStyle="1" w:styleId="Title4">
    <w:name w:val="Title 4"/>
    <w:rsid w:val="009E7B1F"/>
    <w:pPr>
      <w:spacing w:before="1320" w:after="600"/>
    </w:pPr>
    <w:rPr>
      <w:rFonts w:ascii="Arial" w:eastAsia="Times New Roman" w:hAnsi="Arial"/>
      <w:b/>
      <w:color w:val="00267F"/>
      <w:sz w:val="30"/>
      <w:szCs w:val="30"/>
    </w:rPr>
  </w:style>
  <w:style w:type="paragraph" w:customStyle="1" w:styleId="Title6-Date">
    <w:name w:val="Title 6 - Date"/>
    <w:basedOn w:val="Normal"/>
    <w:rsid w:val="009E7B1F"/>
    <w:pPr>
      <w:spacing w:before="360" w:after="160"/>
    </w:pPr>
    <w:rPr>
      <w:rFonts w:ascii="Arial" w:eastAsia="Cambria" w:hAnsi="Arial"/>
      <w:b/>
      <w:i/>
      <w:sz w:val="32"/>
      <w:szCs w:val="40"/>
    </w:rPr>
  </w:style>
  <w:style w:type="paragraph" w:customStyle="1" w:styleId="Title5">
    <w:name w:val="Title 5"/>
    <w:basedOn w:val="Title6-Date"/>
    <w:rsid w:val="009E7B1F"/>
    <w:pPr>
      <w:spacing w:before="0" w:after="360"/>
    </w:pPr>
    <w:rPr>
      <w:color w:val="00267F"/>
      <w:sz w:val="30"/>
      <w:szCs w:val="30"/>
    </w:rPr>
  </w:style>
  <w:style w:type="paragraph" w:customStyle="1" w:styleId="TitlePage1">
    <w:name w:val="Title Page 1"/>
    <w:basedOn w:val="Normal"/>
    <w:rsid w:val="009E7B1F"/>
    <w:pPr>
      <w:spacing w:before="480" w:after="160"/>
      <w:jc w:val="center"/>
    </w:pPr>
    <w:rPr>
      <w:rFonts w:ascii="Trebuchet MS" w:eastAsia="Cambria" w:hAnsi="Trebuchet MS" w:cs="Arial"/>
      <w:b/>
      <w:sz w:val="40"/>
      <w:szCs w:val="40"/>
    </w:rPr>
  </w:style>
  <w:style w:type="paragraph" w:customStyle="1" w:styleId="TitlePage2">
    <w:name w:val="Title Page 2"/>
    <w:basedOn w:val="TitlePage1"/>
    <w:rsid w:val="009E7B1F"/>
    <w:pPr>
      <w:spacing w:before="120"/>
    </w:pPr>
  </w:style>
  <w:style w:type="paragraph" w:customStyle="1" w:styleId="TitlePage2a">
    <w:name w:val="Title Page 2a"/>
    <w:basedOn w:val="TitlePage1"/>
    <w:rsid w:val="009E7B1F"/>
    <w:pPr>
      <w:spacing w:before="720" w:after="0"/>
    </w:pPr>
    <w:rPr>
      <w:i/>
      <w:sz w:val="36"/>
    </w:rPr>
  </w:style>
  <w:style w:type="paragraph" w:customStyle="1" w:styleId="TitlePageDate">
    <w:name w:val="Title Page Date"/>
    <w:basedOn w:val="Normal"/>
    <w:rsid w:val="009E7B1F"/>
    <w:pPr>
      <w:spacing w:after="160"/>
      <w:jc w:val="center"/>
    </w:pPr>
    <w:rPr>
      <w:rFonts w:ascii="Trebuchet MS" w:eastAsia="Cambria" w:hAnsi="Trebuchet MS"/>
      <w:b/>
      <w:sz w:val="32"/>
    </w:rPr>
  </w:style>
  <w:style w:type="character" w:customStyle="1" w:styleId="titles-source">
    <w:name w:val="titles-source"/>
    <w:basedOn w:val="DefaultParagraphFont"/>
    <w:rsid w:val="009E7B1F"/>
  </w:style>
  <w:style w:type="paragraph" w:customStyle="1" w:styleId="TransmittalAddressBlock">
    <w:name w:val="Transmittal Address Block"/>
    <w:basedOn w:val="Normal"/>
    <w:rsid w:val="009E7B1F"/>
    <w:rPr>
      <w:rFonts w:ascii="Times New Roman" w:eastAsia="Cambria" w:hAnsi="Times New Roman"/>
      <w:szCs w:val="20"/>
      <w:lang w:val="fr-FR"/>
    </w:rPr>
  </w:style>
  <w:style w:type="paragraph" w:customStyle="1" w:styleId="TransmittalAttention">
    <w:name w:val="Transmittal Attention"/>
    <w:qFormat/>
    <w:rsid w:val="009E7B1F"/>
    <w:pPr>
      <w:spacing w:before="120"/>
      <w:ind w:left="1440" w:hanging="1440"/>
    </w:pPr>
    <w:rPr>
      <w:rFonts w:ascii="Times New Roman" w:eastAsia="Times New Roman" w:hAnsi="Times New Roman"/>
    </w:rPr>
  </w:style>
  <w:style w:type="paragraph" w:customStyle="1" w:styleId="TransmittalBullets">
    <w:name w:val="Transmittal Bullets"/>
    <w:qFormat/>
    <w:rsid w:val="009E7B1F"/>
    <w:pPr>
      <w:numPr>
        <w:numId w:val="32"/>
      </w:numPr>
      <w:spacing w:after="80"/>
    </w:pPr>
    <w:rPr>
      <w:rFonts w:ascii="Times New Roman" w:eastAsia="Calibri" w:hAnsi="Times New Roman"/>
    </w:rPr>
  </w:style>
  <w:style w:type="paragraph" w:customStyle="1" w:styleId="TransmittalDateBlock">
    <w:name w:val="Transmittal Date Block"/>
    <w:basedOn w:val="Normal"/>
    <w:rsid w:val="009E7B1F"/>
    <w:pPr>
      <w:shd w:val="clear" w:color="auto" w:fill="FFFFFF"/>
      <w:spacing w:before="240" w:after="160"/>
    </w:pPr>
    <w:rPr>
      <w:rFonts w:ascii="Times New Roman" w:eastAsia="Cambria" w:hAnsi="Times New Roman"/>
      <w:color w:val="000000"/>
      <w:spacing w:val="-1"/>
      <w:szCs w:val="22"/>
    </w:rPr>
  </w:style>
  <w:style w:type="paragraph" w:customStyle="1" w:styleId="TransmittalLetterBlock">
    <w:name w:val="Transmittal Letter Block"/>
    <w:basedOn w:val="Normal"/>
    <w:link w:val="TransmittalLetterBlockChar"/>
    <w:rsid w:val="009E7B1F"/>
    <w:pPr>
      <w:spacing w:before="120" w:after="120"/>
    </w:pPr>
    <w:rPr>
      <w:rFonts w:ascii="Times New Roman" w:eastAsia="Calibri" w:hAnsi="Times New Roman"/>
    </w:rPr>
  </w:style>
  <w:style w:type="character" w:customStyle="1" w:styleId="TransmittalLetterBlockChar">
    <w:name w:val="Transmittal Letter Block Char"/>
    <w:link w:val="TransmittalLetterBlock"/>
    <w:locked/>
    <w:rsid w:val="009E7B1F"/>
    <w:rPr>
      <w:rFonts w:ascii="Times New Roman" w:eastAsia="Calibri" w:hAnsi="Times New Roman" w:cs="Times New Roman"/>
      <w:sz w:val="24"/>
      <w:szCs w:val="24"/>
    </w:rPr>
  </w:style>
  <w:style w:type="paragraph" w:customStyle="1" w:styleId="TransmittalLewinAddress">
    <w:name w:val="Transmittal Lewin Address"/>
    <w:qFormat/>
    <w:rsid w:val="009E7B1F"/>
    <w:pPr>
      <w:spacing w:after="240"/>
      <w:jc w:val="center"/>
    </w:pPr>
    <w:rPr>
      <w:rFonts w:ascii="Arial" w:eastAsia="Times New Roman" w:hAnsi="Arial" w:cs="Arial"/>
      <w:color w:val="948A54"/>
      <w:sz w:val="16"/>
      <w:szCs w:val="16"/>
    </w:rPr>
  </w:style>
  <w:style w:type="paragraph" w:customStyle="1" w:styleId="TransmittalRFPBlock">
    <w:name w:val="Transmittal RFP Block"/>
    <w:basedOn w:val="Normal"/>
    <w:rsid w:val="009E7B1F"/>
    <w:pPr>
      <w:spacing w:before="120" w:after="160"/>
      <w:ind w:left="1440" w:hanging="1440"/>
    </w:pPr>
    <w:rPr>
      <w:rFonts w:ascii="Times New Roman" w:eastAsia="Cambria" w:hAnsi="Times New Roman"/>
      <w:szCs w:val="20"/>
    </w:rPr>
  </w:style>
  <w:style w:type="paragraph" w:customStyle="1" w:styleId="TransmittalSignBlock">
    <w:name w:val="Transmittal Sign Block"/>
    <w:basedOn w:val="TransmittalLetterBlock"/>
    <w:rsid w:val="009E7B1F"/>
    <w:pPr>
      <w:spacing w:before="0" w:after="0"/>
      <w:ind w:left="547" w:hanging="7"/>
    </w:pPr>
  </w:style>
  <w:style w:type="paragraph" w:customStyle="1" w:styleId="VolumeX34margin">
    <w:name w:val="Volume X—3/4&quot; margin"/>
    <w:basedOn w:val="Normal"/>
    <w:link w:val="VolumeX34marginChar"/>
    <w:rsid w:val="009E7B1F"/>
    <w:pPr>
      <w:pBdr>
        <w:bottom w:val="single" w:sz="18" w:space="1" w:color="7C6A55"/>
      </w:pBdr>
      <w:tabs>
        <w:tab w:val="right" w:pos="10080"/>
      </w:tabs>
      <w:spacing w:after="240"/>
    </w:pPr>
    <w:rPr>
      <w:rFonts w:ascii="Trebuchet MS" w:eastAsia="Cambria" w:hAnsi="Trebuchet MS"/>
      <w:b/>
      <w:color w:val="28376A"/>
      <w:sz w:val="22"/>
      <w:szCs w:val="22"/>
    </w:rPr>
  </w:style>
  <w:style w:type="character" w:customStyle="1" w:styleId="VolumeX34marginChar">
    <w:name w:val="Volume X—3/4&quot; margin Char"/>
    <w:link w:val="VolumeX34margin"/>
    <w:rsid w:val="009E7B1F"/>
    <w:rPr>
      <w:rFonts w:ascii="Trebuchet MS" w:eastAsia="Cambria" w:hAnsi="Trebuchet MS" w:cs="Times New Roman"/>
      <w:b/>
      <w:color w:val="28376A"/>
      <w:sz w:val="22"/>
      <w:szCs w:val="22"/>
    </w:rPr>
  </w:style>
  <w:style w:type="character" w:styleId="IntenseReference">
    <w:name w:val="Intense Reference"/>
    <w:uiPriority w:val="32"/>
    <w:qFormat/>
    <w:rsid w:val="009E7B1F"/>
    <w:rPr>
      <w:b/>
      <w:bCs/>
      <w:i/>
      <w:caps w:val="0"/>
      <w:smallCaps w:val="0"/>
      <w:color w:val="00267F"/>
      <w:spacing w:val="4"/>
      <w:u w:val="none"/>
    </w:rPr>
  </w:style>
  <w:style w:type="paragraph" w:customStyle="1" w:styleId="AfterBullet">
    <w:name w:val="After Bullet"/>
    <w:basedOn w:val="Normal"/>
    <w:qFormat/>
    <w:rsid w:val="009E7B1F"/>
    <w:pPr>
      <w:spacing w:before="480" w:after="160"/>
    </w:pPr>
    <w:rPr>
      <w:rFonts w:ascii="Times New Roman" w:eastAsia="Cambria" w:hAnsi="Times New Roman"/>
    </w:rPr>
  </w:style>
  <w:style w:type="paragraph" w:customStyle="1" w:styleId="BeforeBullet">
    <w:name w:val="Before Bullet"/>
    <w:basedOn w:val="Normal"/>
    <w:qFormat/>
    <w:rsid w:val="009E7B1F"/>
    <w:pPr>
      <w:keepNext/>
      <w:spacing w:before="120" w:after="60"/>
    </w:pPr>
    <w:rPr>
      <w:rFonts w:ascii="Times New Roman" w:eastAsia="Times New Roman" w:hAnsi="Times New Roman"/>
    </w:rPr>
  </w:style>
  <w:style w:type="table" w:customStyle="1" w:styleId="LightGrid-Accent11">
    <w:name w:val="Light Grid - Accent 11"/>
    <w:basedOn w:val="TableNormal"/>
    <w:uiPriority w:val="62"/>
    <w:rsid w:val="00C23083"/>
    <w:rPr>
      <w:rFonts w:eastAsia="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LineNumber">
    <w:name w:val="line number"/>
    <w:basedOn w:val="DefaultParagraphFont"/>
    <w:uiPriority w:val="99"/>
    <w:semiHidden/>
    <w:unhideWhenUsed/>
    <w:rsid w:val="007A62FB"/>
  </w:style>
  <w:style w:type="paragraph" w:customStyle="1" w:styleId="s4">
    <w:name w:val="s4"/>
    <w:basedOn w:val="Normal"/>
    <w:rsid w:val="00766F3B"/>
    <w:pPr>
      <w:spacing w:before="100" w:beforeAutospacing="1" w:after="100" w:afterAutospacing="1"/>
    </w:pPr>
    <w:rPr>
      <w:rFonts w:ascii="Times New Roman" w:eastAsia="Calibri" w:hAnsi="Times New Roman"/>
    </w:rPr>
  </w:style>
  <w:style w:type="character" w:customStyle="1" w:styleId="s2">
    <w:name w:val="s2"/>
    <w:rsid w:val="00766F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7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A"/>
  </w:style>
  <w:style w:type="paragraph" w:styleId="Heading1">
    <w:name w:val="heading 1"/>
    <w:basedOn w:val="Normal"/>
    <w:next w:val="Normal"/>
    <w:link w:val="Heading1Char"/>
    <w:uiPriority w:val="9"/>
    <w:qFormat/>
    <w:rsid w:val="003B277C"/>
    <w:pPr>
      <w:keepNext/>
      <w:keepLines/>
      <w:spacing w:before="240" w:after="240"/>
      <w:outlineLvl w:val="0"/>
    </w:pPr>
    <w:rPr>
      <w:rFonts w:eastAsia="MS Gothic"/>
      <w:b/>
      <w:bCs/>
      <w:color w:val="244061"/>
      <w:sz w:val="28"/>
      <w:szCs w:val="28"/>
      <w:lang w:val="x-none" w:eastAsia="x-none"/>
    </w:rPr>
  </w:style>
  <w:style w:type="paragraph" w:styleId="Heading2">
    <w:name w:val="heading 2"/>
    <w:basedOn w:val="Normal"/>
    <w:next w:val="Normal"/>
    <w:link w:val="Heading2Char"/>
    <w:uiPriority w:val="9"/>
    <w:qFormat/>
    <w:rsid w:val="003B277C"/>
    <w:pPr>
      <w:keepNext/>
      <w:keepLines/>
      <w:spacing w:before="200" w:after="240"/>
      <w:outlineLvl w:val="1"/>
    </w:pPr>
    <w:rPr>
      <w:rFonts w:ascii="Trebuchet MS" w:eastAsia="MS Gothic" w:hAnsi="Trebuchet MS"/>
      <w:b/>
      <w:bCs/>
      <w:color w:val="4F6228"/>
      <w:sz w:val="26"/>
      <w:szCs w:val="26"/>
      <w:lang w:val="x-none" w:eastAsia="x-none"/>
    </w:rPr>
  </w:style>
  <w:style w:type="paragraph" w:styleId="Heading3">
    <w:name w:val="heading 3"/>
    <w:basedOn w:val="Normal"/>
    <w:next w:val="Normal"/>
    <w:link w:val="Heading3Char"/>
    <w:uiPriority w:val="9"/>
    <w:qFormat/>
    <w:rsid w:val="003B277C"/>
    <w:pPr>
      <w:keepNext/>
      <w:keepLines/>
      <w:spacing w:before="120" w:after="240"/>
      <w:outlineLvl w:val="2"/>
    </w:pPr>
    <w:rPr>
      <w:rFonts w:ascii="Calibri" w:eastAsia="MS Gothic" w:hAnsi="Calibri"/>
      <w:b/>
      <w:bCs/>
      <w:color w:val="4F81BD"/>
      <w:sz w:val="22"/>
      <w:szCs w:val="22"/>
      <w:lang w:val="x-none" w:eastAsia="x-none"/>
    </w:rPr>
  </w:style>
  <w:style w:type="paragraph" w:styleId="Heading4">
    <w:name w:val="heading 4"/>
    <w:basedOn w:val="Normal"/>
    <w:next w:val="Normal"/>
    <w:link w:val="Heading4Char"/>
    <w:uiPriority w:val="9"/>
    <w:qFormat/>
    <w:rsid w:val="003B277C"/>
    <w:pPr>
      <w:keepNext/>
      <w:keepLines/>
      <w:spacing w:before="200"/>
      <w:outlineLvl w:val="3"/>
    </w:pPr>
    <w:rPr>
      <w:rFonts w:eastAsia="MS Gothic"/>
      <w:b/>
      <w:bCs/>
      <w:i/>
      <w:iCs/>
      <w:color w:val="4F81BD"/>
      <w:sz w:val="22"/>
      <w:szCs w:val="22"/>
      <w:lang w:val="x-none" w:eastAsia="x-none"/>
    </w:rPr>
  </w:style>
  <w:style w:type="paragraph" w:styleId="Heading5">
    <w:name w:val="heading 5"/>
    <w:basedOn w:val="Normal"/>
    <w:link w:val="Heading5Char"/>
    <w:uiPriority w:val="9"/>
    <w:unhideWhenUsed/>
    <w:qFormat/>
    <w:rsid w:val="009E7B1F"/>
    <w:pPr>
      <w:numPr>
        <w:numId w:val="11"/>
      </w:numPr>
      <w:tabs>
        <w:tab w:val="left" w:pos="1080"/>
      </w:tabs>
      <w:spacing w:before="120" w:after="160"/>
      <w:outlineLvl w:val="4"/>
    </w:pPr>
    <w:rPr>
      <w:rFonts w:ascii="Times New Roman" w:eastAsia="Cambria" w:hAnsi="Times New Roman"/>
    </w:rPr>
  </w:style>
  <w:style w:type="paragraph" w:styleId="Heading6">
    <w:name w:val="heading 6"/>
    <w:basedOn w:val="Normal"/>
    <w:next w:val="Normal"/>
    <w:link w:val="Heading6Char"/>
    <w:uiPriority w:val="9"/>
    <w:qFormat/>
    <w:rsid w:val="009E7B1F"/>
    <w:pPr>
      <w:numPr>
        <w:numId w:val="33"/>
      </w:numPr>
      <w:spacing w:before="200" w:after="240"/>
      <w:ind w:left="720"/>
      <w:outlineLvl w:val="5"/>
    </w:pPr>
    <w:rPr>
      <w:rFonts w:ascii="Times New Roman" w:eastAsia="Cambria" w:hAnsi="Times New Roman"/>
      <w:iCs/>
      <w:szCs w:val="20"/>
    </w:rPr>
  </w:style>
  <w:style w:type="paragraph" w:styleId="Heading7">
    <w:name w:val="heading 7"/>
    <w:basedOn w:val="Normal"/>
    <w:next w:val="Normal"/>
    <w:link w:val="Heading7Char"/>
    <w:uiPriority w:val="9"/>
    <w:qFormat/>
    <w:rsid w:val="009E7B1F"/>
    <w:pPr>
      <w:spacing w:before="200" w:after="240"/>
      <w:ind w:left="4320"/>
      <w:outlineLvl w:val="6"/>
    </w:pPr>
    <w:rPr>
      <w:rFonts w:eastAsia="Cambria"/>
      <w:i/>
      <w:iCs/>
      <w:color w:val="404040"/>
      <w:szCs w:val="20"/>
    </w:rPr>
  </w:style>
  <w:style w:type="paragraph" w:styleId="Heading8">
    <w:name w:val="heading 8"/>
    <w:basedOn w:val="Normal"/>
    <w:next w:val="Normal"/>
    <w:link w:val="Heading8Char"/>
    <w:uiPriority w:val="9"/>
    <w:qFormat/>
    <w:rsid w:val="009E7B1F"/>
    <w:pPr>
      <w:spacing w:before="200" w:after="240"/>
      <w:ind w:left="5040"/>
      <w:outlineLvl w:val="7"/>
    </w:pPr>
    <w:rPr>
      <w:rFonts w:eastAsia="Cambria"/>
      <w:color w:val="404040"/>
      <w:sz w:val="20"/>
      <w:szCs w:val="20"/>
    </w:rPr>
  </w:style>
  <w:style w:type="paragraph" w:styleId="Heading9">
    <w:name w:val="heading 9"/>
    <w:basedOn w:val="Normal"/>
    <w:next w:val="Normal"/>
    <w:link w:val="Heading9Char"/>
    <w:uiPriority w:val="9"/>
    <w:qFormat/>
    <w:rsid w:val="009E7B1F"/>
    <w:pPr>
      <w:spacing w:before="200" w:after="240"/>
      <w:ind w:left="5760"/>
      <w:outlineLvl w:val="8"/>
    </w:pPr>
    <w:rPr>
      <w:rFonts w:eastAsia="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6696A"/>
    <w:pPr>
      <w:autoSpaceDE w:val="0"/>
      <w:autoSpaceDN w:val="0"/>
      <w:adjustRightInd w:val="0"/>
    </w:pPr>
    <w:rPr>
      <w:rFonts w:ascii="Century Schoolbook" w:eastAsia="Calibri" w:hAnsi="Century Schoolbook" w:cs="Century Schoolbook"/>
      <w:color w:val="000000"/>
    </w:rPr>
  </w:style>
  <w:style w:type="paragraph" w:customStyle="1" w:styleId="CM24">
    <w:name w:val="CM24"/>
    <w:basedOn w:val="Default"/>
    <w:next w:val="Default"/>
    <w:uiPriority w:val="99"/>
    <w:rsid w:val="0036696A"/>
    <w:rPr>
      <w:rFonts w:cs="Times New Roman"/>
      <w:color w:val="auto"/>
    </w:rPr>
  </w:style>
  <w:style w:type="paragraph" w:customStyle="1" w:styleId="ColorfulList-Accent11">
    <w:name w:val="Colorful List - Accent 11"/>
    <w:basedOn w:val="Normal"/>
    <w:uiPriority w:val="34"/>
    <w:qFormat/>
    <w:rsid w:val="00E84B20"/>
    <w:pPr>
      <w:ind w:left="720"/>
      <w:contextualSpacing/>
    </w:pPr>
  </w:style>
  <w:style w:type="paragraph" w:styleId="Header">
    <w:name w:val="header"/>
    <w:basedOn w:val="Normal"/>
    <w:link w:val="HeaderChar"/>
    <w:uiPriority w:val="99"/>
    <w:unhideWhenUsed/>
    <w:rsid w:val="00B13584"/>
    <w:pPr>
      <w:tabs>
        <w:tab w:val="center" w:pos="4680"/>
        <w:tab w:val="right" w:pos="9360"/>
      </w:tabs>
    </w:pPr>
  </w:style>
  <w:style w:type="character" w:customStyle="1" w:styleId="HeaderChar">
    <w:name w:val="Header Char"/>
    <w:basedOn w:val="DefaultParagraphFont"/>
    <w:link w:val="Header"/>
    <w:uiPriority w:val="99"/>
    <w:rsid w:val="00B13584"/>
  </w:style>
  <w:style w:type="paragraph" w:styleId="Footer">
    <w:name w:val="footer"/>
    <w:basedOn w:val="Normal"/>
    <w:link w:val="FooterChar"/>
    <w:uiPriority w:val="99"/>
    <w:unhideWhenUsed/>
    <w:rsid w:val="00B13584"/>
    <w:pPr>
      <w:tabs>
        <w:tab w:val="center" w:pos="4680"/>
        <w:tab w:val="right" w:pos="9360"/>
      </w:tabs>
    </w:pPr>
  </w:style>
  <w:style w:type="character" w:customStyle="1" w:styleId="FooterChar">
    <w:name w:val="Footer Char"/>
    <w:basedOn w:val="DefaultParagraphFont"/>
    <w:link w:val="Footer"/>
    <w:uiPriority w:val="99"/>
    <w:rsid w:val="00B13584"/>
  </w:style>
  <w:style w:type="paragraph" w:styleId="NoSpacing">
    <w:name w:val="No Spacing"/>
    <w:link w:val="NoSpacingChar"/>
    <w:uiPriority w:val="1"/>
    <w:qFormat/>
    <w:rsid w:val="00651EB2"/>
    <w:rPr>
      <w:rFonts w:ascii="Times New Roman" w:hAnsi="Times New Roman"/>
    </w:rPr>
  </w:style>
  <w:style w:type="paragraph" w:styleId="Title">
    <w:name w:val="Title"/>
    <w:basedOn w:val="Normal"/>
    <w:next w:val="Normal"/>
    <w:link w:val="TitleChar"/>
    <w:qFormat/>
    <w:rsid w:val="007D6D1D"/>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rsid w:val="007D6D1D"/>
    <w:rPr>
      <w:rFonts w:ascii="Cambria" w:eastAsia="MS Gothic" w:hAnsi="Cambria" w:cs="Times New Roman"/>
      <w:color w:val="17365D"/>
      <w:spacing w:val="5"/>
      <w:kern w:val="28"/>
      <w:sz w:val="52"/>
      <w:szCs w:val="52"/>
    </w:rPr>
  </w:style>
  <w:style w:type="character" w:customStyle="1" w:styleId="NoSpacingChar">
    <w:name w:val="No Spacing Char"/>
    <w:link w:val="NoSpacing"/>
    <w:rsid w:val="008C6560"/>
    <w:rPr>
      <w:rFonts w:ascii="Times New Roman" w:hAnsi="Times New Roman"/>
      <w:szCs w:val="24"/>
      <w:lang w:val="en-US" w:eastAsia="en-US" w:bidi="ar-SA"/>
    </w:rPr>
  </w:style>
  <w:style w:type="paragraph" w:styleId="BalloonText">
    <w:name w:val="Balloon Text"/>
    <w:basedOn w:val="Normal"/>
    <w:link w:val="BalloonTextChar"/>
    <w:uiPriority w:val="99"/>
    <w:unhideWhenUsed/>
    <w:rsid w:val="00491DB1"/>
    <w:rPr>
      <w:rFonts w:ascii="Tahoma" w:hAnsi="Tahoma"/>
      <w:sz w:val="16"/>
      <w:szCs w:val="16"/>
      <w:lang w:val="x-none" w:eastAsia="x-none"/>
    </w:rPr>
  </w:style>
  <w:style w:type="character" w:customStyle="1" w:styleId="BalloonTextChar">
    <w:name w:val="Balloon Text Char"/>
    <w:link w:val="BalloonText"/>
    <w:uiPriority w:val="99"/>
    <w:rsid w:val="00491DB1"/>
    <w:rPr>
      <w:rFonts w:ascii="Tahoma" w:hAnsi="Tahoma" w:cs="Tahoma"/>
      <w:sz w:val="16"/>
      <w:szCs w:val="16"/>
    </w:rPr>
  </w:style>
  <w:style w:type="character" w:styleId="PageNumber">
    <w:name w:val="page number"/>
    <w:basedOn w:val="DefaultParagraphFont"/>
    <w:uiPriority w:val="99"/>
    <w:semiHidden/>
    <w:unhideWhenUsed/>
    <w:rsid w:val="00EC6F42"/>
  </w:style>
  <w:style w:type="paragraph" w:customStyle="1" w:styleId="ColorfulShading-Accent11">
    <w:name w:val="Colorful Shading - Accent 11"/>
    <w:hidden/>
    <w:uiPriority w:val="66"/>
    <w:rsid w:val="00990D28"/>
  </w:style>
  <w:style w:type="character" w:customStyle="1" w:styleId="Heading1Char">
    <w:name w:val="Heading 1 Char"/>
    <w:link w:val="Heading1"/>
    <w:uiPriority w:val="9"/>
    <w:rsid w:val="003B277C"/>
    <w:rPr>
      <w:rFonts w:eastAsia="MS Gothic"/>
      <w:b/>
      <w:bCs/>
      <w:color w:val="244061"/>
      <w:sz w:val="28"/>
      <w:szCs w:val="28"/>
    </w:rPr>
  </w:style>
  <w:style w:type="character" w:customStyle="1" w:styleId="Heading2Char">
    <w:name w:val="Heading 2 Char"/>
    <w:link w:val="Heading2"/>
    <w:uiPriority w:val="9"/>
    <w:rsid w:val="003B277C"/>
    <w:rPr>
      <w:rFonts w:ascii="Trebuchet MS" w:eastAsia="MS Gothic" w:hAnsi="Trebuchet MS"/>
      <w:b/>
      <w:bCs/>
      <w:color w:val="4F6228"/>
      <w:sz w:val="26"/>
      <w:szCs w:val="26"/>
    </w:rPr>
  </w:style>
  <w:style w:type="character" w:customStyle="1" w:styleId="Heading3Char">
    <w:name w:val="Heading 3 Char"/>
    <w:link w:val="Heading3"/>
    <w:uiPriority w:val="9"/>
    <w:rsid w:val="003B277C"/>
    <w:rPr>
      <w:rFonts w:ascii="Calibri" w:eastAsia="MS Gothic" w:hAnsi="Calibri"/>
      <w:b/>
      <w:bCs/>
      <w:color w:val="4F81BD"/>
      <w:sz w:val="22"/>
      <w:szCs w:val="22"/>
    </w:rPr>
  </w:style>
  <w:style w:type="character" w:customStyle="1" w:styleId="Heading4Char">
    <w:name w:val="Heading 4 Char"/>
    <w:link w:val="Heading4"/>
    <w:uiPriority w:val="9"/>
    <w:rsid w:val="003B277C"/>
    <w:rPr>
      <w:rFonts w:eastAsia="MS Gothic"/>
      <w:b/>
      <w:bCs/>
      <w:i/>
      <w:iCs/>
      <w:color w:val="4F81BD"/>
      <w:sz w:val="22"/>
      <w:szCs w:val="22"/>
    </w:rPr>
  </w:style>
  <w:style w:type="character" w:styleId="Hyperlink">
    <w:name w:val="Hyperlink"/>
    <w:unhideWhenUsed/>
    <w:rsid w:val="003B277C"/>
    <w:rPr>
      <w:color w:val="0000FF"/>
      <w:u w:val="single"/>
    </w:rPr>
  </w:style>
  <w:style w:type="paragraph" w:styleId="TOC1">
    <w:name w:val="toc 1"/>
    <w:basedOn w:val="Normal"/>
    <w:next w:val="Normal"/>
    <w:autoRedefine/>
    <w:uiPriority w:val="39"/>
    <w:unhideWhenUsed/>
    <w:rsid w:val="003B277C"/>
    <w:pPr>
      <w:spacing w:before="120" w:after="120"/>
    </w:pPr>
    <w:rPr>
      <w:rFonts w:ascii="Calibri" w:eastAsia="Calibri" w:hAnsi="Calibri" w:cs="Calibri"/>
      <w:b/>
      <w:bCs/>
      <w:caps/>
      <w:sz w:val="20"/>
      <w:szCs w:val="20"/>
    </w:rPr>
  </w:style>
  <w:style w:type="paragraph" w:styleId="TOC2">
    <w:name w:val="toc 2"/>
    <w:basedOn w:val="Normal"/>
    <w:next w:val="Normal"/>
    <w:autoRedefine/>
    <w:uiPriority w:val="39"/>
    <w:unhideWhenUsed/>
    <w:rsid w:val="003B277C"/>
    <w:pPr>
      <w:ind w:left="220"/>
    </w:pPr>
    <w:rPr>
      <w:rFonts w:ascii="Calibri" w:eastAsia="Calibri" w:hAnsi="Calibri" w:cs="Calibri"/>
      <w:smallCaps/>
      <w:sz w:val="20"/>
      <w:szCs w:val="20"/>
    </w:rPr>
  </w:style>
  <w:style w:type="paragraph" w:styleId="TOC3">
    <w:name w:val="toc 3"/>
    <w:basedOn w:val="Normal"/>
    <w:next w:val="Normal"/>
    <w:autoRedefine/>
    <w:uiPriority w:val="39"/>
    <w:unhideWhenUsed/>
    <w:rsid w:val="003B277C"/>
    <w:pPr>
      <w:ind w:left="440"/>
    </w:pPr>
    <w:rPr>
      <w:rFonts w:ascii="Calibri" w:eastAsia="Calibri" w:hAnsi="Calibri" w:cs="Calibri"/>
      <w:i/>
      <w:iCs/>
      <w:sz w:val="20"/>
      <w:szCs w:val="20"/>
    </w:rPr>
  </w:style>
  <w:style w:type="paragraph" w:styleId="TOC4">
    <w:name w:val="toc 4"/>
    <w:basedOn w:val="Normal"/>
    <w:next w:val="Normal"/>
    <w:autoRedefine/>
    <w:uiPriority w:val="39"/>
    <w:unhideWhenUsed/>
    <w:rsid w:val="003B277C"/>
    <w:pPr>
      <w:ind w:left="660"/>
    </w:pPr>
    <w:rPr>
      <w:rFonts w:ascii="Calibri" w:eastAsia="Calibri" w:hAnsi="Calibri" w:cs="Calibri"/>
      <w:sz w:val="18"/>
      <w:szCs w:val="18"/>
    </w:rPr>
  </w:style>
  <w:style w:type="paragraph" w:styleId="TOC5">
    <w:name w:val="toc 5"/>
    <w:basedOn w:val="Normal"/>
    <w:next w:val="Normal"/>
    <w:autoRedefine/>
    <w:uiPriority w:val="39"/>
    <w:unhideWhenUsed/>
    <w:rsid w:val="003B277C"/>
    <w:pPr>
      <w:ind w:left="880"/>
    </w:pPr>
    <w:rPr>
      <w:rFonts w:ascii="Calibri" w:eastAsia="Calibri" w:hAnsi="Calibri" w:cs="Calibri"/>
      <w:sz w:val="18"/>
      <w:szCs w:val="18"/>
    </w:rPr>
  </w:style>
  <w:style w:type="paragraph" w:styleId="TOC6">
    <w:name w:val="toc 6"/>
    <w:basedOn w:val="Normal"/>
    <w:next w:val="Normal"/>
    <w:autoRedefine/>
    <w:uiPriority w:val="39"/>
    <w:unhideWhenUsed/>
    <w:rsid w:val="003B277C"/>
    <w:pPr>
      <w:ind w:left="1100"/>
    </w:pPr>
    <w:rPr>
      <w:rFonts w:ascii="Calibri" w:eastAsia="Calibri" w:hAnsi="Calibri" w:cs="Calibri"/>
      <w:sz w:val="18"/>
      <w:szCs w:val="18"/>
    </w:rPr>
  </w:style>
  <w:style w:type="paragraph" w:styleId="TOC7">
    <w:name w:val="toc 7"/>
    <w:basedOn w:val="Normal"/>
    <w:next w:val="Normal"/>
    <w:autoRedefine/>
    <w:uiPriority w:val="39"/>
    <w:unhideWhenUsed/>
    <w:rsid w:val="003B277C"/>
    <w:pPr>
      <w:ind w:left="1320"/>
    </w:pPr>
    <w:rPr>
      <w:rFonts w:ascii="Calibri" w:eastAsia="Calibri" w:hAnsi="Calibri" w:cs="Calibri"/>
      <w:sz w:val="18"/>
      <w:szCs w:val="18"/>
    </w:rPr>
  </w:style>
  <w:style w:type="paragraph" w:styleId="TOC8">
    <w:name w:val="toc 8"/>
    <w:basedOn w:val="Normal"/>
    <w:next w:val="Normal"/>
    <w:autoRedefine/>
    <w:uiPriority w:val="39"/>
    <w:unhideWhenUsed/>
    <w:rsid w:val="003B277C"/>
    <w:pPr>
      <w:ind w:left="1540"/>
    </w:pPr>
    <w:rPr>
      <w:rFonts w:ascii="Calibri" w:eastAsia="Calibri" w:hAnsi="Calibri" w:cs="Calibri"/>
      <w:sz w:val="18"/>
      <w:szCs w:val="18"/>
    </w:rPr>
  </w:style>
  <w:style w:type="paragraph" w:styleId="TOC9">
    <w:name w:val="toc 9"/>
    <w:basedOn w:val="Normal"/>
    <w:next w:val="Normal"/>
    <w:autoRedefine/>
    <w:uiPriority w:val="39"/>
    <w:unhideWhenUsed/>
    <w:rsid w:val="003B277C"/>
    <w:pPr>
      <w:ind w:left="1760"/>
    </w:pPr>
    <w:rPr>
      <w:rFonts w:ascii="Calibri" w:eastAsia="Calibri" w:hAnsi="Calibri" w:cs="Calibri"/>
      <w:sz w:val="18"/>
      <w:szCs w:val="18"/>
    </w:rPr>
  </w:style>
  <w:style w:type="paragraph" w:styleId="FootnoteText">
    <w:name w:val="footnote text"/>
    <w:basedOn w:val="Normal"/>
    <w:link w:val="FootnoteTextChar"/>
    <w:uiPriority w:val="99"/>
    <w:unhideWhenUsed/>
    <w:rsid w:val="00390431"/>
    <w:rPr>
      <w:sz w:val="20"/>
      <w:szCs w:val="20"/>
    </w:rPr>
  </w:style>
  <w:style w:type="character" w:customStyle="1" w:styleId="FootnoteTextChar">
    <w:name w:val="Footnote Text Char"/>
    <w:basedOn w:val="DefaultParagraphFont"/>
    <w:link w:val="FootnoteText"/>
    <w:uiPriority w:val="99"/>
    <w:rsid w:val="00390431"/>
  </w:style>
  <w:style w:type="character" w:styleId="FootnoteReference">
    <w:name w:val="footnote reference"/>
    <w:uiPriority w:val="99"/>
    <w:unhideWhenUsed/>
    <w:qFormat/>
    <w:rsid w:val="00390431"/>
    <w:rPr>
      <w:vertAlign w:val="superscript"/>
    </w:rPr>
  </w:style>
  <w:style w:type="paragraph" w:styleId="ListParagraph">
    <w:name w:val="List Paragraph"/>
    <w:basedOn w:val="Normal"/>
    <w:uiPriority w:val="34"/>
    <w:qFormat/>
    <w:rsid w:val="00B74EB2"/>
    <w:pPr>
      <w:ind w:left="720"/>
      <w:contextualSpacing/>
    </w:pPr>
  </w:style>
  <w:style w:type="character" w:styleId="CommentReference">
    <w:name w:val="annotation reference"/>
    <w:uiPriority w:val="99"/>
    <w:unhideWhenUsed/>
    <w:rsid w:val="00330ED8"/>
    <w:rPr>
      <w:sz w:val="18"/>
      <w:szCs w:val="18"/>
    </w:rPr>
  </w:style>
  <w:style w:type="paragraph" w:styleId="CommentText">
    <w:name w:val="annotation text"/>
    <w:basedOn w:val="Normal"/>
    <w:link w:val="CommentTextChar"/>
    <w:uiPriority w:val="99"/>
    <w:unhideWhenUsed/>
    <w:rsid w:val="00330ED8"/>
    <w:rPr>
      <w:lang w:val="x-none" w:eastAsia="x-none"/>
    </w:rPr>
  </w:style>
  <w:style w:type="character" w:customStyle="1" w:styleId="CommentTextChar">
    <w:name w:val="Comment Text Char"/>
    <w:link w:val="CommentText"/>
    <w:uiPriority w:val="99"/>
    <w:rsid w:val="00330ED8"/>
    <w:rPr>
      <w:sz w:val="24"/>
      <w:szCs w:val="24"/>
    </w:rPr>
  </w:style>
  <w:style w:type="paragraph" w:styleId="CommentSubject">
    <w:name w:val="annotation subject"/>
    <w:basedOn w:val="CommentText"/>
    <w:next w:val="CommentText"/>
    <w:link w:val="CommentSubjectChar"/>
    <w:uiPriority w:val="99"/>
    <w:unhideWhenUsed/>
    <w:rsid w:val="00330ED8"/>
    <w:rPr>
      <w:b/>
      <w:bCs/>
    </w:rPr>
  </w:style>
  <w:style w:type="character" w:customStyle="1" w:styleId="CommentSubjectChar">
    <w:name w:val="Comment Subject Char"/>
    <w:link w:val="CommentSubject"/>
    <w:uiPriority w:val="99"/>
    <w:rsid w:val="00330ED8"/>
    <w:rPr>
      <w:b/>
      <w:bCs/>
      <w:sz w:val="24"/>
      <w:szCs w:val="24"/>
    </w:rPr>
  </w:style>
  <w:style w:type="paragraph" w:styleId="Revision">
    <w:name w:val="Revision"/>
    <w:hidden/>
    <w:uiPriority w:val="99"/>
    <w:rsid w:val="00DD579C"/>
  </w:style>
  <w:style w:type="paragraph" w:styleId="TOCHeading">
    <w:name w:val="TOC Heading"/>
    <w:basedOn w:val="Heading1"/>
    <w:next w:val="Normal"/>
    <w:uiPriority w:val="39"/>
    <w:unhideWhenUsed/>
    <w:qFormat/>
    <w:rsid w:val="009E7B1F"/>
    <w:pPr>
      <w:spacing w:before="480" w:after="0"/>
      <w:outlineLvl w:val="9"/>
    </w:pPr>
    <w:rPr>
      <w:rFonts w:ascii="Calibri" w:eastAsia="Times New Roman" w:hAnsi="Calibri"/>
      <w:color w:val="345A8A"/>
      <w:sz w:val="32"/>
      <w:szCs w:val="32"/>
    </w:rPr>
  </w:style>
  <w:style w:type="character" w:customStyle="1" w:styleId="Heading5Char">
    <w:name w:val="Heading 5 Char"/>
    <w:link w:val="Heading5"/>
    <w:uiPriority w:val="9"/>
    <w:rsid w:val="009E7B1F"/>
    <w:rPr>
      <w:rFonts w:ascii="Times New Roman" w:eastAsia="Cambria" w:hAnsi="Times New Roman"/>
    </w:rPr>
  </w:style>
  <w:style w:type="character" w:customStyle="1" w:styleId="Heading6Char">
    <w:name w:val="Heading 6 Char"/>
    <w:link w:val="Heading6"/>
    <w:uiPriority w:val="9"/>
    <w:rsid w:val="009E7B1F"/>
    <w:rPr>
      <w:rFonts w:ascii="Times New Roman" w:eastAsia="Cambria" w:hAnsi="Times New Roman"/>
      <w:iCs/>
      <w:szCs w:val="20"/>
    </w:rPr>
  </w:style>
  <w:style w:type="character" w:customStyle="1" w:styleId="Heading7Char">
    <w:name w:val="Heading 7 Char"/>
    <w:link w:val="Heading7"/>
    <w:uiPriority w:val="9"/>
    <w:rsid w:val="009E7B1F"/>
    <w:rPr>
      <w:rFonts w:eastAsia="Cambria" w:cs="Times New Roman"/>
      <w:i/>
      <w:iCs/>
      <w:color w:val="404040"/>
      <w:sz w:val="24"/>
    </w:rPr>
  </w:style>
  <w:style w:type="character" w:customStyle="1" w:styleId="Heading8Char">
    <w:name w:val="Heading 8 Char"/>
    <w:link w:val="Heading8"/>
    <w:uiPriority w:val="9"/>
    <w:rsid w:val="009E7B1F"/>
    <w:rPr>
      <w:rFonts w:eastAsia="Cambria" w:cs="Times New Roman"/>
      <w:color w:val="404040"/>
    </w:rPr>
  </w:style>
  <w:style w:type="character" w:customStyle="1" w:styleId="Heading9Char">
    <w:name w:val="Heading 9 Char"/>
    <w:link w:val="Heading9"/>
    <w:uiPriority w:val="9"/>
    <w:rsid w:val="009E7B1F"/>
    <w:rPr>
      <w:rFonts w:eastAsia="Cambria" w:cs="Times New Roman"/>
      <w:i/>
      <w:iCs/>
      <w:color w:val="404040"/>
    </w:rPr>
  </w:style>
  <w:style w:type="paragraph" w:customStyle="1" w:styleId="1stlinewspace">
    <w:name w:val="1st line w/space"/>
    <w:basedOn w:val="Normal"/>
    <w:link w:val="1stlinewspaceCharChar"/>
    <w:rsid w:val="009E7B1F"/>
    <w:pPr>
      <w:spacing w:before="100"/>
    </w:pPr>
    <w:rPr>
      <w:rFonts w:ascii="Garamond" w:eastAsia="Cambria" w:hAnsi="Garamond"/>
      <w:bCs/>
      <w:sz w:val="20"/>
      <w:lang w:val="x-none" w:eastAsia="x-none"/>
    </w:rPr>
  </w:style>
  <w:style w:type="character" w:customStyle="1" w:styleId="1stlinewspaceCharChar">
    <w:name w:val="1st line w/space Char Char"/>
    <w:link w:val="1stlinewspace"/>
    <w:rsid w:val="009E7B1F"/>
    <w:rPr>
      <w:rFonts w:ascii="Garamond" w:eastAsia="Cambria" w:hAnsi="Garamond" w:cs="Times New Roman"/>
      <w:bCs/>
      <w:szCs w:val="24"/>
    </w:rPr>
  </w:style>
  <w:style w:type="paragraph" w:customStyle="1" w:styleId="35Heading">
    <w:name w:val="3.5 Heading"/>
    <w:qFormat/>
    <w:rsid w:val="009E7B1F"/>
    <w:pPr>
      <w:spacing w:before="40" w:after="40"/>
      <w:jc w:val="center"/>
    </w:pPr>
    <w:rPr>
      <w:rFonts w:ascii="Arial" w:eastAsia="Times New Roman" w:hAnsi="Arial" w:cs="Arial"/>
      <w:sz w:val="22"/>
    </w:rPr>
  </w:style>
  <w:style w:type="paragraph" w:customStyle="1" w:styleId="35Text">
    <w:name w:val="3.5 Text"/>
    <w:qFormat/>
    <w:rsid w:val="009E7B1F"/>
    <w:pPr>
      <w:spacing w:after="120"/>
    </w:pPr>
    <w:rPr>
      <w:rFonts w:ascii="Calibri" w:eastAsia="Times New Roman" w:hAnsi="Calibri" w:cs="Calibri"/>
    </w:rPr>
  </w:style>
  <w:style w:type="table" w:customStyle="1" w:styleId="508Table">
    <w:name w:val="508 Table"/>
    <w:basedOn w:val="TableNormal"/>
    <w:uiPriority w:val="99"/>
    <w:rsid w:val="009E7B1F"/>
    <w:rPr>
      <w:rFonts w:ascii="Calibri" w:eastAsia="Calibri" w:hAnsi="Calibri"/>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character" w:customStyle="1" w:styleId="A0">
    <w:name w:val="A0"/>
    <w:uiPriority w:val="99"/>
    <w:rsid w:val="009E7B1F"/>
    <w:rPr>
      <w:rFonts w:cs="Trebuchet MS"/>
      <w:b/>
      <w:bCs/>
      <w:i/>
      <w:iCs/>
      <w:color w:val="000000"/>
      <w:sz w:val="22"/>
      <w:szCs w:val="22"/>
    </w:rPr>
  </w:style>
  <w:style w:type="character" w:customStyle="1" w:styleId="A3">
    <w:name w:val="A3"/>
    <w:uiPriority w:val="99"/>
    <w:rsid w:val="009E7B1F"/>
    <w:rPr>
      <w:rFonts w:cs="Trebuchet MS"/>
      <w:b/>
      <w:bCs/>
      <w:color w:val="000000"/>
      <w:sz w:val="26"/>
      <w:szCs w:val="26"/>
    </w:rPr>
  </w:style>
  <w:style w:type="character" w:customStyle="1" w:styleId="A5">
    <w:name w:val="A5"/>
    <w:uiPriority w:val="99"/>
    <w:rsid w:val="009E7B1F"/>
    <w:rPr>
      <w:rFonts w:cs="Calibri"/>
      <w:color w:val="000000"/>
      <w:sz w:val="15"/>
      <w:szCs w:val="15"/>
    </w:rPr>
  </w:style>
  <w:style w:type="character" w:customStyle="1" w:styleId="apple-converted-space">
    <w:name w:val="apple-converted-space"/>
    <w:basedOn w:val="DefaultParagraphFont"/>
    <w:rsid w:val="009E7B1F"/>
  </w:style>
  <w:style w:type="character" w:customStyle="1" w:styleId="apple-style-span">
    <w:name w:val="apple-style-span"/>
    <w:basedOn w:val="DefaultParagraphFont"/>
    <w:uiPriority w:val="99"/>
    <w:rsid w:val="009E7B1F"/>
  </w:style>
  <w:style w:type="paragraph" w:customStyle="1" w:styleId="Bibliography1">
    <w:name w:val="Bibliography1"/>
    <w:basedOn w:val="Normal"/>
    <w:rsid w:val="009E7B1F"/>
    <w:pPr>
      <w:keepLines/>
      <w:widowControl w:val="0"/>
      <w:spacing w:before="120"/>
      <w:ind w:left="288" w:hanging="288"/>
    </w:pPr>
    <w:rPr>
      <w:rFonts w:ascii="AGaramond" w:eastAsia="Cambria" w:hAnsi="AGaramond"/>
      <w:sz w:val="20"/>
      <w:szCs w:val="20"/>
    </w:rPr>
  </w:style>
  <w:style w:type="character" w:customStyle="1" w:styleId="bigaccentcolor1">
    <w:name w:val="big_accent_color1"/>
    <w:rsid w:val="009E7B1F"/>
    <w:rPr>
      <w:color w:val="2B5555"/>
      <w:sz w:val="18"/>
      <w:szCs w:val="18"/>
    </w:rPr>
  </w:style>
  <w:style w:type="character" w:customStyle="1" w:styleId="Black">
    <w:name w:val="Black"/>
    <w:uiPriority w:val="1"/>
    <w:qFormat/>
    <w:rsid w:val="009E7B1F"/>
    <w:rPr>
      <w:b/>
      <w:color w:val="auto"/>
    </w:rPr>
  </w:style>
  <w:style w:type="paragraph" w:styleId="BlockText">
    <w:name w:val="Block Text"/>
    <w:basedOn w:val="Normal"/>
    <w:uiPriority w:val="99"/>
    <w:unhideWhenUsed/>
    <w:rsid w:val="009E7B1F"/>
    <w:pPr>
      <w:keepNext/>
      <w:pBdr>
        <w:top w:val="single" w:sz="18" w:space="10" w:color="4F81BD" w:shadow="1"/>
        <w:left w:val="single" w:sz="18" w:space="10" w:color="4F81BD" w:shadow="1"/>
        <w:bottom w:val="single" w:sz="18" w:space="10" w:color="4F81BD" w:shadow="1"/>
        <w:right w:val="single" w:sz="18" w:space="10" w:color="4F81BD" w:shadow="1"/>
      </w:pBdr>
      <w:spacing w:before="120" w:after="160"/>
      <w:ind w:left="684" w:right="585"/>
    </w:pPr>
    <w:rPr>
      <w:rFonts w:ascii="Calibri" w:eastAsia="Cambria" w:hAnsi="Calibri"/>
      <w:i/>
      <w:iCs/>
      <w:color w:val="00267F"/>
      <w:spacing w:val="16"/>
    </w:rPr>
  </w:style>
  <w:style w:type="paragraph" w:customStyle="1" w:styleId="BlockText2">
    <w:name w:val="Block Text 2"/>
    <w:basedOn w:val="BlockText"/>
    <w:qFormat/>
    <w:rsid w:val="009E7B1F"/>
    <w:pPr>
      <w:shd w:val="clear" w:color="auto" w:fill="F2F2F2"/>
      <w:spacing w:after="120"/>
      <w:ind w:left="855" w:right="756"/>
    </w:pPr>
    <w:rPr>
      <w:sz w:val="20"/>
    </w:rPr>
  </w:style>
  <w:style w:type="paragraph" w:customStyle="1" w:styleId="BlockTextBulley">
    <w:name w:val="Block Text Bulley"/>
    <w:basedOn w:val="BlockText2"/>
    <w:qFormat/>
    <w:rsid w:val="009E7B1F"/>
    <w:pPr>
      <w:ind w:left="1053" w:hanging="189"/>
    </w:pPr>
  </w:style>
  <w:style w:type="paragraph" w:customStyle="1" w:styleId="BlockTextHEAD">
    <w:name w:val="Block Text HEAD"/>
    <w:basedOn w:val="BlockText"/>
    <w:rsid w:val="009E7B1F"/>
    <w:pPr>
      <w:shd w:val="clear" w:color="auto" w:fill="EEECE1"/>
      <w:spacing w:after="0"/>
      <w:ind w:left="855" w:right="756"/>
    </w:pPr>
    <w:rPr>
      <w:szCs w:val="20"/>
    </w:rPr>
  </w:style>
  <w:style w:type="character" w:customStyle="1" w:styleId="blue">
    <w:name w:val="blue"/>
    <w:qFormat/>
    <w:rsid w:val="009E7B1F"/>
    <w:rPr>
      <w:b/>
      <w:color w:val="00267F"/>
    </w:rPr>
  </w:style>
  <w:style w:type="character" w:customStyle="1" w:styleId="Blue0">
    <w:name w:val="Blue"/>
    <w:qFormat/>
    <w:rsid w:val="009E7B1F"/>
    <w:rPr>
      <w:color w:val="FFFFFF"/>
      <w:bdr w:val="none" w:sz="0" w:space="0" w:color="auto"/>
      <w:shd w:val="clear" w:color="auto" w:fill="32649B"/>
    </w:rPr>
  </w:style>
  <w:style w:type="paragraph" w:customStyle="1" w:styleId="Blurb">
    <w:name w:val="Blurb"/>
    <w:basedOn w:val="Normal"/>
    <w:link w:val="BlurbChar"/>
    <w:rsid w:val="009E7B1F"/>
    <w:pPr>
      <w:spacing w:after="240"/>
    </w:pPr>
    <w:rPr>
      <w:rFonts w:ascii="Book Antiqua" w:eastAsia="Cambria" w:hAnsi="Book Antiqua"/>
      <w:sz w:val="22"/>
      <w:szCs w:val="20"/>
      <w:lang w:val="x-none" w:eastAsia="x-none"/>
    </w:rPr>
  </w:style>
  <w:style w:type="character" w:customStyle="1" w:styleId="BlurbChar">
    <w:name w:val="Blurb Char"/>
    <w:link w:val="Blurb"/>
    <w:rsid w:val="009E7B1F"/>
    <w:rPr>
      <w:rFonts w:ascii="Book Antiqua" w:eastAsia="Cambria" w:hAnsi="Book Antiqua" w:cs="Times New Roman"/>
      <w:sz w:val="22"/>
    </w:rPr>
  </w:style>
  <w:style w:type="paragraph" w:customStyle="1" w:styleId="BodTxt2">
    <w:name w:val="Bod Txt 2"/>
    <w:basedOn w:val="Normal"/>
    <w:link w:val="BodTxt2Char"/>
    <w:rsid w:val="009E7B1F"/>
    <w:pPr>
      <w:tabs>
        <w:tab w:val="left" w:pos="6480"/>
      </w:tabs>
      <w:ind w:left="1440" w:hanging="720"/>
    </w:pPr>
    <w:rPr>
      <w:rFonts w:ascii="Times New Roman" w:eastAsia="Cambria" w:hAnsi="Times New Roman"/>
      <w:szCs w:val="22"/>
      <w:lang w:val="x-none" w:eastAsia="x-none"/>
    </w:rPr>
  </w:style>
  <w:style w:type="character" w:customStyle="1" w:styleId="BodTxt2Char">
    <w:name w:val="Bod Txt 2 Char"/>
    <w:link w:val="BodTxt2"/>
    <w:rsid w:val="009E7B1F"/>
    <w:rPr>
      <w:rFonts w:ascii="Times New Roman" w:eastAsia="Cambria" w:hAnsi="Times New Roman" w:cs="Times New Roman"/>
      <w:sz w:val="24"/>
      <w:szCs w:val="22"/>
    </w:rPr>
  </w:style>
  <w:style w:type="paragraph" w:customStyle="1" w:styleId="BodTxt3">
    <w:name w:val="Bod Txt 3"/>
    <w:basedOn w:val="BodTxt2"/>
    <w:rsid w:val="009E7B1F"/>
    <w:pPr>
      <w:tabs>
        <w:tab w:val="clear" w:pos="6480"/>
        <w:tab w:val="left" w:pos="1440"/>
      </w:tabs>
      <w:spacing w:after="120"/>
    </w:pPr>
    <w:rPr>
      <w:spacing w:val="-3"/>
    </w:rPr>
  </w:style>
  <w:style w:type="paragraph" w:customStyle="1" w:styleId="BodTxt4">
    <w:name w:val="Bod Txt 4"/>
    <w:basedOn w:val="BodTxt3"/>
    <w:rsid w:val="009E7B1F"/>
    <w:pPr>
      <w:tabs>
        <w:tab w:val="clear" w:pos="1440"/>
        <w:tab w:val="left" w:pos="2520"/>
      </w:tabs>
    </w:pPr>
  </w:style>
  <w:style w:type="paragraph" w:styleId="BodyText2">
    <w:name w:val="Body Text 2"/>
    <w:basedOn w:val="Normal"/>
    <w:link w:val="BodyText2Char"/>
    <w:semiHidden/>
    <w:rsid w:val="009E7B1F"/>
    <w:pPr>
      <w:spacing w:after="160" w:line="480" w:lineRule="auto"/>
    </w:pPr>
    <w:rPr>
      <w:rFonts w:ascii="Times New Roman" w:eastAsia="Cambria" w:hAnsi="Times New Roman"/>
    </w:rPr>
  </w:style>
  <w:style w:type="character" w:customStyle="1" w:styleId="BodyText2Char">
    <w:name w:val="Body Text 2 Char"/>
    <w:link w:val="BodyText2"/>
    <w:semiHidden/>
    <w:rsid w:val="009E7B1F"/>
    <w:rPr>
      <w:rFonts w:ascii="Times New Roman" w:eastAsia="Cambria" w:hAnsi="Times New Roman" w:cs="Times New Roman"/>
      <w:sz w:val="24"/>
      <w:szCs w:val="24"/>
    </w:rPr>
  </w:style>
  <w:style w:type="paragraph" w:styleId="BodyText3">
    <w:name w:val="Body Text 3"/>
    <w:basedOn w:val="Normal"/>
    <w:link w:val="BodyText3Char"/>
    <w:rsid w:val="009E7B1F"/>
    <w:pPr>
      <w:spacing w:after="160"/>
    </w:pPr>
    <w:rPr>
      <w:rFonts w:ascii="Times New Roman" w:eastAsia="Cambria" w:hAnsi="Times New Roman"/>
      <w:sz w:val="16"/>
      <w:szCs w:val="16"/>
    </w:rPr>
  </w:style>
  <w:style w:type="character" w:customStyle="1" w:styleId="BodyText3Char">
    <w:name w:val="Body Text 3 Char"/>
    <w:link w:val="BodyText3"/>
    <w:rsid w:val="009E7B1F"/>
    <w:rPr>
      <w:rFonts w:ascii="Times New Roman" w:eastAsia="Cambria" w:hAnsi="Times New Roman" w:cs="Times New Roman"/>
      <w:sz w:val="16"/>
      <w:szCs w:val="16"/>
    </w:rPr>
  </w:style>
  <w:style w:type="paragraph" w:styleId="BodyText">
    <w:name w:val="Body Text"/>
    <w:aliases w:val="Right,bold"/>
    <w:basedOn w:val="Normal"/>
    <w:link w:val="BodyTextChar"/>
    <w:rsid w:val="009E7B1F"/>
    <w:pPr>
      <w:spacing w:before="120" w:after="160"/>
    </w:pPr>
    <w:rPr>
      <w:rFonts w:ascii="Times New Roman" w:eastAsia="Cambria" w:hAnsi="Times New Roman"/>
    </w:rPr>
  </w:style>
  <w:style w:type="character" w:customStyle="1" w:styleId="BodyTextChar">
    <w:name w:val="Body Text Char"/>
    <w:aliases w:val="Right Char,bold Char"/>
    <w:link w:val="BodyText"/>
    <w:rsid w:val="009E7B1F"/>
    <w:rPr>
      <w:rFonts w:ascii="Times New Roman" w:eastAsia="Cambria" w:hAnsi="Times New Roman" w:cs="Times New Roman"/>
      <w:sz w:val="24"/>
      <w:szCs w:val="24"/>
    </w:rPr>
  </w:style>
  <w:style w:type="paragraph" w:styleId="BodyTextFirstIndent">
    <w:name w:val="Body Text First Indent"/>
    <w:basedOn w:val="BodyText"/>
    <w:link w:val="BodyTextFirstIndentChar"/>
    <w:uiPriority w:val="99"/>
    <w:unhideWhenUsed/>
    <w:rsid w:val="009E7B1F"/>
    <w:pPr>
      <w:spacing w:before="0" w:after="120"/>
      <w:ind w:firstLine="210"/>
    </w:pPr>
  </w:style>
  <w:style w:type="character" w:customStyle="1" w:styleId="BodyTextFirstIndentChar">
    <w:name w:val="Body Text First Indent Char"/>
    <w:link w:val="BodyTextFirstIndent"/>
    <w:uiPriority w:val="99"/>
    <w:rsid w:val="009E7B1F"/>
    <w:rPr>
      <w:rFonts w:ascii="Times New Roman" w:eastAsia="Cambria" w:hAnsi="Times New Roman" w:cs="Times New Roman"/>
      <w:sz w:val="24"/>
      <w:szCs w:val="24"/>
    </w:rPr>
  </w:style>
  <w:style w:type="paragraph" w:styleId="BodyTextIndent">
    <w:name w:val="Body Text Indent"/>
    <w:basedOn w:val="Normal"/>
    <w:link w:val="BodyTextIndentChar"/>
    <w:uiPriority w:val="99"/>
    <w:unhideWhenUsed/>
    <w:rsid w:val="009E7B1F"/>
    <w:pPr>
      <w:spacing w:before="120" w:after="120"/>
      <w:ind w:left="360"/>
    </w:pPr>
    <w:rPr>
      <w:rFonts w:ascii="Times New Roman" w:eastAsia="Cambria" w:hAnsi="Times New Roman"/>
    </w:rPr>
  </w:style>
  <w:style w:type="character" w:customStyle="1" w:styleId="BodyTextIndentChar">
    <w:name w:val="Body Text Indent Char"/>
    <w:link w:val="BodyTextIndent"/>
    <w:uiPriority w:val="99"/>
    <w:rsid w:val="009E7B1F"/>
    <w:rPr>
      <w:rFonts w:ascii="Times New Roman" w:eastAsia="Cambria" w:hAnsi="Times New Roman" w:cs="Times New Roman"/>
      <w:sz w:val="24"/>
      <w:szCs w:val="24"/>
    </w:rPr>
  </w:style>
  <w:style w:type="paragraph" w:styleId="BodyTextIndent2">
    <w:name w:val="Body Text Indent 2"/>
    <w:basedOn w:val="Normal"/>
    <w:link w:val="BodyTextIndent2Char"/>
    <w:uiPriority w:val="99"/>
    <w:semiHidden/>
    <w:unhideWhenUsed/>
    <w:rsid w:val="009E7B1F"/>
    <w:pPr>
      <w:spacing w:after="240" w:line="480" w:lineRule="auto"/>
      <w:ind w:left="360"/>
    </w:pPr>
    <w:rPr>
      <w:rFonts w:ascii="Book Antiqua" w:eastAsia="Cambria" w:hAnsi="Book Antiqua"/>
      <w:sz w:val="22"/>
      <w:szCs w:val="20"/>
    </w:rPr>
  </w:style>
  <w:style w:type="character" w:customStyle="1" w:styleId="BodyTextIndent2Char">
    <w:name w:val="Body Text Indent 2 Char"/>
    <w:link w:val="BodyTextIndent2"/>
    <w:uiPriority w:val="99"/>
    <w:semiHidden/>
    <w:rsid w:val="009E7B1F"/>
    <w:rPr>
      <w:rFonts w:ascii="Book Antiqua" w:eastAsia="Cambria" w:hAnsi="Book Antiqua" w:cs="Times New Roman"/>
      <w:sz w:val="22"/>
    </w:rPr>
  </w:style>
  <w:style w:type="paragraph" w:styleId="BodyTextIndent3">
    <w:name w:val="Body Text Indent 3"/>
    <w:basedOn w:val="Normal"/>
    <w:link w:val="BodyTextIndent3Char"/>
    <w:uiPriority w:val="99"/>
    <w:rsid w:val="009E7B1F"/>
    <w:pPr>
      <w:spacing w:after="160"/>
      <w:ind w:left="360"/>
    </w:pPr>
    <w:rPr>
      <w:rFonts w:ascii="Times New Roman" w:eastAsia="Cambria" w:hAnsi="Times New Roman"/>
      <w:sz w:val="16"/>
      <w:szCs w:val="16"/>
    </w:rPr>
  </w:style>
  <w:style w:type="character" w:customStyle="1" w:styleId="BodyTextIndent3Char">
    <w:name w:val="Body Text Indent 3 Char"/>
    <w:link w:val="BodyTextIndent3"/>
    <w:uiPriority w:val="99"/>
    <w:rsid w:val="009E7B1F"/>
    <w:rPr>
      <w:rFonts w:ascii="Times New Roman" w:eastAsia="Cambria" w:hAnsi="Times New Roman" w:cs="Times New Roman"/>
      <w:sz w:val="16"/>
      <w:szCs w:val="16"/>
    </w:rPr>
  </w:style>
  <w:style w:type="paragraph" w:customStyle="1" w:styleId="BodyTextBook">
    <w:name w:val="BodyText(Book)"/>
    <w:rsid w:val="009E7B1F"/>
    <w:pPr>
      <w:spacing w:line="260" w:lineRule="exact"/>
    </w:pPr>
    <w:rPr>
      <w:rFonts w:ascii="Book Antiqua" w:eastAsia="Times New Roman" w:hAnsi="Book Antiqua"/>
      <w:noProof/>
      <w:sz w:val="19"/>
    </w:rPr>
  </w:style>
  <w:style w:type="paragraph" w:styleId="List">
    <w:name w:val="List"/>
    <w:basedOn w:val="Normal"/>
    <w:uiPriority w:val="99"/>
    <w:rsid w:val="009E7B1F"/>
    <w:pPr>
      <w:spacing w:before="120" w:after="160"/>
      <w:ind w:left="360" w:hanging="360"/>
      <w:contextualSpacing/>
    </w:pPr>
    <w:rPr>
      <w:rFonts w:ascii="Times New Roman" w:eastAsia="Cambria" w:hAnsi="Times New Roman"/>
    </w:rPr>
  </w:style>
  <w:style w:type="paragraph" w:customStyle="1" w:styleId="bullet1">
    <w:name w:val="bullet 1"/>
    <w:basedOn w:val="List"/>
    <w:link w:val="bullet1CharChar"/>
    <w:rsid w:val="009E7B1F"/>
    <w:pPr>
      <w:numPr>
        <w:numId w:val="2"/>
      </w:numPr>
      <w:spacing w:before="0" w:after="0"/>
      <w:contextualSpacing w:val="0"/>
    </w:pPr>
    <w:rPr>
      <w:spacing w:val="-2"/>
      <w:sz w:val="20"/>
      <w:szCs w:val="22"/>
      <w:lang w:val="x-none" w:eastAsia="x-none"/>
    </w:rPr>
  </w:style>
  <w:style w:type="character" w:customStyle="1" w:styleId="bullet1CharChar">
    <w:name w:val="bullet 1 Char Char"/>
    <w:link w:val="bullet1"/>
    <w:rsid w:val="009E7B1F"/>
    <w:rPr>
      <w:rFonts w:ascii="Times New Roman" w:eastAsia="Cambria" w:hAnsi="Times New Roman"/>
      <w:spacing w:val="-2"/>
      <w:sz w:val="20"/>
      <w:szCs w:val="22"/>
      <w:lang w:val="x-none" w:eastAsia="x-none"/>
    </w:rPr>
  </w:style>
  <w:style w:type="character" w:customStyle="1" w:styleId="bullet1Char">
    <w:name w:val="bullet 1 Char"/>
    <w:rsid w:val="009E7B1F"/>
    <w:rPr>
      <w:rFonts w:ascii="Times New Roman" w:eastAsia="Times New Roman" w:hAnsi="Times New Roman" w:cs="Times New Roman"/>
      <w:spacing w:val="-2"/>
      <w:sz w:val="24"/>
    </w:rPr>
  </w:style>
  <w:style w:type="paragraph" w:customStyle="1" w:styleId="bullet1last">
    <w:name w:val="bullet 1 last"/>
    <w:basedOn w:val="bullet1"/>
    <w:rsid w:val="009E7B1F"/>
    <w:pPr>
      <w:numPr>
        <w:numId w:val="0"/>
      </w:numPr>
      <w:spacing w:after="240"/>
    </w:pPr>
  </w:style>
  <w:style w:type="paragraph" w:customStyle="1" w:styleId="bullet1LAST0">
    <w:name w:val="bullet 1 LAST"/>
    <w:basedOn w:val="bullet1"/>
    <w:link w:val="bullet1LASTChar"/>
    <w:rsid w:val="009E7B1F"/>
    <w:pPr>
      <w:spacing w:after="360"/>
    </w:pPr>
  </w:style>
  <w:style w:type="character" w:customStyle="1" w:styleId="bullet1LASTChar">
    <w:name w:val="bullet 1 LAST Char"/>
    <w:link w:val="bullet1LAST0"/>
    <w:rsid w:val="009E7B1F"/>
    <w:rPr>
      <w:rFonts w:ascii="Times New Roman" w:eastAsia="Cambria" w:hAnsi="Times New Roman"/>
      <w:spacing w:val="-2"/>
      <w:sz w:val="20"/>
      <w:szCs w:val="22"/>
      <w:lang w:val="x-none" w:eastAsia="x-none"/>
    </w:rPr>
  </w:style>
  <w:style w:type="paragraph" w:customStyle="1" w:styleId="bullet2">
    <w:name w:val="bullet 2"/>
    <w:basedOn w:val="bullet1"/>
    <w:qFormat/>
    <w:rsid w:val="009E7B1F"/>
    <w:pPr>
      <w:numPr>
        <w:numId w:val="1"/>
      </w:numPr>
      <w:tabs>
        <w:tab w:val="num" w:pos="360"/>
      </w:tabs>
      <w:ind w:left="1440"/>
    </w:pPr>
    <w:rPr>
      <w:sz w:val="23"/>
      <w:szCs w:val="23"/>
    </w:rPr>
  </w:style>
  <w:style w:type="paragraph" w:customStyle="1" w:styleId="bullet2LAST">
    <w:name w:val="bullet 2 LAST"/>
    <w:basedOn w:val="bullet2"/>
    <w:qFormat/>
    <w:rsid w:val="009E7B1F"/>
    <w:pPr>
      <w:numPr>
        <w:numId w:val="0"/>
      </w:numPr>
      <w:spacing w:after="240"/>
    </w:pPr>
  </w:style>
  <w:style w:type="paragraph" w:customStyle="1" w:styleId="bullet3">
    <w:name w:val="bullet 3"/>
    <w:basedOn w:val="bullet1"/>
    <w:qFormat/>
    <w:rsid w:val="009E7B1F"/>
    <w:pPr>
      <w:numPr>
        <w:ilvl w:val="2"/>
      </w:numPr>
      <w:tabs>
        <w:tab w:val="clear" w:pos="1080"/>
        <w:tab w:val="num" w:pos="360"/>
      </w:tabs>
      <w:spacing w:before="40" w:after="120"/>
      <w:ind w:left="2160" w:hanging="360"/>
    </w:pPr>
  </w:style>
  <w:style w:type="paragraph" w:customStyle="1" w:styleId="bullet4">
    <w:name w:val="bullet 4"/>
    <w:basedOn w:val="bullet1"/>
    <w:qFormat/>
    <w:rsid w:val="009E7B1F"/>
    <w:pPr>
      <w:numPr>
        <w:ilvl w:val="3"/>
      </w:numPr>
      <w:tabs>
        <w:tab w:val="clear" w:pos="1440"/>
        <w:tab w:val="num" w:pos="360"/>
      </w:tabs>
      <w:spacing w:before="40" w:after="80"/>
      <w:ind w:left="2880" w:hanging="360"/>
    </w:pPr>
  </w:style>
  <w:style w:type="paragraph" w:customStyle="1" w:styleId="BulletLevel10">
    <w:name w:val="Bullet Level 1"/>
    <w:basedOn w:val="Normal"/>
    <w:link w:val="BulletLevel1Char"/>
    <w:rsid w:val="009E7B1F"/>
    <w:pPr>
      <w:spacing w:before="120" w:after="240"/>
    </w:pPr>
    <w:rPr>
      <w:rFonts w:ascii="Book Antiqua" w:eastAsia="Calibri" w:hAnsi="Book Antiqua"/>
      <w:sz w:val="20"/>
    </w:rPr>
  </w:style>
  <w:style w:type="character" w:customStyle="1" w:styleId="BulletLevel1Char">
    <w:name w:val="Bullet Level 1 Char"/>
    <w:link w:val="BulletLevel10"/>
    <w:locked/>
    <w:rsid w:val="009E7B1F"/>
    <w:rPr>
      <w:rFonts w:ascii="Book Antiqua" w:eastAsia="Calibri" w:hAnsi="Book Antiqua" w:cs="Times New Roman"/>
      <w:szCs w:val="24"/>
    </w:rPr>
  </w:style>
  <w:style w:type="paragraph" w:customStyle="1" w:styleId="Bulletlevel1">
    <w:name w:val="Bullet level 1"/>
    <w:basedOn w:val="BodyText"/>
    <w:link w:val="Bulletlevel1Char0"/>
    <w:qFormat/>
    <w:rsid w:val="009E7B1F"/>
    <w:pPr>
      <w:widowControl w:val="0"/>
      <w:numPr>
        <w:numId w:val="3"/>
      </w:numPr>
      <w:spacing w:before="0" w:after="120"/>
    </w:pPr>
    <w:rPr>
      <w:sz w:val="22"/>
      <w:szCs w:val="20"/>
      <w:lang w:val="x-none" w:eastAsia="x-none"/>
    </w:rPr>
  </w:style>
  <w:style w:type="character" w:customStyle="1" w:styleId="Bulletlevel1Char0">
    <w:name w:val="Bullet level 1 Char"/>
    <w:link w:val="Bulletlevel1"/>
    <w:rsid w:val="009E7B1F"/>
    <w:rPr>
      <w:rFonts w:ascii="Times New Roman" w:eastAsia="Cambria" w:hAnsi="Times New Roman"/>
      <w:sz w:val="22"/>
      <w:szCs w:val="20"/>
      <w:lang w:val="x-none" w:eastAsia="x-none"/>
    </w:rPr>
  </w:style>
  <w:style w:type="paragraph" w:customStyle="1" w:styleId="BulletLevel1LST">
    <w:name w:val="Bullet Level 1 LST"/>
    <w:basedOn w:val="Normal"/>
    <w:rsid w:val="009E7B1F"/>
    <w:pPr>
      <w:spacing w:after="200"/>
    </w:pPr>
    <w:rPr>
      <w:rFonts w:ascii="Book Antiqua" w:eastAsia="Cambria" w:hAnsi="Book Antiqua"/>
      <w:szCs w:val="20"/>
    </w:rPr>
  </w:style>
  <w:style w:type="paragraph" w:customStyle="1" w:styleId="BulletLevel2">
    <w:name w:val="Bullet Level 2"/>
    <w:basedOn w:val="Normal"/>
    <w:link w:val="BulletLevel2Char"/>
    <w:qFormat/>
    <w:rsid w:val="009E7B1F"/>
    <w:pPr>
      <w:spacing w:after="160"/>
    </w:pPr>
    <w:rPr>
      <w:rFonts w:ascii="Times New Roman" w:eastAsia="Cambria" w:hAnsi="Times New Roman"/>
      <w:lang w:val="x-none" w:eastAsia="x-none"/>
    </w:rPr>
  </w:style>
  <w:style w:type="character" w:customStyle="1" w:styleId="BulletLevel2Char">
    <w:name w:val="Bullet Level 2 Char"/>
    <w:link w:val="BulletLevel2"/>
    <w:rsid w:val="009E7B1F"/>
    <w:rPr>
      <w:rFonts w:ascii="Times New Roman" w:eastAsia="Cambria" w:hAnsi="Times New Roman" w:cs="Times New Roman"/>
      <w:sz w:val="24"/>
      <w:szCs w:val="24"/>
    </w:rPr>
  </w:style>
  <w:style w:type="paragraph" w:customStyle="1" w:styleId="bulletresume">
    <w:name w:val="bullet resume"/>
    <w:qFormat/>
    <w:rsid w:val="009E7B1F"/>
    <w:pPr>
      <w:framePr w:hSpace="187" w:wrap="around" w:vAnchor="page" w:hAnchor="margin" w:xAlign="right" w:y="7561"/>
      <w:numPr>
        <w:numId w:val="4"/>
      </w:numPr>
      <w:suppressOverlap/>
    </w:pPr>
    <w:rPr>
      <w:rFonts w:ascii="Times New Roman" w:eastAsia="Times New Roman" w:hAnsi="Times New Roman"/>
      <w:spacing w:val="-2"/>
    </w:rPr>
  </w:style>
  <w:style w:type="paragraph" w:customStyle="1" w:styleId="BulletedList">
    <w:name w:val="Bulleted List"/>
    <w:basedOn w:val="Normal"/>
    <w:rsid w:val="009E7B1F"/>
    <w:pPr>
      <w:keepLines/>
      <w:widowControl w:val="0"/>
    </w:pPr>
    <w:rPr>
      <w:rFonts w:ascii="AGaramond" w:eastAsia="Cambria" w:hAnsi="AGaramond"/>
      <w:sz w:val="20"/>
      <w:szCs w:val="20"/>
    </w:rPr>
  </w:style>
  <w:style w:type="paragraph" w:customStyle="1" w:styleId="bulletlevel11">
    <w:name w:val="bulletlevel1"/>
    <w:basedOn w:val="Normal"/>
    <w:rsid w:val="009E7B1F"/>
    <w:pPr>
      <w:tabs>
        <w:tab w:val="num" w:pos="792"/>
      </w:tabs>
      <w:ind w:left="792" w:hanging="360"/>
    </w:pPr>
    <w:rPr>
      <w:rFonts w:ascii="Times New Roman" w:eastAsia="Cambria" w:hAnsi="Times New Roman"/>
      <w:spacing w:val="-2"/>
      <w:sz w:val="22"/>
      <w:szCs w:val="22"/>
    </w:rPr>
  </w:style>
  <w:style w:type="paragraph" w:customStyle="1" w:styleId="c6">
    <w:name w:val="c6"/>
    <w:basedOn w:val="Normal"/>
    <w:rsid w:val="009E7B1F"/>
    <w:pPr>
      <w:spacing w:before="120" w:after="160" w:line="240" w:lineRule="atLeast"/>
      <w:jc w:val="center"/>
    </w:pPr>
    <w:rPr>
      <w:rFonts w:ascii="Times New Roman" w:eastAsia="Cambria" w:hAnsi="Times New Roman"/>
      <w:snapToGrid w:val="0"/>
      <w:szCs w:val="20"/>
    </w:rPr>
  </w:style>
  <w:style w:type="paragraph" w:styleId="Caption">
    <w:name w:val="caption"/>
    <w:basedOn w:val="Normal"/>
    <w:next w:val="Normal"/>
    <w:uiPriority w:val="35"/>
    <w:semiHidden/>
    <w:unhideWhenUsed/>
    <w:qFormat/>
    <w:rsid w:val="009E7B1F"/>
    <w:pPr>
      <w:spacing w:after="200"/>
    </w:pPr>
    <w:rPr>
      <w:rFonts w:ascii="Calibri" w:eastAsia="Calibri" w:hAnsi="Calibri"/>
      <w:b/>
      <w:bCs/>
      <w:color w:val="4F81BD"/>
      <w:sz w:val="18"/>
      <w:szCs w:val="18"/>
    </w:rPr>
  </w:style>
  <w:style w:type="character" w:customStyle="1" w:styleId="cit-first-element2">
    <w:name w:val="cit-first-element2"/>
    <w:rsid w:val="009E7B1F"/>
  </w:style>
  <w:style w:type="paragraph" w:customStyle="1" w:styleId="Submitted">
    <w:name w:val="Submitted"/>
    <w:aliases w:val="Prepared"/>
    <w:basedOn w:val="Normal"/>
    <w:rsid w:val="009E7B1F"/>
    <w:rPr>
      <w:rFonts w:ascii="Trebuchet MS" w:eastAsia="Cambria" w:hAnsi="Trebuchet MS"/>
      <w:i/>
      <w:sz w:val="32"/>
    </w:rPr>
  </w:style>
  <w:style w:type="paragraph" w:customStyle="1" w:styleId="Client">
    <w:name w:val="Client"/>
    <w:aliases w:val="Lewin"/>
    <w:basedOn w:val="Submitted"/>
    <w:rsid w:val="009E7B1F"/>
    <w:rPr>
      <w:b/>
      <w:i w:val="0"/>
      <w:sz w:val="36"/>
    </w:rPr>
  </w:style>
  <w:style w:type="paragraph" w:customStyle="1" w:styleId="CM2">
    <w:name w:val="CM2"/>
    <w:basedOn w:val="Normal"/>
    <w:next w:val="Normal"/>
    <w:uiPriority w:val="99"/>
    <w:rsid w:val="009E7B1F"/>
    <w:pPr>
      <w:widowControl w:val="0"/>
      <w:autoSpaceDE w:val="0"/>
      <w:autoSpaceDN w:val="0"/>
      <w:adjustRightInd w:val="0"/>
      <w:spacing w:line="253" w:lineRule="atLeast"/>
    </w:pPr>
    <w:rPr>
      <w:rFonts w:ascii="Arial" w:eastAsia="Cambria" w:hAnsi="Arial" w:cs="Arial"/>
      <w:szCs w:val="20"/>
    </w:rPr>
  </w:style>
  <w:style w:type="paragraph" w:customStyle="1" w:styleId="CM280">
    <w:name w:val="CM280"/>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M287">
    <w:name w:val="CM287"/>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olumnBullet">
    <w:name w:val="ColumnBullet"/>
    <w:rsid w:val="009E7B1F"/>
    <w:pPr>
      <w:numPr>
        <w:numId w:val="5"/>
      </w:numPr>
      <w:spacing w:before="60" w:after="60"/>
    </w:pPr>
    <w:rPr>
      <w:rFonts w:ascii="Book Antiqua" w:eastAsia="Times New Roman" w:hAnsi="Book Antiqua"/>
      <w:kern w:val="18"/>
    </w:rPr>
  </w:style>
  <w:style w:type="paragraph" w:customStyle="1" w:styleId="ColumnText">
    <w:name w:val="ColumnText"/>
    <w:link w:val="ColumnTextChar"/>
    <w:rsid w:val="009E7B1F"/>
    <w:pPr>
      <w:spacing w:before="60" w:after="60"/>
    </w:pPr>
    <w:rPr>
      <w:rFonts w:ascii="Book Antiqua" w:eastAsia="Times New Roman" w:hAnsi="Book Antiqua"/>
      <w:kern w:val="18"/>
    </w:rPr>
  </w:style>
  <w:style w:type="character" w:customStyle="1" w:styleId="ColumnTextChar">
    <w:name w:val="ColumnText Char"/>
    <w:link w:val="ColumnText"/>
    <w:rsid w:val="009E7B1F"/>
    <w:rPr>
      <w:rFonts w:ascii="Book Antiqua" w:eastAsia="Times New Roman" w:hAnsi="Book Antiqua"/>
      <w:kern w:val="18"/>
      <w:szCs w:val="24"/>
      <w:lang w:bidi="ar-SA"/>
    </w:rPr>
  </w:style>
  <w:style w:type="character" w:customStyle="1" w:styleId="content">
    <w:name w:val="content"/>
    <w:rsid w:val="009E7B1F"/>
  </w:style>
  <w:style w:type="paragraph" w:customStyle="1" w:styleId="CoverPage1">
    <w:name w:val="Cover Page 1"/>
    <w:basedOn w:val="Normal"/>
    <w:rsid w:val="009E7B1F"/>
    <w:pPr>
      <w:spacing w:before="360" w:after="160"/>
    </w:pPr>
    <w:rPr>
      <w:rFonts w:ascii="Trebuchet MS" w:eastAsia="Cambria" w:hAnsi="Trebuchet MS" w:cs="Arial"/>
      <w:b/>
      <w:color w:val="00267F"/>
      <w:sz w:val="32"/>
      <w:szCs w:val="28"/>
    </w:rPr>
  </w:style>
  <w:style w:type="paragraph" w:customStyle="1" w:styleId="CoverPage125">
    <w:name w:val="Cover Page 1.25"/>
    <w:basedOn w:val="CoverPage1"/>
    <w:qFormat/>
    <w:rsid w:val="009E7B1F"/>
    <w:pPr>
      <w:spacing w:before="0" w:after="120"/>
    </w:pPr>
    <w:rPr>
      <w:sz w:val="24"/>
      <w:szCs w:val="36"/>
    </w:rPr>
  </w:style>
  <w:style w:type="paragraph" w:customStyle="1" w:styleId="CoverPage15">
    <w:name w:val="Cover Page 1.5"/>
    <w:basedOn w:val="Normal"/>
    <w:qFormat/>
    <w:rsid w:val="009E7B1F"/>
    <w:rPr>
      <w:rFonts w:ascii="Trebuchet MS" w:eastAsia="Cambria" w:hAnsi="Trebuchet MS" w:cs="Arial"/>
      <w:b/>
      <w:i/>
      <w:color w:val="00267F"/>
      <w:spacing w:val="-2"/>
      <w:sz w:val="32"/>
      <w:szCs w:val="32"/>
    </w:rPr>
  </w:style>
  <w:style w:type="paragraph" w:customStyle="1" w:styleId="CoverPage2">
    <w:name w:val="Cover Page 2"/>
    <w:basedOn w:val="Normal"/>
    <w:rsid w:val="009E7B1F"/>
    <w:pPr>
      <w:tabs>
        <w:tab w:val="left" w:pos="2160"/>
      </w:tabs>
      <w:spacing w:before="120"/>
    </w:pPr>
    <w:rPr>
      <w:rFonts w:ascii="Trebuchet MS" w:eastAsia="Cambria" w:hAnsi="Trebuchet MS" w:cs="Arial"/>
      <w:szCs w:val="20"/>
    </w:rPr>
  </w:style>
  <w:style w:type="paragraph" w:customStyle="1" w:styleId="CoverPage3Date">
    <w:name w:val="Cover Page 3 Date"/>
    <w:basedOn w:val="Normal"/>
    <w:qFormat/>
    <w:rsid w:val="009E7B1F"/>
    <w:pPr>
      <w:tabs>
        <w:tab w:val="left" w:pos="2160"/>
      </w:tabs>
      <w:spacing w:after="160"/>
      <w:ind w:left="2160" w:hanging="2160"/>
    </w:pPr>
    <w:rPr>
      <w:rFonts w:ascii="Trebuchet MS" w:eastAsia="Cambria" w:hAnsi="Trebuchet MS" w:cs="Arial"/>
      <w:b/>
      <w:i/>
      <w:color w:val="00267F"/>
      <w:sz w:val="28"/>
      <w:szCs w:val="20"/>
    </w:rPr>
  </w:style>
  <w:style w:type="paragraph" w:customStyle="1" w:styleId="DeliverableType">
    <w:name w:val="Deliverable Type"/>
    <w:basedOn w:val="Normal"/>
    <w:rsid w:val="009E7B1F"/>
    <w:pPr>
      <w:spacing w:after="600"/>
      <w:jc w:val="center"/>
    </w:pPr>
    <w:rPr>
      <w:rFonts w:ascii="Trebuchet MS" w:eastAsia="Cambria" w:hAnsi="Trebuchet MS"/>
      <w:b/>
      <w:i/>
      <w:sz w:val="40"/>
    </w:rPr>
  </w:style>
  <w:style w:type="paragraph" w:customStyle="1" w:styleId="Disclaimer1">
    <w:name w:val="Disclaimer 1"/>
    <w:basedOn w:val="Normal"/>
    <w:rsid w:val="009E7B1F"/>
    <w:pPr>
      <w:autoSpaceDE w:val="0"/>
      <w:autoSpaceDN w:val="0"/>
      <w:adjustRightInd w:val="0"/>
      <w:spacing w:before="600"/>
    </w:pPr>
    <w:rPr>
      <w:rFonts w:ascii="BookAntiqua" w:eastAsia="Cambria" w:hAnsi="BookAntiqua" w:cs="BookAntiqua"/>
      <w:color w:val="00267F"/>
      <w:sz w:val="17"/>
      <w:szCs w:val="18"/>
    </w:rPr>
  </w:style>
  <w:style w:type="paragraph" w:customStyle="1" w:styleId="DisclosureStmt34margin">
    <w:name w:val="Disclosure Stmt—3/4&quot; margin"/>
    <w:basedOn w:val="Normal"/>
    <w:rsid w:val="009E7B1F"/>
    <w:pPr>
      <w:tabs>
        <w:tab w:val="right" w:pos="9720"/>
      </w:tabs>
      <w:ind w:left="360"/>
      <w:jc w:val="center"/>
    </w:pPr>
    <w:rPr>
      <w:rFonts w:ascii="Trebuchet MS" w:eastAsia="Cambria" w:hAnsi="Trebuchet MS"/>
      <w:color w:val="00267F"/>
      <w:sz w:val="16"/>
      <w:szCs w:val="16"/>
    </w:rPr>
  </w:style>
  <w:style w:type="paragraph" w:styleId="DocumentMap">
    <w:name w:val="Document Map"/>
    <w:basedOn w:val="Normal"/>
    <w:link w:val="DocumentMapChar"/>
    <w:semiHidden/>
    <w:rsid w:val="009E7B1F"/>
    <w:pPr>
      <w:shd w:val="clear" w:color="auto" w:fill="000080"/>
      <w:spacing w:after="240"/>
    </w:pPr>
    <w:rPr>
      <w:rFonts w:ascii="Tahoma" w:eastAsia="Cambria" w:hAnsi="Tahoma" w:cs="Tahoma"/>
      <w:sz w:val="20"/>
      <w:szCs w:val="20"/>
    </w:rPr>
  </w:style>
  <w:style w:type="character" w:customStyle="1" w:styleId="DocumentMapChar">
    <w:name w:val="Document Map Char"/>
    <w:link w:val="DocumentMap"/>
    <w:semiHidden/>
    <w:rsid w:val="009E7B1F"/>
    <w:rPr>
      <w:rFonts w:ascii="Tahoma" w:eastAsia="Cambria" w:hAnsi="Tahoma" w:cs="Tahoma"/>
      <w:shd w:val="clear" w:color="auto" w:fill="000080"/>
    </w:rPr>
  </w:style>
  <w:style w:type="table" w:styleId="TableTheme">
    <w:name w:val="Table Theme"/>
    <w:basedOn w:val="TableNormal"/>
    <w:uiPriority w:val="99"/>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9E7B1F"/>
    <w:pPr>
      <w:spacing w:before="0" w:after="0"/>
      <w:contextualSpacing/>
    </w:p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00" w:lineRule="exact"/>
        <w:ind w:leftChars="0" w:left="0" w:rightChars="0" w:right="0" w:firstLineChars="0" w:firstLine="0"/>
        <w:contextualSpacing/>
        <w:jc w:val="center"/>
        <w:outlineLvl w:val="9"/>
      </w:pPr>
      <w:rPr>
        <w:rFonts w:ascii="Cambria Math" w:hAnsi="Cambria Math"/>
        <w:b/>
        <w:i w:val="0"/>
        <w:color w:val="FFFFFF"/>
        <w:sz w:val="24"/>
      </w:rPr>
      <w:tblPr/>
      <w:tcPr>
        <w:tcBorders>
          <w:insideV w:val="dashed" w:sz="4" w:space="0" w:color="FFFFFF"/>
        </w:tcBorders>
        <w:shd w:val="clear" w:color="auto" w:fill="00267F"/>
      </w:tcPr>
    </w:tblStylePr>
    <w:tblStylePr w:type="lastRow">
      <w:tblPr/>
      <w:tcPr>
        <w:tcBorders>
          <w:bottom w:val="single" w:sz="36" w:space="0" w:color="00267F"/>
        </w:tcBorders>
      </w:tcPr>
    </w:tblStylePr>
    <w:tblStylePr w:type="band1Horz">
      <w:tblPr/>
      <w:tcPr>
        <w:shd w:val="clear" w:color="auto" w:fill="F0E8D4"/>
      </w:tcPr>
    </w:tblStylePr>
  </w:style>
  <w:style w:type="table" w:customStyle="1" w:styleId="DukeTable1">
    <w:name w:val="Duke Table1"/>
    <w:basedOn w:val="TableTheme"/>
    <w:rsid w:val="009E7B1F"/>
    <w:pPr>
      <w:spacing w:before="0" w:after="0"/>
    </w:pPr>
    <w:rPr>
      <w:rFonts w:ascii="Times New Roman" w:eastAsia="SimSun" w:hAnsi="Times New Roman"/>
      <w:sz w:val="20"/>
      <w:szCs w:val="20"/>
    </w:rPr>
    <w:tblPr>
      <w:tblStyleRowBandSize w:val="1"/>
      <w:tblInd w:w="0" w:type="dxa"/>
      <w:tblBorders>
        <w:insideH w:val="single" w:sz="4" w:space="0" w:color="00267F"/>
        <w:insideV w:val="single" w:sz="4" w:space="0" w:color="00267F"/>
      </w:tblBorders>
      <w:tblCellMar>
        <w:top w:w="0" w:type="dxa"/>
        <w:left w:w="108" w:type="dxa"/>
        <w:bottom w:w="0" w:type="dxa"/>
        <w:right w:w="108" w:type="dxa"/>
      </w:tblCellMar>
    </w:tblPr>
    <w:tblStylePr w:type="firstRow">
      <w:rPr>
        <w:rFonts w:ascii="Cambria Math" w:hAnsi="Cambria Math" w:cs="Cambria Math" w:hint="default"/>
        <w:b w:val="0"/>
        <w:i w:val="0"/>
        <w:sz w:val="24"/>
        <w:szCs w:val="24"/>
      </w:rPr>
      <w:tblPr/>
      <w:tcPr>
        <w:tcBorders>
          <w:insideH w:val="single" w:sz="4" w:space="0" w:color="FFFFFF"/>
          <w:insideV w:val="single" w:sz="4" w:space="0" w:color="FFFFFF"/>
        </w:tcBorders>
        <w:shd w:val="clear" w:color="auto" w:fill="00267F"/>
      </w:tcPr>
    </w:tblStylePr>
    <w:tblStylePr w:type="lastRow">
      <w:tblPr/>
      <w:tcPr>
        <w:tcBorders>
          <w:bottom w:val="nil"/>
        </w:tcBorders>
      </w:tcPr>
    </w:tblStylePr>
    <w:tblStylePr w:type="band2Horz">
      <w:tblPr/>
      <w:tcPr>
        <w:shd w:val="clear" w:color="auto" w:fill="F0E8D4"/>
      </w:tcPr>
    </w:tblStylePr>
  </w:style>
  <w:style w:type="paragraph" w:customStyle="1" w:styleId="Education">
    <w:name w:val="Education"/>
    <w:basedOn w:val="Normal"/>
    <w:link w:val="EducationChar"/>
    <w:qFormat/>
    <w:rsid w:val="009E7B1F"/>
    <w:pPr>
      <w:spacing w:after="120"/>
      <w:ind w:left="864" w:hanging="432"/>
    </w:pPr>
    <w:rPr>
      <w:rFonts w:ascii="Book Antiqua" w:eastAsia="Cambria" w:hAnsi="Book Antiqua"/>
      <w:sz w:val="22"/>
      <w:szCs w:val="22"/>
      <w:lang w:val="x-none" w:eastAsia="x-none"/>
    </w:rPr>
  </w:style>
  <w:style w:type="character" w:customStyle="1" w:styleId="EducationChar">
    <w:name w:val="Education Char"/>
    <w:link w:val="Education"/>
    <w:rsid w:val="009E7B1F"/>
    <w:rPr>
      <w:rFonts w:ascii="Book Antiqua" w:eastAsia="Cambria" w:hAnsi="Book Antiqua" w:cs="Times New Roman"/>
      <w:sz w:val="22"/>
      <w:szCs w:val="22"/>
    </w:rPr>
  </w:style>
  <w:style w:type="character" w:styleId="Emphasis">
    <w:name w:val="Emphasis"/>
    <w:qFormat/>
    <w:rsid w:val="009E7B1F"/>
    <w:rPr>
      <w:i/>
      <w:iCs/>
    </w:rPr>
  </w:style>
  <w:style w:type="character" w:styleId="EndnoteReference">
    <w:name w:val="endnote reference"/>
    <w:semiHidden/>
    <w:rsid w:val="009E7B1F"/>
    <w:rPr>
      <w:vertAlign w:val="superscript"/>
    </w:rPr>
  </w:style>
  <w:style w:type="paragraph" w:styleId="EndnoteText">
    <w:name w:val="endnote text"/>
    <w:basedOn w:val="Normal"/>
    <w:link w:val="EndnoteTextChar"/>
    <w:autoRedefine/>
    <w:rsid w:val="009E7B1F"/>
    <w:pPr>
      <w:tabs>
        <w:tab w:val="left" w:pos="6480"/>
      </w:tabs>
      <w:spacing w:after="40"/>
      <w:ind w:left="360" w:hanging="360"/>
    </w:pPr>
    <w:rPr>
      <w:rFonts w:ascii="Calibri" w:eastAsia="Cambria" w:hAnsi="Calibri"/>
      <w:snapToGrid w:val="0"/>
      <w:sz w:val="18"/>
      <w:szCs w:val="20"/>
    </w:rPr>
  </w:style>
  <w:style w:type="character" w:customStyle="1" w:styleId="EndnoteTextChar">
    <w:name w:val="Endnote Text Char"/>
    <w:link w:val="EndnoteText"/>
    <w:rsid w:val="009E7B1F"/>
    <w:rPr>
      <w:rFonts w:ascii="Calibri" w:eastAsia="Cambria" w:hAnsi="Calibri" w:cs="Times New Roman"/>
      <w:snapToGrid w:val="0"/>
      <w:sz w:val="18"/>
    </w:rPr>
  </w:style>
  <w:style w:type="paragraph" w:customStyle="1" w:styleId="ExhibitColumnHeads">
    <w:name w:val="Exhibit Column Heads"/>
    <w:basedOn w:val="BodyText"/>
    <w:rsid w:val="009E7B1F"/>
    <w:pPr>
      <w:spacing w:before="0" w:after="0"/>
      <w:jc w:val="center"/>
    </w:pPr>
    <w:rPr>
      <w:rFonts w:ascii="Arial" w:hAnsi="Arial" w:cs="Arial"/>
      <w:b/>
      <w:sz w:val="20"/>
      <w:szCs w:val="20"/>
    </w:rPr>
  </w:style>
  <w:style w:type="paragraph" w:customStyle="1" w:styleId="Expheading">
    <w:name w:val="Exp heading"/>
    <w:basedOn w:val="Normal"/>
    <w:link w:val="ExpheadingChar"/>
    <w:rsid w:val="009E7B1F"/>
    <w:pPr>
      <w:spacing w:before="240" w:after="240"/>
    </w:pPr>
    <w:rPr>
      <w:rFonts w:ascii="Book Antiqua" w:eastAsia="Cambria" w:hAnsi="Book Antiqua"/>
      <w:b/>
      <w:caps/>
      <w:sz w:val="22"/>
      <w:szCs w:val="22"/>
      <w:lang w:val="x-none" w:eastAsia="x-none"/>
    </w:rPr>
  </w:style>
  <w:style w:type="character" w:customStyle="1" w:styleId="ExpheadingChar">
    <w:name w:val="Exp heading Char"/>
    <w:link w:val="Expheading"/>
    <w:rsid w:val="009E7B1F"/>
    <w:rPr>
      <w:rFonts w:ascii="Book Antiqua" w:eastAsia="Cambria" w:hAnsi="Book Antiqua" w:cs="Times New Roman"/>
      <w:b/>
      <w:caps/>
      <w:sz w:val="22"/>
      <w:szCs w:val="22"/>
    </w:rPr>
  </w:style>
  <w:style w:type="paragraph" w:customStyle="1" w:styleId="ExperienceBullet">
    <w:name w:val="Experience Bullet"/>
    <w:basedOn w:val="Normal"/>
    <w:link w:val="ExperienceBulletChar"/>
    <w:rsid w:val="009E7B1F"/>
    <w:pPr>
      <w:numPr>
        <w:numId w:val="6"/>
      </w:numPr>
      <w:spacing w:after="240"/>
    </w:pPr>
    <w:rPr>
      <w:rFonts w:ascii="Book Antiqua" w:eastAsia="Cambria" w:hAnsi="Book Antiqua"/>
      <w:sz w:val="22"/>
      <w:szCs w:val="20"/>
      <w:lang w:val="x-none" w:eastAsia="x-none"/>
    </w:rPr>
  </w:style>
  <w:style w:type="character" w:customStyle="1" w:styleId="ExperienceBulletChar">
    <w:name w:val="Experience Bullet Char"/>
    <w:link w:val="ExperienceBullet"/>
    <w:rsid w:val="009E7B1F"/>
    <w:rPr>
      <w:rFonts w:ascii="Book Antiqua" w:eastAsia="Cambria" w:hAnsi="Book Antiqua"/>
      <w:sz w:val="22"/>
      <w:szCs w:val="20"/>
      <w:lang w:val="x-none" w:eastAsia="x-none"/>
    </w:rPr>
  </w:style>
  <w:style w:type="paragraph" w:customStyle="1" w:styleId="FocusBoxHeading">
    <w:name w:val="Focus Box Heading"/>
    <w:basedOn w:val="Normal"/>
    <w:next w:val="Normal"/>
    <w:rsid w:val="009E7B1F"/>
    <w:pPr>
      <w:pBdr>
        <w:top w:val="single" w:sz="18" w:space="1" w:color="00267F"/>
        <w:bottom w:val="single" w:sz="18" w:space="1" w:color="00267F"/>
      </w:pBdr>
      <w:shd w:val="clear" w:color="auto" w:fill="F0E8D4"/>
      <w:spacing w:before="120" w:after="160"/>
      <w:ind w:left="-360" w:right="-302"/>
      <w:jc w:val="center"/>
    </w:pPr>
    <w:rPr>
      <w:rFonts w:ascii="Arial" w:eastAsia="Cambria" w:hAnsi="Arial"/>
      <w:b/>
    </w:rPr>
  </w:style>
  <w:style w:type="paragraph" w:customStyle="1" w:styleId="FocusBox2Heading">
    <w:name w:val="Focus Box 2 Heading"/>
    <w:basedOn w:val="FocusBoxHeading"/>
    <w:qFormat/>
    <w:rsid w:val="009E7B1F"/>
    <w:pPr>
      <w:framePr w:hSpace="187" w:wrap="around" w:vAnchor="text" w:hAnchor="text" w:xAlign="right" w:y="620"/>
      <w:pBdr>
        <w:top w:val="none" w:sz="0" w:space="0" w:color="auto"/>
        <w:bottom w:val="none" w:sz="0" w:space="0" w:color="auto"/>
      </w:pBdr>
      <w:shd w:val="clear" w:color="auto" w:fill="auto"/>
      <w:spacing w:before="80" w:after="40"/>
      <w:ind w:left="0" w:right="-214" w:hanging="180"/>
    </w:pPr>
    <w:rPr>
      <w:snapToGrid w:val="0"/>
    </w:rPr>
  </w:style>
  <w:style w:type="paragraph" w:customStyle="1" w:styleId="FocusBoxBullet1">
    <w:name w:val="Focus Box Bullet 1"/>
    <w:basedOn w:val="Normal"/>
    <w:rsid w:val="009E7B1F"/>
    <w:pPr>
      <w:numPr>
        <w:numId w:val="7"/>
      </w:numPr>
      <w:spacing w:after="240"/>
    </w:pPr>
    <w:rPr>
      <w:rFonts w:ascii="Times New Roman" w:eastAsia="Cambria" w:hAnsi="Times New Roman"/>
      <w:snapToGrid w:val="0"/>
      <w:color w:val="000000"/>
      <w:szCs w:val="20"/>
    </w:rPr>
  </w:style>
  <w:style w:type="paragraph" w:customStyle="1" w:styleId="FocusBoxBullets">
    <w:name w:val="Focus Box Bullets"/>
    <w:qFormat/>
    <w:rsid w:val="009E7B1F"/>
    <w:pPr>
      <w:numPr>
        <w:numId w:val="8"/>
      </w:numPr>
      <w:tabs>
        <w:tab w:val="left" w:pos="540"/>
      </w:tabs>
      <w:spacing w:before="40" w:after="40"/>
    </w:pPr>
    <w:rPr>
      <w:rFonts w:ascii="Calibri" w:eastAsia="Times New Roman" w:hAnsi="Calibri"/>
      <w:spacing w:val="-2"/>
      <w:sz w:val="22"/>
      <w:szCs w:val="22"/>
    </w:rPr>
  </w:style>
  <w:style w:type="paragraph" w:customStyle="1" w:styleId="FocusBoxText">
    <w:name w:val="Focus Box Text"/>
    <w:qFormat/>
    <w:rsid w:val="009E7B1F"/>
    <w:pPr>
      <w:spacing w:after="120"/>
    </w:pPr>
    <w:rPr>
      <w:rFonts w:ascii="Arial" w:eastAsia="Times New Roman" w:hAnsi="Arial"/>
      <w:spacing w:val="12"/>
    </w:rPr>
  </w:style>
  <w:style w:type="paragraph" w:customStyle="1" w:styleId="FocusBoxBullets2">
    <w:name w:val="Focus Box Bullets 2"/>
    <w:basedOn w:val="FocusBoxText"/>
    <w:qFormat/>
    <w:rsid w:val="009E7B1F"/>
    <w:pPr>
      <w:framePr w:hSpace="187" w:vSpace="86" w:wrap="around" w:vAnchor="page" w:hAnchor="margin" w:xAlign="right" w:y="4901"/>
      <w:tabs>
        <w:tab w:val="left" w:pos="900"/>
      </w:tabs>
      <w:spacing w:before="120" w:line="400" w:lineRule="exact"/>
      <w:ind w:left="86"/>
    </w:pPr>
    <w:rPr>
      <w:rFonts w:ascii="Book Antiqua" w:eastAsia="Calibri" w:hAnsi="Book Antiqua"/>
      <w:i/>
      <w:color w:val="00267F"/>
      <w:spacing w:val="-2"/>
    </w:rPr>
  </w:style>
  <w:style w:type="paragraph" w:customStyle="1" w:styleId="FocusBoxNum">
    <w:name w:val="Focus Box Num"/>
    <w:basedOn w:val="Normal"/>
    <w:rsid w:val="009E7B1F"/>
    <w:pPr>
      <w:framePr w:hSpace="187" w:vSpace="144" w:wrap="around" w:vAnchor="text" w:hAnchor="margin" w:xAlign="right" w:y="-2080"/>
      <w:numPr>
        <w:numId w:val="9"/>
      </w:numPr>
      <w:spacing w:before="40" w:after="80"/>
    </w:pPr>
    <w:rPr>
      <w:rFonts w:ascii="Arial" w:eastAsia="Batang" w:hAnsi="Arial" w:cs="Calibri"/>
      <w:sz w:val="20"/>
      <w:szCs w:val="20"/>
    </w:rPr>
  </w:style>
  <w:style w:type="paragraph" w:customStyle="1" w:styleId="FocusBoxNumbers">
    <w:name w:val="Focus Box Numbers"/>
    <w:qFormat/>
    <w:rsid w:val="009E7B1F"/>
    <w:pPr>
      <w:numPr>
        <w:numId w:val="10"/>
      </w:numPr>
      <w:spacing w:after="120"/>
    </w:pPr>
    <w:rPr>
      <w:rFonts w:ascii="Book Antiqua" w:eastAsia="Calibri" w:hAnsi="Book Antiqua"/>
    </w:rPr>
  </w:style>
  <w:style w:type="paragraph" w:customStyle="1" w:styleId="FocusBoxText2">
    <w:name w:val="Focus Box Text 2"/>
    <w:basedOn w:val="Normal"/>
    <w:qFormat/>
    <w:rsid w:val="009E7B1F"/>
    <w:pPr>
      <w:spacing w:before="240" w:after="120"/>
      <w:jc w:val="both"/>
    </w:pPr>
    <w:rPr>
      <w:rFonts w:ascii="Arial" w:eastAsia="Cambria" w:hAnsi="Arial" w:cs="Arial"/>
      <w:i/>
      <w:iCs/>
      <w:color w:val="00267F"/>
      <w:szCs w:val="20"/>
    </w:rPr>
  </w:style>
  <w:style w:type="paragraph" w:customStyle="1" w:styleId="FocusBoxText3">
    <w:name w:val="Focus Box Text 3"/>
    <w:basedOn w:val="FocusBoxText"/>
    <w:qFormat/>
    <w:rsid w:val="009E7B1F"/>
    <w:pPr>
      <w:framePr w:hSpace="187" w:wrap="around" w:vAnchor="page" w:hAnchor="margin" w:xAlign="right" w:y="6481"/>
      <w:spacing w:before="120"/>
      <w:ind w:left="150"/>
    </w:pPr>
    <w:rPr>
      <w:b/>
      <w:sz w:val="20"/>
    </w:rPr>
  </w:style>
  <w:style w:type="character" w:styleId="FollowedHyperlink">
    <w:name w:val="FollowedHyperlink"/>
    <w:uiPriority w:val="99"/>
    <w:semiHidden/>
    <w:unhideWhenUsed/>
    <w:rsid w:val="009E7B1F"/>
    <w:rPr>
      <w:color w:val="800080"/>
      <w:u w:val="single"/>
    </w:rPr>
  </w:style>
  <w:style w:type="character" w:customStyle="1" w:styleId="FontStyle31">
    <w:name w:val="Font Style31"/>
    <w:uiPriority w:val="99"/>
    <w:rsid w:val="009E7B1F"/>
    <w:rPr>
      <w:rFonts w:ascii="Times New Roman" w:hAnsi="Times New Roman" w:cs="Times New Roman"/>
      <w:color w:val="000000"/>
      <w:sz w:val="22"/>
      <w:szCs w:val="22"/>
    </w:rPr>
  </w:style>
  <w:style w:type="paragraph" w:customStyle="1" w:styleId="Graphic">
    <w:name w:val="Graphic"/>
    <w:qFormat/>
    <w:rsid w:val="009E7B1F"/>
    <w:pPr>
      <w:spacing w:after="120"/>
      <w:jc w:val="center"/>
    </w:pPr>
    <w:rPr>
      <w:rFonts w:ascii="Calibri" w:eastAsia="Times New Roman" w:hAnsi="Calibri"/>
    </w:rPr>
  </w:style>
  <w:style w:type="paragraph" w:customStyle="1" w:styleId="Graphic2">
    <w:name w:val="Graphic 2"/>
    <w:basedOn w:val="Graphic"/>
    <w:qFormat/>
    <w:rsid w:val="009E7B1F"/>
    <w:pPr>
      <w:spacing w:after="40"/>
    </w:pPr>
    <w:rPr>
      <w:rFonts w:ascii="Times New Roman" w:hAnsi="Times New Roman"/>
      <w:szCs w:val="20"/>
    </w:rPr>
  </w:style>
  <w:style w:type="paragraph" w:customStyle="1" w:styleId="Heading">
    <w:name w:val="Heading"/>
    <w:link w:val="HeadingChar"/>
    <w:qFormat/>
    <w:rsid w:val="009E7B1F"/>
    <w:pPr>
      <w:spacing w:before="240" w:after="240"/>
    </w:pPr>
    <w:rPr>
      <w:rFonts w:ascii="Book Antiqua" w:eastAsia="Times New Roman" w:hAnsi="Book Antiqua"/>
      <w:b/>
      <w:caps/>
      <w:sz w:val="22"/>
      <w:szCs w:val="22"/>
    </w:rPr>
  </w:style>
  <w:style w:type="character" w:customStyle="1" w:styleId="HeadingChar">
    <w:name w:val="Heading Char"/>
    <w:link w:val="Heading"/>
    <w:rsid w:val="009E7B1F"/>
    <w:rPr>
      <w:rFonts w:ascii="Book Antiqua" w:eastAsia="Times New Roman" w:hAnsi="Book Antiqua"/>
      <w:b/>
      <w:caps/>
      <w:sz w:val="22"/>
      <w:szCs w:val="22"/>
      <w:lang w:bidi="ar-SA"/>
    </w:rPr>
  </w:style>
  <w:style w:type="paragraph" w:customStyle="1" w:styleId="Headline">
    <w:name w:val="Headline"/>
    <w:basedOn w:val="Normal"/>
    <w:rsid w:val="009E7B1F"/>
    <w:pPr>
      <w:spacing w:after="120"/>
      <w:ind w:left="-1440" w:hanging="720"/>
    </w:pPr>
    <w:rPr>
      <w:rFonts w:ascii="Arial" w:eastAsia="Cambria" w:hAnsi="Arial" w:cs="Arial"/>
      <w:b/>
      <w:sz w:val="32"/>
      <w:szCs w:val="32"/>
    </w:rPr>
  </w:style>
  <w:style w:type="paragraph" w:customStyle="1" w:styleId="HHSAR">
    <w:name w:val="HHSAR"/>
    <w:basedOn w:val="Normal"/>
    <w:link w:val="HHSARChar"/>
    <w:uiPriority w:val="99"/>
    <w:rsid w:val="009E7B1F"/>
    <w:pPr>
      <w:spacing w:before="120" w:after="200" w:line="276" w:lineRule="auto"/>
    </w:pPr>
    <w:rPr>
      <w:rFonts w:ascii="Arial" w:eastAsia="Cambria" w:hAnsi="Arial" w:cs="Arial"/>
      <w:b/>
      <w:bCs/>
      <w:color w:val="0033CC"/>
      <w:sz w:val="22"/>
      <w:szCs w:val="22"/>
    </w:rPr>
  </w:style>
  <w:style w:type="character" w:customStyle="1" w:styleId="HHSARChar">
    <w:name w:val="HHSAR Char"/>
    <w:link w:val="HHSAR"/>
    <w:uiPriority w:val="99"/>
    <w:locked/>
    <w:rsid w:val="009E7B1F"/>
    <w:rPr>
      <w:rFonts w:ascii="Arial" w:eastAsia="Cambria" w:hAnsi="Arial" w:cs="Arial"/>
      <w:b/>
      <w:bCs/>
      <w:color w:val="0033CC"/>
      <w:sz w:val="22"/>
      <w:szCs w:val="22"/>
    </w:rPr>
  </w:style>
  <w:style w:type="character" w:customStyle="1" w:styleId="Inlinetext">
    <w:name w:val="Inline text"/>
    <w:uiPriority w:val="99"/>
    <w:rsid w:val="009E7B1F"/>
    <w:rPr>
      <w:rFonts w:ascii="Times New Roman" w:hAnsi="Times New Roman" w:cs="Times New Roman" w:hint="default"/>
      <w:b/>
      <w:bCs/>
      <w:i/>
      <w:iCs/>
      <w:color w:val="1F497D"/>
    </w:rPr>
  </w:style>
  <w:style w:type="character" w:styleId="IntenseEmphasis">
    <w:name w:val="Intense Emphasis"/>
    <w:uiPriority w:val="21"/>
    <w:qFormat/>
    <w:rsid w:val="009E7B1F"/>
    <w:rPr>
      <w:b/>
      <w:bCs/>
      <w:i w:val="0"/>
      <w:iCs/>
      <w:color w:val="00267F"/>
    </w:rPr>
  </w:style>
  <w:style w:type="character" w:customStyle="1" w:styleId="Italics">
    <w:name w:val="Italics"/>
    <w:uiPriority w:val="1"/>
    <w:qFormat/>
    <w:rsid w:val="009E7B1F"/>
    <w:rPr>
      <w:rFonts w:ascii="Calibri" w:hAnsi="Calibri" w:cs="Calibri"/>
      <w:i/>
      <w:sz w:val="22"/>
      <w:szCs w:val="22"/>
    </w:rPr>
  </w:style>
  <w:style w:type="paragraph" w:customStyle="1" w:styleId="Level1">
    <w:name w:val="Level 1"/>
    <w:basedOn w:val="Normal"/>
    <w:uiPriority w:val="99"/>
    <w:rsid w:val="009E7B1F"/>
    <w:pPr>
      <w:numPr>
        <w:numId w:val="12"/>
      </w:numPr>
      <w:spacing w:before="120" w:after="160"/>
      <w:outlineLvl w:val="0"/>
    </w:pPr>
    <w:rPr>
      <w:rFonts w:ascii="Times New Roman" w:eastAsia="Cambria" w:hAnsi="Times New Roman"/>
    </w:rPr>
  </w:style>
  <w:style w:type="paragraph" w:customStyle="1" w:styleId="Level3">
    <w:name w:val="Level 3"/>
    <w:basedOn w:val="Normal"/>
    <w:rsid w:val="009E7B1F"/>
    <w:pPr>
      <w:tabs>
        <w:tab w:val="num" w:pos="2160"/>
      </w:tabs>
      <w:spacing w:before="120" w:after="160"/>
      <w:ind w:left="2160" w:hanging="360"/>
      <w:outlineLvl w:val="2"/>
    </w:pPr>
    <w:rPr>
      <w:rFonts w:ascii="Times New Roman" w:eastAsia="Cambria" w:hAnsi="Times New Roman"/>
    </w:rPr>
  </w:style>
  <w:style w:type="paragraph" w:customStyle="1" w:styleId="LewinLogo">
    <w:name w:val="Lewin Logo"/>
    <w:qFormat/>
    <w:rsid w:val="009E7B1F"/>
    <w:pPr>
      <w:tabs>
        <w:tab w:val="left" w:pos="9360"/>
      </w:tabs>
      <w:ind w:left="-360"/>
    </w:pPr>
    <w:rPr>
      <w:rFonts w:ascii="Times New Roman" w:eastAsia="Times New Roman" w:hAnsi="Times New Roman"/>
    </w:rPr>
  </w:style>
  <w:style w:type="paragraph" w:styleId="List2">
    <w:name w:val="List 2"/>
    <w:basedOn w:val="Normal"/>
    <w:uiPriority w:val="99"/>
    <w:unhideWhenUsed/>
    <w:rsid w:val="009E7B1F"/>
    <w:pPr>
      <w:spacing w:after="240"/>
      <w:ind w:left="720" w:hanging="360"/>
      <w:contextualSpacing/>
    </w:pPr>
    <w:rPr>
      <w:rFonts w:ascii="Times New Roman" w:eastAsia="Cambria" w:hAnsi="Times New Roman"/>
      <w:szCs w:val="20"/>
    </w:rPr>
  </w:style>
  <w:style w:type="paragraph" w:styleId="ListBullet">
    <w:name w:val="List Bullet"/>
    <w:basedOn w:val="Normal"/>
    <w:rsid w:val="009E7B1F"/>
    <w:pPr>
      <w:numPr>
        <w:numId w:val="13"/>
      </w:numPr>
      <w:spacing w:before="120" w:after="160"/>
    </w:pPr>
    <w:rPr>
      <w:rFonts w:ascii="Times New Roman" w:eastAsia="Cambria" w:hAnsi="Times New Roman"/>
    </w:rPr>
  </w:style>
  <w:style w:type="paragraph" w:styleId="ListBullet2">
    <w:name w:val="List Bullet 2"/>
    <w:basedOn w:val="Normal"/>
    <w:rsid w:val="009E7B1F"/>
    <w:pPr>
      <w:numPr>
        <w:numId w:val="14"/>
      </w:numPr>
      <w:spacing w:before="120" w:after="160"/>
    </w:pPr>
    <w:rPr>
      <w:rFonts w:ascii="Times New Roman" w:eastAsia="Cambria" w:hAnsi="Times New Roman"/>
    </w:rPr>
  </w:style>
  <w:style w:type="paragraph" w:styleId="ListNumber">
    <w:name w:val="List Number"/>
    <w:basedOn w:val="Normal"/>
    <w:rsid w:val="009E7B1F"/>
    <w:pPr>
      <w:spacing w:after="120"/>
      <w:ind w:left="1080" w:hanging="360"/>
    </w:pPr>
    <w:rPr>
      <w:rFonts w:ascii="Times New Roman" w:eastAsia="Cambria" w:hAnsi="Times New Roman"/>
    </w:rPr>
  </w:style>
  <w:style w:type="paragraph" w:styleId="ListNumber2">
    <w:name w:val="List Number 2"/>
    <w:basedOn w:val="Normal"/>
    <w:rsid w:val="009E7B1F"/>
    <w:pPr>
      <w:numPr>
        <w:numId w:val="15"/>
      </w:numPr>
      <w:tabs>
        <w:tab w:val="left" w:pos="1620"/>
      </w:tabs>
      <w:spacing w:before="120" w:after="160"/>
    </w:pPr>
    <w:rPr>
      <w:rFonts w:ascii="Times New Roman" w:eastAsia="Cambria" w:hAnsi="Times New Roman"/>
    </w:rPr>
  </w:style>
  <w:style w:type="paragraph" w:styleId="ListNumber3">
    <w:name w:val="List Number 3"/>
    <w:basedOn w:val="Normal"/>
    <w:rsid w:val="009E7B1F"/>
    <w:pPr>
      <w:numPr>
        <w:numId w:val="16"/>
      </w:numPr>
      <w:spacing w:before="120" w:after="160"/>
      <w:contextualSpacing/>
    </w:pPr>
    <w:rPr>
      <w:rFonts w:ascii="Times New Roman" w:eastAsia="Cambria" w:hAnsi="Times New Roman"/>
    </w:rPr>
  </w:style>
  <w:style w:type="paragraph" w:customStyle="1" w:styleId="Measles">
    <w:name w:val="Measles"/>
    <w:rsid w:val="009E7B1F"/>
    <w:pPr>
      <w:jc w:val="center"/>
    </w:pPr>
    <w:rPr>
      <w:rFonts w:ascii="Wingdings 2" w:eastAsia="Times New Roman" w:hAnsi="Wingdings 2" w:cs="Arial"/>
      <w:b/>
      <w:color w:val="00267F"/>
      <w:sz w:val="18"/>
      <w:szCs w:val="18"/>
    </w:rPr>
  </w:style>
  <w:style w:type="table" w:customStyle="1" w:styleId="MediumShading1-Accent11">
    <w:name w:val="Medium Shading 1 - Accent 11"/>
    <w:basedOn w:val="TableNormal"/>
    <w:uiPriority w:val="63"/>
    <w:rsid w:val="009E7B1F"/>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E7B1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PS">
    <w:name w:val="MEPS"/>
    <w:basedOn w:val="TableNormal"/>
    <w:rsid w:val="009E7B1F"/>
    <w:rPr>
      <w:rFonts w:ascii="Calibri" w:eastAsia="SimSun" w:hAnsi="Calibri"/>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mbria Math" w:hAnsi="Cambria Math"/>
        <w:sz w:val="20"/>
      </w:rPr>
      <w:tblPr/>
      <w:tcPr>
        <w:shd w:val="clear" w:color="auto" w:fill="D9D9D9"/>
      </w:tcPr>
    </w:tblStylePr>
  </w:style>
  <w:style w:type="paragraph" w:styleId="MessageHeader">
    <w:name w:val="Message Header"/>
    <w:basedOn w:val="Normal"/>
    <w:link w:val="MessageHeaderChar"/>
    <w:uiPriority w:val="99"/>
    <w:unhideWhenUsed/>
    <w:rsid w:val="009E7B1F"/>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Cambria"/>
      <w:szCs w:val="20"/>
    </w:rPr>
  </w:style>
  <w:style w:type="character" w:customStyle="1" w:styleId="MessageHeaderChar">
    <w:name w:val="Message Header Char"/>
    <w:link w:val="MessageHeader"/>
    <w:uiPriority w:val="99"/>
    <w:rsid w:val="009E7B1F"/>
    <w:rPr>
      <w:rFonts w:eastAsia="Cambria" w:cs="Times New Roman"/>
      <w:sz w:val="24"/>
      <w:shd w:val="pct20" w:color="auto" w:fill="auto"/>
    </w:rPr>
  </w:style>
  <w:style w:type="paragraph" w:customStyle="1" w:styleId="Name">
    <w:name w:val="Name"/>
    <w:basedOn w:val="Normal"/>
    <w:link w:val="NameChar"/>
    <w:qFormat/>
    <w:rsid w:val="009E7B1F"/>
    <w:pPr>
      <w:spacing w:after="240"/>
    </w:pPr>
    <w:rPr>
      <w:rFonts w:ascii="Book Antiqua" w:eastAsia="Cambria" w:hAnsi="Book Antiqua"/>
      <w:b/>
      <w:caps/>
      <w:szCs w:val="22"/>
      <w:lang w:val="x-none" w:eastAsia="x-none"/>
    </w:rPr>
  </w:style>
  <w:style w:type="character" w:customStyle="1" w:styleId="NameChar">
    <w:name w:val="Name Char"/>
    <w:link w:val="Name"/>
    <w:rsid w:val="009E7B1F"/>
    <w:rPr>
      <w:rFonts w:ascii="Book Antiqua" w:eastAsia="Cambria" w:hAnsi="Book Antiqua" w:cs="Times New Roman"/>
      <w:b/>
      <w:caps/>
      <w:sz w:val="24"/>
      <w:szCs w:val="22"/>
    </w:rPr>
  </w:style>
  <w:style w:type="paragraph" w:customStyle="1" w:styleId="NAME0">
    <w:name w:val="NAME"/>
    <w:qFormat/>
    <w:rsid w:val="009E7B1F"/>
    <w:rPr>
      <w:rFonts w:ascii="Trebuchet MS" w:eastAsia="Calibri" w:hAnsi="Trebuchet MS"/>
      <w:b/>
      <w:caps/>
      <w:color w:val="00267F"/>
    </w:rPr>
  </w:style>
  <w:style w:type="numbering" w:customStyle="1" w:styleId="NoList1">
    <w:name w:val="No List1"/>
    <w:next w:val="NoList"/>
    <w:uiPriority w:val="99"/>
    <w:semiHidden/>
    <w:unhideWhenUsed/>
    <w:rsid w:val="009E7B1F"/>
  </w:style>
  <w:style w:type="numbering" w:customStyle="1" w:styleId="NoList2">
    <w:name w:val="No List2"/>
    <w:next w:val="NoList"/>
    <w:uiPriority w:val="99"/>
    <w:semiHidden/>
    <w:unhideWhenUsed/>
    <w:rsid w:val="009E7B1F"/>
  </w:style>
  <w:style w:type="numbering" w:customStyle="1" w:styleId="NoList3">
    <w:name w:val="No List3"/>
    <w:next w:val="NoList"/>
    <w:uiPriority w:val="99"/>
    <w:semiHidden/>
    <w:unhideWhenUsed/>
    <w:rsid w:val="009E7B1F"/>
  </w:style>
  <w:style w:type="paragraph" w:styleId="NormalWeb">
    <w:name w:val="Normal (Web)"/>
    <w:basedOn w:val="Normal"/>
    <w:uiPriority w:val="99"/>
    <w:rsid w:val="009E7B1F"/>
    <w:pPr>
      <w:spacing w:before="100" w:beforeAutospacing="1" w:after="100" w:afterAutospacing="1" w:line="312" w:lineRule="auto"/>
    </w:pPr>
    <w:rPr>
      <w:rFonts w:ascii="Verdana" w:eastAsia="Calibri" w:hAnsi="Verdana"/>
      <w:sz w:val="18"/>
      <w:szCs w:val="18"/>
    </w:rPr>
  </w:style>
  <w:style w:type="paragraph" w:customStyle="1" w:styleId="Normal1">
    <w:name w:val="Normal1"/>
    <w:basedOn w:val="Normal"/>
    <w:uiPriority w:val="99"/>
    <w:rsid w:val="009E7B1F"/>
    <w:pPr>
      <w:spacing w:before="100" w:beforeAutospacing="1" w:after="100" w:afterAutospacing="1"/>
    </w:pPr>
    <w:rPr>
      <w:rFonts w:ascii="Times New Roman" w:eastAsia="Cambria" w:hAnsi="Times New Roman"/>
    </w:rPr>
  </w:style>
  <w:style w:type="paragraph" w:customStyle="1" w:styleId="Numbered">
    <w:name w:val="Numbered"/>
    <w:basedOn w:val="BodyText"/>
    <w:rsid w:val="009E7B1F"/>
    <w:pPr>
      <w:numPr>
        <w:numId w:val="17"/>
      </w:numPr>
      <w:spacing w:before="0" w:after="120"/>
    </w:pPr>
    <w:rPr>
      <w:rFonts w:eastAsia="Calibri"/>
    </w:rPr>
  </w:style>
  <w:style w:type="paragraph" w:customStyle="1" w:styleId="Pa8">
    <w:name w:val="Pa8"/>
    <w:basedOn w:val="Default"/>
    <w:next w:val="Default"/>
    <w:uiPriority w:val="99"/>
    <w:rsid w:val="009E7B1F"/>
    <w:pPr>
      <w:spacing w:line="201" w:lineRule="atLeast"/>
    </w:pPr>
    <w:rPr>
      <w:rFonts w:ascii="Calibri" w:hAnsi="Calibri" w:cs="Times New Roman"/>
      <w:color w:val="auto"/>
    </w:rPr>
  </w:style>
  <w:style w:type="paragraph" w:customStyle="1" w:styleId="Pa9">
    <w:name w:val="Pa9"/>
    <w:basedOn w:val="Default"/>
    <w:next w:val="Default"/>
    <w:uiPriority w:val="99"/>
    <w:rsid w:val="009E7B1F"/>
    <w:pPr>
      <w:spacing w:line="201" w:lineRule="atLeast"/>
    </w:pPr>
    <w:rPr>
      <w:rFonts w:ascii="Calibri" w:hAnsi="Calibri" w:cs="Times New Roman"/>
      <w:color w:val="auto"/>
    </w:rPr>
  </w:style>
  <w:style w:type="paragraph" w:customStyle="1" w:styleId="PageHeader">
    <w:name w:val="Page Header"/>
    <w:basedOn w:val="Normal"/>
    <w:rsid w:val="009E7B1F"/>
    <w:rPr>
      <w:rFonts w:ascii="Times New Roman" w:eastAsia="Batang" w:hAnsi="Times New Roman"/>
      <w:b/>
      <w:i/>
      <w:sz w:val="20"/>
      <w:szCs w:val="20"/>
    </w:rPr>
  </w:style>
  <w:style w:type="character" w:styleId="PlaceholderText">
    <w:name w:val="Placeholder Text"/>
    <w:uiPriority w:val="99"/>
    <w:semiHidden/>
    <w:rsid w:val="009E7B1F"/>
    <w:rPr>
      <w:color w:val="808080"/>
    </w:rPr>
  </w:style>
  <w:style w:type="paragraph" w:styleId="PlainText">
    <w:name w:val="Plain Text"/>
    <w:basedOn w:val="Normal"/>
    <w:link w:val="PlainTextChar"/>
    <w:uiPriority w:val="99"/>
    <w:rsid w:val="009E7B1F"/>
    <w:pPr>
      <w:spacing w:before="120" w:after="160"/>
    </w:pPr>
    <w:rPr>
      <w:rFonts w:ascii="Consolas" w:eastAsia="Cambria" w:hAnsi="Consolas"/>
      <w:sz w:val="21"/>
      <w:szCs w:val="21"/>
    </w:rPr>
  </w:style>
  <w:style w:type="character" w:customStyle="1" w:styleId="PlainTextChar">
    <w:name w:val="Plain Text Char"/>
    <w:link w:val="PlainText"/>
    <w:uiPriority w:val="99"/>
    <w:rsid w:val="009E7B1F"/>
    <w:rPr>
      <w:rFonts w:ascii="Consolas" w:eastAsia="Cambria" w:hAnsi="Consolas" w:cs="Times New Roman"/>
      <w:sz w:val="21"/>
      <w:szCs w:val="21"/>
    </w:rPr>
  </w:style>
  <w:style w:type="paragraph" w:customStyle="1" w:styleId="Position">
    <w:name w:val="Position"/>
    <w:basedOn w:val="Name"/>
    <w:link w:val="PositionChar"/>
    <w:qFormat/>
    <w:rsid w:val="009E7B1F"/>
  </w:style>
  <w:style w:type="character" w:customStyle="1" w:styleId="PositionChar">
    <w:name w:val="Position Char"/>
    <w:link w:val="Position"/>
    <w:rsid w:val="009E7B1F"/>
    <w:rPr>
      <w:rFonts w:ascii="Book Antiqua" w:eastAsia="Cambria" w:hAnsi="Book Antiqua" w:cs="Times New Roman"/>
      <w:b/>
      <w:caps/>
      <w:sz w:val="24"/>
      <w:szCs w:val="22"/>
    </w:rPr>
  </w:style>
  <w:style w:type="paragraph" w:customStyle="1" w:styleId="PositionTitle">
    <w:name w:val="PositionTitle"/>
    <w:rsid w:val="009E7B1F"/>
    <w:pPr>
      <w:pBdr>
        <w:bottom w:val="single" w:sz="12" w:space="1" w:color="auto"/>
      </w:pBdr>
    </w:pPr>
    <w:rPr>
      <w:rFonts w:ascii="Trebuchet MS" w:eastAsia="Times New Roman" w:hAnsi="Trebuchet MS"/>
      <w:b/>
      <w:bCs/>
      <w:color w:val="003366"/>
      <w:sz w:val="38"/>
    </w:rPr>
  </w:style>
  <w:style w:type="paragraph" w:customStyle="1" w:styleId="ProjectTitle">
    <w:name w:val="Project Title"/>
    <w:basedOn w:val="Normal"/>
    <w:rsid w:val="009E7B1F"/>
    <w:rPr>
      <w:rFonts w:ascii="Trebuchet MS" w:eastAsia="Cambria" w:hAnsi="Trebuchet MS"/>
      <w:b/>
      <w:sz w:val="48"/>
    </w:rPr>
  </w:style>
  <w:style w:type="paragraph" w:customStyle="1" w:styleId="Publications">
    <w:name w:val="Publications"/>
    <w:basedOn w:val="Normal"/>
    <w:link w:val="PublicationsChar"/>
    <w:rsid w:val="009E7B1F"/>
    <w:pPr>
      <w:spacing w:after="160"/>
      <w:ind w:left="547" w:hanging="547"/>
    </w:pPr>
    <w:rPr>
      <w:rFonts w:ascii="Times New Roman" w:eastAsia="Cambria" w:hAnsi="Times New Roman"/>
      <w:lang w:val="x-none" w:eastAsia="x-none"/>
    </w:rPr>
  </w:style>
  <w:style w:type="character" w:customStyle="1" w:styleId="PublicationsChar">
    <w:name w:val="Publications Char"/>
    <w:link w:val="Publications"/>
    <w:rsid w:val="009E7B1F"/>
    <w:rPr>
      <w:rFonts w:ascii="Times New Roman" w:eastAsia="Cambria" w:hAnsi="Times New Roman" w:cs="Times New Roman"/>
      <w:sz w:val="24"/>
      <w:szCs w:val="24"/>
    </w:rPr>
  </w:style>
  <w:style w:type="paragraph" w:customStyle="1" w:styleId="pullquote">
    <w:name w:val="pull quote"/>
    <w:basedOn w:val="Normal"/>
    <w:rsid w:val="009E7B1F"/>
    <w:pPr>
      <w:pBdr>
        <w:top w:val="single" w:sz="18" w:space="5" w:color="6E6E6E"/>
        <w:bottom w:val="single" w:sz="18" w:space="5" w:color="6E6E6E"/>
      </w:pBdr>
      <w:spacing w:after="240"/>
      <w:jc w:val="center"/>
    </w:pPr>
    <w:rPr>
      <w:rFonts w:ascii="Times New Roman" w:eastAsia="Cambria" w:hAnsi="Times New Roman"/>
      <w:i/>
      <w:color w:val="533E2F"/>
      <w:szCs w:val="20"/>
    </w:rPr>
  </w:style>
  <w:style w:type="paragraph" w:customStyle="1" w:styleId="QuoteBox">
    <w:name w:val="Quote Box"/>
    <w:basedOn w:val="Normal"/>
    <w:qFormat/>
    <w:rsid w:val="009E7B1F"/>
    <w:pPr>
      <w:keepNext/>
      <w:pBdr>
        <w:top w:val="single" w:sz="18" w:space="1" w:color="00267F"/>
        <w:bottom w:val="single" w:sz="18" w:space="1" w:color="00267F"/>
      </w:pBdr>
      <w:shd w:val="clear" w:color="auto" w:fill="EEECE1"/>
      <w:tabs>
        <w:tab w:val="left" w:pos="2880"/>
      </w:tabs>
      <w:spacing w:after="240"/>
      <w:ind w:left="360" w:right="360"/>
    </w:pPr>
    <w:rPr>
      <w:rFonts w:ascii="Trebuchet MS" w:eastAsia="Calibri" w:hAnsi="Trebuchet MS"/>
      <w:sz w:val="20"/>
      <w:szCs w:val="20"/>
    </w:rPr>
  </w:style>
  <w:style w:type="paragraph" w:customStyle="1" w:styleId="Reference">
    <w:name w:val="Reference"/>
    <w:basedOn w:val="Normal"/>
    <w:link w:val="ReferenceChar"/>
    <w:rsid w:val="009E7B1F"/>
    <w:pPr>
      <w:spacing w:after="240"/>
      <w:ind w:left="432" w:hanging="432"/>
    </w:pPr>
    <w:rPr>
      <w:rFonts w:ascii="Book Antiqua" w:eastAsia="Cambria" w:hAnsi="Book Antiqua"/>
      <w:sz w:val="22"/>
      <w:szCs w:val="20"/>
      <w:lang w:val="x-none" w:eastAsia="x-none"/>
    </w:rPr>
  </w:style>
  <w:style w:type="character" w:customStyle="1" w:styleId="ReferenceChar">
    <w:name w:val="Reference Char"/>
    <w:link w:val="Reference"/>
    <w:rsid w:val="009E7B1F"/>
    <w:rPr>
      <w:rFonts w:ascii="Book Antiqua" w:eastAsia="Cambria" w:hAnsi="Book Antiqua" w:cs="Times New Roman"/>
      <w:sz w:val="22"/>
    </w:rPr>
  </w:style>
  <w:style w:type="paragraph" w:customStyle="1" w:styleId="ReferenceLine">
    <w:name w:val="Reference Line"/>
    <w:basedOn w:val="BodyText"/>
    <w:rsid w:val="009E7B1F"/>
    <w:pPr>
      <w:spacing w:after="0"/>
    </w:pPr>
    <w:rPr>
      <w:szCs w:val="20"/>
    </w:rPr>
  </w:style>
  <w:style w:type="paragraph" w:customStyle="1" w:styleId="ResumeBullet0">
    <w:name w:val="Resume Bullet"/>
    <w:basedOn w:val="BodyText"/>
    <w:autoRedefine/>
    <w:rsid w:val="009E7B1F"/>
    <w:pPr>
      <w:spacing w:before="0" w:after="240"/>
    </w:pPr>
    <w:rPr>
      <w:rFonts w:ascii="Palatino Linotype" w:hAnsi="Palatino Linotype"/>
      <w:bCs/>
      <w:spacing w:val="-3"/>
      <w:sz w:val="20"/>
      <w:szCs w:val="20"/>
    </w:rPr>
  </w:style>
  <w:style w:type="paragraph" w:customStyle="1" w:styleId="resumebullet">
    <w:name w:val="resume bullet"/>
    <w:qFormat/>
    <w:rsid w:val="009E7B1F"/>
    <w:pPr>
      <w:numPr>
        <w:numId w:val="18"/>
      </w:numPr>
      <w:spacing w:before="60" w:after="120"/>
    </w:pPr>
    <w:rPr>
      <w:rFonts w:ascii="Times New Roman" w:eastAsia="Times New Roman" w:hAnsi="Times New Roman"/>
      <w:spacing w:val="-2"/>
    </w:rPr>
  </w:style>
  <w:style w:type="paragraph" w:customStyle="1" w:styleId="ResumeBullets">
    <w:name w:val="Resume Bullets"/>
    <w:uiPriority w:val="99"/>
    <w:qFormat/>
    <w:rsid w:val="009E7B1F"/>
    <w:pPr>
      <w:numPr>
        <w:numId w:val="19"/>
      </w:numPr>
      <w:spacing w:after="60"/>
    </w:pPr>
    <w:rPr>
      <w:rFonts w:ascii="Times New Roman" w:eastAsia="Calibri" w:hAnsi="Times New Roman"/>
    </w:rPr>
  </w:style>
  <w:style w:type="paragraph" w:customStyle="1" w:styleId="ResumeBulletsLST">
    <w:name w:val="Resume Bullets LST"/>
    <w:basedOn w:val="ResumeBullets"/>
    <w:qFormat/>
    <w:rsid w:val="009E7B1F"/>
    <w:pPr>
      <w:numPr>
        <w:numId w:val="0"/>
      </w:numPr>
      <w:spacing w:after="480"/>
      <w:ind w:left="540" w:hanging="360"/>
    </w:pPr>
  </w:style>
  <w:style w:type="paragraph" w:customStyle="1" w:styleId="ResumeIndent75">
    <w:name w:val="Resume Indent .75"/>
    <w:basedOn w:val="Normal"/>
    <w:rsid w:val="009E7B1F"/>
    <w:pPr>
      <w:tabs>
        <w:tab w:val="left" w:pos="2880"/>
      </w:tabs>
      <w:spacing w:after="80"/>
      <w:ind w:left="2880" w:hanging="1800"/>
    </w:pPr>
    <w:rPr>
      <w:rFonts w:ascii="Times New Roman" w:eastAsia="Batang" w:hAnsi="Times New Roman"/>
      <w:i/>
      <w:sz w:val="21"/>
      <w:szCs w:val="21"/>
    </w:rPr>
  </w:style>
  <w:style w:type="paragraph" w:customStyle="1" w:styleId="ResumeName">
    <w:name w:val="Resume Name"/>
    <w:basedOn w:val="Title"/>
    <w:rsid w:val="009E7B1F"/>
    <w:pPr>
      <w:widowControl w:val="0"/>
      <w:pBdr>
        <w:bottom w:val="none" w:sz="0" w:space="0" w:color="auto"/>
      </w:pBdr>
      <w:spacing w:after="0"/>
      <w:contextualSpacing w:val="0"/>
    </w:pPr>
    <w:rPr>
      <w:rFonts w:ascii="Times New Roman" w:eastAsia="Times New Roman" w:hAnsi="Times New Roman"/>
      <w:b/>
      <w:snapToGrid w:val="0"/>
      <w:color w:val="auto"/>
      <w:spacing w:val="0"/>
      <w:kern w:val="0"/>
      <w:sz w:val="32"/>
      <w:szCs w:val="20"/>
    </w:rPr>
  </w:style>
  <w:style w:type="paragraph" w:customStyle="1" w:styleId="ResumeTableText">
    <w:name w:val="Resume Table Text"/>
    <w:link w:val="ResumeTableTextChar"/>
    <w:qFormat/>
    <w:rsid w:val="009E7B1F"/>
    <w:pPr>
      <w:spacing w:before="20" w:after="20"/>
    </w:pPr>
    <w:rPr>
      <w:rFonts w:ascii="Arial" w:eastAsia="Times New Roman" w:hAnsi="Arial"/>
      <w:sz w:val="19"/>
      <w:szCs w:val="19"/>
    </w:rPr>
  </w:style>
  <w:style w:type="character" w:customStyle="1" w:styleId="ResumeTableTextChar">
    <w:name w:val="Resume Table Text Char"/>
    <w:link w:val="ResumeTableText"/>
    <w:rsid w:val="009E7B1F"/>
    <w:rPr>
      <w:rFonts w:ascii="Arial" w:eastAsia="Times New Roman" w:hAnsi="Arial"/>
      <w:sz w:val="19"/>
      <w:szCs w:val="19"/>
      <w:lang w:bidi="ar-SA"/>
    </w:rPr>
  </w:style>
  <w:style w:type="paragraph" w:customStyle="1" w:styleId="ResumeTitle">
    <w:name w:val="Resume Title"/>
    <w:qFormat/>
    <w:rsid w:val="009E7B1F"/>
    <w:rPr>
      <w:rFonts w:ascii="Trebuchet MS" w:eastAsia="Times New Roman" w:hAnsi="Trebuchet MS"/>
      <w:i/>
      <w:color w:val="00267F"/>
      <w:spacing w:val="5"/>
      <w:kern w:val="28"/>
    </w:rPr>
  </w:style>
  <w:style w:type="paragraph" w:customStyle="1" w:styleId="ResumeTOC">
    <w:name w:val="ResumeTOC"/>
    <w:qFormat/>
    <w:rsid w:val="009E7B1F"/>
    <w:pPr>
      <w:tabs>
        <w:tab w:val="right" w:leader="dot" w:pos="7920"/>
      </w:tabs>
      <w:spacing w:after="120"/>
      <w:ind w:left="907"/>
    </w:pPr>
    <w:rPr>
      <w:rFonts w:ascii="Trebuchet MS" w:eastAsia="Times New Roman" w:hAnsi="Trebuchet MS"/>
      <w:b/>
      <w:noProof/>
      <w:color w:val="00267F"/>
    </w:rPr>
  </w:style>
  <w:style w:type="character" w:customStyle="1" w:styleId="RFPNumber">
    <w:name w:val="RFP Number"/>
    <w:uiPriority w:val="1"/>
    <w:qFormat/>
    <w:rsid w:val="009E7B1F"/>
    <w:rPr>
      <w:b w:val="0"/>
      <w:bCs w:val="0"/>
      <w:i w:val="0"/>
      <w:iCs w:val="0"/>
      <w:color w:val="00267F"/>
      <w:sz w:val="20"/>
    </w:rPr>
  </w:style>
  <w:style w:type="paragraph" w:customStyle="1" w:styleId="r-heading">
    <w:name w:val="r-heading"/>
    <w:aliases w:val="rh"/>
    <w:basedOn w:val="Normal"/>
    <w:next w:val="Normal"/>
    <w:link w:val="r-headingChar"/>
    <w:uiPriority w:val="99"/>
    <w:rsid w:val="009E7B1F"/>
    <w:pPr>
      <w:keepNext/>
      <w:spacing w:before="240" w:after="180"/>
    </w:pPr>
    <w:rPr>
      <w:rFonts w:ascii="Arial Narrow" w:eastAsia="Cambria" w:hAnsi="Arial Narrow" w:cs="Arial"/>
      <w:b/>
      <w:bCs/>
      <w:color w:val="365F91"/>
    </w:rPr>
  </w:style>
  <w:style w:type="character" w:customStyle="1" w:styleId="r-headingChar">
    <w:name w:val="r-heading Char"/>
    <w:link w:val="r-heading"/>
    <w:uiPriority w:val="99"/>
    <w:locked/>
    <w:rsid w:val="009E7B1F"/>
    <w:rPr>
      <w:rFonts w:ascii="Arial Narrow" w:eastAsia="Cambria" w:hAnsi="Arial Narrow" w:cs="Arial"/>
      <w:b/>
      <w:bCs/>
      <w:color w:val="365F91"/>
      <w:sz w:val="24"/>
      <w:szCs w:val="24"/>
    </w:rPr>
  </w:style>
  <w:style w:type="paragraph" w:customStyle="1" w:styleId="r-name">
    <w:name w:val="r-name"/>
    <w:aliases w:val="rn"/>
    <w:basedOn w:val="Normal"/>
    <w:next w:val="Normal"/>
    <w:link w:val="r-nameChar"/>
    <w:uiPriority w:val="99"/>
    <w:rsid w:val="009E7B1F"/>
    <w:pPr>
      <w:keepNext/>
      <w:pageBreakBefore/>
      <w:spacing w:after="180"/>
      <w:outlineLvl w:val="3"/>
    </w:pPr>
    <w:rPr>
      <w:rFonts w:ascii="Arial Narrow" w:eastAsia="Cambria" w:hAnsi="Arial Narrow" w:cs="Arial"/>
      <w:b/>
      <w:bCs/>
      <w:sz w:val="44"/>
      <w:szCs w:val="44"/>
    </w:rPr>
  </w:style>
  <w:style w:type="character" w:customStyle="1" w:styleId="r-nameChar">
    <w:name w:val="r-name Char"/>
    <w:aliases w:val="rn Char"/>
    <w:link w:val="r-name"/>
    <w:uiPriority w:val="99"/>
    <w:locked/>
    <w:rsid w:val="009E7B1F"/>
    <w:rPr>
      <w:rFonts w:ascii="Arial Narrow" w:eastAsia="Cambria" w:hAnsi="Arial Narrow" w:cs="Arial"/>
      <w:b/>
      <w:bCs/>
      <w:sz w:val="44"/>
      <w:szCs w:val="44"/>
    </w:rPr>
  </w:style>
  <w:style w:type="paragraph" w:customStyle="1" w:styleId="r-role">
    <w:name w:val="r-role"/>
    <w:aliases w:val="role"/>
    <w:basedOn w:val="Normal"/>
    <w:next w:val="Normal"/>
    <w:uiPriority w:val="99"/>
    <w:rsid w:val="009E7B1F"/>
    <w:pPr>
      <w:keepNext/>
      <w:pBdr>
        <w:top w:val="single" w:sz="4" w:space="3" w:color="auto"/>
        <w:bottom w:val="single" w:sz="4" w:space="3" w:color="auto"/>
      </w:pBdr>
      <w:tabs>
        <w:tab w:val="right" w:pos="9360"/>
      </w:tabs>
      <w:spacing w:after="180"/>
    </w:pPr>
    <w:rPr>
      <w:rFonts w:ascii="Arial Narrow" w:eastAsia="Cambria" w:hAnsi="Arial Narrow"/>
      <w:b/>
      <w:bCs/>
      <w:iCs/>
      <w:szCs w:val="20"/>
    </w:rPr>
  </w:style>
  <w:style w:type="paragraph" w:customStyle="1" w:styleId="SectionBegin">
    <w:name w:val="Section Begin"/>
    <w:basedOn w:val="Normal"/>
    <w:rsid w:val="009E7B1F"/>
    <w:pPr>
      <w:keepNext/>
      <w:spacing w:after="60"/>
    </w:pPr>
    <w:rPr>
      <w:rFonts w:ascii="Arial" w:eastAsia="MS PGothic" w:hAnsi="Arial" w:cs="Arial"/>
      <w:b/>
      <w:bCs/>
      <w:szCs w:val="20"/>
      <w:u w:val="single"/>
      <w:lang w:eastAsia="ja-JP"/>
    </w:rPr>
  </w:style>
  <w:style w:type="paragraph" w:customStyle="1" w:styleId="SectionCostHeaders">
    <w:name w:val="Section Cost Headers"/>
    <w:rsid w:val="009E7B1F"/>
    <w:pPr>
      <w:spacing w:before="2000"/>
      <w:jc w:val="center"/>
    </w:pPr>
    <w:rPr>
      <w:rFonts w:ascii="Trebuchet MS" w:eastAsia="Times New Roman" w:hAnsi="Trebuchet MS"/>
      <w:sz w:val="50"/>
      <w:szCs w:val="50"/>
    </w:rPr>
  </w:style>
  <w:style w:type="paragraph" w:customStyle="1" w:styleId="SectionCostLogo">
    <w:name w:val="Section Cost Logo"/>
    <w:basedOn w:val="Normal"/>
    <w:rsid w:val="009E7B1F"/>
    <w:pPr>
      <w:tabs>
        <w:tab w:val="right" w:pos="9720"/>
        <w:tab w:val="right" w:pos="13860"/>
      </w:tabs>
      <w:ind w:left="-792" w:right="-360"/>
    </w:pPr>
    <w:rPr>
      <w:rFonts w:ascii="Times New Roman" w:eastAsia="Cambria" w:hAnsi="Times New Roman"/>
      <w:sz w:val="20"/>
    </w:rPr>
  </w:style>
  <w:style w:type="paragraph" w:customStyle="1" w:styleId="SectionHeading">
    <w:name w:val="Section Heading"/>
    <w:qFormat/>
    <w:rsid w:val="009E7B1F"/>
    <w:pPr>
      <w:pBdr>
        <w:top w:val="single" w:sz="18" w:space="1" w:color="00267F"/>
        <w:bottom w:val="single" w:sz="18" w:space="1" w:color="00267F"/>
      </w:pBdr>
      <w:shd w:val="clear" w:color="auto" w:fill="E6D9B8"/>
      <w:spacing w:before="120"/>
      <w:jc w:val="center"/>
    </w:pPr>
    <w:rPr>
      <w:rFonts w:ascii="Trebuchet MS" w:eastAsia="Calibri" w:hAnsi="Trebuchet MS"/>
      <w:b/>
      <w:sz w:val="36"/>
      <w:szCs w:val="36"/>
    </w:rPr>
  </w:style>
  <w:style w:type="paragraph" w:customStyle="1" w:styleId="SectionSub1">
    <w:name w:val="Section Sub 1"/>
    <w:basedOn w:val="Normal"/>
    <w:rsid w:val="009E7B1F"/>
    <w:pPr>
      <w:spacing w:before="120" w:after="160"/>
      <w:ind w:left="720" w:hanging="720"/>
    </w:pPr>
    <w:rPr>
      <w:rFonts w:ascii="Trebuchet MS" w:eastAsia="Cambria" w:hAnsi="Trebuchet MS"/>
    </w:rPr>
  </w:style>
  <w:style w:type="paragraph" w:customStyle="1" w:styleId="SectionSub2">
    <w:name w:val="Section Sub 2"/>
    <w:rsid w:val="009E7B1F"/>
    <w:pPr>
      <w:spacing w:before="240"/>
      <w:ind w:left="720"/>
    </w:pPr>
    <w:rPr>
      <w:rFonts w:ascii="Trebuchet MS" w:eastAsia="Times New Roman" w:hAnsi="Trebuchet MS"/>
      <w:b/>
    </w:rPr>
  </w:style>
  <w:style w:type="paragraph" w:customStyle="1" w:styleId="SectionSubbullet">
    <w:name w:val="Section Sub bullet"/>
    <w:basedOn w:val="Normal"/>
    <w:rsid w:val="009E7B1F"/>
    <w:pPr>
      <w:numPr>
        <w:numId w:val="20"/>
      </w:numPr>
      <w:tabs>
        <w:tab w:val="right" w:leader="dot" w:pos="9000"/>
      </w:tabs>
      <w:spacing w:before="120" w:after="160"/>
    </w:pPr>
    <w:rPr>
      <w:rFonts w:ascii="Times New Roman" w:eastAsia="Cambria" w:hAnsi="Times New Roman"/>
    </w:rPr>
  </w:style>
  <w:style w:type="paragraph" w:customStyle="1" w:styleId="SectionSubCostHead">
    <w:name w:val="Section Sub Cost Head"/>
    <w:rsid w:val="009E7B1F"/>
    <w:pPr>
      <w:spacing w:before="400"/>
      <w:jc w:val="center"/>
    </w:pPr>
    <w:rPr>
      <w:rFonts w:ascii="Trebuchet MS" w:eastAsia="Times New Roman" w:hAnsi="Trebuchet MS"/>
      <w:sz w:val="30"/>
      <w:szCs w:val="50"/>
    </w:rPr>
  </w:style>
  <w:style w:type="paragraph" w:customStyle="1" w:styleId="SidePhoto">
    <w:name w:val="Side Photo"/>
    <w:qFormat/>
    <w:rsid w:val="009E7B1F"/>
    <w:pPr>
      <w:framePr w:hSpace="180" w:wrap="around" w:vAnchor="text" w:hAnchor="page" w:x="739" w:y="230"/>
    </w:pPr>
    <w:rPr>
      <w:rFonts w:ascii="Calibri" w:eastAsia="SimSun" w:hAnsi="Calibri"/>
      <w:sz w:val="22"/>
      <w:szCs w:val="22"/>
      <w:lang w:eastAsia="zh-CN"/>
    </w:rPr>
  </w:style>
  <w:style w:type="paragraph" w:customStyle="1" w:styleId="SidePhotoCaption">
    <w:name w:val="Side Photo Caption"/>
    <w:qFormat/>
    <w:rsid w:val="009E7B1F"/>
    <w:pPr>
      <w:framePr w:hSpace="180" w:wrap="around" w:vAnchor="text" w:hAnchor="page" w:x="739" w:y="230"/>
      <w:spacing w:before="120"/>
    </w:pPr>
    <w:rPr>
      <w:rFonts w:ascii="Calibri" w:eastAsia="SimSun" w:hAnsi="Calibri"/>
      <w:i/>
      <w:color w:val="2D6AB0"/>
      <w:szCs w:val="22"/>
      <w:lang w:eastAsia="zh-CN"/>
    </w:rPr>
  </w:style>
  <w:style w:type="paragraph" w:customStyle="1" w:styleId="SidebarBullet">
    <w:name w:val="Sidebar Bullet"/>
    <w:basedOn w:val="Normal"/>
    <w:rsid w:val="009E7B1F"/>
    <w:pPr>
      <w:numPr>
        <w:numId w:val="21"/>
      </w:numPr>
      <w:spacing w:before="40"/>
    </w:pPr>
    <w:rPr>
      <w:rFonts w:ascii="Arial Narrow" w:eastAsia="Cambria" w:hAnsi="Arial Narrow" w:cs="Arial"/>
      <w:color w:val="000000"/>
      <w:sz w:val="17"/>
      <w:szCs w:val="20"/>
      <w:lang w:val="fr-FR"/>
    </w:rPr>
  </w:style>
  <w:style w:type="paragraph" w:customStyle="1" w:styleId="SidebarTitle">
    <w:name w:val="Sidebar Title"/>
    <w:basedOn w:val="Normal"/>
    <w:rsid w:val="009E7B1F"/>
    <w:pPr>
      <w:spacing w:before="240"/>
      <w:jc w:val="both"/>
    </w:pPr>
    <w:rPr>
      <w:rFonts w:ascii="Arial Narrow" w:eastAsia="Cambria" w:hAnsi="Arial Narrow" w:cs="Arial"/>
      <w:b/>
      <w:color w:val="000000"/>
      <w:sz w:val="17"/>
      <w:szCs w:val="20"/>
    </w:rPr>
  </w:style>
  <w:style w:type="character" w:customStyle="1" w:styleId="SkillsSymbols">
    <w:name w:val="Skills Symbols"/>
    <w:rsid w:val="009E7B1F"/>
    <w:rPr>
      <w:sz w:val="32"/>
    </w:rPr>
  </w:style>
  <w:style w:type="paragraph" w:customStyle="1" w:styleId="Source">
    <w:name w:val="Source"/>
    <w:basedOn w:val="Normal"/>
    <w:next w:val="Normal"/>
    <w:rsid w:val="009E7B1F"/>
    <w:pPr>
      <w:numPr>
        <w:numId w:val="22"/>
      </w:numPr>
      <w:spacing w:before="120" w:after="240"/>
    </w:pPr>
    <w:rPr>
      <w:rFonts w:ascii="Arial" w:eastAsia="Cambria" w:hAnsi="Arial"/>
      <w:sz w:val="20"/>
      <w:szCs w:val="20"/>
    </w:rPr>
  </w:style>
  <w:style w:type="paragraph" w:customStyle="1" w:styleId="SpecialTableText">
    <w:name w:val="Special Table Text"/>
    <w:qFormat/>
    <w:rsid w:val="009E7B1F"/>
    <w:rPr>
      <w:rFonts w:ascii="Book Antiqua" w:eastAsia="Times New Roman" w:hAnsi="Book Antiqua"/>
      <w:snapToGrid w:val="0"/>
      <w:sz w:val="18"/>
      <w:szCs w:val="18"/>
    </w:rPr>
  </w:style>
  <w:style w:type="paragraph" w:customStyle="1" w:styleId="SpecialTableNumbers">
    <w:name w:val="Special Table Numbers"/>
    <w:basedOn w:val="SpecialTableText"/>
    <w:autoRedefine/>
    <w:qFormat/>
    <w:rsid w:val="009E7B1F"/>
    <w:pPr>
      <w:ind w:left="245" w:hanging="180"/>
    </w:pPr>
  </w:style>
  <w:style w:type="paragraph" w:customStyle="1" w:styleId="SpecialTableSubhead">
    <w:name w:val="Special Table Subhead"/>
    <w:qFormat/>
    <w:rsid w:val="009E7B1F"/>
    <w:rPr>
      <w:rFonts w:ascii="Trebuchet MS" w:eastAsia="Times New Roman" w:hAnsi="Trebuchet MS"/>
      <w:b/>
      <w:szCs w:val="18"/>
    </w:rPr>
  </w:style>
  <w:style w:type="character" w:customStyle="1" w:styleId="spelle">
    <w:name w:val="spelle"/>
    <w:uiPriority w:val="99"/>
    <w:rsid w:val="009E7B1F"/>
    <w:rPr>
      <w:rFonts w:cs="Times New Roman"/>
    </w:rPr>
  </w:style>
  <w:style w:type="character" w:customStyle="1" w:styleId="st">
    <w:name w:val="st"/>
    <w:rsid w:val="009E7B1F"/>
  </w:style>
  <w:style w:type="character" w:customStyle="1" w:styleId="st1">
    <w:name w:val="st1"/>
    <w:rsid w:val="009E7B1F"/>
  </w:style>
  <w:style w:type="character" w:styleId="Strong">
    <w:name w:val="Strong"/>
    <w:qFormat/>
    <w:rsid w:val="009E7B1F"/>
    <w:rPr>
      <w:b/>
      <w:bCs/>
      <w:i w:val="0"/>
      <w:color w:val="00267F"/>
    </w:rPr>
  </w:style>
  <w:style w:type="paragraph" w:customStyle="1" w:styleId="StyleAfter12pt">
    <w:name w:val="Style After:  12 pt"/>
    <w:basedOn w:val="Normal"/>
    <w:rsid w:val="009E7B1F"/>
    <w:pPr>
      <w:spacing w:after="240"/>
    </w:pPr>
    <w:rPr>
      <w:rFonts w:ascii="Book Antiqua" w:eastAsia="Calibri" w:hAnsi="Book Antiqua"/>
      <w:sz w:val="22"/>
      <w:szCs w:val="22"/>
    </w:rPr>
  </w:style>
  <w:style w:type="character" w:customStyle="1" w:styleId="StyleBold">
    <w:name w:val="Style Bold"/>
    <w:rsid w:val="009E7B1F"/>
    <w:rPr>
      <w:b/>
      <w:bCs/>
      <w:sz w:val="24"/>
    </w:rPr>
  </w:style>
  <w:style w:type="paragraph" w:customStyle="1" w:styleId="StyleBulletLevel2After3pt">
    <w:name w:val="Style Bullet Level 2 + After:  3 pt"/>
    <w:basedOn w:val="BulletLevel2"/>
    <w:rsid w:val="009E7B1F"/>
    <w:pPr>
      <w:numPr>
        <w:numId w:val="23"/>
      </w:numPr>
      <w:tabs>
        <w:tab w:val="clear" w:pos="1080"/>
        <w:tab w:val="num" w:pos="360"/>
      </w:tabs>
      <w:spacing w:after="60"/>
      <w:ind w:left="0" w:firstLine="0"/>
    </w:pPr>
    <w:rPr>
      <w:szCs w:val="20"/>
    </w:rPr>
  </w:style>
  <w:style w:type="character" w:customStyle="1" w:styleId="StyleItalic">
    <w:name w:val="Style Italic"/>
    <w:rsid w:val="009E7B1F"/>
    <w:rPr>
      <w:i/>
      <w:iCs/>
    </w:rPr>
  </w:style>
  <w:style w:type="paragraph" w:customStyle="1" w:styleId="StyleLinespacingDouble">
    <w:name w:val="Style Line spacing:  Double"/>
    <w:basedOn w:val="Normal"/>
    <w:link w:val="StyleLinespacingDoubleChar"/>
    <w:rsid w:val="009E7B1F"/>
    <w:pPr>
      <w:spacing w:before="120" w:after="240" w:line="480" w:lineRule="auto"/>
    </w:pPr>
    <w:rPr>
      <w:rFonts w:ascii="Calibri" w:eastAsia="Calibri" w:hAnsi="Calibri"/>
    </w:rPr>
  </w:style>
  <w:style w:type="character" w:customStyle="1" w:styleId="StyleLinespacingDoubleChar">
    <w:name w:val="Style Line spacing:  Double Char"/>
    <w:link w:val="StyleLinespacingDouble"/>
    <w:locked/>
    <w:rsid w:val="009E7B1F"/>
    <w:rPr>
      <w:rFonts w:ascii="Calibri" w:eastAsia="Calibri" w:hAnsi="Calibri" w:cs="Times New Roman"/>
      <w:sz w:val="24"/>
      <w:szCs w:val="24"/>
    </w:rPr>
  </w:style>
  <w:style w:type="paragraph" w:customStyle="1" w:styleId="StyleListParagraphCambriaAfter0pt">
    <w:name w:val="Style List Paragraph + Cambria After:  0 pt"/>
    <w:basedOn w:val="ListParagraph"/>
    <w:rsid w:val="009E7B1F"/>
    <w:pPr>
      <w:numPr>
        <w:numId w:val="24"/>
      </w:numPr>
      <w:spacing w:after="200" w:line="276" w:lineRule="auto"/>
    </w:pPr>
    <w:rPr>
      <w:rFonts w:ascii="Times New Roman" w:eastAsia="Cambria" w:hAnsi="Times New Roman"/>
      <w:szCs w:val="22"/>
    </w:rPr>
  </w:style>
  <w:style w:type="paragraph" w:customStyle="1" w:styleId="TableText">
    <w:name w:val="Table Text"/>
    <w:link w:val="TableTextChar"/>
    <w:qFormat/>
    <w:rsid w:val="009E7B1F"/>
    <w:pPr>
      <w:spacing w:before="60" w:after="60"/>
    </w:pPr>
    <w:rPr>
      <w:rFonts w:ascii="Arial" w:eastAsia="Times New Roman" w:hAnsi="Arial"/>
      <w:szCs w:val="22"/>
    </w:rPr>
  </w:style>
  <w:style w:type="character" w:customStyle="1" w:styleId="TableTextChar">
    <w:name w:val="Table Text Char"/>
    <w:link w:val="TableText"/>
    <w:rsid w:val="009E7B1F"/>
    <w:rPr>
      <w:rFonts w:ascii="Arial" w:eastAsia="Times New Roman" w:hAnsi="Arial"/>
      <w:szCs w:val="22"/>
      <w:lang w:bidi="ar-SA"/>
    </w:rPr>
  </w:style>
  <w:style w:type="paragraph" w:customStyle="1" w:styleId="StyleTableTextCentered">
    <w:name w:val="Style Table Text + Centered"/>
    <w:basedOn w:val="TableText"/>
    <w:rsid w:val="009E7B1F"/>
    <w:pPr>
      <w:spacing w:after="20"/>
      <w:jc w:val="center"/>
    </w:pPr>
    <w:rPr>
      <w:szCs w:val="20"/>
    </w:rPr>
  </w:style>
  <w:style w:type="paragraph" w:customStyle="1" w:styleId="StyleTableTextCentered1">
    <w:name w:val="Style Table Text + Centered1"/>
    <w:basedOn w:val="TableText"/>
    <w:rsid w:val="009E7B1F"/>
    <w:pPr>
      <w:spacing w:after="20"/>
      <w:jc w:val="center"/>
    </w:pPr>
    <w:rPr>
      <w:szCs w:val="20"/>
    </w:rPr>
  </w:style>
  <w:style w:type="character" w:customStyle="1" w:styleId="StyleTrebuchetMS16pt">
    <w:name w:val="Style Trebuchet MS 16 pt"/>
    <w:rsid w:val="009E7B1F"/>
    <w:rPr>
      <w:rFonts w:ascii="Trebuchet MS" w:hAnsi="Trebuchet MS"/>
      <w:color w:val="00267F"/>
      <w:sz w:val="32"/>
    </w:rPr>
  </w:style>
  <w:style w:type="character" w:customStyle="1" w:styleId="StyleUnderline">
    <w:name w:val="Style Underline"/>
    <w:qFormat/>
    <w:rsid w:val="009E7B1F"/>
    <w:rPr>
      <w:u w:val="single"/>
    </w:rPr>
  </w:style>
  <w:style w:type="paragraph" w:customStyle="1" w:styleId="Style4">
    <w:name w:val="Style4"/>
    <w:basedOn w:val="Normal"/>
    <w:uiPriority w:val="99"/>
    <w:rsid w:val="009E7B1F"/>
    <w:pPr>
      <w:widowControl w:val="0"/>
      <w:autoSpaceDE w:val="0"/>
      <w:autoSpaceDN w:val="0"/>
      <w:adjustRightInd w:val="0"/>
      <w:spacing w:after="240" w:line="276" w:lineRule="exact"/>
    </w:pPr>
    <w:rPr>
      <w:rFonts w:ascii="Times New Roman" w:eastAsia="Cambria" w:hAnsi="Times New Roman"/>
      <w:szCs w:val="20"/>
    </w:rPr>
  </w:style>
  <w:style w:type="paragraph" w:customStyle="1" w:styleId="Subhead1">
    <w:name w:val="Subhead 1"/>
    <w:basedOn w:val="Normal"/>
    <w:link w:val="Subhead1Char"/>
    <w:rsid w:val="009E7B1F"/>
    <w:pPr>
      <w:keepNext/>
      <w:pageBreakBefore/>
      <w:shd w:val="clear" w:color="auto" w:fill="A1BDEA"/>
    </w:pPr>
    <w:rPr>
      <w:rFonts w:ascii="Arial" w:eastAsia="Cambria" w:hAnsi="Arial"/>
      <w:b/>
      <w:smallCaps/>
      <w:color w:val="00267F"/>
      <w:sz w:val="28"/>
      <w:szCs w:val="28"/>
      <w:lang w:val="x-none" w:eastAsia="x-none"/>
    </w:rPr>
  </w:style>
  <w:style w:type="character" w:customStyle="1" w:styleId="Subhead1Char">
    <w:name w:val="Subhead 1 Char"/>
    <w:link w:val="Subhead1"/>
    <w:rsid w:val="009E7B1F"/>
    <w:rPr>
      <w:rFonts w:ascii="Arial" w:eastAsia="Cambria" w:hAnsi="Arial" w:cs="Arial"/>
      <w:b/>
      <w:smallCaps/>
      <w:color w:val="00267F"/>
      <w:sz w:val="28"/>
      <w:szCs w:val="28"/>
      <w:shd w:val="clear" w:color="auto" w:fill="A1BDEA"/>
    </w:rPr>
  </w:style>
  <w:style w:type="paragraph" w:customStyle="1" w:styleId="Subhead2">
    <w:name w:val="Subhead 2"/>
    <w:basedOn w:val="Normal"/>
    <w:link w:val="Subhead2Char"/>
    <w:rsid w:val="009E7B1F"/>
    <w:pPr>
      <w:keepNext/>
      <w:spacing w:before="240" w:after="80"/>
      <w:ind w:left="900" w:hanging="907"/>
    </w:pPr>
    <w:rPr>
      <w:rFonts w:ascii="Trebuchet MS" w:eastAsia="Cambria" w:hAnsi="Trebuchet MS"/>
      <w:b/>
      <w:color w:val="1F821F"/>
      <w:lang w:val="x-none" w:eastAsia="x-none"/>
    </w:rPr>
  </w:style>
  <w:style w:type="character" w:customStyle="1" w:styleId="Subhead2Char">
    <w:name w:val="Subhead 2 Char"/>
    <w:link w:val="Subhead2"/>
    <w:rsid w:val="009E7B1F"/>
    <w:rPr>
      <w:rFonts w:ascii="Trebuchet MS" w:eastAsia="Cambria" w:hAnsi="Trebuchet MS" w:cs="Arial"/>
      <w:b/>
      <w:color w:val="1F821F"/>
      <w:sz w:val="24"/>
      <w:szCs w:val="24"/>
    </w:rPr>
  </w:style>
  <w:style w:type="paragraph" w:customStyle="1" w:styleId="Subhead3">
    <w:name w:val="Subhead 3"/>
    <w:basedOn w:val="Subhead2"/>
    <w:link w:val="Subhead3Char"/>
    <w:rsid w:val="009E7B1F"/>
    <w:pPr>
      <w:spacing w:before="200" w:after="40"/>
      <w:ind w:left="907"/>
    </w:pPr>
  </w:style>
  <w:style w:type="character" w:customStyle="1" w:styleId="Subhead3Char">
    <w:name w:val="Subhead 3 Char"/>
    <w:link w:val="Subhead3"/>
    <w:rsid w:val="009E7B1F"/>
    <w:rPr>
      <w:rFonts w:ascii="Trebuchet MS" w:eastAsia="Cambria" w:hAnsi="Trebuchet MS" w:cs="Arial"/>
      <w:b/>
      <w:color w:val="1F821F"/>
      <w:sz w:val="24"/>
      <w:szCs w:val="24"/>
    </w:rPr>
  </w:style>
  <w:style w:type="paragraph" w:customStyle="1" w:styleId="Subheadnotoc">
    <w:name w:val="Subheadnotoc"/>
    <w:basedOn w:val="Subhead3"/>
    <w:link w:val="SubheadnotocChar"/>
    <w:rsid w:val="009E7B1F"/>
    <w:pPr>
      <w:spacing w:before="120"/>
      <w:ind w:left="1440" w:hanging="1260"/>
      <w:outlineLvl w:val="0"/>
    </w:pPr>
    <w:rPr>
      <w:i/>
      <w:color w:val="00267F"/>
    </w:rPr>
  </w:style>
  <w:style w:type="character" w:customStyle="1" w:styleId="SubheadnotocChar">
    <w:name w:val="Subheadnotoc Char"/>
    <w:link w:val="Subheadnotoc"/>
    <w:rsid w:val="009E7B1F"/>
    <w:rPr>
      <w:rFonts w:ascii="Trebuchet MS" w:eastAsia="Cambria" w:hAnsi="Trebuchet MS" w:cs="Arial"/>
      <w:b/>
      <w:i/>
      <w:color w:val="00267F"/>
      <w:sz w:val="24"/>
      <w:szCs w:val="24"/>
    </w:rPr>
  </w:style>
  <w:style w:type="paragraph" w:customStyle="1" w:styleId="SubheadSpace">
    <w:name w:val="Subhead Space"/>
    <w:basedOn w:val="Subheadnotoc"/>
    <w:qFormat/>
    <w:rsid w:val="009E7B1F"/>
    <w:pPr>
      <w:spacing w:before="160" w:after="0"/>
      <w:ind w:left="360" w:hanging="360"/>
      <w:outlineLvl w:val="9"/>
    </w:pPr>
    <w:rPr>
      <w:i w:val="0"/>
      <w:color w:val="auto"/>
    </w:rPr>
  </w:style>
  <w:style w:type="paragraph" w:customStyle="1" w:styleId="SubheadTitle">
    <w:name w:val="Subhead Title"/>
    <w:qFormat/>
    <w:rsid w:val="009E7B1F"/>
    <w:pPr>
      <w:shd w:val="clear" w:color="auto" w:fill="EEECE1"/>
      <w:spacing w:after="240"/>
      <w:outlineLvl w:val="0"/>
    </w:pPr>
    <w:rPr>
      <w:rFonts w:ascii="Trebuchet MS" w:eastAsia="Times New Roman" w:hAnsi="Trebuchet MS"/>
    </w:rPr>
  </w:style>
  <w:style w:type="paragraph" w:customStyle="1" w:styleId="Subheading">
    <w:name w:val="Subheading"/>
    <w:basedOn w:val="Blurb"/>
    <w:link w:val="SubheadingChar"/>
    <w:qFormat/>
    <w:rsid w:val="009E7B1F"/>
    <w:pPr>
      <w:spacing w:before="120" w:after="160"/>
    </w:pPr>
    <w:rPr>
      <w:b/>
    </w:rPr>
  </w:style>
  <w:style w:type="character" w:customStyle="1" w:styleId="SubheadingChar">
    <w:name w:val="Subheading Char"/>
    <w:link w:val="Subheading"/>
    <w:rsid w:val="009E7B1F"/>
    <w:rPr>
      <w:rFonts w:ascii="Book Antiqua" w:eastAsia="Cambria" w:hAnsi="Book Antiqua" w:cs="Times New Roman"/>
      <w:b/>
      <w:sz w:val="22"/>
    </w:rPr>
  </w:style>
  <w:style w:type="paragraph" w:customStyle="1" w:styleId="SubHeading0">
    <w:name w:val="SubHeading"/>
    <w:basedOn w:val="Normal"/>
    <w:rsid w:val="009E7B1F"/>
    <w:pPr>
      <w:spacing w:before="240" w:after="120"/>
      <w:ind w:left="720"/>
      <w:jc w:val="both"/>
    </w:pPr>
    <w:rPr>
      <w:rFonts w:ascii="Times New Roman" w:eastAsia="Cambria" w:hAnsi="Times New Roman"/>
      <w:b/>
      <w:szCs w:val="20"/>
    </w:rPr>
  </w:style>
  <w:style w:type="paragraph" w:customStyle="1" w:styleId="Subheading2">
    <w:name w:val="Subheading 2"/>
    <w:basedOn w:val="Heading4"/>
    <w:rsid w:val="009E7B1F"/>
    <w:pPr>
      <w:keepLines w:val="0"/>
      <w:spacing w:before="0" w:after="240"/>
      <w:ind w:left="1296" w:hanging="432"/>
    </w:pPr>
    <w:rPr>
      <w:rFonts w:eastAsia="Cambria" w:cs="Cambria"/>
      <w:b w:val="0"/>
      <w:iCs w:val="0"/>
      <w:color w:val="003366"/>
      <w:sz w:val="24"/>
      <w:szCs w:val="28"/>
    </w:rPr>
  </w:style>
  <w:style w:type="paragraph" w:customStyle="1" w:styleId="Subheadno2">
    <w:name w:val="Subheadno2"/>
    <w:basedOn w:val="Subheadnotoc"/>
    <w:link w:val="Subheadno2Char"/>
    <w:rsid w:val="009E7B1F"/>
    <w:pPr>
      <w:tabs>
        <w:tab w:val="left" w:pos="540"/>
        <w:tab w:val="right" w:pos="9360"/>
      </w:tabs>
      <w:spacing w:before="160"/>
      <w:ind w:left="540" w:hanging="540"/>
    </w:pPr>
    <w:rPr>
      <w:sz w:val="22"/>
      <w:szCs w:val="22"/>
    </w:rPr>
  </w:style>
  <w:style w:type="character" w:customStyle="1" w:styleId="Subheadno2Char">
    <w:name w:val="Subheadno2 Char"/>
    <w:link w:val="Subheadno2"/>
    <w:rsid w:val="009E7B1F"/>
    <w:rPr>
      <w:rFonts w:ascii="Trebuchet MS" w:eastAsia="Cambria" w:hAnsi="Trebuchet MS" w:cs="Arial"/>
      <w:b/>
      <w:i/>
      <w:color w:val="00267F"/>
      <w:sz w:val="22"/>
      <w:szCs w:val="22"/>
    </w:rPr>
  </w:style>
  <w:style w:type="paragraph" w:customStyle="1" w:styleId="Subheadno2-2">
    <w:name w:val="Subheadno2-2"/>
    <w:basedOn w:val="Subheadno2"/>
    <w:link w:val="Subheadno2-2Char"/>
    <w:rsid w:val="009E7B1F"/>
    <w:pPr>
      <w:spacing w:before="0" w:after="80"/>
      <w:ind w:left="0" w:firstLine="0"/>
    </w:pPr>
  </w:style>
  <w:style w:type="character" w:customStyle="1" w:styleId="Subheadno2-2Char">
    <w:name w:val="Subheadno2-2 Char"/>
    <w:link w:val="Subheadno2-2"/>
    <w:rsid w:val="009E7B1F"/>
    <w:rPr>
      <w:rFonts w:ascii="Trebuchet MS" w:eastAsia="Cambria" w:hAnsi="Trebuchet MS" w:cs="Arial"/>
      <w:b/>
      <w:i/>
      <w:color w:val="00267F"/>
      <w:sz w:val="22"/>
      <w:szCs w:val="22"/>
    </w:rPr>
  </w:style>
  <w:style w:type="paragraph" w:customStyle="1" w:styleId="Subheadno3">
    <w:name w:val="Subheadno3"/>
    <w:basedOn w:val="Normal"/>
    <w:link w:val="Subheadno3Char"/>
    <w:rsid w:val="009E7B1F"/>
    <w:pPr>
      <w:keepNext/>
      <w:tabs>
        <w:tab w:val="left" w:pos="1440"/>
        <w:tab w:val="right" w:pos="9360"/>
      </w:tabs>
      <w:spacing w:after="80"/>
      <w:outlineLvl w:val="0"/>
    </w:pPr>
    <w:rPr>
      <w:rFonts w:ascii="Trebuchet MS" w:eastAsia="Cambria" w:hAnsi="Trebuchet MS"/>
      <w:b/>
      <w:color w:val="00267F"/>
      <w:sz w:val="22"/>
      <w:szCs w:val="22"/>
      <w:lang w:val="x-none" w:eastAsia="x-none"/>
    </w:rPr>
  </w:style>
  <w:style w:type="character" w:customStyle="1" w:styleId="Subheadno3Char">
    <w:name w:val="Subheadno3 Char"/>
    <w:link w:val="Subheadno3"/>
    <w:rsid w:val="009E7B1F"/>
    <w:rPr>
      <w:rFonts w:ascii="Trebuchet MS" w:eastAsia="Cambria" w:hAnsi="Trebuchet MS" w:cs="Arial"/>
      <w:b/>
      <w:color w:val="00267F"/>
      <w:sz w:val="22"/>
      <w:szCs w:val="22"/>
    </w:rPr>
  </w:style>
  <w:style w:type="paragraph" w:customStyle="1" w:styleId="Subheadno4">
    <w:name w:val="Subheadno4"/>
    <w:qFormat/>
    <w:rsid w:val="009E7B1F"/>
    <w:pPr>
      <w:keepNext/>
      <w:keepLines/>
      <w:spacing w:before="240" w:after="240"/>
      <w:jc w:val="center"/>
    </w:pPr>
    <w:rPr>
      <w:rFonts w:ascii="Trebuchet MS" w:eastAsia="Times New Roman" w:hAnsi="Trebuchet MS" w:cs="Arial"/>
      <w:b/>
      <w:color w:val="00267F"/>
      <w:sz w:val="22"/>
      <w:szCs w:val="22"/>
    </w:rPr>
  </w:style>
  <w:style w:type="paragraph" w:styleId="Subtitle">
    <w:name w:val="Subtitle"/>
    <w:basedOn w:val="Normal"/>
    <w:link w:val="SubtitleChar"/>
    <w:uiPriority w:val="11"/>
    <w:qFormat/>
    <w:rsid w:val="009E7B1F"/>
    <w:pPr>
      <w:spacing w:after="60" w:line="280" w:lineRule="exact"/>
      <w:jc w:val="center"/>
      <w:outlineLvl w:val="1"/>
    </w:pPr>
    <w:rPr>
      <w:rFonts w:ascii="Arial" w:eastAsia="Cambria" w:hAnsi="Arial" w:cs="Arial"/>
      <w:sz w:val="22"/>
      <w:szCs w:val="20"/>
    </w:rPr>
  </w:style>
  <w:style w:type="character" w:customStyle="1" w:styleId="SubtitleChar">
    <w:name w:val="Subtitle Char"/>
    <w:link w:val="Subtitle"/>
    <w:uiPriority w:val="11"/>
    <w:rsid w:val="009E7B1F"/>
    <w:rPr>
      <w:rFonts w:ascii="Arial" w:eastAsia="Cambria" w:hAnsi="Arial" w:cs="Arial"/>
      <w:sz w:val="22"/>
    </w:rPr>
  </w:style>
  <w:style w:type="paragraph" w:customStyle="1" w:styleId="SummaryBullet1">
    <w:name w:val="Summary Bullet 1"/>
    <w:basedOn w:val="Normal"/>
    <w:rsid w:val="009E7B1F"/>
    <w:pPr>
      <w:numPr>
        <w:numId w:val="25"/>
      </w:numPr>
      <w:spacing w:after="120" w:line="312" w:lineRule="auto"/>
    </w:pPr>
    <w:rPr>
      <w:rFonts w:ascii="Book Antiqua" w:eastAsia="Cambria" w:hAnsi="Book Antiqua"/>
      <w:sz w:val="22"/>
    </w:rPr>
  </w:style>
  <w:style w:type="paragraph" w:customStyle="1" w:styleId="SummaryBullet2">
    <w:name w:val="Summary Bullet 2"/>
    <w:basedOn w:val="Normal"/>
    <w:rsid w:val="009E7B1F"/>
    <w:pPr>
      <w:numPr>
        <w:numId w:val="26"/>
      </w:numPr>
      <w:spacing w:before="60" w:after="60" w:line="312" w:lineRule="auto"/>
    </w:pPr>
    <w:rPr>
      <w:rFonts w:ascii="Book Antiqua" w:eastAsia="Cambria" w:hAnsi="Book Antiqua"/>
      <w:sz w:val="22"/>
      <w:szCs w:val="22"/>
    </w:rPr>
  </w:style>
  <w:style w:type="character" w:customStyle="1" w:styleId="Superscript">
    <w:name w:val="Superscript"/>
    <w:qFormat/>
    <w:rsid w:val="009E7B1F"/>
    <w:rPr>
      <w:caps w:val="0"/>
      <w:smallCaps w:val="0"/>
      <w:strike w:val="0"/>
      <w:dstrike w:val="0"/>
      <w:vanish w:val="0"/>
      <w:vertAlign w:val="superscript"/>
    </w:rPr>
  </w:style>
  <w:style w:type="paragraph" w:customStyle="1" w:styleId="SurveyQuestNumbered">
    <w:name w:val="Survey Quest Numbered"/>
    <w:qFormat/>
    <w:rsid w:val="009E7B1F"/>
    <w:pPr>
      <w:numPr>
        <w:numId w:val="27"/>
      </w:numPr>
      <w:spacing w:before="120" w:after="240"/>
    </w:pPr>
    <w:rPr>
      <w:rFonts w:ascii="Arial" w:eastAsia="Times New Roman" w:hAnsi="Arial" w:cs="Arial"/>
      <w:b/>
      <w:sz w:val="22"/>
    </w:rPr>
  </w:style>
  <w:style w:type="paragraph" w:customStyle="1" w:styleId="TableBullet">
    <w:name w:val="Table Bullet"/>
    <w:basedOn w:val="Normal"/>
    <w:autoRedefine/>
    <w:rsid w:val="009E7B1F"/>
    <w:pPr>
      <w:numPr>
        <w:numId w:val="28"/>
      </w:numPr>
      <w:tabs>
        <w:tab w:val="left" w:pos="490"/>
      </w:tabs>
      <w:spacing w:before="20" w:after="20"/>
    </w:pPr>
    <w:rPr>
      <w:rFonts w:ascii="Calibri" w:eastAsia="Batang" w:hAnsi="Calibri" w:cs="Calibri"/>
      <w:sz w:val="20"/>
      <w:szCs w:val="20"/>
    </w:rPr>
  </w:style>
  <w:style w:type="paragraph" w:customStyle="1" w:styleId="TableBullet1">
    <w:name w:val="Table Bullet 1"/>
    <w:basedOn w:val="TableText"/>
    <w:qFormat/>
    <w:rsid w:val="009E7B1F"/>
    <w:pPr>
      <w:numPr>
        <w:numId w:val="29"/>
      </w:numPr>
      <w:tabs>
        <w:tab w:val="num" w:pos="360"/>
      </w:tabs>
      <w:spacing w:before="40"/>
      <w:ind w:left="0" w:firstLine="0"/>
    </w:pPr>
    <w:rPr>
      <w:rFonts w:ascii="Calibri" w:eastAsia="SimSun" w:hAnsi="Calibri" w:cs="Calibri"/>
      <w:sz w:val="22"/>
    </w:rPr>
  </w:style>
  <w:style w:type="paragraph" w:customStyle="1" w:styleId="TableBullet2">
    <w:name w:val="Table Bullet 2"/>
    <w:basedOn w:val="TableText"/>
    <w:qFormat/>
    <w:rsid w:val="009E7B1F"/>
    <w:pPr>
      <w:numPr>
        <w:ilvl w:val="1"/>
        <w:numId w:val="29"/>
      </w:numPr>
      <w:tabs>
        <w:tab w:val="num" w:pos="360"/>
      </w:tabs>
      <w:spacing w:before="40"/>
      <w:ind w:left="0" w:firstLine="0"/>
    </w:pPr>
    <w:rPr>
      <w:rFonts w:ascii="Calibri" w:eastAsia="SimSun" w:hAnsi="Calibri" w:cs="Calibri"/>
      <w:sz w:val="22"/>
    </w:rPr>
  </w:style>
  <w:style w:type="paragraph" w:customStyle="1" w:styleId="TableBullet3">
    <w:name w:val="Table Bullet 3"/>
    <w:basedOn w:val="TableText"/>
    <w:qFormat/>
    <w:rsid w:val="009E7B1F"/>
    <w:pPr>
      <w:numPr>
        <w:ilvl w:val="2"/>
        <w:numId w:val="29"/>
      </w:numPr>
      <w:tabs>
        <w:tab w:val="num" w:pos="360"/>
      </w:tabs>
      <w:spacing w:before="40"/>
      <w:ind w:left="0" w:firstLine="0"/>
    </w:pPr>
    <w:rPr>
      <w:rFonts w:ascii="Calibri" w:eastAsia="SimSun" w:hAnsi="Calibri" w:cs="Calibri"/>
      <w:sz w:val="22"/>
    </w:rPr>
  </w:style>
  <w:style w:type="paragraph" w:customStyle="1" w:styleId="TableBullet4">
    <w:name w:val="Table Bullet 4"/>
    <w:basedOn w:val="Normal"/>
    <w:rsid w:val="009E7B1F"/>
    <w:pPr>
      <w:tabs>
        <w:tab w:val="num" w:pos="1440"/>
      </w:tabs>
      <w:spacing w:before="40" w:after="40"/>
      <w:ind w:left="1440" w:hanging="360"/>
      <w:outlineLvl w:val="7"/>
    </w:pPr>
    <w:rPr>
      <w:rFonts w:ascii="Arial" w:eastAsia="Cambria" w:hAnsi="Arial" w:cs="Arial"/>
      <w:sz w:val="20"/>
      <w:szCs w:val="20"/>
    </w:rPr>
  </w:style>
  <w:style w:type="paragraph" w:customStyle="1" w:styleId="TableBullets">
    <w:name w:val="Table Bullets"/>
    <w:basedOn w:val="Normal"/>
    <w:qFormat/>
    <w:rsid w:val="009E7B1F"/>
    <w:pPr>
      <w:numPr>
        <w:numId w:val="30"/>
      </w:numPr>
      <w:spacing w:before="40" w:after="40"/>
    </w:pPr>
    <w:rPr>
      <w:rFonts w:ascii="Calibri" w:eastAsia="Calibri" w:hAnsi="Calibri" w:cs="Calibri"/>
      <w:sz w:val="21"/>
      <w:szCs w:val="23"/>
    </w:rPr>
  </w:style>
  <w:style w:type="paragraph" w:customStyle="1" w:styleId="TableBullets2">
    <w:name w:val="Table Bullets 2"/>
    <w:qFormat/>
    <w:rsid w:val="009E7B1F"/>
    <w:pPr>
      <w:numPr>
        <w:numId w:val="31"/>
      </w:numPr>
    </w:pPr>
    <w:rPr>
      <w:rFonts w:ascii="Calibri" w:eastAsia="Times New Roman" w:hAnsi="Calibri" w:cs="Calibri"/>
      <w:szCs w:val="22"/>
    </w:rPr>
  </w:style>
  <w:style w:type="table" w:customStyle="1" w:styleId="TableGrid1">
    <w:name w:val="Table Grid1"/>
    <w:basedOn w:val="TableNormal"/>
    <w:next w:val="TableGrid"/>
    <w:rsid w:val="009E7B1F"/>
    <w:pPr>
      <w:spacing w:before="40" w:after="40"/>
      <w:jc w:val="center"/>
    </w:pPr>
    <w:rPr>
      <w:rFonts w:ascii="Trebuchet MS" w:eastAsia="Times New Roman" w:hAnsi="Trebuchet M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rFonts w:ascii="Cambria Math" w:hAnsi="Cambria Math"/>
        <w:b/>
        <w:sz w:val="20"/>
      </w:rPr>
      <w:tblPr/>
      <w:tcPr>
        <w:tcBorders>
          <w:bottom w:val="single" w:sz="12" w:space="0" w:color="auto"/>
        </w:tcBorders>
      </w:tcPr>
    </w:tblStylePr>
    <w:tblStylePr w:type="lastRow">
      <w:pPr>
        <w:wordWrap/>
        <w:spacing w:beforeLines="0" w:beforeAutospacing="0" w:afterLines="0" w:afterAutospacing="0"/>
      </w:pPr>
      <w:rPr>
        <w:rFonts w:ascii="Cambria Math" w:hAnsi="Cambria Math"/>
        <w:sz w:val="20"/>
      </w:rPr>
      <w:tblPr/>
      <w:tcPr>
        <w:tcBorders>
          <w:bottom w:val="single" w:sz="12" w:space="0" w:color="auto"/>
        </w:tcBorders>
      </w:tcPr>
    </w:tblStylePr>
  </w:style>
  <w:style w:type="paragraph" w:customStyle="1" w:styleId="TableHead">
    <w:name w:val="Table Head"/>
    <w:basedOn w:val="Normal"/>
    <w:qFormat/>
    <w:rsid w:val="009E7B1F"/>
    <w:pPr>
      <w:spacing w:before="60" w:after="60" w:line="300" w:lineRule="exact"/>
      <w:jc w:val="center"/>
    </w:pPr>
    <w:rPr>
      <w:rFonts w:ascii="Arial" w:eastAsia="SimSun" w:hAnsi="Arial"/>
      <w:color w:val="FFFFFF"/>
      <w:sz w:val="20"/>
    </w:rPr>
  </w:style>
  <w:style w:type="paragraph" w:customStyle="1" w:styleId="TableHeadingText">
    <w:name w:val="Table Heading Text"/>
    <w:basedOn w:val="Normal"/>
    <w:rsid w:val="009E7B1F"/>
    <w:pPr>
      <w:spacing w:before="60" w:after="60"/>
    </w:pPr>
    <w:rPr>
      <w:rFonts w:ascii="Arial Black" w:eastAsia="Cambria" w:hAnsi="Arial Black"/>
      <w:sz w:val="18"/>
      <w:szCs w:val="20"/>
    </w:rPr>
  </w:style>
  <w:style w:type="paragraph" w:customStyle="1" w:styleId="TableMeasels">
    <w:name w:val="Table Measels"/>
    <w:qFormat/>
    <w:rsid w:val="009E7B1F"/>
    <w:pPr>
      <w:jc w:val="center"/>
    </w:pPr>
    <w:rPr>
      <w:rFonts w:ascii="Arial" w:eastAsia="Times New Roman" w:hAnsi="Arial"/>
      <w:color w:val="00267F"/>
      <w:sz w:val="48"/>
    </w:rPr>
  </w:style>
  <w:style w:type="paragraph" w:styleId="TableofFigures">
    <w:name w:val="table of figures"/>
    <w:basedOn w:val="Normal"/>
    <w:next w:val="Normal"/>
    <w:uiPriority w:val="99"/>
    <w:unhideWhenUsed/>
    <w:rsid w:val="009E7B1F"/>
    <w:pPr>
      <w:tabs>
        <w:tab w:val="right" w:leader="dot" w:pos="9360"/>
      </w:tabs>
      <w:spacing w:after="120"/>
      <w:ind w:left="963" w:hanging="963"/>
    </w:pPr>
    <w:rPr>
      <w:rFonts w:ascii="Arial" w:eastAsia="Cambria" w:hAnsi="Arial"/>
      <w:noProof/>
      <w:color w:val="00267F"/>
      <w:sz w:val="22"/>
    </w:rPr>
  </w:style>
  <w:style w:type="paragraph" w:customStyle="1" w:styleId="TableSpacer">
    <w:name w:val="Table Spacer"/>
    <w:qFormat/>
    <w:rsid w:val="009E7B1F"/>
    <w:pPr>
      <w:spacing w:after="240"/>
      <w:jc w:val="both"/>
    </w:pPr>
    <w:rPr>
      <w:rFonts w:ascii="Times New Roman" w:eastAsia="Times New Roman" w:hAnsi="Times New Roman"/>
      <w:bCs/>
    </w:rPr>
  </w:style>
  <w:style w:type="paragraph" w:customStyle="1" w:styleId="TableSubhead">
    <w:name w:val="Table Subhead"/>
    <w:basedOn w:val="Normal"/>
    <w:rsid w:val="009E7B1F"/>
    <w:pPr>
      <w:spacing w:before="40" w:after="40"/>
      <w:ind w:left="70"/>
      <w:jc w:val="center"/>
    </w:pPr>
    <w:rPr>
      <w:rFonts w:ascii="Arial" w:eastAsia="Cambria" w:hAnsi="Arial" w:cs="Arial"/>
      <w:color w:val="00267F"/>
      <w:sz w:val="22"/>
      <w:szCs w:val="22"/>
    </w:rPr>
  </w:style>
  <w:style w:type="paragraph" w:customStyle="1" w:styleId="TableSubhead2">
    <w:name w:val="Table Subhead 2"/>
    <w:basedOn w:val="Normal"/>
    <w:rsid w:val="009E7B1F"/>
    <w:pPr>
      <w:spacing w:before="60" w:after="60"/>
    </w:pPr>
    <w:rPr>
      <w:rFonts w:ascii="Arial" w:eastAsia="Cambria" w:hAnsi="Arial"/>
      <w:b/>
      <w:i/>
      <w:color w:val="00267F"/>
      <w:sz w:val="20"/>
      <w:szCs w:val="20"/>
    </w:rPr>
  </w:style>
  <w:style w:type="paragraph" w:customStyle="1" w:styleId="TableSubhead3">
    <w:name w:val="Table Subhead 3"/>
    <w:basedOn w:val="TableSubhead2"/>
    <w:qFormat/>
    <w:rsid w:val="009E7B1F"/>
    <w:pPr>
      <w:ind w:left="61"/>
      <w:contextualSpacing/>
    </w:pPr>
    <w:rPr>
      <w:sz w:val="18"/>
    </w:rPr>
  </w:style>
  <w:style w:type="paragraph" w:customStyle="1" w:styleId="TableSubheadNo">
    <w:name w:val="Table Subhead No"/>
    <w:basedOn w:val="Normal"/>
    <w:qFormat/>
    <w:rsid w:val="009E7B1F"/>
    <w:pPr>
      <w:spacing w:before="120" w:after="160"/>
      <w:ind w:left="612" w:right="120" w:hanging="297"/>
    </w:pPr>
    <w:rPr>
      <w:rFonts w:ascii="Times New Roman" w:eastAsia="Cambria" w:hAnsi="Times New Roman"/>
      <w:b/>
      <w:sz w:val="22"/>
      <w:szCs w:val="22"/>
    </w:rPr>
  </w:style>
  <w:style w:type="paragraph" w:customStyle="1" w:styleId="TableText15">
    <w:name w:val="Table Text 1.5"/>
    <w:basedOn w:val="TableText"/>
    <w:rsid w:val="009E7B1F"/>
    <w:pPr>
      <w:spacing w:after="40"/>
      <w:ind w:left="317" w:hanging="237"/>
    </w:pPr>
  </w:style>
  <w:style w:type="paragraph" w:customStyle="1" w:styleId="TableText2">
    <w:name w:val="Table Text 2"/>
    <w:basedOn w:val="TableText"/>
    <w:qFormat/>
    <w:rsid w:val="009E7B1F"/>
  </w:style>
  <w:style w:type="paragraph" w:customStyle="1" w:styleId="TableTextCenter">
    <w:name w:val="Table Text Center"/>
    <w:basedOn w:val="TableText"/>
    <w:qFormat/>
    <w:rsid w:val="009E7B1F"/>
    <w:pPr>
      <w:spacing w:before="40" w:after="40"/>
      <w:contextualSpacing/>
      <w:jc w:val="center"/>
    </w:pPr>
    <w:rPr>
      <w:szCs w:val="19"/>
    </w:rPr>
  </w:style>
  <w:style w:type="paragraph" w:customStyle="1" w:styleId="TableTextLg">
    <w:name w:val="Table Text Lg"/>
    <w:basedOn w:val="TableText"/>
    <w:qFormat/>
    <w:rsid w:val="009E7B1F"/>
    <w:pPr>
      <w:spacing w:after="40"/>
    </w:pPr>
    <w:rPr>
      <w:rFonts w:ascii="Calibri" w:hAnsi="Calibri"/>
      <w:sz w:val="22"/>
      <w:szCs w:val="19"/>
    </w:rPr>
  </w:style>
  <w:style w:type="paragraph" w:customStyle="1" w:styleId="TableTextMoreSpace">
    <w:name w:val="Table Text More Space"/>
    <w:basedOn w:val="TableText"/>
    <w:qFormat/>
    <w:rsid w:val="009E7B1F"/>
    <w:pPr>
      <w:spacing w:before="80" w:after="80"/>
    </w:pPr>
    <w:rPr>
      <w:rFonts w:ascii="Calibri" w:hAnsi="Calibri" w:cs="Calibri"/>
      <w:sz w:val="22"/>
    </w:rPr>
  </w:style>
  <w:style w:type="paragraph" w:customStyle="1" w:styleId="TableTextNumbers">
    <w:name w:val="Table Text Numbers"/>
    <w:basedOn w:val="TableText"/>
    <w:qFormat/>
    <w:rsid w:val="009E7B1F"/>
    <w:pPr>
      <w:ind w:left="324" w:hanging="324"/>
    </w:pPr>
  </w:style>
  <w:style w:type="paragraph" w:customStyle="1" w:styleId="TableTextResume">
    <w:name w:val="Table Text Resume"/>
    <w:basedOn w:val="TableTextNumbers"/>
    <w:rsid w:val="009E7B1F"/>
    <w:pPr>
      <w:ind w:left="12" w:firstLine="0"/>
    </w:pPr>
    <w:rPr>
      <w:b/>
    </w:rPr>
  </w:style>
  <w:style w:type="paragraph" w:customStyle="1" w:styleId="TableText20">
    <w:name w:val="Table Text2"/>
    <w:basedOn w:val="Normal"/>
    <w:qFormat/>
    <w:rsid w:val="009E7B1F"/>
    <w:pPr>
      <w:spacing w:line="220" w:lineRule="exact"/>
      <w:ind w:left="72" w:right="72"/>
    </w:pPr>
    <w:rPr>
      <w:rFonts w:eastAsia="Cambria" w:cs="Cambria"/>
      <w:color w:val="00267F"/>
      <w:sz w:val="20"/>
    </w:rPr>
  </w:style>
  <w:style w:type="table" w:customStyle="1" w:styleId="TableTheme1">
    <w:name w:val="Table Theme1"/>
    <w:basedOn w:val="TableNormal"/>
    <w:next w:val="TableTheme"/>
    <w:uiPriority w:val="99"/>
    <w:semiHidden/>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xtPPerform">
    <w:name w:val="Table Txt PPerform"/>
    <w:qFormat/>
    <w:rsid w:val="009E7B1F"/>
    <w:pPr>
      <w:spacing w:before="40" w:after="240"/>
    </w:pPr>
    <w:rPr>
      <w:rFonts w:ascii="Arial" w:eastAsia="Times New Roman" w:hAnsi="Arial" w:cs="Arial"/>
      <w:sz w:val="19"/>
      <w:szCs w:val="19"/>
    </w:rPr>
  </w:style>
  <w:style w:type="paragraph" w:customStyle="1" w:styleId="TableFigureExhibitTitle">
    <w:name w:val="Table/Figure/Exhibit Title"/>
    <w:basedOn w:val="Normal"/>
    <w:link w:val="TableFigureExhibitTitleChar"/>
    <w:rsid w:val="009E7B1F"/>
    <w:pPr>
      <w:keepNext/>
      <w:spacing w:before="480" w:after="60"/>
      <w:ind w:left="245" w:right="720" w:firstLine="144"/>
      <w:jc w:val="center"/>
    </w:pPr>
    <w:rPr>
      <w:rFonts w:ascii="Trebuchet MS" w:eastAsia="Cambria" w:hAnsi="Trebuchet MS"/>
      <w:b/>
      <w:color w:val="00267F"/>
      <w:sz w:val="23"/>
      <w:szCs w:val="23"/>
      <w:lang w:val="x-none" w:eastAsia="x-none"/>
    </w:rPr>
  </w:style>
  <w:style w:type="character" w:customStyle="1" w:styleId="TableFigureExhibitTitleChar">
    <w:name w:val="Table/Figure/Exhibit Title Char"/>
    <w:link w:val="TableFigureExhibitTitle"/>
    <w:locked/>
    <w:rsid w:val="009E7B1F"/>
    <w:rPr>
      <w:rFonts w:ascii="Trebuchet MS" w:eastAsia="Cambria" w:hAnsi="Trebuchet MS" w:cs="Times New Roman"/>
      <w:b/>
      <w:color w:val="00267F"/>
      <w:sz w:val="23"/>
      <w:szCs w:val="23"/>
    </w:rPr>
  </w:style>
  <w:style w:type="paragraph" w:customStyle="1" w:styleId="TableTextSpace">
    <w:name w:val="TableText Space"/>
    <w:qFormat/>
    <w:rsid w:val="009E7B1F"/>
    <w:pPr>
      <w:spacing w:after="120"/>
    </w:pPr>
    <w:rPr>
      <w:rFonts w:ascii="Arial" w:eastAsia="Calibri" w:hAnsi="Arial" w:cs="Arial"/>
      <w:szCs w:val="22"/>
    </w:rPr>
  </w:style>
  <w:style w:type="paragraph" w:customStyle="1" w:styleId="Tag">
    <w:name w:val="Tag"/>
    <w:rsid w:val="009E7B1F"/>
    <w:pPr>
      <w:spacing w:before="60"/>
      <w:jc w:val="right"/>
    </w:pPr>
    <w:rPr>
      <w:rFonts w:ascii="Trebuchet MS" w:eastAsia="Times New Roman" w:hAnsi="Trebuchet MS"/>
      <w:b/>
      <w:bCs/>
      <w:color w:val="003366"/>
    </w:rPr>
  </w:style>
  <w:style w:type="paragraph" w:customStyle="1" w:styleId="TextIndent">
    <w:name w:val="Text Indent"/>
    <w:basedOn w:val="Normal"/>
    <w:rsid w:val="009E7B1F"/>
    <w:pPr>
      <w:spacing w:after="240"/>
      <w:ind w:left="547" w:hanging="7"/>
    </w:pPr>
    <w:rPr>
      <w:rFonts w:ascii="Arial" w:eastAsia="Cambria" w:hAnsi="Arial"/>
      <w:sz w:val="21"/>
      <w:szCs w:val="20"/>
    </w:rPr>
  </w:style>
  <w:style w:type="paragraph" w:customStyle="1" w:styleId="TimeHead1">
    <w:name w:val="Time Head 1"/>
    <w:basedOn w:val="TableHead"/>
    <w:qFormat/>
    <w:rsid w:val="009E7B1F"/>
    <w:pPr>
      <w:spacing w:before="0" w:after="0"/>
    </w:pPr>
    <w:rPr>
      <w:rFonts w:ascii="Calibri" w:hAnsi="Calibri" w:cs="Calibri"/>
      <w:b/>
      <w:color w:val="auto"/>
      <w:szCs w:val="20"/>
    </w:rPr>
  </w:style>
  <w:style w:type="paragraph" w:customStyle="1" w:styleId="TimeHead2">
    <w:name w:val="Time Head 2"/>
    <w:qFormat/>
    <w:rsid w:val="009E7B1F"/>
    <w:pPr>
      <w:spacing w:line="220" w:lineRule="exact"/>
    </w:pPr>
    <w:rPr>
      <w:rFonts w:ascii="Calibri" w:eastAsia="Times New Roman" w:hAnsi="Calibri" w:cs="Calibri"/>
      <w:b/>
      <w:color w:val="00267F"/>
      <w:sz w:val="22"/>
    </w:rPr>
  </w:style>
  <w:style w:type="paragraph" w:customStyle="1" w:styleId="TimeHead3">
    <w:name w:val="Time Head 3"/>
    <w:basedOn w:val="TimeHead2"/>
    <w:qFormat/>
    <w:rsid w:val="009E7B1F"/>
    <w:rPr>
      <w:b w:val="0"/>
      <w:i/>
      <w:sz w:val="21"/>
      <w:szCs w:val="20"/>
    </w:rPr>
  </w:style>
  <w:style w:type="paragraph" w:customStyle="1" w:styleId="TimeHeadDate">
    <w:name w:val="Time Head Date"/>
    <w:qFormat/>
    <w:rsid w:val="009E7B1F"/>
    <w:pPr>
      <w:jc w:val="center"/>
    </w:pPr>
    <w:rPr>
      <w:rFonts w:ascii="Calibri" w:eastAsia="Times New Roman" w:hAnsi="Calibri" w:cs="Calibri"/>
      <w:color w:val="FFFFFF"/>
      <w:sz w:val="16"/>
      <w:szCs w:val="14"/>
    </w:rPr>
  </w:style>
  <w:style w:type="paragraph" w:customStyle="1" w:styleId="TimeHeading">
    <w:name w:val="Time Heading"/>
    <w:basedOn w:val="Normal"/>
    <w:qFormat/>
    <w:rsid w:val="009E7B1F"/>
    <w:pPr>
      <w:spacing w:before="60" w:after="60"/>
    </w:pPr>
    <w:rPr>
      <w:rFonts w:ascii="Calibri" w:eastAsia="Cambria" w:hAnsi="Calibri" w:cs="Calibri"/>
      <w:b/>
      <w:szCs w:val="20"/>
    </w:rPr>
  </w:style>
  <w:style w:type="paragraph" w:customStyle="1" w:styleId="TimeTableText">
    <w:name w:val="Time Table Text"/>
    <w:qFormat/>
    <w:rsid w:val="009E7B1F"/>
    <w:pPr>
      <w:ind w:left="366" w:hanging="324"/>
    </w:pPr>
    <w:rPr>
      <w:rFonts w:ascii="Calibri" w:eastAsia="Times New Roman" w:hAnsi="Calibri" w:cs="Arial"/>
      <w:szCs w:val="19"/>
    </w:rPr>
  </w:style>
  <w:style w:type="paragraph" w:customStyle="1" w:styleId="TimeTskNumbers">
    <w:name w:val="Time TskNumbers"/>
    <w:qFormat/>
    <w:rsid w:val="009E7B1F"/>
    <w:rPr>
      <w:rFonts w:ascii="Calibri" w:eastAsia="Times New Roman" w:hAnsi="Calibri" w:cs="Calibri"/>
      <w:i/>
      <w:color w:val="00267F"/>
    </w:rPr>
  </w:style>
  <w:style w:type="paragraph" w:customStyle="1" w:styleId="TimelineShading">
    <w:name w:val="Timeline Shading"/>
    <w:qFormat/>
    <w:rsid w:val="009E7B1F"/>
    <w:pPr>
      <w:spacing w:before="40"/>
      <w:jc w:val="center"/>
    </w:pPr>
    <w:rPr>
      <w:rFonts w:ascii="Calibri" w:eastAsia="Times New Roman" w:hAnsi="Calibri"/>
    </w:rPr>
  </w:style>
  <w:style w:type="table" w:customStyle="1" w:styleId="TimelineTable">
    <w:name w:val="Timeline Table"/>
    <w:basedOn w:val="DukeTable"/>
    <w:uiPriority w:val="99"/>
    <w:rsid w:val="009E7B1F"/>
    <w:pPr>
      <w:spacing w:line="240" w:lineRule="exact"/>
    </w:pPr>
    <w:rPr>
      <w:sz w:val="18"/>
    </w:r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40" w:afterAutospacing="0" w:line="240" w:lineRule="auto"/>
        <w:ind w:leftChars="0" w:left="0" w:rightChars="0" w:right="0" w:firstLineChars="0" w:firstLine="0"/>
        <w:contextualSpacing w:val="0"/>
        <w:jc w:val="left"/>
        <w:outlineLvl w:val="9"/>
      </w:pPr>
      <w:rPr>
        <w:rFonts w:ascii="Symbol" w:hAnsi="Symbol"/>
        <w:b/>
        <w:i w:val="0"/>
        <w:color w:val="FFFFFF"/>
        <w:sz w:val="22"/>
      </w:rPr>
      <w:tblPr/>
      <w:tcPr>
        <w:tcBorders>
          <w:insideV w:val="dashed" w:sz="4" w:space="0" w:color="FFFFFF"/>
        </w:tcBorders>
        <w:shd w:val="clear" w:color="auto" w:fill="00267F"/>
      </w:tcPr>
    </w:tblStylePr>
    <w:tblStylePr w:type="lastRow">
      <w:tblPr/>
      <w:tcPr>
        <w:tcBorders>
          <w:bottom w:val="single" w:sz="24" w:space="0" w:color="00267F"/>
        </w:tcBorders>
      </w:tcPr>
    </w:tblStylePr>
    <w:tblStylePr w:type="firstCol">
      <w:pPr>
        <w:jc w:val="center"/>
      </w:pPr>
    </w:tblStylePr>
    <w:tblStylePr w:type="band1Horz">
      <w:tblPr/>
      <w:tcPr>
        <w:shd w:val="clear" w:color="auto" w:fill="F0E8D4"/>
      </w:tcPr>
    </w:tblStylePr>
    <w:tblStylePr w:type="band2Horz">
      <w:tblPr/>
      <w:tcPr>
        <w:shd w:val="clear" w:color="auto" w:fill="F0E8D4"/>
      </w:tcPr>
    </w:tblStylePr>
  </w:style>
  <w:style w:type="paragraph" w:customStyle="1" w:styleId="TimelineTableText">
    <w:name w:val="Timeline Table Text"/>
    <w:uiPriority w:val="99"/>
    <w:qFormat/>
    <w:rsid w:val="009E7B1F"/>
    <w:pPr>
      <w:tabs>
        <w:tab w:val="left" w:pos="220"/>
      </w:tabs>
    </w:pPr>
    <w:rPr>
      <w:rFonts w:ascii="Calibri" w:eastAsia="Times New Roman" w:hAnsi="Calibri" w:cs="Calibri"/>
    </w:rPr>
  </w:style>
  <w:style w:type="paragraph" w:customStyle="1" w:styleId="TimelineText">
    <w:name w:val="Timeline Text"/>
    <w:uiPriority w:val="99"/>
    <w:qFormat/>
    <w:rsid w:val="009E7B1F"/>
    <w:pPr>
      <w:spacing w:line="220" w:lineRule="exact"/>
      <w:ind w:left="432" w:hanging="432"/>
    </w:pPr>
    <w:rPr>
      <w:rFonts w:ascii="Calibri" w:eastAsia="Times New Roman" w:hAnsi="Calibri"/>
      <w:sz w:val="18"/>
      <w:szCs w:val="22"/>
    </w:rPr>
  </w:style>
  <w:style w:type="paragraph" w:customStyle="1" w:styleId="Title1">
    <w:name w:val="Title 1"/>
    <w:rsid w:val="009E7B1F"/>
    <w:pPr>
      <w:spacing w:before="1080" w:after="1200"/>
    </w:pPr>
    <w:rPr>
      <w:rFonts w:ascii="Arial" w:eastAsia="Times New Roman" w:hAnsi="Arial"/>
      <w:b/>
      <w:color w:val="00267F"/>
      <w:sz w:val="72"/>
      <w:szCs w:val="48"/>
    </w:rPr>
  </w:style>
  <w:style w:type="character" w:customStyle="1" w:styleId="Title15">
    <w:name w:val="Title 1.5"/>
    <w:uiPriority w:val="1"/>
    <w:qFormat/>
    <w:rsid w:val="009E7B1F"/>
    <w:rPr>
      <w:sz w:val="36"/>
    </w:rPr>
  </w:style>
  <w:style w:type="paragraph" w:customStyle="1" w:styleId="Title2-DelivType">
    <w:name w:val="Title 2 - Deliv. Type"/>
    <w:basedOn w:val="Normal"/>
    <w:rsid w:val="009E7B1F"/>
    <w:pPr>
      <w:spacing w:after="600"/>
    </w:pPr>
    <w:rPr>
      <w:rFonts w:ascii="Arial" w:eastAsia="Cambria" w:hAnsi="Arial"/>
      <w:b/>
      <w:i/>
      <w:sz w:val="40"/>
    </w:rPr>
  </w:style>
  <w:style w:type="paragraph" w:customStyle="1" w:styleId="Title3-PrepSub">
    <w:name w:val="Title 3 - Prep/Sub"/>
    <w:basedOn w:val="Normal"/>
    <w:rsid w:val="009E7B1F"/>
    <w:rPr>
      <w:rFonts w:ascii="Arial" w:eastAsia="Cambria" w:hAnsi="Arial"/>
      <w:i/>
      <w:color w:val="1F821F"/>
      <w:sz w:val="32"/>
    </w:rPr>
  </w:style>
  <w:style w:type="paragraph" w:customStyle="1" w:styleId="Title4">
    <w:name w:val="Title 4"/>
    <w:rsid w:val="009E7B1F"/>
    <w:pPr>
      <w:spacing w:before="1320" w:after="600"/>
    </w:pPr>
    <w:rPr>
      <w:rFonts w:ascii="Arial" w:eastAsia="Times New Roman" w:hAnsi="Arial"/>
      <w:b/>
      <w:color w:val="00267F"/>
      <w:sz w:val="30"/>
      <w:szCs w:val="30"/>
    </w:rPr>
  </w:style>
  <w:style w:type="paragraph" w:customStyle="1" w:styleId="Title6-Date">
    <w:name w:val="Title 6 - Date"/>
    <w:basedOn w:val="Normal"/>
    <w:rsid w:val="009E7B1F"/>
    <w:pPr>
      <w:spacing w:before="360" w:after="160"/>
    </w:pPr>
    <w:rPr>
      <w:rFonts w:ascii="Arial" w:eastAsia="Cambria" w:hAnsi="Arial"/>
      <w:b/>
      <w:i/>
      <w:sz w:val="32"/>
      <w:szCs w:val="40"/>
    </w:rPr>
  </w:style>
  <w:style w:type="paragraph" w:customStyle="1" w:styleId="Title5">
    <w:name w:val="Title 5"/>
    <w:basedOn w:val="Title6-Date"/>
    <w:rsid w:val="009E7B1F"/>
    <w:pPr>
      <w:spacing w:before="0" w:after="360"/>
    </w:pPr>
    <w:rPr>
      <w:color w:val="00267F"/>
      <w:sz w:val="30"/>
      <w:szCs w:val="30"/>
    </w:rPr>
  </w:style>
  <w:style w:type="paragraph" w:customStyle="1" w:styleId="TitlePage1">
    <w:name w:val="Title Page 1"/>
    <w:basedOn w:val="Normal"/>
    <w:rsid w:val="009E7B1F"/>
    <w:pPr>
      <w:spacing w:before="480" w:after="160"/>
      <w:jc w:val="center"/>
    </w:pPr>
    <w:rPr>
      <w:rFonts w:ascii="Trebuchet MS" w:eastAsia="Cambria" w:hAnsi="Trebuchet MS" w:cs="Arial"/>
      <w:b/>
      <w:sz w:val="40"/>
      <w:szCs w:val="40"/>
    </w:rPr>
  </w:style>
  <w:style w:type="paragraph" w:customStyle="1" w:styleId="TitlePage2">
    <w:name w:val="Title Page 2"/>
    <w:basedOn w:val="TitlePage1"/>
    <w:rsid w:val="009E7B1F"/>
    <w:pPr>
      <w:spacing w:before="120"/>
    </w:pPr>
  </w:style>
  <w:style w:type="paragraph" w:customStyle="1" w:styleId="TitlePage2a">
    <w:name w:val="Title Page 2a"/>
    <w:basedOn w:val="TitlePage1"/>
    <w:rsid w:val="009E7B1F"/>
    <w:pPr>
      <w:spacing w:before="720" w:after="0"/>
    </w:pPr>
    <w:rPr>
      <w:i/>
      <w:sz w:val="36"/>
    </w:rPr>
  </w:style>
  <w:style w:type="paragraph" w:customStyle="1" w:styleId="TitlePageDate">
    <w:name w:val="Title Page Date"/>
    <w:basedOn w:val="Normal"/>
    <w:rsid w:val="009E7B1F"/>
    <w:pPr>
      <w:spacing w:after="160"/>
      <w:jc w:val="center"/>
    </w:pPr>
    <w:rPr>
      <w:rFonts w:ascii="Trebuchet MS" w:eastAsia="Cambria" w:hAnsi="Trebuchet MS"/>
      <w:b/>
      <w:sz w:val="32"/>
    </w:rPr>
  </w:style>
  <w:style w:type="character" w:customStyle="1" w:styleId="titles-source">
    <w:name w:val="titles-source"/>
    <w:basedOn w:val="DefaultParagraphFont"/>
    <w:rsid w:val="009E7B1F"/>
  </w:style>
  <w:style w:type="paragraph" w:customStyle="1" w:styleId="TransmittalAddressBlock">
    <w:name w:val="Transmittal Address Block"/>
    <w:basedOn w:val="Normal"/>
    <w:rsid w:val="009E7B1F"/>
    <w:rPr>
      <w:rFonts w:ascii="Times New Roman" w:eastAsia="Cambria" w:hAnsi="Times New Roman"/>
      <w:szCs w:val="20"/>
      <w:lang w:val="fr-FR"/>
    </w:rPr>
  </w:style>
  <w:style w:type="paragraph" w:customStyle="1" w:styleId="TransmittalAttention">
    <w:name w:val="Transmittal Attention"/>
    <w:qFormat/>
    <w:rsid w:val="009E7B1F"/>
    <w:pPr>
      <w:spacing w:before="120"/>
      <w:ind w:left="1440" w:hanging="1440"/>
    </w:pPr>
    <w:rPr>
      <w:rFonts w:ascii="Times New Roman" w:eastAsia="Times New Roman" w:hAnsi="Times New Roman"/>
    </w:rPr>
  </w:style>
  <w:style w:type="paragraph" w:customStyle="1" w:styleId="TransmittalBullets">
    <w:name w:val="Transmittal Bullets"/>
    <w:qFormat/>
    <w:rsid w:val="009E7B1F"/>
    <w:pPr>
      <w:numPr>
        <w:numId w:val="32"/>
      </w:numPr>
      <w:spacing w:after="80"/>
    </w:pPr>
    <w:rPr>
      <w:rFonts w:ascii="Times New Roman" w:eastAsia="Calibri" w:hAnsi="Times New Roman"/>
    </w:rPr>
  </w:style>
  <w:style w:type="paragraph" w:customStyle="1" w:styleId="TransmittalDateBlock">
    <w:name w:val="Transmittal Date Block"/>
    <w:basedOn w:val="Normal"/>
    <w:rsid w:val="009E7B1F"/>
    <w:pPr>
      <w:shd w:val="clear" w:color="auto" w:fill="FFFFFF"/>
      <w:spacing w:before="240" w:after="160"/>
    </w:pPr>
    <w:rPr>
      <w:rFonts w:ascii="Times New Roman" w:eastAsia="Cambria" w:hAnsi="Times New Roman"/>
      <w:color w:val="000000"/>
      <w:spacing w:val="-1"/>
      <w:szCs w:val="22"/>
    </w:rPr>
  </w:style>
  <w:style w:type="paragraph" w:customStyle="1" w:styleId="TransmittalLetterBlock">
    <w:name w:val="Transmittal Letter Block"/>
    <w:basedOn w:val="Normal"/>
    <w:link w:val="TransmittalLetterBlockChar"/>
    <w:rsid w:val="009E7B1F"/>
    <w:pPr>
      <w:spacing w:before="120" w:after="120"/>
    </w:pPr>
    <w:rPr>
      <w:rFonts w:ascii="Times New Roman" w:eastAsia="Calibri" w:hAnsi="Times New Roman"/>
      <w:lang w:val="x-none" w:eastAsia="x-none"/>
    </w:rPr>
  </w:style>
  <w:style w:type="character" w:customStyle="1" w:styleId="TransmittalLetterBlockChar">
    <w:name w:val="Transmittal Letter Block Char"/>
    <w:link w:val="TransmittalLetterBlock"/>
    <w:locked/>
    <w:rsid w:val="009E7B1F"/>
    <w:rPr>
      <w:rFonts w:ascii="Times New Roman" w:eastAsia="Calibri" w:hAnsi="Times New Roman" w:cs="Times New Roman"/>
      <w:sz w:val="24"/>
      <w:szCs w:val="24"/>
    </w:rPr>
  </w:style>
  <w:style w:type="paragraph" w:customStyle="1" w:styleId="TransmittalLewinAddress">
    <w:name w:val="Transmittal Lewin Address"/>
    <w:qFormat/>
    <w:rsid w:val="009E7B1F"/>
    <w:pPr>
      <w:spacing w:after="240"/>
      <w:jc w:val="center"/>
    </w:pPr>
    <w:rPr>
      <w:rFonts w:ascii="Arial" w:eastAsia="Times New Roman" w:hAnsi="Arial" w:cs="Arial"/>
      <w:color w:val="948A54"/>
      <w:sz w:val="16"/>
      <w:szCs w:val="16"/>
    </w:rPr>
  </w:style>
  <w:style w:type="paragraph" w:customStyle="1" w:styleId="TransmittalRFPBlock">
    <w:name w:val="Transmittal RFP Block"/>
    <w:basedOn w:val="Normal"/>
    <w:rsid w:val="009E7B1F"/>
    <w:pPr>
      <w:spacing w:before="120" w:after="160"/>
      <w:ind w:left="1440" w:hanging="1440"/>
    </w:pPr>
    <w:rPr>
      <w:rFonts w:ascii="Times New Roman" w:eastAsia="Cambria" w:hAnsi="Times New Roman"/>
      <w:szCs w:val="20"/>
    </w:rPr>
  </w:style>
  <w:style w:type="paragraph" w:customStyle="1" w:styleId="TransmittalSignBlock">
    <w:name w:val="Transmittal Sign Block"/>
    <w:basedOn w:val="TransmittalLetterBlock"/>
    <w:rsid w:val="009E7B1F"/>
    <w:pPr>
      <w:spacing w:before="0" w:after="0"/>
      <w:ind w:left="547" w:hanging="7"/>
    </w:pPr>
  </w:style>
  <w:style w:type="paragraph" w:customStyle="1" w:styleId="VolumeX34margin">
    <w:name w:val="Volume X—3/4&quot; margin"/>
    <w:basedOn w:val="Normal"/>
    <w:link w:val="VolumeX34marginChar"/>
    <w:rsid w:val="009E7B1F"/>
    <w:pPr>
      <w:pBdr>
        <w:bottom w:val="single" w:sz="18" w:space="1" w:color="7C6A55"/>
      </w:pBdr>
      <w:tabs>
        <w:tab w:val="right" w:pos="10080"/>
      </w:tabs>
      <w:spacing w:after="240"/>
    </w:pPr>
    <w:rPr>
      <w:rFonts w:ascii="Trebuchet MS" w:eastAsia="Cambria" w:hAnsi="Trebuchet MS"/>
      <w:b/>
      <w:color w:val="28376A"/>
      <w:sz w:val="22"/>
      <w:szCs w:val="22"/>
      <w:lang w:val="x-none" w:eastAsia="x-none"/>
    </w:rPr>
  </w:style>
  <w:style w:type="character" w:customStyle="1" w:styleId="VolumeX34marginChar">
    <w:name w:val="Volume X—3/4&quot; margin Char"/>
    <w:link w:val="VolumeX34margin"/>
    <w:rsid w:val="009E7B1F"/>
    <w:rPr>
      <w:rFonts w:ascii="Trebuchet MS" w:eastAsia="Cambria" w:hAnsi="Trebuchet MS" w:cs="Times New Roman"/>
      <w:b/>
      <w:color w:val="28376A"/>
      <w:sz w:val="22"/>
      <w:szCs w:val="22"/>
    </w:rPr>
  </w:style>
  <w:style w:type="character" w:styleId="IntenseReference">
    <w:name w:val="Intense Reference"/>
    <w:uiPriority w:val="32"/>
    <w:qFormat/>
    <w:rsid w:val="009E7B1F"/>
    <w:rPr>
      <w:b/>
      <w:bCs/>
      <w:i/>
      <w:caps w:val="0"/>
      <w:smallCaps w:val="0"/>
      <w:color w:val="00267F"/>
      <w:spacing w:val="4"/>
      <w:u w:val="none"/>
    </w:rPr>
  </w:style>
  <w:style w:type="paragraph" w:customStyle="1" w:styleId="AfterBullet">
    <w:name w:val="After Bullet"/>
    <w:basedOn w:val="Normal"/>
    <w:qFormat/>
    <w:rsid w:val="009E7B1F"/>
    <w:pPr>
      <w:spacing w:before="480" w:after="160"/>
    </w:pPr>
    <w:rPr>
      <w:rFonts w:ascii="Times New Roman" w:eastAsia="Cambria" w:hAnsi="Times New Roman"/>
    </w:rPr>
  </w:style>
  <w:style w:type="paragraph" w:customStyle="1" w:styleId="BeforeBullet">
    <w:name w:val="Before Bullet"/>
    <w:basedOn w:val="Normal"/>
    <w:qFormat/>
    <w:rsid w:val="009E7B1F"/>
    <w:pPr>
      <w:keepNext/>
      <w:spacing w:before="120" w:after="60"/>
    </w:pPr>
    <w:rPr>
      <w:rFonts w:ascii="Times New Roman" w:eastAsia="Times New Roman" w:hAnsi="Times New Roman"/>
    </w:rPr>
  </w:style>
  <w:style w:type="table" w:customStyle="1" w:styleId="LightGrid-Accent11">
    <w:name w:val="Light Grid - Accent 11"/>
    <w:basedOn w:val="TableNormal"/>
    <w:uiPriority w:val="62"/>
    <w:rsid w:val="00C23083"/>
    <w:rPr>
      <w:rFonts w:eastAsia="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LineNumber">
    <w:name w:val="line number"/>
    <w:basedOn w:val="DefaultParagraphFont"/>
    <w:uiPriority w:val="99"/>
    <w:semiHidden/>
    <w:unhideWhenUsed/>
    <w:rsid w:val="007A62FB"/>
  </w:style>
  <w:style w:type="paragraph" w:customStyle="1" w:styleId="s4">
    <w:name w:val="s4"/>
    <w:basedOn w:val="Normal"/>
    <w:rsid w:val="00766F3B"/>
    <w:pPr>
      <w:spacing w:before="100" w:beforeAutospacing="1" w:after="100" w:afterAutospacing="1"/>
    </w:pPr>
    <w:rPr>
      <w:rFonts w:ascii="Times New Roman" w:eastAsia="Calibri" w:hAnsi="Times New Roman"/>
    </w:rPr>
  </w:style>
  <w:style w:type="character" w:customStyle="1" w:styleId="s2">
    <w:name w:val="s2"/>
    <w:rsid w:val="00766F3B"/>
  </w:style>
</w:styles>
</file>

<file path=word/webSettings.xml><?xml version="1.0" encoding="utf-8"?>
<w:webSettings xmlns:r="http://schemas.openxmlformats.org/officeDocument/2006/relationships" xmlns:w="http://schemas.openxmlformats.org/wordprocessingml/2006/main">
  <w:divs>
    <w:div w:id="84959574">
      <w:bodyDiv w:val="1"/>
      <w:marLeft w:val="0"/>
      <w:marRight w:val="0"/>
      <w:marTop w:val="0"/>
      <w:marBottom w:val="0"/>
      <w:divBdr>
        <w:top w:val="none" w:sz="0" w:space="0" w:color="auto"/>
        <w:left w:val="none" w:sz="0" w:space="0" w:color="auto"/>
        <w:bottom w:val="none" w:sz="0" w:space="0" w:color="auto"/>
        <w:right w:val="none" w:sz="0" w:space="0" w:color="auto"/>
      </w:divBdr>
    </w:div>
    <w:div w:id="396438215">
      <w:bodyDiv w:val="1"/>
      <w:marLeft w:val="0"/>
      <w:marRight w:val="0"/>
      <w:marTop w:val="0"/>
      <w:marBottom w:val="0"/>
      <w:divBdr>
        <w:top w:val="none" w:sz="0" w:space="0" w:color="auto"/>
        <w:left w:val="none" w:sz="0" w:space="0" w:color="auto"/>
        <w:bottom w:val="none" w:sz="0" w:space="0" w:color="auto"/>
        <w:right w:val="none" w:sz="0" w:space="0" w:color="auto"/>
      </w:divBdr>
    </w:div>
    <w:div w:id="787893226">
      <w:bodyDiv w:val="1"/>
      <w:marLeft w:val="0"/>
      <w:marRight w:val="0"/>
      <w:marTop w:val="0"/>
      <w:marBottom w:val="0"/>
      <w:divBdr>
        <w:top w:val="none" w:sz="0" w:space="0" w:color="auto"/>
        <w:left w:val="none" w:sz="0" w:space="0" w:color="auto"/>
        <w:bottom w:val="none" w:sz="0" w:space="0" w:color="auto"/>
        <w:right w:val="none" w:sz="0" w:space="0" w:color="auto"/>
      </w:divBdr>
    </w:div>
    <w:div w:id="800611809">
      <w:bodyDiv w:val="1"/>
      <w:marLeft w:val="0"/>
      <w:marRight w:val="0"/>
      <w:marTop w:val="0"/>
      <w:marBottom w:val="0"/>
      <w:divBdr>
        <w:top w:val="none" w:sz="0" w:space="0" w:color="auto"/>
        <w:left w:val="none" w:sz="0" w:space="0" w:color="auto"/>
        <w:bottom w:val="none" w:sz="0" w:space="0" w:color="auto"/>
        <w:right w:val="none" w:sz="0" w:space="0" w:color="auto"/>
      </w:divBdr>
    </w:div>
    <w:div w:id="1043362333">
      <w:bodyDiv w:val="1"/>
      <w:marLeft w:val="0"/>
      <w:marRight w:val="0"/>
      <w:marTop w:val="0"/>
      <w:marBottom w:val="0"/>
      <w:divBdr>
        <w:top w:val="none" w:sz="0" w:space="0" w:color="auto"/>
        <w:left w:val="none" w:sz="0" w:space="0" w:color="auto"/>
        <w:bottom w:val="none" w:sz="0" w:space="0" w:color="auto"/>
        <w:right w:val="none" w:sz="0" w:space="0" w:color="auto"/>
      </w:divBdr>
    </w:div>
    <w:div w:id="1058624688">
      <w:bodyDiv w:val="1"/>
      <w:marLeft w:val="0"/>
      <w:marRight w:val="0"/>
      <w:marTop w:val="0"/>
      <w:marBottom w:val="0"/>
      <w:divBdr>
        <w:top w:val="none" w:sz="0" w:space="0" w:color="auto"/>
        <w:left w:val="none" w:sz="0" w:space="0" w:color="auto"/>
        <w:bottom w:val="none" w:sz="0" w:space="0" w:color="auto"/>
        <w:right w:val="none" w:sz="0" w:space="0" w:color="auto"/>
      </w:divBdr>
    </w:div>
    <w:div w:id="1421027547">
      <w:bodyDiv w:val="1"/>
      <w:marLeft w:val="0"/>
      <w:marRight w:val="0"/>
      <w:marTop w:val="0"/>
      <w:marBottom w:val="0"/>
      <w:divBdr>
        <w:top w:val="none" w:sz="0" w:space="0" w:color="auto"/>
        <w:left w:val="none" w:sz="0" w:space="0" w:color="auto"/>
        <w:bottom w:val="none" w:sz="0" w:space="0" w:color="auto"/>
        <w:right w:val="none" w:sz="0" w:space="0" w:color="auto"/>
      </w:divBdr>
    </w:div>
    <w:div w:id="1468627788">
      <w:bodyDiv w:val="1"/>
      <w:marLeft w:val="0"/>
      <w:marRight w:val="0"/>
      <w:marTop w:val="0"/>
      <w:marBottom w:val="0"/>
      <w:divBdr>
        <w:top w:val="none" w:sz="0" w:space="0" w:color="auto"/>
        <w:left w:val="none" w:sz="0" w:space="0" w:color="auto"/>
        <w:bottom w:val="none" w:sz="0" w:space="0" w:color="auto"/>
        <w:right w:val="none" w:sz="0" w:space="0" w:color="auto"/>
      </w:divBdr>
    </w:div>
    <w:div w:id="1655835439">
      <w:bodyDiv w:val="1"/>
      <w:marLeft w:val="0"/>
      <w:marRight w:val="0"/>
      <w:marTop w:val="0"/>
      <w:marBottom w:val="0"/>
      <w:divBdr>
        <w:top w:val="none" w:sz="0" w:space="0" w:color="auto"/>
        <w:left w:val="none" w:sz="0" w:space="0" w:color="auto"/>
        <w:bottom w:val="none" w:sz="0" w:space="0" w:color="auto"/>
        <w:right w:val="none" w:sz="0" w:space="0" w:color="auto"/>
      </w:divBdr>
    </w:div>
    <w:div w:id="1745376199">
      <w:bodyDiv w:val="1"/>
      <w:marLeft w:val="0"/>
      <w:marRight w:val="0"/>
      <w:marTop w:val="0"/>
      <w:marBottom w:val="0"/>
      <w:divBdr>
        <w:top w:val="none" w:sz="0" w:space="0" w:color="auto"/>
        <w:left w:val="none" w:sz="0" w:space="0" w:color="auto"/>
        <w:bottom w:val="none" w:sz="0" w:space="0" w:color="auto"/>
        <w:right w:val="none" w:sz="0" w:space="0" w:color="auto"/>
      </w:divBdr>
    </w:div>
    <w:div w:id="1793597192">
      <w:bodyDiv w:val="1"/>
      <w:marLeft w:val="0"/>
      <w:marRight w:val="0"/>
      <w:marTop w:val="0"/>
      <w:marBottom w:val="0"/>
      <w:divBdr>
        <w:top w:val="none" w:sz="0" w:space="0" w:color="auto"/>
        <w:left w:val="none" w:sz="0" w:space="0" w:color="auto"/>
        <w:bottom w:val="none" w:sz="0" w:space="0" w:color="auto"/>
        <w:right w:val="none" w:sz="0" w:space="0" w:color="auto"/>
      </w:divBdr>
    </w:div>
    <w:div w:id="181005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asyaccess.virginia.gov/waiver-ifdds.s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asyaccess.virginia.gov/waiver-mrid.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bhds.virginia.gov/individuals-and-families/developmental-disabilities/community-support-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62138A8B40B54AA4D206DECD2E8914"/>
        <w:category>
          <w:name w:val="General"/>
          <w:gallery w:val="placeholder"/>
        </w:category>
        <w:types>
          <w:type w:val="bbPlcHdr"/>
        </w:types>
        <w:behaviors>
          <w:behavior w:val="content"/>
        </w:behaviors>
        <w:guid w:val="{37CE646A-D162-7949-A718-17663B5AA436}"/>
      </w:docPartPr>
      <w:docPartBody>
        <w:p w:rsidR="00642162" w:rsidRDefault="00642162" w:rsidP="00642162">
          <w:pPr>
            <w:pStyle w:val="EC62138A8B40B54AA4D206DECD2E8914"/>
          </w:pPr>
          <w:r>
            <w:t>[Type text]</w:t>
          </w:r>
        </w:p>
      </w:docPartBody>
    </w:docPart>
    <w:docPart>
      <w:docPartPr>
        <w:name w:val="449F05007B83214997FF365C0EA188AF"/>
        <w:category>
          <w:name w:val="General"/>
          <w:gallery w:val="placeholder"/>
        </w:category>
        <w:types>
          <w:type w:val="bbPlcHdr"/>
        </w:types>
        <w:behaviors>
          <w:behavior w:val="content"/>
        </w:behaviors>
        <w:guid w:val="{71505DC7-2E96-1349-9ACA-074996D035BF}"/>
      </w:docPartPr>
      <w:docPartBody>
        <w:p w:rsidR="00642162" w:rsidRDefault="00642162" w:rsidP="00642162">
          <w:pPr>
            <w:pStyle w:val="449F05007B83214997FF365C0EA188AF"/>
          </w:pPr>
          <w:r>
            <w:t>[Type text]</w:t>
          </w:r>
        </w:p>
      </w:docPartBody>
    </w:docPart>
    <w:docPart>
      <w:docPartPr>
        <w:name w:val="3FB1E61D57E83B47947A379CF56D1E40"/>
        <w:category>
          <w:name w:val="General"/>
          <w:gallery w:val="placeholder"/>
        </w:category>
        <w:types>
          <w:type w:val="bbPlcHdr"/>
        </w:types>
        <w:behaviors>
          <w:behavior w:val="content"/>
        </w:behaviors>
        <w:guid w:val="{DEB5448D-90A7-C24B-B447-4A189F4EA3A3}"/>
      </w:docPartPr>
      <w:docPartBody>
        <w:p w:rsidR="00642162" w:rsidRDefault="00642162" w:rsidP="00642162">
          <w:pPr>
            <w:pStyle w:val="3FB1E61D57E83B47947A379CF56D1E4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Univers Condense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Big Caslon">
    <w:charset w:val="00"/>
    <w:family w:val="auto"/>
    <w:pitch w:val="variable"/>
    <w:sig w:usb0="80000063" w:usb1="00000000" w:usb2="00000000" w:usb3="00000000" w:csb0="000001FB" w:csb1="00000000"/>
  </w:font>
  <w:font w:name="Calibr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162"/>
    <w:rsid w:val="001B30BD"/>
    <w:rsid w:val="002565B6"/>
    <w:rsid w:val="004053ED"/>
    <w:rsid w:val="004A0932"/>
    <w:rsid w:val="00565130"/>
    <w:rsid w:val="00642162"/>
    <w:rsid w:val="006A28AA"/>
    <w:rsid w:val="006B5214"/>
    <w:rsid w:val="006C7069"/>
    <w:rsid w:val="006D3C30"/>
    <w:rsid w:val="00723BD3"/>
    <w:rsid w:val="00741252"/>
    <w:rsid w:val="008B713F"/>
    <w:rsid w:val="00960E04"/>
    <w:rsid w:val="009829A4"/>
    <w:rsid w:val="009F053B"/>
    <w:rsid w:val="00B95A8A"/>
    <w:rsid w:val="00C662DE"/>
    <w:rsid w:val="00CE22D7"/>
    <w:rsid w:val="00D139A3"/>
    <w:rsid w:val="00D81C48"/>
    <w:rsid w:val="00DD05E0"/>
    <w:rsid w:val="00E621DB"/>
    <w:rsid w:val="00E84BF8"/>
    <w:rsid w:val="00EF44D1"/>
    <w:rsid w:val="00F57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D090CABE75945B502CFC998A159D6">
    <w:name w:val="E17D090CABE75945B502CFC998A159D6"/>
    <w:rsid w:val="00642162"/>
  </w:style>
  <w:style w:type="paragraph" w:customStyle="1" w:styleId="529DD6023F8CFB42856EF228C2321D3D">
    <w:name w:val="529DD6023F8CFB42856EF228C2321D3D"/>
    <w:rsid w:val="00642162"/>
  </w:style>
  <w:style w:type="paragraph" w:customStyle="1" w:styleId="AE002A50408C754EA164648418CA738A">
    <w:name w:val="AE002A50408C754EA164648418CA738A"/>
    <w:rsid w:val="00642162"/>
  </w:style>
  <w:style w:type="paragraph" w:customStyle="1" w:styleId="49DFE8F7E4A3D84986118C76C78701FE">
    <w:name w:val="49DFE8F7E4A3D84986118C76C78701FE"/>
    <w:rsid w:val="00642162"/>
  </w:style>
  <w:style w:type="paragraph" w:customStyle="1" w:styleId="DEB2F76019381F4B9F90AE94D225A6EB">
    <w:name w:val="DEB2F76019381F4B9F90AE94D225A6EB"/>
    <w:rsid w:val="00642162"/>
  </w:style>
  <w:style w:type="paragraph" w:customStyle="1" w:styleId="4F5A703852856C498A6D4BFBC9DE9A61">
    <w:name w:val="4F5A703852856C498A6D4BFBC9DE9A61"/>
    <w:rsid w:val="00642162"/>
  </w:style>
  <w:style w:type="paragraph" w:customStyle="1" w:styleId="4FE90D6FC40606409C21E7B9E7724264">
    <w:name w:val="4FE90D6FC40606409C21E7B9E7724264"/>
    <w:rsid w:val="00642162"/>
  </w:style>
  <w:style w:type="paragraph" w:customStyle="1" w:styleId="CCAE4E1DD138974CA5B45437973A85DF">
    <w:name w:val="CCAE4E1DD138974CA5B45437973A85DF"/>
    <w:rsid w:val="00642162"/>
  </w:style>
  <w:style w:type="paragraph" w:customStyle="1" w:styleId="C917BB00BD42184287C564A75CF9450D">
    <w:name w:val="C917BB00BD42184287C564A75CF9450D"/>
    <w:rsid w:val="00642162"/>
  </w:style>
  <w:style w:type="paragraph" w:customStyle="1" w:styleId="07F20DCED3217D49BBF8085BD089759E">
    <w:name w:val="07F20DCED3217D49BBF8085BD089759E"/>
    <w:rsid w:val="00642162"/>
  </w:style>
  <w:style w:type="paragraph" w:customStyle="1" w:styleId="10444E0C88B52743B257FFC36F654D86">
    <w:name w:val="10444E0C88B52743B257FFC36F654D86"/>
    <w:rsid w:val="00642162"/>
  </w:style>
  <w:style w:type="paragraph" w:customStyle="1" w:styleId="9009981FBEE78C43B755DBCB8E0C9069">
    <w:name w:val="9009981FBEE78C43B755DBCB8E0C9069"/>
    <w:rsid w:val="00642162"/>
  </w:style>
  <w:style w:type="paragraph" w:customStyle="1" w:styleId="C8694D3637077F408018F650D7AB4B16">
    <w:name w:val="C8694D3637077F408018F650D7AB4B16"/>
    <w:rsid w:val="00642162"/>
  </w:style>
  <w:style w:type="paragraph" w:customStyle="1" w:styleId="89A0B6C0E8A5614097900F4AF98F0B76">
    <w:name w:val="89A0B6C0E8A5614097900F4AF98F0B76"/>
    <w:rsid w:val="00642162"/>
  </w:style>
  <w:style w:type="paragraph" w:customStyle="1" w:styleId="EF23156B3F0C4047AAE3D27D98277BAA">
    <w:name w:val="EF23156B3F0C4047AAE3D27D98277BAA"/>
    <w:rsid w:val="00642162"/>
  </w:style>
  <w:style w:type="paragraph" w:customStyle="1" w:styleId="0BDBA60292616046BEA8D917CEE7EDB2">
    <w:name w:val="0BDBA60292616046BEA8D917CEE7EDB2"/>
    <w:rsid w:val="00642162"/>
  </w:style>
  <w:style w:type="paragraph" w:customStyle="1" w:styleId="AC38B6E6E0A521448B567B53F44776EF">
    <w:name w:val="AC38B6E6E0A521448B567B53F44776EF"/>
    <w:rsid w:val="00642162"/>
  </w:style>
  <w:style w:type="paragraph" w:customStyle="1" w:styleId="0FE3B6D3422AB24AAF42CC9E9EF19B67">
    <w:name w:val="0FE3B6D3422AB24AAF42CC9E9EF19B67"/>
    <w:rsid w:val="00642162"/>
  </w:style>
  <w:style w:type="paragraph" w:customStyle="1" w:styleId="92ADD5C39306294EA161F9306B61D722">
    <w:name w:val="92ADD5C39306294EA161F9306B61D722"/>
    <w:rsid w:val="00642162"/>
  </w:style>
  <w:style w:type="paragraph" w:customStyle="1" w:styleId="204934FCE7CF6F4CB7C2BA9500144562">
    <w:name w:val="204934FCE7CF6F4CB7C2BA9500144562"/>
    <w:rsid w:val="00642162"/>
  </w:style>
  <w:style w:type="paragraph" w:customStyle="1" w:styleId="05EF20B8896B1744A487DDD148429B05">
    <w:name w:val="05EF20B8896B1744A487DDD148429B05"/>
    <w:rsid w:val="00642162"/>
  </w:style>
  <w:style w:type="paragraph" w:customStyle="1" w:styleId="C80518AB8ADBBF408D690D2E1DDBB83C">
    <w:name w:val="C80518AB8ADBBF408D690D2E1DDBB83C"/>
    <w:rsid w:val="00642162"/>
  </w:style>
  <w:style w:type="paragraph" w:customStyle="1" w:styleId="E4AEB2890FBB2D42BD2CC9490179E9F1">
    <w:name w:val="E4AEB2890FBB2D42BD2CC9490179E9F1"/>
    <w:rsid w:val="00642162"/>
  </w:style>
  <w:style w:type="paragraph" w:customStyle="1" w:styleId="F7F6ECD78BA72C47A3F20047744F0356">
    <w:name w:val="F7F6ECD78BA72C47A3F20047744F0356"/>
    <w:rsid w:val="00642162"/>
  </w:style>
  <w:style w:type="paragraph" w:customStyle="1" w:styleId="5F5C88A025DB4D46B145C960DC810B19">
    <w:name w:val="5F5C88A025DB4D46B145C960DC810B19"/>
    <w:rsid w:val="00642162"/>
  </w:style>
  <w:style w:type="paragraph" w:customStyle="1" w:styleId="DA706C51B50FF945B156CB8BAC64DF58">
    <w:name w:val="DA706C51B50FF945B156CB8BAC64DF58"/>
    <w:rsid w:val="00642162"/>
  </w:style>
  <w:style w:type="paragraph" w:customStyle="1" w:styleId="115BDC5C95999C4EB3289E2216A3DF96">
    <w:name w:val="115BDC5C95999C4EB3289E2216A3DF96"/>
    <w:rsid w:val="00642162"/>
  </w:style>
  <w:style w:type="paragraph" w:customStyle="1" w:styleId="237344B4AA78CA46BA8407D818337A01">
    <w:name w:val="237344B4AA78CA46BA8407D818337A01"/>
    <w:rsid w:val="00642162"/>
  </w:style>
  <w:style w:type="paragraph" w:customStyle="1" w:styleId="DA5382C825795E4593F5483D4FFBC0D9">
    <w:name w:val="DA5382C825795E4593F5483D4FFBC0D9"/>
    <w:rsid w:val="00642162"/>
  </w:style>
  <w:style w:type="paragraph" w:customStyle="1" w:styleId="7A3914BD3810CB41A64C57B73783402A">
    <w:name w:val="7A3914BD3810CB41A64C57B73783402A"/>
    <w:rsid w:val="00642162"/>
  </w:style>
  <w:style w:type="paragraph" w:customStyle="1" w:styleId="EC62138A8B40B54AA4D206DECD2E8914">
    <w:name w:val="EC62138A8B40B54AA4D206DECD2E8914"/>
    <w:rsid w:val="00642162"/>
  </w:style>
  <w:style w:type="paragraph" w:customStyle="1" w:styleId="449F05007B83214997FF365C0EA188AF">
    <w:name w:val="449F05007B83214997FF365C0EA188AF"/>
    <w:rsid w:val="00642162"/>
  </w:style>
  <w:style w:type="paragraph" w:customStyle="1" w:styleId="3FB1E61D57E83B47947A379CF56D1E40">
    <w:name w:val="3FB1E61D57E83B47947A379CF56D1E40"/>
    <w:rsid w:val="00642162"/>
  </w:style>
  <w:style w:type="paragraph" w:customStyle="1" w:styleId="9191071B4ED6904A814E8F3AAB60F5BB">
    <w:name w:val="9191071B4ED6904A814E8F3AAB60F5BB"/>
    <w:rsid w:val="00642162"/>
  </w:style>
  <w:style w:type="paragraph" w:customStyle="1" w:styleId="79657F2AF381F742AD7F49B5A1A2DE05">
    <w:name w:val="79657F2AF381F742AD7F49B5A1A2DE05"/>
    <w:rsid w:val="00642162"/>
  </w:style>
  <w:style w:type="paragraph" w:customStyle="1" w:styleId="DE4BC6BA74569541AFF47841EFA8A3F3">
    <w:name w:val="DE4BC6BA74569541AFF47841EFA8A3F3"/>
    <w:rsid w:val="00642162"/>
  </w:style>
  <w:style w:type="paragraph" w:customStyle="1" w:styleId="EF90FAC62826294397E196BCFC51EE85">
    <w:name w:val="EF90FAC62826294397E196BCFC51EE85"/>
    <w:rsid w:val="00642162"/>
  </w:style>
  <w:style w:type="paragraph" w:customStyle="1" w:styleId="88A053794E8A7C428693A9D84744C680">
    <w:name w:val="88A053794E8A7C428693A9D84744C680"/>
    <w:rsid w:val="00642162"/>
  </w:style>
  <w:style w:type="paragraph" w:customStyle="1" w:styleId="63A8353CB9BE134083C8A3CDE95AEF1D">
    <w:name w:val="63A8353CB9BE134083C8A3CDE95AEF1D"/>
    <w:rsid w:val="00642162"/>
  </w:style>
  <w:style w:type="paragraph" w:customStyle="1" w:styleId="13D887E30D4F9C47A691915FB923C3CD">
    <w:name w:val="13D887E30D4F9C47A691915FB923C3CD"/>
    <w:rsid w:val="00642162"/>
  </w:style>
  <w:style w:type="paragraph" w:customStyle="1" w:styleId="E86BF9FD503087499548D218923E38C5">
    <w:name w:val="E86BF9FD503087499548D218923E38C5"/>
    <w:rsid w:val="00642162"/>
  </w:style>
  <w:style w:type="paragraph" w:customStyle="1" w:styleId="7F1F81125FE96E4AA83164D9BCBDBFCE">
    <w:name w:val="7F1F81125FE96E4AA83164D9BCBDBFCE"/>
    <w:rsid w:val="0064216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750-F4D6-4753-9407-2C9C8A3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58987</Words>
  <Characters>336229</Characters>
  <Application>Microsoft Office Word</Application>
  <DocSecurity>4</DocSecurity>
  <Lines>2801</Lines>
  <Paragraphs>788</Paragraphs>
  <ScaleCrop>false</ScaleCrop>
  <HeadingPairs>
    <vt:vector size="2" baseType="variant">
      <vt:variant>
        <vt:lpstr>Title</vt:lpstr>
      </vt:variant>
      <vt:variant>
        <vt:i4>1</vt:i4>
      </vt:variant>
    </vt:vector>
  </HeadingPairs>
  <TitlesOfParts>
    <vt:vector size="1" baseType="lpstr">
      <vt:lpstr>REPORT OF THE INDEPENDENT REVIEWER</vt:lpstr>
    </vt:vector>
  </TitlesOfParts>
  <Company>Donald Fletcher</Company>
  <LinksUpToDate>false</LinksUpToDate>
  <CharactersWithSpaces>394428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REVIEWER</dc:title>
  <dc:creator>Donald Fletcher</dc:creator>
  <cp:lastModifiedBy>cnelson</cp:lastModifiedBy>
  <cp:revision>2</cp:revision>
  <cp:lastPrinted>2015-06-06T18:17:00Z</cp:lastPrinted>
  <dcterms:created xsi:type="dcterms:W3CDTF">2015-08-05T16:00:00Z</dcterms:created>
  <dcterms:modified xsi:type="dcterms:W3CDTF">2015-08-05T16:00:00Z</dcterms:modified>
</cp:coreProperties>
</file>