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423" w:rsidRPr="00661B39" w:rsidRDefault="00A54423" w:rsidP="00A54423">
      <w:pPr>
        <w:jc w:val="center"/>
        <w:rPr>
          <w:szCs w:val="24"/>
        </w:rPr>
      </w:pPr>
      <w:bookmarkStart w:id="0" w:name="_GoBack"/>
      <w:bookmarkEnd w:id="0"/>
      <w:r w:rsidRPr="00661B39">
        <w:rPr>
          <w:szCs w:val="24"/>
        </w:rPr>
        <w:t>UNITED STATES DISTRICT COURT</w:t>
      </w:r>
    </w:p>
    <w:p w:rsidR="00A54423" w:rsidRPr="00661B39" w:rsidRDefault="00A54423" w:rsidP="00A54423">
      <w:pPr>
        <w:jc w:val="center"/>
        <w:rPr>
          <w:szCs w:val="24"/>
        </w:rPr>
      </w:pPr>
      <w:r w:rsidRPr="00661B39">
        <w:rPr>
          <w:szCs w:val="24"/>
        </w:rPr>
        <w:t>FOR THE EASTERN DISTRICT OF NORTH CAROLINA</w:t>
      </w:r>
    </w:p>
    <w:p w:rsidR="00A54423" w:rsidRPr="00661B39" w:rsidRDefault="00A54423" w:rsidP="00A54423">
      <w:pPr>
        <w:jc w:val="center"/>
        <w:rPr>
          <w:szCs w:val="24"/>
        </w:rPr>
      </w:pPr>
      <w:r w:rsidRPr="00661B39">
        <w:rPr>
          <w:szCs w:val="24"/>
        </w:rPr>
        <w:t>WESTERN DIVISION</w:t>
      </w:r>
    </w:p>
    <w:p w:rsidR="00A54423" w:rsidRPr="00661B39" w:rsidRDefault="00A54423" w:rsidP="00A54423">
      <w:pPr>
        <w:jc w:val="both"/>
        <w:rPr>
          <w:b/>
          <w:szCs w:val="24"/>
          <w:u w:val="single"/>
        </w:rPr>
      </w:pPr>
    </w:p>
    <w:p w:rsidR="00A54423" w:rsidRPr="00661B39" w:rsidRDefault="00F81741" w:rsidP="00A54423">
      <w:pPr>
        <w:jc w:val="both"/>
        <w:rPr>
          <w:b/>
          <w:szCs w:val="24"/>
          <w:u w:val="single"/>
        </w:rPr>
      </w:pPr>
      <w:r>
        <w:rPr>
          <w:noProof/>
          <w:szCs w:val="24"/>
        </w:rPr>
        <w:pict>
          <v:shapetype id="_x0000_t32" coordsize="21600,21600" o:spt="32" o:oned="t" path="m,l21600,21600e" filled="f">
            <v:path arrowok="t" fillok="f" o:connecttype="none"/>
            <o:lock v:ext="edit" shapetype="t"/>
          </v:shapetype>
          <v:shape id="Straight Arrow Connector 4" o:spid="_x0000_s1026" type="#_x0000_t32" style="position:absolute;left:0;text-align:left;margin-left:236.75pt;margin-top:12.5pt;width:.05pt;height:14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"/>
        </w:pict>
      </w:r>
    </w:p>
    <w:p w:rsidR="00A54423" w:rsidRPr="00661B39" w:rsidRDefault="00A54423" w:rsidP="00A54423">
      <w:pPr>
        <w:jc w:val="both"/>
        <w:rPr>
          <w:szCs w:val="24"/>
        </w:rPr>
      </w:pPr>
      <w:r w:rsidRPr="00661B39">
        <w:rPr>
          <w:szCs w:val="24"/>
        </w:rPr>
        <w:tab/>
      </w:r>
      <w:r w:rsidRPr="00661B39">
        <w:rPr>
          <w:szCs w:val="24"/>
        </w:rPr>
        <w:tab/>
      </w:r>
      <w:r w:rsidRPr="00661B39">
        <w:rPr>
          <w:szCs w:val="24"/>
        </w:rPr>
        <w:tab/>
      </w:r>
      <w:r w:rsidRPr="00661B39">
        <w:rPr>
          <w:szCs w:val="24"/>
        </w:rPr>
        <w:tab/>
      </w:r>
      <w:r w:rsidRPr="00661B39">
        <w:rPr>
          <w:szCs w:val="24"/>
        </w:rPr>
        <w:tab/>
        <w:t xml:space="preserve">                                    </w:t>
      </w:r>
    </w:p>
    <w:p w:rsidR="00A54423" w:rsidRPr="00661B39" w:rsidRDefault="00A54423" w:rsidP="00A54423">
      <w:pPr>
        <w:jc w:val="both"/>
        <w:rPr>
          <w:szCs w:val="24"/>
        </w:rPr>
      </w:pPr>
      <w:r w:rsidRPr="00661B39">
        <w:rPr>
          <w:szCs w:val="24"/>
        </w:rPr>
        <w:t>THE UNITED STATES OF AMERICA,</w:t>
      </w:r>
      <w:r w:rsidRPr="00661B39">
        <w:rPr>
          <w:szCs w:val="24"/>
        </w:rPr>
        <w:tab/>
        <w:t xml:space="preserve">                        </w:t>
      </w:r>
      <w:r w:rsidRPr="00661B39">
        <w:rPr>
          <w:szCs w:val="24"/>
        </w:rPr>
        <w:tab/>
      </w:r>
    </w:p>
    <w:p w:rsidR="00A54423" w:rsidRPr="00661B39" w:rsidRDefault="00A54423" w:rsidP="00A54423">
      <w:pPr>
        <w:jc w:val="both"/>
        <w:rPr>
          <w:szCs w:val="24"/>
        </w:rPr>
      </w:pPr>
      <w:r w:rsidRPr="00661B39">
        <w:rPr>
          <w:szCs w:val="24"/>
        </w:rPr>
        <w:tab/>
      </w:r>
      <w:r w:rsidRPr="00661B39">
        <w:rPr>
          <w:szCs w:val="24"/>
        </w:rPr>
        <w:tab/>
      </w:r>
      <w:r w:rsidRPr="00661B39">
        <w:rPr>
          <w:szCs w:val="24"/>
        </w:rPr>
        <w:tab/>
      </w:r>
      <w:r w:rsidRPr="00661B39">
        <w:rPr>
          <w:szCs w:val="24"/>
        </w:rPr>
        <w:tab/>
      </w:r>
      <w:r w:rsidRPr="00661B39">
        <w:rPr>
          <w:szCs w:val="24"/>
        </w:rPr>
        <w:tab/>
      </w:r>
      <w:r w:rsidRPr="00661B39">
        <w:rPr>
          <w:szCs w:val="24"/>
        </w:rPr>
        <w:tab/>
        <w:t xml:space="preserve">                        </w:t>
      </w:r>
    </w:p>
    <w:p w:rsidR="00A54423" w:rsidRPr="00661B39" w:rsidRDefault="00A54423" w:rsidP="00A54423">
      <w:pPr>
        <w:tabs>
          <w:tab w:val="left" w:pos="720"/>
          <w:tab w:val="left" w:pos="1440"/>
          <w:tab w:val="left" w:pos="2160"/>
          <w:tab w:val="left" w:pos="2880"/>
          <w:tab w:val="left" w:pos="3600"/>
          <w:tab w:val="left" w:pos="4320"/>
          <w:tab w:val="left" w:pos="6390"/>
        </w:tabs>
        <w:jc w:val="both"/>
        <w:rPr>
          <w:szCs w:val="24"/>
        </w:rPr>
      </w:pPr>
      <w:r w:rsidRPr="00661B39">
        <w:rPr>
          <w:szCs w:val="24"/>
        </w:rPr>
        <w:tab/>
      </w:r>
      <w:r w:rsidRPr="00661B39">
        <w:rPr>
          <w:szCs w:val="24"/>
        </w:rPr>
        <w:tab/>
      </w:r>
      <w:r w:rsidRPr="00661B39">
        <w:rPr>
          <w:szCs w:val="24"/>
        </w:rPr>
        <w:tab/>
        <w:t>Plaintiff,</w:t>
      </w:r>
      <w:r w:rsidRPr="00661B39">
        <w:rPr>
          <w:szCs w:val="24"/>
        </w:rPr>
        <w:tab/>
      </w:r>
      <w:r w:rsidRPr="00661B39">
        <w:rPr>
          <w:szCs w:val="24"/>
        </w:rPr>
        <w:tab/>
        <w:t xml:space="preserve">                        </w:t>
      </w:r>
      <w:r w:rsidRPr="00661B39">
        <w:rPr>
          <w:szCs w:val="24"/>
        </w:rPr>
        <w:tab/>
      </w:r>
    </w:p>
    <w:p w:rsidR="00A54423" w:rsidRPr="00661B39" w:rsidRDefault="00A54423" w:rsidP="00A54423">
      <w:pPr>
        <w:jc w:val="both"/>
        <w:rPr>
          <w:szCs w:val="24"/>
        </w:rPr>
      </w:pPr>
      <w:r w:rsidRPr="00661B39">
        <w:rPr>
          <w:szCs w:val="24"/>
        </w:rPr>
        <w:tab/>
      </w:r>
      <w:r w:rsidRPr="00661B39">
        <w:rPr>
          <w:szCs w:val="24"/>
        </w:rPr>
        <w:tab/>
        <w:t xml:space="preserve">v. </w:t>
      </w:r>
      <w:r w:rsidRPr="00661B39">
        <w:rPr>
          <w:szCs w:val="24"/>
        </w:rPr>
        <w:tab/>
      </w:r>
      <w:r w:rsidRPr="00661B39">
        <w:rPr>
          <w:szCs w:val="24"/>
        </w:rPr>
        <w:tab/>
      </w:r>
      <w:r w:rsidRPr="00661B39">
        <w:rPr>
          <w:szCs w:val="24"/>
        </w:rPr>
        <w:tab/>
      </w:r>
      <w:r w:rsidRPr="00661B39">
        <w:rPr>
          <w:szCs w:val="24"/>
        </w:rPr>
        <w:tab/>
      </w:r>
      <w:r w:rsidRPr="00661B39">
        <w:rPr>
          <w:szCs w:val="24"/>
        </w:rPr>
        <w:tab/>
      </w:r>
      <w:r w:rsidRPr="00661B39">
        <w:rPr>
          <w:szCs w:val="24"/>
        </w:rPr>
        <w:tab/>
        <w:t>Case No. 5:12-cv-557-F</w:t>
      </w:r>
    </w:p>
    <w:p w:rsidR="00A54423" w:rsidRPr="00661B39" w:rsidRDefault="00A54423" w:rsidP="00A54423">
      <w:pPr>
        <w:jc w:val="both"/>
        <w:rPr>
          <w:szCs w:val="24"/>
        </w:rPr>
      </w:pPr>
      <w:r w:rsidRPr="00661B39">
        <w:rPr>
          <w:szCs w:val="24"/>
        </w:rPr>
        <w:tab/>
      </w:r>
      <w:r w:rsidRPr="00661B39">
        <w:rPr>
          <w:szCs w:val="24"/>
        </w:rPr>
        <w:tab/>
      </w:r>
      <w:r w:rsidRPr="00661B39">
        <w:rPr>
          <w:szCs w:val="24"/>
        </w:rPr>
        <w:tab/>
      </w:r>
      <w:r w:rsidRPr="00661B39">
        <w:rPr>
          <w:szCs w:val="24"/>
        </w:rPr>
        <w:tab/>
      </w:r>
      <w:r w:rsidRPr="00661B39">
        <w:rPr>
          <w:szCs w:val="24"/>
        </w:rPr>
        <w:tab/>
      </w:r>
      <w:r w:rsidRPr="00661B39">
        <w:rPr>
          <w:szCs w:val="24"/>
        </w:rPr>
        <w:tab/>
      </w:r>
      <w:r w:rsidRPr="00661B39">
        <w:rPr>
          <w:szCs w:val="24"/>
        </w:rPr>
        <w:tab/>
      </w:r>
      <w:r w:rsidRPr="00661B39">
        <w:rPr>
          <w:szCs w:val="24"/>
        </w:rPr>
        <w:tab/>
      </w:r>
    </w:p>
    <w:p w:rsidR="00A54423" w:rsidRPr="00661B39" w:rsidRDefault="00A54423" w:rsidP="00A54423">
      <w:pPr>
        <w:jc w:val="both"/>
        <w:rPr>
          <w:szCs w:val="24"/>
        </w:rPr>
      </w:pPr>
      <w:r w:rsidRPr="00661B39">
        <w:rPr>
          <w:szCs w:val="24"/>
        </w:rPr>
        <w:t>STATE OF NORTH CAROLINA,</w:t>
      </w:r>
      <w:r w:rsidRPr="00661B39">
        <w:rPr>
          <w:szCs w:val="24"/>
        </w:rPr>
        <w:tab/>
      </w:r>
      <w:r w:rsidRPr="00661B39">
        <w:rPr>
          <w:szCs w:val="24"/>
        </w:rPr>
        <w:tab/>
      </w:r>
      <w:r w:rsidRPr="00661B39">
        <w:rPr>
          <w:szCs w:val="24"/>
        </w:rPr>
        <w:tab/>
      </w:r>
      <w:r w:rsidRPr="00661B39">
        <w:rPr>
          <w:szCs w:val="24"/>
        </w:rPr>
        <w:tab/>
      </w:r>
    </w:p>
    <w:p w:rsidR="00A54423" w:rsidRPr="00661B39" w:rsidRDefault="00A54423" w:rsidP="00A54423">
      <w:pPr>
        <w:tabs>
          <w:tab w:val="left" w:pos="720"/>
          <w:tab w:val="left" w:pos="1440"/>
          <w:tab w:val="left" w:pos="2160"/>
          <w:tab w:val="left" w:pos="2880"/>
          <w:tab w:val="left" w:pos="3600"/>
          <w:tab w:val="left" w:pos="4320"/>
          <w:tab w:val="left" w:pos="6510"/>
        </w:tabs>
        <w:jc w:val="both"/>
        <w:rPr>
          <w:szCs w:val="24"/>
        </w:rPr>
      </w:pPr>
      <w:r w:rsidRPr="00661B39">
        <w:rPr>
          <w:szCs w:val="24"/>
        </w:rPr>
        <w:tab/>
      </w:r>
      <w:r w:rsidRPr="00661B39">
        <w:rPr>
          <w:szCs w:val="24"/>
        </w:rPr>
        <w:tab/>
      </w:r>
      <w:r w:rsidRPr="00661B39">
        <w:rPr>
          <w:szCs w:val="24"/>
        </w:rPr>
        <w:tab/>
      </w:r>
      <w:r w:rsidRPr="00661B39">
        <w:rPr>
          <w:szCs w:val="24"/>
        </w:rPr>
        <w:tab/>
        <w:t xml:space="preserve">    </w:t>
      </w:r>
      <w:r w:rsidRPr="00661B39">
        <w:rPr>
          <w:szCs w:val="24"/>
        </w:rPr>
        <w:tab/>
      </w:r>
      <w:r w:rsidRPr="00661B39">
        <w:rPr>
          <w:szCs w:val="24"/>
        </w:rPr>
        <w:tab/>
        <w:t xml:space="preserve">                                     </w:t>
      </w:r>
    </w:p>
    <w:p w:rsidR="00A54423" w:rsidRPr="00661B39" w:rsidRDefault="00A54423" w:rsidP="00A54423">
      <w:pPr>
        <w:jc w:val="both"/>
        <w:rPr>
          <w:szCs w:val="24"/>
        </w:rPr>
      </w:pPr>
      <w:r w:rsidRPr="00661B39">
        <w:rPr>
          <w:szCs w:val="24"/>
        </w:rPr>
        <w:tab/>
      </w:r>
      <w:r w:rsidRPr="00661B39">
        <w:rPr>
          <w:szCs w:val="24"/>
        </w:rPr>
        <w:tab/>
      </w:r>
      <w:r w:rsidRPr="00661B39">
        <w:rPr>
          <w:szCs w:val="24"/>
        </w:rPr>
        <w:tab/>
        <w:t>Defendant.</w:t>
      </w:r>
      <w:r w:rsidRPr="00661B39">
        <w:rPr>
          <w:szCs w:val="24"/>
        </w:rPr>
        <w:tab/>
      </w:r>
      <w:r w:rsidRPr="00661B39">
        <w:rPr>
          <w:szCs w:val="24"/>
        </w:rPr>
        <w:tab/>
        <w:t xml:space="preserve">                        </w:t>
      </w:r>
    </w:p>
    <w:p w:rsidR="00A54423" w:rsidRPr="00661B39" w:rsidRDefault="00A54423" w:rsidP="00A54423">
      <w:pPr>
        <w:jc w:val="both"/>
        <w:rPr>
          <w:szCs w:val="24"/>
        </w:rPr>
      </w:pPr>
      <w:r w:rsidRPr="00661B39">
        <w:rPr>
          <w:szCs w:val="24"/>
        </w:rPr>
        <w:tab/>
      </w:r>
      <w:r w:rsidRPr="00661B39">
        <w:rPr>
          <w:szCs w:val="24"/>
        </w:rPr>
        <w:tab/>
      </w:r>
      <w:r w:rsidRPr="00661B39">
        <w:rPr>
          <w:szCs w:val="24"/>
        </w:rPr>
        <w:tab/>
      </w:r>
      <w:r w:rsidRPr="00661B39">
        <w:rPr>
          <w:szCs w:val="24"/>
        </w:rPr>
        <w:tab/>
      </w:r>
      <w:r w:rsidRPr="00661B39">
        <w:rPr>
          <w:szCs w:val="24"/>
        </w:rPr>
        <w:tab/>
      </w:r>
      <w:r w:rsidRPr="00661B39">
        <w:rPr>
          <w:szCs w:val="24"/>
        </w:rPr>
        <w:tab/>
      </w:r>
      <w:r w:rsidRPr="00661B39">
        <w:rPr>
          <w:szCs w:val="24"/>
        </w:rPr>
        <w:tab/>
      </w:r>
      <w:r w:rsidRPr="00661B39">
        <w:rPr>
          <w:szCs w:val="24"/>
        </w:rPr>
        <w:tab/>
      </w:r>
    </w:p>
    <w:p w:rsidR="00A54423" w:rsidRPr="00661B39" w:rsidRDefault="00F81741" w:rsidP="00A54423">
      <w:pPr>
        <w:jc w:val="both"/>
        <w:rPr>
          <w:szCs w:val="24"/>
        </w:rPr>
      </w:pPr>
      <w:r>
        <w:rPr>
          <w:noProof/>
          <w:szCs w:val="24"/>
        </w:rPr>
        <w:pict>
          <v:shape id="Straight Arrow Connector 3" o:spid="_x0000_s1027" type="#_x0000_t32" style="position:absolute;left:0;text-align:left;margin-left:0;margin-top:8.65pt;width:236.8pt;height:.0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"/>
        </w:pict>
      </w:r>
    </w:p>
    <w:p w:rsidR="00A54423" w:rsidRDefault="00A54423" w:rsidP="00A54423">
      <w:pPr>
        <w:spacing w:line="360" w:lineRule="auto"/>
        <w:jc w:val="center"/>
        <w:rPr>
          <w:b/>
          <w:szCs w:val="24"/>
          <w:u w:val="single"/>
        </w:rPr>
      </w:pPr>
    </w:p>
    <w:p w:rsidR="00F618DE" w:rsidRDefault="00F618DE" w:rsidP="00A54423">
      <w:pPr>
        <w:spacing w:line="360" w:lineRule="auto"/>
        <w:jc w:val="center"/>
        <w:rPr>
          <w:b/>
          <w:szCs w:val="24"/>
          <w:u w:val="single"/>
        </w:rPr>
      </w:pPr>
    </w:p>
    <w:p w:rsidR="00F618DE" w:rsidRDefault="00F618DE" w:rsidP="00F618DE">
      <w:pPr>
        <w:spacing w:line="360" w:lineRule="auto"/>
        <w:rPr>
          <w:b/>
          <w:szCs w:val="24"/>
          <w:u w:val="single"/>
        </w:rPr>
      </w:pPr>
    </w:p>
    <w:p w:rsidR="00F618DE" w:rsidRDefault="00F618DE" w:rsidP="00A54423">
      <w:pPr>
        <w:spacing w:line="360" w:lineRule="auto"/>
        <w:jc w:val="center"/>
        <w:rPr>
          <w:b/>
          <w:szCs w:val="24"/>
          <w:u w:val="single"/>
        </w:rPr>
      </w:pPr>
    </w:p>
    <w:p w:rsidR="00F618DE" w:rsidRDefault="00F618DE" w:rsidP="00A54423">
      <w:pPr>
        <w:spacing w:line="360" w:lineRule="auto"/>
        <w:jc w:val="center"/>
        <w:rPr>
          <w:b/>
          <w:szCs w:val="24"/>
          <w:u w:val="single"/>
        </w:rPr>
      </w:pPr>
    </w:p>
    <w:p w:rsidR="00F618DE" w:rsidRDefault="00F618DE" w:rsidP="00A54423">
      <w:pPr>
        <w:spacing w:line="360" w:lineRule="auto"/>
        <w:jc w:val="center"/>
        <w:rPr>
          <w:b/>
          <w:szCs w:val="24"/>
          <w:u w:val="single"/>
        </w:rPr>
      </w:pPr>
    </w:p>
    <w:p w:rsidR="00A54423" w:rsidRDefault="00A54423" w:rsidP="003B70CD">
      <w:pPr>
        <w:jc w:val="center"/>
      </w:pPr>
      <w:r>
        <w:rPr>
          <w:b/>
          <w:szCs w:val="24"/>
          <w:u w:val="single"/>
        </w:rPr>
        <w:t>UNITED STATES’</w:t>
      </w:r>
      <w:r w:rsidR="003B70CD">
        <w:rPr>
          <w:b/>
          <w:szCs w:val="24"/>
          <w:u w:val="single"/>
        </w:rPr>
        <w:t xml:space="preserve"> REPLY </w:t>
      </w:r>
      <w:r w:rsidR="00BA41E3">
        <w:rPr>
          <w:b/>
          <w:szCs w:val="24"/>
          <w:u w:val="single"/>
        </w:rPr>
        <w:t>MEMORANDUM IN SUPPORT OF ITS</w:t>
      </w:r>
      <w:r w:rsidR="003B70CD">
        <w:rPr>
          <w:b/>
          <w:szCs w:val="24"/>
          <w:u w:val="single"/>
        </w:rPr>
        <w:t xml:space="preserve"> MOTION TO ENFORCE THE SETTLEMENT AGREEMENT</w:t>
      </w:r>
    </w:p>
    <w:p w:rsidR="00B5147F" w:rsidRDefault="00B5147F" w:rsidP="00B5147F">
      <w:pPr>
        <w:tabs>
          <w:tab w:val="left" w:pos="3185"/>
        </w:tabs>
        <w:sectPr w:rsidR="00B5147F" w:rsidSect="005478B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B5147F" w:rsidRDefault="00B5147F" w:rsidP="00B5147F">
      <w:pPr>
        <w:tabs>
          <w:tab w:val="left" w:pos="3185"/>
        </w:tabs>
        <w:sectPr w:rsidR="00B5147F" w:rsidSect="00A54BA4">
          <w:footerReference w:type="default" r:id="rId14"/>
          <w:pgSz w:w="12240" w:h="15840"/>
          <w:pgMar w:top="1440" w:right="1440" w:bottom="1440" w:left="1440" w:header="720" w:footer="720" w:gutter="0"/>
          <w:pgNumType w:start="1"/>
          <w:cols w:space="720"/>
          <w:titlePg/>
          <w:docGrid w:linePitch="360"/>
        </w:sectPr>
      </w:pPr>
    </w:p>
    <w:p w:rsidR="00034FF9" w:rsidRPr="009130CE" w:rsidRDefault="003E58B7" w:rsidP="00DF0C73">
      <w:pPr>
        <w:widowControl w:val="0"/>
        <w:spacing w:line="480" w:lineRule="auto"/>
        <w:ind w:firstLine="720"/>
        <w:jc w:val="both"/>
        <w:rPr>
          <w:szCs w:val="24"/>
        </w:rPr>
      </w:pPr>
      <w:r>
        <w:rPr>
          <w:szCs w:val="24"/>
        </w:rPr>
        <w:t xml:space="preserve">In response to the United States’ </w:t>
      </w:r>
      <w:r w:rsidR="00353607">
        <w:rPr>
          <w:szCs w:val="24"/>
        </w:rPr>
        <w:t xml:space="preserve">Motion </w:t>
      </w:r>
      <w:r>
        <w:rPr>
          <w:szCs w:val="24"/>
        </w:rPr>
        <w:t xml:space="preserve">to </w:t>
      </w:r>
      <w:r w:rsidR="00353607">
        <w:rPr>
          <w:szCs w:val="24"/>
        </w:rPr>
        <w:t>E</w:t>
      </w:r>
      <w:r>
        <w:rPr>
          <w:szCs w:val="24"/>
        </w:rPr>
        <w:t xml:space="preserve">nforce the </w:t>
      </w:r>
      <w:r w:rsidR="00353607">
        <w:rPr>
          <w:szCs w:val="24"/>
        </w:rPr>
        <w:t>S</w:t>
      </w:r>
      <w:r>
        <w:rPr>
          <w:szCs w:val="24"/>
        </w:rPr>
        <w:t xml:space="preserve">ettlement </w:t>
      </w:r>
      <w:r w:rsidR="00353607">
        <w:rPr>
          <w:szCs w:val="24"/>
        </w:rPr>
        <w:t>A</w:t>
      </w:r>
      <w:r>
        <w:rPr>
          <w:szCs w:val="24"/>
        </w:rPr>
        <w:t xml:space="preserve">greement, D.E. 15, </w:t>
      </w:r>
      <w:r w:rsidR="00D83D4F">
        <w:rPr>
          <w:szCs w:val="24"/>
        </w:rPr>
        <w:t>North Carolina</w:t>
      </w:r>
      <w:r w:rsidR="009130CE">
        <w:rPr>
          <w:szCs w:val="24"/>
        </w:rPr>
        <w:t xml:space="preserve"> urges the</w:t>
      </w:r>
      <w:r w:rsidR="009130CE" w:rsidRPr="00B6695B">
        <w:rPr>
          <w:szCs w:val="24"/>
        </w:rPr>
        <w:t xml:space="preserve"> Court to </w:t>
      </w:r>
      <w:r w:rsidR="001A7288">
        <w:rPr>
          <w:szCs w:val="24"/>
        </w:rPr>
        <w:t>adopt interpretations of the Agreement at odds with its text and purpose</w:t>
      </w:r>
      <w:r w:rsidR="009130CE" w:rsidRPr="00E413FF">
        <w:rPr>
          <w:szCs w:val="24"/>
        </w:rPr>
        <w:t>.</w:t>
      </w:r>
      <w:r w:rsidR="002077C5">
        <w:t xml:space="preserve"> Def.’s Opp’n, D.E. 23. </w:t>
      </w:r>
      <w:r w:rsidR="009130CE" w:rsidRPr="00B6695B">
        <w:rPr>
          <w:szCs w:val="24"/>
        </w:rPr>
        <w:t>The State’s interpretation</w:t>
      </w:r>
      <w:r w:rsidR="009130CE">
        <w:rPr>
          <w:szCs w:val="24"/>
        </w:rPr>
        <w:t>s</w:t>
      </w:r>
      <w:r w:rsidR="009130CE" w:rsidRPr="00B6695B">
        <w:rPr>
          <w:szCs w:val="24"/>
        </w:rPr>
        <w:t xml:space="preserve"> </w:t>
      </w:r>
      <w:r w:rsidR="001A7288">
        <w:rPr>
          <w:szCs w:val="24"/>
        </w:rPr>
        <w:t xml:space="preserve">would dilute its </w:t>
      </w:r>
      <w:r w:rsidR="00D210EC">
        <w:rPr>
          <w:szCs w:val="24"/>
        </w:rPr>
        <w:t xml:space="preserve">supported housing and </w:t>
      </w:r>
      <w:r w:rsidR="00416609">
        <w:rPr>
          <w:szCs w:val="24"/>
        </w:rPr>
        <w:t xml:space="preserve">supported employment </w:t>
      </w:r>
      <w:r w:rsidR="001A7288">
        <w:rPr>
          <w:szCs w:val="24"/>
        </w:rPr>
        <w:t xml:space="preserve">obligations and </w:t>
      </w:r>
      <w:r w:rsidR="009130CE">
        <w:rPr>
          <w:szCs w:val="24"/>
        </w:rPr>
        <w:t>contravene</w:t>
      </w:r>
      <w:r w:rsidR="009130CE" w:rsidRPr="00B6695B">
        <w:rPr>
          <w:szCs w:val="24"/>
        </w:rPr>
        <w:t xml:space="preserve"> the Agreement’s purpose of </w:t>
      </w:r>
      <w:r w:rsidR="00A87D13">
        <w:rPr>
          <w:szCs w:val="24"/>
        </w:rPr>
        <w:t>achieving community integration</w:t>
      </w:r>
      <w:r w:rsidR="009130CE">
        <w:rPr>
          <w:szCs w:val="24"/>
        </w:rPr>
        <w:t xml:space="preserve"> for </w:t>
      </w:r>
      <w:r w:rsidR="009130CE" w:rsidRPr="00B6695B">
        <w:rPr>
          <w:szCs w:val="24"/>
        </w:rPr>
        <w:t>individuals with serious mental illness in or at risk</w:t>
      </w:r>
      <w:r w:rsidR="009130CE">
        <w:rPr>
          <w:szCs w:val="24"/>
        </w:rPr>
        <w:t xml:space="preserve"> of entry to adult care homes. </w:t>
      </w:r>
      <w:r w:rsidR="00BF14D1">
        <w:rPr>
          <w:szCs w:val="24"/>
        </w:rPr>
        <w:t xml:space="preserve">For the reasons </w:t>
      </w:r>
      <w:r w:rsidR="00221AEE">
        <w:rPr>
          <w:szCs w:val="24"/>
        </w:rPr>
        <w:t xml:space="preserve">stated </w:t>
      </w:r>
      <w:r w:rsidR="00BF14D1">
        <w:rPr>
          <w:szCs w:val="24"/>
        </w:rPr>
        <w:t xml:space="preserve">in the </w:t>
      </w:r>
      <w:r w:rsidR="003B1D85">
        <w:rPr>
          <w:szCs w:val="24"/>
        </w:rPr>
        <w:t xml:space="preserve">United States’ Memorandum in Support of its Motion, </w:t>
      </w:r>
      <w:r w:rsidR="00BF14D1">
        <w:rPr>
          <w:szCs w:val="24"/>
        </w:rPr>
        <w:t xml:space="preserve">and as </w:t>
      </w:r>
      <w:r>
        <w:rPr>
          <w:szCs w:val="24"/>
        </w:rPr>
        <w:t>set forth</w:t>
      </w:r>
      <w:r w:rsidR="00BF14D1">
        <w:rPr>
          <w:szCs w:val="24"/>
        </w:rPr>
        <w:t xml:space="preserve"> below, the</w:t>
      </w:r>
      <w:r w:rsidR="00BA41E3">
        <w:rPr>
          <w:szCs w:val="24"/>
        </w:rPr>
        <w:t xml:space="preserve"> </w:t>
      </w:r>
      <w:r w:rsidR="009130CE">
        <w:rPr>
          <w:szCs w:val="24"/>
        </w:rPr>
        <w:t>Court should uphold the parties’ manifest</w:t>
      </w:r>
      <w:r w:rsidR="009130CE" w:rsidRPr="00E413FF">
        <w:rPr>
          <w:szCs w:val="24"/>
        </w:rPr>
        <w:t xml:space="preserve"> intent to measure compliance by counting only occupied Housing Slots and individuals </w:t>
      </w:r>
      <w:r w:rsidR="009130CE">
        <w:rPr>
          <w:szCs w:val="24"/>
        </w:rPr>
        <w:t>in the target population and grant the United States’ request for declaratory and injunctive relief.</w:t>
      </w:r>
    </w:p>
    <w:p w:rsidR="00A37DC5" w:rsidRPr="00BC43DA" w:rsidRDefault="00C25A13" w:rsidP="00850B36">
      <w:pPr>
        <w:pStyle w:val="ListParagraph"/>
        <w:widowControl w:val="0"/>
        <w:numPr>
          <w:ilvl w:val="0"/>
          <w:numId w:val="3"/>
        </w:numPr>
        <w:jc w:val="both"/>
        <w:rPr>
          <w:b/>
        </w:rPr>
      </w:pPr>
      <w:r w:rsidRPr="00BC43DA">
        <w:rPr>
          <w:b/>
          <w:caps/>
          <w:szCs w:val="24"/>
        </w:rPr>
        <w:t xml:space="preserve">The United States Has </w:t>
      </w:r>
      <w:r w:rsidR="00C9480C">
        <w:rPr>
          <w:b/>
          <w:caps/>
          <w:szCs w:val="24"/>
        </w:rPr>
        <w:t xml:space="preserve">PLAINLY </w:t>
      </w:r>
      <w:r w:rsidRPr="00BC43DA">
        <w:rPr>
          <w:b/>
          <w:caps/>
          <w:szCs w:val="24"/>
        </w:rPr>
        <w:t>Satisf</w:t>
      </w:r>
      <w:r w:rsidR="00A87D13">
        <w:rPr>
          <w:b/>
          <w:caps/>
          <w:szCs w:val="24"/>
        </w:rPr>
        <w:t xml:space="preserve">ied the Agreement’s </w:t>
      </w:r>
      <w:r w:rsidR="00BC43DA" w:rsidRPr="00BC43DA">
        <w:rPr>
          <w:b/>
          <w:caps/>
          <w:szCs w:val="24"/>
        </w:rPr>
        <w:t xml:space="preserve">Dispute </w:t>
      </w:r>
      <w:r w:rsidRPr="00BC43DA">
        <w:rPr>
          <w:b/>
          <w:caps/>
          <w:szCs w:val="24"/>
        </w:rPr>
        <w:t>Resolution Requirements.</w:t>
      </w:r>
    </w:p>
    <w:p w:rsidR="00A37DC5" w:rsidRPr="00EE406C" w:rsidRDefault="00A37DC5" w:rsidP="00850B36">
      <w:pPr>
        <w:widowControl w:val="0"/>
        <w:jc w:val="both"/>
        <w:rPr>
          <w:sz w:val="16"/>
          <w:szCs w:val="16"/>
        </w:rPr>
      </w:pPr>
    </w:p>
    <w:p w:rsidR="004F7837" w:rsidRDefault="009048F8" w:rsidP="00850B36">
      <w:pPr>
        <w:widowControl w:val="0"/>
        <w:spacing w:line="480" w:lineRule="auto"/>
        <w:ind w:firstLine="720"/>
        <w:jc w:val="both"/>
        <w:rPr>
          <w:szCs w:val="24"/>
        </w:rPr>
      </w:pPr>
      <w:r>
        <w:rPr>
          <w:szCs w:val="24"/>
        </w:rPr>
        <w:t>The State wrongly contends</w:t>
      </w:r>
      <w:r w:rsidR="008F546E">
        <w:rPr>
          <w:szCs w:val="24"/>
        </w:rPr>
        <w:t xml:space="preserve"> that the </w:t>
      </w:r>
      <w:r w:rsidR="00F10EDB">
        <w:rPr>
          <w:szCs w:val="24"/>
        </w:rPr>
        <w:t xml:space="preserve">Motion </w:t>
      </w:r>
      <w:r w:rsidR="00EC06A9">
        <w:rPr>
          <w:szCs w:val="24"/>
        </w:rPr>
        <w:t>is not ripe because the United States</w:t>
      </w:r>
      <w:r w:rsidR="008F546E">
        <w:rPr>
          <w:szCs w:val="24"/>
        </w:rPr>
        <w:t xml:space="preserve"> has not met the </w:t>
      </w:r>
      <w:r w:rsidR="004F7837">
        <w:rPr>
          <w:szCs w:val="24"/>
        </w:rPr>
        <w:t xml:space="preserve">Agreement’s </w:t>
      </w:r>
      <w:r w:rsidR="008F546E">
        <w:rPr>
          <w:szCs w:val="24"/>
        </w:rPr>
        <w:t>proc</w:t>
      </w:r>
      <w:r w:rsidR="00A54BA4">
        <w:rPr>
          <w:szCs w:val="24"/>
        </w:rPr>
        <w:t xml:space="preserve">edural prerequisites. </w:t>
      </w:r>
      <w:r w:rsidR="008F546E">
        <w:rPr>
          <w:szCs w:val="24"/>
        </w:rPr>
        <w:t>The U</w:t>
      </w:r>
      <w:r w:rsidR="00076F2E">
        <w:rPr>
          <w:szCs w:val="24"/>
        </w:rPr>
        <w:t xml:space="preserve">nited </w:t>
      </w:r>
      <w:r w:rsidR="008F546E">
        <w:rPr>
          <w:szCs w:val="24"/>
        </w:rPr>
        <w:t>S</w:t>
      </w:r>
      <w:r w:rsidR="00076F2E">
        <w:rPr>
          <w:szCs w:val="24"/>
        </w:rPr>
        <w:t>tates</w:t>
      </w:r>
      <w:r w:rsidR="008F546E">
        <w:rPr>
          <w:szCs w:val="24"/>
        </w:rPr>
        <w:t xml:space="preserve"> has not onl</w:t>
      </w:r>
      <w:r>
        <w:rPr>
          <w:szCs w:val="24"/>
        </w:rPr>
        <w:t xml:space="preserve">y satisfied the Agreement’s </w:t>
      </w:r>
      <w:r w:rsidR="008F546E">
        <w:rPr>
          <w:szCs w:val="24"/>
        </w:rPr>
        <w:t>dispute resolution requirements</w:t>
      </w:r>
      <w:r w:rsidR="004F7837">
        <w:rPr>
          <w:szCs w:val="24"/>
        </w:rPr>
        <w:t>,</w:t>
      </w:r>
      <w:r w:rsidR="008F546E">
        <w:rPr>
          <w:szCs w:val="24"/>
        </w:rPr>
        <w:t xml:space="preserve"> but </w:t>
      </w:r>
      <w:r w:rsidR="00957A76">
        <w:rPr>
          <w:szCs w:val="24"/>
        </w:rPr>
        <w:t xml:space="preserve">also </w:t>
      </w:r>
      <w:r w:rsidR="008F546E">
        <w:rPr>
          <w:szCs w:val="24"/>
        </w:rPr>
        <w:t>has</w:t>
      </w:r>
      <w:r w:rsidR="0066159E">
        <w:rPr>
          <w:szCs w:val="24"/>
        </w:rPr>
        <w:t xml:space="preserve"> engaged with the State for nearly two years </w:t>
      </w:r>
      <w:r w:rsidR="00D17409">
        <w:rPr>
          <w:szCs w:val="24"/>
        </w:rPr>
        <w:t>to resolve the</w:t>
      </w:r>
      <w:r w:rsidR="00FE3B2A">
        <w:rPr>
          <w:szCs w:val="24"/>
        </w:rPr>
        <w:t xml:space="preserve"> disputed issues.  </w:t>
      </w:r>
    </w:p>
    <w:p w:rsidR="004F7837" w:rsidRPr="004F7837" w:rsidRDefault="00F02871" w:rsidP="00850B36">
      <w:pPr>
        <w:widowControl w:val="0"/>
        <w:spacing w:line="480" w:lineRule="auto"/>
        <w:ind w:firstLine="720"/>
        <w:jc w:val="both"/>
        <w:rPr>
          <w:szCs w:val="24"/>
        </w:rPr>
      </w:pPr>
      <w:r>
        <w:rPr>
          <w:szCs w:val="24"/>
        </w:rPr>
        <w:t>T</w:t>
      </w:r>
      <w:r w:rsidR="004F7837">
        <w:rPr>
          <w:szCs w:val="24"/>
        </w:rPr>
        <w:t>he Agreement requires the United States</w:t>
      </w:r>
      <w:r>
        <w:rPr>
          <w:szCs w:val="24"/>
        </w:rPr>
        <w:t xml:space="preserve">, </w:t>
      </w:r>
      <w:r w:rsidR="00062970">
        <w:rPr>
          <w:szCs w:val="24"/>
        </w:rPr>
        <w:t>before</w:t>
      </w:r>
      <w:r>
        <w:rPr>
          <w:szCs w:val="24"/>
        </w:rPr>
        <w:t xml:space="preserve"> seeking judicial enforcement,</w:t>
      </w:r>
      <w:r w:rsidR="004F7837">
        <w:rPr>
          <w:szCs w:val="24"/>
        </w:rPr>
        <w:t xml:space="preserve"> to notify </w:t>
      </w:r>
      <w:r w:rsidR="001E2E87">
        <w:rPr>
          <w:szCs w:val="24"/>
        </w:rPr>
        <w:t>North Carolina</w:t>
      </w:r>
      <w:r w:rsidR="004F7837">
        <w:rPr>
          <w:szCs w:val="24"/>
        </w:rPr>
        <w:t xml:space="preserve"> in writing of alleged noncompliance </w:t>
      </w:r>
      <w:r w:rsidR="00A54BA4">
        <w:rPr>
          <w:szCs w:val="24"/>
        </w:rPr>
        <w:t xml:space="preserve">and request corrective action. </w:t>
      </w:r>
      <w:r w:rsidR="004F7837">
        <w:rPr>
          <w:szCs w:val="24"/>
        </w:rPr>
        <w:t xml:space="preserve">Settlement Agreement § V(F), </w:t>
      </w:r>
      <w:r w:rsidR="00A54BA4">
        <w:rPr>
          <w:szCs w:val="24"/>
        </w:rPr>
        <w:t>D.E. 2-2 [“S.A.”].</w:t>
      </w:r>
      <w:r w:rsidR="004F7837">
        <w:rPr>
          <w:szCs w:val="24"/>
        </w:rPr>
        <w:t xml:space="preserve"> Th</w:t>
      </w:r>
      <w:r w:rsidR="00E976BC">
        <w:rPr>
          <w:szCs w:val="24"/>
        </w:rPr>
        <w:t>e State has 45 days to respond.</w:t>
      </w:r>
      <w:r w:rsidR="004F7837">
        <w:rPr>
          <w:szCs w:val="24"/>
        </w:rPr>
        <w:t xml:space="preserve"> </w:t>
      </w:r>
      <w:r w:rsidR="00E976BC">
        <w:rPr>
          <w:i/>
          <w:szCs w:val="24"/>
        </w:rPr>
        <w:t xml:space="preserve">Id. </w:t>
      </w:r>
      <w:r w:rsidR="004F7837">
        <w:rPr>
          <w:szCs w:val="24"/>
        </w:rPr>
        <w:t>If the Un</w:t>
      </w:r>
      <w:r w:rsidR="00A93FA7">
        <w:rPr>
          <w:szCs w:val="24"/>
        </w:rPr>
        <w:t>it</w:t>
      </w:r>
      <w:r w:rsidR="004F7837">
        <w:rPr>
          <w:szCs w:val="24"/>
        </w:rPr>
        <w:t>ed States deems the proposed corrective action insufficient, it “may . . . offer a counterproposal fo</w:t>
      </w:r>
      <w:r w:rsidR="00EE406C">
        <w:rPr>
          <w:szCs w:val="24"/>
        </w:rPr>
        <w:t>r a different curative action.”</w:t>
      </w:r>
      <w:r w:rsidR="004F7837">
        <w:rPr>
          <w:szCs w:val="24"/>
        </w:rPr>
        <w:t xml:space="preserve"> </w:t>
      </w:r>
      <w:r w:rsidR="004F7837">
        <w:rPr>
          <w:i/>
          <w:szCs w:val="24"/>
        </w:rPr>
        <w:t xml:space="preserve">Id. </w:t>
      </w:r>
      <w:r w:rsidR="00A54BA4">
        <w:rPr>
          <w:szCs w:val="24"/>
        </w:rPr>
        <w:t xml:space="preserve">§ V(G). </w:t>
      </w:r>
      <w:r w:rsidR="00A87D13">
        <w:rPr>
          <w:szCs w:val="24"/>
        </w:rPr>
        <w:t>The Agreement impose</w:t>
      </w:r>
      <w:r w:rsidR="004F7837">
        <w:rPr>
          <w:szCs w:val="24"/>
        </w:rPr>
        <w:t>s no deadline for submitting the counterproposal and no requirement to respond to any re</w:t>
      </w:r>
      <w:r w:rsidR="00A23D2F">
        <w:rPr>
          <w:szCs w:val="24"/>
        </w:rPr>
        <w:t>vised plan</w:t>
      </w:r>
      <w:r w:rsidR="00A54BA4">
        <w:rPr>
          <w:szCs w:val="24"/>
        </w:rPr>
        <w:t xml:space="preserve">. </w:t>
      </w:r>
      <w:r w:rsidR="004F7837">
        <w:rPr>
          <w:szCs w:val="24"/>
        </w:rPr>
        <w:t>The United States may seek a judicial remedy “</w:t>
      </w:r>
      <w:r w:rsidR="003071CA">
        <w:rPr>
          <w:szCs w:val="24"/>
        </w:rPr>
        <w:t>[</w:t>
      </w:r>
      <w:r w:rsidR="004F7837">
        <w:rPr>
          <w:szCs w:val="24"/>
        </w:rPr>
        <w:t>i</w:t>
      </w:r>
      <w:r w:rsidR="003071CA">
        <w:rPr>
          <w:szCs w:val="24"/>
        </w:rPr>
        <w:t>]</w:t>
      </w:r>
      <w:r w:rsidR="004F7837">
        <w:rPr>
          <w:szCs w:val="24"/>
        </w:rPr>
        <w:t xml:space="preserve">f the Parties fail to reach an agreement </w:t>
      </w:r>
      <w:r w:rsidR="00B5115D">
        <w:rPr>
          <w:szCs w:val="24"/>
        </w:rPr>
        <w:t>on a plan for curative action.”</w:t>
      </w:r>
      <w:r w:rsidR="004F7837">
        <w:rPr>
          <w:szCs w:val="24"/>
        </w:rPr>
        <w:t xml:space="preserve"> </w:t>
      </w:r>
      <w:r w:rsidR="004F7837">
        <w:rPr>
          <w:i/>
          <w:szCs w:val="24"/>
        </w:rPr>
        <w:t xml:space="preserve">Id. </w:t>
      </w:r>
    </w:p>
    <w:p w:rsidR="00F443B4" w:rsidRDefault="00B9401A" w:rsidP="00850B36">
      <w:pPr>
        <w:widowControl w:val="0"/>
        <w:spacing w:line="480" w:lineRule="auto"/>
        <w:ind w:firstLine="720"/>
        <w:jc w:val="both"/>
        <w:rPr>
          <w:szCs w:val="24"/>
        </w:rPr>
      </w:pPr>
      <w:r>
        <w:rPr>
          <w:szCs w:val="24"/>
        </w:rPr>
        <w:t>North Carolina</w:t>
      </w:r>
      <w:r w:rsidR="007270E4">
        <w:rPr>
          <w:szCs w:val="24"/>
        </w:rPr>
        <w:t xml:space="preserve"> has been on notice that the U</w:t>
      </w:r>
      <w:r w:rsidR="004F7837">
        <w:rPr>
          <w:szCs w:val="24"/>
        </w:rPr>
        <w:t xml:space="preserve">nited </w:t>
      </w:r>
      <w:r w:rsidR="007270E4">
        <w:rPr>
          <w:szCs w:val="24"/>
        </w:rPr>
        <w:t>S</w:t>
      </w:r>
      <w:r w:rsidR="004F7837">
        <w:rPr>
          <w:szCs w:val="24"/>
        </w:rPr>
        <w:t>tates</w:t>
      </w:r>
      <w:r w:rsidR="007270E4">
        <w:rPr>
          <w:szCs w:val="24"/>
        </w:rPr>
        <w:t xml:space="preserve"> disagrees with it</w:t>
      </w:r>
      <w:r w:rsidR="004E7ED0">
        <w:rPr>
          <w:szCs w:val="24"/>
        </w:rPr>
        <w:t>s</w:t>
      </w:r>
      <w:r w:rsidR="007270E4">
        <w:rPr>
          <w:szCs w:val="24"/>
        </w:rPr>
        <w:t xml:space="preserve"> interpretation of the</w:t>
      </w:r>
      <w:r w:rsidR="004F7837">
        <w:rPr>
          <w:szCs w:val="24"/>
        </w:rPr>
        <w:t xml:space="preserve"> Agreement’s housing and employment services requirements since March 2015.</w:t>
      </w:r>
      <w:r w:rsidR="00A54BA4">
        <w:rPr>
          <w:szCs w:val="24"/>
        </w:rPr>
        <w:t xml:space="preserve"> </w:t>
      </w:r>
      <w:r w:rsidR="004E7ED0">
        <w:rPr>
          <w:szCs w:val="24"/>
        </w:rPr>
        <w:t xml:space="preserve">Letter </w:t>
      </w:r>
      <w:r w:rsidR="004E7ED0">
        <w:rPr>
          <w:szCs w:val="24"/>
        </w:rPr>
        <w:lastRenderedPageBreak/>
        <w:t>fr</w:t>
      </w:r>
      <w:r w:rsidR="003071CA">
        <w:rPr>
          <w:szCs w:val="24"/>
        </w:rPr>
        <w:t>om</w:t>
      </w:r>
      <w:r w:rsidR="004E7ED0">
        <w:rPr>
          <w:szCs w:val="24"/>
        </w:rPr>
        <w:t xml:space="preserve"> U.S. DOJ to State, Mar. 17, 2015, D.E. 15-10</w:t>
      </w:r>
      <w:r w:rsidR="00A54BA4">
        <w:rPr>
          <w:szCs w:val="24"/>
        </w:rPr>
        <w:t>.</w:t>
      </w:r>
      <w:r w:rsidR="00076F2E">
        <w:rPr>
          <w:szCs w:val="24"/>
        </w:rPr>
        <w:t xml:space="preserve"> </w:t>
      </w:r>
      <w:r w:rsidR="00A37DC5">
        <w:rPr>
          <w:szCs w:val="24"/>
        </w:rPr>
        <w:t>After months of</w:t>
      </w:r>
      <w:r w:rsidR="00EC3278">
        <w:rPr>
          <w:szCs w:val="24"/>
        </w:rPr>
        <w:t xml:space="preserve"> frustrated negotiations</w:t>
      </w:r>
      <w:r w:rsidR="00A37DC5">
        <w:rPr>
          <w:szCs w:val="24"/>
        </w:rPr>
        <w:t>, the United States trigger</w:t>
      </w:r>
      <w:r>
        <w:rPr>
          <w:szCs w:val="24"/>
        </w:rPr>
        <w:t xml:space="preserve">ed the Agreement’s </w:t>
      </w:r>
      <w:r w:rsidR="00A37DC5">
        <w:rPr>
          <w:szCs w:val="24"/>
        </w:rPr>
        <w:t xml:space="preserve">dispute resolution requirements by formally requesting a corrective action plan </w:t>
      </w:r>
      <w:r w:rsidR="007270E4">
        <w:rPr>
          <w:szCs w:val="24"/>
        </w:rPr>
        <w:t>under</w:t>
      </w:r>
      <w:r w:rsidR="00F902F4">
        <w:rPr>
          <w:szCs w:val="24"/>
        </w:rPr>
        <w:t xml:space="preserve"> s</w:t>
      </w:r>
      <w:r w:rsidR="00A54BA4">
        <w:rPr>
          <w:szCs w:val="24"/>
        </w:rPr>
        <w:t>ection V(F).</w:t>
      </w:r>
      <w:r w:rsidR="00BB25AB">
        <w:rPr>
          <w:szCs w:val="24"/>
        </w:rPr>
        <w:t xml:space="preserve"> Letter fr</w:t>
      </w:r>
      <w:r w:rsidR="003071CA">
        <w:rPr>
          <w:szCs w:val="24"/>
        </w:rPr>
        <w:t>om</w:t>
      </w:r>
      <w:r w:rsidR="00A37DC5">
        <w:rPr>
          <w:szCs w:val="24"/>
        </w:rPr>
        <w:t xml:space="preserve"> </w:t>
      </w:r>
      <w:r w:rsidR="000F7C51">
        <w:rPr>
          <w:szCs w:val="24"/>
        </w:rPr>
        <w:t xml:space="preserve">U.S. DOJ to State, Nov. 6, 2015, </w:t>
      </w:r>
      <w:r w:rsidR="00A37DC5">
        <w:rPr>
          <w:szCs w:val="24"/>
        </w:rPr>
        <w:t>D.E. 15-15.</w:t>
      </w:r>
      <w:r w:rsidR="00A54BA4">
        <w:rPr>
          <w:szCs w:val="24"/>
        </w:rPr>
        <w:t xml:space="preserve"> </w:t>
      </w:r>
      <w:r w:rsidR="00076F2E">
        <w:rPr>
          <w:szCs w:val="24"/>
        </w:rPr>
        <w:t>T</w:t>
      </w:r>
      <w:r w:rsidR="00A37DC5">
        <w:rPr>
          <w:szCs w:val="24"/>
        </w:rPr>
        <w:t>he State</w:t>
      </w:r>
      <w:r w:rsidR="00381A53">
        <w:rPr>
          <w:szCs w:val="24"/>
        </w:rPr>
        <w:t xml:space="preserve"> produced a </w:t>
      </w:r>
      <w:r w:rsidR="00A37DC5">
        <w:rPr>
          <w:szCs w:val="24"/>
        </w:rPr>
        <w:t xml:space="preserve">plan </w:t>
      </w:r>
      <w:r w:rsidR="00076F2E">
        <w:rPr>
          <w:szCs w:val="24"/>
        </w:rPr>
        <w:t>in re</w:t>
      </w:r>
      <w:r w:rsidR="00A93FA7">
        <w:rPr>
          <w:szCs w:val="24"/>
        </w:rPr>
        <w:t>s</w:t>
      </w:r>
      <w:r w:rsidR="00076F2E">
        <w:rPr>
          <w:szCs w:val="24"/>
        </w:rPr>
        <w:t>ponse.</w:t>
      </w:r>
      <w:r w:rsidR="00A54BA4">
        <w:rPr>
          <w:szCs w:val="24"/>
        </w:rPr>
        <w:t xml:space="preserve"> </w:t>
      </w:r>
      <w:r w:rsidR="00381A53">
        <w:rPr>
          <w:szCs w:val="24"/>
        </w:rPr>
        <w:t xml:space="preserve">Because </w:t>
      </w:r>
      <w:r w:rsidR="00957A76">
        <w:rPr>
          <w:szCs w:val="24"/>
        </w:rPr>
        <w:t>the propos</w:t>
      </w:r>
      <w:r w:rsidR="00B5147F">
        <w:rPr>
          <w:szCs w:val="24"/>
        </w:rPr>
        <w:t>ed plan</w:t>
      </w:r>
      <w:r w:rsidR="00076F2E">
        <w:rPr>
          <w:szCs w:val="24"/>
        </w:rPr>
        <w:t xml:space="preserve"> </w:t>
      </w:r>
      <w:r w:rsidR="00A37DC5">
        <w:rPr>
          <w:szCs w:val="24"/>
        </w:rPr>
        <w:t xml:space="preserve">contained no specific steps tied to </w:t>
      </w:r>
      <w:r w:rsidR="000F7C51">
        <w:rPr>
          <w:szCs w:val="24"/>
        </w:rPr>
        <w:t xml:space="preserve">satisfying </w:t>
      </w:r>
      <w:r w:rsidR="00EC3278">
        <w:rPr>
          <w:szCs w:val="24"/>
        </w:rPr>
        <w:t xml:space="preserve">the requirements </w:t>
      </w:r>
      <w:r w:rsidR="000F7C51">
        <w:rPr>
          <w:szCs w:val="24"/>
        </w:rPr>
        <w:t xml:space="preserve">of </w:t>
      </w:r>
      <w:r w:rsidR="00EC3278">
        <w:rPr>
          <w:szCs w:val="24"/>
        </w:rPr>
        <w:t>s</w:t>
      </w:r>
      <w:r w:rsidR="00A37DC5">
        <w:rPr>
          <w:szCs w:val="24"/>
        </w:rPr>
        <w:t>ections III(B)(3) and III(D)(3), the United States counter-proposed a different curative action</w:t>
      </w:r>
      <w:r>
        <w:rPr>
          <w:szCs w:val="24"/>
        </w:rPr>
        <w:t>.</w:t>
      </w:r>
      <w:r w:rsidR="00BB25AB">
        <w:rPr>
          <w:szCs w:val="24"/>
        </w:rPr>
        <w:t xml:space="preserve"> Letter fr</w:t>
      </w:r>
      <w:r w:rsidR="00F25572">
        <w:rPr>
          <w:szCs w:val="24"/>
        </w:rPr>
        <w:t>om</w:t>
      </w:r>
      <w:r w:rsidR="00A37DC5">
        <w:rPr>
          <w:szCs w:val="24"/>
        </w:rPr>
        <w:t xml:space="preserve"> </w:t>
      </w:r>
      <w:r w:rsidR="000F7C51">
        <w:rPr>
          <w:szCs w:val="24"/>
        </w:rPr>
        <w:t xml:space="preserve">U.S. DOJ to State, </w:t>
      </w:r>
      <w:r w:rsidR="00A37DC5">
        <w:rPr>
          <w:szCs w:val="24"/>
        </w:rPr>
        <w:t xml:space="preserve">Mar. </w:t>
      </w:r>
      <w:r w:rsidR="000F7C51">
        <w:rPr>
          <w:szCs w:val="24"/>
        </w:rPr>
        <w:t>24, 2016</w:t>
      </w:r>
      <w:r w:rsidR="00A37DC5">
        <w:rPr>
          <w:szCs w:val="24"/>
        </w:rPr>
        <w:t>, D.E. 15-17.</w:t>
      </w:r>
      <w:r w:rsidR="000F7C51">
        <w:rPr>
          <w:szCs w:val="24"/>
        </w:rPr>
        <w:t xml:space="preserve"> </w:t>
      </w:r>
      <w:r w:rsidR="00F443B4">
        <w:t xml:space="preserve">The United States’ counterproposal </w:t>
      </w:r>
      <w:r w:rsidR="00B5147F">
        <w:t>me</w:t>
      </w:r>
      <w:r w:rsidR="000F7C51">
        <w:t xml:space="preserve">t section V(G)’s </w:t>
      </w:r>
      <w:r w:rsidR="00B5147F">
        <w:t xml:space="preserve">minimal </w:t>
      </w:r>
      <w:r w:rsidR="000F7C51">
        <w:t>requirements</w:t>
      </w:r>
      <w:r w:rsidR="00F443B4">
        <w:t>.</w:t>
      </w:r>
      <w:r w:rsidR="00EC06A9">
        <w:t xml:space="preserve">  </w:t>
      </w:r>
    </w:p>
    <w:p w:rsidR="00D17409" w:rsidRDefault="00062970">
      <w:pPr>
        <w:widowControl w:val="0"/>
        <w:spacing w:line="480" w:lineRule="auto"/>
        <w:ind w:firstLine="720"/>
        <w:jc w:val="both"/>
        <w:rPr>
          <w:szCs w:val="24"/>
        </w:rPr>
      </w:pPr>
      <w:r>
        <w:rPr>
          <w:szCs w:val="24"/>
        </w:rPr>
        <w:t xml:space="preserve">After </w:t>
      </w:r>
      <w:r w:rsidR="00076F2E">
        <w:rPr>
          <w:szCs w:val="24"/>
        </w:rPr>
        <w:t xml:space="preserve">several </w:t>
      </w:r>
      <w:r w:rsidR="009048F8">
        <w:rPr>
          <w:szCs w:val="24"/>
        </w:rPr>
        <w:t xml:space="preserve">communications and </w:t>
      </w:r>
      <w:r w:rsidR="00E0729E">
        <w:rPr>
          <w:szCs w:val="24"/>
        </w:rPr>
        <w:t xml:space="preserve">meetings with the State and the Independent Reviewer </w:t>
      </w:r>
      <w:r w:rsidR="00B86FB0">
        <w:rPr>
          <w:szCs w:val="24"/>
        </w:rPr>
        <w:t xml:space="preserve">in </w:t>
      </w:r>
      <w:r w:rsidR="00416609">
        <w:rPr>
          <w:szCs w:val="24"/>
        </w:rPr>
        <w:t xml:space="preserve">2015 and </w:t>
      </w:r>
      <w:r w:rsidR="00E0729E">
        <w:rPr>
          <w:szCs w:val="24"/>
        </w:rPr>
        <w:t>2016, t</w:t>
      </w:r>
      <w:r w:rsidR="00A37DC5">
        <w:rPr>
          <w:szCs w:val="24"/>
        </w:rPr>
        <w:t xml:space="preserve">he United States </w:t>
      </w:r>
      <w:r w:rsidR="00E0729E">
        <w:rPr>
          <w:szCs w:val="24"/>
        </w:rPr>
        <w:t>r</w:t>
      </w:r>
      <w:r w:rsidR="00A37DC5">
        <w:rPr>
          <w:szCs w:val="24"/>
        </w:rPr>
        <w:t>easonably conclud</w:t>
      </w:r>
      <w:r w:rsidR="00E0729E">
        <w:rPr>
          <w:szCs w:val="24"/>
        </w:rPr>
        <w:t>ed</w:t>
      </w:r>
      <w:r w:rsidR="00A37DC5">
        <w:rPr>
          <w:szCs w:val="24"/>
        </w:rPr>
        <w:t xml:space="preserve"> that</w:t>
      </w:r>
      <w:r w:rsidR="00405F7F">
        <w:rPr>
          <w:szCs w:val="24"/>
        </w:rPr>
        <w:t xml:space="preserve"> the parties would not </w:t>
      </w:r>
      <w:r w:rsidR="00A37DC5">
        <w:rPr>
          <w:szCs w:val="24"/>
        </w:rPr>
        <w:t>reach agreement on a curative action</w:t>
      </w:r>
      <w:r w:rsidR="00EC06A9">
        <w:rPr>
          <w:szCs w:val="24"/>
        </w:rPr>
        <w:t xml:space="preserve"> and</w:t>
      </w:r>
      <w:r w:rsidR="00405F7F">
        <w:rPr>
          <w:szCs w:val="24"/>
        </w:rPr>
        <w:t xml:space="preserve"> </w:t>
      </w:r>
      <w:r w:rsidR="00A37DC5">
        <w:rPr>
          <w:szCs w:val="24"/>
        </w:rPr>
        <w:t>sought a</w:t>
      </w:r>
      <w:r w:rsidR="00AA7C83">
        <w:rPr>
          <w:szCs w:val="24"/>
        </w:rPr>
        <w:t xml:space="preserve"> </w:t>
      </w:r>
      <w:r w:rsidR="00A37DC5">
        <w:rPr>
          <w:szCs w:val="24"/>
        </w:rPr>
        <w:t>judicial remedy</w:t>
      </w:r>
      <w:r w:rsidR="00A23D2F">
        <w:rPr>
          <w:szCs w:val="24"/>
        </w:rPr>
        <w:t xml:space="preserve"> under s</w:t>
      </w:r>
      <w:r w:rsidR="00EC06A9">
        <w:rPr>
          <w:szCs w:val="24"/>
        </w:rPr>
        <w:t xml:space="preserve">ection V(G). </w:t>
      </w:r>
      <w:r w:rsidR="00A37DC5">
        <w:rPr>
          <w:szCs w:val="24"/>
        </w:rPr>
        <w:t xml:space="preserve"> </w:t>
      </w:r>
      <w:r w:rsidR="00EC06A9">
        <w:rPr>
          <w:szCs w:val="24"/>
        </w:rPr>
        <w:t xml:space="preserve"> </w:t>
      </w:r>
    </w:p>
    <w:p w:rsidR="00A37DC5" w:rsidRPr="00BC43DA" w:rsidRDefault="008B6609" w:rsidP="00850B36">
      <w:pPr>
        <w:pStyle w:val="ListParagraph"/>
        <w:widowControl w:val="0"/>
        <w:numPr>
          <w:ilvl w:val="0"/>
          <w:numId w:val="3"/>
        </w:numPr>
        <w:rPr>
          <w:b/>
        </w:rPr>
      </w:pPr>
      <w:r w:rsidRPr="00BC43DA">
        <w:rPr>
          <w:b/>
        </w:rPr>
        <w:t xml:space="preserve">THE STATE MISCONSTRUES THE AGREEMENT’S </w:t>
      </w:r>
      <w:r w:rsidR="00F618DE">
        <w:rPr>
          <w:b/>
        </w:rPr>
        <w:t xml:space="preserve">SUPPORTED </w:t>
      </w:r>
      <w:r w:rsidRPr="00BC43DA">
        <w:rPr>
          <w:b/>
        </w:rPr>
        <w:t>HOUSING</w:t>
      </w:r>
      <w:r w:rsidR="008E32E9">
        <w:rPr>
          <w:b/>
        </w:rPr>
        <w:t xml:space="preserve"> </w:t>
      </w:r>
      <w:r w:rsidRPr="00BC43DA">
        <w:rPr>
          <w:b/>
        </w:rPr>
        <w:t>REQUIREMENTS.</w:t>
      </w:r>
    </w:p>
    <w:p w:rsidR="00A37DC5" w:rsidRPr="00EE406C" w:rsidRDefault="00A37DC5">
      <w:pPr>
        <w:widowControl w:val="0"/>
        <w:jc w:val="both"/>
        <w:rPr>
          <w:sz w:val="16"/>
          <w:szCs w:val="16"/>
        </w:rPr>
      </w:pPr>
    </w:p>
    <w:p w:rsidR="00DF0C73" w:rsidRDefault="00450090" w:rsidP="00850B36">
      <w:pPr>
        <w:widowControl w:val="0"/>
        <w:spacing w:line="480" w:lineRule="auto"/>
        <w:jc w:val="both"/>
      </w:pPr>
      <w:r>
        <w:t xml:space="preserve"> </w:t>
      </w:r>
      <w:r>
        <w:tab/>
      </w:r>
      <w:r w:rsidR="009C3883">
        <w:t xml:space="preserve">North Carolina argues that individuals who have vacated their Housing Slots—including those who have returned to adult care homes or other segregated settings—count toward satisfying the State’s supported housing obligation. </w:t>
      </w:r>
      <w:r w:rsidR="00BB5E4D">
        <w:t>If adopted, this</w:t>
      </w:r>
      <w:r w:rsidR="006A4D1F">
        <w:t xml:space="preserve"> </w:t>
      </w:r>
      <w:r w:rsidR="002B3A4E">
        <w:t>interpretation</w:t>
      </w:r>
      <w:r w:rsidR="00BB5E4D">
        <w:t xml:space="preserve"> </w:t>
      </w:r>
      <w:r w:rsidR="00A54BA4">
        <w:t xml:space="preserve">would undermine </w:t>
      </w:r>
      <w:r w:rsidR="00BB5E4D">
        <w:t>a</w:t>
      </w:r>
      <w:r w:rsidR="006A4D1F">
        <w:t xml:space="preserve"> core purpose of the Agreement: </w:t>
      </w:r>
      <w:r w:rsidR="00EE1DB9">
        <w:t xml:space="preserve">to </w:t>
      </w:r>
      <w:r w:rsidR="0069566E">
        <w:t xml:space="preserve">provide </w:t>
      </w:r>
      <w:r w:rsidR="00EE1DB9">
        <w:t>community integration by expanding the State’s systemic capacity to provid</w:t>
      </w:r>
      <w:r w:rsidR="00A54BA4">
        <w:t xml:space="preserve">e permanent supported housing. </w:t>
      </w:r>
      <w:r w:rsidR="003E32EF">
        <w:t xml:space="preserve">The United States’ </w:t>
      </w:r>
      <w:r w:rsidR="002B3A4E">
        <w:t>interpretation</w:t>
      </w:r>
      <w:r w:rsidR="003E32EF">
        <w:t>, that only occupied Housing Slots count</w:t>
      </w:r>
      <w:r w:rsidR="000B46FA">
        <w:t xml:space="preserve"> toward compliance</w:t>
      </w:r>
      <w:r w:rsidR="003E32EF">
        <w:t>, effectuates this purpose</w:t>
      </w:r>
      <w:r w:rsidR="00753375">
        <w:t>.</w:t>
      </w:r>
      <w:r w:rsidR="005F64C2">
        <w:t xml:space="preserve"> </w:t>
      </w:r>
      <w:r w:rsidR="006A4D1F">
        <w:t xml:space="preserve">The </w:t>
      </w:r>
      <w:r>
        <w:t xml:space="preserve">State’s </w:t>
      </w:r>
      <w:r w:rsidR="003E32EF">
        <w:t xml:space="preserve">reliance </w:t>
      </w:r>
      <w:r w:rsidR="006A4D1F">
        <w:t xml:space="preserve">on </w:t>
      </w:r>
      <w:r w:rsidR="00C92950">
        <w:t>section III</w:t>
      </w:r>
      <w:r>
        <w:t xml:space="preserve">(C)(9) </w:t>
      </w:r>
      <w:r w:rsidR="006A4D1F">
        <w:t>to rebut this interpre</w:t>
      </w:r>
      <w:r w:rsidR="008D77D4">
        <w:t>t</w:t>
      </w:r>
      <w:r w:rsidR="006A4D1F">
        <w:t xml:space="preserve">ation is </w:t>
      </w:r>
      <w:r w:rsidR="00A54BA4">
        <w:t xml:space="preserve">unavailing. </w:t>
      </w:r>
      <w:r w:rsidR="003E32EF">
        <w:t>And, e</w:t>
      </w:r>
      <w:r>
        <w:t xml:space="preserve">ven assuming that </w:t>
      </w:r>
      <w:r w:rsidR="00C92950">
        <w:t xml:space="preserve">the Agreement is ambiguous, </w:t>
      </w:r>
      <w:r w:rsidR="00A6797A">
        <w:t xml:space="preserve">which it is not, </w:t>
      </w:r>
      <w:r w:rsidR="003E32EF">
        <w:t xml:space="preserve">the </w:t>
      </w:r>
      <w:r w:rsidR="007E6AC5">
        <w:t xml:space="preserve">Court should disregard the State’s conclusory, post-hoc affidavits. The </w:t>
      </w:r>
      <w:r w:rsidR="003E32EF">
        <w:t xml:space="preserve">most persuasive </w:t>
      </w:r>
      <w:r w:rsidR="00C92950">
        <w:t>extrinsic evidence</w:t>
      </w:r>
      <w:r w:rsidR="004134F6">
        <w:t>—t</w:t>
      </w:r>
      <w:r w:rsidR="007E6AC5">
        <w:t>he State’</w:t>
      </w:r>
      <w:r w:rsidR="004134F6">
        <w:t>s own prior conduct—s</w:t>
      </w:r>
      <w:r w:rsidR="00C92950">
        <w:t xml:space="preserve">upports </w:t>
      </w:r>
      <w:r w:rsidR="00777ADC">
        <w:t>counting only</w:t>
      </w:r>
      <w:r w:rsidR="00A6797A">
        <w:t xml:space="preserve"> </w:t>
      </w:r>
      <w:r w:rsidR="00AA02C7">
        <w:t>occupied</w:t>
      </w:r>
      <w:r w:rsidR="00060B60">
        <w:t xml:space="preserve"> Housing S</w:t>
      </w:r>
      <w:r w:rsidR="00A6797A">
        <w:t>lots</w:t>
      </w:r>
      <w:r w:rsidR="00C92950">
        <w:t xml:space="preserve">.  </w:t>
      </w:r>
    </w:p>
    <w:p w:rsidR="00317825" w:rsidRDefault="00317825">
      <w:pPr>
        <w:rPr>
          <w:b/>
        </w:rPr>
      </w:pPr>
      <w:r>
        <w:rPr>
          <w:b/>
        </w:rPr>
        <w:br w:type="page"/>
      </w:r>
    </w:p>
    <w:p w:rsidR="00A37DC5" w:rsidRPr="00BC43DA" w:rsidRDefault="00F443B4">
      <w:pPr>
        <w:pStyle w:val="ListParagraph"/>
        <w:widowControl w:val="0"/>
        <w:numPr>
          <w:ilvl w:val="0"/>
          <w:numId w:val="7"/>
        </w:numPr>
        <w:jc w:val="both"/>
        <w:rPr>
          <w:b/>
        </w:rPr>
      </w:pPr>
      <w:r>
        <w:rPr>
          <w:b/>
        </w:rPr>
        <w:lastRenderedPageBreak/>
        <w:t>The Agreement</w:t>
      </w:r>
      <w:r w:rsidR="00BB5E4D">
        <w:rPr>
          <w:b/>
        </w:rPr>
        <w:t xml:space="preserve"> </w:t>
      </w:r>
      <w:r w:rsidR="002B3A4E">
        <w:rPr>
          <w:b/>
        </w:rPr>
        <w:t xml:space="preserve">is </w:t>
      </w:r>
      <w:r w:rsidR="00A54BA4">
        <w:rPr>
          <w:b/>
        </w:rPr>
        <w:t>Unambiguous</w:t>
      </w:r>
      <w:r w:rsidR="002B3A4E">
        <w:rPr>
          <w:b/>
        </w:rPr>
        <w:t xml:space="preserve"> that </w:t>
      </w:r>
      <w:r w:rsidR="00D705FE">
        <w:rPr>
          <w:b/>
        </w:rPr>
        <w:t>Only Occupied Housing Slots</w:t>
      </w:r>
      <w:r w:rsidR="002B3A4E">
        <w:rPr>
          <w:b/>
        </w:rPr>
        <w:t xml:space="preserve"> Count </w:t>
      </w:r>
      <w:r w:rsidR="00221AEE">
        <w:rPr>
          <w:b/>
        </w:rPr>
        <w:t>T</w:t>
      </w:r>
      <w:r w:rsidR="002B3A4E">
        <w:rPr>
          <w:b/>
        </w:rPr>
        <w:t>oward Compliance</w:t>
      </w:r>
      <w:r>
        <w:rPr>
          <w:b/>
        </w:rPr>
        <w:t>.</w:t>
      </w:r>
    </w:p>
    <w:p w:rsidR="00A37DC5" w:rsidRPr="00EE406C" w:rsidRDefault="00A37DC5">
      <w:pPr>
        <w:widowControl w:val="0"/>
        <w:jc w:val="both"/>
        <w:rPr>
          <w:sz w:val="16"/>
          <w:szCs w:val="16"/>
        </w:rPr>
      </w:pPr>
    </w:p>
    <w:p w:rsidR="00A37DC5" w:rsidRPr="004E25B2" w:rsidRDefault="004134F6">
      <w:pPr>
        <w:pStyle w:val="ListParagraph"/>
        <w:widowControl w:val="0"/>
        <w:numPr>
          <w:ilvl w:val="0"/>
          <w:numId w:val="8"/>
        </w:numPr>
        <w:jc w:val="both"/>
        <w:rPr>
          <w:b/>
          <w:i/>
        </w:rPr>
      </w:pPr>
      <w:r>
        <w:rPr>
          <w:b/>
          <w:i/>
        </w:rPr>
        <w:t>Including</w:t>
      </w:r>
      <w:r w:rsidR="00D705FE">
        <w:rPr>
          <w:b/>
          <w:i/>
        </w:rPr>
        <w:t xml:space="preserve"> </w:t>
      </w:r>
      <w:r w:rsidR="00EA24CC">
        <w:rPr>
          <w:b/>
          <w:i/>
        </w:rPr>
        <w:t>Individuals Who Have Vacated Their Housing</w:t>
      </w:r>
      <w:r w:rsidR="00D705FE">
        <w:rPr>
          <w:b/>
          <w:i/>
        </w:rPr>
        <w:t xml:space="preserve"> Slot</w:t>
      </w:r>
      <w:r w:rsidR="00EA24CC">
        <w:rPr>
          <w:b/>
          <w:i/>
        </w:rPr>
        <w:t>s</w:t>
      </w:r>
      <w:r w:rsidR="00D705FE">
        <w:rPr>
          <w:b/>
          <w:i/>
        </w:rPr>
        <w:t xml:space="preserve"> </w:t>
      </w:r>
      <w:r>
        <w:rPr>
          <w:b/>
          <w:i/>
        </w:rPr>
        <w:t xml:space="preserve">in Measuring Compliance </w:t>
      </w:r>
      <w:r w:rsidR="00D705FE">
        <w:rPr>
          <w:b/>
          <w:i/>
        </w:rPr>
        <w:t>Undermine</w:t>
      </w:r>
      <w:r w:rsidR="00EA24CC">
        <w:rPr>
          <w:b/>
          <w:i/>
        </w:rPr>
        <w:t>s</w:t>
      </w:r>
      <w:r w:rsidR="00D705FE">
        <w:rPr>
          <w:b/>
          <w:i/>
        </w:rPr>
        <w:t xml:space="preserve"> the</w:t>
      </w:r>
      <w:r w:rsidR="00D30A11" w:rsidRPr="004E25B2">
        <w:rPr>
          <w:b/>
          <w:i/>
        </w:rPr>
        <w:t xml:space="preserve"> Agreement’s Purpose.</w:t>
      </w:r>
    </w:p>
    <w:p w:rsidR="00204B4C" w:rsidRPr="00EE406C" w:rsidRDefault="00204B4C">
      <w:pPr>
        <w:widowControl w:val="0"/>
        <w:jc w:val="both"/>
        <w:rPr>
          <w:sz w:val="16"/>
          <w:szCs w:val="16"/>
        </w:rPr>
      </w:pPr>
    </w:p>
    <w:p w:rsidR="00D33D6F" w:rsidRPr="006B3FE5" w:rsidRDefault="006B3FE5">
      <w:pPr>
        <w:widowControl w:val="0"/>
        <w:spacing w:line="480" w:lineRule="auto"/>
        <w:jc w:val="both"/>
      </w:pPr>
      <w:r>
        <w:tab/>
        <w:t xml:space="preserve">The State argues that </w:t>
      </w:r>
      <w:r w:rsidR="004134F6">
        <w:t xml:space="preserve">including </w:t>
      </w:r>
      <w:r>
        <w:t xml:space="preserve">individuals who have vacated their Housing Slots </w:t>
      </w:r>
      <w:r w:rsidR="004134F6">
        <w:t xml:space="preserve">in measuring compliance with section III(B)(3) </w:t>
      </w:r>
      <w:r>
        <w:t>is consistent with the Agreement’s plain meaning. Def.’s Opp’n 12</w:t>
      </w:r>
      <w:r w:rsidR="00353607">
        <w:t>–</w:t>
      </w:r>
      <w:r>
        <w:t>1</w:t>
      </w:r>
      <w:r w:rsidR="005E00CC">
        <w:t>5</w:t>
      </w:r>
      <w:r>
        <w:t>.</w:t>
      </w:r>
      <w:r w:rsidR="00894DF4">
        <w:t xml:space="preserve"> </w:t>
      </w:r>
      <w:r w:rsidR="00A6797A">
        <w:t xml:space="preserve">The Court should reject </w:t>
      </w:r>
      <w:r w:rsidR="002B3A4E">
        <w:t>this interpreta</w:t>
      </w:r>
      <w:r>
        <w:t>tion because, “</w:t>
      </w:r>
      <w:r w:rsidRPr="0089053E">
        <w:rPr>
          <w:rFonts w:eastAsia="Times New Roman"/>
          <w:szCs w:val="24"/>
        </w:rPr>
        <w:t>taken to its logical extreme, it could defeat the expre</w:t>
      </w:r>
      <w:r>
        <w:rPr>
          <w:rFonts w:eastAsia="Times New Roman"/>
          <w:szCs w:val="24"/>
        </w:rPr>
        <w:t>ss purpose of the [Agreement]</w:t>
      </w:r>
      <w:r w:rsidRPr="0089053E">
        <w:rPr>
          <w:rFonts w:eastAsia="Times New Roman"/>
          <w:szCs w:val="24"/>
        </w:rPr>
        <w:t>.</w:t>
      </w:r>
      <w:r>
        <w:rPr>
          <w:rFonts w:eastAsia="Times New Roman"/>
          <w:szCs w:val="24"/>
        </w:rPr>
        <w:t xml:space="preserve">” </w:t>
      </w:r>
      <w:r w:rsidR="00D34394">
        <w:rPr>
          <w:rFonts w:eastAsia="Times New Roman"/>
          <w:i/>
          <w:szCs w:val="24"/>
        </w:rPr>
        <w:t xml:space="preserve">See </w:t>
      </w:r>
      <w:r w:rsidR="00A6797A">
        <w:rPr>
          <w:rFonts w:eastAsia="Times New Roman"/>
          <w:i/>
          <w:szCs w:val="24"/>
        </w:rPr>
        <w:t xml:space="preserve">State v. Phillip Morris USA Inc., </w:t>
      </w:r>
      <w:r w:rsidR="00A6797A" w:rsidRPr="0089053E">
        <w:rPr>
          <w:rFonts w:eastAsia="Times New Roman"/>
          <w:szCs w:val="24"/>
        </w:rPr>
        <w:t>359 N.C. 763, 779, 618 S.E.2d 219, 229 (2005)</w:t>
      </w:r>
      <w:r>
        <w:rPr>
          <w:rFonts w:eastAsia="Times New Roman"/>
          <w:szCs w:val="24"/>
        </w:rPr>
        <w:t>.</w:t>
      </w:r>
    </w:p>
    <w:p w:rsidR="0022609E" w:rsidRDefault="00D33D6F">
      <w:pPr>
        <w:widowControl w:val="0"/>
        <w:spacing w:line="480" w:lineRule="auto"/>
        <w:jc w:val="both"/>
      </w:pPr>
      <w:r>
        <w:tab/>
        <w:t>T</w:t>
      </w:r>
      <w:r w:rsidR="00C135B7">
        <w:t>he Agreement resolve</w:t>
      </w:r>
      <w:r w:rsidR="00C438F2">
        <w:t>d</w:t>
      </w:r>
      <w:r w:rsidR="00C135B7">
        <w:t xml:space="preserve"> the United States’ </w:t>
      </w:r>
      <w:r w:rsidR="00D705FE">
        <w:t>f</w:t>
      </w:r>
      <w:r w:rsidR="008D77D4">
        <w:t>inding</w:t>
      </w:r>
      <w:r w:rsidR="00C135B7">
        <w:t xml:space="preserve"> that </w:t>
      </w:r>
      <w:r w:rsidR="0069566E">
        <w:t>thousands of</w:t>
      </w:r>
      <w:r w:rsidR="00F10EDB">
        <w:t xml:space="preserve"> North Carolinians with mental illness </w:t>
      </w:r>
      <w:r w:rsidR="0069566E">
        <w:t>were unnecessarily institutionalized in</w:t>
      </w:r>
      <w:r w:rsidR="00F10EDB">
        <w:t xml:space="preserve"> adult care homes </w:t>
      </w:r>
      <w:r w:rsidR="0069566E">
        <w:t>in violation of</w:t>
      </w:r>
      <w:r w:rsidR="00C135B7">
        <w:t xml:space="preserve"> </w:t>
      </w:r>
      <w:r w:rsidR="00B36E66">
        <w:t xml:space="preserve">title </w:t>
      </w:r>
      <w:r w:rsidR="00932080">
        <w:t xml:space="preserve">II of the </w:t>
      </w:r>
      <w:r w:rsidR="00C135B7">
        <w:t>ADA</w:t>
      </w:r>
      <w:r w:rsidR="00A31C04">
        <w:t>.</w:t>
      </w:r>
      <w:r w:rsidR="00C135B7">
        <w:t xml:space="preserve"> </w:t>
      </w:r>
      <w:r w:rsidR="00B36E66">
        <w:rPr>
          <w:szCs w:val="24"/>
        </w:rPr>
        <w:t>S.A. § I(B)</w:t>
      </w:r>
      <w:r w:rsidR="00B36E66">
        <w:t xml:space="preserve">; Letter of Findings 1–2, </w:t>
      </w:r>
      <w:r w:rsidR="009C3883">
        <w:t xml:space="preserve">5, </w:t>
      </w:r>
      <w:r w:rsidR="00B36E66">
        <w:t xml:space="preserve">D.E. 15-3. </w:t>
      </w:r>
      <w:r w:rsidR="00CE01A6">
        <w:t xml:space="preserve">The findings included in part </w:t>
      </w:r>
      <w:r w:rsidR="00B36E66">
        <w:t xml:space="preserve">that the State </w:t>
      </w:r>
      <w:r w:rsidR="00CE01A6">
        <w:t xml:space="preserve">had </w:t>
      </w:r>
      <w:r w:rsidR="00B36E66">
        <w:t xml:space="preserve">failed </w:t>
      </w:r>
      <w:r w:rsidR="0049292E">
        <w:t xml:space="preserve">to develop sufficient capacity to provide supported housing to individuals with mental illness in or at risk of entry to adult care homes. </w:t>
      </w:r>
      <w:r w:rsidR="00C135B7">
        <w:t>Letter of</w:t>
      </w:r>
      <w:r w:rsidR="00525391">
        <w:t xml:space="preserve"> Findings </w:t>
      </w:r>
      <w:r w:rsidR="009C3883">
        <w:t xml:space="preserve">2, </w:t>
      </w:r>
      <w:r w:rsidR="002E4C5C">
        <w:t>11</w:t>
      </w:r>
      <w:r w:rsidR="00C135B7">
        <w:t xml:space="preserve">, </w:t>
      </w:r>
      <w:r w:rsidR="002E4C5C">
        <w:t>13–</w:t>
      </w:r>
      <w:r w:rsidR="00C135B7">
        <w:t>14.</w:t>
      </w:r>
      <w:r>
        <w:t xml:space="preserve"> </w:t>
      </w:r>
    </w:p>
    <w:p w:rsidR="001E2E87" w:rsidRDefault="0089299C" w:rsidP="0022609E">
      <w:pPr>
        <w:widowControl w:val="0"/>
        <w:spacing w:line="480" w:lineRule="auto"/>
        <w:ind w:firstLine="720"/>
        <w:jc w:val="both"/>
      </w:pPr>
      <w:r>
        <w:t>T</w:t>
      </w:r>
      <w:r w:rsidR="00C438F2">
        <w:t>o effectuate the Agreement’s purpose of achieving community integration</w:t>
      </w:r>
      <w:r w:rsidR="00F705B2">
        <w:t>, consistent with the ADA</w:t>
      </w:r>
      <w:r w:rsidR="00C438F2">
        <w:t xml:space="preserve">, </w:t>
      </w:r>
      <w:r w:rsidR="00D519F4">
        <w:t xml:space="preserve">the State </w:t>
      </w:r>
      <w:r w:rsidR="00C135B7">
        <w:t>agreed</w:t>
      </w:r>
      <w:r w:rsidR="005C41A5">
        <w:t xml:space="preserve"> </w:t>
      </w:r>
      <w:r w:rsidR="00C135B7">
        <w:t>to expand its capacity to prov</w:t>
      </w:r>
      <w:r w:rsidR="00450090">
        <w:t>i</w:t>
      </w:r>
      <w:r w:rsidR="00C438F2">
        <w:t>de permanent supported housing</w:t>
      </w:r>
      <w:r w:rsidR="00AA02C7">
        <w:t xml:space="preserve"> as a meaningful alternative to adult care homes</w:t>
      </w:r>
      <w:r w:rsidR="00C438F2">
        <w:t xml:space="preserve">. </w:t>
      </w:r>
      <w:r w:rsidR="00C135B7">
        <w:rPr>
          <w:i/>
        </w:rPr>
        <w:t xml:space="preserve">See </w:t>
      </w:r>
      <w:r w:rsidR="00C135B7">
        <w:t xml:space="preserve">S.A. §§ I(C), </w:t>
      </w:r>
      <w:r w:rsidR="00937421">
        <w:t xml:space="preserve">III(B), </w:t>
      </w:r>
      <w:r w:rsidR="002E4C5C">
        <w:t xml:space="preserve">III(G)(1), </w:t>
      </w:r>
      <w:r w:rsidR="00C135B7">
        <w:t>III(G)(7</w:t>
      </w:r>
      <w:r w:rsidR="00317784">
        <w:t>)</w:t>
      </w:r>
      <w:r w:rsidR="00851828">
        <w:t>.</w:t>
      </w:r>
      <w:r w:rsidR="00317784">
        <w:t xml:space="preserve"> </w:t>
      </w:r>
      <w:r w:rsidR="00C135B7">
        <w:t xml:space="preserve">Section III(B)(3)’s </w:t>
      </w:r>
      <w:r w:rsidR="00BB0A98">
        <w:t xml:space="preserve">progressive </w:t>
      </w:r>
      <w:r w:rsidR="00C135B7">
        <w:t xml:space="preserve">schedule </w:t>
      </w:r>
      <w:r w:rsidR="00AA02C7">
        <w:t xml:space="preserve">reflects </w:t>
      </w:r>
      <w:r w:rsidR="00932080">
        <w:t xml:space="preserve">the State’s </w:t>
      </w:r>
      <w:r w:rsidR="00AA02C7">
        <w:t>commitment to</w:t>
      </w:r>
      <w:r w:rsidR="00C135B7">
        <w:t xml:space="preserve"> sustainable</w:t>
      </w:r>
      <w:r w:rsidR="00443288">
        <w:t>,</w:t>
      </w:r>
      <w:r w:rsidR="00C135B7">
        <w:t xml:space="preserve"> systemic growth</w:t>
      </w:r>
      <w:r w:rsidR="00297A82">
        <w:t>,</w:t>
      </w:r>
      <w:r w:rsidR="002E4C5C">
        <w:t xml:space="preserve"> </w:t>
      </w:r>
      <w:r w:rsidR="002E4C5C">
        <w:rPr>
          <w:i/>
        </w:rPr>
        <w:t xml:space="preserve">see </w:t>
      </w:r>
      <w:r w:rsidR="002E4C5C">
        <w:t xml:space="preserve">Def.’s Opp’n 2, 6, </w:t>
      </w:r>
      <w:r w:rsidR="009033EA">
        <w:t>requiring the State to</w:t>
      </w:r>
      <w:r w:rsidR="001E2E87">
        <w:t xml:space="preserve"> </w:t>
      </w:r>
      <w:r w:rsidR="009033EA">
        <w:t>build</w:t>
      </w:r>
      <w:r w:rsidR="00BB0A98">
        <w:t xml:space="preserve"> </w:t>
      </w:r>
      <w:r w:rsidR="001E2E87">
        <w:t>on the foundation of prior years</w:t>
      </w:r>
      <w:r w:rsidR="00BB0A98">
        <w:t xml:space="preserve"> until </w:t>
      </w:r>
      <w:r w:rsidR="003A690B">
        <w:t xml:space="preserve">its </w:t>
      </w:r>
      <w:r w:rsidR="00BB0A98">
        <w:t>system simultaneously supports 3,000 individuals</w:t>
      </w:r>
      <w:r w:rsidR="001E2E87">
        <w:t>.</w:t>
      </w:r>
      <w:r w:rsidR="00C135B7">
        <w:t xml:space="preserve"> </w:t>
      </w:r>
      <w:r w:rsidR="00EE406C">
        <w:t>B</w:t>
      </w:r>
      <w:r w:rsidR="002B3A4E">
        <w:t xml:space="preserve">y </w:t>
      </w:r>
      <w:r w:rsidR="003A690B">
        <w:t xml:space="preserve">now </w:t>
      </w:r>
      <w:r w:rsidR="002B3A4E">
        <w:t xml:space="preserve">seeking “credit” </w:t>
      </w:r>
      <w:r w:rsidR="00737162">
        <w:t>for each individual who cycles through</w:t>
      </w:r>
      <w:r w:rsidR="00345FD4">
        <w:t xml:space="preserve"> </w:t>
      </w:r>
      <w:r w:rsidR="008429A9">
        <w:t>supported housing</w:t>
      </w:r>
      <w:r w:rsidR="0092650C">
        <w:t>,</w:t>
      </w:r>
      <w:r w:rsidR="00A00DD8">
        <w:t xml:space="preserve"> </w:t>
      </w:r>
      <w:r w:rsidR="002B3A4E">
        <w:t>however</w:t>
      </w:r>
      <w:r w:rsidR="00A31C04">
        <w:t xml:space="preserve"> short-lived and regardless of the number of Housing Slots </w:t>
      </w:r>
      <w:r w:rsidR="0062064C">
        <w:t xml:space="preserve">actually </w:t>
      </w:r>
      <w:r w:rsidR="00A31C04">
        <w:t>occupied by aggrieved individuals on the specified compliance dates</w:t>
      </w:r>
      <w:r w:rsidR="002B3A4E">
        <w:t xml:space="preserve">, </w:t>
      </w:r>
      <w:r w:rsidR="007F09A2">
        <w:t>the State</w:t>
      </w:r>
      <w:r w:rsidR="00A31C04">
        <w:t>’s interpretation would defeat the</w:t>
      </w:r>
      <w:r w:rsidR="00FD748C">
        <w:t xml:space="preserve"> </w:t>
      </w:r>
      <w:r w:rsidR="006D73F9">
        <w:t>Agreement’s requirement</w:t>
      </w:r>
      <w:r w:rsidR="00A31C04">
        <w:t>s and purpose</w:t>
      </w:r>
      <w:r w:rsidR="00E96F86">
        <w:t xml:space="preserve">. </w:t>
      </w:r>
    </w:p>
    <w:p w:rsidR="0092650C" w:rsidRPr="00851828" w:rsidRDefault="00851828" w:rsidP="00850B36">
      <w:pPr>
        <w:widowControl w:val="0"/>
        <w:spacing w:line="480" w:lineRule="auto"/>
        <w:ind w:firstLine="720"/>
        <w:jc w:val="both"/>
      </w:pPr>
      <w:r>
        <w:rPr>
          <w:rFonts w:eastAsia="Times New Roman"/>
          <w:szCs w:val="24"/>
        </w:rPr>
        <w:t xml:space="preserve">Taken to its logical extreme, </w:t>
      </w:r>
      <w:r w:rsidR="001E2E87">
        <w:rPr>
          <w:rFonts w:eastAsia="Times New Roman"/>
          <w:szCs w:val="24"/>
        </w:rPr>
        <w:t>North Carolina’s position</w:t>
      </w:r>
      <w:r>
        <w:rPr>
          <w:rFonts w:eastAsia="Times New Roman"/>
          <w:szCs w:val="24"/>
        </w:rPr>
        <w:t xml:space="preserve"> </w:t>
      </w:r>
      <w:r w:rsidR="00A00DD8">
        <w:t>could</w:t>
      </w:r>
      <w:r>
        <w:t xml:space="preserve"> result in</w:t>
      </w:r>
      <w:r w:rsidR="00A00DD8">
        <w:t xml:space="preserve"> </w:t>
      </w:r>
      <w:r w:rsidR="000B45E4">
        <w:t>a “compliant” system</w:t>
      </w:r>
      <w:r w:rsidR="00A00DD8">
        <w:t xml:space="preserve"> </w:t>
      </w:r>
      <w:r w:rsidR="00DB0249">
        <w:t>in which</w:t>
      </w:r>
      <w:r w:rsidR="00304E2D">
        <w:t xml:space="preserve"> </w:t>
      </w:r>
      <w:r w:rsidR="001E2E87">
        <w:t>no one</w:t>
      </w:r>
      <w:r w:rsidR="00233425">
        <w:t xml:space="preserve"> </w:t>
      </w:r>
      <w:r w:rsidR="00DB0249">
        <w:t>resides</w:t>
      </w:r>
      <w:r>
        <w:t xml:space="preserve"> in supported housing</w:t>
      </w:r>
      <w:r w:rsidR="00304E2D">
        <w:t xml:space="preserve"> by the Agreement’s end</w:t>
      </w:r>
      <w:r w:rsidR="007D474E">
        <w:t xml:space="preserve">. </w:t>
      </w:r>
      <w:r w:rsidR="004A6F6A">
        <w:t xml:space="preserve">Indeed, </w:t>
      </w:r>
      <w:r w:rsidR="00AC3964">
        <w:t xml:space="preserve">a large </w:t>
      </w:r>
      <w:r w:rsidR="00AC3964">
        <w:lastRenderedPageBreak/>
        <w:t xml:space="preserve">percentage of </w:t>
      </w:r>
      <w:r w:rsidR="00A00DD8">
        <w:t>individuals who</w:t>
      </w:r>
      <w:r w:rsidR="007D474E">
        <w:t xml:space="preserve"> </w:t>
      </w:r>
      <w:r w:rsidR="00A00DD8">
        <w:t>vacate Housing Slot</w:t>
      </w:r>
      <w:r w:rsidR="007D474E">
        <w:t xml:space="preserve">s move </w:t>
      </w:r>
      <w:r w:rsidR="00A00DD8">
        <w:t xml:space="preserve">to segregated </w:t>
      </w:r>
      <w:r w:rsidR="00A00DD8" w:rsidRPr="00785AB7">
        <w:t>settings</w:t>
      </w:r>
      <w:r w:rsidR="00A00DD8">
        <w:t xml:space="preserve">, </w:t>
      </w:r>
      <w:r w:rsidR="00BB0A98">
        <w:t>with</w:t>
      </w:r>
      <w:r w:rsidR="004A6F6A">
        <w:t xml:space="preserve"> </w:t>
      </w:r>
      <w:r w:rsidR="00BB0A98">
        <w:t>adult care homes as</w:t>
      </w:r>
      <w:r w:rsidR="00A00DD8">
        <w:t xml:space="preserve"> the</w:t>
      </w:r>
      <w:r w:rsidR="00304E2D">
        <w:t>ir</w:t>
      </w:r>
      <w:r w:rsidR="00A00DD8">
        <w:t xml:space="preserve"> most likely destination</w:t>
      </w:r>
      <w:r w:rsidR="007D474E">
        <w:t xml:space="preserve">. </w:t>
      </w:r>
      <w:r w:rsidR="00872298">
        <w:t>Jan. 2017 Monthly Rep. 7, D.E. 23-3.</w:t>
      </w:r>
      <w:r w:rsidR="00A00DD8">
        <w:t xml:space="preserve">  </w:t>
      </w:r>
    </w:p>
    <w:p w:rsidR="009055AC" w:rsidRDefault="00872298">
      <w:pPr>
        <w:widowControl w:val="0"/>
        <w:spacing w:line="480" w:lineRule="auto"/>
        <w:jc w:val="both"/>
      </w:pPr>
      <w:r>
        <w:tab/>
        <w:t>In contrast,</w:t>
      </w:r>
      <w:r w:rsidR="00BB0A98">
        <w:t xml:space="preserve"> counting only </w:t>
      </w:r>
      <w:r w:rsidR="00FD0F22">
        <w:t xml:space="preserve">the number of occupied Housing Slots—i.e., the number of individuals the system can support on </w:t>
      </w:r>
      <w:r w:rsidR="00BB0A98">
        <w:t xml:space="preserve">the annual </w:t>
      </w:r>
      <w:r w:rsidR="00FD0F22">
        <w:t>compliance date</w:t>
      </w:r>
      <w:r w:rsidR="00BB0A98">
        <w:t>s</w:t>
      </w:r>
      <w:r w:rsidR="00FD0F22">
        <w:t>—</w:t>
      </w:r>
      <w:r w:rsidR="00DB0249">
        <w:t xml:space="preserve">effectuates the Agreement’s purpose of achieving community integration. Only by </w:t>
      </w:r>
      <w:r w:rsidR="00BB0A98">
        <w:t>develop</w:t>
      </w:r>
      <w:r w:rsidR="00DB0249">
        <w:t>ing t</w:t>
      </w:r>
      <w:r w:rsidR="00BB0A98">
        <w:t xml:space="preserve">he capacity to </w:t>
      </w:r>
      <w:r w:rsidR="00DB0249">
        <w:t xml:space="preserve">serve </w:t>
      </w:r>
      <w:r w:rsidR="00BB0A98">
        <w:t>3,000 individuals</w:t>
      </w:r>
      <w:r w:rsidR="00DB0249">
        <w:t xml:space="preserve"> in supported housing simultaneously can North Carolina “effect [the] long-term and sustainable systems change” necessary to offer</w:t>
      </w:r>
      <w:r w:rsidR="00FD0F22">
        <w:t xml:space="preserve"> </w:t>
      </w:r>
      <w:r w:rsidR="00DB0249">
        <w:t xml:space="preserve">meaningful community-based alternatives to segregated adult care homes. </w:t>
      </w:r>
      <w:r w:rsidR="00DB0249" w:rsidRPr="00DB0249">
        <w:rPr>
          <w:i/>
        </w:rPr>
        <w:t>See</w:t>
      </w:r>
      <w:r w:rsidR="00DB0249">
        <w:t xml:space="preserve"> Def.’s Opp’n 2.</w:t>
      </w:r>
      <w:r w:rsidR="007D474E">
        <w:t xml:space="preserve"> </w:t>
      </w:r>
    </w:p>
    <w:p w:rsidR="00C135B7" w:rsidRDefault="005A1635" w:rsidP="009C3883">
      <w:pPr>
        <w:widowControl w:val="0"/>
        <w:spacing w:line="480" w:lineRule="auto"/>
        <w:ind w:firstLine="720"/>
        <w:jc w:val="both"/>
      </w:pPr>
      <w:r>
        <w:t xml:space="preserve">The State contends that </w:t>
      </w:r>
      <w:r w:rsidR="007D474E">
        <w:t>this approach</w:t>
      </w:r>
      <w:r>
        <w:t xml:space="preserve"> is unreasonable because the Agreement impose</w:t>
      </w:r>
      <w:r w:rsidR="007D474E">
        <w:t>s no</w:t>
      </w:r>
      <w:r>
        <w:t xml:space="preserve"> durational residency requirements</w:t>
      </w:r>
      <w:r w:rsidR="007D474E">
        <w:t xml:space="preserve"> on Housing Slots</w:t>
      </w:r>
      <w:r w:rsidR="009B583A">
        <w:t xml:space="preserve">. </w:t>
      </w:r>
      <w:r w:rsidR="0012631D">
        <w:t>Def.’s Opp’n 15–17, 19–21.</w:t>
      </w:r>
      <w:r w:rsidR="007D474E">
        <w:t xml:space="preserve"> But individuals may freely choose to vacate </w:t>
      </w:r>
      <w:r w:rsidR="00213C43">
        <w:t>their Housing Slots at any time;</w:t>
      </w:r>
      <w:r w:rsidR="007D474E">
        <w:t xml:space="preserve"> the State must simply </w:t>
      </w:r>
      <w:r w:rsidR="00A31C04">
        <w:t>provide them to other aggrieved individuals in the Agreement’s target population</w:t>
      </w:r>
      <w:r w:rsidR="007D474E">
        <w:t>.</w:t>
      </w:r>
      <w:r w:rsidR="00B76C08">
        <w:t xml:space="preserve"> </w:t>
      </w:r>
      <w:r w:rsidR="00A31C04">
        <w:rPr>
          <w:i/>
        </w:rPr>
        <w:t xml:space="preserve">See </w:t>
      </w:r>
      <w:r w:rsidR="00A31C04">
        <w:t>Letter of Findings</w:t>
      </w:r>
      <w:r w:rsidR="009055AC">
        <w:t xml:space="preserve"> 5</w:t>
      </w:r>
      <w:r w:rsidR="00A31C04">
        <w:t xml:space="preserve"> (</w:t>
      </w:r>
      <w:r w:rsidR="009055AC">
        <w:t xml:space="preserve">finding </w:t>
      </w:r>
      <w:r w:rsidR="00A31C04">
        <w:t xml:space="preserve">approximately 5,800 </w:t>
      </w:r>
      <w:r w:rsidR="00A13747">
        <w:t>individuals</w:t>
      </w:r>
      <w:r w:rsidR="00A31C04">
        <w:t xml:space="preserve"> with mental illness institutionalized in adult care homes)</w:t>
      </w:r>
      <w:r w:rsidR="009055AC">
        <w:t xml:space="preserve">; </w:t>
      </w:r>
      <w:r w:rsidR="009055AC" w:rsidRPr="00E00B6A">
        <w:rPr>
          <w:i/>
          <w:szCs w:val="24"/>
        </w:rPr>
        <w:t>N.C. Supported Housing Corrective Action Plan</w:t>
      </w:r>
      <w:r w:rsidR="009055AC">
        <w:rPr>
          <w:szCs w:val="24"/>
        </w:rPr>
        <w:t xml:space="preserve"> 3, </w:t>
      </w:r>
      <w:r w:rsidR="009055AC" w:rsidRPr="000B6E6A">
        <w:rPr>
          <w:szCs w:val="24"/>
        </w:rPr>
        <w:t xml:space="preserve">D.E. 15-20 (reporting that as of May 2016, </w:t>
      </w:r>
      <w:r w:rsidR="009055AC">
        <w:rPr>
          <w:szCs w:val="24"/>
        </w:rPr>
        <w:t xml:space="preserve">at least </w:t>
      </w:r>
      <w:r w:rsidR="009055AC" w:rsidRPr="000B6E6A">
        <w:rPr>
          <w:szCs w:val="24"/>
        </w:rPr>
        <w:t xml:space="preserve">354 individuals </w:t>
      </w:r>
      <w:r w:rsidR="009055AC">
        <w:rPr>
          <w:szCs w:val="24"/>
        </w:rPr>
        <w:t xml:space="preserve">were interested in, but had not transitioned into, </w:t>
      </w:r>
      <w:r w:rsidR="009055AC" w:rsidRPr="000B6E6A">
        <w:rPr>
          <w:szCs w:val="24"/>
        </w:rPr>
        <w:t>a Housi</w:t>
      </w:r>
      <w:r w:rsidR="009055AC">
        <w:rPr>
          <w:szCs w:val="24"/>
        </w:rPr>
        <w:t>ng Slot</w:t>
      </w:r>
      <w:r w:rsidR="009055AC" w:rsidRPr="000B6E6A">
        <w:rPr>
          <w:szCs w:val="24"/>
        </w:rPr>
        <w:t>)</w:t>
      </w:r>
      <w:r w:rsidR="00A31C04">
        <w:t xml:space="preserve">. </w:t>
      </w:r>
      <w:r w:rsidR="00F33E50">
        <w:t xml:space="preserve">  </w:t>
      </w:r>
      <w:r w:rsidR="007D474E">
        <w:t xml:space="preserve"> </w:t>
      </w:r>
    </w:p>
    <w:p w:rsidR="00E16342" w:rsidRPr="004E25B2" w:rsidRDefault="00EA24CC" w:rsidP="00850B36">
      <w:pPr>
        <w:pStyle w:val="ListParagraph"/>
        <w:widowControl w:val="0"/>
        <w:numPr>
          <w:ilvl w:val="0"/>
          <w:numId w:val="8"/>
        </w:numPr>
        <w:jc w:val="both"/>
        <w:rPr>
          <w:b/>
          <w:i/>
        </w:rPr>
      </w:pPr>
      <w:r w:rsidRPr="00453607">
        <w:rPr>
          <w:b/>
          <w:i/>
          <w:szCs w:val="24"/>
        </w:rPr>
        <w:t>The</w:t>
      </w:r>
      <w:r w:rsidR="00EB40DE" w:rsidRPr="00453607">
        <w:rPr>
          <w:b/>
          <w:i/>
          <w:szCs w:val="24"/>
        </w:rPr>
        <w:t xml:space="preserve"> </w:t>
      </w:r>
      <w:r w:rsidR="001A7288">
        <w:rPr>
          <w:b/>
          <w:i/>
          <w:szCs w:val="24"/>
        </w:rPr>
        <w:t xml:space="preserve">Text </w:t>
      </w:r>
      <w:r w:rsidR="00174C60">
        <w:rPr>
          <w:b/>
          <w:i/>
          <w:szCs w:val="24"/>
        </w:rPr>
        <w:t>of</w:t>
      </w:r>
      <w:r w:rsidR="00EB40DE">
        <w:rPr>
          <w:b/>
          <w:i/>
          <w:szCs w:val="24"/>
        </w:rPr>
        <w:t xml:space="preserve"> </w:t>
      </w:r>
      <w:r w:rsidR="00C135B7" w:rsidRPr="004E25B2">
        <w:rPr>
          <w:b/>
          <w:i/>
          <w:szCs w:val="24"/>
        </w:rPr>
        <w:t>S</w:t>
      </w:r>
      <w:r w:rsidR="0006703A" w:rsidRPr="004E25B2">
        <w:rPr>
          <w:b/>
          <w:i/>
          <w:szCs w:val="24"/>
        </w:rPr>
        <w:t xml:space="preserve">ection III(C)(9) </w:t>
      </w:r>
      <w:r w:rsidR="00EB40DE">
        <w:rPr>
          <w:b/>
          <w:i/>
          <w:szCs w:val="24"/>
        </w:rPr>
        <w:t xml:space="preserve">is </w:t>
      </w:r>
      <w:r w:rsidR="00453607">
        <w:rPr>
          <w:b/>
          <w:i/>
          <w:szCs w:val="24"/>
        </w:rPr>
        <w:t>Irrelevant</w:t>
      </w:r>
      <w:r w:rsidR="00EB40DE">
        <w:rPr>
          <w:b/>
          <w:i/>
          <w:szCs w:val="24"/>
        </w:rPr>
        <w:t xml:space="preserve"> to</w:t>
      </w:r>
      <w:r w:rsidR="00E16342" w:rsidRPr="004E25B2">
        <w:rPr>
          <w:b/>
          <w:i/>
          <w:szCs w:val="24"/>
        </w:rPr>
        <w:t xml:space="preserve"> </w:t>
      </w:r>
      <w:r w:rsidR="00174C60">
        <w:rPr>
          <w:b/>
          <w:i/>
          <w:szCs w:val="24"/>
        </w:rPr>
        <w:t xml:space="preserve">the </w:t>
      </w:r>
      <w:r w:rsidR="00D43F70">
        <w:rPr>
          <w:b/>
          <w:i/>
          <w:szCs w:val="24"/>
        </w:rPr>
        <w:t xml:space="preserve">Interpretation </w:t>
      </w:r>
      <w:r w:rsidR="00174C60">
        <w:rPr>
          <w:b/>
          <w:i/>
          <w:szCs w:val="24"/>
        </w:rPr>
        <w:t xml:space="preserve">of </w:t>
      </w:r>
      <w:r w:rsidR="00E16342" w:rsidRPr="004E25B2">
        <w:rPr>
          <w:b/>
          <w:i/>
          <w:szCs w:val="24"/>
        </w:rPr>
        <w:t>Section III(B)(3).</w:t>
      </w:r>
    </w:p>
    <w:p w:rsidR="00A37DC5" w:rsidRPr="00EE406C" w:rsidRDefault="00A37DC5">
      <w:pPr>
        <w:widowControl w:val="0"/>
        <w:jc w:val="both"/>
        <w:rPr>
          <w:sz w:val="16"/>
          <w:szCs w:val="16"/>
        </w:rPr>
      </w:pPr>
    </w:p>
    <w:p w:rsidR="005647B3" w:rsidRDefault="00174C60">
      <w:pPr>
        <w:widowControl w:val="0"/>
        <w:spacing w:line="480" w:lineRule="auto"/>
        <w:ind w:firstLine="720"/>
        <w:jc w:val="both"/>
        <w:rPr>
          <w:szCs w:val="24"/>
        </w:rPr>
      </w:pPr>
      <w:r>
        <w:rPr>
          <w:szCs w:val="24"/>
        </w:rPr>
        <w:t>North Carolina</w:t>
      </w:r>
      <w:r w:rsidR="009C484E">
        <w:rPr>
          <w:szCs w:val="24"/>
        </w:rPr>
        <w:t xml:space="preserve"> argues </w:t>
      </w:r>
      <w:r w:rsidR="00BF0C2E">
        <w:rPr>
          <w:szCs w:val="24"/>
        </w:rPr>
        <w:t>that</w:t>
      </w:r>
      <w:r w:rsidR="005647B3">
        <w:rPr>
          <w:szCs w:val="24"/>
        </w:rPr>
        <w:t xml:space="preserve"> the</w:t>
      </w:r>
      <w:r>
        <w:rPr>
          <w:szCs w:val="24"/>
        </w:rPr>
        <w:t xml:space="preserve"> Court should not</w:t>
      </w:r>
      <w:r w:rsidR="00BF0C2E">
        <w:rPr>
          <w:szCs w:val="24"/>
        </w:rPr>
        <w:t xml:space="preserve"> </w:t>
      </w:r>
      <w:r w:rsidR="005647B3">
        <w:rPr>
          <w:szCs w:val="24"/>
        </w:rPr>
        <w:t>measure the State’s</w:t>
      </w:r>
      <w:r>
        <w:rPr>
          <w:szCs w:val="24"/>
        </w:rPr>
        <w:t xml:space="preserve"> compliance</w:t>
      </w:r>
      <w:r w:rsidR="00902687">
        <w:rPr>
          <w:szCs w:val="24"/>
        </w:rPr>
        <w:t xml:space="preserve"> </w:t>
      </w:r>
      <w:r>
        <w:rPr>
          <w:szCs w:val="24"/>
        </w:rPr>
        <w:t>with section III(B)(3) by counting only occupied Housing Slots on the annual compliance dates because this provision</w:t>
      </w:r>
      <w:r w:rsidR="00CE5F0E">
        <w:rPr>
          <w:szCs w:val="24"/>
        </w:rPr>
        <w:t xml:space="preserve"> does not include</w:t>
      </w:r>
      <w:r w:rsidR="00A37DC5">
        <w:rPr>
          <w:szCs w:val="24"/>
        </w:rPr>
        <w:t xml:space="preserve"> the phrase “at any one time</w:t>
      </w:r>
      <w:r w:rsidR="00CE5F0E">
        <w:rPr>
          <w:szCs w:val="24"/>
        </w:rPr>
        <w:t>,</w:t>
      </w:r>
      <w:r w:rsidR="00A37DC5">
        <w:rPr>
          <w:szCs w:val="24"/>
        </w:rPr>
        <w:t>”</w:t>
      </w:r>
      <w:r w:rsidR="00BF0C2E">
        <w:rPr>
          <w:szCs w:val="24"/>
        </w:rPr>
        <w:t xml:space="preserve"> which appears in </w:t>
      </w:r>
      <w:r w:rsidR="00474EFD">
        <w:rPr>
          <w:szCs w:val="24"/>
        </w:rPr>
        <w:t>s</w:t>
      </w:r>
      <w:r w:rsidR="00CE5F0E">
        <w:rPr>
          <w:szCs w:val="24"/>
        </w:rPr>
        <w:t>ection III(C)(9)</w:t>
      </w:r>
      <w:r>
        <w:rPr>
          <w:szCs w:val="24"/>
        </w:rPr>
        <w:t xml:space="preserve">. </w:t>
      </w:r>
      <w:r w:rsidR="00BB25AB">
        <w:rPr>
          <w:szCs w:val="24"/>
        </w:rPr>
        <w:t>Def.’s Opp’n</w:t>
      </w:r>
      <w:r w:rsidR="00A37DC5">
        <w:rPr>
          <w:szCs w:val="24"/>
        </w:rPr>
        <w:t xml:space="preserve"> </w:t>
      </w:r>
      <w:r w:rsidR="00BB25AB">
        <w:rPr>
          <w:szCs w:val="24"/>
        </w:rPr>
        <w:t>18</w:t>
      </w:r>
      <w:r>
        <w:rPr>
          <w:szCs w:val="24"/>
        </w:rPr>
        <w:t xml:space="preserve">–19. </w:t>
      </w:r>
      <w:r w:rsidR="009C484E">
        <w:rPr>
          <w:szCs w:val="24"/>
        </w:rPr>
        <w:t>The State</w:t>
      </w:r>
      <w:r w:rsidR="00A37DC5">
        <w:rPr>
          <w:szCs w:val="24"/>
        </w:rPr>
        <w:t xml:space="preserve"> </w:t>
      </w:r>
      <w:r w:rsidR="00814B76">
        <w:rPr>
          <w:szCs w:val="24"/>
        </w:rPr>
        <w:t>essentially urges the Court to apply</w:t>
      </w:r>
      <w:r w:rsidR="00A37DC5">
        <w:rPr>
          <w:szCs w:val="24"/>
        </w:rPr>
        <w:t xml:space="preserve"> the </w:t>
      </w:r>
      <w:r w:rsidR="00A37DC5">
        <w:rPr>
          <w:i/>
          <w:szCs w:val="24"/>
        </w:rPr>
        <w:t>expressio unius est exclusio alterius</w:t>
      </w:r>
      <w:r w:rsidR="00A37DC5">
        <w:rPr>
          <w:szCs w:val="24"/>
        </w:rPr>
        <w:t xml:space="preserve"> canon of construction, i.e., that to express one thing implies the exclusion of another.</w:t>
      </w:r>
      <w:r w:rsidR="005647B3">
        <w:rPr>
          <w:szCs w:val="24"/>
        </w:rPr>
        <w:t xml:space="preserve"> But t</w:t>
      </w:r>
      <w:r w:rsidR="00BB6E5A">
        <w:rPr>
          <w:szCs w:val="24"/>
        </w:rPr>
        <w:t xml:space="preserve">he </w:t>
      </w:r>
      <w:r w:rsidR="005647B3">
        <w:rPr>
          <w:szCs w:val="24"/>
        </w:rPr>
        <w:t xml:space="preserve">Court need not rely on canons of construction because </w:t>
      </w:r>
      <w:r w:rsidR="00F10EDB">
        <w:rPr>
          <w:szCs w:val="24"/>
        </w:rPr>
        <w:t xml:space="preserve">the parties’ intent </w:t>
      </w:r>
      <w:r w:rsidR="00006C75">
        <w:rPr>
          <w:szCs w:val="24"/>
        </w:rPr>
        <w:t>is clear</w:t>
      </w:r>
      <w:r w:rsidR="001F0F23">
        <w:rPr>
          <w:szCs w:val="24"/>
        </w:rPr>
        <w:t xml:space="preserve"> </w:t>
      </w:r>
      <w:r w:rsidR="001F0F23" w:rsidRPr="00F50FFD">
        <w:rPr>
          <w:szCs w:val="24"/>
        </w:rPr>
        <w:t xml:space="preserve">from </w:t>
      </w:r>
      <w:r w:rsidR="00B470F2" w:rsidRPr="00F50FFD">
        <w:rPr>
          <w:szCs w:val="24"/>
        </w:rPr>
        <w:t xml:space="preserve">the </w:t>
      </w:r>
      <w:r w:rsidR="005647B3">
        <w:rPr>
          <w:szCs w:val="24"/>
        </w:rPr>
        <w:t xml:space="preserve">Agreement’s </w:t>
      </w:r>
      <w:r w:rsidR="00B470F2" w:rsidRPr="00F50FFD">
        <w:rPr>
          <w:szCs w:val="24"/>
        </w:rPr>
        <w:t>purpose and context</w:t>
      </w:r>
      <w:r w:rsidR="00006C75" w:rsidRPr="00F50FFD">
        <w:rPr>
          <w:szCs w:val="24"/>
        </w:rPr>
        <w:t>.</w:t>
      </w:r>
      <w:r w:rsidR="00006C75">
        <w:rPr>
          <w:szCs w:val="24"/>
        </w:rPr>
        <w:t xml:space="preserve">  </w:t>
      </w:r>
    </w:p>
    <w:p w:rsidR="002E4C5C" w:rsidRDefault="005647B3">
      <w:pPr>
        <w:widowControl w:val="0"/>
        <w:spacing w:line="480" w:lineRule="auto"/>
        <w:ind w:firstLine="720"/>
        <w:jc w:val="both"/>
        <w:rPr>
          <w:szCs w:val="24"/>
        </w:rPr>
      </w:pPr>
      <w:r>
        <w:rPr>
          <w:szCs w:val="24"/>
        </w:rPr>
        <w:lastRenderedPageBreak/>
        <w:t xml:space="preserve">When the parties’ intent is discernible with the aid of standard contract interpretation principles, courts will not apply secondary tools of construction to undermine </w:t>
      </w:r>
      <w:r w:rsidR="00A2124A">
        <w:rPr>
          <w:szCs w:val="24"/>
        </w:rPr>
        <w:t>their</w:t>
      </w:r>
      <w:r w:rsidR="00EE406C">
        <w:rPr>
          <w:szCs w:val="24"/>
        </w:rPr>
        <w:t xml:space="preserve"> intent.</w:t>
      </w:r>
      <w:r>
        <w:rPr>
          <w:szCs w:val="24"/>
        </w:rPr>
        <w:t xml:space="preserve"> </w:t>
      </w:r>
      <w:r>
        <w:rPr>
          <w:i/>
          <w:szCs w:val="24"/>
        </w:rPr>
        <w:t xml:space="preserve">See </w:t>
      </w:r>
      <w:r w:rsidRPr="00C93EA2">
        <w:rPr>
          <w:i/>
          <w:szCs w:val="24"/>
        </w:rPr>
        <w:t>Pilgrim Laund</w:t>
      </w:r>
      <w:r w:rsidR="002E4C5C">
        <w:rPr>
          <w:i/>
          <w:szCs w:val="24"/>
        </w:rPr>
        <w:t>ry &amp; Dry Cleaning Co. v. Fed.</w:t>
      </w:r>
      <w:r w:rsidRPr="00C93EA2">
        <w:rPr>
          <w:i/>
          <w:szCs w:val="24"/>
        </w:rPr>
        <w:t xml:space="preserve"> Ins. Co.</w:t>
      </w:r>
      <w:r w:rsidRPr="00C93EA2">
        <w:rPr>
          <w:szCs w:val="24"/>
        </w:rPr>
        <w:t>, 140 F.2d 191, 193 (</w:t>
      </w:r>
      <w:r>
        <w:rPr>
          <w:szCs w:val="24"/>
        </w:rPr>
        <w:t>4</w:t>
      </w:r>
      <w:r w:rsidRPr="00762BED">
        <w:rPr>
          <w:szCs w:val="24"/>
        </w:rPr>
        <w:t>th</w:t>
      </w:r>
      <w:r>
        <w:rPr>
          <w:szCs w:val="24"/>
        </w:rPr>
        <w:t xml:space="preserve"> Cir.</w:t>
      </w:r>
      <w:r w:rsidRPr="00C93EA2">
        <w:rPr>
          <w:szCs w:val="24"/>
        </w:rPr>
        <w:t xml:space="preserve"> 1944)</w:t>
      </w:r>
      <w:r>
        <w:rPr>
          <w:szCs w:val="24"/>
        </w:rPr>
        <w:t xml:space="preserve"> (“Irrespective of any other rules of construction the real intent . . . is what must govern the court . . . .”); </w:t>
      </w:r>
      <w:r w:rsidRPr="00FE2261">
        <w:rPr>
          <w:rFonts w:eastAsia="Times New Roman"/>
          <w:szCs w:val="24"/>
        </w:rPr>
        <w:t>11 Williston on Contracts § 30:2 (4th ed.)</w:t>
      </w:r>
      <w:r w:rsidRPr="00C93EA2">
        <w:rPr>
          <w:szCs w:val="24"/>
        </w:rPr>
        <w:t xml:space="preserve"> </w:t>
      </w:r>
      <w:r>
        <w:rPr>
          <w:szCs w:val="24"/>
        </w:rPr>
        <w:t>(</w:t>
      </w:r>
      <w:r w:rsidR="00A37DC5">
        <w:rPr>
          <w:szCs w:val="24"/>
        </w:rPr>
        <w:t>“The rules for the construction of contracts are all subordinate to the cardinal principle that the intention of the parties . . . must prevail</w:t>
      </w:r>
      <w:r w:rsidR="00444318">
        <w:rPr>
          <w:szCs w:val="24"/>
        </w:rPr>
        <w:t xml:space="preserve"> </w:t>
      </w:r>
      <w:r w:rsidR="000641EB">
        <w:rPr>
          <w:szCs w:val="24"/>
        </w:rPr>
        <w:t>. . . </w:t>
      </w:r>
      <w:r w:rsidR="00A37DC5">
        <w:rPr>
          <w:szCs w:val="24"/>
        </w:rPr>
        <w:t>.”</w:t>
      </w:r>
      <w:r>
        <w:rPr>
          <w:szCs w:val="24"/>
        </w:rPr>
        <w:t>).</w:t>
      </w:r>
      <w:r w:rsidR="00F364D3" w:rsidRPr="00273067">
        <w:rPr>
          <w:rStyle w:val="FootnoteReference"/>
          <w:sz w:val="20"/>
          <w:szCs w:val="20"/>
        </w:rPr>
        <w:footnoteReference w:id="1"/>
      </w:r>
      <w:r w:rsidRPr="00273067">
        <w:rPr>
          <w:sz w:val="20"/>
          <w:szCs w:val="20"/>
          <w:vertAlign w:val="superscript"/>
        </w:rPr>
        <w:t xml:space="preserve"> </w:t>
      </w:r>
      <w:r w:rsidR="0038608B">
        <w:rPr>
          <w:szCs w:val="24"/>
        </w:rPr>
        <w:t>C</w:t>
      </w:r>
      <w:r w:rsidR="00A37DC5">
        <w:rPr>
          <w:szCs w:val="24"/>
        </w:rPr>
        <w:t xml:space="preserve">ourts resort to canons of construction </w:t>
      </w:r>
      <w:r w:rsidR="0038608B">
        <w:rPr>
          <w:szCs w:val="24"/>
        </w:rPr>
        <w:t xml:space="preserve">only </w:t>
      </w:r>
      <w:r w:rsidR="0006703A">
        <w:rPr>
          <w:szCs w:val="24"/>
        </w:rPr>
        <w:t xml:space="preserve">to construe terms that </w:t>
      </w:r>
      <w:r w:rsidR="00A37DC5">
        <w:rPr>
          <w:szCs w:val="24"/>
        </w:rPr>
        <w:t>remain ambiguous after consider</w:t>
      </w:r>
      <w:r w:rsidR="0006703A">
        <w:rPr>
          <w:szCs w:val="24"/>
        </w:rPr>
        <w:t>ing</w:t>
      </w:r>
      <w:r w:rsidR="00A37DC5">
        <w:rPr>
          <w:szCs w:val="24"/>
        </w:rPr>
        <w:t xml:space="preserve"> the agreement as a whole and interpret</w:t>
      </w:r>
      <w:r w:rsidR="008559B8">
        <w:rPr>
          <w:szCs w:val="24"/>
        </w:rPr>
        <w:t>ing</w:t>
      </w:r>
      <w:r w:rsidR="00A37DC5">
        <w:rPr>
          <w:szCs w:val="24"/>
        </w:rPr>
        <w:t xml:space="preserve"> it to effectuate its purpose.</w:t>
      </w:r>
      <w:r w:rsidR="002E4C5C">
        <w:rPr>
          <w:szCs w:val="24"/>
        </w:rPr>
        <w:t xml:space="preserve"> </w:t>
      </w:r>
      <w:r w:rsidR="002E4C5C">
        <w:rPr>
          <w:i/>
          <w:szCs w:val="24"/>
        </w:rPr>
        <w:t xml:space="preserve">See </w:t>
      </w:r>
      <w:r w:rsidR="00A37DC5" w:rsidRPr="00F834F6">
        <w:rPr>
          <w:rFonts w:eastAsia="Times New Roman"/>
          <w:szCs w:val="24"/>
        </w:rPr>
        <w:t xml:space="preserve">17A C.J.S. Contracts § 392; </w:t>
      </w:r>
      <w:r w:rsidR="00A37DC5" w:rsidRPr="00F834F6">
        <w:rPr>
          <w:rFonts w:eastAsia="Times New Roman"/>
          <w:i/>
          <w:szCs w:val="24"/>
        </w:rPr>
        <w:t>Jones v. Casstevens</w:t>
      </w:r>
      <w:r w:rsidR="00A37DC5" w:rsidRPr="00F834F6">
        <w:rPr>
          <w:rFonts w:eastAsia="Times New Roman"/>
          <w:szCs w:val="24"/>
        </w:rPr>
        <w:t xml:space="preserve">, </w:t>
      </w:r>
      <w:r w:rsidR="004A1B97">
        <w:rPr>
          <w:rFonts w:eastAsia="Times New Roman"/>
          <w:szCs w:val="24"/>
        </w:rPr>
        <w:t xml:space="preserve">222 N.C. 411, 413, </w:t>
      </w:r>
      <w:r w:rsidR="00A37DC5" w:rsidRPr="00F834F6">
        <w:rPr>
          <w:rFonts w:eastAsia="Times New Roman"/>
          <w:szCs w:val="24"/>
        </w:rPr>
        <w:t xml:space="preserve">23 S.E. 2d 303, 305 (1942) (“If there be no dispute as to the terms, and they are plain and unambiguous, there is no room for construction.”); </w:t>
      </w:r>
      <w:r w:rsidR="00A37DC5" w:rsidRPr="00F834F6">
        <w:rPr>
          <w:rFonts w:eastAsia="Times New Roman"/>
          <w:i/>
          <w:szCs w:val="24"/>
        </w:rPr>
        <w:t>see also</w:t>
      </w:r>
      <w:r w:rsidR="00A37DC5" w:rsidRPr="00F834F6">
        <w:rPr>
          <w:rFonts w:eastAsia="Times New Roman"/>
          <w:szCs w:val="24"/>
        </w:rPr>
        <w:t xml:space="preserve"> </w:t>
      </w:r>
      <w:r w:rsidR="00A37DC5" w:rsidRPr="00F834F6">
        <w:rPr>
          <w:rFonts w:eastAsia="Times New Roman"/>
          <w:i/>
          <w:szCs w:val="24"/>
        </w:rPr>
        <w:t>Fried v. N. River Ins</w:t>
      </w:r>
      <w:r w:rsidR="00C617EB">
        <w:rPr>
          <w:rFonts w:eastAsia="Times New Roman"/>
          <w:i/>
          <w:szCs w:val="24"/>
        </w:rPr>
        <w:t>.</w:t>
      </w:r>
      <w:r w:rsidR="00A37DC5" w:rsidRPr="00F834F6">
        <w:rPr>
          <w:rFonts w:eastAsia="Times New Roman"/>
          <w:i/>
          <w:szCs w:val="24"/>
        </w:rPr>
        <w:t xml:space="preserve"> Co.</w:t>
      </w:r>
      <w:r w:rsidR="00A37DC5" w:rsidRPr="00F834F6">
        <w:rPr>
          <w:rFonts w:eastAsia="Times New Roman"/>
          <w:szCs w:val="24"/>
        </w:rPr>
        <w:t>, 710 F.2d 1022, 1025, 1027 (4</w:t>
      </w:r>
      <w:r w:rsidR="00A37DC5" w:rsidRPr="003C0777">
        <w:rPr>
          <w:rFonts w:eastAsia="Times New Roman"/>
          <w:szCs w:val="24"/>
        </w:rPr>
        <w:t>th</w:t>
      </w:r>
      <w:r w:rsidR="00235FD7">
        <w:rPr>
          <w:rFonts w:eastAsia="Times New Roman"/>
          <w:szCs w:val="24"/>
        </w:rPr>
        <w:t xml:space="preserve"> Cir. 1983) (relying on c</w:t>
      </w:r>
      <w:r>
        <w:rPr>
          <w:rFonts w:eastAsia="Times New Roman"/>
          <w:szCs w:val="24"/>
        </w:rPr>
        <w:t>anons of construction only when</w:t>
      </w:r>
      <w:r w:rsidR="00235FD7">
        <w:rPr>
          <w:rFonts w:eastAsia="Times New Roman"/>
          <w:szCs w:val="24"/>
        </w:rPr>
        <w:t xml:space="preserve"> contract </w:t>
      </w:r>
      <w:r w:rsidR="00A37DC5" w:rsidRPr="00F834F6">
        <w:rPr>
          <w:rFonts w:eastAsia="Times New Roman"/>
          <w:szCs w:val="24"/>
        </w:rPr>
        <w:t>language was ambiguous).</w:t>
      </w:r>
      <w:r w:rsidR="00A2124A">
        <w:rPr>
          <w:szCs w:val="24"/>
        </w:rPr>
        <w:t xml:space="preserve"> </w:t>
      </w:r>
    </w:p>
    <w:p w:rsidR="001B2D0D" w:rsidRPr="00B3783D" w:rsidRDefault="00A2124A">
      <w:pPr>
        <w:widowControl w:val="0"/>
        <w:spacing w:line="480" w:lineRule="auto"/>
        <w:ind w:firstLine="720"/>
        <w:jc w:val="both"/>
        <w:rPr>
          <w:szCs w:val="24"/>
        </w:rPr>
      </w:pPr>
      <w:r>
        <w:rPr>
          <w:szCs w:val="24"/>
        </w:rPr>
        <w:t>Here, subsidiary interpretive tools are unnecessary because s</w:t>
      </w:r>
      <w:r w:rsidR="00915C81">
        <w:rPr>
          <w:szCs w:val="24"/>
        </w:rPr>
        <w:t>ection III(B)</w:t>
      </w:r>
      <w:r w:rsidR="00B91655">
        <w:rPr>
          <w:szCs w:val="24"/>
        </w:rPr>
        <w:t>(3)</w:t>
      </w:r>
      <w:r w:rsidR="0006703A">
        <w:rPr>
          <w:szCs w:val="24"/>
        </w:rPr>
        <w:t xml:space="preserve">, interpreted in light of </w:t>
      </w:r>
      <w:r w:rsidR="00915C81">
        <w:rPr>
          <w:szCs w:val="24"/>
        </w:rPr>
        <w:t>the Agreement’s</w:t>
      </w:r>
      <w:r w:rsidR="0006703A">
        <w:rPr>
          <w:szCs w:val="24"/>
        </w:rPr>
        <w:t xml:space="preserve"> purpose</w:t>
      </w:r>
      <w:r w:rsidR="002E4C5C">
        <w:rPr>
          <w:szCs w:val="24"/>
        </w:rPr>
        <w:t xml:space="preserve"> and context</w:t>
      </w:r>
      <w:r w:rsidR="0006703A">
        <w:rPr>
          <w:szCs w:val="24"/>
        </w:rPr>
        <w:t xml:space="preserve">, </w:t>
      </w:r>
      <w:r w:rsidR="00915C81">
        <w:rPr>
          <w:szCs w:val="24"/>
        </w:rPr>
        <w:t>is unambiguous</w:t>
      </w:r>
      <w:r w:rsidR="00235FD7">
        <w:rPr>
          <w:szCs w:val="24"/>
        </w:rPr>
        <w:t>: the parties intended to measure compliance by counting only occupied Housing Slots</w:t>
      </w:r>
      <w:r w:rsidR="00915C81">
        <w:rPr>
          <w:szCs w:val="24"/>
        </w:rPr>
        <w:t>.</w:t>
      </w:r>
      <w:r>
        <w:rPr>
          <w:szCs w:val="24"/>
        </w:rPr>
        <w:t xml:space="preserve"> </w:t>
      </w:r>
      <w:r w:rsidR="002E4C5C">
        <w:rPr>
          <w:i/>
          <w:szCs w:val="24"/>
        </w:rPr>
        <w:t xml:space="preserve">See supra </w:t>
      </w:r>
      <w:r w:rsidR="002E4C5C">
        <w:rPr>
          <w:szCs w:val="24"/>
        </w:rPr>
        <w:t xml:space="preserve">Part II(A)(1); </w:t>
      </w:r>
      <w:r w:rsidR="00235FD7">
        <w:rPr>
          <w:szCs w:val="24"/>
        </w:rPr>
        <w:t xml:space="preserve">U.S.’s </w:t>
      </w:r>
      <w:r w:rsidR="00E10A0B">
        <w:rPr>
          <w:szCs w:val="24"/>
        </w:rPr>
        <w:t>Mem. in Supp. of Mot</w:t>
      </w:r>
      <w:r w:rsidR="00235FD7">
        <w:rPr>
          <w:szCs w:val="24"/>
        </w:rPr>
        <w:t xml:space="preserve">. </w:t>
      </w:r>
      <w:r w:rsidR="00443288">
        <w:rPr>
          <w:szCs w:val="24"/>
        </w:rPr>
        <w:t>1</w:t>
      </w:r>
      <w:r w:rsidR="00E10A0B">
        <w:rPr>
          <w:szCs w:val="24"/>
        </w:rPr>
        <w:t>4</w:t>
      </w:r>
      <w:r w:rsidR="00443288">
        <w:rPr>
          <w:szCs w:val="24"/>
        </w:rPr>
        <w:t>–</w:t>
      </w:r>
      <w:r w:rsidR="002E4C5C">
        <w:rPr>
          <w:szCs w:val="24"/>
        </w:rPr>
        <w:t>17</w:t>
      </w:r>
      <w:r w:rsidR="003C2759">
        <w:rPr>
          <w:szCs w:val="24"/>
        </w:rPr>
        <w:t xml:space="preserve">, </w:t>
      </w:r>
      <w:r w:rsidR="003C2759" w:rsidRPr="00F364D3">
        <w:rPr>
          <w:szCs w:val="24"/>
        </w:rPr>
        <w:t>D.E.</w:t>
      </w:r>
      <w:r w:rsidR="00F364D3">
        <w:rPr>
          <w:szCs w:val="24"/>
        </w:rPr>
        <w:t xml:space="preserve"> 15-1 </w:t>
      </w:r>
      <w:r w:rsidR="003A52C2">
        <w:rPr>
          <w:szCs w:val="24"/>
        </w:rPr>
        <w:t>[</w:t>
      </w:r>
      <w:r w:rsidR="00B61D30">
        <w:rPr>
          <w:szCs w:val="24"/>
        </w:rPr>
        <w:t>“</w:t>
      </w:r>
      <w:r w:rsidR="003A52C2">
        <w:rPr>
          <w:szCs w:val="24"/>
        </w:rPr>
        <w:t>U.S.’s Br.</w:t>
      </w:r>
      <w:r w:rsidR="00B61D30">
        <w:rPr>
          <w:szCs w:val="24"/>
        </w:rPr>
        <w:t>”</w:t>
      </w:r>
      <w:r w:rsidR="003A52C2">
        <w:rPr>
          <w:szCs w:val="24"/>
        </w:rPr>
        <w:t>]</w:t>
      </w:r>
      <w:r w:rsidR="0006703A">
        <w:rPr>
          <w:szCs w:val="24"/>
        </w:rPr>
        <w:t xml:space="preserve">.  </w:t>
      </w:r>
    </w:p>
    <w:p w:rsidR="009055AC" w:rsidRDefault="009055AC">
      <w:pPr>
        <w:rPr>
          <w:b/>
        </w:rPr>
      </w:pPr>
      <w:r>
        <w:rPr>
          <w:b/>
        </w:rPr>
        <w:br w:type="page"/>
      </w:r>
    </w:p>
    <w:p w:rsidR="005B5EF5" w:rsidRPr="000E396D" w:rsidRDefault="00ED12BD">
      <w:pPr>
        <w:pStyle w:val="ListParagraph"/>
        <w:widowControl w:val="0"/>
        <w:numPr>
          <w:ilvl w:val="0"/>
          <w:numId w:val="7"/>
        </w:numPr>
        <w:jc w:val="both"/>
        <w:rPr>
          <w:b/>
        </w:rPr>
      </w:pPr>
      <w:r>
        <w:rPr>
          <w:b/>
        </w:rPr>
        <w:lastRenderedPageBreak/>
        <w:t xml:space="preserve">Even </w:t>
      </w:r>
      <w:r w:rsidR="00C80ED9">
        <w:rPr>
          <w:b/>
        </w:rPr>
        <w:t>A</w:t>
      </w:r>
      <w:r>
        <w:rPr>
          <w:b/>
        </w:rPr>
        <w:t>ssuming that the</w:t>
      </w:r>
      <w:r w:rsidR="004E25B2">
        <w:rPr>
          <w:b/>
        </w:rPr>
        <w:t xml:space="preserve"> Agreement i</w:t>
      </w:r>
      <w:r w:rsidR="00562F38" w:rsidRPr="000E396D">
        <w:rPr>
          <w:b/>
        </w:rPr>
        <w:t>s Ambiguous</w:t>
      </w:r>
      <w:r w:rsidR="00B91655">
        <w:rPr>
          <w:b/>
        </w:rPr>
        <w:t>,</w:t>
      </w:r>
      <w:r w:rsidR="004E25B2">
        <w:rPr>
          <w:b/>
        </w:rPr>
        <w:t xml:space="preserve"> Extrinsic Evidence Shows t</w:t>
      </w:r>
      <w:r w:rsidR="00562F38" w:rsidRPr="000E396D">
        <w:rPr>
          <w:b/>
        </w:rPr>
        <w:t xml:space="preserve">hat </w:t>
      </w:r>
      <w:r w:rsidR="000E396D">
        <w:rPr>
          <w:b/>
        </w:rPr>
        <w:t xml:space="preserve">Only </w:t>
      </w:r>
      <w:r w:rsidR="00562F38" w:rsidRPr="000E396D">
        <w:rPr>
          <w:b/>
        </w:rPr>
        <w:t>Occupied Housing Slots</w:t>
      </w:r>
      <w:r w:rsidR="00D34394">
        <w:rPr>
          <w:b/>
        </w:rPr>
        <w:t xml:space="preserve"> Count Toward Compliance</w:t>
      </w:r>
      <w:r w:rsidR="00562F38" w:rsidRPr="000E396D">
        <w:rPr>
          <w:b/>
        </w:rPr>
        <w:t>.</w:t>
      </w:r>
    </w:p>
    <w:p w:rsidR="005B5EF5" w:rsidRPr="00EE406C" w:rsidRDefault="005B5EF5">
      <w:pPr>
        <w:widowControl w:val="0"/>
        <w:jc w:val="both"/>
        <w:rPr>
          <w:sz w:val="16"/>
          <w:szCs w:val="16"/>
        </w:rPr>
      </w:pPr>
    </w:p>
    <w:p w:rsidR="00562F38" w:rsidRPr="004E25B2" w:rsidRDefault="00036110">
      <w:pPr>
        <w:pStyle w:val="ListParagraph"/>
        <w:widowControl w:val="0"/>
        <w:numPr>
          <w:ilvl w:val="0"/>
          <w:numId w:val="11"/>
        </w:numPr>
        <w:jc w:val="both"/>
        <w:rPr>
          <w:i/>
        </w:rPr>
      </w:pPr>
      <w:r>
        <w:rPr>
          <w:b/>
          <w:i/>
        </w:rPr>
        <w:t>Albert Delia and Tara Larson’s</w:t>
      </w:r>
      <w:r w:rsidR="005B5EF5" w:rsidRPr="004E25B2">
        <w:rPr>
          <w:b/>
          <w:i/>
        </w:rPr>
        <w:t xml:space="preserve"> A</w:t>
      </w:r>
      <w:r w:rsidR="00C7574E" w:rsidRPr="004E25B2">
        <w:rPr>
          <w:b/>
          <w:i/>
        </w:rPr>
        <w:t>ffidavits</w:t>
      </w:r>
      <w:r w:rsidR="006B6B84" w:rsidRPr="004E25B2">
        <w:rPr>
          <w:b/>
          <w:i/>
        </w:rPr>
        <w:t xml:space="preserve"> </w:t>
      </w:r>
      <w:r w:rsidR="00221AEE">
        <w:rPr>
          <w:b/>
          <w:i/>
        </w:rPr>
        <w:t>D</w:t>
      </w:r>
      <w:r w:rsidR="009048F8">
        <w:rPr>
          <w:b/>
          <w:i/>
        </w:rPr>
        <w:t xml:space="preserve">o </w:t>
      </w:r>
      <w:r w:rsidR="00221AEE">
        <w:rPr>
          <w:b/>
          <w:i/>
        </w:rPr>
        <w:t>N</w:t>
      </w:r>
      <w:r w:rsidR="009048F8">
        <w:rPr>
          <w:b/>
          <w:i/>
        </w:rPr>
        <w:t>ot Reveal the Parties’</w:t>
      </w:r>
      <w:r w:rsidR="006B1FC6" w:rsidRPr="004E25B2">
        <w:rPr>
          <w:b/>
          <w:i/>
        </w:rPr>
        <w:t xml:space="preserve"> </w:t>
      </w:r>
      <w:r w:rsidR="009048F8">
        <w:rPr>
          <w:b/>
          <w:i/>
        </w:rPr>
        <w:t xml:space="preserve">Mutual </w:t>
      </w:r>
      <w:r w:rsidR="00D00843" w:rsidRPr="004E25B2">
        <w:rPr>
          <w:b/>
          <w:i/>
        </w:rPr>
        <w:t>Intent</w:t>
      </w:r>
      <w:r w:rsidR="00C80ED9">
        <w:rPr>
          <w:b/>
          <w:i/>
        </w:rPr>
        <w:t>.</w:t>
      </w:r>
      <w:r w:rsidR="006B1FC6" w:rsidRPr="004E25B2">
        <w:rPr>
          <w:b/>
          <w:i/>
        </w:rPr>
        <w:t xml:space="preserve"> </w:t>
      </w:r>
    </w:p>
    <w:p w:rsidR="005B5EF5" w:rsidRPr="00EE406C" w:rsidRDefault="00562F38">
      <w:pPr>
        <w:widowControl w:val="0"/>
        <w:jc w:val="both"/>
        <w:rPr>
          <w:sz w:val="16"/>
          <w:szCs w:val="16"/>
        </w:rPr>
      </w:pPr>
      <w:r>
        <w:t xml:space="preserve"> </w:t>
      </w:r>
    </w:p>
    <w:p w:rsidR="00E06107" w:rsidRDefault="005B5EF5">
      <w:pPr>
        <w:widowControl w:val="0"/>
        <w:spacing w:line="480" w:lineRule="auto"/>
        <w:jc w:val="both"/>
      </w:pPr>
      <w:r>
        <w:tab/>
      </w:r>
      <w:r w:rsidR="008924C8">
        <w:t xml:space="preserve">Albert </w:t>
      </w:r>
      <w:r w:rsidR="006B6B84">
        <w:t xml:space="preserve">Delia and </w:t>
      </w:r>
      <w:r w:rsidR="00691F72">
        <w:t>Tara Larson</w:t>
      </w:r>
      <w:r w:rsidR="00782E8E">
        <w:t>’s affidavits</w:t>
      </w:r>
      <w:r w:rsidR="00E52191">
        <w:t xml:space="preserve">, </w:t>
      </w:r>
      <w:r w:rsidR="00782E8E">
        <w:t xml:space="preserve">which the State proffers </w:t>
      </w:r>
      <w:r w:rsidR="00E52191">
        <w:t xml:space="preserve">as evidence of </w:t>
      </w:r>
      <w:r w:rsidR="00782E8E">
        <w:t>its</w:t>
      </w:r>
      <w:r w:rsidR="00837025">
        <w:t xml:space="preserve"> intent</w:t>
      </w:r>
      <w:r w:rsidR="007F09A2">
        <w:t xml:space="preserve"> when negotiating s</w:t>
      </w:r>
      <w:r w:rsidR="009048F8">
        <w:t>ection III(B)(3)</w:t>
      </w:r>
      <w:r w:rsidR="00782E8E">
        <w:t xml:space="preserve">, </w:t>
      </w:r>
      <w:r w:rsidR="00F46909">
        <w:t xml:space="preserve">present </w:t>
      </w:r>
      <w:r w:rsidR="00837025">
        <w:t xml:space="preserve">nothing more than </w:t>
      </w:r>
      <w:r w:rsidR="00F46909">
        <w:t xml:space="preserve">the </w:t>
      </w:r>
      <w:r w:rsidR="00473548">
        <w:t xml:space="preserve">affiants’ </w:t>
      </w:r>
      <w:r w:rsidR="006B6B84">
        <w:t xml:space="preserve">subjective, post hoc </w:t>
      </w:r>
      <w:r w:rsidR="00837025">
        <w:t>understanding</w:t>
      </w:r>
      <w:r w:rsidR="000943FC">
        <w:t xml:space="preserve"> of the Agreement.</w:t>
      </w:r>
      <w:r w:rsidR="00F46909">
        <w:t xml:space="preserve"> </w:t>
      </w:r>
      <w:r w:rsidR="00C90364">
        <w:rPr>
          <w:i/>
        </w:rPr>
        <w:t xml:space="preserve">See </w:t>
      </w:r>
      <w:r w:rsidR="00C90364">
        <w:t xml:space="preserve">Delia Aff. </w:t>
      </w:r>
      <w:r>
        <w:t>¶</w:t>
      </w:r>
      <w:r w:rsidR="00641CC3">
        <w:t> </w:t>
      </w:r>
      <w:r w:rsidR="009F17B3">
        <w:t>8</w:t>
      </w:r>
      <w:r w:rsidR="00C90364">
        <w:t xml:space="preserve">, D.E. 23-11 </w:t>
      </w:r>
      <w:r w:rsidR="00D94163">
        <w:t>(“I unders</w:t>
      </w:r>
      <w:r w:rsidR="00C90364">
        <w:t>tood the Agreement to mean . . . .</w:t>
      </w:r>
      <w:r w:rsidR="00D94163">
        <w:t>”)</w:t>
      </w:r>
      <w:r w:rsidR="009F17B3">
        <w:t>;</w:t>
      </w:r>
      <w:r w:rsidR="00C90364">
        <w:t xml:space="preserve"> Larson Aff. ¶ 7, D.E. 23-12 (“</w:t>
      </w:r>
      <w:r w:rsidR="00C9202A">
        <w:t>m</w:t>
      </w:r>
      <w:r w:rsidR="00C90364">
        <w:t>y understanding is that . . . .</w:t>
      </w:r>
      <w:r w:rsidR="009048F8">
        <w:t>”).</w:t>
      </w:r>
      <w:r w:rsidR="00E06107">
        <w:t xml:space="preserve">  </w:t>
      </w:r>
    </w:p>
    <w:p w:rsidR="00A421CE" w:rsidRPr="006B6B84" w:rsidRDefault="006B6B84">
      <w:pPr>
        <w:widowControl w:val="0"/>
        <w:spacing w:line="480" w:lineRule="auto"/>
        <w:ind w:firstLine="720"/>
        <w:jc w:val="both"/>
      </w:pPr>
      <w:r>
        <w:t>These</w:t>
      </w:r>
      <w:r w:rsidR="00E909F7">
        <w:t xml:space="preserve"> </w:t>
      </w:r>
      <w:r w:rsidR="00C90364">
        <w:t>statements</w:t>
      </w:r>
      <w:r w:rsidR="000943FC">
        <w:t xml:space="preserve"> of</w:t>
      </w:r>
      <w:r w:rsidR="00C90364">
        <w:t xml:space="preserve"> </w:t>
      </w:r>
      <w:r w:rsidR="000943FC">
        <w:t xml:space="preserve">former State employees’ </w:t>
      </w:r>
      <w:r w:rsidR="00C90364">
        <w:t xml:space="preserve">subjective intent </w:t>
      </w:r>
      <w:r w:rsidR="00797ABA">
        <w:t>a</w:t>
      </w:r>
      <w:r w:rsidR="005923F1">
        <w:t>re</w:t>
      </w:r>
      <w:r w:rsidR="00797ABA">
        <w:t xml:space="preserve"> irrelevant</w:t>
      </w:r>
      <w:r w:rsidR="003F2131">
        <w:t xml:space="preserve"> to determining the parties’ </w:t>
      </w:r>
      <w:r w:rsidR="009048F8">
        <w:t xml:space="preserve">mutual </w:t>
      </w:r>
      <w:r w:rsidR="003F2131">
        <w:t>intent</w:t>
      </w:r>
      <w:r w:rsidR="00797ABA">
        <w:t>.</w:t>
      </w:r>
      <w:r w:rsidR="00881306">
        <w:t xml:space="preserve"> </w:t>
      </w:r>
      <w:r w:rsidR="008A1E72">
        <w:rPr>
          <w:i/>
        </w:rPr>
        <w:t xml:space="preserve">See </w:t>
      </w:r>
      <w:r w:rsidR="005074A8">
        <w:rPr>
          <w:i/>
        </w:rPr>
        <w:t xml:space="preserve">VCA Cenvet, Inc. v. Chadwell Animal Hosp., LLC, </w:t>
      </w:r>
      <w:r w:rsidR="005074A8">
        <w:t>No. JKB-11-1763, 2011 WL 6257190, at *3</w:t>
      </w:r>
      <w:r w:rsidR="005074A8">
        <w:rPr>
          <w:i/>
        </w:rPr>
        <w:t xml:space="preserve"> </w:t>
      </w:r>
      <w:r w:rsidR="005074A8">
        <w:t>(D. Md. Nov. 29, 2011) (“One party’s subjective and undisclosed intent is simply irrelevant to contract interpretation.”</w:t>
      </w:r>
      <w:r w:rsidR="00A9369E">
        <w:t xml:space="preserve"> (citations omitted)</w:t>
      </w:r>
      <w:r w:rsidR="005074A8">
        <w:t xml:space="preserve">); </w:t>
      </w:r>
      <w:r w:rsidR="005074A8">
        <w:rPr>
          <w:i/>
        </w:rPr>
        <w:t xml:space="preserve">Wilson v. Wilson, </w:t>
      </w:r>
      <w:r w:rsidR="005074A8">
        <w:t>214 N.C. App. 541, 545</w:t>
      </w:r>
      <w:r w:rsidR="005A3083">
        <w:t>, 714 S.E. 2d 793</w:t>
      </w:r>
      <w:r w:rsidR="001E6304">
        <w:t>, 796</w:t>
      </w:r>
      <w:r w:rsidR="005074A8">
        <w:t xml:space="preserve"> (2011) (“The effect of the agreement is not controlled by what one of the parties intended or understood.” (quotations omitted)) (rejecting testimony regarding defendant’s understanding of contractual term);</w:t>
      </w:r>
      <w:r w:rsidR="005074A8">
        <w:rPr>
          <w:szCs w:val="24"/>
        </w:rPr>
        <w:t xml:space="preserve"> </w:t>
      </w:r>
      <w:r w:rsidR="00450D2F">
        <w:rPr>
          <w:i/>
          <w:szCs w:val="24"/>
        </w:rPr>
        <w:t>see also Wash.</w:t>
      </w:r>
      <w:r w:rsidR="005074A8">
        <w:rPr>
          <w:i/>
          <w:szCs w:val="24"/>
        </w:rPr>
        <w:t xml:space="preserve"> Square Secs., Inc. v. Aune, </w:t>
      </w:r>
      <w:r w:rsidR="005074A8">
        <w:rPr>
          <w:szCs w:val="24"/>
        </w:rPr>
        <w:t>385 F.3d 432, 439 (4th Cir. 2004) (</w:t>
      </w:r>
      <w:r w:rsidR="003F2131">
        <w:rPr>
          <w:szCs w:val="24"/>
        </w:rPr>
        <w:t>explaining</w:t>
      </w:r>
      <w:r w:rsidR="005074A8">
        <w:rPr>
          <w:szCs w:val="24"/>
        </w:rPr>
        <w:t xml:space="preserve"> that “declarations made . . . during the course of litigation are much less reliable evi</w:t>
      </w:r>
      <w:r w:rsidR="009048F8">
        <w:rPr>
          <w:szCs w:val="24"/>
        </w:rPr>
        <w:t xml:space="preserve">dence of [a party’s] intent”). </w:t>
      </w:r>
      <w:r w:rsidR="005B5EF5">
        <w:t>In short, “[l]ooking at the parties’ subjective intentions alone accomplishes no more than restating</w:t>
      </w:r>
      <w:r w:rsidR="009048F8">
        <w:t xml:space="preserve"> their conflicting positions</w:t>
      </w:r>
      <w:r w:rsidR="00646D4E">
        <w:t>.</w:t>
      </w:r>
      <w:r w:rsidR="009048F8">
        <w:t xml:space="preserve">” </w:t>
      </w:r>
      <w:r w:rsidR="005B5EF5">
        <w:rPr>
          <w:i/>
        </w:rPr>
        <w:t>N.A.P.P.</w:t>
      </w:r>
      <w:r w:rsidR="005074A8">
        <w:rPr>
          <w:i/>
        </w:rPr>
        <w:t xml:space="preserve"> Realty Tr. v. CC Enters.</w:t>
      </w:r>
      <w:r w:rsidR="00A421CE">
        <w:rPr>
          <w:i/>
        </w:rPr>
        <w:t xml:space="preserve">, </w:t>
      </w:r>
      <w:r w:rsidR="00A421CE">
        <w:t>147 N.H. 137,</w:t>
      </w:r>
      <w:r w:rsidR="001E6304">
        <w:t xml:space="preserve"> 140,</w:t>
      </w:r>
      <w:r w:rsidR="00A421CE">
        <w:t xml:space="preserve"> 784 A.2d 1166</w:t>
      </w:r>
      <w:r w:rsidR="001E6304">
        <w:t>, 1169</w:t>
      </w:r>
      <w:r w:rsidR="00A421CE">
        <w:t xml:space="preserve"> (2001).</w:t>
      </w:r>
      <w:r w:rsidR="00D26CBA">
        <w:t xml:space="preserve">  </w:t>
      </w:r>
    </w:p>
    <w:p w:rsidR="00737162" w:rsidRDefault="001B2D0D">
      <w:pPr>
        <w:pStyle w:val="ListParagraph"/>
        <w:widowControl w:val="0"/>
        <w:numPr>
          <w:ilvl w:val="0"/>
          <w:numId w:val="14"/>
        </w:numPr>
        <w:jc w:val="both"/>
      </w:pPr>
      <w:r w:rsidRPr="004E25B2">
        <w:rPr>
          <w:b/>
          <w:i/>
        </w:rPr>
        <w:t>T</w:t>
      </w:r>
      <w:r w:rsidR="007F5A73" w:rsidRPr="004E25B2">
        <w:rPr>
          <w:b/>
          <w:i/>
        </w:rPr>
        <w:t>he State’s</w:t>
      </w:r>
      <w:r w:rsidR="00B954C8" w:rsidRPr="004E25B2">
        <w:rPr>
          <w:b/>
          <w:i/>
        </w:rPr>
        <w:t xml:space="preserve"> </w:t>
      </w:r>
      <w:r w:rsidR="007F5A73" w:rsidRPr="004E25B2">
        <w:rPr>
          <w:b/>
          <w:i/>
        </w:rPr>
        <w:t xml:space="preserve">Attempts </w:t>
      </w:r>
      <w:r w:rsidR="006B1FC6" w:rsidRPr="004E25B2">
        <w:rPr>
          <w:b/>
          <w:i/>
        </w:rPr>
        <w:t xml:space="preserve">to </w:t>
      </w:r>
      <w:r w:rsidR="00AB5E5C">
        <w:rPr>
          <w:b/>
          <w:i/>
        </w:rPr>
        <w:t xml:space="preserve">Explain its </w:t>
      </w:r>
      <w:r w:rsidR="000E396D" w:rsidRPr="004E25B2">
        <w:rPr>
          <w:b/>
          <w:i/>
        </w:rPr>
        <w:t xml:space="preserve">Prior Conduct </w:t>
      </w:r>
      <w:r w:rsidR="004E25B2">
        <w:rPr>
          <w:b/>
          <w:i/>
        </w:rPr>
        <w:t>a</w:t>
      </w:r>
      <w:r w:rsidR="007F5A73" w:rsidRPr="004E25B2">
        <w:rPr>
          <w:b/>
          <w:i/>
        </w:rPr>
        <w:t>re Unavailing.</w:t>
      </w:r>
    </w:p>
    <w:p w:rsidR="00C80ED9" w:rsidRPr="00EE406C" w:rsidRDefault="00C80ED9">
      <w:pPr>
        <w:widowControl w:val="0"/>
        <w:ind w:firstLine="720"/>
        <w:jc w:val="both"/>
        <w:rPr>
          <w:sz w:val="16"/>
          <w:szCs w:val="16"/>
        </w:rPr>
      </w:pPr>
    </w:p>
    <w:p w:rsidR="00FC2B3E" w:rsidRDefault="007602DC">
      <w:pPr>
        <w:widowControl w:val="0"/>
        <w:spacing w:line="480" w:lineRule="auto"/>
        <w:ind w:firstLine="720"/>
        <w:jc w:val="both"/>
      </w:pPr>
      <w:r>
        <w:t>The State</w:t>
      </w:r>
      <w:r w:rsidR="00AB5E5C">
        <w:t xml:space="preserve"> advances several arguments </w:t>
      </w:r>
      <w:r w:rsidR="00213C43">
        <w:t>to try</w:t>
      </w:r>
      <w:r w:rsidR="00AB5E5C">
        <w:t xml:space="preserve"> to harmonize its </w:t>
      </w:r>
      <w:r w:rsidR="00B9401A">
        <w:t>prior conduct</w:t>
      </w:r>
      <w:r w:rsidR="0033573A">
        <w:t xml:space="preserve"> of reporting only occupied Housing Slots with its current </w:t>
      </w:r>
      <w:r w:rsidR="0048656B">
        <w:t xml:space="preserve">position </w:t>
      </w:r>
      <w:r w:rsidR="00015F8F">
        <w:t>that</w:t>
      </w:r>
      <w:r w:rsidR="00213C43">
        <w:t xml:space="preserve"> vacan</w:t>
      </w:r>
      <w:r w:rsidR="0033573A">
        <w:t xml:space="preserve">t </w:t>
      </w:r>
      <w:r w:rsidR="00015F8F">
        <w:t>Housing Slots also</w:t>
      </w:r>
      <w:r w:rsidR="00B9401A">
        <w:t xml:space="preserve"> count</w:t>
      </w:r>
      <w:r w:rsidR="00060B60">
        <w:t xml:space="preserve"> toward compliance</w:t>
      </w:r>
      <w:r w:rsidR="00B9401A">
        <w:t xml:space="preserve">. </w:t>
      </w:r>
      <w:r w:rsidR="00FC2B3E">
        <w:t>None are persuasive.</w:t>
      </w:r>
    </w:p>
    <w:p w:rsidR="004A7FBE" w:rsidRDefault="004A7FBE">
      <w:pPr>
        <w:widowControl w:val="0"/>
        <w:spacing w:line="480" w:lineRule="auto"/>
        <w:ind w:firstLine="720"/>
        <w:jc w:val="both"/>
        <w:rPr>
          <w:sz w:val="22"/>
        </w:rPr>
      </w:pPr>
      <w:r>
        <w:t xml:space="preserve">First, the State argues that its conduct after the United States raised the interpretation </w:t>
      </w:r>
      <w:r w:rsidR="003C2759">
        <w:lastRenderedPageBreak/>
        <w:t xml:space="preserve">dispute </w:t>
      </w:r>
      <w:r>
        <w:t>in March 2015 is consistent with its current legal position. Def.’s Opp’n 23. Th</w:t>
      </w:r>
      <w:r w:rsidR="00213C43">
        <w:t xml:space="preserve">e United States does not dispute </w:t>
      </w:r>
      <w:r w:rsidR="00AE250A">
        <w:t xml:space="preserve">this; rather, </w:t>
      </w:r>
      <w:r>
        <w:t xml:space="preserve">the State’s </w:t>
      </w:r>
      <w:r w:rsidR="00213C43">
        <w:t xml:space="preserve">evolving </w:t>
      </w:r>
      <w:r>
        <w:t xml:space="preserve">reporting practices </w:t>
      </w:r>
      <w:r>
        <w:rPr>
          <w:i/>
          <w:iCs/>
        </w:rPr>
        <w:t>prior to that date</w:t>
      </w:r>
      <w:r>
        <w:t xml:space="preserve"> reveal </w:t>
      </w:r>
      <w:r w:rsidR="00F04D7B">
        <w:t xml:space="preserve">the State’s </w:t>
      </w:r>
      <w:r w:rsidR="00DF51A8">
        <w:t>attempt to re</w:t>
      </w:r>
      <w:r w:rsidR="00D63F0D">
        <w:t>frame</w:t>
      </w:r>
      <w:r>
        <w:t xml:space="preserve"> its legal obligation</w:t>
      </w:r>
      <w:r w:rsidR="006C7F71">
        <w:t>,</w:t>
      </w:r>
      <w:r>
        <w:t xml:space="preserve"> as the likelihood of noncompliance became clear. U.S.’s Br</w:t>
      </w:r>
      <w:r w:rsidR="003A52C2">
        <w:t>.</w:t>
      </w:r>
      <w:r w:rsidR="00E00B6A">
        <w:t xml:space="preserve"> 7</w:t>
      </w:r>
      <w:r w:rsidR="003B35BA">
        <w:t>–</w:t>
      </w:r>
      <w:r>
        <w:t>9</w:t>
      </w:r>
      <w:r w:rsidR="007F09A2">
        <w:t>, 18</w:t>
      </w:r>
      <w:r w:rsidR="00E00B6A">
        <w:t xml:space="preserve">–20 (tracing </w:t>
      </w:r>
      <w:r>
        <w:t>evoluti</w:t>
      </w:r>
      <w:r w:rsidR="00E00B6A">
        <w:t xml:space="preserve">on from </w:t>
      </w:r>
      <w:r w:rsidR="00B37083">
        <w:t xml:space="preserve">Agreement’s inception through </w:t>
      </w:r>
      <w:r w:rsidR="00D63F0D">
        <w:t xml:space="preserve">March 2015). </w:t>
      </w:r>
      <w:r>
        <w:t>When the parties</w:t>
      </w:r>
      <w:r w:rsidR="00D63F0D">
        <w:t>’ pre-dispute conduct reveals a practical</w:t>
      </w:r>
      <w:r>
        <w:t xml:space="preserve"> interpretation of their contract, as it does here, courts “will ordinarily adopt the construction the parties have given the cont</w:t>
      </w:r>
      <w:r w:rsidR="00A16807">
        <w:t>ract” before the dispute arose.</w:t>
      </w:r>
      <w:r>
        <w:t xml:space="preserve"> </w:t>
      </w:r>
      <w:r w:rsidR="00094E34">
        <w:rPr>
          <w:i/>
        </w:rPr>
        <w:t xml:space="preserve">See </w:t>
      </w:r>
      <w:r>
        <w:rPr>
          <w:i/>
          <w:iCs/>
        </w:rPr>
        <w:t>Lynn v. Lynn</w:t>
      </w:r>
      <w:r>
        <w:t xml:space="preserve">, 202 N.C. App. 423, 432, 689 S.E.2d 198, 205 (2010). </w:t>
      </w:r>
    </w:p>
    <w:p w:rsidR="004F7837" w:rsidRPr="004A7FBE" w:rsidRDefault="00473548">
      <w:pPr>
        <w:widowControl w:val="0"/>
        <w:spacing w:line="480" w:lineRule="auto"/>
        <w:ind w:firstLine="720"/>
        <w:jc w:val="both"/>
      </w:pPr>
      <w:r>
        <w:t>Second</w:t>
      </w:r>
      <w:r w:rsidR="00EF3E6B">
        <w:t xml:space="preserve">, the State asserts that </w:t>
      </w:r>
      <w:r w:rsidR="00015F8F">
        <w:t xml:space="preserve">its prior reporting </w:t>
      </w:r>
      <w:r w:rsidR="00F364D3">
        <w:t>included</w:t>
      </w:r>
      <w:r w:rsidR="00DD03A8">
        <w:t xml:space="preserve"> only occupied Housing Slots</w:t>
      </w:r>
      <w:r w:rsidR="00EF3E6B">
        <w:t xml:space="preserve"> because</w:t>
      </w:r>
      <w:r w:rsidR="00DD03A8">
        <w:t xml:space="preserve"> </w:t>
      </w:r>
      <w:r w:rsidR="00D63F0D">
        <w:t>“few tenants []</w:t>
      </w:r>
      <w:r w:rsidR="003B36CB">
        <w:t xml:space="preserve"> had died or moved out</w:t>
      </w:r>
      <w:r w:rsidR="00D63F0D">
        <w:t>”</w:t>
      </w:r>
      <w:r w:rsidR="003B36CB">
        <w:t xml:space="preserve"> in the early implementation phase</w:t>
      </w:r>
      <w:r w:rsidR="00015F8F">
        <w:t xml:space="preserve">, leaving no turnover </w:t>
      </w:r>
      <w:r w:rsidR="00483D85">
        <w:t xml:space="preserve">of consequence </w:t>
      </w:r>
      <w:r w:rsidR="00015F8F">
        <w:t>to report</w:t>
      </w:r>
      <w:r w:rsidR="003B36CB">
        <w:t>.</w:t>
      </w:r>
      <w:r w:rsidR="00D63F0D">
        <w:t xml:space="preserve"> </w:t>
      </w:r>
      <w:r w:rsidR="004E0C35">
        <w:t xml:space="preserve">Def.’s </w:t>
      </w:r>
      <w:r w:rsidR="00EF3E6B">
        <w:t>Opp</w:t>
      </w:r>
      <w:r w:rsidR="004E0C35">
        <w:t xml:space="preserve">’n </w:t>
      </w:r>
      <w:r w:rsidR="00E82238">
        <w:t xml:space="preserve">23. </w:t>
      </w:r>
      <w:r w:rsidR="00DF0C73">
        <w:t>But t</w:t>
      </w:r>
      <w:r w:rsidR="00F10EDB">
        <w:t>he</w:t>
      </w:r>
      <w:r w:rsidR="00D34394">
        <w:t xml:space="preserve"> State </w:t>
      </w:r>
      <w:r w:rsidR="00370D06">
        <w:t>does not substantiate</w:t>
      </w:r>
      <w:r w:rsidR="00D34394">
        <w:t xml:space="preserve"> its assertion that turnover </w:t>
      </w:r>
      <w:r w:rsidR="000675F8">
        <w:t xml:space="preserve">during that time </w:t>
      </w:r>
      <w:r w:rsidR="00D34394">
        <w:t xml:space="preserve">was negligible. </w:t>
      </w:r>
      <w:r w:rsidR="002D026D">
        <w:t>Also</w:t>
      </w:r>
      <w:r w:rsidR="000B46FA">
        <w:t xml:space="preserve">, </w:t>
      </w:r>
      <w:r w:rsidR="00154B68">
        <w:t xml:space="preserve">the State </w:t>
      </w:r>
      <w:r w:rsidR="00291D24">
        <w:t xml:space="preserve">began </w:t>
      </w:r>
      <w:r w:rsidR="00154B68">
        <w:t>provid</w:t>
      </w:r>
      <w:r w:rsidR="00291D24">
        <w:t>ing</w:t>
      </w:r>
      <w:r w:rsidR="00EF3E6B">
        <w:t xml:space="preserve"> mo</w:t>
      </w:r>
      <w:r w:rsidR="00E82238">
        <w:t xml:space="preserve">nthly reports </w:t>
      </w:r>
      <w:r w:rsidR="00291D24">
        <w:t>in</w:t>
      </w:r>
      <w:r w:rsidR="00E82238">
        <w:t xml:space="preserve"> April 2014—</w:t>
      </w:r>
      <w:r w:rsidR="00EF3E6B">
        <w:t xml:space="preserve">nearly </w:t>
      </w:r>
      <w:r w:rsidR="00E82238">
        <w:t>two years into implementation</w:t>
      </w:r>
      <w:r w:rsidR="00E97AB9">
        <w:t xml:space="preserve">. </w:t>
      </w:r>
      <w:r w:rsidR="002D026D">
        <w:t xml:space="preserve">Earlier </w:t>
      </w:r>
      <w:r w:rsidR="00154B68">
        <w:t>State reports indicate that f</w:t>
      </w:r>
      <w:r w:rsidR="00313B06">
        <w:t>rom</w:t>
      </w:r>
      <w:r w:rsidR="00E97AB9">
        <w:t xml:space="preserve"> </w:t>
      </w:r>
      <w:r w:rsidR="00313B06">
        <w:t>August</w:t>
      </w:r>
      <w:r w:rsidR="00E97AB9">
        <w:t xml:space="preserve"> 2013</w:t>
      </w:r>
      <w:r w:rsidR="00313B06">
        <w:t xml:space="preserve"> to January 2014, between</w:t>
      </w:r>
      <w:r w:rsidR="00E97AB9">
        <w:t xml:space="preserve"> </w:t>
      </w:r>
      <w:r w:rsidR="00313B06">
        <w:t>77 and 169 individuals occupied Housing Slots.</w:t>
      </w:r>
      <w:r w:rsidR="00E97AB9" w:rsidRPr="0064018A">
        <w:rPr>
          <w:rStyle w:val="FootnoteReference"/>
        </w:rPr>
        <w:footnoteReference w:id="2"/>
      </w:r>
      <w:r w:rsidR="00E82238">
        <w:t xml:space="preserve"> </w:t>
      </w:r>
      <w:r w:rsidR="000B46FA">
        <w:t>Thus, i</w:t>
      </w:r>
      <w:r w:rsidR="002E0A2E">
        <w:t>t is unlikely</w:t>
      </w:r>
      <w:r w:rsidR="00E82238">
        <w:t xml:space="preserve"> that</w:t>
      </w:r>
      <w:r w:rsidR="003B36CB">
        <w:t xml:space="preserve"> turnover</w:t>
      </w:r>
      <w:r w:rsidR="000675F8">
        <w:t xml:space="preserve"> </w:t>
      </w:r>
      <w:r w:rsidR="00EF3E6B">
        <w:t xml:space="preserve">was </w:t>
      </w:r>
      <w:r w:rsidR="002E0A2E">
        <w:t>negligible</w:t>
      </w:r>
      <w:r w:rsidR="00042D92">
        <w:t xml:space="preserve">, </w:t>
      </w:r>
      <w:r w:rsidR="000B46FA">
        <w:t xml:space="preserve">especially </w:t>
      </w:r>
      <w:r w:rsidR="00042D92">
        <w:t xml:space="preserve">given that </w:t>
      </w:r>
      <w:r w:rsidR="00EF3E6B">
        <w:t>a</w:t>
      </w:r>
      <w:r w:rsidR="002E0A2E">
        <w:t>t least</w:t>
      </w:r>
      <w:r w:rsidR="00EF3E6B">
        <w:t xml:space="preserve"> </w:t>
      </w:r>
      <w:r w:rsidR="002E0A2E">
        <w:t>17</w:t>
      </w:r>
      <w:r w:rsidR="00EF3E6B">
        <w:t xml:space="preserve"> individuals vacated </w:t>
      </w:r>
      <w:r w:rsidR="004E0C35">
        <w:t xml:space="preserve">their </w:t>
      </w:r>
      <w:r w:rsidR="00EF3E6B">
        <w:t>Housing Slots</w:t>
      </w:r>
      <w:r w:rsidR="002E0A2E">
        <w:t xml:space="preserve"> </w:t>
      </w:r>
      <w:r w:rsidR="00154B68">
        <w:t xml:space="preserve">from </w:t>
      </w:r>
      <w:r w:rsidR="00042D92">
        <w:t>April through August 2014</w:t>
      </w:r>
      <w:r w:rsidR="00EF3E6B" w:rsidRPr="00417D62">
        <w:t>.</w:t>
      </w:r>
      <w:r w:rsidR="00EF3E6B" w:rsidRPr="00417D62">
        <w:rPr>
          <w:rStyle w:val="FootnoteReference"/>
        </w:rPr>
        <w:footnoteReference w:id="3"/>
      </w:r>
      <w:r w:rsidR="004C7576" w:rsidRPr="00417D62">
        <w:rPr>
          <w:vertAlign w:val="superscript"/>
        </w:rPr>
        <w:t xml:space="preserve"> </w:t>
      </w:r>
    </w:p>
    <w:p w:rsidR="00317825" w:rsidRDefault="003135A7" w:rsidP="00761554">
      <w:pPr>
        <w:widowControl w:val="0"/>
        <w:spacing w:line="480" w:lineRule="auto"/>
        <w:jc w:val="both"/>
        <w:rPr>
          <w:b/>
          <w:i/>
        </w:rPr>
      </w:pPr>
      <w:r>
        <w:lastRenderedPageBreak/>
        <w:tab/>
      </w:r>
      <w:r w:rsidR="007F5A73">
        <w:t>Lastly,</w:t>
      </w:r>
      <w:r w:rsidR="001479EB">
        <w:t xml:space="preserve"> </w:t>
      </w:r>
      <w:r w:rsidR="007C6EF1">
        <w:t xml:space="preserve">based on a vague and </w:t>
      </w:r>
      <w:r w:rsidR="00DC63D8">
        <w:t xml:space="preserve">uncorroborated </w:t>
      </w:r>
      <w:r w:rsidR="00504AC7">
        <w:t>affidavit from</w:t>
      </w:r>
      <w:r w:rsidR="007C6EF1">
        <w:t xml:space="preserve"> </w:t>
      </w:r>
      <w:r w:rsidR="00504AC7">
        <w:t xml:space="preserve">a </w:t>
      </w:r>
      <w:r w:rsidR="007C6EF1">
        <w:t xml:space="preserve">State employee, </w:t>
      </w:r>
      <w:r w:rsidR="001479EB">
        <w:t xml:space="preserve">the State </w:t>
      </w:r>
      <w:r w:rsidR="00125FFF">
        <w:t>claim</w:t>
      </w:r>
      <w:r w:rsidR="00F63F8D">
        <w:t>s</w:t>
      </w:r>
      <w:r w:rsidR="00DF5B2C">
        <w:t xml:space="preserve"> </w:t>
      </w:r>
      <w:r w:rsidR="00C26812">
        <w:t xml:space="preserve">that </w:t>
      </w:r>
      <w:r w:rsidR="00DB54AB">
        <w:t xml:space="preserve">it changed the summary table of its monthly reports to present the “running total” of occupied and vacant Housing Slots at the Independent Reviewer’s request. Def.’s Opp’n 24. </w:t>
      </w:r>
      <w:r w:rsidR="00444605">
        <w:t>T</w:t>
      </w:r>
      <w:r w:rsidR="00DB54AB">
        <w:t xml:space="preserve">he State </w:t>
      </w:r>
      <w:r w:rsidR="00444605">
        <w:t>seems to argue</w:t>
      </w:r>
      <w:r w:rsidR="00DB54AB">
        <w:t xml:space="preserve"> that </w:t>
      </w:r>
      <w:r w:rsidR="00340E1B">
        <w:t xml:space="preserve">its </w:t>
      </w:r>
      <w:r w:rsidR="00444605">
        <w:t>“accommodation” of the Reviewer’s alleged request undermines</w:t>
      </w:r>
      <w:r w:rsidR="00483D85">
        <w:t xml:space="preserve"> the significance of the State’s</w:t>
      </w:r>
      <w:r w:rsidR="00444605">
        <w:t xml:space="preserve"> </w:t>
      </w:r>
      <w:r w:rsidR="00483D85">
        <w:t xml:space="preserve">early </w:t>
      </w:r>
      <w:r w:rsidR="00340E1B">
        <w:t xml:space="preserve">reporting </w:t>
      </w:r>
      <w:r w:rsidR="00483D85">
        <w:t>of only occupied Housing Slots</w:t>
      </w:r>
      <w:r w:rsidR="00DB54AB">
        <w:t xml:space="preserve">. </w:t>
      </w:r>
      <w:r w:rsidR="00E00B6A">
        <w:rPr>
          <w:i/>
        </w:rPr>
        <w:t xml:space="preserve">See id. </w:t>
      </w:r>
      <w:r w:rsidR="00883CD0">
        <w:t xml:space="preserve">Regardless of whether </w:t>
      </w:r>
      <w:r w:rsidR="007C6EF1">
        <w:t xml:space="preserve">the State later changed its reporting at the Reviewer’s request, the </w:t>
      </w:r>
      <w:r w:rsidR="008127CE">
        <w:t>State’s</w:t>
      </w:r>
      <w:r w:rsidR="00D950D7">
        <w:t xml:space="preserve"> prior conduct </w:t>
      </w:r>
      <w:r w:rsidR="00D362CF">
        <w:t xml:space="preserve">reflects </w:t>
      </w:r>
      <w:r w:rsidR="00E976BC">
        <w:t>its</w:t>
      </w:r>
      <w:r w:rsidR="00483D85">
        <w:t xml:space="preserve"> early interpretation that only occupied Housing Slots satisfy</w:t>
      </w:r>
      <w:r w:rsidR="00D950D7">
        <w:t xml:space="preserve"> section III(B)(3).</w:t>
      </w:r>
      <w:r w:rsidR="000A57F5">
        <w:t xml:space="preserve"> </w:t>
      </w:r>
      <w:r w:rsidR="00152662">
        <w:t xml:space="preserve">  </w:t>
      </w:r>
      <w:r w:rsidR="001007F1">
        <w:t xml:space="preserve">   </w:t>
      </w:r>
    </w:p>
    <w:p w:rsidR="00581AE4" w:rsidRPr="000C5324" w:rsidRDefault="00641CC3" w:rsidP="00850B36">
      <w:pPr>
        <w:pStyle w:val="ListParagraph"/>
        <w:widowControl w:val="0"/>
        <w:numPr>
          <w:ilvl w:val="0"/>
          <w:numId w:val="8"/>
        </w:numPr>
        <w:jc w:val="both"/>
      </w:pPr>
      <w:r w:rsidRPr="000C5324">
        <w:rPr>
          <w:b/>
          <w:i/>
        </w:rPr>
        <w:t>The In</w:t>
      </w:r>
      <w:r w:rsidR="004E25B2" w:rsidRPr="000C5324">
        <w:rPr>
          <w:b/>
          <w:i/>
        </w:rPr>
        <w:t xml:space="preserve">dependent Reviewer Measures </w:t>
      </w:r>
      <w:r w:rsidRPr="000C5324">
        <w:rPr>
          <w:b/>
          <w:i/>
        </w:rPr>
        <w:t xml:space="preserve">Compliance </w:t>
      </w:r>
      <w:r w:rsidR="00911F9F" w:rsidRPr="000C5324">
        <w:rPr>
          <w:b/>
          <w:i/>
        </w:rPr>
        <w:t>by Counting Only Occupied Housing Slots</w:t>
      </w:r>
      <w:r w:rsidRPr="000C5324">
        <w:rPr>
          <w:b/>
          <w:i/>
        </w:rPr>
        <w:t>.</w:t>
      </w:r>
    </w:p>
    <w:p w:rsidR="00E35522" w:rsidRPr="00EE406C" w:rsidRDefault="00E35522" w:rsidP="00850B36">
      <w:pPr>
        <w:widowControl w:val="0"/>
        <w:jc w:val="both"/>
        <w:rPr>
          <w:sz w:val="16"/>
          <w:szCs w:val="16"/>
        </w:rPr>
      </w:pPr>
    </w:p>
    <w:p w:rsidR="003F539C" w:rsidRDefault="008127CE" w:rsidP="00850B36">
      <w:pPr>
        <w:widowControl w:val="0"/>
        <w:spacing w:line="480" w:lineRule="auto"/>
        <w:ind w:firstLine="720"/>
        <w:jc w:val="both"/>
        <w:rPr>
          <w:szCs w:val="24"/>
        </w:rPr>
      </w:pPr>
      <w:r>
        <w:rPr>
          <w:szCs w:val="24"/>
        </w:rPr>
        <w:t>The Independent Reviewer</w:t>
      </w:r>
      <w:r w:rsidR="00F97649">
        <w:rPr>
          <w:szCs w:val="24"/>
        </w:rPr>
        <w:t xml:space="preserve"> </w:t>
      </w:r>
      <w:r>
        <w:rPr>
          <w:szCs w:val="24"/>
        </w:rPr>
        <w:t>measures</w:t>
      </w:r>
      <w:r w:rsidR="002136D3">
        <w:rPr>
          <w:szCs w:val="24"/>
        </w:rPr>
        <w:t xml:space="preserve"> the State’s compliance with section III(B)(3) as the number o</w:t>
      </w:r>
      <w:r w:rsidR="00B56234">
        <w:rPr>
          <w:szCs w:val="24"/>
        </w:rPr>
        <w:t xml:space="preserve">f </w:t>
      </w:r>
      <w:r w:rsidR="005936CD">
        <w:rPr>
          <w:szCs w:val="24"/>
        </w:rPr>
        <w:t>occupied</w:t>
      </w:r>
      <w:r w:rsidR="00B56234">
        <w:rPr>
          <w:szCs w:val="24"/>
        </w:rPr>
        <w:t xml:space="preserve"> Housing Slots on the </w:t>
      </w:r>
      <w:r>
        <w:rPr>
          <w:szCs w:val="24"/>
        </w:rPr>
        <w:t>annual</w:t>
      </w:r>
      <w:r w:rsidR="00B56234">
        <w:rPr>
          <w:szCs w:val="24"/>
        </w:rPr>
        <w:t xml:space="preserve"> compliance dates.</w:t>
      </w:r>
      <w:r w:rsidR="00B56234" w:rsidRPr="0064018A">
        <w:rPr>
          <w:rStyle w:val="FootnoteReference"/>
        </w:rPr>
        <w:footnoteReference w:id="4"/>
      </w:r>
      <w:r w:rsidR="005936CD">
        <w:rPr>
          <w:szCs w:val="24"/>
        </w:rPr>
        <w:t xml:space="preserve"> </w:t>
      </w:r>
      <w:r w:rsidR="00E00B6A">
        <w:rPr>
          <w:szCs w:val="24"/>
        </w:rPr>
        <w:t xml:space="preserve">2016 Annual Rep. 24, 28 (Fig. 6), D.E. 23-9 </w:t>
      </w:r>
      <w:r w:rsidR="00641CC3">
        <w:rPr>
          <w:szCs w:val="24"/>
        </w:rPr>
        <w:t xml:space="preserve">(reporting </w:t>
      </w:r>
      <w:r w:rsidR="005936CD">
        <w:rPr>
          <w:szCs w:val="24"/>
        </w:rPr>
        <w:t xml:space="preserve">that </w:t>
      </w:r>
      <w:r w:rsidR="00641CC3">
        <w:rPr>
          <w:szCs w:val="24"/>
        </w:rPr>
        <w:t xml:space="preserve">650 </w:t>
      </w:r>
      <w:r w:rsidR="005936CD">
        <w:rPr>
          <w:szCs w:val="24"/>
        </w:rPr>
        <w:t>individuals had “r</w:t>
      </w:r>
      <w:r w:rsidR="00AE250A">
        <w:rPr>
          <w:szCs w:val="24"/>
        </w:rPr>
        <w:t xml:space="preserve">etained their rental unit” and </w:t>
      </w:r>
      <w:r w:rsidR="005936CD">
        <w:rPr>
          <w:szCs w:val="24"/>
        </w:rPr>
        <w:t>that the State was 516 slots shy of meeting “</w:t>
      </w:r>
      <w:r w:rsidR="00641CC3">
        <w:rPr>
          <w:szCs w:val="24"/>
        </w:rPr>
        <w:t>the 2016 Housing filled unit obligatio</w:t>
      </w:r>
      <w:r w:rsidR="005936CD">
        <w:rPr>
          <w:szCs w:val="24"/>
        </w:rPr>
        <w:t>n</w:t>
      </w:r>
      <w:r w:rsidR="00641CC3">
        <w:rPr>
          <w:szCs w:val="24"/>
        </w:rPr>
        <w:t>”</w:t>
      </w:r>
      <w:r w:rsidR="005936CD">
        <w:rPr>
          <w:szCs w:val="24"/>
        </w:rPr>
        <w:t xml:space="preserve"> of 1,166</w:t>
      </w:r>
      <w:r w:rsidR="00641CC3">
        <w:rPr>
          <w:szCs w:val="24"/>
        </w:rPr>
        <w:t>)</w:t>
      </w:r>
      <w:r w:rsidR="00625FDE">
        <w:rPr>
          <w:szCs w:val="24"/>
        </w:rPr>
        <w:t xml:space="preserve">; 2015 Annual Rep. 8, </w:t>
      </w:r>
      <w:r w:rsidR="00B56234">
        <w:rPr>
          <w:szCs w:val="24"/>
        </w:rPr>
        <w:t>D.E. 23-4</w:t>
      </w:r>
      <w:r w:rsidR="00AE250A">
        <w:rPr>
          <w:szCs w:val="24"/>
        </w:rPr>
        <w:t>.</w:t>
      </w:r>
      <w:r w:rsidR="003F539C">
        <w:rPr>
          <w:szCs w:val="24"/>
        </w:rPr>
        <w:t xml:space="preserve"> Notably, </w:t>
      </w:r>
      <w:r w:rsidR="005936CD">
        <w:rPr>
          <w:szCs w:val="24"/>
        </w:rPr>
        <w:t xml:space="preserve">the </w:t>
      </w:r>
      <w:r w:rsidR="00E976BC">
        <w:rPr>
          <w:szCs w:val="24"/>
        </w:rPr>
        <w:t xml:space="preserve">Independent </w:t>
      </w:r>
      <w:r w:rsidR="005936CD">
        <w:rPr>
          <w:szCs w:val="24"/>
        </w:rPr>
        <w:t>Reviewer</w:t>
      </w:r>
      <w:r w:rsidR="003F539C">
        <w:rPr>
          <w:szCs w:val="24"/>
        </w:rPr>
        <w:t xml:space="preserve"> explains that “[f]illing the exact number of slots as required in this Agreement or in any housing program requires refilling a substantial number of Housing Slots that are vacated ov</w:t>
      </w:r>
      <w:r w:rsidR="00911F9F">
        <w:rPr>
          <w:szCs w:val="24"/>
        </w:rPr>
        <w:t xml:space="preserve">er the course of eight years.” </w:t>
      </w:r>
      <w:r w:rsidR="00FE2577">
        <w:rPr>
          <w:szCs w:val="24"/>
        </w:rPr>
        <w:t xml:space="preserve">2016 Annual Rep. 24; </w:t>
      </w:r>
      <w:r w:rsidR="00FE2577">
        <w:rPr>
          <w:i/>
          <w:szCs w:val="24"/>
        </w:rPr>
        <w:t xml:space="preserve">see </w:t>
      </w:r>
      <w:r w:rsidR="00FE2577">
        <w:rPr>
          <w:szCs w:val="24"/>
        </w:rPr>
        <w:t xml:space="preserve">2016 Annual Rep. </w:t>
      </w:r>
      <w:r w:rsidR="00E00B6A">
        <w:rPr>
          <w:szCs w:val="24"/>
        </w:rPr>
        <w:t>13</w:t>
      </w:r>
      <w:r w:rsidR="00FE2577">
        <w:rPr>
          <w:szCs w:val="24"/>
        </w:rPr>
        <w:t xml:space="preserve">, </w:t>
      </w:r>
      <w:r w:rsidR="00E00B6A">
        <w:rPr>
          <w:szCs w:val="24"/>
        </w:rPr>
        <w:t>24</w:t>
      </w:r>
      <w:r w:rsidR="004D1A9A">
        <w:rPr>
          <w:szCs w:val="24"/>
        </w:rPr>
        <w:t>–30</w:t>
      </w:r>
      <w:r w:rsidR="00E00B6A">
        <w:rPr>
          <w:szCs w:val="24"/>
        </w:rPr>
        <w:t xml:space="preserve">, 33 </w:t>
      </w:r>
      <w:r w:rsidR="004D1A9A">
        <w:rPr>
          <w:szCs w:val="24"/>
        </w:rPr>
        <w:t>(</w:t>
      </w:r>
      <w:r w:rsidR="00FE2577">
        <w:rPr>
          <w:szCs w:val="24"/>
        </w:rPr>
        <w:t xml:space="preserve">describing Housing Slots as “occupied (filled)” or “refilled”), </w:t>
      </w:r>
      <w:r w:rsidR="004D1A9A">
        <w:rPr>
          <w:szCs w:val="24"/>
        </w:rPr>
        <w:t>23 (“Central to the State’s taking effective measures to meet its Supported Housing compliance requirements is maintaining a low turnover rate.”).</w:t>
      </w:r>
      <w:r w:rsidR="003F539C">
        <w:rPr>
          <w:szCs w:val="24"/>
        </w:rPr>
        <w:t xml:space="preserve"> </w:t>
      </w:r>
    </w:p>
    <w:p w:rsidR="00A37DC5" w:rsidRPr="00BC43DA" w:rsidRDefault="00C25A13">
      <w:pPr>
        <w:pStyle w:val="ListParagraph"/>
        <w:widowControl w:val="0"/>
        <w:numPr>
          <w:ilvl w:val="0"/>
          <w:numId w:val="3"/>
        </w:numPr>
        <w:jc w:val="both"/>
        <w:rPr>
          <w:rStyle w:val="SubtleReference"/>
          <w:b/>
        </w:rPr>
      </w:pPr>
      <w:r w:rsidRPr="00BC43DA">
        <w:rPr>
          <w:b/>
          <w:caps/>
          <w:szCs w:val="24"/>
        </w:rPr>
        <w:t xml:space="preserve">The State Has Not </w:t>
      </w:r>
      <w:r w:rsidR="00803030" w:rsidRPr="00BC43DA">
        <w:rPr>
          <w:b/>
          <w:caps/>
          <w:szCs w:val="24"/>
        </w:rPr>
        <w:t>Substa</w:t>
      </w:r>
      <w:r w:rsidR="000E396D">
        <w:rPr>
          <w:b/>
          <w:caps/>
          <w:szCs w:val="24"/>
        </w:rPr>
        <w:t xml:space="preserve">ntially Complied with SECTIONS </w:t>
      </w:r>
      <w:r w:rsidR="00803030" w:rsidRPr="00BC43DA">
        <w:rPr>
          <w:b/>
          <w:caps/>
          <w:szCs w:val="24"/>
        </w:rPr>
        <w:t>III(B)(3) AND III(D)(3)</w:t>
      </w:r>
      <w:r w:rsidRPr="00BC43DA">
        <w:rPr>
          <w:b/>
          <w:caps/>
          <w:szCs w:val="24"/>
        </w:rPr>
        <w:t>.</w:t>
      </w:r>
      <w:r w:rsidR="00A37DC5" w:rsidRPr="00BC43DA">
        <w:rPr>
          <w:rStyle w:val="SubtleReference"/>
          <w:b/>
        </w:rPr>
        <w:tab/>
      </w:r>
    </w:p>
    <w:p w:rsidR="00B75A29" w:rsidRPr="00EE406C" w:rsidRDefault="00B75A29">
      <w:pPr>
        <w:widowControl w:val="0"/>
        <w:jc w:val="both"/>
        <w:rPr>
          <w:rStyle w:val="SubtleReference"/>
          <w:sz w:val="16"/>
          <w:szCs w:val="16"/>
        </w:rPr>
      </w:pPr>
    </w:p>
    <w:p w:rsidR="00312E34" w:rsidRDefault="00F97649">
      <w:pPr>
        <w:widowControl w:val="0"/>
        <w:spacing w:line="480" w:lineRule="auto"/>
        <w:ind w:firstLine="720"/>
        <w:jc w:val="both"/>
        <w:rPr>
          <w:szCs w:val="24"/>
        </w:rPr>
      </w:pPr>
      <w:r>
        <w:rPr>
          <w:szCs w:val="24"/>
        </w:rPr>
        <w:t>T</w:t>
      </w:r>
      <w:r w:rsidR="00B75A29">
        <w:rPr>
          <w:szCs w:val="24"/>
        </w:rPr>
        <w:t>he State argues</w:t>
      </w:r>
      <w:r w:rsidR="004F0543">
        <w:rPr>
          <w:szCs w:val="24"/>
        </w:rPr>
        <w:t xml:space="preserve"> </w:t>
      </w:r>
      <w:r w:rsidR="00B75A29">
        <w:rPr>
          <w:szCs w:val="24"/>
        </w:rPr>
        <w:t xml:space="preserve">that </w:t>
      </w:r>
      <w:r w:rsidR="00436437">
        <w:rPr>
          <w:szCs w:val="24"/>
        </w:rPr>
        <w:t>it has</w:t>
      </w:r>
      <w:r w:rsidR="00B75A29">
        <w:rPr>
          <w:szCs w:val="24"/>
        </w:rPr>
        <w:t xml:space="preserve"> substantial</w:t>
      </w:r>
      <w:r w:rsidR="00436437">
        <w:rPr>
          <w:szCs w:val="24"/>
        </w:rPr>
        <w:t>ly</w:t>
      </w:r>
      <w:r w:rsidR="00B75A29">
        <w:rPr>
          <w:szCs w:val="24"/>
        </w:rPr>
        <w:t xml:space="preserve"> compli</w:t>
      </w:r>
      <w:r w:rsidR="00436437">
        <w:rPr>
          <w:szCs w:val="24"/>
        </w:rPr>
        <w:t>ed</w:t>
      </w:r>
      <w:r w:rsidR="00B75A29">
        <w:rPr>
          <w:szCs w:val="24"/>
        </w:rPr>
        <w:t xml:space="preserve"> with provisions not at issue in </w:t>
      </w:r>
      <w:r w:rsidR="00436437">
        <w:rPr>
          <w:szCs w:val="24"/>
        </w:rPr>
        <w:t xml:space="preserve">the </w:t>
      </w:r>
      <w:r w:rsidR="00911F9F">
        <w:rPr>
          <w:szCs w:val="24"/>
        </w:rPr>
        <w:t xml:space="preserve">Motion. Def.’s Opp’n 8, 11. </w:t>
      </w:r>
      <w:r w:rsidR="00A31C04">
        <w:rPr>
          <w:szCs w:val="24"/>
        </w:rPr>
        <w:t xml:space="preserve">The status of compliance with other provisions is not relevant here.  </w:t>
      </w:r>
      <w:r w:rsidR="00B75A29">
        <w:rPr>
          <w:szCs w:val="24"/>
        </w:rPr>
        <w:t xml:space="preserve">The United States moves to enforce two provisions </w:t>
      </w:r>
      <w:r w:rsidR="0062064C">
        <w:rPr>
          <w:szCs w:val="24"/>
        </w:rPr>
        <w:t xml:space="preserve">that are major requirements </w:t>
      </w:r>
      <w:r w:rsidR="00B75A29">
        <w:rPr>
          <w:szCs w:val="24"/>
        </w:rPr>
        <w:t>of the Agreement: sections III(B)(3) and III(D)(3).</w:t>
      </w:r>
      <w:r w:rsidR="00CA3C7D" w:rsidRPr="0064018A">
        <w:rPr>
          <w:rStyle w:val="FootnoteReference"/>
        </w:rPr>
        <w:footnoteReference w:id="5"/>
      </w:r>
      <w:r w:rsidR="00B75A29">
        <w:rPr>
          <w:szCs w:val="24"/>
        </w:rPr>
        <w:t xml:space="preserve"> </w:t>
      </w:r>
      <w:r w:rsidR="00911F9F">
        <w:rPr>
          <w:szCs w:val="24"/>
        </w:rPr>
        <w:t>The Independent Reviewer</w:t>
      </w:r>
      <w:r w:rsidR="00645B19">
        <w:rPr>
          <w:szCs w:val="24"/>
        </w:rPr>
        <w:t xml:space="preserve"> </w:t>
      </w:r>
      <w:r w:rsidR="00B75A29">
        <w:rPr>
          <w:szCs w:val="24"/>
        </w:rPr>
        <w:t>has consistently found the State noncompliant with</w:t>
      </w:r>
      <w:r w:rsidR="00CC1740">
        <w:rPr>
          <w:szCs w:val="24"/>
        </w:rPr>
        <w:t xml:space="preserve"> both provisions</w:t>
      </w:r>
      <w:r w:rsidR="00803030">
        <w:rPr>
          <w:szCs w:val="24"/>
        </w:rPr>
        <w:t>.</w:t>
      </w:r>
      <w:r w:rsidR="00645B19">
        <w:rPr>
          <w:szCs w:val="24"/>
        </w:rPr>
        <w:t xml:space="preserve"> 2016 A</w:t>
      </w:r>
      <w:r w:rsidR="000B6E6A">
        <w:rPr>
          <w:szCs w:val="24"/>
        </w:rPr>
        <w:t>nnual Rep.</w:t>
      </w:r>
      <w:r w:rsidR="00645B19">
        <w:rPr>
          <w:szCs w:val="24"/>
        </w:rPr>
        <w:t xml:space="preserve"> </w:t>
      </w:r>
      <w:r w:rsidR="001D35D1">
        <w:rPr>
          <w:szCs w:val="24"/>
        </w:rPr>
        <w:t>79</w:t>
      </w:r>
      <w:r w:rsidR="00645B19">
        <w:rPr>
          <w:szCs w:val="24"/>
        </w:rPr>
        <w:t xml:space="preserve"> </w:t>
      </w:r>
      <w:r w:rsidR="00013A7A">
        <w:rPr>
          <w:szCs w:val="24"/>
        </w:rPr>
        <w:t>(</w:t>
      </w:r>
      <w:r w:rsidR="007E0ED4">
        <w:rPr>
          <w:szCs w:val="24"/>
        </w:rPr>
        <w:t>“noncomp</w:t>
      </w:r>
      <w:r w:rsidR="00013A7A">
        <w:rPr>
          <w:szCs w:val="24"/>
        </w:rPr>
        <w:t xml:space="preserve">liance” rating for </w:t>
      </w:r>
      <w:r w:rsidR="00645B19">
        <w:rPr>
          <w:szCs w:val="24"/>
        </w:rPr>
        <w:t>S.A. § III(B)(3)) (“T</w:t>
      </w:r>
      <w:r w:rsidR="007E0ED4">
        <w:rPr>
          <w:szCs w:val="24"/>
        </w:rPr>
        <w:t>he State has not met this obligation for two conse</w:t>
      </w:r>
      <w:r w:rsidR="00D3559D">
        <w:rPr>
          <w:szCs w:val="24"/>
        </w:rPr>
        <w:t>cutive annual reporting periods</w:t>
      </w:r>
      <w:r w:rsidR="00645B19">
        <w:rPr>
          <w:szCs w:val="24"/>
        </w:rPr>
        <w:t>.</w:t>
      </w:r>
      <w:r w:rsidR="007E0ED4">
        <w:rPr>
          <w:szCs w:val="24"/>
        </w:rPr>
        <w:t>”), 8</w:t>
      </w:r>
      <w:r w:rsidR="001D35D1">
        <w:rPr>
          <w:szCs w:val="24"/>
        </w:rPr>
        <w:t>5</w:t>
      </w:r>
      <w:r w:rsidR="007E0ED4">
        <w:rPr>
          <w:szCs w:val="24"/>
        </w:rPr>
        <w:t xml:space="preserve"> (“noncompliance” rating for</w:t>
      </w:r>
      <w:r w:rsidR="00645B19">
        <w:rPr>
          <w:szCs w:val="24"/>
        </w:rPr>
        <w:t xml:space="preserve"> S.A. </w:t>
      </w:r>
      <w:r w:rsidR="007E0ED4">
        <w:rPr>
          <w:szCs w:val="24"/>
        </w:rPr>
        <w:t xml:space="preserve">§ III(D)(3)).  </w:t>
      </w:r>
    </w:p>
    <w:p w:rsidR="00A731A2" w:rsidRDefault="00645B19">
      <w:pPr>
        <w:widowControl w:val="0"/>
        <w:spacing w:line="480" w:lineRule="auto"/>
        <w:ind w:firstLine="720"/>
        <w:jc w:val="both"/>
        <w:rPr>
          <w:szCs w:val="24"/>
        </w:rPr>
      </w:pPr>
      <w:r>
        <w:rPr>
          <w:szCs w:val="24"/>
        </w:rPr>
        <w:t xml:space="preserve">On July 1, 2016, the State </w:t>
      </w:r>
      <w:r w:rsidR="0096752E">
        <w:rPr>
          <w:szCs w:val="24"/>
        </w:rPr>
        <w:t>was</w:t>
      </w:r>
      <w:r>
        <w:rPr>
          <w:szCs w:val="24"/>
        </w:rPr>
        <w:t xml:space="preserve"> provid</w:t>
      </w:r>
      <w:r w:rsidR="0096752E">
        <w:rPr>
          <w:szCs w:val="24"/>
        </w:rPr>
        <w:t>ing</w:t>
      </w:r>
      <w:r>
        <w:rPr>
          <w:szCs w:val="24"/>
        </w:rPr>
        <w:t xml:space="preserve"> Housing Slots to </w:t>
      </w:r>
      <w:r w:rsidR="00A37DC5">
        <w:rPr>
          <w:szCs w:val="24"/>
        </w:rPr>
        <w:t xml:space="preserve">only 650 of the required 1,166 </w:t>
      </w:r>
      <w:r w:rsidR="000B6E6A">
        <w:rPr>
          <w:szCs w:val="24"/>
        </w:rPr>
        <w:t>individuals.</w:t>
      </w:r>
      <w:r w:rsidR="00911F9F">
        <w:rPr>
          <w:szCs w:val="24"/>
        </w:rPr>
        <w:t xml:space="preserve"> </w:t>
      </w:r>
      <w:r w:rsidR="006160A1">
        <w:rPr>
          <w:i/>
          <w:szCs w:val="24"/>
        </w:rPr>
        <w:t xml:space="preserve">Id. </w:t>
      </w:r>
      <w:r w:rsidR="006160A1">
        <w:rPr>
          <w:szCs w:val="24"/>
        </w:rPr>
        <w:t>at</w:t>
      </w:r>
      <w:r w:rsidR="00911F9F">
        <w:rPr>
          <w:szCs w:val="24"/>
        </w:rPr>
        <w:t xml:space="preserve"> 2</w:t>
      </w:r>
      <w:r w:rsidR="00646669">
        <w:rPr>
          <w:szCs w:val="24"/>
        </w:rPr>
        <w:t>4</w:t>
      </w:r>
      <w:r w:rsidR="00911F9F">
        <w:rPr>
          <w:szCs w:val="24"/>
        </w:rPr>
        <w:t>, 2</w:t>
      </w:r>
      <w:r w:rsidR="00646669">
        <w:rPr>
          <w:szCs w:val="24"/>
        </w:rPr>
        <w:t>8</w:t>
      </w:r>
      <w:r w:rsidR="00911F9F">
        <w:rPr>
          <w:szCs w:val="24"/>
        </w:rPr>
        <w:t xml:space="preserve"> (Fig. 6). </w:t>
      </w:r>
      <w:r w:rsidR="00A37DC5">
        <w:rPr>
          <w:szCs w:val="24"/>
        </w:rPr>
        <w:t xml:space="preserve">In other words, the </w:t>
      </w:r>
      <w:r>
        <w:rPr>
          <w:szCs w:val="24"/>
        </w:rPr>
        <w:t xml:space="preserve">State’s supported housing </w:t>
      </w:r>
      <w:r w:rsidR="00A37DC5">
        <w:rPr>
          <w:szCs w:val="24"/>
        </w:rPr>
        <w:t xml:space="preserve">program operated at 56 percent of </w:t>
      </w:r>
      <w:r w:rsidR="000B6E6A">
        <w:rPr>
          <w:szCs w:val="24"/>
        </w:rPr>
        <w:t xml:space="preserve">its </w:t>
      </w:r>
      <w:r w:rsidR="00A37DC5">
        <w:rPr>
          <w:szCs w:val="24"/>
        </w:rPr>
        <w:t>expected capacity</w:t>
      </w:r>
      <w:r>
        <w:rPr>
          <w:szCs w:val="24"/>
        </w:rPr>
        <w:t>,</w:t>
      </w:r>
      <w:r w:rsidR="000B6E6A">
        <w:rPr>
          <w:szCs w:val="24"/>
        </w:rPr>
        <w:t xml:space="preserve"> which </w:t>
      </w:r>
      <w:r w:rsidR="00312E34">
        <w:rPr>
          <w:szCs w:val="24"/>
        </w:rPr>
        <w:t>represents a systemic failure, rather than the “minor and occasional” violations the Agree</w:t>
      </w:r>
      <w:r w:rsidR="000B6E6A">
        <w:rPr>
          <w:szCs w:val="24"/>
        </w:rPr>
        <w:t>ment tolerates.</w:t>
      </w:r>
      <w:r w:rsidR="000B6E6A" w:rsidRPr="0064018A">
        <w:rPr>
          <w:rStyle w:val="FootnoteReference"/>
        </w:rPr>
        <w:footnoteReference w:id="6"/>
      </w:r>
      <w:r w:rsidR="00911F9F">
        <w:rPr>
          <w:szCs w:val="24"/>
        </w:rPr>
        <w:t xml:space="preserve"> </w:t>
      </w:r>
      <w:r w:rsidR="000B6E6A">
        <w:rPr>
          <w:i/>
          <w:szCs w:val="24"/>
        </w:rPr>
        <w:t xml:space="preserve">See </w:t>
      </w:r>
      <w:r w:rsidR="000B6E6A">
        <w:rPr>
          <w:szCs w:val="24"/>
        </w:rPr>
        <w:t xml:space="preserve">S.A. </w:t>
      </w:r>
      <w:r w:rsidR="00911F9F">
        <w:rPr>
          <w:szCs w:val="24"/>
        </w:rPr>
        <w:t>§ V(B). The Independent Reviewer</w:t>
      </w:r>
      <w:r w:rsidR="00312E34">
        <w:rPr>
          <w:szCs w:val="24"/>
        </w:rPr>
        <w:t xml:space="preserve"> </w:t>
      </w:r>
      <w:r w:rsidR="0063383E">
        <w:rPr>
          <w:szCs w:val="24"/>
        </w:rPr>
        <w:t>predicts</w:t>
      </w:r>
      <w:r w:rsidR="00A37DC5">
        <w:rPr>
          <w:szCs w:val="24"/>
        </w:rPr>
        <w:t xml:space="preserve"> that “[b]</w:t>
      </w:r>
      <w:r w:rsidR="0063383E">
        <w:rPr>
          <w:szCs w:val="24"/>
        </w:rPr>
        <w:t>ased</w:t>
      </w:r>
      <w:r w:rsidR="00A37DC5">
        <w:rPr>
          <w:szCs w:val="24"/>
        </w:rPr>
        <w:t xml:space="preserve"> on FY 2016 data, 66% of the required Housing Slots wi</w:t>
      </w:r>
      <w:r w:rsidR="00911F9F">
        <w:rPr>
          <w:szCs w:val="24"/>
        </w:rPr>
        <w:t>ll be filled on June 30, 2020.”</w:t>
      </w:r>
      <w:r w:rsidR="00A37DC5">
        <w:rPr>
          <w:szCs w:val="24"/>
        </w:rPr>
        <w:t xml:space="preserve"> </w:t>
      </w:r>
      <w:r w:rsidR="000B6E6A">
        <w:rPr>
          <w:szCs w:val="24"/>
        </w:rPr>
        <w:t xml:space="preserve">2016 Annual Rep. </w:t>
      </w:r>
      <w:r w:rsidR="00A37DC5">
        <w:rPr>
          <w:szCs w:val="24"/>
        </w:rPr>
        <w:t>2</w:t>
      </w:r>
      <w:r w:rsidR="00465617">
        <w:rPr>
          <w:szCs w:val="24"/>
        </w:rPr>
        <w:t>8</w:t>
      </w:r>
      <w:r w:rsidR="00A37DC5">
        <w:rPr>
          <w:szCs w:val="24"/>
        </w:rPr>
        <w:t xml:space="preserve">.  </w:t>
      </w:r>
    </w:p>
    <w:p w:rsidR="004E7D20" w:rsidRDefault="000B6E6A">
      <w:pPr>
        <w:widowControl w:val="0"/>
        <w:spacing w:line="480" w:lineRule="auto"/>
        <w:ind w:firstLine="720"/>
        <w:jc w:val="both"/>
        <w:rPr>
          <w:szCs w:val="24"/>
        </w:rPr>
      </w:pPr>
      <w:r>
        <w:rPr>
          <w:szCs w:val="24"/>
        </w:rPr>
        <w:t>O</w:t>
      </w:r>
      <w:r w:rsidR="00A37DC5">
        <w:rPr>
          <w:szCs w:val="24"/>
        </w:rPr>
        <w:t xml:space="preserve">n July 1, 2016, only 708 </w:t>
      </w:r>
      <w:r>
        <w:rPr>
          <w:szCs w:val="24"/>
        </w:rPr>
        <w:t xml:space="preserve">individuals from the target population of the required </w:t>
      </w:r>
      <w:r w:rsidR="00A37DC5">
        <w:rPr>
          <w:szCs w:val="24"/>
        </w:rPr>
        <w:t xml:space="preserve">1,166 </w:t>
      </w:r>
      <w:r w:rsidR="004E7D20">
        <w:rPr>
          <w:szCs w:val="24"/>
        </w:rPr>
        <w:t>received Supported Employment Services</w:t>
      </w:r>
      <w:r w:rsidR="00911F9F">
        <w:rPr>
          <w:szCs w:val="24"/>
        </w:rPr>
        <w:t>.</w:t>
      </w:r>
      <w:r w:rsidR="00A37DC5">
        <w:rPr>
          <w:szCs w:val="24"/>
        </w:rPr>
        <w:t xml:space="preserve"> </w:t>
      </w:r>
      <w:r w:rsidR="006160A1">
        <w:rPr>
          <w:i/>
          <w:szCs w:val="24"/>
        </w:rPr>
        <w:t xml:space="preserve">Id. </w:t>
      </w:r>
      <w:r w:rsidR="006160A1">
        <w:rPr>
          <w:szCs w:val="24"/>
        </w:rPr>
        <w:t>at</w:t>
      </w:r>
      <w:r w:rsidR="00450D2F">
        <w:rPr>
          <w:szCs w:val="24"/>
        </w:rPr>
        <w:t xml:space="preserve"> </w:t>
      </w:r>
      <w:r w:rsidR="00911F9F" w:rsidRPr="005807E5">
        <w:rPr>
          <w:szCs w:val="24"/>
        </w:rPr>
        <w:t>5</w:t>
      </w:r>
      <w:r w:rsidR="006B4DFA" w:rsidRPr="005807E5">
        <w:rPr>
          <w:szCs w:val="24"/>
        </w:rPr>
        <w:t xml:space="preserve">6 </w:t>
      </w:r>
      <w:r w:rsidR="000C5324">
        <w:rPr>
          <w:szCs w:val="24"/>
        </w:rPr>
        <w:t>(noting that to</w:t>
      </w:r>
      <w:r w:rsidR="000C5324" w:rsidRPr="000C5324">
        <w:rPr>
          <w:szCs w:val="24"/>
        </w:rPr>
        <w:t xml:space="preserve"> </w:t>
      </w:r>
      <w:r w:rsidR="000C5324" w:rsidRPr="005807E5">
        <w:rPr>
          <w:szCs w:val="24"/>
        </w:rPr>
        <w:t>serve 2,500 individuals by 2019, “[t]he State will need to serve an additional 1,792 individuals” beyond the 708 target population members served)</w:t>
      </w:r>
      <w:r w:rsidR="000C5324">
        <w:rPr>
          <w:szCs w:val="24"/>
        </w:rPr>
        <w:t xml:space="preserve">. </w:t>
      </w:r>
      <w:r w:rsidR="00A37DC5">
        <w:rPr>
          <w:szCs w:val="24"/>
        </w:rPr>
        <w:t xml:space="preserve">In other words, the </w:t>
      </w:r>
      <w:r w:rsidR="004E7D20">
        <w:rPr>
          <w:szCs w:val="24"/>
        </w:rPr>
        <w:t xml:space="preserve">State’s </w:t>
      </w:r>
      <w:r w:rsidR="00A37DC5">
        <w:rPr>
          <w:szCs w:val="24"/>
        </w:rPr>
        <w:t>supported employment program operated at</w:t>
      </w:r>
      <w:r w:rsidR="00A731A2">
        <w:rPr>
          <w:szCs w:val="24"/>
        </w:rPr>
        <w:t xml:space="preserve"> </w:t>
      </w:r>
      <w:r w:rsidR="004E7D20">
        <w:rPr>
          <w:szCs w:val="24"/>
        </w:rPr>
        <w:t>61 percent of its</w:t>
      </w:r>
      <w:r w:rsidR="00992FCF">
        <w:rPr>
          <w:szCs w:val="24"/>
        </w:rPr>
        <w:t xml:space="preserve"> </w:t>
      </w:r>
      <w:r w:rsidR="004E7D20">
        <w:rPr>
          <w:szCs w:val="24"/>
        </w:rPr>
        <w:t xml:space="preserve">expected </w:t>
      </w:r>
      <w:r w:rsidR="00992FCF">
        <w:rPr>
          <w:szCs w:val="24"/>
        </w:rPr>
        <w:t>capacity</w:t>
      </w:r>
      <w:r w:rsidR="004E7D20">
        <w:rPr>
          <w:szCs w:val="24"/>
        </w:rPr>
        <w:t xml:space="preserve">, which constitutes a failure to comply </w:t>
      </w:r>
      <w:r w:rsidR="004E7D20">
        <w:rPr>
          <w:szCs w:val="24"/>
        </w:rPr>
        <w:lastRenderedPageBreak/>
        <w:t>substantially.</w:t>
      </w:r>
      <w:r w:rsidR="00911F9F" w:rsidRPr="0064018A">
        <w:rPr>
          <w:rStyle w:val="FootnoteReference"/>
        </w:rPr>
        <w:footnoteReference w:id="7"/>
      </w:r>
      <w:r w:rsidR="00992FCF">
        <w:rPr>
          <w:szCs w:val="24"/>
        </w:rPr>
        <w:t xml:space="preserve"> </w:t>
      </w:r>
    </w:p>
    <w:p w:rsidR="00013A7A" w:rsidRDefault="0062064C">
      <w:pPr>
        <w:widowControl w:val="0"/>
        <w:spacing w:line="480" w:lineRule="auto"/>
        <w:ind w:firstLine="720"/>
        <w:jc w:val="both"/>
        <w:rPr>
          <w:szCs w:val="24"/>
        </w:rPr>
      </w:pPr>
      <w:r>
        <w:rPr>
          <w:szCs w:val="24"/>
        </w:rPr>
        <w:t>With respect to the status of compliance with provisions not at issue here</w:t>
      </w:r>
      <w:r w:rsidR="00312E34">
        <w:rPr>
          <w:szCs w:val="24"/>
        </w:rPr>
        <w:t>, ratings of partial compliance encompass a wide ran</w:t>
      </w:r>
      <w:r w:rsidR="004E52D9">
        <w:rPr>
          <w:szCs w:val="24"/>
        </w:rPr>
        <w:t>ge of progress or lack thereof.</w:t>
      </w:r>
      <w:r w:rsidR="00312E34">
        <w:rPr>
          <w:szCs w:val="24"/>
        </w:rPr>
        <w:t xml:space="preserve"> 2016 Annual </w:t>
      </w:r>
      <w:r w:rsidR="001C0511">
        <w:rPr>
          <w:szCs w:val="24"/>
        </w:rPr>
        <w:t xml:space="preserve">Rep. </w:t>
      </w:r>
      <w:r w:rsidR="002C1A8A">
        <w:rPr>
          <w:szCs w:val="24"/>
        </w:rPr>
        <w:t>9</w:t>
      </w:r>
      <w:r w:rsidR="00312E34">
        <w:rPr>
          <w:szCs w:val="24"/>
        </w:rPr>
        <w:t>.</w:t>
      </w:r>
      <w:r w:rsidR="00992FCF">
        <w:rPr>
          <w:szCs w:val="24"/>
        </w:rPr>
        <w:t xml:space="preserve"> </w:t>
      </w:r>
      <w:r w:rsidR="005A3CC6">
        <w:rPr>
          <w:szCs w:val="24"/>
        </w:rPr>
        <w:t xml:space="preserve">Indeed, </w:t>
      </w:r>
      <w:r w:rsidR="009C37FF">
        <w:rPr>
          <w:szCs w:val="24"/>
        </w:rPr>
        <w:t>the Independent Reviewer</w:t>
      </w:r>
      <w:r w:rsidR="005A3CC6">
        <w:rPr>
          <w:szCs w:val="24"/>
        </w:rPr>
        <w:t xml:space="preserve"> </w:t>
      </w:r>
      <w:r w:rsidR="00312E34">
        <w:rPr>
          <w:szCs w:val="24"/>
        </w:rPr>
        <w:t>describes</w:t>
      </w:r>
      <w:r w:rsidR="00312E34" w:rsidRPr="007276F2">
        <w:rPr>
          <w:szCs w:val="24"/>
        </w:rPr>
        <w:t xml:space="preserve"> the State’s </w:t>
      </w:r>
      <w:r w:rsidR="00B9401A">
        <w:rPr>
          <w:szCs w:val="24"/>
        </w:rPr>
        <w:t>progress toward compliance</w:t>
      </w:r>
      <w:r w:rsidR="00312E34" w:rsidRPr="007276F2">
        <w:rPr>
          <w:szCs w:val="24"/>
        </w:rPr>
        <w:t xml:space="preserve"> as “slow and </w:t>
      </w:r>
      <w:r w:rsidR="00FE2577">
        <w:rPr>
          <w:szCs w:val="24"/>
        </w:rPr>
        <w:t xml:space="preserve">still </w:t>
      </w:r>
      <w:r w:rsidR="00312E34" w:rsidRPr="007276F2">
        <w:rPr>
          <w:szCs w:val="24"/>
        </w:rPr>
        <w:t>somewhat uneven . . . across most threshold provisi</w:t>
      </w:r>
      <w:r w:rsidR="00312E34">
        <w:rPr>
          <w:szCs w:val="24"/>
        </w:rPr>
        <w:t>ons in the Settlement Agreement.</w:t>
      </w:r>
      <w:r w:rsidR="00312E34" w:rsidRPr="007276F2">
        <w:rPr>
          <w:szCs w:val="24"/>
        </w:rPr>
        <w:t>”</w:t>
      </w:r>
      <w:r w:rsidR="00312E34">
        <w:rPr>
          <w:szCs w:val="24"/>
        </w:rPr>
        <w:t xml:space="preserve"> </w:t>
      </w:r>
      <w:r w:rsidR="005738DD">
        <w:rPr>
          <w:i/>
          <w:szCs w:val="24"/>
        </w:rPr>
        <w:t xml:space="preserve">Id. </w:t>
      </w:r>
      <w:r w:rsidR="005738DD">
        <w:rPr>
          <w:szCs w:val="24"/>
        </w:rPr>
        <w:t>at</w:t>
      </w:r>
      <w:r w:rsidR="004E7D20">
        <w:rPr>
          <w:szCs w:val="24"/>
        </w:rPr>
        <w:t xml:space="preserve"> 7</w:t>
      </w:r>
      <w:r w:rsidR="002C1A8A">
        <w:rPr>
          <w:szCs w:val="24"/>
        </w:rPr>
        <w:t>6</w:t>
      </w:r>
      <w:r w:rsidR="004E7D20">
        <w:rPr>
          <w:szCs w:val="24"/>
        </w:rPr>
        <w:t>.</w:t>
      </w:r>
    </w:p>
    <w:p w:rsidR="002136D3" w:rsidRPr="00612B7F" w:rsidRDefault="002136D3" w:rsidP="00850B36">
      <w:pPr>
        <w:pStyle w:val="ListParagraph"/>
        <w:widowControl w:val="0"/>
        <w:numPr>
          <w:ilvl w:val="0"/>
          <w:numId w:val="3"/>
        </w:numPr>
        <w:spacing w:line="480" w:lineRule="auto"/>
        <w:rPr>
          <w:b/>
          <w:szCs w:val="24"/>
        </w:rPr>
      </w:pPr>
      <w:r w:rsidRPr="00612B7F">
        <w:rPr>
          <w:b/>
          <w:szCs w:val="24"/>
        </w:rPr>
        <w:t>CONCLUSION</w:t>
      </w:r>
    </w:p>
    <w:p w:rsidR="002136D3" w:rsidRDefault="002136D3">
      <w:pPr>
        <w:widowControl w:val="0"/>
        <w:spacing w:line="480" w:lineRule="auto"/>
        <w:jc w:val="both"/>
        <w:rPr>
          <w:szCs w:val="24"/>
        </w:rPr>
      </w:pPr>
      <w:r>
        <w:rPr>
          <w:szCs w:val="24"/>
        </w:rPr>
        <w:tab/>
        <w:t>For the foregoing</w:t>
      </w:r>
      <w:r w:rsidR="00942254">
        <w:rPr>
          <w:szCs w:val="24"/>
        </w:rPr>
        <w:t xml:space="preserve"> reasons and for</w:t>
      </w:r>
      <w:r>
        <w:rPr>
          <w:szCs w:val="24"/>
        </w:rPr>
        <w:t xml:space="preserve"> the reasons set forth in the moving brief, the United States respectfully requests tha</w:t>
      </w:r>
      <w:r w:rsidR="00942254">
        <w:rPr>
          <w:szCs w:val="24"/>
        </w:rPr>
        <w:t>t th</w:t>
      </w:r>
      <w:r>
        <w:rPr>
          <w:szCs w:val="24"/>
        </w:rPr>
        <w:t xml:space="preserve">e Court grant the Motion to Enforce the </w:t>
      </w:r>
      <w:r w:rsidR="00942254">
        <w:rPr>
          <w:szCs w:val="24"/>
        </w:rPr>
        <w:t>Settlement</w:t>
      </w:r>
      <w:r>
        <w:rPr>
          <w:szCs w:val="24"/>
        </w:rPr>
        <w:t xml:space="preserve"> Agreement.</w:t>
      </w:r>
    </w:p>
    <w:p w:rsidR="009055AC" w:rsidRDefault="009055AC">
      <w:pPr>
        <w:widowControl w:val="0"/>
        <w:spacing w:line="480" w:lineRule="auto"/>
        <w:jc w:val="both"/>
        <w:rPr>
          <w:szCs w:val="24"/>
        </w:rPr>
      </w:pPr>
    </w:p>
    <w:tbl>
      <w:tblPr>
        <w:tblpPr w:leftFromText="180" w:rightFromText="180" w:vertAnchor="text" w:horzAnchor="margin" w:tblpY="38"/>
        <w:tblW w:w="9594" w:type="dxa"/>
        <w:tblLook w:val="04A0" w:firstRow="1" w:lastRow="0" w:firstColumn="1" w:lastColumn="0" w:noHBand="0" w:noVBand="1"/>
      </w:tblPr>
      <w:tblGrid>
        <w:gridCol w:w="4540"/>
        <w:gridCol w:w="5054"/>
      </w:tblGrid>
      <w:tr w:rsidR="00DF0C73" w:rsidRPr="00661B39" w:rsidTr="00DF0C73">
        <w:trPr>
          <w:trHeight w:val="7200"/>
        </w:trPr>
        <w:tc>
          <w:tcPr>
            <w:tcW w:w="4540" w:type="dxa"/>
            <w:shd w:val="clear" w:color="auto" w:fill="auto"/>
          </w:tcPr>
          <w:p w:rsidR="00DF0C73" w:rsidRPr="00661B39" w:rsidRDefault="00DF0C73" w:rsidP="00DF0C73">
            <w:pPr>
              <w:rPr>
                <w:szCs w:val="24"/>
              </w:rPr>
            </w:pPr>
            <w:r>
              <w:rPr>
                <w:bCs/>
                <w:szCs w:val="24"/>
              </w:rPr>
              <w:lastRenderedPageBreak/>
              <w:t>Dated: March 22</w:t>
            </w:r>
            <w:r w:rsidRPr="00661B39">
              <w:rPr>
                <w:szCs w:val="24"/>
              </w:rPr>
              <w:t>, 2017</w:t>
            </w:r>
          </w:p>
          <w:p w:rsidR="00DF0C73" w:rsidRPr="00DA0336" w:rsidRDefault="00DF0C73" w:rsidP="00DF0C73">
            <w:pPr>
              <w:rPr>
                <w:sz w:val="16"/>
                <w:szCs w:val="16"/>
              </w:rPr>
            </w:pPr>
          </w:p>
          <w:p w:rsidR="00DF0C73" w:rsidRDefault="00DF0C73" w:rsidP="00DF0C73">
            <w:pPr>
              <w:autoSpaceDE w:val="0"/>
              <w:autoSpaceDN w:val="0"/>
              <w:adjustRightInd w:val="0"/>
              <w:rPr>
                <w:szCs w:val="24"/>
              </w:rPr>
            </w:pPr>
          </w:p>
          <w:p w:rsidR="00DF0C73" w:rsidRDefault="00DF0C73" w:rsidP="00DF0C73">
            <w:pPr>
              <w:autoSpaceDE w:val="0"/>
              <w:autoSpaceDN w:val="0"/>
              <w:adjustRightInd w:val="0"/>
              <w:rPr>
                <w:szCs w:val="24"/>
              </w:rPr>
            </w:pPr>
          </w:p>
          <w:p w:rsidR="00DF0C73" w:rsidRDefault="00DF0C73" w:rsidP="00DF0C73">
            <w:pPr>
              <w:autoSpaceDE w:val="0"/>
              <w:autoSpaceDN w:val="0"/>
              <w:adjustRightInd w:val="0"/>
              <w:rPr>
                <w:szCs w:val="24"/>
              </w:rPr>
            </w:pPr>
          </w:p>
          <w:p w:rsidR="00DF0C73" w:rsidRPr="00661B39" w:rsidRDefault="00DF0C73" w:rsidP="00DF0C73">
            <w:pPr>
              <w:autoSpaceDE w:val="0"/>
              <w:autoSpaceDN w:val="0"/>
              <w:adjustRightInd w:val="0"/>
              <w:rPr>
                <w:szCs w:val="24"/>
              </w:rPr>
            </w:pPr>
            <w:r w:rsidRPr="00661B39">
              <w:rPr>
                <w:szCs w:val="24"/>
              </w:rPr>
              <w:t>JOHN STUART BRUCE</w:t>
            </w:r>
          </w:p>
          <w:p w:rsidR="00DF0C73" w:rsidRPr="00661B39" w:rsidRDefault="00DF0C73" w:rsidP="00DF0C73">
            <w:pPr>
              <w:autoSpaceDE w:val="0"/>
              <w:autoSpaceDN w:val="0"/>
              <w:adjustRightInd w:val="0"/>
              <w:rPr>
                <w:szCs w:val="24"/>
              </w:rPr>
            </w:pPr>
            <w:r>
              <w:rPr>
                <w:szCs w:val="24"/>
              </w:rPr>
              <w:t xml:space="preserve">Acting </w:t>
            </w:r>
            <w:r w:rsidRPr="00661B39">
              <w:rPr>
                <w:szCs w:val="24"/>
              </w:rPr>
              <w:t>United States Attorney</w:t>
            </w:r>
          </w:p>
          <w:p w:rsidR="00DF0C73" w:rsidRPr="00661B39" w:rsidRDefault="00DF0C73" w:rsidP="00DF0C73">
            <w:pPr>
              <w:autoSpaceDE w:val="0"/>
              <w:autoSpaceDN w:val="0"/>
              <w:adjustRightInd w:val="0"/>
              <w:rPr>
                <w:szCs w:val="24"/>
              </w:rPr>
            </w:pPr>
            <w:r w:rsidRPr="00661B39">
              <w:rPr>
                <w:szCs w:val="24"/>
              </w:rPr>
              <w:t>Eastern District of North Carolina</w:t>
            </w:r>
          </w:p>
          <w:p w:rsidR="00DF0C73" w:rsidRPr="00661B39" w:rsidRDefault="00DF0C73" w:rsidP="00DF0C73">
            <w:pPr>
              <w:autoSpaceDE w:val="0"/>
              <w:autoSpaceDN w:val="0"/>
              <w:adjustRightInd w:val="0"/>
              <w:rPr>
                <w:szCs w:val="24"/>
              </w:rPr>
            </w:pPr>
          </w:p>
          <w:p w:rsidR="00DF0C73" w:rsidRPr="00661B39" w:rsidRDefault="00DF0C73" w:rsidP="00DF0C73">
            <w:pPr>
              <w:autoSpaceDE w:val="0"/>
              <w:autoSpaceDN w:val="0"/>
              <w:adjustRightInd w:val="0"/>
              <w:rPr>
                <w:szCs w:val="24"/>
              </w:rPr>
            </w:pPr>
          </w:p>
          <w:p w:rsidR="00DF0C73" w:rsidRPr="00661B39" w:rsidRDefault="00DF0C73" w:rsidP="00DF0C73">
            <w:pPr>
              <w:autoSpaceDE w:val="0"/>
              <w:autoSpaceDN w:val="0"/>
              <w:adjustRightInd w:val="0"/>
              <w:rPr>
                <w:szCs w:val="24"/>
              </w:rPr>
            </w:pPr>
          </w:p>
          <w:p w:rsidR="00DF0C73" w:rsidRPr="00661B39" w:rsidRDefault="00DF0C73" w:rsidP="00DF0C73">
            <w:pPr>
              <w:autoSpaceDE w:val="0"/>
              <w:autoSpaceDN w:val="0"/>
              <w:adjustRightInd w:val="0"/>
              <w:rPr>
                <w:szCs w:val="24"/>
              </w:rPr>
            </w:pPr>
          </w:p>
          <w:p w:rsidR="00DF0C73" w:rsidRPr="00661B39" w:rsidRDefault="00DF0C73" w:rsidP="00DF0C73">
            <w:pPr>
              <w:autoSpaceDE w:val="0"/>
              <w:autoSpaceDN w:val="0"/>
              <w:adjustRightInd w:val="0"/>
              <w:rPr>
                <w:i/>
                <w:iCs/>
                <w:szCs w:val="24"/>
                <w:u w:val="single"/>
              </w:rPr>
            </w:pPr>
            <w:r w:rsidRPr="00661B39">
              <w:rPr>
                <w:i/>
                <w:iCs/>
                <w:szCs w:val="24"/>
                <w:u w:val="single"/>
              </w:rPr>
              <w:t>/s/ G. Norman Acker III</w:t>
            </w:r>
            <w:r w:rsidRPr="00661B39">
              <w:rPr>
                <w:i/>
                <w:iCs/>
                <w:szCs w:val="24"/>
                <w:u w:val="single"/>
              </w:rPr>
              <w:tab/>
            </w:r>
            <w:r w:rsidRPr="00661B39">
              <w:rPr>
                <w:i/>
                <w:iCs/>
                <w:szCs w:val="24"/>
                <w:u w:val="single"/>
              </w:rPr>
              <w:tab/>
            </w:r>
          </w:p>
          <w:p w:rsidR="00DF0C73" w:rsidRPr="00661B39" w:rsidRDefault="00DF0C73" w:rsidP="00DF0C73">
            <w:pPr>
              <w:autoSpaceDE w:val="0"/>
              <w:autoSpaceDN w:val="0"/>
              <w:adjustRightInd w:val="0"/>
              <w:rPr>
                <w:szCs w:val="24"/>
              </w:rPr>
            </w:pPr>
            <w:r w:rsidRPr="00661B39">
              <w:rPr>
                <w:szCs w:val="24"/>
              </w:rPr>
              <w:t>G. NORMAN ACKER III</w:t>
            </w:r>
          </w:p>
          <w:p w:rsidR="00DF0C73" w:rsidRPr="00661B39" w:rsidRDefault="00DF0C73" w:rsidP="00DF0C73">
            <w:pPr>
              <w:autoSpaceDE w:val="0"/>
              <w:autoSpaceDN w:val="0"/>
              <w:adjustRightInd w:val="0"/>
              <w:rPr>
                <w:szCs w:val="24"/>
              </w:rPr>
            </w:pPr>
            <w:r w:rsidRPr="00661B39">
              <w:rPr>
                <w:szCs w:val="24"/>
              </w:rPr>
              <w:t>Assistant United States Attorney</w:t>
            </w:r>
          </w:p>
          <w:p w:rsidR="00DF0C73" w:rsidRPr="00661B39" w:rsidRDefault="00DF0C73" w:rsidP="00DF0C73">
            <w:pPr>
              <w:autoSpaceDE w:val="0"/>
              <w:autoSpaceDN w:val="0"/>
              <w:adjustRightInd w:val="0"/>
              <w:rPr>
                <w:szCs w:val="24"/>
              </w:rPr>
            </w:pPr>
            <w:r w:rsidRPr="00661B39">
              <w:rPr>
                <w:szCs w:val="24"/>
              </w:rPr>
              <w:t>310 New Bern Avenue</w:t>
            </w:r>
          </w:p>
          <w:p w:rsidR="00DF0C73" w:rsidRPr="00661B39" w:rsidRDefault="00DF0C73" w:rsidP="00DF0C73">
            <w:pPr>
              <w:autoSpaceDE w:val="0"/>
              <w:autoSpaceDN w:val="0"/>
              <w:adjustRightInd w:val="0"/>
              <w:rPr>
                <w:szCs w:val="24"/>
              </w:rPr>
            </w:pPr>
            <w:r w:rsidRPr="00661B39">
              <w:rPr>
                <w:szCs w:val="24"/>
              </w:rPr>
              <w:t>Federal Building, Suite 800</w:t>
            </w:r>
          </w:p>
          <w:p w:rsidR="00DF0C73" w:rsidRDefault="00DF0C73" w:rsidP="00DF0C73">
            <w:pPr>
              <w:autoSpaceDE w:val="0"/>
              <w:autoSpaceDN w:val="0"/>
              <w:adjustRightInd w:val="0"/>
              <w:rPr>
                <w:szCs w:val="24"/>
              </w:rPr>
            </w:pPr>
            <w:r>
              <w:rPr>
                <w:szCs w:val="24"/>
              </w:rPr>
              <w:t>Raleigh, NC 27601</w:t>
            </w:r>
          </w:p>
          <w:p w:rsidR="00DF0C73" w:rsidRPr="00661B39" w:rsidRDefault="00DF0C73" w:rsidP="00DF0C73">
            <w:pPr>
              <w:autoSpaceDE w:val="0"/>
              <w:autoSpaceDN w:val="0"/>
              <w:adjustRightInd w:val="0"/>
              <w:rPr>
                <w:szCs w:val="24"/>
              </w:rPr>
            </w:pPr>
            <w:r w:rsidRPr="00661B39">
              <w:rPr>
                <w:szCs w:val="24"/>
              </w:rPr>
              <w:t>Telephone: (919) 856-4530</w:t>
            </w:r>
          </w:p>
          <w:p w:rsidR="00DF0C73" w:rsidRPr="00661B39" w:rsidRDefault="00DF0C73" w:rsidP="00DF0C73">
            <w:pPr>
              <w:autoSpaceDE w:val="0"/>
              <w:autoSpaceDN w:val="0"/>
              <w:adjustRightInd w:val="0"/>
              <w:rPr>
                <w:szCs w:val="24"/>
              </w:rPr>
            </w:pPr>
            <w:r w:rsidRPr="00661B39">
              <w:rPr>
                <w:szCs w:val="24"/>
              </w:rPr>
              <w:t>Facsimile: (919) 856-4821</w:t>
            </w:r>
          </w:p>
          <w:p w:rsidR="00DF0C73" w:rsidRPr="00661B39" w:rsidRDefault="00DF0C73" w:rsidP="00DF0C73">
            <w:pPr>
              <w:rPr>
                <w:szCs w:val="24"/>
              </w:rPr>
            </w:pPr>
            <w:r w:rsidRPr="00395C4D">
              <w:rPr>
                <w:szCs w:val="24"/>
              </w:rPr>
              <w:t>Norman.Acker@usdoj.gov</w:t>
            </w:r>
          </w:p>
          <w:p w:rsidR="00DF0C73" w:rsidRPr="00661B39" w:rsidRDefault="00DF0C73" w:rsidP="00DF0C73">
            <w:pPr>
              <w:rPr>
                <w:szCs w:val="24"/>
              </w:rPr>
            </w:pPr>
            <w:r w:rsidRPr="00661B39">
              <w:rPr>
                <w:szCs w:val="24"/>
              </w:rPr>
              <w:t>N.C. Bar No. 12839</w:t>
            </w:r>
          </w:p>
        </w:tc>
        <w:tc>
          <w:tcPr>
            <w:tcW w:w="5054" w:type="dxa"/>
            <w:shd w:val="clear" w:color="auto" w:fill="auto"/>
          </w:tcPr>
          <w:p w:rsidR="00DF0C73" w:rsidRPr="00661B39" w:rsidRDefault="00DF0C73" w:rsidP="00DF0C73">
            <w:pPr>
              <w:autoSpaceDE w:val="0"/>
              <w:autoSpaceDN w:val="0"/>
              <w:adjustRightInd w:val="0"/>
              <w:rPr>
                <w:bCs/>
                <w:szCs w:val="24"/>
              </w:rPr>
            </w:pPr>
            <w:r w:rsidRPr="00661B39">
              <w:rPr>
                <w:bCs/>
                <w:szCs w:val="24"/>
              </w:rPr>
              <w:t>Respectfully submitted,</w:t>
            </w:r>
          </w:p>
          <w:p w:rsidR="00DF0C73" w:rsidRDefault="00DF0C73" w:rsidP="00DF0C73">
            <w:pPr>
              <w:autoSpaceDE w:val="0"/>
              <w:autoSpaceDN w:val="0"/>
              <w:adjustRightInd w:val="0"/>
              <w:rPr>
                <w:szCs w:val="24"/>
              </w:rPr>
            </w:pPr>
          </w:p>
          <w:p w:rsidR="00DF0C73" w:rsidRPr="00661B39" w:rsidRDefault="00DF0C73" w:rsidP="00DF0C73">
            <w:pPr>
              <w:autoSpaceDE w:val="0"/>
              <w:autoSpaceDN w:val="0"/>
              <w:adjustRightInd w:val="0"/>
              <w:rPr>
                <w:szCs w:val="24"/>
              </w:rPr>
            </w:pPr>
            <w:r>
              <w:rPr>
                <w:szCs w:val="24"/>
              </w:rPr>
              <w:t>T.E. WHEELER, II</w:t>
            </w:r>
          </w:p>
          <w:p w:rsidR="00DF0C73" w:rsidRPr="00661B39" w:rsidRDefault="00DF0C73" w:rsidP="00DF0C73">
            <w:pPr>
              <w:autoSpaceDE w:val="0"/>
              <w:autoSpaceDN w:val="0"/>
              <w:adjustRightInd w:val="0"/>
              <w:rPr>
                <w:szCs w:val="24"/>
              </w:rPr>
            </w:pPr>
            <w:r>
              <w:rPr>
                <w:szCs w:val="24"/>
              </w:rPr>
              <w:t>Acting</w:t>
            </w:r>
            <w:r w:rsidRPr="00661B39">
              <w:rPr>
                <w:szCs w:val="24"/>
              </w:rPr>
              <w:t xml:space="preserve"> Assistant Attorney General</w:t>
            </w:r>
          </w:p>
          <w:p w:rsidR="00DF0C73" w:rsidRPr="00DA0336" w:rsidRDefault="00DF0C73" w:rsidP="00DF0C73">
            <w:pPr>
              <w:autoSpaceDE w:val="0"/>
              <w:autoSpaceDN w:val="0"/>
              <w:adjustRightInd w:val="0"/>
              <w:rPr>
                <w:sz w:val="16"/>
                <w:szCs w:val="16"/>
              </w:rPr>
            </w:pPr>
          </w:p>
          <w:p w:rsidR="00DF0C73" w:rsidRPr="00661B39" w:rsidRDefault="00DF0C73" w:rsidP="00DF0C73">
            <w:pPr>
              <w:autoSpaceDE w:val="0"/>
              <w:autoSpaceDN w:val="0"/>
              <w:adjustRightInd w:val="0"/>
              <w:rPr>
                <w:szCs w:val="24"/>
              </w:rPr>
            </w:pPr>
            <w:r w:rsidRPr="00661B39">
              <w:rPr>
                <w:szCs w:val="24"/>
              </w:rPr>
              <w:t>REBECCA B. BOND</w:t>
            </w:r>
          </w:p>
          <w:p w:rsidR="00DF0C73" w:rsidRPr="00661B39" w:rsidRDefault="00DF0C73" w:rsidP="00DF0C73">
            <w:pPr>
              <w:autoSpaceDE w:val="0"/>
              <w:autoSpaceDN w:val="0"/>
              <w:adjustRightInd w:val="0"/>
              <w:rPr>
                <w:szCs w:val="24"/>
              </w:rPr>
            </w:pPr>
            <w:r>
              <w:rPr>
                <w:szCs w:val="24"/>
              </w:rPr>
              <w:t xml:space="preserve">Acting </w:t>
            </w:r>
            <w:r w:rsidRPr="00661B39">
              <w:rPr>
                <w:szCs w:val="24"/>
              </w:rPr>
              <w:t>Deputy Assistant Attorney General</w:t>
            </w:r>
          </w:p>
          <w:p w:rsidR="00DF0C73" w:rsidRPr="00DA0336" w:rsidRDefault="00DF0C73" w:rsidP="00DF0C73">
            <w:pPr>
              <w:autoSpaceDE w:val="0"/>
              <w:autoSpaceDN w:val="0"/>
              <w:adjustRightInd w:val="0"/>
              <w:rPr>
                <w:sz w:val="16"/>
                <w:szCs w:val="16"/>
              </w:rPr>
            </w:pPr>
          </w:p>
          <w:p w:rsidR="00DF0C73" w:rsidRPr="00661B39" w:rsidRDefault="00DF0C73" w:rsidP="00DF0C73">
            <w:pPr>
              <w:autoSpaceDE w:val="0"/>
              <w:autoSpaceDN w:val="0"/>
              <w:adjustRightInd w:val="0"/>
              <w:rPr>
                <w:szCs w:val="24"/>
              </w:rPr>
            </w:pPr>
            <w:r w:rsidRPr="00661B39">
              <w:rPr>
                <w:szCs w:val="24"/>
              </w:rPr>
              <w:t>ANNE S. RAISH</w:t>
            </w:r>
          </w:p>
          <w:p w:rsidR="00DF0C73" w:rsidRDefault="00DF0C73" w:rsidP="00DF0C73">
            <w:pPr>
              <w:rPr>
                <w:szCs w:val="24"/>
              </w:rPr>
            </w:pPr>
            <w:r>
              <w:rPr>
                <w:szCs w:val="24"/>
              </w:rPr>
              <w:t>Acting</w:t>
            </w:r>
            <w:r w:rsidRPr="00661B39">
              <w:rPr>
                <w:szCs w:val="24"/>
              </w:rPr>
              <w:t xml:space="preserve"> Chief</w:t>
            </w:r>
          </w:p>
          <w:p w:rsidR="00D025AA" w:rsidRPr="00661B39" w:rsidRDefault="00D025AA" w:rsidP="00DF0C73">
            <w:pPr>
              <w:rPr>
                <w:szCs w:val="24"/>
              </w:rPr>
            </w:pPr>
          </w:p>
          <w:p w:rsidR="00DF0C73" w:rsidRPr="00661B39" w:rsidRDefault="00DF0C73" w:rsidP="00DF0C73">
            <w:pPr>
              <w:rPr>
                <w:szCs w:val="24"/>
              </w:rPr>
            </w:pPr>
            <w:r w:rsidRPr="00661B39">
              <w:rPr>
                <w:szCs w:val="24"/>
              </w:rPr>
              <w:t>ELIZABETH S. WESTFALL</w:t>
            </w:r>
          </w:p>
          <w:p w:rsidR="00DF0C73" w:rsidRPr="00661B39" w:rsidRDefault="00DF0C73" w:rsidP="00DF0C73">
            <w:pPr>
              <w:rPr>
                <w:szCs w:val="24"/>
              </w:rPr>
            </w:pPr>
            <w:r w:rsidRPr="00661B39">
              <w:rPr>
                <w:szCs w:val="24"/>
              </w:rPr>
              <w:t>Deputy Chief</w:t>
            </w:r>
          </w:p>
          <w:p w:rsidR="00DF0C73" w:rsidRPr="00DA0336" w:rsidRDefault="00DF0C73" w:rsidP="00DF0C73">
            <w:pPr>
              <w:rPr>
                <w:sz w:val="16"/>
                <w:szCs w:val="16"/>
              </w:rPr>
            </w:pPr>
          </w:p>
          <w:p w:rsidR="00DF0C73" w:rsidRDefault="00DF0C73" w:rsidP="00DF0C73">
            <w:pPr>
              <w:autoSpaceDE w:val="0"/>
              <w:autoSpaceDN w:val="0"/>
              <w:adjustRightInd w:val="0"/>
              <w:rPr>
                <w:szCs w:val="24"/>
              </w:rPr>
            </w:pPr>
            <w:r w:rsidRPr="00661B39">
              <w:rPr>
                <w:i/>
                <w:iCs/>
                <w:szCs w:val="24"/>
                <w:u w:val="single"/>
              </w:rPr>
              <w:t xml:space="preserve">/s/ </w:t>
            </w:r>
            <w:r>
              <w:rPr>
                <w:i/>
                <w:iCs/>
                <w:szCs w:val="24"/>
                <w:u w:val="single"/>
              </w:rPr>
              <w:t>Teresa Yeh</w:t>
            </w:r>
            <w:r w:rsidRPr="00661B39">
              <w:rPr>
                <w:szCs w:val="24"/>
                <w:u w:val="single"/>
              </w:rPr>
              <w:t>                              </w:t>
            </w:r>
            <w:r w:rsidRPr="00661B39">
              <w:rPr>
                <w:szCs w:val="24"/>
                <w:u w:val="single"/>
              </w:rPr>
              <w:br/>
            </w:r>
            <w:r w:rsidRPr="00661B39">
              <w:rPr>
                <w:szCs w:val="24"/>
              </w:rPr>
              <w:t>TERESA YEH</w:t>
            </w:r>
          </w:p>
          <w:p w:rsidR="00DF0C73" w:rsidRPr="00661B39" w:rsidRDefault="00DF0C73" w:rsidP="00DF0C73">
            <w:pPr>
              <w:autoSpaceDE w:val="0"/>
              <w:autoSpaceDN w:val="0"/>
              <w:adjustRightInd w:val="0"/>
              <w:rPr>
                <w:szCs w:val="24"/>
              </w:rPr>
            </w:pPr>
            <w:r w:rsidRPr="00661B39">
              <w:rPr>
                <w:szCs w:val="24"/>
              </w:rPr>
              <w:t>JULIA M. GRAFF</w:t>
            </w:r>
          </w:p>
          <w:p w:rsidR="00DF0C73" w:rsidRPr="00661B39" w:rsidRDefault="00DF0C73" w:rsidP="00DF0C73">
            <w:pPr>
              <w:autoSpaceDE w:val="0"/>
              <w:autoSpaceDN w:val="0"/>
              <w:adjustRightInd w:val="0"/>
              <w:rPr>
                <w:szCs w:val="24"/>
              </w:rPr>
            </w:pPr>
            <w:r w:rsidRPr="00661B39">
              <w:rPr>
                <w:szCs w:val="24"/>
              </w:rPr>
              <w:t>Trial Attorneys</w:t>
            </w:r>
          </w:p>
          <w:p w:rsidR="00DF0C73" w:rsidRPr="00661B39" w:rsidRDefault="00DF0C73" w:rsidP="00DF0C73">
            <w:pPr>
              <w:autoSpaceDE w:val="0"/>
              <w:autoSpaceDN w:val="0"/>
              <w:adjustRightInd w:val="0"/>
              <w:rPr>
                <w:szCs w:val="24"/>
              </w:rPr>
            </w:pPr>
            <w:r w:rsidRPr="00661B39">
              <w:rPr>
                <w:szCs w:val="24"/>
              </w:rPr>
              <w:t>Disability Rights Section</w:t>
            </w:r>
            <w:r>
              <w:rPr>
                <w:szCs w:val="24"/>
              </w:rPr>
              <w:t xml:space="preserve">, </w:t>
            </w:r>
            <w:r w:rsidRPr="00661B39">
              <w:rPr>
                <w:szCs w:val="24"/>
              </w:rPr>
              <w:t>Civil Rights Division</w:t>
            </w:r>
          </w:p>
          <w:p w:rsidR="00DF0C73" w:rsidRPr="00661B39" w:rsidRDefault="00DF0C73" w:rsidP="00DF0C73">
            <w:pPr>
              <w:autoSpaceDE w:val="0"/>
              <w:autoSpaceDN w:val="0"/>
              <w:adjustRightInd w:val="0"/>
              <w:rPr>
                <w:szCs w:val="24"/>
              </w:rPr>
            </w:pPr>
            <w:r w:rsidRPr="00661B39">
              <w:rPr>
                <w:szCs w:val="24"/>
              </w:rPr>
              <w:t>U.S. Department of Justice</w:t>
            </w:r>
          </w:p>
          <w:p w:rsidR="00DF0C73" w:rsidRPr="00661B39" w:rsidRDefault="00DF0C73" w:rsidP="00DF0C73">
            <w:pPr>
              <w:autoSpaceDE w:val="0"/>
              <w:autoSpaceDN w:val="0"/>
              <w:adjustRightInd w:val="0"/>
              <w:rPr>
                <w:szCs w:val="24"/>
              </w:rPr>
            </w:pPr>
            <w:r w:rsidRPr="00661B39">
              <w:rPr>
                <w:szCs w:val="24"/>
              </w:rPr>
              <w:t>950 Pennsylvania Avenue, N.W. - NYA</w:t>
            </w:r>
          </w:p>
          <w:p w:rsidR="00DF0C73" w:rsidRPr="00661B39" w:rsidRDefault="00DF0C73" w:rsidP="00DF0C73">
            <w:pPr>
              <w:autoSpaceDE w:val="0"/>
              <w:autoSpaceDN w:val="0"/>
              <w:adjustRightInd w:val="0"/>
              <w:rPr>
                <w:szCs w:val="24"/>
              </w:rPr>
            </w:pPr>
            <w:r w:rsidRPr="00661B39">
              <w:rPr>
                <w:szCs w:val="24"/>
              </w:rPr>
              <w:t>Washington, D.C. 20530</w:t>
            </w:r>
          </w:p>
          <w:p w:rsidR="00DF0C73" w:rsidRPr="00661B39" w:rsidRDefault="00DF0C73" w:rsidP="00DF0C73">
            <w:pPr>
              <w:autoSpaceDE w:val="0"/>
              <w:autoSpaceDN w:val="0"/>
              <w:adjustRightInd w:val="0"/>
              <w:rPr>
                <w:szCs w:val="24"/>
              </w:rPr>
            </w:pPr>
            <w:r w:rsidRPr="00661B39">
              <w:rPr>
                <w:szCs w:val="24"/>
              </w:rPr>
              <w:t xml:space="preserve">Telephone: (202) </w:t>
            </w:r>
            <w:r w:rsidRPr="00E976BC">
              <w:rPr>
                <w:szCs w:val="24"/>
              </w:rPr>
              <w:t>616-</w:t>
            </w:r>
            <w:r>
              <w:rPr>
                <w:szCs w:val="24"/>
              </w:rPr>
              <w:t>4784</w:t>
            </w:r>
          </w:p>
          <w:p w:rsidR="00DF0C73" w:rsidRPr="00661B39" w:rsidRDefault="00DF0C73" w:rsidP="00DF0C73">
            <w:pPr>
              <w:autoSpaceDE w:val="0"/>
              <w:autoSpaceDN w:val="0"/>
              <w:adjustRightInd w:val="0"/>
              <w:rPr>
                <w:szCs w:val="24"/>
              </w:rPr>
            </w:pPr>
            <w:r w:rsidRPr="00661B39">
              <w:rPr>
                <w:szCs w:val="24"/>
              </w:rPr>
              <w:t xml:space="preserve">Facsimile: (202) </w:t>
            </w:r>
            <w:r>
              <w:rPr>
                <w:szCs w:val="24"/>
              </w:rPr>
              <w:t>514-7821</w:t>
            </w:r>
          </w:p>
          <w:p w:rsidR="00DF0C73" w:rsidRPr="00661B39" w:rsidRDefault="00DF0C73" w:rsidP="00DF0C73">
            <w:pPr>
              <w:autoSpaceDE w:val="0"/>
              <w:autoSpaceDN w:val="0"/>
              <w:adjustRightInd w:val="0"/>
              <w:rPr>
                <w:szCs w:val="24"/>
              </w:rPr>
            </w:pPr>
            <w:r>
              <w:rPr>
                <w:szCs w:val="24"/>
              </w:rPr>
              <w:t>Teresa.Yeh</w:t>
            </w:r>
            <w:r w:rsidRPr="00661B39">
              <w:rPr>
                <w:szCs w:val="24"/>
              </w:rPr>
              <w:t>@usdoj.gov</w:t>
            </w:r>
          </w:p>
          <w:p w:rsidR="00DF0C73" w:rsidRPr="00DA0336" w:rsidRDefault="00DF0C73" w:rsidP="00DF0C73">
            <w:pPr>
              <w:autoSpaceDE w:val="0"/>
              <w:autoSpaceDN w:val="0"/>
              <w:adjustRightInd w:val="0"/>
              <w:rPr>
                <w:sz w:val="16"/>
                <w:szCs w:val="16"/>
              </w:rPr>
            </w:pPr>
          </w:p>
          <w:p w:rsidR="00DF0C73" w:rsidRPr="00661B39" w:rsidRDefault="00DF0C73" w:rsidP="00DF0C73">
            <w:pPr>
              <w:autoSpaceDE w:val="0"/>
              <w:autoSpaceDN w:val="0"/>
              <w:adjustRightInd w:val="0"/>
              <w:rPr>
                <w:i/>
                <w:szCs w:val="24"/>
              </w:rPr>
            </w:pPr>
            <w:r w:rsidRPr="00661B39">
              <w:rPr>
                <w:i/>
                <w:szCs w:val="24"/>
              </w:rPr>
              <w:t>Counsel for Plaintiff United States of America</w:t>
            </w:r>
          </w:p>
        </w:tc>
      </w:tr>
    </w:tbl>
    <w:p w:rsidR="00C766FD" w:rsidRDefault="00C766FD" w:rsidP="00E96F86">
      <w:pPr>
        <w:rPr>
          <w:b/>
          <w:u w:val="single"/>
        </w:rPr>
      </w:pPr>
    </w:p>
    <w:p w:rsidR="002D026D" w:rsidRDefault="002D026D" w:rsidP="00395C4D">
      <w:pPr>
        <w:jc w:val="center"/>
        <w:rPr>
          <w:b/>
          <w:u w:val="single"/>
        </w:rPr>
        <w:sectPr w:rsidR="002D026D" w:rsidSect="00B5147F">
          <w:footerReference w:type="default" r:id="rId15"/>
          <w:type w:val="continuous"/>
          <w:pgSz w:w="12240" w:h="15840"/>
          <w:pgMar w:top="1440" w:right="1440" w:bottom="1440" w:left="1440" w:header="720" w:footer="720" w:gutter="0"/>
          <w:cols w:space="720"/>
          <w:docGrid w:linePitch="360"/>
        </w:sectPr>
      </w:pPr>
    </w:p>
    <w:p w:rsidR="0022261B" w:rsidRDefault="0022261B">
      <w:pPr>
        <w:rPr>
          <w:b/>
          <w:u w:val="single"/>
        </w:rPr>
      </w:pPr>
    </w:p>
    <w:p w:rsidR="009055AC" w:rsidRDefault="009055AC">
      <w:pPr>
        <w:rPr>
          <w:b/>
          <w:u w:val="single"/>
        </w:rPr>
      </w:pPr>
      <w:r>
        <w:rPr>
          <w:b/>
          <w:u w:val="single"/>
        </w:rPr>
        <w:br w:type="page"/>
      </w:r>
    </w:p>
    <w:p w:rsidR="00395C4D" w:rsidRPr="00B71BCB" w:rsidRDefault="00395C4D" w:rsidP="00395C4D">
      <w:pPr>
        <w:jc w:val="center"/>
      </w:pPr>
      <w:r>
        <w:rPr>
          <w:b/>
          <w:u w:val="single"/>
        </w:rPr>
        <w:lastRenderedPageBreak/>
        <w:t>CERTIFICATE OF SERVICE</w:t>
      </w:r>
    </w:p>
    <w:p w:rsidR="00395C4D" w:rsidRDefault="00395C4D" w:rsidP="00D025AA">
      <w:pPr>
        <w:spacing w:line="360" w:lineRule="auto"/>
        <w:jc w:val="center"/>
        <w:rPr>
          <w:b/>
          <w:u w:val="single"/>
        </w:rPr>
      </w:pPr>
    </w:p>
    <w:p w:rsidR="00395C4D" w:rsidRDefault="00395C4D" w:rsidP="00395C4D">
      <w:pPr>
        <w:jc w:val="both"/>
      </w:pPr>
      <w:r>
        <w:t>I hereby certify that on this 22nd day of March 2017, I electronically filed the attached Reply using the CM/ECF system, which will automatically send email notification of such filing to all attorneys of record.</w:t>
      </w:r>
    </w:p>
    <w:p w:rsidR="00395C4D" w:rsidRDefault="00395C4D" w:rsidP="00395C4D">
      <w:pPr>
        <w:jc w:val="both"/>
      </w:pPr>
    </w:p>
    <w:p w:rsidR="00395C4D" w:rsidRDefault="00395C4D" w:rsidP="00395C4D">
      <w:pPr>
        <w:jc w:val="both"/>
      </w:pPr>
    </w:p>
    <w:p w:rsidR="00395C4D" w:rsidRDefault="00395C4D" w:rsidP="00395C4D">
      <w:pPr>
        <w:jc w:val="both"/>
      </w:pPr>
      <w:r>
        <w:tab/>
      </w:r>
      <w:r>
        <w:tab/>
      </w:r>
      <w:r>
        <w:tab/>
      </w:r>
      <w:r>
        <w:tab/>
      </w:r>
      <w:r>
        <w:tab/>
      </w:r>
      <w:r>
        <w:tab/>
      </w:r>
      <w:r>
        <w:tab/>
      </w:r>
      <w:r w:rsidRPr="00431C9B">
        <w:rPr>
          <w:i/>
          <w:iCs/>
          <w:szCs w:val="24"/>
          <w:u w:val="single"/>
        </w:rPr>
        <w:t xml:space="preserve">/s/ </w:t>
      </w:r>
      <w:r>
        <w:rPr>
          <w:i/>
          <w:iCs/>
          <w:szCs w:val="24"/>
          <w:u w:val="single"/>
        </w:rPr>
        <w:t>Teresa Yeh</w:t>
      </w:r>
      <w:r w:rsidRPr="00431C9B">
        <w:rPr>
          <w:szCs w:val="24"/>
          <w:u w:val="single"/>
        </w:rPr>
        <w:t>                              </w:t>
      </w:r>
      <w:r>
        <w:t xml:space="preserve"> </w:t>
      </w:r>
    </w:p>
    <w:p w:rsidR="00395C4D" w:rsidRPr="000035B5" w:rsidRDefault="00395C4D" w:rsidP="00395C4D">
      <w:pPr>
        <w:jc w:val="both"/>
      </w:pPr>
      <w:r>
        <w:tab/>
      </w:r>
      <w:r>
        <w:tab/>
      </w:r>
      <w:r>
        <w:tab/>
      </w:r>
      <w:r>
        <w:tab/>
      </w:r>
      <w:r>
        <w:tab/>
      </w:r>
      <w:r>
        <w:tab/>
      </w:r>
      <w:r>
        <w:tab/>
        <w:t>Teresa Yeh</w:t>
      </w:r>
    </w:p>
    <w:p w:rsidR="00D12296" w:rsidRPr="002136D3" w:rsidRDefault="00D12296" w:rsidP="00D12296">
      <w:pPr>
        <w:spacing w:line="480" w:lineRule="auto"/>
        <w:jc w:val="both"/>
        <w:rPr>
          <w:szCs w:val="24"/>
        </w:rPr>
      </w:pPr>
    </w:p>
    <w:sectPr w:rsidR="00D12296" w:rsidRPr="002136D3" w:rsidSect="00B5147F">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123" w:rsidRDefault="00C97123" w:rsidP="005B5EF5">
      <w:r>
        <w:separator/>
      </w:r>
    </w:p>
  </w:endnote>
  <w:endnote w:type="continuationSeparator" w:id="0">
    <w:p w:rsidR="00C97123" w:rsidRDefault="00C97123" w:rsidP="005B5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1DA" w:rsidRDefault="00A95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65B" w:rsidRPr="00A951DA" w:rsidRDefault="0066065B" w:rsidP="00A951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65B" w:rsidRPr="00A951DA" w:rsidRDefault="0066065B" w:rsidP="00A951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65B" w:rsidRPr="00A951DA" w:rsidRDefault="0066065B" w:rsidP="00A951D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65B" w:rsidRPr="00A951DA" w:rsidRDefault="0066065B" w:rsidP="00A951D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65B" w:rsidRPr="00A951DA" w:rsidRDefault="0066065B" w:rsidP="00A95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123" w:rsidRDefault="00C97123" w:rsidP="005B5EF5">
      <w:r>
        <w:separator/>
      </w:r>
    </w:p>
  </w:footnote>
  <w:footnote w:type="continuationSeparator" w:id="0">
    <w:p w:rsidR="00C97123" w:rsidRDefault="00C97123" w:rsidP="005B5EF5">
      <w:r>
        <w:continuationSeparator/>
      </w:r>
    </w:p>
  </w:footnote>
  <w:footnote w:id="1">
    <w:p w:rsidR="00F364D3" w:rsidRPr="00B5115D" w:rsidRDefault="00F364D3" w:rsidP="00F364D3">
      <w:pPr>
        <w:pStyle w:val="FootnoteText"/>
        <w:jc w:val="both"/>
        <w:rPr>
          <w:sz w:val="24"/>
          <w:szCs w:val="24"/>
        </w:rPr>
      </w:pPr>
      <w:r w:rsidRPr="0064018A">
        <w:rPr>
          <w:rStyle w:val="FootnoteReference"/>
        </w:rPr>
        <w:footnoteRef/>
      </w:r>
      <w:r>
        <w:t xml:space="preserve"> </w:t>
      </w:r>
      <w:r w:rsidRPr="00B5115D">
        <w:rPr>
          <w:i/>
          <w:sz w:val="24"/>
          <w:szCs w:val="24"/>
        </w:rPr>
        <w:t>See also Kaiser Motors Corp. v. Savage</w:t>
      </w:r>
      <w:r w:rsidRPr="00B5115D">
        <w:rPr>
          <w:sz w:val="24"/>
          <w:szCs w:val="24"/>
        </w:rPr>
        <w:t xml:space="preserve">, 229 F.2d 525, 533–34 (8th Cir. 1956) (declining to apply </w:t>
      </w:r>
      <w:r w:rsidRPr="00B5115D">
        <w:rPr>
          <w:i/>
          <w:sz w:val="24"/>
          <w:szCs w:val="24"/>
        </w:rPr>
        <w:t>expressio unius est exclusio alterius</w:t>
      </w:r>
      <w:r w:rsidRPr="00B5115D">
        <w:rPr>
          <w:sz w:val="24"/>
          <w:szCs w:val="24"/>
        </w:rPr>
        <w:t xml:space="preserve"> when “other clearer indications” of the parties’ intent were available); </w:t>
      </w:r>
      <w:r w:rsidRPr="00B5115D">
        <w:rPr>
          <w:rFonts w:eastAsia="Times New Roman"/>
          <w:i/>
          <w:sz w:val="24"/>
          <w:szCs w:val="24"/>
        </w:rPr>
        <w:t>Metro. Life Ins. Co. v. Strand</w:t>
      </w:r>
      <w:r w:rsidRPr="00B5115D">
        <w:rPr>
          <w:rFonts w:eastAsia="Times New Roman"/>
          <w:sz w:val="24"/>
          <w:szCs w:val="24"/>
        </w:rPr>
        <w:t xml:space="preserve">, </w:t>
      </w:r>
      <w:r w:rsidR="00E00B6A">
        <w:rPr>
          <w:rFonts w:eastAsia="Times New Roman"/>
          <w:sz w:val="24"/>
          <w:szCs w:val="24"/>
        </w:rPr>
        <w:t>255 Kan. 657, 662, 876 P.2d 1362, 1366 (</w:t>
      </w:r>
      <w:r w:rsidRPr="00B5115D">
        <w:rPr>
          <w:rFonts w:eastAsia="Times New Roman"/>
          <w:sz w:val="24"/>
          <w:szCs w:val="24"/>
        </w:rPr>
        <w:t>1994) (explaining that canons of construction</w:t>
      </w:r>
      <w:r>
        <w:rPr>
          <w:rFonts w:eastAsia="Times New Roman"/>
          <w:sz w:val="24"/>
          <w:szCs w:val="24"/>
        </w:rPr>
        <w:t xml:space="preserve"> such as </w:t>
      </w:r>
      <w:r>
        <w:rPr>
          <w:rFonts w:eastAsia="Times New Roman"/>
          <w:i/>
          <w:sz w:val="24"/>
          <w:szCs w:val="24"/>
        </w:rPr>
        <w:t>expressio unius</w:t>
      </w:r>
      <w:r w:rsidRPr="00B5115D">
        <w:rPr>
          <w:rFonts w:eastAsia="Times New Roman"/>
          <w:sz w:val="24"/>
          <w:szCs w:val="24"/>
        </w:rPr>
        <w:t xml:space="preserve"> are “used in the interpretation and construction of a contract when the intention of the parties is not clear”)</w:t>
      </w:r>
      <w:r w:rsidRPr="00B5115D">
        <w:rPr>
          <w:sz w:val="24"/>
          <w:szCs w:val="24"/>
        </w:rPr>
        <w:t xml:space="preserve">; </w:t>
      </w:r>
      <w:r w:rsidRPr="00B5115D">
        <w:rPr>
          <w:i/>
          <w:sz w:val="24"/>
          <w:szCs w:val="24"/>
        </w:rPr>
        <w:t>Bd. of Transp. v. Pelletier</w:t>
      </w:r>
      <w:r w:rsidRPr="00B5115D">
        <w:rPr>
          <w:sz w:val="24"/>
          <w:szCs w:val="24"/>
        </w:rPr>
        <w:t xml:space="preserve">, </w:t>
      </w:r>
      <w:r>
        <w:rPr>
          <w:sz w:val="24"/>
          <w:szCs w:val="24"/>
        </w:rPr>
        <w:t xml:space="preserve">38 N.C. App. 533, 537, </w:t>
      </w:r>
      <w:r w:rsidRPr="00B5115D">
        <w:rPr>
          <w:sz w:val="24"/>
          <w:szCs w:val="24"/>
        </w:rPr>
        <w:t xml:space="preserve">248 S.E. 2d 413, 415 (1978) (noting that “if the intent is not apparent from the deed, resort may be had to the general rules of construction”); </w:t>
      </w:r>
      <w:r w:rsidRPr="00B5115D">
        <w:rPr>
          <w:i/>
          <w:sz w:val="24"/>
          <w:szCs w:val="24"/>
        </w:rPr>
        <w:t>Checker Oil Co. of Del. v. Har</w:t>
      </w:r>
      <w:r>
        <w:rPr>
          <w:i/>
          <w:sz w:val="24"/>
          <w:szCs w:val="24"/>
        </w:rPr>
        <w:t>ol</w:t>
      </w:r>
      <w:r w:rsidRPr="00B5115D">
        <w:rPr>
          <w:i/>
          <w:sz w:val="24"/>
          <w:szCs w:val="24"/>
        </w:rPr>
        <w:t>d H. Hogg, Inc.</w:t>
      </w:r>
      <w:r w:rsidRPr="00B5115D">
        <w:rPr>
          <w:sz w:val="24"/>
          <w:szCs w:val="24"/>
        </w:rPr>
        <w:t xml:space="preserve">, </w:t>
      </w:r>
      <w:r w:rsidR="00E00B6A">
        <w:rPr>
          <w:sz w:val="24"/>
          <w:szCs w:val="24"/>
        </w:rPr>
        <w:t xml:space="preserve">251 Pa. Super. 351, 356, </w:t>
      </w:r>
      <w:r w:rsidRPr="00B5115D">
        <w:rPr>
          <w:sz w:val="24"/>
          <w:szCs w:val="24"/>
        </w:rPr>
        <w:t>380 A</w:t>
      </w:r>
      <w:r w:rsidR="00E00B6A">
        <w:rPr>
          <w:sz w:val="24"/>
          <w:szCs w:val="24"/>
        </w:rPr>
        <w:t>.2d 815, 817–18 (</w:t>
      </w:r>
      <w:r w:rsidRPr="00B5115D">
        <w:rPr>
          <w:sz w:val="24"/>
          <w:szCs w:val="24"/>
        </w:rPr>
        <w:t>1977) (declining to apply canon of construction “when an examination of the entire transaction reveals that the parties had a different or more inclusive intention”).</w:t>
      </w:r>
    </w:p>
    <w:p w:rsidR="00F364D3" w:rsidRDefault="00F364D3">
      <w:pPr>
        <w:pStyle w:val="FootnoteText"/>
      </w:pPr>
    </w:p>
  </w:footnote>
  <w:footnote w:id="2">
    <w:p w:rsidR="0066065B" w:rsidRPr="00B5115D" w:rsidRDefault="0066065B" w:rsidP="008E56C8">
      <w:pPr>
        <w:pStyle w:val="FootnoteText"/>
        <w:jc w:val="both"/>
        <w:rPr>
          <w:sz w:val="24"/>
          <w:szCs w:val="24"/>
        </w:rPr>
      </w:pPr>
      <w:r w:rsidRPr="0064018A">
        <w:rPr>
          <w:rStyle w:val="FootnoteReference"/>
        </w:rPr>
        <w:footnoteRef/>
      </w:r>
      <w:r w:rsidRPr="00B5115D">
        <w:rPr>
          <w:sz w:val="24"/>
          <w:szCs w:val="24"/>
        </w:rPr>
        <w:t xml:space="preserve"> </w:t>
      </w:r>
      <w:r w:rsidR="002D026D">
        <w:rPr>
          <w:sz w:val="24"/>
          <w:szCs w:val="24"/>
        </w:rPr>
        <w:t>These figures</w:t>
      </w:r>
      <w:r w:rsidR="00852E67">
        <w:rPr>
          <w:sz w:val="24"/>
          <w:szCs w:val="24"/>
        </w:rPr>
        <w:t xml:space="preserve"> </w:t>
      </w:r>
      <w:r w:rsidR="00C86B38">
        <w:rPr>
          <w:sz w:val="24"/>
          <w:szCs w:val="24"/>
        </w:rPr>
        <w:t>account for turnover</w:t>
      </w:r>
      <w:r w:rsidR="002D026D">
        <w:rPr>
          <w:sz w:val="24"/>
          <w:szCs w:val="24"/>
        </w:rPr>
        <w:t xml:space="preserve">, reflecting </w:t>
      </w:r>
      <w:r w:rsidR="00DF0C73">
        <w:rPr>
          <w:sz w:val="24"/>
          <w:szCs w:val="24"/>
        </w:rPr>
        <w:t xml:space="preserve">only </w:t>
      </w:r>
      <w:r w:rsidR="00852E67">
        <w:rPr>
          <w:sz w:val="24"/>
          <w:szCs w:val="24"/>
        </w:rPr>
        <w:t xml:space="preserve">occupied Housing Slots. </w:t>
      </w:r>
      <w:r w:rsidRPr="00B5115D">
        <w:rPr>
          <w:i/>
          <w:sz w:val="24"/>
          <w:szCs w:val="24"/>
        </w:rPr>
        <w:t>Year One Summary</w:t>
      </w:r>
      <w:r w:rsidRPr="00B5115D">
        <w:rPr>
          <w:sz w:val="24"/>
          <w:szCs w:val="24"/>
        </w:rPr>
        <w:t xml:space="preserve"> </w:t>
      </w:r>
      <w:r w:rsidR="000B46FA">
        <w:rPr>
          <w:sz w:val="24"/>
          <w:szCs w:val="24"/>
        </w:rPr>
        <w:t xml:space="preserve">5, </w:t>
      </w:r>
      <w:r w:rsidRPr="00B5115D">
        <w:rPr>
          <w:sz w:val="24"/>
          <w:szCs w:val="24"/>
        </w:rPr>
        <w:t>D.E. 15-22 (</w:t>
      </w:r>
      <w:r w:rsidR="00C86B38">
        <w:rPr>
          <w:sz w:val="24"/>
          <w:szCs w:val="24"/>
        </w:rPr>
        <w:t xml:space="preserve">reporting </w:t>
      </w:r>
      <w:r w:rsidRPr="00B5115D">
        <w:rPr>
          <w:sz w:val="24"/>
          <w:szCs w:val="24"/>
        </w:rPr>
        <w:t xml:space="preserve">77 individuals were “in housing”); </w:t>
      </w:r>
      <w:r w:rsidRPr="00B5115D">
        <w:rPr>
          <w:i/>
          <w:sz w:val="24"/>
          <w:szCs w:val="24"/>
        </w:rPr>
        <w:t>Transitions to Community Living Update as of January 6, 2014</w:t>
      </w:r>
      <w:r w:rsidRPr="00B5115D">
        <w:rPr>
          <w:sz w:val="24"/>
          <w:szCs w:val="24"/>
        </w:rPr>
        <w:t xml:space="preserve"> </w:t>
      </w:r>
      <w:r w:rsidR="000B46FA">
        <w:rPr>
          <w:sz w:val="24"/>
          <w:szCs w:val="24"/>
        </w:rPr>
        <w:t xml:space="preserve">1, </w:t>
      </w:r>
      <w:r w:rsidRPr="00B5115D">
        <w:rPr>
          <w:sz w:val="24"/>
          <w:szCs w:val="24"/>
        </w:rPr>
        <w:t>D.E. 15-23 (</w:t>
      </w:r>
      <w:r w:rsidR="00C86B38">
        <w:rPr>
          <w:sz w:val="24"/>
          <w:szCs w:val="24"/>
        </w:rPr>
        <w:t xml:space="preserve">reporting </w:t>
      </w:r>
      <w:r w:rsidRPr="00B5115D">
        <w:rPr>
          <w:sz w:val="24"/>
          <w:szCs w:val="24"/>
        </w:rPr>
        <w:t>169 individuals “confirmed as in housing”).</w:t>
      </w:r>
    </w:p>
    <w:p w:rsidR="0066065B" w:rsidRPr="00B5115D" w:rsidRDefault="0066065B">
      <w:pPr>
        <w:pStyle w:val="FootnoteText"/>
        <w:rPr>
          <w:sz w:val="16"/>
          <w:szCs w:val="16"/>
        </w:rPr>
      </w:pPr>
    </w:p>
  </w:footnote>
  <w:footnote w:id="3">
    <w:p w:rsidR="0066065B" w:rsidRPr="00B5115D" w:rsidRDefault="0066065B" w:rsidP="00B56234">
      <w:pPr>
        <w:pStyle w:val="FootnoteText"/>
        <w:jc w:val="both"/>
        <w:rPr>
          <w:sz w:val="24"/>
          <w:szCs w:val="24"/>
        </w:rPr>
      </w:pPr>
      <w:r w:rsidRPr="0064018A">
        <w:rPr>
          <w:rStyle w:val="FootnoteReference"/>
        </w:rPr>
        <w:footnoteRef/>
      </w:r>
      <w:r w:rsidRPr="00B5115D">
        <w:rPr>
          <w:sz w:val="24"/>
          <w:szCs w:val="24"/>
        </w:rPr>
        <w:t xml:space="preserve"> Minimum turnover was determined by counting net decreases in the reported number of housed individuals in each section III(B)(2) priority category in each placement as compared to the previous month’s total in that same category and placement. For example, at least two individuals left their Housing Slots between April and May 2014, as the net decrease in individuals housed in the totals for two priority categories</w:t>
      </w:r>
      <w:r>
        <w:rPr>
          <w:sz w:val="24"/>
          <w:szCs w:val="24"/>
        </w:rPr>
        <w:t xml:space="preserve"> indicates</w:t>
      </w:r>
      <w:r w:rsidRPr="00B5115D">
        <w:rPr>
          <w:sz w:val="24"/>
          <w:szCs w:val="24"/>
        </w:rPr>
        <w:t xml:space="preserve">. </w:t>
      </w:r>
      <w:r w:rsidRPr="00B5115D">
        <w:rPr>
          <w:i/>
          <w:sz w:val="24"/>
          <w:szCs w:val="24"/>
        </w:rPr>
        <w:t>Compare</w:t>
      </w:r>
      <w:r w:rsidRPr="00B5115D">
        <w:rPr>
          <w:sz w:val="24"/>
          <w:szCs w:val="24"/>
        </w:rPr>
        <w:t xml:space="preserve"> April 2014 Monthly Rep., D.E. 15-7, </w:t>
      </w:r>
      <w:r w:rsidRPr="00B5115D">
        <w:rPr>
          <w:i/>
          <w:sz w:val="24"/>
          <w:szCs w:val="24"/>
        </w:rPr>
        <w:t>with</w:t>
      </w:r>
      <w:r w:rsidRPr="00B5115D">
        <w:rPr>
          <w:sz w:val="24"/>
          <w:szCs w:val="24"/>
        </w:rPr>
        <w:t xml:space="preserve"> May 2014 Monthly Rep., D.E. 15-6 (</w:t>
      </w:r>
      <w:r w:rsidR="00E00B6A">
        <w:rPr>
          <w:sz w:val="24"/>
          <w:szCs w:val="24"/>
        </w:rPr>
        <w:t xml:space="preserve">“Category 4” </w:t>
      </w:r>
      <w:r w:rsidRPr="00B5115D">
        <w:rPr>
          <w:sz w:val="24"/>
          <w:szCs w:val="24"/>
        </w:rPr>
        <w:t xml:space="preserve">individuals at </w:t>
      </w:r>
      <w:r w:rsidR="00E00B6A">
        <w:rPr>
          <w:sz w:val="24"/>
          <w:szCs w:val="24"/>
        </w:rPr>
        <w:t>Partners Behavioral Health decreased from 3 to 2,</w:t>
      </w:r>
      <w:r w:rsidRPr="00B5115D">
        <w:rPr>
          <w:sz w:val="24"/>
          <w:szCs w:val="24"/>
        </w:rPr>
        <w:t xml:space="preserve"> “Cate</w:t>
      </w:r>
      <w:r w:rsidR="00E00B6A">
        <w:rPr>
          <w:sz w:val="24"/>
          <w:szCs w:val="24"/>
        </w:rPr>
        <w:t>gory 5” individuals at Sandhills Center</w:t>
      </w:r>
      <w:r w:rsidRPr="00B5115D">
        <w:rPr>
          <w:sz w:val="24"/>
          <w:szCs w:val="24"/>
        </w:rPr>
        <w:t xml:space="preserve"> decreased from 9 to 8). Actual turnover </w:t>
      </w:r>
      <w:r>
        <w:rPr>
          <w:sz w:val="24"/>
          <w:szCs w:val="24"/>
        </w:rPr>
        <w:t>may have been</w:t>
      </w:r>
      <w:r w:rsidRPr="00B5115D">
        <w:rPr>
          <w:sz w:val="24"/>
          <w:szCs w:val="24"/>
        </w:rPr>
        <w:t xml:space="preserve"> greater because the calculation of minimum turnover does not account for any turnover offset by net total gains.</w:t>
      </w:r>
    </w:p>
    <w:p w:rsidR="0066065B" w:rsidRPr="00B5115D" w:rsidRDefault="0066065B" w:rsidP="00B56234">
      <w:pPr>
        <w:pStyle w:val="FootnoteText"/>
        <w:jc w:val="both"/>
        <w:rPr>
          <w:sz w:val="16"/>
          <w:szCs w:val="16"/>
        </w:rPr>
      </w:pPr>
    </w:p>
  </w:footnote>
  <w:footnote w:id="4">
    <w:p w:rsidR="0066065B" w:rsidRPr="00B5115D" w:rsidRDefault="0066065B" w:rsidP="003F539C">
      <w:pPr>
        <w:pStyle w:val="FootnoteText"/>
        <w:jc w:val="both"/>
        <w:rPr>
          <w:sz w:val="24"/>
          <w:szCs w:val="24"/>
        </w:rPr>
      </w:pPr>
      <w:r w:rsidRPr="0064018A">
        <w:rPr>
          <w:rStyle w:val="FootnoteReference"/>
        </w:rPr>
        <w:footnoteRef/>
      </w:r>
      <w:r w:rsidRPr="00B5115D">
        <w:rPr>
          <w:sz w:val="24"/>
          <w:szCs w:val="24"/>
        </w:rPr>
        <w:t xml:space="preserve"> The Independent Reviewer also measures the State’s compliance with section III(D)(3) as the number of individuals in the target population receiving Supported Employment Services on </w:t>
      </w:r>
      <w:r w:rsidR="00094E34">
        <w:rPr>
          <w:sz w:val="24"/>
          <w:szCs w:val="24"/>
        </w:rPr>
        <w:t>the annual</w:t>
      </w:r>
      <w:r w:rsidRPr="00B5115D">
        <w:rPr>
          <w:sz w:val="24"/>
          <w:szCs w:val="24"/>
        </w:rPr>
        <w:t xml:space="preserve"> compl</w:t>
      </w:r>
      <w:r w:rsidR="00FE2577">
        <w:rPr>
          <w:sz w:val="24"/>
          <w:szCs w:val="24"/>
        </w:rPr>
        <w:t>iance dates. 2016 Annual Rep. 56</w:t>
      </w:r>
      <w:r w:rsidRPr="00B5115D">
        <w:rPr>
          <w:sz w:val="24"/>
          <w:szCs w:val="24"/>
        </w:rPr>
        <w:t>.</w:t>
      </w:r>
    </w:p>
    <w:p w:rsidR="0066065B" w:rsidRPr="00B5115D" w:rsidRDefault="0066065B" w:rsidP="003F539C">
      <w:pPr>
        <w:pStyle w:val="FootnoteText"/>
        <w:jc w:val="both"/>
        <w:rPr>
          <w:sz w:val="16"/>
          <w:szCs w:val="16"/>
        </w:rPr>
      </w:pPr>
    </w:p>
  </w:footnote>
  <w:footnote w:id="5">
    <w:p w:rsidR="0066065B" w:rsidRPr="00B5115D" w:rsidRDefault="0066065B" w:rsidP="004E25B2">
      <w:pPr>
        <w:pStyle w:val="FootnoteText"/>
        <w:jc w:val="both"/>
        <w:rPr>
          <w:sz w:val="24"/>
          <w:szCs w:val="24"/>
        </w:rPr>
      </w:pPr>
      <w:r w:rsidRPr="0064018A">
        <w:rPr>
          <w:rStyle w:val="FootnoteReference"/>
        </w:rPr>
        <w:footnoteRef/>
      </w:r>
      <w:r w:rsidRPr="00B5115D">
        <w:rPr>
          <w:sz w:val="24"/>
          <w:szCs w:val="24"/>
        </w:rPr>
        <w:t xml:space="preserve"> Contrary to the State’s assertions, the United States does not seek to modify the Agreement. Thus, the Motion does not implicate section V(H). </w:t>
      </w:r>
    </w:p>
    <w:p w:rsidR="0066065B" w:rsidRPr="00B5115D" w:rsidRDefault="0066065B" w:rsidP="004E25B2">
      <w:pPr>
        <w:pStyle w:val="FootnoteText"/>
        <w:jc w:val="both"/>
        <w:rPr>
          <w:sz w:val="16"/>
          <w:szCs w:val="16"/>
        </w:rPr>
      </w:pPr>
    </w:p>
  </w:footnote>
  <w:footnote w:id="6">
    <w:p w:rsidR="0066065B" w:rsidRPr="00B5115D" w:rsidRDefault="0066065B" w:rsidP="00154B68">
      <w:pPr>
        <w:pStyle w:val="FootnoteText"/>
        <w:tabs>
          <w:tab w:val="left" w:pos="915"/>
        </w:tabs>
        <w:jc w:val="both"/>
        <w:rPr>
          <w:sz w:val="24"/>
          <w:szCs w:val="24"/>
        </w:rPr>
      </w:pPr>
      <w:r w:rsidRPr="0064018A">
        <w:rPr>
          <w:rStyle w:val="FootnoteReference"/>
        </w:rPr>
        <w:footnoteRef/>
      </w:r>
      <w:r w:rsidRPr="00B5115D">
        <w:rPr>
          <w:sz w:val="24"/>
          <w:szCs w:val="24"/>
        </w:rPr>
        <w:t xml:space="preserve"> Even applying the State’s </w:t>
      </w:r>
      <w:r>
        <w:rPr>
          <w:sz w:val="24"/>
          <w:szCs w:val="24"/>
        </w:rPr>
        <w:t>numbers</w:t>
      </w:r>
      <w:r w:rsidRPr="00B5115D">
        <w:rPr>
          <w:sz w:val="24"/>
          <w:szCs w:val="24"/>
        </w:rPr>
        <w:t xml:space="preserve">, its supported housing program operated at only 73 percent of expected capacity by July 1, 2016. </w:t>
      </w:r>
      <w:r w:rsidR="00FE2577">
        <w:rPr>
          <w:i/>
          <w:sz w:val="24"/>
          <w:szCs w:val="24"/>
        </w:rPr>
        <w:t xml:space="preserve">See </w:t>
      </w:r>
      <w:r w:rsidR="00FE2577">
        <w:rPr>
          <w:sz w:val="24"/>
          <w:szCs w:val="24"/>
        </w:rPr>
        <w:t>Def.’s Opp’n 24</w:t>
      </w:r>
      <w:r w:rsidRPr="00B5115D">
        <w:rPr>
          <w:sz w:val="24"/>
          <w:szCs w:val="24"/>
        </w:rPr>
        <w:t xml:space="preserve"> (reporting that </w:t>
      </w:r>
      <w:r w:rsidR="00AE46AD">
        <w:rPr>
          <w:sz w:val="24"/>
          <w:szCs w:val="24"/>
        </w:rPr>
        <w:t xml:space="preserve">the </w:t>
      </w:r>
      <w:r w:rsidRPr="00B5115D">
        <w:rPr>
          <w:sz w:val="24"/>
          <w:szCs w:val="24"/>
        </w:rPr>
        <w:t>State had served 853 individuals i</w:t>
      </w:r>
      <w:r w:rsidR="00FE2577">
        <w:rPr>
          <w:sz w:val="24"/>
          <w:szCs w:val="24"/>
        </w:rPr>
        <w:t>n Housing Slots for some amount</w:t>
      </w:r>
      <w:r w:rsidRPr="00B5115D">
        <w:rPr>
          <w:sz w:val="24"/>
          <w:szCs w:val="24"/>
        </w:rPr>
        <w:t xml:space="preserve"> of time). That seven months later, 1,167 individuals had cycled through Housing Slots is of no consequence; by that time, the system needed to be moving much closer to its July 1, 2017 benchmark of serving 1,624 individuals. </w:t>
      </w:r>
    </w:p>
    <w:p w:rsidR="0066065B" w:rsidRPr="00B5115D" w:rsidRDefault="0066065B" w:rsidP="00612B7F">
      <w:pPr>
        <w:pStyle w:val="FootnoteText"/>
        <w:tabs>
          <w:tab w:val="left" w:pos="915"/>
        </w:tabs>
        <w:jc w:val="both"/>
        <w:rPr>
          <w:sz w:val="16"/>
          <w:szCs w:val="16"/>
        </w:rPr>
      </w:pPr>
    </w:p>
  </w:footnote>
  <w:footnote w:id="7">
    <w:p w:rsidR="0066065B" w:rsidRPr="00B5115D" w:rsidRDefault="0066065B" w:rsidP="00612B7F">
      <w:pPr>
        <w:pStyle w:val="FootnoteText"/>
        <w:jc w:val="both"/>
        <w:rPr>
          <w:sz w:val="24"/>
          <w:szCs w:val="24"/>
        </w:rPr>
      </w:pPr>
      <w:r w:rsidRPr="0064018A">
        <w:rPr>
          <w:rStyle w:val="FootnoteReference"/>
        </w:rPr>
        <w:footnoteRef/>
      </w:r>
      <w:r w:rsidRPr="00B5115D">
        <w:rPr>
          <w:sz w:val="24"/>
          <w:szCs w:val="24"/>
        </w:rPr>
        <w:t xml:space="preserve"> </w:t>
      </w:r>
      <w:r>
        <w:rPr>
          <w:sz w:val="24"/>
          <w:szCs w:val="24"/>
        </w:rPr>
        <w:t xml:space="preserve">Jessica Keith and Beth Melcher’s affidavits </w:t>
      </w:r>
      <w:r w:rsidRPr="00B5115D">
        <w:rPr>
          <w:sz w:val="24"/>
          <w:szCs w:val="24"/>
        </w:rPr>
        <w:t xml:space="preserve">misstate the United States’ position on supported employment as barring North Carolina from providing the service to individuals outside the target population. </w:t>
      </w:r>
      <w:r w:rsidRPr="00612B7F">
        <w:rPr>
          <w:i/>
          <w:sz w:val="24"/>
          <w:szCs w:val="24"/>
        </w:rPr>
        <w:t>See</w:t>
      </w:r>
      <w:r w:rsidRPr="00612B7F">
        <w:rPr>
          <w:sz w:val="24"/>
          <w:szCs w:val="24"/>
        </w:rPr>
        <w:t xml:space="preserve"> Keith Decl. ¶¶ 11, 13,</w:t>
      </w:r>
      <w:r w:rsidR="00FE2577">
        <w:rPr>
          <w:sz w:val="24"/>
          <w:szCs w:val="24"/>
        </w:rPr>
        <w:t xml:space="preserve"> D.E. 23-10; Melcher Aff. ¶¶ 5–</w:t>
      </w:r>
      <w:r w:rsidRPr="00612B7F">
        <w:rPr>
          <w:sz w:val="24"/>
          <w:szCs w:val="24"/>
        </w:rPr>
        <w:t>6,</w:t>
      </w:r>
      <w:r>
        <w:rPr>
          <w:sz w:val="24"/>
          <w:szCs w:val="24"/>
        </w:rPr>
        <w:t xml:space="preserve"> D.E. 23-13. </w:t>
      </w:r>
      <w:r w:rsidRPr="00B5115D">
        <w:rPr>
          <w:sz w:val="24"/>
          <w:szCs w:val="24"/>
        </w:rPr>
        <w:t xml:space="preserve">The State may provide </w:t>
      </w:r>
      <w:r w:rsidR="00A731A2">
        <w:rPr>
          <w:sz w:val="24"/>
          <w:szCs w:val="24"/>
        </w:rPr>
        <w:t>Supported Employment Services</w:t>
      </w:r>
      <w:r w:rsidRPr="00B5115D">
        <w:rPr>
          <w:sz w:val="24"/>
          <w:szCs w:val="24"/>
        </w:rPr>
        <w:t xml:space="preserve"> to whomever it wants, but only services </w:t>
      </w:r>
      <w:r w:rsidR="00A731A2">
        <w:rPr>
          <w:sz w:val="24"/>
          <w:szCs w:val="24"/>
        </w:rPr>
        <w:t xml:space="preserve">provided </w:t>
      </w:r>
      <w:r w:rsidRPr="00B5115D">
        <w:rPr>
          <w:sz w:val="24"/>
          <w:szCs w:val="24"/>
        </w:rPr>
        <w:t xml:space="preserve">to target population members satisfy the State’s section III(D)(3) obligation. </w:t>
      </w:r>
      <w:r w:rsidRPr="000847D3">
        <w:rPr>
          <w:i/>
          <w:sz w:val="24"/>
          <w:szCs w:val="24"/>
        </w:rPr>
        <w:t xml:space="preserve">See </w:t>
      </w:r>
      <w:r>
        <w:rPr>
          <w:i/>
          <w:sz w:val="24"/>
          <w:szCs w:val="24"/>
        </w:rPr>
        <w:t xml:space="preserve">also </w:t>
      </w:r>
      <w:r w:rsidR="003A52C2" w:rsidRPr="00DC146D">
        <w:rPr>
          <w:sz w:val="24"/>
          <w:szCs w:val="24"/>
        </w:rPr>
        <w:t>U.S.’s Br.</w:t>
      </w:r>
      <w:r>
        <w:rPr>
          <w:sz w:val="24"/>
          <w:szCs w:val="24"/>
        </w:rPr>
        <w:t xml:space="preserve"> </w:t>
      </w:r>
      <w:r w:rsidR="00FE2577">
        <w:rPr>
          <w:sz w:val="24"/>
          <w:szCs w:val="24"/>
        </w:rPr>
        <w:t>20</w:t>
      </w:r>
      <w:r w:rsidR="00AA7C83">
        <w:rPr>
          <w:sz w:val="24"/>
          <w:szCs w:val="24"/>
        </w:rPr>
        <w:t xml:space="preserve">–25 </w:t>
      </w:r>
      <w:r>
        <w:rPr>
          <w:sz w:val="24"/>
          <w:szCs w:val="24"/>
        </w:rPr>
        <w:t>(</w:t>
      </w:r>
      <w:r w:rsidRPr="00B5115D">
        <w:rPr>
          <w:sz w:val="24"/>
          <w:szCs w:val="24"/>
        </w:rPr>
        <w:t>reply</w:t>
      </w:r>
      <w:r>
        <w:rPr>
          <w:sz w:val="24"/>
          <w:szCs w:val="24"/>
        </w:rPr>
        <w:t>ing</w:t>
      </w:r>
      <w:r w:rsidR="00FE2577">
        <w:rPr>
          <w:sz w:val="24"/>
          <w:szCs w:val="24"/>
        </w:rPr>
        <w:t xml:space="preserve"> to </w:t>
      </w:r>
      <w:r w:rsidRPr="00B5115D">
        <w:rPr>
          <w:sz w:val="24"/>
          <w:szCs w:val="24"/>
        </w:rPr>
        <w:t>State’s arguments on the interpretation of section III(D)(3)</w:t>
      </w:r>
      <w:r>
        <w:rPr>
          <w:sz w:val="24"/>
          <w:szCs w:val="24"/>
        </w:rPr>
        <w:t>)</w:t>
      </w:r>
      <w:r w:rsidRPr="00B5115D">
        <w:rPr>
          <w:sz w:val="24"/>
          <w:szCs w:val="24"/>
        </w:rPr>
        <w:t xml:space="preserve">. </w:t>
      </w:r>
    </w:p>
    <w:p w:rsidR="0066065B" w:rsidRPr="00B5115D" w:rsidRDefault="0066065B">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1DA" w:rsidRDefault="00A951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1DA" w:rsidRDefault="00A951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1DA" w:rsidRDefault="00A951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14BC"/>
    <w:multiLevelType w:val="hybridMultilevel"/>
    <w:tmpl w:val="E370BCFE"/>
    <w:lvl w:ilvl="0" w:tplc="047A1E8A">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FA8658F"/>
    <w:multiLevelType w:val="hybridMultilevel"/>
    <w:tmpl w:val="C0E0C3B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FBC5A7B"/>
    <w:multiLevelType w:val="hybridMultilevel"/>
    <w:tmpl w:val="D45EB8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C5CCA"/>
    <w:multiLevelType w:val="hybridMultilevel"/>
    <w:tmpl w:val="B24A69C2"/>
    <w:lvl w:ilvl="0" w:tplc="D152B198">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21270DD1"/>
    <w:multiLevelType w:val="hybridMultilevel"/>
    <w:tmpl w:val="24624D4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5C7A0694">
      <w:start w:val="1"/>
      <w:numFmt w:val="decimal"/>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697E94"/>
    <w:multiLevelType w:val="hybridMultilevel"/>
    <w:tmpl w:val="4ED4A700"/>
    <w:lvl w:ilvl="0" w:tplc="1C84796E">
      <w:start w:val="1"/>
      <w:numFmt w:val="decimal"/>
      <w:lvlText w:val="%1."/>
      <w:lvlJc w:val="left"/>
      <w:pPr>
        <w:ind w:left="2160" w:hanging="360"/>
      </w:pPr>
      <w:rPr>
        <w:b/>
        <w:i/>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D6A6DFA"/>
    <w:multiLevelType w:val="hybridMultilevel"/>
    <w:tmpl w:val="AA68004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13304F"/>
    <w:multiLevelType w:val="hybridMultilevel"/>
    <w:tmpl w:val="F8D0F364"/>
    <w:lvl w:ilvl="0" w:tplc="E48A3BEA">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B1B7C"/>
    <w:multiLevelType w:val="hybridMultilevel"/>
    <w:tmpl w:val="40C67E8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5874B49"/>
    <w:multiLevelType w:val="hybridMultilevel"/>
    <w:tmpl w:val="AC0E309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5A120FA"/>
    <w:multiLevelType w:val="hybridMultilevel"/>
    <w:tmpl w:val="7BD898D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40EA0383"/>
    <w:multiLevelType w:val="hybridMultilevel"/>
    <w:tmpl w:val="8A0C8CBC"/>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44564E8B"/>
    <w:multiLevelType w:val="hybridMultilevel"/>
    <w:tmpl w:val="E49E26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D4770C9"/>
    <w:multiLevelType w:val="hybridMultilevel"/>
    <w:tmpl w:val="C5A85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3154A0"/>
    <w:multiLevelType w:val="hybridMultilevel"/>
    <w:tmpl w:val="6E680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6C1588"/>
    <w:multiLevelType w:val="hybridMultilevel"/>
    <w:tmpl w:val="B2F4E78E"/>
    <w:lvl w:ilvl="0" w:tplc="E3FA7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7910BD"/>
    <w:multiLevelType w:val="hybridMultilevel"/>
    <w:tmpl w:val="3696AA9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68832948"/>
    <w:multiLevelType w:val="hybridMultilevel"/>
    <w:tmpl w:val="DFFA3C1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6A910E56"/>
    <w:multiLevelType w:val="hybridMultilevel"/>
    <w:tmpl w:val="3BF0E0DC"/>
    <w:lvl w:ilvl="0" w:tplc="A6B4E3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C71993"/>
    <w:multiLevelType w:val="hybridMultilevel"/>
    <w:tmpl w:val="BC102B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CE115B"/>
    <w:multiLevelType w:val="hybridMultilevel"/>
    <w:tmpl w:val="B37E7200"/>
    <w:lvl w:ilvl="0" w:tplc="ECC84E50">
      <w:start w:val="2"/>
      <w:numFmt w:val="decimal"/>
      <w:lvlText w:val="%1."/>
      <w:lvlJc w:val="left"/>
      <w:pPr>
        <w:ind w:left="21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F861F5"/>
    <w:multiLevelType w:val="hybridMultilevel"/>
    <w:tmpl w:val="A2DA11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8F47EA9"/>
    <w:multiLevelType w:val="hybridMultilevel"/>
    <w:tmpl w:val="15CEC8C4"/>
    <w:lvl w:ilvl="0" w:tplc="9F2E4F22">
      <w:start w:val="1"/>
      <w:numFmt w:val="upperRoman"/>
      <w:lvlText w:val="%1."/>
      <w:lvlJc w:val="right"/>
      <w:pPr>
        <w:ind w:left="720" w:hanging="360"/>
      </w:pPr>
      <w:rPr>
        <w:color w:val="auto"/>
      </w:rPr>
    </w:lvl>
    <w:lvl w:ilvl="1" w:tplc="03566D2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22"/>
  </w:num>
  <w:num w:numId="4">
    <w:abstractNumId w:val="18"/>
  </w:num>
  <w:num w:numId="5">
    <w:abstractNumId w:val="19"/>
  </w:num>
  <w:num w:numId="6">
    <w:abstractNumId w:val="2"/>
  </w:num>
  <w:num w:numId="7">
    <w:abstractNumId w:val="4"/>
  </w:num>
  <w:num w:numId="8">
    <w:abstractNumId w:val="5"/>
  </w:num>
  <w:num w:numId="9">
    <w:abstractNumId w:val="8"/>
  </w:num>
  <w:num w:numId="10">
    <w:abstractNumId w:val="6"/>
  </w:num>
  <w:num w:numId="11">
    <w:abstractNumId w:val="0"/>
  </w:num>
  <w:num w:numId="12">
    <w:abstractNumId w:val="21"/>
  </w:num>
  <w:num w:numId="13">
    <w:abstractNumId w:val="9"/>
  </w:num>
  <w:num w:numId="14">
    <w:abstractNumId w:val="20"/>
  </w:num>
  <w:num w:numId="15">
    <w:abstractNumId w:val="3"/>
  </w:num>
  <w:num w:numId="16">
    <w:abstractNumId w:val="17"/>
  </w:num>
  <w:num w:numId="17">
    <w:abstractNumId w:val="10"/>
  </w:num>
  <w:num w:numId="18">
    <w:abstractNumId w:val="1"/>
  </w:num>
  <w:num w:numId="19">
    <w:abstractNumId w:val="16"/>
  </w:num>
  <w:num w:numId="20">
    <w:abstractNumId w:val="12"/>
  </w:num>
  <w:num w:numId="21">
    <w:abstractNumId w:val="11"/>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C1311C"/>
    <w:rsid w:val="00003F2D"/>
    <w:rsid w:val="00006103"/>
    <w:rsid w:val="00006C75"/>
    <w:rsid w:val="00013A7A"/>
    <w:rsid w:val="000140A3"/>
    <w:rsid w:val="000155D0"/>
    <w:rsid w:val="00015F12"/>
    <w:rsid w:val="00015F8F"/>
    <w:rsid w:val="00023C48"/>
    <w:rsid w:val="00032AE8"/>
    <w:rsid w:val="00034FF9"/>
    <w:rsid w:val="00035BB9"/>
    <w:rsid w:val="00036110"/>
    <w:rsid w:val="000419CA"/>
    <w:rsid w:val="0004221C"/>
    <w:rsid w:val="00042D92"/>
    <w:rsid w:val="00045634"/>
    <w:rsid w:val="0005205C"/>
    <w:rsid w:val="00052334"/>
    <w:rsid w:val="00060B60"/>
    <w:rsid w:val="00062970"/>
    <w:rsid w:val="0006303C"/>
    <w:rsid w:val="000641EB"/>
    <w:rsid w:val="0006703A"/>
    <w:rsid w:val="000675F8"/>
    <w:rsid w:val="00076C9C"/>
    <w:rsid w:val="00076F2E"/>
    <w:rsid w:val="000847D3"/>
    <w:rsid w:val="000943FC"/>
    <w:rsid w:val="00094896"/>
    <w:rsid w:val="00094E34"/>
    <w:rsid w:val="000A0612"/>
    <w:rsid w:val="000A166A"/>
    <w:rsid w:val="000A3B10"/>
    <w:rsid w:val="000A57F5"/>
    <w:rsid w:val="000A71B8"/>
    <w:rsid w:val="000A71E5"/>
    <w:rsid w:val="000B45E4"/>
    <w:rsid w:val="000B46FA"/>
    <w:rsid w:val="000B4CBF"/>
    <w:rsid w:val="000B6E6A"/>
    <w:rsid w:val="000C28B6"/>
    <w:rsid w:val="000C5324"/>
    <w:rsid w:val="000C61D6"/>
    <w:rsid w:val="000C66CE"/>
    <w:rsid w:val="000C6A3D"/>
    <w:rsid w:val="000D1154"/>
    <w:rsid w:val="000D5EA9"/>
    <w:rsid w:val="000D7509"/>
    <w:rsid w:val="000E396D"/>
    <w:rsid w:val="000E7510"/>
    <w:rsid w:val="000F7C51"/>
    <w:rsid w:val="001007F1"/>
    <w:rsid w:val="00105B4F"/>
    <w:rsid w:val="00105C5B"/>
    <w:rsid w:val="00105C92"/>
    <w:rsid w:val="00111460"/>
    <w:rsid w:val="0011380F"/>
    <w:rsid w:val="00115567"/>
    <w:rsid w:val="00122864"/>
    <w:rsid w:val="001232CE"/>
    <w:rsid w:val="00124D8E"/>
    <w:rsid w:val="00125FFF"/>
    <w:rsid w:val="0012631D"/>
    <w:rsid w:val="001309B8"/>
    <w:rsid w:val="0013344C"/>
    <w:rsid w:val="00133AFC"/>
    <w:rsid w:val="00140468"/>
    <w:rsid w:val="0014354B"/>
    <w:rsid w:val="001479EB"/>
    <w:rsid w:val="0015119A"/>
    <w:rsid w:val="00152662"/>
    <w:rsid w:val="00154B68"/>
    <w:rsid w:val="00160C9E"/>
    <w:rsid w:val="00174C60"/>
    <w:rsid w:val="001A7288"/>
    <w:rsid w:val="001B2D0D"/>
    <w:rsid w:val="001B3405"/>
    <w:rsid w:val="001B3BE7"/>
    <w:rsid w:val="001B5403"/>
    <w:rsid w:val="001C0511"/>
    <w:rsid w:val="001C6444"/>
    <w:rsid w:val="001D1113"/>
    <w:rsid w:val="001D35D1"/>
    <w:rsid w:val="001D5EC2"/>
    <w:rsid w:val="001E0C8F"/>
    <w:rsid w:val="001E2E87"/>
    <w:rsid w:val="001E48BD"/>
    <w:rsid w:val="001E6304"/>
    <w:rsid w:val="001F0F23"/>
    <w:rsid w:val="00202DD4"/>
    <w:rsid w:val="00204B4C"/>
    <w:rsid w:val="002077C5"/>
    <w:rsid w:val="002136D3"/>
    <w:rsid w:val="00213AAB"/>
    <w:rsid w:val="00213C43"/>
    <w:rsid w:val="00220E3B"/>
    <w:rsid w:val="0022119A"/>
    <w:rsid w:val="00221AEE"/>
    <w:rsid w:val="0022261B"/>
    <w:rsid w:val="0022609E"/>
    <w:rsid w:val="00233425"/>
    <w:rsid w:val="0023371A"/>
    <w:rsid w:val="00235FD7"/>
    <w:rsid w:val="00244088"/>
    <w:rsid w:val="0024661A"/>
    <w:rsid w:val="0024788D"/>
    <w:rsid w:val="00254295"/>
    <w:rsid w:val="00255ECA"/>
    <w:rsid w:val="00273067"/>
    <w:rsid w:val="002810AB"/>
    <w:rsid w:val="002837C0"/>
    <w:rsid w:val="00287A22"/>
    <w:rsid w:val="00291D24"/>
    <w:rsid w:val="00297A82"/>
    <w:rsid w:val="002A0115"/>
    <w:rsid w:val="002A5121"/>
    <w:rsid w:val="002B3A4E"/>
    <w:rsid w:val="002B3DFE"/>
    <w:rsid w:val="002B6839"/>
    <w:rsid w:val="002B70C5"/>
    <w:rsid w:val="002B7AA2"/>
    <w:rsid w:val="002C121F"/>
    <w:rsid w:val="002C1A8A"/>
    <w:rsid w:val="002C6D3D"/>
    <w:rsid w:val="002D026D"/>
    <w:rsid w:val="002D0A05"/>
    <w:rsid w:val="002E0A2E"/>
    <w:rsid w:val="002E4C5C"/>
    <w:rsid w:val="002E6D09"/>
    <w:rsid w:val="002F4B4C"/>
    <w:rsid w:val="003024FA"/>
    <w:rsid w:val="00304E2D"/>
    <w:rsid w:val="003071CA"/>
    <w:rsid w:val="00312E34"/>
    <w:rsid w:val="003130B0"/>
    <w:rsid w:val="003135A7"/>
    <w:rsid w:val="00313B06"/>
    <w:rsid w:val="0031590A"/>
    <w:rsid w:val="00317784"/>
    <w:rsid w:val="00317825"/>
    <w:rsid w:val="003200B6"/>
    <w:rsid w:val="00321314"/>
    <w:rsid w:val="00326863"/>
    <w:rsid w:val="00334DBB"/>
    <w:rsid w:val="0033573A"/>
    <w:rsid w:val="00335EFA"/>
    <w:rsid w:val="00340E1B"/>
    <w:rsid w:val="003411FE"/>
    <w:rsid w:val="003430EE"/>
    <w:rsid w:val="00345FD4"/>
    <w:rsid w:val="00350624"/>
    <w:rsid w:val="00353607"/>
    <w:rsid w:val="00355756"/>
    <w:rsid w:val="00355DB0"/>
    <w:rsid w:val="00361472"/>
    <w:rsid w:val="003637CD"/>
    <w:rsid w:val="00370D06"/>
    <w:rsid w:val="00372C12"/>
    <w:rsid w:val="0037358A"/>
    <w:rsid w:val="00381A53"/>
    <w:rsid w:val="00383EB5"/>
    <w:rsid w:val="0038608B"/>
    <w:rsid w:val="003860A2"/>
    <w:rsid w:val="00387E29"/>
    <w:rsid w:val="0039262C"/>
    <w:rsid w:val="00395C4D"/>
    <w:rsid w:val="0039735A"/>
    <w:rsid w:val="00397F56"/>
    <w:rsid w:val="003A52C2"/>
    <w:rsid w:val="003A690B"/>
    <w:rsid w:val="003B069D"/>
    <w:rsid w:val="003B1D85"/>
    <w:rsid w:val="003B35BA"/>
    <w:rsid w:val="003B36CB"/>
    <w:rsid w:val="003B70CD"/>
    <w:rsid w:val="003B75FB"/>
    <w:rsid w:val="003C0B9C"/>
    <w:rsid w:val="003C2759"/>
    <w:rsid w:val="003C5B5A"/>
    <w:rsid w:val="003D124E"/>
    <w:rsid w:val="003D1B2A"/>
    <w:rsid w:val="003D1C71"/>
    <w:rsid w:val="003D4833"/>
    <w:rsid w:val="003E069C"/>
    <w:rsid w:val="003E32EF"/>
    <w:rsid w:val="003E5795"/>
    <w:rsid w:val="003E58B7"/>
    <w:rsid w:val="003F01A2"/>
    <w:rsid w:val="003F02E0"/>
    <w:rsid w:val="003F2131"/>
    <w:rsid w:val="003F539C"/>
    <w:rsid w:val="00405F7F"/>
    <w:rsid w:val="00407E63"/>
    <w:rsid w:val="004102C8"/>
    <w:rsid w:val="00410588"/>
    <w:rsid w:val="00412344"/>
    <w:rsid w:val="004134F6"/>
    <w:rsid w:val="00415C99"/>
    <w:rsid w:val="00416609"/>
    <w:rsid w:val="00417D62"/>
    <w:rsid w:val="00420E4B"/>
    <w:rsid w:val="00432680"/>
    <w:rsid w:val="00436437"/>
    <w:rsid w:val="00437B6D"/>
    <w:rsid w:val="00443288"/>
    <w:rsid w:val="00444318"/>
    <w:rsid w:val="00444605"/>
    <w:rsid w:val="004470BE"/>
    <w:rsid w:val="00450090"/>
    <w:rsid w:val="00450D2F"/>
    <w:rsid w:val="00451876"/>
    <w:rsid w:val="00452B1E"/>
    <w:rsid w:val="00453607"/>
    <w:rsid w:val="00460652"/>
    <w:rsid w:val="0046224F"/>
    <w:rsid w:val="00465617"/>
    <w:rsid w:val="004731CF"/>
    <w:rsid w:val="00473548"/>
    <w:rsid w:val="00474EFD"/>
    <w:rsid w:val="00481D25"/>
    <w:rsid w:val="00483D85"/>
    <w:rsid w:val="00485044"/>
    <w:rsid w:val="0048656B"/>
    <w:rsid w:val="0049292E"/>
    <w:rsid w:val="00496C2F"/>
    <w:rsid w:val="004A1B97"/>
    <w:rsid w:val="004A376B"/>
    <w:rsid w:val="004A5739"/>
    <w:rsid w:val="004A6F6A"/>
    <w:rsid w:val="004A7FBE"/>
    <w:rsid w:val="004B4AAE"/>
    <w:rsid w:val="004C565D"/>
    <w:rsid w:val="004C7576"/>
    <w:rsid w:val="004D0284"/>
    <w:rsid w:val="004D1A9A"/>
    <w:rsid w:val="004D56DA"/>
    <w:rsid w:val="004E0C35"/>
    <w:rsid w:val="004E25B2"/>
    <w:rsid w:val="004E52D9"/>
    <w:rsid w:val="004E7D20"/>
    <w:rsid w:val="004E7ED0"/>
    <w:rsid w:val="004F0543"/>
    <w:rsid w:val="004F6DE6"/>
    <w:rsid w:val="004F7837"/>
    <w:rsid w:val="00500E45"/>
    <w:rsid w:val="00503627"/>
    <w:rsid w:val="00503BE6"/>
    <w:rsid w:val="005043D3"/>
    <w:rsid w:val="00504AC7"/>
    <w:rsid w:val="00506D50"/>
    <w:rsid w:val="005074A8"/>
    <w:rsid w:val="00515AC1"/>
    <w:rsid w:val="00516CB8"/>
    <w:rsid w:val="00521609"/>
    <w:rsid w:val="00521E8F"/>
    <w:rsid w:val="00523207"/>
    <w:rsid w:val="005245C2"/>
    <w:rsid w:val="00525391"/>
    <w:rsid w:val="00541840"/>
    <w:rsid w:val="005472B2"/>
    <w:rsid w:val="005478B7"/>
    <w:rsid w:val="00556652"/>
    <w:rsid w:val="00556BBA"/>
    <w:rsid w:val="00562F38"/>
    <w:rsid w:val="005647B3"/>
    <w:rsid w:val="00565CC7"/>
    <w:rsid w:val="005738DD"/>
    <w:rsid w:val="005748DF"/>
    <w:rsid w:val="005807E5"/>
    <w:rsid w:val="00581AE4"/>
    <w:rsid w:val="00585AD3"/>
    <w:rsid w:val="00592053"/>
    <w:rsid w:val="005923F1"/>
    <w:rsid w:val="005936CD"/>
    <w:rsid w:val="005A1635"/>
    <w:rsid w:val="005A3083"/>
    <w:rsid w:val="005A3CC6"/>
    <w:rsid w:val="005B5C03"/>
    <w:rsid w:val="005B5EF5"/>
    <w:rsid w:val="005C41A5"/>
    <w:rsid w:val="005D21B7"/>
    <w:rsid w:val="005D497C"/>
    <w:rsid w:val="005D7495"/>
    <w:rsid w:val="005E00CC"/>
    <w:rsid w:val="005E55D4"/>
    <w:rsid w:val="005F5AE7"/>
    <w:rsid w:val="005F64C2"/>
    <w:rsid w:val="006040B1"/>
    <w:rsid w:val="00612B7F"/>
    <w:rsid w:val="0061400E"/>
    <w:rsid w:val="006160A1"/>
    <w:rsid w:val="0062064C"/>
    <w:rsid w:val="0062181C"/>
    <w:rsid w:val="00625FDE"/>
    <w:rsid w:val="006268F2"/>
    <w:rsid w:val="006304C0"/>
    <w:rsid w:val="0063313F"/>
    <w:rsid w:val="0063383E"/>
    <w:rsid w:val="0064018A"/>
    <w:rsid w:val="00641CC3"/>
    <w:rsid w:val="00645B19"/>
    <w:rsid w:val="00645DD7"/>
    <w:rsid w:val="00646669"/>
    <w:rsid w:val="00646D4E"/>
    <w:rsid w:val="006509EA"/>
    <w:rsid w:val="006517C8"/>
    <w:rsid w:val="0065499A"/>
    <w:rsid w:val="0066065B"/>
    <w:rsid w:val="0066159E"/>
    <w:rsid w:val="006650AF"/>
    <w:rsid w:val="00674ADD"/>
    <w:rsid w:val="0068716C"/>
    <w:rsid w:val="006904E5"/>
    <w:rsid w:val="00691F72"/>
    <w:rsid w:val="00692904"/>
    <w:rsid w:val="0069566E"/>
    <w:rsid w:val="00696ABE"/>
    <w:rsid w:val="006A2D23"/>
    <w:rsid w:val="006A39BA"/>
    <w:rsid w:val="006A4D1F"/>
    <w:rsid w:val="006B0C61"/>
    <w:rsid w:val="006B1070"/>
    <w:rsid w:val="006B117D"/>
    <w:rsid w:val="006B1FC6"/>
    <w:rsid w:val="006B3FE5"/>
    <w:rsid w:val="006B4DFA"/>
    <w:rsid w:val="006B67F8"/>
    <w:rsid w:val="006B6B84"/>
    <w:rsid w:val="006C5664"/>
    <w:rsid w:val="006C78D1"/>
    <w:rsid w:val="006C7F71"/>
    <w:rsid w:val="006D18CA"/>
    <w:rsid w:val="006D1D71"/>
    <w:rsid w:val="006D73F9"/>
    <w:rsid w:val="006F7C6E"/>
    <w:rsid w:val="007033DC"/>
    <w:rsid w:val="0072108A"/>
    <w:rsid w:val="007270E4"/>
    <w:rsid w:val="00731BE9"/>
    <w:rsid w:val="00737162"/>
    <w:rsid w:val="007453CF"/>
    <w:rsid w:val="00745843"/>
    <w:rsid w:val="00750CC4"/>
    <w:rsid w:val="00753375"/>
    <w:rsid w:val="007602DC"/>
    <w:rsid w:val="00760838"/>
    <w:rsid w:val="00761554"/>
    <w:rsid w:val="0076258C"/>
    <w:rsid w:val="00777ADC"/>
    <w:rsid w:val="00782E8E"/>
    <w:rsid w:val="00785568"/>
    <w:rsid w:val="00785D73"/>
    <w:rsid w:val="00787658"/>
    <w:rsid w:val="007931B1"/>
    <w:rsid w:val="007970CE"/>
    <w:rsid w:val="00797ABA"/>
    <w:rsid w:val="007A3788"/>
    <w:rsid w:val="007A4132"/>
    <w:rsid w:val="007A6E26"/>
    <w:rsid w:val="007B3C17"/>
    <w:rsid w:val="007C2A6A"/>
    <w:rsid w:val="007C6786"/>
    <w:rsid w:val="007C6EF1"/>
    <w:rsid w:val="007D1F74"/>
    <w:rsid w:val="007D474E"/>
    <w:rsid w:val="007E0ED4"/>
    <w:rsid w:val="007E5443"/>
    <w:rsid w:val="007E6AC5"/>
    <w:rsid w:val="007E6C02"/>
    <w:rsid w:val="007F09A2"/>
    <w:rsid w:val="007F33FC"/>
    <w:rsid w:val="007F5A73"/>
    <w:rsid w:val="00802C20"/>
    <w:rsid w:val="00803030"/>
    <w:rsid w:val="008108E3"/>
    <w:rsid w:val="008127CE"/>
    <w:rsid w:val="00814B76"/>
    <w:rsid w:val="008207C2"/>
    <w:rsid w:val="008219BE"/>
    <w:rsid w:val="00822F1B"/>
    <w:rsid w:val="008242DC"/>
    <w:rsid w:val="00825A42"/>
    <w:rsid w:val="00827BC3"/>
    <w:rsid w:val="0083380E"/>
    <w:rsid w:val="00834286"/>
    <w:rsid w:val="008344F0"/>
    <w:rsid w:val="0083623C"/>
    <w:rsid w:val="00837025"/>
    <w:rsid w:val="008429A9"/>
    <w:rsid w:val="008450F4"/>
    <w:rsid w:val="00850B36"/>
    <w:rsid w:val="00851828"/>
    <w:rsid w:val="00852E67"/>
    <w:rsid w:val="00855937"/>
    <w:rsid w:val="008559B8"/>
    <w:rsid w:val="008719A2"/>
    <w:rsid w:val="00872139"/>
    <w:rsid w:val="00872298"/>
    <w:rsid w:val="00875EC6"/>
    <w:rsid w:val="00881306"/>
    <w:rsid w:val="00881E15"/>
    <w:rsid w:val="00883CD0"/>
    <w:rsid w:val="008924C8"/>
    <w:rsid w:val="0089299C"/>
    <w:rsid w:val="0089348E"/>
    <w:rsid w:val="00894DF4"/>
    <w:rsid w:val="008A1A4A"/>
    <w:rsid w:val="008A1E72"/>
    <w:rsid w:val="008A2D42"/>
    <w:rsid w:val="008A56A1"/>
    <w:rsid w:val="008A7A81"/>
    <w:rsid w:val="008B1F6D"/>
    <w:rsid w:val="008B6609"/>
    <w:rsid w:val="008D0D15"/>
    <w:rsid w:val="008D6BC6"/>
    <w:rsid w:val="008D77D4"/>
    <w:rsid w:val="008E32E9"/>
    <w:rsid w:val="008E56C8"/>
    <w:rsid w:val="008E615B"/>
    <w:rsid w:val="008F546E"/>
    <w:rsid w:val="0090203E"/>
    <w:rsid w:val="00902687"/>
    <w:rsid w:val="009033EA"/>
    <w:rsid w:val="009048F8"/>
    <w:rsid w:val="009055AC"/>
    <w:rsid w:val="00911F9F"/>
    <w:rsid w:val="009130CE"/>
    <w:rsid w:val="00915C81"/>
    <w:rsid w:val="0092650C"/>
    <w:rsid w:val="00927D99"/>
    <w:rsid w:val="00932080"/>
    <w:rsid w:val="00933F4D"/>
    <w:rsid w:val="00937421"/>
    <w:rsid w:val="00937814"/>
    <w:rsid w:val="00941096"/>
    <w:rsid w:val="00942254"/>
    <w:rsid w:val="009460A4"/>
    <w:rsid w:val="00952E35"/>
    <w:rsid w:val="00954B4E"/>
    <w:rsid w:val="0095728E"/>
    <w:rsid w:val="00957A76"/>
    <w:rsid w:val="0096752E"/>
    <w:rsid w:val="00973253"/>
    <w:rsid w:val="00982D5B"/>
    <w:rsid w:val="009927B8"/>
    <w:rsid w:val="00992FCF"/>
    <w:rsid w:val="00995D64"/>
    <w:rsid w:val="009B26BF"/>
    <w:rsid w:val="009B583A"/>
    <w:rsid w:val="009C37FF"/>
    <w:rsid w:val="009C3883"/>
    <w:rsid w:val="009C484E"/>
    <w:rsid w:val="009C52EA"/>
    <w:rsid w:val="009D39E6"/>
    <w:rsid w:val="009E0DD1"/>
    <w:rsid w:val="009E6732"/>
    <w:rsid w:val="009F0A46"/>
    <w:rsid w:val="009F17B3"/>
    <w:rsid w:val="009F413A"/>
    <w:rsid w:val="009F6EAB"/>
    <w:rsid w:val="00A00DD8"/>
    <w:rsid w:val="00A0443C"/>
    <w:rsid w:val="00A05FC6"/>
    <w:rsid w:val="00A068A3"/>
    <w:rsid w:val="00A13747"/>
    <w:rsid w:val="00A158CE"/>
    <w:rsid w:val="00A16807"/>
    <w:rsid w:val="00A178F1"/>
    <w:rsid w:val="00A2124A"/>
    <w:rsid w:val="00A23D2F"/>
    <w:rsid w:val="00A25CF5"/>
    <w:rsid w:val="00A31C04"/>
    <w:rsid w:val="00A3522F"/>
    <w:rsid w:val="00A37DC5"/>
    <w:rsid w:val="00A421CE"/>
    <w:rsid w:val="00A42B24"/>
    <w:rsid w:val="00A46CFF"/>
    <w:rsid w:val="00A54423"/>
    <w:rsid w:val="00A54BA4"/>
    <w:rsid w:val="00A647BE"/>
    <w:rsid w:val="00A6695F"/>
    <w:rsid w:val="00A6797A"/>
    <w:rsid w:val="00A72641"/>
    <w:rsid w:val="00A7279B"/>
    <w:rsid w:val="00A731A2"/>
    <w:rsid w:val="00A7372E"/>
    <w:rsid w:val="00A80B46"/>
    <w:rsid w:val="00A87D13"/>
    <w:rsid w:val="00A9369E"/>
    <w:rsid w:val="00A93FA7"/>
    <w:rsid w:val="00A9480D"/>
    <w:rsid w:val="00A951DA"/>
    <w:rsid w:val="00AA02C7"/>
    <w:rsid w:val="00AA27AE"/>
    <w:rsid w:val="00AA7C83"/>
    <w:rsid w:val="00AB1795"/>
    <w:rsid w:val="00AB184D"/>
    <w:rsid w:val="00AB5E5C"/>
    <w:rsid w:val="00AC3964"/>
    <w:rsid w:val="00AD7923"/>
    <w:rsid w:val="00AE1054"/>
    <w:rsid w:val="00AE13B9"/>
    <w:rsid w:val="00AE250A"/>
    <w:rsid w:val="00AE2EAF"/>
    <w:rsid w:val="00AE467C"/>
    <w:rsid w:val="00AE46AD"/>
    <w:rsid w:val="00AE671F"/>
    <w:rsid w:val="00AE7A3D"/>
    <w:rsid w:val="00AF37D4"/>
    <w:rsid w:val="00B07741"/>
    <w:rsid w:val="00B14A44"/>
    <w:rsid w:val="00B20915"/>
    <w:rsid w:val="00B3582D"/>
    <w:rsid w:val="00B36E66"/>
    <w:rsid w:val="00B37083"/>
    <w:rsid w:val="00B3783D"/>
    <w:rsid w:val="00B470F2"/>
    <w:rsid w:val="00B50043"/>
    <w:rsid w:val="00B5115D"/>
    <w:rsid w:val="00B5147F"/>
    <w:rsid w:val="00B54AC9"/>
    <w:rsid w:val="00B56234"/>
    <w:rsid w:val="00B61D30"/>
    <w:rsid w:val="00B63CDF"/>
    <w:rsid w:val="00B64D40"/>
    <w:rsid w:val="00B7421D"/>
    <w:rsid w:val="00B75A29"/>
    <w:rsid w:val="00B76C08"/>
    <w:rsid w:val="00B8272B"/>
    <w:rsid w:val="00B86FB0"/>
    <w:rsid w:val="00B87C83"/>
    <w:rsid w:val="00B91655"/>
    <w:rsid w:val="00B926E4"/>
    <w:rsid w:val="00B93C7D"/>
    <w:rsid w:val="00B9401A"/>
    <w:rsid w:val="00B954C8"/>
    <w:rsid w:val="00B97AB5"/>
    <w:rsid w:val="00BA41E3"/>
    <w:rsid w:val="00BA6C4F"/>
    <w:rsid w:val="00BB0A98"/>
    <w:rsid w:val="00BB25AB"/>
    <w:rsid w:val="00BB5E4D"/>
    <w:rsid w:val="00BB6E5A"/>
    <w:rsid w:val="00BC1323"/>
    <w:rsid w:val="00BC43DA"/>
    <w:rsid w:val="00BC5F50"/>
    <w:rsid w:val="00BC605F"/>
    <w:rsid w:val="00BE0266"/>
    <w:rsid w:val="00BF0C2E"/>
    <w:rsid w:val="00BF14D1"/>
    <w:rsid w:val="00BF75E9"/>
    <w:rsid w:val="00C00F70"/>
    <w:rsid w:val="00C02890"/>
    <w:rsid w:val="00C1311C"/>
    <w:rsid w:val="00C135B7"/>
    <w:rsid w:val="00C14D2B"/>
    <w:rsid w:val="00C16B8E"/>
    <w:rsid w:val="00C25A13"/>
    <w:rsid w:val="00C26812"/>
    <w:rsid w:val="00C2707C"/>
    <w:rsid w:val="00C41E63"/>
    <w:rsid w:val="00C438F2"/>
    <w:rsid w:val="00C5069E"/>
    <w:rsid w:val="00C56998"/>
    <w:rsid w:val="00C617EB"/>
    <w:rsid w:val="00C71DDB"/>
    <w:rsid w:val="00C7574E"/>
    <w:rsid w:val="00C766FD"/>
    <w:rsid w:val="00C80ED9"/>
    <w:rsid w:val="00C86B38"/>
    <w:rsid w:val="00C90364"/>
    <w:rsid w:val="00C90CED"/>
    <w:rsid w:val="00C9202A"/>
    <w:rsid w:val="00C92950"/>
    <w:rsid w:val="00C9480C"/>
    <w:rsid w:val="00C964D7"/>
    <w:rsid w:val="00C97123"/>
    <w:rsid w:val="00CA3C7D"/>
    <w:rsid w:val="00CB1309"/>
    <w:rsid w:val="00CB4AF0"/>
    <w:rsid w:val="00CB4F32"/>
    <w:rsid w:val="00CC15DC"/>
    <w:rsid w:val="00CC1740"/>
    <w:rsid w:val="00CC6F23"/>
    <w:rsid w:val="00CD536A"/>
    <w:rsid w:val="00CE01A6"/>
    <w:rsid w:val="00CE323C"/>
    <w:rsid w:val="00CE454B"/>
    <w:rsid w:val="00CE5F0E"/>
    <w:rsid w:val="00CE70AB"/>
    <w:rsid w:val="00CF29EF"/>
    <w:rsid w:val="00CF60B0"/>
    <w:rsid w:val="00D00843"/>
    <w:rsid w:val="00D00DBC"/>
    <w:rsid w:val="00D025AA"/>
    <w:rsid w:val="00D039E2"/>
    <w:rsid w:val="00D05A18"/>
    <w:rsid w:val="00D0620D"/>
    <w:rsid w:val="00D12296"/>
    <w:rsid w:val="00D17409"/>
    <w:rsid w:val="00D210EC"/>
    <w:rsid w:val="00D239F8"/>
    <w:rsid w:val="00D24A9B"/>
    <w:rsid w:val="00D2674F"/>
    <w:rsid w:val="00D26CBA"/>
    <w:rsid w:val="00D30A11"/>
    <w:rsid w:val="00D33D6F"/>
    <w:rsid w:val="00D34394"/>
    <w:rsid w:val="00D3559D"/>
    <w:rsid w:val="00D362CF"/>
    <w:rsid w:val="00D43F70"/>
    <w:rsid w:val="00D44D8C"/>
    <w:rsid w:val="00D45603"/>
    <w:rsid w:val="00D45925"/>
    <w:rsid w:val="00D506F2"/>
    <w:rsid w:val="00D51337"/>
    <w:rsid w:val="00D519F4"/>
    <w:rsid w:val="00D54373"/>
    <w:rsid w:val="00D6106E"/>
    <w:rsid w:val="00D63F0D"/>
    <w:rsid w:val="00D660D8"/>
    <w:rsid w:val="00D705FE"/>
    <w:rsid w:val="00D77C50"/>
    <w:rsid w:val="00D83D4F"/>
    <w:rsid w:val="00D9080F"/>
    <w:rsid w:val="00D92565"/>
    <w:rsid w:val="00D94163"/>
    <w:rsid w:val="00D950D7"/>
    <w:rsid w:val="00D95F3B"/>
    <w:rsid w:val="00DA0336"/>
    <w:rsid w:val="00DA2403"/>
    <w:rsid w:val="00DB0249"/>
    <w:rsid w:val="00DB1FD9"/>
    <w:rsid w:val="00DB54AB"/>
    <w:rsid w:val="00DB667E"/>
    <w:rsid w:val="00DB756A"/>
    <w:rsid w:val="00DB7AC4"/>
    <w:rsid w:val="00DC146D"/>
    <w:rsid w:val="00DC5C9B"/>
    <w:rsid w:val="00DC63D8"/>
    <w:rsid w:val="00DD03A8"/>
    <w:rsid w:val="00DD1F19"/>
    <w:rsid w:val="00DF0C73"/>
    <w:rsid w:val="00DF39AD"/>
    <w:rsid w:val="00DF46C9"/>
    <w:rsid w:val="00DF51A8"/>
    <w:rsid w:val="00DF5B2C"/>
    <w:rsid w:val="00DF6855"/>
    <w:rsid w:val="00E00B6A"/>
    <w:rsid w:val="00E02989"/>
    <w:rsid w:val="00E06107"/>
    <w:rsid w:val="00E0729E"/>
    <w:rsid w:val="00E10A0B"/>
    <w:rsid w:val="00E131F6"/>
    <w:rsid w:val="00E16342"/>
    <w:rsid w:val="00E16D32"/>
    <w:rsid w:val="00E34334"/>
    <w:rsid w:val="00E35522"/>
    <w:rsid w:val="00E40B3D"/>
    <w:rsid w:val="00E40B60"/>
    <w:rsid w:val="00E469C4"/>
    <w:rsid w:val="00E52191"/>
    <w:rsid w:val="00E53231"/>
    <w:rsid w:val="00E5441B"/>
    <w:rsid w:val="00E56902"/>
    <w:rsid w:val="00E6062D"/>
    <w:rsid w:val="00E670BB"/>
    <w:rsid w:val="00E71C3B"/>
    <w:rsid w:val="00E75DA7"/>
    <w:rsid w:val="00E80697"/>
    <w:rsid w:val="00E82238"/>
    <w:rsid w:val="00E82F72"/>
    <w:rsid w:val="00E909F7"/>
    <w:rsid w:val="00E96F86"/>
    <w:rsid w:val="00E976BC"/>
    <w:rsid w:val="00E97AB9"/>
    <w:rsid w:val="00EA24CC"/>
    <w:rsid w:val="00EA476D"/>
    <w:rsid w:val="00EA6281"/>
    <w:rsid w:val="00EB40DE"/>
    <w:rsid w:val="00EC06A9"/>
    <w:rsid w:val="00EC14D3"/>
    <w:rsid w:val="00EC3278"/>
    <w:rsid w:val="00EC4710"/>
    <w:rsid w:val="00ED12BD"/>
    <w:rsid w:val="00ED4D1F"/>
    <w:rsid w:val="00ED7C6A"/>
    <w:rsid w:val="00EE1DB9"/>
    <w:rsid w:val="00EE406C"/>
    <w:rsid w:val="00EF1341"/>
    <w:rsid w:val="00EF3E6B"/>
    <w:rsid w:val="00EF42FF"/>
    <w:rsid w:val="00EF66C4"/>
    <w:rsid w:val="00EF7A40"/>
    <w:rsid w:val="00F02871"/>
    <w:rsid w:val="00F03BE9"/>
    <w:rsid w:val="00F04D7B"/>
    <w:rsid w:val="00F10EDB"/>
    <w:rsid w:val="00F11B31"/>
    <w:rsid w:val="00F15D39"/>
    <w:rsid w:val="00F23305"/>
    <w:rsid w:val="00F23ECC"/>
    <w:rsid w:val="00F25572"/>
    <w:rsid w:val="00F30716"/>
    <w:rsid w:val="00F33E50"/>
    <w:rsid w:val="00F34C47"/>
    <w:rsid w:val="00F3523C"/>
    <w:rsid w:val="00F364D3"/>
    <w:rsid w:val="00F40580"/>
    <w:rsid w:val="00F415AB"/>
    <w:rsid w:val="00F443B4"/>
    <w:rsid w:val="00F44C6F"/>
    <w:rsid w:val="00F46909"/>
    <w:rsid w:val="00F47634"/>
    <w:rsid w:val="00F50FFD"/>
    <w:rsid w:val="00F56DB5"/>
    <w:rsid w:val="00F6047B"/>
    <w:rsid w:val="00F618DE"/>
    <w:rsid w:val="00F63F8D"/>
    <w:rsid w:val="00F705B2"/>
    <w:rsid w:val="00F719B2"/>
    <w:rsid w:val="00F71D96"/>
    <w:rsid w:val="00F74557"/>
    <w:rsid w:val="00F77EDA"/>
    <w:rsid w:val="00F81741"/>
    <w:rsid w:val="00F902F4"/>
    <w:rsid w:val="00F92EC1"/>
    <w:rsid w:val="00F961AD"/>
    <w:rsid w:val="00F975B5"/>
    <w:rsid w:val="00F97649"/>
    <w:rsid w:val="00FA1198"/>
    <w:rsid w:val="00FA1C21"/>
    <w:rsid w:val="00FA76B1"/>
    <w:rsid w:val="00FB13F4"/>
    <w:rsid w:val="00FC0362"/>
    <w:rsid w:val="00FC2B3E"/>
    <w:rsid w:val="00FD0F22"/>
    <w:rsid w:val="00FD748C"/>
    <w:rsid w:val="00FE0449"/>
    <w:rsid w:val="00FE2577"/>
    <w:rsid w:val="00FE3B2A"/>
    <w:rsid w:val="00FE4B11"/>
    <w:rsid w:val="00FE4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rules v:ext="edit">
        <o:r id="V:Rule3" type="connector" idref="#Straight Arrow Connector 4"/>
        <o:r id="V:Rule4"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18A"/>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B5EF5"/>
    <w:rPr>
      <w:sz w:val="20"/>
      <w:szCs w:val="20"/>
    </w:rPr>
  </w:style>
  <w:style w:type="character" w:customStyle="1" w:styleId="FootnoteTextChar">
    <w:name w:val="Footnote Text Char"/>
    <w:basedOn w:val="DefaultParagraphFont"/>
    <w:link w:val="FootnoteText"/>
    <w:uiPriority w:val="99"/>
    <w:rsid w:val="005B5EF5"/>
  </w:style>
  <w:style w:type="character" w:styleId="FootnoteReference">
    <w:name w:val="footnote reference"/>
    <w:basedOn w:val="DefaultParagraphFont"/>
    <w:uiPriority w:val="99"/>
    <w:unhideWhenUsed/>
    <w:rsid w:val="0064018A"/>
    <w:rPr>
      <w:position w:val="6"/>
      <w:vertAlign w:val="superscript"/>
    </w:rPr>
  </w:style>
  <w:style w:type="character" w:styleId="CommentReference">
    <w:name w:val="annotation reference"/>
    <w:basedOn w:val="DefaultParagraphFont"/>
    <w:uiPriority w:val="99"/>
    <w:semiHidden/>
    <w:unhideWhenUsed/>
    <w:rsid w:val="00A37DC5"/>
    <w:rPr>
      <w:sz w:val="16"/>
      <w:szCs w:val="16"/>
    </w:rPr>
  </w:style>
  <w:style w:type="paragraph" w:styleId="CommentText">
    <w:name w:val="annotation text"/>
    <w:basedOn w:val="Normal"/>
    <w:link w:val="CommentTextChar"/>
    <w:uiPriority w:val="99"/>
    <w:unhideWhenUsed/>
    <w:rsid w:val="00A37DC5"/>
    <w:pPr>
      <w:spacing w:after="200"/>
    </w:pPr>
    <w:rPr>
      <w:rFonts w:ascii="Calibri" w:hAnsi="Calibri"/>
      <w:sz w:val="20"/>
      <w:szCs w:val="20"/>
    </w:rPr>
  </w:style>
  <w:style w:type="character" w:customStyle="1" w:styleId="CommentTextChar">
    <w:name w:val="Comment Text Char"/>
    <w:basedOn w:val="DefaultParagraphFont"/>
    <w:link w:val="CommentText"/>
    <w:uiPriority w:val="99"/>
    <w:rsid w:val="00A37DC5"/>
    <w:rPr>
      <w:rFonts w:ascii="Calibri" w:eastAsia="Calibri" w:hAnsi="Calibri" w:cs="Times New Roman"/>
    </w:rPr>
  </w:style>
  <w:style w:type="paragraph" w:styleId="BalloonText">
    <w:name w:val="Balloon Text"/>
    <w:basedOn w:val="Normal"/>
    <w:link w:val="BalloonTextChar"/>
    <w:uiPriority w:val="99"/>
    <w:semiHidden/>
    <w:unhideWhenUsed/>
    <w:rsid w:val="00A37DC5"/>
    <w:rPr>
      <w:rFonts w:ascii="Tahoma" w:hAnsi="Tahoma" w:cs="Tahoma"/>
      <w:sz w:val="16"/>
      <w:szCs w:val="16"/>
    </w:rPr>
  </w:style>
  <w:style w:type="character" w:customStyle="1" w:styleId="BalloonTextChar">
    <w:name w:val="Balloon Text Char"/>
    <w:basedOn w:val="DefaultParagraphFont"/>
    <w:link w:val="BalloonText"/>
    <w:uiPriority w:val="99"/>
    <w:semiHidden/>
    <w:rsid w:val="00A37DC5"/>
    <w:rPr>
      <w:rFonts w:ascii="Tahoma" w:hAnsi="Tahoma" w:cs="Tahoma"/>
      <w:sz w:val="16"/>
      <w:szCs w:val="16"/>
    </w:rPr>
  </w:style>
  <w:style w:type="character" w:styleId="SubtleReference">
    <w:name w:val="Subtle Reference"/>
    <w:basedOn w:val="DefaultParagraphFont"/>
    <w:uiPriority w:val="31"/>
    <w:qFormat/>
    <w:rsid w:val="00A37DC5"/>
    <w:rPr>
      <w:smallCaps/>
      <w:color w:val="5A5A5A"/>
    </w:rPr>
  </w:style>
  <w:style w:type="paragraph" w:styleId="CommentSubject">
    <w:name w:val="annotation subject"/>
    <w:basedOn w:val="CommentText"/>
    <w:next w:val="CommentText"/>
    <w:link w:val="CommentSubjectChar"/>
    <w:uiPriority w:val="99"/>
    <w:semiHidden/>
    <w:unhideWhenUsed/>
    <w:rsid w:val="00A9480D"/>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A9480D"/>
    <w:rPr>
      <w:rFonts w:ascii="Calibri" w:eastAsia="Calibri" w:hAnsi="Calibri" w:cs="Times New Roman"/>
      <w:b/>
      <w:bCs/>
    </w:rPr>
  </w:style>
  <w:style w:type="paragraph" w:styleId="ListParagraph">
    <w:name w:val="List Paragraph"/>
    <w:basedOn w:val="Normal"/>
    <w:uiPriority w:val="34"/>
    <w:qFormat/>
    <w:rsid w:val="00641CC3"/>
    <w:pPr>
      <w:ind w:left="720"/>
      <w:contextualSpacing/>
    </w:pPr>
  </w:style>
  <w:style w:type="paragraph" w:styleId="Header">
    <w:name w:val="header"/>
    <w:basedOn w:val="Normal"/>
    <w:link w:val="HeaderChar"/>
    <w:uiPriority w:val="99"/>
    <w:unhideWhenUsed/>
    <w:rsid w:val="00641CC3"/>
    <w:pPr>
      <w:tabs>
        <w:tab w:val="center" w:pos="4680"/>
        <w:tab w:val="right" w:pos="9360"/>
      </w:tabs>
    </w:pPr>
  </w:style>
  <w:style w:type="character" w:customStyle="1" w:styleId="HeaderChar">
    <w:name w:val="Header Char"/>
    <w:basedOn w:val="DefaultParagraphFont"/>
    <w:link w:val="Header"/>
    <w:uiPriority w:val="99"/>
    <w:rsid w:val="00641CC3"/>
    <w:rPr>
      <w:sz w:val="24"/>
      <w:szCs w:val="22"/>
    </w:rPr>
  </w:style>
  <w:style w:type="paragraph" w:styleId="Footer">
    <w:name w:val="footer"/>
    <w:basedOn w:val="Normal"/>
    <w:link w:val="FooterChar"/>
    <w:uiPriority w:val="99"/>
    <w:unhideWhenUsed/>
    <w:rsid w:val="00641CC3"/>
    <w:pPr>
      <w:tabs>
        <w:tab w:val="center" w:pos="4680"/>
        <w:tab w:val="right" w:pos="9360"/>
      </w:tabs>
    </w:pPr>
  </w:style>
  <w:style w:type="character" w:customStyle="1" w:styleId="FooterChar">
    <w:name w:val="Footer Char"/>
    <w:basedOn w:val="DefaultParagraphFont"/>
    <w:link w:val="Footer"/>
    <w:uiPriority w:val="99"/>
    <w:rsid w:val="00641CC3"/>
    <w:rPr>
      <w:sz w:val="24"/>
      <w:szCs w:val="22"/>
    </w:rPr>
  </w:style>
  <w:style w:type="character" w:customStyle="1" w:styleId="cosearchterm">
    <w:name w:val="co_searchterm"/>
    <w:basedOn w:val="DefaultParagraphFont"/>
    <w:rsid w:val="00797ABA"/>
  </w:style>
  <w:style w:type="paragraph" w:styleId="Revision">
    <w:name w:val="Revision"/>
    <w:hidden/>
    <w:uiPriority w:val="99"/>
    <w:semiHidden/>
    <w:rsid w:val="00E82F72"/>
    <w:rPr>
      <w:sz w:val="24"/>
      <w:szCs w:val="22"/>
    </w:rPr>
  </w:style>
  <w:style w:type="character" w:styleId="Hyperlink">
    <w:name w:val="Hyperlink"/>
    <w:uiPriority w:val="99"/>
    <w:unhideWhenUsed/>
    <w:rsid w:val="00D122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277055">
      <w:bodyDiv w:val="1"/>
      <w:marLeft w:val="0"/>
      <w:marRight w:val="0"/>
      <w:marTop w:val="0"/>
      <w:marBottom w:val="0"/>
      <w:divBdr>
        <w:top w:val="none" w:sz="0" w:space="0" w:color="auto"/>
        <w:left w:val="none" w:sz="0" w:space="0" w:color="auto"/>
        <w:bottom w:val="none" w:sz="0" w:space="0" w:color="auto"/>
        <w:right w:val="none" w:sz="0" w:space="0" w:color="auto"/>
      </w:divBdr>
    </w:div>
    <w:div w:id="749232121">
      <w:bodyDiv w:val="1"/>
      <w:marLeft w:val="0"/>
      <w:marRight w:val="0"/>
      <w:marTop w:val="0"/>
      <w:marBottom w:val="0"/>
      <w:divBdr>
        <w:top w:val="none" w:sz="0" w:space="0" w:color="auto"/>
        <w:left w:val="none" w:sz="0" w:space="0" w:color="auto"/>
        <w:bottom w:val="none" w:sz="0" w:space="0" w:color="auto"/>
        <w:right w:val="none" w:sz="0" w:space="0" w:color="auto"/>
      </w:divBdr>
      <w:divsChild>
        <w:div w:id="1762678958">
          <w:marLeft w:val="0"/>
          <w:marRight w:val="0"/>
          <w:marTop w:val="0"/>
          <w:marBottom w:val="0"/>
          <w:divBdr>
            <w:top w:val="none" w:sz="0" w:space="0" w:color="auto"/>
            <w:left w:val="none" w:sz="0" w:space="0" w:color="auto"/>
            <w:bottom w:val="none" w:sz="0" w:space="0" w:color="auto"/>
            <w:right w:val="none" w:sz="0" w:space="0" w:color="auto"/>
          </w:divBdr>
          <w:divsChild>
            <w:div w:id="19211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8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B1225-E105-423C-BB7C-8079B8A6A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2784</Words>
  <Characters>15874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2017-03-23T21:07:00Z</dcterms:created>
  <dcterms:modified xsi:type="dcterms:W3CDTF">2017-03-24T16:05:00Z</dcterms:modified>
</cp:coreProperties>
</file>