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C2" w:rsidRPr="004A7707" w:rsidRDefault="004D7208" w:rsidP="009E3A1C">
      <w:pPr>
        <w:widowControl w:val="0"/>
        <w:jc w:val="center"/>
        <w:rPr>
          <w:b/>
          <w:bCs/>
          <w:szCs w:val="24"/>
        </w:rPr>
      </w:pPr>
      <w:r w:rsidRPr="004A7707">
        <w:rPr>
          <w:szCs w:val="24"/>
          <w:lang w:val="en-CA"/>
        </w:rPr>
        <w:fldChar w:fldCharType="begin"/>
      </w:r>
      <w:r w:rsidR="001872C2" w:rsidRPr="004A7707">
        <w:rPr>
          <w:szCs w:val="24"/>
          <w:lang w:val="en-CA"/>
        </w:rPr>
        <w:instrText xml:space="preserve"> SEQ CHAPTER \h \r 1</w:instrText>
      </w:r>
      <w:r w:rsidRPr="004A7707">
        <w:rPr>
          <w:szCs w:val="24"/>
          <w:lang w:val="en-CA"/>
        </w:rPr>
        <w:fldChar w:fldCharType="end"/>
      </w:r>
      <w:r w:rsidR="001872C2" w:rsidRPr="004A7707">
        <w:rPr>
          <w:b/>
          <w:bCs/>
          <w:szCs w:val="24"/>
        </w:rPr>
        <w:t xml:space="preserve">UNITED STATES DISTRICT COURT </w:t>
      </w:r>
    </w:p>
    <w:p w:rsidR="001872C2" w:rsidRPr="004A7707" w:rsidRDefault="00A253E6" w:rsidP="009E3A1C">
      <w:pPr>
        <w:widowControl w:val="0"/>
        <w:jc w:val="center"/>
        <w:rPr>
          <w:b/>
          <w:bCs/>
          <w:szCs w:val="24"/>
        </w:rPr>
      </w:pPr>
      <w:r w:rsidRPr="004A7707">
        <w:rPr>
          <w:b/>
          <w:bCs/>
          <w:szCs w:val="24"/>
        </w:rPr>
        <w:t xml:space="preserve">SOUTHERN </w:t>
      </w:r>
      <w:r w:rsidR="001872C2" w:rsidRPr="004A7707">
        <w:rPr>
          <w:b/>
          <w:bCs/>
          <w:szCs w:val="24"/>
        </w:rPr>
        <w:t xml:space="preserve">DISTRICT OF </w:t>
      </w:r>
      <w:r w:rsidRPr="004A7707">
        <w:rPr>
          <w:b/>
          <w:bCs/>
          <w:szCs w:val="24"/>
        </w:rPr>
        <w:t>FLORIDA</w:t>
      </w:r>
    </w:p>
    <w:p w:rsidR="00D10CA9" w:rsidRPr="004A7707" w:rsidRDefault="00D10CA9" w:rsidP="009E3A1C">
      <w:pPr>
        <w:widowControl w:val="0"/>
        <w:jc w:val="center"/>
        <w:rPr>
          <w:b/>
          <w:bCs/>
          <w:szCs w:val="24"/>
        </w:rPr>
      </w:pPr>
      <w:r w:rsidRPr="004A7707">
        <w:rPr>
          <w:b/>
          <w:bCs/>
          <w:szCs w:val="24"/>
        </w:rPr>
        <w:t>FORT LAUDERDALE DIVISION</w:t>
      </w:r>
    </w:p>
    <w:p w:rsidR="00A253E6" w:rsidRPr="004A7707" w:rsidRDefault="00A253E6" w:rsidP="009E3A1C">
      <w:pPr>
        <w:widowControl w:val="0"/>
        <w:jc w:val="center"/>
        <w:rPr>
          <w:bCs/>
          <w:szCs w:val="24"/>
        </w:rPr>
      </w:pPr>
    </w:p>
    <w:p w:rsidR="001872C2" w:rsidRPr="004A7707" w:rsidRDefault="00A253E6" w:rsidP="009E3A1C">
      <w:pPr>
        <w:widowControl w:val="0"/>
        <w:jc w:val="center"/>
        <w:rPr>
          <w:bCs/>
          <w:szCs w:val="24"/>
        </w:rPr>
      </w:pPr>
      <w:r w:rsidRPr="004A7707">
        <w:rPr>
          <w:bCs/>
          <w:szCs w:val="24"/>
        </w:rPr>
        <w:t>Case No.</w:t>
      </w:r>
      <w:r w:rsidR="002B3682" w:rsidRPr="004A7707">
        <w:rPr>
          <w:bCs/>
          <w:szCs w:val="24"/>
        </w:rPr>
        <w:t xml:space="preserve"> 0:12-cv-60460-CIV-</w:t>
      </w:r>
      <w:r w:rsidR="00213B70" w:rsidRPr="004A7707">
        <w:rPr>
          <w:bCs/>
          <w:szCs w:val="24"/>
        </w:rPr>
        <w:t>ROSENBAUM</w:t>
      </w:r>
    </w:p>
    <w:p w:rsidR="00A253E6" w:rsidRPr="004A7707" w:rsidRDefault="00A253E6" w:rsidP="009E3A1C">
      <w:pPr>
        <w:widowControl w:val="0"/>
        <w:tabs>
          <w:tab w:val="left" w:pos="720"/>
          <w:tab w:val="left" w:pos="1440"/>
          <w:tab w:val="left" w:pos="2160"/>
          <w:tab w:val="left" w:pos="2880"/>
          <w:tab w:val="left" w:pos="3600"/>
          <w:tab w:val="left" w:pos="4320"/>
          <w:tab w:val="left" w:pos="5040"/>
          <w:tab w:val="left" w:pos="5760"/>
          <w:tab w:val="left" w:pos="6480"/>
        </w:tabs>
        <w:ind w:left="6480" w:hanging="6480"/>
        <w:rPr>
          <w:szCs w:val="24"/>
        </w:rPr>
      </w:pPr>
    </w:p>
    <w:tbl>
      <w:tblPr>
        <w:tblW w:w="0" w:type="auto"/>
        <w:tblInd w:w="108" w:type="dxa"/>
        <w:tblLook w:val="04A0"/>
      </w:tblPr>
      <w:tblGrid>
        <w:gridCol w:w="4511"/>
        <w:gridCol w:w="4345"/>
      </w:tblGrid>
      <w:tr w:rsidR="0049438B" w:rsidRPr="004A7707" w:rsidTr="0049438B">
        <w:tc>
          <w:tcPr>
            <w:tcW w:w="4511" w:type="dxa"/>
          </w:tcPr>
          <w:p w:rsidR="0049438B" w:rsidRPr="004A7707" w:rsidRDefault="002B3682" w:rsidP="00A34409">
            <w:pPr>
              <w:ind w:firstLine="12"/>
              <w:rPr>
                <w:szCs w:val="24"/>
              </w:rPr>
            </w:pPr>
            <w:r w:rsidRPr="004A7707">
              <w:rPr>
                <w:b/>
                <w:szCs w:val="24"/>
              </w:rPr>
              <w:t>T.H.</w:t>
            </w:r>
            <w:r w:rsidRPr="004A7707">
              <w:rPr>
                <w:szCs w:val="24"/>
              </w:rPr>
              <w:t>,</w:t>
            </w:r>
            <w:r w:rsidRPr="004A7707">
              <w:rPr>
                <w:b/>
                <w:szCs w:val="24"/>
              </w:rPr>
              <w:t xml:space="preserve"> </w:t>
            </w:r>
            <w:r w:rsidRPr="004A7707">
              <w:rPr>
                <w:szCs w:val="24"/>
              </w:rPr>
              <w:t>by and through her next friend, Paolo Annino;</w:t>
            </w:r>
            <w:r w:rsidR="00A34409" w:rsidRPr="004A7707">
              <w:rPr>
                <w:szCs w:val="24"/>
              </w:rPr>
              <w:t xml:space="preserve"> et al.</w:t>
            </w:r>
            <w:r w:rsidR="0049438B" w:rsidRPr="004A7707">
              <w:rPr>
                <w:szCs w:val="24"/>
              </w:rPr>
              <w:t>,</w:t>
            </w:r>
          </w:p>
        </w:tc>
        <w:tc>
          <w:tcPr>
            <w:tcW w:w="4345" w:type="dxa"/>
          </w:tcPr>
          <w:p w:rsidR="0049438B" w:rsidRPr="004A7707" w:rsidRDefault="0049438B" w:rsidP="009E3A1C">
            <w:pPr>
              <w:rPr>
                <w:b/>
                <w:szCs w:val="24"/>
              </w:rPr>
            </w:pPr>
          </w:p>
        </w:tc>
      </w:tr>
      <w:tr w:rsidR="0049438B" w:rsidRPr="004A7707" w:rsidTr="0049438B">
        <w:tc>
          <w:tcPr>
            <w:tcW w:w="4511" w:type="dxa"/>
          </w:tcPr>
          <w:p w:rsidR="0049438B" w:rsidRPr="004A7707" w:rsidRDefault="0049438B" w:rsidP="009E3A1C">
            <w:pPr>
              <w:ind w:firstLine="720"/>
              <w:rPr>
                <w:szCs w:val="24"/>
              </w:rPr>
            </w:pPr>
          </w:p>
          <w:p w:rsidR="0049438B" w:rsidRPr="004A7707" w:rsidRDefault="0049438B" w:rsidP="009E3A1C">
            <w:pPr>
              <w:ind w:firstLine="720"/>
              <w:rPr>
                <w:szCs w:val="24"/>
              </w:rPr>
            </w:pPr>
            <w:r w:rsidRPr="004A7707">
              <w:rPr>
                <w:szCs w:val="24"/>
              </w:rPr>
              <w:t>Plaintiffs,</w:t>
            </w:r>
            <w:r w:rsidRPr="004A7707">
              <w:rPr>
                <w:szCs w:val="24"/>
              </w:rPr>
              <w:tab/>
            </w:r>
          </w:p>
          <w:p w:rsidR="0049438B" w:rsidRPr="004A7707" w:rsidRDefault="0049438B" w:rsidP="009E3A1C">
            <w:pPr>
              <w:rPr>
                <w:b/>
                <w:szCs w:val="24"/>
              </w:rPr>
            </w:pPr>
            <w:proofErr w:type="gramStart"/>
            <w:r w:rsidRPr="004A7707">
              <w:rPr>
                <w:b/>
                <w:szCs w:val="24"/>
              </w:rPr>
              <w:t>v</w:t>
            </w:r>
            <w:proofErr w:type="gramEnd"/>
            <w:r w:rsidRPr="004A7707">
              <w:rPr>
                <w:b/>
                <w:szCs w:val="24"/>
              </w:rPr>
              <w:t>.</w:t>
            </w:r>
          </w:p>
          <w:p w:rsidR="008C09FD" w:rsidRPr="004A7707" w:rsidRDefault="008C09FD" w:rsidP="009E3A1C">
            <w:pPr>
              <w:rPr>
                <w:b/>
                <w:szCs w:val="24"/>
              </w:rPr>
            </w:pPr>
          </w:p>
        </w:tc>
        <w:tc>
          <w:tcPr>
            <w:tcW w:w="4345" w:type="dxa"/>
          </w:tcPr>
          <w:p w:rsidR="0049438B" w:rsidRPr="004A7707" w:rsidRDefault="0049438B" w:rsidP="009E3A1C">
            <w:pPr>
              <w:widowControl w:val="0"/>
              <w:rPr>
                <w:b/>
                <w:szCs w:val="24"/>
              </w:rPr>
            </w:pPr>
          </w:p>
        </w:tc>
      </w:tr>
      <w:tr w:rsidR="0049438B" w:rsidRPr="004A7707" w:rsidTr="0049438B">
        <w:tc>
          <w:tcPr>
            <w:tcW w:w="4511" w:type="dxa"/>
          </w:tcPr>
          <w:p w:rsidR="0049438B" w:rsidRPr="004A7707" w:rsidRDefault="0049438B" w:rsidP="009E3A1C">
            <w:pPr>
              <w:ind w:left="12" w:firstLine="12"/>
              <w:rPr>
                <w:caps/>
                <w:szCs w:val="24"/>
              </w:rPr>
            </w:pPr>
            <w:r w:rsidRPr="004A7707">
              <w:rPr>
                <w:b/>
                <w:caps/>
                <w:szCs w:val="24"/>
              </w:rPr>
              <w:t>ELIZABETH DUDEK</w:t>
            </w:r>
            <w:r w:rsidRPr="004A7707">
              <w:rPr>
                <w:caps/>
                <w:szCs w:val="24"/>
              </w:rPr>
              <w:t xml:space="preserve">, </w:t>
            </w:r>
            <w:r w:rsidR="00A34409" w:rsidRPr="004A7707">
              <w:rPr>
                <w:szCs w:val="24"/>
              </w:rPr>
              <w:t>et al.</w:t>
            </w:r>
            <w:r w:rsidRPr="004A7707">
              <w:rPr>
                <w:szCs w:val="24"/>
              </w:rPr>
              <w:t>,</w:t>
            </w:r>
          </w:p>
          <w:p w:rsidR="0049438B" w:rsidRPr="004A7707" w:rsidRDefault="0049438B" w:rsidP="009E3A1C">
            <w:pPr>
              <w:rPr>
                <w:szCs w:val="24"/>
              </w:rPr>
            </w:pPr>
            <w:r w:rsidRPr="004A7707">
              <w:rPr>
                <w:szCs w:val="24"/>
              </w:rPr>
              <w:tab/>
            </w:r>
          </w:p>
          <w:p w:rsidR="0049438B" w:rsidRPr="004A7707" w:rsidRDefault="0049438B" w:rsidP="009E3A1C">
            <w:pPr>
              <w:ind w:firstLine="732"/>
              <w:rPr>
                <w:b/>
                <w:szCs w:val="24"/>
              </w:rPr>
            </w:pPr>
            <w:r w:rsidRPr="004A7707">
              <w:rPr>
                <w:szCs w:val="24"/>
              </w:rPr>
              <w:t>Defendants.</w:t>
            </w:r>
            <w:r w:rsidRPr="004A7707">
              <w:rPr>
                <w:szCs w:val="24"/>
              </w:rPr>
              <w:tab/>
            </w:r>
          </w:p>
        </w:tc>
        <w:tc>
          <w:tcPr>
            <w:tcW w:w="4345" w:type="dxa"/>
          </w:tcPr>
          <w:p w:rsidR="0049438B" w:rsidRPr="004A7707" w:rsidRDefault="0049438B" w:rsidP="009E3A1C">
            <w:pPr>
              <w:rPr>
                <w:b/>
                <w:szCs w:val="24"/>
              </w:rPr>
            </w:pPr>
          </w:p>
        </w:tc>
      </w:tr>
      <w:tr w:rsidR="0049438B" w:rsidRPr="004A7707" w:rsidTr="0049438B">
        <w:tc>
          <w:tcPr>
            <w:tcW w:w="4511" w:type="dxa"/>
          </w:tcPr>
          <w:p w:rsidR="0049438B" w:rsidRPr="004A7707" w:rsidRDefault="002A42F5" w:rsidP="009E3A1C">
            <w:pPr>
              <w:ind w:left="12" w:firstLine="12"/>
              <w:rPr>
                <w:b/>
                <w:caps/>
                <w:szCs w:val="24"/>
              </w:rPr>
            </w:pPr>
            <w:r w:rsidRPr="004A7707">
              <w:rPr>
                <w:b/>
                <w:caps/>
                <w:szCs w:val="24"/>
              </w:rPr>
              <w:t>________</w:t>
            </w:r>
            <w:r w:rsidR="00D10CA9" w:rsidRPr="004A7707">
              <w:rPr>
                <w:b/>
                <w:caps/>
                <w:szCs w:val="24"/>
              </w:rPr>
              <w:t>__________________________/</w:t>
            </w:r>
          </w:p>
        </w:tc>
        <w:tc>
          <w:tcPr>
            <w:tcW w:w="4345" w:type="dxa"/>
          </w:tcPr>
          <w:p w:rsidR="0049438B" w:rsidRPr="004A7707" w:rsidRDefault="0049438B" w:rsidP="009E3A1C">
            <w:pPr>
              <w:rPr>
                <w:b/>
                <w:szCs w:val="24"/>
              </w:rPr>
            </w:pPr>
          </w:p>
        </w:tc>
      </w:tr>
    </w:tbl>
    <w:p w:rsidR="0049438B" w:rsidRPr="004A7707" w:rsidRDefault="0049438B" w:rsidP="009E3A1C">
      <w:pPr>
        <w:widowControl w:val="0"/>
        <w:rPr>
          <w:szCs w:val="24"/>
        </w:rPr>
      </w:pPr>
    </w:p>
    <w:p w:rsidR="008F6657" w:rsidRPr="004A7707" w:rsidRDefault="008F6657" w:rsidP="004D00E4">
      <w:pPr>
        <w:pStyle w:val="Heading1"/>
      </w:pPr>
      <w:r w:rsidRPr="004A7707">
        <w:t>STATEMENT OF INTEREST OF THE UNITED STATES OF AMERICA</w:t>
      </w:r>
    </w:p>
    <w:p w:rsidR="008A43D1" w:rsidRPr="004A7707" w:rsidRDefault="008A43D1" w:rsidP="00D9362C">
      <w:pPr>
        <w:widowControl w:val="0"/>
        <w:spacing w:line="480" w:lineRule="auto"/>
        <w:rPr>
          <w:szCs w:val="24"/>
        </w:rPr>
      </w:pPr>
      <w:r w:rsidRPr="004A7707">
        <w:rPr>
          <w:szCs w:val="24"/>
        </w:rPr>
        <w:tab/>
        <w:t>The United States submits this Statement of Interest pu</w:t>
      </w:r>
      <w:r w:rsidR="00C14342" w:rsidRPr="004A7707">
        <w:rPr>
          <w:szCs w:val="24"/>
        </w:rPr>
        <w:t>r</w:t>
      </w:r>
      <w:r w:rsidRPr="004A7707">
        <w:rPr>
          <w:szCs w:val="24"/>
        </w:rPr>
        <w:t>suant to 28 U.S.C. § 517,</w:t>
      </w:r>
      <w:r w:rsidR="00463160" w:rsidRPr="004A7707">
        <w:rPr>
          <w:rStyle w:val="FootnoteReference"/>
          <w:szCs w:val="24"/>
        </w:rPr>
        <w:footnoteReference w:id="2"/>
      </w:r>
      <w:r w:rsidRPr="004A7707">
        <w:rPr>
          <w:szCs w:val="24"/>
        </w:rPr>
        <w:t xml:space="preserve"> in opposition to Defendants’ motion</w:t>
      </w:r>
      <w:r w:rsidR="00125BA7" w:rsidRPr="004A7707">
        <w:rPr>
          <w:szCs w:val="24"/>
        </w:rPr>
        <w:t>s</w:t>
      </w:r>
      <w:r w:rsidRPr="004A7707">
        <w:rPr>
          <w:szCs w:val="24"/>
        </w:rPr>
        <w:t xml:space="preserve"> to dismiss for </w:t>
      </w:r>
      <w:r w:rsidR="009C12D8" w:rsidRPr="004A7707">
        <w:rPr>
          <w:szCs w:val="24"/>
        </w:rPr>
        <w:t xml:space="preserve">lack of subject matter jurisdiction due to </w:t>
      </w:r>
      <w:r w:rsidRPr="004A7707">
        <w:rPr>
          <w:szCs w:val="24"/>
        </w:rPr>
        <w:t>mootness (</w:t>
      </w:r>
      <w:r w:rsidR="007B5AAD" w:rsidRPr="004A7707">
        <w:rPr>
          <w:szCs w:val="24"/>
        </w:rPr>
        <w:t>ECF No</w:t>
      </w:r>
      <w:r w:rsidR="00827E0A" w:rsidRPr="004A7707">
        <w:rPr>
          <w:szCs w:val="24"/>
        </w:rPr>
        <w:t>s</w:t>
      </w:r>
      <w:r w:rsidRPr="004A7707">
        <w:rPr>
          <w:szCs w:val="24"/>
        </w:rPr>
        <w:t>.</w:t>
      </w:r>
      <w:r w:rsidR="00827E0A" w:rsidRPr="004A7707">
        <w:rPr>
          <w:szCs w:val="24"/>
        </w:rPr>
        <w:t xml:space="preserve"> </w:t>
      </w:r>
      <w:r w:rsidRPr="004A7707">
        <w:rPr>
          <w:szCs w:val="24"/>
        </w:rPr>
        <w:t>117</w:t>
      </w:r>
      <w:r w:rsidR="00125BA7" w:rsidRPr="004A7707">
        <w:rPr>
          <w:szCs w:val="24"/>
        </w:rPr>
        <w:t xml:space="preserve"> &amp; 119</w:t>
      </w:r>
      <w:r w:rsidRPr="004A7707">
        <w:rPr>
          <w:szCs w:val="24"/>
        </w:rPr>
        <w:t>), and in support of Plaintiffs’ motion for class certification (</w:t>
      </w:r>
      <w:r w:rsidR="007B5AAD" w:rsidRPr="004A7707">
        <w:rPr>
          <w:szCs w:val="24"/>
        </w:rPr>
        <w:t>ECF No</w:t>
      </w:r>
      <w:r w:rsidRPr="004A7707">
        <w:rPr>
          <w:szCs w:val="24"/>
        </w:rPr>
        <w:t xml:space="preserve">. 95).  </w:t>
      </w:r>
      <w:r w:rsidR="006C4641" w:rsidRPr="004A7707">
        <w:rPr>
          <w:szCs w:val="24"/>
        </w:rPr>
        <w:t>In this case, Plaintiffs claim that they and members of their proposed class have been</w:t>
      </w:r>
      <w:r w:rsidR="0058634F" w:rsidRPr="004A7707">
        <w:rPr>
          <w:szCs w:val="24"/>
        </w:rPr>
        <w:t xml:space="preserve"> discriminated against in violation of</w:t>
      </w:r>
      <w:r w:rsidR="00D527CE" w:rsidRPr="004A7707">
        <w:rPr>
          <w:szCs w:val="24"/>
        </w:rPr>
        <w:t xml:space="preserve">, </w:t>
      </w:r>
      <w:r w:rsidR="00D527CE" w:rsidRPr="004A7707">
        <w:rPr>
          <w:i/>
          <w:szCs w:val="24"/>
        </w:rPr>
        <w:t>inter alia</w:t>
      </w:r>
      <w:r w:rsidR="00D527CE" w:rsidRPr="004A7707">
        <w:rPr>
          <w:szCs w:val="24"/>
        </w:rPr>
        <w:t>,</w:t>
      </w:r>
      <w:r w:rsidR="0058634F" w:rsidRPr="004A7707">
        <w:rPr>
          <w:szCs w:val="24"/>
        </w:rPr>
        <w:t xml:space="preserve"> the Americans With Disabilities Act (“ADA”), 42 U.S.C. §§ 12101 </w:t>
      </w:r>
      <w:r w:rsidR="0058634F" w:rsidRPr="004A7707">
        <w:rPr>
          <w:i/>
          <w:szCs w:val="24"/>
        </w:rPr>
        <w:t>et seq.</w:t>
      </w:r>
      <w:r w:rsidR="008771A8" w:rsidRPr="004A7707">
        <w:rPr>
          <w:szCs w:val="24"/>
        </w:rPr>
        <w:t>, and Section 504 of the Rehabilitation Act of 1973 (“Rehabilitation Act”), 29 U.S.C. § 794,</w:t>
      </w:r>
      <w:r w:rsidR="0058634F" w:rsidRPr="004A7707">
        <w:rPr>
          <w:szCs w:val="24"/>
        </w:rPr>
        <w:t xml:space="preserve"> through policies and practices of the State of Florida that </w:t>
      </w:r>
      <w:r w:rsidR="006C4641" w:rsidRPr="004A7707">
        <w:rPr>
          <w:szCs w:val="24"/>
        </w:rPr>
        <w:t>subject</w:t>
      </w:r>
      <w:r w:rsidR="0058634F" w:rsidRPr="004A7707">
        <w:rPr>
          <w:szCs w:val="24"/>
        </w:rPr>
        <w:t xml:space="preserve"> them</w:t>
      </w:r>
      <w:r w:rsidR="006C4641" w:rsidRPr="004A7707">
        <w:rPr>
          <w:szCs w:val="24"/>
        </w:rPr>
        <w:t xml:space="preserve"> to unnecessary institutionalization and risk of institutionalization</w:t>
      </w:r>
      <w:r w:rsidR="0058634F" w:rsidRPr="004A7707">
        <w:rPr>
          <w:szCs w:val="24"/>
        </w:rPr>
        <w:t>.</w:t>
      </w:r>
      <w:r w:rsidR="006C4641" w:rsidRPr="004A7707">
        <w:rPr>
          <w:szCs w:val="24"/>
        </w:rPr>
        <w:t xml:space="preserve">  In their motions to dismiss for mootness, </w:t>
      </w:r>
      <w:r w:rsidRPr="004A7707">
        <w:rPr>
          <w:szCs w:val="24"/>
        </w:rPr>
        <w:t>Defendants</w:t>
      </w:r>
      <w:r w:rsidR="00E35708" w:rsidRPr="004A7707">
        <w:rPr>
          <w:szCs w:val="24"/>
        </w:rPr>
        <w:t xml:space="preserve"> claim that </w:t>
      </w:r>
      <w:r w:rsidR="006C4641" w:rsidRPr="004A7707">
        <w:rPr>
          <w:szCs w:val="24"/>
        </w:rPr>
        <w:t xml:space="preserve">certain </w:t>
      </w:r>
      <w:r w:rsidRPr="004A7707">
        <w:rPr>
          <w:szCs w:val="24"/>
        </w:rPr>
        <w:t>recent</w:t>
      </w:r>
      <w:r w:rsidR="00DF2E32" w:rsidRPr="004A7707">
        <w:rPr>
          <w:szCs w:val="24"/>
        </w:rPr>
        <w:t xml:space="preserve"> </w:t>
      </w:r>
      <w:r w:rsidRPr="004A7707">
        <w:rPr>
          <w:szCs w:val="24"/>
        </w:rPr>
        <w:t xml:space="preserve">decisions </w:t>
      </w:r>
      <w:r w:rsidR="006C4641" w:rsidRPr="004A7707">
        <w:rPr>
          <w:szCs w:val="24"/>
        </w:rPr>
        <w:t xml:space="preserve">they have made </w:t>
      </w:r>
      <w:r w:rsidRPr="004A7707">
        <w:rPr>
          <w:szCs w:val="24"/>
        </w:rPr>
        <w:t xml:space="preserve">to </w:t>
      </w:r>
      <w:r w:rsidR="00332C33" w:rsidRPr="004A7707">
        <w:rPr>
          <w:szCs w:val="24"/>
        </w:rPr>
        <w:t>take</w:t>
      </w:r>
      <w:r w:rsidRPr="004A7707">
        <w:rPr>
          <w:szCs w:val="24"/>
        </w:rPr>
        <w:t xml:space="preserve"> initial steps to alter </w:t>
      </w:r>
      <w:r w:rsidR="0058634F" w:rsidRPr="004A7707">
        <w:rPr>
          <w:szCs w:val="24"/>
        </w:rPr>
        <w:t>some of those policies</w:t>
      </w:r>
      <w:r w:rsidR="007B2E7D" w:rsidRPr="004A7707">
        <w:rPr>
          <w:szCs w:val="24"/>
        </w:rPr>
        <w:t xml:space="preserve"> </w:t>
      </w:r>
      <w:r w:rsidRPr="004A7707">
        <w:rPr>
          <w:szCs w:val="24"/>
        </w:rPr>
        <w:t>moot Plaintiffs’ claims.</w:t>
      </w:r>
      <w:r w:rsidR="00E35708" w:rsidRPr="004A7707">
        <w:rPr>
          <w:szCs w:val="24"/>
        </w:rPr>
        <w:t xml:space="preserve">  They do not.</w:t>
      </w:r>
      <w:r w:rsidRPr="004A7707">
        <w:rPr>
          <w:szCs w:val="24"/>
        </w:rPr>
        <w:t xml:space="preserve">  </w:t>
      </w:r>
      <w:r w:rsidR="00DC054A" w:rsidRPr="004A7707">
        <w:rPr>
          <w:szCs w:val="24"/>
        </w:rPr>
        <w:t>The policy revisions wil</w:t>
      </w:r>
      <w:r w:rsidR="00F23C5D" w:rsidRPr="004A7707">
        <w:rPr>
          <w:szCs w:val="24"/>
        </w:rPr>
        <w:t>l not grant full relief to Plaintiffs</w:t>
      </w:r>
      <w:r w:rsidR="00DC054A" w:rsidRPr="004A7707">
        <w:rPr>
          <w:szCs w:val="24"/>
        </w:rPr>
        <w:t xml:space="preserve"> and their class members even if fully implemented, plus there are </w:t>
      </w:r>
      <w:r w:rsidR="00DC054A" w:rsidRPr="004A7707">
        <w:rPr>
          <w:szCs w:val="24"/>
        </w:rPr>
        <w:lastRenderedPageBreak/>
        <w:t xml:space="preserve">strong reasons to doubt whether their implementation will be permanent at all or whether </w:t>
      </w:r>
      <w:r w:rsidR="00F23C5D" w:rsidRPr="004A7707">
        <w:rPr>
          <w:szCs w:val="24"/>
        </w:rPr>
        <w:t>the policies</w:t>
      </w:r>
      <w:r w:rsidR="00DC054A" w:rsidRPr="004A7707">
        <w:rPr>
          <w:szCs w:val="24"/>
        </w:rPr>
        <w:t xml:space="preserve"> are merely being voluntarily ceased in an attempt to </w:t>
      </w:r>
      <w:r w:rsidR="00D527CE" w:rsidRPr="004A7707">
        <w:rPr>
          <w:szCs w:val="24"/>
        </w:rPr>
        <w:t xml:space="preserve">divest </w:t>
      </w:r>
      <w:r w:rsidR="00DC054A" w:rsidRPr="004A7707">
        <w:rPr>
          <w:szCs w:val="24"/>
        </w:rPr>
        <w:t>this Court</w:t>
      </w:r>
      <w:r w:rsidR="00D527CE" w:rsidRPr="004A7707">
        <w:rPr>
          <w:szCs w:val="24"/>
        </w:rPr>
        <w:t xml:space="preserve"> of</w:t>
      </w:r>
      <w:r w:rsidR="00DC054A" w:rsidRPr="004A7707">
        <w:rPr>
          <w:szCs w:val="24"/>
        </w:rPr>
        <w:t xml:space="preserve"> jurisdiction.  </w:t>
      </w:r>
      <w:r w:rsidR="00D527CE" w:rsidRPr="004A7707">
        <w:rPr>
          <w:szCs w:val="24"/>
        </w:rPr>
        <w:t>Moreover, e</w:t>
      </w:r>
      <w:r w:rsidR="00463160" w:rsidRPr="004A7707">
        <w:rPr>
          <w:szCs w:val="24"/>
        </w:rPr>
        <w:t xml:space="preserve">ven if </w:t>
      </w:r>
      <w:r w:rsidR="00827E0A" w:rsidRPr="004A7707">
        <w:rPr>
          <w:szCs w:val="24"/>
        </w:rPr>
        <w:t xml:space="preserve">the </w:t>
      </w:r>
      <w:r w:rsidR="00E11DDF" w:rsidRPr="004A7707">
        <w:rPr>
          <w:szCs w:val="24"/>
        </w:rPr>
        <w:t>revised</w:t>
      </w:r>
      <w:r w:rsidR="00463160" w:rsidRPr="004A7707">
        <w:rPr>
          <w:szCs w:val="24"/>
        </w:rPr>
        <w:t xml:space="preserve"> policies </w:t>
      </w:r>
      <w:r w:rsidR="00E35708" w:rsidRPr="004A7707">
        <w:rPr>
          <w:szCs w:val="24"/>
        </w:rPr>
        <w:t>are</w:t>
      </w:r>
      <w:r w:rsidR="00827E0A" w:rsidRPr="004A7707">
        <w:rPr>
          <w:szCs w:val="24"/>
        </w:rPr>
        <w:t xml:space="preserve"> </w:t>
      </w:r>
      <w:r w:rsidR="00463160" w:rsidRPr="004A7707">
        <w:rPr>
          <w:szCs w:val="24"/>
        </w:rPr>
        <w:t>fully implemented, almost</w:t>
      </w:r>
      <w:r w:rsidR="00E11DDF" w:rsidRPr="004A7707">
        <w:rPr>
          <w:szCs w:val="24"/>
        </w:rPr>
        <w:t xml:space="preserve"> </w:t>
      </w:r>
      <w:r w:rsidR="00463160" w:rsidRPr="004A7707">
        <w:rPr>
          <w:szCs w:val="24"/>
        </w:rPr>
        <w:t xml:space="preserve">two hundred children </w:t>
      </w:r>
      <w:r w:rsidR="00E35708" w:rsidRPr="004A7707">
        <w:rPr>
          <w:szCs w:val="24"/>
        </w:rPr>
        <w:t xml:space="preserve">will </w:t>
      </w:r>
      <w:r w:rsidR="00463160" w:rsidRPr="004A7707">
        <w:rPr>
          <w:szCs w:val="24"/>
        </w:rPr>
        <w:t>remain institutionalized in nursing facilities throughout Florida</w:t>
      </w:r>
      <w:r w:rsidR="00E35708" w:rsidRPr="004A7707">
        <w:rPr>
          <w:szCs w:val="24"/>
        </w:rPr>
        <w:t xml:space="preserve">. </w:t>
      </w:r>
      <w:r w:rsidR="00463160" w:rsidRPr="004A7707">
        <w:rPr>
          <w:szCs w:val="24"/>
        </w:rPr>
        <w:t xml:space="preserve"> </w:t>
      </w:r>
      <w:r w:rsidR="00E35708" w:rsidRPr="004A7707">
        <w:rPr>
          <w:szCs w:val="24"/>
        </w:rPr>
        <w:t>N</w:t>
      </w:r>
      <w:r w:rsidR="00463160" w:rsidRPr="004A7707">
        <w:rPr>
          <w:szCs w:val="24"/>
        </w:rPr>
        <w:t xml:space="preserve">early two thousand others </w:t>
      </w:r>
      <w:r w:rsidR="00E35708" w:rsidRPr="004A7707">
        <w:rPr>
          <w:szCs w:val="24"/>
        </w:rPr>
        <w:t xml:space="preserve">will </w:t>
      </w:r>
      <w:r w:rsidR="00463160" w:rsidRPr="004A7707">
        <w:rPr>
          <w:szCs w:val="24"/>
        </w:rPr>
        <w:t>have no guarantee that they will receive the medically necessary nursing services to which they are entitled under the Medicaid Act,</w:t>
      </w:r>
      <w:r w:rsidR="00E35708" w:rsidRPr="004A7707">
        <w:rPr>
          <w:szCs w:val="24"/>
        </w:rPr>
        <w:t xml:space="preserve"> and no guarantee</w:t>
      </w:r>
      <w:r w:rsidR="00E11DDF" w:rsidRPr="004A7707">
        <w:rPr>
          <w:szCs w:val="24"/>
        </w:rPr>
        <w:t xml:space="preserve"> that they will not be placed at risk of institutionalization through further discriminatory administration of Defendants’ programs.</w:t>
      </w:r>
      <w:r w:rsidR="00463160" w:rsidRPr="004A7707">
        <w:rPr>
          <w:szCs w:val="24"/>
        </w:rPr>
        <w:t xml:space="preserve"> </w:t>
      </w:r>
      <w:r w:rsidR="006D7774" w:rsidRPr="004A7707">
        <w:rPr>
          <w:szCs w:val="24"/>
        </w:rPr>
        <w:t xml:space="preserve"> </w:t>
      </w:r>
      <w:r w:rsidR="00D527CE" w:rsidRPr="004A7707">
        <w:rPr>
          <w:szCs w:val="24"/>
        </w:rPr>
        <w:t>Additionally</w:t>
      </w:r>
      <w:r w:rsidRPr="004A7707">
        <w:rPr>
          <w:szCs w:val="24"/>
        </w:rPr>
        <w:t xml:space="preserve">, the facts of this case </w:t>
      </w:r>
      <w:r w:rsidR="00390749" w:rsidRPr="004A7707">
        <w:rPr>
          <w:szCs w:val="24"/>
        </w:rPr>
        <w:t xml:space="preserve">support class certification, especially in light of the established </w:t>
      </w:r>
      <w:r w:rsidR="008771A8" w:rsidRPr="004A7707">
        <w:rPr>
          <w:szCs w:val="24"/>
        </w:rPr>
        <w:t xml:space="preserve">precedent </w:t>
      </w:r>
      <w:r w:rsidR="00390749" w:rsidRPr="004A7707">
        <w:rPr>
          <w:szCs w:val="24"/>
        </w:rPr>
        <w:t xml:space="preserve">that class actions are appropriate mechanisms for resolving civil rights violations, including those </w:t>
      </w:r>
      <w:r w:rsidR="00827E0A" w:rsidRPr="004A7707">
        <w:rPr>
          <w:szCs w:val="24"/>
        </w:rPr>
        <w:t>involving</w:t>
      </w:r>
      <w:r w:rsidR="00390749" w:rsidRPr="004A7707">
        <w:rPr>
          <w:szCs w:val="24"/>
        </w:rPr>
        <w:t xml:space="preserve"> rights protected by</w:t>
      </w:r>
      <w:r w:rsidR="00A40923" w:rsidRPr="004A7707">
        <w:rPr>
          <w:szCs w:val="24"/>
        </w:rPr>
        <w:t xml:space="preserve"> the ADA</w:t>
      </w:r>
      <w:r w:rsidR="006A112A" w:rsidRPr="004A7707">
        <w:rPr>
          <w:szCs w:val="24"/>
        </w:rPr>
        <w:t>,</w:t>
      </w:r>
      <w:r w:rsidR="00774323" w:rsidRPr="004A7707">
        <w:rPr>
          <w:rStyle w:val="FootnoteReference"/>
          <w:szCs w:val="24"/>
        </w:rPr>
        <w:footnoteReference w:id="3"/>
      </w:r>
      <w:r w:rsidR="006A112A" w:rsidRPr="004A7707">
        <w:rPr>
          <w:szCs w:val="24"/>
        </w:rPr>
        <w:t xml:space="preserve"> </w:t>
      </w:r>
      <w:r w:rsidR="007B5AAD" w:rsidRPr="004A7707">
        <w:rPr>
          <w:szCs w:val="24"/>
        </w:rPr>
        <w:t>as well as</w:t>
      </w:r>
      <w:r w:rsidR="006A112A" w:rsidRPr="004A7707">
        <w:rPr>
          <w:szCs w:val="24"/>
        </w:rPr>
        <w:t xml:space="preserve"> </w:t>
      </w:r>
      <w:r w:rsidR="00A40923" w:rsidRPr="004A7707">
        <w:rPr>
          <w:szCs w:val="24"/>
        </w:rPr>
        <w:t xml:space="preserve">those </w:t>
      </w:r>
      <w:r w:rsidR="007B5AAD" w:rsidRPr="004A7707">
        <w:rPr>
          <w:szCs w:val="24"/>
        </w:rPr>
        <w:t xml:space="preserve"> </w:t>
      </w:r>
      <w:r w:rsidR="006A112A" w:rsidRPr="004A7707">
        <w:rPr>
          <w:szCs w:val="24"/>
        </w:rPr>
        <w:t xml:space="preserve">enforcing the Early and Periodic Screening, Diagnostic and Treatment (“EPSDT”) requirements of the Medicaid Act, 42 U.S.C. §1396 </w:t>
      </w:r>
      <w:r w:rsidR="006A112A" w:rsidRPr="004A7707">
        <w:rPr>
          <w:i/>
          <w:szCs w:val="24"/>
        </w:rPr>
        <w:t>et seq.</w:t>
      </w:r>
      <w:r w:rsidR="00827E0A" w:rsidRPr="004A7707">
        <w:rPr>
          <w:szCs w:val="24"/>
        </w:rPr>
        <w:t xml:space="preserve">  </w:t>
      </w:r>
    </w:p>
    <w:p w:rsidR="008A43D1" w:rsidRPr="004A7707" w:rsidRDefault="008A43D1" w:rsidP="008A43D1">
      <w:pPr>
        <w:pStyle w:val="Heading1"/>
      </w:pPr>
      <w:r w:rsidRPr="004A7707">
        <w:t>BACKGROUND</w:t>
      </w:r>
    </w:p>
    <w:p w:rsidR="00D9362C" w:rsidRPr="004A7707" w:rsidRDefault="00F4442D" w:rsidP="00D9362C">
      <w:pPr>
        <w:widowControl w:val="0"/>
        <w:spacing w:line="480" w:lineRule="auto"/>
        <w:rPr>
          <w:szCs w:val="24"/>
        </w:rPr>
      </w:pPr>
      <w:r w:rsidRPr="004A7707">
        <w:rPr>
          <w:szCs w:val="24"/>
        </w:rPr>
        <w:tab/>
        <w:t xml:space="preserve">Plaintiffs T.H., </w:t>
      </w:r>
      <w:r w:rsidR="00391360" w:rsidRPr="004A7707">
        <w:rPr>
          <w:szCs w:val="24"/>
        </w:rPr>
        <w:t xml:space="preserve">L.J., A.G., </w:t>
      </w:r>
      <w:r w:rsidRPr="004A7707">
        <w:rPr>
          <w:szCs w:val="24"/>
        </w:rPr>
        <w:t>A.C.,</w:t>
      </w:r>
      <w:r w:rsidR="00391360" w:rsidRPr="004A7707">
        <w:rPr>
          <w:szCs w:val="24"/>
        </w:rPr>
        <w:t xml:space="preserve"> A.R.,</w:t>
      </w:r>
      <w:r w:rsidRPr="004A7707">
        <w:rPr>
          <w:szCs w:val="24"/>
        </w:rPr>
        <w:t xml:space="preserve"> C.V., M.D., C.M., </w:t>
      </w:r>
      <w:r w:rsidR="001E3FEA" w:rsidRPr="004A7707">
        <w:rPr>
          <w:szCs w:val="24"/>
        </w:rPr>
        <w:t>and B.F.</w:t>
      </w:r>
      <w:r w:rsidR="001E3FEA" w:rsidRPr="004A7707">
        <w:rPr>
          <w:rStyle w:val="FootnoteReference"/>
          <w:szCs w:val="24"/>
        </w:rPr>
        <w:footnoteReference w:id="4"/>
      </w:r>
      <w:r w:rsidRPr="004A7707">
        <w:rPr>
          <w:szCs w:val="24"/>
        </w:rPr>
        <w:t xml:space="preserve"> are children who have been diagnosed as “medically fragile</w:t>
      </w:r>
      <w:r w:rsidR="008771A8" w:rsidRPr="004A7707">
        <w:rPr>
          <w:szCs w:val="24"/>
        </w:rPr>
        <w:t>,</w:t>
      </w:r>
      <w:r w:rsidRPr="004A7707">
        <w:rPr>
          <w:szCs w:val="24"/>
        </w:rPr>
        <w:t>”</w:t>
      </w:r>
      <w:r w:rsidR="008771A8" w:rsidRPr="004A7707">
        <w:rPr>
          <w:rStyle w:val="FootnoteReference"/>
          <w:szCs w:val="24"/>
        </w:rPr>
        <w:footnoteReference w:id="5"/>
      </w:r>
      <w:r w:rsidRPr="004A7707">
        <w:rPr>
          <w:szCs w:val="24"/>
        </w:rPr>
        <w:t xml:space="preserve"> </w:t>
      </w:r>
      <w:r w:rsidR="00E11DDF" w:rsidRPr="004A7707">
        <w:rPr>
          <w:szCs w:val="24"/>
        </w:rPr>
        <w:t xml:space="preserve">and who </w:t>
      </w:r>
      <w:r w:rsidR="00391360" w:rsidRPr="004A7707">
        <w:rPr>
          <w:szCs w:val="24"/>
        </w:rPr>
        <w:t xml:space="preserve">qualify for services through the State of </w:t>
      </w:r>
      <w:r w:rsidR="00391360" w:rsidRPr="004A7707">
        <w:rPr>
          <w:szCs w:val="24"/>
        </w:rPr>
        <w:lastRenderedPageBreak/>
        <w:t xml:space="preserve">Florida’s Medicaid program, including </w:t>
      </w:r>
      <w:r w:rsidR="00C219F3" w:rsidRPr="004A7707">
        <w:rPr>
          <w:szCs w:val="24"/>
        </w:rPr>
        <w:t xml:space="preserve">those services </w:t>
      </w:r>
      <w:r w:rsidR="00391360" w:rsidRPr="004A7707">
        <w:rPr>
          <w:szCs w:val="24"/>
        </w:rPr>
        <w:t>that allow individuals with disabilities to live at home in the community.</w:t>
      </w:r>
      <w:r w:rsidR="00E11DDF" w:rsidRPr="004A7707">
        <w:rPr>
          <w:szCs w:val="24"/>
        </w:rPr>
        <w:t xml:space="preserve">  (</w:t>
      </w:r>
      <w:r w:rsidR="00450471" w:rsidRPr="004A7707">
        <w:rPr>
          <w:i/>
          <w:szCs w:val="24"/>
        </w:rPr>
        <w:t>See</w:t>
      </w:r>
      <w:r w:rsidR="00E11DDF" w:rsidRPr="004A7707">
        <w:rPr>
          <w:szCs w:val="24"/>
        </w:rPr>
        <w:t xml:space="preserve"> </w:t>
      </w:r>
      <w:r w:rsidR="006A112A" w:rsidRPr="004A7707">
        <w:rPr>
          <w:szCs w:val="24"/>
        </w:rPr>
        <w:t>Pls.’ Second Am. Compl., ECF No. 62, (“Compl.”) (Filed Aug. 23, 2012)</w:t>
      </w:r>
      <w:r w:rsidR="00E11DDF" w:rsidRPr="004A7707">
        <w:rPr>
          <w:szCs w:val="24"/>
        </w:rPr>
        <w:t xml:space="preserve"> </w:t>
      </w:r>
      <w:r w:rsidR="00827E0A" w:rsidRPr="004A7707">
        <w:rPr>
          <w:szCs w:val="24"/>
        </w:rPr>
        <w:t>¶</w:t>
      </w:r>
      <w:r w:rsidR="00D2099C" w:rsidRPr="004A7707">
        <w:rPr>
          <w:szCs w:val="24"/>
        </w:rPr>
        <w:t>¶</w:t>
      </w:r>
      <w:r w:rsidR="008A11DA" w:rsidRPr="004A7707">
        <w:rPr>
          <w:szCs w:val="24"/>
        </w:rPr>
        <w:t xml:space="preserve"> </w:t>
      </w:r>
      <w:r w:rsidR="00D2099C" w:rsidRPr="004A7707">
        <w:rPr>
          <w:szCs w:val="24"/>
        </w:rPr>
        <w:t>1,</w:t>
      </w:r>
      <w:r w:rsidR="00827E0A" w:rsidRPr="004A7707">
        <w:rPr>
          <w:szCs w:val="24"/>
        </w:rPr>
        <w:t xml:space="preserve"> </w:t>
      </w:r>
      <w:r w:rsidR="00D2099C" w:rsidRPr="004A7707">
        <w:rPr>
          <w:szCs w:val="24"/>
        </w:rPr>
        <w:t>15-17</w:t>
      </w:r>
      <w:r w:rsidR="001E3FAA" w:rsidRPr="004A7707">
        <w:rPr>
          <w:szCs w:val="24"/>
        </w:rPr>
        <w:t>.</w:t>
      </w:r>
      <w:r w:rsidR="00E11DDF" w:rsidRPr="004A7707">
        <w:rPr>
          <w:szCs w:val="24"/>
        </w:rPr>
        <w:t>)</w:t>
      </w:r>
      <w:r w:rsidR="00827E0A" w:rsidRPr="004A7707">
        <w:rPr>
          <w:szCs w:val="24"/>
        </w:rPr>
        <w:t xml:space="preserve"> </w:t>
      </w:r>
      <w:r w:rsidR="00391360" w:rsidRPr="004A7707">
        <w:rPr>
          <w:szCs w:val="24"/>
        </w:rPr>
        <w:t xml:space="preserve"> </w:t>
      </w:r>
      <w:r w:rsidR="00B262EE" w:rsidRPr="004A7707">
        <w:rPr>
          <w:szCs w:val="24"/>
        </w:rPr>
        <w:t>They</w:t>
      </w:r>
      <w:r w:rsidR="00391360" w:rsidRPr="004A7707">
        <w:rPr>
          <w:szCs w:val="24"/>
        </w:rPr>
        <w:t xml:space="preserve"> </w:t>
      </w:r>
      <w:r w:rsidR="00D9362C" w:rsidRPr="004A7707">
        <w:rPr>
          <w:szCs w:val="24"/>
        </w:rPr>
        <w:t>allege that</w:t>
      </w:r>
      <w:r w:rsidR="00B262EE" w:rsidRPr="004A7707">
        <w:rPr>
          <w:szCs w:val="24"/>
        </w:rPr>
        <w:t>, despite being qualified for community-based services,</w:t>
      </w:r>
      <w:r w:rsidR="00D9362C" w:rsidRPr="004A7707">
        <w:rPr>
          <w:szCs w:val="24"/>
        </w:rPr>
        <w:t xml:space="preserve"> they </w:t>
      </w:r>
      <w:r w:rsidR="00C219F3" w:rsidRPr="004A7707">
        <w:rPr>
          <w:szCs w:val="24"/>
        </w:rPr>
        <w:t>either have been</w:t>
      </w:r>
      <w:r w:rsidR="008771A8" w:rsidRPr="004A7707">
        <w:rPr>
          <w:szCs w:val="24"/>
        </w:rPr>
        <w:t>,</w:t>
      </w:r>
      <w:r w:rsidR="00C219F3" w:rsidRPr="004A7707">
        <w:rPr>
          <w:szCs w:val="24"/>
        </w:rPr>
        <w:t xml:space="preserve"> or are at risk of </w:t>
      </w:r>
      <w:r w:rsidR="00827E0A" w:rsidRPr="004A7707">
        <w:rPr>
          <w:szCs w:val="24"/>
        </w:rPr>
        <w:t>being</w:t>
      </w:r>
      <w:r w:rsidR="008771A8" w:rsidRPr="004A7707">
        <w:rPr>
          <w:szCs w:val="24"/>
        </w:rPr>
        <w:t>,</w:t>
      </w:r>
      <w:r w:rsidR="00827E0A" w:rsidRPr="004A7707">
        <w:rPr>
          <w:szCs w:val="24"/>
        </w:rPr>
        <w:t xml:space="preserve"> required to enter </w:t>
      </w:r>
      <w:r w:rsidR="00C219F3" w:rsidRPr="004A7707">
        <w:rPr>
          <w:szCs w:val="24"/>
        </w:rPr>
        <w:t>nursing facilities</w:t>
      </w:r>
      <w:r w:rsidR="00E11DDF" w:rsidRPr="004A7707">
        <w:rPr>
          <w:szCs w:val="24"/>
        </w:rPr>
        <w:t xml:space="preserve"> to receive necessary care</w:t>
      </w:r>
      <w:r w:rsidR="00B262EE" w:rsidRPr="004A7707">
        <w:rPr>
          <w:szCs w:val="24"/>
        </w:rPr>
        <w:t>.</w:t>
      </w:r>
      <w:r w:rsidR="008A11DA" w:rsidRPr="004A7707">
        <w:rPr>
          <w:szCs w:val="24"/>
        </w:rPr>
        <w:t xml:space="preserve"> (</w:t>
      </w:r>
      <w:r w:rsidR="008A11DA" w:rsidRPr="004A7707">
        <w:rPr>
          <w:i/>
          <w:szCs w:val="24"/>
        </w:rPr>
        <w:t>Id</w:t>
      </w:r>
      <w:r w:rsidR="008A11DA" w:rsidRPr="004A7707">
        <w:rPr>
          <w:szCs w:val="24"/>
        </w:rPr>
        <w:t>. ¶¶ 7, 14)</w:t>
      </w:r>
      <w:r w:rsidR="00B262EE" w:rsidRPr="004A7707">
        <w:rPr>
          <w:szCs w:val="24"/>
        </w:rPr>
        <w:t xml:space="preserve">  They</w:t>
      </w:r>
      <w:r w:rsidR="007B2E7D" w:rsidRPr="004A7707">
        <w:rPr>
          <w:szCs w:val="24"/>
        </w:rPr>
        <w:t xml:space="preserve"> further</w:t>
      </w:r>
      <w:r w:rsidR="00B262EE" w:rsidRPr="004A7707">
        <w:rPr>
          <w:szCs w:val="24"/>
        </w:rPr>
        <w:t xml:space="preserve"> allege that this is the direct result of State policies that do not ensure that medically necessary community-based services </w:t>
      </w:r>
      <w:r w:rsidR="00AA1BB1" w:rsidRPr="004A7707">
        <w:rPr>
          <w:szCs w:val="24"/>
        </w:rPr>
        <w:t xml:space="preserve">(specifically, in-home private duty nursing services) </w:t>
      </w:r>
      <w:r w:rsidR="00B262EE" w:rsidRPr="004A7707">
        <w:rPr>
          <w:szCs w:val="24"/>
        </w:rPr>
        <w:t>are appropriately offered or provided and that these policies violate the</w:t>
      </w:r>
      <w:r w:rsidR="00827E0A" w:rsidRPr="004A7707">
        <w:rPr>
          <w:szCs w:val="24"/>
        </w:rPr>
        <w:t xml:space="preserve"> ADA and the Medicaid Act</w:t>
      </w:r>
      <w:r w:rsidR="00E11DDF" w:rsidRPr="004A7707">
        <w:rPr>
          <w:szCs w:val="24"/>
        </w:rPr>
        <w:t xml:space="preserve">.  </w:t>
      </w:r>
      <w:proofErr w:type="gramStart"/>
      <w:r w:rsidR="00810E75" w:rsidRPr="004A7707">
        <w:rPr>
          <w:szCs w:val="24"/>
        </w:rPr>
        <w:t>(</w:t>
      </w:r>
      <w:r w:rsidR="00450471" w:rsidRPr="004A7707">
        <w:rPr>
          <w:i/>
          <w:szCs w:val="24"/>
        </w:rPr>
        <w:t>See</w:t>
      </w:r>
      <w:r w:rsidR="00810E75" w:rsidRPr="004A7707">
        <w:rPr>
          <w:szCs w:val="24"/>
        </w:rPr>
        <w:t xml:space="preserve"> </w:t>
      </w:r>
      <w:r w:rsidR="00810E75" w:rsidRPr="004A7707">
        <w:rPr>
          <w:i/>
          <w:szCs w:val="24"/>
        </w:rPr>
        <w:t>i</w:t>
      </w:r>
      <w:r w:rsidR="00450471" w:rsidRPr="004A7707">
        <w:rPr>
          <w:i/>
          <w:szCs w:val="24"/>
        </w:rPr>
        <w:t>d</w:t>
      </w:r>
      <w:r w:rsidR="00810E75" w:rsidRPr="004A7707">
        <w:rPr>
          <w:szCs w:val="24"/>
        </w:rPr>
        <w:t>.</w:t>
      </w:r>
      <w:proofErr w:type="gramEnd"/>
      <w:r w:rsidR="00810E75" w:rsidRPr="004A7707">
        <w:rPr>
          <w:szCs w:val="24"/>
        </w:rPr>
        <w:t xml:space="preserve"> </w:t>
      </w:r>
      <w:r w:rsidR="00827E0A" w:rsidRPr="004A7707">
        <w:rPr>
          <w:szCs w:val="24"/>
        </w:rPr>
        <w:t>¶</w:t>
      </w:r>
      <w:r w:rsidR="00D2099C" w:rsidRPr="004A7707">
        <w:rPr>
          <w:szCs w:val="24"/>
        </w:rPr>
        <w:t>¶ 4-14</w:t>
      </w:r>
      <w:r w:rsidR="00827E0A" w:rsidRPr="004A7707">
        <w:rPr>
          <w:szCs w:val="24"/>
        </w:rPr>
        <w:t>.</w:t>
      </w:r>
      <w:r w:rsidR="00810E75" w:rsidRPr="004A7707">
        <w:rPr>
          <w:szCs w:val="24"/>
        </w:rPr>
        <w:t xml:space="preserve">)  </w:t>
      </w:r>
      <w:r w:rsidR="007B2E7D" w:rsidRPr="004A7707">
        <w:rPr>
          <w:szCs w:val="24"/>
        </w:rPr>
        <w:t>They</w:t>
      </w:r>
      <w:r w:rsidR="00E11DDF" w:rsidRPr="004A7707">
        <w:rPr>
          <w:szCs w:val="24"/>
        </w:rPr>
        <w:t xml:space="preserve"> also allege that </w:t>
      </w:r>
      <w:r w:rsidR="00810E75" w:rsidRPr="004A7707">
        <w:rPr>
          <w:szCs w:val="24"/>
        </w:rPr>
        <w:t>Defendants administer a federally</w:t>
      </w:r>
      <w:r w:rsidR="00827E0A" w:rsidRPr="004A7707">
        <w:rPr>
          <w:szCs w:val="24"/>
        </w:rPr>
        <w:t xml:space="preserve"> </w:t>
      </w:r>
      <w:r w:rsidR="00810E75" w:rsidRPr="004A7707">
        <w:rPr>
          <w:szCs w:val="24"/>
        </w:rPr>
        <w:t xml:space="preserve">mandated </w:t>
      </w:r>
      <w:r w:rsidR="008771A8" w:rsidRPr="004A7707">
        <w:rPr>
          <w:szCs w:val="24"/>
        </w:rPr>
        <w:t xml:space="preserve">nursing home </w:t>
      </w:r>
      <w:r w:rsidR="00810E75" w:rsidRPr="004A7707">
        <w:rPr>
          <w:szCs w:val="24"/>
        </w:rPr>
        <w:t xml:space="preserve">pre-admission screening program in </w:t>
      </w:r>
      <w:r w:rsidR="00B262EE" w:rsidRPr="004A7707">
        <w:rPr>
          <w:szCs w:val="24"/>
        </w:rPr>
        <w:t xml:space="preserve">a manner that both </w:t>
      </w:r>
      <w:r w:rsidR="00810E75" w:rsidRPr="004A7707">
        <w:rPr>
          <w:szCs w:val="24"/>
        </w:rPr>
        <w:t>conflict</w:t>
      </w:r>
      <w:r w:rsidR="00B262EE" w:rsidRPr="004A7707">
        <w:rPr>
          <w:szCs w:val="24"/>
        </w:rPr>
        <w:t>s</w:t>
      </w:r>
      <w:r w:rsidR="00810E75" w:rsidRPr="004A7707">
        <w:rPr>
          <w:szCs w:val="24"/>
        </w:rPr>
        <w:t xml:space="preserve"> with federal law </w:t>
      </w:r>
      <w:r w:rsidR="00332C33" w:rsidRPr="004A7707">
        <w:rPr>
          <w:szCs w:val="24"/>
        </w:rPr>
        <w:t>and</w:t>
      </w:r>
      <w:r w:rsidR="00810E75" w:rsidRPr="004A7707">
        <w:rPr>
          <w:szCs w:val="24"/>
        </w:rPr>
        <w:t xml:space="preserve"> results in inappropriate admissions to nursing facilities.</w:t>
      </w:r>
      <w:r w:rsidR="00D9362C" w:rsidRPr="004A7707">
        <w:rPr>
          <w:szCs w:val="24"/>
        </w:rPr>
        <w:t xml:space="preserve">  </w:t>
      </w:r>
      <w:proofErr w:type="gramStart"/>
      <w:r w:rsidR="00827E0A" w:rsidRPr="004A7707">
        <w:rPr>
          <w:szCs w:val="24"/>
        </w:rPr>
        <w:t>(</w:t>
      </w:r>
      <w:r w:rsidR="00827E0A" w:rsidRPr="004A7707">
        <w:rPr>
          <w:i/>
          <w:szCs w:val="24"/>
        </w:rPr>
        <w:t>See</w:t>
      </w:r>
      <w:r w:rsidR="00827E0A" w:rsidRPr="004A7707">
        <w:rPr>
          <w:szCs w:val="24"/>
        </w:rPr>
        <w:t xml:space="preserve"> </w:t>
      </w:r>
      <w:r w:rsidR="00827E0A" w:rsidRPr="004A7707">
        <w:rPr>
          <w:i/>
          <w:szCs w:val="24"/>
        </w:rPr>
        <w:t>id</w:t>
      </w:r>
      <w:r w:rsidR="00827E0A" w:rsidRPr="004A7707">
        <w:rPr>
          <w:szCs w:val="24"/>
        </w:rPr>
        <w:t>.</w:t>
      </w:r>
      <w:proofErr w:type="gramEnd"/>
      <w:r w:rsidR="00827E0A" w:rsidRPr="004A7707">
        <w:rPr>
          <w:szCs w:val="24"/>
        </w:rPr>
        <w:t xml:space="preserve"> ¶</w:t>
      </w:r>
      <w:r w:rsidR="004C3944" w:rsidRPr="004A7707">
        <w:rPr>
          <w:szCs w:val="24"/>
        </w:rPr>
        <w:t>¶ 329-335</w:t>
      </w:r>
      <w:r w:rsidR="00827E0A" w:rsidRPr="004A7707">
        <w:rPr>
          <w:szCs w:val="24"/>
        </w:rPr>
        <w:t>.)</w:t>
      </w:r>
      <w:r w:rsidR="00EE34C5" w:rsidRPr="004A7707">
        <w:rPr>
          <w:szCs w:val="24"/>
        </w:rPr>
        <w:t xml:space="preserve">  </w:t>
      </w:r>
      <w:r w:rsidR="00D9362C" w:rsidRPr="004A7707">
        <w:rPr>
          <w:szCs w:val="24"/>
        </w:rPr>
        <w:t>Thus, Plaintiffs have brought the present action for declaratory and injunctive relief against</w:t>
      </w:r>
      <w:r w:rsidR="00810E75" w:rsidRPr="004A7707">
        <w:rPr>
          <w:szCs w:val="24"/>
        </w:rPr>
        <w:t xml:space="preserve"> State</w:t>
      </w:r>
      <w:r w:rsidR="00D9362C" w:rsidRPr="004A7707">
        <w:rPr>
          <w:szCs w:val="24"/>
        </w:rPr>
        <w:t xml:space="preserve"> Defendants, the relevant State officials responsible for </w:t>
      </w:r>
      <w:r w:rsidR="000865FF" w:rsidRPr="004A7707">
        <w:rPr>
          <w:szCs w:val="24"/>
        </w:rPr>
        <w:t xml:space="preserve">implementing </w:t>
      </w:r>
      <w:r w:rsidR="00D9362C" w:rsidRPr="004A7707">
        <w:rPr>
          <w:szCs w:val="24"/>
        </w:rPr>
        <w:t xml:space="preserve">these </w:t>
      </w:r>
      <w:r w:rsidR="00810E75" w:rsidRPr="004A7707">
        <w:rPr>
          <w:szCs w:val="24"/>
        </w:rPr>
        <w:t xml:space="preserve">programs, </w:t>
      </w:r>
      <w:r w:rsidR="00B262EE" w:rsidRPr="004A7707">
        <w:rPr>
          <w:szCs w:val="24"/>
        </w:rPr>
        <w:t>and</w:t>
      </w:r>
      <w:r w:rsidR="00D9362C" w:rsidRPr="004A7707">
        <w:rPr>
          <w:szCs w:val="24"/>
        </w:rPr>
        <w:t xml:space="preserve"> contractor eQHealth Solutions, Inc. (collectively, “Defendants”).  Plaintiffs have also moved (</w:t>
      </w:r>
      <w:r w:rsidR="007B5AAD" w:rsidRPr="004A7707">
        <w:rPr>
          <w:szCs w:val="24"/>
        </w:rPr>
        <w:t>ECF No</w:t>
      </w:r>
      <w:r w:rsidR="00D9362C" w:rsidRPr="004A7707">
        <w:rPr>
          <w:szCs w:val="24"/>
        </w:rPr>
        <w:t>. 95) to certify a class of all children who find themselves in Plaintiffs’ present situation.</w:t>
      </w:r>
    </w:p>
    <w:p w:rsidR="00332C33" w:rsidRPr="004A7707" w:rsidRDefault="00D9362C" w:rsidP="00D9362C">
      <w:pPr>
        <w:widowControl w:val="0"/>
        <w:spacing w:line="480" w:lineRule="auto"/>
        <w:rPr>
          <w:szCs w:val="24"/>
        </w:rPr>
      </w:pPr>
      <w:r w:rsidRPr="004A7707">
        <w:rPr>
          <w:szCs w:val="24"/>
        </w:rPr>
        <w:tab/>
        <w:t xml:space="preserve">Defendants have </w:t>
      </w:r>
      <w:r w:rsidR="00DF2E32" w:rsidRPr="004A7707">
        <w:rPr>
          <w:szCs w:val="24"/>
        </w:rPr>
        <w:t xml:space="preserve">responded </w:t>
      </w:r>
      <w:r w:rsidR="004D00E4" w:rsidRPr="004A7707">
        <w:rPr>
          <w:szCs w:val="24"/>
        </w:rPr>
        <w:t xml:space="preserve">to Plaintiffs’ motion for class certification in two different ways.  First, </w:t>
      </w:r>
      <w:r w:rsidR="002C1843" w:rsidRPr="004A7707">
        <w:rPr>
          <w:szCs w:val="24"/>
        </w:rPr>
        <w:t xml:space="preserve">they have moved to dismiss Plaintiffs’ claims in whole </w:t>
      </w:r>
      <w:r w:rsidR="00AE77B7" w:rsidRPr="004A7707">
        <w:rPr>
          <w:szCs w:val="24"/>
        </w:rPr>
        <w:t>or in part (ECF Nos. 117 &amp; 119)</w:t>
      </w:r>
      <w:r w:rsidR="002C1843" w:rsidRPr="004A7707">
        <w:rPr>
          <w:szCs w:val="24"/>
        </w:rPr>
        <w:t xml:space="preserve"> on the ground that </w:t>
      </w:r>
      <w:r w:rsidR="00F558DF" w:rsidRPr="004A7707">
        <w:rPr>
          <w:szCs w:val="24"/>
        </w:rPr>
        <w:t xml:space="preserve">State Defendants have taken action </w:t>
      </w:r>
      <w:r w:rsidR="002C1843" w:rsidRPr="004A7707">
        <w:rPr>
          <w:szCs w:val="24"/>
        </w:rPr>
        <w:t xml:space="preserve">that has </w:t>
      </w:r>
      <w:r w:rsidR="004D00E4" w:rsidRPr="004A7707">
        <w:rPr>
          <w:szCs w:val="24"/>
        </w:rPr>
        <w:t>“moot</w:t>
      </w:r>
      <w:r w:rsidR="002C1843" w:rsidRPr="004A7707">
        <w:rPr>
          <w:szCs w:val="24"/>
        </w:rPr>
        <w:t>ed</w:t>
      </w:r>
      <w:r w:rsidR="004D00E4" w:rsidRPr="004A7707">
        <w:rPr>
          <w:szCs w:val="24"/>
        </w:rPr>
        <w:t>”</w:t>
      </w:r>
      <w:r w:rsidR="007B2E7D" w:rsidRPr="004A7707">
        <w:rPr>
          <w:szCs w:val="24"/>
        </w:rPr>
        <w:t xml:space="preserve"> </w:t>
      </w:r>
      <w:r w:rsidR="00F558DF" w:rsidRPr="004A7707">
        <w:rPr>
          <w:szCs w:val="24"/>
        </w:rPr>
        <w:t>the</w:t>
      </w:r>
      <w:r w:rsidR="003C6AA5" w:rsidRPr="004A7707">
        <w:rPr>
          <w:szCs w:val="24"/>
        </w:rPr>
        <w:t xml:space="preserve"> </w:t>
      </w:r>
      <w:r w:rsidR="00F558DF" w:rsidRPr="004A7707">
        <w:rPr>
          <w:szCs w:val="24"/>
        </w:rPr>
        <w:t>case</w:t>
      </w:r>
      <w:r w:rsidR="002C1843" w:rsidRPr="004A7707">
        <w:rPr>
          <w:szCs w:val="24"/>
        </w:rPr>
        <w:t>.  Specifically,</w:t>
      </w:r>
      <w:r w:rsidR="00AE77B7" w:rsidRPr="004A7707">
        <w:rPr>
          <w:szCs w:val="24"/>
        </w:rPr>
        <w:t xml:space="preserve"> they contend that Plaintiffs have already received the relief they are seeking </w:t>
      </w:r>
      <w:r w:rsidR="00AE77B7" w:rsidRPr="004A7707">
        <w:rPr>
          <w:szCs w:val="24"/>
        </w:rPr>
        <w:lastRenderedPageBreak/>
        <w:t xml:space="preserve">because (a) State Defendants have already initiated (though they have not yet concluded) the process </w:t>
      </w:r>
      <w:r w:rsidR="00F558DF" w:rsidRPr="004A7707">
        <w:rPr>
          <w:szCs w:val="24"/>
        </w:rPr>
        <w:t xml:space="preserve">of repealing </w:t>
      </w:r>
      <w:r w:rsidR="00AE77B7" w:rsidRPr="004A7707">
        <w:rPr>
          <w:szCs w:val="24"/>
        </w:rPr>
        <w:t xml:space="preserve">or amending three State </w:t>
      </w:r>
      <w:r w:rsidR="00F558DF" w:rsidRPr="004A7707">
        <w:rPr>
          <w:szCs w:val="24"/>
        </w:rPr>
        <w:t xml:space="preserve">policies </w:t>
      </w:r>
      <w:r w:rsidR="00AE77B7" w:rsidRPr="004A7707">
        <w:rPr>
          <w:szCs w:val="24"/>
        </w:rPr>
        <w:t>that have contributed to Plaintiffs’ injuries, and (b) Defendants</w:t>
      </w:r>
      <w:r w:rsidR="002150E0" w:rsidRPr="004A7707">
        <w:rPr>
          <w:szCs w:val="24"/>
        </w:rPr>
        <w:t xml:space="preserve"> </w:t>
      </w:r>
      <w:r w:rsidR="00AE77B7" w:rsidRPr="004A7707">
        <w:rPr>
          <w:szCs w:val="24"/>
        </w:rPr>
        <w:t>are</w:t>
      </w:r>
      <w:r w:rsidR="00007389" w:rsidRPr="004A7707">
        <w:rPr>
          <w:szCs w:val="24"/>
        </w:rPr>
        <w:t xml:space="preserve"> </w:t>
      </w:r>
      <w:r w:rsidR="002150E0" w:rsidRPr="004A7707">
        <w:rPr>
          <w:szCs w:val="24"/>
        </w:rPr>
        <w:t xml:space="preserve">acting </w:t>
      </w:r>
      <w:r w:rsidR="00082070" w:rsidRPr="004A7707">
        <w:rPr>
          <w:szCs w:val="24"/>
        </w:rPr>
        <w:t>in the interim as if these “Policy Changes” have already been finalized</w:t>
      </w:r>
      <w:r w:rsidR="00007389" w:rsidRPr="004A7707">
        <w:rPr>
          <w:szCs w:val="24"/>
        </w:rPr>
        <w:t>.</w:t>
      </w:r>
      <w:r w:rsidR="00082070" w:rsidRPr="004A7707">
        <w:rPr>
          <w:szCs w:val="24"/>
        </w:rPr>
        <w:t xml:space="preserve">  (</w:t>
      </w:r>
      <w:r w:rsidR="00082070" w:rsidRPr="004A7707">
        <w:rPr>
          <w:i/>
          <w:szCs w:val="24"/>
        </w:rPr>
        <w:t>See, e.g.,</w:t>
      </w:r>
      <w:r w:rsidR="00082070" w:rsidRPr="004A7707">
        <w:rPr>
          <w:szCs w:val="24"/>
        </w:rPr>
        <w:t xml:space="preserve"> ECF No. 117 at 3</w:t>
      </w:r>
      <w:r w:rsidR="002150E0" w:rsidRPr="004A7707">
        <w:rPr>
          <w:szCs w:val="24"/>
        </w:rPr>
        <w:t xml:space="preserve"> (representing that the Florida Agency for Health Care Administration (“AHCA”) has “published provider alerts implementing immediate . . . policy changes and clarifications [and] has initiated rule development pursuant to Florida’s Administrative Procedures Act . . . to codify those policy changes and clarifications through promulgated rules”).)  These three Policy Changes are: (1) revision of the State’s Home Health Services Handbook to clarify that parents and guardians are not expected to provide skilled nursing services to their children (</w:t>
      </w:r>
      <w:r w:rsidR="002150E0" w:rsidRPr="004A7707">
        <w:rPr>
          <w:i/>
          <w:szCs w:val="24"/>
        </w:rPr>
        <w:t>id.</w:t>
      </w:r>
      <w:r w:rsidR="002150E0" w:rsidRPr="004A7707">
        <w:rPr>
          <w:szCs w:val="24"/>
        </w:rPr>
        <w:t xml:space="preserve"> at 9-10)</w:t>
      </w:r>
      <w:r w:rsidR="002B7F0F" w:rsidRPr="004A7707">
        <w:rPr>
          <w:rStyle w:val="FootnoteReference"/>
          <w:szCs w:val="24"/>
        </w:rPr>
        <w:footnoteReference w:id="6"/>
      </w:r>
      <w:r w:rsidR="002150E0" w:rsidRPr="004A7707">
        <w:rPr>
          <w:szCs w:val="24"/>
        </w:rPr>
        <w:t xml:space="preserve">; (2) revision of its Home Health and </w:t>
      </w:r>
      <w:r w:rsidR="00AA1BB1" w:rsidRPr="004A7707">
        <w:rPr>
          <w:szCs w:val="24"/>
        </w:rPr>
        <w:t>Prescribed Pediatric Extended Care (“</w:t>
      </w:r>
      <w:r w:rsidR="002150E0" w:rsidRPr="004A7707">
        <w:rPr>
          <w:szCs w:val="24"/>
        </w:rPr>
        <w:t>PPEC</w:t>
      </w:r>
      <w:r w:rsidR="00AA1BB1" w:rsidRPr="004A7707">
        <w:rPr>
          <w:szCs w:val="24"/>
        </w:rPr>
        <w:t>”)</w:t>
      </w:r>
      <w:r w:rsidR="002150E0" w:rsidRPr="004A7707">
        <w:rPr>
          <w:szCs w:val="24"/>
        </w:rPr>
        <w:t xml:space="preserve"> Services Handbooks to provide that a parent or legal guardian may choose between private duty nursing services, PPEC services, or both (</w:t>
      </w:r>
      <w:r w:rsidR="002150E0" w:rsidRPr="004A7707">
        <w:rPr>
          <w:i/>
          <w:szCs w:val="24"/>
        </w:rPr>
        <w:t>id.</w:t>
      </w:r>
      <w:r w:rsidR="002150E0" w:rsidRPr="004A7707">
        <w:rPr>
          <w:szCs w:val="24"/>
        </w:rPr>
        <w:t xml:space="preserve"> at 10-11); and (3) preparation of a new administrative rule to streamline and clarify “Level II evaluations”  in the Pre-Admission Screening and Resident Review (“PASRR”) process (</w:t>
      </w:r>
      <w:r w:rsidR="002150E0" w:rsidRPr="004A7707">
        <w:rPr>
          <w:i/>
          <w:szCs w:val="24"/>
        </w:rPr>
        <w:t>id.</w:t>
      </w:r>
      <w:r w:rsidR="002150E0" w:rsidRPr="004A7707">
        <w:rPr>
          <w:szCs w:val="24"/>
        </w:rPr>
        <w:t xml:space="preserve"> at 11-13.)  Defendants also submit a declaration of AHCA’s Chief of the Bureau of Medicaid Services, in which the Chief attests that “AHCA has no intention of reenacting any of the former rules, practices, or regulations which are being revised.”  </w:t>
      </w:r>
      <w:proofErr w:type="gramStart"/>
      <w:r w:rsidR="002150E0" w:rsidRPr="004A7707">
        <w:rPr>
          <w:szCs w:val="24"/>
        </w:rPr>
        <w:t>(</w:t>
      </w:r>
      <w:r w:rsidR="002351A9" w:rsidRPr="004A7707">
        <w:rPr>
          <w:szCs w:val="24"/>
        </w:rPr>
        <w:t xml:space="preserve">Decl. of </w:t>
      </w:r>
      <w:proofErr w:type="spellStart"/>
      <w:r w:rsidR="002351A9" w:rsidRPr="004A7707">
        <w:rPr>
          <w:szCs w:val="24"/>
        </w:rPr>
        <w:t>Shevaun</w:t>
      </w:r>
      <w:proofErr w:type="spellEnd"/>
      <w:r w:rsidR="002351A9" w:rsidRPr="004A7707">
        <w:rPr>
          <w:szCs w:val="24"/>
        </w:rPr>
        <w:t xml:space="preserve"> Harris, </w:t>
      </w:r>
      <w:r w:rsidR="002150E0" w:rsidRPr="004A7707">
        <w:rPr>
          <w:szCs w:val="24"/>
        </w:rPr>
        <w:t>ECF No. 118-1</w:t>
      </w:r>
      <w:r w:rsidR="002351A9" w:rsidRPr="004A7707">
        <w:rPr>
          <w:szCs w:val="24"/>
        </w:rPr>
        <w:t>,</w:t>
      </w:r>
      <w:r w:rsidR="002150E0" w:rsidRPr="004A7707">
        <w:rPr>
          <w:szCs w:val="24"/>
        </w:rPr>
        <w:t xml:space="preserve"> at ¶ 13.)</w:t>
      </w:r>
      <w:proofErr w:type="gramEnd"/>
      <w:r w:rsidR="002150E0" w:rsidRPr="004A7707">
        <w:rPr>
          <w:szCs w:val="24"/>
        </w:rPr>
        <w:t xml:space="preserve">  </w:t>
      </w:r>
    </w:p>
    <w:p w:rsidR="004D00E4" w:rsidRPr="004A7707" w:rsidRDefault="004D00E4" w:rsidP="00D9362C">
      <w:pPr>
        <w:widowControl w:val="0"/>
        <w:spacing w:line="480" w:lineRule="auto"/>
        <w:rPr>
          <w:szCs w:val="24"/>
        </w:rPr>
      </w:pPr>
      <w:r w:rsidRPr="004A7707">
        <w:rPr>
          <w:szCs w:val="24"/>
        </w:rPr>
        <w:tab/>
        <w:t>Second,</w:t>
      </w:r>
      <w:r w:rsidR="00336E8B" w:rsidRPr="004A7707">
        <w:rPr>
          <w:szCs w:val="24"/>
        </w:rPr>
        <w:t xml:space="preserve"> Defendants</w:t>
      </w:r>
      <w:r w:rsidR="00CB3226" w:rsidRPr="004A7707">
        <w:rPr>
          <w:szCs w:val="24"/>
        </w:rPr>
        <w:t xml:space="preserve"> argue</w:t>
      </w:r>
      <w:r w:rsidR="00336E8B" w:rsidRPr="004A7707">
        <w:rPr>
          <w:szCs w:val="24"/>
        </w:rPr>
        <w:t xml:space="preserve"> that Plaintiffs’ </w:t>
      </w:r>
      <w:r w:rsidR="00CB3226" w:rsidRPr="004A7707">
        <w:rPr>
          <w:szCs w:val="24"/>
        </w:rPr>
        <w:t xml:space="preserve">motion for </w:t>
      </w:r>
      <w:r w:rsidR="00336E8B" w:rsidRPr="004A7707">
        <w:rPr>
          <w:szCs w:val="24"/>
        </w:rPr>
        <w:t xml:space="preserve">class certification should be </w:t>
      </w:r>
      <w:r w:rsidR="00CB3226" w:rsidRPr="004A7707">
        <w:rPr>
          <w:szCs w:val="24"/>
        </w:rPr>
        <w:t xml:space="preserve">denied </w:t>
      </w:r>
      <w:r w:rsidR="00332C33" w:rsidRPr="004A7707">
        <w:rPr>
          <w:szCs w:val="24"/>
        </w:rPr>
        <w:t>because</w:t>
      </w:r>
      <w:r w:rsidR="00CB3226" w:rsidRPr="004A7707">
        <w:rPr>
          <w:szCs w:val="24"/>
        </w:rPr>
        <w:t xml:space="preserve"> of a supposed absence of commonality between the claims of the members of the proposed class.</w:t>
      </w:r>
      <w:r w:rsidR="00332C33" w:rsidRPr="004A7707">
        <w:rPr>
          <w:szCs w:val="24"/>
        </w:rPr>
        <w:t xml:space="preserve">  (ECF Nos. 113 &amp; 118)</w:t>
      </w:r>
      <w:r w:rsidR="00CB3226" w:rsidRPr="004A7707">
        <w:rPr>
          <w:szCs w:val="24"/>
        </w:rPr>
        <w:t xml:space="preserve">  This argument </w:t>
      </w:r>
      <w:r w:rsidR="008A43D1" w:rsidRPr="004A7707">
        <w:rPr>
          <w:szCs w:val="24"/>
        </w:rPr>
        <w:t xml:space="preserve">seems </w:t>
      </w:r>
      <w:r w:rsidR="00CB3226" w:rsidRPr="004A7707">
        <w:rPr>
          <w:szCs w:val="24"/>
        </w:rPr>
        <w:t>to be dependent on</w:t>
      </w:r>
      <w:r w:rsidR="00EE34C5" w:rsidRPr="004A7707">
        <w:rPr>
          <w:szCs w:val="24"/>
        </w:rPr>
        <w:t xml:space="preserve"> the Court ruling in their favor regarding</w:t>
      </w:r>
      <w:r w:rsidR="004D1DC8" w:rsidRPr="004A7707">
        <w:rPr>
          <w:szCs w:val="24"/>
        </w:rPr>
        <w:t xml:space="preserve"> mootness.  T</w:t>
      </w:r>
      <w:r w:rsidR="00CB3226" w:rsidRPr="004A7707">
        <w:rPr>
          <w:szCs w:val="24"/>
        </w:rPr>
        <w:t xml:space="preserve">hat is, Defendants </w:t>
      </w:r>
      <w:r w:rsidR="008A43D1" w:rsidRPr="004A7707">
        <w:rPr>
          <w:szCs w:val="24"/>
        </w:rPr>
        <w:t xml:space="preserve">appear to concede that there would be commonality </w:t>
      </w:r>
      <w:r w:rsidR="00390749" w:rsidRPr="004A7707">
        <w:rPr>
          <w:szCs w:val="24"/>
        </w:rPr>
        <w:t xml:space="preserve">(and thus, that class certification would be </w:t>
      </w:r>
      <w:r w:rsidR="00450471" w:rsidRPr="004A7707">
        <w:t>ap</w:t>
      </w:r>
      <w:r w:rsidR="00DF2E32" w:rsidRPr="004A7707">
        <w:t>propriate</w:t>
      </w:r>
      <w:r w:rsidR="00390749" w:rsidRPr="004A7707">
        <w:rPr>
          <w:szCs w:val="24"/>
        </w:rPr>
        <w:t>)</w:t>
      </w:r>
      <w:r w:rsidR="004D1DC8" w:rsidRPr="004A7707">
        <w:rPr>
          <w:szCs w:val="24"/>
        </w:rPr>
        <w:t xml:space="preserve"> </w:t>
      </w:r>
      <w:r w:rsidR="008A43D1" w:rsidRPr="004A7707">
        <w:rPr>
          <w:szCs w:val="24"/>
        </w:rPr>
        <w:t xml:space="preserve">if </w:t>
      </w:r>
      <w:r w:rsidR="004D1DC8" w:rsidRPr="004A7707">
        <w:rPr>
          <w:szCs w:val="24"/>
        </w:rPr>
        <w:t xml:space="preserve">Defendants’ </w:t>
      </w:r>
      <w:r w:rsidR="008A43D1" w:rsidRPr="004A7707">
        <w:rPr>
          <w:szCs w:val="24"/>
        </w:rPr>
        <w:t xml:space="preserve">recent steps toward effectuating policy changes did not moot </w:t>
      </w:r>
      <w:r w:rsidR="00390749" w:rsidRPr="004A7707">
        <w:rPr>
          <w:szCs w:val="24"/>
        </w:rPr>
        <w:t>the issues implicated by those policies</w:t>
      </w:r>
      <w:r w:rsidR="004D1DC8" w:rsidRPr="004A7707">
        <w:rPr>
          <w:szCs w:val="24"/>
        </w:rPr>
        <w:t>, as the acceptability of those policies would then constitute a common issue.</w:t>
      </w:r>
      <w:r w:rsidR="00390749" w:rsidRPr="004A7707">
        <w:rPr>
          <w:szCs w:val="24"/>
        </w:rPr>
        <w:t xml:space="preserve"> </w:t>
      </w:r>
    </w:p>
    <w:p w:rsidR="004D1DC8" w:rsidRPr="004A7707" w:rsidRDefault="004D00E4" w:rsidP="004D1DC8">
      <w:pPr>
        <w:widowControl w:val="0"/>
        <w:spacing w:line="480" w:lineRule="auto"/>
        <w:rPr>
          <w:szCs w:val="24"/>
        </w:rPr>
      </w:pPr>
      <w:r w:rsidRPr="004A7707">
        <w:rPr>
          <w:szCs w:val="24"/>
        </w:rPr>
        <w:tab/>
        <w:t xml:space="preserve">The United States files this statement of interest to </w:t>
      </w:r>
      <w:r w:rsidR="00467CCA" w:rsidRPr="004A7707">
        <w:rPr>
          <w:szCs w:val="24"/>
        </w:rPr>
        <w:t xml:space="preserve">advance its strong interest in ensuring </w:t>
      </w:r>
      <w:r w:rsidR="00DF2E32" w:rsidRPr="004A7707">
        <w:rPr>
          <w:szCs w:val="24"/>
        </w:rPr>
        <w:t xml:space="preserve">uniform enforcement of </w:t>
      </w:r>
      <w:r w:rsidR="00467CCA" w:rsidRPr="004A7707">
        <w:rPr>
          <w:szCs w:val="24"/>
        </w:rPr>
        <w:t xml:space="preserve">the ADA, including in cases in which the United States is not itself a party.  </w:t>
      </w:r>
      <w:r w:rsidR="004D1DC8" w:rsidRPr="004A7707">
        <w:rPr>
          <w:szCs w:val="24"/>
        </w:rPr>
        <w:t>For the reasons noted above and discussed in greater detail below, t</w:t>
      </w:r>
      <w:r w:rsidR="00332C33" w:rsidRPr="004A7707">
        <w:rPr>
          <w:szCs w:val="24"/>
        </w:rPr>
        <w:t>his case is not moot, and the proposed class meets the legal standard for class certification under Rule 23.</w:t>
      </w:r>
    </w:p>
    <w:p w:rsidR="006D633D" w:rsidRPr="004A7707" w:rsidRDefault="00BC4D20" w:rsidP="00827E0A">
      <w:pPr>
        <w:pStyle w:val="Heading1"/>
        <w:keepNext/>
      </w:pPr>
      <w:r w:rsidRPr="004A7707">
        <w:t>ARGUMENT</w:t>
      </w:r>
    </w:p>
    <w:p w:rsidR="004D1DC8" w:rsidRPr="004A7707" w:rsidRDefault="004D1DC8" w:rsidP="00827E0A">
      <w:pPr>
        <w:pStyle w:val="Heading2"/>
        <w:keepNext/>
      </w:pPr>
      <w:r w:rsidRPr="004A7707">
        <w:t>I.</w:t>
      </w:r>
      <w:r w:rsidRPr="004A7707">
        <w:tab/>
        <w:t>Defendants’ Recent Steps to Begin Altering Some of Their Policies Are Insufficient to Moot Plaintiffs’ Claims and Allegations.</w:t>
      </w:r>
    </w:p>
    <w:p w:rsidR="00D35083" w:rsidRPr="004A7707" w:rsidRDefault="009C12D8" w:rsidP="00D35083">
      <w:pPr>
        <w:widowControl w:val="0"/>
        <w:spacing w:line="480" w:lineRule="auto"/>
        <w:rPr>
          <w:szCs w:val="24"/>
        </w:rPr>
      </w:pPr>
      <w:r w:rsidRPr="004A7707">
        <w:rPr>
          <w:szCs w:val="24"/>
        </w:rPr>
        <w:tab/>
        <w:t>Defendants’ motion</w:t>
      </w:r>
      <w:r w:rsidR="00125BA7" w:rsidRPr="004A7707">
        <w:rPr>
          <w:szCs w:val="24"/>
        </w:rPr>
        <w:t>s</w:t>
      </w:r>
      <w:r w:rsidRPr="004A7707">
        <w:rPr>
          <w:szCs w:val="24"/>
        </w:rPr>
        <w:t xml:space="preserve"> to dismiss based on mootness should be denied.  </w:t>
      </w:r>
      <w:r w:rsidR="00AD68C0" w:rsidRPr="004A7707">
        <w:rPr>
          <w:szCs w:val="24"/>
        </w:rPr>
        <w:t>Defendants’ proposed (and still non-finalized) Policy Changes do not moot any of Plaintiffs’ allegations</w:t>
      </w:r>
      <w:r w:rsidR="00D35083" w:rsidRPr="004A7707">
        <w:rPr>
          <w:szCs w:val="24"/>
        </w:rPr>
        <w:t xml:space="preserve"> because, as explained below, the timing and content of the Policy Changes do not support the conclusion that the Policy Changes are necessarily permanent or that the allegedly wrongful actions that Defendants took under preexisting State policies will not recur.  To the contrary, the Policy Changes were proposed so recently and the proposals were so lacking in any articulated rationale that they appear to have been proposed simply as parts of a strategy to deprive this Court of jurisdiction.</w:t>
      </w:r>
    </w:p>
    <w:p w:rsidR="00AD68C0" w:rsidRPr="004A7707" w:rsidRDefault="00D35083" w:rsidP="005F0C49">
      <w:pPr>
        <w:widowControl w:val="0"/>
        <w:spacing w:line="480" w:lineRule="auto"/>
        <w:rPr>
          <w:szCs w:val="24"/>
        </w:rPr>
      </w:pPr>
      <w:r w:rsidRPr="004A7707">
        <w:rPr>
          <w:szCs w:val="24"/>
        </w:rPr>
        <w:tab/>
        <w:t xml:space="preserve">Moreover, even if the proposed Policy Changes were to be found to moot certain of Plaintiffs’ </w:t>
      </w:r>
      <w:r w:rsidRPr="004A7707">
        <w:rPr>
          <w:i/>
          <w:szCs w:val="24"/>
        </w:rPr>
        <w:t>allegations</w:t>
      </w:r>
      <w:r w:rsidRPr="004A7707">
        <w:rPr>
          <w:szCs w:val="24"/>
        </w:rPr>
        <w:t xml:space="preserve"> regarding the relevant State </w:t>
      </w:r>
      <w:proofErr w:type="gramStart"/>
      <w:r w:rsidRPr="004A7707">
        <w:rPr>
          <w:szCs w:val="24"/>
        </w:rPr>
        <w:t>policies, that</w:t>
      </w:r>
      <w:proofErr w:type="gramEnd"/>
      <w:r w:rsidRPr="004A7707">
        <w:rPr>
          <w:szCs w:val="24"/>
        </w:rPr>
        <w:t xml:space="preserve"> still would not be a basis for dismissal, as the Policy Changes do not address the subject matter of all of Plaintiffs’ </w:t>
      </w:r>
      <w:r w:rsidR="009F7C0A" w:rsidRPr="004A7707">
        <w:rPr>
          <w:i/>
          <w:szCs w:val="24"/>
        </w:rPr>
        <w:t>claims</w:t>
      </w:r>
      <w:r w:rsidR="009F7C0A" w:rsidRPr="004A7707">
        <w:rPr>
          <w:szCs w:val="24"/>
        </w:rPr>
        <w:t xml:space="preserve"> (or even all of their class claims).</w:t>
      </w:r>
    </w:p>
    <w:p w:rsidR="001E68A4" w:rsidRPr="004A7707" w:rsidRDefault="00240222">
      <w:pPr>
        <w:pStyle w:val="Heading3"/>
        <w:rPr>
          <w:u w:val="single"/>
        </w:rPr>
      </w:pPr>
      <w:r w:rsidRPr="004A7707">
        <w:t>A.</w:t>
      </w:r>
      <w:r w:rsidRPr="004A7707">
        <w:tab/>
        <w:t>Under the Doctrine of Voluntary Cessation</w:t>
      </w:r>
      <w:r w:rsidR="00CE1A24" w:rsidRPr="004A7707">
        <w:t xml:space="preserve">, </w:t>
      </w:r>
      <w:r w:rsidR="00AD68C0" w:rsidRPr="004A7707">
        <w:t xml:space="preserve">Defendants’ Proposed Policy </w:t>
      </w:r>
      <w:r w:rsidRPr="004A7707">
        <w:rPr>
          <w:u w:val="single"/>
        </w:rPr>
        <w:t xml:space="preserve">Changes Do Not Moot Any of Plaintiffs’ Allegations. </w:t>
      </w:r>
      <w:r w:rsidR="00AD68C0" w:rsidRPr="004A7707">
        <w:rPr>
          <w:u w:val="single"/>
        </w:rPr>
        <w:tab/>
      </w:r>
      <w:r w:rsidR="00AD68C0" w:rsidRPr="004A7707">
        <w:rPr>
          <w:u w:val="single"/>
        </w:rPr>
        <w:tab/>
      </w:r>
      <w:r w:rsidR="00AD68C0" w:rsidRPr="004A7707">
        <w:rPr>
          <w:u w:val="single"/>
        </w:rPr>
        <w:tab/>
      </w:r>
      <w:r w:rsidR="00AD68C0" w:rsidRPr="004A7707">
        <w:rPr>
          <w:u w:val="single"/>
        </w:rPr>
        <w:tab/>
      </w:r>
    </w:p>
    <w:p w:rsidR="00A87FA0" w:rsidRPr="004A7707" w:rsidRDefault="00067663" w:rsidP="00A20B9D">
      <w:pPr>
        <w:widowControl w:val="0"/>
        <w:spacing w:line="480" w:lineRule="auto"/>
        <w:rPr>
          <w:szCs w:val="24"/>
        </w:rPr>
      </w:pPr>
      <w:r w:rsidRPr="004A7707">
        <w:rPr>
          <w:szCs w:val="24"/>
        </w:rPr>
        <w:tab/>
        <w:t xml:space="preserve">As Defendants state (ECF No. 117 at 3), “[a] case becomes moot — and therefore no longer a ‘Case’ or ‘Controversy’ for purposes of Article III — when the issues presented are no longer ‘live’ or the parties lack a legally cognizable interest in the outcome.”  </w:t>
      </w:r>
      <w:proofErr w:type="gramStart"/>
      <w:r w:rsidRPr="004A7707">
        <w:rPr>
          <w:i/>
          <w:szCs w:val="24"/>
        </w:rPr>
        <w:t>Already, LLC v. Nike, Inc.</w:t>
      </w:r>
      <w:r w:rsidRPr="004A7707">
        <w:rPr>
          <w:szCs w:val="24"/>
        </w:rPr>
        <w:t>, 133 S. Ct. 721, 726 (2013).</w:t>
      </w:r>
      <w:proofErr w:type="gramEnd"/>
      <w:r w:rsidRPr="004A7707">
        <w:rPr>
          <w:szCs w:val="24"/>
        </w:rPr>
        <w:t xml:space="preserve">  </w:t>
      </w:r>
      <w:r w:rsidR="00A54538" w:rsidRPr="004A7707">
        <w:rPr>
          <w:szCs w:val="24"/>
        </w:rPr>
        <w:t xml:space="preserve">Defendants </w:t>
      </w:r>
      <w:r w:rsidR="005A7FC4" w:rsidRPr="004A7707">
        <w:rPr>
          <w:szCs w:val="24"/>
        </w:rPr>
        <w:t>acknowledge that under the well-settled doctrine of “voluntary cessation,” a federal defendant cannot manufacture a mootness defense simply by voluntarily ceasing its objectionable conduct once litigation has begun, unless it is “absolutely clear” that the conduct in question cannot reasonably be expected to recur.  (</w:t>
      </w:r>
      <w:r w:rsidR="00870820" w:rsidRPr="004A7707">
        <w:rPr>
          <w:szCs w:val="24"/>
        </w:rPr>
        <w:t>ECF No</w:t>
      </w:r>
      <w:r w:rsidR="00F540BA" w:rsidRPr="004A7707">
        <w:rPr>
          <w:szCs w:val="24"/>
        </w:rPr>
        <w:t>. 117 at 16</w:t>
      </w:r>
      <w:r w:rsidR="005A7FC4" w:rsidRPr="004A7707">
        <w:rPr>
          <w:szCs w:val="24"/>
        </w:rPr>
        <w:t>)</w:t>
      </w:r>
      <w:r w:rsidR="00F540BA" w:rsidRPr="004A7707">
        <w:rPr>
          <w:szCs w:val="24"/>
        </w:rPr>
        <w:t xml:space="preserve">; </w:t>
      </w:r>
      <w:r w:rsidR="00F540BA" w:rsidRPr="004A7707">
        <w:rPr>
          <w:i/>
          <w:szCs w:val="24"/>
        </w:rPr>
        <w:t>s</w:t>
      </w:r>
      <w:r w:rsidR="00A73062" w:rsidRPr="004A7707">
        <w:rPr>
          <w:i/>
          <w:szCs w:val="24"/>
        </w:rPr>
        <w:t>ee also</w:t>
      </w:r>
      <w:r w:rsidR="00A73062" w:rsidRPr="004A7707">
        <w:rPr>
          <w:szCs w:val="24"/>
        </w:rPr>
        <w:t xml:space="preserve"> </w:t>
      </w:r>
      <w:r w:rsidR="00A73062" w:rsidRPr="004A7707">
        <w:rPr>
          <w:i/>
          <w:szCs w:val="24"/>
        </w:rPr>
        <w:t>Already</w:t>
      </w:r>
      <w:r w:rsidR="00A73062" w:rsidRPr="004A7707">
        <w:rPr>
          <w:szCs w:val="24"/>
        </w:rPr>
        <w:t>, 133 S.Ct. at 727.</w:t>
      </w:r>
      <w:r w:rsidR="005A7FC4" w:rsidRPr="004A7707">
        <w:rPr>
          <w:szCs w:val="24"/>
        </w:rPr>
        <w:t xml:space="preserve">  Nevertheless, Defendants </w:t>
      </w:r>
      <w:r w:rsidR="00D77E69" w:rsidRPr="004A7707">
        <w:rPr>
          <w:szCs w:val="24"/>
        </w:rPr>
        <w:t xml:space="preserve">contend that because they are </w:t>
      </w:r>
      <w:r w:rsidR="005A7FC4" w:rsidRPr="004A7707">
        <w:rPr>
          <w:szCs w:val="24"/>
        </w:rPr>
        <w:t xml:space="preserve">government </w:t>
      </w:r>
      <w:r w:rsidR="00D77E69" w:rsidRPr="004A7707">
        <w:rPr>
          <w:szCs w:val="24"/>
        </w:rPr>
        <w:t>actors</w:t>
      </w:r>
      <w:r w:rsidR="005A7FC4" w:rsidRPr="004A7707">
        <w:rPr>
          <w:szCs w:val="24"/>
        </w:rPr>
        <w:t xml:space="preserve">, they are entitled to a presumption that they will not resume such voluntarily ceased conduct.  Thus, Defendants say, </w:t>
      </w:r>
      <w:r w:rsidR="00A54538" w:rsidRPr="004A7707">
        <w:rPr>
          <w:szCs w:val="24"/>
        </w:rPr>
        <w:t xml:space="preserve">their in-progress Policy Changes moot </w:t>
      </w:r>
      <w:r w:rsidR="005A7FC4" w:rsidRPr="004A7707">
        <w:rPr>
          <w:szCs w:val="24"/>
        </w:rPr>
        <w:t xml:space="preserve">any of </w:t>
      </w:r>
      <w:r w:rsidR="00A54538" w:rsidRPr="004A7707">
        <w:rPr>
          <w:szCs w:val="24"/>
        </w:rPr>
        <w:t xml:space="preserve">Plaintiffs’ allegations </w:t>
      </w:r>
      <w:r w:rsidR="005A7FC4" w:rsidRPr="004A7707">
        <w:rPr>
          <w:szCs w:val="24"/>
        </w:rPr>
        <w:t xml:space="preserve">relating to </w:t>
      </w:r>
      <w:r w:rsidR="00A54538" w:rsidRPr="004A7707">
        <w:rPr>
          <w:szCs w:val="24"/>
        </w:rPr>
        <w:t xml:space="preserve">the policies in question, </w:t>
      </w:r>
      <w:r w:rsidR="005A7FC4" w:rsidRPr="004A7707">
        <w:rPr>
          <w:szCs w:val="24"/>
        </w:rPr>
        <w:t xml:space="preserve">notwithstanding the fact that those Policy Changes were first put into motion only </w:t>
      </w:r>
      <w:r w:rsidR="00A9629D" w:rsidRPr="004A7707">
        <w:rPr>
          <w:szCs w:val="24"/>
        </w:rPr>
        <w:t>several</w:t>
      </w:r>
      <w:r w:rsidR="006D15C6" w:rsidRPr="004A7707">
        <w:rPr>
          <w:szCs w:val="24"/>
        </w:rPr>
        <w:t xml:space="preserve"> months</w:t>
      </w:r>
      <w:r w:rsidR="005A7FC4" w:rsidRPr="004A7707">
        <w:rPr>
          <w:szCs w:val="24"/>
        </w:rPr>
        <w:t xml:space="preserve"> ago.</w:t>
      </w:r>
      <w:r w:rsidR="009F3E0A" w:rsidRPr="004A7707">
        <w:rPr>
          <w:rStyle w:val="FootnoteReference"/>
          <w:szCs w:val="24"/>
        </w:rPr>
        <w:footnoteReference w:id="7"/>
      </w:r>
    </w:p>
    <w:p w:rsidR="00A87FA0" w:rsidRPr="004A7707" w:rsidRDefault="00A87FA0" w:rsidP="004D1DC8">
      <w:pPr>
        <w:widowControl w:val="0"/>
        <w:spacing w:line="480" w:lineRule="auto"/>
        <w:rPr>
          <w:szCs w:val="24"/>
        </w:rPr>
      </w:pPr>
      <w:r w:rsidRPr="004A7707">
        <w:rPr>
          <w:szCs w:val="24"/>
        </w:rPr>
        <w:tab/>
      </w:r>
      <w:r w:rsidR="00D77E69" w:rsidRPr="004A7707">
        <w:rPr>
          <w:szCs w:val="24"/>
        </w:rPr>
        <w:t xml:space="preserve">In support of this legal position, Defendants </w:t>
      </w:r>
      <w:r w:rsidR="001A4CE6" w:rsidRPr="004A7707">
        <w:rPr>
          <w:szCs w:val="24"/>
        </w:rPr>
        <w:t xml:space="preserve">rely on </w:t>
      </w:r>
      <w:r w:rsidR="00D77E69" w:rsidRPr="004A7707">
        <w:rPr>
          <w:szCs w:val="24"/>
        </w:rPr>
        <w:t xml:space="preserve">Eleventh Circuit precedents suggesting that government actors may be subject to a rebuttable presumption that they will not resume objectionable behavior that they have ceased voluntarily.  </w:t>
      </w:r>
      <w:r w:rsidR="009F25D4" w:rsidRPr="004A7707">
        <w:rPr>
          <w:i/>
        </w:rPr>
        <w:t>See</w:t>
      </w:r>
      <w:r w:rsidR="009F25D4" w:rsidRPr="004A7707">
        <w:t xml:space="preserve"> </w:t>
      </w:r>
      <w:r w:rsidR="009F25D4" w:rsidRPr="004A7707">
        <w:rPr>
          <w:i/>
        </w:rPr>
        <w:t>Nat’l Advertising Co. v. City of Miami</w:t>
      </w:r>
      <w:r w:rsidR="009F25D4" w:rsidRPr="004A7707">
        <w:t xml:space="preserve">, 402 F.3d 1329, 1333 (11th Cir. 2005); </w:t>
      </w:r>
      <w:r w:rsidR="009F25D4" w:rsidRPr="004A7707">
        <w:rPr>
          <w:i/>
        </w:rPr>
        <w:t>Troiano v. Supervisor of Elections</w:t>
      </w:r>
      <w:r w:rsidR="009F25D4" w:rsidRPr="004A7707">
        <w:t xml:space="preserve">, 382 F.3d 1276, 1283 (11th Cir. 2004).  </w:t>
      </w:r>
      <w:r w:rsidR="00D77E69" w:rsidRPr="004A7707">
        <w:rPr>
          <w:szCs w:val="24"/>
        </w:rPr>
        <w:t xml:space="preserve">However, Defendants fail to acknowledge </w:t>
      </w:r>
      <w:r w:rsidR="007D4085" w:rsidRPr="004A7707">
        <w:rPr>
          <w:szCs w:val="24"/>
        </w:rPr>
        <w:t>more</w:t>
      </w:r>
      <w:r w:rsidR="00D77E69" w:rsidRPr="004A7707">
        <w:rPr>
          <w:szCs w:val="24"/>
        </w:rPr>
        <w:t xml:space="preserve"> recent Eleventh Circuit precedent on this topic, which explains how that presumption can be rebutted, and indeed indicates that under the circumstances of this case, </w:t>
      </w:r>
      <w:r w:rsidR="007F284F" w:rsidRPr="004A7707">
        <w:rPr>
          <w:szCs w:val="24"/>
        </w:rPr>
        <w:t>it</w:t>
      </w:r>
      <w:r w:rsidR="00D77E69" w:rsidRPr="004A7707">
        <w:rPr>
          <w:szCs w:val="24"/>
        </w:rPr>
        <w:t xml:space="preserve"> </w:t>
      </w:r>
      <w:r w:rsidR="00397527" w:rsidRPr="004A7707">
        <w:rPr>
          <w:szCs w:val="24"/>
        </w:rPr>
        <w:t>has</w:t>
      </w:r>
      <w:r w:rsidR="00D77E69" w:rsidRPr="004A7707">
        <w:rPr>
          <w:szCs w:val="24"/>
        </w:rPr>
        <w:t xml:space="preserve"> been rebutted.  </w:t>
      </w:r>
      <w:r w:rsidR="00D77E69" w:rsidRPr="004A7707">
        <w:rPr>
          <w:i/>
          <w:szCs w:val="24"/>
        </w:rPr>
        <w:t>See</w:t>
      </w:r>
      <w:r w:rsidR="00D77E69" w:rsidRPr="004A7707">
        <w:rPr>
          <w:szCs w:val="24"/>
        </w:rPr>
        <w:t xml:space="preserve"> </w:t>
      </w:r>
      <w:r w:rsidR="00D77E69" w:rsidRPr="004A7707">
        <w:rPr>
          <w:i/>
          <w:szCs w:val="24"/>
        </w:rPr>
        <w:t>Harrell v. Fla. Bar</w:t>
      </w:r>
      <w:r w:rsidR="00D77E69" w:rsidRPr="004A7707">
        <w:rPr>
          <w:szCs w:val="24"/>
        </w:rPr>
        <w:t>, 608 F.3d 1241 (11th Cir. 2010)</w:t>
      </w:r>
      <w:r w:rsidR="007D4085" w:rsidRPr="004A7707">
        <w:rPr>
          <w:szCs w:val="24"/>
        </w:rPr>
        <w:t xml:space="preserve">; </w:t>
      </w:r>
      <w:r w:rsidR="007D4085" w:rsidRPr="004A7707">
        <w:rPr>
          <w:i/>
          <w:szCs w:val="24"/>
        </w:rPr>
        <w:t xml:space="preserve">Nat’l Ass’n of </w:t>
      </w:r>
      <w:r w:rsidR="005870D6" w:rsidRPr="004A7707">
        <w:rPr>
          <w:i/>
          <w:szCs w:val="24"/>
        </w:rPr>
        <w:t>Bds.</w:t>
      </w:r>
      <w:r w:rsidR="007D4085" w:rsidRPr="004A7707">
        <w:rPr>
          <w:i/>
          <w:szCs w:val="24"/>
        </w:rPr>
        <w:t xml:space="preserve"> of Pharmacy v. </w:t>
      </w:r>
      <w:r w:rsidR="005870D6" w:rsidRPr="004A7707">
        <w:rPr>
          <w:i/>
          <w:szCs w:val="24"/>
        </w:rPr>
        <w:t>Bd.</w:t>
      </w:r>
      <w:r w:rsidR="007D4085" w:rsidRPr="004A7707">
        <w:rPr>
          <w:i/>
          <w:szCs w:val="24"/>
        </w:rPr>
        <w:t xml:space="preserve"> of Regents</w:t>
      </w:r>
      <w:r w:rsidR="00EF700E" w:rsidRPr="004A7707">
        <w:rPr>
          <w:szCs w:val="24"/>
        </w:rPr>
        <w:t xml:space="preserve"> (“</w:t>
      </w:r>
      <w:r w:rsidR="00EF700E" w:rsidRPr="004A7707">
        <w:rPr>
          <w:i/>
          <w:szCs w:val="24"/>
        </w:rPr>
        <w:t>NABP</w:t>
      </w:r>
      <w:r w:rsidR="00EF700E" w:rsidRPr="004A7707">
        <w:rPr>
          <w:szCs w:val="24"/>
        </w:rPr>
        <w:t>”)</w:t>
      </w:r>
      <w:r w:rsidR="007D4085" w:rsidRPr="004A7707">
        <w:rPr>
          <w:szCs w:val="24"/>
        </w:rPr>
        <w:t>, 633 F.3d 1297, 1310</w:t>
      </w:r>
      <w:r w:rsidR="007D4085" w:rsidRPr="004A7707">
        <w:rPr>
          <w:i/>
          <w:szCs w:val="24"/>
        </w:rPr>
        <w:t xml:space="preserve"> </w:t>
      </w:r>
      <w:r w:rsidR="007D4085" w:rsidRPr="004A7707">
        <w:rPr>
          <w:szCs w:val="24"/>
        </w:rPr>
        <w:t>(11th Cir. 2011)</w:t>
      </w:r>
      <w:r w:rsidR="00D77E69" w:rsidRPr="004A7707">
        <w:rPr>
          <w:szCs w:val="24"/>
        </w:rPr>
        <w:t xml:space="preserve">.  In </w:t>
      </w:r>
      <w:r w:rsidR="00D77E69" w:rsidRPr="004A7707">
        <w:rPr>
          <w:i/>
          <w:szCs w:val="24"/>
        </w:rPr>
        <w:t>Harrell</w:t>
      </w:r>
      <w:r w:rsidR="00D77E69" w:rsidRPr="004A7707">
        <w:rPr>
          <w:szCs w:val="24"/>
        </w:rPr>
        <w:t>,</w:t>
      </w:r>
      <w:r w:rsidR="007D4085" w:rsidRPr="004A7707">
        <w:rPr>
          <w:szCs w:val="24"/>
        </w:rPr>
        <w:t xml:space="preserve"> for example,</w:t>
      </w:r>
      <w:r w:rsidR="00D77E69" w:rsidRPr="004A7707">
        <w:rPr>
          <w:szCs w:val="24"/>
        </w:rPr>
        <w:t xml:space="preserve"> the </w:t>
      </w:r>
      <w:r w:rsidR="00E101B2" w:rsidRPr="004A7707">
        <w:rPr>
          <w:szCs w:val="24"/>
        </w:rPr>
        <w:t xml:space="preserve">standing committee of the </w:t>
      </w:r>
      <w:r w:rsidR="00D77E69" w:rsidRPr="004A7707">
        <w:rPr>
          <w:szCs w:val="24"/>
        </w:rPr>
        <w:t xml:space="preserve">State Bar (a government entity) </w:t>
      </w:r>
      <w:r w:rsidR="00E101B2" w:rsidRPr="004A7707">
        <w:rPr>
          <w:szCs w:val="24"/>
        </w:rPr>
        <w:t xml:space="preserve">prohibited </w:t>
      </w:r>
      <w:r w:rsidR="00D77E69" w:rsidRPr="004A7707">
        <w:rPr>
          <w:szCs w:val="24"/>
        </w:rPr>
        <w:t xml:space="preserve">an attorney </w:t>
      </w:r>
      <w:r w:rsidR="00E101B2" w:rsidRPr="004A7707">
        <w:rPr>
          <w:szCs w:val="24"/>
        </w:rPr>
        <w:t xml:space="preserve">from running a certain television advertisement, on the basis that the advertisement impermissibly created “unjustified expectations about results the lawyer [could] achieve” in violation of the Bar’s rules of professional conduct.  </w:t>
      </w:r>
      <w:proofErr w:type="gramStart"/>
      <w:r w:rsidR="00D6153E" w:rsidRPr="004A7707">
        <w:rPr>
          <w:szCs w:val="24"/>
        </w:rPr>
        <w:t xml:space="preserve">608 F.3d </w:t>
      </w:r>
      <w:r w:rsidR="00E101B2" w:rsidRPr="004A7707">
        <w:rPr>
          <w:szCs w:val="24"/>
        </w:rPr>
        <w:t>at 1249.</w:t>
      </w:r>
      <w:proofErr w:type="gramEnd"/>
      <w:r w:rsidR="00E101B2" w:rsidRPr="004A7707">
        <w:rPr>
          <w:szCs w:val="24"/>
        </w:rPr>
        <w:t xml:space="preserve">  The attorney filed a federal action, claiming</w:t>
      </w:r>
      <w:r w:rsidR="00307265" w:rsidRPr="004A7707">
        <w:rPr>
          <w:szCs w:val="24"/>
        </w:rPr>
        <w:t xml:space="preserve">, </w:t>
      </w:r>
      <w:r w:rsidR="00307265" w:rsidRPr="004A7707">
        <w:rPr>
          <w:i/>
          <w:szCs w:val="24"/>
        </w:rPr>
        <w:t>inter alia</w:t>
      </w:r>
      <w:r w:rsidR="00307265" w:rsidRPr="004A7707">
        <w:rPr>
          <w:szCs w:val="24"/>
        </w:rPr>
        <w:t xml:space="preserve">, </w:t>
      </w:r>
      <w:r w:rsidR="00E101B2" w:rsidRPr="004A7707">
        <w:rPr>
          <w:szCs w:val="24"/>
        </w:rPr>
        <w:t>that the Bar’s action violated his First Amendment rights</w:t>
      </w:r>
      <w:r w:rsidR="00307265" w:rsidRPr="004A7707">
        <w:rPr>
          <w:szCs w:val="24"/>
        </w:rPr>
        <w:t xml:space="preserve"> by prohibiting the advertisement</w:t>
      </w:r>
      <w:r w:rsidR="00E101B2" w:rsidRPr="004A7707">
        <w:rPr>
          <w:szCs w:val="24"/>
        </w:rPr>
        <w:t xml:space="preserve">. </w:t>
      </w:r>
      <w:r w:rsidR="00006CCF" w:rsidRPr="004A7707">
        <w:rPr>
          <w:szCs w:val="24"/>
        </w:rPr>
        <w:t xml:space="preserve"> </w:t>
      </w:r>
      <w:r w:rsidR="00006CCF" w:rsidRPr="004A7707">
        <w:rPr>
          <w:i/>
          <w:szCs w:val="24"/>
        </w:rPr>
        <w:t>Id</w:t>
      </w:r>
      <w:r w:rsidR="00006CCF" w:rsidRPr="004A7707">
        <w:rPr>
          <w:szCs w:val="24"/>
        </w:rPr>
        <w:t>.</w:t>
      </w:r>
      <w:r w:rsidR="00E101B2" w:rsidRPr="004A7707">
        <w:rPr>
          <w:szCs w:val="24"/>
        </w:rPr>
        <w:t xml:space="preserve"> The Bar subsequently wrote to the attorney, informing him that its board of governors had taken up the matter of his advertisement and had reversed the standing committee’s decision.</w:t>
      </w:r>
      <w:r w:rsidR="00307265" w:rsidRPr="004A7707">
        <w:rPr>
          <w:szCs w:val="24"/>
        </w:rPr>
        <w:t xml:space="preserve">  </w:t>
      </w:r>
      <w:r w:rsidR="00307265" w:rsidRPr="004A7707">
        <w:rPr>
          <w:i/>
          <w:szCs w:val="24"/>
        </w:rPr>
        <w:t>See</w:t>
      </w:r>
      <w:r w:rsidR="00307265" w:rsidRPr="004A7707">
        <w:rPr>
          <w:szCs w:val="24"/>
        </w:rPr>
        <w:t xml:space="preserve"> </w:t>
      </w:r>
      <w:r w:rsidR="00307265" w:rsidRPr="004A7707">
        <w:rPr>
          <w:i/>
          <w:szCs w:val="24"/>
        </w:rPr>
        <w:t>id.</w:t>
      </w:r>
      <w:r w:rsidR="00307265" w:rsidRPr="004A7707">
        <w:rPr>
          <w:szCs w:val="24"/>
        </w:rPr>
        <w:t xml:space="preserve"> </w:t>
      </w:r>
      <w:proofErr w:type="gramStart"/>
      <w:r w:rsidR="00307265" w:rsidRPr="004A7707">
        <w:rPr>
          <w:szCs w:val="24"/>
        </w:rPr>
        <w:t>at</w:t>
      </w:r>
      <w:proofErr w:type="gramEnd"/>
      <w:r w:rsidR="00307265" w:rsidRPr="004A7707">
        <w:rPr>
          <w:szCs w:val="24"/>
        </w:rPr>
        <w:t xml:space="preserve"> 1252.</w:t>
      </w:r>
      <w:r w:rsidR="00E101B2" w:rsidRPr="004A7707">
        <w:rPr>
          <w:szCs w:val="24"/>
        </w:rPr>
        <w:t xml:space="preserve">  </w:t>
      </w:r>
      <w:r w:rsidR="00006CCF" w:rsidRPr="004A7707">
        <w:rPr>
          <w:szCs w:val="24"/>
        </w:rPr>
        <w:t xml:space="preserve">On cross-motions for summary judgment the district court held, </w:t>
      </w:r>
      <w:r w:rsidR="00006CCF" w:rsidRPr="004A7707">
        <w:rPr>
          <w:i/>
          <w:szCs w:val="24"/>
        </w:rPr>
        <w:t>inter alia</w:t>
      </w:r>
      <w:r w:rsidR="00006CCF" w:rsidRPr="004A7707">
        <w:rPr>
          <w:szCs w:val="24"/>
        </w:rPr>
        <w:t>, that</w:t>
      </w:r>
      <w:r w:rsidR="00E101B2" w:rsidRPr="004A7707">
        <w:rPr>
          <w:szCs w:val="24"/>
        </w:rPr>
        <w:t xml:space="preserve"> the </w:t>
      </w:r>
      <w:proofErr w:type="spellStart"/>
      <w:r w:rsidR="00E101B2" w:rsidRPr="004A7707">
        <w:rPr>
          <w:szCs w:val="24"/>
        </w:rPr>
        <w:t>attorney’s</w:t>
      </w:r>
      <w:proofErr w:type="spellEnd"/>
      <w:r w:rsidR="00E101B2" w:rsidRPr="004A7707">
        <w:rPr>
          <w:szCs w:val="24"/>
        </w:rPr>
        <w:t xml:space="preserve"> claim </w:t>
      </w:r>
      <w:r w:rsidR="00006CCF" w:rsidRPr="004A7707">
        <w:rPr>
          <w:szCs w:val="24"/>
        </w:rPr>
        <w:t xml:space="preserve">was moot.  </w:t>
      </w:r>
      <w:r w:rsidR="00006CCF" w:rsidRPr="004A7707">
        <w:rPr>
          <w:i/>
          <w:szCs w:val="24"/>
        </w:rPr>
        <w:t>See id</w:t>
      </w:r>
      <w:r w:rsidR="00006CCF" w:rsidRPr="004A7707">
        <w:rPr>
          <w:szCs w:val="24"/>
        </w:rPr>
        <w:t xml:space="preserve">. </w:t>
      </w:r>
      <w:proofErr w:type="gramStart"/>
      <w:r w:rsidR="00006CCF" w:rsidRPr="004A7707">
        <w:rPr>
          <w:szCs w:val="24"/>
        </w:rPr>
        <w:t>at</w:t>
      </w:r>
      <w:proofErr w:type="gramEnd"/>
      <w:r w:rsidR="00006CCF" w:rsidRPr="004A7707">
        <w:rPr>
          <w:szCs w:val="24"/>
        </w:rPr>
        <w:t xml:space="preserve"> 1253.  </w:t>
      </w:r>
    </w:p>
    <w:p w:rsidR="00A87FA0" w:rsidRPr="004A7707" w:rsidRDefault="00307265" w:rsidP="004D1DC8">
      <w:pPr>
        <w:widowControl w:val="0"/>
        <w:spacing w:line="480" w:lineRule="auto"/>
        <w:rPr>
          <w:i/>
          <w:szCs w:val="24"/>
        </w:rPr>
      </w:pPr>
      <w:r w:rsidRPr="004A7707">
        <w:rPr>
          <w:szCs w:val="24"/>
        </w:rPr>
        <w:tab/>
        <w:t xml:space="preserve">On appeal, the Eleventh Circuit reversed this portion of the district court’s decision, holding that the “rebuttable presumption in favor of governmental actors” that it had previously recognized in </w:t>
      </w:r>
      <w:r w:rsidRPr="004A7707">
        <w:rPr>
          <w:i/>
          <w:szCs w:val="24"/>
        </w:rPr>
        <w:t>Troiano</w:t>
      </w:r>
      <w:r w:rsidRPr="004A7707">
        <w:rPr>
          <w:szCs w:val="24"/>
        </w:rPr>
        <w:t xml:space="preserve"> had, in fact, been rebutted.  </w:t>
      </w:r>
      <w:proofErr w:type="gramStart"/>
      <w:r w:rsidRPr="004A7707">
        <w:rPr>
          <w:i/>
          <w:szCs w:val="24"/>
        </w:rPr>
        <w:t>Id.</w:t>
      </w:r>
      <w:r w:rsidRPr="004A7707">
        <w:rPr>
          <w:szCs w:val="24"/>
        </w:rPr>
        <w:t xml:space="preserve"> at 1266.</w:t>
      </w:r>
      <w:proofErr w:type="gramEnd"/>
      <w:r w:rsidRPr="004A7707">
        <w:rPr>
          <w:szCs w:val="24"/>
        </w:rPr>
        <w:t xml:space="preserve">  The Eleventh Circuit explained that </w:t>
      </w:r>
      <w:r w:rsidR="00563D8B" w:rsidRPr="004A7707">
        <w:rPr>
          <w:szCs w:val="24"/>
        </w:rPr>
        <w:t xml:space="preserve">the </w:t>
      </w:r>
      <w:r w:rsidR="00563D8B" w:rsidRPr="004A7707">
        <w:rPr>
          <w:i/>
          <w:szCs w:val="24"/>
        </w:rPr>
        <w:t>Troiano</w:t>
      </w:r>
      <w:r w:rsidR="00563D8B" w:rsidRPr="004A7707">
        <w:rPr>
          <w:szCs w:val="24"/>
        </w:rPr>
        <w:t xml:space="preserve"> presumption only applies when the governmental policy in question “has been </w:t>
      </w:r>
      <w:r w:rsidR="00563D8B" w:rsidRPr="004A7707">
        <w:rPr>
          <w:i/>
          <w:szCs w:val="24"/>
        </w:rPr>
        <w:t>unambiguously terminated</w:t>
      </w:r>
      <w:r w:rsidR="00563D8B" w:rsidRPr="004A7707">
        <w:rPr>
          <w:szCs w:val="24"/>
        </w:rPr>
        <w:t xml:space="preserve">,” </w:t>
      </w:r>
      <w:r w:rsidR="00563D8B" w:rsidRPr="004A7707">
        <w:rPr>
          <w:i/>
          <w:szCs w:val="24"/>
        </w:rPr>
        <w:t>id.</w:t>
      </w:r>
      <w:r w:rsidR="00563D8B" w:rsidRPr="004A7707">
        <w:rPr>
          <w:szCs w:val="24"/>
        </w:rPr>
        <w:t xml:space="preserve"> (emphasis in original); and that “[c]onversely, where the circumstances surrounding the cessation suggest that the defendant is attempting to manipulate the court’s jurisdiction to insulate a favorable decision from review, courts will not deem a controversy moot,” </w:t>
      </w:r>
      <w:r w:rsidR="00563D8B" w:rsidRPr="004A7707">
        <w:rPr>
          <w:i/>
          <w:szCs w:val="24"/>
        </w:rPr>
        <w:t>id.</w:t>
      </w:r>
      <w:r w:rsidR="00563D8B" w:rsidRPr="004A7707">
        <w:rPr>
          <w:szCs w:val="24"/>
        </w:rPr>
        <w:t xml:space="preserve"> (</w:t>
      </w:r>
      <w:proofErr w:type="gramStart"/>
      <w:r w:rsidR="00563D8B" w:rsidRPr="004A7707">
        <w:rPr>
          <w:szCs w:val="24"/>
        </w:rPr>
        <w:t>citation</w:t>
      </w:r>
      <w:proofErr w:type="gramEnd"/>
      <w:r w:rsidR="00563D8B" w:rsidRPr="004A7707">
        <w:rPr>
          <w:szCs w:val="24"/>
        </w:rPr>
        <w:t xml:space="preserve">, quotation marks, and alteration marks omitted).  The Eleventh Circuit further explained that the “‘timing and content’ of a voluntary decision to cease a challenged activity are critical in determining the motive for the cessation and therefore ‘whether there is [any] reasonable expectation . . . that the alleged violation will recur.’”  </w:t>
      </w:r>
      <w:r w:rsidR="00563D8B" w:rsidRPr="004A7707">
        <w:rPr>
          <w:i/>
          <w:szCs w:val="24"/>
        </w:rPr>
        <w:t>Id.</w:t>
      </w:r>
      <w:r w:rsidR="00563D8B" w:rsidRPr="004A7707">
        <w:rPr>
          <w:szCs w:val="24"/>
        </w:rPr>
        <w:t xml:space="preserve"> (quoting </w:t>
      </w:r>
      <w:r w:rsidR="00563D8B" w:rsidRPr="004A7707">
        <w:rPr>
          <w:i/>
          <w:szCs w:val="24"/>
        </w:rPr>
        <w:t>Burns v. Pa. Dep’t of Corr.</w:t>
      </w:r>
      <w:r w:rsidR="00563D8B" w:rsidRPr="004A7707">
        <w:rPr>
          <w:szCs w:val="24"/>
        </w:rPr>
        <w:t xml:space="preserve">, 544 F.3d 279, 284 (3d Cir. 2008)).  “As for timing . . . cessation that occurs late in the game </w:t>
      </w:r>
      <w:r w:rsidR="00A86A08" w:rsidRPr="004A7707">
        <w:rPr>
          <w:szCs w:val="24"/>
        </w:rPr>
        <w:t xml:space="preserve">will make a court more skeptical of voluntary changes that have been made.”  </w:t>
      </w:r>
      <w:proofErr w:type="gramStart"/>
      <w:r w:rsidR="00006CCF" w:rsidRPr="004A7707">
        <w:rPr>
          <w:i/>
          <w:szCs w:val="24"/>
        </w:rPr>
        <w:t>Harrell</w:t>
      </w:r>
      <w:r w:rsidR="00006CCF" w:rsidRPr="004A7707">
        <w:rPr>
          <w:szCs w:val="24"/>
        </w:rPr>
        <w:t>, 608 F. 3d at 1266</w:t>
      </w:r>
      <w:r w:rsidR="00A86A08" w:rsidRPr="004A7707">
        <w:rPr>
          <w:i/>
          <w:szCs w:val="24"/>
        </w:rPr>
        <w:t>.</w:t>
      </w:r>
      <w:proofErr w:type="gramEnd"/>
      <w:r w:rsidR="00A86A08" w:rsidRPr="004A7707">
        <w:rPr>
          <w:szCs w:val="24"/>
        </w:rPr>
        <w:t xml:space="preserve"> (</w:t>
      </w:r>
      <w:proofErr w:type="gramStart"/>
      <w:r w:rsidR="00A86A08" w:rsidRPr="004A7707">
        <w:rPr>
          <w:szCs w:val="24"/>
        </w:rPr>
        <w:t>quotation</w:t>
      </w:r>
      <w:proofErr w:type="gramEnd"/>
      <w:r w:rsidR="00A86A08" w:rsidRPr="004A7707">
        <w:rPr>
          <w:szCs w:val="24"/>
        </w:rPr>
        <w:t xml:space="preserve"> marks omitted).</w:t>
      </w:r>
      <w:r w:rsidR="00563D8B" w:rsidRPr="004A7707">
        <w:rPr>
          <w:szCs w:val="24"/>
        </w:rPr>
        <w:t xml:space="preserve"> </w:t>
      </w:r>
      <w:r w:rsidR="00A86A08" w:rsidRPr="004A7707">
        <w:rPr>
          <w:szCs w:val="24"/>
        </w:rPr>
        <w:t xml:space="preserve"> </w:t>
      </w:r>
      <w:proofErr w:type="gramStart"/>
      <w:r w:rsidR="00A86A08" w:rsidRPr="004A7707">
        <w:rPr>
          <w:szCs w:val="24"/>
        </w:rPr>
        <w:t xml:space="preserve">“With respect to content, </w:t>
      </w:r>
      <w:r w:rsidR="006717CA" w:rsidRPr="004A7707">
        <w:rPr>
          <w:szCs w:val="24"/>
        </w:rPr>
        <w:t xml:space="preserve">[the court] </w:t>
      </w:r>
      <w:r w:rsidR="00A86A08" w:rsidRPr="004A7707">
        <w:rPr>
          <w:szCs w:val="24"/>
        </w:rPr>
        <w:t>look</w:t>
      </w:r>
      <w:r w:rsidR="006717CA" w:rsidRPr="004A7707">
        <w:rPr>
          <w:szCs w:val="24"/>
        </w:rPr>
        <w:t>[s]</w:t>
      </w:r>
      <w:r w:rsidR="00A86A08" w:rsidRPr="004A7707">
        <w:rPr>
          <w:szCs w:val="24"/>
        </w:rPr>
        <w:t xml:space="preserve"> for a well-reasoned justification for the cessation as evidence that the ceasing party intends to hold steady in its revised (and presumably unobjectionable) course.”</w:t>
      </w:r>
      <w:proofErr w:type="gramEnd"/>
      <w:r w:rsidR="00A86A08" w:rsidRPr="004A7707">
        <w:rPr>
          <w:szCs w:val="24"/>
        </w:rPr>
        <w:t xml:space="preserve">  </w:t>
      </w:r>
      <w:r w:rsidR="00A86A08" w:rsidRPr="004A7707">
        <w:rPr>
          <w:i/>
          <w:szCs w:val="24"/>
        </w:rPr>
        <w:t>Id.</w:t>
      </w:r>
    </w:p>
    <w:p w:rsidR="00A86A08" w:rsidRPr="004A7707" w:rsidRDefault="00563D8B" w:rsidP="004D1DC8">
      <w:pPr>
        <w:widowControl w:val="0"/>
        <w:spacing w:line="480" w:lineRule="auto"/>
        <w:rPr>
          <w:szCs w:val="24"/>
        </w:rPr>
      </w:pPr>
      <w:r w:rsidRPr="004A7707">
        <w:rPr>
          <w:szCs w:val="24"/>
        </w:rPr>
        <w:tab/>
        <w:t>Applying those principles to the case before it, the Eleventh Circuit found that the Bar’s voluntary cessation did not allow it to raise a valid mootness defense</w:t>
      </w:r>
      <w:r w:rsidR="00A86A08" w:rsidRPr="004A7707">
        <w:rPr>
          <w:szCs w:val="24"/>
        </w:rPr>
        <w:t xml:space="preserve">.  The “timing” of the Bar’s cessation was suspect, because, </w:t>
      </w:r>
      <w:r w:rsidR="00A86A08" w:rsidRPr="004A7707">
        <w:rPr>
          <w:i/>
          <w:szCs w:val="24"/>
        </w:rPr>
        <w:t>inter alia</w:t>
      </w:r>
      <w:r w:rsidR="00A86A08" w:rsidRPr="004A7707">
        <w:rPr>
          <w:szCs w:val="24"/>
        </w:rPr>
        <w:t xml:space="preserve">, the Bar’s board of directors “took up the matter of [the attorney’s] advertisement only at the urging of the Bar’s counsel after this litigation had commenced . . . .”  </w:t>
      </w:r>
      <w:proofErr w:type="gramStart"/>
      <w:r w:rsidR="00A86A08" w:rsidRPr="004A7707">
        <w:rPr>
          <w:i/>
          <w:szCs w:val="24"/>
        </w:rPr>
        <w:t>Id.</w:t>
      </w:r>
      <w:r w:rsidR="00A86A08" w:rsidRPr="004A7707">
        <w:rPr>
          <w:szCs w:val="24"/>
        </w:rPr>
        <w:t xml:space="preserve"> at 1267.</w:t>
      </w:r>
      <w:proofErr w:type="gramEnd"/>
      <w:r w:rsidR="00A86A08" w:rsidRPr="004A7707">
        <w:rPr>
          <w:szCs w:val="24"/>
        </w:rPr>
        <w:t xml:space="preserve">  The “content” of the Bar’s cessation was likewise suspect, because the Bar’s decision had not been accompanied by any clearly stated justification, thus casting doubt on the Bar’s motivation behind its cessation.  </w:t>
      </w:r>
      <w:r w:rsidR="00A86A08" w:rsidRPr="004A7707">
        <w:rPr>
          <w:i/>
          <w:szCs w:val="24"/>
        </w:rPr>
        <w:t>Id.</w:t>
      </w:r>
      <w:r w:rsidR="00A86A08" w:rsidRPr="004A7707">
        <w:rPr>
          <w:szCs w:val="24"/>
        </w:rPr>
        <w:t xml:space="preserve">  Accordingly, the Eleventh Circuit concluded that the Bar’s objectionable conduct had not been “unambiguously terminated,” that the Bar was thus not entitled to invoke the governmental presumption recognized in </w:t>
      </w:r>
      <w:r w:rsidR="00A86A08" w:rsidRPr="004A7707">
        <w:rPr>
          <w:i/>
          <w:szCs w:val="24"/>
        </w:rPr>
        <w:t>Troiano</w:t>
      </w:r>
      <w:r w:rsidR="00A86A08" w:rsidRPr="004A7707">
        <w:rPr>
          <w:szCs w:val="24"/>
        </w:rPr>
        <w:t xml:space="preserve">, and that the attorney’s claim </w:t>
      </w:r>
      <w:r w:rsidR="00210B6D" w:rsidRPr="004A7707">
        <w:rPr>
          <w:szCs w:val="24"/>
        </w:rPr>
        <w:t xml:space="preserve">regarding </w:t>
      </w:r>
      <w:r w:rsidR="00A86A08" w:rsidRPr="004A7707">
        <w:rPr>
          <w:szCs w:val="24"/>
        </w:rPr>
        <w:t xml:space="preserve">his advertisement was not moot.  </w:t>
      </w:r>
      <w:r w:rsidR="00A86A08" w:rsidRPr="004A7707">
        <w:rPr>
          <w:i/>
          <w:szCs w:val="24"/>
        </w:rPr>
        <w:t>See</w:t>
      </w:r>
      <w:r w:rsidR="00A86A08" w:rsidRPr="004A7707">
        <w:rPr>
          <w:szCs w:val="24"/>
        </w:rPr>
        <w:t xml:space="preserve"> </w:t>
      </w:r>
      <w:r w:rsidR="00A86A08" w:rsidRPr="004A7707">
        <w:rPr>
          <w:i/>
          <w:szCs w:val="24"/>
        </w:rPr>
        <w:t>id.</w:t>
      </w:r>
      <w:r w:rsidR="00A86A08" w:rsidRPr="004A7707">
        <w:rPr>
          <w:szCs w:val="24"/>
        </w:rPr>
        <w:t xml:space="preserve"> </w:t>
      </w:r>
      <w:proofErr w:type="gramStart"/>
      <w:r w:rsidR="00A86A08" w:rsidRPr="004A7707">
        <w:rPr>
          <w:szCs w:val="24"/>
        </w:rPr>
        <w:t>at</w:t>
      </w:r>
      <w:proofErr w:type="gramEnd"/>
      <w:r w:rsidR="00A86A08" w:rsidRPr="004A7707">
        <w:rPr>
          <w:szCs w:val="24"/>
        </w:rPr>
        <w:t xml:space="preserve"> 1267-68</w:t>
      </w:r>
      <w:r w:rsidR="007B5AAD" w:rsidRPr="004A7707">
        <w:rPr>
          <w:szCs w:val="24"/>
        </w:rPr>
        <w:t>.</w:t>
      </w:r>
      <w:r w:rsidR="007D4085" w:rsidRPr="004A7707">
        <w:rPr>
          <w:szCs w:val="24"/>
        </w:rPr>
        <w:t xml:space="preserve"> </w:t>
      </w:r>
    </w:p>
    <w:p w:rsidR="009F25D4" w:rsidRPr="004A7707" w:rsidRDefault="009F25D4" w:rsidP="004D1DC8">
      <w:pPr>
        <w:widowControl w:val="0"/>
        <w:spacing w:line="480" w:lineRule="auto"/>
        <w:rPr>
          <w:szCs w:val="24"/>
        </w:rPr>
      </w:pPr>
      <w:r w:rsidRPr="004A7707">
        <w:rPr>
          <w:szCs w:val="24"/>
        </w:rPr>
        <w:tab/>
      </w:r>
      <w:r w:rsidRPr="004A7707">
        <w:t xml:space="preserve">The factual differences between </w:t>
      </w:r>
      <w:r w:rsidRPr="004A7707">
        <w:rPr>
          <w:i/>
        </w:rPr>
        <w:t>Harrell</w:t>
      </w:r>
      <w:r w:rsidRPr="004A7707">
        <w:t xml:space="preserve"> and </w:t>
      </w:r>
      <w:r w:rsidRPr="004A7707">
        <w:rPr>
          <w:i/>
        </w:rPr>
        <w:t>Troiano</w:t>
      </w:r>
      <w:r w:rsidRPr="004A7707">
        <w:t xml:space="preserve"> are stark and illuminating.  In </w:t>
      </w:r>
      <w:r w:rsidRPr="004A7707">
        <w:rPr>
          <w:i/>
        </w:rPr>
        <w:t>Troiano</w:t>
      </w:r>
      <w:r w:rsidRPr="004A7707">
        <w:t xml:space="preserve">, the plaintiffs sued their county’s supervisor of elections for failing to have voting machine components for individuals </w:t>
      </w:r>
      <w:r w:rsidR="008771A8" w:rsidRPr="004A7707">
        <w:t xml:space="preserve">with visual impairments </w:t>
      </w:r>
      <w:r w:rsidRPr="004A7707">
        <w:t xml:space="preserve">available in all voting precincts in time for the 2002 election, and the Eleventh Circuit held that their claim was moot because the defendant had already decided to make the components available in future elections. </w:t>
      </w:r>
      <w:r w:rsidR="00662B68" w:rsidRPr="004A7707">
        <w:rPr>
          <w:i/>
        </w:rPr>
        <w:t>Troiano</w:t>
      </w:r>
      <w:r w:rsidR="00662B68" w:rsidRPr="004A7707">
        <w:t xml:space="preserve">, </w:t>
      </w:r>
      <w:proofErr w:type="gramStart"/>
      <w:r w:rsidR="00662B68" w:rsidRPr="004A7707">
        <w:t>382 F.3d at 1285</w:t>
      </w:r>
      <w:proofErr w:type="gramEnd"/>
      <w:r w:rsidR="00662B68" w:rsidRPr="004A7707">
        <w:t xml:space="preserve">. </w:t>
      </w:r>
      <w:r w:rsidRPr="004A7707">
        <w:t xml:space="preserve"> The “timing” of the defendant’s “voluntary cessation” suggested an unambiguous termination of objectionable conduct because she had made and implemented her decision in several elections before the plaintiffs had served her with process.  </w:t>
      </w:r>
      <w:proofErr w:type="gramStart"/>
      <w:r w:rsidR="00662B68" w:rsidRPr="004A7707">
        <w:rPr>
          <w:i/>
        </w:rPr>
        <w:t>Id.</w:t>
      </w:r>
      <w:r w:rsidRPr="004A7707">
        <w:t xml:space="preserve"> at 1281.</w:t>
      </w:r>
      <w:proofErr w:type="gramEnd"/>
      <w:r w:rsidRPr="004A7707">
        <w:t xml:space="preserve">  Likewise, the “content” of the cessation suggested an unambiguous termination because her decision had been “well reasoned.”  </w:t>
      </w:r>
      <w:proofErr w:type="gramStart"/>
      <w:r w:rsidRPr="004A7707">
        <w:rPr>
          <w:i/>
        </w:rPr>
        <w:t>Id.</w:t>
      </w:r>
      <w:r w:rsidRPr="004A7707">
        <w:t xml:space="preserve"> at 1285.</w:t>
      </w:r>
      <w:proofErr w:type="gramEnd"/>
      <w:r w:rsidRPr="004A7707">
        <w:t xml:space="preserve">  The record reflected that she had decided to implement the changes prior to the litigation, and had not adopted the changes before then only because of uncertainty regarding the implementation of the new technology.  </w:t>
      </w:r>
      <w:r w:rsidRPr="004A7707">
        <w:rPr>
          <w:i/>
        </w:rPr>
        <w:t>See</w:t>
      </w:r>
      <w:r w:rsidRPr="004A7707">
        <w:t xml:space="preserve"> </w:t>
      </w:r>
      <w:r w:rsidRPr="004A7707">
        <w:rPr>
          <w:i/>
        </w:rPr>
        <w:t>id.</w:t>
      </w:r>
      <w:r w:rsidRPr="004A7707">
        <w:t xml:space="preserve"> </w:t>
      </w:r>
      <w:proofErr w:type="gramStart"/>
      <w:r w:rsidRPr="004A7707">
        <w:t>at</w:t>
      </w:r>
      <w:proofErr w:type="gramEnd"/>
      <w:r w:rsidRPr="004A7707">
        <w:t xml:space="preserve"> 1281.  </w:t>
      </w:r>
    </w:p>
    <w:p w:rsidR="008A0301" w:rsidRPr="004A7707" w:rsidRDefault="00563D8B" w:rsidP="004D1DC8">
      <w:pPr>
        <w:widowControl w:val="0"/>
        <w:spacing w:line="480" w:lineRule="auto"/>
        <w:rPr>
          <w:szCs w:val="24"/>
        </w:rPr>
      </w:pPr>
      <w:r w:rsidRPr="004A7707">
        <w:rPr>
          <w:szCs w:val="24"/>
        </w:rPr>
        <w:tab/>
        <w:t xml:space="preserve">The present case is clearly more factually similar to </w:t>
      </w:r>
      <w:r w:rsidRPr="004A7707">
        <w:rPr>
          <w:i/>
          <w:szCs w:val="24"/>
        </w:rPr>
        <w:t>Harrell</w:t>
      </w:r>
      <w:r w:rsidRPr="004A7707">
        <w:rPr>
          <w:szCs w:val="24"/>
        </w:rPr>
        <w:t xml:space="preserve"> than </w:t>
      </w:r>
      <w:r w:rsidRPr="004A7707">
        <w:rPr>
          <w:i/>
          <w:szCs w:val="24"/>
        </w:rPr>
        <w:t>Troiano</w:t>
      </w:r>
      <w:r w:rsidR="00DF321E" w:rsidRPr="004A7707">
        <w:rPr>
          <w:szCs w:val="24"/>
        </w:rPr>
        <w:t>.  Here,</w:t>
      </w:r>
      <w:r w:rsidR="009F7C0A" w:rsidRPr="004A7707">
        <w:rPr>
          <w:szCs w:val="24"/>
        </w:rPr>
        <w:t xml:space="preserve"> with respect to “timing,” </w:t>
      </w:r>
      <w:r w:rsidR="00DF321E" w:rsidRPr="004A7707">
        <w:rPr>
          <w:szCs w:val="24"/>
        </w:rPr>
        <w:t xml:space="preserve">Defendants did not begin the process of implementing their Policy Changes until </w:t>
      </w:r>
      <w:r w:rsidR="00B459DF" w:rsidRPr="004A7707">
        <w:rPr>
          <w:szCs w:val="24"/>
        </w:rPr>
        <w:t>several</w:t>
      </w:r>
      <w:r w:rsidR="009565B7" w:rsidRPr="004A7707">
        <w:rPr>
          <w:szCs w:val="24"/>
        </w:rPr>
        <w:t xml:space="preserve"> </w:t>
      </w:r>
      <w:r w:rsidR="00F94AA0" w:rsidRPr="004A7707">
        <w:rPr>
          <w:szCs w:val="24"/>
        </w:rPr>
        <w:t>month</w:t>
      </w:r>
      <w:r w:rsidR="009565B7" w:rsidRPr="004A7707">
        <w:rPr>
          <w:szCs w:val="24"/>
        </w:rPr>
        <w:t>s ago</w:t>
      </w:r>
      <w:r w:rsidR="00DF321E" w:rsidRPr="004A7707">
        <w:rPr>
          <w:szCs w:val="24"/>
        </w:rPr>
        <w:t xml:space="preserve">, long after this litigation was commenced last </w:t>
      </w:r>
      <w:proofErr w:type="gramStart"/>
      <w:r w:rsidR="00F94AA0" w:rsidRPr="004A7707">
        <w:rPr>
          <w:szCs w:val="24"/>
        </w:rPr>
        <w:t>spring</w:t>
      </w:r>
      <w:r w:rsidR="006D19C6" w:rsidRPr="004A7707">
        <w:rPr>
          <w:szCs w:val="24"/>
        </w:rPr>
        <w:t>,</w:t>
      </w:r>
      <w:proofErr w:type="gramEnd"/>
      <w:r w:rsidR="00613C89" w:rsidRPr="004A7707">
        <w:rPr>
          <w:szCs w:val="24"/>
        </w:rPr>
        <w:t xml:space="preserve"> and </w:t>
      </w:r>
      <w:r w:rsidR="00F94AA0" w:rsidRPr="004A7707">
        <w:rPr>
          <w:szCs w:val="24"/>
        </w:rPr>
        <w:t>only slightly in advance</w:t>
      </w:r>
      <w:r w:rsidR="007B5AAD" w:rsidRPr="004A7707">
        <w:rPr>
          <w:szCs w:val="24"/>
        </w:rPr>
        <w:t xml:space="preserve"> </w:t>
      </w:r>
      <w:r w:rsidR="00613C89" w:rsidRPr="004A7707">
        <w:rPr>
          <w:szCs w:val="24"/>
        </w:rPr>
        <w:t>of a deadline to respond to Plaintiffs’ motion for class certification</w:t>
      </w:r>
      <w:r w:rsidR="00DF321E" w:rsidRPr="004A7707">
        <w:rPr>
          <w:szCs w:val="24"/>
        </w:rPr>
        <w:t xml:space="preserve">.  </w:t>
      </w:r>
      <w:proofErr w:type="gramStart"/>
      <w:r w:rsidR="00DF321E" w:rsidRPr="004A7707">
        <w:rPr>
          <w:szCs w:val="24"/>
        </w:rPr>
        <w:t>(</w:t>
      </w:r>
      <w:r w:rsidR="00DF321E" w:rsidRPr="004A7707">
        <w:rPr>
          <w:i/>
          <w:szCs w:val="24"/>
        </w:rPr>
        <w:t>See</w:t>
      </w:r>
      <w:r w:rsidR="00DF321E" w:rsidRPr="004A7707">
        <w:rPr>
          <w:szCs w:val="24"/>
        </w:rPr>
        <w:t xml:space="preserve"> </w:t>
      </w:r>
      <w:r w:rsidR="007F284F" w:rsidRPr="004A7707">
        <w:rPr>
          <w:szCs w:val="24"/>
        </w:rPr>
        <w:t>ECF No</w:t>
      </w:r>
      <w:r w:rsidR="00DF321E" w:rsidRPr="004A7707">
        <w:rPr>
          <w:szCs w:val="24"/>
        </w:rPr>
        <w:t>. 118-1 at ¶¶ 4, 7, 8.)</w:t>
      </w:r>
      <w:proofErr w:type="gramEnd"/>
      <w:r w:rsidR="007D4085" w:rsidRPr="004A7707">
        <w:rPr>
          <w:szCs w:val="24"/>
        </w:rPr>
        <w:t xml:space="preserve">  </w:t>
      </w:r>
      <w:r w:rsidR="007C4D3A" w:rsidRPr="004A7707">
        <w:rPr>
          <w:i/>
          <w:szCs w:val="24"/>
        </w:rPr>
        <w:t>Cf.</w:t>
      </w:r>
      <w:r w:rsidR="007C4D3A" w:rsidRPr="004A7707">
        <w:rPr>
          <w:szCs w:val="24"/>
        </w:rPr>
        <w:t xml:space="preserve"> </w:t>
      </w:r>
      <w:r w:rsidR="00EF700E" w:rsidRPr="004A7707">
        <w:rPr>
          <w:i/>
          <w:szCs w:val="24"/>
        </w:rPr>
        <w:t>NABP</w:t>
      </w:r>
      <w:r w:rsidR="007D4085" w:rsidRPr="004A7707">
        <w:rPr>
          <w:szCs w:val="24"/>
        </w:rPr>
        <w:t>, 633 F.3d at 1312 (finding that defendant changed policy “solely in response to the current litigation” where defendant first announced</w:t>
      </w:r>
      <w:r w:rsidR="00DF321E" w:rsidRPr="004A7707">
        <w:rPr>
          <w:szCs w:val="24"/>
        </w:rPr>
        <w:t xml:space="preserve"> </w:t>
      </w:r>
      <w:r w:rsidR="007D4085" w:rsidRPr="004A7707">
        <w:rPr>
          <w:szCs w:val="24"/>
        </w:rPr>
        <w:t>policy change at preliminary injunction hearing).</w:t>
      </w:r>
      <w:r w:rsidR="007B5AAD" w:rsidRPr="004A7707">
        <w:rPr>
          <w:szCs w:val="24"/>
        </w:rPr>
        <w:t xml:space="preserve"> </w:t>
      </w:r>
      <w:r w:rsidR="00DF321E" w:rsidRPr="004A7707">
        <w:rPr>
          <w:szCs w:val="24"/>
        </w:rPr>
        <w:t xml:space="preserve"> </w:t>
      </w:r>
      <w:r w:rsidR="009F7C0A" w:rsidRPr="004A7707">
        <w:rPr>
          <w:szCs w:val="24"/>
        </w:rPr>
        <w:t>Indeed, Defendants announced their proposed Policy Changes so recently that none of the Policy Changes has yet been completed: Defendants have only begun the process of altering their handbooks and regulations.</w:t>
      </w:r>
      <w:r w:rsidR="00240222" w:rsidRPr="004A7707">
        <w:rPr>
          <w:rStyle w:val="FootnoteReference"/>
          <w:szCs w:val="24"/>
        </w:rPr>
        <w:footnoteReference w:id="8"/>
      </w:r>
      <w:r w:rsidR="00240222" w:rsidRPr="004A7707">
        <w:rPr>
          <w:szCs w:val="24"/>
        </w:rPr>
        <w:t xml:space="preserve">  </w:t>
      </w:r>
      <w:r w:rsidR="00DF321E" w:rsidRPr="004A7707">
        <w:rPr>
          <w:szCs w:val="24"/>
        </w:rPr>
        <w:t xml:space="preserve">Moreover, </w:t>
      </w:r>
      <w:r w:rsidR="009F7C0A" w:rsidRPr="004A7707">
        <w:rPr>
          <w:szCs w:val="24"/>
        </w:rPr>
        <w:t xml:space="preserve">with respect to “content,” </w:t>
      </w:r>
      <w:r w:rsidR="00DF321E" w:rsidRPr="004A7707">
        <w:rPr>
          <w:szCs w:val="24"/>
        </w:rPr>
        <w:t xml:space="preserve">while Defendants issued alerts and notices in connection with their proposed Policy Changes, none of these documents appear to contain any </w:t>
      </w:r>
      <w:r w:rsidR="00840A77" w:rsidRPr="004A7707">
        <w:rPr>
          <w:szCs w:val="24"/>
        </w:rPr>
        <w:t>explanations that might constitute “well-reasoned justifications” for their actions</w:t>
      </w:r>
      <w:r w:rsidR="00A85BC6" w:rsidRPr="004A7707">
        <w:rPr>
          <w:szCs w:val="24"/>
        </w:rPr>
        <w:t>.  R</w:t>
      </w:r>
      <w:r w:rsidR="00840A77" w:rsidRPr="004A7707">
        <w:rPr>
          <w:szCs w:val="24"/>
        </w:rPr>
        <w:t>ather, Defendants simply announced their proposed changes</w:t>
      </w:r>
      <w:r w:rsidR="00580CC3" w:rsidRPr="004A7707">
        <w:rPr>
          <w:szCs w:val="24"/>
        </w:rPr>
        <w:t xml:space="preserve"> </w:t>
      </w:r>
      <w:r w:rsidR="00840A77" w:rsidRPr="004A7707">
        <w:rPr>
          <w:szCs w:val="24"/>
        </w:rPr>
        <w:t>without articulating</w:t>
      </w:r>
      <w:r w:rsidR="00580CC3" w:rsidRPr="004A7707">
        <w:rPr>
          <w:szCs w:val="24"/>
        </w:rPr>
        <w:t xml:space="preserve"> a</w:t>
      </w:r>
      <w:r w:rsidR="00840A77" w:rsidRPr="004A7707">
        <w:rPr>
          <w:szCs w:val="24"/>
        </w:rPr>
        <w:t xml:space="preserve"> rationale</w:t>
      </w:r>
      <w:r w:rsidR="00A85BC6" w:rsidRPr="004A7707">
        <w:rPr>
          <w:szCs w:val="24"/>
        </w:rPr>
        <w:t>,</w:t>
      </w:r>
      <w:r w:rsidR="00E3114A" w:rsidRPr="004A7707">
        <w:rPr>
          <w:szCs w:val="24"/>
        </w:rPr>
        <w:t xml:space="preserve"> other than</w:t>
      </w:r>
      <w:r w:rsidR="00580CC3" w:rsidRPr="004A7707">
        <w:rPr>
          <w:szCs w:val="24"/>
        </w:rPr>
        <w:t xml:space="preserve"> that the changes resulted from the</w:t>
      </w:r>
      <w:r w:rsidR="00E3114A" w:rsidRPr="004A7707">
        <w:rPr>
          <w:szCs w:val="24"/>
        </w:rPr>
        <w:t xml:space="preserve"> </w:t>
      </w:r>
      <w:r w:rsidR="00580CC3" w:rsidRPr="004A7707">
        <w:rPr>
          <w:sz w:val="22"/>
          <w:szCs w:val="22"/>
        </w:rPr>
        <w:t xml:space="preserve">AHCA’s </w:t>
      </w:r>
      <w:r w:rsidR="00450471" w:rsidRPr="004A7707">
        <w:rPr>
          <w:szCs w:val="24"/>
        </w:rPr>
        <w:t>“continuing process of reviewing, and constantly improving</w:t>
      </w:r>
      <w:r w:rsidR="000807A5" w:rsidRPr="004A7707">
        <w:rPr>
          <w:szCs w:val="24"/>
        </w:rPr>
        <w:t xml:space="preserve">” its Medicaid services, </w:t>
      </w:r>
      <w:r w:rsidR="00613C89" w:rsidRPr="004A7707">
        <w:rPr>
          <w:szCs w:val="24"/>
        </w:rPr>
        <w:t>and that the changes were meant to “clarify misunderstanding</w:t>
      </w:r>
      <w:r w:rsidR="00450471" w:rsidRPr="004A7707">
        <w:rPr>
          <w:szCs w:val="24"/>
        </w:rPr>
        <w:t>”</w:t>
      </w:r>
      <w:r w:rsidR="00613C89" w:rsidRPr="004A7707">
        <w:rPr>
          <w:szCs w:val="24"/>
        </w:rPr>
        <w:t xml:space="preserve"> of existing policies.</w:t>
      </w:r>
      <w:r w:rsidR="000B2508" w:rsidRPr="004A7707">
        <w:rPr>
          <w:rStyle w:val="FootnoteReference"/>
          <w:szCs w:val="24"/>
        </w:rPr>
        <w:footnoteReference w:id="9"/>
      </w:r>
      <w:r w:rsidR="00580CC3" w:rsidRPr="004A7707">
        <w:rPr>
          <w:sz w:val="22"/>
          <w:szCs w:val="22"/>
        </w:rPr>
        <w:t xml:space="preserve"> </w:t>
      </w:r>
      <w:r w:rsidR="00840A77" w:rsidRPr="004A7707">
        <w:rPr>
          <w:szCs w:val="24"/>
        </w:rPr>
        <w:t xml:space="preserve"> </w:t>
      </w:r>
    </w:p>
    <w:p w:rsidR="00407FF2" w:rsidRPr="004A7707" w:rsidRDefault="008A0301" w:rsidP="008A0301">
      <w:pPr>
        <w:widowControl w:val="0"/>
        <w:spacing w:line="480" w:lineRule="auto"/>
        <w:rPr>
          <w:szCs w:val="24"/>
        </w:rPr>
      </w:pPr>
      <w:r w:rsidRPr="004A7707">
        <w:rPr>
          <w:szCs w:val="24"/>
        </w:rPr>
        <w:tab/>
      </w:r>
      <w:r w:rsidR="00937DCA" w:rsidRPr="004A7707">
        <w:rPr>
          <w:szCs w:val="24"/>
        </w:rPr>
        <w:t>In addition, a</w:t>
      </w:r>
      <w:r w:rsidR="00407FF2" w:rsidRPr="004A7707">
        <w:rPr>
          <w:szCs w:val="24"/>
        </w:rPr>
        <w:t>side from the absence of an articulated justification</w:t>
      </w:r>
      <w:r w:rsidRPr="004A7707">
        <w:rPr>
          <w:szCs w:val="24"/>
        </w:rPr>
        <w:t xml:space="preserve">, whether the “content” of Defendants’ </w:t>
      </w:r>
      <w:r w:rsidR="00407FF2" w:rsidRPr="004A7707">
        <w:rPr>
          <w:szCs w:val="24"/>
        </w:rPr>
        <w:t xml:space="preserve">recently proposed </w:t>
      </w:r>
      <w:r w:rsidRPr="004A7707">
        <w:rPr>
          <w:szCs w:val="24"/>
        </w:rPr>
        <w:t>Policy Changes evidences a</w:t>
      </w:r>
      <w:r w:rsidR="005E67B6" w:rsidRPr="004A7707">
        <w:rPr>
          <w:szCs w:val="24"/>
        </w:rPr>
        <w:t>n</w:t>
      </w:r>
      <w:r w:rsidRPr="004A7707">
        <w:rPr>
          <w:szCs w:val="24"/>
        </w:rPr>
        <w:t xml:space="preserve"> unambiguous </w:t>
      </w:r>
      <w:r w:rsidR="00937DCA" w:rsidRPr="004A7707">
        <w:rPr>
          <w:szCs w:val="24"/>
        </w:rPr>
        <w:t>terminat</w:t>
      </w:r>
      <w:r w:rsidR="005E67B6" w:rsidRPr="004A7707">
        <w:rPr>
          <w:szCs w:val="24"/>
        </w:rPr>
        <w:t>ion of</w:t>
      </w:r>
      <w:r w:rsidR="00937DCA" w:rsidRPr="004A7707">
        <w:rPr>
          <w:szCs w:val="24"/>
        </w:rPr>
        <w:t xml:space="preserve"> the practices that have allegedly harmed </w:t>
      </w:r>
      <w:r w:rsidRPr="004A7707">
        <w:rPr>
          <w:szCs w:val="24"/>
        </w:rPr>
        <w:t xml:space="preserve">Plaintiffs and their proposed class members is </w:t>
      </w:r>
      <w:r w:rsidR="00212CD1" w:rsidRPr="004A7707">
        <w:rPr>
          <w:szCs w:val="24"/>
        </w:rPr>
        <w:t>suspect.</w:t>
      </w:r>
      <w:r w:rsidR="006C4641" w:rsidRPr="004A7707">
        <w:rPr>
          <w:szCs w:val="24"/>
        </w:rPr>
        <w:t xml:space="preserve">  </w:t>
      </w:r>
      <w:r w:rsidR="006C4641" w:rsidRPr="004A7707">
        <w:rPr>
          <w:i/>
          <w:szCs w:val="24"/>
        </w:rPr>
        <w:t>Harrell</w:t>
      </w:r>
      <w:r w:rsidR="006C4641" w:rsidRPr="004A7707">
        <w:rPr>
          <w:szCs w:val="24"/>
        </w:rPr>
        <w:t xml:space="preserve">, </w:t>
      </w:r>
      <w:proofErr w:type="gramStart"/>
      <w:r w:rsidR="006C4641" w:rsidRPr="004A7707">
        <w:rPr>
          <w:szCs w:val="24"/>
        </w:rPr>
        <w:t>608 F.3d at 1266</w:t>
      </w:r>
      <w:proofErr w:type="gramEnd"/>
      <w:r w:rsidR="006C4641" w:rsidRPr="004A7707">
        <w:rPr>
          <w:szCs w:val="24"/>
        </w:rPr>
        <w:t>.</w:t>
      </w:r>
      <w:r w:rsidR="00212CD1" w:rsidRPr="004A7707">
        <w:rPr>
          <w:szCs w:val="24"/>
        </w:rPr>
        <w:t xml:space="preserve">  T</w:t>
      </w:r>
      <w:r w:rsidR="00407FF2" w:rsidRPr="004A7707">
        <w:rPr>
          <w:szCs w:val="24"/>
        </w:rPr>
        <w:t xml:space="preserve">hese </w:t>
      </w:r>
      <w:r w:rsidR="00C42357" w:rsidRPr="004A7707">
        <w:rPr>
          <w:szCs w:val="24"/>
        </w:rPr>
        <w:t>Policy Changes</w:t>
      </w:r>
      <w:r w:rsidR="00407FF2" w:rsidRPr="004A7707">
        <w:rPr>
          <w:szCs w:val="24"/>
        </w:rPr>
        <w:t xml:space="preserve"> </w:t>
      </w:r>
      <w:r w:rsidR="00580CC3" w:rsidRPr="004A7707">
        <w:rPr>
          <w:szCs w:val="24"/>
        </w:rPr>
        <w:t xml:space="preserve">stand in stark contrast to </w:t>
      </w:r>
      <w:r w:rsidR="00407FF2" w:rsidRPr="004A7707">
        <w:rPr>
          <w:szCs w:val="24"/>
        </w:rPr>
        <w:t xml:space="preserve">Defendants’ </w:t>
      </w:r>
      <w:r w:rsidR="00580CC3" w:rsidRPr="004A7707">
        <w:rPr>
          <w:szCs w:val="24"/>
        </w:rPr>
        <w:t>prior</w:t>
      </w:r>
      <w:r w:rsidR="000B2508" w:rsidRPr="004A7707">
        <w:rPr>
          <w:szCs w:val="24"/>
        </w:rPr>
        <w:t>, unambiguous</w:t>
      </w:r>
      <w:r w:rsidR="00580CC3" w:rsidRPr="004A7707">
        <w:rPr>
          <w:szCs w:val="24"/>
        </w:rPr>
        <w:t xml:space="preserve"> efforts to </w:t>
      </w:r>
      <w:r w:rsidR="00613C89" w:rsidRPr="004A7707">
        <w:rPr>
          <w:szCs w:val="24"/>
        </w:rPr>
        <w:t xml:space="preserve">reduce the availability </w:t>
      </w:r>
      <w:r w:rsidR="005E67B6" w:rsidRPr="004A7707">
        <w:rPr>
          <w:szCs w:val="24"/>
        </w:rPr>
        <w:t xml:space="preserve">of </w:t>
      </w:r>
      <w:r w:rsidR="00613C89" w:rsidRPr="004A7707">
        <w:rPr>
          <w:szCs w:val="24"/>
        </w:rPr>
        <w:t>in-home nursing services</w:t>
      </w:r>
      <w:r w:rsidR="00FC289A" w:rsidRPr="004A7707">
        <w:rPr>
          <w:szCs w:val="24"/>
        </w:rPr>
        <w:t>,</w:t>
      </w:r>
      <w:r w:rsidR="00271627" w:rsidRPr="004A7707">
        <w:rPr>
          <w:szCs w:val="24"/>
        </w:rPr>
        <w:t xml:space="preserve"> and instead require individuals to receive PPEC services</w:t>
      </w:r>
      <w:r w:rsidR="00613C89" w:rsidRPr="004A7707">
        <w:rPr>
          <w:szCs w:val="24"/>
        </w:rPr>
        <w:t xml:space="preserve">.  For example, in </w:t>
      </w:r>
      <w:r w:rsidR="006D19C6" w:rsidRPr="004A7707">
        <w:rPr>
          <w:szCs w:val="24"/>
        </w:rPr>
        <w:t xml:space="preserve">a 2010 budget proviso, the </w:t>
      </w:r>
      <w:r w:rsidR="00A85BC6" w:rsidRPr="004A7707">
        <w:rPr>
          <w:szCs w:val="24"/>
        </w:rPr>
        <w:t>Legislature</w:t>
      </w:r>
      <w:r w:rsidR="006D19C6" w:rsidRPr="004A7707">
        <w:rPr>
          <w:szCs w:val="24"/>
        </w:rPr>
        <w:t xml:space="preserve"> reduced funding for private duty nursing services </w:t>
      </w:r>
      <w:r w:rsidR="00A85BC6" w:rsidRPr="004A7707">
        <w:rPr>
          <w:szCs w:val="24"/>
        </w:rPr>
        <w:t>by several million dollars</w:t>
      </w:r>
      <w:r w:rsidR="00212C74" w:rsidRPr="004A7707">
        <w:rPr>
          <w:szCs w:val="24"/>
        </w:rPr>
        <w:t>,</w:t>
      </w:r>
      <w:r w:rsidR="006D19C6" w:rsidRPr="004A7707">
        <w:rPr>
          <w:szCs w:val="24"/>
        </w:rPr>
        <w:t xml:space="preserve"> directed AHCA to limit availability of the service to twelve continuous hours per day</w:t>
      </w:r>
      <w:r w:rsidR="00212C74" w:rsidRPr="004A7707">
        <w:rPr>
          <w:szCs w:val="24"/>
        </w:rPr>
        <w:t>, and mandated parental participation in care</w:t>
      </w:r>
      <w:r w:rsidR="006D19C6" w:rsidRPr="004A7707">
        <w:rPr>
          <w:szCs w:val="24"/>
        </w:rPr>
        <w:t>.</w:t>
      </w:r>
      <w:r w:rsidR="006D19C6" w:rsidRPr="004A7707">
        <w:rPr>
          <w:rStyle w:val="FootnoteReference"/>
          <w:szCs w:val="24"/>
        </w:rPr>
        <w:footnoteReference w:id="10"/>
      </w:r>
      <w:r w:rsidR="004A7707" w:rsidRPr="004A7707">
        <w:rPr>
          <w:szCs w:val="24"/>
        </w:rPr>
        <w:t xml:space="preserve">  In the same year, the L</w:t>
      </w:r>
      <w:r w:rsidR="00A85BC6" w:rsidRPr="004A7707">
        <w:rPr>
          <w:szCs w:val="24"/>
        </w:rPr>
        <w:t>egislature added a budget proviso requiring AHCA to “direct” beneficiaries to PPEC services instead of private duty nursing,</w:t>
      </w:r>
      <w:r w:rsidR="000807A5" w:rsidRPr="004A7707">
        <w:rPr>
          <w:rStyle w:val="FootnoteReference"/>
          <w:szCs w:val="24"/>
        </w:rPr>
        <w:footnoteReference w:id="11"/>
      </w:r>
      <w:r w:rsidR="00A85BC6" w:rsidRPr="004A7707">
        <w:rPr>
          <w:szCs w:val="24"/>
        </w:rPr>
        <w:t xml:space="preserve"> and to offer private duty nursing as a </w:t>
      </w:r>
      <w:r w:rsidR="00B65943" w:rsidRPr="004A7707">
        <w:rPr>
          <w:szCs w:val="24"/>
        </w:rPr>
        <w:t>supplemental</w:t>
      </w:r>
      <w:r w:rsidR="00A85BC6" w:rsidRPr="004A7707">
        <w:rPr>
          <w:szCs w:val="24"/>
        </w:rPr>
        <w:t xml:space="preserve"> service only.</w:t>
      </w:r>
      <w:r w:rsidR="00A85BC6" w:rsidRPr="004A7707">
        <w:rPr>
          <w:rStyle w:val="FootnoteReference"/>
          <w:szCs w:val="24"/>
        </w:rPr>
        <w:footnoteReference w:id="12"/>
      </w:r>
      <w:r w:rsidR="00A85BC6" w:rsidRPr="004A7707">
        <w:rPr>
          <w:szCs w:val="24"/>
        </w:rPr>
        <w:t xml:space="preserve">  </w:t>
      </w:r>
      <w:r w:rsidR="00271627" w:rsidRPr="004A7707">
        <w:rPr>
          <w:szCs w:val="24"/>
        </w:rPr>
        <w:t>AHCA followed suit through implementing the</w:t>
      </w:r>
      <w:r w:rsidR="00D8373A" w:rsidRPr="004A7707">
        <w:rPr>
          <w:szCs w:val="24"/>
        </w:rPr>
        <w:t xml:space="preserve"> policies </w:t>
      </w:r>
      <w:r w:rsidR="005870D6" w:rsidRPr="004A7707">
        <w:rPr>
          <w:szCs w:val="24"/>
        </w:rPr>
        <w:t xml:space="preserve">that they now </w:t>
      </w:r>
      <w:r w:rsidR="00B65943" w:rsidRPr="004A7707">
        <w:rPr>
          <w:szCs w:val="24"/>
        </w:rPr>
        <w:t xml:space="preserve">propose </w:t>
      </w:r>
      <w:r w:rsidR="005870D6" w:rsidRPr="004A7707">
        <w:rPr>
          <w:szCs w:val="24"/>
        </w:rPr>
        <w:t>to change.</w:t>
      </w:r>
      <w:r w:rsidR="00450471" w:rsidRPr="004A7707">
        <w:rPr>
          <w:rStyle w:val="FootnoteReference"/>
          <w:szCs w:val="24"/>
        </w:rPr>
        <w:footnoteReference w:id="13"/>
      </w:r>
      <w:r w:rsidR="00580CC3" w:rsidRPr="004A7707">
        <w:rPr>
          <w:szCs w:val="24"/>
        </w:rPr>
        <w:t xml:space="preserve"> </w:t>
      </w:r>
      <w:r w:rsidR="00B65943" w:rsidRPr="004A7707">
        <w:rPr>
          <w:szCs w:val="24"/>
        </w:rPr>
        <w:t xml:space="preserve"> There is thus a strong basis to suspect that t</w:t>
      </w:r>
      <w:r w:rsidR="000807A5" w:rsidRPr="004A7707">
        <w:rPr>
          <w:szCs w:val="24"/>
        </w:rPr>
        <w:t>he instant</w:t>
      </w:r>
      <w:r w:rsidR="00580CC3" w:rsidRPr="004A7707">
        <w:rPr>
          <w:szCs w:val="24"/>
        </w:rPr>
        <w:t xml:space="preserve"> </w:t>
      </w:r>
      <w:r w:rsidR="00774323" w:rsidRPr="004A7707">
        <w:rPr>
          <w:szCs w:val="24"/>
        </w:rPr>
        <w:t>Policy Changes</w:t>
      </w:r>
      <w:r w:rsidR="00F35253" w:rsidRPr="004A7707">
        <w:rPr>
          <w:szCs w:val="24"/>
        </w:rPr>
        <w:t>,</w:t>
      </w:r>
      <w:r w:rsidR="00B65943" w:rsidRPr="004A7707">
        <w:rPr>
          <w:szCs w:val="24"/>
        </w:rPr>
        <w:t xml:space="preserve"> </w:t>
      </w:r>
      <w:r w:rsidR="00F35253" w:rsidRPr="004A7707">
        <w:rPr>
          <w:szCs w:val="24"/>
        </w:rPr>
        <w:t xml:space="preserve">which are </w:t>
      </w:r>
      <w:r w:rsidR="007C4D3A" w:rsidRPr="004A7707">
        <w:rPr>
          <w:szCs w:val="24"/>
        </w:rPr>
        <w:t>an abrupt about-face</w:t>
      </w:r>
      <w:r w:rsidR="005870D6" w:rsidRPr="004A7707">
        <w:rPr>
          <w:szCs w:val="24"/>
        </w:rPr>
        <w:t xml:space="preserve"> </w:t>
      </w:r>
      <w:r w:rsidR="00774323" w:rsidRPr="004A7707">
        <w:rPr>
          <w:szCs w:val="24"/>
        </w:rPr>
        <w:t xml:space="preserve">from </w:t>
      </w:r>
      <w:r w:rsidR="005870D6" w:rsidRPr="004A7707">
        <w:rPr>
          <w:szCs w:val="24"/>
        </w:rPr>
        <w:t>prior policies</w:t>
      </w:r>
      <w:r w:rsidR="00F35253" w:rsidRPr="004A7707">
        <w:rPr>
          <w:szCs w:val="24"/>
        </w:rPr>
        <w:t>,</w:t>
      </w:r>
      <w:r w:rsidR="00B65943" w:rsidRPr="004A7707">
        <w:rPr>
          <w:szCs w:val="24"/>
        </w:rPr>
        <w:t xml:space="preserve"> </w:t>
      </w:r>
      <w:r w:rsidR="005870D6" w:rsidRPr="004A7707">
        <w:rPr>
          <w:szCs w:val="24"/>
        </w:rPr>
        <w:t xml:space="preserve">are </w:t>
      </w:r>
      <w:r w:rsidR="00580CC3" w:rsidRPr="004A7707">
        <w:rPr>
          <w:szCs w:val="24"/>
        </w:rPr>
        <w:t xml:space="preserve">driven not by the desire to </w:t>
      </w:r>
      <w:r w:rsidR="00D939B7" w:rsidRPr="004A7707">
        <w:rPr>
          <w:szCs w:val="24"/>
        </w:rPr>
        <w:t>“</w:t>
      </w:r>
      <w:r w:rsidR="00580CC3" w:rsidRPr="004A7707">
        <w:rPr>
          <w:szCs w:val="24"/>
        </w:rPr>
        <w:t>improve</w:t>
      </w:r>
      <w:r w:rsidR="00D939B7" w:rsidRPr="004A7707">
        <w:rPr>
          <w:szCs w:val="24"/>
        </w:rPr>
        <w:t>”</w:t>
      </w:r>
      <w:r w:rsidR="00580CC3" w:rsidRPr="004A7707">
        <w:rPr>
          <w:szCs w:val="24"/>
        </w:rPr>
        <w:t xml:space="preserve"> the Medicaid program</w:t>
      </w:r>
      <w:r w:rsidR="00D939B7" w:rsidRPr="004A7707">
        <w:rPr>
          <w:szCs w:val="24"/>
        </w:rPr>
        <w:t xml:space="preserve"> or “clarify” existing policies</w:t>
      </w:r>
      <w:r w:rsidR="00580CC3" w:rsidRPr="004A7707">
        <w:rPr>
          <w:szCs w:val="24"/>
        </w:rPr>
        <w:t>, but instead to</w:t>
      </w:r>
      <w:r w:rsidR="00613C89" w:rsidRPr="004A7707">
        <w:rPr>
          <w:szCs w:val="24"/>
        </w:rPr>
        <w:t xml:space="preserve"> </w:t>
      </w:r>
      <w:r w:rsidR="00840A77" w:rsidRPr="004A7707">
        <w:rPr>
          <w:szCs w:val="24"/>
        </w:rPr>
        <w:t xml:space="preserve">deprive the Court of subject matter jurisdiction.  </w:t>
      </w:r>
    </w:p>
    <w:p w:rsidR="00AD68C0" w:rsidRPr="004A7707" w:rsidRDefault="00407FF2" w:rsidP="004D1DC8">
      <w:pPr>
        <w:widowControl w:val="0"/>
        <w:spacing w:line="480" w:lineRule="auto"/>
      </w:pPr>
      <w:r w:rsidRPr="004A7707">
        <w:rPr>
          <w:szCs w:val="24"/>
        </w:rPr>
        <w:tab/>
      </w:r>
      <w:r w:rsidR="00840A77" w:rsidRPr="004A7707">
        <w:rPr>
          <w:szCs w:val="24"/>
        </w:rPr>
        <w:t xml:space="preserve">In sum, as in </w:t>
      </w:r>
      <w:r w:rsidR="00840A77" w:rsidRPr="004A7707">
        <w:rPr>
          <w:i/>
          <w:szCs w:val="24"/>
        </w:rPr>
        <w:t>Harrell</w:t>
      </w:r>
      <w:r w:rsidR="00840A77" w:rsidRPr="004A7707">
        <w:rPr>
          <w:szCs w:val="24"/>
        </w:rPr>
        <w:t xml:space="preserve"> and in contrast with </w:t>
      </w:r>
      <w:r w:rsidR="00840A77" w:rsidRPr="004A7707">
        <w:rPr>
          <w:i/>
          <w:szCs w:val="24"/>
        </w:rPr>
        <w:t>Troiano</w:t>
      </w:r>
      <w:r w:rsidR="00840A77" w:rsidRPr="004A7707">
        <w:rPr>
          <w:szCs w:val="24"/>
        </w:rPr>
        <w:t xml:space="preserve">, the “timing and content” of Defendants’ Policy Changes here do not </w:t>
      </w:r>
      <w:r w:rsidR="005870D6" w:rsidRPr="004A7707">
        <w:rPr>
          <w:szCs w:val="24"/>
        </w:rPr>
        <w:t xml:space="preserve">make it “absolutely clear” </w:t>
      </w:r>
      <w:r w:rsidR="00840A77" w:rsidRPr="004A7707">
        <w:rPr>
          <w:szCs w:val="24"/>
        </w:rPr>
        <w:t xml:space="preserve">that </w:t>
      </w:r>
      <w:r w:rsidR="00674512" w:rsidRPr="004A7707">
        <w:rPr>
          <w:szCs w:val="24"/>
        </w:rPr>
        <w:t>Defendants have effectuated an “unambiguous termination” of their objectionable policies.</w:t>
      </w:r>
      <w:r w:rsidR="00860520" w:rsidRPr="004A7707">
        <w:rPr>
          <w:rStyle w:val="FootnoteReference"/>
          <w:szCs w:val="24"/>
        </w:rPr>
        <w:footnoteReference w:id="14"/>
      </w:r>
      <w:r w:rsidR="00EF700E" w:rsidRPr="004A7707">
        <w:rPr>
          <w:szCs w:val="24"/>
        </w:rPr>
        <w:t xml:space="preserve">  </w:t>
      </w:r>
      <w:proofErr w:type="gramStart"/>
      <w:r w:rsidR="005870D6" w:rsidRPr="004A7707">
        <w:rPr>
          <w:i/>
          <w:szCs w:val="24"/>
        </w:rPr>
        <w:t>Harrell</w:t>
      </w:r>
      <w:r w:rsidR="005870D6" w:rsidRPr="004A7707">
        <w:rPr>
          <w:szCs w:val="24"/>
        </w:rPr>
        <w:t xml:space="preserve">, 608 F. 3d at 1268; </w:t>
      </w:r>
      <w:r w:rsidR="00EF700E" w:rsidRPr="004A7707">
        <w:rPr>
          <w:i/>
          <w:szCs w:val="24"/>
        </w:rPr>
        <w:t>NABP</w:t>
      </w:r>
      <w:r w:rsidR="005870D6" w:rsidRPr="004A7707">
        <w:rPr>
          <w:szCs w:val="24"/>
        </w:rPr>
        <w:t xml:space="preserve">, 633 F.3d </w:t>
      </w:r>
      <w:r w:rsidR="00EF700E" w:rsidRPr="004A7707">
        <w:rPr>
          <w:szCs w:val="24"/>
        </w:rPr>
        <w:t xml:space="preserve">at </w:t>
      </w:r>
      <w:r w:rsidR="005870D6" w:rsidRPr="004A7707">
        <w:rPr>
          <w:szCs w:val="24"/>
        </w:rPr>
        <w:t>1310</w:t>
      </w:r>
      <w:r w:rsidR="007617AF" w:rsidRPr="004A7707">
        <w:rPr>
          <w:szCs w:val="24"/>
        </w:rPr>
        <w:t>.</w:t>
      </w:r>
      <w:proofErr w:type="gramEnd"/>
      <w:r w:rsidR="005870D6" w:rsidRPr="004A7707">
        <w:rPr>
          <w:szCs w:val="24"/>
        </w:rPr>
        <w:t xml:space="preserve"> </w:t>
      </w:r>
      <w:r w:rsidR="007C4D3A" w:rsidRPr="004A7707">
        <w:rPr>
          <w:szCs w:val="24"/>
        </w:rPr>
        <w:t xml:space="preserve"> </w:t>
      </w:r>
    </w:p>
    <w:p w:rsidR="001E68A4" w:rsidRPr="004A7707" w:rsidRDefault="009F7C0A">
      <w:pPr>
        <w:pStyle w:val="Heading3"/>
        <w:rPr>
          <w:u w:val="single"/>
        </w:rPr>
      </w:pPr>
      <w:r w:rsidRPr="004A7707">
        <w:t>B.</w:t>
      </w:r>
      <w:r w:rsidRPr="004A7707">
        <w:tab/>
        <w:t xml:space="preserve">Defendants’ Proposed Policy Changes Would Not Support Dismissal Even If </w:t>
      </w:r>
      <w:r w:rsidR="00240222" w:rsidRPr="004A7707">
        <w:rPr>
          <w:u w:val="single"/>
        </w:rPr>
        <w:t>They Mooted Some of Plaintiffs’ Allegations.</w:t>
      </w:r>
      <w:r w:rsidRPr="004A7707">
        <w:rPr>
          <w:u w:val="single"/>
        </w:rPr>
        <w:tab/>
      </w:r>
      <w:r w:rsidRPr="004A7707">
        <w:rPr>
          <w:u w:val="single"/>
        </w:rPr>
        <w:tab/>
      </w:r>
      <w:r w:rsidRPr="004A7707">
        <w:rPr>
          <w:u w:val="single"/>
        </w:rPr>
        <w:tab/>
      </w:r>
      <w:r w:rsidRPr="004A7707">
        <w:rPr>
          <w:u w:val="single"/>
        </w:rPr>
        <w:tab/>
      </w:r>
      <w:r w:rsidRPr="004A7707">
        <w:rPr>
          <w:u w:val="single"/>
        </w:rPr>
        <w:tab/>
      </w:r>
    </w:p>
    <w:p w:rsidR="00AE73BD" w:rsidRPr="004A7707" w:rsidRDefault="009F7C0A" w:rsidP="004D1DC8">
      <w:pPr>
        <w:widowControl w:val="0"/>
        <w:spacing w:line="480" w:lineRule="auto"/>
      </w:pPr>
      <w:r w:rsidRPr="004A7707">
        <w:tab/>
      </w:r>
      <w:r w:rsidR="00FC289A" w:rsidRPr="004A7707">
        <w:t>E</w:t>
      </w:r>
      <w:r w:rsidR="00AE73BD" w:rsidRPr="004A7707">
        <w:t xml:space="preserve">ven if the Policy Changes were </w:t>
      </w:r>
      <w:r w:rsidR="00332C33" w:rsidRPr="004A7707">
        <w:t>fully effectuated and permanent</w:t>
      </w:r>
      <w:r w:rsidR="00AE73BD" w:rsidRPr="004A7707">
        <w:t>, dismissal would still be inappropriate.  As noted</w:t>
      </w:r>
      <w:r w:rsidR="005C3399" w:rsidRPr="004A7707">
        <w:t xml:space="preserve"> above</w:t>
      </w:r>
      <w:r w:rsidR="00AE73BD" w:rsidRPr="004A7707">
        <w:t xml:space="preserve">, </w:t>
      </w:r>
      <w:r w:rsidR="00AE73BD" w:rsidRPr="004A7707">
        <w:rPr>
          <w:szCs w:val="24"/>
        </w:rPr>
        <w:t xml:space="preserve">“[a] case becomes moot . . . when the issues presented are no longer ‘live’ or the parties lack a legally cognizable interest in the outcome.”  </w:t>
      </w:r>
      <w:proofErr w:type="gramStart"/>
      <w:r w:rsidR="00AE73BD" w:rsidRPr="004A7707">
        <w:rPr>
          <w:i/>
          <w:szCs w:val="24"/>
        </w:rPr>
        <w:t xml:space="preserve">Already, </w:t>
      </w:r>
      <w:r w:rsidR="00AE73BD" w:rsidRPr="004A7707">
        <w:rPr>
          <w:szCs w:val="24"/>
        </w:rPr>
        <w:t>133 S. Ct. at 726.</w:t>
      </w:r>
      <w:proofErr w:type="gramEnd"/>
      <w:r w:rsidR="00AE73BD" w:rsidRPr="004A7707">
        <w:rPr>
          <w:szCs w:val="24"/>
        </w:rPr>
        <w:t xml:space="preserve">  Here, the Policy Changes involve three State policies that are relevant only to some of Plaintiffs’ allegations</w:t>
      </w:r>
      <w:r w:rsidR="008A37D4" w:rsidRPr="004A7707">
        <w:rPr>
          <w:szCs w:val="24"/>
        </w:rPr>
        <w:t xml:space="preserve">, and </w:t>
      </w:r>
      <w:proofErr w:type="gramStart"/>
      <w:r w:rsidR="008A37D4" w:rsidRPr="004A7707">
        <w:rPr>
          <w:szCs w:val="24"/>
        </w:rPr>
        <w:t>do not cover</w:t>
      </w:r>
      <w:proofErr w:type="gramEnd"/>
      <w:r w:rsidR="008A37D4" w:rsidRPr="004A7707">
        <w:rPr>
          <w:szCs w:val="24"/>
        </w:rPr>
        <w:t xml:space="preserve"> the subject matter of all of Plaintiffs’ claims</w:t>
      </w:r>
      <w:r w:rsidR="00AE73BD" w:rsidRPr="004A7707">
        <w:rPr>
          <w:szCs w:val="24"/>
        </w:rPr>
        <w:t xml:space="preserve">.  Thus, </w:t>
      </w:r>
      <w:r w:rsidR="008A37D4" w:rsidRPr="004A7707">
        <w:rPr>
          <w:szCs w:val="24"/>
        </w:rPr>
        <w:t xml:space="preserve">even if those allegations were to be deemed moot, other issues presented by Plaintiffs would still be “live” in the case. </w:t>
      </w:r>
    </w:p>
    <w:p w:rsidR="008A37D4" w:rsidRPr="004A7707" w:rsidRDefault="00AE73BD" w:rsidP="009565B7">
      <w:pPr>
        <w:spacing w:line="480" w:lineRule="auto"/>
        <w:rPr>
          <w:szCs w:val="24"/>
        </w:rPr>
      </w:pPr>
      <w:r w:rsidRPr="004A7707">
        <w:tab/>
        <w:t xml:space="preserve">First, </w:t>
      </w:r>
      <w:r w:rsidR="008A37D4" w:rsidRPr="004A7707">
        <w:t xml:space="preserve">even if the proposed Policy Changes were deemed to be unambiguous terminations for purposes of the voluntary cessation doctrine, </w:t>
      </w:r>
      <w:r w:rsidR="00AD68C0" w:rsidRPr="004A7707">
        <w:rPr>
          <w:szCs w:val="24"/>
        </w:rPr>
        <w:t xml:space="preserve">Plaintiffs T.H. and A.G. would </w:t>
      </w:r>
      <w:r w:rsidR="008A37D4" w:rsidRPr="004A7707">
        <w:rPr>
          <w:szCs w:val="24"/>
        </w:rPr>
        <w:t xml:space="preserve">still </w:t>
      </w:r>
      <w:r w:rsidR="00AD68C0" w:rsidRPr="004A7707">
        <w:rPr>
          <w:szCs w:val="24"/>
        </w:rPr>
        <w:t>remain institutionalized in nursing facilities pursuant to State action,</w:t>
      </w:r>
      <w:r w:rsidR="00AD68C0" w:rsidRPr="004A7707">
        <w:rPr>
          <w:rStyle w:val="FootnoteReference"/>
          <w:szCs w:val="24"/>
        </w:rPr>
        <w:footnoteReference w:id="15"/>
      </w:r>
      <w:r w:rsidR="00AD68C0" w:rsidRPr="004A7707">
        <w:rPr>
          <w:szCs w:val="24"/>
        </w:rPr>
        <w:t xml:space="preserve"> and the remaining named Plaintiffs would </w:t>
      </w:r>
      <w:r w:rsidR="008A37D4" w:rsidRPr="004A7707">
        <w:rPr>
          <w:szCs w:val="24"/>
        </w:rPr>
        <w:t xml:space="preserve">still </w:t>
      </w:r>
      <w:r w:rsidR="00AD68C0" w:rsidRPr="004A7707">
        <w:rPr>
          <w:szCs w:val="24"/>
        </w:rPr>
        <w:t xml:space="preserve">have no guarantee that </w:t>
      </w:r>
      <w:r w:rsidR="00332C33" w:rsidRPr="004A7707">
        <w:rPr>
          <w:szCs w:val="24"/>
        </w:rPr>
        <w:t xml:space="preserve">they would not be subjected to future denials or reductions of </w:t>
      </w:r>
      <w:r w:rsidR="00AD68C0" w:rsidRPr="004A7707">
        <w:rPr>
          <w:szCs w:val="24"/>
        </w:rPr>
        <w:t>medically necessary services to which they are entitled under the Medicaid Act, placing them at continued</w:t>
      </w:r>
      <w:r w:rsidR="008A37D4" w:rsidRPr="004A7707">
        <w:rPr>
          <w:szCs w:val="24"/>
        </w:rPr>
        <w:t xml:space="preserve"> risk of institutionalization</w:t>
      </w:r>
      <w:r w:rsidR="008771A8" w:rsidRPr="004A7707">
        <w:rPr>
          <w:szCs w:val="24"/>
        </w:rPr>
        <w:t xml:space="preserve"> in violation of the ADA</w:t>
      </w:r>
      <w:r w:rsidR="008A37D4" w:rsidRPr="004A7707">
        <w:rPr>
          <w:szCs w:val="24"/>
        </w:rPr>
        <w:t xml:space="preserve">.  </w:t>
      </w:r>
      <w:r w:rsidR="008A37D4" w:rsidRPr="004A7707">
        <w:t>Indeed, the core of Plaintiffs’ claims is not targeted by the Policy Changes: for example, while the Policy Changes mandate Level II PASRR screening for children in nursing facilities (</w:t>
      </w:r>
      <w:r w:rsidR="008A37D4" w:rsidRPr="004A7707">
        <w:rPr>
          <w:i/>
        </w:rPr>
        <w:t>see</w:t>
      </w:r>
      <w:r w:rsidR="008A37D4" w:rsidRPr="004A7707">
        <w:t xml:space="preserve"> ECF No. 117 at 12)</w:t>
      </w:r>
      <w:proofErr w:type="gramStart"/>
      <w:r w:rsidR="008A37D4" w:rsidRPr="004A7707">
        <w:t>,</w:t>
      </w:r>
      <w:proofErr w:type="gramEnd"/>
      <w:r w:rsidR="008A37D4" w:rsidRPr="004A7707">
        <w:t xml:space="preserve"> they will not ensure that the children will have or be presented with community-based options.  </w:t>
      </w:r>
    </w:p>
    <w:p w:rsidR="00DF1B1F" w:rsidRPr="004A7707" w:rsidRDefault="008A37D4" w:rsidP="00AE73BD">
      <w:pPr>
        <w:widowControl w:val="0"/>
        <w:spacing w:line="480" w:lineRule="auto"/>
        <w:rPr>
          <w:szCs w:val="24"/>
        </w:rPr>
      </w:pPr>
      <w:r w:rsidRPr="004A7707">
        <w:rPr>
          <w:szCs w:val="24"/>
        </w:rPr>
        <w:tab/>
      </w:r>
      <w:r w:rsidR="00BB6EA8" w:rsidRPr="004A7707">
        <w:rPr>
          <w:szCs w:val="24"/>
        </w:rPr>
        <w:t xml:space="preserve">Second, </w:t>
      </w:r>
      <w:r w:rsidR="00A05E6C" w:rsidRPr="004A7707">
        <w:rPr>
          <w:szCs w:val="24"/>
        </w:rPr>
        <w:t>the</w:t>
      </w:r>
      <w:r w:rsidR="00BB6EA8" w:rsidRPr="004A7707">
        <w:rPr>
          <w:szCs w:val="24"/>
        </w:rPr>
        <w:t xml:space="preserve"> proposed Policy Changes</w:t>
      </w:r>
      <w:r w:rsidR="00A05E6C" w:rsidRPr="004A7707">
        <w:rPr>
          <w:szCs w:val="24"/>
        </w:rPr>
        <w:t xml:space="preserve"> </w:t>
      </w:r>
      <w:r w:rsidR="00E4192D" w:rsidRPr="004A7707">
        <w:rPr>
          <w:szCs w:val="24"/>
        </w:rPr>
        <w:t xml:space="preserve">will not </w:t>
      </w:r>
      <w:r w:rsidR="00A05E6C" w:rsidRPr="004A7707">
        <w:rPr>
          <w:szCs w:val="24"/>
        </w:rPr>
        <w:t xml:space="preserve">moot all of the </w:t>
      </w:r>
      <w:r w:rsidR="00E4192D" w:rsidRPr="004A7707">
        <w:rPr>
          <w:szCs w:val="24"/>
        </w:rPr>
        <w:t xml:space="preserve">class </w:t>
      </w:r>
      <w:r w:rsidR="00A05E6C" w:rsidRPr="004A7707">
        <w:rPr>
          <w:szCs w:val="24"/>
        </w:rPr>
        <w:t>claims in this action, as the</w:t>
      </w:r>
      <w:r w:rsidR="00CE0BB0" w:rsidRPr="004A7707">
        <w:rPr>
          <w:szCs w:val="24"/>
        </w:rPr>
        <w:t xml:space="preserve"> Polic</w:t>
      </w:r>
      <w:r w:rsidR="00A05E6C" w:rsidRPr="004A7707">
        <w:rPr>
          <w:szCs w:val="24"/>
        </w:rPr>
        <w:t>y</w:t>
      </w:r>
      <w:r w:rsidR="00CE0BB0" w:rsidRPr="004A7707">
        <w:rPr>
          <w:szCs w:val="24"/>
        </w:rPr>
        <w:t xml:space="preserve"> Changes</w:t>
      </w:r>
      <w:r w:rsidR="00BB6EA8" w:rsidRPr="004A7707">
        <w:rPr>
          <w:szCs w:val="24"/>
        </w:rPr>
        <w:t xml:space="preserve"> do not cover all of the State-wide policies </w:t>
      </w:r>
      <w:r w:rsidR="00A91C76" w:rsidRPr="004A7707">
        <w:rPr>
          <w:szCs w:val="24"/>
        </w:rPr>
        <w:t xml:space="preserve">behind </w:t>
      </w:r>
      <w:r w:rsidR="00BB6EA8" w:rsidRPr="004A7707">
        <w:rPr>
          <w:szCs w:val="24"/>
        </w:rPr>
        <w:t xml:space="preserve">the alleged injuries common to all </w:t>
      </w:r>
      <w:r w:rsidR="00A05E6C" w:rsidRPr="004A7707">
        <w:rPr>
          <w:szCs w:val="24"/>
        </w:rPr>
        <w:t xml:space="preserve">members of the </w:t>
      </w:r>
      <w:r w:rsidR="00BB6EA8" w:rsidRPr="004A7707">
        <w:rPr>
          <w:szCs w:val="24"/>
        </w:rPr>
        <w:t>proposed class</w:t>
      </w:r>
      <w:r w:rsidR="00AA5A2F" w:rsidRPr="004A7707">
        <w:rPr>
          <w:szCs w:val="24"/>
        </w:rPr>
        <w:t>.</w:t>
      </w:r>
      <w:r w:rsidR="00D85EC7" w:rsidRPr="004A7707">
        <w:rPr>
          <w:szCs w:val="24"/>
        </w:rPr>
        <w:t xml:space="preserve"> </w:t>
      </w:r>
      <w:r w:rsidR="00AA5A2F" w:rsidRPr="004A7707">
        <w:rPr>
          <w:szCs w:val="24"/>
        </w:rPr>
        <w:t xml:space="preserve"> T</w:t>
      </w:r>
      <w:r w:rsidR="00D85EC7" w:rsidRPr="004A7707">
        <w:rPr>
          <w:szCs w:val="24"/>
        </w:rPr>
        <w:t>hese</w:t>
      </w:r>
      <w:r w:rsidR="00BB6EA8" w:rsidRPr="004A7707">
        <w:rPr>
          <w:szCs w:val="24"/>
        </w:rPr>
        <w:t xml:space="preserve"> </w:t>
      </w:r>
      <w:r w:rsidR="00DF1B1F" w:rsidRPr="004A7707">
        <w:rPr>
          <w:szCs w:val="24"/>
        </w:rPr>
        <w:t>S</w:t>
      </w:r>
      <w:r w:rsidRPr="004A7707">
        <w:rPr>
          <w:szCs w:val="24"/>
        </w:rPr>
        <w:t>tate</w:t>
      </w:r>
      <w:r w:rsidR="00DF1B1F" w:rsidRPr="004A7707">
        <w:rPr>
          <w:szCs w:val="24"/>
        </w:rPr>
        <w:t>-</w:t>
      </w:r>
      <w:r w:rsidRPr="004A7707">
        <w:rPr>
          <w:szCs w:val="24"/>
        </w:rPr>
        <w:t xml:space="preserve">wide </w:t>
      </w:r>
      <w:r w:rsidR="00DF1B1F" w:rsidRPr="004A7707">
        <w:rPr>
          <w:szCs w:val="24"/>
        </w:rPr>
        <w:t xml:space="preserve">policy issues that remain unaddressed by Defendants </w:t>
      </w:r>
      <w:r w:rsidR="00240222" w:rsidRPr="004A7707">
        <w:rPr>
          <w:szCs w:val="24"/>
        </w:rPr>
        <w:t xml:space="preserve">include the State’s </w:t>
      </w:r>
      <w:r w:rsidR="00AA5A2F" w:rsidRPr="004A7707">
        <w:rPr>
          <w:szCs w:val="24"/>
        </w:rPr>
        <w:t xml:space="preserve">adoption of Children’s Multidisciplinary Assessment Team pre-admission screening procedures that are ineffective in preventing nursing facility admissions, </w:t>
      </w:r>
      <w:r w:rsidR="00964B3D" w:rsidRPr="004A7707">
        <w:rPr>
          <w:szCs w:val="24"/>
        </w:rPr>
        <w:t>(</w:t>
      </w:r>
      <w:r w:rsidR="00AA5A2F" w:rsidRPr="004A7707">
        <w:rPr>
          <w:i/>
          <w:szCs w:val="24"/>
        </w:rPr>
        <w:t>see, e.g.,</w:t>
      </w:r>
      <w:r w:rsidR="00AA5A2F" w:rsidRPr="004A7707">
        <w:rPr>
          <w:szCs w:val="24"/>
        </w:rPr>
        <w:t xml:space="preserve"> Compl. ¶¶ 95-104</w:t>
      </w:r>
      <w:r w:rsidR="00964B3D" w:rsidRPr="004A7707">
        <w:rPr>
          <w:szCs w:val="24"/>
        </w:rPr>
        <w:t>)</w:t>
      </w:r>
      <w:r w:rsidR="00AA5A2F" w:rsidRPr="004A7707">
        <w:rPr>
          <w:szCs w:val="24"/>
        </w:rPr>
        <w:t xml:space="preserve">; </w:t>
      </w:r>
      <w:r w:rsidR="00240222" w:rsidRPr="004A7707">
        <w:rPr>
          <w:szCs w:val="24"/>
        </w:rPr>
        <w:t xml:space="preserve">and its continuing definition of “medical necessity” in its administrative code to </w:t>
      </w:r>
      <w:r w:rsidR="00240222" w:rsidRPr="004A7707">
        <w:t>deny coverage of services purportedly found to be “for the convenience of the caregiver</w:t>
      </w:r>
      <w:r w:rsidR="00AA5A2F" w:rsidRPr="004A7707">
        <w:t>,</w:t>
      </w:r>
      <w:r w:rsidR="00240222" w:rsidRPr="004A7707">
        <w:t>”</w:t>
      </w:r>
      <w:r w:rsidR="00AA5A2F" w:rsidRPr="004A7707">
        <w:t xml:space="preserve"> </w:t>
      </w:r>
      <w:r w:rsidR="00964B3D" w:rsidRPr="004A7707">
        <w:t>(</w:t>
      </w:r>
      <w:r w:rsidR="00AA5A2F" w:rsidRPr="004A7707">
        <w:rPr>
          <w:i/>
        </w:rPr>
        <w:t>see, e.g.,</w:t>
      </w:r>
      <w:r w:rsidR="00AA5A2F" w:rsidRPr="004A7707">
        <w:t xml:space="preserve"> </w:t>
      </w:r>
      <w:r w:rsidR="00AA5A2F" w:rsidRPr="004A7707">
        <w:rPr>
          <w:i/>
        </w:rPr>
        <w:t>id.</w:t>
      </w:r>
      <w:r w:rsidR="00AA5A2F" w:rsidRPr="004A7707">
        <w:t xml:space="preserve"> </w:t>
      </w:r>
      <w:r w:rsidR="00421D6E" w:rsidRPr="004A7707">
        <w:t xml:space="preserve">¶¶ </w:t>
      </w:r>
      <w:r w:rsidR="005D32A6" w:rsidRPr="004A7707">
        <w:t>60-65</w:t>
      </w:r>
      <w:r w:rsidR="00AA5A2F" w:rsidRPr="004A7707">
        <w:t>;</w:t>
      </w:r>
      <w:r w:rsidR="005D32A6" w:rsidRPr="004A7707">
        <w:t xml:space="preserve"> </w:t>
      </w:r>
      <w:r w:rsidR="00AA5A2F" w:rsidRPr="004A7707">
        <w:rPr>
          <w:i/>
        </w:rPr>
        <w:t>see also</w:t>
      </w:r>
      <w:r w:rsidR="00AA5A2F" w:rsidRPr="004A7707">
        <w:t xml:space="preserve"> </w:t>
      </w:r>
      <w:r w:rsidR="00AA5A2F" w:rsidRPr="004A7707">
        <w:rPr>
          <w:i/>
        </w:rPr>
        <w:t>id.</w:t>
      </w:r>
      <w:r w:rsidR="00AA5A2F" w:rsidRPr="004A7707">
        <w:t xml:space="preserve"> </w:t>
      </w:r>
      <w:proofErr w:type="gramStart"/>
      <w:r w:rsidR="00AA5A2F" w:rsidRPr="004A7707">
        <w:t xml:space="preserve">¶¶ </w:t>
      </w:r>
      <w:r w:rsidR="005D32A6" w:rsidRPr="004A7707">
        <w:t>276-277 (describing administration of community-based services programs that effectively deny children access to community-based services)</w:t>
      </w:r>
      <w:r w:rsidR="00662B68" w:rsidRPr="004A7707">
        <w:t>.</w:t>
      </w:r>
      <w:proofErr w:type="gramEnd"/>
      <w:r w:rsidR="00D85EC7" w:rsidRPr="004A7707">
        <w:rPr>
          <w:szCs w:val="24"/>
        </w:rPr>
        <w:t xml:space="preserve">  As such, </w:t>
      </w:r>
      <w:r w:rsidR="001D6E6C" w:rsidRPr="004A7707">
        <w:rPr>
          <w:szCs w:val="24"/>
        </w:rPr>
        <w:t xml:space="preserve">even if the Court were to make </w:t>
      </w:r>
      <w:r w:rsidR="00D85EC7" w:rsidRPr="004A7707">
        <w:rPr>
          <w:szCs w:val="24"/>
        </w:rPr>
        <w:t>a finding of mootness</w:t>
      </w:r>
      <w:r w:rsidR="001D6E6C" w:rsidRPr="004A7707">
        <w:rPr>
          <w:szCs w:val="24"/>
        </w:rPr>
        <w:t>, it sh</w:t>
      </w:r>
      <w:r w:rsidR="00D85EC7" w:rsidRPr="004A7707">
        <w:rPr>
          <w:szCs w:val="24"/>
        </w:rPr>
        <w:t>ould not prevent aspects of this case from proceeding on a class basis.</w:t>
      </w:r>
    </w:p>
    <w:p w:rsidR="004D1DC8" w:rsidRPr="004A7707" w:rsidRDefault="004D1DC8" w:rsidP="009565B7">
      <w:pPr>
        <w:pStyle w:val="Heading2"/>
        <w:keepNext/>
      </w:pPr>
      <w:r w:rsidRPr="004A7707">
        <w:t>II.</w:t>
      </w:r>
      <w:r w:rsidRPr="004A7707">
        <w:tab/>
      </w:r>
      <w:r w:rsidR="00C1140A" w:rsidRPr="004A7707">
        <w:t xml:space="preserve">Class Certification Is Appropriate </w:t>
      </w:r>
      <w:r w:rsidR="00975A81" w:rsidRPr="004A7707">
        <w:t xml:space="preserve">in </w:t>
      </w:r>
      <w:r w:rsidR="00C1140A" w:rsidRPr="004A7707">
        <w:t>This Case</w:t>
      </w:r>
      <w:r w:rsidR="00A87FA0" w:rsidRPr="004A7707">
        <w:t>.</w:t>
      </w:r>
      <w:r w:rsidR="00C1140A" w:rsidRPr="004A7707">
        <w:t xml:space="preserve"> </w:t>
      </w:r>
    </w:p>
    <w:p w:rsidR="00CF1D4C" w:rsidRPr="004A7707" w:rsidRDefault="007F0202" w:rsidP="00D8567D">
      <w:pPr>
        <w:widowControl w:val="0"/>
        <w:spacing w:line="480" w:lineRule="auto"/>
        <w:rPr>
          <w:szCs w:val="24"/>
        </w:rPr>
      </w:pPr>
      <w:r w:rsidRPr="004A7707">
        <w:rPr>
          <w:szCs w:val="24"/>
        </w:rPr>
        <w:tab/>
      </w:r>
      <w:r w:rsidR="00576F4D" w:rsidRPr="004A7707">
        <w:rPr>
          <w:szCs w:val="24"/>
        </w:rPr>
        <w:t>It is well established that civil rights actions</w:t>
      </w:r>
      <w:r w:rsidR="001547FE" w:rsidRPr="004A7707">
        <w:rPr>
          <w:szCs w:val="24"/>
        </w:rPr>
        <w:t xml:space="preserve">, </w:t>
      </w:r>
      <w:r w:rsidR="00576F4D" w:rsidRPr="004A7707">
        <w:rPr>
          <w:szCs w:val="24"/>
        </w:rPr>
        <w:t xml:space="preserve">particularly those that seek to vindicate the rights of persons with disabilities pursuant to the integration mandate of the ADA and the Supreme Court’s opinion in </w:t>
      </w:r>
      <w:r w:rsidR="00576F4D" w:rsidRPr="004A7707">
        <w:rPr>
          <w:i/>
          <w:szCs w:val="24"/>
        </w:rPr>
        <w:t>Olmstead v. L.C.</w:t>
      </w:r>
      <w:r w:rsidR="00576F4D" w:rsidRPr="004A7707">
        <w:rPr>
          <w:szCs w:val="24"/>
        </w:rPr>
        <w:t>, 527 U.S. 581 (1999)</w:t>
      </w:r>
      <w:r w:rsidR="001547FE" w:rsidRPr="004A7707">
        <w:rPr>
          <w:szCs w:val="24"/>
        </w:rPr>
        <w:t>, may be</w:t>
      </w:r>
      <w:r w:rsidR="00D6153E" w:rsidRPr="004A7707">
        <w:rPr>
          <w:szCs w:val="24"/>
        </w:rPr>
        <w:t xml:space="preserve"> </w:t>
      </w:r>
      <w:r w:rsidR="00576F4D" w:rsidRPr="004A7707">
        <w:rPr>
          <w:szCs w:val="24"/>
        </w:rPr>
        <w:t xml:space="preserve">well-suited </w:t>
      </w:r>
      <w:r w:rsidR="00D6153E" w:rsidRPr="004A7707">
        <w:rPr>
          <w:szCs w:val="24"/>
        </w:rPr>
        <w:t xml:space="preserve">for </w:t>
      </w:r>
      <w:r w:rsidR="00576F4D" w:rsidRPr="004A7707">
        <w:rPr>
          <w:szCs w:val="24"/>
        </w:rPr>
        <w:t>resolution on a class basis</w:t>
      </w:r>
      <w:r w:rsidR="001547FE" w:rsidRPr="004A7707">
        <w:rPr>
          <w:szCs w:val="24"/>
        </w:rPr>
        <w:t xml:space="preserve">.  </w:t>
      </w:r>
      <w:r w:rsidR="00636D7E" w:rsidRPr="004A7707">
        <w:rPr>
          <w:i/>
          <w:szCs w:val="24"/>
        </w:rPr>
        <w:t>See, e.g.,</w:t>
      </w:r>
      <w:r w:rsidR="00636D7E" w:rsidRPr="004A7707">
        <w:rPr>
          <w:szCs w:val="24"/>
        </w:rPr>
        <w:t xml:space="preserve"> </w:t>
      </w:r>
      <w:r w:rsidR="00636D7E" w:rsidRPr="004A7707">
        <w:rPr>
          <w:i/>
        </w:rPr>
        <w:t>Pashby v. Delia</w:t>
      </w:r>
      <w:r w:rsidR="00636D7E" w:rsidRPr="004A7707">
        <w:t xml:space="preserve">, No. 11-2363, 2013 U.S. App. </w:t>
      </w:r>
      <w:r w:rsidR="00636D7E" w:rsidRPr="004A7707">
        <w:rPr>
          <w:smallCaps/>
        </w:rPr>
        <w:t>Lexis</w:t>
      </w:r>
      <w:r w:rsidR="00636D7E" w:rsidRPr="004A7707">
        <w:t xml:space="preserve"> 4516, at *14-*18 (4th Cir. Mar. 5, 2013) (upholding certification of class of a</w:t>
      </w:r>
      <w:r w:rsidR="00636D7E" w:rsidRPr="004A7707">
        <w:rPr>
          <w:szCs w:val="23"/>
        </w:rPr>
        <w:t>ll current or future North Carolina Medicaid recipients age 21 or older who have, or will have, coverage of personal care denied, delayed, interrupted, terminated, or reduced due to new eligibility requirements</w:t>
      </w:r>
      <w:r w:rsidR="008771A8" w:rsidRPr="004A7707">
        <w:rPr>
          <w:szCs w:val="23"/>
        </w:rPr>
        <w:t xml:space="preserve"> in violation of the ADA</w:t>
      </w:r>
      <w:r w:rsidR="00636D7E" w:rsidRPr="004A7707">
        <w:rPr>
          <w:szCs w:val="23"/>
        </w:rPr>
        <w:t xml:space="preserve">); </w:t>
      </w:r>
      <w:r w:rsidR="00636D7E" w:rsidRPr="004A7707">
        <w:rPr>
          <w:i/>
        </w:rPr>
        <w:t>Lane v. Kitzhaber</w:t>
      </w:r>
      <w:r w:rsidR="00636D7E" w:rsidRPr="004A7707">
        <w:t>, 283 F.R.D. 587, 594-602</w:t>
      </w:r>
      <w:r w:rsidR="00D8567D" w:rsidRPr="004A7707">
        <w:t xml:space="preserve"> (D. Or. 2012)</w:t>
      </w:r>
      <w:r w:rsidR="00636D7E" w:rsidRPr="004A7707">
        <w:t xml:space="preserve"> (certifying class of individuals with intellectual or developmental disabilities who are in or have been referred to sheltered workshops and who are qualified for supported employment services, for claims arising under ADA and R</w:t>
      </w:r>
      <w:r w:rsidR="00A40923" w:rsidRPr="004A7707">
        <w:t>ehabilitation Act)</w:t>
      </w:r>
      <w:r w:rsidR="00E364C8" w:rsidRPr="004A7707">
        <w:rPr>
          <w:rStyle w:val="FootnoteReference"/>
          <w:szCs w:val="24"/>
        </w:rPr>
        <w:footnoteReference w:id="16"/>
      </w:r>
      <w:r w:rsidR="00A73062" w:rsidRPr="004A7707">
        <w:rPr>
          <w:szCs w:val="24"/>
        </w:rPr>
        <w:t xml:space="preserve">.  </w:t>
      </w:r>
      <w:r w:rsidR="001547FE" w:rsidRPr="004A7707">
        <w:rPr>
          <w:szCs w:val="24"/>
        </w:rPr>
        <w:t xml:space="preserve">These actions frequently </w:t>
      </w:r>
      <w:r w:rsidR="00576F4D" w:rsidRPr="004A7707">
        <w:rPr>
          <w:szCs w:val="24"/>
        </w:rPr>
        <w:t>call for rulings on State policies</w:t>
      </w:r>
      <w:r w:rsidR="00DC74A2" w:rsidRPr="004A7707">
        <w:rPr>
          <w:szCs w:val="24"/>
        </w:rPr>
        <w:t xml:space="preserve"> </w:t>
      </w:r>
      <w:r w:rsidR="001F782F" w:rsidRPr="004A7707">
        <w:rPr>
          <w:szCs w:val="24"/>
        </w:rPr>
        <w:t xml:space="preserve">and practices </w:t>
      </w:r>
      <w:r w:rsidR="00576F4D" w:rsidRPr="004A7707">
        <w:rPr>
          <w:szCs w:val="24"/>
        </w:rPr>
        <w:t xml:space="preserve">that simultaneously impact large numbers of citizens.  This case presents no exception.  Plaintiffs here seek declaratory and injunctive relief </w:t>
      </w:r>
      <w:r w:rsidR="001547FE" w:rsidRPr="004A7707">
        <w:rPr>
          <w:szCs w:val="24"/>
        </w:rPr>
        <w:t>to change</w:t>
      </w:r>
      <w:r w:rsidR="00DB1D91" w:rsidRPr="004A7707">
        <w:rPr>
          <w:szCs w:val="24"/>
        </w:rPr>
        <w:t xml:space="preserve"> State policies</w:t>
      </w:r>
      <w:r w:rsidR="00332C33" w:rsidRPr="004A7707">
        <w:rPr>
          <w:szCs w:val="24"/>
        </w:rPr>
        <w:t xml:space="preserve"> and practices</w:t>
      </w:r>
      <w:r w:rsidR="00DB1D91" w:rsidRPr="004A7707">
        <w:rPr>
          <w:szCs w:val="24"/>
        </w:rPr>
        <w:t xml:space="preserve"> that either </w:t>
      </w:r>
      <w:proofErr w:type="gramStart"/>
      <w:r w:rsidR="00DB1D91" w:rsidRPr="004A7707">
        <w:rPr>
          <w:szCs w:val="24"/>
        </w:rPr>
        <w:t>have</w:t>
      </w:r>
      <w:proofErr w:type="gramEnd"/>
      <w:r w:rsidR="00DB1D91" w:rsidRPr="004A7707">
        <w:rPr>
          <w:szCs w:val="24"/>
        </w:rPr>
        <w:t xml:space="preserve"> resulted in the warehousing of </w:t>
      </w:r>
      <w:r w:rsidR="00576F4D" w:rsidRPr="004A7707">
        <w:rPr>
          <w:szCs w:val="24"/>
        </w:rPr>
        <w:t>large numbers of medically fragile children into nursing facilities</w:t>
      </w:r>
      <w:r w:rsidR="00DB1D91" w:rsidRPr="004A7707">
        <w:rPr>
          <w:szCs w:val="24"/>
        </w:rPr>
        <w:t>, or threaten to do so</w:t>
      </w:r>
      <w:r w:rsidR="00576F4D" w:rsidRPr="004A7707">
        <w:rPr>
          <w:szCs w:val="24"/>
        </w:rPr>
        <w:t xml:space="preserve">.  If Plaintiffs prevail </w:t>
      </w:r>
      <w:r w:rsidR="00DB1D91" w:rsidRPr="004A7707">
        <w:rPr>
          <w:szCs w:val="24"/>
        </w:rPr>
        <w:t xml:space="preserve">in arguing that </w:t>
      </w:r>
      <w:r w:rsidR="00576F4D" w:rsidRPr="004A7707">
        <w:rPr>
          <w:szCs w:val="24"/>
        </w:rPr>
        <w:t>these State policies</w:t>
      </w:r>
      <w:r w:rsidR="00DB1D91" w:rsidRPr="004A7707">
        <w:rPr>
          <w:szCs w:val="24"/>
        </w:rPr>
        <w:t xml:space="preserve"> </w:t>
      </w:r>
      <w:r w:rsidR="00450471" w:rsidRPr="004A7707">
        <w:t>violate the ADA</w:t>
      </w:r>
      <w:r w:rsidR="00576F4D" w:rsidRPr="004A7707">
        <w:rPr>
          <w:szCs w:val="24"/>
        </w:rPr>
        <w:t>,</w:t>
      </w:r>
      <w:r w:rsidR="00392ED5" w:rsidRPr="004A7707">
        <w:rPr>
          <w:szCs w:val="24"/>
        </w:rPr>
        <w:t xml:space="preserve"> </w:t>
      </w:r>
      <w:r w:rsidR="00213B70" w:rsidRPr="004A7707">
        <w:rPr>
          <w:szCs w:val="24"/>
        </w:rPr>
        <w:t xml:space="preserve">then </w:t>
      </w:r>
      <w:r w:rsidR="00576F4D" w:rsidRPr="004A7707">
        <w:rPr>
          <w:szCs w:val="24"/>
        </w:rPr>
        <w:t xml:space="preserve">this Court </w:t>
      </w:r>
      <w:r w:rsidR="001547FE" w:rsidRPr="004A7707">
        <w:rPr>
          <w:szCs w:val="24"/>
        </w:rPr>
        <w:t xml:space="preserve">can </w:t>
      </w:r>
      <w:r w:rsidR="00576F4D" w:rsidRPr="004A7707">
        <w:rPr>
          <w:szCs w:val="24"/>
        </w:rPr>
        <w:t xml:space="preserve">issue a single order </w:t>
      </w:r>
      <w:r w:rsidR="00DB1D91" w:rsidRPr="004A7707">
        <w:rPr>
          <w:szCs w:val="24"/>
        </w:rPr>
        <w:t>commanding the State to change its policies</w:t>
      </w:r>
      <w:r w:rsidR="001547FE" w:rsidRPr="004A7707">
        <w:rPr>
          <w:szCs w:val="24"/>
        </w:rPr>
        <w:t xml:space="preserve">, </w:t>
      </w:r>
      <w:r w:rsidR="00715344" w:rsidRPr="004A7707">
        <w:rPr>
          <w:szCs w:val="24"/>
        </w:rPr>
        <w:t xml:space="preserve">to refrain from </w:t>
      </w:r>
      <w:r w:rsidR="001547FE" w:rsidRPr="004A7707">
        <w:rPr>
          <w:szCs w:val="24"/>
        </w:rPr>
        <w:t xml:space="preserve">employing </w:t>
      </w:r>
      <w:r w:rsidR="00715344" w:rsidRPr="004A7707">
        <w:rPr>
          <w:szCs w:val="24"/>
        </w:rPr>
        <w:t>discriminatory policies</w:t>
      </w:r>
      <w:r w:rsidR="001547FE" w:rsidRPr="004A7707">
        <w:rPr>
          <w:szCs w:val="24"/>
        </w:rPr>
        <w:t>, and to</w:t>
      </w:r>
      <w:r w:rsidR="00715344" w:rsidRPr="004A7707">
        <w:rPr>
          <w:szCs w:val="24"/>
        </w:rPr>
        <w:t xml:space="preserve"> </w:t>
      </w:r>
      <w:r w:rsidR="008E6F38" w:rsidRPr="004A7707">
        <w:rPr>
          <w:szCs w:val="24"/>
        </w:rPr>
        <w:t>institute</w:t>
      </w:r>
      <w:r w:rsidR="00715344" w:rsidRPr="004A7707">
        <w:rPr>
          <w:szCs w:val="24"/>
        </w:rPr>
        <w:t xml:space="preserve"> policies to prevent discrimination</w:t>
      </w:r>
      <w:r w:rsidR="001547FE" w:rsidRPr="004A7707">
        <w:rPr>
          <w:szCs w:val="24"/>
        </w:rPr>
        <w:t xml:space="preserve">.  Such an order </w:t>
      </w:r>
      <w:r w:rsidR="00D527CE" w:rsidRPr="004A7707">
        <w:rPr>
          <w:szCs w:val="24"/>
        </w:rPr>
        <w:t xml:space="preserve">would </w:t>
      </w:r>
      <w:r w:rsidR="00DB1D91" w:rsidRPr="004A7707">
        <w:rPr>
          <w:szCs w:val="24"/>
        </w:rPr>
        <w:t>provide relief to the entire proposed class.</w:t>
      </w:r>
    </w:p>
    <w:p w:rsidR="00576F4D" w:rsidRPr="004A7707" w:rsidRDefault="00AD68C0" w:rsidP="00AD68C0">
      <w:pPr>
        <w:pStyle w:val="Heading3"/>
        <w:rPr>
          <w:u w:val="single"/>
        </w:rPr>
      </w:pPr>
      <w:r w:rsidRPr="004A7707">
        <w:t>A.</w:t>
      </w:r>
      <w:r w:rsidRPr="004A7707">
        <w:tab/>
      </w:r>
      <w:r w:rsidR="00576F4D" w:rsidRPr="004A7707">
        <w:t xml:space="preserve">Class Certification Allows for Efficient, Effective Resolution of Civil Rights </w:t>
      </w:r>
      <w:r w:rsidR="00240222" w:rsidRPr="004A7707">
        <w:rPr>
          <w:u w:val="single"/>
        </w:rPr>
        <w:t>Cases, Especially Those Involving Rights Protected by the ADA.</w:t>
      </w:r>
      <w:r w:rsidR="00240222" w:rsidRPr="004A7707">
        <w:rPr>
          <w:u w:val="single"/>
        </w:rPr>
        <w:tab/>
      </w:r>
      <w:r w:rsidR="00240222" w:rsidRPr="004A7707">
        <w:rPr>
          <w:u w:val="single"/>
        </w:rPr>
        <w:tab/>
      </w:r>
      <w:r w:rsidR="00240222" w:rsidRPr="004A7707">
        <w:rPr>
          <w:u w:val="single"/>
        </w:rPr>
        <w:tab/>
      </w:r>
    </w:p>
    <w:p w:rsidR="008D086E" w:rsidRPr="004A7707" w:rsidRDefault="00576F4D" w:rsidP="00576F4D">
      <w:pPr>
        <w:widowControl w:val="0"/>
        <w:spacing w:line="480" w:lineRule="auto"/>
        <w:rPr>
          <w:szCs w:val="24"/>
        </w:rPr>
      </w:pPr>
      <w:r w:rsidRPr="004A7707">
        <w:rPr>
          <w:szCs w:val="24"/>
        </w:rPr>
        <w:tab/>
      </w:r>
      <w:r w:rsidR="00653B06" w:rsidRPr="004A7707">
        <w:rPr>
          <w:szCs w:val="24"/>
        </w:rPr>
        <w:t xml:space="preserve">It has </w:t>
      </w:r>
      <w:r w:rsidR="008D086E" w:rsidRPr="004A7707">
        <w:rPr>
          <w:szCs w:val="24"/>
        </w:rPr>
        <w:t xml:space="preserve">long been understood that “[c]ivil rights cases against parties charged with unlawful, class-based discrimination are prime examples” of appropriate class actions under Rule 23.  </w:t>
      </w:r>
      <w:r w:rsidR="003D469F" w:rsidRPr="004A7707">
        <w:rPr>
          <w:i/>
          <w:szCs w:val="24"/>
        </w:rPr>
        <w:t>Wal-Mart v. Dukes</w:t>
      </w:r>
      <w:r w:rsidR="003D469F" w:rsidRPr="004A7707">
        <w:rPr>
          <w:szCs w:val="24"/>
        </w:rPr>
        <w:t xml:space="preserve">, 131 S. Ct. 2541, 2557 (2011) </w:t>
      </w:r>
      <w:r w:rsidR="008D086E" w:rsidRPr="004A7707">
        <w:rPr>
          <w:szCs w:val="24"/>
        </w:rPr>
        <w:t xml:space="preserve">(quoting </w:t>
      </w:r>
      <w:r w:rsidR="008D086E" w:rsidRPr="004A7707">
        <w:rPr>
          <w:i/>
          <w:szCs w:val="24"/>
        </w:rPr>
        <w:t>Amchem Prods. v. Windsor</w:t>
      </w:r>
      <w:r w:rsidR="008D086E" w:rsidRPr="004A7707">
        <w:rPr>
          <w:szCs w:val="24"/>
        </w:rPr>
        <w:t xml:space="preserve">, 521 U.S. 591, 614 (1997)).  Numerous courts have recognized that a class action for declaratory and injunctive relief </w:t>
      </w:r>
      <w:r w:rsidR="00731A18" w:rsidRPr="004A7707">
        <w:rPr>
          <w:szCs w:val="24"/>
        </w:rPr>
        <w:t xml:space="preserve">under Rule 23, </w:t>
      </w:r>
      <w:r w:rsidR="00BA06C6" w:rsidRPr="004A7707">
        <w:rPr>
          <w:szCs w:val="24"/>
        </w:rPr>
        <w:t>specifically</w:t>
      </w:r>
      <w:r w:rsidR="00731A18" w:rsidRPr="004A7707">
        <w:rPr>
          <w:szCs w:val="24"/>
        </w:rPr>
        <w:t xml:space="preserve"> under Rule 23(b)(2), </w:t>
      </w:r>
      <w:r w:rsidR="008D086E" w:rsidRPr="004A7707">
        <w:rPr>
          <w:szCs w:val="24"/>
        </w:rPr>
        <w:t xml:space="preserve">is an appropriate vehicle for </w:t>
      </w:r>
      <w:r w:rsidR="00450471" w:rsidRPr="004A7707">
        <w:t xml:space="preserve">adjudicating </w:t>
      </w:r>
      <w:r w:rsidR="00450471" w:rsidRPr="004A7707">
        <w:rPr>
          <w:i/>
        </w:rPr>
        <w:t>Olmstead</w:t>
      </w:r>
      <w:r w:rsidR="00450471" w:rsidRPr="004A7707">
        <w:t>-based</w:t>
      </w:r>
      <w:r w:rsidR="003D469F" w:rsidRPr="004A7707">
        <w:rPr>
          <w:szCs w:val="24"/>
        </w:rPr>
        <w:t xml:space="preserve"> challenges to </w:t>
      </w:r>
      <w:r w:rsidR="008D086E" w:rsidRPr="004A7707">
        <w:rPr>
          <w:szCs w:val="24"/>
        </w:rPr>
        <w:t xml:space="preserve">systemic denials of community services to persons with disabilities.  </w:t>
      </w:r>
      <w:proofErr w:type="gramStart"/>
      <w:r w:rsidR="008D086E" w:rsidRPr="004A7707">
        <w:rPr>
          <w:i/>
          <w:szCs w:val="24"/>
        </w:rPr>
        <w:t>See, e.g.,</w:t>
      </w:r>
      <w:r w:rsidR="008D086E" w:rsidRPr="004A7707">
        <w:rPr>
          <w:szCs w:val="24"/>
        </w:rPr>
        <w:t xml:space="preserve"> </w:t>
      </w:r>
      <w:r w:rsidR="008D086E" w:rsidRPr="004A7707">
        <w:rPr>
          <w:i/>
          <w:szCs w:val="24"/>
        </w:rPr>
        <w:t>Frederick L. v. Dep’t of Pub.</w:t>
      </w:r>
      <w:proofErr w:type="gramEnd"/>
      <w:r w:rsidR="008D086E" w:rsidRPr="004A7707">
        <w:rPr>
          <w:i/>
          <w:szCs w:val="24"/>
        </w:rPr>
        <w:t xml:space="preserve"> Welf</w:t>
      </w:r>
      <w:r w:rsidR="002B7791" w:rsidRPr="004A7707">
        <w:rPr>
          <w:i/>
          <w:szCs w:val="24"/>
        </w:rPr>
        <w:t>are</w:t>
      </w:r>
      <w:r w:rsidR="008D086E" w:rsidRPr="004A7707">
        <w:rPr>
          <w:szCs w:val="24"/>
        </w:rPr>
        <w:t xml:space="preserve">, 364 F.3d 487, 498 (3d Cir. 2004) (“Appellants represent a class of mental health patients institutionalized … [and] who are qualified for and wish to be placed in a community-care setting.”); </w:t>
      </w:r>
      <w:r w:rsidR="008D086E" w:rsidRPr="004A7707">
        <w:rPr>
          <w:i/>
          <w:szCs w:val="24"/>
        </w:rPr>
        <w:t>Long v. Benson</w:t>
      </w:r>
      <w:r w:rsidR="008D086E" w:rsidRPr="004A7707">
        <w:rPr>
          <w:szCs w:val="24"/>
        </w:rPr>
        <w:t xml:space="preserve">, No. 4:08cv26-RH/WCS, 2008 U.S. Dist. </w:t>
      </w:r>
      <w:r w:rsidR="002B7791" w:rsidRPr="004A7707">
        <w:rPr>
          <w:smallCaps/>
          <w:szCs w:val="24"/>
        </w:rPr>
        <w:t>Lexis</w:t>
      </w:r>
      <w:r w:rsidR="008D086E" w:rsidRPr="004A7707">
        <w:rPr>
          <w:szCs w:val="24"/>
        </w:rPr>
        <w:t xml:space="preserve"> 109917, </w:t>
      </w:r>
      <w:r w:rsidR="002B7791" w:rsidRPr="004A7707">
        <w:rPr>
          <w:szCs w:val="24"/>
        </w:rPr>
        <w:t xml:space="preserve">at </w:t>
      </w:r>
      <w:r w:rsidR="008D086E" w:rsidRPr="004A7707">
        <w:rPr>
          <w:szCs w:val="24"/>
        </w:rPr>
        <w:t xml:space="preserve">*7 (N.D. Fla. Oct. 14, 2008) (certifying class of nursing home residents who “could and would reside in the community with appropriate community-based services.”); </w:t>
      </w:r>
      <w:r w:rsidR="008D086E" w:rsidRPr="004A7707">
        <w:rPr>
          <w:i/>
          <w:szCs w:val="24"/>
        </w:rPr>
        <w:t>Pitts v. Greenstein</w:t>
      </w:r>
      <w:r w:rsidR="008D086E" w:rsidRPr="004A7707">
        <w:rPr>
          <w:szCs w:val="24"/>
        </w:rPr>
        <w:t xml:space="preserve">, No. 10-635-JJB-SR, 2011 U.S. Dist. </w:t>
      </w:r>
      <w:r w:rsidR="002B7791" w:rsidRPr="004A7707">
        <w:rPr>
          <w:smallCaps/>
          <w:szCs w:val="24"/>
        </w:rPr>
        <w:t>Lexis</w:t>
      </w:r>
      <w:r w:rsidR="008D086E" w:rsidRPr="004A7707">
        <w:rPr>
          <w:szCs w:val="24"/>
        </w:rPr>
        <w:t xml:space="preserve"> 60138, </w:t>
      </w:r>
      <w:r w:rsidR="002B7791" w:rsidRPr="004A7707">
        <w:rPr>
          <w:szCs w:val="24"/>
        </w:rPr>
        <w:t xml:space="preserve">at </w:t>
      </w:r>
      <w:r w:rsidR="008D086E" w:rsidRPr="004A7707">
        <w:rPr>
          <w:szCs w:val="24"/>
        </w:rPr>
        <w:t>*8 (M.D. La. June 6, 2011) (certifying class of persons with disabilities challenging reductions to community services).</w:t>
      </w:r>
      <w:r w:rsidR="007617AF" w:rsidRPr="004A7707">
        <w:rPr>
          <w:rStyle w:val="FootnoteReference"/>
          <w:szCs w:val="24"/>
        </w:rPr>
        <w:footnoteReference w:id="17"/>
      </w:r>
    </w:p>
    <w:p w:rsidR="00824E9C" w:rsidRPr="004A7707" w:rsidRDefault="003F4B46" w:rsidP="00FC5304">
      <w:pPr>
        <w:widowControl w:val="0"/>
        <w:spacing w:line="480" w:lineRule="auto"/>
        <w:rPr>
          <w:szCs w:val="24"/>
        </w:rPr>
      </w:pPr>
      <w:r w:rsidRPr="004A7707">
        <w:rPr>
          <w:szCs w:val="24"/>
        </w:rPr>
        <w:tab/>
        <w:t xml:space="preserve">The Supreme Court’s recent decision in </w:t>
      </w:r>
      <w:r w:rsidRPr="004A7707">
        <w:rPr>
          <w:i/>
          <w:szCs w:val="24"/>
        </w:rPr>
        <w:t>Wal-Mart</w:t>
      </w:r>
      <w:r w:rsidRPr="004A7707">
        <w:rPr>
          <w:szCs w:val="24"/>
        </w:rPr>
        <w:t xml:space="preserve"> does not alter these principles.  </w:t>
      </w:r>
      <w:r w:rsidR="007D190D" w:rsidRPr="004A7707">
        <w:rPr>
          <w:szCs w:val="24"/>
        </w:rPr>
        <w:t xml:space="preserve">In </w:t>
      </w:r>
      <w:r w:rsidRPr="004A7707">
        <w:rPr>
          <w:i/>
          <w:szCs w:val="24"/>
        </w:rPr>
        <w:t>Wal-Mart</w:t>
      </w:r>
      <w:r w:rsidR="007D190D" w:rsidRPr="004A7707">
        <w:rPr>
          <w:szCs w:val="24"/>
        </w:rPr>
        <w:t xml:space="preserve">, </w:t>
      </w:r>
      <w:r w:rsidR="00FC5304" w:rsidRPr="004A7707">
        <w:rPr>
          <w:szCs w:val="24"/>
        </w:rPr>
        <w:t xml:space="preserve">named </w:t>
      </w:r>
      <w:r w:rsidR="007D190D" w:rsidRPr="004A7707">
        <w:rPr>
          <w:szCs w:val="24"/>
        </w:rPr>
        <w:t xml:space="preserve">plaintiffs were female Wal-Mart employees who </w:t>
      </w:r>
      <w:r w:rsidR="001D1D27" w:rsidRPr="004A7707">
        <w:rPr>
          <w:szCs w:val="24"/>
        </w:rPr>
        <w:t xml:space="preserve">sued </w:t>
      </w:r>
      <w:r w:rsidR="00FC5304" w:rsidRPr="004A7707">
        <w:rPr>
          <w:szCs w:val="24"/>
        </w:rPr>
        <w:t>the company</w:t>
      </w:r>
      <w:r w:rsidR="00FA5BC5" w:rsidRPr="004A7707">
        <w:rPr>
          <w:szCs w:val="24"/>
        </w:rPr>
        <w:t xml:space="preserve"> under Title VII of the Civil Rights Act of 1964, </w:t>
      </w:r>
      <w:r w:rsidR="001D1D27" w:rsidRPr="004A7707">
        <w:rPr>
          <w:szCs w:val="24"/>
        </w:rPr>
        <w:t xml:space="preserve">alleging </w:t>
      </w:r>
      <w:r w:rsidR="00FC5304" w:rsidRPr="004A7707">
        <w:rPr>
          <w:szCs w:val="24"/>
        </w:rPr>
        <w:t xml:space="preserve">that they and members of their proposed </w:t>
      </w:r>
      <w:r w:rsidR="001D1D27" w:rsidRPr="004A7707">
        <w:rPr>
          <w:szCs w:val="24"/>
        </w:rPr>
        <w:t xml:space="preserve">class </w:t>
      </w:r>
      <w:r w:rsidR="00FC5304" w:rsidRPr="004A7707">
        <w:rPr>
          <w:szCs w:val="24"/>
        </w:rPr>
        <w:t xml:space="preserve">had </w:t>
      </w:r>
      <w:r w:rsidR="001D1D27" w:rsidRPr="004A7707">
        <w:rPr>
          <w:szCs w:val="24"/>
        </w:rPr>
        <w:t xml:space="preserve">been wrongfully denied advancement within the company due </w:t>
      </w:r>
      <w:r w:rsidR="00FC5304" w:rsidRPr="004A7707">
        <w:rPr>
          <w:szCs w:val="24"/>
        </w:rPr>
        <w:t>to sex discrimination.</w:t>
      </w:r>
      <w:r w:rsidR="001D1D27" w:rsidRPr="004A7707">
        <w:rPr>
          <w:szCs w:val="24"/>
        </w:rPr>
        <w:t xml:space="preserve">  </w:t>
      </w:r>
      <w:r w:rsidR="001D1D27" w:rsidRPr="004A7707">
        <w:rPr>
          <w:i/>
          <w:szCs w:val="24"/>
        </w:rPr>
        <w:t>See</w:t>
      </w:r>
      <w:r w:rsidR="001D1D27" w:rsidRPr="004A7707">
        <w:rPr>
          <w:szCs w:val="24"/>
        </w:rPr>
        <w:t xml:space="preserve"> 131 S. Ct. at 25</w:t>
      </w:r>
      <w:r w:rsidR="00612DEB" w:rsidRPr="004A7707">
        <w:rPr>
          <w:szCs w:val="24"/>
        </w:rPr>
        <w:t>47</w:t>
      </w:r>
      <w:r w:rsidR="001D1D27" w:rsidRPr="004A7707">
        <w:rPr>
          <w:szCs w:val="24"/>
        </w:rPr>
        <w:t xml:space="preserve">.  </w:t>
      </w:r>
      <w:r w:rsidR="000460DC" w:rsidRPr="004A7707">
        <w:rPr>
          <w:szCs w:val="24"/>
        </w:rPr>
        <w:t>T</w:t>
      </w:r>
      <w:r w:rsidR="001D1D27" w:rsidRPr="004A7707">
        <w:rPr>
          <w:szCs w:val="24"/>
        </w:rPr>
        <w:t xml:space="preserve">he named </w:t>
      </w:r>
      <w:r w:rsidR="00FC5304" w:rsidRPr="004A7707">
        <w:rPr>
          <w:szCs w:val="24"/>
        </w:rPr>
        <w:t xml:space="preserve">plaintiffs were unable to identify any </w:t>
      </w:r>
      <w:r w:rsidR="00824E9C" w:rsidRPr="004A7707">
        <w:rPr>
          <w:szCs w:val="24"/>
        </w:rPr>
        <w:t xml:space="preserve">particular </w:t>
      </w:r>
      <w:r w:rsidR="00FC5304" w:rsidRPr="004A7707">
        <w:rPr>
          <w:szCs w:val="24"/>
        </w:rPr>
        <w:t xml:space="preserve">Wal-Mart </w:t>
      </w:r>
      <w:r w:rsidR="00FA5BC5" w:rsidRPr="004A7707">
        <w:rPr>
          <w:szCs w:val="24"/>
        </w:rPr>
        <w:t>policies</w:t>
      </w:r>
      <w:r w:rsidR="00FC5304" w:rsidRPr="004A7707">
        <w:rPr>
          <w:szCs w:val="24"/>
        </w:rPr>
        <w:t xml:space="preserve"> as the root cause</w:t>
      </w:r>
      <w:r w:rsidR="00FA5BC5" w:rsidRPr="004A7707">
        <w:rPr>
          <w:szCs w:val="24"/>
        </w:rPr>
        <w:t>s</w:t>
      </w:r>
      <w:r w:rsidR="00FC5304" w:rsidRPr="004A7707">
        <w:rPr>
          <w:szCs w:val="24"/>
        </w:rPr>
        <w:t xml:space="preserve"> of th</w:t>
      </w:r>
      <w:r w:rsidR="00824E9C" w:rsidRPr="004A7707">
        <w:rPr>
          <w:szCs w:val="24"/>
        </w:rPr>
        <w:t>at</w:t>
      </w:r>
      <w:r w:rsidR="00FC5304" w:rsidRPr="004A7707">
        <w:rPr>
          <w:szCs w:val="24"/>
        </w:rPr>
        <w:t xml:space="preserve"> discrimination.  Instead, they were only able to assert that the company had had a “corporate culture</w:t>
      </w:r>
      <w:r w:rsidR="00824E9C" w:rsidRPr="004A7707">
        <w:rPr>
          <w:szCs w:val="24"/>
        </w:rPr>
        <w:t>,” which “</w:t>
      </w:r>
      <w:proofErr w:type="gramStart"/>
      <w:r w:rsidR="00824E9C" w:rsidRPr="004A7707">
        <w:rPr>
          <w:szCs w:val="24"/>
        </w:rPr>
        <w:t>infect[</w:t>
      </w:r>
      <w:proofErr w:type="gramEnd"/>
      <w:r w:rsidR="00824E9C" w:rsidRPr="004A7707">
        <w:rPr>
          <w:szCs w:val="24"/>
        </w:rPr>
        <w:t>ed], perhaps subconsciously,” the decision-making process</w:t>
      </w:r>
      <w:r w:rsidR="00FA5BC5" w:rsidRPr="004A7707">
        <w:rPr>
          <w:szCs w:val="24"/>
        </w:rPr>
        <w:t>es</w:t>
      </w:r>
      <w:r w:rsidR="00824E9C" w:rsidRPr="004A7707">
        <w:rPr>
          <w:szCs w:val="24"/>
        </w:rPr>
        <w:t xml:space="preserve"> of many of </w:t>
      </w:r>
      <w:r w:rsidR="00FA5BC5" w:rsidRPr="004A7707">
        <w:rPr>
          <w:szCs w:val="24"/>
        </w:rPr>
        <w:t xml:space="preserve">its </w:t>
      </w:r>
      <w:r w:rsidR="00824E9C" w:rsidRPr="004A7707">
        <w:rPr>
          <w:szCs w:val="24"/>
        </w:rPr>
        <w:t xml:space="preserve">thousands of </w:t>
      </w:r>
      <w:r w:rsidR="00FA5BC5" w:rsidRPr="004A7707">
        <w:rPr>
          <w:szCs w:val="24"/>
        </w:rPr>
        <w:t xml:space="preserve">store </w:t>
      </w:r>
      <w:r w:rsidR="00824E9C" w:rsidRPr="004A7707">
        <w:rPr>
          <w:szCs w:val="24"/>
        </w:rPr>
        <w:t xml:space="preserve">managers, each of whom acted at his own discretion.  </w:t>
      </w:r>
      <w:proofErr w:type="gramStart"/>
      <w:r w:rsidR="00824E9C" w:rsidRPr="004A7707">
        <w:rPr>
          <w:i/>
          <w:szCs w:val="24"/>
        </w:rPr>
        <w:t>Id.</w:t>
      </w:r>
      <w:r w:rsidR="00824E9C" w:rsidRPr="004A7707">
        <w:rPr>
          <w:szCs w:val="24"/>
        </w:rPr>
        <w:t xml:space="preserve"> at 25</w:t>
      </w:r>
      <w:r w:rsidR="00612DEB" w:rsidRPr="004A7707">
        <w:rPr>
          <w:szCs w:val="24"/>
        </w:rPr>
        <w:t>48</w:t>
      </w:r>
      <w:r w:rsidR="00824E9C" w:rsidRPr="004A7707">
        <w:rPr>
          <w:szCs w:val="24"/>
        </w:rPr>
        <w:t>.</w:t>
      </w:r>
      <w:proofErr w:type="gramEnd"/>
      <w:r w:rsidR="00824E9C" w:rsidRPr="004A7707">
        <w:rPr>
          <w:szCs w:val="24"/>
        </w:rPr>
        <w:t xml:space="preserve">  The Supreme Court held that this was insufficient to justify class certification</w:t>
      </w:r>
      <w:r w:rsidR="00802A8E" w:rsidRPr="004A7707">
        <w:rPr>
          <w:szCs w:val="24"/>
        </w:rPr>
        <w:t>, reasoning that there was a lack of commonality between the proposed class members’ claims, as is required by Rule 23(a</w:t>
      </w:r>
      <w:proofErr w:type="gramStart"/>
      <w:r w:rsidR="00802A8E" w:rsidRPr="004A7707">
        <w:rPr>
          <w:szCs w:val="24"/>
        </w:rPr>
        <w:t>)(</w:t>
      </w:r>
      <w:proofErr w:type="gramEnd"/>
      <w:r w:rsidR="00802A8E" w:rsidRPr="004A7707">
        <w:rPr>
          <w:szCs w:val="24"/>
        </w:rPr>
        <w:t xml:space="preserve">2).  </w:t>
      </w:r>
      <w:r w:rsidR="00CA3949" w:rsidRPr="004A7707">
        <w:rPr>
          <w:szCs w:val="24"/>
        </w:rPr>
        <w:t>The Court recognized that in analyzing commonality under Rule 23(a</w:t>
      </w:r>
      <w:proofErr w:type="gramStart"/>
      <w:r w:rsidR="00CA3949" w:rsidRPr="004A7707">
        <w:rPr>
          <w:szCs w:val="24"/>
        </w:rPr>
        <w:t>)(</w:t>
      </w:r>
      <w:proofErr w:type="gramEnd"/>
      <w:r w:rsidR="00CA3949" w:rsidRPr="004A7707">
        <w:rPr>
          <w:szCs w:val="24"/>
        </w:rPr>
        <w:t xml:space="preserve">2), “even a single common question will do.”  </w:t>
      </w:r>
      <w:r w:rsidR="00CA3949" w:rsidRPr="004A7707">
        <w:rPr>
          <w:i/>
          <w:szCs w:val="24"/>
        </w:rPr>
        <w:t>Id.</w:t>
      </w:r>
      <w:r w:rsidR="00CA3949" w:rsidRPr="004A7707">
        <w:rPr>
          <w:szCs w:val="24"/>
        </w:rPr>
        <w:t xml:space="preserve"> at 25</w:t>
      </w:r>
      <w:r w:rsidR="00612DEB" w:rsidRPr="004A7707">
        <w:rPr>
          <w:szCs w:val="24"/>
        </w:rPr>
        <w:t>56</w:t>
      </w:r>
      <w:r w:rsidR="00CA3949" w:rsidRPr="004A7707">
        <w:rPr>
          <w:szCs w:val="24"/>
        </w:rPr>
        <w:t xml:space="preserve"> (quotation and alteration marks omitted).  It </w:t>
      </w:r>
      <w:r w:rsidR="00932970" w:rsidRPr="004A7707">
        <w:rPr>
          <w:szCs w:val="24"/>
        </w:rPr>
        <w:t xml:space="preserve">determined </w:t>
      </w:r>
      <w:r w:rsidR="00CA3949" w:rsidRPr="004A7707">
        <w:rPr>
          <w:szCs w:val="24"/>
        </w:rPr>
        <w:t xml:space="preserve">that commonality </w:t>
      </w:r>
      <w:r w:rsidR="00932970" w:rsidRPr="004A7707">
        <w:rPr>
          <w:szCs w:val="24"/>
        </w:rPr>
        <w:t xml:space="preserve">was lacking in </w:t>
      </w:r>
      <w:r w:rsidR="00932970" w:rsidRPr="004A7707">
        <w:rPr>
          <w:i/>
          <w:szCs w:val="24"/>
        </w:rPr>
        <w:t>Wal-Mart</w:t>
      </w:r>
      <w:r w:rsidR="00932970" w:rsidRPr="004A7707">
        <w:rPr>
          <w:szCs w:val="24"/>
        </w:rPr>
        <w:t xml:space="preserve"> </w:t>
      </w:r>
      <w:r w:rsidR="00CA3949" w:rsidRPr="004A7707">
        <w:rPr>
          <w:szCs w:val="24"/>
        </w:rPr>
        <w:t xml:space="preserve">because the </w:t>
      </w:r>
      <w:r w:rsidR="00932970" w:rsidRPr="004A7707">
        <w:rPr>
          <w:szCs w:val="24"/>
        </w:rPr>
        <w:t xml:space="preserve">named plaintiffs </w:t>
      </w:r>
      <w:r w:rsidR="000460DC" w:rsidRPr="004A7707">
        <w:rPr>
          <w:szCs w:val="24"/>
        </w:rPr>
        <w:t xml:space="preserve">could not identify any </w:t>
      </w:r>
      <w:r w:rsidR="00932970" w:rsidRPr="004A7707">
        <w:rPr>
          <w:szCs w:val="24"/>
        </w:rPr>
        <w:t>objectionable company-wide policies.</w:t>
      </w:r>
      <w:r w:rsidR="00612DEB" w:rsidRPr="004A7707">
        <w:rPr>
          <w:szCs w:val="24"/>
        </w:rPr>
        <w:t xml:space="preserve">  </w:t>
      </w:r>
      <w:r w:rsidR="000708F8" w:rsidRPr="004A7707">
        <w:rPr>
          <w:i/>
          <w:szCs w:val="24"/>
        </w:rPr>
        <w:t>See</w:t>
      </w:r>
      <w:r w:rsidR="000708F8" w:rsidRPr="004A7707">
        <w:rPr>
          <w:szCs w:val="24"/>
        </w:rPr>
        <w:t xml:space="preserve"> </w:t>
      </w:r>
      <w:r w:rsidR="000708F8" w:rsidRPr="004A7707">
        <w:rPr>
          <w:i/>
          <w:szCs w:val="24"/>
        </w:rPr>
        <w:t>i</w:t>
      </w:r>
      <w:r w:rsidR="00612DEB" w:rsidRPr="004A7707">
        <w:rPr>
          <w:i/>
          <w:szCs w:val="24"/>
        </w:rPr>
        <w:t>d.</w:t>
      </w:r>
      <w:r w:rsidR="00612DEB" w:rsidRPr="004A7707">
        <w:rPr>
          <w:szCs w:val="24"/>
        </w:rPr>
        <w:t xml:space="preserve"> </w:t>
      </w:r>
      <w:proofErr w:type="gramStart"/>
      <w:r w:rsidR="00612DEB" w:rsidRPr="004A7707">
        <w:rPr>
          <w:szCs w:val="24"/>
        </w:rPr>
        <w:t>at</w:t>
      </w:r>
      <w:proofErr w:type="gramEnd"/>
      <w:r w:rsidR="00612DEB" w:rsidRPr="004A7707">
        <w:rPr>
          <w:szCs w:val="24"/>
        </w:rPr>
        <w:t xml:space="preserve"> 2556-57.</w:t>
      </w:r>
    </w:p>
    <w:p w:rsidR="00D372FA" w:rsidRPr="004A7707" w:rsidRDefault="00932970" w:rsidP="00FC5304">
      <w:pPr>
        <w:widowControl w:val="0"/>
        <w:spacing w:line="480" w:lineRule="auto"/>
        <w:rPr>
          <w:szCs w:val="24"/>
        </w:rPr>
      </w:pPr>
      <w:r w:rsidRPr="004A7707">
        <w:rPr>
          <w:szCs w:val="24"/>
        </w:rPr>
        <w:tab/>
      </w:r>
      <w:r w:rsidRPr="004A7707">
        <w:rPr>
          <w:i/>
          <w:szCs w:val="24"/>
        </w:rPr>
        <w:t>Wal-Mart</w:t>
      </w:r>
      <w:r w:rsidRPr="004A7707">
        <w:rPr>
          <w:szCs w:val="24"/>
        </w:rPr>
        <w:t xml:space="preserve"> is </w:t>
      </w:r>
      <w:r w:rsidR="00FA5BC5" w:rsidRPr="004A7707">
        <w:rPr>
          <w:szCs w:val="24"/>
        </w:rPr>
        <w:t>fully</w:t>
      </w:r>
      <w:r w:rsidRPr="004A7707">
        <w:rPr>
          <w:szCs w:val="24"/>
        </w:rPr>
        <w:t xml:space="preserve"> consistent with preexisting case law </w:t>
      </w:r>
      <w:r w:rsidR="00FA5BC5" w:rsidRPr="004A7707">
        <w:rPr>
          <w:szCs w:val="24"/>
        </w:rPr>
        <w:t xml:space="preserve">on the general appropriateness of class certification in </w:t>
      </w:r>
      <w:r w:rsidR="00FA5BC5" w:rsidRPr="004A7707">
        <w:rPr>
          <w:i/>
          <w:szCs w:val="24"/>
        </w:rPr>
        <w:t>Olmstead</w:t>
      </w:r>
      <w:r w:rsidR="00FA5BC5" w:rsidRPr="004A7707">
        <w:rPr>
          <w:szCs w:val="24"/>
        </w:rPr>
        <w:t>-based actions under the ADA</w:t>
      </w:r>
      <w:r w:rsidR="00D372FA" w:rsidRPr="004A7707">
        <w:rPr>
          <w:szCs w:val="24"/>
        </w:rPr>
        <w:t xml:space="preserve"> for declaratory and injunctive relief</w:t>
      </w:r>
      <w:r w:rsidR="00FA5BC5" w:rsidRPr="004A7707">
        <w:rPr>
          <w:szCs w:val="24"/>
        </w:rPr>
        <w:t xml:space="preserve">.  </w:t>
      </w:r>
      <w:r w:rsidR="00D372FA" w:rsidRPr="004A7707">
        <w:rPr>
          <w:i/>
          <w:szCs w:val="24"/>
        </w:rPr>
        <w:t>Olmstead</w:t>
      </w:r>
      <w:r w:rsidR="00D372FA" w:rsidRPr="004A7707">
        <w:rPr>
          <w:szCs w:val="24"/>
        </w:rPr>
        <w:t xml:space="preserve"> </w:t>
      </w:r>
      <w:r w:rsidR="00FA5BC5" w:rsidRPr="004A7707">
        <w:rPr>
          <w:szCs w:val="24"/>
        </w:rPr>
        <w:t xml:space="preserve">actions </w:t>
      </w:r>
      <w:r w:rsidR="00D372FA" w:rsidRPr="004A7707">
        <w:rPr>
          <w:szCs w:val="24"/>
        </w:rPr>
        <w:t>customarily arise when state governments, in administering services to persons with disabilities, violate or neglect their duties to enact statewide policies that do not result in discriminatio</w:t>
      </w:r>
      <w:r w:rsidR="000460DC" w:rsidRPr="004A7707">
        <w:rPr>
          <w:szCs w:val="24"/>
        </w:rPr>
        <w:t xml:space="preserve">n.  Under </w:t>
      </w:r>
      <w:r w:rsidR="00397527" w:rsidRPr="004A7707">
        <w:rPr>
          <w:i/>
          <w:szCs w:val="24"/>
        </w:rPr>
        <w:t>Olmstead</w:t>
      </w:r>
      <w:r w:rsidR="000460DC" w:rsidRPr="004A7707">
        <w:rPr>
          <w:szCs w:val="24"/>
        </w:rPr>
        <w:t xml:space="preserve">, discrimination is </w:t>
      </w:r>
      <w:r w:rsidR="00392ED5" w:rsidRPr="004A7707">
        <w:rPr>
          <w:szCs w:val="24"/>
        </w:rPr>
        <w:t>the unnecessary institutionalization of</w:t>
      </w:r>
      <w:r w:rsidR="00D372FA" w:rsidRPr="004A7707">
        <w:rPr>
          <w:szCs w:val="24"/>
        </w:rPr>
        <w:t xml:space="preserve"> persons with disabilities.  </w:t>
      </w:r>
      <w:r w:rsidR="00614343" w:rsidRPr="004A7707">
        <w:rPr>
          <w:i/>
          <w:szCs w:val="24"/>
        </w:rPr>
        <w:t>Olmstead</w:t>
      </w:r>
      <w:r w:rsidR="00614343" w:rsidRPr="004A7707">
        <w:rPr>
          <w:szCs w:val="24"/>
        </w:rPr>
        <w:t xml:space="preserve">, 527 U.S. at 597-601.  </w:t>
      </w:r>
      <w:r w:rsidR="00D372FA" w:rsidRPr="004A7707">
        <w:rPr>
          <w:szCs w:val="24"/>
        </w:rPr>
        <w:t xml:space="preserve">Thus, </w:t>
      </w:r>
      <w:r w:rsidR="000460DC" w:rsidRPr="004A7707">
        <w:rPr>
          <w:szCs w:val="24"/>
        </w:rPr>
        <w:t>these types of actions almost invariably</w:t>
      </w:r>
      <w:r w:rsidR="00D372FA" w:rsidRPr="004A7707">
        <w:rPr>
          <w:szCs w:val="24"/>
        </w:rPr>
        <w:t xml:space="preserve"> involve situations in which state policy decisions impact vast numbers of </w:t>
      </w:r>
      <w:r w:rsidR="00DF2E32" w:rsidRPr="004A7707">
        <w:rPr>
          <w:szCs w:val="24"/>
        </w:rPr>
        <w:t>persons with disabilities</w:t>
      </w:r>
      <w:r w:rsidR="00D372FA" w:rsidRPr="004A7707">
        <w:rPr>
          <w:szCs w:val="24"/>
        </w:rPr>
        <w:t xml:space="preserve"> in a common way</w:t>
      </w:r>
      <w:r w:rsidR="00701302" w:rsidRPr="004A7707">
        <w:rPr>
          <w:szCs w:val="24"/>
        </w:rPr>
        <w:t xml:space="preserve"> and in which a district court has the power to remedy improperly designed state policies with a single injunctive order</w:t>
      </w:r>
      <w:r w:rsidR="00D372FA" w:rsidRPr="004A7707">
        <w:rPr>
          <w:szCs w:val="24"/>
        </w:rPr>
        <w:t>.</w:t>
      </w:r>
    </w:p>
    <w:p w:rsidR="008D086E" w:rsidRPr="004A7707" w:rsidRDefault="00D372FA" w:rsidP="00BA06C6">
      <w:pPr>
        <w:widowControl w:val="0"/>
        <w:spacing w:line="480" w:lineRule="auto"/>
        <w:rPr>
          <w:szCs w:val="24"/>
        </w:rPr>
      </w:pPr>
      <w:r w:rsidRPr="004A7707">
        <w:rPr>
          <w:szCs w:val="24"/>
        </w:rPr>
        <w:tab/>
      </w:r>
      <w:r w:rsidR="00DF2E32" w:rsidRPr="004A7707">
        <w:rPr>
          <w:szCs w:val="24"/>
        </w:rPr>
        <w:t>Thus,</w:t>
      </w:r>
      <w:r w:rsidRPr="004A7707">
        <w:rPr>
          <w:szCs w:val="24"/>
        </w:rPr>
        <w:t xml:space="preserve"> </w:t>
      </w:r>
      <w:r w:rsidR="000460DC" w:rsidRPr="004A7707">
        <w:rPr>
          <w:szCs w:val="24"/>
        </w:rPr>
        <w:t xml:space="preserve">plaintiffs in </w:t>
      </w:r>
      <w:r w:rsidRPr="004A7707">
        <w:rPr>
          <w:i/>
          <w:szCs w:val="24"/>
        </w:rPr>
        <w:t>Olmstead</w:t>
      </w:r>
      <w:r w:rsidRPr="004A7707">
        <w:rPr>
          <w:szCs w:val="24"/>
        </w:rPr>
        <w:t xml:space="preserve"> </w:t>
      </w:r>
      <w:r w:rsidR="000460DC" w:rsidRPr="004A7707">
        <w:rPr>
          <w:szCs w:val="24"/>
        </w:rPr>
        <w:t xml:space="preserve">class </w:t>
      </w:r>
      <w:r w:rsidRPr="004A7707">
        <w:rPr>
          <w:szCs w:val="24"/>
        </w:rPr>
        <w:t xml:space="preserve">actions </w:t>
      </w:r>
      <w:r w:rsidR="000460DC" w:rsidRPr="004A7707">
        <w:rPr>
          <w:szCs w:val="24"/>
        </w:rPr>
        <w:t>routinely</w:t>
      </w:r>
      <w:r w:rsidRPr="004A7707">
        <w:rPr>
          <w:szCs w:val="24"/>
        </w:rPr>
        <w:t xml:space="preserve"> </w:t>
      </w:r>
      <w:r w:rsidR="00701302" w:rsidRPr="004A7707">
        <w:rPr>
          <w:szCs w:val="24"/>
        </w:rPr>
        <w:t>satisfy the commonality requirement of Rule 23</w:t>
      </w:r>
      <w:r w:rsidR="000460DC" w:rsidRPr="004A7707">
        <w:rPr>
          <w:szCs w:val="24"/>
        </w:rPr>
        <w:t xml:space="preserve"> because</w:t>
      </w:r>
      <w:r w:rsidR="008E6F38" w:rsidRPr="004A7707">
        <w:rPr>
          <w:szCs w:val="24"/>
        </w:rPr>
        <w:t xml:space="preserve"> </w:t>
      </w:r>
      <w:r w:rsidR="00701302" w:rsidRPr="004A7707">
        <w:rPr>
          <w:szCs w:val="24"/>
        </w:rPr>
        <w:t xml:space="preserve">there is </w:t>
      </w:r>
      <w:r w:rsidR="003D7608" w:rsidRPr="004A7707">
        <w:rPr>
          <w:szCs w:val="24"/>
        </w:rPr>
        <w:t>virtually</w:t>
      </w:r>
      <w:r w:rsidR="00701302" w:rsidRPr="004A7707">
        <w:rPr>
          <w:szCs w:val="24"/>
        </w:rPr>
        <w:t xml:space="preserve"> always, at the very least, a “single common question” </w:t>
      </w:r>
      <w:r w:rsidR="00E4192D" w:rsidRPr="004A7707">
        <w:rPr>
          <w:szCs w:val="24"/>
        </w:rPr>
        <w:t xml:space="preserve">that can be resolved with “one stroke,” </w:t>
      </w:r>
      <w:r w:rsidR="008B2AC3" w:rsidRPr="004A7707">
        <w:rPr>
          <w:szCs w:val="24"/>
        </w:rPr>
        <w:t xml:space="preserve">which is sufficient to satisfy this requirement.  </w:t>
      </w:r>
      <w:proofErr w:type="gramStart"/>
      <w:r w:rsidR="00614343" w:rsidRPr="004A7707">
        <w:rPr>
          <w:i/>
          <w:szCs w:val="24"/>
        </w:rPr>
        <w:t>Wal-Mart</w:t>
      </w:r>
      <w:r w:rsidR="00614343" w:rsidRPr="004A7707">
        <w:rPr>
          <w:szCs w:val="24"/>
        </w:rPr>
        <w:t xml:space="preserve">, </w:t>
      </w:r>
      <w:r w:rsidR="00701302" w:rsidRPr="004A7707">
        <w:rPr>
          <w:szCs w:val="24"/>
        </w:rPr>
        <w:t>131 S. Ct. at 25</w:t>
      </w:r>
      <w:r w:rsidR="00E4192D" w:rsidRPr="004A7707">
        <w:rPr>
          <w:szCs w:val="24"/>
        </w:rPr>
        <w:t xml:space="preserve">51, </w:t>
      </w:r>
      <w:r w:rsidR="00B82100" w:rsidRPr="004A7707">
        <w:rPr>
          <w:szCs w:val="24"/>
        </w:rPr>
        <w:t>56</w:t>
      </w:r>
      <w:r w:rsidR="00701302" w:rsidRPr="004A7707">
        <w:rPr>
          <w:szCs w:val="24"/>
        </w:rPr>
        <w:t>.</w:t>
      </w:r>
      <w:proofErr w:type="gramEnd"/>
      <w:r w:rsidR="00701302" w:rsidRPr="004A7707">
        <w:rPr>
          <w:szCs w:val="24"/>
        </w:rPr>
        <w:t xml:space="preserve">  </w:t>
      </w:r>
      <w:r w:rsidR="00BA06C6" w:rsidRPr="004A7707">
        <w:rPr>
          <w:szCs w:val="24"/>
        </w:rPr>
        <w:t>In s</w:t>
      </w:r>
      <w:r w:rsidR="00E2563B" w:rsidRPr="004A7707">
        <w:rPr>
          <w:szCs w:val="24"/>
        </w:rPr>
        <w:t xml:space="preserve">uch cases, as </w:t>
      </w:r>
      <w:r w:rsidR="00BA06C6" w:rsidRPr="004A7707">
        <w:rPr>
          <w:szCs w:val="24"/>
        </w:rPr>
        <w:t xml:space="preserve">in the </w:t>
      </w:r>
      <w:r w:rsidR="00BA06C6" w:rsidRPr="004A7707">
        <w:rPr>
          <w:i/>
          <w:szCs w:val="24"/>
        </w:rPr>
        <w:t>Lane</w:t>
      </w:r>
      <w:r w:rsidR="00BA06C6" w:rsidRPr="004A7707">
        <w:rPr>
          <w:szCs w:val="24"/>
        </w:rPr>
        <w:t xml:space="preserve"> case, outcomes </w:t>
      </w:r>
      <w:r w:rsidR="00E2563B" w:rsidRPr="004A7707">
        <w:rPr>
          <w:szCs w:val="24"/>
        </w:rPr>
        <w:t xml:space="preserve">do not turn on individual inquiries such as intent, but rather, involve the legality of common policies and practices by state governments.  </w:t>
      </w:r>
      <w:proofErr w:type="gramStart"/>
      <w:r w:rsidR="00E2563B" w:rsidRPr="004A7707">
        <w:rPr>
          <w:szCs w:val="24"/>
        </w:rPr>
        <w:t>283 F.R.D. at 595-96.</w:t>
      </w:r>
      <w:proofErr w:type="gramEnd"/>
      <w:r w:rsidR="00E2563B" w:rsidRPr="004A7707">
        <w:rPr>
          <w:szCs w:val="24"/>
        </w:rPr>
        <w:t xml:space="preserve">  W</w:t>
      </w:r>
      <w:r w:rsidR="000343F4" w:rsidRPr="004A7707">
        <w:rPr>
          <w:szCs w:val="24"/>
        </w:rPr>
        <w:t xml:space="preserve">here a state has one or more policies that allegedly violate the </w:t>
      </w:r>
      <w:r w:rsidR="00450471" w:rsidRPr="004A7707">
        <w:t>ADA-protected rights</w:t>
      </w:r>
      <w:r w:rsidR="000343F4" w:rsidRPr="004A7707">
        <w:rPr>
          <w:szCs w:val="24"/>
        </w:rPr>
        <w:t xml:space="preserve"> of persons with disabilities and where a named plaintiff seeks injunctive relief, those facts alone are sufficient to justify class certification</w:t>
      </w:r>
      <w:r w:rsidR="0083638C" w:rsidRPr="004A7707">
        <w:rPr>
          <w:szCs w:val="24"/>
        </w:rPr>
        <w:t xml:space="preserve"> under </w:t>
      </w:r>
      <w:r w:rsidR="0083638C" w:rsidRPr="004A7707">
        <w:rPr>
          <w:i/>
          <w:szCs w:val="24"/>
        </w:rPr>
        <w:t>Wal-Mart</w:t>
      </w:r>
      <w:r w:rsidR="0083638C" w:rsidRPr="004A7707">
        <w:rPr>
          <w:szCs w:val="24"/>
        </w:rPr>
        <w:t>.</w:t>
      </w:r>
      <w:r w:rsidR="00234C0A" w:rsidRPr="004A7707">
        <w:rPr>
          <w:szCs w:val="24"/>
        </w:rPr>
        <w:t xml:space="preserve">  </w:t>
      </w:r>
      <w:r w:rsidR="00234C0A" w:rsidRPr="004A7707">
        <w:rPr>
          <w:i/>
          <w:szCs w:val="24"/>
        </w:rPr>
        <w:t>See, e.g.,</w:t>
      </w:r>
      <w:r w:rsidR="00234C0A" w:rsidRPr="004A7707">
        <w:rPr>
          <w:szCs w:val="24"/>
        </w:rPr>
        <w:t xml:space="preserve"> </w:t>
      </w:r>
      <w:r w:rsidR="00234C0A" w:rsidRPr="004A7707">
        <w:rPr>
          <w:i/>
        </w:rPr>
        <w:t>Pashby</w:t>
      </w:r>
      <w:r w:rsidR="00234C0A" w:rsidRPr="004A7707">
        <w:t xml:space="preserve">, 2013 U.S. App. </w:t>
      </w:r>
      <w:proofErr w:type="gramStart"/>
      <w:r w:rsidR="00234C0A" w:rsidRPr="004A7707">
        <w:rPr>
          <w:smallCaps/>
        </w:rPr>
        <w:t>Lexis</w:t>
      </w:r>
      <w:r w:rsidR="00234C0A" w:rsidRPr="004A7707">
        <w:t xml:space="preserve">  at</w:t>
      </w:r>
      <w:proofErr w:type="gramEnd"/>
      <w:r w:rsidR="00234C0A" w:rsidRPr="004A7707">
        <w:t xml:space="preserve"> *14-*18</w:t>
      </w:r>
      <w:r w:rsidR="00774323" w:rsidRPr="004A7707">
        <w:rPr>
          <w:szCs w:val="23"/>
        </w:rPr>
        <w:t xml:space="preserve">; </w:t>
      </w:r>
      <w:r w:rsidR="00774323" w:rsidRPr="004A7707">
        <w:rPr>
          <w:i/>
        </w:rPr>
        <w:t>Lane</w:t>
      </w:r>
      <w:r w:rsidR="00774323" w:rsidRPr="004A7707">
        <w:t xml:space="preserve">, 283 F.R.D. </w:t>
      </w:r>
      <w:r w:rsidR="00D8567D" w:rsidRPr="004A7707">
        <w:t>at</w:t>
      </w:r>
      <w:r w:rsidR="00774323" w:rsidRPr="004A7707">
        <w:t xml:space="preserve"> 594-602.</w:t>
      </w:r>
    </w:p>
    <w:p w:rsidR="00576F4D" w:rsidRPr="004A7707" w:rsidRDefault="00AD68C0" w:rsidP="00AD68C0">
      <w:pPr>
        <w:pStyle w:val="Heading3"/>
        <w:rPr>
          <w:u w:val="single"/>
        </w:rPr>
      </w:pPr>
      <w:r w:rsidRPr="004A7707">
        <w:t>B.</w:t>
      </w:r>
      <w:r w:rsidRPr="004A7707">
        <w:tab/>
      </w:r>
      <w:r w:rsidR="00CF1D4C" w:rsidRPr="004A7707">
        <w:t xml:space="preserve">Plaintiffs Have </w:t>
      </w:r>
      <w:r w:rsidR="0094204F" w:rsidRPr="004A7707">
        <w:t xml:space="preserve">Identified </w:t>
      </w:r>
      <w:r w:rsidR="00CF1D4C" w:rsidRPr="004A7707">
        <w:t xml:space="preserve">Issues Common to the Members of Their Proposed </w:t>
      </w:r>
      <w:r w:rsidR="00240222" w:rsidRPr="004A7707">
        <w:rPr>
          <w:u w:val="single"/>
        </w:rPr>
        <w:t>Class and Have Satisfied the Requirements of Rule 23.</w:t>
      </w:r>
      <w:r w:rsidR="00240222" w:rsidRPr="004A7707">
        <w:rPr>
          <w:u w:val="single"/>
        </w:rPr>
        <w:tab/>
      </w:r>
      <w:r w:rsidR="00240222" w:rsidRPr="004A7707">
        <w:rPr>
          <w:u w:val="single"/>
        </w:rPr>
        <w:tab/>
      </w:r>
      <w:r w:rsidR="00240222" w:rsidRPr="004A7707">
        <w:rPr>
          <w:u w:val="single"/>
        </w:rPr>
        <w:tab/>
      </w:r>
      <w:r w:rsidR="00240222" w:rsidRPr="004A7707">
        <w:rPr>
          <w:u w:val="single"/>
        </w:rPr>
        <w:tab/>
      </w:r>
    </w:p>
    <w:p w:rsidR="00C9385A" w:rsidRPr="004A7707" w:rsidRDefault="008124BA" w:rsidP="008124BA">
      <w:pPr>
        <w:widowControl w:val="0"/>
        <w:spacing w:line="480" w:lineRule="auto"/>
        <w:rPr>
          <w:szCs w:val="24"/>
        </w:rPr>
      </w:pPr>
      <w:r w:rsidRPr="004A7707">
        <w:rPr>
          <w:szCs w:val="24"/>
        </w:rPr>
        <w:tab/>
      </w:r>
      <w:r w:rsidR="00C9385A" w:rsidRPr="004A7707">
        <w:rPr>
          <w:szCs w:val="24"/>
        </w:rPr>
        <w:t xml:space="preserve">In this case, </w:t>
      </w:r>
      <w:r w:rsidR="00995766" w:rsidRPr="004A7707">
        <w:rPr>
          <w:szCs w:val="24"/>
        </w:rPr>
        <w:t xml:space="preserve">Defendants argue that </w:t>
      </w:r>
      <w:r w:rsidR="00E4192D" w:rsidRPr="004A7707">
        <w:rPr>
          <w:szCs w:val="24"/>
        </w:rPr>
        <w:t>class certification is inappropriate</w:t>
      </w:r>
      <w:r w:rsidR="00884149" w:rsidRPr="004A7707">
        <w:rPr>
          <w:szCs w:val="24"/>
        </w:rPr>
        <w:t>, mainly due to a</w:t>
      </w:r>
      <w:r w:rsidR="00F71268" w:rsidRPr="004A7707">
        <w:rPr>
          <w:szCs w:val="24"/>
        </w:rPr>
        <w:t>n alleged</w:t>
      </w:r>
      <w:r w:rsidR="00884149" w:rsidRPr="004A7707">
        <w:rPr>
          <w:szCs w:val="24"/>
        </w:rPr>
        <w:t xml:space="preserve"> lack of commonality.</w:t>
      </w:r>
      <w:r w:rsidR="001D06D7" w:rsidRPr="004A7707">
        <w:rPr>
          <w:szCs w:val="24"/>
        </w:rPr>
        <w:t xml:space="preserve">  Specifically, Defendants maintain that </w:t>
      </w:r>
      <w:r w:rsidR="00305077" w:rsidRPr="004A7707">
        <w:rPr>
          <w:szCs w:val="24"/>
        </w:rPr>
        <w:t xml:space="preserve">the State’s Policy Changes have mooted </w:t>
      </w:r>
      <w:r w:rsidR="00E4192D" w:rsidRPr="004A7707">
        <w:rPr>
          <w:szCs w:val="24"/>
        </w:rPr>
        <w:t xml:space="preserve">Plaintiffs’ </w:t>
      </w:r>
      <w:r w:rsidR="00305077" w:rsidRPr="004A7707">
        <w:rPr>
          <w:szCs w:val="24"/>
        </w:rPr>
        <w:t xml:space="preserve">objections </w:t>
      </w:r>
      <w:r w:rsidR="00E4192D" w:rsidRPr="004A7707">
        <w:rPr>
          <w:szCs w:val="24"/>
        </w:rPr>
        <w:t xml:space="preserve">on any issues common to the proposed class; and they </w:t>
      </w:r>
      <w:r w:rsidR="00305077" w:rsidRPr="004A7707">
        <w:rPr>
          <w:szCs w:val="24"/>
        </w:rPr>
        <w:t xml:space="preserve">cite cases such as </w:t>
      </w:r>
      <w:r w:rsidR="00305077" w:rsidRPr="004A7707">
        <w:rPr>
          <w:i/>
          <w:szCs w:val="24"/>
        </w:rPr>
        <w:t>Moore v. Reese</w:t>
      </w:r>
      <w:r w:rsidR="00305077" w:rsidRPr="004A7707">
        <w:rPr>
          <w:szCs w:val="24"/>
        </w:rPr>
        <w:t>, 637 F.3d 1220 (11th Cir. 2011), in support of the proposition that cases involving Medicaid require many individualized factual determinations that render them inapt for class treatment.</w:t>
      </w:r>
      <w:r w:rsidR="00F71268" w:rsidRPr="004A7707">
        <w:rPr>
          <w:rStyle w:val="FootnoteReference"/>
          <w:szCs w:val="24"/>
        </w:rPr>
        <w:footnoteReference w:id="18"/>
      </w:r>
    </w:p>
    <w:p w:rsidR="00305077" w:rsidRPr="004A7707" w:rsidRDefault="00305077" w:rsidP="008124BA">
      <w:pPr>
        <w:widowControl w:val="0"/>
        <w:spacing w:line="480" w:lineRule="auto"/>
        <w:rPr>
          <w:szCs w:val="24"/>
        </w:rPr>
      </w:pPr>
      <w:r w:rsidRPr="004A7707">
        <w:rPr>
          <w:szCs w:val="24"/>
        </w:rPr>
        <w:tab/>
        <w:t>This Court should reject Defendants’ arguments and instead find that there is sufficient commonality to certify Plaintiffs’ proposed class.  First, for the reasons already discussed above, Defendants’ Policy Changes should not be deemed to have mooted Plaintiffs</w:t>
      </w:r>
      <w:r w:rsidR="004B027F" w:rsidRPr="004A7707">
        <w:rPr>
          <w:szCs w:val="24"/>
        </w:rPr>
        <w:t>’ claims</w:t>
      </w:r>
      <w:r w:rsidRPr="004A7707">
        <w:rPr>
          <w:szCs w:val="24"/>
        </w:rPr>
        <w:t xml:space="preserve"> regarding the </w:t>
      </w:r>
      <w:r w:rsidR="0061242E" w:rsidRPr="004A7707">
        <w:rPr>
          <w:szCs w:val="24"/>
        </w:rPr>
        <w:t xml:space="preserve">supposedly changed </w:t>
      </w:r>
      <w:r w:rsidRPr="004A7707">
        <w:rPr>
          <w:szCs w:val="24"/>
        </w:rPr>
        <w:t>policies.  Defendants</w:t>
      </w:r>
      <w:r w:rsidR="00377403" w:rsidRPr="004A7707">
        <w:rPr>
          <w:szCs w:val="24"/>
        </w:rPr>
        <w:t xml:space="preserve">’ eleventh-hour attempt to moot these issues is an implicit acknowledgement of </w:t>
      </w:r>
      <w:r w:rsidR="0061242E" w:rsidRPr="004A7707">
        <w:rPr>
          <w:szCs w:val="24"/>
        </w:rPr>
        <w:t xml:space="preserve">their </w:t>
      </w:r>
      <w:r w:rsidR="00377403" w:rsidRPr="004A7707">
        <w:rPr>
          <w:szCs w:val="24"/>
        </w:rPr>
        <w:t xml:space="preserve">own belief that </w:t>
      </w:r>
      <w:r w:rsidR="009F09AF" w:rsidRPr="004A7707">
        <w:rPr>
          <w:szCs w:val="24"/>
        </w:rPr>
        <w:t xml:space="preserve">there is </w:t>
      </w:r>
      <w:r w:rsidR="004B027F" w:rsidRPr="004A7707">
        <w:rPr>
          <w:szCs w:val="24"/>
        </w:rPr>
        <w:t>enough</w:t>
      </w:r>
      <w:r w:rsidR="009F09AF" w:rsidRPr="004A7707">
        <w:rPr>
          <w:szCs w:val="24"/>
        </w:rPr>
        <w:t xml:space="preserve"> commonality to justify </w:t>
      </w:r>
      <w:r w:rsidR="00377403" w:rsidRPr="004A7707">
        <w:rPr>
          <w:szCs w:val="24"/>
        </w:rPr>
        <w:t xml:space="preserve">class certification </w:t>
      </w:r>
      <w:r w:rsidR="0061242E" w:rsidRPr="004A7707">
        <w:rPr>
          <w:szCs w:val="24"/>
        </w:rPr>
        <w:t xml:space="preserve">if </w:t>
      </w:r>
      <w:r w:rsidR="00377403" w:rsidRPr="004A7707">
        <w:rPr>
          <w:szCs w:val="24"/>
        </w:rPr>
        <w:t>the</w:t>
      </w:r>
      <w:r w:rsidR="00D8567D" w:rsidRPr="004A7707">
        <w:rPr>
          <w:szCs w:val="24"/>
        </w:rPr>
        <w:t xml:space="preserve"> </w:t>
      </w:r>
      <w:r w:rsidR="00377403" w:rsidRPr="004A7707">
        <w:rPr>
          <w:szCs w:val="24"/>
        </w:rPr>
        <w:t>issues</w:t>
      </w:r>
      <w:r w:rsidR="0061242E" w:rsidRPr="004A7707">
        <w:rPr>
          <w:szCs w:val="24"/>
        </w:rPr>
        <w:t xml:space="preserve"> arising from these policies</w:t>
      </w:r>
      <w:r w:rsidR="00377403" w:rsidRPr="004A7707">
        <w:rPr>
          <w:szCs w:val="24"/>
        </w:rPr>
        <w:t xml:space="preserve"> remain live in the case.  Thus, if the Court rejects Defendants’ </w:t>
      </w:r>
      <w:r w:rsidR="0061242E" w:rsidRPr="004A7707">
        <w:rPr>
          <w:szCs w:val="24"/>
        </w:rPr>
        <w:t>contention that Plaintiffs’ allegations regarding these policies are moot</w:t>
      </w:r>
      <w:r w:rsidR="00377403" w:rsidRPr="004A7707">
        <w:rPr>
          <w:szCs w:val="24"/>
        </w:rPr>
        <w:t xml:space="preserve">, </w:t>
      </w:r>
      <w:r w:rsidR="0061242E" w:rsidRPr="004A7707">
        <w:rPr>
          <w:szCs w:val="24"/>
        </w:rPr>
        <w:t xml:space="preserve">then the Court </w:t>
      </w:r>
      <w:r w:rsidR="00377403" w:rsidRPr="004A7707">
        <w:rPr>
          <w:szCs w:val="24"/>
        </w:rPr>
        <w:t xml:space="preserve">should reject </w:t>
      </w:r>
      <w:r w:rsidR="0061242E" w:rsidRPr="004A7707">
        <w:rPr>
          <w:szCs w:val="24"/>
        </w:rPr>
        <w:t>Defendants’</w:t>
      </w:r>
      <w:r w:rsidR="00377403" w:rsidRPr="004A7707">
        <w:rPr>
          <w:szCs w:val="24"/>
        </w:rPr>
        <w:t xml:space="preserve"> positions on commonality and class certification</w:t>
      </w:r>
      <w:r w:rsidR="0061242E" w:rsidRPr="004A7707">
        <w:rPr>
          <w:szCs w:val="24"/>
        </w:rPr>
        <w:t xml:space="preserve"> as well</w:t>
      </w:r>
      <w:r w:rsidR="00377403" w:rsidRPr="004A7707">
        <w:rPr>
          <w:szCs w:val="24"/>
        </w:rPr>
        <w:t>.</w:t>
      </w:r>
    </w:p>
    <w:p w:rsidR="00377403" w:rsidRPr="004A7707" w:rsidRDefault="00377403" w:rsidP="00FD0767">
      <w:pPr>
        <w:widowControl w:val="0"/>
        <w:spacing w:line="480" w:lineRule="auto"/>
        <w:rPr>
          <w:szCs w:val="24"/>
        </w:rPr>
      </w:pPr>
      <w:r w:rsidRPr="004A7707">
        <w:rPr>
          <w:szCs w:val="24"/>
        </w:rPr>
        <w:tab/>
        <w:t xml:space="preserve">Second, the facts of this case show that </w:t>
      </w:r>
      <w:r w:rsidR="009A6074" w:rsidRPr="004A7707">
        <w:rPr>
          <w:szCs w:val="24"/>
        </w:rPr>
        <w:t xml:space="preserve">the State, in fact, </w:t>
      </w:r>
      <w:r w:rsidR="00F37E13" w:rsidRPr="004A7707">
        <w:rPr>
          <w:szCs w:val="24"/>
        </w:rPr>
        <w:t xml:space="preserve">has </w:t>
      </w:r>
      <w:r w:rsidR="00D527CE" w:rsidRPr="004A7707">
        <w:rPr>
          <w:szCs w:val="24"/>
        </w:rPr>
        <w:t xml:space="preserve">employed </w:t>
      </w:r>
      <w:r w:rsidR="00F37E13" w:rsidRPr="004A7707">
        <w:rPr>
          <w:szCs w:val="24"/>
        </w:rPr>
        <w:t xml:space="preserve">other uniform </w:t>
      </w:r>
      <w:r w:rsidR="00674E06" w:rsidRPr="004A7707">
        <w:rPr>
          <w:szCs w:val="24"/>
        </w:rPr>
        <w:t>policies and practices</w:t>
      </w:r>
      <w:r w:rsidR="00E2563B" w:rsidRPr="004A7707">
        <w:rPr>
          <w:szCs w:val="24"/>
        </w:rPr>
        <w:t xml:space="preserve"> (</w:t>
      </w:r>
      <w:r w:rsidR="00F37E13" w:rsidRPr="004A7707">
        <w:rPr>
          <w:szCs w:val="24"/>
        </w:rPr>
        <w:t xml:space="preserve">whether </w:t>
      </w:r>
      <w:r w:rsidR="00C4479A" w:rsidRPr="004A7707">
        <w:rPr>
          <w:szCs w:val="24"/>
        </w:rPr>
        <w:t xml:space="preserve">officially codified </w:t>
      </w:r>
      <w:r w:rsidR="00F37E13" w:rsidRPr="004A7707">
        <w:rPr>
          <w:szCs w:val="24"/>
        </w:rPr>
        <w:t>or not</w:t>
      </w:r>
      <w:r w:rsidR="00E2563B" w:rsidRPr="004A7707">
        <w:rPr>
          <w:szCs w:val="24"/>
        </w:rPr>
        <w:t>), in addition to those that the Policy Changes supposedly amended</w:t>
      </w:r>
      <w:r w:rsidR="00F35253" w:rsidRPr="004A7707">
        <w:rPr>
          <w:szCs w:val="24"/>
        </w:rPr>
        <w:t>,</w:t>
      </w:r>
      <w:r w:rsidR="00F37E13" w:rsidRPr="004A7707">
        <w:rPr>
          <w:szCs w:val="24"/>
        </w:rPr>
        <w:t xml:space="preserve"> </w:t>
      </w:r>
      <w:r w:rsidR="00C4479A" w:rsidRPr="004A7707">
        <w:rPr>
          <w:szCs w:val="24"/>
        </w:rPr>
        <w:t xml:space="preserve">that </w:t>
      </w:r>
      <w:r w:rsidR="00F37E13" w:rsidRPr="004A7707">
        <w:rPr>
          <w:szCs w:val="24"/>
        </w:rPr>
        <w:t xml:space="preserve">have </w:t>
      </w:r>
      <w:r w:rsidR="009A6074" w:rsidRPr="004A7707">
        <w:rPr>
          <w:szCs w:val="24"/>
        </w:rPr>
        <w:t xml:space="preserve">also </w:t>
      </w:r>
      <w:r w:rsidR="00C4479A" w:rsidRPr="004A7707">
        <w:rPr>
          <w:szCs w:val="24"/>
        </w:rPr>
        <w:t>contributed to the injuries described in Plaintiffs’ motion</w:t>
      </w:r>
      <w:r w:rsidR="008B2AC3" w:rsidRPr="004A7707">
        <w:rPr>
          <w:szCs w:val="24"/>
        </w:rPr>
        <w:t>.  T</w:t>
      </w:r>
      <w:r w:rsidR="00674E06" w:rsidRPr="004A7707">
        <w:rPr>
          <w:szCs w:val="24"/>
        </w:rPr>
        <w:t xml:space="preserve">his Court could </w:t>
      </w:r>
      <w:r w:rsidR="009A6074" w:rsidRPr="004A7707">
        <w:rPr>
          <w:szCs w:val="24"/>
        </w:rPr>
        <w:t xml:space="preserve">also </w:t>
      </w:r>
      <w:r w:rsidR="00674E06" w:rsidRPr="004A7707">
        <w:rPr>
          <w:szCs w:val="24"/>
        </w:rPr>
        <w:t xml:space="preserve">conceivably remedy </w:t>
      </w:r>
      <w:r w:rsidR="008B2AC3" w:rsidRPr="004A7707">
        <w:rPr>
          <w:szCs w:val="24"/>
        </w:rPr>
        <w:t xml:space="preserve">these other policies </w:t>
      </w:r>
      <w:r w:rsidR="00674E06" w:rsidRPr="004A7707">
        <w:rPr>
          <w:szCs w:val="24"/>
        </w:rPr>
        <w:t xml:space="preserve">with a single declaratory or injunctive order striking down unlawful policies or mandating </w:t>
      </w:r>
      <w:r w:rsidR="008B2AC3" w:rsidRPr="004A7707">
        <w:rPr>
          <w:szCs w:val="24"/>
        </w:rPr>
        <w:t xml:space="preserve">that the State follow </w:t>
      </w:r>
      <w:r w:rsidR="00674E06" w:rsidRPr="004A7707">
        <w:rPr>
          <w:szCs w:val="24"/>
        </w:rPr>
        <w:t>policies that the State is now wrongly neglecting.</w:t>
      </w:r>
      <w:r w:rsidR="00234C0A" w:rsidRPr="004A7707">
        <w:rPr>
          <w:szCs w:val="24"/>
        </w:rPr>
        <w:t xml:space="preserve">  As noted above, </w:t>
      </w:r>
      <w:r w:rsidR="003E67D6" w:rsidRPr="004A7707">
        <w:rPr>
          <w:szCs w:val="24"/>
        </w:rPr>
        <w:t xml:space="preserve">other </w:t>
      </w:r>
      <w:r w:rsidR="00234C0A" w:rsidRPr="004A7707">
        <w:rPr>
          <w:szCs w:val="24"/>
        </w:rPr>
        <w:t xml:space="preserve">policies that could be enjoined on a class basis include the State’s </w:t>
      </w:r>
      <w:r w:rsidR="00416F8F" w:rsidRPr="004A7707">
        <w:rPr>
          <w:szCs w:val="24"/>
        </w:rPr>
        <w:t xml:space="preserve">adoption of ineffective </w:t>
      </w:r>
      <w:r w:rsidR="009B5A53" w:rsidRPr="004A7707">
        <w:rPr>
          <w:szCs w:val="24"/>
        </w:rPr>
        <w:t xml:space="preserve">nursing home </w:t>
      </w:r>
      <w:r w:rsidR="00416F8F" w:rsidRPr="004A7707">
        <w:rPr>
          <w:szCs w:val="24"/>
        </w:rPr>
        <w:t xml:space="preserve">pre-admission screening procedures </w:t>
      </w:r>
      <w:r w:rsidR="00234C0A" w:rsidRPr="004A7707">
        <w:rPr>
          <w:szCs w:val="24"/>
        </w:rPr>
        <w:t xml:space="preserve">and its continuing definition of “medical necessity” in its administrative code to </w:t>
      </w:r>
      <w:r w:rsidR="00234C0A" w:rsidRPr="004A7707">
        <w:t xml:space="preserve">deny coverage of services </w:t>
      </w:r>
      <w:r w:rsidR="00774D0E" w:rsidRPr="004A7707">
        <w:t xml:space="preserve">purportedly </w:t>
      </w:r>
      <w:r w:rsidR="00234C0A" w:rsidRPr="004A7707">
        <w:t>found to be “for the convenience of the caregiver.”</w:t>
      </w:r>
      <w:r w:rsidR="009A6074" w:rsidRPr="004A7707">
        <w:t xml:space="preserve">  </w:t>
      </w:r>
      <w:r w:rsidR="003E67D6" w:rsidRPr="004A7707">
        <w:t xml:space="preserve">The proposed Policy Changes do not moot Plaintiffs’ claims </w:t>
      </w:r>
      <w:r w:rsidR="009A6074" w:rsidRPr="004A7707">
        <w:t xml:space="preserve">regarding these </w:t>
      </w:r>
      <w:r w:rsidR="003E67D6" w:rsidRPr="004A7707">
        <w:t xml:space="preserve">other </w:t>
      </w:r>
      <w:r w:rsidR="00FD0767" w:rsidRPr="004A7707">
        <w:t>policies.</w:t>
      </w:r>
      <w:r w:rsidR="0020425D" w:rsidRPr="004A7707">
        <w:rPr>
          <w:rStyle w:val="FootnoteReference"/>
          <w:szCs w:val="24"/>
        </w:rPr>
        <w:footnoteReference w:id="19"/>
      </w:r>
      <w:r w:rsidR="00FD0767" w:rsidRPr="004A7707">
        <w:t xml:space="preserve">  </w:t>
      </w:r>
      <w:r w:rsidR="00BD0CDD" w:rsidRPr="004A7707">
        <w:t>If Plaintiffs prevail, remedying their injuries will require an order that enjoin</w:t>
      </w:r>
      <w:r w:rsidR="00FD0767" w:rsidRPr="004A7707">
        <w:t>s</w:t>
      </w:r>
      <w:r w:rsidR="00BD0CDD" w:rsidRPr="004A7707">
        <w:t xml:space="preserve"> </w:t>
      </w:r>
      <w:r w:rsidR="00DF1B1F" w:rsidRPr="004A7707">
        <w:t xml:space="preserve">not only the </w:t>
      </w:r>
      <w:r w:rsidR="00BD0CDD" w:rsidRPr="004A7707">
        <w:t xml:space="preserve">State policies </w:t>
      </w:r>
      <w:r w:rsidR="00833897" w:rsidRPr="004A7707">
        <w:t xml:space="preserve">relating to the proposed Policy Changes such as those </w:t>
      </w:r>
      <w:r w:rsidR="00BD0CDD" w:rsidRPr="004A7707">
        <w:t xml:space="preserve">resulting in denials of Level II review, but also the </w:t>
      </w:r>
      <w:r w:rsidR="00FD0767" w:rsidRPr="004A7707">
        <w:t xml:space="preserve">other </w:t>
      </w:r>
      <w:r w:rsidR="00BD0CDD" w:rsidRPr="004A7707">
        <w:t xml:space="preserve">State policies </w:t>
      </w:r>
      <w:r w:rsidR="00D527CE" w:rsidRPr="004A7707">
        <w:t xml:space="preserve">and practices </w:t>
      </w:r>
      <w:r w:rsidR="00BD0CDD" w:rsidRPr="004A7707">
        <w:t xml:space="preserve">that </w:t>
      </w:r>
      <w:r w:rsidR="004443C2" w:rsidRPr="004A7707">
        <w:t>cause unnecessary institutionalization</w:t>
      </w:r>
      <w:r w:rsidR="00BD0CDD" w:rsidRPr="004A7707">
        <w:t xml:space="preserve"> and </w:t>
      </w:r>
      <w:r w:rsidR="00FD0767" w:rsidRPr="004A7707">
        <w:t>reduce</w:t>
      </w:r>
      <w:r w:rsidR="00BD0CDD" w:rsidRPr="004A7707">
        <w:t xml:space="preserve"> the availability of community-based services.  </w:t>
      </w:r>
      <w:r w:rsidR="00674E06" w:rsidRPr="004A7707">
        <w:rPr>
          <w:szCs w:val="24"/>
        </w:rPr>
        <w:t xml:space="preserve">As such, even if Policy Changes in fact mooted issues relating to the </w:t>
      </w:r>
      <w:r w:rsidR="00FD0767" w:rsidRPr="004A7707">
        <w:rPr>
          <w:szCs w:val="24"/>
        </w:rPr>
        <w:t>affected</w:t>
      </w:r>
      <w:r w:rsidR="00674E06" w:rsidRPr="004A7707">
        <w:rPr>
          <w:szCs w:val="24"/>
        </w:rPr>
        <w:t xml:space="preserve"> policies (which they do not), there would still be issues </w:t>
      </w:r>
      <w:r w:rsidR="00DF1B1F" w:rsidRPr="004A7707">
        <w:rPr>
          <w:szCs w:val="24"/>
        </w:rPr>
        <w:t xml:space="preserve">here </w:t>
      </w:r>
      <w:r w:rsidR="00674E06" w:rsidRPr="004A7707">
        <w:rPr>
          <w:szCs w:val="24"/>
        </w:rPr>
        <w:t xml:space="preserve">that are common to the proposed class members.  </w:t>
      </w:r>
    </w:p>
    <w:p w:rsidR="00605DC1" w:rsidRPr="004A7707" w:rsidRDefault="00C4479A" w:rsidP="008F11DE">
      <w:pPr>
        <w:widowControl w:val="0"/>
        <w:spacing w:line="480" w:lineRule="auto"/>
        <w:rPr>
          <w:i/>
          <w:szCs w:val="24"/>
        </w:rPr>
      </w:pPr>
      <w:r w:rsidRPr="004A7707">
        <w:rPr>
          <w:szCs w:val="24"/>
        </w:rPr>
        <w:tab/>
        <w:t xml:space="preserve">Third, </w:t>
      </w:r>
      <w:r w:rsidR="00E2563B" w:rsidRPr="004A7707">
        <w:rPr>
          <w:szCs w:val="24"/>
        </w:rPr>
        <w:t xml:space="preserve">Defendants are </w:t>
      </w:r>
      <w:r w:rsidR="00D527CE" w:rsidRPr="004A7707">
        <w:rPr>
          <w:szCs w:val="24"/>
        </w:rPr>
        <w:t>incorrect</w:t>
      </w:r>
      <w:r w:rsidR="00E2563B" w:rsidRPr="004A7707">
        <w:rPr>
          <w:szCs w:val="24"/>
        </w:rPr>
        <w:t xml:space="preserve"> in arguing that any individualized determinations would be required to grant any of the relief </w:t>
      </w:r>
      <w:r w:rsidR="009565B7" w:rsidRPr="004A7707">
        <w:rPr>
          <w:szCs w:val="24"/>
        </w:rPr>
        <w:t xml:space="preserve">that Plaintiffs </w:t>
      </w:r>
      <w:r w:rsidR="00E2563B" w:rsidRPr="004A7707">
        <w:rPr>
          <w:szCs w:val="24"/>
        </w:rPr>
        <w:t xml:space="preserve">request.  </w:t>
      </w:r>
      <w:r w:rsidR="00D527CE" w:rsidRPr="004A7707">
        <w:rPr>
          <w:szCs w:val="24"/>
        </w:rPr>
        <w:t>Plaintiffs seek</w:t>
      </w:r>
      <w:r w:rsidR="00605DC1" w:rsidRPr="004A7707">
        <w:rPr>
          <w:szCs w:val="24"/>
        </w:rPr>
        <w:t xml:space="preserve"> to ensure that the State stops subjecting their proposed class members (</w:t>
      </w:r>
      <w:r w:rsidR="00605DC1" w:rsidRPr="004A7707">
        <w:rPr>
          <w:i/>
          <w:szCs w:val="24"/>
        </w:rPr>
        <w:t>i.e.</w:t>
      </w:r>
      <w:r w:rsidR="00605DC1" w:rsidRPr="004A7707">
        <w:rPr>
          <w:szCs w:val="24"/>
        </w:rPr>
        <w:t xml:space="preserve"> medically fragile children who are in nursing facilities or at risk of entry into such facilities) to </w:t>
      </w:r>
      <w:r w:rsidR="00441811" w:rsidRPr="004A7707">
        <w:rPr>
          <w:szCs w:val="24"/>
        </w:rPr>
        <w:t xml:space="preserve">processes </w:t>
      </w:r>
      <w:r w:rsidR="00D527CE" w:rsidRPr="004A7707">
        <w:rPr>
          <w:szCs w:val="24"/>
        </w:rPr>
        <w:t xml:space="preserve">that </w:t>
      </w:r>
      <w:r w:rsidR="00441811" w:rsidRPr="004A7707">
        <w:rPr>
          <w:szCs w:val="24"/>
        </w:rPr>
        <w:t>fail to ensure</w:t>
      </w:r>
      <w:r w:rsidR="00D527CE" w:rsidRPr="004A7707">
        <w:rPr>
          <w:szCs w:val="24"/>
        </w:rPr>
        <w:t xml:space="preserve"> medically necessary services </w:t>
      </w:r>
      <w:r w:rsidR="00441811" w:rsidRPr="004A7707">
        <w:rPr>
          <w:szCs w:val="24"/>
        </w:rPr>
        <w:t xml:space="preserve">are offered and provided </w:t>
      </w:r>
      <w:r w:rsidR="00D527CE" w:rsidRPr="004A7707">
        <w:rPr>
          <w:szCs w:val="24"/>
        </w:rPr>
        <w:t>in the community.</w:t>
      </w:r>
      <w:r w:rsidR="00605DC1" w:rsidRPr="004A7707">
        <w:rPr>
          <w:szCs w:val="24"/>
        </w:rPr>
        <w:t xml:space="preserve"> </w:t>
      </w:r>
      <w:r w:rsidR="009565B7" w:rsidRPr="004A7707">
        <w:rPr>
          <w:szCs w:val="24"/>
        </w:rPr>
        <w:t xml:space="preserve"> </w:t>
      </w:r>
      <w:r w:rsidR="00D527CE" w:rsidRPr="004A7707">
        <w:rPr>
          <w:szCs w:val="24"/>
        </w:rPr>
        <w:t>T</w:t>
      </w:r>
      <w:r w:rsidR="00605DC1" w:rsidRPr="004A7707">
        <w:rPr>
          <w:szCs w:val="24"/>
        </w:rPr>
        <w:t xml:space="preserve">he Court will </w:t>
      </w:r>
      <w:r w:rsidR="00D527CE" w:rsidRPr="004A7707">
        <w:rPr>
          <w:szCs w:val="24"/>
        </w:rPr>
        <w:t xml:space="preserve">not </w:t>
      </w:r>
      <w:r w:rsidR="00605DC1" w:rsidRPr="004A7707">
        <w:rPr>
          <w:szCs w:val="24"/>
        </w:rPr>
        <w:t>need to determine, on an individual basis, whether each and every potential member of the proposed class is “at risk</w:t>
      </w:r>
      <w:r w:rsidR="008F11DE" w:rsidRPr="004A7707">
        <w:rPr>
          <w:szCs w:val="24"/>
        </w:rPr>
        <w:t>,” and if so, what type of community placement he or she will receive</w:t>
      </w:r>
      <w:r w:rsidR="00D527CE" w:rsidRPr="004A7707">
        <w:rPr>
          <w:szCs w:val="24"/>
        </w:rPr>
        <w:t xml:space="preserve"> in order</w:t>
      </w:r>
      <w:r w:rsidR="00605DC1" w:rsidRPr="004A7707">
        <w:rPr>
          <w:szCs w:val="24"/>
        </w:rPr>
        <w:t xml:space="preserve"> </w:t>
      </w:r>
      <w:r w:rsidR="008F11DE" w:rsidRPr="004A7707">
        <w:rPr>
          <w:szCs w:val="24"/>
        </w:rPr>
        <w:t xml:space="preserve">to determine </w:t>
      </w:r>
      <w:r w:rsidR="00605DC1" w:rsidRPr="004A7707">
        <w:rPr>
          <w:szCs w:val="24"/>
        </w:rPr>
        <w:t>whether Plaintiffs are entitled to the declaratory and injunctive relief that they are seeking</w:t>
      </w:r>
      <w:r w:rsidR="008F11DE" w:rsidRPr="004A7707">
        <w:rPr>
          <w:szCs w:val="24"/>
        </w:rPr>
        <w:t>.</w:t>
      </w:r>
      <w:r w:rsidR="002B6E33" w:rsidRPr="004A7707">
        <w:rPr>
          <w:szCs w:val="24"/>
        </w:rPr>
        <w:t xml:space="preserve"> </w:t>
      </w:r>
      <w:r w:rsidR="008F11DE" w:rsidRPr="004A7707">
        <w:rPr>
          <w:szCs w:val="24"/>
        </w:rPr>
        <w:t xml:space="preserve"> </w:t>
      </w:r>
      <w:r w:rsidR="00D527CE" w:rsidRPr="004A7707">
        <w:rPr>
          <w:szCs w:val="24"/>
        </w:rPr>
        <w:t>Similarly, t</w:t>
      </w:r>
      <w:r w:rsidR="008F11DE" w:rsidRPr="004A7707">
        <w:rPr>
          <w:szCs w:val="24"/>
        </w:rPr>
        <w:t xml:space="preserve">he Court will not need to </w:t>
      </w:r>
      <w:r w:rsidR="00CD4A04" w:rsidRPr="004A7707">
        <w:rPr>
          <w:szCs w:val="24"/>
        </w:rPr>
        <w:t xml:space="preserve">identify </w:t>
      </w:r>
      <w:r w:rsidR="008F11DE" w:rsidRPr="004A7707">
        <w:rPr>
          <w:szCs w:val="24"/>
        </w:rPr>
        <w:t xml:space="preserve">who </w:t>
      </w:r>
      <w:r w:rsidR="00CD4A04" w:rsidRPr="004A7707">
        <w:rPr>
          <w:szCs w:val="24"/>
        </w:rPr>
        <w:t xml:space="preserve">the appropriate members of the class are, because if Plaintiffs prevail, any appropriate member of their class will be affected automatically by the ordered changes in the </w:t>
      </w:r>
      <w:r w:rsidR="004A7707">
        <w:rPr>
          <w:szCs w:val="24"/>
        </w:rPr>
        <w:t>formerly violating</w:t>
      </w:r>
      <w:r w:rsidR="00CD4A04" w:rsidRPr="004A7707">
        <w:rPr>
          <w:szCs w:val="24"/>
        </w:rPr>
        <w:t xml:space="preserve"> process</w:t>
      </w:r>
      <w:r w:rsidR="004A7707">
        <w:rPr>
          <w:szCs w:val="24"/>
        </w:rPr>
        <w:t>es</w:t>
      </w:r>
      <w:r w:rsidR="00CD4A04" w:rsidRPr="004A7707">
        <w:rPr>
          <w:szCs w:val="24"/>
        </w:rPr>
        <w:t xml:space="preserve">.  Neither will the Court need to determine each individual class member’s community placement: if the Court orders the process changes that the Plaintiffs are seeking, then the community placement determinations will be </w:t>
      </w:r>
      <w:r w:rsidR="00907902" w:rsidRPr="004A7707">
        <w:rPr>
          <w:szCs w:val="24"/>
        </w:rPr>
        <w:t xml:space="preserve">the results </w:t>
      </w:r>
      <w:r w:rsidR="00CD4A04" w:rsidRPr="004A7707">
        <w:rPr>
          <w:szCs w:val="24"/>
        </w:rPr>
        <w:t>produced by that order via the State’s implementation of those new processes.  Any individualized fact inquiries involved in determining those community placements will not take place before this Court; rather, they will be made by the State after this litigation is over</w:t>
      </w:r>
      <w:r w:rsidR="00907902" w:rsidRPr="004A7707">
        <w:rPr>
          <w:szCs w:val="24"/>
        </w:rPr>
        <w:t xml:space="preserve"> pursuant to the new State-wide policies ordered by the Court</w:t>
      </w:r>
      <w:r w:rsidR="00CD4A04" w:rsidRPr="004A7707">
        <w:rPr>
          <w:szCs w:val="24"/>
        </w:rPr>
        <w:t>.</w:t>
      </w:r>
      <w:r w:rsidR="002B6E33" w:rsidRPr="004A7707">
        <w:rPr>
          <w:rStyle w:val="FootnoteReference"/>
          <w:szCs w:val="24"/>
        </w:rPr>
        <w:t xml:space="preserve"> </w:t>
      </w:r>
      <w:r w:rsidR="002B6E33" w:rsidRPr="004A7707">
        <w:rPr>
          <w:rStyle w:val="FootnoteReference"/>
          <w:szCs w:val="24"/>
        </w:rPr>
        <w:footnoteReference w:id="20"/>
      </w:r>
      <w:r w:rsidR="004430BC" w:rsidRPr="004A7707">
        <w:rPr>
          <w:szCs w:val="24"/>
        </w:rPr>
        <w:t xml:space="preserve"> </w:t>
      </w:r>
      <w:r w:rsidR="00441811" w:rsidRPr="004A7707">
        <w:rPr>
          <w:szCs w:val="24"/>
        </w:rPr>
        <w:t xml:space="preserve"> </w:t>
      </w:r>
      <w:r w:rsidR="00441811" w:rsidRPr="004A7707">
        <w:rPr>
          <w:i/>
          <w:szCs w:val="24"/>
        </w:rPr>
        <w:t>C.f.</w:t>
      </w:r>
      <w:r w:rsidR="00441811" w:rsidRPr="004A7707">
        <w:rPr>
          <w:szCs w:val="24"/>
        </w:rPr>
        <w:t xml:space="preserve"> </w:t>
      </w:r>
      <w:r w:rsidR="004430BC" w:rsidRPr="004A7707">
        <w:rPr>
          <w:i/>
          <w:szCs w:val="24"/>
        </w:rPr>
        <w:t>J.W. v. Birmingham Bd. of Educ.</w:t>
      </w:r>
      <w:r w:rsidR="004430BC" w:rsidRPr="004A7707">
        <w:rPr>
          <w:szCs w:val="24"/>
        </w:rPr>
        <w:t>, No. 2:10-cv-03314-AKK, 2012 U.S. Dist. LEXIS 124183, at *34-*35 (N.D. Ala. Aug. 31, 2012)</w:t>
      </w:r>
      <w:r w:rsidR="00AB0A3C" w:rsidRPr="004A7707">
        <w:rPr>
          <w:szCs w:val="24"/>
        </w:rPr>
        <w:t xml:space="preserve">; </w:t>
      </w:r>
      <w:r w:rsidR="00AB0A3C" w:rsidRPr="004A7707">
        <w:rPr>
          <w:i/>
          <w:szCs w:val="24"/>
        </w:rPr>
        <w:t>Lane</w:t>
      </w:r>
      <w:r w:rsidR="00AB0A3C" w:rsidRPr="004A7707">
        <w:rPr>
          <w:szCs w:val="24"/>
        </w:rPr>
        <w:t xml:space="preserve">, </w:t>
      </w:r>
      <w:r w:rsidR="00F34843">
        <w:rPr>
          <w:szCs w:val="24"/>
        </w:rPr>
        <w:t>283 F.R.D. at 598-99</w:t>
      </w:r>
      <w:r w:rsidR="00AB0A3C" w:rsidRPr="004A7707">
        <w:rPr>
          <w:szCs w:val="24"/>
        </w:rPr>
        <w:t>.</w:t>
      </w:r>
      <w:r w:rsidR="00441811" w:rsidRPr="004A7707">
        <w:rPr>
          <w:szCs w:val="24"/>
        </w:rPr>
        <w:t xml:space="preserve"> </w:t>
      </w:r>
    </w:p>
    <w:p w:rsidR="00305077" w:rsidRPr="004A7707" w:rsidRDefault="005C2EC8" w:rsidP="008124BA">
      <w:pPr>
        <w:widowControl w:val="0"/>
        <w:spacing w:line="480" w:lineRule="auto"/>
        <w:rPr>
          <w:szCs w:val="24"/>
        </w:rPr>
      </w:pPr>
      <w:r w:rsidRPr="004A7707">
        <w:rPr>
          <w:szCs w:val="24"/>
        </w:rPr>
        <w:tab/>
        <w:t>Thus, this Court should find that there is sufficient commonality in this case to clear the hurdles presented by Rule 23(a</w:t>
      </w:r>
      <w:proofErr w:type="gramStart"/>
      <w:r w:rsidRPr="004A7707">
        <w:rPr>
          <w:szCs w:val="24"/>
        </w:rPr>
        <w:t>)(</w:t>
      </w:r>
      <w:proofErr w:type="gramEnd"/>
      <w:r w:rsidRPr="004A7707">
        <w:rPr>
          <w:szCs w:val="24"/>
        </w:rPr>
        <w:t>2).  Plaintiffs’ action exemplifies the type of ADA action in which class certification is appropriate, and accordingly, their motion should be granted.</w:t>
      </w:r>
      <w:r w:rsidR="00F00504" w:rsidRPr="004A7707">
        <w:rPr>
          <w:rStyle w:val="FootnoteReference"/>
          <w:szCs w:val="24"/>
        </w:rPr>
        <w:footnoteReference w:id="21"/>
      </w:r>
    </w:p>
    <w:p w:rsidR="001872C2" w:rsidRPr="004A7707" w:rsidRDefault="00B20318" w:rsidP="00F958AD">
      <w:pPr>
        <w:pStyle w:val="Heading1"/>
        <w:keepNext/>
      </w:pPr>
      <w:r w:rsidRPr="004A7707">
        <w:t>CONCLUSION</w:t>
      </w:r>
    </w:p>
    <w:p w:rsidR="00D31DE7" w:rsidRPr="004A7707" w:rsidRDefault="001872C2" w:rsidP="00A34409">
      <w:pPr>
        <w:spacing w:line="480" w:lineRule="auto"/>
        <w:rPr>
          <w:szCs w:val="24"/>
        </w:rPr>
      </w:pPr>
      <w:r w:rsidRPr="004A7707">
        <w:rPr>
          <w:szCs w:val="24"/>
        </w:rPr>
        <w:tab/>
      </w:r>
      <w:r w:rsidR="00B60745" w:rsidRPr="004A7707">
        <w:rPr>
          <w:szCs w:val="24"/>
        </w:rPr>
        <w:t>For the reasons state</w:t>
      </w:r>
      <w:r w:rsidR="00A06DAE" w:rsidRPr="004A7707">
        <w:rPr>
          <w:szCs w:val="24"/>
        </w:rPr>
        <w:t>d</w:t>
      </w:r>
      <w:r w:rsidR="00B60745" w:rsidRPr="004A7707">
        <w:rPr>
          <w:szCs w:val="24"/>
        </w:rPr>
        <w:t xml:space="preserve"> above, the United States respectfully requests that this Court deny Defendants’ </w:t>
      </w:r>
      <w:r w:rsidR="00E77569" w:rsidRPr="004A7707">
        <w:rPr>
          <w:szCs w:val="24"/>
        </w:rPr>
        <w:t>motion to dismiss for mootness, grant Plaintiff’s motion for class certification, and permit the United States to participate in any argument that the Court may hear on either motion.</w:t>
      </w:r>
    </w:p>
    <w:p w:rsidR="002406EE" w:rsidRPr="004A7707" w:rsidRDefault="002406EE" w:rsidP="0083638C">
      <w:pPr>
        <w:rPr>
          <w:szCs w:val="24"/>
        </w:rPr>
      </w:pPr>
    </w:p>
    <w:p w:rsidR="00D31DE7" w:rsidRPr="004A7707" w:rsidRDefault="00A34409" w:rsidP="00A34409">
      <w:pPr>
        <w:spacing w:line="480" w:lineRule="auto"/>
        <w:rPr>
          <w:szCs w:val="24"/>
        </w:rPr>
      </w:pPr>
      <w:r w:rsidRPr="004A7707">
        <w:rPr>
          <w:szCs w:val="24"/>
        </w:rPr>
        <w:t xml:space="preserve">Dated </w:t>
      </w:r>
      <w:r w:rsidR="00A40923" w:rsidRPr="004A7707">
        <w:rPr>
          <w:szCs w:val="24"/>
        </w:rPr>
        <w:t>April</w:t>
      </w:r>
      <w:r w:rsidRPr="004A7707">
        <w:rPr>
          <w:szCs w:val="24"/>
        </w:rPr>
        <w:t xml:space="preserve"> </w:t>
      </w:r>
      <w:r w:rsidR="005E095C" w:rsidRPr="004A7707">
        <w:rPr>
          <w:szCs w:val="24"/>
        </w:rPr>
        <w:t>10</w:t>
      </w:r>
      <w:r w:rsidRPr="004A7707">
        <w:rPr>
          <w:szCs w:val="24"/>
        </w:rPr>
        <w:t>, 2013</w:t>
      </w:r>
      <w:r w:rsidR="001872C2" w:rsidRPr="004A7707">
        <w:rPr>
          <w:szCs w:val="24"/>
        </w:rPr>
        <w:tab/>
      </w:r>
      <w:r w:rsidR="001872C2" w:rsidRPr="004A7707">
        <w:rPr>
          <w:szCs w:val="24"/>
        </w:rPr>
        <w:tab/>
      </w:r>
      <w:r w:rsidR="009565B7" w:rsidRPr="004A7707">
        <w:rPr>
          <w:szCs w:val="24"/>
        </w:rPr>
        <w:tab/>
      </w:r>
      <w:r w:rsidR="00E6638F" w:rsidRPr="004A7707">
        <w:rPr>
          <w:szCs w:val="24"/>
        </w:rPr>
        <w:tab/>
      </w:r>
      <w:proofErr w:type="gramStart"/>
      <w:r w:rsidR="00D31DE7" w:rsidRPr="004A7707">
        <w:rPr>
          <w:szCs w:val="24"/>
        </w:rPr>
        <w:t>Respectfully</w:t>
      </w:r>
      <w:proofErr w:type="gramEnd"/>
      <w:r w:rsidR="00D31DE7" w:rsidRPr="004A7707">
        <w:rPr>
          <w:szCs w:val="24"/>
        </w:rPr>
        <w:t xml:space="preserve"> submitted,</w:t>
      </w:r>
    </w:p>
    <w:p w:rsidR="00D31DE7" w:rsidRPr="004A7707" w:rsidRDefault="00E6638F" w:rsidP="00A34409">
      <w:pPr>
        <w:rPr>
          <w:szCs w:val="24"/>
        </w:rPr>
      </w:pPr>
      <w:r w:rsidRPr="004A7707">
        <w:rPr>
          <w:szCs w:val="24"/>
        </w:rPr>
        <w:t>WILFREDO A. FERRER</w:t>
      </w:r>
      <w:r w:rsidRPr="004A7707">
        <w:rPr>
          <w:szCs w:val="24"/>
        </w:rPr>
        <w:tab/>
      </w:r>
      <w:r w:rsidRPr="004A7707">
        <w:rPr>
          <w:szCs w:val="24"/>
        </w:rPr>
        <w:tab/>
      </w:r>
      <w:r w:rsidRPr="004A7707">
        <w:rPr>
          <w:szCs w:val="24"/>
        </w:rPr>
        <w:tab/>
      </w:r>
      <w:r w:rsidR="00D31DE7" w:rsidRPr="004A7707">
        <w:rPr>
          <w:szCs w:val="24"/>
        </w:rPr>
        <w:t>THOMAS E. PEREZ</w:t>
      </w:r>
    </w:p>
    <w:p w:rsidR="00D31DE7" w:rsidRPr="004A7707" w:rsidRDefault="00E6638F" w:rsidP="00A34409">
      <w:pPr>
        <w:rPr>
          <w:szCs w:val="24"/>
        </w:rPr>
      </w:pPr>
      <w:r w:rsidRPr="004A7707">
        <w:rPr>
          <w:szCs w:val="24"/>
        </w:rPr>
        <w:t>United States Attorney</w:t>
      </w:r>
      <w:r w:rsidRPr="004A7707">
        <w:rPr>
          <w:szCs w:val="24"/>
        </w:rPr>
        <w:tab/>
      </w:r>
      <w:r w:rsidRPr="004A7707">
        <w:rPr>
          <w:szCs w:val="24"/>
        </w:rPr>
        <w:tab/>
      </w:r>
      <w:r w:rsidRPr="004A7707">
        <w:rPr>
          <w:szCs w:val="24"/>
        </w:rPr>
        <w:tab/>
      </w:r>
      <w:r w:rsidR="00D31DE7" w:rsidRPr="004A7707">
        <w:rPr>
          <w:szCs w:val="24"/>
        </w:rPr>
        <w:t>Assistant Attorney General</w:t>
      </w:r>
      <w:r w:rsidR="00D31DE7" w:rsidRPr="004A7707">
        <w:rPr>
          <w:szCs w:val="24"/>
        </w:rPr>
        <w:tab/>
      </w:r>
      <w:r w:rsidR="00D31DE7" w:rsidRPr="004A7707">
        <w:rPr>
          <w:szCs w:val="24"/>
        </w:rPr>
        <w:tab/>
      </w:r>
    </w:p>
    <w:p w:rsidR="00D31DE7" w:rsidRPr="004A7707" w:rsidRDefault="00E6638F" w:rsidP="00A34409">
      <w:pPr>
        <w:rPr>
          <w:szCs w:val="24"/>
        </w:rPr>
      </w:pPr>
      <w:r w:rsidRPr="004A7707">
        <w:rPr>
          <w:szCs w:val="24"/>
        </w:rPr>
        <w:t>Southern District of Florida</w:t>
      </w:r>
    </w:p>
    <w:p w:rsidR="00E77569" w:rsidRPr="004A7707" w:rsidRDefault="00E77569" w:rsidP="00A34409">
      <w:pPr>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EVE HILL</w:t>
      </w:r>
    </w:p>
    <w:p w:rsidR="00D31DE7" w:rsidRPr="004A7707" w:rsidRDefault="00D31DE7" w:rsidP="00A34409">
      <w:pPr>
        <w:rPr>
          <w:szCs w:val="24"/>
        </w:rPr>
      </w:pPr>
      <w:r w:rsidRPr="004A7707">
        <w:rPr>
          <w:szCs w:val="24"/>
        </w:rPr>
        <w:tab/>
      </w:r>
      <w:r w:rsidR="00E6638F" w:rsidRPr="004A7707">
        <w:rPr>
          <w:szCs w:val="24"/>
        </w:rPr>
        <w:tab/>
      </w:r>
      <w:r w:rsidR="00E94B5A" w:rsidRPr="004A7707">
        <w:rPr>
          <w:szCs w:val="24"/>
        </w:rPr>
        <w:tab/>
      </w:r>
      <w:r w:rsidR="00E94B5A" w:rsidRPr="004A7707">
        <w:rPr>
          <w:szCs w:val="24"/>
        </w:rPr>
        <w:tab/>
      </w:r>
      <w:r w:rsidR="00E94B5A" w:rsidRPr="004A7707">
        <w:rPr>
          <w:szCs w:val="24"/>
        </w:rPr>
        <w:tab/>
      </w:r>
      <w:r w:rsidR="00E94B5A" w:rsidRPr="004A7707">
        <w:rPr>
          <w:szCs w:val="24"/>
        </w:rPr>
        <w:tab/>
        <w:t>Senior Counselor to the Assistant</w:t>
      </w:r>
      <w:r w:rsidRPr="004A7707">
        <w:rPr>
          <w:szCs w:val="24"/>
        </w:rPr>
        <w:t xml:space="preserve"> Attorney General</w:t>
      </w:r>
    </w:p>
    <w:p w:rsidR="00D31DE7" w:rsidRPr="004A7707" w:rsidRDefault="007E2F93" w:rsidP="00A34409">
      <w:pPr>
        <w:rPr>
          <w:szCs w:val="24"/>
        </w:rPr>
      </w:pPr>
      <w:r w:rsidRPr="004A7707">
        <w:rPr>
          <w:szCs w:val="24"/>
        </w:rPr>
        <w:tab/>
      </w:r>
      <w:r w:rsidRPr="004A7707">
        <w:rPr>
          <w:szCs w:val="24"/>
        </w:rPr>
        <w:tab/>
      </w:r>
      <w:r w:rsidR="001E5E39" w:rsidRPr="004A7707">
        <w:rPr>
          <w:szCs w:val="24"/>
        </w:rPr>
        <w:tab/>
      </w:r>
      <w:r w:rsidR="00E6638F" w:rsidRPr="004A7707">
        <w:rPr>
          <w:szCs w:val="24"/>
        </w:rPr>
        <w:tab/>
      </w:r>
      <w:r w:rsidR="00D31DE7" w:rsidRPr="004A7707">
        <w:rPr>
          <w:szCs w:val="24"/>
        </w:rPr>
        <w:tab/>
      </w:r>
      <w:r w:rsidR="00D31DE7" w:rsidRPr="004A7707">
        <w:rPr>
          <w:szCs w:val="24"/>
        </w:rPr>
        <w:tab/>
      </w:r>
      <w:r w:rsidR="00D31DE7" w:rsidRPr="004A7707">
        <w:rPr>
          <w:szCs w:val="24"/>
        </w:rPr>
        <w:tab/>
      </w:r>
      <w:r w:rsidR="00D31DE7" w:rsidRPr="004A7707">
        <w:rPr>
          <w:szCs w:val="24"/>
        </w:rPr>
        <w:tab/>
      </w:r>
    </w:p>
    <w:p w:rsidR="00D31DE7" w:rsidRPr="004A7707" w:rsidRDefault="00D31DE7" w:rsidP="00A34409">
      <w:pPr>
        <w:rPr>
          <w:szCs w:val="24"/>
        </w:rPr>
      </w:pPr>
      <w:r w:rsidRPr="004A7707">
        <w:rPr>
          <w:szCs w:val="24"/>
        </w:rPr>
        <w:tab/>
      </w:r>
      <w:r w:rsidRPr="004A7707">
        <w:rPr>
          <w:szCs w:val="24"/>
        </w:rPr>
        <w:tab/>
      </w:r>
      <w:r w:rsidRPr="004A7707">
        <w:rPr>
          <w:szCs w:val="24"/>
        </w:rPr>
        <w:tab/>
      </w:r>
      <w:r w:rsidRPr="004A7707">
        <w:rPr>
          <w:szCs w:val="24"/>
        </w:rPr>
        <w:tab/>
      </w:r>
      <w:r w:rsidR="00E94B5A" w:rsidRPr="004A7707">
        <w:rPr>
          <w:szCs w:val="24"/>
        </w:rPr>
        <w:tab/>
      </w:r>
      <w:r w:rsidR="00E94B5A" w:rsidRPr="004A7707">
        <w:rPr>
          <w:szCs w:val="24"/>
        </w:rPr>
        <w:tab/>
        <w:t>ALISON BARKOFF</w:t>
      </w:r>
      <w:r w:rsidRPr="004A7707">
        <w:rPr>
          <w:szCs w:val="24"/>
        </w:rPr>
        <w:tab/>
      </w:r>
      <w:r w:rsidRPr="004A7707">
        <w:rPr>
          <w:szCs w:val="24"/>
        </w:rPr>
        <w:tab/>
      </w:r>
      <w:r w:rsidRPr="004A7707">
        <w:rPr>
          <w:szCs w:val="24"/>
        </w:rPr>
        <w:tab/>
      </w:r>
      <w:r w:rsidRPr="004A7707">
        <w:rPr>
          <w:szCs w:val="24"/>
        </w:rPr>
        <w:tab/>
      </w:r>
    </w:p>
    <w:p w:rsidR="00E60C89" w:rsidRPr="004A7707" w:rsidRDefault="00E6638F" w:rsidP="00A34409">
      <w:pPr>
        <w:rPr>
          <w:szCs w:val="24"/>
        </w:rPr>
      </w:pPr>
      <w:r w:rsidRPr="004A7707">
        <w:rPr>
          <w:szCs w:val="24"/>
        </w:rPr>
        <w:tab/>
      </w:r>
      <w:r w:rsidR="00E94B5A" w:rsidRPr="004A7707">
        <w:rPr>
          <w:szCs w:val="24"/>
        </w:rPr>
        <w:tab/>
      </w:r>
      <w:r w:rsidR="00E94B5A" w:rsidRPr="004A7707">
        <w:rPr>
          <w:szCs w:val="24"/>
        </w:rPr>
        <w:tab/>
      </w:r>
      <w:r w:rsidR="00E94B5A" w:rsidRPr="004A7707">
        <w:rPr>
          <w:szCs w:val="24"/>
        </w:rPr>
        <w:tab/>
      </w:r>
      <w:r w:rsidR="00E94B5A" w:rsidRPr="004A7707">
        <w:rPr>
          <w:szCs w:val="24"/>
        </w:rPr>
        <w:tab/>
      </w:r>
      <w:r w:rsidR="00E94B5A" w:rsidRPr="004A7707">
        <w:rPr>
          <w:szCs w:val="24"/>
        </w:rPr>
        <w:tab/>
        <w:t>Special Counsel for Olmstead Enforcement</w:t>
      </w:r>
    </w:p>
    <w:p w:rsidR="00E94B5A" w:rsidRPr="004A7707" w:rsidRDefault="00E60C89" w:rsidP="00A34409">
      <w:pPr>
        <w:rPr>
          <w:szCs w:val="24"/>
        </w:rPr>
      </w:pPr>
      <w:r w:rsidRPr="004A7707">
        <w:rPr>
          <w:szCs w:val="24"/>
        </w:rPr>
        <w:tab/>
      </w:r>
      <w:r w:rsidR="00E94B5A" w:rsidRPr="004A7707">
        <w:rPr>
          <w:szCs w:val="24"/>
        </w:rPr>
        <w:tab/>
      </w:r>
      <w:r w:rsidR="00E94B5A" w:rsidRPr="004A7707">
        <w:rPr>
          <w:szCs w:val="24"/>
        </w:rPr>
        <w:tab/>
      </w:r>
      <w:r w:rsidR="00E94B5A" w:rsidRPr="004A7707">
        <w:rPr>
          <w:szCs w:val="24"/>
        </w:rPr>
        <w:tab/>
      </w:r>
      <w:r w:rsidR="00E94B5A" w:rsidRPr="004A7707">
        <w:rPr>
          <w:szCs w:val="24"/>
        </w:rPr>
        <w:tab/>
      </w:r>
      <w:r w:rsidR="00E94B5A" w:rsidRPr="004A7707">
        <w:rPr>
          <w:szCs w:val="24"/>
        </w:rPr>
        <w:tab/>
        <w:t>Civil Rights Division</w:t>
      </w:r>
      <w:r w:rsidR="00E94B5A" w:rsidRPr="004A7707">
        <w:rPr>
          <w:szCs w:val="24"/>
        </w:rPr>
        <w:tab/>
      </w:r>
    </w:p>
    <w:p w:rsidR="005808AC" w:rsidRPr="004A7707" w:rsidRDefault="005808AC" w:rsidP="00A34409">
      <w:pPr>
        <w:rPr>
          <w:szCs w:val="24"/>
          <w:u w:val="single"/>
        </w:rPr>
      </w:pPr>
    </w:p>
    <w:p w:rsidR="00E94B5A" w:rsidRPr="004A7707" w:rsidRDefault="00EE0D06" w:rsidP="00A34409">
      <w:pPr>
        <w:rPr>
          <w:szCs w:val="24"/>
          <w:u w:val="single"/>
        </w:rPr>
      </w:pPr>
      <w:r w:rsidRPr="004A7707">
        <w:rPr>
          <w:szCs w:val="24"/>
          <w:u w:val="single"/>
        </w:rPr>
        <w:t>/</w:t>
      </w:r>
      <w:r w:rsidR="00E94B5A" w:rsidRPr="004A7707">
        <w:rPr>
          <w:szCs w:val="24"/>
          <w:u w:val="single"/>
        </w:rPr>
        <w:t>s</w:t>
      </w:r>
      <w:r w:rsidR="005808AC" w:rsidRPr="004A7707">
        <w:rPr>
          <w:szCs w:val="24"/>
          <w:u w:val="single"/>
        </w:rPr>
        <w:t>/</w:t>
      </w:r>
      <w:r w:rsidRPr="004A7707">
        <w:rPr>
          <w:szCs w:val="24"/>
          <w:u w:val="single"/>
        </w:rPr>
        <w:t xml:space="preserve"> </w:t>
      </w:r>
      <w:r w:rsidR="00CD257F" w:rsidRPr="004A7707">
        <w:rPr>
          <w:i/>
          <w:szCs w:val="24"/>
          <w:u w:val="single"/>
        </w:rPr>
        <w:t>Veronica Harrell-James</w:t>
      </w:r>
      <w:r w:rsidR="00CD257F" w:rsidRPr="004A7707">
        <w:rPr>
          <w:szCs w:val="24"/>
          <w:u w:val="single"/>
        </w:rPr>
        <w:t xml:space="preserve">   </w:t>
      </w:r>
      <w:r w:rsidR="00E94B5A" w:rsidRPr="004A7707">
        <w:rPr>
          <w:szCs w:val="24"/>
          <w:u w:val="single"/>
        </w:rPr>
        <w:tab/>
      </w:r>
      <w:r w:rsidR="00CD257F" w:rsidRPr="004A7707">
        <w:rPr>
          <w:szCs w:val="24"/>
          <w:u w:val="single"/>
        </w:rPr>
        <w:t xml:space="preserve">      </w:t>
      </w:r>
      <w:r w:rsidR="00E94B5A" w:rsidRPr="004A7707">
        <w:rPr>
          <w:szCs w:val="24"/>
        </w:rPr>
        <w:tab/>
      </w:r>
      <w:r w:rsidR="00E94B5A" w:rsidRPr="004A7707">
        <w:rPr>
          <w:szCs w:val="24"/>
        </w:rPr>
        <w:tab/>
      </w:r>
      <w:r w:rsidR="00E94B5A" w:rsidRPr="004A7707">
        <w:rPr>
          <w:szCs w:val="24"/>
          <w:u w:val="single"/>
        </w:rPr>
        <w:t xml:space="preserve">/s/ </w:t>
      </w:r>
      <w:r w:rsidR="00E94B5A" w:rsidRPr="004A7707">
        <w:rPr>
          <w:i/>
          <w:szCs w:val="24"/>
          <w:u w:val="single"/>
        </w:rPr>
        <w:t xml:space="preserve">Travis </w:t>
      </w:r>
      <w:r w:rsidR="00FD6191" w:rsidRPr="004A7707">
        <w:rPr>
          <w:i/>
          <w:szCs w:val="24"/>
          <w:u w:val="single"/>
        </w:rPr>
        <w:t xml:space="preserve">W. </w:t>
      </w:r>
      <w:r w:rsidR="00E94B5A" w:rsidRPr="004A7707">
        <w:rPr>
          <w:i/>
          <w:szCs w:val="24"/>
          <w:u w:val="single"/>
        </w:rPr>
        <w:t>England</w:t>
      </w:r>
      <w:r w:rsidR="005808AC" w:rsidRPr="004A7707">
        <w:rPr>
          <w:i/>
          <w:szCs w:val="24"/>
          <w:u w:val="single"/>
        </w:rPr>
        <w:tab/>
      </w:r>
      <w:r w:rsidR="005808AC" w:rsidRPr="004A7707">
        <w:rPr>
          <w:i/>
          <w:szCs w:val="24"/>
          <w:u w:val="single"/>
        </w:rPr>
        <w:tab/>
      </w:r>
      <w:r w:rsidR="00C1140A" w:rsidRPr="004A7707">
        <w:rPr>
          <w:szCs w:val="24"/>
          <w:u w:val="single"/>
        </w:rPr>
        <w:t xml:space="preserve">           </w:t>
      </w:r>
      <w:r w:rsidR="00C1140A" w:rsidRPr="004A7707">
        <w:rPr>
          <w:szCs w:val="24"/>
          <w:u w:val="single"/>
        </w:rPr>
        <w:tab/>
      </w:r>
    </w:p>
    <w:p w:rsidR="00E94B5A" w:rsidRPr="004A7707" w:rsidRDefault="00E94B5A" w:rsidP="005808AC">
      <w:pPr>
        <w:rPr>
          <w:szCs w:val="24"/>
        </w:rPr>
      </w:pPr>
      <w:r w:rsidRPr="004A7707">
        <w:rPr>
          <w:szCs w:val="24"/>
        </w:rPr>
        <w:t>VERONICA HARRELL-JAMES</w:t>
      </w:r>
      <w:r w:rsidRPr="004A7707">
        <w:rPr>
          <w:szCs w:val="24"/>
        </w:rPr>
        <w:tab/>
      </w:r>
      <w:r w:rsidRPr="004A7707">
        <w:rPr>
          <w:szCs w:val="24"/>
        </w:rPr>
        <w:tab/>
      </w:r>
      <w:r w:rsidR="00E77569" w:rsidRPr="004A7707">
        <w:rPr>
          <w:szCs w:val="24"/>
        </w:rPr>
        <w:t>REBECCA B. BOND</w:t>
      </w:r>
    </w:p>
    <w:p w:rsidR="002351A9" w:rsidRPr="004A7707" w:rsidRDefault="00E94B5A" w:rsidP="005808AC">
      <w:pPr>
        <w:rPr>
          <w:szCs w:val="24"/>
        </w:rPr>
      </w:pPr>
      <w:r w:rsidRPr="004A7707">
        <w:rPr>
          <w:szCs w:val="24"/>
        </w:rPr>
        <w:t>Assistant United States Attorney</w:t>
      </w:r>
      <w:r w:rsidR="006A6DBD" w:rsidRPr="004A7707">
        <w:rPr>
          <w:szCs w:val="24"/>
        </w:rPr>
        <w:tab/>
      </w:r>
      <w:r w:rsidR="006A6DBD" w:rsidRPr="004A7707">
        <w:rPr>
          <w:szCs w:val="24"/>
        </w:rPr>
        <w:tab/>
        <w:t>Chief</w:t>
      </w:r>
    </w:p>
    <w:p w:rsidR="00E94B5A" w:rsidRPr="004A7707" w:rsidRDefault="006A6DBD" w:rsidP="005808AC">
      <w:pPr>
        <w:rPr>
          <w:szCs w:val="24"/>
        </w:rPr>
      </w:pPr>
      <w:r w:rsidRPr="004A7707">
        <w:t xml:space="preserve">Fla. </w:t>
      </w:r>
      <w:proofErr w:type="gramStart"/>
      <w:r w:rsidRPr="004A7707">
        <w:t>Bar</w:t>
      </w:r>
      <w:proofErr w:type="gramEnd"/>
      <w:r w:rsidRPr="004A7707">
        <w:t xml:space="preserve"> No. </w:t>
      </w:r>
      <w:r w:rsidR="002351A9" w:rsidRPr="004A7707">
        <w:t>644791</w:t>
      </w:r>
      <w:r w:rsidR="00E94B5A" w:rsidRPr="004A7707">
        <w:rPr>
          <w:szCs w:val="24"/>
        </w:rPr>
        <w:tab/>
      </w:r>
      <w:r w:rsidR="00E94B5A" w:rsidRPr="004A7707">
        <w:rPr>
          <w:szCs w:val="24"/>
        </w:rPr>
        <w:tab/>
      </w:r>
      <w:r w:rsidRPr="004A7707">
        <w:rPr>
          <w:szCs w:val="24"/>
        </w:rPr>
        <w:tab/>
      </w:r>
      <w:r w:rsidRPr="004A7707">
        <w:rPr>
          <w:szCs w:val="24"/>
        </w:rPr>
        <w:tab/>
        <w:t>SHEILA S. FORAN</w:t>
      </w:r>
    </w:p>
    <w:p w:rsidR="00E94B5A" w:rsidRPr="004A7707" w:rsidRDefault="00E94B5A" w:rsidP="005808AC">
      <w:pPr>
        <w:rPr>
          <w:szCs w:val="24"/>
        </w:rPr>
      </w:pPr>
      <w:r w:rsidRPr="004A7707">
        <w:rPr>
          <w:szCs w:val="24"/>
        </w:rPr>
        <w:t>99 N.E. 4</w:t>
      </w:r>
      <w:r w:rsidR="00C1140A" w:rsidRPr="004A7707">
        <w:rPr>
          <w:szCs w:val="24"/>
        </w:rPr>
        <w:t xml:space="preserve">th </w:t>
      </w:r>
      <w:r w:rsidRPr="004A7707">
        <w:rPr>
          <w:szCs w:val="24"/>
        </w:rPr>
        <w:t>Street</w:t>
      </w:r>
      <w:r w:rsidRPr="004A7707">
        <w:rPr>
          <w:szCs w:val="24"/>
        </w:rPr>
        <w:tab/>
      </w:r>
      <w:r w:rsidRPr="004A7707">
        <w:rPr>
          <w:szCs w:val="24"/>
        </w:rPr>
        <w:tab/>
      </w:r>
      <w:r w:rsidRPr="004A7707">
        <w:rPr>
          <w:szCs w:val="24"/>
        </w:rPr>
        <w:tab/>
      </w:r>
      <w:r w:rsidRPr="004A7707">
        <w:rPr>
          <w:szCs w:val="24"/>
        </w:rPr>
        <w:tab/>
      </w:r>
      <w:r w:rsidR="006A6DBD" w:rsidRPr="004A7707">
        <w:rPr>
          <w:szCs w:val="24"/>
        </w:rPr>
        <w:t>Special Legal Counsel</w:t>
      </w:r>
    </w:p>
    <w:p w:rsidR="00E94B5A" w:rsidRPr="004A7707" w:rsidRDefault="00E94B5A" w:rsidP="005808AC">
      <w:pPr>
        <w:rPr>
          <w:szCs w:val="24"/>
        </w:rPr>
      </w:pPr>
      <w:r w:rsidRPr="004A7707">
        <w:rPr>
          <w:szCs w:val="24"/>
        </w:rPr>
        <w:t>Miami, FL 33132</w:t>
      </w:r>
      <w:r w:rsidRPr="004A7707">
        <w:rPr>
          <w:szCs w:val="24"/>
        </w:rPr>
        <w:tab/>
      </w:r>
      <w:r w:rsidRPr="004A7707">
        <w:rPr>
          <w:szCs w:val="24"/>
        </w:rPr>
        <w:tab/>
      </w:r>
      <w:r w:rsidRPr="004A7707">
        <w:rPr>
          <w:szCs w:val="24"/>
        </w:rPr>
        <w:tab/>
      </w:r>
      <w:r w:rsidRPr="004A7707">
        <w:rPr>
          <w:szCs w:val="24"/>
        </w:rPr>
        <w:tab/>
      </w:r>
      <w:r w:rsidR="006A6DBD" w:rsidRPr="004A7707">
        <w:rPr>
          <w:szCs w:val="24"/>
        </w:rPr>
        <w:t>ANNE S. RAISH</w:t>
      </w:r>
    </w:p>
    <w:p w:rsidR="00E94B5A" w:rsidRPr="004A7707" w:rsidRDefault="00E94B5A" w:rsidP="005808AC">
      <w:pPr>
        <w:rPr>
          <w:szCs w:val="24"/>
        </w:rPr>
      </w:pPr>
      <w:r w:rsidRPr="004A7707">
        <w:rPr>
          <w:szCs w:val="24"/>
        </w:rPr>
        <w:t>Telephone:</w:t>
      </w:r>
      <w:r w:rsidRPr="004A7707">
        <w:rPr>
          <w:szCs w:val="24"/>
        </w:rPr>
        <w:tab/>
        <w:t>(305) 961-9327</w:t>
      </w:r>
      <w:r w:rsidRPr="004A7707">
        <w:rPr>
          <w:szCs w:val="24"/>
        </w:rPr>
        <w:tab/>
      </w:r>
      <w:r w:rsidRPr="004A7707">
        <w:rPr>
          <w:szCs w:val="24"/>
        </w:rPr>
        <w:tab/>
      </w:r>
      <w:r w:rsidR="006A6DBD" w:rsidRPr="004A7707">
        <w:rPr>
          <w:szCs w:val="24"/>
        </w:rPr>
        <w:t>Deputy Chief</w:t>
      </w:r>
    </w:p>
    <w:p w:rsidR="00E94B5A" w:rsidRPr="004A7707" w:rsidRDefault="007B6B92"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A7707">
        <w:rPr>
          <w:szCs w:val="24"/>
        </w:rPr>
        <w:t>Facsimile:</w:t>
      </w:r>
      <w:r w:rsidRPr="004A7707">
        <w:rPr>
          <w:szCs w:val="24"/>
        </w:rPr>
        <w:tab/>
        <w:t>(305) 530-7139</w:t>
      </w:r>
      <w:r w:rsidR="00E94B5A" w:rsidRPr="004A7707">
        <w:rPr>
          <w:szCs w:val="24"/>
        </w:rPr>
        <w:tab/>
      </w:r>
      <w:r w:rsidR="00E94B5A" w:rsidRPr="004A7707">
        <w:rPr>
          <w:szCs w:val="24"/>
        </w:rPr>
        <w:tab/>
      </w:r>
    </w:p>
    <w:p w:rsidR="00DF2E32" w:rsidRPr="004A7707" w:rsidRDefault="004D7208" w:rsidP="00690AEC">
      <w:pPr>
        <w:contextualSpacing/>
        <w:rPr>
          <w:szCs w:val="24"/>
        </w:rPr>
      </w:pPr>
      <w:hyperlink r:id="rId7" w:history="1">
        <w:r w:rsidR="007B6B92" w:rsidRPr="004A7707">
          <w:rPr>
            <w:rStyle w:val="Hyperlink"/>
            <w:color w:val="auto"/>
            <w:szCs w:val="24"/>
          </w:rPr>
          <w:t>Veronica.Harrell-James@usdoj.gov</w:t>
        </w:r>
      </w:hyperlink>
      <w:r w:rsidR="007B6B92" w:rsidRPr="004A7707">
        <w:rPr>
          <w:szCs w:val="24"/>
        </w:rPr>
        <w:t xml:space="preserve"> </w:t>
      </w:r>
      <w:r w:rsidR="00E94B5A" w:rsidRPr="004A7707">
        <w:rPr>
          <w:szCs w:val="24"/>
        </w:rPr>
        <w:tab/>
      </w:r>
      <w:r w:rsidR="00E94B5A" w:rsidRPr="004A7707">
        <w:rPr>
          <w:szCs w:val="24"/>
        </w:rPr>
        <w:tab/>
      </w:r>
      <w:r w:rsidR="008243A2" w:rsidRPr="004A7707">
        <w:rPr>
          <w:szCs w:val="24"/>
          <w:lang w:val="en-CA"/>
        </w:rPr>
        <w:t xml:space="preserve">TRAVIS W. ENGLAND, </w:t>
      </w:r>
      <w:r w:rsidR="008243A2" w:rsidRPr="004A7707">
        <w:t>Bar ID A5501768</w:t>
      </w:r>
    </w:p>
    <w:p w:rsidR="00827E0A" w:rsidRPr="004A7707" w:rsidRDefault="00827E0A" w:rsidP="00827E0A">
      <w:pPr>
        <w:contextualSpacing/>
      </w:pPr>
      <w:r w:rsidRPr="004A7707">
        <w:tab/>
      </w:r>
      <w:r w:rsidRPr="004A7707">
        <w:tab/>
      </w:r>
      <w:r w:rsidRPr="004A7707">
        <w:tab/>
      </w:r>
      <w:r w:rsidRPr="004A7707">
        <w:tab/>
      </w:r>
      <w:r w:rsidRPr="004A7707">
        <w:tab/>
      </w:r>
      <w:r w:rsidRPr="004A7707">
        <w:tab/>
      </w:r>
      <w:r w:rsidR="008243A2" w:rsidRPr="004A7707">
        <w:rPr>
          <w:szCs w:val="24"/>
        </w:rPr>
        <w:t xml:space="preserve">BETH A. ESPOSITO, </w:t>
      </w:r>
      <w:r w:rsidR="008243A2" w:rsidRPr="004A7707">
        <w:t>Bar ID A5501719</w:t>
      </w:r>
    </w:p>
    <w:p w:rsidR="003D58C0" w:rsidRPr="004A7707" w:rsidRDefault="00E77569" w:rsidP="00E77569">
      <w:pPr>
        <w:contextualSpacing/>
      </w:pPr>
      <w:r w:rsidRPr="004A7707">
        <w:tab/>
      </w:r>
      <w:r w:rsidRPr="004A7707">
        <w:tab/>
      </w:r>
      <w:r w:rsidRPr="004A7707">
        <w:tab/>
      </w:r>
      <w:r w:rsidRPr="004A7707">
        <w:tab/>
      </w:r>
      <w:r w:rsidRPr="004A7707">
        <w:tab/>
      </w:r>
      <w:r w:rsidRPr="004A7707">
        <w:tab/>
      </w:r>
      <w:r w:rsidR="008243A2" w:rsidRPr="004A7707">
        <w:rPr>
          <w:szCs w:val="24"/>
        </w:rPr>
        <w:t xml:space="preserve">VINCENT P. HERMAN, </w:t>
      </w:r>
      <w:r w:rsidR="008243A2" w:rsidRPr="004A7707">
        <w:t>Bar ID A5501810</w:t>
      </w:r>
    </w:p>
    <w:p w:rsidR="00FA006E" w:rsidRPr="004A7707" w:rsidRDefault="00E77569" w:rsidP="00E77569">
      <w:pPr>
        <w:contextualSpacing/>
      </w:pPr>
      <w:r w:rsidRPr="004A7707">
        <w:tab/>
      </w:r>
      <w:r w:rsidRPr="004A7707">
        <w:tab/>
      </w:r>
      <w:r w:rsidRPr="004A7707">
        <w:tab/>
      </w:r>
      <w:r w:rsidRPr="004A7707">
        <w:tab/>
      </w:r>
      <w:r w:rsidRPr="004A7707">
        <w:tab/>
      </w:r>
      <w:r w:rsidRPr="004A7707">
        <w:tab/>
      </w:r>
      <w:r w:rsidR="008243A2" w:rsidRPr="004A7707">
        <w:t xml:space="preserve">H. JUSTIN PARK, </w:t>
      </w:r>
      <w:r w:rsidR="008243A2" w:rsidRPr="004A7707">
        <w:rPr>
          <w:szCs w:val="24"/>
        </w:rPr>
        <w:t xml:space="preserve">Bar ID </w:t>
      </w:r>
      <w:r w:rsidR="008243A2" w:rsidRPr="004A7707">
        <w:rPr>
          <w:bCs/>
          <w:szCs w:val="24"/>
        </w:rPr>
        <w:t>A5501860</w:t>
      </w:r>
    </w:p>
    <w:p w:rsidR="00FA006E" w:rsidRPr="004A7707" w:rsidRDefault="008243A2" w:rsidP="00FA006E">
      <w:pPr>
        <w:ind w:left="3600" w:firstLine="720"/>
        <w:contextualSpacing/>
      </w:pPr>
      <w:r w:rsidRPr="004A7707">
        <w:rPr>
          <w:szCs w:val="24"/>
        </w:rPr>
        <w:t xml:space="preserve">JOY LEVIN WELAN, </w:t>
      </w:r>
      <w:r w:rsidRPr="004A7707">
        <w:t>Bar ID A5501767</w:t>
      </w:r>
    </w:p>
    <w:p w:rsidR="003D58C0" w:rsidRPr="004A7707" w:rsidRDefault="008243A2" w:rsidP="00FA006E">
      <w:pPr>
        <w:ind w:left="3600" w:firstLine="720"/>
        <w:contextualSpacing/>
      </w:pPr>
      <w:r w:rsidRPr="004A7707">
        <w:rPr>
          <w:szCs w:val="24"/>
        </w:rPr>
        <w:t>Trial Attorneys</w:t>
      </w:r>
    </w:p>
    <w:p w:rsidR="00E94B5A" w:rsidRPr="004A7707" w:rsidRDefault="00A40923" w:rsidP="00E77569">
      <w:pPr>
        <w:contextualSpacing/>
        <w:rPr>
          <w:szCs w:val="24"/>
        </w:rPr>
      </w:pPr>
      <w:r w:rsidRPr="004A7707">
        <w:tab/>
      </w:r>
      <w:r w:rsidRPr="004A7707">
        <w:tab/>
      </w:r>
      <w:r w:rsidRPr="004A7707">
        <w:tab/>
      </w:r>
      <w:r w:rsidRPr="004A7707">
        <w:tab/>
      </w:r>
      <w:r w:rsidRPr="004A7707">
        <w:tab/>
      </w:r>
      <w:r w:rsidRPr="004A7707">
        <w:tab/>
      </w:r>
      <w:r w:rsidR="008243A2" w:rsidRPr="004A7707">
        <w:rPr>
          <w:szCs w:val="24"/>
        </w:rPr>
        <w:t>Disability Rights Section</w:t>
      </w:r>
    </w:p>
    <w:p w:rsidR="00E94B5A" w:rsidRPr="004A7707" w:rsidRDefault="00E77569" w:rsidP="00E77569">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r w:rsidR="008243A2" w:rsidRPr="004A7707">
        <w:rPr>
          <w:szCs w:val="24"/>
        </w:rPr>
        <w:t>Civil Rights Division</w:t>
      </w:r>
    </w:p>
    <w:p w:rsidR="00E94B5A" w:rsidRPr="004A7707" w:rsidRDefault="00E77569" w:rsidP="00E77569">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r w:rsidR="008243A2" w:rsidRPr="004A7707">
        <w:rPr>
          <w:szCs w:val="24"/>
        </w:rPr>
        <w:t>U.S. Department of Justice</w:t>
      </w:r>
    </w:p>
    <w:p w:rsidR="00E94B5A" w:rsidRPr="004A7707" w:rsidRDefault="00E77569" w:rsidP="00E77569">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r w:rsidR="008243A2" w:rsidRPr="004A7707">
        <w:rPr>
          <w:szCs w:val="24"/>
        </w:rPr>
        <w:t>950 Pennsylvania Avenue, N.W. - NYA</w:t>
      </w:r>
    </w:p>
    <w:p w:rsidR="00E94B5A" w:rsidRPr="004A7707" w:rsidRDefault="00E77569" w:rsidP="00E77569">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r w:rsidR="008243A2" w:rsidRPr="004A7707">
        <w:rPr>
          <w:szCs w:val="24"/>
        </w:rPr>
        <w:t>Washington, D.C. 20530</w:t>
      </w:r>
    </w:p>
    <w:p w:rsidR="00E94B5A" w:rsidRPr="004A7707" w:rsidRDefault="00E77569" w:rsidP="00E77569">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r w:rsidR="008243A2" w:rsidRPr="004A7707">
        <w:rPr>
          <w:szCs w:val="24"/>
        </w:rPr>
        <w:t>Telephone:</w:t>
      </w:r>
      <w:r w:rsidR="008243A2" w:rsidRPr="004A7707">
        <w:rPr>
          <w:szCs w:val="24"/>
        </w:rPr>
        <w:tab/>
        <w:t>(202) 307-0663</w:t>
      </w:r>
    </w:p>
    <w:p w:rsidR="00E94B5A" w:rsidRPr="004A7707" w:rsidRDefault="00E77569" w:rsidP="00E77569">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r w:rsidR="008243A2" w:rsidRPr="004A7707">
        <w:rPr>
          <w:szCs w:val="24"/>
        </w:rPr>
        <w:t>Facsimile:</w:t>
      </w:r>
      <w:r w:rsidR="008243A2" w:rsidRPr="004A7707">
        <w:rPr>
          <w:szCs w:val="24"/>
        </w:rPr>
        <w:tab/>
        <w:t>(202) 307-1197</w:t>
      </w:r>
    </w:p>
    <w:p w:rsidR="00E94B5A" w:rsidRPr="004A7707" w:rsidRDefault="00E77569" w:rsidP="00E77569">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hyperlink r:id="rId8" w:history="1">
        <w:r w:rsidR="008243A2" w:rsidRPr="004A7707">
          <w:rPr>
            <w:rStyle w:val="Hyperlink"/>
            <w:color w:val="auto"/>
            <w:szCs w:val="24"/>
            <w:lang w:val="en-CA"/>
          </w:rPr>
          <w:t>Travis.England@usdoj.gov</w:t>
        </w:r>
      </w:hyperlink>
    </w:p>
    <w:p w:rsidR="00F34843" w:rsidRDefault="00E77569" w:rsidP="00E77569">
      <w:pPr>
        <w:contextualSpacing/>
        <w:rPr>
          <w:szCs w:val="24"/>
        </w:rPr>
        <w:sectPr w:rsidR="00F34843" w:rsidSect="00F348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720" w:gutter="0"/>
          <w:pgNumType w:start="1"/>
          <w:cols w:space="720"/>
          <w:noEndnote/>
          <w:titlePg/>
          <w:docGrid w:linePitch="326"/>
        </w:sect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p>
    <w:p w:rsidR="00F34843" w:rsidRDefault="00F34843" w:rsidP="00E77569">
      <w:pPr>
        <w:contextualSpacing/>
        <w:rPr>
          <w:szCs w:val="24"/>
          <w:lang w:val="en-CA"/>
        </w:rPr>
        <w:sectPr w:rsidR="00F34843" w:rsidSect="00F34843">
          <w:type w:val="continuous"/>
          <w:pgSz w:w="12240" w:h="15840"/>
          <w:pgMar w:top="1440" w:right="1440" w:bottom="1440" w:left="1440" w:header="1440" w:footer="720" w:gutter="0"/>
          <w:cols w:space="720"/>
          <w:noEndnote/>
          <w:titlePg/>
          <w:docGrid w:linePitch="326"/>
        </w:sectPr>
      </w:pPr>
    </w:p>
    <w:p w:rsidR="00FA006E" w:rsidRPr="004A7707" w:rsidRDefault="00FA006E">
      <w:pPr>
        <w:rPr>
          <w:szCs w:val="24"/>
          <w:lang w:val="en-CA"/>
        </w:rPr>
      </w:pPr>
    </w:p>
    <w:p w:rsidR="007B6B92" w:rsidRPr="004A7707" w:rsidRDefault="007B6B92" w:rsidP="00377403">
      <w:pPr>
        <w:ind w:left="5040" w:hanging="5040"/>
        <w:jc w:val="center"/>
        <w:rPr>
          <w:b/>
          <w:szCs w:val="24"/>
          <w:u w:val="single"/>
        </w:rPr>
      </w:pPr>
      <w:r w:rsidRPr="004A7707">
        <w:rPr>
          <w:b/>
          <w:szCs w:val="24"/>
          <w:u w:val="single"/>
        </w:rPr>
        <w:t>CERTIFICATE OF SERVICE</w:t>
      </w:r>
    </w:p>
    <w:p w:rsidR="007B6B92" w:rsidRPr="004A7707" w:rsidRDefault="007B6B92" w:rsidP="007B6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p>
    <w:p w:rsidR="007B6B92" w:rsidRPr="004A7707" w:rsidRDefault="007B6B92" w:rsidP="007B6B92">
      <w:pPr>
        <w:widowControl w:val="0"/>
        <w:spacing w:line="480" w:lineRule="auto"/>
        <w:rPr>
          <w:szCs w:val="24"/>
          <w:lang w:val="en-CA"/>
        </w:rPr>
      </w:pPr>
      <w:r w:rsidRPr="004A7707">
        <w:rPr>
          <w:szCs w:val="24"/>
          <w:lang w:val="en-CA"/>
        </w:rPr>
        <w:tab/>
        <w:t xml:space="preserve">I hereby certify that on </w:t>
      </w:r>
      <w:r w:rsidR="00A40923" w:rsidRPr="004A7707">
        <w:rPr>
          <w:szCs w:val="24"/>
          <w:lang w:val="en-CA"/>
        </w:rPr>
        <w:t>April</w:t>
      </w:r>
      <w:r w:rsidR="00C1140A" w:rsidRPr="004A7707">
        <w:rPr>
          <w:szCs w:val="24"/>
          <w:lang w:val="en-CA"/>
        </w:rPr>
        <w:t xml:space="preserve"> </w:t>
      </w:r>
      <w:r w:rsidR="005E095C" w:rsidRPr="004A7707">
        <w:rPr>
          <w:szCs w:val="24"/>
          <w:lang w:val="en-CA"/>
        </w:rPr>
        <w:t>10</w:t>
      </w:r>
      <w:r w:rsidRPr="004A7707">
        <w:rPr>
          <w:szCs w:val="24"/>
          <w:lang w:val="en-CA"/>
        </w:rPr>
        <w:t>, 201</w:t>
      </w:r>
      <w:r w:rsidR="00C1140A" w:rsidRPr="004A7707">
        <w:rPr>
          <w:szCs w:val="24"/>
          <w:lang w:val="en-CA"/>
        </w:rPr>
        <w:t>3</w:t>
      </w:r>
      <w:r w:rsidRPr="004A7707">
        <w:rPr>
          <w:szCs w:val="24"/>
          <w:lang w:val="en-CA"/>
        </w:rPr>
        <w:t xml:space="preserve">, I electronically filed the foregoing document with the Clerk of Court using CM/ECF. I also certify that the a true and correct copy of the foregoing document was served on </w:t>
      </w:r>
      <w:r w:rsidR="00A40923" w:rsidRPr="004A7707">
        <w:rPr>
          <w:szCs w:val="24"/>
          <w:lang w:val="en-CA"/>
        </w:rPr>
        <w:t>April</w:t>
      </w:r>
      <w:r w:rsidR="00C1140A" w:rsidRPr="004A7707">
        <w:rPr>
          <w:szCs w:val="24"/>
          <w:lang w:val="en-CA"/>
        </w:rPr>
        <w:t xml:space="preserve"> </w:t>
      </w:r>
      <w:r w:rsidR="005E095C" w:rsidRPr="004A7707">
        <w:rPr>
          <w:szCs w:val="24"/>
          <w:lang w:val="en-CA"/>
        </w:rPr>
        <w:t>10</w:t>
      </w:r>
      <w:r w:rsidR="00C1140A" w:rsidRPr="004A7707">
        <w:rPr>
          <w:szCs w:val="24"/>
          <w:lang w:val="en-CA"/>
        </w:rPr>
        <w:t xml:space="preserve">, 2013 </w:t>
      </w:r>
      <w:r w:rsidRPr="004A7707">
        <w:rPr>
          <w:szCs w:val="24"/>
          <w:lang w:val="en-CA"/>
        </w:rPr>
        <w:t>on all counsel of record or parties identified on the Service List below in the manner specified below, either via transmission of Notices of Electronic Filing generated by CM/ECF, or in some other authorized manner for those counsel or parties who are not authorized to receive Notices of Electronic Filing.</w:t>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p>
    <w:p w:rsidR="007B6B92" w:rsidRPr="004A7707" w:rsidRDefault="00C1140A" w:rsidP="00C1140A">
      <w:pPr>
        <w:widowControl w:val="0"/>
        <w:rPr>
          <w:i/>
          <w:szCs w:val="24"/>
          <w:u w:val="single"/>
          <w:lang w:val="en-CA"/>
        </w:rPr>
      </w:pP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007B6B92" w:rsidRPr="004A7707">
        <w:rPr>
          <w:i/>
          <w:szCs w:val="24"/>
          <w:u w:val="single"/>
          <w:lang w:val="en-CA"/>
        </w:rPr>
        <w:t>/s/ Travis W. England</w:t>
      </w:r>
      <w:r w:rsidRPr="004A7707">
        <w:rPr>
          <w:i/>
          <w:szCs w:val="24"/>
          <w:u w:val="single"/>
          <w:lang w:val="en-CA"/>
        </w:rPr>
        <w:tab/>
      </w:r>
      <w:r w:rsidRPr="004A7707">
        <w:rPr>
          <w:i/>
          <w:szCs w:val="24"/>
          <w:u w:val="single"/>
          <w:lang w:val="en-CA"/>
        </w:rPr>
        <w:tab/>
      </w:r>
      <w:r w:rsidRPr="004A7707">
        <w:rPr>
          <w:i/>
          <w:szCs w:val="24"/>
          <w:u w:val="single"/>
          <w:lang w:val="en-CA"/>
        </w:rPr>
        <w:tab/>
      </w:r>
    </w:p>
    <w:p w:rsidR="007B6B92" w:rsidRPr="004A7707" w:rsidRDefault="007B6B92" w:rsidP="007B6B92">
      <w:pPr>
        <w:widowControl w:val="0"/>
        <w:spacing w:line="480" w:lineRule="auto"/>
        <w:rPr>
          <w:szCs w:val="24"/>
          <w:lang w:val="en-CA"/>
        </w:rPr>
      </w:pP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t>Travis W. England</w:t>
      </w:r>
      <w:r w:rsidR="004D7208" w:rsidRPr="004A7707">
        <w:rPr>
          <w:szCs w:val="24"/>
          <w:lang w:val="en-CA"/>
        </w:rPr>
        <w:fldChar w:fldCharType="begin"/>
      </w:r>
      <w:r w:rsidRPr="004A7707">
        <w:rPr>
          <w:szCs w:val="24"/>
          <w:lang w:val="en-CA"/>
        </w:rPr>
        <w:instrText xml:space="preserve"> SEQ CHAPTER \h \r 1</w:instrText>
      </w:r>
      <w:r w:rsidR="004D7208" w:rsidRPr="004A7707">
        <w:rPr>
          <w:szCs w:val="24"/>
          <w:lang w:val="en-CA"/>
        </w:rPr>
        <w:fldChar w:fldCharType="end"/>
      </w:r>
    </w:p>
    <w:p w:rsidR="00C1140A" w:rsidRPr="004A7707" w:rsidRDefault="00C1140A" w:rsidP="007B6B92">
      <w:pPr>
        <w:spacing w:after="200" w:line="276" w:lineRule="auto"/>
      </w:pPr>
    </w:p>
    <w:p w:rsidR="00C1140A" w:rsidRPr="004A7707" w:rsidRDefault="00C1140A" w:rsidP="007B6B92">
      <w:pPr>
        <w:spacing w:after="200" w:line="276" w:lineRule="auto"/>
        <w:sectPr w:rsidR="00C1140A" w:rsidRPr="004A7707" w:rsidSect="00F34843">
          <w:footerReference w:type="default" r:id="rId15"/>
          <w:pgSz w:w="12240" w:h="15840"/>
          <w:pgMar w:top="1440" w:right="1440" w:bottom="1440" w:left="1440" w:header="1440" w:footer="720" w:gutter="0"/>
          <w:cols w:space="720"/>
          <w:noEndnote/>
          <w:titlePg/>
          <w:docGrid w:linePitch="326"/>
        </w:sectPr>
      </w:pPr>
    </w:p>
    <w:p w:rsidR="007B6B92" w:rsidRPr="004A7707" w:rsidRDefault="007B6B92" w:rsidP="007B6B92">
      <w:pPr>
        <w:spacing w:line="480" w:lineRule="auto"/>
        <w:jc w:val="center"/>
        <w:rPr>
          <w:b/>
          <w:u w:val="single"/>
        </w:rPr>
      </w:pPr>
      <w:r w:rsidRPr="004A7707">
        <w:rPr>
          <w:b/>
          <w:u w:val="single"/>
        </w:rPr>
        <w:t>SERVICE LIST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860"/>
      </w:tblGrid>
      <w:tr w:rsidR="009218D1" w:rsidRPr="004A7707" w:rsidTr="00EA0B1A">
        <w:tc>
          <w:tcPr>
            <w:tcW w:w="4878" w:type="dxa"/>
          </w:tcPr>
          <w:p w:rsidR="007B6B92" w:rsidRPr="004A7707" w:rsidRDefault="007B6B92" w:rsidP="00690AEC">
            <w:pPr>
              <w:rPr>
                <w:rFonts w:eastAsia="Calibri"/>
                <w:szCs w:val="22"/>
              </w:rPr>
            </w:pPr>
            <w:r w:rsidRPr="004A7707">
              <w:rPr>
                <w:rFonts w:eastAsia="Calibri"/>
                <w:szCs w:val="22"/>
              </w:rPr>
              <w:t>Edward J. Grunewald</w:t>
            </w:r>
          </w:p>
          <w:p w:rsidR="007B6B92" w:rsidRPr="004A7707" w:rsidRDefault="007B6B92" w:rsidP="00690AEC">
            <w:pPr>
              <w:rPr>
                <w:rFonts w:eastAsia="Calibri"/>
                <w:szCs w:val="22"/>
              </w:rPr>
            </w:pPr>
            <w:r w:rsidRPr="004A7707">
              <w:rPr>
                <w:rFonts w:eastAsia="Calibri"/>
                <w:szCs w:val="22"/>
              </w:rPr>
              <w:t>The North Florida Center for Equal Justice, Inc.</w:t>
            </w:r>
          </w:p>
          <w:p w:rsidR="007B6B92" w:rsidRPr="004A7707" w:rsidRDefault="007B6B92" w:rsidP="00690AEC">
            <w:pPr>
              <w:rPr>
                <w:rFonts w:eastAsia="Calibri"/>
                <w:szCs w:val="22"/>
              </w:rPr>
            </w:pPr>
            <w:r w:rsidRPr="004A7707">
              <w:rPr>
                <w:rFonts w:eastAsia="Calibri"/>
                <w:szCs w:val="22"/>
              </w:rPr>
              <w:t>2121 Delta Blvd.</w:t>
            </w:r>
          </w:p>
          <w:p w:rsidR="007B6B92" w:rsidRPr="004A7707" w:rsidRDefault="007B6B92" w:rsidP="00690AEC">
            <w:pPr>
              <w:rPr>
                <w:rFonts w:eastAsia="Calibri"/>
                <w:szCs w:val="22"/>
              </w:rPr>
            </w:pPr>
            <w:r w:rsidRPr="004A7707">
              <w:rPr>
                <w:rFonts w:eastAsia="Calibri"/>
                <w:szCs w:val="22"/>
              </w:rPr>
              <w:t>Tallahassee, FL  32306</w:t>
            </w:r>
          </w:p>
          <w:p w:rsidR="007B6B92" w:rsidRPr="004A7707" w:rsidRDefault="007B6B92" w:rsidP="00690AEC">
            <w:pPr>
              <w:rPr>
                <w:rFonts w:eastAsia="Calibri"/>
                <w:szCs w:val="22"/>
              </w:rPr>
            </w:pPr>
            <w:r w:rsidRPr="004A7707">
              <w:rPr>
                <w:rFonts w:eastAsia="Calibri"/>
                <w:szCs w:val="22"/>
              </w:rPr>
              <w:t>Phone: 850-701-3980</w:t>
            </w:r>
          </w:p>
          <w:p w:rsidR="007B6B92" w:rsidRPr="004A7707" w:rsidRDefault="007B6B92" w:rsidP="00690AEC">
            <w:pPr>
              <w:rPr>
                <w:rFonts w:eastAsia="Calibri"/>
                <w:szCs w:val="22"/>
              </w:rPr>
            </w:pPr>
            <w:r w:rsidRPr="004A7707">
              <w:rPr>
                <w:rFonts w:eastAsia="Calibri"/>
                <w:szCs w:val="22"/>
              </w:rPr>
              <w:t>Fax: 850-701-3985</w:t>
            </w:r>
          </w:p>
          <w:p w:rsidR="007B6B92" w:rsidRPr="004A7707" w:rsidRDefault="007B6B92" w:rsidP="00690AEC">
            <w:pPr>
              <w:rPr>
                <w:rFonts w:eastAsia="Calibri"/>
                <w:szCs w:val="22"/>
              </w:rPr>
            </w:pPr>
            <w:r w:rsidRPr="004A7707">
              <w:rPr>
                <w:rFonts w:eastAsia="Calibri"/>
                <w:szCs w:val="22"/>
              </w:rPr>
              <w:t xml:space="preserve">Email: </w:t>
            </w:r>
            <w:hyperlink r:id="rId16" w:history="1">
              <w:r w:rsidRPr="004A7707">
                <w:rPr>
                  <w:rStyle w:val="Hyperlink"/>
                  <w:rFonts w:eastAsia="Calibri"/>
                  <w:color w:val="auto"/>
                  <w:szCs w:val="22"/>
                </w:rPr>
                <w:t>egrunewald@nfcfej.org</w:t>
              </w:r>
            </w:hyperlink>
          </w:p>
          <w:p w:rsidR="007B6B92" w:rsidRPr="004A7707" w:rsidRDefault="007B6B92" w:rsidP="00690AEC">
            <w:pPr>
              <w:rPr>
                <w:rFonts w:eastAsia="Calibri"/>
                <w:szCs w:val="22"/>
              </w:rPr>
            </w:pPr>
            <w:r w:rsidRPr="004A7707">
              <w:rPr>
                <w:rFonts w:eastAsia="Calibri"/>
                <w:szCs w:val="22"/>
              </w:rPr>
              <w:t>Attorney for Plaintiffs</w:t>
            </w:r>
          </w:p>
          <w:p w:rsidR="007B6B92" w:rsidRPr="004A7707" w:rsidRDefault="007B6B92" w:rsidP="00690AEC">
            <w:pPr>
              <w:rPr>
                <w:rFonts w:eastAsia="Calibri"/>
                <w:b/>
                <w:szCs w:val="22"/>
              </w:rPr>
            </w:pPr>
            <w:r w:rsidRPr="004A7707">
              <w:rPr>
                <w:rFonts w:eastAsia="Calibri"/>
                <w:szCs w:val="22"/>
              </w:rPr>
              <w:t>Service by CM/ECF</w:t>
            </w:r>
          </w:p>
        </w:tc>
        <w:tc>
          <w:tcPr>
            <w:tcW w:w="4860" w:type="dxa"/>
          </w:tcPr>
          <w:p w:rsidR="007B6B92" w:rsidRPr="004A7707" w:rsidRDefault="007B6B92" w:rsidP="00690AEC">
            <w:pPr>
              <w:rPr>
                <w:rFonts w:eastAsia="Calibri"/>
                <w:szCs w:val="22"/>
              </w:rPr>
            </w:pPr>
            <w:r w:rsidRPr="004A7707">
              <w:rPr>
                <w:rFonts w:eastAsia="Calibri"/>
                <w:szCs w:val="22"/>
              </w:rPr>
              <w:t>Jamie Ito</w:t>
            </w:r>
          </w:p>
          <w:p w:rsidR="007B6B92" w:rsidRPr="004A7707" w:rsidRDefault="007B6B92" w:rsidP="00690AEC">
            <w:pPr>
              <w:rPr>
                <w:rFonts w:eastAsia="Calibri"/>
                <w:szCs w:val="22"/>
              </w:rPr>
            </w:pPr>
            <w:r w:rsidRPr="004A7707">
              <w:rPr>
                <w:rFonts w:eastAsia="Calibri"/>
                <w:szCs w:val="22"/>
              </w:rPr>
              <w:t>The North Florida Center for Equal Justice, Inc.</w:t>
            </w:r>
          </w:p>
          <w:p w:rsidR="007B6B92" w:rsidRPr="004A7707" w:rsidRDefault="007B6B92" w:rsidP="00690AEC">
            <w:pPr>
              <w:rPr>
                <w:rFonts w:eastAsia="Calibri"/>
                <w:szCs w:val="22"/>
              </w:rPr>
            </w:pPr>
            <w:r w:rsidRPr="004A7707">
              <w:rPr>
                <w:rFonts w:eastAsia="Calibri"/>
                <w:szCs w:val="22"/>
              </w:rPr>
              <w:t>2121 Delta Blvd.</w:t>
            </w:r>
          </w:p>
          <w:p w:rsidR="007B6B92" w:rsidRPr="004A7707" w:rsidRDefault="007B6B92" w:rsidP="00690AEC">
            <w:pPr>
              <w:rPr>
                <w:rFonts w:eastAsia="Calibri"/>
                <w:szCs w:val="22"/>
              </w:rPr>
            </w:pPr>
            <w:r w:rsidRPr="004A7707">
              <w:rPr>
                <w:rFonts w:eastAsia="Calibri"/>
                <w:szCs w:val="22"/>
              </w:rPr>
              <w:t>Tallahassee, FL  32306</w:t>
            </w:r>
          </w:p>
          <w:p w:rsidR="007B6B92" w:rsidRPr="004A7707" w:rsidRDefault="007B6B92" w:rsidP="00690AEC">
            <w:pPr>
              <w:rPr>
                <w:rFonts w:eastAsia="Calibri"/>
                <w:szCs w:val="22"/>
              </w:rPr>
            </w:pPr>
            <w:r w:rsidRPr="004A7707">
              <w:rPr>
                <w:rFonts w:eastAsia="Calibri"/>
                <w:szCs w:val="22"/>
              </w:rPr>
              <w:t>Phone: 850-701-3980</w:t>
            </w:r>
          </w:p>
          <w:p w:rsidR="007B6B92" w:rsidRPr="004A7707" w:rsidRDefault="007B6B92" w:rsidP="00690AEC">
            <w:pPr>
              <w:rPr>
                <w:rFonts w:eastAsia="Calibri"/>
                <w:szCs w:val="22"/>
              </w:rPr>
            </w:pPr>
            <w:r w:rsidRPr="004A7707">
              <w:rPr>
                <w:rFonts w:eastAsia="Calibri"/>
                <w:szCs w:val="22"/>
              </w:rPr>
              <w:t>Fax: 850-701-3895</w:t>
            </w:r>
          </w:p>
          <w:p w:rsidR="007B6B92" w:rsidRPr="004A7707" w:rsidRDefault="007B6B92" w:rsidP="00690AEC">
            <w:pPr>
              <w:rPr>
                <w:rFonts w:eastAsia="Calibri"/>
                <w:szCs w:val="22"/>
              </w:rPr>
            </w:pPr>
            <w:r w:rsidRPr="004A7707">
              <w:rPr>
                <w:rFonts w:eastAsia="Calibri"/>
                <w:szCs w:val="22"/>
              </w:rPr>
              <w:t xml:space="preserve">Email: </w:t>
            </w:r>
            <w:hyperlink r:id="rId17" w:history="1">
              <w:r w:rsidRPr="004A7707">
                <w:rPr>
                  <w:rStyle w:val="Hyperlink"/>
                  <w:rFonts w:eastAsia="Calibri"/>
                  <w:color w:val="auto"/>
                  <w:szCs w:val="22"/>
                </w:rPr>
                <w:t>jamie@nfcfej.org</w:t>
              </w:r>
            </w:hyperlink>
            <w:r w:rsidRPr="004A7707">
              <w:rPr>
                <w:rFonts w:eastAsia="Calibri"/>
                <w:szCs w:val="22"/>
              </w:rPr>
              <w:t xml:space="preserve">  </w:t>
            </w:r>
          </w:p>
          <w:p w:rsidR="007B6B92" w:rsidRPr="004A7707" w:rsidRDefault="007B6B92" w:rsidP="00690AEC">
            <w:pPr>
              <w:rPr>
                <w:rFonts w:eastAsia="Calibri"/>
                <w:szCs w:val="22"/>
              </w:rPr>
            </w:pPr>
            <w:r w:rsidRPr="004A7707">
              <w:rPr>
                <w:rFonts w:eastAsia="Calibri"/>
                <w:szCs w:val="22"/>
              </w:rPr>
              <w:t>Attorney for Plaintiffs</w:t>
            </w:r>
          </w:p>
          <w:p w:rsidR="007B6B92" w:rsidRPr="004A7707" w:rsidRDefault="007B6B92" w:rsidP="00690AEC">
            <w:pPr>
              <w:rPr>
                <w:rFonts w:eastAsia="Calibri"/>
                <w:b/>
                <w:szCs w:val="22"/>
              </w:rPr>
            </w:pPr>
            <w:r w:rsidRPr="004A7707">
              <w:rPr>
                <w:rFonts w:eastAsia="Calibri"/>
                <w:szCs w:val="22"/>
              </w:rPr>
              <w:t>Service by CM/ECF</w:t>
            </w:r>
          </w:p>
        </w:tc>
      </w:tr>
      <w:tr w:rsidR="009218D1" w:rsidRPr="004A7707" w:rsidTr="00EA0B1A">
        <w:tc>
          <w:tcPr>
            <w:tcW w:w="4878" w:type="dxa"/>
          </w:tcPr>
          <w:p w:rsidR="007B6B92" w:rsidRPr="004A7707" w:rsidRDefault="007B6B92" w:rsidP="00690AEC">
            <w:pPr>
              <w:rPr>
                <w:rFonts w:eastAsia="Calibri"/>
                <w:szCs w:val="22"/>
              </w:rPr>
            </w:pPr>
            <w:r w:rsidRPr="004A7707">
              <w:rPr>
                <w:rFonts w:eastAsia="Calibri"/>
                <w:szCs w:val="22"/>
              </w:rPr>
              <w:t>Jill B. Zaborske</w:t>
            </w:r>
          </w:p>
          <w:p w:rsidR="007B6B92" w:rsidRPr="004A7707" w:rsidRDefault="007B6B92" w:rsidP="00690AEC">
            <w:pPr>
              <w:rPr>
                <w:rFonts w:eastAsia="Calibri"/>
                <w:szCs w:val="22"/>
              </w:rPr>
            </w:pPr>
            <w:r w:rsidRPr="004A7707">
              <w:rPr>
                <w:rFonts w:eastAsia="Calibri"/>
                <w:szCs w:val="22"/>
              </w:rPr>
              <w:t>The North Florida Center For Equal Justice, Inc.</w:t>
            </w:r>
          </w:p>
          <w:p w:rsidR="007B6B92" w:rsidRPr="004A7707" w:rsidRDefault="007B6B92" w:rsidP="00690AEC">
            <w:pPr>
              <w:rPr>
                <w:rFonts w:eastAsia="Calibri"/>
                <w:szCs w:val="22"/>
              </w:rPr>
            </w:pPr>
            <w:r w:rsidRPr="004A7707">
              <w:rPr>
                <w:rFonts w:eastAsia="Calibri"/>
                <w:szCs w:val="22"/>
              </w:rPr>
              <w:t>2121 Delta Blvd.</w:t>
            </w:r>
          </w:p>
          <w:p w:rsidR="007B6B92" w:rsidRPr="004A7707" w:rsidRDefault="007B6B92" w:rsidP="00690AEC">
            <w:pPr>
              <w:rPr>
                <w:rFonts w:eastAsia="Calibri"/>
                <w:szCs w:val="22"/>
              </w:rPr>
            </w:pPr>
            <w:r w:rsidRPr="004A7707">
              <w:rPr>
                <w:rFonts w:eastAsia="Calibri"/>
                <w:szCs w:val="22"/>
              </w:rPr>
              <w:t>Tallahassee, FL  32303</w:t>
            </w:r>
          </w:p>
          <w:p w:rsidR="007B6B92" w:rsidRPr="004A7707" w:rsidRDefault="007B6B92" w:rsidP="00690AEC">
            <w:pPr>
              <w:rPr>
                <w:rFonts w:eastAsia="Calibri"/>
                <w:szCs w:val="22"/>
              </w:rPr>
            </w:pPr>
            <w:r w:rsidRPr="004A7707">
              <w:rPr>
                <w:rFonts w:eastAsia="Calibri"/>
                <w:szCs w:val="22"/>
              </w:rPr>
              <w:t>Phone: 850-701-3980</w:t>
            </w:r>
          </w:p>
          <w:p w:rsidR="007B6B92" w:rsidRPr="004A7707" w:rsidRDefault="007B6B92" w:rsidP="00690AEC">
            <w:pPr>
              <w:rPr>
                <w:rFonts w:eastAsia="Calibri"/>
                <w:szCs w:val="22"/>
              </w:rPr>
            </w:pPr>
            <w:r w:rsidRPr="004A7707">
              <w:rPr>
                <w:rFonts w:eastAsia="Calibri"/>
                <w:szCs w:val="22"/>
              </w:rPr>
              <w:t>Fax: 850-701-3985</w:t>
            </w:r>
          </w:p>
          <w:p w:rsidR="007B6B92" w:rsidRPr="004A7707" w:rsidRDefault="007B6B92" w:rsidP="00690AEC">
            <w:pPr>
              <w:rPr>
                <w:rFonts w:eastAsia="Calibri"/>
                <w:szCs w:val="22"/>
              </w:rPr>
            </w:pPr>
            <w:r w:rsidRPr="004A7707">
              <w:rPr>
                <w:rFonts w:eastAsia="Calibri"/>
                <w:szCs w:val="22"/>
              </w:rPr>
              <w:t xml:space="preserve">Email: </w:t>
            </w:r>
            <w:hyperlink r:id="rId18" w:history="1">
              <w:r w:rsidRPr="004A7707">
                <w:rPr>
                  <w:rStyle w:val="Hyperlink"/>
                  <w:rFonts w:eastAsia="Calibri"/>
                  <w:color w:val="auto"/>
                  <w:szCs w:val="22"/>
                </w:rPr>
                <w:t>jill@nfcfej.org</w:t>
              </w:r>
            </w:hyperlink>
            <w:r w:rsidRPr="004A7707">
              <w:rPr>
                <w:rFonts w:eastAsia="Calibri"/>
                <w:szCs w:val="22"/>
              </w:rPr>
              <w:t xml:space="preserve"> </w:t>
            </w:r>
          </w:p>
          <w:p w:rsidR="007B6B92" w:rsidRPr="004A7707" w:rsidRDefault="007B6B92" w:rsidP="00690AEC">
            <w:pPr>
              <w:rPr>
                <w:rFonts w:eastAsia="Calibri"/>
                <w:szCs w:val="22"/>
              </w:rPr>
            </w:pPr>
            <w:r w:rsidRPr="004A7707">
              <w:rPr>
                <w:rFonts w:eastAsia="Calibri"/>
                <w:szCs w:val="22"/>
              </w:rPr>
              <w:t>Attorney for Plaintiffs</w:t>
            </w:r>
          </w:p>
          <w:p w:rsidR="007B6B92" w:rsidRPr="004A7707" w:rsidRDefault="007B6B92" w:rsidP="00690AEC">
            <w:pPr>
              <w:rPr>
                <w:rFonts w:eastAsia="Calibri"/>
                <w:b/>
                <w:szCs w:val="22"/>
              </w:rPr>
            </w:pPr>
            <w:r w:rsidRPr="004A7707">
              <w:rPr>
                <w:rFonts w:eastAsia="Calibri"/>
                <w:szCs w:val="22"/>
              </w:rPr>
              <w:t>Service by CM/ECF</w:t>
            </w:r>
          </w:p>
        </w:tc>
        <w:tc>
          <w:tcPr>
            <w:tcW w:w="4860" w:type="dxa"/>
          </w:tcPr>
          <w:p w:rsidR="007B6B92" w:rsidRPr="004A7707" w:rsidRDefault="007B6B92" w:rsidP="00690AEC">
            <w:pPr>
              <w:rPr>
                <w:rFonts w:eastAsia="Calibri"/>
                <w:szCs w:val="22"/>
              </w:rPr>
            </w:pPr>
            <w:r w:rsidRPr="004A7707">
              <w:rPr>
                <w:rFonts w:eastAsia="Calibri"/>
                <w:szCs w:val="22"/>
              </w:rPr>
              <w:t>Paolo G. Annino</w:t>
            </w:r>
          </w:p>
          <w:p w:rsidR="007B6B92" w:rsidRPr="004A7707" w:rsidRDefault="007B6B92" w:rsidP="00690AEC">
            <w:pPr>
              <w:rPr>
                <w:rFonts w:eastAsia="Calibri"/>
                <w:szCs w:val="22"/>
              </w:rPr>
            </w:pPr>
            <w:r w:rsidRPr="004A7707">
              <w:rPr>
                <w:rFonts w:eastAsia="Calibri"/>
                <w:szCs w:val="22"/>
              </w:rPr>
              <w:t>FSU College of Law Public Interest Law Center</w:t>
            </w:r>
          </w:p>
          <w:p w:rsidR="007B6B92" w:rsidRPr="004A7707" w:rsidRDefault="007B6B92" w:rsidP="00690AEC">
            <w:pPr>
              <w:rPr>
                <w:rFonts w:eastAsia="Calibri"/>
                <w:szCs w:val="22"/>
              </w:rPr>
            </w:pPr>
            <w:r w:rsidRPr="004A7707">
              <w:rPr>
                <w:rFonts w:eastAsia="Calibri"/>
                <w:szCs w:val="22"/>
              </w:rPr>
              <w:t>425 W. Jefferson Street</w:t>
            </w:r>
          </w:p>
          <w:p w:rsidR="007B6B92" w:rsidRPr="004A7707" w:rsidRDefault="007B6B92" w:rsidP="00690AEC">
            <w:pPr>
              <w:rPr>
                <w:rFonts w:eastAsia="Calibri"/>
                <w:szCs w:val="22"/>
              </w:rPr>
            </w:pPr>
            <w:r w:rsidRPr="004A7707">
              <w:rPr>
                <w:rFonts w:eastAsia="Calibri"/>
                <w:szCs w:val="22"/>
              </w:rPr>
              <w:t>Tallahassee , FL  32306</w:t>
            </w:r>
          </w:p>
          <w:p w:rsidR="007B6B92" w:rsidRPr="004A7707" w:rsidRDefault="007B6B92" w:rsidP="00690AEC">
            <w:pPr>
              <w:rPr>
                <w:rFonts w:eastAsia="Calibri"/>
                <w:szCs w:val="22"/>
              </w:rPr>
            </w:pPr>
            <w:r w:rsidRPr="004A7707">
              <w:rPr>
                <w:rFonts w:eastAsia="Calibri"/>
                <w:szCs w:val="22"/>
              </w:rPr>
              <w:t>Phone: 850-644-9928</w:t>
            </w:r>
          </w:p>
          <w:p w:rsidR="007B6B92" w:rsidRPr="004A7707" w:rsidRDefault="007B6B92" w:rsidP="00690AEC">
            <w:pPr>
              <w:rPr>
                <w:rFonts w:eastAsia="Calibri"/>
                <w:szCs w:val="22"/>
              </w:rPr>
            </w:pPr>
            <w:r w:rsidRPr="004A7707">
              <w:rPr>
                <w:rFonts w:eastAsia="Calibri"/>
                <w:szCs w:val="22"/>
              </w:rPr>
              <w:t>Fax: 850-644-0879</w:t>
            </w:r>
          </w:p>
          <w:p w:rsidR="007B6B92" w:rsidRPr="004A7707" w:rsidRDefault="007B6B92" w:rsidP="00690AEC">
            <w:pPr>
              <w:rPr>
                <w:rFonts w:eastAsia="Calibri"/>
                <w:szCs w:val="22"/>
              </w:rPr>
            </w:pPr>
            <w:r w:rsidRPr="004A7707">
              <w:rPr>
                <w:rFonts w:eastAsia="Calibri"/>
                <w:szCs w:val="22"/>
              </w:rPr>
              <w:t xml:space="preserve">Email: </w:t>
            </w:r>
            <w:hyperlink r:id="rId19" w:history="1">
              <w:r w:rsidRPr="004A7707">
                <w:rPr>
                  <w:rStyle w:val="Hyperlink"/>
                  <w:rFonts w:eastAsia="Calibri"/>
                  <w:color w:val="auto"/>
                  <w:szCs w:val="22"/>
                </w:rPr>
                <w:t>pannino@law.fsu.edu</w:t>
              </w:r>
            </w:hyperlink>
            <w:r w:rsidRPr="004A7707">
              <w:rPr>
                <w:rFonts w:eastAsia="Calibri"/>
                <w:szCs w:val="22"/>
              </w:rPr>
              <w:t xml:space="preserve"> </w:t>
            </w:r>
          </w:p>
          <w:p w:rsidR="007B6B92" w:rsidRPr="004A7707" w:rsidRDefault="007B6B92" w:rsidP="00690AEC">
            <w:pPr>
              <w:rPr>
                <w:rFonts w:eastAsia="Calibri"/>
                <w:szCs w:val="22"/>
              </w:rPr>
            </w:pPr>
            <w:r w:rsidRPr="004A7707">
              <w:rPr>
                <w:rFonts w:eastAsia="Calibri"/>
                <w:szCs w:val="22"/>
              </w:rPr>
              <w:t>Attorney for Plaintiffs</w:t>
            </w:r>
          </w:p>
          <w:p w:rsidR="007B6B92" w:rsidRPr="004A7707" w:rsidRDefault="007B6B92" w:rsidP="00690AEC">
            <w:pPr>
              <w:rPr>
                <w:rFonts w:eastAsia="Calibri"/>
                <w:b/>
                <w:szCs w:val="22"/>
              </w:rPr>
            </w:pPr>
            <w:r w:rsidRPr="004A7707">
              <w:rPr>
                <w:rFonts w:eastAsia="Calibri"/>
                <w:szCs w:val="22"/>
              </w:rPr>
              <w:t>Service by CM/ECF</w:t>
            </w:r>
          </w:p>
        </w:tc>
      </w:tr>
      <w:tr w:rsidR="009218D1" w:rsidRPr="004A7707" w:rsidTr="00EA0B1A">
        <w:tc>
          <w:tcPr>
            <w:tcW w:w="4878" w:type="dxa"/>
          </w:tcPr>
          <w:p w:rsidR="007B6B92" w:rsidRPr="004A7707" w:rsidRDefault="007B6B92" w:rsidP="00690AEC">
            <w:pPr>
              <w:rPr>
                <w:rFonts w:eastAsia="Calibri"/>
                <w:szCs w:val="22"/>
              </w:rPr>
            </w:pPr>
            <w:r w:rsidRPr="004A7707">
              <w:rPr>
                <w:rFonts w:eastAsia="Calibri"/>
                <w:szCs w:val="22"/>
              </w:rPr>
              <w:t>Matthew W. Dietz</w:t>
            </w:r>
          </w:p>
          <w:p w:rsidR="007B6B92" w:rsidRPr="004A7707" w:rsidRDefault="007B6B92" w:rsidP="00690AEC">
            <w:pPr>
              <w:rPr>
                <w:rFonts w:eastAsia="Calibri"/>
                <w:szCs w:val="22"/>
              </w:rPr>
            </w:pPr>
            <w:r w:rsidRPr="004A7707">
              <w:rPr>
                <w:rFonts w:eastAsia="Calibri"/>
                <w:szCs w:val="22"/>
              </w:rPr>
              <w:t>2990 SW 35th Avenue</w:t>
            </w:r>
          </w:p>
          <w:p w:rsidR="007B6B92" w:rsidRPr="004A7707" w:rsidRDefault="007B6B92" w:rsidP="00690AEC">
            <w:pPr>
              <w:rPr>
                <w:rFonts w:eastAsia="Calibri"/>
                <w:szCs w:val="22"/>
              </w:rPr>
            </w:pPr>
            <w:r w:rsidRPr="004A7707">
              <w:rPr>
                <w:rFonts w:eastAsia="Calibri"/>
                <w:szCs w:val="22"/>
              </w:rPr>
              <w:t>Miami, FL  33133</w:t>
            </w:r>
          </w:p>
          <w:p w:rsidR="007B6B92" w:rsidRPr="004A7707" w:rsidRDefault="007B6B92" w:rsidP="00690AEC">
            <w:pPr>
              <w:rPr>
                <w:rFonts w:eastAsia="Calibri"/>
                <w:szCs w:val="22"/>
              </w:rPr>
            </w:pPr>
            <w:r w:rsidRPr="004A7707">
              <w:rPr>
                <w:rFonts w:eastAsia="Calibri"/>
                <w:szCs w:val="22"/>
              </w:rPr>
              <w:t>Phone: 305-669-2822</w:t>
            </w:r>
          </w:p>
          <w:p w:rsidR="007B6B92" w:rsidRPr="004A7707" w:rsidRDefault="007B6B92" w:rsidP="00690AEC">
            <w:pPr>
              <w:rPr>
                <w:rFonts w:eastAsia="Calibri"/>
                <w:szCs w:val="22"/>
              </w:rPr>
            </w:pPr>
            <w:r w:rsidRPr="004A7707">
              <w:rPr>
                <w:rFonts w:eastAsia="Calibri"/>
                <w:szCs w:val="22"/>
              </w:rPr>
              <w:t>Fax: 305-442-4181</w:t>
            </w:r>
          </w:p>
          <w:p w:rsidR="007B6B92" w:rsidRPr="004A7707" w:rsidRDefault="007B6B92" w:rsidP="00690AEC">
            <w:pPr>
              <w:rPr>
                <w:rFonts w:eastAsia="Calibri"/>
                <w:szCs w:val="22"/>
              </w:rPr>
            </w:pPr>
            <w:r w:rsidRPr="004A7707">
              <w:rPr>
                <w:rFonts w:eastAsia="Calibri"/>
                <w:szCs w:val="22"/>
              </w:rPr>
              <w:t xml:space="preserve">Email: </w:t>
            </w:r>
            <w:hyperlink r:id="rId20" w:history="1">
              <w:r w:rsidRPr="004A7707">
                <w:rPr>
                  <w:rStyle w:val="Hyperlink"/>
                  <w:rFonts w:eastAsia="Calibri"/>
                  <w:color w:val="auto"/>
                  <w:szCs w:val="22"/>
                </w:rPr>
                <w:t>matthewdietz@usdisabilitylaw.com</w:t>
              </w:r>
            </w:hyperlink>
            <w:r w:rsidRPr="004A7707">
              <w:rPr>
                <w:rFonts w:eastAsia="Calibri"/>
                <w:szCs w:val="22"/>
              </w:rPr>
              <w:t xml:space="preserve"> </w:t>
            </w:r>
          </w:p>
          <w:p w:rsidR="007B6B92" w:rsidRPr="004A7707" w:rsidRDefault="007B6B92" w:rsidP="00690AEC">
            <w:pPr>
              <w:rPr>
                <w:rFonts w:eastAsia="Calibri"/>
                <w:szCs w:val="22"/>
              </w:rPr>
            </w:pPr>
            <w:r w:rsidRPr="004A7707">
              <w:rPr>
                <w:rFonts w:eastAsia="Calibri"/>
                <w:szCs w:val="22"/>
              </w:rPr>
              <w:t>Attorney for Plaintiffs</w:t>
            </w:r>
          </w:p>
          <w:p w:rsidR="007B6B92" w:rsidRPr="004A7707" w:rsidRDefault="007B6B92" w:rsidP="00690AEC">
            <w:pPr>
              <w:rPr>
                <w:rFonts w:eastAsia="Calibri"/>
                <w:b/>
                <w:szCs w:val="22"/>
              </w:rPr>
            </w:pPr>
            <w:r w:rsidRPr="004A7707">
              <w:rPr>
                <w:rFonts w:eastAsia="Calibri"/>
                <w:szCs w:val="22"/>
              </w:rPr>
              <w:t>Service by CM/ECF</w:t>
            </w:r>
          </w:p>
        </w:tc>
        <w:tc>
          <w:tcPr>
            <w:tcW w:w="4860" w:type="dxa"/>
          </w:tcPr>
          <w:p w:rsidR="00E76B28" w:rsidRPr="004A7707" w:rsidRDefault="00E76B28" w:rsidP="00E76B28">
            <w:r w:rsidRPr="004A7707">
              <w:t>Michael Garrett Austin</w:t>
            </w:r>
            <w:r w:rsidRPr="004A7707">
              <w:br/>
              <w:t>DLA Piper LLP (US)</w:t>
            </w:r>
            <w:r w:rsidRPr="004A7707">
              <w:br/>
              <w:t>200 South Biscayne Blvd. Suite 2300</w:t>
            </w:r>
            <w:r w:rsidRPr="004A7707">
              <w:br/>
              <w:t>Miami , FL  33131</w:t>
            </w:r>
            <w:r w:rsidRPr="004A7707">
              <w:br/>
              <w:t>305-423-8522</w:t>
            </w:r>
            <w:r w:rsidRPr="004A7707">
              <w:br/>
              <w:t>Fax: 305-437-8131</w:t>
            </w:r>
            <w:r w:rsidRPr="004A7707">
              <w:br/>
              <w:t xml:space="preserve">Email: </w:t>
            </w:r>
            <w:hyperlink r:id="rId21" w:history="1">
              <w:r w:rsidRPr="004A7707">
                <w:rPr>
                  <w:rStyle w:val="Hyperlink"/>
                  <w:color w:val="auto"/>
                </w:rPr>
                <w:t>Michael.Austin@dlapiper.com</w:t>
              </w:r>
            </w:hyperlink>
            <w:r w:rsidRPr="004A7707">
              <w:t xml:space="preserve"> </w:t>
            </w:r>
          </w:p>
          <w:p w:rsidR="007B6B92" w:rsidRPr="004A7707" w:rsidRDefault="00E76B28" w:rsidP="00E76B28">
            <w:pPr>
              <w:rPr>
                <w:rFonts w:eastAsia="Calibri"/>
                <w:szCs w:val="22"/>
              </w:rPr>
            </w:pPr>
            <w:r w:rsidRPr="004A7707">
              <w:t xml:space="preserve">Attorney for Defendants </w:t>
            </w:r>
            <w:proofErr w:type="spellStart"/>
            <w:r w:rsidRPr="004A7707">
              <w:t>Dudek</w:t>
            </w:r>
            <w:proofErr w:type="spellEnd"/>
            <w:r w:rsidRPr="004A7707">
              <w:t>, Farmer, and Wiggins</w:t>
            </w:r>
          </w:p>
        </w:tc>
      </w:tr>
      <w:tr w:rsidR="009218D1" w:rsidRPr="004A7707" w:rsidTr="00EA0B1A">
        <w:tc>
          <w:tcPr>
            <w:tcW w:w="4878" w:type="dxa"/>
          </w:tcPr>
          <w:p w:rsidR="00E76B28" w:rsidRPr="004A7707" w:rsidRDefault="00E76B28" w:rsidP="00E76B28">
            <w:pPr>
              <w:rPr>
                <w:rFonts w:eastAsia="Calibri"/>
                <w:szCs w:val="22"/>
              </w:rPr>
            </w:pPr>
            <w:r w:rsidRPr="004A7707">
              <w:rPr>
                <w:rFonts w:eastAsia="Calibri"/>
                <w:szCs w:val="22"/>
              </w:rPr>
              <w:t>Stuart Fraser Williams</w:t>
            </w:r>
          </w:p>
          <w:p w:rsidR="00E76B28" w:rsidRPr="004A7707" w:rsidRDefault="00E76B28" w:rsidP="00E76B28">
            <w:pPr>
              <w:rPr>
                <w:rFonts w:eastAsia="Calibri"/>
                <w:szCs w:val="22"/>
              </w:rPr>
            </w:pPr>
            <w:r w:rsidRPr="004A7707">
              <w:rPr>
                <w:rFonts w:eastAsia="Calibri"/>
                <w:szCs w:val="22"/>
              </w:rPr>
              <w:t>Agency for Health Care Administration</w:t>
            </w:r>
          </w:p>
          <w:p w:rsidR="00E76B28" w:rsidRPr="004A7707" w:rsidRDefault="00E76B28" w:rsidP="00E76B28">
            <w:pPr>
              <w:rPr>
                <w:rFonts w:eastAsia="Calibri"/>
                <w:szCs w:val="22"/>
              </w:rPr>
            </w:pPr>
            <w:r w:rsidRPr="004A7707">
              <w:rPr>
                <w:rFonts w:eastAsia="Calibri"/>
                <w:szCs w:val="22"/>
              </w:rPr>
              <w:t>2727 Mahan Drive, Mail Stop 3</w:t>
            </w:r>
          </w:p>
          <w:p w:rsidR="00E76B28" w:rsidRPr="004A7707" w:rsidRDefault="00E76B28" w:rsidP="00E76B28">
            <w:pPr>
              <w:rPr>
                <w:rFonts w:eastAsia="Calibri"/>
                <w:szCs w:val="22"/>
              </w:rPr>
            </w:pPr>
            <w:r w:rsidRPr="004A7707">
              <w:rPr>
                <w:rFonts w:eastAsia="Calibri"/>
                <w:szCs w:val="22"/>
              </w:rPr>
              <w:t>Tallahassee, FL  32308</w:t>
            </w:r>
          </w:p>
          <w:p w:rsidR="00E76B28" w:rsidRPr="004A7707" w:rsidRDefault="00E76B28" w:rsidP="00E76B28">
            <w:pPr>
              <w:rPr>
                <w:rFonts w:eastAsia="Calibri"/>
                <w:szCs w:val="22"/>
              </w:rPr>
            </w:pPr>
            <w:r w:rsidRPr="004A7707">
              <w:rPr>
                <w:rFonts w:eastAsia="Calibri"/>
                <w:szCs w:val="22"/>
              </w:rPr>
              <w:t>Phone: 850-412-3630</w:t>
            </w:r>
          </w:p>
          <w:p w:rsidR="00E76B28" w:rsidRPr="004A7707" w:rsidRDefault="00E76B28" w:rsidP="00E76B28">
            <w:pPr>
              <w:rPr>
                <w:rFonts w:eastAsia="Calibri"/>
                <w:szCs w:val="22"/>
              </w:rPr>
            </w:pPr>
            <w:r w:rsidRPr="004A7707">
              <w:rPr>
                <w:rFonts w:eastAsia="Calibri"/>
                <w:szCs w:val="22"/>
              </w:rPr>
              <w:t>Fax: 850-921-0158</w:t>
            </w:r>
          </w:p>
          <w:p w:rsidR="00E76B28" w:rsidRPr="004A7707" w:rsidRDefault="00E76B28" w:rsidP="00E76B28">
            <w:pPr>
              <w:rPr>
                <w:rFonts w:eastAsia="Calibri"/>
                <w:szCs w:val="22"/>
              </w:rPr>
            </w:pPr>
            <w:r w:rsidRPr="004A7707">
              <w:rPr>
                <w:rFonts w:eastAsia="Calibri"/>
                <w:szCs w:val="22"/>
              </w:rPr>
              <w:t xml:space="preserve">Email: </w:t>
            </w:r>
            <w:hyperlink r:id="rId22" w:history="1">
              <w:r w:rsidRPr="004A7707">
                <w:rPr>
                  <w:rStyle w:val="Hyperlink"/>
                  <w:rFonts w:eastAsia="Calibri"/>
                  <w:color w:val="auto"/>
                  <w:szCs w:val="22"/>
                </w:rPr>
                <w:t>Stuart.Williams@ahca.myflorida.com</w:t>
              </w:r>
            </w:hyperlink>
            <w:r w:rsidRPr="004A7707">
              <w:rPr>
                <w:rFonts w:eastAsia="Calibri"/>
                <w:szCs w:val="22"/>
              </w:rPr>
              <w:t xml:space="preserve"> </w:t>
            </w:r>
          </w:p>
          <w:p w:rsidR="00E76B28" w:rsidRPr="004A7707" w:rsidRDefault="00E76B28" w:rsidP="00ED0271">
            <w:pPr>
              <w:rPr>
                <w:rFonts w:eastAsia="Calibri"/>
                <w:szCs w:val="22"/>
              </w:rPr>
            </w:pPr>
            <w:r w:rsidRPr="004A7707">
              <w:rPr>
                <w:rFonts w:eastAsia="Calibri"/>
                <w:szCs w:val="22"/>
              </w:rPr>
              <w:t xml:space="preserve">Attorney for Defendants </w:t>
            </w:r>
            <w:proofErr w:type="spellStart"/>
            <w:r w:rsidRPr="004A7707">
              <w:rPr>
                <w:rFonts w:eastAsia="Calibri"/>
                <w:szCs w:val="22"/>
              </w:rPr>
              <w:t>Dudek</w:t>
            </w:r>
            <w:proofErr w:type="spellEnd"/>
            <w:r w:rsidRPr="004A7707">
              <w:rPr>
                <w:rFonts w:eastAsia="Calibri"/>
                <w:szCs w:val="22"/>
              </w:rPr>
              <w:t>, Farmer, and Wiggins</w:t>
            </w:r>
          </w:p>
          <w:p w:rsidR="007B6B92" w:rsidRPr="004A7707" w:rsidRDefault="00E76B28" w:rsidP="00E76B28">
            <w:pPr>
              <w:rPr>
                <w:rFonts w:eastAsia="Calibri"/>
                <w:b/>
                <w:szCs w:val="22"/>
              </w:rPr>
            </w:pPr>
            <w:r w:rsidRPr="004A7707">
              <w:rPr>
                <w:rFonts w:eastAsia="Calibri"/>
                <w:szCs w:val="22"/>
              </w:rPr>
              <w:t>Service by CM/ECF</w:t>
            </w:r>
          </w:p>
        </w:tc>
        <w:tc>
          <w:tcPr>
            <w:tcW w:w="4860" w:type="dxa"/>
          </w:tcPr>
          <w:p w:rsidR="00ED0271" w:rsidRPr="004A7707" w:rsidRDefault="00ED0271" w:rsidP="00690AEC">
            <w:proofErr w:type="spellStart"/>
            <w:r w:rsidRPr="004A7707">
              <w:t>Leslei</w:t>
            </w:r>
            <w:proofErr w:type="spellEnd"/>
            <w:r w:rsidRPr="004A7707">
              <w:t xml:space="preserve"> Gayle Street</w:t>
            </w:r>
            <w:r w:rsidRPr="004A7707">
              <w:br/>
              <w:t>Agency for Healthcare Administration</w:t>
            </w:r>
            <w:r w:rsidRPr="004A7707">
              <w:br/>
              <w:t xml:space="preserve">Office Of The General Counsel 2727 Mahan Drive, Ms #3 </w:t>
            </w:r>
          </w:p>
          <w:p w:rsidR="00ED0271" w:rsidRPr="004A7707" w:rsidRDefault="00ED0271" w:rsidP="00690AEC">
            <w:r w:rsidRPr="004A7707">
              <w:t>Tallahassee , FL  32308</w:t>
            </w:r>
            <w:r w:rsidRPr="004A7707">
              <w:br/>
              <w:t>850-412-3686</w:t>
            </w:r>
            <w:r w:rsidRPr="004A7707">
              <w:br/>
              <w:t>Fax: 850-921-0158</w:t>
            </w:r>
          </w:p>
          <w:p w:rsidR="00ED0271" w:rsidRPr="004A7707" w:rsidRDefault="00ED0271" w:rsidP="00ED0271">
            <w:pPr>
              <w:rPr>
                <w:rFonts w:eastAsia="Calibri"/>
                <w:szCs w:val="22"/>
              </w:rPr>
            </w:pPr>
            <w:r w:rsidRPr="004A7707">
              <w:t xml:space="preserve">Email: </w:t>
            </w:r>
            <w:hyperlink r:id="rId23" w:history="1">
              <w:r w:rsidRPr="004A7707">
                <w:rPr>
                  <w:rStyle w:val="Hyperlink"/>
                  <w:color w:val="auto"/>
                </w:rPr>
                <w:t>Leslei.Street@ahca.Myflorida.Com</w:t>
              </w:r>
            </w:hyperlink>
            <w:r w:rsidRPr="004A7707">
              <w:t xml:space="preserve"> </w:t>
            </w:r>
            <w:r w:rsidRPr="004A7707">
              <w:br/>
            </w:r>
            <w:r w:rsidRPr="004A7707">
              <w:rPr>
                <w:rFonts w:eastAsia="Calibri"/>
                <w:szCs w:val="22"/>
              </w:rPr>
              <w:t xml:space="preserve">Attorney for Defendant </w:t>
            </w:r>
            <w:proofErr w:type="spellStart"/>
            <w:r w:rsidRPr="004A7707">
              <w:rPr>
                <w:rFonts w:eastAsia="Calibri"/>
                <w:szCs w:val="22"/>
              </w:rPr>
              <w:t>Dudek</w:t>
            </w:r>
            <w:proofErr w:type="spellEnd"/>
          </w:p>
          <w:p w:rsidR="007B6B92" w:rsidRPr="004A7707" w:rsidRDefault="00ED0271" w:rsidP="00ED0271">
            <w:pPr>
              <w:rPr>
                <w:rFonts w:eastAsia="Calibri"/>
                <w:szCs w:val="22"/>
              </w:rPr>
            </w:pPr>
            <w:r w:rsidRPr="004A7707">
              <w:rPr>
                <w:rFonts w:eastAsia="Calibri"/>
                <w:szCs w:val="22"/>
              </w:rPr>
              <w:t>Service by CM/ECF</w:t>
            </w:r>
          </w:p>
          <w:p w:rsidR="00ED0271" w:rsidRPr="004A7707" w:rsidRDefault="00ED0271" w:rsidP="00ED0271">
            <w:pPr>
              <w:rPr>
                <w:rFonts w:eastAsia="Calibri"/>
                <w:b/>
                <w:szCs w:val="22"/>
              </w:rPr>
            </w:pPr>
          </w:p>
        </w:tc>
      </w:tr>
    </w:tbl>
    <w:p w:rsidR="007B6B92" w:rsidRPr="004A7707" w:rsidRDefault="007B6B92" w:rsidP="007B6B92">
      <w:r w:rsidRPr="004A7707">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860"/>
      </w:tblGrid>
      <w:tr w:rsidR="009218D1" w:rsidRPr="004A7707" w:rsidTr="00EA0B1A">
        <w:tc>
          <w:tcPr>
            <w:tcW w:w="4878" w:type="dxa"/>
          </w:tcPr>
          <w:p w:rsidR="00ED0271" w:rsidRPr="004A7707" w:rsidRDefault="00ED0271" w:rsidP="00ED0271">
            <w:pPr>
              <w:rPr>
                <w:rFonts w:eastAsia="Calibri"/>
                <w:szCs w:val="22"/>
              </w:rPr>
            </w:pPr>
            <w:r w:rsidRPr="004A7707">
              <w:rPr>
                <w:rFonts w:eastAsia="Calibri"/>
                <w:szCs w:val="22"/>
              </w:rPr>
              <w:t>Andrew T. Sheeran</w:t>
            </w:r>
          </w:p>
          <w:p w:rsidR="00ED0271" w:rsidRPr="004A7707" w:rsidRDefault="00ED0271" w:rsidP="00ED0271">
            <w:pPr>
              <w:rPr>
                <w:rFonts w:eastAsia="Calibri"/>
                <w:szCs w:val="22"/>
              </w:rPr>
            </w:pPr>
            <w:r w:rsidRPr="004A7707">
              <w:rPr>
                <w:rFonts w:eastAsia="Calibri"/>
                <w:szCs w:val="22"/>
              </w:rPr>
              <w:t>Agency for Health Care Administration</w:t>
            </w:r>
          </w:p>
          <w:p w:rsidR="00ED0271" w:rsidRPr="004A7707" w:rsidRDefault="00ED0271" w:rsidP="00ED0271">
            <w:pPr>
              <w:rPr>
                <w:rFonts w:eastAsia="Calibri"/>
                <w:szCs w:val="22"/>
              </w:rPr>
            </w:pPr>
            <w:r w:rsidRPr="004A7707">
              <w:rPr>
                <w:rFonts w:eastAsia="Calibri"/>
                <w:szCs w:val="22"/>
              </w:rPr>
              <w:t xml:space="preserve">Office of the General Counsel </w:t>
            </w:r>
          </w:p>
          <w:p w:rsidR="00ED0271" w:rsidRPr="004A7707" w:rsidRDefault="00ED0271" w:rsidP="00ED0271">
            <w:pPr>
              <w:rPr>
                <w:rFonts w:eastAsia="Calibri"/>
                <w:szCs w:val="22"/>
              </w:rPr>
            </w:pPr>
            <w:r w:rsidRPr="004A7707">
              <w:rPr>
                <w:rFonts w:eastAsia="Calibri"/>
                <w:szCs w:val="22"/>
              </w:rPr>
              <w:t>2727 Mahan Drive, Building 3, MS #3</w:t>
            </w:r>
          </w:p>
          <w:p w:rsidR="00ED0271" w:rsidRPr="004A7707" w:rsidRDefault="00ED0271" w:rsidP="00ED0271">
            <w:pPr>
              <w:rPr>
                <w:rFonts w:eastAsia="Calibri"/>
                <w:szCs w:val="22"/>
              </w:rPr>
            </w:pPr>
            <w:r w:rsidRPr="004A7707">
              <w:rPr>
                <w:rFonts w:eastAsia="Calibri"/>
                <w:szCs w:val="22"/>
              </w:rPr>
              <w:t>Tallahassee, FL  32308</w:t>
            </w:r>
          </w:p>
          <w:p w:rsidR="00ED0271" w:rsidRPr="004A7707" w:rsidRDefault="00ED0271" w:rsidP="00ED0271">
            <w:pPr>
              <w:rPr>
                <w:rFonts w:eastAsia="Calibri"/>
                <w:szCs w:val="22"/>
              </w:rPr>
            </w:pPr>
            <w:r w:rsidRPr="004A7707">
              <w:rPr>
                <w:rFonts w:eastAsia="Calibri"/>
                <w:szCs w:val="22"/>
              </w:rPr>
              <w:t>Phone: 850-412-3630</w:t>
            </w:r>
          </w:p>
          <w:p w:rsidR="00ED0271" w:rsidRPr="004A7707" w:rsidRDefault="00ED0271" w:rsidP="00ED0271">
            <w:pPr>
              <w:rPr>
                <w:rFonts w:eastAsia="Calibri"/>
                <w:szCs w:val="22"/>
              </w:rPr>
            </w:pPr>
            <w:r w:rsidRPr="004A7707">
              <w:rPr>
                <w:rFonts w:eastAsia="Calibri"/>
                <w:szCs w:val="22"/>
              </w:rPr>
              <w:t>Fax: 850-921-0158</w:t>
            </w:r>
          </w:p>
          <w:p w:rsidR="00ED0271" w:rsidRPr="004A7707" w:rsidRDefault="00ED0271" w:rsidP="00ED0271">
            <w:pPr>
              <w:rPr>
                <w:rFonts w:eastAsia="Calibri"/>
                <w:szCs w:val="22"/>
              </w:rPr>
            </w:pPr>
            <w:r w:rsidRPr="004A7707">
              <w:rPr>
                <w:rFonts w:eastAsia="Calibri"/>
                <w:szCs w:val="22"/>
              </w:rPr>
              <w:t xml:space="preserve">Email: </w:t>
            </w:r>
            <w:hyperlink r:id="rId24" w:history="1">
              <w:r w:rsidRPr="004A7707">
                <w:rPr>
                  <w:rStyle w:val="Hyperlink"/>
                  <w:rFonts w:eastAsia="Calibri"/>
                  <w:color w:val="auto"/>
                  <w:szCs w:val="22"/>
                </w:rPr>
                <w:t>Andrew.Sheeran@ahca.myflorida.com</w:t>
              </w:r>
            </w:hyperlink>
            <w:r w:rsidRPr="004A7707">
              <w:rPr>
                <w:rFonts w:eastAsia="Calibri"/>
                <w:szCs w:val="22"/>
              </w:rPr>
              <w:t xml:space="preserve"> </w:t>
            </w:r>
          </w:p>
          <w:p w:rsidR="00ED0271" w:rsidRPr="004A7707" w:rsidRDefault="00ED0271" w:rsidP="00ED0271">
            <w:pPr>
              <w:rPr>
                <w:rFonts w:eastAsia="Calibri"/>
                <w:szCs w:val="22"/>
              </w:rPr>
            </w:pPr>
            <w:r w:rsidRPr="004A7707">
              <w:rPr>
                <w:rFonts w:eastAsia="Calibri"/>
                <w:szCs w:val="22"/>
              </w:rPr>
              <w:t xml:space="preserve">Attorney for Defendant </w:t>
            </w:r>
            <w:proofErr w:type="spellStart"/>
            <w:r w:rsidRPr="004A7707">
              <w:rPr>
                <w:rFonts w:eastAsia="Calibri"/>
                <w:szCs w:val="22"/>
              </w:rPr>
              <w:t>Dudek</w:t>
            </w:r>
            <w:proofErr w:type="spellEnd"/>
            <w:r w:rsidRPr="004A7707">
              <w:rPr>
                <w:rFonts w:eastAsia="Calibri"/>
                <w:szCs w:val="22"/>
              </w:rPr>
              <w:t>, Farmer, and Wiggins</w:t>
            </w:r>
          </w:p>
          <w:p w:rsidR="00ED0271" w:rsidRPr="004A7707" w:rsidRDefault="00ED0271" w:rsidP="00ED0271">
            <w:pPr>
              <w:rPr>
                <w:rFonts w:eastAsia="Calibri"/>
                <w:b/>
                <w:szCs w:val="22"/>
              </w:rPr>
            </w:pPr>
            <w:r w:rsidRPr="004A7707">
              <w:rPr>
                <w:rFonts w:eastAsia="Calibri"/>
                <w:szCs w:val="22"/>
              </w:rPr>
              <w:t>Service by CM/ECF</w:t>
            </w:r>
          </w:p>
        </w:tc>
        <w:tc>
          <w:tcPr>
            <w:tcW w:w="4860" w:type="dxa"/>
          </w:tcPr>
          <w:p w:rsidR="00ED0271" w:rsidRPr="004A7707" w:rsidRDefault="00ED0271" w:rsidP="00ED0271">
            <w:r w:rsidRPr="004A7707">
              <w:t xml:space="preserve">Jennifer Ann </w:t>
            </w:r>
            <w:proofErr w:type="spellStart"/>
            <w:r w:rsidRPr="004A7707">
              <w:t>Tschetter</w:t>
            </w:r>
            <w:proofErr w:type="spellEnd"/>
            <w:r w:rsidRPr="004A7707">
              <w:br/>
              <w:t>Florida Department of Health</w:t>
            </w:r>
            <w:r w:rsidRPr="004A7707">
              <w:br/>
              <w:t>4052 Bald Cypress Way Bin A-02</w:t>
            </w:r>
            <w:r w:rsidRPr="004A7707">
              <w:br/>
              <w:t>Tallahassee , FL  32399</w:t>
            </w:r>
            <w:r w:rsidRPr="004A7707">
              <w:br/>
              <w:t>8502454353</w:t>
            </w:r>
            <w:r w:rsidRPr="004A7707">
              <w:br/>
              <w:t>Fax: 8504101448</w:t>
            </w:r>
            <w:r w:rsidRPr="004A7707">
              <w:br/>
              <w:t xml:space="preserve">Email: </w:t>
            </w:r>
            <w:hyperlink r:id="rId25" w:history="1">
              <w:r w:rsidRPr="004A7707">
                <w:rPr>
                  <w:rStyle w:val="Hyperlink"/>
                  <w:color w:val="auto"/>
                </w:rPr>
                <w:t>Jennifer_Tschetter@doh.State.Fl.Us</w:t>
              </w:r>
            </w:hyperlink>
            <w:r w:rsidRPr="004A7707">
              <w:t xml:space="preserve"> </w:t>
            </w:r>
          </w:p>
          <w:p w:rsidR="007B6B92" w:rsidRPr="004A7707" w:rsidRDefault="00ED0271" w:rsidP="00ED0271">
            <w:r w:rsidRPr="004A7707">
              <w:t>Attorney for Defendant</w:t>
            </w:r>
            <w:r w:rsidR="00FA006E" w:rsidRPr="004A7707">
              <w:t>s</w:t>
            </w:r>
            <w:r w:rsidRPr="004A7707">
              <w:t xml:space="preserve"> Farmer and Wiggins</w:t>
            </w:r>
          </w:p>
          <w:p w:rsidR="00ED0271" w:rsidRPr="004A7707" w:rsidRDefault="00ED0271" w:rsidP="00ED0271">
            <w:pPr>
              <w:rPr>
                <w:rFonts w:eastAsia="Calibri"/>
              </w:rPr>
            </w:pPr>
            <w:r w:rsidRPr="004A7707">
              <w:t>Service by CM/ECF</w:t>
            </w:r>
          </w:p>
        </w:tc>
      </w:tr>
      <w:tr w:rsidR="009218D1" w:rsidRPr="004A7707" w:rsidTr="00EA0B1A">
        <w:tc>
          <w:tcPr>
            <w:tcW w:w="4878" w:type="dxa"/>
          </w:tcPr>
          <w:p w:rsidR="007B6B92" w:rsidRPr="004A7707" w:rsidRDefault="00ED0271" w:rsidP="00ED0271">
            <w:proofErr w:type="spellStart"/>
            <w:r w:rsidRPr="004A7707">
              <w:t>Caryl</w:t>
            </w:r>
            <w:proofErr w:type="spellEnd"/>
            <w:r w:rsidRPr="004A7707">
              <w:t xml:space="preserve"> </w:t>
            </w:r>
            <w:proofErr w:type="spellStart"/>
            <w:r w:rsidRPr="004A7707">
              <w:t>Kilinski</w:t>
            </w:r>
            <w:proofErr w:type="spellEnd"/>
            <w:r w:rsidRPr="004A7707">
              <w:br/>
              <w:t>Department of Health</w:t>
            </w:r>
            <w:r w:rsidRPr="004A7707">
              <w:br/>
              <w:t>Office Of The General Counsel</w:t>
            </w:r>
            <w:r w:rsidRPr="004A7707">
              <w:br/>
              <w:t>4052 Bald Cypress Way Bin A-02</w:t>
            </w:r>
            <w:r w:rsidRPr="004A7707">
              <w:br/>
              <w:t>Tallahassee , FL  32399</w:t>
            </w:r>
            <w:r w:rsidRPr="004A7707">
              <w:br/>
              <w:t>850-245-4398</w:t>
            </w:r>
            <w:r w:rsidRPr="004A7707">
              <w:br/>
              <w:t>Fax: 850-413-8743</w:t>
            </w:r>
            <w:r w:rsidRPr="004A7707">
              <w:br/>
              <w:t xml:space="preserve">Email: </w:t>
            </w:r>
            <w:hyperlink r:id="rId26" w:history="1">
              <w:r w:rsidRPr="004A7707">
                <w:rPr>
                  <w:rStyle w:val="Hyperlink"/>
                  <w:color w:val="auto"/>
                </w:rPr>
                <w:t>Caryl_Kilinski@doh.State.Fl.Us</w:t>
              </w:r>
            </w:hyperlink>
            <w:r w:rsidRPr="004A7707">
              <w:t xml:space="preserve"> </w:t>
            </w:r>
          </w:p>
          <w:p w:rsidR="00ED0271" w:rsidRPr="004A7707" w:rsidRDefault="00ED0271" w:rsidP="00ED0271">
            <w:r w:rsidRPr="004A7707">
              <w:t>Attorney for Defendant</w:t>
            </w:r>
            <w:r w:rsidR="00FA006E" w:rsidRPr="004A7707">
              <w:t>s</w:t>
            </w:r>
            <w:r w:rsidRPr="004A7707">
              <w:t xml:space="preserve"> Farmer and Wiggins</w:t>
            </w:r>
          </w:p>
          <w:p w:rsidR="00ED0271" w:rsidRPr="004A7707" w:rsidRDefault="00ED0271" w:rsidP="00ED0271">
            <w:pPr>
              <w:rPr>
                <w:rFonts w:eastAsia="Calibri"/>
                <w:szCs w:val="22"/>
              </w:rPr>
            </w:pPr>
            <w:r w:rsidRPr="004A7707">
              <w:t>Service by CM/ECF</w:t>
            </w:r>
          </w:p>
        </w:tc>
        <w:tc>
          <w:tcPr>
            <w:tcW w:w="4860" w:type="dxa"/>
          </w:tcPr>
          <w:p w:rsidR="007B6B92" w:rsidRPr="004A7707" w:rsidRDefault="00FA006E" w:rsidP="00FA006E">
            <w:r w:rsidRPr="004A7707">
              <w:t xml:space="preserve">Christopher Brian </w:t>
            </w:r>
            <w:proofErr w:type="spellStart"/>
            <w:r w:rsidRPr="004A7707">
              <w:t>Lunny</w:t>
            </w:r>
            <w:proofErr w:type="spellEnd"/>
            <w:r w:rsidRPr="004A7707">
              <w:br/>
            </w:r>
            <w:proofErr w:type="spellStart"/>
            <w:r w:rsidRPr="004A7707">
              <w:t>Radey</w:t>
            </w:r>
            <w:proofErr w:type="spellEnd"/>
            <w:r w:rsidRPr="004A7707">
              <w:t xml:space="preserve"> Thomas Yon &amp; Clark</w:t>
            </w:r>
            <w:r w:rsidRPr="004A7707">
              <w:br/>
              <w:t xml:space="preserve">301 S </w:t>
            </w:r>
            <w:proofErr w:type="spellStart"/>
            <w:r w:rsidRPr="004A7707">
              <w:t>Bronough</w:t>
            </w:r>
            <w:proofErr w:type="spellEnd"/>
            <w:r w:rsidRPr="004A7707">
              <w:t xml:space="preserve"> Street Suite 200 Po Box 10967</w:t>
            </w:r>
            <w:r w:rsidRPr="004A7707">
              <w:br/>
              <w:t>Tallahassee , FL  32302</w:t>
            </w:r>
            <w:r w:rsidRPr="004A7707">
              <w:br/>
              <w:t>USA</w:t>
            </w:r>
            <w:r w:rsidRPr="004A7707">
              <w:br/>
              <w:t>850-425-6654</w:t>
            </w:r>
            <w:r w:rsidRPr="004A7707">
              <w:br/>
              <w:t xml:space="preserve">Email: </w:t>
            </w:r>
            <w:hyperlink r:id="rId27" w:history="1">
              <w:r w:rsidRPr="004A7707">
                <w:rPr>
                  <w:rStyle w:val="Hyperlink"/>
                  <w:color w:val="auto"/>
                </w:rPr>
                <w:t>Clunny@radeylaw.Com</w:t>
              </w:r>
            </w:hyperlink>
          </w:p>
          <w:p w:rsidR="00FA006E" w:rsidRPr="004A7707" w:rsidRDefault="00FA006E" w:rsidP="00FA006E">
            <w:pPr>
              <w:rPr>
                <w:rFonts w:eastAsia="Calibri"/>
                <w:szCs w:val="22"/>
              </w:rPr>
            </w:pPr>
            <w:r w:rsidRPr="004A7707">
              <w:rPr>
                <w:rFonts w:eastAsia="Calibri"/>
                <w:szCs w:val="22"/>
              </w:rPr>
              <w:t xml:space="preserve">Attorney for Defendant </w:t>
            </w:r>
            <w:proofErr w:type="spellStart"/>
            <w:r w:rsidRPr="004A7707">
              <w:rPr>
                <w:rFonts w:eastAsia="Calibri"/>
                <w:szCs w:val="22"/>
              </w:rPr>
              <w:t>eQHealth</w:t>
            </w:r>
            <w:proofErr w:type="spellEnd"/>
            <w:r w:rsidRPr="004A7707">
              <w:rPr>
                <w:rFonts w:eastAsia="Calibri"/>
                <w:szCs w:val="22"/>
              </w:rPr>
              <w:t xml:space="preserve"> Solutions, Inc.</w:t>
            </w:r>
          </w:p>
          <w:p w:rsidR="00FA006E" w:rsidRPr="004A7707" w:rsidRDefault="00FA006E" w:rsidP="00FA006E">
            <w:pPr>
              <w:rPr>
                <w:rFonts w:eastAsia="Calibri"/>
                <w:szCs w:val="22"/>
              </w:rPr>
            </w:pPr>
            <w:r w:rsidRPr="004A7707">
              <w:rPr>
                <w:rFonts w:eastAsia="Calibri"/>
                <w:szCs w:val="22"/>
              </w:rPr>
              <w:t>Service by CM/ECF</w:t>
            </w:r>
          </w:p>
        </w:tc>
      </w:tr>
      <w:tr w:rsidR="00E76B28" w:rsidRPr="004A7707" w:rsidTr="00EA0B1A">
        <w:tc>
          <w:tcPr>
            <w:tcW w:w="4878" w:type="dxa"/>
          </w:tcPr>
          <w:p w:rsidR="00FA006E" w:rsidRPr="004A7707" w:rsidRDefault="00FA006E" w:rsidP="00FA006E">
            <w:pPr>
              <w:rPr>
                <w:rFonts w:eastAsia="Calibri"/>
                <w:szCs w:val="22"/>
              </w:rPr>
            </w:pPr>
            <w:r w:rsidRPr="004A7707">
              <w:rPr>
                <w:rFonts w:eastAsia="Calibri"/>
                <w:szCs w:val="22"/>
              </w:rPr>
              <w:t>Harry Osborne Thomas</w:t>
            </w:r>
          </w:p>
          <w:p w:rsidR="00FA006E" w:rsidRPr="004A7707" w:rsidRDefault="00FA006E" w:rsidP="00FA006E">
            <w:pPr>
              <w:rPr>
                <w:rFonts w:eastAsia="Calibri"/>
                <w:szCs w:val="22"/>
              </w:rPr>
            </w:pPr>
            <w:r w:rsidRPr="004A7707">
              <w:rPr>
                <w:rFonts w:eastAsia="Calibri"/>
                <w:szCs w:val="22"/>
              </w:rPr>
              <w:t>Radey Thomas Yon &amp; Clark</w:t>
            </w:r>
          </w:p>
          <w:p w:rsidR="00FA006E" w:rsidRPr="004A7707" w:rsidRDefault="00FA006E" w:rsidP="00FA006E">
            <w:pPr>
              <w:rPr>
                <w:rFonts w:eastAsia="Calibri"/>
                <w:szCs w:val="22"/>
              </w:rPr>
            </w:pPr>
            <w:r w:rsidRPr="004A7707">
              <w:rPr>
                <w:rFonts w:eastAsia="Calibri"/>
                <w:szCs w:val="22"/>
              </w:rPr>
              <w:t>301 S. Bronough Street, Suite 200</w:t>
            </w:r>
          </w:p>
          <w:p w:rsidR="00FA006E" w:rsidRPr="004A7707" w:rsidRDefault="00FA006E" w:rsidP="00FA006E">
            <w:pPr>
              <w:rPr>
                <w:rFonts w:eastAsia="Calibri"/>
                <w:szCs w:val="22"/>
              </w:rPr>
            </w:pPr>
            <w:r w:rsidRPr="004A7707">
              <w:rPr>
                <w:rFonts w:eastAsia="Calibri"/>
                <w:szCs w:val="22"/>
              </w:rPr>
              <w:t>PO Box 10967</w:t>
            </w:r>
          </w:p>
          <w:p w:rsidR="00FA006E" w:rsidRPr="004A7707" w:rsidRDefault="00FA006E" w:rsidP="00FA006E">
            <w:pPr>
              <w:rPr>
                <w:rFonts w:eastAsia="Calibri"/>
                <w:szCs w:val="22"/>
              </w:rPr>
            </w:pPr>
            <w:r w:rsidRPr="004A7707">
              <w:rPr>
                <w:rFonts w:eastAsia="Calibri"/>
                <w:szCs w:val="22"/>
              </w:rPr>
              <w:t>Tallahassee, FL  32302</w:t>
            </w:r>
          </w:p>
          <w:p w:rsidR="00FA006E" w:rsidRPr="004A7707" w:rsidRDefault="00FA006E" w:rsidP="00FA006E">
            <w:pPr>
              <w:rPr>
                <w:rFonts w:eastAsia="Calibri"/>
                <w:szCs w:val="22"/>
              </w:rPr>
            </w:pPr>
            <w:r w:rsidRPr="004A7707">
              <w:rPr>
                <w:rFonts w:eastAsia="Calibri"/>
                <w:szCs w:val="22"/>
              </w:rPr>
              <w:t>Phone: 850-425-6654</w:t>
            </w:r>
          </w:p>
          <w:p w:rsidR="00FA006E" w:rsidRPr="004A7707" w:rsidRDefault="00FA006E" w:rsidP="00FA006E">
            <w:pPr>
              <w:rPr>
                <w:rFonts w:eastAsia="Calibri"/>
                <w:szCs w:val="22"/>
              </w:rPr>
            </w:pPr>
            <w:r w:rsidRPr="004A7707">
              <w:rPr>
                <w:rFonts w:eastAsia="Calibri"/>
                <w:szCs w:val="22"/>
              </w:rPr>
              <w:t>Fax: 850-425-6694</w:t>
            </w:r>
          </w:p>
          <w:p w:rsidR="00FA006E" w:rsidRPr="004A7707" w:rsidRDefault="00FA006E" w:rsidP="00FA006E">
            <w:pPr>
              <w:rPr>
                <w:rFonts w:eastAsia="Calibri"/>
                <w:szCs w:val="22"/>
              </w:rPr>
            </w:pPr>
            <w:r w:rsidRPr="004A7707">
              <w:rPr>
                <w:rFonts w:eastAsia="Calibri"/>
                <w:szCs w:val="22"/>
              </w:rPr>
              <w:t xml:space="preserve">Email: </w:t>
            </w:r>
            <w:hyperlink r:id="rId28" w:history="1">
              <w:r w:rsidRPr="004A7707">
                <w:rPr>
                  <w:rStyle w:val="Hyperlink"/>
                  <w:rFonts w:eastAsia="Calibri"/>
                  <w:color w:val="auto"/>
                  <w:szCs w:val="22"/>
                </w:rPr>
                <w:t>Hthomas@radeylaw.com</w:t>
              </w:r>
            </w:hyperlink>
            <w:r w:rsidRPr="004A7707">
              <w:rPr>
                <w:rFonts w:eastAsia="Calibri"/>
                <w:szCs w:val="22"/>
              </w:rPr>
              <w:t xml:space="preserve"> </w:t>
            </w:r>
          </w:p>
          <w:p w:rsidR="00FA006E" w:rsidRPr="004A7707" w:rsidRDefault="00FA006E" w:rsidP="00FA006E">
            <w:pPr>
              <w:ind w:left="252" w:hanging="252"/>
              <w:rPr>
                <w:rFonts w:eastAsia="Calibri"/>
                <w:szCs w:val="22"/>
              </w:rPr>
            </w:pPr>
            <w:r w:rsidRPr="004A7707">
              <w:rPr>
                <w:rFonts w:eastAsia="Calibri"/>
                <w:szCs w:val="22"/>
              </w:rPr>
              <w:t>Attorney for Defendant eQHealth Solutions, Inc.</w:t>
            </w:r>
          </w:p>
          <w:p w:rsidR="00FA006E" w:rsidRPr="004A7707" w:rsidRDefault="00FA006E" w:rsidP="00FA006E">
            <w:pPr>
              <w:rPr>
                <w:rFonts w:eastAsia="Calibri"/>
                <w:szCs w:val="22"/>
              </w:rPr>
            </w:pPr>
            <w:r w:rsidRPr="004A7707">
              <w:rPr>
                <w:rFonts w:eastAsia="Calibri"/>
                <w:szCs w:val="22"/>
              </w:rPr>
              <w:t>Service by CM/ECF</w:t>
            </w:r>
          </w:p>
        </w:tc>
        <w:tc>
          <w:tcPr>
            <w:tcW w:w="4860" w:type="dxa"/>
          </w:tcPr>
          <w:p w:rsidR="00FA006E" w:rsidRPr="004A7707" w:rsidRDefault="00FA006E" w:rsidP="00FA006E">
            <w:r w:rsidRPr="004A7707">
              <w:t xml:space="preserve">Thomas Ames </w:t>
            </w:r>
            <w:proofErr w:type="spellStart"/>
            <w:r w:rsidRPr="004A7707">
              <w:t>Crabb</w:t>
            </w:r>
            <w:proofErr w:type="spellEnd"/>
            <w:r w:rsidRPr="004A7707">
              <w:br/>
            </w:r>
            <w:proofErr w:type="spellStart"/>
            <w:r w:rsidRPr="004A7707">
              <w:t>Radey</w:t>
            </w:r>
            <w:proofErr w:type="spellEnd"/>
            <w:r w:rsidRPr="004A7707">
              <w:t xml:space="preserve"> Thomas Yon &amp; Clark, P.A.</w:t>
            </w:r>
            <w:r w:rsidRPr="004A7707">
              <w:br/>
              <w:t xml:space="preserve">301 S. </w:t>
            </w:r>
            <w:proofErr w:type="spellStart"/>
            <w:r w:rsidRPr="004A7707">
              <w:t>Bronough</w:t>
            </w:r>
            <w:proofErr w:type="spellEnd"/>
            <w:r w:rsidRPr="004A7707">
              <w:t xml:space="preserve"> Street, Suite 200</w:t>
            </w:r>
            <w:r w:rsidRPr="004A7707">
              <w:br/>
              <w:t>Tallahassee , FL  32301</w:t>
            </w:r>
            <w:r w:rsidRPr="004A7707">
              <w:br/>
              <w:t>(850) 425-6654</w:t>
            </w:r>
            <w:r w:rsidRPr="004A7707">
              <w:br/>
              <w:t>Fax: (850) 425-6694</w:t>
            </w:r>
            <w:r w:rsidRPr="004A7707">
              <w:br/>
              <w:t xml:space="preserve">Email: </w:t>
            </w:r>
            <w:hyperlink r:id="rId29" w:history="1">
              <w:r w:rsidRPr="004A7707">
                <w:rPr>
                  <w:rStyle w:val="Hyperlink"/>
                  <w:color w:val="auto"/>
                </w:rPr>
                <w:t>Tcrabb@radeylaw.Com</w:t>
              </w:r>
            </w:hyperlink>
            <w:r w:rsidRPr="004A7707">
              <w:t xml:space="preserve"> </w:t>
            </w:r>
          </w:p>
          <w:p w:rsidR="00FA006E" w:rsidRPr="004A7707" w:rsidRDefault="00FA006E" w:rsidP="00FA006E">
            <w:pPr>
              <w:ind w:left="252" w:hanging="252"/>
              <w:rPr>
                <w:rFonts w:eastAsia="Calibri"/>
                <w:szCs w:val="22"/>
              </w:rPr>
            </w:pPr>
            <w:r w:rsidRPr="004A7707">
              <w:rPr>
                <w:rFonts w:eastAsia="Calibri"/>
                <w:szCs w:val="22"/>
              </w:rPr>
              <w:t xml:space="preserve">Attorney for Defendant </w:t>
            </w:r>
            <w:proofErr w:type="spellStart"/>
            <w:r w:rsidRPr="004A7707">
              <w:rPr>
                <w:rFonts w:eastAsia="Calibri"/>
                <w:szCs w:val="22"/>
              </w:rPr>
              <w:t>eQHealth</w:t>
            </w:r>
            <w:proofErr w:type="spellEnd"/>
            <w:r w:rsidRPr="004A7707">
              <w:rPr>
                <w:rFonts w:eastAsia="Calibri"/>
                <w:szCs w:val="22"/>
              </w:rPr>
              <w:t xml:space="preserve"> Solutions, Inc.</w:t>
            </w:r>
          </w:p>
          <w:p w:rsidR="00E76B28" w:rsidRPr="004A7707" w:rsidRDefault="00FA006E" w:rsidP="00FA006E">
            <w:pPr>
              <w:rPr>
                <w:rFonts w:eastAsia="Calibri"/>
                <w:szCs w:val="22"/>
              </w:rPr>
            </w:pPr>
            <w:r w:rsidRPr="004A7707">
              <w:rPr>
                <w:rFonts w:eastAsia="Calibri"/>
                <w:szCs w:val="22"/>
              </w:rPr>
              <w:t>Service by CM/ECF</w:t>
            </w:r>
          </w:p>
        </w:tc>
      </w:tr>
    </w:tbl>
    <w:p w:rsidR="007B6B92" w:rsidRPr="004A7707" w:rsidRDefault="007B6B92" w:rsidP="007B6B92">
      <w:pPr>
        <w:spacing w:line="480" w:lineRule="auto"/>
        <w:rPr>
          <w:b/>
        </w:rPr>
      </w:pPr>
    </w:p>
    <w:p w:rsidR="0008704E" w:rsidRPr="004A7707" w:rsidRDefault="0008704E" w:rsidP="00C376E9">
      <w:pPr>
        <w:ind w:left="5040" w:hanging="5040"/>
        <w:jc w:val="center"/>
        <w:rPr>
          <w:szCs w:val="24"/>
          <w:lang w:val="en-CA"/>
        </w:rPr>
      </w:pPr>
    </w:p>
    <w:sectPr w:rsidR="0008704E" w:rsidRPr="004A7707" w:rsidSect="00C1140A">
      <w:footerReference w:type="default" r:id="rId30"/>
      <w:pgSz w:w="12240" w:h="15840"/>
      <w:pgMar w:top="1440" w:right="1440" w:bottom="1440" w:left="1440" w:header="144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E7" w:rsidRDefault="003566E7">
      <w:r>
        <w:separator/>
      </w:r>
    </w:p>
  </w:endnote>
  <w:endnote w:type="continuationSeparator" w:id="0">
    <w:p w:rsidR="003566E7" w:rsidRDefault="00356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8F" w:rsidRDefault="00660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33" w:rsidRDefault="004D7208">
    <w:pPr>
      <w:pStyle w:val="Footer"/>
      <w:jc w:val="center"/>
    </w:pPr>
    <w:fldSimple w:instr=" PAGE   \* MERGEFORMAT ">
      <w:r w:rsidR="00660F8F">
        <w:rPr>
          <w:noProof/>
        </w:rPr>
        <w:t>2</w:t>
      </w:r>
    </w:fldSimple>
  </w:p>
  <w:p w:rsidR="00332C33" w:rsidRDefault="00332C33">
    <w:pPr>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8F" w:rsidRDefault="00660F8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43" w:rsidRDefault="00F34843">
    <w:pPr>
      <w:pStyle w:val="Footer"/>
      <w:jc w:val="center"/>
    </w:pPr>
  </w:p>
  <w:p w:rsidR="00F34843" w:rsidRDefault="00F34843">
    <w:pPr>
      <w:spacing w:line="0" w:lineRule="atLea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33" w:rsidRDefault="004D7208">
    <w:pPr>
      <w:pStyle w:val="Footer"/>
      <w:jc w:val="center"/>
    </w:pPr>
    <w:fldSimple w:instr=" PAGE   \* MERGEFORMAT ">
      <w:r w:rsidR="00660F8F">
        <w:rPr>
          <w:noProof/>
        </w:rPr>
        <w:t>2</w:t>
      </w:r>
    </w:fldSimple>
  </w:p>
  <w:p w:rsidR="00332C33" w:rsidRDefault="00332C33">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E7" w:rsidRPr="000865FF" w:rsidRDefault="003566E7" w:rsidP="000865FF">
      <w:r>
        <w:continuationSeparator/>
      </w:r>
    </w:p>
  </w:footnote>
  <w:footnote w:type="continuationSeparator" w:id="0">
    <w:p w:rsidR="003566E7" w:rsidRDefault="003566E7">
      <w:r>
        <w:continuationSeparator/>
      </w:r>
    </w:p>
    <w:p w:rsidR="003566E7" w:rsidRPr="000865FF" w:rsidRDefault="003566E7">
      <w:pPr>
        <w:rPr>
          <w:i/>
          <w:sz w:val="16"/>
          <w:szCs w:val="16"/>
        </w:rPr>
      </w:pPr>
      <w:proofErr w:type="gramStart"/>
      <w:r w:rsidRPr="000865FF">
        <w:rPr>
          <w:i/>
          <w:sz w:val="16"/>
          <w:szCs w:val="16"/>
        </w:rPr>
        <w:t>continued</w:t>
      </w:r>
      <w:proofErr w:type="gramEnd"/>
      <w:r w:rsidRPr="000865FF">
        <w:rPr>
          <w:i/>
          <w:sz w:val="16"/>
          <w:szCs w:val="16"/>
        </w:rPr>
        <w:t xml:space="preserve"> from last page...</w:t>
      </w:r>
    </w:p>
  </w:footnote>
  <w:footnote w:type="continuationNotice" w:id="1">
    <w:p w:rsidR="003566E7" w:rsidRPr="000865FF" w:rsidRDefault="003566E7" w:rsidP="000865FF">
      <w:pPr>
        <w:jc w:val="right"/>
        <w:rPr>
          <w:i/>
          <w:sz w:val="16"/>
          <w:szCs w:val="16"/>
        </w:rPr>
      </w:pPr>
      <w:proofErr w:type="gramStart"/>
      <w:r w:rsidRPr="000865FF">
        <w:rPr>
          <w:i/>
          <w:sz w:val="16"/>
          <w:szCs w:val="16"/>
        </w:rPr>
        <w:t>continued</w:t>
      </w:r>
      <w:proofErr w:type="gramEnd"/>
      <w:r w:rsidRPr="000865FF">
        <w:rPr>
          <w:i/>
          <w:sz w:val="16"/>
          <w:szCs w:val="16"/>
        </w:rPr>
        <w:t xml:space="preserve"> on next page...</w:t>
      </w:r>
    </w:p>
  </w:footnote>
  <w:footnote w:id="2">
    <w:p w:rsidR="00332C33" w:rsidRPr="000865FF" w:rsidRDefault="00332C33" w:rsidP="000865FF">
      <w:pPr>
        <w:pStyle w:val="FootnoteText"/>
        <w:spacing w:after="0"/>
      </w:pPr>
      <w:r>
        <w:rPr>
          <w:rStyle w:val="FootnoteReference"/>
        </w:rPr>
        <w:footnoteRef/>
      </w:r>
      <w:r>
        <w:t xml:space="preserve"> </w:t>
      </w:r>
      <w:r>
        <w:tab/>
        <w:t xml:space="preserve">28 U.S.C. § 517 permits the </w:t>
      </w:r>
      <w:r w:rsidRPr="00BB330E">
        <w:t xml:space="preserve">Attorney General to </w:t>
      </w:r>
      <w:r>
        <w:t xml:space="preserve">send an officer of the Department of Justice to </w:t>
      </w:r>
      <w:r w:rsidRPr="00BB330E">
        <w:t xml:space="preserve">any district in the United States </w:t>
      </w:r>
      <w:r>
        <w:t>“</w:t>
      </w:r>
      <w:r w:rsidRPr="00BB330E">
        <w:t xml:space="preserve">to attend to </w:t>
      </w:r>
      <w:r w:rsidRPr="000865FF">
        <w:t>the</w:t>
      </w:r>
      <w:r w:rsidRPr="00BB330E">
        <w:t xml:space="preserve"> interests of the United States in a suit pending in a court of the United States</w:t>
      </w:r>
      <w:r>
        <w:t>.”</w:t>
      </w:r>
    </w:p>
  </w:footnote>
  <w:footnote w:id="3">
    <w:p w:rsidR="00332C33" w:rsidRDefault="00332C33">
      <w:pPr>
        <w:pStyle w:val="FootnoteText"/>
      </w:pPr>
      <w:r>
        <w:rPr>
          <w:rStyle w:val="FootnoteReference"/>
        </w:rPr>
        <w:footnoteRef/>
      </w:r>
      <w:r>
        <w:t xml:space="preserve"> </w:t>
      </w:r>
      <w:r>
        <w:tab/>
      </w:r>
      <w:r w:rsidRPr="005A63E5">
        <w:t>The ADA</w:t>
      </w:r>
      <w:r>
        <w:t>’</w:t>
      </w:r>
      <w:r w:rsidRPr="005A63E5">
        <w:t xml:space="preserve">s implementing regulations provide that “a public entity shall administer services, programs, and activities in the most integrated setting appropriate to the needs of qualified individuals with disabilities.”  </w:t>
      </w:r>
      <w:proofErr w:type="gramStart"/>
      <w:r w:rsidRPr="005A63E5">
        <w:t>28 C.F.R. § 35.130(d).</w:t>
      </w:r>
      <w:proofErr w:type="gramEnd"/>
      <w:r w:rsidRPr="005A63E5">
        <w:t xml:space="preserve"> </w:t>
      </w:r>
      <w:r>
        <w:t xml:space="preserve"> With respect to State Medicaid programs, </w:t>
      </w:r>
      <w:r w:rsidR="002351A9">
        <w:t xml:space="preserve">Section 504 of the </w:t>
      </w:r>
      <w:r w:rsidRPr="005A63E5">
        <w:t xml:space="preserve">Rehabilitation Act </w:t>
      </w:r>
      <w:r>
        <w:t>is implemented by</w:t>
      </w:r>
      <w:r w:rsidRPr="005A63E5">
        <w:t xml:space="preserve"> </w:t>
      </w:r>
      <w:r>
        <w:t xml:space="preserve">similar </w:t>
      </w:r>
      <w:r w:rsidRPr="005A63E5">
        <w:t>regulation</w:t>
      </w:r>
      <w:r>
        <w:t>s</w:t>
      </w:r>
      <w:r w:rsidRPr="005A63E5">
        <w:t xml:space="preserve"> issued by the Attorney General</w:t>
      </w:r>
      <w:r>
        <w:t xml:space="preserve"> and the Secretary of the Department of Health and Human Services</w:t>
      </w:r>
      <w:r w:rsidRPr="005A63E5">
        <w:t xml:space="preserve">. </w:t>
      </w:r>
      <w:r>
        <w:t xml:space="preserve"> </w:t>
      </w:r>
      <w:r w:rsidRPr="00FF3AC6">
        <w:rPr>
          <w:i/>
        </w:rPr>
        <w:t>See</w:t>
      </w:r>
      <w:r>
        <w:t xml:space="preserve"> </w:t>
      </w:r>
      <w:r w:rsidRPr="005A63E5">
        <w:t>28 C.F.R. § 41.51(d)</w:t>
      </w:r>
      <w:r>
        <w:t>; 45 C.F.R. § 84.4(b</w:t>
      </w:r>
      <w:proofErr w:type="gramStart"/>
      <w:r>
        <w:t>)(</w:t>
      </w:r>
      <w:proofErr w:type="gramEnd"/>
      <w:r>
        <w:t>2)</w:t>
      </w:r>
      <w:r w:rsidRPr="005A63E5">
        <w:t>.</w:t>
      </w:r>
      <w:r w:rsidRPr="00007E75">
        <w:t xml:space="preserve"> </w:t>
      </w:r>
      <w:r>
        <w:t xml:space="preserve"> </w:t>
      </w:r>
      <w:r w:rsidRPr="00F1758A">
        <w:t>In all ways relevant to this discussion, the ADA and Section 504</w:t>
      </w:r>
      <w:r w:rsidR="002351A9">
        <w:t xml:space="preserve"> </w:t>
      </w:r>
      <w:r>
        <w:t xml:space="preserve">are </w:t>
      </w:r>
      <w:r w:rsidRPr="00F1758A">
        <w:t xml:space="preserve">generally construed to </w:t>
      </w:r>
      <w:r>
        <w:t>i</w:t>
      </w:r>
      <w:r w:rsidRPr="00F1758A">
        <w:t xml:space="preserve">mpose similar requirements.  </w:t>
      </w:r>
      <w:proofErr w:type="gramStart"/>
      <w:r w:rsidRPr="002B6310">
        <w:rPr>
          <w:i/>
        </w:rPr>
        <w:t>See</w:t>
      </w:r>
      <w:r w:rsidRPr="002B6310">
        <w:t xml:space="preserve"> </w:t>
      </w:r>
      <w:r w:rsidRPr="002B6310">
        <w:rPr>
          <w:i/>
        </w:rPr>
        <w:t>Allmond v. Akal Sec., Inc</w:t>
      </w:r>
      <w:r w:rsidRPr="002B6310">
        <w:t>., 558 F.3d 1312</w:t>
      </w:r>
      <w:r>
        <w:t>, 1316, n.3</w:t>
      </w:r>
      <w:r w:rsidRPr="002B6310">
        <w:t xml:space="preserve"> (11th Cir. 2009); </w:t>
      </w:r>
      <w:r w:rsidRPr="002B6310">
        <w:rPr>
          <w:i/>
          <w:iCs/>
        </w:rPr>
        <w:t>Cash v. Smith</w:t>
      </w:r>
      <w:r w:rsidRPr="002B6310">
        <w:t>, 231 F.3d 1301, 1305</w:t>
      </w:r>
      <w:r>
        <w:t xml:space="preserve"> </w:t>
      </w:r>
      <w:r w:rsidRPr="002B6310">
        <w:t>(11th Cir</w:t>
      </w:r>
      <w:r>
        <w:t>.</w:t>
      </w:r>
      <w:r w:rsidRPr="002B6310">
        <w:t xml:space="preserve"> 2000).</w:t>
      </w:r>
      <w:proofErr w:type="gramEnd"/>
    </w:p>
  </w:footnote>
  <w:footnote w:id="4">
    <w:p w:rsidR="001E3FEA" w:rsidRDefault="001E3FEA">
      <w:pPr>
        <w:pStyle w:val="FootnoteText"/>
      </w:pPr>
      <w:r>
        <w:rPr>
          <w:rStyle w:val="FootnoteReference"/>
        </w:rPr>
        <w:footnoteRef/>
      </w:r>
      <w:r>
        <w:t xml:space="preserve"> </w:t>
      </w:r>
      <w:r>
        <w:tab/>
        <w:t>The United States was notified by Plaintiffs’ counsel on April 6, 2013 that Plaintiff T.F. had passed away.</w:t>
      </w:r>
    </w:p>
  </w:footnote>
  <w:footnote w:id="5">
    <w:p w:rsidR="008771A8" w:rsidRDefault="008771A8" w:rsidP="008771A8">
      <w:pPr>
        <w:pStyle w:val="FootnoteText"/>
        <w:spacing w:after="0"/>
      </w:pPr>
      <w:r>
        <w:rPr>
          <w:rStyle w:val="FootnoteReference"/>
        </w:rPr>
        <w:footnoteRef/>
      </w:r>
      <w:r>
        <w:t xml:space="preserve"> </w:t>
      </w:r>
      <w:r>
        <w:tab/>
        <w:t xml:space="preserve">A “medically fragile child” is one who is “medically complex and whose medical condition is of such a nature that he is technologically dependent, requiring medical apparatus or procedures to sustain life, </w:t>
      </w:r>
      <w:r>
        <w:rPr>
          <w:i/>
        </w:rPr>
        <w:t>e.g.</w:t>
      </w:r>
      <w:r>
        <w:t xml:space="preserve">, requires total parenteral nutrition, is ventilator dependent, or is dependent on a heightened level of medical supervision to sustain life, and without such services is likely to expire without warning.”  Fla. Admin. </w:t>
      </w:r>
      <w:proofErr w:type="gramStart"/>
      <w:r>
        <w:t>Code.</w:t>
      </w:r>
      <w:proofErr w:type="gramEnd"/>
      <w:r>
        <w:t xml:space="preserve"> </w:t>
      </w:r>
      <w:proofErr w:type="gramStart"/>
      <w:r w:rsidR="00A9629D">
        <w:t>R</w:t>
      </w:r>
      <w:r>
        <w:t>. 59G-1.010(165)</w:t>
      </w:r>
      <w:r w:rsidR="00A9629D">
        <w:t xml:space="preserve"> (2012)</w:t>
      </w:r>
      <w:r>
        <w:t>.</w:t>
      </w:r>
      <w:proofErr w:type="gramEnd"/>
    </w:p>
  </w:footnote>
  <w:footnote w:id="6">
    <w:p w:rsidR="002B7F0F" w:rsidRDefault="002B7F0F" w:rsidP="009565B7">
      <w:pPr>
        <w:pStyle w:val="FootnoteText"/>
        <w:spacing w:after="0"/>
      </w:pPr>
      <w:r>
        <w:rPr>
          <w:rStyle w:val="FootnoteReference"/>
        </w:rPr>
        <w:footnoteRef/>
      </w:r>
      <w:r>
        <w:t xml:space="preserve"> </w:t>
      </w:r>
      <w:r>
        <w:tab/>
        <w:t>While the State is proposing this clarification to its Home Health Services Handbook, it is not proposing a corresponding change to its administrative code</w:t>
      </w:r>
      <w:r w:rsidR="002351A9">
        <w:t xml:space="preserve"> provision regarding medical necessity</w:t>
      </w:r>
      <w:r>
        <w:t xml:space="preserve">, which still indicates that parents and guardians are expected to provide these nursing services to their children.  </w:t>
      </w:r>
      <w:r w:rsidRPr="002B7F0F">
        <w:rPr>
          <w:i/>
        </w:rPr>
        <w:t>See</w:t>
      </w:r>
      <w:r>
        <w:t xml:space="preserve"> </w:t>
      </w:r>
      <w:r w:rsidR="002351A9">
        <w:t xml:space="preserve">Fla. Admin Code </w:t>
      </w:r>
      <w:r w:rsidR="00A9629D">
        <w:t xml:space="preserve">R. </w:t>
      </w:r>
      <w:r w:rsidR="002351A9">
        <w:t>59G-1.010(166)</w:t>
      </w:r>
      <w:r>
        <w:t xml:space="preserve"> (defining “medical necessity” to suggest that services are not necessary if they can be provided by parents and guardians).</w:t>
      </w:r>
    </w:p>
  </w:footnote>
  <w:footnote w:id="7">
    <w:p w:rsidR="00332C33" w:rsidRDefault="00332C33" w:rsidP="0057354F">
      <w:pPr>
        <w:pStyle w:val="FootnoteText"/>
      </w:pPr>
      <w:r>
        <w:rPr>
          <w:rStyle w:val="FootnoteReference"/>
        </w:rPr>
        <w:footnoteRef/>
      </w:r>
      <w:r>
        <w:t xml:space="preserve"> </w:t>
      </w:r>
      <w:r>
        <w:tab/>
        <w:t xml:space="preserve">Notably, AHCA announced this new set of policy changes via press release on the morning of February 11, 2013, the same day of State Defendants’ original response deadline and hours before the Court granted Defendants’ requested extension of time to respond to Plaintiffs’ class certification motion.  </w:t>
      </w:r>
      <w:r w:rsidRPr="00450471">
        <w:rPr>
          <w:i/>
        </w:rPr>
        <w:t>See</w:t>
      </w:r>
      <w:r w:rsidR="00CE6E75">
        <w:rPr>
          <w:i/>
        </w:rPr>
        <w:t xml:space="preserve"> </w:t>
      </w:r>
      <w:r w:rsidR="00CE6E75">
        <w:t xml:space="preserve">AHCA, Memo to the Media (Feb. 11, 2013), </w:t>
      </w:r>
      <w:r w:rsidR="00CE6E75" w:rsidRPr="001E3FEA">
        <w:t>available</w:t>
      </w:r>
      <w:r w:rsidR="00CE6E75">
        <w:t xml:space="preserve">: </w:t>
      </w:r>
      <w:hyperlink r:id="rId1" w:history="1">
        <w:r w:rsidR="0057354F">
          <w:rPr>
            <w:rStyle w:val="Hyperlink"/>
          </w:rPr>
          <w:t>http://ahca.myflorida.com/ Executive/Communications/Press_Releases/archive/docs/2013/memo_to_the_media_handbook_revisions_FINAL.pdf</w:t>
        </w:r>
      </w:hyperlink>
      <w:r w:rsidR="0057354F">
        <w:rPr>
          <w:color w:val="1F497D"/>
        </w:rPr>
        <w:t xml:space="preserve">; </w:t>
      </w:r>
      <w:r>
        <w:t xml:space="preserve">Order (ECF No. 110).  An alert was sent to providers regarding the parental responsibility and PPEC policy changes on February 4, 2013, one week before the original briefing deadline.  </w:t>
      </w:r>
      <w:r w:rsidRPr="00450471">
        <w:rPr>
          <w:i/>
        </w:rPr>
        <w:t>See</w:t>
      </w:r>
      <w:r w:rsidR="00CE6E75">
        <w:t xml:space="preserve"> AHCA, Clarification of Parental Responsibility for Home Health Services (Feb. 4, 2013), </w:t>
      </w:r>
      <w:r w:rsidR="00CE6E75" w:rsidRPr="001E3FEA">
        <w:t>available</w:t>
      </w:r>
      <w:r w:rsidR="00CE6E75">
        <w:t>:</w:t>
      </w:r>
      <w:r>
        <w:t xml:space="preserve"> </w:t>
      </w:r>
      <w:hyperlink r:id="rId2" w:history="1">
        <w:r w:rsidR="0057354F">
          <w:rPr>
            <w:rStyle w:val="Hyperlink"/>
          </w:rPr>
          <w:t>http://portal.flmmis.com/FLPublic/ Provider_ProviderSupport/Provider_ProviderSupport_ProviderAlerts/tabId/43/Default.aspx</w:t>
        </w:r>
      </w:hyperlink>
      <w:r w:rsidR="00212C74">
        <w:t>; (</w:t>
      </w:r>
      <w:r w:rsidR="00212C74" w:rsidRPr="00212C74">
        <w:rPr>
          <w:i/>
        </w:rPr>
        <w:t>see also</w:t>
      </w:r>
      <w:r w:rsidR="00212C74">
        <w:t xml:space="preserve"> ECF No. 118-6).</w:t>
      </w:r>
    </w:p>
  </w:footnote>
  <w:footnote w:id="8">
    <w:p w:rsidR="00332C33" w:rsidRDefault="00332C33">
      <w:pPr>
        <w:pStyle w:val="FootnoteText"/>
      </w:pPr>
      <w:r>
        <w:rPr>
          <w:rStyle w:val="FootnoteReference"/>
        </w:rPr>
        <w:footnoteRef/>
      </w:r>
      <w:r>
        <w:t xml:space="preserve"> </w:t>
      </w:r>
      <w:r>
        <w:tab/>
        <w:t xml:space="preserve">Whether Defendants will </w:t>
      </w:r>
      <w:r w:rsidRPr="008A0301">
        <w:t>actually be</w:t>
      </w:r>
      <w:r w:rsidRPr="00450471">
        <w:rPr>
          <w:i/>
        </w:rPr>
        <w:t xml:space="preserve"> </w:t>
      </w:r>
      <w:r w:rsidRPr="00240222">
        <w:t>able</w:t>
      </w:r>
      <w:r w:rsidRPr="00450471">
        <w:rPr>
          <w:i/>
        </w:rPr>
        <w:t xml:space="preserve"> </w:t>
      </w:r>
      <w:r w:rsidRPr="008A0301">
        <w:t>to</w:t>
      </w:r>
      <w:r>
        <w:rPr>
          <w:i/>
        </w:rPr>
        <w:t xml:space="preserve"> </w:t>
      </w:r>
      <w:r w:rsidRPr="00450471">
        <w:t>effectively</w:t>
      </w:r>
      <w:r>
        <w:t xml:space="preserve"> implement these policies is also questionable.  The rule changes themselves may be subject to administrative challenge, or oversight and potential reversal by the Florida Joint Administrative Procedures Committee.  </w:t>
      </w:r>
      <w:r w:rsidRPr="00450471">
        <w:rPr>
          <w:i/>
        </w:rPr>
        <w:t>See generally</w:t>
      </w:r>
      <w:r>
        <w:t xml:space="preserve"> Fla. Stat. Ann. § 120.536 (describing rulemaking authority of Florida agencies and oversight by Administrative Procedures Committee); Joint Administrative Procedures Committee Website, available: </w:t>
      </w:r>
      <w:hyperlink r:id="rId3" w:history="1">
        <w:r w:rsidRPr="00025955">
          <w:rPr>
            <w:rStyle w:val="Hyperlink"/>
          </w:rPr>
          <w:t>http://www.japc.state.fl.us/</w:t>
        </w:r>
      </w:hyperlink>
      <w:r>
        <w:t xml:space="preserve">.  </w:t>
      </w:r>
      <w:r w:rsidR="00B459DF">
        <w:t xml:space="preserve">Indeed, one of the proposed rules has already been administratively challenged.  </w:t>
      </w:r>
      <w:r w:rsidR="00B459DF" w:rsidRPr="00B459DF">
        <w:rPr>
          <w:i/>
        </w:rPr>
        <w:t>See Fla. Children’s First v. AHCA</w:t>
      </w:r>
      <w:r w:rsidR="00B459DF">
        <w:t xml:space="preserve">, Case No. 13-001189RP (Fla. Div. of Admin. </w:t>
      </w:r>
      <w:proofErr w:type="spellStart"/>
      <w:r w:rsidR="00B459DF">
        <w:t>Hr’gs</w:t>
      </w:r>
      <w:proofErr w:type="spellEnd"/>
      <w:r w:rsidR="00B459DF">
        <w:t xml:space="preserve"> Apr. 1, 2013); </w:t>
      </w:r>
      <w:r w:rsidR="00B459DF" w:rsidRPr="00B459DF">
        <w:rPr>
          <w:i/>
        </w:rPr>
        <w:t>see also</w:t>
      </w:r>
      <w:r w:rsidR="00B459DF">
        <w:t xml:space="preserve"> </w:t>
      </w:r>
      <w:hyperlink r:id="rId4" w:history="1">
        <w:r w:rsidR="00B459DF" w:rsidRPr="00F304CA">
          <w:rPr>
            <w:rStyle w:val="Hyperlink"/>
          </w:rPr>
          <w:t>http://www.japc.state.fl.us/results_detail.cfm?cn=R153291&amp;ruleNo=59G-4.260</w:t>
        </w:r>
      </w:hyperlink>
      <w:r w:rsidR="00B459DF">
        <w:t xml:space="preserve">. </w:t>
      </w:r>
    </w:p>
  </w:footnote>
  <w:footnote w:id="9">
    <w:p w:rsidR="00332C33" w:rsidRPr="0057354F" w:rsidRDefault="00332C33" w:rsidP="0057354F">
      <w:pPr>
        <w:spacing w:after="240"/>
        <w:ind w:left="720" w:right="-180" w:hanging="720"/>
        <w:rPr>
          <w:color w:val="1F497D"/>
        </w:rPr>
      </w:pPr>
      <w:r>
        <w:rPr>
          <w:rStyle w:val="FootnoteReference"/>
        </w:rPr>
        <w:footnoteRef/>
      </w:r>
      <w:r>
        <w:t xml:space="preserve"> </w:t>
      </w:r>
      <w:r>
        <w:tab/>
        <w:t>(</w:t>
      </w:r>
      <w:r>
        <w:rPr>
          <w:i/>
        </w:rPr>
        <w:t>See</w:t>
      </w:r>
      <w:r>
        <w:t xml:space="preserve"> ECF Nos. 118-2 to 118-9</w:t>
      </w:r>
      <w:r w:rsidR="00212C74">
        <w:t>)</w:t>
      </w:r>
      <w:r>
        <w:t xml:space="preserve">; </w:t>
      </w:r>
      <w:r w:rsidR="00212C74">
        <w:t xml:space="preserve">AHCA, Feb. 11 Memo to the Media, </w:t>
      </w:r>
      <w:r w:rsidR="00212C74" w:rsidRPr="001E3FEA">
        <w:t>available</w:t>
      </w:r>
      <w:r w:rsidR="00212C74">
        <w:t xml:space="preserve">: </w:t>
      </w:r>
      <w:hyperlink r:id="rId5" w:history="1">
        <w:r w:rsidR="0057354F">
          <w:rPr>
            <w:rStyle w:val="Hyperlink"/>
          </w:rPr>
          <w:t>http://ahca.myflorida.com/Executive/Communications/ Press_Releases/archive/docs/2013/memo_to_the_media_handbook_revisions_FINAL.pdf</w:t>
        </w:r>
      </w:hyperlink>
      <w:r>
        <w:t xml:space="preserve">. </w:t>
      </w:r>
    </w:p>
  </w:footnote>
  <w:footnote w:id="10">
    <w:p w:rsidR="00332C33" w:rsidRDefault="00332C33" w:rsidP="009F7C0A">
      <w:pPr>
        <w:pStyle w:val="FootnoteText"/>
      </w:pPr>
      <w:r>
        <w:rPr>
          <w:rStyle w:val="FootnoteReference"/>
        </w:rPr>
        <w:footnoteRef/>
      </w:r>
      <w:r>
        <w:t xml:space="preserve"> </w:t>
      </w:r>
      <w:r>
        <w:tab/>
      </w:r>
      <w:r w:rsidRPr="00450471">
        <w:rPr>
          <w:i/>
        </w:rPr>
        <w:t>See</w:t>
      </w:r>
      <w:r>
        <w:t xml:space="preserve"> House Bill No. 5001, 2010 General Appropriations Act, § 3-207</w:t>
      </w:r>
      <w:r w:rsidR="00A9629D">
        <w:t xml:space="preserve">, available: </w:t>
      </w:r>
      <w:hyperlink r:id="rId6" w:history="1">
        <w:r w:rsidRPr="00025955">
          <w:rPr>
            <w:rStyle w:val="Hyperlink"/>
          </w:rPr>
          <w:t>http://www.myfloridahouse.gov/Sections/Documents/loaddoc.aspx?FileName=HB_5001_Enrolled.pdf&amp;DocumentType=Bill&amp;BillNumber=5001&amp;Session=2010</w:t>
        </w:r>
      </w:hyperlink>
      <w:r>
        <w:t xml:space="preserve">).  </w:t>
      </w:r>
    </w:p>
  </w:footnote>
  <w:footnote w:id="11">
    <w:p w:rsidR="00332C33" w:rsidRDefault="00332C33" w:rsidP="000865FF">
      <w:pPr>
        <w:pStyle w:val="FootnoteText"/>
      </w:pPr>
      <w:r>
        <w:rPr>
          <w:rStyle w:val="FootnoteReference"/>
        </w:rPr>
        <w:footnoteRef/>
      </w:r>
      <w:r>
        <w:t xml:space="preserve"> </w:t>
      </w:r>
      <w:r>
        <w:tab/>
        <w:t xml:space="preserve">By contrast, the 2009 General Appropriations Act directed AHCA to “encourage” beneficiaries to attend PPEC services. </w:t>
      </w:r>
      <w:r w:rsidRPr="000807A5">
        <w:rPr>
          <w:i/>
        </w:rPr>
        <w:t>See</w:t>
      </w:r>
      <w:r>
        <w:t xml:space="preserve"> </w:t>
      </w:r>
      <w:r w:rsidR="00D939B7">
        <w:t>Senate Bill</w:t>
      </w:r>
      <w:r>
        <w:t xml:space="preserve"> No. </w:t>
      </w:r>
      <w:r w:rsidR="00D939B7">
        <w:t>2600</w:t>
      </w:r>
      <w:r>
        <w:t>, 200</w:t>
      </w:r>
      <w:r w:rsidR="00212C74">
        <w:t>9</w:t>
      </w:r>
      <w:r>
        <w:t xml:space="preserve"> General Appropriations Act, § 3-20</w:t>
      </w:r>
      <w:r w:rsidR="00D939B7">
        <w:t>0</w:t>
      </w:r>
      <w:r>
        <w:t xml:space="preserve">, available: </w:t>
      </w:r>
      <w:hyperlink r:id="rId7" w:history="1">
        <w:r w:rsidR="00D939B7" w:rsidRPr="00F304CA">
          <w:rPr>
            <w:rStyle w:val="Hyperlink"/>
          </w:rPr>
          <w:t>http://www.myfloridahouse.gov/Sections/Documents/loaddoc.aspx?FileName=_s2600er.docx&amp;DocumentType=Bill&amp;BillNumber=2600&amp;Session=2009</w:t>
        </w:r>
      </w:hyperlink>
      <w:r>
        <w:t>.</w:t>
      </w:r>
      <w:r w:rsidR="00D939B7">
        <w:t xml:space="preserve"> </w:t>
      </w:r>
    </w:p>
  </w:footnote>
  <w:footnote w:id="12">
    <w:p w:rsidR="00332C33" w:rsidRDefault="00332C33" w:rsidP="000865FF">
      <w:pPr>
        <w:pStyle w:val="FootnoteText"/>
      </w:pPr>
      <w:r>
        <w:rPr>
          <w:rStyle w:val="FootnoteReference"/>
        </w:rPr>
        <w:footnoteRef/>
      </w:r>
      <w:r>
        <w:t xml:space="preserve"> </w:t>
      </w:r>
      <w:r>
        <w:tab/>
      </w:r>
      <w:r w:rsidRPr="00450471">
        <w:rPr>
          <w:i/>
        </w:rPr>
        <w:t xml:space="preserve">See </w:t>
      </w:r>
      <w:r w:rsidR="00212C74">
        <w:t xml:space="preserve">House Bill No. 5001, 2010 General Appropriations Act, </w:t>
      </w:r>
      <w:r>
        <w:t xml:space="preserve">§ 3-201.    </w:t>
      </w:r>
    </w:p>
  </w:footnote>
  <w:footnote w:id="13">
    <w:p w:rsidR="00332C33" w:rsidRDefault="00332C33" w:rsidP="000865FF">
      <w:pPr>
        <w:pStyle w:val="FootnoteText"/>
      </w:pPr>
      <w:r>
        <w:rPr>
          <w:rStyle w:val="FootnoteReference"/>
        </w:rPr>
        <w:footnoteRef/>
      </w:r>
      <w:r>
        <w:t xml:space="preserve"> </w:t>
      </w:r>
      <w:r>
        <w:tab/>
      </w:r>
      <w:r w:rsidRPr="00450471">
        <w:rPr>
          <w:i/>
        </w:rPr>
        <w:t xml:space="preserve">See </w:t>
      </w:r>
      <w:r>
        <w:t xml:space="preserve">AHCA, Notice of Change/Withdrawal, Fla. Admin. </w:t>
      </w:r>
      <w:proofErr w:type="gramStart"/>
      <w:r>
        <w:t xml:space="preserve">Weekly, Vol. 37, No. 50 (Dec. 16, 2011) </w:t>
      </w:r>
      <w:hyperlink r:id="rId8" w:history="1">
        <w:r w:rsidRPr="00025955">
          <w:rPr>
            <w:rStyle w:val="Hyperlink"/>
          </w:rPr>
          <w:t>https://www.flrules.org/gateway/notice_Files.asp?ID=10774098</w:t>
        </w:r>
      </w:hyperlink>
      <w:r>
        <w:t xml:space="preserve"> (adding limitations to private duty nursing services and requiring enrollment in PPEC).</w:t>
      </w:r>
      <w:proofErr w:type="gramEnd"/>
    </w:p>
  </w:footnote>
  <w:footnote w:id="14">
    <w:p w:rsidR="00332C33" w:rsidRDefault="00332C33" w:rsidP="009565B7">
      <w:pPr>
        <w:pStyle w:val="FootnoteText"/>
        <w:spacing w:after="0"/>
      </w:pPr>
      <w:r>
        <w:rPr>
          <w:rStyle w:val="FootnoteReference"/>
        </w:rPr>
        <w:footnoteRef/>
      </w:r>
      <w:r>
        <w:t xml:space="preserve"> </w:t>
      </w:r>
      <w:r>
        <w:tab/>
        <w:t xml:space="preserve">The Policy Changes are </w:t>
      </w:r>
      <w:r w:rsidR="00FC289A">
        <w:t>not</w:t>
      </w:r>
      <w:r>
        <w:t xml:space="preserve"> unam</w:t>
      </w:r>
      <w:r w:rsidR="0081303F">
        <w:t>biguous.  Defendants’ websites,</w:t>
      </w:r>
      <w:r>
        <w:t xml:space="preserve"> including training materials, presentations, and other guidance available to providers</w:t>
      </w:r>
      <w:r w:rsidR="0081303F">
        <w:t>,</w:t>
      </w:r>
      <w:r>
        <w:t xml:space="preserve"> reflect conflicting guidance as to the policies Defendants purportedly intend to change.  </w:t>
      </w:r>
      <w:r w:rsidRPr="00450471">
        <w:rPr>
          <w:i/>
        </w:rPr>
        <w:t>See</w:t>
      </w:r>
      <w:r>
        <w:rPr>
          <w:i/>
        </w:rPr>
        <w:t>, e.g.,</w:t>
      </w:r>
      <w:r>
        <w:t xml:space="preserve"> AHCA, Home Health Handbook Presentation, at 16, available: </w:t>
      </w:r>
      <w:hyperlink r:id="rId9" w:history="1">
        <w:r w:rsidR="0081303F">
          <w:rPr>
            <w:rStyle w:val="Hyperlink"/>
          </w:rPr>
          <w:t>http://ahca.myflorida.com/ Medicaid/e-library/docs/Home_Health_Handbook_Presentation.pdf</w:t>
        </w:r>
      </w:hyperlink>
      <w:r>
        <w:t xml:space="preserve"> (</w:t>
      </w:r>
      <w:r w:rsidRPr="00B80BE1">
        <w:t xml:space="preserve">still requiring parent work and/or school schedule and parental medical limitations for </w:t>
      </w:r>
      <w:r w:rsidR="0081303F">
        <w:t xml:space="preserve">eligibility for </w:t>
      </w:r>
      <w:r w:rsidRPr="00B80BE1">
        <w:t>private duty nursing); EQ Health, Inc., Home Health Services Provider Manual, at 33</w:t>
      </w:r>
      <w:r w:rsidR="0081303F">
        <w:t>, available:</w:t>
      </w:r>
      <w:r w:rsidRPr="00B80BE1">
        <w:t xml:space="preserve"> </w:t>
      </w:r>
      <w:hyperlink r:id="rId10" w:history="1">
        <w:r w:rsidR="0081303F">
          <w:rPr>
            <w:rStyle w:val="Hyperlink"/>
          </w:rPr>
          <w:t>http://fl.eqhs.org/LinkClick.aspx?fileticket=HgfuC8DE1VY%3d&amp;tabid=263&amp;mid=784</w:t>
        </w:r>
      </w:hyperlink>
      <w:r w:rsidRPr="00450471">
        <w:t xml:space="preserve"> (“When PDN services are determined to be medically necessary, the nurse reviewer also will determine whether the child’s needs can be met safely and appropriately through a PPEC center instead of through private duty nursing services.</w:t>
      </w:r>
      <w:r w:rsidR="0081303F">
        <w:t xml:space="preserve"> </w:t>
      </w:r>
      <w:r w:rsidRPr="00450471">
        <w:t xml:space="preserve"> </w:t>
      </w:r>
      <w:proofErr w:type="gramStart"/>
      <w:r w:rsidRPr="00450471">
        <w:t>If so, the nurse will work with the caregiver and the providers to facilitate the child’s transition from PDN services to PPEC services.”)</w:t>
      </w:r>
      <w:r>
        <w:t>.</w:t>
      </w:r>
      <w:proofErr w:type="gramEnd"/>
    </w:p>
  </w:footnote>
  <w:footnote w:id="15">
    <w:p w:rsidR="00332C33" w:rsidRDefault="00332C33" w:rsidP="009565B7">
      <w:pPr>
        <w:pStyle w:val="FootnoteText"/>
        <w:spacing w:after="0"/>
      </w:pPr>
      <w:r>
        <w:rPr>
          <w:rStyle w:val="FootnoteReference"/>
        </w:rPr>
        <w:footnoteRef/>
      </w:r>
      <w:r>
        <w:t xml:space="preserve"> </w:t>
      </w:r>
      <w:r>
        <w:tab/>
        <w:t xml:space="preserve">Plaintiff L.J., who resided in a nursing facility from 1997 until 2013 while in the custody of the State, </w:t>
      </w:r>
      <w:r w:rsidR="00B0133C">
        <w:t xml:space="preserve">was moved after </w:t>
      </w:r>
      <w:r w:rsidR="006D15C6">
        <w:t>this litigation commenced</w:t>
      </w:r>
      <w:r w:rsidR="00B0133C">
        <w:t xml:space="preserve"> and </w:t>
      </w:r>
      <w:r>
        <w:t xml:space="preserve">now </w:t>
      </w:r>
      <w:r w:rsidR="006D15C6">
        <w:t xml:space="preserve">lives </w:t>
      </w:r>
      <w:r>
        <w:t xml:space="preserve">in the community with a family who is seeking to adopt him.  </w:t>
      </w:r>
      <w:proofErr w:type="gramStart"/>
      <w:r w:rsidRPr="00EF2421">
        <w:rPr>
          <w:i/>
        </w:rPr>
        <w:t>See</w:t>
      </w:r>
      <w:r>
        <w:t xml:space="preserve"> Defs.’</w:t>
      </w:r>
      <w:proofErr w:type="gramEnd"/>
      <w:r>
        <w:t xml:space="preserve"> </w:t>
      </w:r>
      <w:proofErr w:type="gramStart"/>
      <w:r>
        <w:t>Mot.</w:t>
      </w:r>
      <w:proofErr w:type="gramEnd"/>
      <w:r>
        <w:t xml:space="preserve"> </w:t>
      </w:r>
      <w:proofErr w:type="gramStart"/>
      <w:r>
        <w:t>at</w:t>
      </w:r>
      <w:proofErr w:type="gramEnd"/>
      <w:r>
        <w:t xml:space="preserve"> 13.  Although L.J. has moved to a community-based setting, he remains entitled to </w:t>
      </w:r>
      <w:r w:rsidR="005C3399">
        <w:t xml:space="preserve">receive </w:t>
      </w:r>
      <w:r>
        <w:t xml:space="preserve">medically necessary services through Defendants’ Medicaid program. </w:t>
      </w:r>
    </w:p>
  </w:footnote>
  <w:footnote w:id="16">
    <w:p w:rsidR="00E364C8" w:rsidRPr="00C9385A" w:rsidRDefault="00E364C8" w:rsidP="00E364C8">
      <w:pPr>
        <w:pStyle w:val="FootnoteText"/>
      </w:pPr>
      <w:r>
        <w:rPr>
          <w:rStyle w:val="FootnoteReference"/>
        </w:rPr>
        <w:footnoteRef/>
      </w:r>
      <w:r>
        <w:t xml:space="preserve"> </w:t>
      </w:r>
      <w:r>
        <w:tab/>
      </w:r>
      <w:r w:rsidR="00964B3D">
        <w:t>O</w:t>
      </w:r>
      <w:r>
        <w:t xml:space="preserve">ther courts have likewise continued to certify classes of plaintiffs in cases brought under civil rights laws, including Title II of the ADA.  </w:t>
      </w:r>
      <w:r>
        <w:rPr>
          <w:i/>
        </w:rPr>
        <w:t>See, e.g</w:t>
      </w:r>
      <w:r w:rsidR="005D12A9">
        <w:rPr>
          <w:i/>
        </w:rPr>
        <w:t>.</w:t>
      </w:r>
      <w:r w:rsidR="005D12A9" w:rsidRPr="005D12A9">
        <w:t>,</w:t>
      </w:r>
      <w:r w:rsidR="005D12A9">
        <w:t xml:space="preserve"> </w:t>
      </w:r>
      <w:r w:rsidRPr="009C021C">
        <w:rPr>
          <w:i/>
          <w:iCs/>
        </w:rPr>
        <w:t>Connor B.</w:t>
      </w:r>
      <w:r w:rsidRPr="009C021C">
        <w:t xml:space="preserve"> </w:t>
      </w:r>
      <w:r w:rsidRPr="009C021C">
        <w:rPr>
          <w:i/>
          <w:iCs/>
        </w:rPr>
        <w:t>v. Patrick</w:t>
      </w:r>
      <w:r w:rsidRPr="009C021C">
        <w:t>, 278 F.R.D. 30, 33 (D. Mass</w:t>
      </w:r>
      <w:r>
        <w:t>.</w:t>
      </w:r>
      <w:r w:rsidRPr="009C021C">
        <w:t xml:space="preserve"> 201</w:t>
      </w:r>
      <w:r w:rsidR="00964B3D">
        <w:t>1</w:t>
      </w:r>
      <w:r w:rsidRPr="009C021C">
        <w:t>)</w:t>
      </w:r>
      <w:r>
        <w:t xml:space="preserve"> (denying defendants’ motion to decertify class of foster children alleging harm due to systemic deficiencies in foster care system)</w:t>
      </w:r>
      <w:r w:rsidRPr="009C021C">
        <w:t xml:space="preserve">; </w:t>
      </w:r>
      <w:r w:rsidRPr="009C021C">
        <w:rPr>
          <w:i/>
          <w:iCs/>
        </w:rPr>
        <w:t>D.L. v. District of Columbia,</w:t>
      </w:r>
      <w:r w:rsidRPr="009C021C">
        <w:t xml:space="preserve"> 277 F.R.D. 38, 45-</w:t>
      </w:r>
      <w:r>
        <w:t>4</w:t>
      </w:r>
      <w:r w:rsidRPr="009C021C">
        <w:t>6 (D.D.C. 2011)</w:t>
      </w:r>
      <w:r>
        <w:t xml:space="preserve"> (denying defendants’ motion to decertify class of children alleging denial of free appropriate public educations under the Individuals </w:t>
      </w:r>
      <w:r w:rsidR="005D12A9">
        <w:t>with Disabilities Education Act;</w:t>
      </w:r>
      <w:r w:rsidR="005D12A9">
        <w:rPr>
          <w:i/>
        </w:rPr>
        <w:t xml:space="preserve"> </w:t>
      </w:r>
      <w:proofErr w:type="spellStart"/>
      <w:r w:rsidR="005D12A9">
        <w:rPr>
          <w:i/>
        </w:rPr>
        <w:t>Oster</w:t>
      </w:r>
      <w:proofErr w:type="spellEnd"/>
      <w:r w:rsidR="005D12A9">
        <w:rPr>
          <w:i/>
        </w:rPr>
        <w:t xml:space="preserve"> v. </w:t>
      </w:r>
      <w:proofErr w:type="spellStart"/>
      <w:r w:rsidR="005D12A9">
        <w:rPr>
          <w:i/>
        </w:rPr>
        <w:t>Lightbourne</w:t>
      </w:r>
      <w:proofErr w:type="spellEnd"/>
      <w:r w:rsidR="005D12A9" w:rsidRPr="005D12A9">
        <w:t>,</w:t>
      </w:r>
      <w:r w:rsidR="005D12A9">
        <w:t xml:space="preserve"> No. 09-4668 CW, 2012 WL 685808, at *6 (N.D. Cal. Mar. 2, 2012) (certifying class of individuals with disabilities whose in-home support services would be reduced pursuant to recently enacted state policies)</w:t>
      </w:r>
      <w:r>
        <w:t>.</w:t>
      </w:r>
    </w:p>
  </w:footnote>
  <w:footnote w:id="17">
    <w:p w:rsidR="00332C33" w:rsidRDefault="00332C33" w:rsidP="00B65943">
      <w:pPr>
        <w:pStyle w:val="FootnoteText"/>
        <w:spacing w:after="0"/>
      </w:pPr>
      <w:r>
        <w:rPr>
          <w:rStyle w:val="FootnoteReference"/>
        </w:rPr>
        <w:footnoteRef/>
      </w:r>
      <w:r>
        <w:t xml:space="preserve"> </w:t>
      </w:r>
      <w:r>
        <w:tab/>
        <w:t xml:space="preserve">For many of the same reasons, numerous courts, including this one, have similarly certified classes seeking relief on behalf of child Medicaid recipients who have been denied medically necessary services to which they are entitled under the Medicaid Act’s EPSDT requirements.  </w:t>
      </w:r>
      <w:r w:rsidRPr="005F01D6">
        <w:rPr>
          <w:i/>
        </w:rPr>
        <w:t>See, e.g.,</w:t>
      </w:r>
      <w:r>
        <w:rPr>
          <w:i/>
        </w:rPr>
        <w:t xml:space="preserve"> Fla. Pediatric Soc’y v. Secretary of Fla. Agency for Health Care Admin.</w:t>
      </w:r>
      <w:r w:rsidRPr="00905409">
        <w:t>, No. 05-23037, ECF No. 671 (S.D. Fla. Sep. 30, 2009);</w:t>
      </w:r>
      <w:r>
        <w:t xml:space="preserve"> </w:t>
      </w:r>
      <w:r w:rsidRPr="00774D0E">
        <w:rPr>
          <w:rStyle w:val="Strong"/>
          <w:b w:val="0"/>
          <w:i/>
        </w:rPr>
        <w:t>Katie A., ex rel. Ludin v. L.A. County</w:t>
      </w:r>
      <w:r>
        <w:t xml:space="preserve">, 481 F.3d 1150 (9th Cir. 2007), </w:t>
      </w:r>
      <w:r w:rsidRPr="007B5AAD">
        <w:rPr>
          <w:i/>
        </w:rPr>
        <w:t>rev’g and remanding</w:t>
      </w:r>
      <w:r w:rsidR="008771A8">
        <w:rPr>
          <w:i/>
        </w:rPr>
        <w:t xml:space="preserve"> on other grounds</w:t>
      </w:r>
      <w:r>
        <w:t xml:space="preserve"> 433 F. Supp. 2d 1065 (C.D. Cal. 2006);</w:t>
      </w:r>
      <w:r w:rsidRPr="00905409">
        <w:rPr>
          <w:rStyle w:val="FootnoteTextChar"/>
        </w:rPr>
        <w:t xml:space="preserve"> </w:t>
      </w:r>
      <w:r w:rsidRPr="00905409">
        <w:rPr>
          <w:rStyle w:val="Strong"/>
          <w:b w:val="0"/>
          <w:i/>
        </w:rPr>
        <w:t>Chisholm v. Hood</w:t>
      </w:r>
      <w:r>
        <w:t xml:space="preserve">, 133 F. Supp. 2d 894 (E.D. La. 2001), </w:t>
      </w:r>
      <w:r w:rsidRPr="007B5AAD">
        <w:rPr>
          <w:i/>
        </w:rPr>
        <w:t>aff’d</w:t>
      </w:r>
      <w:r>
        <w:t>, 391 F.3d 581 (5th Cir. 2004);</w:t>
      </w:r>
      <w:r w:rsidRPr="00905409">
        <w:rPr>
          <w:rStyle w:val="FootnoteTextChar"/>
        </w:rPr>
        <w:t xml:space="preserve"> </w:t>
      </w:r>
      <w:r w:rsidRPr="00905409">
        <w:rPr>
          <w:rStyle w:val="Strong"/>
          <w:b w:val="0"/>
          <w:i/>
        </w:rPr>
        <w:t>John B. v. Menke</w:t>
      </w:r>
      <w:r>
        <w:t>, 176 F. Supp. 2d 786 (M.D. Tenn. 2001);</w:t>
      </w:r>
      <w:r w:rsidRPr="005F01D6">
        <w:rPr>
          <w:i/>
        </w:rPr>
        <w:t xml:space="preserve"> </w:t>
      </w:r>
      <w:r w:rsidRPr="00905409">
        <w:rPr>
          <w:rStyle w:val="Strong"/>
          <w:b w:val="0"/>
          <w:i/>
        </w:rPr>
        <w:t>Emily Q. v. Bonta</w:t>
      </w:r>
      <w:r>
        <w:t xml:space="preserve">, 208 F.Supp. 2d 1078, 1081 (C.D. Cal. 2001); </w:t>
      </w:r>
      <w:r>
        <w:rPr>
          <w:i/>
        </w:rPr>
        <w:t xml:space="preserve">Hawkins </w:t>
      </w:r>
      <w:r w:rsidRPr="005F01D6">
        <w:rPr>
          <w:i/>
        </w:rPr>
        <w:t xml:space="preserve">ex. rel Hawkins v. Comm’r of N.H. Dep’t of Health </w:t>
      </w:r>
      <w:r>
        <w:rPr>
          <w:i/>
        </w:rPr>
        <w:t>&amp;</w:t>
      </w:r>
      <w:r w:rsidRPr="005F01D6">
        <w:rPr>
          <w:i/>
        </w:rPr>
        <w:t xml:space="preserve"> Human </w:t>
      </w:r>
      <w:proofErr w:type="gramStart"/>
      <w:r w:rsidRPr="005F01D6">
        <w:rPr>
          <w:i/>
        </w:rPr>
        <w:t>Servs.</w:t>
      </w:r>
      <w:r>
        <w:t>,</w:t>
      </w:r>
      <w:proofErr w:type="gramEnd"/>
      <w:r>
        <w:t xml:space="preserve"> 2004 WL 166722, at *4 (D.N.H. 2004);  </w:t>
      </w:r>
      <w:r w:rsidRPr="00905409">
        <w:rPr>
          <w:i/>
        </w:rPr>
        <w:t>Memisovski ex rel. Memisovski v. Maram</w:t>
      </w:r>
      <w:r>
        <w:t xml:space="preserve">, 2004 WL 1878332, at *1 (N.D. Ill. 2004); </w:t>
      </w:r>
      <w:r w:rsidRPr="00905409">
        <w:rPr>
          <w:i/>
        </w:rPr>
        <w:t xml:space="preserve">Dajour B. v. City of </w:t>
      </w:r>
      <w:r>
        <w:rPr>
          <w:i/>
        </w:rPr>
        <w:t>N.Y.</w:t>
      </w:r>
      <w:r>
        <w:t>, 2001 WL 1173504, at *10 (S.D.N.Y. Oct. 3, 2001).</w:t>
      </w:r>
    </w:p>
  </w:footnote>
  <w:footnote w:id="18">
    <w:p w:rsidR="00332C33" w:rsidRPr="001D06D7" w:rsidRDefault="00332C33" w:rsidP="00844EDB">
      <w:pPr>
        <w:pStyle w:val="FootnoteText"/>
        <w:spacing w:after="0"/>
      </w:pPr>
      <w:r>
        <w:rPr>
          <w:rStyle w:val="FootnoteReference"/>
        </w:rPr>
        <w:footnoteRef/>
      </w:r>
      <w:r>
        <w:t xml:space="preserve"> </w:t>
      </w:r>
      <w:r>
        <w:tab/>
        <w:t xml:space="preserve">Defendants also contend that class certification should be denied on the ground that the proposed class, as defined in Plaintiffs’ motion, is insufficiently ascertainable, as well as overbroad.  However, Plaintiffs’ proposed class is a class under Rule 23(b)(2), and “Rule 23(b)(2) class actions were designed specifically for civil rights cases seeking broad declaratory or injunctive relief for a numerous and often unascertainable or amorphous class of persons . . . .”  </w:t>
      </w:r>
      <w:proofErr w:type="gramStart"/>
      <w:r>
        <w:t>1 Herbert Newberg &amp; Alba Conte, Newberg on Class Actions § 4.11 (2001).</w:t>
      </w:r>
      <w:proofErr w:type="gramEnd"/>
      <w:r>
        <w:t xml:space="preserve">  In any event, even if there were any deficiencies in the class definition, the Court would be free to remedy them either by </w:t>
      </w:r>
      <w:r w:rsidRPr="005D12A9">
        <w:t xml:space="preserve">exercising its own power to redefine the class, </w:t>
      </w:r>
      <w:r w:rsidRPr="005D12A9">
        <w:rPr>
          <w:i/>
        </w:rPr>
        <w:t>see</w:t>
      </w:r>
      <w:r w:rsidRPr="005D12A9">
        <w:t xml:space="preserve"> </w:t>
      </w:r>
      <w:r w:rsidRPr="005D12A9">
        <w:rPr>
          <w:i/>
        </w:rPr>
        <w:t>Johnson v. Int’l Paper Co.</w:t>
      </w:r>
      <w:r w:rsidRPr="005D12A9">
        <w:t xml:space="preserve">, 270 F.R.D. 640, 645 (M.D. Ala. 2010), or by permitting Plaintiffs to amend their definition, </w:t>
      </w:r>
      <w:r w:rsidRPr="005D12A9">
        <w:rPr>
          <w:i/>
        </w:rPr>
        <w:t>see</w:t>
      </w:r>
      <w:r w:rsidRPr="005D12A9">
        <w:t xml:space="preserve"> </w:t>
      </w:r>
      <w:r w:rsidRPr="005D12A9">
        <w:rPr>
          <w:i/>
        </w:rPr>
        <w:t>Moore v. Walter Coke, Inc.</w:t>
      </w:r>
      <w:r w:rsidRPr="005D12A9">
        <w:t xml:space="preserve">, No. 2:11-cv-1391-SLB, 2012 U.S. Dist. </w:t>
      </w:r>
      <w:r w:rsidRPr="005D12A9">
        <w:rPr>
          <w:smallCaps/>
        </w:rPr>
        <w:t>Lexis</w:t>
      </w:r>
      <w:r w:rsidRPr="005D12A9">
        <w:t xml:space="preserve"> 140207, at *46-*47 (N.D. Ala. Sept. 28, 2012).</w:t>
      </w:r>
    </w:p>
  </w:footnote>
  <w:footnote w:id="19">
    <w:p w:rsidR="0020425D" w:rsidRDefault="0020425D" w:rsidP="0020425D">
      <w:pPr>
        <w:pStyle w:val="FootnoteText"/>
      </w:pPr>
      <w:r w:rsidRPr="002365E3">
        <w:rPr>
          <w:rStyle w:val="FootnoteReference"/>
        </w:rPr>
        <w:footnoteRef/>
      </w:r>
      <w:r w:rsidRPr="002365E3">
        <w:t xml:space="preserve"> </w:t>
      </w:r>
      <w:r>
        <w:tab/>
      </w:r>
      <w:r w:rsidRPr="002365E3">
        <w:t xml:space="preserve">Moreover, the Supreme Court’s decision in </w:t>
      </w:r>
      <w:r w:rsidRPr="002365E3">
        <w:rPr>
          <w:i/>
        </w:rPr>
        <w:t>Olmstead</w:t>
      </w:r>
      <w:r w:rsidRPr="002365E3">
        <w:t xml:space="preserve"> requires a State to have in place a comprehensive, effectively working plan to avoid such discrimination.</w:t>
      </w:r>
      <w:r>
        <w:t xml:space="preserve">  </w:t>
      </w:r>
      <w:r w:rsidRPr="00E96A0B">
        <w:rPr>
          <w:i/>
        </w:rPr>
        <w:t>Olmstead</w:t>
      </w:r>
      <w:r>
        <w:t>, 527 U.S. at 605-06.</w:t>
      </w:r>
      <w:r w:rsidRPr="002365E3">
        <w:t xml:space="preserve">  The absence of such a plan has been construed by courts to foreclose a public entity’s ability to raise a fundamental alteration defense.  </w:t>
      </w:r>
      <w:proofErr w:type="gramStart"/>
      <w:r w:rsidRPr="002365E3">
        <w:rPr>
          <w:i/>
        </w:rPr>
        <w:t xml:space="preserve">See, e.g., </w:t>
      </w:r>
      <w:r>
        <w:rPr>
          <w:i/>
        </w:rPr>
        <w:t xml:space="preserve">Pa. </w:t>
      </w:r>
      <w:r w:rsidRPr="002365E3">
        <w:rPr>
          <w:i/>
        </w:rPr>
        <w:t>Prot. &amp; Advocacy, Inc. v. Dep’t of Pub.</w:t>
      </w:r>
      <w:proofErr w:type="gramEnd"/>
      <w:r w:rsidRPr="002365E3">
        <w:rPr>
          <w:i/>
        </w:rPr>
        <w:t xml:space="preserve"> </w:t>
      </w:r>
      <w:proofErr w:type="gramStart"/>
      <w:r w:rsidRPr="002365E3">
        <w:rPr>
          <w:i/>
        </w:rPr>
        <w:t>Welfare</w:t>
      </w:r>
      <w:r w:rsidRPr="002365E3">
        <w:t>, 402 F.3d 374, 381 (3d Cir. 2005).</w:t>
      </w:r>
      <w:proofErr w:type="gramEnd"/>
      <w:r w:rsidRPr="002365E3">
        <w:t xml:space="preserve">  Plaintiffs </w:t>
      </w:r>
      <w:r>
        <w:t xml:space="preserve">here </w:t>
      </w:r>
      <w:r w:rsidRPr="002365E3">
        <w:t xml:space="preserve">have the ability to demonstrate that the absence of a policy or set of policies gives rise to unnecessary institutionalization of </w:t>
      </w:r>
      <w:r>
        <w:t>P</w:t>
      </w:r>
      <w:r w:rsidRPr="002365E3">
        <w:t xml:space="preserve">laintiffs and proposed class members. </w:t>
      </w:r>
    </w:p>
  </w:footnote>
  <w:footnote w:id="20">
    <w:p w:rsidR="002B6E33" w:rsidRPr="00907902" w:rsidRDefault="002B6E33" w:rsidP="002B6E33">
      <w:pPr>
        <w:pStyle w:val="FootnoteText"/>
      </w:pPr>
      <w:r>
        <w:rPr>
          <w:rStyle w:val="FootnoteReference"/>
        </w:rPr>
        <w:footnoteRef/>
      </w:r>
      <w:r>
        <w:t xml:space="preserve"> </w:t>
      </w:r>
      <w:r>
        <w:tab/>
        <w:t xml:space="preserve">In any event, even if individualized inquiries were required in this case (which they are not), Defendants cannot defeat class certification simply by showing that individual issues are present.  Rather, they must demonstrate that common issues are absent.  </w:t>
      </w:r>
      <w:r>
        <w:rPr>
          <w:i/>
        </w:rPr>
        <w:t>See, e.g.,</w:t>
      </w:r>
      <w:r>
        <w:t xml:space="preserve"> </w:t>
      </w:r>
      <w:r>
        <w:rPr>
          <w:i/>
        </w:rPr>
        <w:t xml:space="preserve">McReynolds v. Merrill Lynch, Pierce, </w:t>
      </w:r>
      <w:proofErr w:type="spellStart"/>
      <w:r>
        <w:rPr>
          <w:i/>
        </w:rPr>
        <w:t>Fenner</w:t>
      </w:r>
      <w:proofErr w:type="spellEnd"/>
      <w:r>
        <w:rPr>
          <w:i/>
        </w:rPr>
        <w:t xml:space="preserve"> &amp; Smith, Inc.</w:t>
      </w:r>
      <w:r>
        <w:t xml:space="preserve">, 672 F.3d 482, 491 (7th Cir. 2012) (ordering certification under Fed. R. Civ. P. 23(b)(2) of class of employees allegedly injured by employer’s racially discriminatory policies where, although “hundreds of separate trials may be necessary to determine which class members were actually adversely affected by . . . the [employer’s] practices and if so what loss he sustained,” class certification would “at least [render it un]necessary in each of those trials to determine whether the challenged practices were unlawful”) </w:t>
      </w:r>
      <w:r w:rsidRPr="00964B3D">
        <w:rPr>
          <w:i/>
        </w:rPr>
        <w:t>cert</w:t>
      </w:r>
      <w:r>
        <w:rPr>
          <w:i/>
        </w:rPr>
        <w:t>.</w:t>
      </w:r>
      <w:r w:rsidRPr="00964B3D">
        <w:rPr>
          <w:i/>
        </w:rPr>
        <w:t xml:space="preserve"> denied</w:t>
      </w:r>
      <w:r>
        <w:t xml:space="preserve"> 133 S. Ct. 338 (Oct. 1, 2012). </w:t>
      </w:r>
    </w:p>
  </w:footnote>
  <w:footnote w:id="21">
    <w:p w:rsidR="00332C33" w:rsidRDefault="00332C33" w:rsidP="009A6074">
      <w:pPr>
        <w:pStyle w:val="FootnoteText"/>
        <w:spacing w:after="0"/>
      </w:pPr>
      <w:r>
        <w:rPr>
          <w:rStyle w:val="FootnoteReference"/>
        </w:rPr>
        <w:footnoteRef/>
      </w:r>
      <w:r>
        <w:t xml:space="preserve"> </w:t>
      </w:r>
      <w:r>
        <w:tab/>
        <w:t xml:space="preserve">While Defendants’ main argument centers around the requirement of commonality as interpreted in </w:t>
      </w:r>
      <w:r w:rsidRPr="00F00504">
        <w:rPr>
          <w:i/>
        </w:rPr>
        <w:t>Wal-Mart</w:t>
      </w:r>
      <w:r>
        <w:t>, they also contend that typicality and numerosity are lacking.  However, if Plaintiffs have properly raised issues concerning statewide policies that govern the State’s population of medically fragile children and that could be remedied through a single order granting declaratory and injunctive relief, then this would also naturally indicate that the impact of these policies on Plaintiffs would be similar to their impact on the other Florida residents who comprise their proposed class, and that the total number of affected persons would be substantial.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8F" w:rsidRDefault="00660F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8F" w:rsidRDefault="00660F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F8F" w:rsidRDefault="00660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nsid w:val="0BB42A1B"/>
    <w:multiLevelType w:val="hybridMultilevel"/>
    <w:tmpl w:val="5254C726"/>
    <w:lvl w:ilvl="0" w:tplc="B9D8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932FB"/>
    <w:multiLevelType w:val="hybridMultilevel"/>
    <w:tmpl w:val="94109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2116F1"/>
    <w:multiLevelType w:val="hybridMultilevel"/>
    <w:tmpl w:val="7BD63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978F0"/>
    <w:multiLevelType w:val="hybridMultilevel"/>
    <w:tmpl w:val="D0C00D4E"/>
    <w:lvl w:ilvl="0" w:tplc="572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90A54"/>
    <w:multiLevelType w:val="hybridMultilevel"/>
    <w:tmpl w:val="48EE3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5383B"/>
    <w:multiLevelType w:val="hybridMultilevel"/>
    <w:tmpl w:val="E1FA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F6DCB"/>
    <w:multiLevelType w:val="hybridMultilevel"/>
    <w:tmpl w:val="4222982A"/>
    <w:lvl w:ilvl="0" w:tplc="0C22D2A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C00E5"/>
    <w:multiLevelType w:val="hybridMultilevel"/>
    <w:tmpl w:val="E4C29EC4"/>
    <w:lvl w:ilvl="0" w:tplc="90CEB3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343234"/>
    <w:multiLevelType w:val="hybridMultilevel"/>
    <w:tmpl w:val="92B82174"/>
    <w:lvl w:ilvl="0" w:tplc="57781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153B2A"/>
    <w:multiLevelType w:val="hybridMultilevel"/>
    <w:tmpl w:val="B6020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192FB5"/>
    <w:multiLevelType w:val="hybridMultilevel"/>
    <w:tmpl w:val="8DE619DA"/>
    <w:lvl w:ilvl="0" w:tplc="FF5C2A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42887"/>
    <w:multiLevelType w:val="hybridMultilevel"/>
    <w:tmpl w:val="58BEDC96"/>
    <w:lvl w:ilvl="0" w:tplc="83A619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734BAA"/>
    <w:multiLevelType w:val="hybridMultilevel"/>
    <w:tmpl w:val="F2A0985E"/>
    <w:lvl w:ilvl="0" w:tplc="ADB468E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D74439"/>
    <w:multiLevelType w:val="hybridMultilevel"/>
    <w:tmpl w:val="CBE24C2A"/>
    <w:lvl w:ilvl="0" w:tplc="FAFE67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E618EB"/>
    <w:multiLevelType w:val="hybridMultilevel"/>
    <w:tmpl w:val="4DDEA51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239001F"/>
    <w:multiLevelType w:val="hybridMultilevel"/>
    <w:tmpl w:val="87E4D74A"/>
    <w:lvl w:ilvl="0" w:tplc="DE8AF8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728E4"/>
    <w:multiLevelType w:val="multilevel"/>
    <w:tmpl w:val="EC4A8B14"/>
    <w:lvl w:ilvl="0">
      <w:start w:val="1"/>
      <w:numFmt w:val="upperRoman"/>
      <w:lvlText w:val="%1."/>
      <w:legacy w:legacy="1" w:legacySpace="0" w:legacyIndent="0"/>
      <w:lvlJc w:val="left"/>
      <w:pPr>
        <w:ind w:left="1440" w:firstLine="0"/>
      </w:pPr>
    </w:lvl>
    <w:lvl w:ilvl="1">
      <w:start w:val="1"/>
      <w:numFmt w:val="upperLetter"/>
      <w:lvlText w:val="%2."/>
      <w:legacy w:legacy="1" w:legacySpace="0" w:legacyIndent="0"/>
      <w:lvlJc w:val="left"/>
      <w:pPr>
        <w:ind w:left="1440" w:firstLine="0"/>
      </w:pPr>
    </w:lvl>
    <w:lvl w:ilvl="2">
      <w:start w:val="1"/>
      <w:numFmt w:val="decimal"/>
      <w:lvlText w:val="%3."/>
      <w:legacy w:legacy="1" w:legacySpace="0" w:legacyIndent="0"/>
      <w:lvlJc w:val="left"/>
      <w:pPr>
        <w:ind w:left="1440" w:firstLine="0"/>
      </w:pPr>
    </w:lvl>
    <w:lvl w:ilvl="3">
      <w:start w:val="1"/>
      <w:numFmt w:val="lowerLetter"/>
      <w:lvlText w:val="%4."/>
      <w:legacy w:legacy="1" w:legacySpace="0" w:legacyIndent="0"/>
      <w:lvlJc w:val="left"/>
      <w:pPr>
        <w:ind w:left="1440" w:firstLine="0"/>
      </w:pPr>
    </w:lvl>
    <w:lvl w:ilvl="4">
      <w:start w:val="1"/>
      <w:numFmt w:val="decimal"/>
      <w:lvlText w:val="(%5)"/>
      <w:legacy w:legacy="1" w:legacySpace="0" w:legacyIndent="0"/>
      <w:lvlJc w:val="left"/>
      <w:pPr>
        <w:ind w:left="1440" w:firstLine="0"/>
      </w:pPr>
    </w:lvl>
    <w:lvl w:ilvl="5">
      <w:start w:val="1"/>
      <w:numFmt w:val="lowerLetter"/>
      <w:lvlText w:val="(%6)"/>
      <w:legacy w:legacy="1" w:legacySpace="0" w:legacyIndent="0"/>
      <w:lvlJc w:val="left"/>
      <w:pPr>
        <w:ind w:left="1440" w:firstLine="0"/>
      </w:pPr>
    </w:lvl>
    <w:lvl w:ilvl="6">
      <w:start w:val="1"/>
      <w:numFmt w:val="lowerRoman"/>
      <w:lvlText w:val="%7)"/>
      <w:legacy w:legacy="1" w:legacySpace="0" w:legacyIndent="0"/>
      <w:lvlJc w:val="left"/>
      <w:pPr>
        <w:ind w:left="1440" w:firstLine="0"/>
      </w:pPr>
    </w:lvl>
    <w:lvl w:ilvl="7">
      <w:start w:val="1"/>
      <w:numFmt w:val="lowerLetter"/>
      <w:lvlText w:val="%8)"/>
      <w:legacy w:legacy="1" w:legacySpace="0" w:legacyIndent="0"/>
      <w:lvlJc w:val="left"/>
      <w:pPr>
        <w:ind w:left="1440" w:firstLine="0"/>
      </w:pPr>
    </w:lvl>
    <w:lvl w:ilvl="8">
      <w:start w:val="1"/>
      <w:numFmt w:val="lowerRoman"/>
      <w:lvlText w:val="%9)"/>
      <w:legacy w:legacy="1" w:legacySpace="0" w:legacyIndent="0"/>
      <w:lvlJc w:val="left"/>
      <w:pPr>
        <w:ind w:left="1440" w:firstLine="0"/>
      </w:pPr>
    </w:lvl>
  </w:abstractNum>
  <w:abstractNum w:abstractNumId="18">
    <w:nsid w:val="6AF61B68"/>
    <w:multiLevelType w:val="hybridMultilevel"/>
    <w:tmpl w:val="00DA0C1C"/>
    <w:lvl w:ilvl="0" w:tplc="973665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FD0C7C"/>
    <w:multiLevelType w:val="hybridMultilevel"/>
    <w:tmpl w:val="ED5EDC90"/>
    <w:lvl w:ilvl="0" w:tplc="09BAA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026785"/>
    <w:multiLevelType w:val="hybridMultilevel"/>
    <w:tmpl w:val="00DA0C1C"/>
    <w:lvl w:ilvl="0" w:tplc="973665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B40990"/>
    <w:multiLevelType w:val="hybridMultilevel"/>
    <w:tmpl w:val="F8DEE844"/>
    <w:lvl w:ilvl="0" w:tplc="A704C43E">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D1546E"/>
    <w:multiLevelType w:val="hybridMultilevel"/>
    <w:tmpl w:val="360252D8"/>
    <w:lvl w:ilvl="0" w:tplc="430CAF44">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0"/>
  </w:num>
  <w:num w:numId="4">
    <w:abstractNumId w:val="21"/>
  </w:num>
  <w:num w:numId="5">
    <w:abstractNumId w:val="18"/>
  </w:num>
  <w:num w:numId="6">
    <w:abstractNumId w:val="11"/>
  </w:num>
  <w:num w:numId="7">
    <w:abstractNumId w:val="12"/>
  </w:num>
  <w:num w:numId="8">
    <w:abstractNumId w:val="3"/>
  </w:num>
  <w:num w:numId="9">
    <w:abstractNumId w:val="13"/>
  </w:num>
  <w:num w:numId="10">
    <w:abstractNumId w:val="22"/>
  </w:num>
  <w:num w:numId="11">
    <w:abstractNumId w:val="15"/>
  </w:num>
  <w:num w:numId="12">
    <w:abstractNumId w:val="2"/>
  </w:num>
  <w:num w:numId="13">
    <w:abstractNumId w:val="7"/>
  </w:num>
  <w:num w:numId="14">
    <w:abstractNumId w:val="8"/>
  </w:num>
  <w:num w:numId="15">
    <w:abstractNumId w:val="19"/>
  </w:num>
  <w:num w:numId="16">
    <w:abstractNumId w:val="14"/>
  </w:num>
  <w:num w:numId="17">
    <w:abstractNumId w:val="5"/>
  </w:num>
  <w:num w:numId="18">
    <w:abstractNumId w:val="6"/>
  </w:num>
  <w:num w:numId="19">
    <w:abstractNumId w:val="4"/>
  </w:num>
  <w:num w:numId="20">
    <w:abstractNumId w:val="10"/>
  </w:num>
  <w:num w:numId="21">
    <w:abstractNumId w:val="1"/>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2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Pr>
  <w:compat/>
  <w:docVars>
    <w:docVar w:name="_CITRUS_JURISDICTION" w:val="Bluebook"/>
  </w:docVars>
  <w:rsids>
    <w:rsidRoot w:val="001872C2"/>
    <w:rsid w:val="00000209"/>
    <w:rsid w:val="00001FC0"/>
    <w:rsid w:val="00002F54"/>
    <w:rsid w:val="0000309A"/>
    <w:rsid w:val="00003A3D"/>
    <w:rsid w:val="00005A84"/>
    <w:rsid w:val="00006CCF"/>
    <w:rsid w:val="00007389"/>
    <w:rsid w:val="00007893"/>
    <w:rsid w:val="00010807"/>
    <w:rsid w:val="00011150"/>
    <w:rsid w:val="00011E06"/>
    <w:rsid w:val="000139C1"/>
    <w:rsid w:val="00013D00"/>
    <w:rsid w:val="00014C1E"/>
    <w:rsid w:val="00014F8A"/>
    <w:rsid w:val="00015055"/>
    <w:rsid w:val="00016AF1"/>
    <w:rsid w:val="000213A4"/>
    <w:rsid w:val="0002172F"/>
    <w:rsid w:val="0002203D"/>
    <w:rsid w:val="00022860"/>
    <w:rsid w:val="00026DB7"/>
    <w:rsid w:val="00031172"/>
    <w:rsid w:val="00033BCF"/>
    <w:rsid w:val="000343F4"/>
    <w:rsid w:val="000373A1"/>
    <w:rsid w:val="000412FC"/>
    <w:rsid w:val="000416D3"/>
    <w:rsid w:val="000425E5"/>
    <w:rsid w:val="000429AD"/>
    <w:rsid w:val="000446B7"/>
    <w:rsid w:val="00045AC4"/>
    <w:rsid w:val="000460DC"/>
    <w:rsid w:val="00046780"/>
    <w:rsid w:val="00046889"/>
    <w:rsid w:val="00047A86"/>
    <w:rsid w:val="000509FB"/>
    <w:rsid w:val="000531B3"/>
    <w:rsid w:val="00057987"/>
    <w:rsid w:val="00057DAE"/>
    <w:rsid w:val="000624AF"/>
    <w:rsid w:val="000635DC"/>
    <w:rsid w:val="00067663"/>
    <w:rsid w:val="00070319"/>
    <w:rsid w:val="00070798"/>
    <w:rsid w:val="000708F8"/>
    <w:rsid w:val="00070900"/>
    <w:rsid w:val="000711FA"/>
    <w:rsid w:val="00071A34"/>
    <w:rsid w:val="000738C9"/>
    <w:rsid w:val="000757C7"/>
    <w:rsid w:val="000807A5"/>
    <w:rsid w:val="00081F23"/>
    <w:rsid w:val="00082070"/>
    <w:rsid w:val="00082488"/>
    <w:rsid w:val="00084A66"/>
    <w:rsid w:val="0008503F"/>
    <w:rsid w:val="000861DC"/>
    <w:rsid w:val="000865FF"/>
    <w:rsid w:val="0008704E"/>
    <w:rsid w:val="00087C0D"/>
    <w:rsid w:val="0009029C"/>
    <w:rsid w:val="00097465"/>
    <w:rsid w:val="00097549"/>
    <w:rsid w:val="000A438B"/>
    <w:rsid w:val="000A45A7"/>
    <w:rsid w:val="000A51C4"/>
    <w:rsid w:val="000A5DA8"/>
    <w:rsid w:val="000A7B1A"/>
    <w:rsid w:val="000A7B21"/>
    <w:rsid w:val="000B01CD"/>
    <w:rsid w:val="000B0AC1"/>
    <w:rsid w:val="000B2508"/>
    <w:rsid w:val="000B6660"/>
    <w:rsid w:val="000C0D2D"/>
    <w:rsid w:val="000C206D"/>
    <w:rsid w:val="000C31B8"/>
    <w:rsid w:val="000C4ED1"/>
    <w:rsid w:val="000D0BDC"/>
    <w:rsid w:val="000D1687"/>
    <w:rsid w:val="000D6F17"/>
    <w:rsid w:val="000D6F22"/>
    <w:rsid w:val="000E27EE"/>
    <w:rsid w:val="000E5EE2"/>
    <w:rsid w:val="000F1268"/>
    <w:rsid w:val="000F552C"/>
    <w:rsid w:val="001014D2"/>
    <w:rsid w:val="00103D89"/>
    <w:rsid w:val="00104388"/>
    <w:rsid w:val="00104B34"/>
    <w:rsid w:val="0011069A"/>
    <w:rsid w:val="001125EB"/>
    <w:rsid w:val="00113946"/>
    <w:rsid w:val="00115B7E"/>
    <w:rsid w:val="00116277"/>
    <w:rsid w:val="00117D23"/>
    <w:rsid w:val="00117FE4"/>
    <w:rsid w:val="0012011C"/>
    <w:rsid w:val="0012309B"/>
    <w:rsid w:val="00124FE8"/>
    <w:rsid w:val="0012590A"/>
    <w:rsid w:val="00125BA7"/>
    <w:rsid w:val="001303EB"/>
    <w:rsid w:val="00130D62"/>
    <w:rsid w:val="00131176"/>
    <w:rsid w:val="001341C8"/>
    <w:rsid w:val="00135C3D"/>
    <w:rsid w:val="00136769"/>
    <w:rsid w:val="001408A4"/>
    <w:rsid w:val="001446FD"/>
    <w:rsid w:val="00144F6D"/>
    <w:rsid w:val="001451DD"/>
    <w:rsid w:val="0015024E"/>
    <w:rsid w:val="0015451F"/>
    <w:rsid w:val="001547FE"/>
    <w:rsid w:val="00154A05"/>
    <w:rsid w:val="001563CC"/>
    <w:rsid w:val="001619F2"/>
    <w:rsid w:val="0016202F"/>
    <w:rsid w:val="00162707"/>
    <w:rsid w:val="00164081"/>
    <w:rsid w:val="00165D82"/>
    <w:rsid w:val="00166203"/>
    <w:rsid w:val="00166A6E"/>
    <w:rsid w:val="00166C47"/>
    <w:rsid w:val="00170188"/>
    <w:rsid w:val="0017107F"/>
    <w:rsid w:val="001714B0"/>
    <w:rsid w:val="00175395"/>
    <w:rsid w:val="00177FCE"/>
    <w:rsid w:val="001826ED"/>
    <w:rsid w:val="00183395"/>
    <w:rsid w:val="00184DC6"/>
    <w:rsid w:val="00185171"/>
    <w:rsid w:val="00185FAC"/>
    <w:rsid w:val="001872C2"/>
    <w:rsid w:val="0019084D"/>
    <w:rsid w:val="001928FB"/>
    <w:rsid w:val="00196574"/>
    <w:rsid w:val="00196A6F"/>
    <w:rsid w:val="00196A83"/>
    <w:rsid w:val="00197115"/>
    <w:rsid w:val="001A0E7B"/>
    <w:rsid w:val="001A3790"/>
    <w:rsid w:val="001A3A49"/>
    <w:rsid w:val="001A4C0E"/>
    <w:rsid w:val="001A4CE6"/>
    <w:rsid w:val="001A5025"/>
    <w:rsid w:val="001A60D4"/>
    <w:rsid w:val="001A6119"/>
    <w:rsid w:val="001A7998"/>
    <w:rsid w:val="001B0834"/>
    <w:rsid w:val="001B25C0"/>
    <w:rsid w:val="001B268E"/>
    <w:rsid w:val="001B3033"/>
    <w:rsid w:val="001B6CB3"/>
    <w:rsid w:val="001C120F"/>
    <w:rsid w:val="001C142D"/>
    <w:rsid w:val="001D06D7"/>
    <w:rsid w:val="001D0CA9"/>
    <w:rsid w:val="001D1619"/>
    <w:rsid w:val="001D1D27"/>
    <w:rsid w:val="001D2DBF"/>
    <w:rsid w:val="001D6E6C"/>
    <w:rsid w:val="001D701B"/>
    <w:rsid w:val="001E1473"/>
    <w:rsid w:val="001E2531"/>
    <w:rsid w:val="001E31E3"/>
    <w:rsid w:val="001E3E80"/>
    <w:rsid w:val="001E3FAA"/>
    <w:rsid w:val="001E3FEA"/>
    <w:rsid w:val="001E57A6"/>
    <w:rsid w:val="001E5A16"/>
    <w:rsid w:val="001E5E39"/>
    <w:rsid w:val="001E6745"/>
    <w:rsid w:val="001E67F9"/>
    <w:rsid w:val="001E68A4"/>
    <w:rsid w:val="001F0ADD"/>
    <w:rsid w:val="001F1AEC"/>
    <w:rsid w:val="001F2674"/>
    <w:rsid w:val="001F2A65"/>
    <w:rsid w:val="001F317D"/>
    <w:rsid w:val="001F3E57"/>
    <w:rsid w:val="001F5471"/>
    <w:rsid w:val="001F782F"/>
    <w:rsid w:val="002022B4"/>
    <w:rsid w:val="002025E7"/>
    <w:rsid w:val="0020425D"/>
    <w:rsid w:val="00204F67"/>
    <w:rsid w:val="00210B6D"/>
    <w:rsid w:val="00212C74"/>
    <w:rsid w:val="00212CD1"/>
    <w:rsid w:val="00212E83"/>
    <w:rsid w:val="00213B70"/>
    <w:rsid w:val="002150E0"/>
    <w:rsid w:val="0021688D"/>
    <w:rsid w:val="00224AFE"/>
    <w:rsid w:val="00234C0A"/>
    <w:rsid w:val="002351A9"/>
    <w:rsid w:val="0023624B"/>
    <w:rsid w:val="002365E3"/>
    <w:rsid w:val="00240222"/>
    <w:rsid w:val="002406EE"/>
    <w:rsid w:val="00254123"/>
    <w:rsid w:val="002542AD"/>
    <w:rsid w:val="002546F3"/>
    <w:rsid w:val="00255EFA"/>
    <w:rsid w:val="00257CF5"/>
    <w:rsid w:val="00264238"/>
    <w:rsid w:val="00264DFE"/>
    <w:rsid w:val="0026694B"/>
    <w:rsid w:val="00270F47"/>
    <w:rsid w:val="00271627"/>
    <w:rsid w:val="00272A50"/>
    <w:rsid w:val="00273526"/>
    <w:rsid w:val="0027492E"/>
    <w:rsid w:val="002807A5"/>
    <w:rsid w:val="0028306F"/>
    <w:rsid w:val="00284311"/>
    <w:rsid w:val="00284B8C"/>
    <w:rsid w:val="002852C7"/>
    <w:rsid w:val="00285B41"/>
    <w:rsid w:val="00287A41"/>
    <w:rsid w:val="00290A4F"/>
    <w:rsid w:val="00290AE6"/>
    <w:rsid w:val="00291CEA"/>
    <w:rsid w:val="0029224C"/>
    <w:rsid w:val="002956E3"/>
    <w:rsid w:val="00295884"/>
    <w:rsid w:val="002A0526"/>
    <w:rsid w:val="002A1C87"/>
    <w:rsid w:val="002A2259"/>
    <w:rsid w:val="002A42F5"/>
    <w:rsid w:val="002A4C0C"/>
    <w:rsid w:val="002A4C31"/>
    <w:rsid w:val="002A4CBB"/>
    <w:rsid w:val="002B2E83"/>
    <w:rsid w:val="002B2F31"/>
    <w:rsid w:val="002B3682"/>
    <w:rsid w:val="002B5C4E"/>
    <w:rsid w:val="002B6E33"/>
    <w:rsid w:val="002B7791"/>
    <w:rsid w:val="002B7F0F"/>
    <w:rsid w:val="002C1843"/>
    <w:rsid w:val="002C1DB8"/>
    <w:rsid w:val="002C54FB"/>
    <w:rsid w:val="002C55AB"/>
    <w:rsid w:val="002C692D"/>
    <w:rsid w:val="002C7B21"/>
    <w:rsid w:val="002D11E0"/>
    <w:rsid w:val="002D2E99"/>
    <w:rsid w:val="002D41C2"/>
    <w:rsid w:val="002D451E"/>
    <w:rsid w:val="002D4798"/>
    <w:rsid w:val="002D4984"/>
    <w:rsid w:val="002D54BF"/>
    <w:rsid w:val="002E181C"/>
    <w:rsid w:val="002E25B2"/>
    <w:rsid w:val="002E5C5B"/>
    <w:rsid w:val="002F1392"/>
    <w:rsid w:val="002F18AB"/>
    <w:rsid w:val="002F2D26"/>
    <w:rsid w:val="002F7F17"/>
    <w:rsid w:val="00301AB3"/>
    <w:rsid w:val="00305077"/>
    <w:rsid w:val="003052D9"/>
    <w:rsid w:val="00306B5E"/>
    <w:rsid w:val="00307265"/>
    <w:rsid w:val="0031226B"/>
    <w:rsid w:val="00312270"/>
    <w:rsid w:val="00312801"/>
    <w:rsid w:val="00312D33"/>
    <w:rsid w:val="00312EC4"/>
    <w:rsid w:val="003143A3"/>
    <w:rsid w:val="00314B8E"/>
    <w:rsid w:val="00315732"/>
    <w:rsid w:val="00316DCC"/>
    <w:rsid w:val="003179D4"/>
    <w:rsid w:val="00321175"/>
    <w:rsid w:val="003214DB"/>
    <w:rsid w:val="0032159B"/>
    <w:rsid w:val="00321912"/>
    <w:rsid w:val="00321EF4"/>
    <w:rsid w:val="00324B28"/>
    <w:rsid w:val="0033116F"/>
    <w:rsid w:val="00331985"/>
    <w:rsid w:val="00332C33"/>
    <w:rsid w:val="00336E8B"/>
    <w:rsid w:val="00340EDA"/>
    <w:rsid w:val="0034102D"/>
    <w:rsid w:val="00344AAE"/>
    <w:rsid w:val="00344BB5"/>
    <w:rsid w:val="003462B0"/>
    <w:rsid w:val="003463C5"/>
    <w:rsid w:val="00347008"/>
    <w:rsid w:val="00352D6B"/>
    <w:rsid w:val="00354984"/>
    <w:rsid w:val="003565FE"/>
    <w:rsid w:val="003566E7"/>
    <w:rsid w:val="0035674A"/>
    <w:rsid w:val="0036021E"/>
    <w:rsid w:val="00364095"/>
    <w:rsid w:val="003677A9"/>
    <w:rsid w:val="00370156"/>
    <w:rsid w:val="00371918"/>
    <w:rsid w:val="00375070"/>
    <w:rsid w:val="003753D4"/>
    <w:rsid w:val="003756A3"/>
    <w:rsid w:val="00376769"/>
    <w:rsid w:val="003771FE"/>
    <w:rsid w:val="00377403"/>
    <w:rsid w:val="00377FE8"/>
    <w:rsid w:val="00382FF6"/>
    <w:rsid w:val="003831D3"/>
    <w:rsid w:val="003854D2"/>
    <w:rsid w:val="00386237"/>
    <w:rsid w:val="00390749"/>
    <w:rsid w:val="00391360"/>
    <w:rsid w:val="00392ED5"/>
    <w:rsid w:val="003931B2"/>
    <w:rsid w:val="00393A87"/>
    <w:rsid w:val="0039436E"/>
    <w:rsid w:val="003944AD"/>
    <w:rsid w:val="00395CF9"/>
    <w:rsid w:val="00397527"/>
    <w:rsid w:val="0039794C"/>
    <w:rsid w:val="003A03FF"/>
    <w:rsid w:val="003A063A"/>
    <w:rsid w:val="003A12CE"/>
    <w:rsid w:val="003A3E8D"/>
    <w:rsid w:val="003A65EE"/>
    <w:rsid w:val="003B1932"/>
    <w:rsid w:val="003B2302"/>
    <w:rsid w:val="003B3FD9"/>
    <w:rsid w:val="003B4CF9"/>
    <w:rsid w:val="003B7AA6"/>
    <w:rsid w:val="003C0EB1"/>
    <w:rsid w:val="003C1B0D"/>
    <w:rsid w:val="003C2066"/>
    <w:rsid w:val="003C266C"/>
    <w:rsid w:val="003C3AB1"/>
    <w:rsid w:val="003C4044"/>
    <w:rsid w:val="003C6AA5"/>
    <w:rsid w:val="003D3DC0"/>
    <w:rsid w:val="003D469F"/>
    <w:rsid w:val="003D58C0"/>
    <w:rsid w:val="003D7608"/>
    <w:rsid w:val="003D76AC"/>
    <w:rsid w:val="003E02D1"/>
    <w:rsid w:val="003E0772"/>
    <w:rsid w:val="003E0D22"/>
    <w:rsid w:val="003E2C8F"/>
    <w:rsid w:val="003E406F"/>
    <w:rsid w:val="003E4F79"/>
    <w:rsid w:val="003E511C"/>
    <w:rsid w:val="003E67D6"/>
    <w:rsid w:val="003F2B6F"/>
    <w:rsid w:val="003F30C6"/>
    <w:rsid w:val="003F3950"/>
    <w:rsid w:val="003F492D"/>
    <w:rsid w:val="003F4B46"/>
    <w:rsid w:val="003F4BD7"/>
    <w:rsid w:val="00401676"/>
    <w:rsid w:val="00404566"/>
    <w:rsid w:val="00407FF2"/>
    <w:rsid w:val="00412070"/>
    <w:rsid w:val="00412142"/>
    <w:rsid w:val="0041217D"/>
    <w:rsid w:val="00416D4D"/>
    <w:rsid w:val="00416F8F"/>
    <w:rsid w:val="00417D91"/>
    <w:rsid w:val="00421D6E"/>
    <w:rsid w:val="004230EE"/>
    <w:rsid w:val="0042440B"/>
    <w:rsid w:val="00425203"/>
    <w:rsid w:val="0042728A"/>
    <w:rsid w:val="00427756"/>
    <w:rsid w:val="004301BC"/>
    <w:rsid w:val="00430FE1"/>
    <w:rsid w:val="00431853"/>
    <w:rsid w:val="00434110"/>
    <w:rsid w:val="00434AD1"/>
    <w:rsid w:val="00434AEE"/>
    <w:rsid w:val="00435F5C"/>
    <w:rsid w:val="00440339"/>
    <w:rsid w:val="00440DFC"/>
    <w:rsid w:val="00441811"/>
    <w:rsid w:val="004430BC"/>
    <w:rsid w:val="004443C2"/>
    <w:rsid w:val="004469AE"/>
    <w:rsid w:val="004469D0"/>
    <w:rsid w:val="00450471"/>
    <w:rsid w:val="00453189"/>
    <w:rsid w:val="00453B79"/>
    <w:rsid w:val="004548A6"/>
    <w:rsid w:val="00460697"/>
    <w:rsid w:val="00461770"/>
    <w:rsid w:val="00463160"/>
    <w:rsid w:val="00466429"/>
    <w:rsid w:val="00467CCA"/>
    <w:rsid w:val="0047133C"/>
    <w:rsid w:val="004739CD"/>
    <w:rsid w:val="004751BE"/>
    <w:rsid w:val="00476D96"/>
    <w:rsid w:val="00482AC9"/>
    <w:rsid w:val="00484514"/>
    <w:rsid w:val="00485DB1"/>
    <w:rsid w:val="00486D16"/>
    <w:rsid w:val="00487852"/>
    <w:rsid w:val="00487A48"/>
    <w:rsid w:val="0049111B"/>
    <w:rsid w:val="00493565"/>
    <w:rsid w:val="00493650"/>
    <w:rsid w:val="00493EF2"/>
    <w:rsid w:val="0049438B"/>
    <w:rsid w:val="00494810"/>
    <w:rsid w:val="0049563C"/>
    <w:rsid w:val="004960ED"/>
    <w:rsid w:val="004A337D"/>
    <w:rsid w:val="004A47A9"/>
    <w:rsid w:val="004A5031"/>
    <w:rsid w:val="004A5285"/>
    <w:rsid w:val="004A7707"/>
    <w:rsid w:val="004B027F"/>
    <w:rsid w:val="004B2F84"/>
    <w:rsid w:val="004B543C"/>
    <w:rsid w:val="004B6BD4"/>
    <w:rsid w:val="004B7410"/>
    <w:rsid w:val="004C035A"/>
    <w:rsid w:val="004C1BC1"/>
    <w:rsid w:val="004C1D83"/>
    <w:rsid w:val="004C1F74"/>
    <w:rsid w:val="004C2F21"/>
    <w:rsid w:val="004C3075"/>
    <w:rsid w:val="004C3944"/>
    <w:rsid w:val="004C3E6A"/>
    <w:rsid w:val="004C64E1"/>
    <w:rsid w:val="004C6995"/>
    <w:rsid w:val="004D00E4"/>
    <w:rsid w:val="004D0747"/>
    <w:rsid w:val="004D0F26"/>
    <w:rsid w:val="004D1DC8"/>
    <w:rsid w:val="004D2B3D"/>
    <w:rsid w:val="004D7208"/>
    <w:rsid w:val="004E2C1A"/>
    <w:rsid w:val="004E3F93"/>
    <w:rsid w:val="004E46A3"/>
    <w:rsid w:val="004E6423"/>
    <w:rsid w:val="004F03F8"/>
    <w:rsid w:val="004F1140"/>
    <w:rsid w:val="004F1C93"/>
    <w:rsid w:val="004F24C7"/>
    <w:rsid w:val="004F500A"/>
    <w:rsid w:val="004F5E1C"/>
    <w:rsid w:val="004F70A0"/>
    <w:rsid w:val="004F7C65"/>
    <w:rsid w:val="005021FC"/>
    <w:rsid w:val="00502221"/>
    <w:rsid w:val="0050256E"/>
    <w:rsid w:val="0050507F"/>
    <w:rsid w:val="005077C2"/>
    <w:rsid w:val="0050782C"/>
    <w:rsid w:val="005100CB"/>
    <w:rsid w:val="005108AF"/>
    <w:rsid w:val="00511E4E"/>
    <w:rsid w:val="00512B50"/>
    <w:rsid w:val="00513FB2"/>
    <w:rsid w:val="00520E18"/>
    <w:rsid w:val="00524E56"/>
    <w:rsid w:val="00525FC0"/>
    <w:rsid w:val="00530511"/>
    <w:rsid w:val="00531889"/>
    <w:rsid w:val="0053484C"/>
    <w:rsid w:val="0053651E"/>
    <w:rsid w:val="00540434"/>
    <w:rsid w:val="00540AAB"/>
    <w:rsid w:val="00541350"/>
    <w:rsid w:val="00543258"/>
    <w:rsid w:val="00543B23"/>
    <w:rsid w:val="00544D35"/>
    <w:rsid w:val="00546606"/>
    <w:rsid w:val="00546CDF"/>
    <w:rsid w:val="00550B0B"/>
    <w:rsid w:val="00553655"/>
    <w:rsid w:val="00554B58"/>
    <w:rsid w:val="00556D47"/>
    <w:rsid w:val="005572F8"/>
    <w:rsid w:val="00557848"/>
    <w:rsid w:val="005633AF"/>
    <w:rsid w:val="00563D8B"/>
    <w:rsid w:val="0056572B"/>
    <w:rsid w:val="00571160"/>
    <w:rsid w:val="00571AF9"/>
    <w:rsid w:val="00572141"/>
    <w:rsid w:val="0057354F"/>
    <w:rsid w:val="00574335"/>
    <w:rsid w:val="005759FD"/>
    <w:rsid w:val="00576F4D"/>
    <w:rsid w:val="005808AC"/>
    <w:rsid w:val="00580CC3"/>
    <w:rsid w:val="0058229A"/>
    <w:rsid w:val="00583C20"/>
    <w:rsid w:val="005859C3"/>
    <w:rsid w:val="0058634F"/>
    <w:rsid w:val="0058649E"/>
    <w:rsid w:val="005870B0"/>
    <w:rsid w:val="005870D6"/>
    <w:rsid w:val="00593AB9"/>
    <w:rsid w:val="005A031A"/>
    <w:rsid w:val="005A25FE"/>
    <w:rsid w:val="005A2DF9"/>
    <w:rsid w:val="005A3B21"/>
    <w:rsid w:val="005A3BDC"/>
    <w:rsid w:val="005A5641"/>
    <w:rsid w:val="005A63E5"/>
    <w:rsid w:val="005A7FC4"/>
    <w:rsid w:val="005B16A1"/>
    <w:rsid w:val="005B22D6"/>
    <w:rsid w:val="005B2859"/>
    <w:rsid w:val="005B2E04"/>
    <w:rsid w:val="005B7996"/>
    <w:rsid w:val="005C0212"/>
    <w:rsid w:val="005C2EC8"/>
    <w:rsid w:val="005C3399"/>
    <w:rsid w:val="005C4D12"/>
    <w:rsid w:val="005C7B80"/>
    <w:rsid w:val="005D12A9"/>
    <w:rsid w:val="005D32A6"/>
    <w:rsid w:val="005D6306"/>
    <w:rsid w:val="005D6E50"/>
    <w:rsid w:val="005E0462"/>
    <w:rsid w:val="005E05EB"/>
    <w:rsid w:val="005E095C"/>
    <w:rsid w:val="005E3FE2"/>
    <w:rsid w:val="005E67B6"/>
    <w:rsid w:val="005F00BC"/>
    <w:rsid w:val="005F01D6"/>
    <w:rsid w:val="005F0C49"/>
    <w:rsid w:val="006003EF"/>
    <w:rsid w:val="00603C5F"/>
    <w:rsid w:val="00604CB5"/>
    <w:rsid w:val="00605DC1"/>
    <w:rsid w:val="00606F54"/>
    <w:rsid w:val="00607C52"/>
    <w:rsid w:val="0061242E"/>
    <w:rsid w:val="00612DEB"/>
    <w:rsid w:val="00613C89"/>
    <w:rsid w:val="00614343"/>
    <w:rsid w:val="006143CA"/>
    <w:rsid w:val="00614F3A"/>
    <w:rsid w:val="00617619"/>
    <w:rsid w:val="0062227C"/>
    <w:rsid w:val="00623CE3"/>
    <w:rsid w:val="0062457F"/>
    <w:rsid w:val="0062746C"/>
    <w:rsid w:val="00630843"/>
    <w:rsid w:val="00633961"/>
    <w:rsid w:val="00634344"/>
    <w:rsid w:val="00635AAB"/>
    <w:rsid w:val="00636D7E"/>
    <w:rsid w:val="00637691"/>
    <w:rsid w:val="00643395"/>
    <w:rsid w:val="006453B1"/>
    <w:rsid w:val="00650040"/>
    <w:rsid w:val="00651D34"/>
    <w:rsid w:val="00652299"/>
    <w:rsid w:val="00653727"/>
    <w:rsid w:val="00653B06"/>
    <w:rsid w:val="006541C5"/>
    <w:rsid w:val="0065463C"/>
    <w:rsid w:val="006549FC"/>
    <w:rsid w:val="006556EA"/>
    <w:rsid w:val="00660F8F"/>
    <w:rsid w:val="00661982"/>
    <w:rsid w:val="00662B25"/>
    <w:rsid w:val="00662B68"/>
    <w:rsid w:val="006634F5"/>
    <w:rsid w:val="00670065"/>
    <w:rsid w:val="00670FFE"/>
    <w:rsid w:val="006717CA"/>
    <w:rsid w:val="0067282F"/>
    <w:rsid w:val="00674512"/>
    <w:rsid w:val="00674E06"/>
    <w:rsid w:val="00683D16"/>
    <w:rsid w:val="006856BF"/>
    <w:rsid w:val="00687469"/>
    <w:rsid w:val="00690AEC"/>
    <w:rsid w:val="006913FF"/>
    <w:rsid w:val="0069156F"/>
    <w:rsid w:val="00692C41"/>
    <w:rsid w:val="00693842"/>
    <w:rsid w:val="00693EAF"/>
    <w:rsid w:val="0069448C"/>
    <w:rsid w:val="00695FE3"/>
    <w:rsid w:val="006969C6"/>
    <w:rsid w:val="00697508"/>
    <w:rsid w:val="006A112A"/>
    <w:rsid w:val="006A5839"/>
    <w:rsid w:val="006A6668"/>
    <w:rsid w:val="006A6DBD"/>
    <w:rsid w:val="006A6FE4"/>
    <w:rsid w:val="006B7DEF"/>
    <w:rsid w:val="006C284F"/>
    <w:rsid w:val="006C2C07"/>
    <w:rsid w:val="006C4364"/>
    <w:rsid w:val="006C4641"/>
    <w:rsid w:val="006C5F61"/>
    <w:rsid w:val="006D11D9"/>
    <w:rsid w:val="006D15C6"/>
    <w:rsid w:val="006D1665"/>
    <w:rsid w:val="006D19C6"/>
    <w:rsid w:val="006D1CD9"/>
    <w:rsid w:val="006D302A"/>
    <w:rsid w:val="006D3BDA"/>
    <w:rsid w:val="006D5C07"/>
    <w:rsid w:val="006D5F17"/>
    <w:rsid w:val="006D633D"/>
    <w:rsid w:val="006D7774"/>
    <w:rsid w:val="006E116B"/>
    <w:rsid w:val="006E162E"/>
    <w:rsid w:val="006E20E1"/>
    <w:rsid w:val="006E3FC8"/>
    <w:rsid w:val="006E6A42"/>
    <w:rsid w:val="006E7010"/>
    <w:rsid w:val="006F1781"/>
    <w:rsid w:val="006F324E"/>
    <w:rsid w:val="006F7C14"/>
    <w:rsid w:val="0070081E"/>
    <w:rsid w:val="00701302"/>
    <w:rsid w:val="00701FFC"/>
    <w:rsid w:val="00703430"/>
    <w:rsid w:val="00703DE8"/>
    <w:rsid w:val="007046A1"/>
    <w:rsid w:val="007069B4"/>
    <w:rsid w:val="00711176"/>
    <w:rsid w:val="00713D63"/>
    <w:rsid w:val="00714ACE"/>
    <w:rsid w:val="00714AF6"/>
    <w:rsid w:val="00714D07"/>
    <w:rsid w:val="00715344"/>
    <w:rsid w:val="00721DF3"/>
    <w:rsid w:val="00724094"/>
    <w:rsid w:val="00725CB2"/>
    <w:rsid w:val="00727D9A"/>
    <w:rsid w:val="00727E16"/>
    <w:rsid w:val="00727F88"/>
    <w:rsid w:val="00730A22"/>
    <w:rsid w:val="00731A18"/>
    <w:rsid w:val="00735886"/>
    <w:rsid w:val="007379CC"/>
    <w:rsid w:val="00742D8C"/>
    <w:rsid w:val="00743167"/>
    <w:rsid w:val="00743D11"/>
    <w:rsid w:val="00744B81"/>
    <w:rsid w:val="00745D11"/>
    <w:rsid w:val="00745E78"/>
    <w:rsid w:val="0074733B"/>
    <w:rsid w:val="00753B6B"/>
    <w:rsid w:val="00753FC1"/>
    <w:rsid w:val="0075436A"/>
    <w:rsid w:val="0076027F"/>
    <w:rsid w:val="007617AF"/>
    <w:rsid w:val="00762FF4"/>
    <w:rsid w:val="00767E4F"/>
    <w:rsid w:val="007709C5"/>
    <w:rsid w:val="0077286B"/>
    <w:rsid w:val="00774323"/>
    <w:rsid w:val="00774C5D"/>
    <w:rsid w:val="00774D0E"/>
    <w:rsid w:val="0077549F"/>
    <w:rsid w:val="007771FA"/>
    <w:rsid w:val="007771FF"/>
    <w:rsid w:val="007802EA"/>
    <w:rsid w:val="0078139A"/>
    <w:rsid w:val="00781433"/>
    <w:rsid w:val="0078598E"/>
    <w:rsid w:val="00785BBB"/>
    <w:rsid w:val="00786A20"/>
    <w:rsid w:val="00786A71"/>
    <w:rsid w:val="00787191"/>
    <w:rsid w:val="00792112"/>
    <w:rsid w:val="00792852"/>
    <w:rsid w:val="00793482"/>
    <w:rsid w:val="007952FD"/>
    <w:rsid w:val="007971F6"/>
    <w:rsid w:val="007A1E66"/>
    <w:rsid w:val="007A349E"/>
    <w:rsid w:val="007B0168"/>
    <w:rsid w:val="007B2E7D"/>
    <w:rsid w:val="007B390F"/>
    <w:rsid w:val="007B5AAD"/>
    <w:rsid w:val="007B5F67"/>
    <w:rsid w:val="007B6B92"/>
    <w:rsid w:val="007B77DE"/>
    <w:rsid w:val="007C229E"/>
    <w:rsid w:val="007C2AD0"/>
    <w:rsid w:val="007C2FDB"/>
    <w:rsid w:val="007C4804"/>
    <w:rsid w:val="007C4D3A"/>
    <w:rsid w:val="007C6459"/>
    <w:rsid w:val="007D14DE"/>
    <w:rsid w:val="007D190D"/>
    <w:rsid w:val="007D1AFE"/>
    <w:rsid w:val="007D3622"/>
    <w:rsid w:val="007D4085"/>
    <w:rsid w:val="007D46A6"/>
    <w:rsid w:val="007E09BB"/>
    <w:rsid w:val="007E10B4"/>
    <w:rsid w:val="007E1CDB"/>
    <w:rsid w:val="007E2F93"/>
    <w:rsid w:val="007E4495"/>
    <w:rsid w:val="007F0202"/>
    <w:rsid w:val="007F0E17"/>
    <w:rsid w:val="007F2494"/>
    <w:rsid w:val="007F284F"/>
    <w:rsid w:val="008006D4"/>
    <w:rsid w:val="00801DA4"/>
    <w:rsid w:val="00802A8E"/>
    <w:rsid w:val="00803C19"/>
    <w:rsid w:val="00805905"/>
    <w:rsid w:val="00805A28"/>
    <w:rsid w:val="00810E75"/>
    <w:rsid w:val="008124B1"/>
    <w:rsid w:val="008124BA"/>
    <w:rsid w:val="0081303F"/>
    <w:rsid w:val="0081410F"/>
    <w:rsid w:val="00816489"/>
    <w:rsid w:val="00816F26"/>
    <w:rsid w:val="00817986"/>
    <w:rsid w:val="008213E9"/>
    <w:rsid w:val="00821E79"/>
    <w:rsid w:val="008243A2"/>
    <w:rsid w:val="00824E9C"/>
    <w:rsid w:val="00827E0A"/>
    <w:rsid w:val="00831AB2"/>
    <w:rsid w:val="00833897"/>
    <w:rsid w:val="00835EBC"/>
    <w:rsid w:val="0083638C"/>
    <w:rsid w:val="00836574"/>
    <w:rsid w:val="00836823"/>
    <w:rsid w:val="008372B5"/>
    <w:rsid w:val="008401BF"/>
    <w:rsid w:val="00840352"/>
    <w:rsid w:val="00840A77"/>
    <w:rsid w:val="00840F9B"/>
    <w:rsid w:val="00841614"/>
    <w:rsid w:val="008424C5"/>
    <w:rsid w:val="00842E64"/>
    <w:rsid w:val="00844E69"/>
    <w:rsid w:val="00844EDB"/>
    <w:rsid w:val="0084514D"/>
    <w:rsid w:val="008471AE"/>
    <w:rsid w:val="0084786A"/>
    <w:rsid w:val="00847ABE"/>
    <w:rsid w:val="00850EA6"/>
    <w:rsid w:val="008522AE"/>
    <w:rsid w:val="008561C2"/>
    <w:rsid w:val="0085686C"/>
    <w:rsid w:val="00857814"/>
    <w:rsid w:val="00860116"/>
    <w:rsid w:val="00860520"/>
    <w:rsid w:val="0086105C"/>
    <w:rsid w:val="00862125"/>
    <w:rsid w:val="008651BB"/>
    <w:rsid w:val="00870820"/>
    <w:rsid w:val="008771A8"/>
    <w:rsid w:val="008774C7"/>
    <w:rsid w:val="00881332"/>
    <w:rsid w:val="008816FC"/>
    <w:rsid w:val="00883DBD"/>
    <w:rsid w:val="00884149"/>
    <w:rsid w:val="00884985"/>
    <w:rsid w:val="00885127"/>
    <w:rsid w:val="00890E9B"/>
    <w:rsid w:val="00892EDE"/>
    <w:rsid w:val="008932D7"/>
    <w:rsid w:val="00893958"/>
    <w:rsid w:val="008977C5"/>
    <w:rsid w:val="008A0301"/>
    <w:rsid w:val="008A057B"/>
    <w:rsid w:val="008A0964"/>
    <w:rsid w:val="008A11DA"/>
    <w:rsid w:val="008A1F51"/>
    <w:rsid w:val="008A37D4"/>
    <w:rsid w:val="008A43D1"/>
    <w:rsid w:val="008A5C0B"/>
    <w:rsid w:val="008A788D"/>
    <w:rsid w:val="008A7F84"/>
    <w:rsid w:val="008B109F"/>
    <w:rsid w:val="008B16BD"/>
    <w:rsid w:val="008B229C"/>
    <w:rsid w:val="008B2AC3"/>
    <w:rsid w:val="008C09FD"/>
    <w:rsid w:val="008C4021"/>
    <w:rsid w:val="008C641B"/>
    <w:rsid w:val="008D086E"/>
    <w:rsid w:val="008D3AF6"/>
    <w:rsid w:val="008D47FD"/>
    <w:rsid w:val="008D56E1"/>
    <w:rsid w:val="008D5B2F"/>
    <w:rsid w:val="008E5F61"/>
    <w:rsid w:val="008E6F38"/>
    <w:rsid w:val="008E73FD"/>
    <w:rsid w:val="008F11DE"/>
    <w:rsid w:val="008F1E9D"/>
    <w:rsid w:val="008F2D09"/>
    <w:rsid w:val="008F2F7A"/>
    <w:rsid w:val="008F3173"/>
    <w:rsid w:val="008F334C"/>
    <w:rsid w:val="008F4472"/>
    <w:rsid w:val="008F6657"/>
    <w:rsid w:val="009012E5"/>
    <w:rsid w:val="00901639"/>
    <w:rsid w:val="009029C3"/>
    <w:rsid w:val="00904A48"/>
    <w:rsid w:val="00905409"/>
    <w:rsid w:val="00905B20"/>
    <w:rsid w:val="009071A3"/>
    <w:rsid w:val="00907902"/>
    <w:rsid w:val="00911471"/>
    <w:rsid w:val="009116BA"/>
    <w:rsid w:val="00912081"/>
    <w:rsid w:val="009124DA"/>
    <w:rsid w:val="00914717"/>
    <w:rsid w:val="00920BF0"/>
    <w:rsid w:val="009218D1"/>
    <w:rsid w:val="00924C85"/>
    <w:rsid w:val="00927D61"/>
    <w:rsid w:val="00932970"/>
    <w:rsid w:val="00932A42"/>
    <w:rsid w:val="00935CFF"/>
    <w:rsid w:val="00936A69"/>
    <w:rsid w:val="00937DCA"/>
    <w:rsid w:val="00940F1C"/>
    <w:rsid w:val="0094204F"/>
    <w:rsid w:val="00943CF4"/>
    <w:rsid w:val="00950A1F"/>
    <w:rsid w:val="00950B57"/>
    <w:rsid w:val="00952B83"/>
    <w:rsid w:val="00954DFD"/>
    <w:rsid w:val="009565B7"/>
    <w:rsid w:val="00956E57"/>
    <w:rsid w:val="0096127F"/>
    <w:rsid w:val="00964792"/>
    <w:rsid w:val="00964B3D"/>
    <w:rsid w:val="0096511F"/>
    <w:rsid w:val="00965BCA"/>
    <w:rsid w:val="009667F0"/>
    <w:rsid w:val="009711DB"/>
    <w:rsid w:val="00971201"/>
    <w:rsid w:val="00973402"/>
    <w:rsid w:val="00973477"/>
    <w:rsid w:val="00974E37"/>
    <w:rsid w:val="0097525D"/>
    <w:rsid w:val="009755A6"/>
    <w:rsid w:val="00975A81"/>
    <w:rsid w:val="0097613D"/>
    <w:rsid w:val="00982C52"/>
    <w:rsid w:val="009906C3"/>
    <w:rsid w:val="009921AB"/>
    <w:rsid w:val="0099432B"/>
    <w:rsid w:val="0099490D"/>
    <w:rsid w:val="00995766"/>
    <w:rsid w:val="009A0118"/>
    <w:rsid w:val="009A144D"/>
    <w:rsid w:val="009A24D2"/>
    <w:rsid w:val="009A6074"/>
    <w:rsid w:val="009A77F9"/>
    <w:rsid w:val="009B0D8F"/>
    <w:rsid w:val="009B5A53"/>
    <w:rsid w:val="009B6600"/>
    <w:rsid w:val="009B73C6"/>
    <w:rsid w:val="009B7CB2"/>
    <w:rsid w:val="009C12D8"/>
    <w:rsid w:val="009C16E1"/>
    <w:rsid w:val="009C1812"/>
    <w:rsid w:val="009C32E7"/>
    <w:rsid w:val="009C3F4E"/>
    <w:rsid w:val="009C6188"/>
    <w:rsid w:val="009D0676"/>
    <w:rsid w:val="009D3A62"/>
    <w:rsid w:val="009D3ECA"/>
    <w:rsid w:val="009D47AF"/>
    <w:rsid w:val="009D5E01"/>
    <w:rsid w:val="009D62B0"/>
    <w:rsid w:val="009E3A1C"/>
    <w:rsid w:val="009E5760"/>
    <w:rsid w:val="009E648F"/>
    <w:rsid w:val="009E7183"/>
    <w:rsid w:val="009F09AF"/>
    <w:rsid w:val="009F1516"/>
    <w:rsid w:val="009F1CA9"/>
    <w:rsid w:val="009F25D4"/>
    <w:rsid w:val="009F34FC"/>
    <w:rsid w:val="009F358F"/>
    <w:rsid w:val="009F3D14"/>
    <w:rsid w:val="009F3E0A"/>
    <w:rsid w:val="009F3E35"/>
    <w:rsid w:val="009F5D7E"/>
    <w:rsid w:val="009F7C0A"/>
    <w:rsid w:val="00A00808"/>
    <w:rsid w:val="00A00CE6"/>
    <w:rsid w:val="00A01C53"/>
    <w:rsid w:val="00A02E41"/>
    <w:rsid w:val="00A043C4"/>
    <w:rsid w:val="00A053AF"/>
    <w:rsid w:val="00A05B86"/>
    <w:rsid w:val="00A05CDB"/>
    <w:rsid w:val="00A05E6C"/>
    <w:rsid w:val="00A06DAE"/>
    <w:rsid w:val="00A10C11"/>
    <w:rsid w:val="00A112E6"/>
    <w:rsid w:val="00A114C6"/>
    <w:rsid w:val="00A16E7F"/>
    <w:rsid w:val="00A17C04"/>
    <w:rsid w:val="00A20B9D"/>
    <w:rsid w:val="00A23BAF"/>
    <w:rsid w:val="00A24129"/>
    <w:rsid w:val="00A249D3"/>
    <w:rsid w:val="00A253E6"/>
    <w:rsid w:val="00A25B3D"/>
    <w:rsid w:val="00A25FB9"/>
    <w:rsid w:val="00A261E8"/>
    <w:rsid w:val="00A269BE"/>
    <w:rsid w:val="00A26B2B"/>
    <w:rsid w:val="00A2732D"/>
    <w:rsid w:val="00A27601"/>
    <w:rsid w:val="00A276DA"/>
    <w:rsid w:val="00A330E1"/>
    <w:rsid w:val="00A34409"/>
    <w:rsid w:val="00A344EA"/>
    <w:rsid w:val="00A35250"/>
    <w:rsid w:val="00A3559E"/>
    <w:rsid w:val="00A36FBF"/>
    <w:rsid w:val="00A37E1A"/>
    <w:rsid w:val="00A40923"/>
    <w:rsid w:val="00A417FC"/>
    <w:rsid w:val="00A42568"/>
    <w:rsid w:val="00A45BA2"/>
    <w:rsid w:val="00A4779E"/>
    <w:rsid w:val="00A51FEA"/>
    <w:rsid w:val="00A54538"/>
    <w:rsid w:val="00A560BA"/>
    <w:rsid w:val="00A60D67"/>
    <w:rsid w:val="00A63A36"/>
    <w:rsid w:val="00A67A74"/>
    <w:rsid w:val="00A70480"/>
    <w:rsid w:val="00A70F24"/>
    <w:rsid w:val="00A72B47"/>
    <w:rsid w:val="00A73062"/>
    <w:rsid w:val="00A73585"/>
    <w:rsid w:val="00A76EFF"/>
    <w:rsid w:val="00A81A85"/>
    <w:rsid w:val="00A846AC"/>
    <w:rsid w:val="00A85581"/>
    <w:rsid w:val="00A85BC6"/>
    <w:rsid w:val="00A86320"/>
    <w:rsid w:val="00A86840"/>
    <w:rsid w:val="00A86A08"/>
    <w:rsid w:val="00A87FA0"/>
    <w:rsid w:val="00A90040"/>
    <w:rsid w:val="00A909C6"/>
    <w:rsid w:val="00A91C76"/>
    <w:rsid w:val="00A93B2C"/>
    <w:rsid w:val="00A94A03"/>
    <w:rsid w:val="00A96027"/>
    <w:rsid w:val="00A9610A"/>
    <w:rsid w:val="00A9629D"/>
    <w:rsid w:val="00AA1BB1"/>
    <w:rsid w:val="00AA4A16"/>
    <w:rsid w:val="00AA4E75"/>
    <w:rsid w:val="00AA5A2F"/>
    <w:rsid w:val="00AA6788"/>
    <w:rsid w:val="00AB0A3C"/>
    <w:rsid w:val="00AB3942"/>
    <w:rsid w:val="00AB6E85"/>
    <w:rsid w:val="00AC107F"/>
    <w:rsid w:val="00AC1F7C"/>
    <w:rsid w:val="00AC2115"/>
    <w:rsid w:val="00AC21CC"/>
    <w:rsid w:val="00AC4895"/>
    <w:rsid w:val="00AC4AA1"/>
    <w:rsid w:val="00AC5480"/>
    <w:rsid w:val="00AD4462"/>
    <w:rsid w:val="00AD4F7C"/>
    <w:rsid w:val="00AD68C0"/>
    <w:rsid w:val="00AE0844"/>
    <w:rsid w:val="00AE1DE4"/>
    <w:rsid w:val="00AE2C5E"/>
    <w:rsid w:val="00AE2EC6"/>
    <w:rsid w:val="00AE3BB2"/>
    <w:rsid w:val="00AE50CD"/>
    <w:rsid w:val="00AE5202"/>
    <w:rsid w:val="00AE5271"/>
    <w:rsid w:val="00AE6A6B"/>
    <w:rsid w:val="00AE73BD"/>
    <w:rsid w:val="00AE77B7"/>
    <w:rsid w:val="00AF1473"/>
    <w:rsid w:val="00AF2C92"/>
    <w:rsid w:val="00AF33D4"/>
    <w:rsid w:val="00AF42AA"/>
    <w:rsid w:val="00AF5D5C"/>
    <w:rsid w:val="00AF70AF"/>
    <w:rsid w:val="00B0058F"/>
    <w:rsid w:val="00B0133C"/>
    <w:rsid w:val="00B0164E"/>
    <w:rsid w:val="00B032A9"/>
    <w:rsid w:val="00B03B9E"/>
    <w:rsid w:val="00B05439"/>
    <w:rsid w:val="00B06393"/>
    <w:rsid w:val="00B07298"/>
    <w:rsid w:val="00B116BF"/>
    <w:rsid w:val="00B14999"/>
    <w:rsid w:val="00B15ADC"/>
    <w:rsid w:val="00B1741A"/>
    <w:rsid w:val="00B176B0"/>
    <w:rsid w:val="00B20318"/>
    <w:rsid w:val="00B21086"/>
    <w:rsid w:val="00B22169"/>
    <w:rsid w:val="00B23A1A"/>
    <w:rsid w:val="00B23C06"/>
    <w:rsid w:val="00B23D07"/>
    <w:rsid w:val="00B262EE"/>
    <w:rsid w:val="00B272B6"/>
    <w:rsid w:val="00B31D09"/>
    <w:rsid w:val="00B352F5"/>
    <w:rsid w:val="00B42341"/>
    <w:rsid w:val="00B435D7"/>
    <w:rsid w:val="00B4448A"/>
    <w:rsid w:val="00B459DF"/>
    <w:rsid w:val="00B466B8"/>
    <w:rsid w:val="00B470DA"/>
    <w:rsid w:val="00B47D9C"/>
    <w:rsid w:val="00B51274"/>
    <w:rsid w:val="00B548EB"/>
    <w:rsid w:val="00B550F3"/>
    <w:rsid w:val="00B55347"/>
    <w:rsid w:val="00B55356"/>
    <w:rsid w:val="00B56BBF"/>
    <w:rsid w:val="00B57E3A"/>
    <w:rsid w:val="00B60745"/>
    <w:rsid w:val="00B60B76"/>
    <w:rsid w:val="00B64F2F"/>
    <w:rsid w:val="00B65943"/>
    <w:rsid w:val="00B703A8"/>
    <w:rsid w:val="00B738DB"/>
    <w:rsid w:val="00B742BB"/>
    <w:rsid w:val="00B774E7"/>
    <w:rsid w:val="00B77E27"/>
    <w:rsid w:val="00B80BE1"/>
    <w:rsid w:val="00B81140"/>
    <w:rsid w:val="00B82100"/>
    <w:rsid w:val="00B82D3F"/>
    <w:rsid w:val="00B83201"/>
    <w:rsid w:val="00B84B6C"/>
    <w:rsid w:val="00B85B72"/>
    <w:rsid w:val="00B90DEB"/>
    <w:rsid w:val="00B93ACD"/>
    <w:rsid w:val="00B95856"/>
    <w:rsid w:val="00BA06C6"/>
    <w:rsid w:val="00BA0FDC"/>
    <w:rsid w:val="00BA220E"/>
    <w:rsid w:val="00BA3AD3"/>
    <w:rsid w:val="00BA435A"/>
    <w:rsid w:val="00BA65A6"/>
    <w:rsid w:val="00BB1FED"/>
    <w:rsid w:val="00BB3197"/>
    <w:rsid w:val="00BB330E"/>
    <w:rsid w:val="00BB42F4"/>
    <w:rsid w:val="00BB4455"/>
    <w:rsid w:val="00BB6763"/>
    <w:rsid w:val="00BB6EA8"/>
    <w:rsid w:val="00BC309C"/>
    <w:rsid w:val="00BC4D20"/>
    <w:rsid w:val="00BC5F89"/>
    <w:rsid w:val="00BC6C96"/>
    <w:rsid w:val="00BC7221"/>
    <w:rsid w:val="00BC762C"/>
    <w:rsid w:val="00BD0C2B"/>
    <w:rsid w:val="00BD0CDD"/>
    <w:rsid w:val="00BD17B9"/>
    <w:rsid w:val="00BD3A8B"/>
    <w:rsid w:val="00BD63DB"/>
    <w:rsid w:val="00BE0BE5"/>
    <w:rsid w:val="00BE2104"/>
    <w:rsid w:val="00BE2BFC"/>
    <w:rsid w:val="00BE61A1"/>
    <w:rsid w:val="00BE64A8"/>
    <w:rsid w:val="00BE671E"/>
    <w:rsid w:val="00BF0106"/>
    <w:rsid w:val="00BF5502"/>
    <w:rsid w:val="00BF63E1"/>
    <w:rsid w:val="00C01DE1"/>
    <w:rsid w:val="00C060C3"/>
    <w:rsid w:val="00C1140A"/>
    <w:rsid w:val="00C12BD0"/>
    <w:rsid w:val="00C14090"/>
    <w:rsid w:val="00C14342"/>
    <w:rsid w:val="00C157DB"/>
    <w:rsid w:val="00C15E0B"/>
    <w:rsid w:val="00C1657F"/>
    <w:rsid w:val="00C17A76"/>
    <w:rsid w:val="00C219F3"/>
    <w:rsid w:val="00C23DB7"/>
    <w:rsid w:val="00C242C8"/>
    <w:rsid w:val="00C24543"/>
    <w:rsid w:val="00C27E65"/>
    <w:rsid w:val="00C376E9"/>
    <w:rsid w:val="00C41364"/>
    <w:rsid w:val="00C42357"/>
    <w:rsid w:val="00C428B0"/>
    <w:rsid w:val="00C43557"/>
    <w:rsid w:val="00C43B1D"/>
    <w:rsid w:val="00C4479A"/>
    <w:rsid w:val="00C45848"/>
    <w:rsid w:val="00C46D14"/>
    <w:rsid w:val="00C47D7F"/>
    <w:rsid w:val="00C47ED7"/>
    <w:rsid w:val="00C522C8"/>
    <w:rsid w:val="00C52952"/>
    <w:rsid w:val="00C53984"/>
    <w:rsid w:val="00C53AB5"/>
    <w:rsid w:val="00C54009"/>
    <w:rsid w:val="00C55811"/>
    <w:rsid w:val="00C56B37"/>
    <w:rsid w:val="00C579EF"/>
    <w:rsid w:val="00C61E23"/>
    <w:rsid w:val="00C629BF"/>
    <w:rsid w:val="00C62AC3"/>
    <w:rsid w:val="00C62F69"/>
    <w:rsid w:val="00C65A27"/>
    <w:rsid w:val="00C7044B"/>
    <w:rsid w:val="00C70554"/>
    <w:rsid w:val="00C71D78"/>
    <w:rsid w:val="00C7226A"/>
    <w:rsid w:val="00C722D0"/>
    <w:rsid w:val="00C734B6"/>
    <w:rsid w:val="00C7436E"/>
    <w:rsid w:val="00C7473B"/>
    <w:rsid w:val="00C752D5"/>
    <w:rsid w:val="00C77F5B"/>
    <w:rsid w:val="00C81EF8"/>
    <w:rsid w:val="00C83519"/>
    <w:rsid w:val="00C84BB0"/>
    <w:rsid w:val="00C851AF"/>
    <w:rsid w:val="00C85EB0"/>
    <w:rsid w:val="00C86CE7"/>
    <w:rsid w:val="00C86F7B"/>
    <w:rsid w:val="00C9000A"/>
    <w:rsid w:val="00C90922"/>
    <w:rsid w:val="00C91A34"/>
    <w:rsid w:val="00C92E44"/>
    <w:rsid w:val="00C9385A"/>
    <w:rsid w:val="00C9568E"/>
    <w:rsid w:val="00CA14A8"/>
    <w:rsid w:val="00CA18B3"/>
    <w:rsid w:val="00CA3949"/>
    <w:rsid w:val="00CA63A6"/>
    <w:rsid w:val="00CA6ADC"/>
    <w:rsid w:val="00CB3226"/>
    <w:rsid w:val="00CB6FAB"/>
    <w:rsid w:val="00CC0140"/>
    <w:rsid w:val="00CC5259"/>
    <w:rsid w:val="00CC5C67"/>
    <w:rsid w:val="00CC717B"/>
    <w:rsid w:val="00CC76CF"/>
    <w:rsid w:val="00CD1015"/>
    <w:rsid w:val="00CD257F"/>
    <w:rsid w:val="00CD4A04"/>
    <w:rsid w:val="00CD684F"/>
    <w:rsid w:val="00CD7B7C"/>
    <w:rsid w:val="00CE0BB0"/>
    <w:rsid w:val="00CE1A24"/>
    <w:rsid w:val="00CE57F0"/>
    <w:rsid w:val="00CE6E75"/>
    <w:rsid w:val="00CE7CB0"/>
    <w:rsid w:val="00CF0E9F"/>
    <w:rsid w:val="00CF1D4C"/>
    <w:rsid w:val="00CF7459"/>
    <w:rsid w:val="00CF7BAA"/>
    <w:rsid w:val="00D01B94"/>
    <w:rsid w:val="00D02201"/>
    <w:rsid w:val="00D065F7"/>
    <w:rsid w:val="00D070C7"/>
    <w:rsid w:val="00D10CA9"/>
    <w:rsid w:val="00D12F43"/>
    <w:rsid w:val="00D162CD"/>
    <w:rsid w:val="00D2099C"/>
    <w:rsid w:val="00D21E73"/>
    <w:rsid w:val="00D25A6B"/>
    <w:rsid w:val="00D265D8"/>
    <w:rsid w:val="00D26704"/>
    <w:rsid w:val="00D27986"/>
    <w:rsid w:val="00D30429"/>
    <w:rsid w:val="00D306B4"/>
    <w:rsid w:val="00D31DE7"/>
    <w:rsid w:val="00D33958"/>
    <w:rsid w:val="00D3504C"/>
    <w:rsid w:val="00D35083"/>
    <w:rsid w:val="00D368A3"/>
    <w:rsid w:val="00D372FA"/>
    <w:rsid w:val="00D40BAE"/>
    <w:rsid w:val="00D417B3"/>
    <w:rsid w:val="00D4342B"/>
    <w:rsid w:val="00D43665"/>
    <w:rsid w:val="00D45379"/>
    <w:rsid w:val="00D464F1"/>
    <w:rsid w:val="00D47ACD"/>
    <w:rsid w:val="00D50B31"/>
    <w:rsid w:val="00D51D39"/>
    <w:rsid w:val="00D527CE"/>
    <w:rsid w:val="00D535DF"/>
    <w:rsid w:val="00D55688"/>
    <w:rsid w:val="00D55EEB"/>
    <w:rsid w:val="00D60245"/>
    <w:rsid w:val="00D6153E"/>
    <w:rsid w:val="00D662C1"/>
    <w:rsid w:val="00D70C9B"/>
    <w:rsid w:val="00D73B3F"/>
    <w:rsid w:val="00D778E3"/>
    <w:rsid w:val="00D77E69"/>
    <w:rsid w:val="00D80D25"/>
    <w:rsid w:val="00D8277E"/>
    <w:rsid w:val="00D8373A"/>
    <w:rsid w:val="00D84191"/>
    <w:rsid w:val="00D85290"/>
    <w:rsid w:val="00D8567D"/>
    <w:rsid w:val="00D856E7"/>
    <w:rsid w:val="00D85EC7"/>
    <w:rsid w:val="00D91155"/>
    <w:rsid w:val="00D91556"/>
    <w:rsid w:val="00D93300"/>
    <w:rsid w:val="00D9362C"/>
    <w:rsid w:val="00D939B7"/>
    <w:rsid w:val="00D9774E"/>
    <w:rsid w:val="00DA1340"/>
    <w:rsid w:val="00DA1EF6"/>
    <w:rsid w:val="00DA309F"/>
    <w:rsid w:val="00DA5451"/>
    <w:rsid w:val="00DB00F7"/>
    <w:rsid w:val="00DB1D91"/>
    <w:rsid w:val="00DB41FC"/>
    <w:rsid w:val="00DC054A"/>
    <w:rsid w:val="00DC1DD2"/>
    <w:rsid w:val="00DC55CF"/>
    <w:rsid w:val="00DC68EA"/>
    <w:rsid w:val="00DC74A2"/>
    <w:rsid w:val="00DD0A16"/>
    <w:rsid w:val="00DD1BFF"/>
    <w:rsid w:val="00DD1D79"/>
    <w:rsid w:val="00DD7CC1"/>
    <w:rsid w:val="00DE0AA4"/>
    <w:rsid w:val="00DE2403"/>
    <w:rsid w:val="00DE4816"/>
    <w:rsid w:val="00DE6B3D"/>
    <w:rsid w:val="00DE6F24"/>
    <w:rsid w:val="00DE7264"/>
    <w:rsid w:val="00DE78FD"/>
    <w:rsid w:val="00DF0CAF"/>
    <w:rsid w:val="00DF1B1F"/>
    <w:rsid w:val="00DF2397"/>
    <w:rsid w:val="00DF25C7"/>
    <w:rsid w:val="00DF2735"/>
    <w:rsid w:val="00DF2E32"/>
    <w:rsid w:val="00DF321E"/>
    <w:rsid w:val="00DF3EE9"/>
    <w:rsid w:val="00E02222"/>
    <w:rsid w:val="00E0292C"/>
    <w:rsid w:val="00E0575C"/>
    <w:rsid w:val="00E06350"/>
    <w:rsid w:val="00E068BF"/>
    <w:rsid w:val="00E06FC4"/>
    <w:rsid w:val="00E0769B"/>
    <w:rsid w:val="00E101B2"/>
    <w:rsid w:val="00E11DDF"/>
    <w:rsid w:val="00E13089"/>
    <w:rsid w:val="00E15909"/>
    <w:rsid w:val="00E17572"/>
    <w:rsid w:val="00E21C0A"/>
    <w:rsid w:val="00E2386A"/>
    <w:rsid w:val="00E23B8A"/>
    <w:rsid w:val="00E2563B"/>
    <w:rsid w:val="00E2658A"/>
    <w:rsid w:val="00E267D9"/>
    <w:rsid w:val="00E30029"/>
    <w:rsid w:val="00E30AA2"/>
    <w:rsid w:val="00E3114A"/>
    <w:rsid w:val="00E329E1"/>
    <w:rsid w:val="00E32E93"/>
    <w:rsid w:val="00E330C8"/>
    <w:rsid w:val="00E35708"/>
    <w:rsid w:val="00E364C8"/>
    <w:rsid w:val="00E40508"/>
    <w:rsid w:val="00E4192D"/>
    <w:rsid w:val="00E42B1D"/>
    <w:rsid w:val="00E4627C"/>
    <w:rsid w:val="00E46D2F"/>
    <w:rsid w:val="00E545CC"/>
    <w:rsid w:val="00E60C89"/>
    <w:rsid w:val="00E62CB9"/>
    <w:rsid w:val="00E638E9"/>
    <w:rsid w:val="00E64160"/>
    <w:rsid w:val="00E64757"/>
    <w:rsid w:val="00E65C95"/>
    <w:rsid w:val="00E65DB6"/>
    <w:rsid w:val="00E6638F"/>
    <w:rsid w:val="00E67746"/>
    <w:rsid w:val="00E67F86"/>
    <w:rsid w:val="00E71559"/>
    <w:rsid w:val="00E72475"/>
    <w:rsid w:val="00E733A6"/>
    <w:rsid w:val="00E76B28"/>
    <w:rsid w:val="00E77569"/>
    <w:rsid w:val="00E77AC1"/>
    <w:rsid w:val="00E80C57"/>
    <w:rsid w:val="00E80EF0"/>
    <w:rsid w:val="00E820E0"/>
    <w:rsid w:val="00E825AB"/>
    <w:rsid w:val="00E8284C"/>
    <w:rsid w:val="00E85F41"/>
    <w:rsid w:val="00E8628B"/>
    <w:rsid w:val="00E86ADE"/>
    <w:rsid w:val="00E90DBC"/>
    <w:rsid w:val="00E917F7"/>
    <w:rsid w:val="00E921C6"/>
    <w:rsid w:val="00E94B5A"/>
    <w:rsid w:val="00E94FCF"/>
    <w:rsid w:val="00E965A9"/>
    <w:rsid w:val="00EA0B1A"/>
    <w:rsid w:val="00EA2B78"/>
    <w:rsid w:val="00EA4427"/>
    <w:rsid w:val="00EB0301"/>
    <w:rsid w:val="00EB2CFA"/>
    <w:rsid w:val="00EB6AAB"/>
    <w:rsid w:val="00EB7CDA"/>
    <w:rsid w:val="00EC0970"/>
    <w:rsid w:val="00EC1104"/>
    <w:rsid w:val="00EC4444"/>
    <w:rsid w:val="00EC4C2B"/>
    <w:rsid w:val="00EC5C5A"/>
    <w:rsid w:val="00ED0271"/>
    <w:rsid w:val="00ED18AF"/>
    <w:rsid w:val="00ED23C6"/>
    <w:rsid w:val="00ED49C5"/>
    <w:rsid w:val="00EE057A"/>
    <w:rsid w:val="00EE0740"/>
    <w:rsid w:val="00EE099A"/>
    <w:rsid w:val="00EE0B44"/>
    <w:rsid w:val="00EE0C26"/>
    <w:rsid w:val="00EE0C28"/>
    <w:rsid w:val="00EE0D06"/>
    <w:rsid w:val="00EE34C5"/>
    <w:rsid w:val="00EF00DC"/>
    <w:rsid w:val="00EF2421"/>
    <w:rsid w:val="00EF2D32"/>
    <w:rsid w:val="00EF32DB"/>
    <w:rsid w:val="00EF43F8"/>
    <w:rsid w:val="00EF700E"/>
    <w:rsid w:val="00F0048F"/>
    <w:rsid w:val="00F00504"/>
    <w:rsid w:val="00F01F14"/>
    <w:rsid w:val="00F049EE"/>
    <w:rsid w:val="00F109BE"/>
    <w:rsid w:val="00F125C1"/>
    <w:rsid w:val="00F12A24"/>
    <w:rsid w:val="00F15DEB"/>
    <w:rsid w:val="00F16881"/>
    <w:rsid w:val="00F16D80"/>
    <w:rsid w:val="00F23C5D"/>
    <w:rsid w:val="00F23FE3"/>
    <w:rsid w:val="00F24E47"/>
    <w:rsid w:val="00F2530A"/>
    <w:rsid w:val="00F26DC8"/>
    <w:rsid w:val="00F304ED"/>
    <w:rsid w:val="00F307ED"/>
    <w:rsid w:val="00F34107"/>
    <w:rsid w:val="00F34843"/>
    <w:rsid w:val="00F34E48"/>
    <w:rsid w:val="00F35253"/>
    <w:rsid w:val="00F364F9"/>
    <w:rsid w:val="00F37984"/>
    <w:rsid w:val="00F37E13"/>
    <w:rsid w:val="00F37FC8"/>
    <w:rsid w:val="00F4075A"/>
    <w:rsid w:val="00F408D2"/>
    <w:rsid w:val="00F41F55"/>
    <w:rsid w:val="00F43344"/>
    <w:rsid w:val="00F4442D"/>
    <w:rsid w:val="00F45389"/>
    <w:rsid w:val="00F454D9"/>
    <w:rsid w:val="00F458BD"/>
    <w:rsid w:val="00F50143"/>
    <w:rsid w:val="00F53B17"/>
    <w:rsid w:val="00F540BA"/>
    <w:rsid w:val="00F558DF"/>
    <w:rsid w:val="00F56848"/>
    <w:rsid w:val="00F619D7"/>
    <w:rsid w:val="00F62556"/>
    <w:rsid w:val="00F64F2A"/>
    <w:rsid w:val="00F66DE6"/>
    <w:rsid w:val="00F702ED"/>
    <w:rsid w:val="00F7054B"/>
    <w:rsid w:val="00F71268"/>
    <w:rsid w:val="00F72978"/>
    <w:rsid w:val="00F72DFC"/>
    <w:rsid w:val="00F72FD3"/>
    <w:rsid w:val="00F7439B"/>
    <w:rsid w:val="00F7494A"/>
    <w:rsid w:val="00F75ADA"/>
    <w:rsid w:val="00F8046A"/>
    <w:rsid w:val="00F813C2"/>
    <w:rsid w:val="00F81806"/>
    <w:rsid w:val="00F84C4C"/>
    <w:rsid w:val="00F85961"/>
    <w:rsid w:val="00F85B88"/>
    <w:rsid w:val="00F8761B"/>
    <w:rsid w:val="00F87715"/>
    <w:rsid w:val="00F9178F"/>
    <w:rsid w:val="00F91CE9"/>
    <w:rsid w:val="00F928E1"/>
    <w:rsid w:val="00F92BF7"/>
    <w:rsid w:val="00F92C51"/>
    <w:rsid w:val="00F92CE7"/>
    <w:rsid w:val="00F94AA0"/>
    <w:rsid w:val="00F958AD"/>
    <w:rsid w:val="00F96BD3"/>
    <w:rsid w:val="00FA006E"/>
    <w:rsid w:val="00FA1C8F"/>
    <w:rsid w:val="00FA5BC5"/>
    <w:rsid w:val="00FA6AFB"/>
    <w:rsid w:val="00FA7056"/>
    <w:rsid w:val="00FB06F0"/>
    <w:rsid w:val="00FB19E8"/>
    <w:rsid w:val="00FB4DAF"/>
    <w:rsid w:val="00FB4DE1"/>
    <w:rsid w:val="00FB5A6C"/>
    <w:rsid w:val="00FB6A57"/>
    <w:rsid w:val="00FC289A"/>
    <w:rsid w:val="00FC32FD"/>
    <w:rsid w:val="00FC3EBB"/>
    <w:rsid w:val="00FC41C6"/>
    <w:rsid w:val="00FC5304"/>
    <w:rsid w:val="00FC70CE"/>
    <w:rsid w:val="00FC7ED9"/>
    <w:rsid w:val="00FD0767"/>
    <w:rsid w:val="00FD09CA"/>
    <w:rsid w:val="00FD2CDD"/>
    <w:rsid w:val="00FD6026"/>
    <w:rsid w:val="00FD6191"/>
    <w:rsid w:val="00FD6D5D"/>
    <w:rsid w:val="00FD7CD3"/>
    <w:rsid w:val="00FE2DE7"/>
    <w:rsid w:val="00FE542F"/>
    <w:rsid w:val="00FE55FD"/>
    <w:rsid w:val="00FF1471"/>
    <w:rsid w:val="00FF23B9"/>
    <w:rsid w:val="00FF31F3"/>
    <w:rsid w:val="00FF3A28"/>
    <w:rsid w:val="00FF4289"/>
    <w:rsid w:val="00FF4B00"/>
    <w:rsid w:val="00FF4DF6"/>
    <w:rsid w:val="00FF5383"/>
    <w:rsid w:val="00FF57A3"/>
    <w:rsid w:val="00FF5D80"/>
    <w:rsid w:val="00FF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FF"/>
    <w:rPr>
      <w:sz w:val="24"/>
    </w:rPr>
  </w:style>
  <w:style w:type="paragraph" w:styleId="Heading1">
    <w:name w:val="heading 1"/>
    <w:basedOn w:val="Normal"/>
    <w:next w:val="Normal"/>
    <w:link w:val="Heading1Char"/>
    <w:uiPriority w:val="9"/>
    <w:qFormat/>
    <w:rsid w:val="004D00E4"/>
    <w:pPr>
      <w:widowControl w:val="0"/>
      <w:spacing w:line="480" w:lineRule="auto"/>
      <w:jc w:val="center"/>
      <w:outlineLvl w:val="0"/>
    </w:pPr>
    <w:rPr>
      <w:b/>
      <w:szCs w:val="24"/>
    </w:rPr>
  </w:style>
  <w:style w:type="paragraph" w:styleId="Heading2">
    <w:name w:val="heading 2"/>
    <w:basedOn w:val="ListParagraph"/>
    <w:next w:val="Normal"/>
    <w:link w:val="Heading2Char"/>
    <w:uiPriority w:val="9"/>
    <w:unhideWhenUsed/>
    <w:qFormat/>
    <w:rsid w:val="004D1DC8"/>
    <w:pPr>
      <w:spacing w:after="360"/>
      <w:ind w:hanging="720"/>
      <w:outlineLvl w:val="1"/>
    </w:pPr>
    <w:rPr>
      <w:b/>
    </w:rPr>
  </w:style>
  <w:style w:type="paragraph" w:styleId="Heading3">
    <w:name w:val="heading 3"/>
    <w:basedOn w:val="Heading2"/>
    <w:next w:val="Normal"/>
    <w:link w:val="Heading3Char"/>
    <w:uiPriority w:val="9"/>
    <w:unhideWhenUsed/>
    <w:qFormat/>
    <w:rsid w:val="00AD68C0"/>
    <w:pPr>
      <w:ind w:left="144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0865FF"/>
    <w:rPr>
      <w:sz w:val="24"/>
      <w:szCs w:val="24"/>
    </w:rPr>
  </w:style>
  <w:style w:type="paragraph" w:customStyle="1" w:styleId="Level1">
    <w:name w:val="Level 1"/>
    <w:basedOn w:val="Normal"/>
    <w:uiPriority w:val="99"/>
    <w:rsid w:val="00D26704"/>
    <w:pPr>
      <w:widowControl w:val="0"/>
    </w:pPr>
  </w:style>
  <w:style w:type="paragraph" w:customStyle="1" w:styleId="Level2">
    <w:name w:val="Level 2"/>
    <w:basedOn w:val="Normal"/>
    <w:uiPriority w:val="99"/>
    <w:rsid w:val="00D26704"/>
    <w:pPr>
      <w:widowControl w:val="0"/>
    </w:pPr>
  </w:style>
  <w:style w:type="paragraph" w:customStyle="1" w:styleId="Level3">
    <w:name w:val="Level 3"/>
    <w:basedOn w:val="Normal"/>
    <w:rsid w:val="00D26704"/>
    <w:pPr>
      <w:widowControl w:val="0"/>
    </w:pPr>
  </w:style>
  <w:style w:type="paragraph" w:customStyle="1" w:styleId="Level4">
    <w:name w:val="Level 4"/>
    <w:basedOn w:val="Normal"/>
    <w:rsid w:val="00D26704"/>
    <w:pPr>
      <w:widowControl w:val="0"/>
    </w:pPr>
  </w:style>
  <w:style w:type="paragraph" w:customStyle="1" w:styleId="Level5">
    <w:name w:val="Level 5"/>
    <w:basedOn w:val="Normal"/>
    <w:rsid w:val="00D26704"/>
    <w:pPr>
      <w:widowControl w:val="0"/>
    </w:pPr>
  </w:style>
  <w:style w:type="paragraph" w:customStyle="1" w:styleId="Level6">
    <w:name w:val="Level 6"/>
    <w:basedOn w:val="Normal"/>
    <w:rsid w:val="00D26704"/>
    <w:pPr>
      <w:widowControl w:val="0"/>
    </w:pPr>
  </w:style>
  <w:style w:type="paragraph" w:customStyle="1" w:styleId="Level7">
    <w:name w:val="Level 7"/>
    <w:basedOn w:val="Normal"/>
    <w:rsid w:val="00D26704"/>
    <w:pPr>
      <w:widowControl w:val="0"/>
    </w:pPr>
  </w:style>
  <w:style w:type="paragraph" w:customStyle="1" w:styleId="Level8">
    <w:name w:val="Level 8"/>
    <w:basedOn w:val="Normal"/>
    <w:rsid w:val="00D26704"/>
    <w:pPr>
      <w:widowControl w:val="0"/>
    </w:pPr>
  </w:style>
  <w:style w:type="paragraph" w:customStyle="1" w:styleId="Level9">
    <w:name w:val="Level 9"/>
    <w:basedOn w:val="Normal"/>
    <w:rsid w:val="00D26704"/>
    <w:pPr>
      <w:widowControl w:val="0"/>
    </w:pPr>
    <w:rPr>
      <w:b/>
    </w:rPr>
  </w:style>
  <w:style w:type="paragraph" w:styleId="FootnoteText">
    <w:name w:val="footnote text"/>
    <w:basedOn w:val="Normal"/>
    <w:link w:val="FootnoteTextChar"/>
    <w:uiPriority w:val="99"/>
    <w:rsid w:val="000865FF"/>
    <w:pPr>
      <w:widowControl w:val="0"/>
      <w:spacing w:after="240"/>
      <w:ind w:left="720" w:hanging="720"/>
    </w:pPr>
    <w:rPr>
      <w:szCs w:val="24"/>
    </w:rPr>
  </w:style>
  <w:style w:type="character" w:styleId="FootnoteReference">
    <w:name w:val="footnote reference"/>
    <w:basedOn w:val="DefaultParagraphFont"/>
    <w:uiPriority w:val="99"/>
    <w:rsid w:val="00D26704"/>
    <w:rPr>
      <w:vertAlign w:val="superscript"/>
    </w:rPr>
  </w:style>
  <w:style w:type="paragraph" w:customStyle="1" w:styleId="26">
    <w:name w:val="_26"/>
    <w:basedOn w:val="Normal"/>
    <w:rsid w:val="00D26704"/>
    <w:pPr>
      <w:widowControl w:val="0"/>
    </w:pPr>
  </w:style>
  <w:style w:type="paragraph" w:customStyle="1" w:styleId="25">
    <w:name w:val="_25"/>
    <w:basedOn w:val="Normal"/>
    <w:rsid w:val="00D267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NormalWeb">
    <w:name w:val="Normal (Web)"/>
    <w:basedOn w:val="Normal"/>
    <w:rsid w:val="00D26704"/>
  </w:style>
  <w:style w:type="paragraph" w:customStyle="1" w:styleId="24">
    <w:name w:val="_24"/>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D26704"/>
    <w:pPr>
      <w:tabs>
        <w:tab w:val="left" w:pos="5040"/>
        <w:tab w:val="left" w:pos="5760"/>
        <w:tab w:val="left" w:pos="6480"/>
        <w:tab w:val="left" w:pos="7200"/>
        <w:tab w:val="left" w:pos="7920"/>
        <w:tab w:val="left" w:pos="8640"/>
      </w:tabs>
      <w:ind w:left="5040"/>
    </w:pPr>
  </w:style>
  <w:style w:type="paragraph" w:customStyle="1" w:styleId="19">
    <w:name w:val="_19"/>
    <w:basedOn w:val="Normal"/>
    <w:rsid w:val="00D26704"/>
    <w:pPr>
      <w:tabs>
        <w:tab w:val="left" w:pos="5760"/>
        <w:tab w:val="left" w:pos="6480"/>
        <w:tab w:val="left" w:pos="7200"/>
        <w:tab w:val="left" w:pos="7920"/>
        <w:tab w:val="left" w:pos="8640"/>
      </w:tabs>
      <w:ind w:left="5760"/>
    </w:pPr>
  </w:style>
  <w:style w:type="paragraph" w:customStyle="1" w:styleId="18">
    <w:name w:val="_18"/>
    <w:basedOn w:val="Normal"/>
    <w:rsid w:val="00D26704"/>
    <w:pPr>
      <w:tabs>
        <w:tab w:val="left" w:pos="6480"/>
        <w:tab w:val="left" w:pos="7200"/>
        <w:tab w:val="left" w:pos="7920"/>
        <w:tab w:val="left" w:pos="8640"/>
      </w:tabs>
      <w:ind w:left="6480"/>
    </w:pPr>
  </w:style>
  <w:style w:type="paragraph" w:customStyle="1" w:styleId="17">
    <w:name w:val="_17"/>
    <w:basedOn w:val="Normal"/>
    <w:rsid w:val="00D26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D267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D26704"/>
    <w:pPr>
      <w:tabs>
        <w:tab w:val="left" w:pos="5040"/>
        <w:tab w:val="left" w:pos="5760"/>
        <w:tab w:val="left" w:pos="6480"/>
        <w:tab w:val="left" w:pos="7200"/>
        <w:tab w:val="left" w:pos="7920"/>
        <w:tab w:val="left" w:pos="8640"/>
      </w:tabs>
      <w:ind w:left="5040"/>
    </w:pPr>
  </w:style>
  <w:style w:type="paragraph" w:customStyle="1" w:styleId="10">
    <w:name w:val="_10"/>
    <w:basedOn w:val="Normal"/>
    <w:rsid w:val="00D26704"/>
    <w:pPr>
      <w:tabs>
        <w:tab w:val="left" w:pos="5760"/>
        <w:tab w:val="left" w:pos="6480"/>
        <w:tab w:val="left" w:pos="7200"/>
        <w:tab w:val="left" w:pos="7920"/>
        <w:tab w:val="left" w:pos="8640"/>
      </w:tabs>
      <w:ind w:left="5760"/>
    </w:pPr>
  </w:style>
  <w:style w:type="paragraph" w:customStyle="1" w:styleId="9">
    <w:name w:val="_9"/>
    <w:basedOn w:val="Normal"/>
    <w:rsid w:val="00D26704"/>
    <w:pPr>
      <w:tabs>
        <w:tab w:val="left" w:pos="6480"/>
        <w:tab w:val="left" w:pos="7200"/>
        <w:tab w:val="left" w:pos="7920"/>
        <w:tab w:val="left" w:pos="8640"/>
      </w:tabs>
      <w:ind w:left="6480"/>
    </w:pPr>
  </w:style>
  <w:style w:type="paragraph" w:customStyle="1" w:styleId="8">
    <w:name w:val="_8"/>
    <w:basedOn w:val="Normal"/>
    <w:rsid w:val="00D26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D267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D26704"/>
    <w:pPr>
      <w:tabs>
        <w:tab w:val="left" w:pos="5040"/>
        <w:tab w:val="left" w:pos="5760"/>
        <w:tab w:val="left" w:pos="6480"/>
        <w:tab w:val="left" w:pos="7200"/>
        <w:tab w:val="left" w:pos="7920"/>
        <w:tab w:val="left" w:pos="8640"/>
      </w:tabs>
      <w:ind w:left="5040"/>
    </w:pPr>
  </w:style>
  <w:style w:type="paragraph" w:customStyle="1" w:styleId="1">
    <w:name w:val="_1"/>
    <w:basedOn w:val="Normal"/>
    <w:rsid w:val="00D26704"/>
    <w:pPr>
      <w:tabs>
        <w:tab w:val="left" w:pos="5760"/>
        <w:tab w:val="left" w:pos="6480"/>
        <w:tab w:val="left" w:pos="7200"/>
        <w:tab w:val="left" w:pos="7920"/>
        <w:tab w:val="left" w:pos="8640"/>
      </w:tabs>
      <w:ind w:left="5760"/>
    </w:pPr>
  </w:style>
  <w:style w:type="paragraph" w:customStyle="1" w:styleId="a">
    <w:name w:val="_"/>
    <w:basedOn w:val="Normal"/>
    <w:rsid w:val="00D26704"/>
    <w:pPr>
      <w:tabs>
        <w:tab w:val="left" w:pos="6480"/>
        <w:tab w:val="left" w:pos="7200"/>
        <w:tab w:val="left" w:pos="7920"/>
        <w:tab w:val="left" w:pos="8640"/>
      </w:tabs>
      <w:ind w:left="6480"/>
    </w:pPr>
  </w:style>
  <w:style w:type="character" w:customStyle="1" w:styleId="DefaultPara">
    <w:name w:val="Default Para"/>
    <w:basedOn w:val="DefaultParagraphFont"/>
    <w:rsid w:val="00D26704"/>
  </w:style>
  <w:style w:type="paragraph" w:customStyle="1" w:styleId="a0">
    <w:name w:val="آ"/>
    <w:basedOn w:val="Normal"/>
    <w:rsid w:val="00D26704"/>
  </w:style>
  <w:style w:type="character" w:customStyle="1" w:styleId="documentbody">
    <w:name w:val="documentbody"/>
    <w:basedOn w:val="DefaultParagraphFont"/>
    <w:rsid w:val="009F1516"/>
  </w:style>
  <w:style w:type="character" w:styleId="Hyperlink">
    <w:name w:val="Hyperlink"/>
    <w:basedOn w:val="DefaultParagraphFont"/>
    <w:uiPriority w:val="99"/>
    <w:unhideWhenUsed/>
    <w:rsid w:val="00CF7459"/>
    <w:rPr>
      <w:color w:val="0000FF"/>
      <w:u w:val="single"/>
    </w:rPr>
  </w:style>
  <w:style w:type="paragraph" w:styleId="ListParagraph">
    <w:name w:val="List Paragraph"/>
    <w:basedOn w:val="Normal"/>
    <w:uiPriority w:val="34"/>
    <w:qFormat/>
    <w:rsid w:val="002A2259"/>
    <w:pPr>
      <w:ind w:left="720"/>
      <w:contextualSpacing/>
    </w:pPr>
  </w:style>
  <w:style w:type="paragraph" w:styleId="Footer">
    <w:name w:val="footer"/>
    <w:basedOn w:val="Normal"/>
    <w:link w:val="FooterChar"/>
    <w:uiPriority w:val="99"/>
    <w:unhideWhenUsed/>
    <w:rsid w:val="004B6BD4"/>
    <w:pPr>
      <w:tabs>
        <w:tab w:val="center" w:pos="4680"/>
        <w:tab w:val="right" w:pos="9360"/>
      </w:tabs>
    </w:pPr>
  </w:style>
  <w:style w:type="character" w:customStyle="1" w:styleId="FooterChar">
    <w:name w:val="Footer Char"/>
    <w:basedOn w:val="DefaultParagraphFont"/>
    <w:link w:val="Footer"/>
    <w:uiPriority w:val="99"/>
    <w:rsid w:val="004B6BD4"/>
    <w:rPr>
      <w:sz w:val="24"/>
    </w:rPr>
  </w:style>
  <w:style w:type="paragraph" w:styleId="Header">
    <w:name w:val="header"/>
    <w:basedOn w:val="Normal"/>
    <w:link w:val="HeaderChar"/>
    <w:uiPriority w:val="99"/>
    <w:semiHidden/>
    <w:unhideWhenUsed/>
    <w:rsid w:val="002E181C"/>
    <w:pPr>
      <w:tabs>
        <w:tab w:val="center" w:pos="4680"/>
        <w:tab w:val="right" w:pos="9360"/>
      </w:tabs>
    </w:pPr>
  </w:style>
  <w:style w:type="character" w:customStyle="1" w:styleId="HeaderChar">
    <w:name w:val="Header Char"/>
    <w:basedOn w:val="DefaultParagraphFont"/>
    <w:link w:val="Header"/>
    <w:uiPriority w:val="99"/>
    <w:semiHidden/>
    <w:rsid w:val="002E181C"/>
    <w:rPr>
      <w:sz w:val="24"/>
    </w:rPr>
  </w:style>
  <w:style w:type="character" w:customStyle="1" w:styleId="FootnoteTextChar1">
    <w:name w:val="Footnote Text Char1"/>
    <w:basedOn w:val="DefaultParagraphFont"/>
    <w:uiPriority w:val="99"/>
    <w:semiHidden/>
    <w:locked/>
    <w:rsid w:val="00AE3BB2"/>
    <w:rPr>
      <w:rFonts w:eastAsia="Calibri"/>
      <w:sz w:val="24"/>
      <w:szCs w:val="24"/>
    </w:rPr>
  </w:style>
  <w:style w:type="paragraph" w:customStyle="1" w:styleId="ParaNumbers">
    <w:name w:val="Para Numbers"/>
    <w:uiPriority w:val="99"/>
    <w:rsid w:val="00F87715"/>
    <w:pPr>
      <w:autoSpaceDE w:val="0"/>
      <w:autoSpaceDN w:val="0"/>
      <w:adjustRightInd w:val="0"/>
    </w:pPr>
    <w:rPr>
      <w:rFonts w:eastAsia="Calibri"/>
      <w:sz w:val="24"/>
      <w:szCs w:val="24"/>
    </w:rPr>
  </w:style>
  <w:style w:type="character" w:styleId="CommentReference">
    <w:name w:val="annotation reference"/>
    <w:basedOn w:val="DefaultParagraphFont"/>
    <w:uiPriority w:val="99"/>
    <w:semiHidden/>
    <w:unhideWhenUsed/>
    <w:rsid w:val="00DF0CAF"/>
    <w:rPr>
      <w:sz w:val="16"/>
      <w:szCs w:val="16"/>
    </w:rPr>
  </w:style>
  <w:style w:type="paragraph" w:styleId="CommentText">
    <w:name w:val="annotation text"/>
    <w:basedOn w:val="Normal"/>
    <w:link w:val="CommentTextChar"/>
    <w:uiPriority w:val="99"/>
    <w:semiHidden/>
    <w:unhideWhenUsed/>
    <w:rsid w:val="00DF0CAF"/>
    <w:rPr>
      <w:sz w:val="20"/>
    </w:rPr>
  </w:style>
  <w:style w:type="character" w:customStyle="1" w:styleId="CommentTextChar">
    <w:name w:val="Comment Text Char"/>
    <w:basedOn w:val="DefaultParagraphFont"/>
    <w:link w:val="CommentText"/>
    <w:uiPriority w:val="99"/>
    <w:semiHidden/>
    <w:rsid w:val="00DF0CAF"/>
  </w:style>
  <w:style w:type="paragraph" w:styleId="CommentSubject">
    <w:name w:val="annotation subject"/>
    <w:basedOn w:val="CommentText"/>
    <w:next w:val="CommentText"/>
    <w:link w:val="CommentSubjectChar"/>
    <w:uiPriority w:val="99"/>
    <w:semiHidden/>
    <w:unhideWhenUsed/>
    <w:rsid w:val="00DF0CAF"/>
    <w:rPr>
      <w:b/>
      <w:bCs/>
    </w:rPr>
  </w:style>
  <w:style w:type="character" w:customStyle="1" w:styleId="CommentSubjectChar">
    <w:name w:val="Comment Subject Char"/>
    <w:basedOn w:val="CommentTextChar"/>
    <w:link w:val="CommentSubject"/>
    <w:uiPriority w:val="99"/>
    <w:semiHidden/>
    <w:rsid w:val="00DF0CAF"/>
    <w:rPr>
      <w:b/>
      <w:bCs/>
    </w:rPr>
  </w:style>
  <w:style w:type="paragraph" w:styleId="BalloonText">
    <w:name w:val="Balloon Text"/>
    <w:basedOn w:val="Normal"/>
    <w:link w:val="BalloonTextChar"/>
    <w:uiPriority w:val="99"/>
    <w:semiHidden/>
    <w:unhideWhenUsed/>
    <w:rsid w:val="00DF0CAF"/>
    <w:rPr>
      <w:rFonts w:ascii="Tahoma" w:hAnsi="Tahoma" w:cs="Tahoma"/>
      <w:sz w:val="16"/>
      <w:szCs w:val="16"/>
    </w:rPr>
  </w:style>
  <w:style w:type="character" w:customStyle="1" w:styleId="BalloonTextChar">
    <w:name w:val="Balloon Text Char"/>
    <w:basedOn w:val="DefaultParagraphFont"/>
    <w:link w:val="BalloonText"/>
    <w:uiPriority w:val="99"/>
    <w:semiHidden/>
    <w:rsid w:val="00DF0CAF"/>
    <w:rPr>
      <w:rFonts w:ascii="Tahoma" w:hAnsi="Tahoma" w:cs="Tahoma"/>
      <w:sz w:val="16"/>
      <w:szCs w:val="16"/>
    </w:rPr>
  </w:style>
  <w:style w:type="paragraph" w:styleId="BlockText">
    <w:name w:val="Block Text"/>
    <w:basedOn w:val="Normal"/>
    <w:uiPriority w:val="99"/>
    <w:unhideWhenUsed/>
    <w:rsid w:val="00CC0140"/>
    <w:pPr>
      <w:autoSpaceDE w:val="0"/>
      <w:autoSpaceDN w:val="0"/>
      <w:adjustRightInd w:val="0"/>
      <w:spacing w:after="120"/>
      <w:ind w:left="1440" w:right="1440"/>
    </w:pPr>
    <w:rPr>
      <w:rFonts w:eastAsia="Calibri"/>
    </w:rPr>
  </w:style>
  <w:style w:type="character" w:customStyle="1" w:styleId="Heading3Char">
    <w:name w:val="Heading 3 Char"/>
    <w:basedOn w:val="DefaultParagraphFont"/>
    <w:link w:val="Heading3"/>
    <w:uiPriority w:val="9"/>
    <w:rsid w:val="00AD68C0"/>
    <w:rPr>
      <w:sz w:val="24"/>
    </w:rPr>
  </w:style>
  <w:style w:type="character" w:styleId="FollowedHyperlink">
    <w:name w:val="FollowedHyperlink"/>
    <w:basedOn w:val="DefaultParagraphFont"/>
    <w:uiPriority w:val="99"/>
    <w:semiHidden/>
    <w:unhideWhenUsed/>
    <w:rsid w:val="00057DAE"/>
    <w:rPr>
      <w:color w:val="800080"/>
      <w:u w:val="single"/>
    </w:rPr>
  </w:style>
  <w:style w:type="paragraph" w:styleId="NoSpacing">
    <w:name w:val="No Spacing"/>
    <w:uiPriority w:val="1"/>
    <w:qFormat/>
    <w:rsid w:val="00A90040"/>
    <w:pPr>
      <w:autoSpaceDE w:val="0"/>
      <w:autoSpaceDN w:val="0"/>
      <w:adjustRightInd w:val="0"/>
      <w:ind w:firstLine="720"/>
    </w:pPr>
    <w:rPr>
      <w:rFonts w:ascii="Century Schoolbook" w:hAnsi="Century Schoolbook" w:cs="Segoe Print"/>
      <w:sz w:val="24"/>
      <w:szCs w:val="24"/>
    </w:rPr>
  </w:style>
  <w:style w:type="character" w:styleId="Emphasis">
    <w:name w:val="Emphasis"/>
    <w:basedOn w:val="DefaultParagraphFont"/>
    <w:uiPriority w:val="20"/>
    <w:qFormat/>
    <w:rsid w:val="000139C1"/>
    <w:rPr>
      <w:i/>
      <w:iCs/>
    </w:rPr>
  </w:style>
  <w:style w:type="character" w:customStyle="1" w:styleId="resultsublistitem">
    <w:name w:val="resultsublistitem"/>
    <w:basedOn w:val="DefaultParagraphFont"/>
    <w:rsid w:val="00F12A24"/>
  </w:style>
  <w:style w:type="character" w:customStyle="1" w:styleId="apple-converted-space">
    <w:name w:val="apple-converted-space"/>
    <w:basedOn w:val="DefaultParagraphFont"/>
    <w:rsid w:val="00E30AA2"/>
  </w:style>
  <w:style w:type="table" w:styleId="TableGrid">
    <w:name w:val="Table Grid"/>
    <w:basedOn w:val="TableNormal"/>
    <w:uiPriority w:val="59"/>
    <w:rsid w:val="007B6B92"/>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00E4"/>
    <w:rPr>
      <w:b/>
      <w:sz w:val="24"/>
      <w:szCs w:val="24"/>
    </w:rPr>
  </w:style>
  <w:style w:type="character" w:customStyle="1" w:styleId="Heading2Char">
    <w:name w:val="Heading 2 Char"/>
    <w:basedOn w:val="DefaultParagraphFont"/>
    <w:link w:val="Heading2"/>
    <w:uiPriority w:val="9"/>
    <w:rsid w:val="004D1DC8"/>
    <w:rPr>
      <w:b/>
      <w:sz w:val="24"/>
    </w:rPr>
  </w:style>
  <w:style w:type="character" w:customStyle="1" w:styleId="term1">
    <w:name w:val="term1"/>
    <w:basedOn w:val="DefaultParagraphFont"/>
    <w:rsid w:val="008D086E"/>
    <w:rPr>
      <w:b/>
      <w:bCs/>
    </w:rPr>
  </w:style>
  <w:style w:type="paragraph" w:styleId="Quote">
    <w:name w:val="Quote"/>
    <w:basedOn w:val="Normal"/>
    <w:next w:val="Normal"/>
    <w:link w:val="QuoteChar"/>
    <w:uiPriority w:val="29"/>
    <w:qFormat/>
    <w:rsid w:val="00B83201"/>
    <w:rPr>
      <w:i/>
      <w:iCs/>
      <w:color w:val="000000"/>
    </w:rPr>
  </w:style>
  <w:style w:type="character" w:customStyle="1" w:styleId="QuoteChar">
    <w:name w:val="Quote Char"/>
    <w:basedOn w:val="DefaultParagraphFont"/>
    <w:link w:val="Quote"/>
    <w:uiPriority w:val="29"/>
    <w:rsid w:val="00B83201"/>
    <w:rPr>
      <w:i/>
      <w:iCs/>
      <w:color w:val="000000"/>
      <w:sz w:val="24"/>
    </w:rPr>
  </w:style>
  <w:style w:type="paragraph" w:styleId="Revision">
    <w:name w:val="Revision"/>
    <w:hidden/>
    <w:uiPriority w:val="99"/>
    <w:semiHidden/>
    <w:rsid w:val="00EA0B1A"/>
    <w:rPr>
      <w:sz w:val="24"/>
    </w:rPr>
  </w:style>
  <w:style w:type="character" w:styleId="Strong">
    <w:name w:val="Strong"/>
    <w:basedOn w:val="DefaultParagraphFont"/>
    <w:uiPriority w:val="22"/>
    <w:qFormat/>
    <w:rsid w:val="00905409"/>
    <w:rPr>
      <w:b/>
      <w:bCs/>
    </w:rPr>
  </w:style>
  <w:style w:type="paragraph" w:styleId="EndnoteText">
    <w:name w:val="endnote text"/>
    <w:basedOn w:val="Normal"/>
    <w:link w:val="EndnoteTextChar"/>
    <w:uiPriority w:val="99"/>
    <w:semiHidden/>
    <w:unhideWhenUsed/>
    <w:rsid w:val="0057354F"/>
    <w:rPr>
      <w:sz w:val="20"/>
    </w:rPr>
  </w:style>
  <w:style w:type="character" w:customStyle="1" w:styleId="EndnoteTextChar">
    <w:name w:val="Endnote Text Char"/>
    <w:basedOn w:val="DefaultParagraphFont"/>
    <w:link w:val="EndnoteText"/>
    <w:uiPriority w:val="99"/>
    <w:semiHidden/>
    <w:rsid w:val="0057354F"/>
  </w:style>
  <w:style w:type="character" w:styleId="EndnoteReference">
    <w:name w:val="endnote reference"/>
    <w:basedOn w:val="DefaultParagraphFont"/>
    <w:uiPriority w:val="99"/>
    <w:semiHidden/>
    <w:unhideWhenUsed/>
    <w:rsid w:val="0057354F"/>
    <w:rPr>
      <w:vertAlign w:val="superscript"/>
    </w:rPr>
  </w:style>
</w:styles>
</file>

<file path=word/webSettings.xml><?xml version="1.0" encoding="utf-8"?>
<w:webSettings xmlns:r="http://schemas.openxmlformats.org/officeDocument/2006/relationships" xmlns:w="http://schemas.openxmlformats.org/wordprocessingml/2006/main">
  <w:divs>
    <w:div w:id="311253816">
      <w:bodyDiv w:val="1"/>
      <w:marLeft w:val="0"/>
      <w:marRight w:val="0"/>
      <w:marTop w:val="0"/>
      <w:marBottom w:val="0"/>
      <w:divBdr>
        <w:top w:val="none" w:sz="0" w:space="0" w:color="auto"/>
        <w:left w:val="none" w:sz="0" w:space="0" w:color="auto"/>
        <w:bottom w:val="none" w:sz="0" w:space="0" w:color="auto"/>
        <w:right w:val="none" w:sz="0" w:space="0" w:color="auto"/>
      </w:divBdr>
      <w:divsChild>
        <w:div w:id="948661543">
          <w:marLeft w:val="0"/>
          <w:marRight w:val="0"/>
          <w:marTop w:val="0"/>
          <w:marBottom w:val="0"/>
          <w:divBdr>
            <w:top w:val="none" w:sz="0" w:space="0" w:color="auto"/>
            <w:left w:val="none" w:sz="0" w:space="0" w:color="auto"/>
            <w:bottom w:val="none" w:sz="0" w:space="0" w:color="auto"/>
            <w:right w:val="none" w:sz="0" w:space="0" w:color="auto"/>
          </w:divBdr>
          <w:divsChild>
            <w:div w:id="435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5289">
      <w:bodyDiv w:val="1"/>
      <w:marLeft w:val="0"/>
      <w:marRight w:val="0"/>
      <w:marTop w:val="0"/>
      <w:marBottom w:val="0"/>
      <w:divBdr>
        <w:top w:val="none" w:sz="0" w:space="0" w:color="auto"/>
        <w:left w:val="none" w:sz="0" w:space="0" w:color="auto"/>
        <w:bottom w:val="none" w:sz="0" w:space="0" w:color="auto"/>
        <w:right w:val="none" w:sz="0" w:space="0" w:color="auto"/>
      </w:divBdr>
    </w:div>
    <w:div w:id="463893716">
      <w:bodyDiv w:val="1"/>
      <w:marLeft w:val="0"/>
      <w:marRight w:val="0"/>
      <w:marTop w:val="0"/>
      <w:marBottom w:val="0"/>
      <w:divBdr>
        <w:top w:val="none" w:sz="0" w:space="0" w:color="auto"/>
        <w:left w:val="none" w:sz="0" w:space="0" w:color="auto"/>
        <w:bottom w:val="none" w:sz="0" w:space="0" w:color="auto"/>
        <w:right w:val="none" w:sz="0" w:space="0" w:color="auto"/>
      </w:divBdr>
    </w:div>
    <w:div w:id="612592245">
      <w:bodyDiv w:val="1"/>
      <w:marLeft w:val="0"/>
      <w:marRight w:val="0"/>
      <w:marTop w:val="0"/>
      <w:marBottom w:val="0"/>
      <w:divBdr>
        <w:top w:val="none" w:sz="0" w:space="0" w:color="auto"/>
        <w:left w:val="none" w:sz="0" w:space="0" w:color="auto"/>
        <w:bottom w:val="none" w:sz="0" w:space="0" w:color="auto"/>
        <w:right w:val="none" w:sz="0" w:space="0" w:color="auto"/>
      </w:divBdr>
    </w:div>
    <w:div w:id="845753115">
      <w:bodyDiv w:val="1"/>
      <w:marLeft w:val="0"/>
      <w:marRight w:val="0"/>
      <w:marTop w:val="0"/>
      <w:marBottom w:val="0"/>
      <w:divBdr>
        <w:top w:val="none" w:sz="0" w:space="0" w:color="auto"/>
        <w:left w:val="none" w:sz="0" w:space="0" w:color="auto"/>
        <w:bottom w:val="none" w:sz="0" w:space="0" w:color="auto"/>
        <w:right w:val="none" w:sz="0" w:space="0" w:color="auto"/>
      </w:divBdr>
    </w:div>
    <w:div w:id="932588024">
      <w:bodyDiv w:val="1"/>
      <w:marLeft w:val="0"/>
      <w:marRight w:val="0"/>
      <w:marTop w:val="0"/>
      <w:marBottom w:val="0"/>
      <w:divBdr>
        <w:top w:val="none" w:sz="0" w:space="0" w:color="auto"/>
        <w:left w:val="none" w:sz="0" w:space="0" w:color="auto"/>
        <w:bottom w:val="none" w:sz="0" w:space="0" w:color="auto"/>
        <w:right w:val="none" w:sz="0" w:space="0" w:color="auto"/>
      </w:divBdr>
    </w:div>
    <w:div w:id="1003437036">
      <w:bodyDiv w:val="1"/>
      <w:marLeft w:val="0"/>
      <w:marRight w:val="0"/>
      <w:marTop w:val="0"/>
      <w:marBottom w:val="0"/>
      <w:divBdr>
        <w:top w:val="none" w:sz="0" w:space="0" w:color="auto"/>
        <w:left w:val="none" w:sz="0" w:space="0" w:color="auto"/>
        <w:bottom w:val="none" w:sz="0" w:space="0" w:color="auto"/>
        <w:right w:val="none" w:sz="0" w:space="0" w:color="auto"/>
      </w:divBdr>
    </w:div>
    <w:div w:id="1182359034">
      <w:bodyDiv w:val="1"/>
      <w:marLeft w:val="0"/>
      <w:marRight w:val="0"/>
      <w:marTop w:val="0"/>
      <w:marBottom w:val="0"/>
      <w:divBdr>
        <w:top w:val="none" w:sz="0" w:space="0" w:color="auto"/>
        <w:left w:val="none" w:sz="0" w:space="0" w:color="auto"/>
        <w:bottom w:val="none" w:sz="0" w:space="0" w:color="auto"/>
        <w:right w:val="none" w:sz="0" w:space="0" w:color="auto"/>
      </w:divBdr>
    </w:div>
    <w:div w:id="1267233538">
      <w:bodyDiv w:val="1"/>
      <w:marLeft w:val="0"/>
      <w:marRight w:val="0"/>
      <w:marTop w:val="0"/>
      <w:marBottom w:val="0"/>
      <w:divBdr>
        <w:top w:val="none" w:sz="0" w:space="0" w:color="auto"/>
        <w:left w:val="none" w:sz="0" w:space="0" w:color="auto"/>
        <w:bottom w:val="none" w:sz="0" w:space="0" w:color="auto"/>
        <w:right w:val="none" w:sz="0" w:space="0" w:color="auto"/>
      </w:divBdr>
    </w:div>
    <w:div w:id="14489640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871">
          <w:marLeft w:val="0"/>
          <w:marRight w:val="0"/>
          <w:marTop w:val="0"/>
          <w:marBottom w:val="0"/>
          <w:divBdr>
            <w:top w:val="none" w:sz="0" w:space="0" w:color="auto"/>
            <w:left w:val="none" w:sz="0" w:space="0" w:color="auto"/>
            <w:bottom w:val="none" w:sz="0" w:space="0" w:color="auto"/>
            <w:right w:val="none" w:sz="0" w:space="0" w:color="auto"/>
          </w:divBdr>
          <w:divsChild>
            <w:div w:id="1088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428">
      <w:bodyDiv w:val="1"/>
      <w:marLeft w:val="0"/>
      <w:marRight w:val="0"/>
      <w:marTop w:val="0"/>
      <w:marBottom w:val="0"/>
      <w:divBdr>
        <w:top w:val="none" w:sz="0" w:space="0" w:color="auto"/>
        <w:left w:val="none" w:sz="0" w:space="0" w:color="auto"/>
        <w:bottom w:val="none" w:sz="0" w:space="0" w:color="auto"/>
        <w:right w:val="none" w:sz="0" w:space="0" w:color="auto"/>
      </w:divBdr>
      <w:divsChild>
        <w:div w:id="1556118899">
          <w:marLeft w:val="0"/>
          <w:marRight w:val="0"/>
          <w:marTop w:val="0"/>
          <w:marBottom w:val="0"/>
          <w:divBdr>
            <w:top w:val="none" w:sz="0" w:space="0" w:color="auto"/>
            <w:left w:val="none" w:sz="0" w:space="0" w:color="auto"/>
            <w:bottom w:val="none" w:sz="0" w:space="0" w:color="auto"/>
            <w:right w:val="none" w:sz="0" w:space="0" w:color="auto"/>
          </w:divBdr>
          <w:divsChild>
            <w:div w:id="4373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5716">
      <w:bodyDiv w:val="1"/>
      <w:marLeft w:val="0"/>
      <w:marRight w:val="0"/>
      <w:marTop w:val="0"/>
      <w:marBottom w:val="0"/>
      <w:divBdr>
        <w:top w:val="none" w:sz="0" w:space="0" w:color="auto"/>
        <w:left w:val="none" w:sz="0" w:space="0" w:color="auto"/>
        <w:bottom w:val="none" w:sz="0" w:space="0" w:color="auto"/>
        <w:right w:val="none" w:sz="0" w:space="0" w:color="auto"/>
      </w:divBdr>
      <w:divsChild>
        <w:div w:id="598635337">
          <w:marLeft w:val="0"/>
          <w:marRight w:val="0"/>
          <w:marTop w:val="0"/>
          <w:marBottom w:val="0"/>
          <w:divBdr>
            <w:top w:val="none" w:sz="0" w:space="0" w:color="auto"/>
            <w:left w:val="none" w:sz="0" w:space="0" w:color="auto"/>
            <w:bottom w:val="none" w:sz="0" w:space="0" w:color="auto"/>
            <w:right w:val="none" w:sz="0" w:space="0" w:color="auto"/>
          </w:divBdr>
          <w:divsChild>
            <w:div w:id="1005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England@usdoj.gov" TargetMode="External"/><Relationship Id="rId13" Type="http://schemas.openxmlformats.org/officeDocument/2006/relationships/header" Target="header3.xml"/><Relationship Id="rId18" Type="http://schemas.openxmlformats.org/officeDocument/2006/relationships/hyperlink" Target="mailto:jill@nfcfej.org" TargetMode="External"/><Relationship Id="rId26" Type="http://schemas.openxmlformats.org/officeDocument/2006/relationships/hyperlink" Target="mailto:Caryl_Kilinski@doh.State.Fl.Us" TargetMode="External"/><Relationship Id="rId3" Type="http://schemas.openxmlformats.org/officeDocument/2006/relationships/settings" Target="settings.xml"/><Relationship Id="rId21" Type="http://schemas.openxmlformats.org/officeDocument/2006/relationships/hyperlink" Target="mailto:Michael.Austin@dlapiper.com" TargetMode="External"/><Relationship Id="rId7" Type="http://schemas.openxmlformats.org/officeDocument/2006/relationships/hyperlink" Target="mailto:Veronica.Harrell-James@usdoj.gov" TargetMode="External"/><Relationship Id="rId12" Type="http://schemas.openxmlformats.org/officeDocument/2006/relationships/footer" Target="footer2.xml"/><Relationship Id="rId17" Type="http://schemas.openxmlformats.org/officeDocument/2006/relationships/hyperlink" Target="mailto:jamie@nfcfej.org" TargetMode="External"/><Relationship Id="rId25" Type="http://schemas.openxmlformats.org/officeDocument/2006/relationships/hyperlink" Target="mailto:Jennifer_Tschetter@doh.State.Fl.Us" TargetMode="External"/><Relationship Id="rId2" Type="http://schemas.openxmlformats.org/officeDocument/2006/relationships/styles" Target="styles.xml"/><Relationship Id="rId16" Type="http://schemas.openxmlformats.org/officeDocument/2006/relationships/hyperlink" Target="mailto:egrunewald@nfcfej.org" TargetMode="External"/><Relationship Id="rId20" Type="http://schemas.openxmlformats.org/officeDocument/2006/relationships/hyperlink" Target="mailto:matthewdietz@usdisabilitylaw.com" TargetMode="External"/><Relationship Id="rId29" Type="http://schemas.openxmlformats.org/officeDocument/2006/relationships/hyperlink" Target="mailto:Tcrabb@radeylaw.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Andrew.Sheeran@ahca.myflorida.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Leslei.Street@ahca.Myflorida.Com" TargetMode="External"/><Relationship Id="rId28" Type="http://schemas.openxmlformats.org/officeDocument/2006/relationships/hyperlink" Target="mailto:Hthomas@radeylaw.com" TargetMode="External"/><Relationship Id="rId10" Type="http://schemas.openxmlformats.org/officeDocument/2006/relationships/header" Target="header2.xml"/><Relationship Id="rId19" Type="http://schemas.openxmlformats.org/officeDocument/2006/relationships/hyperlink" Target="mailto:pannino@law.fsu.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Stuart.Williams@ahca.myflorida.com" TargetMode="External"/><Relationship Id="rId27" Type="http://schemas.openxmlformats.org/officeDocument/2006/relationships/hyperlink" Target="mailto:Clunny@radeylaw.Com"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flrules.org/gateway/notice_Files.asp?ID=10774098" TargetMode="External"/><Relationship Id="rId3" Type="http://schemas.openxmlformats.org/officeDocument/2006/relationships/hyperlink" Target="http://www.japc.state.fl.us/" TargetMode="External"/><Relationship Id="rId7" Type="http://schemas.openxmlformats.org/officeDocument/2006/relationships/hyperlink" Target="http://www.myfloridahouse.gov/Sections/Documents/loaddoc.aspx?FileName=_s2600er.docx&amp;DocumentType=Bill&amp;BillNumber=2600&amp;Session=2009" TargetMode="External"/><Relationship Id="rId2" Type="http://schemas.openxmlformats.org/officeDocument/2006/relationships/hyperlink" Target="http://portal.flmmis.com/FLPublic/Provider_ProviderSupport/Provider_ProviderSupport_ProviderAlerts/tabId/43/Default.aspx" TargetMode="External"/><Relationship Id="rId1" Type="http://schemas.openxmlformats.org/officeDocument/2006/relationships/hyperlink" Target="http://ahca.myflorida.com/Executive/Communications/Press_Releases/archive/docs/2013/memo_to_the_media_handbook_revisions_FINAL.pdf" TargetMode="External"/><Relationship Id="rId6" Type="http://schemas.openxmlformats.org/officeDocument/2006/relationships/hyperlink" Target="http://www.myfloridahouse.gov/Sections/Documents/loaddoc.aspx?FileName=HB_5001_Enrolled.pdf&amp;DocumentType=Bill&amp;BillNumber=5001&amp;Session=2010" TargetMode="External"/><Relationship Id="rId5" Type="http://schemas.openxmlformats.org/officeDocument/2006/relationships/hyperlink" Target="http://ahca.myflorida.com/Executive/Communications/%20Press_Releases/archive/docs/2013/memo_to_the_media_handbook_revisions_FINAL.pdf" TargetMode="External"/><Relationship Id="rId10" Type="http://schemas.openxmlformats.org/officeDocument/2006/relationships/hyperlink" Target="http://fl.eqhs.org/LinkClick.aspx?fileticket=HgfuC8DE1VY%3d&amp;tabid=263&amp;mid=784" TargetMode="External"/><Relationship Id="rId4" Type="http://schemas.openxmlformats.org/officeDocument/2006/relationships/hyperlink" Target="http://www.japc.state.fl.us/results_detail.cfm?cn=R153291&amp;ruleNo=59G-4.260" TargetMode="External"/><Relationship Id="rId9" Type="http://schemas.openxmlformats.org/officeDocument/2006/relationships/hyperlink" Target="http://ahca.myflorida.com/Medicaid/e-library/docs/Home_Health_Handbook_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5489</Words>
  <Characters>32020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37435</CharactersWithSpaces>
  <SharedDoc>false</SharedDoc>
  <HLinks>
    <vt:vector size="132" baseType="variant">
      <vt:variant>
        <vt:i4>3997711</vt:i4>
      </vt:variant>
      <vt:variant>
        <vt:i4>37</vt:i4>
      </vt:variant>
      <vt:variant>
        <vt:i4>0</vt:i4>
      </vt:variant>
      <vt:variant>
        <vt:i4>5</vt:i4>
      </vt:variant>
      <vt:variant>
        <vt:lpwstr>mailto:lscoles@radeylaw.com</vt:lpwstr>
      </vt:variant>
      <vt:variant>
        <vt:lpwstr/>
      </vt:variant>
      <vt:variant>
        <vt:i4>3342348</vt:i4>
      </vt:variant>
      <vt:variant>
        <vt:i4>34</vt:i4>
      </vt:variant>
      <vt:variant>
        <vt:i4>0</vt:i4>
      </vt:variant>
      <vt:variant>
        <vt:i4>5</vt:i4>
      </vt:variant>
      <vt:variant>
        <vt:lpwstr>mailto:Hthomas@radeylaw.com</vt:lpwstr>
      </vt:variant>
      <vt:variant>
        <vt:lpwstr/>
      </vt:variant>
      <vt:variant>
        <vt:i4>4259954</vt:i4>
      </vt:variant>
      <vt:variant>
        <vt:i4>31</vt:i4>
      </vt:variant>
      <vt:variant>
        <vt:i4>0</vt:i4>
      </vt:variant>
      <vt:variant>
        <vt:i4>5</vt:i4>
      </vt:variant>
      <vt:variant>
        <vt:lpwstr>mailto:Stuart.Williams@ahca.myflorida.com</vt:lpwstr>
      </vt:variant>
      <vt:variant>
        <vt:lpwstr/>
      </vt:variant>
      <vt:variant>
        <vt:i4>6357079</vt:i4>
      </vt:variant>
      <vt:variant>
        <vt:i4>28</vt:i4>
      </vt:variant>
      <vt:variant>
        <vt:i4>0</vt:i4>
      </vt:variant>
      <vt:variant>
        <vt:i4>5</vt:i4>
      </vt:variant>
      <vt:variant>
        <vt:lpwstr>mailto:Beverly.Smith@ahca.myflorida.com</vt:lpwstr>
      </vt:variant>
      <vt:variant>
        <vt:lpwstr/>
      </vt:variant>
      <vt:variant>
        <vt:i4>7012421</vt:i4>
      </vt:variant>
      <vt:variant>
        <vt:i4>25</vt:i4>
      </vt:variant>
      <vt:variant>
        <vt:i4>0</vt:i4>
      </vt:variant>
      <vt:variant>
        <vt:i4>5</vt:i4>
      </vt:variant>
      <vt:variant>
        <vt:lpwstr>mailto:Andrew.Sheeran@ahca.myflorida.com</vt:lpwstr>
      </vt:variant>
      <vt:variant>
        <vt:lpwstr/>
      </vt:variant>
      <vt:variant>
        <vt:i4>1769505</vt:i4>
      </vt:variant>
      <vt:variant>
        <vt:i4>22</vt:i4>
      </vt:variant>
      <vt:variant>
        <vt:i4>0</vt:i4>
      </vt:variant>
      <vt:variant>
        <vt:i4>5</vt:i4>
      </vt:variant>
      <vt:variant>
        <vt:lpwstr>mailto:matthewdietz@usdisabilitylaw.com</vt:lpwstr>
      </vt:variant>
      <vt:variant>
        <vt:lpwstr/>
      </vt:variant>
      <vt:variant>
        <vt:i4>6422557</vt:i4>
      </vt:variant>
      <vt:variant>
        <vt:i4>19</vt:i4>
      </vt:variant>
      <vt:variant>
        <vt:i4>0</vt:i4>
      </vt:variant>
      <vt:variant>
        <vt:i4>5</vt:i4>
      </vt:variant>
      <vt:variant>
        <vt:lpwstr>mailto:pannino@law.fsu.edu</vt:lpwstr>
      </vt:variant>
      <vt:variant>
        <vt:lpwstr/>
      </vt:variant>
      <vt:variant>
        <vt:i4>4587643</vt:i4>
      </vt:variant>
      <vt:variant>
        <vt:i4>16</vt:i4>
      </vt:variant>
      <vt:variant>
        <vt:i4>0</vt:i4>
      </vt:variant>
      <vt:variant>
        <vt:i4>5</vt:i4>
      </vt:variant>
      <vt:variant>
        <vt:lpwstr>mailto:jill@nfcfej.org</vt:lpwstr>
      </vt:variant>
      <vt:variant>
        <vt:lpwstr/>
      </vt:variant>
      <vt:variant>
        <vt:i4>3407879</vt:i4>
      </vt:variant>
      <vt:variant>
        <vt:i4>13</vt:i4>
      </vt:variant>
      <vt:variant>
        <vt:i4>0</vt:i4>
      </vt:variant>
      <vt:variant>
        <vt:i4>5</vt:i4>
      </vt:variant>
      <vt:variant>
        <vt:lpwstr>mailto:jamie@nfcfej.org</vt:lpwstr>
      </vt:variant>
      <vt:variant>
        <vt:lpwstr/>
      </vt:variant>
      <vt:variant>
        <vt:i4>2228236</vt:i4>
      </vt:variant>
      <vt:variant>
        <vt:i4>10</vt:i4>
      </vt:variant>
      <vt:variant>
        <vt:i4>0</vt:i4>
      </vt:variant>
      <vt:variant>
        <vt:i4>5</vt:i4>
      </vt:variant>
      <vt:variant>
        <vt:lpwstr>mailto:egrunewald@nfcfej.org</vt:lpwstr>
      </vt:variant>
      <vt:variant>
        <vt:lpwstr/>
      </vt:variant>
      <vt:variant>
        <vt:i4>4259878</vt:i4>
      </vt:variant>
      <vt:variant>
        <vt:i4>5</vt:i4>
      </vt:variant>
      <vt:variant>
        <vt:i4>0</vt:i4>
      </vt:variant>
      <vt:variant>
        <vt:i4>5</vt:i4>
      </vt:variant>
      <vt:variant>
        <vt:lpwstr>mailto:Travis.England@usdoj.gov</vt:lpwstr>
      </vt:variant>
      <vt:variant>
        <vt:lpwstr/>
      </vt:variant>
      <vt:variant>
        <vt:i4>917555</vt:i4>
      </vt:variant>
      <vt:variant>
        <vt:i4>2</vt:i4>
      </vt:variant>
      <vt:variant>
        <vt:i4>0</vt:i4>
      </vt:variant>
      <vt:variant>
        <vt:i4>5</vt:i4>
      </vt:variant>
      <vt:variant>
        <vt:lpwstr>mailto:Veronica.Harrell-James@usdoj.gov</vt:lpwstr>
      </vt:variant>
      <vt:variant>
        <vt:lpwstr/>
      </vt:variant>
      <vt:variant>
        <vt:i4>458782</vt:i4>
      </vt:variant>
      <vt:variant>
        <vt:i4>27</vt:i4>
      </vt:variant>
      <vt:variant>
        <vt:i4>0</vt:i4>
      </vt:variant>
      <vt:variant>
        <vt:i4>5</vt:i4>
      </vt:variant>
      <vt:variant>
        <vt:lpwstr>http://www.japc.state.fl.us/</vt:lpwstr>
      </vt:variant>
      <vt:variant>
        <vt:lpwstr/>
      </vt:variant>
      <vt:variant>
        <vt:i4>4390979</vt:i4>
      </vt:variant>
      <vt:variant>
        <vt:i4>24</vt:i4>
      </vt:variant>
      <vt:variant>
        <vt:i4>0</vt:i4>
      </vt:variant>
      <vt:variant>
        <vt:i4>5</vt:i4>
      </vt:variant>
      <vt:variant>
        <vt:lpwstr>http://fl.eqhs.org/LinkClick.aspx?fileticket=HgfuC8DE1VY%3d&amp;tabid=263&amp;mid=784</vt:lpwstr>
      </vt:variant>
      <vt:variant>
        <vt:lpwstr/>
      </vt:variant>
      <vt:variant>
        <vt:i4>4456495</vt:i4>
      </vt:variant>
      <vt:variant>
        <vt:i4>21</vt:i4>
      </vt:variant>
      <vt:variant>
        <vt:i4>0</vt:i4>
      </vt:variant>
      <vt:variant>
        <vt:i4>5</vt:i4>
      </vt:variant>
      <vt:variant>
        <vt:lpwstr>http://ahca.myflorida.com/Medicaid/e-library/docs/Home_Health_Handbook_Presentation.pdf</vt:lpwstr>
      </vt:variant>
      <vt:variant>
        <vt:lpwstr/>
      </vt:variant>
      <vt:variant>
        <vt:i4>6094969</vt:i4>
      </vt:variant>
      <vt:variant>
        <vt:i4>18</vt:i4>
      </vt:variant>
      <vt:variant>
        <vt:i4>0</vt:i4>
      </vt:variant>
      <vt:variant>
        <vt:i4>5</vt:i4>
      </vt:variant>
      <vt:variant>
        <vt:lpwstr>https://www.flrules.org/gateway/notice_Files.asp?ID=10774098</vt:lpwstr>
      </vt:variant>
      <vt:variant>
        <vt:lpwstr/>
      </vt:variant>
      <vt:variant>
        <vt:i4>3735585</vt:i4>
      </vt:variant>
      <vt:variant>
        <vt:i4>15</vt:i4>
      </vt:variant>
      <vt:variant>
        <vt:i4>0</vt:i4>
      </vt:variant>
      <vt:variant>
        <vt:i4>5</vt:i4>
      </vt:variant>
      <vt:variant>
        <vt:lpwstr>http://letsgettowork.state.fl.us/content/Current/reports/2013-14-Governors-Bill.pdf</vt:lpwstr>
      </vt:variant>
      <vt:variant>
        <vt:lpwstr/>
      </vt:variant>
      <vt:variant>
        <vt:i4>2031665</vt:i4>
      </vt:variant>
      <vt:variant>
        <vt:i4>12</vt:i4>
      </vt:variant>
      <vt:variant>
        <vt:i4>0</vt:i4>
      </vt:variant>
      <vt:variant>
        <vt:i4>5</vt:i4>
      </vt:variant>
      <vt:variant>
        <vt:lpwstr>http://www.myfloridahouse.gov/Sections/Documents/loaddoc.aspx?FileName=HB5001_e1.pdf&amp;DocumentType=Bill&amp;BillNumber=5001&amp;Session=2009</vt:lpwstr>
      </vt:variant>
      <vt:variant>
        <vt:lpwstr/>
      </vt:variant>
      <vt:variant>
        <vt:i4>2031644</vt:i4>
      </vt:variant>
      <vt:variant>
        <vt:i4>9</vt:i4>
      </vt:variant>
      <vt:variant>
        <vt:i4>0</vt:i4>
      </vt:variant>
      <vt:variant>
        <vt:i4>5</vt:i4>
      </vt:variant>
      <vt:variant>
        <vt:lpwstr>http://www.myfloridahouse.gov/Sections/Documents/loaddoc.aspx?FileName=HB_5001_Enrolled.pdf&amp;DocumentType=Bill&amp;BillNumber=5001&amp;Session=2010</vt:lpwstr>
      </vt:variant>
      <vt:variant>
        <vt:lpwstr/>
      </vt:variant>
      <vt:variant>
        <vt:i4>8257539</vt:i4>
      </vt:variant>
      <vt:variant>
        <vt:i4>6</vt:i4>
      </vt:variant>
      <vt:variant>
        <vt:i4>0</vt:i4>
      </vt:variant>
      <vt:variant>
        <vt:i4>5</vt:i4>
      </vt:variant>
      <vt:variant>
        <vt:lpwstr>http://ahca.myflorida.com/Executive/Communications/Press_Releases/pdf/memo_to_the_media_handbook_revisions_FINAL.pdf</vt:lpwstr>
      </vt:variant>
      <vt:variant>
        <vt:lpwstr/>
      </vt:variant>
      <vt:variant>
        <vt:i4>1835057</vt:i4>
      </vt:variant>
      <vt:variant>
        <vt:i4>3</vt:i4>
      </vt:variant>
      <vt:variant>
        <vt:i4>0</vt:i4>
      </vt:variant>
      <vt:variant>
        <vt:i4>5</vt:i4>
      </vt:variant>
      <vt:variant>
        <vt:lpwstr>http://portal.flmmis.com/FLPublic/Provider_ProviderSupport/Provider_ProviderSupport_ProviderAlerts/tabId/43/Default.aspx</vt:lpwstr>
      </vt:variant>
      <vt:variant>
        <vt:lpwstr/>
      </vt:variant>
      <vt:variant>
        <vt:i4>8257539</vt:i4>
      </vt:variant>
      <vt:variant>
        <vt:i4>0</vt:i4>
      </vt:variant>
      <vt:variant>
        <vt:i4>0</vt:i4>
      </vt:variant>
      <vt:variant>
        <vt:i4>5</vt:i4>
      </vt:variant>
      <vt:variant>
        <vt:lpwstr>http://ahca.myflorida.com/Executive/Communications/Press_Releases/pdf/memo_to_the_media_handbook_revisions_FINAL.pdf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2013-04-09T22:10:00Z</dcterms:created>
  <dcterms:modified xsi:type="dcterms:W3CDTF">2013-04-11T12:14:00Z</dcterms:modified>
</cp:coreProperties>
</file>