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55" w:rsidRPr="00CC6CE9" w:rsidRDefault="00BE3255" w:rsidP="00BE3255">
      <w:pPr>
        <w:jc w:val="center"/>
        <w:rPr>
          <w:b/>
          <w:bCs/>
          <w:szCs w:val="24"/>
        </w:rPr>
      </w:pPr>
      <w:r w:rsidRPr="00CC6CE9">
        <w:rPr>
          <w:b/>
          <w:bCs/>
          <w:szCs w:val="24"/>
        </w:rPr>
        <w:t>IN THE UNITED STATES DISTRICT COURT</w:t>
      </w:r>
    </w:p>
    <w:p w:rsidR="00BE3255" w:rsidRPr="00CC6CE9" w:rsidRDefault="00BE3255" w:rsidP="00BE3255">
      <w:pPr>
        <w:jc w:val="center"/>
        <w:rPr>
          <w:b/>
          <w:bCs/>
          <w:szCs w:val="24"/>
        </w:rPr>
      </w:pPr>
      <w:r w:rsidRPr="00CC6CE9">
        <w:rPr>
          <w:b/>
          <w:bCs/>
          <w:szCs w:val="24"/>
        </w:rPr>
        <w:t>FOR THE WESTERN DISTRICT OF TEXAS</w:t>
      </w:r>
    </w:p>
    <w:p w:rsidR="00BE3255" w:rsidRPr="00CC6CE9" w:rsidRDefault="00BE3255" w:rsidP="00BE3255">
      <w:pPr>
        <w:spacing w:after="360"/>
        <w:jc w:val="center"/>
        <w:rPr>
          <w:b/>
          <w:bCs/>
          <w:szCs w:val="24"/>
        </w:rPr>
      </w:pPr>
      <w:r w:rsidRPr="00CC6CE9">
        <w:rPr>
          <w:b/>
          <w:bCs/>
          <w:szCs w:val="24"/>
        </w:rPr>
        <w:t>SAN ANTONIO DIVISION</w:t>
      </w:r>
    </w:p>
    <w:p w:rsidR="00BE3255" w:rsidRPr="00CC6CE9" w:rsidRDefault="00BE3255" w:rsidP="00BE3255">
      <w:pPr>
        <w:tabs>
          <w:tab w:val="center" w:pos="4680"/>
          <w:tab w:val="left" w:pos="5760"/>
          <w:tab w:val="left" w:pos="6480"/>
          <w:tab w:val="left" w:pos="7200"/>
          <w:tab w:val="left" w:pos="7920"/>
          <w:tab w:val="left" w:pos="8640"/>
          <w:tab w:val="right" w:pos="9360"/>
        </w:tabs>
        <w:rPr>
          <w:bCs/>
          <w:szCs w:val="24"/>
        </w:rPr>
      </w:pPr>
      <w:r w:rsidRPr="00CC6CE9">
        <w:rPr>
          <w:bCs/>
          <w:szCs w:val="24"/>
        </w:rPr>
        <w:t>ERIC STEWARD, by his next friend</w:t>
      </w:r>
      <w:r w:rsidRPr="00CC6CE9">
        <w:rPr>
          <w:bCs/>
          <w:szCs w:val="24"/>
        </w:rPr>
        <w:tab/>
      </w:r>
      <w:r w:rsidR="00FD361B" w:rsidRPr="00CC6CE9">
        <w:rPr>
          <w:bCs/>
          <w:szCs w:val="24"/>
        </w:rPr>
        <w:t>)</w:t>
      </w:r>
    </w:p>
    <w:p w:rsidR="00BE3255" w:rsidRPr="00CC6CE9" w:rsidRDefault="00BE3255" w:rsidP="00BE3255">
      <w:pPr>
        <w:tabs>
          <w:tab w:val="center" w:pos="4680"/>
          <w:tab w:val="left" w:pos="5040"/>
          <w:tab w:val="left" w:pos="5760"/>
          <w:tab w:val="left" w:pos="6480"/>
          <w:tab w:val="left" w:pos="7200"/>
          <w:tab w:val="left" w:pos="7920"/>
          <w:tab w:val="left" w:pos="8640"/>
          <w:tab w:val="right" w:pos="9360"/>
        </w:tabs>
        <w:rPr>
          <w:bCs/>
          <w:szCs w:val="24"/>
        </w:rPr>
      </w:pPr>
      <w:r w:rsidRPr="00CC6CE9">
        <w:rPr>
          <w:bCs/>
          <w:szCs w:val="24"/>
        </w:rPr>
        <w:t>and</w:t>
      </w:r>
      <w:r w:rsidRPr="00CC6CE9">
        <w:rPr>
          <w:bCs/>
          <w:szCs w:val="24"/>
          <w:lang w:val="nb-NO"/>
        </w:rPr>
        <w:t xml:space="preserve"> mother, Lillian Minor, </w:t>
      </w:r>
      <w:r w:rsidRPr="00CC6CE9">
        <w:rPr>
          <w:bCs/>
          <w:i/>
          <w:szCs w:val="24"/>
          <w:lang w:val="nb-NO"/>
        </w:rPr>
        <w:t>et al.</w:t>
      </w:r>
      <w:r w:rsidRPr="00CC6CE9">
        <w:rPr>
          <w:bCs/>
          <w:szCs w:val="24"/>
          <w:lang w:val="nb-NO"/>
        </w:rPr>
        <w:t>,</w:t>
      </w:r>
      <w:r w:rsidRPr="00CC6CE9">
        <w:rPr>
          <w:bCs/>
          <w:szCs w:val="24"/>
          <w:lang w:val="nb-NO"/>
        </w:rPr>
        <w:tab/>
      </w:r>
      <w:r w:rsidR="00FD361B" w:rsidRPr="00CC6CE9">
        <w:rPr>
          <w:bCs/>
          <w:szCs w:val="24"/>
        </w:rPr>
        <w:t>)</w:t>
      </w:r>
    </w:p>
    <w:p w:rsidR="00BE3255" w:rsidRPr="00CC6CE9" w:rsidRDefault="00FD361B" w:rsidP="00BE3255">
      <w:pPr>
        <w:tabs>
          <w:tab w:val="center" w:pos="4680"/>
          <w:tab w:val="left" w:pos="5760"/>
          <w:tab w:val="left" w:pos="6480"/>
          <w:tab w:val="left" w:pos="7200"/>
          <w:tab w:val="left" w:pos="7920"/>
          <w:tab w:val="left" w:pos="8640"/>
          <w:tab w:val="right" w:pos="9360"/>
        </w:tabs>
        <w:rPr>
          <w:bCs/>
          <w:szCs w:val="24"/>
        </w:rPr>
      </w:pPr>
      <w:r w:rsidRPr="00CC6CE9">
        <w:rPr>
          <w:bCs/>
          <w:szCs w:val="24"/>
        </w:rPr>
        <w:tab/>
        <w:t>)</w:t>
      </w:r>
    </w:p>
    <w:p w:rsidR="00BE3255" w:rsidRPr="00CC6CE9" w:rsidRDefault="00BE3255" w:rsidP="00BE3255">
      <w:pPr>
        <w:tabs>
          <w:tab w:val="left" w:pos="2160"/>
          <w:tab w:val="center" w:pos="4680"/>
          <w:tab w:val="left" w:pos="5760"/>
          <w:tab w:val="left" w:pos="6480"/>
          <w:tab w:val="left" w:pos="7200"/>
          <w:tab w:val="left" w:pos="7920"/>
          <w:tab w:val="left" w:pos="8640"/>
          <w:tab w:val="right" w:pos="9360"/>
        </w:tabs>
        <w:rPr>
          <w:bCs/>
          <w:szCs w:val="24"/>
        </w:rPr>
      </w:pPr>
      <w:r w:rsidRPr="00CC6CE9">
        <w:rPr>
          <w:bCs/>
          <w:szCs w:val="24"/>
        </w:rPr>
        <w:tab/>
      </w:r>
      <w:r w:rsidR="000B776D" w:rsidRPr="00CC6CE9">
        <w:rPr>
          <w:bCs/>
          <w:szCs w:val="24"/>
        </w:rPr>
        <w:t>Plaintiffs</w:t>
      </w:r>
      <w:r w:rsidR="00FD361B" w:rsidRPr="00CC6CE9">
        <w:rPr>
          <w:bCs/>
          <w:szCs w:val="24"/>
        </w:rPr>
        <w:t>,</w:t>
      </w:r>
      <w:r w:rsidR="00FD361B" w:rsidRPr="00CC6CE9">
        <w:rPr>
          <w:bCs/>
          <w:szCs w:val="24"/>
        </w:rPr>
        <w:tab/>
        <w:t>)</w:t>
      </w:r>
    </w:p>
    <w:p w:rsidR="00BE3255" w:rsidRPr="00CC6CE9" w:rsidRDefault="00FD361B" w:rsidP="00BE3255">
      <w:pPr>
        <w:tabs>
          <w:tab w:val="center" w:pos="4680"/>
          <w:tab w:val="left" w:pos="5760"/>
          <w:tab w:val="left" w:pos="6480"/>
          <w:tab w:val="left" w:pos="7200"/>
          <w:tab w:val="left" w:pos="7920"/>
          <w:tab w:val="left" w:pos="8640"/>
          <w:tab w:val="right" w:pos="9360"/>
        </w:tabs>
        <w:rPr>
          <w:bCs/>
          <w:szCs w:val="24"/>
        </w:rPr>
      </w:pPr>
      <w:r w:rsidRPr="00CC6CE9">
        <w:rPr>
          <w:bCs/>
          <w:szCs w:val="24"/>
        </w:rPr>
        <w:tab/>
        <w:t>)</w:t>
      </w:r>
    </w:p>
    <w:p w:rsidR="00BE3255" w:rsidRPr="00CC6CE9" w:rsidRDefault="00BE3255" w:rsidP="00BE3255">
      <w:pPr>
        <w:tabs>
          <w:tab w:val="left" w:pos="720"/>
          <w:tab w:val="left" w:pos="2160"/>
          <w:tab w:val="center" w:pos="4680"/>
          <w:tab w:val="left" w:pos="5760"/>
          <w:tab w:val="left" w:pos="6480"/>
          <w:tab w:val="left" w:pos="7200"/>
          <w:tab w:val="left" w:pos="7920"/>
          <w:tab w:val="left" w:pos="8640"/>
          <w:tab w:val="right" w:pos="9360"/>
        </w:tabs>
        <w:rPr>
          <w:bCs/>
          <w:szCs w:val="24"/>
        </w:rPr>
      </w:pPr>
      <w:r w:rsidRPr="00CC6CE9">
        <w:rPr>
          <w:bCs/>
          <w:szCs w:val="24"/>
        </w:rPr>
        <w:tab/>
        <w:t>v.</w:t>
      </w:r>
      <w:r w:rsidRPr="00CC6CE9">
        <w:rPr>
          <w:bCs/>
          <w:szCs w:val="24"/>
        </w:rPr>
        <w:tab/>
      </w:r>
      <w:r w:rsidRPr="00CC6CE9">
        <w:rPr>
          <w:bCs/>
          <w:szCs w:val="24"/>
        </w:rPr>
        <w:tab/>
      </w:r>
      <w:r w:rsidR="00045FBD" w:rsidRPr="00CC6CE9">
        <w:rPr>
          <w:bCs/>
          <w:szCs w:val="24"/>
        </w:rPr>
        <w:t xml:space="preserve">                                         </w:t>
      </w:r>
      <w:r w:rsidR="00FD361B" w:rsidRPr="00CC6CE9">
        <w:rPr>
          <w:bCs/>
          <w:szCs w:val="24"/>
        </w:rPr>
        <w:t>)</w:t>
      </w:r>
      <w:r w:rsidRPr="00CC6CE9">
        <w:rPr>
          <w:bCs/>
          <w:szCs w:val="24"/>
        </w:rPr>
        <w:t xml:space="preserve"> </w:t>
      </w:r>
      <w:r w:rsidR="00015108" w:rsidRPr="00CC6CE9">
        <w:rPr>
          <w:bCs/>
          <w:szCs w:val="24"/>
        </w:rPr>
        <w:t xml:space="preserve">            </w:t>
      </w:r>
      <w:r w:rsidRPr="00CC6CE9">
        <w:rPr>
          <w:bCs/>
          <w:szCs w:val="24"/>
        </w:rPr>
        <w:t>CIV. NO. 5:10-CV-1025-O</w:t>
      </w:r>
      <w:r w:rsidR="00052F6C" w:rsidRPr="00CC6CE9">
        <w:rPr>
          <w:bCs/>
          <w:szCs w:val="24"/>
        </w:rPr>
        <w:t>L</w:t>
      </w:r>
      <w:r w:rsidRPr="00CC6CE9">
        <w:rPr>
          <w:bCs/>
          <w:szCs w:val="24"/>
        </w:rPr>
        <w:t>G</w:t>
      </w:r>
    </w:p>
    <w:p w:rsidR="00BE3255" w:rsidRPr="00CC6CE9" w:rsidRDefault="00FD361B" w:rsidP="00BE3255">
      <w:pPr>
        <w:tabs>
          <w:tab w:val="center" w:pos="4680"/>
          <w:tab w:val="left" w:pos="5760"/>
          <w:tab w:val="left" w:pos="6480"/>
          <w:tab w:val="left" w:pos="7200"/>
          <w:tab w:val="left" w:pos="7920"/>
          <w:tab w:val="left" w:pos="8640"/>
          <w:tab w:val="right" w:pos="9360"/>
        </w:tabs>
        <w:rPr>
          <w:bCs/>
          <w:szCs w:val="24"/>
        </w:rPr>
      </w:pPr>
      <w:r w:rsidRPr="00CC6CE9">
        <w:rPr>
          <w:bCs/>
          <w:szCs w:val="24"/>
        </w:rPr>
        <w:tab/>
        <w:t>)</w:t>
      </w:r>
    </w:p>
    <w:p w:rsidR="00BE3255" w:rsidRPr="00CC6CE9" w:rsidRDefault="00FD361B" w:rsidP="00BE3255">
      <w:pPr>
        <w:tabs>
          <w:tab w:val="center" w:pos="4680"/>
          <w:tab w:val="left" w:pos="5040"/>
          <w:tab w:val="left" w:pos="5760"/>
          <w:tab w:val="left" w:pos="6480"/>
          <w:tab w:val="left" w:pos="7200"/>
          <w:tab w:val="left" w:pos="7920"/>
          <w:tab w:val="left" w:pos="8640"/>
          <w:tab w:val="right" w:pos="9360"/>
        </w:tabs>
        <w:rPr>
          <w:bCs/>
          <w:szCs w:val="24"/>
        </w:rPr>
      </w:pPr>
      <w:r w:rsidRPr="00CC6CE9">
        <w:rPr>
          <w:bCs/>
          <w:szCs w:val="24"/>
        </w:rPr>
        <w:tab/>
        <w:t>)</w:t>
      </w:r>
    </w:p>
    <w:p w:rsidR="00BE3255" w:rsidRPr="00CC6CE9" w:rsidRDefault="00FD361B" w:rsidP="00BE3255">
      <w:pPr>
        <w:tabs>
          <w:tab w:val="left" w:pos="2160"/>
          <w:tab w:val="center" w:pos="4680"/>
          <w:tab w:val="left" w:pos="5040"/>
          <w:tab w:val="left" w:pos="5760"/>
          <w:tab w:val="left" w:pos="6480"/>
          <w:tab w:val="left" w:pos="7200"/>
          <w:tab w:val="left" w:pos="7920"/>
          <w:tab w:val="left" w:pos="8640"/>
          <w:tab w:val="right" w:pos="9360"/>
        </w:tabs>
        <w:rPr>
          <w:bCs/>
          <w:szCs w:val="24"/>
        </w:rPr>
      </w:pPr>
      <w:r w:rsidRPr="00CC6CE9">
        <w:rPr>
          <w:bCs/>
          <w:szCs w:val="24"/>
        </w:rPr>
        <w:tab/>
      </w:r>
      <w:r w:rsidRPr="00CC6CE9">
        <w:rPr>
          <w:bCs/>
          <w:szCs w:val="24"/>
        </w:rPr>
        <w:tab/>
        <w:t>)</w:t>
      </w:r>
    </w:p>
    <w:p w:rsidR="00FD361B" w:rsidRPr="00CC6CE9" w:rsidRDefault="00BE3255" w:rsidP="00BE3255">
      <w:pPr>
        <w:tabs>
          <w:tab w:val="left" w:pos="2160"/>
          <w:tab w:val="center" w:pos="4680"/>
          <w:tab w:val="left" w:pos="5040"/>
          <w:tab w:val="left" w:pos="5760"/>
          <w:tab w:val="left" w:pos="6480"/>
          <w:tab w:val="left" w:pos="7200"/>
          <w:tab w:val="left" w:pos="7920"/>
          <w:tab w:val="left" w:pos="8640"/>
          <w:tab w:val="right" w:pos="9360"/>
        </w:tabs>
        <w:rPr>
          <w:bCs/>
          <w:szCs w:val="24"/>
        </w:rPr>
      </w:pPr>
      <w:r w:rsidRPr="00CC6CE9">
        <w:rPr>
          <w:bCs/>
          <w:szCs w:val="24"/>
        </w:rPr>
        <w:t xml:space="preserve">RICK PERRY, Governor, </w:t>
      </w:r>
      <w:r w:rsidRPr="00CC6CE9">
        <w:rPr>
          <w:bCs/>
          <w:i/>
          <w:szCs w:val="24"/>
        </w:rPr>
        <w:t>et al</w:t>
      </w:r>
      <w:r w:rsidR="00FD361B" w:rsidRPr="00CC6CE9">
        <w:rPr>
          <w:bCs/>
          <w:szCs w:val="24"/>
        </w:rPr>
        <w:t>.</w:t>
      </w:r>
      <w:r w:rsidR="00FD361B" w:rsidRPr="00CC6CE9">
        <w:rPr>
          <w:bCs/>
          <w:szCs w:val="24"/>
        </w:rPr>
        <w:tab/>
        <w:t>)</w:t>
      </w:r>
    </w:p>
    <w:p w:rsidR="00BE3255" w:rsidRPr="00CC6CE9" w:rsidRDefault="00FD361B" w:rsidP="00BE3255">
      <w:pPr>
        <w:tabs>
          <w:tab w:val="center" w:pos="4680"/>
          <w:tab w:val="left" w:pos="5040"/>
          <w:tab w:val="left" w:pos="5760"/>
          <w:tab w:val="left" w:pos="6480"/>
          <w:tab w:val="left" w:pos="7200"/>
          <w:tab w:val="left" w:pos="7920"/>
          <w:tab w:val="left" w:pos="8640"/>
          <w:tab w:val="right" w:pos="9360"/>
        </w:tabs>
        <w:rPr>
          <w:bCs/>
          <w:szCs w:val="24"/>
        </w:rPr>
      </w:pPr>
      <w:r w:rsidRPr="00CC6CE9">
        <w:rPr>
          <w:bCs/>
          <w:szCs w:val="24"/>
        </w:rPr>
        <w:tab/>
        <w:t>)</w:t>
      </w:r>
    </w:p>
    <w:p w:rsidR="00E256CA" w:rsidRPr="00CC6CE9" w:rsidRDefault="00FD361B" w:rsidP="00E256CA">
      <w:pPr>
        <w:tabs>
          <w:tab w:val="left" w:pos="2160"/>
          <w:tab w:val="center" w:pos="4680"/>
          <w:tab w:val="left" w:pos="5040"/>
          <w:tab w:val="left" w:pos="5760"/>
          <w:tab w:val="left" w:pos="6480"/>
          <w:tab w:val="left" w:pos="7200"/>
          <w:tab w:val="left" w:pos="7920"/>
          <w:tab w:val="left" w:pos="8640"/>
          <w:tab w:val="right" w:pos="9360"/>
        </w:tabs>
        <w:rPr>
          <w:bCs/>
          <w:szCs w:val="24"/>
        </w:rPr>
      </w:pPr>
      <w:r w:rsidRPr="00CC6CE9">
        <w:rPr>
          <w:bCs/>
          <w:szCs w:val="24"/>
        </w:rPr>
        <w:tab/>
        <w:t>Defendants.</w:t>
      </w:r>
      <w:r w:rsidRPr="00CC6CE9">
        <w:rPr>
          <w:bCs/>
          <w:szCs w:val="24"/>
        </w:rPr>
        <w:tab/>
        <w:t>)</w:t>
      </w:r>
    </w:p>
    <w:p w:rsidR="00EB51C6" w:rsidRPr="00CC6CE9" w:rsidRDefault="006A0DAB" w:rsidP="00F62997">
      <w:pPr>
        <w:tabs>
          <w:tab w:val="left" w:pos="2160"/>
          <w:tab w:val="center" w:pos="4680"/>
          <w:tab w:val="left" w:pos="5040"/>
          <w:tab w:val="left" w:pos="5760"/>
          <w:tab w:val="left" w:pos="6480"/>
          <w:tab w:val="left" w:pos="7200"/>
          <w:tab w:val="left" w:pos="7920"/>
          <w:tab w:val="left" w:pos="8640"/>
          <w:tab w:val="right" w:pos="9360"/>
        </w:tabs>
        <w:spacing w:after="360"/>
        <w:rPr>
          <w:bCs/>
          <w:szCs w:val="24"/>
        </w:rPr>
      </w:pPr>
      <w:r w:rsidRPr="00CC6CE9">
        <w:rPr>
          <w:b/>
          <w:bCs/>
          <w:szCs w:val="24"/>
        </w:rPr>
        <w:t>______________________________________</w:t>
      </w:r>
      <w:r w:rsidRPr="00CC6CE9">
        <w:rPr>
          <w:b/>
          <w:bCs/>
          <w:szCs w:val="24"/>
        </w:rPr>
        <w:softHyphen/>
      </w:r>
      <w:r w:rsidR="00E256CA" w:rsidRPr="00CC6CE9">
        <w:rPr>
          <w:b/>
          <w:bCs/>
          <w:szCs w:val="24"/>
        </w:rPr>
        <w:tab/>
      </w:r>
      <w:r w:rsidRPr="00CC6CE9">
        <w:rPr>
          <w:bCs/>
          <w:szCs w:val="24"/>
        </w:rPr>
        <w:t>)</w:t>
      </w:r>
      <w:r w:rsidR="00E256CA" w:rsidRPr="00CC6CE9">
        <w:rPr>
          <w:b/>
          <w:bCs/>
          <w:szCs w:val="24"/>
        </w:rPr>
        <w:tab/>
      </w:r>
    </w:p>
    <w:p w:rsidR="00860C35" w:rsidRPr="00CC6CE9" w:rsidRDefault="00711F79" w:rsidP="008350BB">
      <w:pPr>
        <w:pStyle w:val="SectionHeading"/>
        <w:rPr>
          <w:szCs w:val="24"/>
        </w:rPr>
      </w:pPr>
      <w:bookmarkStart w:id="0" w:name="_Toc133239440"/>
      <w:bookmarkStart w:id="1" w:name="_Toc133240757"/>
      <w:bookmarkStart w:id="2" w:name="_Toc266446357"/>
      <w:r w:rsidRPr="00CC6CE9">
        <w:rPr>
          <w:szCs w:val="24"/>
        </w:rPr>
        <w:t>UNITED STATES’ REPLY</w:t>
      </w:r>
      <w:r w:rsidR="00A83B32" w:rsidRPr="00CC6CE9">
        <w:rPr>
          <w:szCs w:val="24"/>
        </w:rPr>
        <w:t xml:space="preserve"> IN SUPPORT OF MOTION TO INTERVENE</w:t>
      </w:r>
    </w:p>
    <w:p w:rsidR="00962185" w:rsidRPr="00CC6CE9" w:rsidRDefault="00962185" w:rsidP="00962185">
      <w:pPr>
        <w:pStyle w:val="SectionHeading"/>
        <w:rPr>
          <w:szCs w:val="24"/>
        </w:rPr>
      </w:pPr>
    </w:p>
    <w:p w:rsidR="00962185" w:rsidRPr="00CC6CE9" w:rsidRDefault="0069053C" w:rsidP="006232A7">
      <w:pPr>
        <w:pStyle w:val="WPTitle"/>
        <w:spacing w:line="480" w:lineRule="auto"/>
        <w:ind w:firstLine="720"/>
        <w:jc w:val="left"/>
        <w:rPr>
          <w:b w:val="0"/>
          <w:sz w:val="24"/>
          <w:szCs w:val="24"/>
        </w:rPr>
      </w:pPr>
      <w:r w:rsidRPr="00CC6CE9">
        <w:rPr>
          <w:b w:val="0"/>
          <w:sz w:val="24"/>
          <w:szCs w:val="24"/>
        </w:rPr>
        <w:t xml:space="preserve">The United States of America </w:t>
      </w:r>
      <w:r w:rsidR="006232A7" w:rsidRPr="00CC6CE9">
        <w:rPr>
          <w:b w:val="0"/>
          <w:sz w:val="24"/>
          <w:szCs w:val="24"/>
        </w:rPr>
        <w:t xml:space="preserve">respectfully </w:t>
      </w:r>
      <w:r w:rsidR="00402AF5" w:rsidRPr="00CC6CE9">
        <w:rPr>
          <w:b w:val="0"/>
          <w:sz w:val="24"/>
          <w:szCs w:val="24"/>
        </w:rPr>
        <w:t xml:space="preserve">submits </w:t>
      </w:r>
      <w:r w:rsidR="00686FD8" w:rsidRPr="00CC6CE9">
        <w:rPr>
          <w:b w:val="0"/>
          <w:sz w:val="24"/>
          <w:szCs w:val="24"/>
        </w:rPr>
        <w:t>this</w:t>
      </w:r>
      <w:r w:rsidR="006232A7" w:rsidRPr="00CC6CE9">
        <w:rPr>
          <w:b w:val="0"/>
          <w:sz w:val="24"/>
          <w:szCs w:val="24"/>
        </w:rPr>
        <w:t xml:space="preserve"> </w:t>
      </w:r>
      <w:r w:rsidR="00A83B32" w:rsidRPr="00CC6CE9">
        <w:rPr>
          <w:b w:val="0"/>
          <w:sz w:val="24"/>
          <w:szCs w:val="24"/>
        </w:rPr>
        <w:t>Reply</w:t>
      </w:r>
      <w:r w:rsidR="006232A7" w:rsidRPr="00CC6CE9">
        <w:rPr>
          <w:b w:val="0"/>
          <w:sz w:val="24"/>
          <w:szCs w:val="24"/>
        </w:rPr>
        <w:t xml:space="preserve"> </w:t>
      </w:r>
      <w:r w:rsidR="00A83B32" w:rsidRPr="00CC6CE9">
        <w:rPr>
          <w:b w:val="0"/>
          <w:sz w:val="24"/>
          <w:szCs w:val="24"/>
        </w:rPr>
        <w:t>in support of the United States’ Motion to Intervene</w:t>
      </w:r>
      <w:r w:rsidR="006232A7" w:rsidRPr="00CC6CE9">
        <w:rPr>
          <w:b w:val="0"/>
          <w:sz w:val="24"/>
          <w:szCs w:val="24"/>
        </w:rPr>
        <w:t>.</w:t>
      </w:r>
      <w:r w:rsidR="001950E4" w:rsidRPr="00CC6CE9">
        <w:rPr>
          <w:b w:val="0"/>
          <w:sz w:val="24"/>
          <w:szCs w:val="24"/>
        </w:rPr>
        <w:t xml:space="preserve"> </w:t>
      </w:r>
      <w:r w:rsidR="006232A7" w:rsidRPr="00CC6CE9">
        <w:rPr>
          <w:b w:val="0"/>
          <w:sz w:val="24"/>
          <w:szCs w:val="24"/>
        </w:rPr>
        <w:t xml:space="preserve"> </w:t>
      </w:r>
      <w:r w:rsidR="001179DE" w:rsidRPr="00CC6CE9">
        <w:rPr>
          <w:b w:val="0"/>
          <w:sz w:val="24"/>
          <w:szCs w:val="24"/>
        </w:rPr>
        <w:t xml:space="preserve">The </w:t>
      </w:r>
      <w:r w:rsidR="00863F41" w:rsidRPr="00CC6CE9">
        <w:rPr>
          <w:b w:val="0"/>
          <w:sz w:val="24"/>
          <w:szCs w:val="24"/>
        </w:rPr>
        <w:t>Defen</w:t>
      </w:r>
      <w:r w:rsidR="004651B5" w:rsidRPr="00CC6CE9">
        <w:rPr>
          <w:b w:val="0"/>
          <w:sz w:val="24"/>
          <w:szCs w:val="24"/>
        </w:rPr>
        <w:t>dants incorrectly argue that</w:t>
      </w:r>
      <w:r w:rsidR="0020076C" w:rsidRPr="00CC6CE9">
        <w:rPr>
          <w:b w:val="0"/>
          <w:sz w:val="24"/>
          <w:szCs w:val="24"/>
        </w:rPr>
        <w:t>:</w:t>
      </w:r>
      <w:r w:rsidR="004651B5" w:rsidRPr="00CC6CE9">
        <w:rPr>
          <w:b w:val="0"/>
          <w:sz w:val="24"/>
          <w:szCs w:val="24"/>
        </w:rPr>
        <w:t xml:space="preserve"> 1) </w:t>
      </w:r>
      <w:r w:rsidR="00863F41" w:rsidRPr="00CC6CE9">
        <w:rPr>
          <w:b w:val="0"/>
          <w:sz w:val="24"/>
          <w:szCs w:val="24"/>
        </w:rPr>
        <w:t xml:space="preserve">the Department of Justice (“DOJ”) failed to satisfy the statutory </w:t>
      </w:r>
      <w:r w:rsidR="00081F96" w:rsidRPr="00CC6CE9">
        <w:rPr>
          <w:b w:val="0"/>
          <w:sz w:val="24"/>
          <w:szCs w:val="24"/>
        </w:rPr>
        <w:t>requirements</w:t>
      </w:r>
      <w:r w:rsidR="00863F41" w:rsidRPr="00CC6CE9">
        <w:rPr>
          <w:b w:val="0"/>
          <w:sz w:val="24"/>
          <w:szCs w:val="24"/>
        </w:rPr>
        <w:t xml:space="preserve"> of filing suit under the Americans with Disabilities Act (“ADA”)</w:t>
      </w:r>
      <w:r w:rsidR="006A1458">
        <w:rPr>
          <w:b w:val="0"/>
          <w:sz w:val="24"/>
          <w:szCs w:val="24"/>
        </w:rPr>
        <w:t xml:space="preserve">, 42 U.S.C. </w:t>
      </w:r>
      <w:r w:rsidR="00D83E1D">
        <w:rPr>
          <w:b w:val="0"/>
          <w:sz w:val="24"/>
          <w:szCs w:val="24"/>
        </w:rPr>
        <w:t xml:space="preserve">§ </w:t>
      </w:r>
      <w:r w:rsidR="006A1458">
        <w:rPr>
          <w:b w:val="0"/>
          <w:sz w:val="24"/>
          <w:szCs w:val="24"/>
        </w:rPr>
        <w:t>12131</w:t>
      </w:r>
      <w:r w:rsidR="00D83E1D">
        <w:rPr>
          <w:b w:val="0"/>
          <w:sz w:val="24"/>
          <w:szCs w:val="24"/>
        </w:rPr>
        <w:t xml:space="preserve"> </w:t>
      </w:r>
      <w:r w:rsidR="00D83E1D" w:rsidRPr="00D83E1D">
        <w:rPr>
          <w:b w:val="0"/>
          <w:i/>
          <w:sz w:val="24"/>
          <w:szCs w:val="24"/>
        </w:rPr>
        <w:t>et. seq</w:t>
      </w:r>
      <w:r w:rsidR="00D83E1D">
        <w:rPr>
          <w:b w:val="0"/>
          <w:sz w:val="24"/>
          <w:szCs w:val="24"/>
        </w:rPr>
        <w:t>.</w:t>
      </w:r>
      <w:r w:rsidR="00863F41" w:rsidRPr="00CC6CE9">
        <w:rPr>
          <w:b w:val="0"/>
          <w:sz w:val="24"/>
          <w:szCs w:val="24"/>
        </w:rPr>
        <w:t xml:space="preserve">; 2) despite Congress’s </w:t>
      </w:r>
      <w:r w:rsidR="0020076C" w:rsidRPr="00CC6CE9">
        <w:rPr>
          <w:b w:val="0"/>
          <w:sz w:val="24"/>
          <w:szCs w:val="24"/>
        </w:rPr>
        <w:t>delegation of authority to the</w:t>
      </w:r>
      <w:r w:rsidR="00863F41" w:rsidRPr="00CC6CE9">
        <w:rPr>
          <w:b w:val="0"/>
          <w:sz w:val="24"/>
          <w:szCs w:val="24"/>
        </w:rPr>
        <w:t xml:space="preserve"> Attorney General to enforce the ADA, the United States lacks a direct and substantial interest in the litigation sufficient to warrant intervention </w:t>
      </w:r>
      <w:r w:rsidR="009616E6">
        <w:rPr>
          <w:b w:val="0"/>
          <w:sz w:val="24"/>
          <w:szCs w:val="24"/>
        </w:rPr>
        <w:t xml:space="preserve">as </w:t>
      </w:r>
      <w:r w:rsidR="00863F41" w:rsidRPr="00CC6CE9">
        <w:rPr>
          <w:b w:val="0"/>
          <w:sz w:val="24"/>
          <w:szCs w:val="24"/>
        </w:rPr>
        <w:t>of right</w:t>
      </w:r>
      <w:r w:rsidR="0020076C" w:rsidRPr="00CC6CE9">
        <w:rPr>
          <w:b w:val="0"/>
          <w:sz w:val="24"/>
          <w:szCs w:val="24"/>
        </w:rPr>
        <w:t xml:space="preserve">; 3) the United States’ interest can be represented by private Plaintiffs’ counsel; 4) </w:t>
      </w:r>
      <w:r w:rsidR="0040588E" w:rsidRPr="00CC6CE9">
        <w:rPr>
          <w:b w:val="0"/>
          <w:sz w:val="24"/>
          <w:szCs w:val="24"/>
        </w:rPr>
        <w:t>the Defendants will be prejudiced if the United States is</w:t>
      </w:r>
      <w:r w:rsidR="0020076C" w:rsidRPr="00CC6CE9">
        <w:rPr>
          <w:b w:val="0"/>
          <w:sz w:val="24"/>
          <w:szCs w:val="24"/>
        </w:rPr>
        <w:t xml:space="preserve"> granted intervention; and 5</w:t>
      </w:r>
      <w:r w:rsidR="0040588E" w:rsidRPr="00CC6CE9">
        <w:rPr>
          <w:b w:val="0"/>
          <w:sz w:val="24"/>
          <w:szCs w:val="24"/>
        </w:rPr>
        <w:t>) the United States attem</w:t>
      </w:r>
      <w:r w:rsidR="0050747C" w:rsidRPr="00CC6CE9">
        <w:rPr>
          <w:b w:val="0"/>
          <w:sz w:val="24"/>
          <w:szCs w:val="24"/>
        </w:rPr>
        <w:t>pt</w:t>
      </w:r>
      <w:r w:rsidR="008351FE" w:rsidRPr="00CC6CE9">
        <w:rPr>
          <w:b w:val="0"/>
          <w:sz w:val="24"/>
          <w:szCs w:val="24"/>
        </w:rPr>
        <w:t>s</w:t>
      </w:r>
      <w:r w:rsidR="0050747C" w:rsidRPr="00CC6CE9">
        <w:rPr>
          <w:b w:val="0"/>
          <w:sz w:val="24"/>
          <w:szCs w:val="24"/>
        </w:rPr>
        <w:t xml:space="preserve">, as a nonparty, to </w:t>
      </w:r>
      <w:r w:rsidR="0040588E" w:rsidRPr="00CC6CE9">
        <w:rPr>
          <w:b w:val="0"/>
          <w:sz w:val="24"/>
          <w:szCs w:val="24"/>
        </w:rPr>
        <w:t xml:space="preserve">improperly </w:t>
      </w:r>
      <w:r w:rsidR="0050747C" w:rsidRPr="00CC6CE9">
        <w:rPr>
          <w:b w:val="0"/>
          <w:sz w:val="24"/>
          <w:szCs w:val="24"/>
        </w:rPr>
        <w:t>join the State of Texas as a Defendant</w:t>
      </w:r>
      <w:r w:rsidR="0040588E" w:rsidRPr="00CC6CE9">
        <w:rPr>
          <w:b w:val="0"/>
          <w:sz w:val="24"/>
          <w:szCs w:val="24"/>
        </w:rPr>
        <w:t xml:space="preserve">.  The Defendants’ arguments lack merit and should be rejected. </w:t>
      </w:r>
    </w:p>
    <w:p w:rsidR="000D3FE5" w:rsidRPr="00CC6CE9" w:rsidRDefault="000D3FE5" w:rsidP="007A4AF3">
      <w:pPr>
        <w:pStyle w:val="ListParagraph"/>
        <w:numPr>
          <w:ilvl w:val="0"/>
          <w:numId w:val="9"/>
        </w:numPr>
        <w:rPr>
          <w:b/>
          <w:szCs w:val="24"/>
        </w:rPr>
      </w:pPr>
      <w:r w:rsidRPr="00CC6CE9">
        <w:rPr>
          <w:rFonts w:eastAsia="Times New Roman"/>
          <w:b/>
        </w:rPr>
        <w:t xml:space="preserve">The </w:t>
      </w:r>
      <w:r w:rsidR="00081F96" w:rsidRPr="00CC6CE9">
        <w:rPr>
          <w:rFonts w:eastAsia="Times New Roman"/>
          <w:b/>
        </w:rPr>
        <w:t>United States</w:t>
      </w:r>
      <w:r w:rsidRPr="00CC6CE9">
        <w:rPr>
          <w:rFonts w:eastAsia="Times New Roman"/>
          <w:b/>
        </w:rPr>
        <w:t xml:space="preserve"> Has Satisfied </w:t>
      </w:r>
      <w:r w:rsidR="00081F96" w:rsidRPr="00CC6CE9">
        <w:rPr>
          <w:rFonts w:eastAsia="Times New Roman"/>
          <w:b/>
        </w:rPr>
        <w:t xml:space="preserve">the </w:t>
      </w:r>
      <w:r w:rsidRPr="00CC6CE9">
        <w:rPr>
          <w:rFonts w:eastAsia="Times New Roman"/>
          <w:b/>
        </w:rPr>
        <w:t>ADA Title II Statutory Procedural Requirements</w:t>
      </w:r>
    </w:p>
    <w:p w:rsidR="000D3FE5" w:rsidRPr="00CC6CE9" w:rsidRDefault="000D3FE5" w:rsidP="000D3FE5">
      <w:pPr>
        <w:pStyle w:val="ListParagraph"/>
        <w:rPr>
          <w:rFonts w:eastAsia="Times New Roman"/>
          <w:b/>
        </w:rPr>
      </w:pPr>
    </w:p>
    <w:p w:rsidR="000D3FE5" w:rsidRPr="00CC6CE9" w:rsidRDefault="00952ECC" w:rsidP="000D3FE5">
      <w:pPr>
        <w:pStyle w:val="ListParagraph"/>
        <w:spacing w:line="480" w:lineRule="auto"/>
        <w:ind w:left="0" w:firstLine="720"/>
        <w:rPr>
          <w:b/>
          <w:szCs w:val="24"/>
        </w:rPr>
      </w:pPr>
      <w:r>
        <w:rPr>
          <w:rFonts w:eastAsia="Times New Roman"/>
        </w:rPr>
        <w:t>Contrary to the Defendants’ assert</w:t>
      </w:r>
      <w:r w:rsidR="000D3FE5" w:rsidRPr="00CC6CE9">
        <w:rPr>
          <w:rFonts w:eastAsia="Times New Roman"/>
        </w:rPr>
        <w:t xml:space="preserve">ion, the United States need not satisfy the requirements of </w:t>
      </w:r>
      <w:r w:rsidR="000D3FE5" w:rsidRPr="00CC6CE9">
        <w:rPr>
          <w:szCs w:val="24"/>
        </w:rPr>
        <w:t xml:space="preserve">42 U.S.C. § 2000d-1 prior to seeking intervention because </w:t>
      </w:r>
      <w:r w:rsidR="00FF578B">
        <w:rPr>
          <w:szCs w:val="24"/>
        </w:rPr>
        <w:t>Rule 24 of the Federal Rule</w:t>
      </w:r>
      <w:r w:rsidR="00383FA4">
        <w:rPr>
          <w:szCs w:val="24"/>
        </w:rPr>
        <w:t>s</w:t>
      </w:r>
      <w:r w:rsidR="00FF578B">
        <w:rPr>
          <w:szCs w:val="24"/>
        </w:rPr>
        <w:t xml:space="preserve"> of </w:t>
      </w:r>
      <w:r w:rsidR="00FF578B">
        <w:rPr>
          <w:szCs w:val="24"/>
        </w:rPr>
        <w:lastRenderedPageBreak/>
        <w:t>Civil Procedure</w:t>
      </w:r>
      <w:r w:rsidR="000D3FE5" w:rsidRPr="00CC6CE9">
        <w:rPr>
          <w:szCs w:val="24"/>
        </w:rPr>
        <w:t xml:space="preserve"> governs intervention and nothing in the ADA </w:t>
      </w:r>
      <w:r w:rsidR="00A53DD9">
        <w:rPr>
          <w:szCs w:val="24"/>
        </w:rPr>
        <w:t xml:space="preserve">or the Rehabilitation Act </w:t>
      </w:r>
      <w:r w:rsidR="000D3FE5" w:rsidRPr="00CC6CE9">
        <w:rPr>
          <w:szCs w:val="24"/>
        </w:rPr>
        <w:t>restricts the United States’ ability to intervene pursuant to Rule 24.  (</w:t>
      </w:r>
      <w:r w:rsidR="007470F3" w:rsidRPr="00CC6CE9">
        <w:rPr>
          <w:i/>
          <w:szCs w:val="24"/>
        </w:rPr>
        <w:t xml:space="preserve">See </w:t>
      </w:r>
      <w:r w:rsidR="007470F3" w:rsidRPr="00CC6CE9">
        <w:rPr>
          <w:szCs w:val="24"/>
        </w:rPr>
        <w:t>Defendant</w:t>
      </w:r>
      <w:r w:rsidR="00FF578B">
        <w:rPr>
          <w:szCs w:val="24"/>
        </w:rPr>
        <w:t>s</w:t>
      </w:r>
      <w:r w:rsidR="007470F3" w:rsidRPr="00CC6CE9">
        <w:rPr>
          <w:szCs w:val="24"/>
        </w:rPr>
        <w:t>’ Response in Opposition to the United States’ Motion to Intervene (“</w:t>
      </w:r>
      <w:r w:rsidR="00CD609E">
        <w:rPr>
          <w:szCs w:val="24"/>
        </w:rPr>
        <w:t>Def.</w:t>
      </w:r>
      <w:r w:rsidR="007470F3" w:rsidRPr="00CC6CE9">
        <w:rPr>
          <w:szCs w:val="24"/>
        </w:rPr>
        <w:t xml:space="preserve"> Mem.”) 5-9, ECF No. 56 (July 19, 2011).) </w:t>
      </w:r>
      <w:r w:rsidR="000D3FE5" w:rsidRPr="00CC6CE9">
        <w:rPr>
          <w:szCs w:val="24"/>
        </w:rPr>
        <w:t xml:space="preserve"> Nevertheless, the United States has satisfied the requirements of 42 U.S.C. § 2000d-1 by providing</w:t>
      </w:r>
      <w:r w:rsidR="004102E4">
        <w:rPr>
          <w:szCs w:val="24"/>
        </w:rPr>
        <w:t xml:space="preserve"> the</w:t>
      </w:r>
      <w:r w:rsidR="000D3FE5" w:rsidRPr="00CC6CE9">
        <w:rPr>
          <w:szCs w:val="24"/>
        </w:rPr>
        <w:t xml:space="preserve"> Defendants </w:t>
      </w:r>
      <w:r w:rsidR="009A0964">
        <w:rPr>
          <w:szCs w:val="24"/>
        </w:rPr>
        <w:t xml:space="preserve">notice of their </w:t>
      </w:r>
      <w:r w:rsidR="000D3FE5" w:rsidRPr="00CC6CE9">
        <w:rPr>
          <w:szCs w:val="24"/>
        </w:rPr>
        <w:t xml:space="preserve">violations and determining that </w:t>
      </w:r>
      <w:r w:rsidR="004102E4">
        <w:rPr>
          <w:szCs w:val="24"/>
        </w:rPr>
        <w:t xml:space="preserve">the </w:t>
      </w:r>
      <w:r w:rsidR="009A0964">
        <w:rPr>
          <w:szCs w:val="24"/>
        </w:rPr>
        <w:t xml:space="preserve">Defendants’ </w:t>
      </w:r>
      <w:r w:rsidR="000D3FE5" w:rsidRPr="00CC6CE9">
        <w:rPr>
          <w:szCs w:val="24"/>
        </w:rPr>
        <w:t xml:space="preserve">compliance cannot be secured by voluntary means.  </w:t>
      </w:r>
    </w:p>
    <w:p w:rsidR="007A4AF3" w:rsidRPr="00CC6CE9" w:rsidRDefault="00401B26" w:rsidP="000D3FE5">
      <w:pPr>
        <w:pStyle w:val="ListParagraph"/>
        <w:numPr>
          <w:ilvl w:val="0"/>
          <w:numId w:val="15"/>
        </w:numPr>
        <w:rPr>
          <w:b/>
          <w:szCs w:val="24"/>
        </w:rPr>
      </w:pPr>
      <w:r w:rsidRPr="00CC6CE9">
        <w:rPr>
          <w:b/>
          <w:szCs w:val="24"/>
        </w:rPr>
        <w:t>The United States Need Not Satisfy the</w:t>
      </w:r>
      <w:r w:rsidR="00081F96" w:rsidRPr="00CC6CE9">
        <w:rPr>
          <w:b/>
          <w:szCs w:val="24"/>
        </w:rPr>
        <w:t xml:space="preserve"> ADA’s </w:t>
      </w:r>
      <w:r w:rsidR="00471DFF" w:rsidRPr="00CC6CE9">
        <w:rPr>
          <w:b/>
          <w:szCs w:val="24"/>
        </w:rPr>
        <w:t xml:space="preserve">Procedural </w:t>
      </w:r>
      <w:r w:rsidR="00081F96" w:rsidRPr="00CC6CE9">
        <w:rPr>
          <w:b/>
          <w:szCs w:val="24"/>
        </w:rPr>
        <w:t xml:space="preserve">Requirements </w:t>
      </w:r>
      <w:r w:rsidR="00665979" w:rsidRPr="00CC6CE9">
        <w:rPr>
          <w:b/>
          <w:szCs w:val="24"/>
        </w:rPr>
        <w:t>to</w:t>
      </w:r>
      <w:r w:rsidR="00471DFF" w:rsidRPr="00CC6CE9">
        <w:rPr>
          <w:b/>
          <w:szCs w:val="24"/>
        </w:rPr>
        <w:t xml:space="preserve"> Filing</w:t>
      </w:r>
      <w:r w:rsidR="00665979" w:rsidRPr="00CC6CE9">
        <w:rPr>
          <w:b/>
          <w:szCs w:val="24"/>
        </w:rPr>
        <w:t xml:space="preserve"> Suit </w:t>
      </w:r>
      <w:r w:rsidR="00471DFF" w:rsidRPr="00CC6CE9">
        <w:rPr>
          <w:b/>
          <w:szCs w:val="24"/>
        </w:rPr>
        <w:t>W</w:t>
      </w:r>
      <w:r w:rsidRPr="00CC6CE9">
        <w:rPr>
          <w:b/>
          <w:szCs w:val="24"/>
        </w:rPr>
        <w:t xml:space="preserve">hen </w:t>
      </w:r>
      <w:r w:rsidR="00471DFF" w:rsidRPr="00CC6CE9">
        <w:rPr>
          <w:b/>
          <w:szCs w:val="24"/>
        </w:rPr>
        <w:t>Seeking to Intervene</w:t>
      </w:r>
      <w:r w:rsidRPr="00CC6CE9">
        <w:rPr>
          <w:b/>
          <w:szCs w:val="24"/>
        </w:rPr>
        <w:t xml:space="preserve"> in an Existing Lawsuit </w:t>
      </w:r>
    </w:p>
    <w:p w:rsidR="007A4AF3" w:rsidRPr="00CC6CE9" w:rsidRDefault="007A4AF3" w:rsidP="007A4AF3">
      <w:pPr>
        <w:rPr>
          <w:szCs w:val="24"/>
        </w:rPr>
      </w:pPr>
    </w:p>
    <w:p w:rsidR="00377A3B" w:rsidRPr="00CC6CE9" w:rsidRDefault="003025A5" w:rsidP="00377A3B">
      <w:pPr>
        <w:spacing w:line="480" w:lineRule="auto"/>
        <w:ind w:firstLine="720"/>
        <w:rPr>
          <w:szCs w:val="24"/>
        </w:rPr>
      </w:pPr>
      <w:r w:rsidRPr="00CC6CE9">
        <w:rPr>
          <w:szCs w:val="24"/>
        </w:rPr>
        <w:t>The Defendants</w:t>
      </w:r>
      <w:r w:rsidR="00A849EF" w:rsidRPr="00CC6CE9">
        <w:rPr>
          <w:szCs w:val="24"/>
        </w:rPr>
        <w:t>’</w:t>
      </w:r>
      <w:r w:rsidRPr="00CC6CE9">
        <w:rPr>
          <w:szCs w:val="24"/>
        </w:rPr>
        <w:t xml:space="preserve"> </w:t>
      </w:r>
      <w:r w:rsidR="002E0D45" w:rsidRPr="00CC6CE9">
        <w:rPr>
          <w:szCs w:val="24"/>
        </w:rPr>
        <w:t>contention that</w:t>
      </w:r>
      <w:r w:rsidRPr="00CC6CE9">
        <w:rPr>
          <w:szCs w:val="24"/>
        </w:rPr>
        <w:t xml:space="preserve"> the United States</w:t>
      </w:r>
      <w:r w:rsidR="002E0D45" w:rsidRPr="00CC6CE9">
        <w:rPr>
          <w:szCs w:val="24"/>
        </w:rPr>
        <w:t xml:space="preserve"> </w:t>
      </w:r>
      <w:r w:rsidRPr="00CC6CE9">
        <w:rPr>
          <w:szCs w:val="24"/>
        </w:rPr>
        <w:t>fail</w:t>
      </w:r>
      <w:r w:rsidR="002E0D45" w:rsidRPr="00CC6CE9">
        <w:rPr>
          <w:szCs w:val="24"/>
        </w:rPr>
        <w:t xml:space="preserve">ed </w:t>
      </w:r>
      <w:r w:rsidRPr="00CC6CE9">
        <w:rPr>
          <w:szCs w:val="24"/>
        </w:rPr>
        <w:t xml:space="preserve">to satisfy the statutory </w:t>
      </w:r>
      <w:r w:rsidR="009C6F71" w:rsidRPr="00CC6CE9">
        <w:rPr>
          <w:szCs w:val="24"/>
        </w:rPr>
        <w:t>prerequisites</w:t>
      </w:r>
      <w:r w:rsidRPr="00CC6CE9">
        <w:rPr>
          <w:szCs w:val="24"/>
        </w:rPr>
        <w:t xml:space="preserve"> to suit contained within the ADA</w:t>
      </w:r>
      <w:r w:rsidR="002E0D45" w:rsidRPr="00CC6CE9">
        <w:rPr>
          <w:szCs w:val="24"/>
        </w:rPr>
        <w:t xml:space="preserve"> is not a basis for this Court to deny the United States’ motion to intervene</w:t>
      </w:r>
      <w:r w:rsidRPr="00CC6CE9">
        <w:rPr>
          <w:szCs w:val="24"/>
        </w:rPr>
        <w:t xml:space="preserve">.  </w:t>
      </w:r>
      <w:r w:rsidR="002E0D45" w:rsidRPr="00CC6CE9">
        <w:rPr>
          <w:szCs w:val="24"/>
        </w:rPr>
        <w:t>T</w:t>
      </w:r>
      <w:r w:rsidR="00132EF5" w:rsidRPr="00CC6CE9">
        <w:rPr>
          <w:szCs w:val="24"/>
        </w:rPr>
        <w:t xml:space="preserve">he statutory </w:t>
      </w:r>
      <w:r w:rsidR="009C6F71" w:rsidRPr="00CC6CE9">
        <w:rPr>
          <w:szCs w:val="24"/>
        </w:rPr>
        <w:t xml:space="preserve">prerequisites </w:t>
      </w:r>
      <w:r w:rsidR="00401B26" w:rsidRPr="00CC6CE9">
        <w:rPr>
          <w:szCs w:val="24"/>
        </w:rPr>
        <w:t>of providing notice and determining that compliance</w:t>
      </w:r>
      <w:r w:rsidR="00132EF5" w:rsidRPr="00CC6CE9">
        <w:rPr>
          <w:szCs w:val="24"/>
        </w:rPr>
        <w:t xml:space="preserve"> cannot be </w:t>
      </w:r>
      <w:r w:rsidR="00081F96" w:rsidRPr="00CC6CE9">
        <w:rPr>
          <w:szCs w:val="24"/>
        </w:rPr>
        <w:t>secured by voluntary means</w:t>
      </w:r>
      <w:r w:rsidR="009A0964">
        <w:rPr>
          <w:szCs w:val="24"/>
        </w:rPr>
        <w:t xml:space="preserve">, </w:t>
      </w:r>
      <w:r w:rsidR="009A0964">
        <w:rPr>
          <w:i/>
          <w:szCs w:val="24"/>
        </w:rPr>
        <w:t>see</w:t>
      </w:r>
      <w:r w:rsidR="009A0964">
        <w:rPr>
          <w:szCs w:val="24"/>
        </w:rPr>
        <w:t xml:space="preserve"> </w:t>
      </w:r>
      <w:r w:rsidR="009A0964" w:rsidRPr="00CC6CE9">
        <w:rPr>
          <w:szCs w:val="24"/>
        </w:rPr>
        <w:t>42 U.S.C. § 2000d-1</w:t>
      </w:r>
      <w:r w:rsidR="009A0964">
        <w:rPr>
          <w:szCs w:val="24"/>
        </w:rPr>
        <w:t xml:space="preserve">, </w:t>
      </w:r>
      <w:r w:rsidR="007969C6" w:rsidRPr="00CC6CE9">
        <w:rPr>
          <w:szCs w:val="24"/>
        </w:rPr>
        <w:t xml:space="preserve">apply </w:t>
      </w:r>
      <w:r w:rsidR="009A0964">
        <w:rPr>
          <w:szCs w:val="24"/>
        </w:rPr>
        <w:t xml:space="preserve">only </w:t>
      </w:r>
      <w:r w:rsidR="007969C6" w:rsidRPr="00CC6CE9">
        <w:rPr>
          <w:szCs w:val="24"/>
        </w:rPr>
        <w:t xml:space="preserve">when the United States seeks to bring its own, independent enforcement actions and </w:t>
      </w:r>
      <w:r w:rsidR="00132EF5" w:rsidRPr="00CC6CE9">
        <w:rPr>
          <w:szCs w:val="24"/>
        </w:rPr>
        <w:t xml:space="preserve">do not apply when the United States seeks </w:t>
      </w:r>
      <w:r w:rsidR="003F3E02" w:rsidRPr="00CC6CE9">
        <w:rPr>
          <w:szCs w:val="24"/>
        </w:rPr>
        <w:t xml:space="preserve">to intervene </w:t>
      </w:r>
      <w:r w:rsidR="00132EF5" w:rsidRPr="00CC6CE9">
        <w:rPr>
          <w:szCs w:val="24"/>
        </w:rPr>
        <w:t xml:space="preserve">in a pending </w:t>
      </w:r>
      <w:r w:rsidR="003F3E02" w:rsidRPr="00CC6CE9">
        <w:rPr>
          <w:szCs w:val="24"/>
        </w:rPr>
        <w:t xml:space="preserve">lawsuit.  </w:t>
      </w:r>
    </w:p>
    <w:p w:rsidR="00323B1C" w:rsidRPr="00CC6CE9" w:rsidRDefault="009A0964" w:rsidP="00E416C8">
      <w:pPr>
        <w:autoSpaceDE w:val="0"/>
        <w:autoSpaceDN w:val="0"/>
        <w:adjustRightInd w:val="0"/>
        <w:spacing w:line="480" w:lineRule="auto"/>
        <w:ind w:firstLine="720"/>
        <w:rPr>
          <w:szCs w:val="24"/>
        </w:rPr>
      </w:pPr>
      <w:r>
        <w:rPr>
          <w:szCs w:val="24"/>
        </w:rPr>
        <w:t>Rule</w:t>
      </w:r>
      <w:r w:rsidR="00081F96" w:rsidRPr="00CC6CE9">
        <w:rPr>
          <w:szCs w:val="24"/>
        </w:rPr>
        <w:t xml:space="preserve"> 24</w:t>
      </w:r>
      <w:r w:rsidR="00323B1C" w:rsidRPr="00CC6CE9">
        <w:rPr>
          <w:szCs w:val="24"/>
        </w:rPr>
        <w:t xml:space="preserve"> </w:t>
      </w:r>
      <w:r w:rsidR="007969C6" w:rsidRPr="00CC6CE9">
        <w:rPr>
          <w:szCs w:val="24"/>
        </w:rPr>
        <w:t>governs intervention</w:t>
      </w:r>
      <w:r w:rsidR="00952ECC">
        <w:rPr>
          <w:szCs w:val="24"/>
        </w:rPr>
        <w:t>,</w:t>
      </w:r>
      <w:r w:rsidR="007969C6" w:rsidRPr="00CC6CE9">
        <w:rPr>
          <w:szCs w:val="24"/>
        </w:rPr>
        <w:t xml:space="preserve"> in</w:t>
      </w:r>
      <w:r w:rsidR="00952ECC">
        <w:rPr>
          <w:szCs w:val="24"/>
        </w:rPr>
        <w:t xml:space="preserve">cluding intervention </w:t>
      </w:r>
      <w:r w:rsidR="007969C6" w:rsidRPr="00CC6CE9">
        <w:rPr>
          <w:szCs w:val="24"/>
        </w:rPr>
        <w:t xml:space="preserve">by the United States.  </w:t>
      </w:r>
      <w:r w:rsidR="00660638" w:rsidRPr="00CC6CE9">
        <w:rPr>
          <w:szCs w:val="24"/>
        </w:rPr>
        <w:t xml:space="preserve">Indeed, </w:t>
      </w:r>
      <w:r w:rsidR="007969C6" w:rsidRPr="00CC6CE9">
        <w:rPr>
          <w:szCs w:val="24"/>
        </w:rPr>
        <w:t xml:space="preserve">Rule 24 was supplemented in 1946 to </w:t>
      </w:r>
      <w:r w:rsidR="007470F3" w:rsidRPr="00CC6CE9">
        <w:rPr>
          <w:szCs w:val="24"/>
        </w:rPr>
        <w:t xml:space="preserve">explicitly </w:t>
      </w:r>
      <w:r w:rsidR="007969C6" w:rsidRPr="00CC6CE9">
        <w:rPr>
          <w:szCs w:val="24"/>
        </w:rPr>
        <w:t>state that a government agency may seek to intervene in cases where a party relies on a statute or executive order the agency administers.</w:t>
      </w:r>
      <w:r w:rsidR="007470F3" w:rsidRPr="00CC6CE9">
        <w:rPr>
          <w:szCs w:val="24"/>
        </w:rPr>
        <w:t xml:space="preserve"> </w:t>
      </w:r>
      <w:r w:rsidR="007969C6" w:rsidRPr="00CC6CE9">
        <w:rPr>
          <w:szCs w:val="24"/>
        </w:rPr>
        <w:t xml:space="preserve"> </w:t>
      </w:r>
      <w:r w:rsidR="007969C6" w:rsidRPr="00CC6CE9">
        <w:rPr>
          <w:i/>
          <w:szCs w:val="24"/>
        </w:rPr>
        <w:t>See</w:t>
      </w:r>
      <w:r w:rsidR="00383FA4">
        <w:rPr>
          <w:szCs w:val="24"/>
        </w:rPr>
        <w:t xml:space="preserve"> Fed. </w:t>
      </w:r>
      <w:r w:rsidR="00D83E1D">
        <w:rPr>
          <w:szCs w:val="24"/>
        </w:rPr>
        <w:t>R. Civ. P. 24</w:t>
      </w:r>
      <w:r w:rsidR="007969C6" w:rsidRPr="00CC6CE9">
        <w:rPr>
          <w:szCs w:val="24"/>
        </w:rPr>
        <w:t>(b)(2).  This provision was added to avoid “exclusionary constructions” of the United States’ right to intervene.</w:t>
      </w:r>
      <w:r w:rsidR="00A0277D" w:rsidRPr="00CC6CE9">
        <w:rPr>
          <w:rStyle w:val="FootnoteReference"/>
          <w:szCs w:val="24"/>
        </w:rPr>
        <w:footnoteReference w:id="1"/>
      </w:r>
      <w:r w:rsidR="00E51B5B">
        <w:rPr>
          <w:szCs w:val="24"/>
        </w:rPr>
        <w:t xml:space="preserve">  Fed. R. Civ. P. 24</w:t>
      </w:r>
      <w:r w:rsidR="007969C6" w:rsidRPr="00CC6CE9">
        <w:rPr>
          <w:szCs w:val="24"/>
        </w:rPr>
        <w:t xml:space="preserve"> </w:t>
      </w:r>
      <w:r w:rsidR="00E51B5B">
        <w:rPr>
          <w:szCs w:val="24"/>
        </w:rPr>
        <w:t>a</w:t>
      </w:r>
      <w:r w:rsidR="007969C6" w:rsidRPr="00CC6CE9">
        <w:rPr>
          <w:szCs w:val="24"/>
        </w:rPr>
        <w:t xml:space="preserve">dvisory </w:t>
      </w:r>
      <w:r w:rsidR="00E51B5B">
        <w:rPr>
          <w:szCs w:val="24"/>
        </w:rPr>
        <w:t>c</w:t>
      </w:r>
      <w:r w:rsidR="007969C6" w:rsidRPr="00CC6CE9">
        <w:rPr>
          <w:szCs w:val="24"/>
        </w:rPr>
        <w:t>ommittee</w:t>
      </w:r>
      <w:r w:rsidR="00E51B5B">
        <w:rPr>
          <w:szCs w:val="24"/>
        </w:rPr>
        <w:t>’s</w:t>
      </w:r>
      <w:r w:rsidR="007969C6" w:rsidRPr="00CC6CE9">
        <w:rPr>
          <w:szCs w:val="24"/>
        </w:rPr>
        <w:t xml:space="preserve"> </w:t>
      </w:r>
      <w:r w:rsidR="00E51B5B">
        <w:rPr>
          <w:szCs w:val="24"/>
        </w:rPr>
        <w:t>n</w:t>
      </w:r>
      <w:r w:rsidR="007969C6" w:rsidRPr="00CC6CE9">
        <w:rPr>
          <w:szCs w:val="24"/>
        </w:rPr>
        <w:t>otes</w:t>
      </w:r>
      <w:r w:rsidR="00E51B5B">
        <w:rPr>
          <w:szCs w:val="24"/>
        </w:rPr>
        <w:t xml:space="preserve"> (1946)</w:t>
      </w:r>
      <w:r w:rsidR="007969C6" w:rsidRPr="00CC6CE9">
        <w:rPr>
          <w:szCs w:val="24"/>
        </w:rPr>
        <w:t xml:space="preserve">.  Thus, if the United States meets the intervention requirements of Rule 24, then it is not constrained in its </w:t>
      </w:r>
      <w:r w:rsidR="007969C6" w:rsidRPr="00CC6CE9">
        <w:rPr>
          <w:szCs w:val="24"/>
        </w:rPr>
        <w:lastRenderedPageBreak/>
        <w:t xml:space="preserve">ability to intervene by the </w:t>
      </w:r>
      <w:r w:rsidR="00081F96" w:rsidRPr="00CC6CE9">
        <w:rPr>
          <w:szCs w:val="24"/>
        </w:rPr>
        <w:t xml:space="preserve">ADA’s </w:t>
      </w:r>
      <w:r w:rsidR="007969C6" w:rsidRPr="00CC6CE9">
        <w:rPr>
          <w:szCs w:val="24"/>
        </w:rPr>
        <w:t>procedural prerequisites required if the United States were to pursue its own, separate action against the Defendant</w:t>
      </w:r>
      <w:r w:rsidR="00952ECC">
        <w:rPr>
          <w:szCs w:val="24"/>
        </w:rPr>
        <w:t>s</w:t>
      </w:r>
      <w:r w:rsidR="007969C6" w:rsidRPr="00CC6CE9">
        <w:rPr>
          <w:szCs w:val="24"/>
        </w:rPr>
        <w:t xml:space="preserve">. </w:t>
      </w:r>
    </w:p>
    <w:p w:rsidR="00A123B1" w:rsidRPr="00CC6CE9" w:rsidRDefault="002774D4" w:rsidP="00A123B1">
      <w:pPr>
        <w:pStyle w:val="FootnoteText"/>
        <w:spacing w:line="480" w:lineRule="auto"/>
        <w:ind w:firstLine="720"/>
        <w:rPr>
          <w:sz w:val="24"/>
          <w:szCs w:val="24"/>
        </w:rPr>
      </w:pPr>
      <w:r w:rsidRPr="00CC6CE9">
        <w:rPr>
          <w:rFonts w:eastAsia="Calibri"/>
          <w:sz w:val="24"/>
          <w:szCs w:val="24"/>
        </w:rPr>
        <w:t xml:space="preserve">Had Congress wanted to limit the authority of the Attorney General to intervene in matters involving </w:t>
      </w:r>
      <w:r w:rsidR="00081F96" w:rsidRPr="00CC6CE9">
        <w:rPr>
          <w:rFonts w:eastAsia="Calibri"/>
          <w:sz w:val="24"/>
          <w:szCs w:val="24"/>
        </w:rPr>
        <w:t>the</w:t>
      </w:r>
      <w:r w:rsidR="00CF3D13" w:rsidRPr="00CC6CE9">
        <w:rPr>
          <w:rFonts w:eastAsia="Calibri"/>
          <w:sz w:val="24"/>
          <w:szCs w:val="24"/>
        </w:rPr>
        <w:t xml:space="preserve"> ADA, the</w:t>
      </w:r>
      <w:r w:rsidRPr="00CC6CE9">
        <w:rPr>
          <w:rFonts w:eastAsia="Calibri"/>
          <w:sz w:val="24"/>
          <w:szCs w:val="24"/>
        </w:rPr>
        <w:t>n Congress would have placed an explicit limitation on this authority as it did in other instances.</w:t>
      </w:r>
      <w:r w:rsidRPr="00CC6CE9">
        <w:rPr>
          <w:rStyle w:val="FootnoteReference"/>
          <w:rFonts w:eastAsia="Calibri"/>
          <w:sz w:val="24"/>
          <w:szCs w:val="24"/>
        </w:rPr>
        <w:footnoteReference w:id="2"/>
      </w:r>
      <w:r w:rsidRPr="00CC6CE9">
        <w:rPr>
          <w:rFonts w:eastAsia="Calibri"/>
          <w:sz w:val="24"/>
          <w:szCs w:val="24"/>
        </w:rPr>
        <w:t xml:space="preserve">  </w:t>
      </w:r>
      <w:r w:rsidR="00960D42" w:rsidRPr="00CC6CE9">
        <w:rPr>
          <w:sz w:val="24"/>
          <w:szCs w:val="24"/>
        </w:rPr>
        <w:t xml:space="preserve">Indeed, in an analogous context, courts have permitted the Equal Opportunity Employment Commission (“EEOC”) to intervene in pending private Title VII actions even if </w:t>
      </w:r>
      <w:r w:rsidR="00E51B5B">
        <w:rPr>
          <w:sz w:val="24"/>
          <w:szCs w:val="24"/>
        </w:rPr>
        <w:t>the EEOC</w:t>
      </w:r>
      <w:r w:rsidR="007B3927">
        <w:rPr>
          <w:sz w:val="24"/>
          <w:szCs w:val="24"/>
        </w:rPr>
        <w:t xml:space="preserve"> </w:t>
      </w:r>
      <w:r w:rsidR="00757F40" w:rsidRPr="00CC6CE9">
        <w:rPr>
          <w:sz w:val="24"/>
          <w:szCs w:val="24"/>
        </w:rPr>
        <w:t>did not engage in the statutory prerequisites required before initiating</w:t>
      </w:r>
      <w:r w:rsidR="00960D42" w:rsidRPr="00CC6CE9">
        <w:rPr>
          <w:sz w:val="24"/>
          <w:szCs w:val="24"/>
        </w:rPr>
        <w:t xml:space="preserve"> an action of its own.  </w:t>
      </w:r>
      <w:r w:rsidR="00B26C12" w:rsidRPr="00CC6CE9">
        <w:rPr>
          <w:i/>
          <w:sz w:val="24"/>
          <w:szCs w:val="24"/>
        </w:rPr>
        <w:t>See</w:t>
      </w:r>
      <w:r w:rsidR="00C36976" w:rsidRPr="00CC6CE9">
        <w:rPr>
          <w:sz w:val="24"/>
          <w:szCs w:val="24"/>
        </w:rPr>
        <w:t>,</w:t>
      </w:r>
      <w:r w:rsidR="00960D42" w:rsidRPr="00CC6CE9">
        <w:rPr>
          <w:i/>
          <w:sz w:val="24"/>
          <w:szCs w:val="24"/>
        </w:rPr>
        <w:t xml:space="preserve"> e.g.</w:t>
      </w:r>
      <w:r w:rsidR="00960D42" w:rsidRPr="00CC6CE9">
        <w:rPr>
          <w:sz w:val="24"/>
          <w:szCs w:val="24"/>
        </w:rPr>
        <w:t>,</w:t>
      </w:r>
      <w:r w:rsidR="00B26C12" w:rsidRPr="00CC6CE9">
        <w:rPr>
          <w:sz w:val="24"/>
          <w:szCs w:val="24"/>
        </w:rPr>
        <w:t xml:space="preserve"> </w:t>
      </w:r>
      <w:r w:rsidR="00B26C12" w:rsidRPr="00CC6CE9">
        <w:rPr>
          <w:i/>
          <w:sz w:val="24"/>
          <w:szCs w:val="24"/>
        </w:rPr>
        <w:t>Johnson v. Nekoosa-Edwards Paper Co</w:t>
      </w:r>
      <w:r w:rsidR="00B26C12" w:rsidRPr="00CC6CE9">
        <w:rPr>
          <w:sz w:val="24"/>
          <w:szCs w:val="24"/>
        </w:rPr>
        <w:t>., 558 F.2d 841, 847 &amp; n.13 (8th Cir.</w:t>
      </w:r>
      <w:r w:rsidR="00B3625F" w:rsidRPr="00CC6CE9">
        <w:rPr>
          <w:sz w:val="24"/>
          <w:szCs w:val="24"/>
        </w:rPr>
        <w:t xml:space="preserve"> 1977</w:t>
      </w:r>
      <w:r w:rsidR="005B4F9D" w:rsidRPr="00CC6CE9">
        <w:rPr>
          <w:sz w:val="24"/>
          <w:szCs w:val="24"/>
        </w:rPr>
        <w:t>)</w:t>
      </w:r>
      <w:r w:rsidR="00B26C12" w:rsidRPr="00CC6CE9">
        <w:rPr>
          <w:sz w:val="24"/>
          <w:szCs w:val="24"/>
        </w:rPr>
        <w:t xml:space="preserve"> (permitting EEOC intervention in private Title VII actions even if it had not performed the conciliation required to initiate an action of its own</w:t>
      </w:r>
      <w:r w:rsidR="00A123B1" w:rsidRPr="00CC6CE9">
        <w:rPr>
          <w:sz w:val="24"/>
          <w:szCs w:val="24"/>
        </w:rPr>
        <w:t xml:space="preserve">); </w:t>
      </w:r>
      <w:r w:rsidR="00960D42" w:rsidRPr="00CC6CE9">
        <w:rPr>
          <w:i/>
          <w:sz w:val="24"/>
          <w:szCs w:val="24"/>
        </w:rPr>
        <w:t>Sobel v. Yeshiva Univ</w:t>
      </w:r>
      <w:r w:rsidR="00960D42" w:rsidRPr="00CC6CE9">
        <w:rPr>
          <w:sz w:val="24"/>
          <w:szCs w:val="24"/>
        </w:rPr>
        <w:t>., 438 F. Supp. 625, 627-28 (S.D.N.Y. 1977) (</w:t>
      </w:r>
      <w:r w:rsidR="008E5403" w:rsidRPr="00CC6CE9">
        <w:rPr>
          <w:sz w:val="24"/>
          <w:szCs w:val="24"/>
        </w:rPr>
        <w:t>permitting EEOC intervention “to protect public interests, without those prerequisite proceedings that would justify the initiation of its own action”</w:t>
      </w:r>
      <w:r w:rsidR="00960D42" w:rsidRPr="00CC6CE9">
        <w:rPr>
          <w:sz w:val="24"/>
          <w:szCs w:val="24"/>
        </w:rPr>
        <w:t>);</w:t>
      </w:r>
      <w:r w:rsidR="008E5403" w:rsidRPr="00CC6CE9">
        <w:rPr>
          <w:sz w:val="24"/>
          <w:szCs w:val="24"/>
        </w:rPr>
        <w:t xml:space="preserve"> </w:t>
      </w:r>
      <w:r w:rsidR="008E5403" w:rsidRPr="00CC6CE9">
        <w:rPr>
          <w:i/>
          <w:sz w:val="24"/>
          <w:szCs w:val="24"/>
        </w:rPr>
        <w:t>Stewart v. Hewlett Packard</w:t>
      </w:r>
      <w:r w:rsidR="008E5403" w:rsidRPr="00CC6CE9">
        <w:rPr>
          <w:sz w:val="24"/>
          <w:szCs w:val="24"/>
        </w:rPr>
        <w:t>, 66 F</w:t>
      </w:r>
      <w:r w:rsidR="00FF578B">
        <w:rPr>
          <w:sz w:val="24"/>
          <w:szCs w:val="24"/>
        </w:rPr>
        <w:t>.</w:t>
      </w:r>
      <w:r w:rsidR="008E5403" w:rsidRPr="00CC6CE9">
        <w:rPr>
          <w:sz w:val="24"/>
          <w:szCs w:val="24"/>
        </w:rPr>
        <w:t>R</w:t>
      </w:r>
      <w:r w:rsidR="00FF578B">
        <w:rPr>
          <w:sz w:val="24"/>
          <w:szCs w:val="24"/>
        </w:rPr>
        <w:t>.</w:t>
      </w:r>
      <w:r w:rsidR="008E5403" w:rsidRPr="00CC6CE9">
        <w:rPr>
          <w:sz w:val="24"/>
          <w:szCs w:val="24"/>
        </w:rPr>
        <w:t>D</w:t>
      </w:r>
      <w:r w:rsidR="00FF578B">
        <w:rPr>
          <w:sz w:val="24"/>
          <w:szCs w:val="24"/>
        </w:rPr>
        <w:t>.</w:t>
      </w:r>
      <w:r w:rsidR="008E5403" w:rsidRPr="00CC6CE9">
        <w:rPr>
          <w:sz w:val="24"/>
          <w:szCs w:val="24"/>
        </w:rPr>
        <w:t xml:space="preserve"> 73, 76 (E.D. Mich. 1975) (permitting </w:t>
      </w:r>
      <w:r w:rsidR="00757F40" w:rsidRPr="00CC6CE9">
        <w:rPr>
          <w:sz w:val="24"/>
          <w:szCs w:val="24"/>
        </w:rPr>
        <w:t xml:space="preserve">EEOC </w:t>
      </w:r>
      <w:r w:rsidR="008E5403" w:rsidRPr="00CC6CE9">
        <w:rPr>
          <w:sz w:val="24"/>
          <w:szCs w:val="24"/>
        </w:rPr>
        <w:t>intervention based, in part, on a clear reading</w:t>
      </w:r>
      <w:r w:rsidR="00820AAF">
        <w:rPr>
          <w:sz w:val="24"/>
          <w:szCs w:val="24"/>
        </w:rPr>
        <w:t xml:space="preserve"> of Rule </w:t>
      </w:r>
      <w:r w:rsidR="008E5403" w:rsidRPr="00CC6CE9">
        <w:rPr>
          <w:sz w:val="24"/>
          <w:szCs w:val="24"/>
        </w:rPr>
        <w:t>24(b)(1) that “Congress has obviated the need for the Commission to establish an independent jurisdictional basis by satisfying any of the jurisdictional prerequisites which might be required if the EEOC were seeking to initiate an action, instead of to merely intervene.”);</w:t>
      </w:r>
      <w:r w:rsidR="00960D42" w:rsidRPr="00CC6CE9">
        <w:rPr>
          <w:sz w:val="24"/>
          <w:szCs w:val="24"/>
        </w:rPr>
        <w:t xml:space="preserve"> </w:t>
      </w:r>
      <w:r w:rsidR="00A123B1" w:rsidRPr="00CC6CE9">
        <w:rPr>
          <w:i/>
          <w:sz w:val="24"/>
          <w:szCs w:val="24"/>
        </w:rPr>
        <w:t>see also</w:t>
      </w:r>
      <w:r w:rsidR="00A123B1" w:rsidRPr="00CC6CE9">
        <w:rPr>
          <w:sz w:val="24"/>
          <w:szCs w:val="24"/>
        </w:rPr>
        <w:t xml:space="preserve"> </w:t>
      </w:r>
      <w:r w:rsidR="00585A9F" w:rsidRPr="00CC6CE9">
        <w:rPr>
          <w:i/>
          <w:sz w:val="24"/>
          <w:szCs w:val="24"/>
        </w:rPr>
        <w:t>Association for Community Living in Colorado v. Romer</w:t>
      </w:r>
      <w:r w:rsidR="00585A9F" w:rsidRPr="00CC6CE9">
        <w:rPr>
          <w:sz w:val="24"/>
          <w:szCs w:val="24"/>
        </w:rPr>
        <w:t>, 992 F.2d 1040, 1044 (10th Cir. 1993) (Individuals with Disabilities Education Act’s administrative requirements need not be exhausted when they would be useless)</w:t>
      </w:r>
      <w:r w:rsidR="00585A9F">
        <w:rPr>
          <w:sz w:val="24"/>
          <w:szCs w:val="24"/>
        </w:rPr>
        <w:t xml:space="preserve">; </w:t>
      </w:r>
      <w:r w:rsidR="00A123B1" w:rsidRPr="00CC6CE9">
        <w:rPr>
          <w:i/>
          <w:sz w:val="24"/>
          <w:szCs w:val="24"/>
        </w:rPr>
        <w:t>Snell v. Suffolk County</w:t>
      </w:r>
      <w:r w:rsidR="00A123B1" w:rsidRPr="00CC6CE9">
        <w:rPr>
          <w:sz w:val="24"/>
          <w:szCs w:val="24"/>
        </w:rPr>
        <w:t>, 782 F.2d 1094, 1101 (2d Cir. 1986) (holding that only one plaintiff need</w:t>
      </w:r>
      <w:r w:rsidR="00B3625F" w:rsidRPr="00CC6CE9">
        <w:rPr>
          <w:sz w:val="24"/>
          <w:szCs w:val="24"/>
        </w:rPr>
        <w:t>ed</w:t>
      </w:r>
      <w:r w:rsidR="00A123B1" w:rsidRPr="00CC6CE9">
        <w:rPr>
          <w:sz w:val="24"/>
          <w:szCs w:val="24"/>
        </w:rPr>
        <w:t xml:space="preserve"> to comply with the administrative exhaustion requirements of Title VII when the claims arise out of the same discriminatory conduct because the “employer received adequate notice and an opportunity for conciliation” by virtue of the first filing) (citations omitted)</w:t>
      </w:r>
      <w:r w:rsidR="00EF2F63" w:rsidRPr="00CC6CE9">
        <w:rPr>
          <w:sz w:val="24"/>
          <w:szCs w:val="24"/>
        </w:rPr>
        <w:t>.</w:t>
      </w:r>
    </w:p>
    <w:p w:rsidR="00F61B01" w:rsidRPr="00CC6CE9" w:rsidRDefault="00594FF7" w:rsidP="000D3FE5">
      <w:pPr>
        <w:pStyle w:val="ListParagraph"/>
        <w:numPr>
          <w:ilvl w:val="0"/>
          <w:numId w:val="15"/>
        </w:numPr>
        <w:rPr>
          <w:b/>
          <w:szCs w:val="24"/>
        </w:rPr>
      </w:pPr>
      <w:r w:rsidRPr="00CC6CE9">
        <w:rPr>
          <w:b/>
          <w:szCs w:val="24"/>
        </w:rPr>
        <w:t xml:space="preserve">DOJ Gave Notice to the Defendants and Determined that Compliance Cannot Be Secured Voluntarily </w:t>
      </w:r>
    </w:p>
    <w:p w:rsidR="00F61B01" w:rsidRPr="00CC6CE9" w:rsidRDefault="00F61B01" w:rsidP="00F61B01">
      <w:pPr>
        <w:rPr>
          <w:b/>
          <w:szCs w:val="24"/>
        </w:rPr>
      </w:pPr>
    </w:p>
    <w:p w:rsidR="00A53DD9" w:rsidRPr="00AC4658" w:rsidRDefault="00AF04BF" w:rsidP="00AC4658">
      <w:pPr>
        <w:spacing w:line="480" w:lineRule="auto"/>
        <w:ind w:firstLine="720"/>
        <w:rPr>
          <w:color w:val="000000"/>
          <w:szCs w:val="24"/>
        </w:rPr>
      </w:pPr>
      <w:r>
        <w:rPr>
          <w:szCs w:val="24"/>
        </w:rPr>
        <w:t>Al</w:t>
      </w:r>
      <w:r w:rsidR="00081F96" w:rsidRPr="00AC4658">
        <w:rPr>
          <w:szCs w:val="24"/>
        </w:rPr>
        <w:t xml:space="preserve">though it is not required, the United States satisfied the procedural requirements </w:t>
      </w:r>
      <w:r w:rsidR="00594FF7" w:rsidRPr="00AC4658">
        <w:rPr>
          <w:szCs w:val="24"/>
        </w:rPr>
        <w:t>of 42 U.S.C. § 2000</w:t>
      </w:r>
      <w:r w:rsidR="00081F96" w:rsidRPr="00AC4658">
        <w:rPr>
          <w:szCs w:val="24"/>
        </w:rPr>
        <w:t>d-1 before seeking intervention.  T</w:t>
      </w:r>
      <w:r w:rsidR="00594FF7" w:rsidRPr="00AC4658">
        <w:rPr>
          <w:szCs w:val="24"/>
        </w:rPr>
        <w:t xml:space="preserve">he United States has “advised the appropriate person or persons of the failure to comply </w:t>
      </w:r>
      <w:r w:rsidR="002930A6" w:rsidRPr="00AC4658">
        <w:rPr>
          <w:szCs w:val="24"/>
        </w:rPr>
        <w:t>. . .</w:t>
      </w:r>
      <w:r w:rsidR="00594FF7" w:rsidRPr="00AC4658">
        <w:rPr>
          <w:szCs w:val="24"/>
        </w:rPr>
        <w:t xml:space="preserve"> and has determined that compliance cannot be secured by voluntary means.”  42 U.S.C. § 2000d-1.  </w:t>
      </w:r>
      <w:r w:rsidR="001F49DC" w:rsidRPr="00AC4658">
        <w:rPr>
          <w:szCs w:val="24"/>
        </w:rPr>
        <w:t xml:space="preserve">The United States’ compliance </w:t>
      </w:r>
      <w:r w:rsidR="00E51B5B" w:rsidRPr="00AC4658">
        <w:rPr>
          <w:szCs w:val="24"/>
        </w:rPr>
        <w:t xml:space="preserve">with these requirements </w:t>
      </w:r>
      <w:r w:rsidR="001F49DC" w:rsidRPr="00AC4658">
        <w:rPr>
          <w:szCs w:val="24"/>
        </w:rPr>
        <w:t>is evident from the face of its proposed complaint.</w:t>
      </w:r>
      <w:r w:rsidR="00667210" w:rsidRPr="00AC4658">
        <w:rPr>
          <w:rStyle w:val="FootnoteReference"/>
          <w:szCs w:val="24"/>
        </w:rPr>
        <w:footnoteReference w:id="3"/>
      </w:r>
      <w:r w:rsidR="001F49DC" w:rsidRPr="00AC4658">
        <w:rPr>
          <w:szCs w:val="24"/>
        </w:rPr>
        <w:t xml:space="preserve">  (</w:t>
      </w:r>
      <w:r w:rsidR="005B4F9D" w:rsidRPr="00AC4658">
        <w:rPr>
          <w:i/>
          <w:szCs w:val="24"/>
        </w:rPr>
        <w:t>See</w:t>
      </w:r>
      <w:r w:rsidR="005B4F9D" w:rsidRPr="00AC4658">
        <w:rPr>
          <w:szCs w:val="24"/>
        </w:rPr>
        <w:t xml:space="preserve"> </w:t>
      </w:r>
      <w:r w:rsidR="001F49DC" w:rsidRPr="00AC4658">
        <w:rPr>
          <w:szCs w:val="24"/>
        </w:rPr>
        <w:t>Proposed Complaint in Intervention</w:t>
      </w:r>
      <w:r w:rsidR="00585A9F" w:rsidRPr="00AC4658">
        <w:rPr>
          <w:szCs w:val="24"/>
        </w:rPr>
        <w:t xml:space="preserve"> “Proposed Compl</w:t>
      </w:r>
      <w:r w:rsidR="00FF578B" w:rsidRPr="00AC4658">
        <w:rPr>
          <w:szCs w:val="24"/>
        </w:rPr>
        <w:t>.</w:t>
      </w:r>
      <w:r w:rsidR="00585A9F" w:rsidRPr="00AC4658">
        <w:rPr>
          <w:szCs w:val="24"/>
        </w:rPr>
        <w:t>”</w:t>
      </w:r>
      <w:r w:rsidR="006D67CC" w:rsidRPr="00AC4658">
        <w:rPr>
          <w:szCs w:val="24"/>
        </w:rPr>
        <w:t>,</w:t>
      </w:r>
      <w:r w:rsidR="001F49DC" w:rsidRPr="00AC4658">
        <w:rPr>
          <w:szCs w:val="24"/>
        </w:rPr>
        <w:t xml:space="preserve"> </w:t>
      </w:r>
      <w:r w:rsidR="00FE4B30" w:rsidRPr="00AC4658">
        <w:rPr>
          <w:szCs w:val="24"/>
        </w:rPr>
        <w:t>Ex. 1</w:t>
      </w:r>
      <w:r w:rsidR="006D67CC" w:rsidRPr="00AC4658">
        <w:rPr>
          <w:szCs w:val="24"/>
        </w:rPr>
        <w:t>,</w:t>
      </w:r>
      <w:r w:rsidR="00FE4B30" w:rsidRPr="00AC4658">
        <w:rPr>
          <w:szCs w:val="24"/>
        </w:rPr>
        <w:t xml:space="preserve"> ¶¶ 61-63, </w:t>
      </w:r>
      <w:r w:rsidR="001F49DC" w:rsidRPr="00AC4658">
        <w:rPr>
          <w:szCs w:val="24"/>
        </w:rPr>
        <w:t xml:space="preserve">ECF No. </w:t>
      </w:r>
      <w:r w:rsidR="001D3B90" w:rsidRPr="00AC4658">
        <w:rPr>
          <w:szCs w:val="24"/>
        </w:rPr>
        <w:t>53-1</w:t>
      </w:r>
      <w:r w:rsidR="002930A6" w:rsidRPr="00AC4658">
        <w:rPr>
          <w:szCs w:val="24"/>
        </w:rPr>
        <w:t xml:space="preserve"> (June 22, 2011)</w:t>
      </w:r>
      <w:r w:rsidR="00FE4B30" w:rsidRPr="00AC4658">
        <w:rPr>
          <w:szCs w:val="24"/>
        </w:rPr>
        <w:t>.</w:t>
      </w:r>
      <w:r w:rsidR="001F49DC" w:rsidRPr="00AC4658">
        <w:rPr>
          <w:szCs w:val="24"/>
        </w:rPr>
        <w:t>)</w:t>
      </w:r>
      <w:r w:rsidR="007F289D" w:rsidRPr="00AC4658">
        <w:rPr>
          <w:szCs w:val="24"/>
        </w:rPr>
        <w:t xml:space="preserve"> </w:t>
      </w:r>
      <w:r w:rsidR="00383FA4">
        <w:rPr>
          <w:szCs w:val="24"/>
        </w:rPr>
        <w:t xml:space="preserve"> </w:t>
      </w:r>
      <w:r w:rsidR="001F49DC" w:rsidRPr="00AC4658">
        <w:rPr>
          <w:szCs w:val="24"/>
        </w:rPr>
        <w:t>The June 1, 2011</w:t>
      </w:r>
      <w:r w:rsidR="00D83E1D">
        <w:rPr>
          <w:szCs w:val="24"/>
        </w:rPr>
        <w:t>,</w:t>
      </w:r>
      <w:r w:rsidR="001F49DC" w:rsidRPr="00AC4658">
        <w:rPr>
          <w:szCs w:val="24"/>
        </w:rPr>
        <w:t xml:space="preserve"> and June 15, 2011</w:t>
      </w:r>
      <w:r w:rsidR="00D83E1D">
        <w:rPr>
          <w:szCs w:val="24"/>
        </w:rPr>
        <w:t>,</w:t>
      </w:r>
      <w:r w:rsidR="001F49DC" w:rsidRPr="00AC4658">
        <w:rPr>
          <w:szCs w:val="24"/>
        </w:rPr>
        <w:t xml:space="preserve"> letters from DOJ to the Defendants provide unequivocal notice to the Defendants of </w:t>
      </w:r>
      <w:r w:rsidR="00E51B5B" w:rsidRPr="00AC4658">
        <w:rPr>
          <w:szCs w:val="24"/>
        </w:rPr>
        <w:t>their</w:t>
      </w:r>
      <w:r w:rsidR="001F49DC" w:rsidRPr="00AC4658">
        <w:rPr>
          <w:szCs w:val="24"/>
        </w:rPr>
        <w:t xml:space="preserve"> violations under the ADA</w:t>
      </w:r>
      <w:r w:rsidR="00C36976" w:rsidRPr="00AC4658">
        <w:rPr>
          <w:szCs w:val="24"/>
        </w:rPr>
        <w:t>, including</w:t>
      </w:r>
      <w:r w:rsidR="006E2FD9" w:rsidRPr="00AC4658">
        <w:rPr>
          <w:szCs w:val="24"/>
        </w:rPr>
        <w:t xml:space="preserve"> the State’s unnecessary institutionalization of individuals with developmental dis</w:t>
      </w:r>
      <w:r w:rsidR="00C36976" w:rsidRPr="00AC4658">
        <w:rPr>
          <w:szCs w:val="24"/>
        </w:rPr>
        <w:t>abilities in nursing facilities;</w:t>
      </w:r>
      <w:r w:rsidR="006E2FD9" w:rsidRPr="00AC4658">
        <w:rPr>
          <w:szCs w:val="24"/>
        </w:rPr>
        <w:t xml:space="preserve"> its failure to provide services in the most integrated setting; its failure to </w:t>
      </w:r>
      <w:r w:rsidR="006F610B" w:rsidRPr="00AC4658">
        <w:rPr>
          <w:szCs w:val="24"/>
        </w:rPr>
        <w:t>offer</w:t>
      </w:r>
      <w:r w:rsidR="006E2FD9" w:rsidRPr="00AC4658">
        <w:rPr>
          <w:szCs w:val="24"/>
        </w:rPr>
        <w:t xml:space="preserve"> community-based services to the individually named Plaintiffs</w:t>
      </w:r>
      <w:r w:rsidR="006F610B" w:rsidRPr="00AC4658">
        <w:rPr>
          <w:szCs w:val="24"/>
        </w:rPr>
        <w:t xml:space="preserve"> even though these services already exist within the State’s service system and </w:t>
      </w:r>
      <w:r w:rsidR="00470606" w:rsidRPr="00AC4658">
        <w:rPr>
          <w:szCs w:val="24"/>
        </w:rPr>
        <w:t>that</w:t>
      </w:r>
      <w:r w:rsidR="006F610B" w:rsidRPr="00AC4658">
        <w:rPr>
          <w:szCs w:val="24"/>
        </w:rPr>
        <w:t xml:space="preserve"> the individually named Plaintiffs exemplify the consequences of a systemic and widespread problem; </w:t>
      </w:r>
      <w:r w:rsidR="0079483B" w:rsidRPr="00AC4658">
        <w:rPr>
          <w:szCs w:val="24"/>
        </w:rPr>
        <w:t xml:space="preserve">and </w:t>
      </w:r>
      <w:r w:rsidR="00FF578B" w:rsidRPr="00AC4658">
        <w:rPr>
          <w:szCs w:val="24"/>
        </w:rPr>
        <w:t>its</w:t>
      </w:r>
      <w:r w:rsidR="006F610B" w:rsidRPr="00AC4658">
        <w:rPr>
          <w:szCs w:val="24"/>
        </w:rPr>
        <w:t xml:space="preserve"> failure to properly screen and evaluate individuals with developmental disabilities seeking admission to nursing facilities to offer them alternatives to institutional placement.</w:t>
      </w:r>
      <w:r w:rsidR="003025A5" w:rsidRPr="00AC4658">
        <w:rPr>
          <w:rStyle w:val="FootnoteReference"/>
          <w:szCs w:val="24"/>
        </w:rPr>
        <w:t xml:space="preserve"> </w:t>
      </w:r>
      <w:r w:rsidR="008303B5" w:rsidRPr="00AC4658">
        <w:rPr>
          <w:szCs w:val="24"/>
        </w:rPr>
        <w:t>(</w:t>
      </w:r>
      <w:r w:rsidR="00D83E1D">
        <w:rPr>
          <w:szCs w:val="24"/>
        </w:rPr>
        <w:t>Exhibits to Defendant</w:t>
      </w:r>
      <w:r w:rsidR="00B64833" w:rsidRPr="00AC4658">
        <w:rPr>
          <w:szCs w:val="24"/>
        </w:rPr>
        <w:t>s</w:t>
      </w:r>
      <w:r w:rsidR="00D83E1D">
        <w:rPr>
          <w:szCs w:val="24"/>
        </w:rPr>
        <w:t>’</w:t>
      </w:r>
      <w:r w:rsidR="00B64833" w:rsidRPr="00AC4658">
        <w:rPr>
          <w:szCs w:val="24"/>
        </w:rPr>
        <w:t xml:space="preserve"> Response in Opposition to the United States’ Motion to Intervene </w:t>
      </w:r>
      <w:r w:rsidR="009616E6">
        <w:rPr>
          <w:szCs w:val="24"/>
        </w:rPr>
        <w:t xml:space="preserve">(“Def. Exs.”) </w:t>
      </w:r>
      <w:r w:rsidR="00983662" w:rsidRPr="00AC4658">
        <w:rPr>
          <w:szCs w:val="24"/>
        </w:rPr>
        <w:t>1.</w:t>
      </w:r>
      <w:r w:rsidR="00B64833" w:rsidRPr="00AC4658">
        <w:rPr>
          <w:szCs w:val="24"/>
        </w:rPr>
        <w:t>1</w:t>
      </w:r>
      <w:r w:rsidR="00983662" w:rsidRPr="00AC4658">
        <w:rPr>
          <w:szCs w:val="24"/>
        </w:rPr>
        <w:t xml:space="preserve"> and 1.3</w:t>
      </w:r>
      <w:r w:rsidR="00B64833" w:rsidRPr="00AC4658">
        <w:rPr>
          <w:szCs w:val="24"/>
        </w:rPr>
        <w:t>, ECF No. 56-2 (July 18, 2011).)</w:t>
      </w:r>
      <w:r w:rsidR="008303B5" w:rsidRPr="00AC4658">
        <w:rPr>
          <w:szCs w:val="24"/>
        </w:rPr>
        <w:t xml:space="preserve"> </w:t>
      </w:r>
      <w:r w:rsidR="006E2FD9" w:rsidRPr="00AC4658">
        <w:rPr>
          <w:szCs w:val="24"/>
        </w:rPr>
        <w:t xml:space="preserve"> </w:t>
      </w:r>
      <w:r w:rsidR="00274A43" w:rsidRPr="00AC4658">
        <w:rPr>
          <w:szCs w:val="24"/>
        </w:rPr>
        <w:t xml:space="preserve"> </w:t>
      </w:r>
    </w:p>
    <w:p w:rsidR="00A60B41" w:rsidRPr="00AF04BF" w:rsidRDefault="00A60B41" w:rsidP="00A60B41">
      <w:pPr>
        <w:spacing w:line="480" w:lineRule="auto"/>
        <w:ind w:firstLine="720"/>
        <w:rPr>
          <w:color w:val="1F497D" w:themeColor="text2"/>
          <w:szCs w:val="24"/>
        </w:rPr>
      </w:pPr>
      <w:r w:rsidRPr="000D4408">
        <w:rPr>
          <w:szCs w:val="24"/>
        </w:rPr>
        <w:t xml:space="preserve">The Defendants incorrectly argue that by providing more detailed findings letters in some other investigations, DOJ has established a minimum standard </w:t>
      </w:r>
      <w:r w:rsidR="00B75CBF">
        <w:rPr>
          <w:szCs w:val="24"/>
        </w:rPr>
        <w:t>for</w:t>
      </w:r>
      <w:r w:rsidRPr="000D4408">
        <w:rPr>
          <w:szCs w:val="24"/>
        </w:rPr>
        <w:t xml:space="preserve"> notice pursuant to 42 U.S.C. </w:t>
      </w:r>
      <w:r w:rsidR="00B75CBF">
        <w:rPr>
          <w:szCs w:val="24"/>
        </w:rPr>
        <w:t xml:space="preserve">  </w:t>
      </w:r>
      <w:r w:rsidRPr="000D4408">
        <w:rPr>
          <w:szCs w:val="24"/>
        </w:rPr>
        <w:t>§ 2000d-1.  (</w:t>
      </w:r>
      <w:r w:rsidR="000D4408">
        <w:rPr>
          <w:i/>
          <w:szCs w:val="24"/>
        </w:rPr>
        <w:t xml:space="preserve">See </w:t>
      </w:r>
      <w:r w:rsidR="00CD609E">
        <w:rPr>
          <w:szCs w:val="24"/>
        </w:rPr>
        <w:t>Def.</w:t>
      </w:r>
      <w:r w:rsidRPr="000D4408">
        <w:rPr>
          <w:szCs w:val="24"/>
        </w:rPr>
        <w:t xml:space="preserve"> Mem</w:t>
      </w:r>
      <w:r w:rsidR="009616E6">
        <w:rPr>
          <w:szCs w:val="24"/>
        </w:rPr>
        <w:t>.</w:t>
      </w:r>
      <w:r w:rsidRPr="000D4408">
        <w:rPr>
          <w:szCs w:val="24"/>
        </w:rPr>
        <w:t xml:space="preserve"> </w:t>
      </w:r>
      <w:r w:rsidR="000D4408">
        <w:rPr>
          <w:szCs w:val="24"/>
        </w:rPr>
        <w:t>5-9</w:t>
      </w:r>
      <w:r w:rsidRPr="000D4408">
        <w:rPr>
          <w:szCs w:val="24"/>
        </w:rPr>
        <w:t>.)</w:t>
      </w:r>
      <w:r w:rsidR="000D4408" w:rsidRPr="000D4408">
        <w:rPr>
          <w:szCs w:val="24"/>
        </w:rPr>
        <w:t xml:space="preserve"> </w:t>
      </w:r>
      <w:r w:rsidRPr="000D4408">
        <w:rPr>
          <w:szCs w:val="24"/>
        </w:rPr>
        <w:t xml:space="preserve"> DOJ, as the agency charged with enforcing Title II of the ADA, retains the discretion to determine the form of the notice it provides in a particular circumstance.  </w:t>
      </w:r>
      <w:r w:rsidR="00C87565">
        <w:rPr>
          <w:i/>
          <w:szCs w:val="24"/>
        </w:rPr>
        <w:t xml:space="preserve">See </w:t>
      </w:r>
      <w:r w:rsidR="006E1FB0" w:rsidRPr="00896716">
        <w:rPr>
          <w:szCs w:val="24"/>
        </w:rPr>
        <w:t>Exec</w:t>
      </w:r>
      <w:r w:rsidR="006E1FB0">
        <w:rPr>
          <w:szCs w:val="24"/>
        </w:rPr>
        <w:t>.</w:t>
      </w:r>
      <w:r w:rsidR="006E1FB0" w:rsidRPr="00896716">
        <w:rPr>
          <w:szCs w:val="24"/>
        </w:rPr>
        <w:t xml:space="preserve"> Order </w:t>
      </w:r>
      <w:r w:rsidR="00C87565">
        <w:rPr>
          <w:szCs w:val="24"/>
        </w:rPr>
        <w:t xml:space="preserve">No. </w:t>
      </w:r>
      <w:r w:rsidR="006E1FB0" w:rsidRPr="00896716">
        <w:rPr>
          <w:szCs w:val="24"/>
        </w:rPr>
        <w:t>12</w:t>
      </w:r>
      <w:r w:rsidR="00C87565">
        <w:rPr>
          <w:szCs w:val="24"/>
        </w:rPr>
        <w:t>,</w:t>
      </w:r>
      <w:r w:rsidR="006E1FB0" w:rsidRPr="00896716">
        <w:rPr>
          <w:szCs w:val="24"/>
        </w:rPr>
        <w:t>250,</w:t>
      </w:r>
      <w:r w:rsidR="006E1FB0">
        <w:rPr>
          <w:szCs w:val="24"/>
        </w:rPr>
        <w:t xml:space="preserve"> </w:t>
      </w:r>
      <w:r w:rsidR="006E1FB0" w:rsidRPr="00896716">
        <w:rPr>
          <w:szCs w:val="24"/>
        </w:rPr>
        <w:t>45 Fed. Reg. 72995 (</w:t>
      </w:r>
      <w:r w:rsidR="00C87565">
        <w:rPr>
          <w:szCs w:val="24"/>
        </w:rPr>
        <w:t>Nov. 4, 1980)</w:t>
      </w:r>
      <w:r w:rsidR="006E1FB0" w:rsidRPr="00896716">
        <w:rPr>
          <w:szCs w:val="24"/>
        </w:rPr>
        <w:t xml:space="preserve"> </w:t>
      </w:r>
      <w:r w:rsidRPr="000D4408">
        <w:rPr>
          <w:color w:val="000000"/>
          <w:szCs w:val="24"/>
        </w:rPr>
        <w:t xml:space="preserve">(delegating authority to the Attorney General, </w:t>
      </w:r>
      <w:r w:rsidRPr="000D4408">
        <w:rPr>
          <w:i/>
          <w:color w:val="000000"/>
          <w:szCs w:val="24"/>
        </w:rPr>
        <w:t>inter alia</w:t>
      </w:r>
      <w:r w:rsidRPr="000D4408">
        <w:rPr>
          <w:color w:val="000000"/>
          <w:szCs w:val="24"/>
        </w:rPr>
        <w:t xml:space="preserve">, to </w:t>
      </w:r>
      <w:r w:rsidRPr="000D4408">
        <w:rPr>
          <w:szCs w:val="24"/>
        </w:rPr>
        <w:t>“</w:t>
      </w:r>
      <w:r w:rsidRPr="000D4408">
        <w:rPr>
          <w:color w:val="000000"/>
          <w:szCs w:val="24"/>
        </w:rPr>
        <w:t xml:space="preserve">develop standards and procedures for taking enforcement actions and for conducting investigations and </w:t>
      </w:r>
      <w:r w:rsidR="000F734B">
        <w:rPr>
          <w:color w:val="000000"/>
          <w:szCs w:val="24"/>
        </w:rPr>
        <w:t>compliance reviews” with regard</w:t>
      </w:r>
      <w:r w:rsidRPr="000D4408">
        <w:rPr>
          <w:color w:val="000000"/>
          <w:szCs w:val="24"/>
        </w:rPr>
        <w:t xml:space="preserve"> to Title VI of the Civil Rights Act of 1964); </w:t>
      </w:r>
      <w:r w:rsidR="000D4408" w:rsidRPr="000D4408">
        <w:rPr>
          <w:color w:val="000000"/>
          <w:szCs w:val="24"/>
        </w:rPr>
        <w:t>s</w:t>
      </w:r>
      <w:r w:rsidRPr="000D4408">
        <w:rPr>
          <w:i/>
          <w:color w:val="000000"/>
          <w:szCs w:val="24"/>
        </w:rPr>
        <w:t>ee also</w:t>
      </w:r>
      <w:r w:rsidRPr="000D4408">
        <w:rPr>
          <w:szCs w:val="24"/>
        </w:rPr>
        <w:t xml:space="preserve"> </w:t>
      </w:r>
      <w:r w:rsidR="00AF04BF" w:rsidRPr="00AF04BF">
        <w:rPr>
          <w:i/>
          <w:color w:val="000000"/>
          <w:szCs w:val="24"/>
        </w:rPr>
        <w:t xml:space="preserve">Federal Exp. Corp. v. Holowecki, </w:t>
      </w:r>
      <w:r w:rsidR="00AF04BF" w:rsidRPr="00AF04BF">
        <w:rPr>
          <w:color w:val="000000"/>
          <w:szCs w:val="24"/>
        </w:rPr>
        <w:t>552 U.S. 389, 398</w:t>
      </w:r>
      <w:r w:rsidR="00D83E1D">
        <w:rPr>
          <w:color w:val="000000"/>
          <w:szCs w:val="24"/>
        </w:rPr>
        <w:t>-</w:t>
      </w:r>
      <w:r w:rsidR="00AF04BF" w:rsidRPr="00AF04BF">
        <w:rPr>
          <w:color w:val="000000"/>
          <w:szCs w:val="24"/>
        </w:rPr>
        <w:t>402 (2008) (according deference to the EEOC’s interpretation of procedural requirements of Title V</w:t>
      </w:r>
      <w:r w:rsidR="00F64104">
        <w:rPr>
          <w:color w:val="000000"/>
          <w:szCs w:val="24"/>
        </w:rPr>
        <w:t>I</w:t>
      </w:r>
      <w:r w:rsidR="00AF04BF" w:rsidRPr="00AF04BF">
        <w:rPr>
          <w:color w:val="000000"/>
          <w:szCs w:val="24"/>
        </w:rPr>
        <w:t>I and noting that it is appropriate to give deference to an agency regarding details on the administration of a statute for which it is charged with enforcing.)</w:t>
      </w:r>
    </w:p>
    <w:p w:rsidR="00507672" w:rsidRPr="00CC6CE9" w:rsidRDefault="0061511B" w:rsidP="00507672">
      <w:pPr>
        <w:spacing w:line="480" w:lineRule="auto"/>
        <w:ind w:firstLine="720"/>
        <w:rPr>
          <w:szCs w:val="24"/>
        </w:rPr>
      </w:pPr>
      <w:r w:rsidRPr="00A60B41">
        <w:rPr>
          <w:szCs w:val="24"/>
        </w:rPr>
        <w:t>The United States has also “determined that compliance cannot be secured by voluntary means”.  42 U.S.C. § 2000d-1</w:t>
      </w:r>
      <w:r w:rsidR="00E346C9" w:rsidRPr="00A60B41">
        <w:rPr>
          <w:szCs w:val="24"/>
        </w:rPr>
        <w:t xml:space="preserve">; </w:t>
      </w:r>
      <w:r w:rsidRPr="00A60B41">
        <w:rPr>
          <w:szCs w:val="24"/>
        </w:rPr>
        <w:t>(Proposed Compl</w:t>
      </w:r>
      <w:r w:rsidR="00FF578B" w:rsidRPr="00A60B41">
        <w:rPr>
          <w:szCs w:val="24"/>
        </w:rPr>
        <w:t>.</w:t>
      </w:r>
      <w:r w:rsidRPr="00A60B41">
        <w:rPr>
          <w:szCs w:val="24"/>
        </w:rPr>
        <w:t xml:space="preserve"> ¶</w:t>
      </w:r>
      <w:r w:rsidRPr="00CC6CE9">
        <w:rPr>
          <w:szCs w:val="24"/>
        </w:rPr>
        <w:t xml:space="preserve"> 63).  </w:t>
      </w:r>
      <w:r w:rsidR="006A7ED8" w:rsidRPr="00CC6CE9">
        <w:rPr>
          <w:szCs w:val="24"/>
        </w:rPr>
        <w:t xml:space="preserve">The </w:t>
      </w:r>
      <w:r w:rsidR="00E22062" w:rsidRPr="00CC6CE9">
        <w:rPr>
          <w:szCs w:val="24"/>
        </w:rPr>
        <w:t xml:space="preserve">Defendants did not accept the United States’ offer </w:t>
      </w:r>
      <w:r w:rsidR="006A7ED8" w:rsidRPr="00CC6CE9">
        <w:rPr>
          <w:szCs w:val="24"/>
        </w:rPr>
        <w:t>to enter into settlement discussions.  (</w:t>
      </w:r>
      <w:r w:rsidR="0098053F" w:rsidRPr="00CC6CE9">
        <w:rPr>
          <w:i/>
          <w:szCs w:val="24"/>
        </w:rPr>
        <w:t>S</w:t>
      </w:r>
      <w:r w:rsidR="006A7ED8" w:rsidRPr="00CC6CE9">
        <w:rPr>
          <w:i/>
          <w:szCs w:val="24"/>
        </w:rPr>
        <w:t>ee</w:t>
      </w:r>
      <w:r w:rsidR="006A7ED8" w:rsidRPr="00CC6CE9">
        <w:rPr>
          <w:szCs w:val="24"/>
        </w:rPr>
        <w:t xml:space="preserve"> </w:t>
      </w:r>
      <w:r w:rsidR="00CD609E">
        <w:rPr>
          <w:szCs w:val="24"/>
        </w:rPr>
        <w:t>Def.</w:t>
      </w:r>
      <w:r w:rsidR="009616E6">
        <w:rPr>
          <w:szCs w:val="24"/>
        </w:rPr>
        <w:t xml:space="preserve"> Exs. 1.1</w:t>
      </w:r>
      <w:r w:rsidR="00D83E1D">
        <w:rPr>
          <w:szCs w:val="24"/>
        </w:rPr>
        <w:t>-</w:t>
      </w:r>
      <w:r w:rsidR="006A7ED8" w:rsidRPr="00CC6CE9">
        <w:rPr>
          <w:szCs w:val="24"/>
        </w:rPr>
        <w:t>1.7</w:t>
      </w:r>
      <w:r w:rsidR="00D13ADB">
        <w:rPr>
          <w:szCs w:val="24"/>
        </w:rPr>
        <w:t>.</w:t>
      </w:r>
      <w:r w:rsidR="006A7ED8" w:rsidRPr="00CC6CE9">
        <w:rPr>
          <w:szCs w:val="24"/>
        </w:rPr>
        <w:t xml:space="preserve">) </w:t>
      </w:r>
      <w:r w:rsidR="00A53DD9">
        <w:rPr>
          <w:szCs w:val="24"/>
        </w:rPr>
        <w:t xml:space="preserve"> </w:t>
      </w:r>
      <w:r w:rsidR="00E22062" w:rsidRPr="00CC6CE9">
        <w:rPr>
          <w:szCs w:val="24"/>
        </w:rPr>
        <w:t xml:space="preserve">The United States provided, per the Defendants’ request, additional details regarding the violations so that the Defendants could determine whether to engage in settlement discussions.  </w:t>
      </w:r>
      <w:r w:rsidR="0098053F" w:rsidRPr="00CC6CE9">
        <w:rPr>
          <w:szCs w:val="24"/>
        </w:rPr>
        <w:t>(</w:t>
      </w:r>
      <w:r w:rsidR="001502F2">
        <w:rPr>
          <w:i/>
          <w:szCs w:val="24"/>
        </w:rPr>
        <w:t xml:space="preserve">Id. </w:t>
      </w:r>
      <w:r w:rsidR="001502F2">
        <w:rPr>
          <w:szCs w:val="24"/>
        </w:rPr>
        <w:t>at</w:t>
      </w:r>
      <w:r w:rsidR="0098053F" w:rsidRPr="00CC6CE9">
        <w:rPr>
          <w:szCs w:val="24"/>
        </w:rPr>
        <w:t xml:space="preserve"> 1.</w:t>
      </w:r>
      <w:r w:rsidR="00D13ADB">
        <w:rPr>
          <w:szCs w:val="24"/>
        </w:rPr>
        <w:t>3.</w:t>
      </w:r>
      <w:r w:rsidR="0098053F" w:rsidRPr="00CC6CE9">
        <w:rPr>
          <w:szCs w:val="24"/>
        </w:rPr>
        <w:t xml:space="preserve">) </w:t>
      </w:r>
      <w:r w:rsidR="00E22062" w:rsidRPr="00CC6CE9">
        <w:rPr>
          <w:szCs w:val="24"/>
        </w:rPr>
        <w:t>Nevertheless, the</w:t>
      </w:r>
      <w:r w:rsidR="00A849EF" w:rsidRPr="00CC6CE9">
        <w:rPr>
          <w:szCs w:val="24"/>
        </w:rPr>
        <w:t xml:space="preserve"> </w:t>
      </w:r>
      <w:r w:rsidR="0098053F" w:rsidRPr="00CC6CE9">
        <w:rPr>
          <w:szCs w:val="24"/>
        </w:rPr>
        <w:t xml:space="preserve">Defendants </w:t>
      </w:r>
      <w:r w:rsidR="00A849EF" w:rsidRPr="00CC6CE9">
        <w:rPr>
          <w:szCs w:val="24"/>
        </w:rPr>
        <w:t xml:space="preserve">still </w:t>
      </w:r>
      <w:r w:rsidR="0098053F" w:rsidRPr="00CC6CE9">
        <w:rPr>
          <w:szCs w:val="24"/>
        </w:rPr>
        <w:t xml:space="preserve">did not accept the United States’ offer to enter into settlement discussions.  </w:t>
      </w:r>
      <w:r w:rsidR="006A7ED8" w:rsidRPr="00CC6CE9">
        <w:rPr>
          <w:szCs w:val="24"/>
        </w:rPr>
        <w:t>(</w:t>
      </w:r>
      <w:r w:rsidR="0098053F" w:rsidRPr="00CC6CE9">
        <w:rPr>
          <w:i/>
          <w:szCs w:val="24"/>
        </w:rPr>
        <w:t>See</w:t>
      </w:r>
      <w:r w:rsidR="0098053F" w:rsidRPr="00CC6CE9">
        <w:rPr>
          <w:szCs w:val="24"/>
        </w:rPr>
        <w:t xml:space="preserve"> </w:t>
      </w:r>
      <w:r w:rsidR="005253F1">
        <w:rPr>
          <w:i/>
          <w:szCs w:val="24"/>
        </w:rPr>
        <w:t>i</w:t>
      </w:r>
      <w:r w:rsidR="001502F2">
        <w:rPr>
          <w:i/>
          <w:szCs w:val="24"/>
        </w:rPr>
        <w:t xml:space="preserve">d. </w:t>
      </w:r>
      <w:r w:rsidR="001502F2" w:rsidRPr="00D83E1D">
        <w:rPr>
          <w:szCs w:val="24"/>
        </w:rPr>
        <w:t>at</w:t>
      </w:r>
      <w:r w:rsidR="0098053F" w:rsidRPr="00CC6CE9">
        <w:rPr>
          <w:szCs w:val="24"/>
        </w:rPr>
        <w:t xml:space="preserve"> 1.</w:t>
      </w:r>
      <w:r w:rsidR="00D83E1D">
        <w:rPr>
          <w:szCs w:val="24"/>
        </w:rPr>
        <w:t>4</w:t>
      </w:r>
      <w:r w:rsidR="00D83E1D" w:rsidRPr="00D83E1D">
        <w:rPr>
          <w:szCs w:val="24"/>
        </w:rPr>
        <w:t>-</w:t>
      </w:r>
      <w:r w:rsidR="00D13ADB">
        <w:rPr>
          <w:szCs w:val="24"/>
        </w:rPr>
        <w:t>1.7.</w:t>
      </w:r>
      <w:r w:rsidR="0098053F" w:rsidRPr="00CC6CE9">
        <w:rPr>
          <w:szCs w:val="24"/>
        </w:rPr>
        <w:t>)</w:t>
      </w:r>
      <w:r w:rsidR="00D13ADB">
        <w:rPr>
          <w:szCs w:val="24"/>
        </w:rPr>
        <w:t xml:space="preserve"> </w:t>
      </w:r>
      <w:r w:rsidR="006A7ED8" w:rsidRPr="00CC6CE9">
        <w:rPr>
          <w:szCs w:val="24"/>
        </w:rPr>
        <w:t xml:space="preserve"> Further, the </w:t>
      </w:r>
      <w:r w:rsidR="0056711B" w:rsidRPr="00CC6CE9">
        <w:rPr>
          <w:szCs w:val="24"/>
        </w:rPr>
        <w:t>Defendants had already been sued for the same violations that the United States seeks to resolve</w:t>
      </w:r>
      <w:r w:rsidR="00C5477C" w:rsidRPr="00CC6CE9">
        <w:rPr>
          <w:szCs w:val="24"/>
        </w:rPr>
        <w:t xml:space="preserve">.  Indeed, </w:t>
      </w:r>
      <w:r w:rsidR="0056711B" w:rsidRPr="00CC6CE9">
        <w:rPr>
          <w:szCs w:val="24"/>
        </w:rPr>
        <w:t xml:space="preserve">the </w:t>
      </w:r>
      <w:r w:rsidR="00C5477C" w:rsidRPr="00CC6CE9">
        <w:rPr>
          <w:szCs w:val="24"/>
        </w:rPr>
        <w:t xml:space="preserve">existing </w:t>
      </w:r>
      <w:r w:rsidR="0056711B" w:rsidRPr="00CC6CE9">
        <w:rPr>
          <w:szCs w:val="24"/>
        </w:rPr>
        <w:t xml:space="preserve">parties have been engaged in </w:t>
      </w:r>
      <w:r w:rsidR="000D3FE5" w:rsidRPr="00CC6CE9">
        <w:rPr>
          <w:szCs w:val="24"/>
        </w:rPr>
        <w:t>adversarial litigation for seven</w:t>
      </w:r>
      <w:r w:rsidR="0056711B" w:rsidRPr="00CC6CE9">
        <w:rPr>
          <w:szCs w:val="24"/>
        </w:rPr>
        <w:t xml:space="preserve"> months, yet the ADA violations are ongoing</w:t>
      </w:r>
      <w:r w:rsidR="00113FA5" w:rsidRPr="00CC6CE9">
        <w:rPr>
          <w:szCs w:val="24"/>
        </w:rPr>
        <w:t xml:space="preserve"> </w:t>
      </w:r>
      <w:r w:rsidR="00C5477C" w:rsidRPr="00CC6CE9">
        <w:rPr>
          <w:szCs w:val="24"/>
        </w:rPr>
        <w:t xml:space="preserve">and </w:t>
      </w:r>
      <w:r w:rsidR="00E85E71" w:rsidRPr="00CC6CE9">
        <w:rPr>
          <w:szCs w:val="24"/>
        </w:rPr>
        <w:t>the</w:t>
      </w:r>
      <w:r w:rsidR="0056711B" w:rsidRPr="00CC6CE9">
        <w:rPr>
          <w:szCs w:val="24"/>
        </w:rPr>
        <w:t xml:space="preserve"> individually named Plaintiffs remain unnecessarily </w:t>
      </w:r>
      <w:r w:rsidR="00FF1B03" w:rsidRPr="00CC6CE9">
        <w:rPr>
          <w:szCs w:val="24"/>
        </w:rPr>
        <w:t>i</w:t>
      </w:r>
      <w:r w:rsidR="0056711B" w:rsidRPr="00CC6CE9">
        <w:rPr>
          <w:szCs w:val="24"/>
        </w:rPr>
        <w:t>nstitutionalized in nursing facilities.</w:t>
      </w:r>
      <w:r w:rsidR="0056711B" w:rsidRPr="00CC6CE9">
        <w:rPr>
          <w:rStyle w:val="FootnoteReference"/>
          <w:szCs w:val="24"/>
        </w:rPr>
        <w:footnoteReference w:id="4"/>
      </w:r>
      <w:r w:rsidR="00E85E71" w:rsidRPr="00CC6CE9">
        <w:rPr>
          <w:szCs w:val="24"/>
        </w:rPr>
        <w:t xml:space="preserve">  </w:t>
      </w:r>
      <w:r w:rsidR="0098053F" w:rsidRPr="00CC6CE9">
        <w:rPr>
          <w:szCs w:val="24"/>
        </w:rPr>
        <w:t>As a result of the Defendants’ actions, the United States made a determination that compliance could not be secured by voluntary means</w:t>
      </w:r>
      <w:r w:rsidR="00E22062" w:rsidRPr="00CC6CE9">
        <w:rPr>
          <w:szCs w:val="24"/>
        </w:rPr>
        <w:t>.</w:t>
      </w:r>
      <w:r w:rsidR="00AC4658">
        <w:rPr>
          <w:szCs w:val="24"/>
        </w:rPr>
        <w:t xml:space="preserve">  </w:t>
      </w:r>
      <w:r w:rsidR="00AC4658" w:rsidRPr="00AC4658">
        <w:rPr>
          <w:szCs w:val="24"/>
        </w:rPr>
        <w:t xml:space="preserve">In nearly identical circumstances, the court in </w:t>
      </w:r>
      <w:r w:rsidR="00AC4658" w:rsidRPr="00AC4658">
        <w:rPr>
          <w:i/>
          <w:szCs w:val="24"/>
        </w:rPr>
        <w:t>Smith v. City of Philadelphia</w:t>
      </w:r>
      <w:r w:rsidR="00F64104">
        <w:rPr>
          <w:i/>
          <w:szCs w:val="24"/>
        </w:rPr>
        <w:t xml:space="preserve">, </w:t>
      </w:r>
      <w:r w:rsidR="00F64104" w:rsidRPr="00AC4658">
        <w:rPr>
          <w:color w:val="000000"/>
          <w:kern w:val="36"/>
          <w:szCs w:val="24"/>
        </w:rPr>
        <w:t>345 F.</w:t>
      </w:r>
      <w:r w:rsidR="00F64104">
        <w:rPr>
          <w:color w:val="000000"/>
          <w:kern w:val="36"/>
          <w:szCs w:val="24"/>
        </w:rPr>
        <w:t xml:space="preserve"> </w:t>
      </w:r>
      <w:r w:rsidR="00F64104" w:rsidRPr="00AC4658">
        <w:rPr>
          <w:color w:val="000000"/>
          <w:kern w:val="36"/>
          <w:szCs w:val="24"/>
        </w:rPr>
        <w:t>Supp.</w:t>
      </w:r>
      <w:r w:rsidR="00F64104">
        <w:rPr>
          <w:color w:val="000000"/>
          <w:kern w:val="36"/>
          <w:szCs w:val="24"/>
        </w:rPr>
        <w:t xml:space="preserve"> 2d 482 </w:t>
      </w:r>
      <w:r w:rsidR="00F64104" w:rsidRPr="005253F1">
        <w:rPr>
          <w:color w:val="000000"/>
          <w:kern w:val="36"/>
          <w:szCs w:val="24"/>
        </w:rPr>
        <w:t>(E.D. Pa. 2004)</w:t>
      </w:r>
      <w:r w:rsidR="00F64104">
        <w:rPr>
          <w:color w:val="000000"/>
          <w:kern w:val="36"/>
          <w:szCs w:val="24"/>
        </w:rPr>
        <w:t>,</w:t>
      </w:r>
      <w:r w:rsidR="00AC4658" w:rsidRPr="00AC4658">
        <w:rPr>
          <w:szCs w:val="24"/>
        </w:rPr>
        <w:t xml:space="preserve"> found DOJ in compliance with the statutory prerequisites of Title II of the ADA.  </w:t>
      </w:r>
      <w:r w:rsidR="00F64104">
        <w:rPr>
          <w:i/>
          <w:szCs w:val="24"/>
        </w:rPr>
        <w:t>Id</w:t>
      </w:r>
      <w:r w:rsidR="00B75CBF">
        <w:rPr>
          <w:i/>
          <w:szCs w:val="24"/>
        </w:rPr>
        <w:t>.</w:t>
      </w:r>
      <w:r w:rsidR="00F64104">
        <w:rPr>
          <w:i/>
          <w:szCs w:val="24"/>
        </w:rPr>
        <w:t xml:space="preserve"> </w:t>
      </w:r>
      <w:r w:rsidR="00F64104">
        <w:rPr>
          <w:szCs w:val="24"/>
        </w:rPr>
        <w:t>at 490</w:t>
      </w:r>
      <w:r w:rsidR="00AC4658" w:rsidRPr="005253F1">
        <w:rPr>
          <w:color w:val="000000"/>
          <w:kern w:val="36"/>
          <w:szCs w:val="24"/>
        </w:rPr>
        <w:t xml:space="preserve">.  </w:t>
      </w:r>
      <w:r w:rsidR="00AC4658" w:rsidRPr="005253F1">
        <w:rPr>
          <w:szCs w:val="24"/>
        </w:rPr>
        <w:t xml:space="preserve">In </w:t>
      </w:r>
      <w:r w:rsidR="00AC4658" w:rsidRPr="005253F1">
        <w:rPr>
          <w:i/>
          <w:szCs w:val="24"/>
        </w:rPr>
        <w:t>Smith</w:t>
      </w:r>
      <w:r w:rsidR="00AC4658" w:rsidRPr="00AC4658">
        <w:rPr>
          <w:szCs w:val="24"/>
        </w:rPr>
        <w:t xml:space="preserve">, DOJ sent a letter to the defendants indicating the United States’ intention to intervene and offered to discuss resolution.  </w:t>
      </w:r>
      <w:r w:rsidR="00AC4658" w:rsidRPr="00AC4658">
        <w:rPr>
          <w:i/>
          <w:szCs w:val="24"/>
        </w:rPr>
        <w:t>Id</w:t>
      </w:r>
      <w:r w:rsidR="00AC4658" w:rsidRPr="00AC4658">
        <w:rPr>
          <w:szCs w:val="24"/>
        </w:rPr>
        <w:t>.  After the defendant failed to respond in three weeks, the United States interven</w:t>
      </w:r>
      <w:r w:rsidR="00F64104">
        <w:rPr>
          <w:szCs w:val="24"/>
        </w:rPr>
        <w:t>ed</w:t>
      </w:r>
      <w:r w:rsidR="00AC4658" w:rsidRPr="00AC4658">
        <w:rPr>
          <w:szCs w:val="24"/>
        </w:rPr>
        <w:t xml:space="preserve">.  </w:t>
      </w:r>
    </w:p>
    <w:p w:rsidR="00E22062" w:rsidRDefault="00274A43" w:rsidP="00926097">
      <w:pPr>
        <w:spacing w:line="480" w:lineRule="auto"/>
        <w:ind w:firstLine="720"/>
        <w:rPr>
          <w:szCs w:val="24"/>
        </w:rPr>
      </w:pPr>
      <w:r w:rsidRPr="00CC6CE9">
        <w:rPr>
          <w:szCs w:val="24"/>
        </w:rPr>
        <w:t xml:space="preserve">The Defendants’ reliance on </w:t>
      </w:r>
      <w:r w:rsidR="005253F1">
        <w:rPr>
          <w:i/>
          <w:szCs w:val="24"/>
        </w:rPr>
        <w:t xml:space="preserve">United </w:t>
      </w:r>
      <w:r w:rsidR="00E60000" w:rsidRPr="00CC6CE9">
        <w:rPr>
          <w:i/>
          <w:szCs w:val="24"/>
        </w:rPr>
        <w:t>S</w:t>
      </w:r>
      <w:r w:rsidR="005253F1">
        <w:rPr>
          <w:i/>
          <w:szCs w:val="24"/>
        </w:rPr>
        <w:t xml:space="preserve">tates v. </w:t>
      </w:r>
      <w:r w:rsidRPr="00CC6CE9">
        <w:rPr>
          <w:i/>
          <w:szCs w:val="24"/>
        </w:rPr>
        <w:t>Arkansas</w:t>
      </w:r>
      <w:r w:rsidRPr="00CC6CE9">
        <w:rPr>
          <w:szCs w:val="24"/>
        </w:rPr>
        <w:t xml:space="preserve">, </w:t>
      </w:r>
      <w:r w:rsidR="00E51B5B">
        <w:rPr>
          <w:szCs w:val="24"/>
        </w:rPr>
        <w:t xml:space="preserve">No. 10-327, </w:t>
      </w:r>
      <w:r w:rsidRPr="00CC6CE9">
        <w:rPr>
          <w:szCs w:val="24"/>
        </w:rPr>
        <w:t xml:space="preserve">2011 WL 251107 </w:t>
      </w:r>
      <w:r w:rsidR="00B24316" w:rsidRPr="00CC6CE9">
        <w:rPr>
          <w:szCs w:val="24"/>
        </w:rPr>
        <w:t>(E.D. Ark.</w:t>
      </w:r>
      <w:r w:rsidR="002930A6" w:rsidRPr="00CC6CE9">
        <w:rPr>
          <w:szCs w:val="24"/>
        </w:rPr>
        <w:t xml:space="preserve"> Jan. 24, 2011</w:t>
      </w:r>
      <w:r w:rsidR="00B24316" w:rsidRPr="00CC6CE9">
        <w:rPr>
          <w:szCs w:val="24"/>
        </w:rPr>
        <w:t>)</w:t>
      </w:r>
      <w:r w:rsidRPr="00CC6CE9">
        <w:rPr>
          <w:szCs w:val="24"/>
        </w:rPr>
        <w:t xml:space="preserve">, </w:t>
      </w:r>
      <w:r w:rsidR="00E73150" w:rsidRPr="00CC6CE9">
        <w:rPr>
          <w:szCs w:val="24"/>
        </w:rPr>
        <w:t xml:space="preserve">is misplaced.  </w:t>
      </w:r>
      <w:r w:rsidR="00D811BC" w:rsidRPr="00CC6CE9">
        <w:rPr>
          <w:szCs w:val="24"/>
        </w:rPr>
        <w:t xml:space="preserve">In that case, </w:t>
      </w:r>
      <w:r w:rsidR="00E73150" w:rsidRPr="00CC6CE9">
        <w:rPr>
          <w:szCs w:val="24"/>
        </w:rPr>
        <w:t xml:space="preserve">DOJ </w:t>
      </w:r>
      <w:r w:rsidR="00FF1B03" w:rsidRPr="00CC6CE9">
        <w:rPr>
          <w:szCs w:val="24"/>
        </w:rPr>
        <w:t>brought its own suit against Arkansas; it did no</w:t>
      </w:r>
      <w:r w:rsidR="00E73150" w:rsidRPr="00CC6CE9">
        <w:rPr>
          <w:szCs w:val="24"/>
        </w:rPr>
        <w:t xml:space="preserve">t seek </w:t>
      </w:r>
      <w:r w:rsidR="00C5477C" w:rsidRPr="00CC6CE9">
        <w:rPr>
          <w:szCs w:val="24"/>
        </w:rPr>
        <w:t xml:space="preserve">to intervene </w:t>
      </w:r>
      <w:r w:rsidR="00E73150" w:rsidRPr="00CC6CE9">
        <w:rPr>
          <w:szCs w:val="24"/>
        </w:rPr>
        <w:t xml:space="preserve">in </w:t>
      </w:r>
      <w:r w:rsidR="00FF1B03" w:rsidRPr="00CC6CE9">
        <w:rPr>
          <w:szCs w:val="24"/>
        </w:rPr>
        <w:t>an existing lawsuit</w:t>
      </w:r>
      <w:r w:rsidR="00B24316" w:rsidRPr="00CC6CE9">
        <w:rPr>
          <w:szCs w:val="24"/>
        </w:rPr>
        <w:t xml:space="preserve">.  </w:t>
      </w:r>
      <w:r w:rsidR="00B24316" w:rsidRPr="00CC6CE9">
        <w:rPr>
          <w:i/>
          <w:szCs w:val="24"/>
        </w:rPr>
        <w:t>Id.</w:t>
      </w:r>
      <w:r w:rsidR="00B24316" w:rsidRPr="00CC6CE9">
        <w:rPr>
          <w:szCs w:val="24"/>
        </w:rPr>
        <w:t xml:space="preserve"> at *1.  </w:t>
      </w:r>
      <w:r w:rsidR="00E60000" w:rsidRPr="00CC6CE9">
        <w:rPr>
          <w:szCs w:val="24"/>
        </w:rPr>
        <w:t>Further</w:t>
      </w:r>
      <w:r w:rsidR="00C5477C" w:rsidRPr="00CC6CE9">
        <w:rPr>
          <w:szCs w:val="24"/>
        </w:rPr>
        <w:t>,</w:t>
      </w:r>
      <w:r w:rsidR="00E60000" w:rsidRPr="00CC6CE9">
        <w:rPr>
          <w:szCs w:val="24"/>
        </w:rPr>
        <w:t xml:space="preserve"> t</w:t>
      </w:r>
      <w:r w:rsidR="0064773D" w:rsidRPr="00CC6CE9">
        <w:rPr>
          <w:szCs w:val="24"/>
        </w:rPr>
        <w:t>he c</w:t>
      </w:r>
      <w:r w:rsidR="00B24316" w:rsidRPr="00CC6CE9">
        <w:rPr>
          <w:szCs w:val="24"/>
        </w:rPr>
        <w:t>ourt</w:t>
      </w:r>
      <w:r w:rsidR="00E60000" w:rsidRPr="00CC6CE9">
        <w:rPr>
          <w:szCs w:val="24"/>
        </w:rPr>
        <w:t xml:space="preserve"> in </w:t>
      </w:r>
      <w:r w:rsidR="00746CB3">
        <w:rPr>
          <w:i/>
          <w:szCs w:val="24"/>
        </w:rPr>
        <w:t xml:space="preserve">United States v. </w:t>
      </w:r>
      <w:r w:rsidR="00E60000" w:rsidRPr="00CC6CE9">
        <w:rPr>
          <w:i/>
          <w:szCs w:val="24"/>
        </w:rPr>
        <w:t>Arkansas</w:t>
      </w:r>
      <w:r w:rsidR="0064773D" w:rsidRPr="00CC6CE9">
        <w:rPr>
          <w:szCs w:val="24"/>
        </w:rPr>
        <w:t xml:space="preserve"> found that DOJ’s pre-filing written notice to the defendant </w:t>
      </w:r>
      <w:r w:rsidR="00AB513A" w:rsidRPr="00CC6CE9">
        <w:rPr>
          <w:szCs w:val="24"/>
        </w:rPr>
        <w:t xml:space="preserve">merely </w:t>
      </w:r>
      <w:r w:rsidR="0064773D" w:rsidRPr="00CC6CE9">
        <w:rPr>
          <w:szCs w:val="24"/>
        </w:rPr>
        <w:t xml:space="preserve">stated that DOJ had </w:t>
      </w:r>
      <w:r w:rsidR="0053062F" w:rsidRPr="00CC6CE9">
        <w:rPr>
          <w:szCs w:val="24"/>
        </w:rPr>
        <w:t>commenced an investigation</w:t>
      </w:r>
      <w:r w:rsidR="00B75CBF">
        <w:rPr>
          <w:szCs w:val="24"/>
        </w:rPr>
        <w:t xml:space="preserve"> and </w:t>
      </w:r>
      <w:r w:rsidR="00683AC7" w:rsidRPr="00CC6CE9">
        <w:rPr>
          <w:szCs w:val="24"/>
        </w:rPr>
        <w:t xml:space="preserve">that DOJ </w:t>
      </w:r>
      <w:r w:rsidR="0064773D" w:rsidRPr="00CC6CE9">
        <w:rPr>
          <w:szCs w:val="24"/>
        </w:rPr>
        <w:t xml:space="preserve">had </w:t>
      </w:r>
      <w:r w:rsidR="00B75CBF" w:rsidRPr="00B75CBF">
        <w:rPr>
          <w:i/>
          <w:szCs w:val="24"/>
        </w:rPr>
        <w:t>not</w:t>
      </w:r>
      <w:r w:rsidR="00B75CBF">
        <w:rPr>
          <w:szCs w:val="24"/>
        </w:rPr>
        <w:t xml:space="preserve"> </w:t>
      </w:r>
      <w:r w:rsidR="0053062F" w:rsidRPr="00CC6CE9">
        <w:rPr>
          <w:szCs w:val="24"/>
        </w:rPr>
        <w:t xml:space="preserve">reached </w:t>
      </w:r>
      <w:r w:rsidR="00AB513A" w:rsidRPr="00CC6CE9">
        <w:rPr>
          <w:szCs w:val="24"/>
        </w:rPr>
        <w:t xml:space="preserve">a </w:t>
      </w:r>
      <w:r w:rsidR="0064773D" w:rsidRPr="00CC6CE9">
        <w:rPr>
          <w:szCs w:val="24"/>
        </w:rPr>
        <w:t xml:space="preserve">conclusion </w:t>
      </w:r>
      <w:r w:rsidR="00AB513A" w:rsidRPr="00CC6CE9">
        <w:rPr>
          <w:szCs w:val="24"/>
        </w:rPr>
        <w:t>that the</w:t>
      </w:r>
      <w:r w:rsidR="0064773D" w:rsidRPr="00CC6CE9">
        <w:rPr>
          <w:szCs w:val="24"/>
        </w:rPr>
        <w:t xml:space="preserve"> defendant was in violation of the ADA</w:t>
      </w:r>
      <w:r w:rsidR="0053062F" w:rsidRPr="00CC6CE9">
        <w:rPr>
          <w:szCs w:val="24"/>
        </w:rPr>
        <w:t xml:space="preserve">.  </w:t>
      </w:r>
      <w:r w:rsidR="00FE4B30" w:rsidRPr="00CC6CE9">
        <w:rPr>
          <w:i/>
          <w:szCs w:val="24"/>
        </w:rPr>
        <w:t>Id.</w:t>
      </w:r>
      <w:r w:rsidR="0053062F" w:rsidRPr="00CC6CE9">
        <w:rPr>
          <w:szCs w:val="24"/>
        </w:rPr>
        <w:t xml:space="preserve"> at *6.  </w:t>
      </w:r>
      <w:r w:rsidR="00683AC7" w:rsidRPr="00CC6CE9">
        <w:rPr>
          <w:szCs w:val="24"/>
        </w:rPr>
        <w:t>In contrast, h</w:t>
      </w:r>
      <w:r w:rsidR="00CC30FD" w:rsidRPr="00CC6CE9">
        <w:rPr>
          <w:szCs w:val="24"/>
        </w:rPr>
        <w:t>ere</w:t>
      </w:r>
      <w:r w:rsidR="0053062F" w:rsidRPr="00CC6CE9">
        <w:rPr>
          <w:szCs w:val="24"/>
        </w:rPr>
        <w:t xml:space="preserve"> DOJ provided </w:t>
      </w:r>
      <w:r w:rsidR="008321F4" w:rsidRPr="00CC6CE9">
        <w:rPr>
          <w:szCs w:val="24"/>
        </w:rPr>
        <w:t>clear</w:t>
      </w:r>
      <w:r w:rsidR="0053062F" w:rsidRPr="00CC6CE9">
        <w:rPr>
          <w:szCs w:val="24"/>
        </w:rPr>
        <w:t xml:space="preserve"> notice </w:t>
      </w:r>
      <w:r w:rsidR="00D67306">
        <w:rPr>
          <w:szCs w:val="24"/>
        </w:rPr>
        <w:t>of the State’s ADA violations</w:t>
      </w:r>
      <w:r w:rsidR="00FF1B03" w:rsidRPr="00CC6CE9">
        <w:rPr>
          <w:szCs w:val="24"/>
        </w:rPr>
        <w:t xml:space="preserve">, </w:t>
      </w:r>
      <w:r w:rsidR="00CC30FD" w:rsidRPr="00CC6CE9">
        <w:rPr>
          <w:szCs w:val="24"/>
        </w:rPr>
        <w:t>described</w:t>
      </w:r>
      <w:r w:rsidR="0053062F" w:rsidRPr="00CC6CE9">
        <w:rPr>
          <w:szCs w:val="24"/>
        </w:rPr>
        <w:t xml:space="preserve"> the violations</w:t>
      </w:r>
      <w:r w:rsidR="00FF1B03" w:rsidRPr="00CC6CE9">
        <w:rPr>
          <w:szCs w:val="24"/>
        </w:rPr>
        <w:t xml:space="preserve"> and the scope of the violations, </w:t>
      </w:r>
      <w:r w:rsidR="00CC30FD" w:rsidRPr="00CC6CE9">
        <w:rPr>
          <w:szCs w:val="24"/>
        </w:rPr>
        <w:t xml:space="preserve">and informed the </w:t>
      </w:r>
      <w:r w:rsidR="008321F4" w:rsidRPr="00CC6CE9">
        <w:rPr>
          <w:szCs w:val="24"/>
        </w:rPr>
        <w:t>State</w:t>
      </w:r>
      <w:r w:rsidR="00CC30FD" w:rsidRPr="00CC6CE9">
        <w:rPr>
          <w:szCs w:val="24"/>
        </w:rPr>
        <w:t xml:space="preserve"> that the United States would seek to intervene absent the </w:t>
      </w:r>
      <w:r w:rsidR="008321F4" w:rsidRPr="00CC6CE9">
        <w:rPr>
          <w:szCs w:val="24"/>
        </w:rPr>
        <w:t>State’s</w:t>
      </w:r>
      <w:r w:rsidR="00CC30FD" w:rsidRPr="00CC6CE9">
        <w:rPr>
          <w:szCs w:val="24"/>
        </w:rPr>
        <w:t xml:space="preserve"> agreement to remedy the violations through a consent decree</w:t>
      </w:r>
      <w:r w:rsidR="00B75CBF">
        <w:rPr>
          <w:szCs w:val="24"/>
        </w:rPr>
        <w:t xml:space="preserve">. </w:t>
      </w:r>
      <w:r w:rsidR="00B75CBF" w:rsidRPr="00CC6CE9">
        <w:rPr>
          <w:szCs w:val="24"/>
        </w:rPr>
        <w:t xml:space="preserve">(Def Exs. 1.1 and 1.3.)  </w:t>
      </w:r>
      <w:r w:rsidR="00B75CBF">
        <w:rPr>
          <w:szCs w:val="24"/>
        </w:rPr>
        <w:t>T</w:t>
      </w:r>
      <w:r w:rsidR="00A53DD9">
        <w:rPr>
          <w:szCs w:val="24"/>
        </w:rPr>
        <w:t>he Defendants rejected the United States’ offer to enter into settlement discussions</w:t>
      </w:r>
      <w:r w:rsidR="00CC30FD" w:rsidRPr="00CC6CE9">
        <w:rPr>
          <w:szCs w:val="24"/>
        </w:rPr>
        <w:t xml:space="preserve">.  </w:t>
      </w:r>
      <w:r w:rsidR="00B75CBF">
        <w:rPr>
          <w:szCs w:val="24"/>
        </w:rPr>
        <w:t>(</w:t>
      </w:r>
      <w:r w:rsidR="00B75CBF" w:rsidRPr="00B75CBF">
        <w:rPr>
          <w:i/>
          <w:szCs w:val="24"/>
        </w:rPr>
        <w:t>Id</w:t>
      </w:r>
      <w:r w:rsidR="00B75CBF">
        <w:rPr>
          <w:szCs w:val="24"/>
        </w:rPr>
        <w:t>.)</w:t>
      </w:r>
      <w:r w:rsidR="00983662" w:rsidRPr="00CC6CE9">
        <w:rPr>
          <w:szCs w:val="24"/>
        </w:rPr>
        <w:t xml:space="preserve"> </w:t>
      </w:r>
      <w:r w:rsidR="00C379D2" w:rsidRPr="00CC6CE9">
        <w:rPr>
          <w:szCs w:val="24"/>
        </w:rPr>
        <w:t xml:space="preserve"> </w:t>
      </w:r>
      <w:r w:rsidR="00507672" w:rsidRPr="00CC6CE9">
        <w:rPr>
          <w:szCs w:val="24"/>
        </w:rPr>
        <w:t xml:space="preserve">The United States has thus complied with the statutory prerequisites contained within 42 U.S.C. § 2000d-1. </w:t>
      </w:r>
    </w:p>
    <w:p w:rsidR="00860C35" w:rsidRPr="00CC6CE9" w:rsidRDefault="00091049" w:rsidP="00A849EF">
      <w:pPr>
        <w:pStyle w:val="ListParagraph"/>
        <w:numPr>
          <w:ilvl w:val="0"/>
          <w:numId w:val="9"/>
        </w:numPr>
        <w:rPr>
          <w:b/>
          <w:szCs w:val="24"/>
        </w:rPr>
      </w:pPr>
      <w:r w:rsidRPr="00CC6CE9">
        <w:rPr>
          <w:b/>
          <w:szCs w:val="24"/>
        </w:rPr>
        <w:t>The United States</w:t>
      </w:r>
      <w:r w:rsidR="00860C35" w:rsidRPr="00CC6CE9">
        <w:rPr>
          <w:b/>
          <w:szCs w:val="24"/>
        </w:rPr>
        <w:t xml:space="preserve"> </w:t>
      </w:r>
      <w:r w:rsidR="00D83E1D">
        <w:rPr>
          <w:b/>
          <w:szCs w:val="24"/>
        </w:rPr>
        <w:t>H</w:t>
      </w:r>
      <w:r w:rsidR="00860C35" w:rsidRPr="00CC6CE9">
        <w:rPr>
          <w:b/>
          <w:szCs w:val="24"/>
        </w:rPr>
        <w:t xml:space="preserve">as </w:t>
      </w:r>
      <w:r w:rsidR="004E318A" w:rsidRPr="00CC6CE9">
        <w:rPr>
          <w:b/>
          <w:szCs w:val="24"/>
        </w:rPr>
        <w:t>Satisfied</w:t>
      </w:r>
      <w:r w:rsidR="00B26B24" w:rsidRPr="00CC6CE9">
        <w:rPr>
          <w:b/>
          <w:szCs w:val="24"/>
        </w:rPr>
        <w:t xml:space="preserve"> the </w:t>
      </w:r>
      <w:r w:rsidR="007B60EF" w:rsidRPr="00CC6CE9">
        <w:rPr>
          <w:b/>
          <w:szCs w:val="24"/>
        </w:rPr>
        <w:t xml:space="preserve">Requirements </w:t>
      </w:r>
      <w:r w:rsidR="00B26B24" w:rsidRPr="00CC6CE9">
        <w:rPr>
          <w:b/>
          <w:szCs w:val="24"/>
        </w:rPr>
        <w:t>for Intervention U</w:t>
      </w:r>
      <w:r w:rsidR="00860C35" w:rsidRPr="00CC6CE9">
        <w:rPr>
          <w:b/>
          <w:szCs w:val="24"/>
        </w:rPr>
        <w:t xml:space="preserve">nder </w:t>
      </w:r>
      <w:r w:rsidRPr="00CC6CE9">
        <w:rPr>
          <w:b/>
          <w:szCs w:val="24"/>
        </w:rPr>
        <w:t>Fed. R. Civ. P.</w:t>
      </w:r>
      <w:r w:rsidR="00860C35" w:rsidRPr="00CC6CE9">
        <w:rPr>
          <w:b/>
          <w:szCs w:val="24"/>
        </w:rPr>
        <w:t xml:space="preserve"> 24     </w:t>
      </w:r>
    </w:p>
    <w:p w:rsidR="00054FEE" w:rsidRPr="00CC6CE9" w:rsidRDefault="00054FEE" w:rsidP="00054FEE">
      <w:pPr>
        <w:rPr>
          <w:szCs w:val="24"/>
        </w:rPr>
      </w:pPr>
    </w:p>
    <w:p w:rsidR="00B75CBF" w:rsidRPr="00CC6CE9" w:rsidRDefault="00507672" w:rsidP="00D83E1D">
      <w:pPr>
        <w:spacing w:line="480" w:lineRule="auto"/>
        <w:ind w:firstLine="720"/>
        <w:rPr>
          <w:szCs w:val="24"/>
        </w:rPr>
      </w:pPr>
      <w:r w:rsidRPr="00CC6CE9">
        <w:rPr>
          <w:szCs w:val="24"/>
        </w:rPr>
        <w:t>The Defendants incorrectly argue that the United States does not have a sufficient interest in the pending litigation to warrant intervention</w:t>
      </w:r>
      <w:r w:rsidR="00FD47BD" w:rsidRPr="00CC6CE9">
        <w:rPr>
          <w:szCs w:val="24"/>
        </w:rPr>
        <w:t xml:space="preserve"> as of right</w:t>
      </w:r>
      <w:r w:rsidRPr="00CC6CE9">
        <w:rPr>
          <w:szCs w:val="24"/>
        </w:rPr>
        <w:t xml:space="preserve">, that the United States’ interest can be served by participation as </w:t>
      </w:r>
      <w:r w:rsidRPr="00CC6CE9">
        <w:rPr>
          <w:i/>
          <w:szCs w:val="24"/>
        </w:rPr>
        <w:t>amicus</w:t>
      </w:r>
      <w:r w:rsidRPr="00CC6CE9">
        <w:rPr>
          <w:szCs w:val="24"/>
        </w:rPr>
        <w:t>, that the United States</w:t>
      </w:r>
      <w:r w:rsidR="00081F96" w:rsidRPr="00CC6CE9">
        <w:rPr>
          <w:szCs w:val="24"/>
        </w:rPr>
        <w:t>’</w:t>
      </w:r>
      <w:r w:rsidRPr="00CC6CE9">
        <w:rPr>
          <w:szCs w:val="24"/>
        </w:rPr>
        <w:t xml:space="preserve"> interest can be represented by Plaintiffs’ counsel, </w:t>
      </w:r>
      <w:r w:rsidR="00FD47BD" w:rsidRPr="00CC6CE9">
        <w:rPr>
          <w:szCs w:val="24"/>
        </w:rPr>
        <w:t>and with regard to permissive intervention, that the United States</w:t>
      </w:r>
      <w:r w:rsidR="00081F96" w:rsidRPr="00CC6CE9">
        <w:rPr>
          <w:szCs w:val="24"/>
        </w:rPr>
        <w:t>’</w:t>
      </w:r>
      <w:r w:rsidR="00FD47BD" w:rsidRPr="00CC6CE9">
        <w:rPr>
          <w:szCs w:val="24"/>
        </w:rPr>
        <w:t xml:space="preserve"> intervention would be p</w:t>
      </w:r>
      <w:r w:rsidR="00383FA4">
        <w:rPr>
          <w:szCs w:val="24"/>
        </w:rPr>
        <w:t xml:space="preserve">rejudicial to the Defendants.  </w:t>
      </w:r>
      <w:r w:rsidR="00983662" w:rsidRPr="00CC6CE9">
        <w:rPr>
          <w:szCs w:val="24"/>
        </w:rPr>
        <w:t>(</w:t>
      </w:r>
      <w:r w:rsidR="00DB355F">
        <w:rPr>
          <w:i/>
          <w:szCs w:val="24"/>
        </w:rPr>
        <w:t xml:space="preserve">See </w:t>
      </w:r>
      <w:r w:rsidR="00CD609E">
        <w:rPr>
          <w:szCs w:val="24"/>
        </w:rPr>
        <w:t>Def.</w:t>
      </w:r>
      <w:r w:rsidR="00081F96" w:rsidRPr="00CC6CE9">
        <w:rPr>
          <w:szCs w:val="24"/>
        </w:rPr>
        <w:t xml:space="preserve"> Mem</w:t>
      </w:r>
      <w:r w:rsidR="00DB355F">
        <w:rPr>
          <w:szCs w:val="24"/>
        </w:rPr>
        <w:t>.</w:t>
      </w:r>
      <w:r w:rsidR="00C36976" w:rsidRPr="00CC6CE9">
        <w:rPr>
          <w:szCs w:val="24"/>
        </w:rPr>
        <w:t xml:space="preserve"> 10-19</w:t>
      </w:r>
      <w:r w:rsidR="00081F96" w:rsidRPr="00CC6CE9">
        <w:rPr>
          <w:szCs w:val="24"/>
        </w:rPr>
        <w:t>.)</w:t>
      </w:r>
      <w:r w:rsidR="00FD47BD" w:rsidRPr="00CC6CE9">
        <w:rPr>
          <w:szCs w:val="24"/>
        </w:rPr>
        <w:t xml:space="preserve"> </w:t>
      </w:r>
    </w:p>
    <w:p w:rsidR="00DC660B" w:rsidRPr="00CC6CE9" w:rsidRDefault="007B60EF" w:rsidP="00DC660B">
      <w:pPr>
        <w:pStyle w:val="ListParagraph"/>
        <w:numPr>
          <w:ilvl w:val="0"/>
          <w:numId w:val="13"/>
        </w:numPr>
        <w:spacing w:line="480" w:lineRule="auto"/>
        <w:rPr>
          <w:b/>
          <w:szCs w:val="24"/>
        </w:rPr>
      </w:pPr>
      <w:r w:rsidRPr="00CC6CE9">
        <w:rPr>
          <w:b/>
          <w:szCs w:val="24"/>
        </w:rPr>
        <w:t xml:space="preserve">The United States Meets the Requirements for </w:t>
      </w:r>
      <w:r w:rsidR="00DC660B" w:rsidRPr="00CC6CE9">
        <w:rPr>
          <w:b/>
          <w:szCs w:val="24"/>
        </w:rPr>
        <w:t xml:space="preserve">Intervention </w:t>
      </w:r>
      <w:r w:rsidRPr="00CC6CE9">
        <w:rPr>
          <w:b/>
          <w:szCs w:val="24"/>
        </w:rPr>
        <w:t xml:space="preserve">as </w:t>
      </w:r>
      <w:r w:rsidR="00DC660B" w:rsidRPr="00CC6CE9">
        <w:rPr>
          <w:b/>
          <w:szCs w:val="24"/>
        </w:rPr>
        <w:t>of Right</w:t>
      </w:r>
    </w:p>
    <w:p w:rsidR="002F0D96" w:rsidRPr="00CC6CE9" w:rsidRDefault="001179DE" w:rsidP="002F0D96">
      <w:pPr>
        <w:spacing w:line="480" w:lineRule="auto"/>
        <w:ind w:firstLine="720"/>
        <w:rPr>
          <w:sz w:val="20"/>
        </w:rPr>
      </w:pPr>
      <w:r w:rsidRPr="00CC6CE9">
        <w:rPr>
          <w:szCs w:val="24"/>
        </w:rPr>
        <w:t xml:space="preserve">The </w:t>
      </w:r>
      <w:r w:rsidR="00E218F0" w:rsidRPr="00CC6CE9">
        <w:rPr>
          <w:szCs w:val="24"/>
        </w:rPr>
        <w:t>Defendants</w:t>
      </w:r>
      <w:r w:rsidR="00FD47BD" w:rsidRPr="00CC6CE9">
        <w:rPr>
          <w:szCs w:val="24"/>
        </w:rPr>
        <w:t xml:space="preserve"> </w:t>
      </w:r>
      <w:r w:rsidR="008321F4" w:rsidRPr="00CC6CE9">
        <w:rPr>
          <w:szCs w:val="24"/>
        </w:rPr>
        <w:t xml:space="preserve">incorrectly </w:t>
      </w:r>
      <w:r w:rsidR="00DF6350" w:rsidRPr="00CC6CE9">
        <w:rPr>
          <w:szCs w:val="24"/>
        </w:rPr>
        <w:t xml:space="preserve">argue </w:t>
      </w:r>
      <w:r w:rsidR="00FD47BD" w:rsidRPr="00CC6CE9">
        <w:rPr>
          <w:szCs w:val="24"/>
        </w:rPr>
        <w:t>that the United States’ interest in this litigation</w:t>
      </w:r>
      <w:r w:rsidR="008749CF" w:rsidRPr="00CC6CE9">
        <w:rPr>
          <w:szCs w:val="24"/>
        </w:rPr>
        <w:t xml:space="preserve"> – the consistent enforcem</w:t>
      </w:r>
      <w:r w:rsidR="00C36976" w:rsidRPr="00CC6CE9">
        <w:rPr>
          <w:szCs w:val="24"/>
        </w:rPr>
        <w:t>ent of the ADA and remedying</w:t>
      </w:r>
      <w:r w:rsidR="00BE1428" w:rsidRPr="00CC6CE9">
        <w:rPr>
          <w:szCs w:val="24"/>
        </w:rPr>
        <w:t xml:space="preserve"> systemic and widespread violation</w:t>
      </w:r>
      <w:r w:rsidR="00952ECC">
        <w:rPr>
          <w:szCs w:val="24"/>
        </w:rPr>
        <w:t>s</w:t>
      </w:r>
      <w:r w:rsidR="00BE1428" w:rsidRPr="00CC6CE9">
        <w:rPr>
          <w:szCs w:val="24"/>
        </w:rPr>
        <w:t xml:space="preserve"> of the ADA </w:t>
      </w:r>
      <w:r w:rsidR="00AB513A" w:rsidRPr="00CC6CE9">
        <w:rPr>
          <w:szCs w:val="24"/>
        </w:rPr>
        <w:t xml:space="preserve">– </w:t>
      </w:r>
      <w:r w:rsidR="00FD47BD" w:rsidRPr="00CC6CE9">
        <w:rPr>
          <w:szCs w:val="24"/>
        </w:rPr>
        <w:t xml:space="preserve">is not </w:t>
      </w:r>
      <w:r w:rsidR="00B26B24" w:rsidRPr="00CC6CE9">
        <w:rPr>
          <w:szCs w:val="24"/>
        </w:rPr>
        <w:t xml:space="preserve">sufficiently </w:t>
      </w:r>
      <w:r w:rsidR="00FD47BD" w:rsidRPr="00CC6CE9">
        <w:rPr>
          <w:szCs w:val="24"/>
        </w:rPr>
        <w:t xml:space="preserve">direct </w:t>
      </w:r>
      <w:r w:rsidR="00B26B24" w:rsidRPr="00CC6CE9">
        <w:rPr>
          <w:szCs w:val="24"/>
        </w:rPr>
        <w:t>t</w:t>
      </w:r>
      <w:r w:rsidR="00FD47BD" w:rsidRPr="00CC6CE9">
        <w:rPr>
          <w:szCs w:val="24"/>
        </w:rPr>
        <w:t>o warrant interventio</w:t>
      </w:r>
      <w:r w:rsidR="00DF6350" w:rsidRPr="00CC6CE9">
        <w:rPr>
          <w:szCs w:val="24"/>
        </w:rPr>
        <w:t xml:space="preserve">n as of right.  </w:t>
      </w:r>
      <w:r w:rsidR="00340A71" w:rsidRPr="00CC6CE9">
        <w:rPr>
          <w:szCs w:val="24"/>
        </w:rPr>
        <w:t>(</w:t>
      </w:r>
      <w:r w:rsidR="000D4408">
        <w:rPr>
          <w:i/>
          <w:szCs w:val="24"/>
        </w:rPr>
        <w:t xml:space="preserve">See </w:t>
      </w:r>
      <w:r w:rsidR="00CD609E">
        <w:rPr>
          <w:szCs w:val="24"/>
        </w:rPr>
        <w:t>Def.</w:t>
      </w:r>
      <w:r w:rsidR="00340A71" w:rsidRPr="00CC6CE9">
        <w:rPr>
          <w:szCs w:val="24"/>
        </w:rPr>
        <w:t xml:space="preserve"> Mem</w:t>
      </w:r>
      <w:r w:rsidR="00DF6350" w:rsidRPr="00CC6CE9">
        <w:rPr>
          <w:szCs w:val="24"/>
        </w:rPr>
        <w:t>. 10-1</w:t>
      </w:r>
      <w:r w:rsidR="006D67CC">
        <w:rPr>
          <w:szCs w:val="24"/>
        </w:rPr>
        <w:t>6</w:t>
      </w:r>
      <w:r w:rsidR="00DF6350" w:rsidRPr="00CC6CE9">
        <w:rPr>
          <w:szCs w:val="24"/>
        </w:rPr>
        <w:t>.</w:t>
      </w:r>
      <w:r w:rsidR="00340A71" w:rsidRPr="00CC6CE9">
        <w:rPr>
          <w:szCs w:val="24"/>
        </w:rPr>
        <w:t>)</w:t>
      </w:r>
    </w:p>
    <w:p w:rsidR="007C1E48" w:rsidRPr="00CC6CE9" w:rsidRDefault="00FF1B03" w:rsidP="00B81BA2">
      <w:pPr>
        <w:spacing w:line="480" w:lineRule="auto"/>
        <w:ind w:firstLine="720"/>
        <w:rPr>
          <w:szCs w:val="24"/>
        </w:rPr>
      </w:pPr>
      <w:r w:rsidRPr="00CC6CE9">
        <w:rPr>
          <w:szCs w:val="24"/>
        </w:rPr>
        <w:t>The United States’ interest is rooted in DOJ’s unique role as the</w:t>
      </w:r>
      <w:r w:rsidR="00D811BC" w:rsidRPr="00CC6CE9">
        <w:rPr>
          <w:szCs w:val="24"/>
        </w:rPr>
        <w:t xml:space="preserve"> federal agency</w:t>
      </w:r>
      <w:r w:rsidRPr="00CC6CE9">
        <w:rPr>
          <w:szCs w:val="24"/>
        </w:rPr>
        <w:t xml:space="preserve"> with primary regulatory and enforcement authority of Title II of the ADA.  </w:t>
      </w:r>
      <w:r w:rsidRPr="00CC6CE9">
        <w:rPr>
          <w:i/>
          <w:szCs w:val="24"/>
        </w:rPr>
        <w:t>See</w:t>
      </w:r>
      <w:r w:rsidRPr="00CC6CE9">
        <w:rPr>
          <w:szCs w:val="24"/>
        </w:rPr>
        <w:t xml:space="preserve"> 42 U.S.C</w:t>
      </w:r>
      <w:r w:rsidRPr="001502F2">
        <w:rPr>
          <w:szCs w:val="24"/>
        </w:rPr>
        <w:t>. §</w:t>
      </w:r>
      <w:r w:rsidR="006D67CC" w:rsidRPr="001502F2">
        <w:rPr>
          <w:szCs w:val="24"/>
        </w:rPr>
        <w:t>§</w:t>
      </w:r>
      <w:r w:rsidR="00E22062" w:rsidRPr="001502F2">
        <w:rPr>
          <w:szCs w:val="24"/>
        </w:rPr>
        <w:t xml:space="preserve"> </w:t>
      </w:r>
      <w:r w:rsidRPr="001502F2">
        <w:rPr>
          <w:szCs w:val="24"/>
        </w:rPr>
        <w:t>1213</w:t>
      </w:r>
      <w:r w:rsidR="005B4F9D" w:rsidRPr="001502F2">
        <w:rPr>
          <w:szCs w:val="24"/>
        </w:rPr>
        <w:t>3</w:t>
      </w:r>
      <w:r w:rsidR="001502F2">
        <w:rPr>
          <w:szCs w:val="24"/>
        </w:rPr>
        <w:t>-</w:t>
      </w:r>
      <w:r w:rsidR="005B4F9D" w:rsidRPr="001502F2">
        <w:rPr>
          <w:szCs w:val="24"/>
        </w:rPr>
        <w:t>12134</w:t>
      </w:r>
      <w:r w:rsidR="001502F2">
        <w:rPr>
          <w:szCs w:val="24"/>
        </w:rPr>
        <w:t>.</w:t>
      </w:r>
      <w:r w:rsidRPr="00CC6CE9">
        <w:rPr>
          <w:szCs w:val="24"/>
        </w:rPr>
        <w:t xml:space="preserve">  The </w:t>
      </w:r>
      <w:r w:rsidR="00BE1428" w:rsidRPr="00CC6CE9">
        <w:rPr>
          <w:szCs w:val="24"/>
        </w:rPr>
        <w:t>Defen</w:t>
      </w:r>
      <w:r w:rsidRPr="00CC6CE9">
        <w:rPr>
          <w:szCs w:val="24"/>
        </w:rPr>
        <w:t>dants</w:t>
      </w:r>
      <w:r w:rsidR="00167167" w:rsidRPr="00CC6CE9">
        <w:rPr>
          <w:szCs w:val="24"/>
        </w:rPr>
        <w:t xml:space="preserve"> misread controlling precedent regarding the requisite “direct” interest required for a public entity to intervene in a case involving a statute </w:t>
      </w:r>
      <w:r w:rsidR="00D811BC" w:rsidRPr="00CC6CE9">
        <w:rPr>
          <w:szCs w:val="24"/>
        </w:rPr>
        <w:t>that</w:t>
      </w:r>
      <w:r w:rsidR="00167167" w:rsidRPr="00CC6CE9">
        <w:rPr>
          <w:szCs w:val="24"/>
        </w:rPr>
        <w:t xml:space="preserve"> it enforces.  For example, in </w:t>
      </w:r>
      <w:r w:rsidR="0031557D" w:rsidRPr="00CC6CE9">
        <w:rPr>
          <w:i/>
          <w:szCs w:val="24"/>
        </w:rPr>
        <w:t>Heaton v. Monogram Credit Card Bank</w:t>
      </w:r>
      <w:r w:rsidR="0031557D" w:rsidRPr="006D67CC">
        <w:rPr>
          <w:szCs w:val="24"/>
        </w:rPr>
        <w:t>,</w:t>
      </w:r>
      <w:r w:rsidR="0031557D" w:rsidRPr="00CC6CE9">
        <w:rPr>
          <w:i/>
          <w:szCs w:val="24"/>
        </w:rPr>
        <w:t xml:space="preserve"> </w:t>
      </w:r>
      <w:r w:rsidR="006D67CC">
        <w:rPr>
          <w:szCs w:val="24"/>
        </w:rPr>
        <w:t>297 F.3d 416</w:t>
      </w:r>
      <w:r w:rsidR="006D67CC" w:rsidRPr="00CC6CE9">
        <w:rPr>
          <w:szCs w:val="24"/>
        </w:rPr>
        <w:t xml:space="preserve"> (5th Cir. 2002)</w:t>
      </w:r>
      <w:r w:rsidR="001502F2">
        <w:rPr>
          <w:szCs w:val="24"/>
        </w:rPr>
        <w:t xml:space="preserve">, </w:t>
      </w:r>
      <w:r w:rsidR="0031557D" w:rsidRPr="00CC6CE9">
        <w:rPr>
          <w:szCs w:val="24"/>
        </w:rPr>
        <w:t>the</w:t>
      </w:r>
      <w:r w:rsidR="00167167" w:rsidRPr="00CC6CE9">
        <w:rPr>
          <w:szCs w:val="24"/>
        </w:rPr>
        <w:t xml:space="preserve"> Fifth Circuit Court of Appeals </w:t>
      </w:r>
      <w:r w:rsidR="008D7D71" w:rsidRPr="00CC6CE9">
        <w:rPr>
          <w:szCs w:val="24"/>
        </w:rPr>
        <w:t>reversed the district court’s denial of intervention by the Federal Deposi</w:t>
      </w:r>
      <w:r w:rsidR="005B4F9D" w:rsidRPr="00CC6CE9">
        <w:rPr>
          <w:szCs w:val="24"/>
        </w:rPr>
        <w:t>t Insurance Corporation</w:t>
      </w:r>
      <w:r w:rsidR="000B3224" w:rsidRPr="00CC6CE9">
        <w:rPr>
          <w:szCs w:val="24"/>
        </w:rPr>
        <w:t xml:space="preserve">, </w:t>
      </w:r>
      <w:r w:rsidR="0056583D" w:rsidRPr="00CC6CE9">
        <w:rPr>
          <w:szCs w:val="24"/>
        </w:rPr>
        <w:t>accord</w:t>
      </w:r>
      <w:r w:rsidR="000B3224" w:rsidRPr="00CC6CE9">
        <w:rPr>
          <w:szCs w:val="24"/>
        </w:rPr>
        <w:t>ing</w:t>
      </w:r>
      <w:r w:rsidR="0056583D" w:rsidRPr="00CC6CE9">
        <w:rPr>
          <w:szCs w:val="24"/>
        </w:rPr>
        <w:t xml:space="preserve"> </w:t>
      </w:r>
      <w:r w:rsidR="00167167" w:rsidRPr="00CC6CE9">
        <w:rPr>
          <w:szCs w:val="24"/>
        </w:rPr>
        <w:t>significant</w:t>
      </w:r>
      <w:r w:rsidR="0056583D" w:rsidRPr="00CC6CE9">
        <w:rPr>
          <w:szCs w:val="24"/>
        </w:rPr>
        <w:t xml:space="preserve"> weight to the </w:t>
      </w:r>
      <w:r w:rsidR="000B3224" w:rsidRPr="00CC6CE9">
        <w:rPr>
          <w:szCs w:val="24"/>
        </w:rPr>
        <w:t>agency’s</w:t>
      </w:r>
      <w:r w:rsidR="0056583D" w:rsidRPr="00CC6CE9">
        <w:rPr>
          <w:szCs w:val="24"/>
        </w:rPr>
        <w:t xml:space="preserve"> “broader interest in protecting the proper and consistent application of the Con</w:t>
      </w:r>
      <w:r w:rsidR="00D32A38" w:rsidRPr="00CC6CE9">
        <w:rPr>
          <w:szCs w:val="24"/>
        </w:rPr>
        <w:t>gressionally designed framework to ensure the safety and integrity of the federal deposit insurance system.</w:t>
      </w:r>
      <w:r w:rsidR="0056583D" w:rsidRPr="00CC6CE9">
        <w:rPr>
          <w:szCs w:val="24"/>
        </w:rPr>
        <w:t xml:space="preserve">”  </w:t>
      </w:r>
      <w:r w:rsidR="006D67CC">
        <w:rPr>
          <w:i/>
          <w:szCs w:val="24"/>
        </w:rPr>
        <w:t xml:space="preserve">Id. </w:t>
      </w:r>
      <w:r w:rsidR="006D67CC">
        <w:rPr>
          <w:szCs w:val="24"/>
        </w:rPr>
        <w:t xml:space="preserve">at 424.  </w:t>
      </w:r>
      <w:r w:rsidR="000B3224" w:rsidRPr="00CC6CE9">
        <w:rPr>
          <w:szCs w:val="24"/>
        </w:rPr>
        <w:t>Similarly</w:t>
      </w:r>
      <w:r w:rsidR="00167167" w:rsidRPr="00CC6CE9">
        <w:rPr>
          <w:szCs w:val="24"/>
        </w:rPr>
        <w:t xml:space="preserve">, </w:t>
      </w:r>
      <w:r w:rsidR="000B3224" w:rsidRPr="00CC6CE9">
        <w:rPr>
          <w:szCs w:val="24"/>
        </w:rPr>
        <w:t>with respect to</w:t>
      </w:r>
      <w:r w:rsidR="000B3224" w:rsidRPr="00CC6CE9">
        <w:rPr>
          <w:i/>
          <w:szCs w:val="24"/>
        </w:rPr>
        <w:t xml:space="preserve"> </w:t>
      </w:r>
      <w:r w:rsidR="00167167" w:rsidRPr="00CC6CE9">
        <w:rPr>
          <w:i/>
          <w:szCs w:val="24"/>
        </w:rPr>
        <w:t>Ceres Gulf v. Cooper</w:t>
      </w:r>
      <w:r w:rsidR="00167167" w:rsidRPr="006D67CC">
        <w:rPr>
          <w:szCs w:val="24"/>
        </w:rPr>
        <w:t>,</w:t>
      </w:r>
      <w:r w:rsidR="00167167" w:rsidRPr="00CC6CE9">
        <w:rPr>
          <w:i/>
          <w:szCs w:val="24"/>
        </w:rPr>
        <w:t xml:space="preserve"> </w:t>
      </w:r>
      <w:r w:rsidR="006D67CC">
        <w:rPr>
          <w:szCs w:val="24"/>
        </w:rPr>
        <w:t>957 F.2d 1199</w:t>
      </w:r>
      <w:r w:rsidR="006D67CC" w:rsidRPr="00CC6CE9">
        <w:rPr>
          <w:szCs w:val="24"/>
        </w:rPr>
        <w:t xml:space="preserve"> (5th Cir. 1992)</w:t>
      </w:r>
      <w:r w:rsidR="006D67CC">
        <w:rPr>
          <w:szCs w:val="24"/>
        </w:rPr>
        <w:t xml:space="preserve">, </w:t>
      </w:r>
      <w:r w:rsidR="00167167" w:rsidRPr="00CC6CE9">
        <w:rPr>
          <w:szCs w:val="24"/>
        </w:rPr>
        <w:t xml:space="preserve">Defendants ignore </w:t>
      </w:r>
      <w:r w:rsidR="00176A5C" w:rsidRPr="00CC6CE9">
        <w:rPr>
          <w:szCs w:val="24"/>
        </w:rPr>
        <w:t>the Fifth Circuit</w:t>
      </w:r>
      <w:r w:rsidR="006D67CC">
        <w:rPr>
          <w:szCs w:val="24"/>
        </w:rPr>
        <w:t>’s</w:t>
      </w:r>
      <w:r w:rsidR="00176A5C" w:rsidRPr="00CC6CE9">
        <w:rPr>
          <w:szCs w:val="24"/>
        </w:rPr>
        <w:t xml:space="preserve"> </w:t>
      </w:r>
      <w:r w:rsidR="00167167" w:rsidRPr="00CC6CE9">
        <w:rPr>
          <w:szCs w:val="24"/>
        </w:rPr>
        <w:t>warning to avoid “defin[ing] Rule 24(a)(2) ‘prope</w:t>
      </w:r>
      <w:r w:rsidR="008D7D71" w:rsidRPr="00CC6CE9">
        <w:rPr>
          <w:szCs w:val="24"/>
        </w:rPr>
        <w:t>rty or transaction’ so narrowly</w:t>
      </w:r>
      <w:r w:rsidR="00167167" w:rsidRPr="00CC6CE9">
        <w:rPr>
          <w:szCs w:val="24"/>
        </w:rPr>
        <w:t>”</w:t>
      </w:r>
      <w:r w:rsidR="008D7D71" w:rsidRPr="00CC6CE9">
        <w:rPr>
          <w:szCs w:val="24"/>
        </w:rPr>
        <w:t xml:space="preserve"> and noted that the government intervener’s interest “springs from [its] role in administering the [statute].” </w:t>
      </w:r>
      <w:r w:rsidR="00383FA4">
        <w:rPr>
          <w:szCs w:val="24"/>
        </w:rPr>
        <w:t xml:space="preserve"> </w:t>
      </w:r>
      <w:r w:rsidR="006D67CC">
        <w:rPr>
          <w:i/>
          <w:szCs w:val="24"/>
        </w:rPr>
        <w:t xml:space="preserve">Id. </w:t>
      </w:r>
      <w:r w:rsidR="006D67CC">
        <w:rPr>
          <w:szCs w:val="24"/>
        </w:rPr>
        <w:t xml:space="preserve">at 1203.  </w:t>
      </w:r>
      <w:r w:rsidR="00176A5C" w:rsidRPr="00CC6CE9">
        <w:rPr>
          <w:szCs w:val="24"/>
        </w:rPr>
        <w:t xml:space="preserve">In </w:t>
      </w:r>
      <w:r w:rsidR="00176A5C" w:rsidRPr="00CC6CE9">
        <w:rPr>
          <w:i/>
          <w:szCs w:val="24"/>
        </w:rPr>
        <w:t>Ceres Gulf</w:t>
      </w:r>
      <w:r w:rsidR="00176A5C" w:rsidRPr="00CC6CE9">
        <w:rPr>
          <w:szCs w:val="24"/>
        </w:rPr>
        <w:t xml:space="preserve">, the </w:t>
      </w:r>
      <w:r w:rsidR="006D67CC">
        <w:rPr>
          <w:szCs w:val="24"/>
        </w:rPr>
        <w:t xml:space="preserve">Fifth Circuit </w:t>
      </w:r>
      <w:r w:rsidR="008D7D71" w:rsidRPr="00CC6CE9">
        <w:rPr>
          <w:szCs w:val="24"/>
        </w:rPr>
        <w:t xml:space="preserve">reversed the district court’s denial of intervention </w:t>
      </w:r>
      <w:r w:rsidR="00B81BA2" w:rsidRPr="00CC6CE9">
        <w:rPr>
          <w:szCs w:val="24"/>
        </w:rPr>
        <w:t>by the Director of the Office of Workers’ Compensation Programs</w:t>
      </w:r>
      <w:r w:rsidR="000B3224" w:rsidRPr="00CC6CE9">
        <w:rPr>
          <w:szCs w:val="24"/>
        </w:rPr>
        <w:t xml:space="preserve">, noting </w:t>
      </w:r>
      <w:r w:rsidR="00167167" w:rsidRPr="00CC6CE9">
        <w:rPr>
          <w:szCs w:val="24"/>
        </w:rPr>
        <w:t xml:space="preserve">that the </w:t>
      </w:r>
      <w:r w:rsidR="008321F4" w:rsidRPr="00CC6CE9">
        <w:rPr>
          <w:szCs w:val="24"/>
        </w:rPr>
        <w:t>D</w:t>
      </w:r>
      <w:r w:rsidR="00B81BA2" w:rsidRPr="00CC6CE9">
        <w:rPr>
          <w:szCs w:val="24"/>
        </w:rPr>
        <w:t>irector</w:t>
      </w:r>
      <w:r w:rsidR="00167167" w:rsidRPr="00CC6CE9">
        <w:rPr>
          <w:szCs w:val="24"/>
        </w:rPr>
        <w:t xml:space="preserve"> was “vested with an important ‘watchdog’ role</w:t>
      </w:r>
      <w:r w:rsidR="00F62694">
        <w:rPr>
          <w:szCs w:val="24"/>
        </w:rPr>
        <w:t>’</w:t>
      </w:r>
      <w:r w:rsidR="00167167" w:rsidRPr="00CC6CE9">
        <w:rPr>
          <w:szCs w:val="24"/>
        </w:rPr>
        <w:t>”</w:t>
      </w:r>
      <w:r w:rsidR="00F62694">
        <w:rPr>
          <w:szCs w:val="24"/>
        </w:rPr>
        <w:t xml:space="preserve"> </w:t>
      </w:r>
      <w:r w:rsidR="00167167" w:rsidRPr="00CC6CE9">
        <w:rPr>
          <w:szCs w:val="24"/>
        </w:rPr>
        <w:t xml:space="preserve"> that include</w:t>
      </w:r>
      <w:r w:rsidR="00D83E1D">
        <w:rPr>
          <w:szCs w:val="24"/>
        </w:rPr>
        <w:t>d</w:t>
      </w:r>
      <w:r w:rsidR="00167167" w:rsidRPr="00CC6CE9">
        <w:rPr>
          <w:szCs w:val="24"/>
        </w:rPr>
        <w:t xml:space="preserve"> an overarching interest in ensuring “consistent application of</w:t>
      </w:r>
      <w:r w:rsidR="00D83E1D">
        <w:rPr>
          <w:szCs w:val="24"/>
        </w:rPr>
        <w:t xml:space="preserve"> </w:t>
      </w:r>
      <w:r w:rsidR="005B4F9D" w:rsidRPr="00CC6CE9">
        <w:rPr>
          <w:szCs w:val="24"/>
        </w:rPr>
        <w:t xml:space="preserve">. . . </w:t>
      </w:r>
      <w:r w:rsidR="00167167" w:rsidRPr="00CC6CE9">
        <w:rPr>
          <w:szCs w:val="24"/>
        </w:rPr>
        <w:t xml:space="preserve">a statutory scheme he is charged with administering.”  </w:t>
      </w:r>
      <w:r w:rsidR="00167167" w:rsidRPr="00CC6CE9">
        <w:rPr>
          <w:i/>
          <w:szCs w:val="24"/>
        </w:rPr>
        <w:t xml:space="preserve">Id. </w:t>
      </w:r>
      <w:r w:rsidR="00185AC1" w:rsidRPr="00CC6CE9">
        <w:rPr>
          <w:szCs w:val="24"/>
        </w:rPr>
        <w:t xml:space="preserve"> The Attorney General, like the Director at issue in </w:t>
      </w:r>
      <w:r w:rsidR="00185AC1" w:rsidRPr="00CC6CE9">
        <w:rPr>
          <w:i/>
          <w:szCs w:val="24"/>
        </w:rPr>
        <w:t>Ceres Gulf</w:t>
      </w:r>
      <w:r w:rsidR="00185AC1" w:rsidRPr="00CC6CE9">
        <w:rPr>
          <w:szCs w:val="24"/>
        </w:rPr>
        <w:t>, is charged with enforcement of a federal law (</w:t>
      </w:r>
      <w:r w:rsidRPr="00CC6CE9">
        <w:rPr>
          <w:szCs w:val="24"/>
        </w:rPr>
        <w:t xml:space="preserve">Title II of </w:t>
      </w:r>
      <w:r w:rsidR="00185AC1" w:rsidRPr="00CC6CE9">
        <w:rPr>
          <w:szCs w:val="24"/>
        </w:rPr>
        <w:t xml:space="preserve">the ADA) and seeks intervention to ensure the consistent application of that federal law and that the </w:t>
      </w:r>
      <w:r w:rsidR="00DC660B" w:rsidRPr="00CC6CE9">
        <w:rPr>
          <w:szCs w:val="24"/>
        </w:rPr>
        <w:t>present violations are remedied</w:t>
      </w:r>
      <w:r w:rsidR="00185AC1" w:rsidRPr="00CC6CE9">
        <w:rPr>
          <w:szCs w:val="24"/>
        </w:rPr>
        <w:t xml:space="preserve">. </w:t>
      </w:r>
      <w:r w:rsidR="00176A5C" w:rsidRPr="00CC6CE9">
        <w:rPr>
          <w:szCs w:val="24"/>
        </w:rPr>
        <w:t xml:space="preserve"> The </w:t>
      </w:r>
      <w:r w:rsidR="00113FA5" w:rsidRPr="00CC6CE9">
        <w:rPr>
          <w:szCs w:val="24"/>
        </w:rPr>
        <w:t>Defendants</w:t>
      </w:r>
      <w:r w:rsidR="007C1E48" w:rsidRPr="00CC6CE9">
        <w:rPr>
          <w:szCs w:val="24"/>
        </w:rPr>
        <w:t xml:space="preserve"> </w:t>
      </w:r>
      <w:r w:rsidRPr="00CC6CE9">
        <w:rPr>
          <w:szCs w:val="24"/>
        </w:rPr>
        <w:t xml:space="preserve">also </w:t>
      </w:r>
      <w:r w:rsidR="000B3224" w:rsidRPr="00CC6CE9">
        <w:rPr>
          <w:szCs w:val="24"/>
        </w:rPr>
        <w:t>fail to</w:t>
      </w:r>
      <w:r w:rsidR="00176A5C" w:rsidRPr="00CC6CE9">
        <w:rPr>
          <w:szCs w:val="24"/>
        </w:rPr>
        <w:t xml:space="preserve"> point to a single case where the United States </w:t>
      </w:r>
      <w:r w:rsidR="00AB513A" w:rsidRPr="00CC6CE9">
        <w:rPr>
          <w:szCs w:val="24"/>
        </w:rPr>
        <w:t xml:space="preserve">has been </w:t>
      </w:r>
      <w:r w:rsidR="00176A5C" w:rsidRPr="00CC6CE9">
        <w:rPr>
          <w:szCs w:val="24"/>
        </w:rPr>
        <w:t>denied intervention due to lack of sufficient interest.  Quite</w:t>
      </w:r>
      <w:r w:rsidR="00B26B24" w:rsidRPr="00CC6CE9">
        <w:rPr>
          <w:szCs w:val="24"/>
        </w:rPr>
        <w:t xml:space="preserve"> the contrary, the United States is</w:t>
      </w:r>
      <w:r w:rsidR="00176A5C" w:rsidRPr="00CC6CE9">
        <w:rPr>
          <w:szCs w:val="24"/>
        </w:rPr>
        <w:t xml:space="preserve"> routinely granted intervention in civil rights cases involving the </w:t>
      </w:r>
      <w:r w:rsidR="000B3224" w:rsidRPr="00CC6CE9">
        <w:rPr>
          <w:szCs w:val="24"/>
        </w:rPr>
        <w:t xml:space="preserve">civil rights </w:t>
      </w:r>
      <w:r w:rsidR="00176A5C" w:rsidRPr="00CC6CE9">
        <w:rPr>
          <w:szCs w:val="24"/>
        </w:rPr>
        <w:t xml:space="preserve">statutes </w:t>
      </w:r>
      <w:r w:rsidR="000B3224" w:rsidRPr="00CC6CE9">
        <w:rPr>
          <w:szCs w:val="24"/>
        </w:rPr>
        <w:t xml:space="preserve">the </w:t>
      </w:r>
      <w:r w:rsidR="00B26B24" w:rsidRPr="00CC6CE9">
        <w:rPr>
          <w:szCs w:val="24"/>
        </w:rPr>
        <w:t>DOJ</w:t>
      </w:r>
      <w:r w:rsidR="00176A5C" w:rsidRPr="00CC6CE9">
        <w:rPr>
          <w:szCs w:val="24"/>
        </w:rPr>
        <w:t xml:space="preserve"> is charged with enforcing.</w:t>
      </w:r>
      <w:r w:rsidR="00AC4658">
        <w:rPr>
          <w:rStyle w:val="FootnoteReference"/>
          <w:szCs w:val="24"/>
        </w:rPr>
        <w:footnoteReference w:id="5"/>
      </w:r>
      <w:r w:rsidR="00176A5C" w:rsidRPr="00CC6CE9">
        <w:rPr>
          <w:szCs w:val="24"/>
        </w:rPr>
        <w:t xml:space="preserve">  </w:t>
      </w:r>
    </w:p>
    <w:p w:rsidR="00213C9E" w:rsidRPr="00CC6CE9" w:rsidRDefault="00AB513A" w:rsidP="00213C9E">
      <w:pPr>
        <w:spacing w:line="480" w:lineRule="auto"/>
        <w:ind w:firstLine="720"/>
      </w:pPr>
      <w:r w:rsidRPr="00CC6CE9">
        <w:rPr>
          <w:szCs w:val="24"/>
        </w:rPr>
        <w:t xml:space="preserve">The </w:t>
      </w:r>
      <w:r w:rsidR="00185AC1" w:rsidRPr="00CC6CE9">
        <w:rPr>
          <w:szCs w:val="24"/>
        </w:rPr>
        <w:t xml:space="preserve">Defendants’ argument that the United States’ interests can be represented by the existing parties or through participation by </w:t>
      </w:r>
      <w:r w:rsidR="00185AC1" w:rsidRPr="00CC6CE9">
        <w:rPr>
          <w:i/>
          <w:szCs w:val="24"/>
        </w:rPr>
        <w:t>amicus</w:t>
      </w:r>
      <w:r w:rsidR="00185AC1" w:rsidRPr="00CC6CE9">
        <w:rPr>
          <w:szCs w:val="24"/>
        </w:rPr>
        <w:t xml:space="preserve"> is equally unpersuasive.  </w:t>
      </w:r>
      <w:r w:rsidR="001179DE" w:rsidRPr="00CC6CE9">
        <w:rPr>
          <w:szCs w:val="24"/>
        </w:rPr>
        <w:t>The</w:t>
      </w:r>
      <w:r w:rsidR="00F75B09">
        <w:rPr>
          <w:szCs w:val="24"/>
        </w:rPr>
        <w:t xml:space="preserve"> Defendants</w:t>
      </w:r>
      <w:r w:rsidR="001D1DB2" w:rsidRPr="00CC6CE9">
        <w:rPr>
          <w:szCs w:val="24"/>
        </w:rPr>
        <w:t xml:space="preserve"> </w:t>
      </w:r>
      <w:r w:rsidR="006C0A79" w:rsidRPr="00CC6CE9">
        <w:rPr>
          <w:szCs w:val="24"/>
        </w:rPr>
        <w:t xml:space="preserve">ignore the reality that </w:t>
      </w:r>
      <w:r w:rsidR="00E31BCF" w:rsidRPr="00CC6CE9">
        <w:rPr>
          <w:i/>
          <w:szCs w:val="24"/>
        </w:rPr>
        <w:t>amicus</w:t>
      </w:r>
      <w:r w:rsidR="00185AC1" w:rsidRPr="00CC6CE9">
        <w:rPr>
          <w:szCs w:val="24"/>
        </w:rPr>
        <w:t xml:space="preserve"> participation does not protect the United States</w:t>
      </w:r>
      <w:r w:rsidR="006140AE" w:rsidRPr="00CC6CE9">
        <w:rPr>
          <w:szCs w:val="24"/>
        </w:rPr>
        <w:t>’</w:t>
      </w:r>
      <w:r w:rsidR="00185AC1" w:rsidRPr="00CC6CE9">
        <w:rPr>
          <w:szCs w:val="24"/>
        </w:rPr>
        <w:t xml:space="preserve"> concerns </w:t>
      </w:r>
      <w:r w:rsidR="006140AE" w:rsidRPr="00CC6CE9">
        <w:rPr>
          <w:szCs w:val="24"/>
        </w:rPr>
        <w:t xml:space="preserve">regarding the </w:t>
      </w:r>
      <w:r w:rsidR="00185AC1" w:rsidRPr="00CC6CE9">
        <w:rPr>
          <w:i/>
          <w:szCs w:val="24"/>
        </w:rPr>
        <w:t>stare decisis</w:t>
      </w:r>
      <w:r w:rsidR="00185AC1" w:rsidRPr="00CC6CE9">
        <w:rPr>
          <w:szCs w:val="24"/>
        </w:rPr>
        <w:t xml:space="preserve"> </w:t>
      </w:r>
      <w:r w:rsidR="006140AE" w:rsidRPr="00CC6CE9">
        <w:rPr>
          <w:szCs w:val="24"/>
        </w:rPr>
        <w:t xml:space="preserve">effect of an </w:t>
      </w:r>
      <w:r w:rsidR="00185AC1" w:rsidRPr="00CC6CE9">
        <w:rPr>
          <w:szCs w:val="24"/>
        </w:rPr>
        <w:t>unfavorable decision</w:t>
      </w:r>
      <w:r w:rsidR="00E22062" w:rsidRPr="00CC6CE9">
        <w:rPr>
          <w:szCs w:val="24"/>
        </w:rPr>
        <w:t xml:space="preserve">. </w:t>
      </w:r>
      <w:r w:rsidR="00CF3D13" w:rsidRPr="00CC6CE9">
        <w:rPr>
          <w:i/>
          <w:szCs w:val="24"/>
        </w:rPr>
        <w:t xml:space="preserve"> See</w:t>
      </w:r>
      <w:r w:rsidR="00CF3D13" w:rsidRPr="00CC6CE9">
        <w:rPr>
          <w:szCs w:val="24"/>
        </w:rPr>
        <w:t xml:space="preserve"> </w:t>
      </w:r>
      <w:r w:rsidR="00CF3D13" w:rsidRPr="00CC6CE9">
        <w:rPr>
          <w:i/>
          <w:iCs/>
          <w:szCs w:val="24"/>
        </w:rPr>
        <w:t>Atlantis Dev. Corp. v. United States</w:t>
      </w:r>
      <w:r w:rsidR="00CF3D13" w:rsidRPr="00CC6CE9">
        <w:rPr>
          <w:szCs w:val="24"/>
        </w:rPr>
        <w:t>, 379 F.2d 818, 829 (</w:t>
      </w:r>
      <w:r w:rsidR="005B3754">
        <w:rPr>
          <w:szCs w:val="24"/>
        </w:rPr>
        <w:t xml:space="preserve">Former </w:t>
      </w:r>
      <w:r w:rsidR="00CF3D13" w:rsidRPr="00CC6CE9">
        <w:rPr>
          <w:szCs w:val="24"/>
        </w:rPr>
        <w:t xml:space="preserve">5th Cir. 1967) (recognizing that potential for a negative </w:t>
      </w:r>
      <w:r w:rsidR="00CF3D13" w:rsidRPr="00CC6CE9">
        <w:rPr>
          <w:i/>
          <w:iCs/>
          <w:szCs w:val="24"/>
        </w:rPr>
        <w:t xml:space="preserve">stare decisis </w:t>
      </w:r>
      <w:r w:rsidR="00CF3D13" w:rsidRPr="00CC6CE9">
        <w:rPr>
          <w:szCs w:val="24"/>
        </w:rPr>
        <w:t xml:space="preserve">effect may “supply that practical disadvantage which warrants intervention </w:t>
      </w:r>
      <w:r w:rsidR="009616E6">
        <w:rPr>
          <w:szCs w:val="24"/>
        </w:rPr>
        <w:t xml:space="preserve">as </w:t>
      </w:r>
      <w:r w:rsidR="00CF3D13" w:rsidRPr="00CC6CE9">
        <w:rPr>
          <w:szCs w:val="24"/>
        </w:rPr>
        <w:t xml:space="preserve">of right”); </w:t>
      </w:r>
      <w:r w:rsidR="00CF3D13" w:rsidRPr="00CC6CE9">
        <w:rPr>
          <w:i/>
          <w:iCs/>
          <w:szCs w:val="24"/>
        </w:rPr>
        <w:t>see also United States v. City of Los Angeles</w:t>
      </w:r>
      <w:r w:rsidR="00CF3D13" w:rsidRPr="00CC6CE9">
        <w:rPr>
          <w:szCs w:val="24"/>
        </w:rPr>
        <w:t xml:space="preserve">, 288 F.3d 391, 400 (9th Cir. 2002) (holding that </w:t>
      </w:r>
      <w:r w:rsidR="00CF3D13" w:rsidRPr="00CC6CE9">
        <w:rPr>
          <w:i/>
          <w:iCs/>
          <w:szCs w:val="24"/>
        </w:rPr>
        <w:t xml:space="preserve">amicus curiae </w:t>
      </w:r>
      <w:r w:rsidR="00CF3D13" w:rsidRPr="00CC6CE9">
        <w:rPr>
          <w:szCs w:val="24"/>
        </w:rPr>
        <w:t xml:space="preserve">status may be insufficient to protect the rights of an applicant for intervention “because such status does not allow [the applicant] to raise issues or arguments formally and gives it no right of appeal”).  </w:t>
      </w:r>
      <w:r w:rsidR="006140AE" w:rsidRPr="00CC6CE9">
        <w:t>That the P</w:t>
      </w:r>
      <w:r w:rsidR="00AC4658">
        <w:t xml:space="preserve">laintiffs are represented by a national </w:t>
      </w:r>
      <w:r w:rsidR="006140AE" w:rsidRPr="00CC6CE9">
        <w:t>o</w:t>
      </w:r>
      <w:r w:rsidR="00B75CBF">
        <w:t>rganization and the designated p</w:t>
      </w:r>
      <w:r w:rsidR="006140AE" w:rsidRPr="00CC6CE9">
        <w:t xml:space="preserve">rotection and </w:t>
      </w:r>
      <w:r w:rsidR="00B75CBF">
        <w:t>a</w:t>
      </w:r>
      <w:r w:rsidR="006140AE" w:rsidRPr="00CC6CE9">
        <w:t>dvocacy organization do</w:t>
      </w:r>
      <w:r w:rsidR="00F75B09">
        <w:t>es</w:t>
      </w:r>
      <w:r w:rsidR="006140AE" w:rsidRPr="00CC6CE9">
        <w:t xml:space="preserve"> nothing to change the fact </w:t>
      </w:r>
      <w:r w:rsidR="00C61265" w:rsidRPr="00CC6CE9">
        <w:t xml:space="preserve">that </w:t>
      </w:r>
      <w:r w:rsidR="00D83E1D">
        <w:t xml:space="preserve">the Attorney General </w:t>
      </w:r>
      <w:r w:rsidR="00D83E1D" w:rsidRPr="00CC6CE9">
        <w:t xml:space="preserve">– </w:t>
      </w:r>
      <w:r w:rsidR="00DC660B" w:rsidRPr="00CC6CE9">
        <w:t>not P</w:t>
      </w:r>
      <w:r w:rsidR="00C61265" w:rsidRPr="00CC6CE9">
        <w:t xml:space="preserve">laintiffs’ counsel – is tasked with primary regulatory and enforcement authority </w:t>
      </w:r>
      <w:r w:rsidR="00967A7B" w:rsidRPr="00CC6CE9">
        <w:t>of</w:t>
      </w:r>
      <w:r w:rsidR="00C61265" w:rsidRPr="00CC6CE9">
        <w:t xml:space="preserve"> Title II of the ADA, and is directly responsible for carrying out Congress’</w:t>
      </w:r>
      <w:r w:rsidR="00967A7B" w:rsidRPr="00CC6CE9">
        <w:t xml:space="preserve">s intent to provide </w:t>
      </w:r>
      <w:r w:rsidR="00C61265" w:rsidRPr="00CC6CE9">
        <w:t xml:space="preserve">“clear, strong, consistent, enforceable standards addressing discrimination against individuals with disabilities.” </w:t>
      </w:r>
      <w:r w:rsidR="00F75B09">
        <w:t xml:space="preserve"> </w:t>
      </w:r>
      <w:r w:rsidR="000F734B">
        <w:t xml:space="preserve">42 U.S.C. § 12101(b)(2).  </w:t>
      </w:r>
      <w:r w:rsidR="00A9153D">
        <w:t>T</w:t>
      </w:r>
      <w:r w:rsidR="00C61265" w:rsidRPr="00CC6CE9">
        <w:t>he United States</w:t>
      </w:r>
      <w:r w:rsidR="00081F96" w:rsidRPr="00CC6CE9">
        <w:t>’</w:t>
      </w:r>
      <w:r w:rsidR="00C61265" w:rsidRPr="00CC6CE9">
        <w:t xml:space="preserve"> interest in this litigation is not adequately rep</w:t>
      </w:r>
      <w:r w:rsidR="00967A7B" w:rsidRPr="00CC6CE9">
        <w:t xml:space="preserve">resented by private counsel who </w:t>
      </w:r>
      <w:r w:rsidR="00C61265" w:rsidRPr="00CC6CE9">
        <w:t xml:space="preserve">owe a specific duty to their clients.     </w:t>
      </w:r>
    </w:p>
    <w:p w:rsidR="00DC660B" w:rsidRPr="00CC6CE9" w:rsidRDefault="000B3224" w:rsidP="00DC660B">
      <w:pPr>
        <w:pStyle w:val="ListParagraph"/>
        <w:numPr>
          <w:ilvl w:val="0"/>
          <w:numId w:val="13"/>
        </w:numPr>
        <w:spacing w:line="480" w:lineRule="auto"/>
        <w:rPr>
          <w:b/>
          <w:szCs w:val="24"/>
        </w:rPr>
      </w:pPr>
      <w:r w:rsidRPr="00CC6CE9">
        <w:rPr>
          <w:b/>
          <w:szCs w:val="24"/>
        </w:rPr>
        <w:t xml:space="preserve">The United States Also Meets the Requirements for </w:t>
      </w:r>
      <w:r w:rsidR="00DC660B" w:rsidRPr="00CC6CE9">
        <w:rPr>
          <w:b/>
          <w:szCs w:val="24"/>
        </w:rPr>
        <w:t>Permissive Intervention</w:t>
      </w:r>
    </w:p>
    <w:p w:rsidR="005253F1" w:rsidRDefault="001179DE" w:rsidP="00250065">
      <w:pPr>
        <w:spacing w:line="480" w:lineRule="auto"/>
        <w:ind w:firstLine="720"/>
        <w:rPr>
          <w:szCs w:val="24"/>
        </w:rPr>
      </w:pPr>
      <w:r w:rsidRPr="00CC6CE9">
        <w:rPr>
          <w:szCs w:val="24"/>
        </w:rPr>
        <w:t xml:space="preserve">The </w:t>
      </w:r>
      <w:r w:rsidR="00667D65" w:rsidRPr="00CC6CE9">
        <w:rPr>
          <w:szCs w:val="24"/>
        </w:rPr>
        <w:t xml:space="preserve">Defendants </w:t>
      </w:r>
      <w:r w:rsidR="00967A7B" w:rsidRPr="00CC6CE9">
        <w:rPr>
          <w:szCs w:val="24"/>
        </w:rPr>
        <w:t>do not dispute that the</w:t>
      </w:r>
      <w:r w:rsidR="00667D65" w:rsidRPr="00CC6CE9">
        <w:rPr>
          <w:szCs w:val="24"/>
        </w:rPr>
        <w:t xml:space="preserve"> Attorney General </w:t>
      </w:r>
      <w:r w:rsidR="00941D7F" w:rsidRPr="00CC6CE9">
        <w:rPr>
          <w:szCs w:val="24"/>
        </w:rPr>
        <w:t>administers</w:t>
      </w:r>
      <w:r w:rsidR="00667D65" w:rsidRPr="00CC6CE9">
        <w:rPr>
          <w:szCs w:val="24"/>
        </w:rPr>
        <w:t xml:space="preserve"> the statutes at issue in the litigation and thus meets the requirements of </w:t>
      </w:r>
      <w:r w:rsidR="00F75B09">
        <w:rPr>
          <w:szCs w:val="24"/>
        </w:rPr>
        <w:t xml:space="preserve">Rule </w:t>
      </w:r>
      <w:r w:rsidR="00667D65" w:rsidRPr="00CC6CE9">
        <w:rPr>
          <w:szCs w:val="24"/>
        </w:rPr>
        <w:t>24(b)(2)</w:t>
      </w:r>
      <w:r w:rsidR="00941D7F" w:rsidRPr="00CC6CE9">
        <w:rPr>
          <w:szCs w:val="24"/>
        </w:rPr>
        <w:t xml:space="preserve">.  </w:t>
      </w:r>
      <w:r w:rsidR="00983662" w:rsidRPr="00CC6CE9">
        <w:rPr>
          <w:szCs w:val="24"/>
        </w:rPr>
        <w:t>(</w:t>
      </w:r>
      <w:r w:rsidR="00CD609E">
        <w:rPr>
          <w:szCs w:val="24"/>
        </w:rPr>
        <w:t>Def.</w:t>
      </w:r>
      <w:r w:rsidR="00941D7F" w:rsidRPr="00CC6CE9">
        <w:rPr>
          <w:szCs w:val="24"/>
        </w:rPr>
        <w:t xml:space="preserve"> Mem. 17-19.</w:t>
      </w:r>
      <w:r w:rsidR="00983662" w:rsidRPr="00CC6CE9">
        <w:rPr>
          <w:szCs w:val="24"/>
        </w:rPr>
        <w:t>)</w:t>
      </w:r>
      <w:r w:rsidR="00340A71" w:rsidRPr="00CC6CE9">
        <w:rPr>
          <w:szCs w:val="24"/>
        </w:rPr>
        <w:t xml:space="preserve"> </w:t>
      </w:r>
      <w:r w:rsidR="003D1141">
        <w:rPr>
          <w:szCs w:val="24"/>
        </w:rPr>
        <w:t xml:space="preserve"> </w:t>
      </w:r>
      <w:r w:rsidR="000B3224" w:rsidRPr="00CC6CE9">
        <w:rPr>
          <w:szCs w:val="24"/>
        </w:rPr>
        <w:t>Instead, t</w:t>
      </w:r>
      <w:r w:rsidR="00941D7F" w:rsidRPr="00CC6CE9">
        <w:rPr>
          <w:szCs w:val="24"/>
        </w:rPr>
        <w:t>he Defendant</w:t>
      </w:r>
      <w:r w:rsidR="005B4F9D" w:rsidRPr="00CC6CE9">
        <w:rPr>
          <w:szCs w:val="24"/>
        </w:rPr>
        <w:t>s</w:t>
      </w:r>
      <w:r w:rsidR="00941D7F" w:rsidRPr="00CC6CE9">
        <w:rPr>
          <w:szCs w:val="24"/>
        </w:rPr>
        <w:t xml:space="preserve"> incorrectly </w:t>
      </w:r>
      <w:r w:rsidR="005B4F9D" w:rsidRPr="00CC6CE9">
        <w:rPr>
          <w:szCs w:val="24"/>
        </w:rPr>
        <w:t>argue</w:t>
      </w:r>
      <w:r w:rsidR="00667D65" w:rsidRPr="00CC6CE9">
        <w:rPr>
          <w:szCs w:val="24"/>
        </w:rPr>
        <w:t xml:space="preserve"> that the United States</w:t>
      </w:r>
      <w:r w:rsidR="00DC660B" w:rsidRPr="00CC6CE9">
        <w:rPr>
          <w:szCs w:val="24"/>
        </w:rPr>
        <w:t>’</w:t>
      </w:r>
      <w:r w:rsidR="00667D65" w:rsidRPr="00CC6CE9">
        <w:rPr>
          <w:szCs w:val="24"/>
        </w:rPr>
        <w:t xml:space="preserve"> intervention will cause </w:t>
      </w:r>
      <w:r w:rsidRPr="00CC6CE9">
        <w:rPr>
          <w:szCs w:val="24"/>
        </w:rPr>
        <w:t xml:space="preserve">them </w:t>
      </w:r>
      <w:r w:rsidR="00667D65" w:rsidRPr="00CC6CE9">
        <w:rPr>
          <w:szCs w:val="24"/>
        </w:rPr>
        <w:t xml:space="preserve">prejudice, primarily from </w:t>
      </w:r>
      <w:r w:rsidR="005B4F9D" w:rsidRPr="00CC6CE9">
        <w:rPr>
          <w:szCs w:val="24"/>
        </w:rPr>
        <w:t>DOJ’s</w:t>
      </w:r>
      <w:r w:rsidR="000B3224" w:rsidRPr="00CC6CE9">
        <w:rPr>
          <w:szCs w:val="24"/>
        </w:rPr>
        <w:t xml:space="preserve"> </w:t>
      </w:r>
      <w:r w:rsidR="00667D65" w:rsidRPr="00CC6CE9">
        <w:rPr>
          <w:szCs w:val="24"/>
        </w:rPr>
        <w:t xml:space="preserve">alleged failure to comport with the </w:t>
      </w:r>
      <w:r w:rsidR="00941D7F" w:rsidRPr="00CC6CE9">
        <w:rPr>
          <w:szCs w:val="24"/>
        </w:rPr>
        <w:t xml:space="preserve">previously discussed </w:t>
      </w:r>
      <w:r w:rsidR="00667D65" w:rsidRPr="00CC6CE9">
        <w:rPr>
          <w:szCs w:val="24"/>
        </w:rPr>
        <w:t>statutory prerequisites</w:t>
      </w:r>
      <w:r w:rsidR="00665979" w:rsidRPr="00CC6CE9">
        <w:rPr>
          <w:szCs w:val="24"/>
        </w:rPr>
        <w:t xml:space="preserve"> and from an alleged </w:t>
      </w:r>
      <w:r w:rsidR="00941D7F" w:rsidRPr="00CC6CE9">
        <w:rPr>
          <w:szCs w:val="24"/>
        </w:rPr>
        <w:t>desire to expand the litigation.</w:t>
      </w:r>
      <w:r w:rsidR="00665979" w:rsidRPr="00CC6CE9">
        <w:rPr>
          <w:rStyle w:val="FootnoteReference"/>
          <w:szCs w:val="24"/>
        </w:rPr>
        <w:footnoteReference w:id="6"/>
      </w:r>
      <w:r w:rsidR="00665979" w:rsidRPr="00CC6CE9">
        <w:rPr>
          <w:szCs w:val="24"/>
        </w:rPr>
        <w:t xml:space="preserve"> </w:t>
      </w:r>
      <w:r w:rsidR="00383FA4">
        <w:rPr>
          <w:szCs w:val="24"/>
        </w:rPr>
        <w:t xml:space="preserve"> </w:t>
      </w:r>
      <w:r w:rsidR="00941D7F" w:rsidRPr="00CC6CE9">
        <w:rPr>
          <w:szCs w:val="24"/>
        </w:rPr>
        <w:t xml:space="preserve">The Defendants’ argument that </w:t>
      </w:r>
      <w:r w:rsidR="00F75B09">
        <w:rPr>
          <w:szCs w:val="24"/>
        </w:rPr>
        <w:t>they</w:t>
      </w:r>
      <w:r w:rsidR="00941D7F" w:rsidRPr="00CC6CE9">
        <w:rPr>
          <w:szCs w:val="24"/>
        </w:rPr>
        <w:t xml:space="preserve"> will be prejudiced by the United States</w:t>
      </w:r>
      <w:r w:rsidR="00967A7B" w:rsidRPr="00CC6CE9">
        <w:rPr>
          <w:szCs w:val="24"/>
        </w:rPr>
        <w:t>’</w:t>
      </w:r>
      <w:r w:rsidR="00941D7F" w:rsidRPr="00CC6CE9">
        <w:rPr>
          <w:szCs w:val="24"/>
        </w:rPr>
        <w:t xml:space="preserve"> intervention due to expansion of the litigation is </w:t>
      </w:r>
      <w:r w:rsidR="00250065" w:rsidRPr="00CC6CE9">
        <w:rPr>
          <w:szCs w:val="24"/>
        </w:rPr>
        <w:t xml:space="preserve">contradicted by their own assertion that “the United States and the </w:t>
      </w:r>
      <w:r w:rsidR="00250065" w:rsidRPr="00F75B09">
        <w:rPr>
          <w:i/>
          <w:szCs w:val="24"/>
        </w:rPr>
        <w:t xml:space="preserve">Steward </w:t>
      </w:r>
      <w:r w:rsidR="00250065" w:rsidRPr="00CC6CE9">
        <w:rPr>
          <w:szCs w:val="24"/>
        </w:rPr>
        <w:t xml:space="preserve">party plaintiffs </w:t>
      </w:r>
      <w:r w:rsidR="005B4F9D" w:rsidRPr="00CC6CE9">
        <w:rPr>
          <w:szCs w:val="24"/>
        </w:rPr>
        <w:t>assert parallel claims . . .</w:t>
      </w:r>
      <w:r w:rsidR="00F75B09">
        <w:rPr>
          <w:szCs w:val="24"/>
        </w:rPr>
        <w:t xml:space="preserve"> .</w:t>
      </w:r>
      <w:r w:rsidR="00250065" w:rsidRPr="00CC6CE9">
        <w:rPr>
          <w:szCs w:val="24"/>
        </w:rPr>
        <w:t xml:space="preserve">” </w:t>
      </w:r>
      <w:r w:rsidR="00983662" w:rsidRPr="00CC6CE9">
        <w:rPr>
          <w:szCs w:val="24"/>
        </w:rPr>
        <w:t xml:space="preserve"> (</w:t>
      </w:r>
      <w:r w:rsidR="00CD609E">
        <w:rPr>
          <w:szCs w:val="24"/>
        </w:rPr>
        <w:t>Def.</w:t>
      </w:r>
      <w:r w:rsidR="00250065" w:rsidRPr="00CC6CE9">
        <w:rPr>
          <w:szCs w:val="24"/>
        </w:rPr>
        <w:t xml:space="preserve"> Mem. 14.</w:t>
      </w:r>
      <w:r w:rsidR="00983662" w:rsidRPr="00CC6CE9">
        <w:rPr>
          <w:szCs w:val="24"/>
        </w:rPr>
        <w:t>)</w:t>
      </w:r>
      <w:r w:rsidR="00665979" w:rsidRPr="00CC6CE9">
        <w:rPr>
          <w:szCs w:val="24"/>
        </w:rPr>
        <w:t xml:space="preserve"> </w:t>
      </w:r>
      <w:r w:rsidR="00250065" w:rsidRPr="00CC6CE9">
        <w:rPr>
          <w:szCs w:val="24"/>
        </w:rPr>
        <w:t xml:space="preserve"> </w:t>
      </w:r>
      <w:r w:rsidR="00967A7B" w:rsidRPr="00CC6CE9">
        <w:rPr>
          <w:szCs w:val="24"/>
        </w:rPr>
        <w:t>In fact, h</w:t>
      </w:r>
      <w:r w:rsidR="00250065" w:rsidRPr="00CC6CE9">
        <w:rPr>
          <w:szCs w:val="24"/>
        </w:rPr>
        <w:t>ad</w:t>
      </w:r>
      <w:r w:rsidR="00AF5CA7" w:rsidRPr="00CC6CE9">
        <w:rPr>
          <w:szCs w:val="24"/>
        </w:rPr>
        <w:t xml:space="preserve"> the United States </w:t>
      </w:r>
      <w:r w:rsidR="001950E4" w:rsidRPr="00CC6CE9">
        <w:rPr>
          <w:szCs w:val="24"/>
        </w:rPr>
        <w:t xml:space="preserve">instead </w:t>
      </w:r>
      <w:r w:rsidR="00250065" w:rsidRPr="00CC6CE9">
        <w:rPr>
          <w:szCs w:val="24"/>
        </w:rPr>
        <w:t xml:space="preserve">brought </w:t>
      </w:r>
      <w:r w:rsidR="001950E4" w:rsidRPr="00CC6CE9">
        <w:rPr>
          <w:szCs w:val="24"/>
        </w:rPr>
        <w:t xml:space="preserve">a separate enforcement action rather than intervene in the present </w:t>
      </w:r>
      <w:r w:rsidR="006437EA" w:rsidRPr="00CC6CE9">
        <w:rPr>
          <w:szCs w:val="24"/>
        </w:rPr>
        <w:t xml:space="preserve">litigation, </w:t>
      </w:r>
      <w:r w:rsidR="00686FD8" w:rsidRPr="00CC6CE9">
        <w:rPr>
          <w:szCs w:val="24"/>
        </w:rPr>
        <w:t>D</w:t>
      </w:r>
      <w:r w:rsidR="001950E4" w:rsidRPr="00CC6CE9">
        <w:rPr>
          <w:szCs w:val="24"/>
        </w:rPr>
        <w:t>efendants’ burden in defending two separate lawsuits would be much greater</w:t>
      </w:r>
      <w:r w:rsidR="00250065" w:rsidRPr="00CC6CE9">
        <w:rPr>
          <w:szCs w:val="24"/>
        </w:rPr>
        <w:t xml:space="preserve">. </w:t>
      </w:r>
      <w:r w:rsidR="006437EA" w:rsidRPr="00CC6CE9">
        <w:rPr>
          <w:szCs w:val="24"/>
        </w:rPr>
        <w:t xml:space="preserve"> </w:t>
      </w:r>
      <w:r w:rsidR="006437EA" w:rsidRPr="00CC6CE9">
        <w:rPr>
          <w:i/>
          <w:szCs w:val="24"/>
        </w:rPr>
        <w:t>See Trbovich v. United Mine Workers</w:t>
      </w:r>
      <w:r w:rsidR="006437EA" w:rsidRPr="00CC6CE9">
        <w:rPr>
          <w:szCs w:val="24"/>
        </w:rPr>
        <w:t>, 404 U.S. 528</w:t>
      </w:r>
      <w:r w:rsidR="00F75B09">
        <w:rPr>
          <w:szCs w:val="24"/>
        </w:rPr>
        <w:t xml:space="preserve">, </w:t>
      </w:r>
      <w:r w:rsidR="003D1141">
        <w:rPr>
          <w:szCs w:val="24"/>
        </w:rPr>
        <w:t>536</w:t>
      </w:r>
      <w:r w:rsidR="00F75B09">
        <w:rPr>
          <w:szCs w:val="24"/>
        </w:rPr>
        <w:t xml:space="preserve"> </w:t>
      </w:r>
      <w:r w:rsidR="006437EA" w:rsidRPr="00CC6CE9">
        <w:rPr>
          <w:szCs w:val="24"/>
        </w:rPr>
        <w:t xml:space="preserve">(1972) (noting that </w:t>
      </w:r>
      <w:r w:rsidR="00665979" w:rsidRPr="00CC6CE9">
        <w:rPr>
          <w:szCs w:val="24"/>
        </w:rPr>
        <w:t>“</w:t>
      </w:r>
      <w:r w:rsidR="005B4F9D" w:rsidRPr="00CC6CE9">
        <w:rPr>
          <w:szCs w:val="24"/>
        </w:rPr>
        <w:t xml:space="preserve">[i]ntervention . . . </w:t>
      </w:r>
      <w:r w:rsidR="006437EA" w:rsidRPr="00CC6CE9">
        <w:rPr>
          <w:szCs w:val="24"/>
        </w:rPr>
        <w:t>in a pending enforcement suit, unlike initiation of a separate suit</w:t>
      </w:r>
      <w:r w:rsidR="003D1141">
        <w:rPr>
          <w:szCs w:val="24"/>
        </w:rPr>
        <w:t xml:space="preserve"> . . . </w:t>
      </w:r>
      <w:r w:rsidR="006437EA" w:rsidRPr="00CC6CE9">
        <w:rPr>
          <w:szCs w:val="24"/>
        </w:rPr>
        <w:t>subjects the [defendant] to relatively little additional burden</w:t>
      </w:r>
      <w:r w:rsidR="00665979" w:rsidRPr="00CC6CE9">
        <w:rPr>
          <w:szCs w:val="24"/>
        </w:rPr>
        <w:t>”</w:t>
      </w:r>
      <w:r w:rsidR="006437EA" w:rsidRPr="00CC6CE9">
        <w:rPr>
          <w:szCs w:val="24"/>
        </w:rPr>
        <w:t>)</w:t>
      </w:r>
      <w:r w:rsidR="00081F96" w:rsidRPr="00CC6CE9">
        <w:rPr>
          <w:szCs w:val="24"/>
        </w:rPr>
        <w:t xml:space="preserve">; </w:t>
      </w:r>
      <w:r w:rsidR="003D1141">
        <w:rPr>
          <w:i/>
          <w:szCs w:val="24"/>
        </w:rPr>
        <w:t xml:space="preserve">see also </w:t>
      </w:r>
      <w:r w:rsidR="00081F96" w:rsidRPr="00CC6CE9">
        <w:rPr>
          <w:i/>
          <w:szCs w:val="24"/>
        </w:rPr>
        <w:t>Smith v. Pangilinan</w:t>
      </w:r>
      <w:r w:rsidR="00081F96" w:rsidRPr="00CC6CE9">
        <w:rPr>
          <w:szCs w:val="24"/>
        </w:rPr>
        <w:t>, 651 F.2d 1320, 1324-</w:t>
      </w:r>
      <w:r w:rsidR="00F75B09">
        <w:rPr>
          <w:szCs w:val="24"/>
        </w:rPr>
        <w:t>2</w:t>
      </w:r>
      <w:r w:rsidR="00081F96" w:rsidRPr="00CC6CE9">
        <w:rPr>
          <w:szCs w:val="24"/>
        </w:rPr>
        <w:t>5 (9th Cir. 1981) (reversing denial of the United States’ intervention not</w:t>
      </w:r>
      <w:r w:rsidR="00231B7E" w:rsidRPr="00CC6CE9">
        <w:rPr>
          <w:szCs w:val="24"/>
        </w:rPr>
        <w:t>ing</w:t>
      </w:r>
      <w:r w:rsidR="00081F96" w:rsidRPr="00CC6CE9">
        <w:rPr>
          <w:szCs w:val="24"/>
        </w:rPr>
        <w:t xml:space="preserve"> that denying intervention would cause the matter to be litigated </w:t>
      </w:r>
    </w:p>
    <w:p w:rsidR="00D709B0" w:rsidRPr="00CC6CE9" w:rsidRDefault="00081F96" w:rsidP="005253F1">
      <w:pPr>
        <w:spacing w:line="480" w:lineRule="auto"/>
        <w:rPr>
          <w:szCs w:val="24"/>
        </w:rPr>
      </w:pPr>
      <w:r w:rsidRPr="00CC6CE9">
        <w:rPr>
          <w:szCs w:val="24"/>
        </w:rPr>
        <w:t>twice)</w:t>
      </w:r>
      <w:r w:rsidR="006437EA" w:rsidRPr="00CC6CE9">
        <w:rPr>
          <w:szCs w:val="24"/>
        </w:rPr>
        <w:t>.</w:t>
      </w:r>
      <w:r w:rsidR="00D709B0" w:rsidRPr="00CC6CE9">
        <w:rPr>
          <w:szCs w:val="24"/>
        </w:rPr>
        <w:t xml:space="preserve">  </w:t>
      </w:r>
      <w:r w:rsidR="00231B7E" w:rsidRPr="00CC6CE9">
        <w:rPr>
          <w:szCs w:val="24"/>
        </w:rPr>
        <w:t>T</w:t>
      </w:r>
      <w:r w:rsidR="00DC660B" w:rsidRPr="00CC6CE9">
        <w:rPr>
          <w:szCs w:val="24"/>
        </w:rPr>
        <w:t xml:space="preserve">he United States meets the requirements for permissive intervention. </w:t>
      </w:r>
    </w:p>
    <w:p w:rsidR="00860C35" w:rsidRPr="00CC6CE9" w:rsidRDefault="00DC660B" w:rsidP="00A849EF">
      <w:pPr>
        <w:pStyle w:val="ListParagraph"/>
        <w:numPr>
          <w:ilvl w:val="0"/>
          <w:numId w:val="9"/>
        </w:numPr>
        <w:rPr>
          <w:b/>
          <w:szCs w:val="24"/>
        </w:rPr>
      </w:pPr>
      <w:r w:rsidRPr="00CC6CE9">
        <w:rPr>
          <w:b/>
          <w:szCs w:val="24"/>
        </w:rPr>
        <w:t>IF UNITED STATES IS GRANTED INTERVENTION, JOINDER IS PROPER</w:t>
      </w:r>
      <w:r w:rsidR="009476FC" w:rsidRPr="00CC6CE9">
        <w:rPr>
          <w:b/>
          <w:szCs w:val="24"/>
        </w:rPr>
        <w:t xml:space="preserve"> </w:t>
      </w:r>
    </w:p>
    <w:p w:rsidR="001950E4" w:rsidRPr="00CC6CE9" w:rsidRDefault="001950E4" w:rsidP="001950E4">
      <w:pPr>
        <w:pStyle w:val="ListParagraph"/>
        <w:ind w:left="1080"/>
        <w:rPr>
          <w:b/>
          <w:szCs w:val="24"/>
        </w:rPr>
      </w:pPr>
    </w:p>
    <w:p w:rsidR="009476FC" w:rsidRPr="00CC6CE9" w:rsidRDefault="00DC660B" w:rsidP="00DC660B">
      <w:pPr>
        <w:spacing w:line="480" w:lineRule="auto"/>
        <w:ind w:firstLine="720"/>
        <w:rPr>
          <w:szCs w:val="24"/>
        </w:rPr>
      </w:pPr>
      <w:r w:rsidRPr="00CC6CE9">
        <w:rPr>
          <w:szCs w:val="24"/>
        </w:rPr>
        <w:t xml:space="preserve">The Defendants’ arguments that the United States, </w:t>
      </w:r>
      <w:r w:rsidR="005B3754">
        <w:rPr>
          <w:i/>
          <w:szCs w:val="24"/>
        </w:rPr>
        <w:t>as a non</w:t>
      </w:r>
      <w:r w:rsidRPr="00CC6CE9">
        <w:rPr>
          <w:i/>
          <w:szCs w:val="24"/>
        </w:rPr>
        <w:t>party</w:t>
      </w:r>
      <w:r w:rsidRPr="00CC6CE9">
        <w:rPr>
          <w:szCs w:val="24"/>
        </w:rPr>
        <w:t>, cannot join the State of Texas is fundamentally flawed because the United States seeks to join the State of Texas</w:t>
      </w:r>
      <w:r w:rsidR="00FB7DCD" w:rsidRPr="00CC6CE9">
        <w:rPr>
          <w:szCs w:val="24"/>
        </w:rPr>
        <w:t xml:space="preserve"> as a Defendant</w:t>
      </w:r>
      <w:r w:rsidRPr="00CC6CE9">
        <w:rPr>
          <w:szCs w:val="24"/>
        </w:rPr>
        <w:t xml:space="preserve"> only </w:t>
      </w:r>
      <w:r w:rsidR="00FB7DCD" w:rsidRPr="00CC6CE9">
        <w:rPr>
          <w:szCs w:val="24"/>
        </w:rPr>
        <w:t>i</w:t>
      </w:r>
      <w:r w:rsidRPr="00CC6CE9">
        <w:rPr>
          <w:szCs w:val="24"/>
        </w:rPr>
        <w:t>f the United States is permitted intervention</w:t>
      </w:r>
      <w:r w:rsidR="00FB7DCD" w:rsidRPr="00CC6CE9">
        <w:rPr>
          <w:szCs w:val="24"/>
        </w:rPr>
        <w:t xml:space="preserve">.  </w:t>
      </w:r>
      <w:r w:rsidR="00665979" w:rsidRPr="00CC6CE9">
        <w:rPr>
          <w:szCs w:val="24"/>
        </w:rPr>
        <w:t xml:space="preserve">Upon </w:t>
      </w:r>
      <w:r w:rsidR="00FB7DCD" w:rsidRPr="00CC6CE9">
        <w:rPr>
          <w:szCs w:val="24"/>
        </w:rPr>
        <w:t xml:space="preserve">intervention, the United States </w:t>
      </w:r>
      <w:r w:rsidR="00665979" w:rsidRPr="00CC6CE9">
        <w:rPr>
          <w:szCs w:val="24"/>
        </w:rPr>
        <w:t>would</w:t>
      </w:r>
      <w:r w:rsidR="00FB7DCD" w:rsidRPr="00CC6CE9">
        <w:rPr>
          <w:szCs w:val="24"/>
        </w:rPr>
        <w:t xml:space="preserve"> be a party</w:t>
      </w:r>
      <w:r w:rsidR="00665979" w:rsidRPr="00CC6CE9">
        <w:rPr>
          <w:szCs w:val="24"/>
        </w:rPr>
        <w:t xml:space="preserve"> to the litigation and would be</w:t>
      </w:r>
      <w:r w:rsidR="00FB7DCD" w:rsidRPr="00CC6CE9">
        <w:rPr>
          <w:szCs w:val="24"/>
        </w:rPr>
        <w:t xml:space="preserve"> entitled to join the State of Texas</w:t>
      </w:r>
      <w:r w:rsidR="00665979" w:rsidRPr="00CC6CE9">
        <w:rPr>
          <w:szCs w:val="24"/>
        </w:rPr>
        <w:t xml:space="preserve"> as a defendant</w:t>
      </w:r>
      <w:r w:rsidR="00FB7DCD" w:rsidRPr="00CC6CE9">
        <w:rPr>
          <w:szCs w:val="24"/>
        </w:rPr>
        <w:t xml:space="preserve"> pursuant to Fed. R</w:t>
      </w:r>
      <w:r w:rsidR="00665979" w:rsidRPr="00CC6CE9">
        <w:rPr>
          <w:szCs w:val="24"/>
        </w:rPr>
        <w:t>.</w:t>
      </w:r>
      <w:r w:rsidR="00FB7DCD" w:rsidRPr="00CC6CE9">
        <w:rPr>
          <w:szCs w:val="24"/>
        </w:rPr>
        <w:t xml:space="preserve"> Civ. P. 20(a)(2).  Joinder of the State of Texas is proper under Rule 20(a)(2) because there are questions of law or fact common to all Defendants.  </w:t>
      </w:r>
      <w:r w:rsidR="00967A7B" w:rsidRPr="00CC6CE9">
        <w:rPr>
          <w:szCs w:val="24"/>
        </w:rPr>
        <w:t>(</w:t>
      </w:r>
      <w:r w:rsidR="00437030" w:rsidRPr="00CC6CE9">
        <w:rPr>
          <w:i/>
          <w:szCs w:val="24"/>
        </w:rPr>
        <w:t>Compare</w:t>
      </w:r>
      <w:r w:rsidR="00437030" w:rsidRPr="00CC6CE9">
        <w:rPr>
          <w:szCs w:val="24"/>
        </w:rPr>
        <w:t xml:space="preserve"> Compl</w:t>
      </w:r>
      <w:r w:rsidR="005B3754">
        <w:rPr>
          <w:szCs w:val="24"/>
        </w:rPr>
        <w:t>.</w:t>
      </w:r>
      <w:r w:rsidR="00437030" w:rsidRPr="00CC6CE9">
        <w:rPr>
          <w:szCs w:val="24"/>
        </w:rPr>
        <w:t xml:space="preserve"> ¶¶ 31-137, ECF No. 1 (Dec. 20, 2010) </w:t>
      </w:r>
      <w:r w:rsidR="00437030" w:rsidRPr="00CC6CE9">
        <w:rPr>
          <w:i/>
          <w:szCs w:val="24"/>
        </w:rPr>
        <w:t>with</w:t>
      </w:r>
      <w:r w:rsidR="00F75B09">
        <w:rPr>
          <w:szCs w:val="24"/>
        </w:rPr>
        <w:t xml:space="preserve"> Proposed Compl.</w:t>
      </w:r>
      <w:r w:rsidR="00437030" w:rsidRPr="00CC6CE9">
        <w:rPr>
          <w:szCs w:val="24"/>
        </w:rPr>
        <w:t xml:space="preserve"> ¶¶ 8-28 and ¶¶ 50-63.)</w:t>
      </w:r>
      <w:r w:rsidR="00F75B09">
        <w:rPr>
          <w:szCs w:val="24"/>
        </w:rPr>
        <w:t xml:space="preserve"> </w:t>
      </w:r>
      <w:r w:rsidR="00967A7B" w:rsidRPr="00CC6CE9">
        <w:rPr>
          <w:szCs w:val="24"/>
        </w:rPr>
        <w:t xml:space="preserve"> </w:t>
      </w:r>
      <w:r w:rsidR="00FB7DCD" w:rsidRPr="00CC6CE9">
        <w:rPr>
          <w:szCs w:val="24"/>
        </w:rPr>
        <w:t xml:space="preserve">Following intervention and after the United States’ complaint is </w:t>
      </w:r>
      <w:r w:rsidR="005253F1">
        <w:rPr>
          <w:szCs w:val="24"/>
        </w:rPr>
        <w:t xml:space="preserve">formally </w:t>
      </w:r>
      <w:r w:rsidR="00746CB3">
        <w:rPr>
          <w:szCs w:val="24"/>
        </w:rPr>
        <w:t>filed</w:t>
      </w:r>
      <w:r w:rsidR="00FB7DCD" w:rsidRPr="00CC6CE9">
        <w:rPr>
          <w:szCs w:val="24"/>
        </w:rPr>
        <w:t xml:space="preserve">, the United States </w:t>
      </w:r>
      <w:r w:rsidR="00D83E1D">
        <w:rPr>
          <w:szCs w:val="24"/>
        </w:rPr>
        <w:t>would</w:t>
      </w:r>
      <w:r w:rsidR="00FB7DCD" w:rsidRPr="00CC6CE9">
        <w:rPr>
          <w:szCs w:val="24"/>
        </w:rPr>
        <w:t xml:space="preserve"> then serve the State of Texas with process.  </w:t>
      </w:r>
    </w:p>
    <w:p w:rsidR="00FB3A44" w:rsidRPr="00CC6CE9" w:rsidRDefault="00FB7DCD" w:rsidP="00340A71">
      <w:pPr>
        <w:spacing w:line="480" w:lineRule="auto"/>
        <w:ind w:firstLine="720"/>
        <w:rPr>
          <w:szCs w:val="24"/>
        </w:rPr>
      </w:pPr>
      <w:r w:rsidRPr="00CC6CE9">
        <w:rPr>
          <w:szCs w:val="24"/>
        </w:rPr>
        <w:t xml:space="preserve">Finally, </w:t>
      </w:r>
      <w:r w:rsidR="00665979" w:rsidRPr="00CC6CE9">
        <w:rPr>
          <w:szCs w:val="24"/>
        </w:rPr>
        <w:t xml:space="preserve">contrary to the </w:t>
      </w:r>
      <w:r w:rsidR="00022F40" w:rsidRPr="00CC6CE9">
        <w:rPr>
          <w:szCs w:val="24"/>
        </w:rPr>
        <w:t>D</w:t>
      </w:r>
      <w:r w:rsidR="00665979" w:rsidRPr="00CC6CE9">
        <w:rPr>
          <w:szCs w:val="24"/>
        </w:rPr>
        <w:t xml:space="preserve">efendants’ </w:t>
      </w:r>
      <w:r w:rsidR="00E22062" w:rsidRPr="00CC6CE9">
        <w:rPr>
          <w:szCs w:val="24"/>
        </w:rPr>
        <w:t xml:space="preserve">apparent </w:t>
      </w:r>
      <w:r w:rsidR="00665979" w:rsidRPr="00CC6CE9">
        <w:rPr>
          <w:szCs w:val="24"/>
        </w:rPr>
        <w:t xml:space="preserve">assertion, </w:t>
      </w:r>
      <w:r w:rsidRPr="00CC6CE9">
        <w:rPr>
          <w:szCs w:val="24"/>
        </w:rPr>
        <w:t xml:space="preserve">the </w:t>
      </w:r>
      <w:r w:rsidR="009476FC" w:rsidRPr="00CC6CE9">
        <w:rPr>
          <w:szCs w:val="24"/>
        </w:rPr>
        <w:t xml:space="preserve">Eleventh Amendment does not </w:t>
      </w:r>
      <w:r w:rsidR="00665979" w:rsidRPr="00CC6CE9">
        <w:rPr>
          <w:szCs w:val="24"/>
        </w:rPr>
        <w:t xml:space="preserve">bar the United States </w:t>
      </w:r>
      <w:r w:rsidR="009476FC" w:rsidRPr="00CC6CE9">
        <w:rPr>
          <w:szCs w:val="24"/>
        </w:rPr>
        <w:t>from bringing suit against the State of Texas to remedy violations of the ADA.</w:t>
      </w:r>
      <w:r w:rsidR="00F03365" w:rsidRPr="00CC6CE9">
        <w:rPr>
          <w:rStyle w:val="FootnoteReference"/>
          <w:szCs w:val="24"/>
        </w:rPr>
        <w:footnoteReference w:id="7"/>
      </w:r>
      <w:r w:rsidR="009476FC" w:rsidRPr="00CC6CE9">
        <w:rPr>
          <w:szCs w:val="24"/>
        </w:rPr>
        <w:t xml:space="preserve"> </w:t>
      </w:r>
      <w:r w:rsidR="007F7798" w:rsidRPr="00CC6CE9">
        <w:rPr>
          <w:szCs w:val="24"/>
        </w:rPr>
        <w:t xml:space="preserve"> </w:t>
      </w:r>
      <w:r w:rsidR="007F7798" w:rsidRPr="00CC6CE9">
        <w:rPr>
          <w:i/>
          <w:szCs w:val="24"/>
        </w:rPr>
        <w:t>See EEOC v. Bd. of Supervisors for the Univ. of La. Sys</w:t>
      </w:r>
      <w:r w:rsidR="007F7798" w:rsidRPr="00CC6CE9">
        <w:rPr>
          <w:szCs w:val="24"/>
        </w:rPr>
        <w:t>., 559 F.3d 270, 272 (5th Cir. 2009)</w:t>
      </w:r>
      <w:r w:rsidR="009476FC" w:rsidRPr="00CC6CE9">
        <w:rPr>
          <w:szCs w:val="24"/>
        </w:rPr>
        <w:t xml:space="preserve"> </w:t>
      </w:r>
      <w:r w:rsidR="007F7798" w:rsidRPr="006E1FB0">
        <w:rPr>
          <w:szCs w:val="24"/>
        </w:rPr>
        <w:t>(“</w:t>
      </w:r>
      <w:r w:rsidR="00665979" w:rsidRPr="006E1FB0">
        <w:rPr>
          <w:szCs w:val="24"/>
        </w:rPr>
        <w:t>[</w:t>
      </w:r>
      <w:r w:rsidR="006E1FB0" w:rsidRPr="006E1FB0">
        <w:rPr>
          <w:szCs w:val="24"/>
        </w:rPr>
        <w:t>I</w:t>
      </w:r>
      <w:r w:rsidR="00665979" w:rsidRPr="006E1FB0">
        <w:rPr>
          <w:szCs w:val="24"/>
        </w:rPr>
        <w:t>]</w:t>
      </w:r>
      <w:r w:rsidR="007F7798" w:rsidRPr="006E1FB0">
        <w:rPr>
          <w:szCs w:val="24"/>
        </w:rPr>
        <w:t>t</w:t>
      </w:r>
      <w:r w:rsidR="007F7798" w:rsidRPr="00CC6CE9">
        <w:rPr>
          <w:szCs w:val="24"/>
        </w:rPr>
        <w:t xml:space="preserve"> is well-established that sovereign immunity under the Eleventh Amendment operates only to protect States from private lawsuits</w:t>
      </w:r>
      <w:r w:rsidR="00746CB3">
        <w:rPr>
          <w:szCs w:val="24"/>
        </w:rPr>
        <w:t>—</w:t>
      </w:r>
      <w:r w:rsidR="007F7798" w:rsidRPr="00CC6CE9">
        <w:rPr>
          <w:szCs w:val="24"/>
        </w:rPr>
        <w:t>not from lawsuits by the federal government.”)</w:t>
      </w:r>
      <w:r w:rsidR="00F03365" w:rsidRPr="00CC6CE9">
        <w:rPr>
          <w:szCs w:val="24"/>
        </w:rPr>
        <w:t>;</w:t>
      </w:r>
      <w:r w:rsidR="00E22062" w:rsidRPr="00CC6CE9">
        <w:rPr>
          <w:i/>
          <w:iCs/>
        </w:rPr>
        <w:t xml:space="preserve"> </w:t>
      </w:r>
      <w:r w:rsidR="00F75B09">
        <w:rPr>
          <w:i/>
          <w:iCs/>
        </w:rPr>
        <w:t xml:space="preserve">see also </w:t>
      </w:r>
      <w:r w:rsidR="00E22062" w:rsidRPr="00CC6CE9">
        <w:rPr>
          <w:i/>
          <w:iCs/>
        </w:rPr>
        <w:t>West Virginia v. United States</w:t>
      </w:r>
      <w:r w:rsidR="00E22062" w:rsidRPr="00CC6CE9">
        <w:t xml:space="preserve">, 479 U.S. 305, 311 (1987) (“States have no sovereign immunity as against the Federal Government”). </w:t>
      </w:r>
    </w:p>
    <w:p w:rsidR="0016507D" w:rsidRPr="00CC6CE9" w:rsidRDefault="0016507D" w:rsidP="00962185">
      <w:pPr>
        <w:pStyle w:val="SectionHeading"/>
        <w:rPr>
          <w:szCs w:val="24"/>
        </w:rPr>
      </w:pPr>
      <w:r w:rsidRPr="00CC6CE9">
        <w:rPr>
          <w:szCs w:val="24"/>
        </w:rPr>
        <w:t>CONCLUSION</w:t>
      </w:r>
      <w:bookmarkEnd w:id="0"/>
      <w:bookmarkEnd w:id="1"/>
      <w:bookmarkEnd w:id="2"/>
    </w:p>
    <w:p w:rsidR="0016507D" w:rsidRPr="00CC6CE9" w:rsidRDefault="0016507D" w:rsidP="00962185">
      <w:pPr>
        <w:pStyle w:val="SectionHeading"/>
        <w:rPr>
          <w:szCs w:val="24"/>
        </w:rPr>
      </w:pPr>
    </w:p>
    <w:p w:rsidR="0016507D" w:rsidRDefault="0016507D" w:rsidP="0016507D">
      <w:pPr>
        <w:spacing w:line="480" w:lineRule="auto"/>
        <w:ind w:firstLine="720"/>
        <w:rPr>
          <w:szCs w:val="24"/>
        </w:rPr>
      </w:pPr>
      <w:r w:rsidRPr="00CC6CE9">
        <w:rPr>
          <w:szCs w:val="24"/>
        </w:rPr>
        <w:t xml:space="preserve">For the foregoing reasons, the Court should </w:t>
      </w:r>
      <w:r w:rsidR="00967A7B" w:rsidRPr="00CC6CE9">
        <w:rPr>
          <w:szCs w:val="24"/>
        </w:rPr>
        <w:t>grant</w:t>
      </w:r>
      <w:r w:rsidRPr="00CC6CE9">
        <w:rPr>
          <w:szCs w:val="24"/>
        </w:rPr>
        <w:t xml:space="preserve"> the United States’ </w:t>
      </w:r>
      <w:r w:rsidR="00D45356" w:rsidRPr="00CC6CE9">
        <w:rPr>
          <w:szCs w:val="24"/>
        </w:rPr>
        <w:t xml:space="preserve">Motion to Intervene </w:t>
      </w:r>
      <w:r w:rsidRPr="00CC6CE9">
        <w:rPr>
          <w:szCs w:val="24"/>
        </w:rPr>
        <w:t>and order its intervention in this action (i) as a matter of right pursuant to Rule 24(a)(2) of the Federal Rules of Civil Procedure or, in the alternative, (ii) permissively pursuant to Rule 24(b) of the Fed</w:t>
      </w:r>
      <w:r w:rsidR="00F51882" w:rsidRPr="00CC6CE9">
        <w:rPr>
          <w:szCs w:val="24"/>
        </w:rPr>
        <w:t>eral Rules of Civil Procedure</w:t>
      </w:r>
      <w:r w:rsidR="00405D4E" w:rsidRPr="00CC6CE9">
        <w:rPr>
          <w:szCs w:val="24"/>
        </w:rPr>
        <w:t>.</w:t>
      </w:r>
    </w:p>
    <w:p w:rsidR="0016507D" w:rsidRDefault="0016507D" w:rsidP="0016507D">
      <w:pPr>
        <w:spacing w:line="480" w:lineRule="auto"/>
        <w:ind w:left="360"/>
        <w:rPr>
          <w:szCs w:val="24"/>
        </w:rPr>
      </w:pPr>
      <w:r w:rsidRPr="00CC6CE9">
        <w:rPr>
          <w:szCs w:val="24"/>
        </w:rPr>
        <w:t xml:space="preserve">Dated: </w:t>
      </w:r>
      <w:r w:rsidR="00860C35" w:rsidRPr="00CC6CE9">
        <w:rPr>
          <w:szCs w:val="24"/>
        </w:rPr>
        <w:t xml:space="preserve">August </w:t>
      </w:r>
      <w:r w:rsidR="00405D4E" w:rsidRPr="00CC6CE9">
        <w:rPr>
          <w:szCs w:val="24"/>
        </w:rPr>
        <w:t>4</w:t>
      </w:r>
      <w:r w:rsidRPr="00CC6CE9">
        <w:rPr>
          <w:szCs w:val="24"/>
        </w:rPr>
        <w:t>, 2011</w:t>
      </w:r>
    </w:p>
    <w:p w:rsidR="00B75CBF" w:rsidRDefault="00B75CBF" w:rsidP="0016507D">
      <w:pPr>
        <w:spacing w:line="480" w:lineRule="auto"/>
        <w:rPr>
          <w:szCs w:val="24"/>
        </w:rPr>
      </w:pPr>
    </w:p>
    <w:p w:rsidR="00EB51C6" w:rsidRPr="00CC6CE9" w:rsidRDefault="00EB51C6" w:rsidP="0016507D">
      <w:pPr>
        <w:spacing w:line="480" w:lineRule="auto"/>
        <w:rPr>
          <w:szCs w:val="24"/>
        </w:rPr>
      </w:pPr>
      <w:r w:rsidRPr="00CC6CE9">
        <w:rPr>
          <w:szCs w:val="24"/>
        </w:rPr>
        <w:tab/>
      </w:r>
      <w:r w:rsidRPr="00CC6CE9">
        <w:rPr>
          <w:szCs w:val="24"/>
        </w:rPr>
        <w:tab/>
      </w:r>
      <w:r w:rsidRPr="00CC6CE9">
        <w:rPr>
          <w:szCs w:val="24"/>
        </w:rPr>
        <w:tab/>
      </w:r>
      <w:r w:rsidRPr="00CC6CE9">
        <w:rPr>
          <w:szCs w:val="24"/>
        </w:rPr>
        <w:tab/>
      </w:r>
      <w:r w:rsidRPr="00CC6CE9">
        <w:rPr>
          <w:szCs w:val="24"/>
        </w:rPr>
        <w:tab/>
      </w:r>
      <w:r w:rsidRPr="00CC6CE9">
        <w:rPr>
          <w:szCs w:val="24"/>
        </w:rPr>
        <w:tab/>
        <w:t>Respectfully submitted,</w:t>
      </w:r>
    </w:p>
    <w:p w:rsidR="00EB51C6" w:rsidRPr="00CC6CE9" w:rsidRDefault="00EB51C6" w:rsidP="00EB51C6">
      <w:pPr>
        <w:ind w:left="360"/>
        <w:rPr>
          <w:szCs w:val="24"/>
        </w:rPr>
      </w:pPr>
      <w:r w:rsidRPr="00CC6CE9">
        <w:rPr>
          <w:szCs w:val="24"/>
        </w:rPr>
        <w:tab/>
      </w:r>
      <w:r w:rsidRPr="00CC6CE9">
        <w:rPr>
          <w:szCs w:val="24"/>
        </w:rPr>
        <w:tab/>
      </w:r>
      <w:r w:rsidRPr="00CC6CE9">
        <w:rPr>
          <w:szCs w:val="24"/>
        </w:rPr>
        <w:tab/>
      </w:r>
      <w:r w:rsidRPr="00CC6CE9">
        <w:rPr>
          <w:szCs w:val="24"/>
        </w:rPr>
        <w:tab/>
      </w:r>
      <w:r w:rsidRPr="00CC6CE9">
        <w:rPr>
          <w:szCs w:val="24"/>
        </w:rPr>
        <w:tab/>
      </w:r>
      <w:r w:rsidRPr="00CC6CE9">
        <w:rPr>
          <w:szCs w:val="24"/>
        </w:rPr>
        <w:tab/>
        <w:t>THOMAS E. PEREZ</w:t>
      </w:r>
    </w:p>
    <w:p w:rsidR="00EB51C6" w:rsidRPr="00CC6CE9" w:rsidRDefault="00EB51C6" w:rsidP="00EB51C6">
      <w:pPr>
        <w:ind w:left="360"/>
        <w:rPr>
          <w:szCs w:val="24"/>
        </w:rPr>
      </w:pPr>
      <w:r w:rsidRPr="00CC6CE9">
        <w:rPr>
          <w:szCs w:val="24"/>
        </w:rPr>
        <w:tab/>
      </w:r>
      <w:r w:rsidRPr="00CC6CE9">
        <w:rPr>
          <w:szCs w:val="24"/>
        </w:rPr>
        <w:tab/>
      </w:r>
      <w:r w:rsidRPr="00CC6CE9">
        <w:rPr>
          <w:szCs w:val="24"/>
        </w:rPr>
        <w:tab/>
      </w:r>
      <w:r w:rsidRPr="00CC6CE9">
        <w:rPr>
          <w:szCs w:val="24"/>
        </w:rPr>
        <w:tab/>
      </w:r>
      <w:r w:rsidRPr="00CC6CE9">
        <w:rPr>
          <w:szCs w:val="24"/>
        </w:rPr>
        <w:tab/>
      </w:r>
      <w:r w:rsidRPr="00CC6CE9">
        <w:rPr>
          <w:szCs w:val="24"/>
        </w:rPr>
        <w:tab/>
        <w:t>Assistant Attorney General</w:t>
      </w:r>
    </w:p>
    <w:p w:rsidR="00EB51C6" w:rsidRPr="00CC6CE9" w:rsidRDefault="00EB51C6" w:rsidP="00EB51C6">
      <w:pPr>
        <w:ind w:left="360"/>
        <w:rPr>
          <w:szCs w:val="24"/>
        </w:rPr>
      </w:pPr>
      <w:r w:rsidRPr="00CC6CE9">
        <w:rPr>
          <w:szCs w:val="24"/>
        </w:rPr>
        <w:tab/>
      </w:r>
      <w:r w:rsidRPr="00CC6CE9">
        <w:rPr>
          <w:szCs w:val="24"/>
        </w:rPr>
        <w:tab/>
      </w:r>
      <w:r w:rsidRPr="00CC6CE9">
        <w:rPr>
          <w:szCs w:val="24"/>
        </w:rPr>
        <w:tab/>
      </w:r>
      <w:r w:rsidRPr="00CC6CE9">
        <w:rPr>
          <w:szCs w:val="24"/>
        </w:rPr>
        <w:tab/>
      </w:r>
      <w:r w:rsidRPr="00CC6CE9">
        <w:rPr>
          <w:szCs w:val="24"/>
        </w:rPr>
        <w:tab/>
      </w:r>
      <w:r w:rsidRPr="00CC6CE9">
        <w:rPr>
          <w:szCs w:val="24"/>
        </w:rPr>
        <w:tab/>
      </w:r>
    </w:p>
    <w:p w:rsidR="00EB51C6" w:rsidRPr="00CC6CE9" w:rsidRDefault="00EB51C6" w:rsidP="00EB51C6">
      <w:pPr>
        <w:ind w:left="3600" w:firstLine="720"/>
        <w:rPr>
          <w:szCs w:val="24"/>
        </w:rPr>
      </w:pPr>
      <w:r w:rsidRPr="00CC6CE9">
        <w:rPr>
          <w:szCs w:val="24"/>
        </w:rPr>
        <w:t>SAMUEL R. BAGENSTOS</w:t>
      </w:r>
    </w:p>
    <w:p w:rsidR="00EB51C6" w:rsidRPr="00CC6CE9" w:rsidRDefault="00EB51C6" w:rsidP="00EB51C6">
      <w:pPr>
        <w:ind w:left="360"/>
        <w:rPr>
          <w:szCs w:val="24"/>
        </w:rPr>
      </w:pPr>
      <w:r w:rsidRPr="00CC6CE9">
        <w:rPr>
          <w:szCs w:val="24"/>
        </w:rPr>
        <w:tab/>
      </w:r>
      <w:r w:rsidRPr="00CC6CE9">
        <w:rPr>
          <w:szCs w:val="24"/>
        </w:rPr>
        <w:tab/>
      </w:r>
      <w:r w:rsidRPr="00CC6CE9">
        <w:rPr>
          <w:szCs w:val="24"/>
        </w:rPr>
        <w:tab/>
      </w:r>
      <w:r w:rsidRPr="00CC6CE9">
        <w:rPr>
          <w:szCs w:val="24"/>
        </w:rPr>
        <w:tab/>
      </w:r>
      <w:r w:rsidRPr="00CC6CE9">
        <w:rPr>
          <w:szCs w:val="24"/>
        </w:rPr>
        <w:tab/>
      </w:r>
      <w:r w:rsidRPr="00CC6CE9">
        <w:rPr>
          <w:szCs w:val="24"/>
        </w:rPr>
        <w:tab/>
        <w:t>Principal Deputy Assistant Attorney General</w:t>
      </w:r>
    </w:p>
    <w:p w:rsidR="00D62E39" w:rsidRPr="00CC6CE9" w:rsidRDefault="00D62E39" w:rsidP="00EB51C6">
      <w:pPr>
        <w:ind w:left="3600" w:firstLine="720"/>
        <w:rPr>
          <w:szCs w:val="24"/>
        </w:rPr>
      </w:pPr>
    </w:p>
    <w:p w:rsidR="00D62E39" w:rsidRPr="00CC6CE9" w:rsidRDefault="00D62E39" w:rsidP="00D62E39">
      <w:pPr>
        <w:ind w:left="3600" w:firstLine="720"/>
        <w:rPr>
          <w:szCs w:val="24"/>
        </w:rPr>
      </w:pPr>
      <w:r w:rsidRPr="00CC6CE9">
        <w:rPr>
          <w:szCs w:val="24"/>
        </w:rPr>
        <w:t xml:space="preserve">ALISON </w:t>
      </w:r>
      <w:r w:rsidR="001179DE" w:rsidRPr="00CC6CE9">
        <w:rPr>
          <w:szCs w:val="24"/>
        </w:rPr>
        <w:t xml:space="preserve">N. </w:t>
      </w:r>
      <w:r w:rsidRPr="00CC6CE9">
        <w:rPr>
          <w:szCs w:val="24"/>
        </w:rPr>
        <w:t>BARKOFF</w:t>
      </w:r>
      <w:r w:rsidRPr="00CC6CE9">
        <w:rPr>
          <w:szCs w:val="24"/>
        </w:rPr>
        <w:tab/>
      </w:r>
    </w:p>
    <w:p w:rsidR="00D62E39" w:rsidRPr="00CC6CE9" w:rsidRDefault="00D62E39" w:rsidP="00D62E39">
      <w:pPr>
        <w:ind w:left="4320"/>
        <w:rPr>
          <w:szCs w:val="24"/>
        </w:rPr>
      </w:pPr>
      <w:r w:rsidRPr="00CC6CE9">
        <w:rPr>
          <w:szCs w:val="24"/>
        </w:rPr>
        <w:t xml:space="preserve">Special Counsel for </w:t>
      </w:r>
      <w:r w:rsidRPr="00CC6CE9">
        <w:rPr>
          <w:i/>
          <w:szCs w:val="24"/>
        </w:rPr>
        <w:t>Olmstead</w:t>
      </w:r>
      <w:r w:rsidRPr="00CC6CE9">
        <w:rPr>
          <w:szCs w:val="24"/>
        </w:rPr>
        <w:t xml:space="preserve"> Enforcement</w:t>
      </w:r>
    </w:p>
    <w:p w:rsidR="00D62E39" w:rsidRPr="00CC6CE9" w:rsidRDefault="00D62E39" w:rsidP="00D62E39">
      <w:pPr>
        <w:ind w:left="3600" w:firstLine="720"/>
        <w:rPr>
          <w:szCs w:val="24"/>
        </w:rPr>
      </w:pPr>
      <w:r w:rsidRPr="00CC6CE9">
        <w:rPr>
          <w:szCs w:val="24"/>
        </w:rPr>
        <w:t xml:space="preserve">Civil Rights Division </w:t>
      </w:r>
    </w:p>
    <w:p w:rsidR="00D62E39" w:rsidRPr="00CC6CE9" w:rsidRDefault="00D62E39" w:rsidP="00EB51C6">
      <w:pPr>
        <w:ind w:left="3600" w:firstLine="720"/>
        <w:rPr>
          <w:szCs w:val="24"/>
        </w:rPr>
      </w:pPr>
    </w:p>
    <w:p w:rsidR="00F61B01" w:rsidRPr="00CC6CE9" w:rsidRDefault="00F61B01" w:rsidP="00EB51C6">
      <w:pPr>
        <w:ind w:left="3600" w:firstLine="720"/>
        <w:rPr>
          <w:szCs w:val="24"/>
        </w:rPr>
      </w:pPr>
    </w:p>
    <w:p w:rsidR="006A0DAB" w:rsidRPr="00B75CBF" w:rsidRDefault="009E0699" w:rsidP="00EB51C6">
      <w:pPr>
        <w:pStyle w:val="WPTitle"/>
        <w:widowControl/>
        <w:ind w:left="3600" w:firstLine="720"/>
        <w:jc w:val="left"/>
        <w:rPr>
          <w:b w:val="0"/>
          <w:sz w:val="24"/>
          <w:szCs w:val="24"/>
        </w:rPr>
      </w:pPr>
      <w:r>
        <w:rPr>
          <w:b w:val="0"/>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14.75pt;margin-top:12.25pt;width:205.35pt;height:0;z-index:251658240" o:connectortype="straight"/>
        </w:pict>
      </w:r>
      <w:r w:rsidR="00B75CBF" w:rsidRPr="00B75CBF">
        <w:rPr>
          <w:b w:val="0"/>
          <w:sz w:val="24"/>
          <w:szCs w:val="24"/>
        </w:rPr>
        <w:t xml:space="preserve">/s/  </w:t>
      </w:r>
      <w:r w:rsidR="00B75CBF" w:rsidRPr="00B75CBF">
        <w:rPr>
          <w:b w:val="0"/>
          <w:i/>
          <w:sz w:val="24"/>
          <w:szCs w:val="24"/>
        </w:rPr>
        <w:t>Regan Rush</w:t>
      </w:r>
      <w:r w:rsidR="00B75CBF" w:rsidRPr="00B75CBF">
        <w:rPr>
          <w:b w:val="0"/>
          <w:sz w:val="24"/>
          <w:szCs w:val="24"/>
        </w:rPr>
        <w:t xml:space="preserve">                     </w:t>
      </w:r>
    </w:p>
    <w:p w:rsidR="00EB51C6" w:rsidRPr="00CC6CE9" w:rsidRDefault="00D62E39" w:rsidP="00EB51C6">
      <w:pPr>
        <w:pStyle w:val="WPTitle"/>
        <w:widowControl/>
        <w:ind w:left="3600" w:firstLine="720"/>
        <w:jc w:val="left"/>
        <w:rPr>
          <w:b w:val="0"/>
          <w:sz w:val="24"/>
          <w:szCs w:val="24"/>
        </w:rPr>
      </w:pPr>
      <w:r w:rsidRPr="00CC6CE9">
        <w:rPr>
          <w:b w:val="0"/>
          <w:sz w:val="24"/>
          <w:szCs w:val="24"/>
        </w:rPr>
        <w:t>ALLISON NICHOL,</w:t>
      </w:r>
      <w:r w:rsidR="00EB51C6" w:rsidRPr="00CC6CE9">
        <w:rPr>
          <w:b w:val="0"/>
          <w:sz w:val="24"/>
          <w:szCs w:val="24"/>
        </w:rPr>
        <w:t xml:space="preserve"> Chief</w:t>
      </w:r>
    </w:p>
    <w:p w:rsidR="00EB51C6" w:rsidRPr="00CC6CE9" w:rsidRDefault="00D62E39" w:rsidP="00D62E39">
      <w:pPr>
        <w:pStyle w:val="WPTitle"/>
        <w:widowControl/>
        <w:ind w:left="4320"/>
        <w:jc w:val="left"/>
        <w:rPr>
          <w:b w:val="0"/>
          <w:sz w:val="24"/>
          <w:szCs w:val="24"/>
        </w:rPr>
      </w:pPr>
      <w:r w:rsidRPr="00CC6CE9">
        <w:rPr>
          <w:b w:val="0"/>
          <w:sz w:val="24"/>
          <w:szCs w:val="24"/>
        </w:rPr>
        <w:t>KATHLEEN WOLFE</w:t>
      </w:r>
      <w:r w:rsidR="00EB51C6" w:rsidRPr="00CC6CE9">
        <w:rPr>
          <w:b w:val="0"/>
          <w:sz w:val="24"/>
          <w:szCs w:val="24"/>
        </w:rPr>
        <w:t>,</w:t>
      </w:r>
      <w:r w:rsidRPr="00CC6CE9">
        <w:rPr>
          <w:b w:val="0"/>
          <w:sz w:val="24"/>
          <w:szCs w:val="24"/>
        </w:rPr>
        <w:t xml:space="preserve"> Acting</w:t>
      </w:r>
      <w:r w:rsidR="00EB51C6" w:rsidRPr="00CC6CE9">
        <w:rPr>
          <w:b w:val="0"/>
          <w:sz w:val="24"/>
          <w:szCs w:val="24"/>
        </w:rPr>
        <w:t xml:space="preserve"> Special Legal Counsel</w:t>
      </w:r>
    </w:p>
    <w:p w:rsidR="00EB51C6" w:rsidRPr="00CC6CE9" w:rsidRDefault="00EB51C6" w:rsidP="00EB51C6">
      <w:pPr>
        <w:pStyle w:val="WPTitle"/>
        <w:widowControl/>
        <w:ind w:left="3600" w:firstLine="720"/>
        <w:jc w:val="left"/>
        <w:rPr>
          <w:b w:val="0"/>
          <w:sz w:val="24"/>
          <w:szCs w:val="24"/>
        </w:rPr>
      </w:pPr>
      <w:r w:rsidRPr="00CC6CE9">
        <w:rPr>
          <w:b w:val="0"/>
          <w:sz w:val="24"/>
          <w:szCs w:val="24"/>
        </w:rPr>
        <w:t>RENEE M. WOHLENHAUS, Deputy Chief</w:t>
      </w:r>
    </w:p>
    <w:p w:rsidR="00EB51C6" w:rsidRPr="00CC6CE9" w:rsidRDefault="00EB51C6" w:rsidP="00EB51C6">
      <w:pPr>
        <w:pStyle w:val="WPTitle"/>
        <w:widowControl/>
        <w:ind w:left="3600" w:firstLine="720"/>
        <w:jc w:val="left"/>
        <w:rPr>
          <w:b w:val="0"/>
          <w:sz w:val="24"/>
          <w:szCs w:val="24"/>
        </w:rPr>
      </w:pPr>
      <w:r w:rsidRPr="00CC6CE9">
        <w:rPr>
          <w:b w:val="0"/>
          <w:sz w:val="24"/>
          <w:szCs w:val="24"/>
        </w:rPr>
        <w:t>REGAN RUSH, Trial Attorney</w:t>
      </w:r>
    </w:p>
    <w:p w:rsidR="004162D3" w:rsidRPr="00CC6CE9" w:rsidRDefault="004162D3" w:rsidP="00EB51C6">
      <w:pPr>
        <w:pStyle w:val="WPTitle"/>
        <w:widowControl/>
        <w:ind w:left="3600" w:firstLine="720"/>
        <w:jc w:val="left"/>
        <w:rPr>
          <w:b w:val="0"/>
          <w:sz w:val="24"/>
          <w:szCs w:val="24"/>
        </w:rPr>
      </w:pPr>
      <w:r w:rsidRPr="00CC6CE9">
        <w:rPr>
          <w:b w:val="0"/>
          <w:sz w:val="24"/>
          <w:szCs w:val="24"/>
        </w:rPr>
        <w:t>D.C. Bar No. 980252*</w:t>
      </w:r>
    </w:p>
    <w:p w:rsidR="00EB51C6" w:rsidRPr="00CC6CE9" w:rsidRDefault="00EB51C6" w:rsidP="00EB51C6">
      <w:pPr>
        <w:pStyle w:val="WPTitle"/>
        <w:widowControl/>
        <w:ind w:left="3600" w:firstLine="720"/>
        <w:jc w:val="left"/>
        <w:rPr>
          <w:b w:val="0"/>
          <w:sz w:val="24"/>
          <w:szCs w:val="24"/>
        </w:rPr>
      </w:pPr>
      <w:r w:rsidRPr="00CC6CE9">
        <w:rPr>
          <w:b w:val="0"/>
          <w:sz w:val="24"/>
          <w:szCs w:val="24"/>
        </w:rPr>
        <w:t>Disability Rights Section</w:t>
      </w:r>
    </w:p>
    <w:p w:rsidR="00EB51C6" w:rsidRPr="00CC6CE9" w:rsidRDefault="00EB51C6" w:rsidP="00EB51C6">
      <w:pPr>
        <w:pStyle w:val="WPTitle"/>
        <w:widowControl/>
        <w:ind w:left="3600" w:firstLine="720"/>
        <w:jc w:val="left"/>
        <w:rPr>
          <w:b w:val="0"/>
          <w:sz w:val="24"/>
          <w:szCs w:val="24"/>
        </w:rPr>
      </w:pPr>
      <w:r w:rsidRPr="00CC6CE9">
        <w:rPr>
          <w:b w:val="0"/>
          <w:sz w:val="24"/>
          <w:szCs w:val="24"/>
        </w:rPr>
        <w:t>Civil Rights Division</w:t>
      </w:r>
    </w:p>
    <w:p w:rsidR="00EB51C6" w:rsidRPr="00CC6CE9" w:rsidRDefault="00EB51C6" w:rsidP="00EB51C6">
      <w:pPr>
        <w:pStyle w:val="WPTitle"/>
        <w:widowControl/>
        <w:ind w:left="3600" w:firstLine="720"/>
        <w:jc w:val="left"/>
        <w:rPr>
          <w:b w:val="0"/>
          <w:sz w:val="24"/>
          <w:szCs w:val="24"/>
        </w:rPr>
      </w:pPr>
      <w:r w:rsidRPr="00CC6CE9">
        <w:rPr>
          <w:b w:val="0"/>
          <w:sz w:val="24"/>
          <w:szCs w:val="24"/>
        </w:rPr>
        <w:t>U.S. Department of Justice</w:t>
      </w:r>
    </w:p>
    <w:p w:rsidR="00EB51C6" w:rsidRPr="00CC6CE9" w:rsidRDefault="00EB51C6" w:rsidP="00EB51C6">
      <w:pPr>
        <w:pStyle w:val="WPTitle"/>
        <w:widowControl/>
        <w:ind w:left="3600" w:firstLine="720"/>
        <w:jc w:val="left"/>
        <w:rPr>
          <w:b w:val="0"/>
          <w:sz w:val="24"/>
          <w:szCs w:val="24"/>
        </w:rPr>
      </w:pPr>
      <w:r w:rsidRPr="00CC6CE9">
        <w:rPr>
          <w:b w:val="0"/>
          <w:sz w:val="24"/>
          <w:szCs w:val="24"/>
        </w:rPr>
        <w:t>950 Pennsylvania Avenue, N.W. – NYA</w:t>
      </w:r>
    </w:p>
    <w:p w:rsidR="00EB51C6" w:rsidRPr="00CC6CE9" w:rsidRDefault="00EB51C6" w:rsidP="00EB51C6">
      <w:pPr>
        <w:pStyle w:val="WPTitle"/>
        <w:widowControl/>
        <w:ind w:left="3600" w:firstLine="720"/>
        <w:jc w:val="left"/>
        <w:rPr>
          <w:b w:val="0"/>
          <w:sz w:val="24"/>
          <w:szCs w:val="24"/>
        </w:rPr>
      </w:pPr>
      <w:r w:rsidRPr="00CC6CE9">
        <w:rPr>
          <w:b w:val="0"/>
          <w:sz w:val="24"/>
          <w:szCs w:val="24"/>
        </w:rPr>
        <w:t>Washington, D.C. 20530</w:t>
      </w:r>
    </w:p>
    <w:p w:rsidR="00EB51C6" w:rsidRPr="00CC6CE9" w:rsidRDefault="00EB51C6" w:rsidP="00EB51C6">
      <w:pPr>
        <w:pStyle w:val="WPTitle"/>
        <w:widowControl/>
        <w:ind w:left="3600" w:firstLine="720"/>
        <w:jc w:val="left"/>
        <w:rPr>
          <w:b w:val="0"/>
          <w:sz w:val="24"/>
          <w:szCs w:val="24"/>
        </w:rPr>
      </w:pPr>
      <w:r w:rsidRPr="00CC6CE9">
        <w:rPr>
          <w:b w:val="0"/>
          <w:sz w:val="24"/>
          <w:szCs w:val="24"/>
        </w:rPr>
        <w:t>Telephone: (202) 305-1321</w:t>
      </w:r>
    </w:p>
    <w:p w:rsidR="00EB51C6" w:rsidRPr="00CC6CE9" w:rsidRDefault="00EB51C6" w:rsidP="00EB51C6">
      <w:pPr>
        <w:pStyle w:val="WPTitle"/>
        <w:widowControl/>
        <w:ind w:left="3600" w:firstLine="720"/>
        <w:jc w:val="left"/>
        <w:rPr>
          <w:b w:val="0"/>
          <w:sz w:val="24"/>
          <w:szCs w:val="24"/>
        </w:rPr>
      </w:pPr>
      <w:r w:rsidRPr="00CC6CE9">
        <w:rPr>
          <w:b w:val="0"/>
          <w:sz w:val="24"/>
          <w:szCs w:val="24"/>
        </w:rPr>
        <w:t>Facsimile: (202) 307-1197</w:t>
      </w:r>
    </w:p>
    <w:p w:rsidR="00EB51C6" w:rsidRPr="00CC6CE9" w:rsidRDefault="009E0699" w:rsidP="00EB51C6">
      <w:pPr>
        <w:pStyle w:val="WPTitle"/>
        <w:widowControl/>
        <w:ind w:left="3600" w:firstLine="720"/>
        <w:jc w:val="left"/>
        <w:rPr>
          <w:b w:val="0"/>
          <w:sz w:val="24"/>
          <w:szCs w:val="24"/>
        </w:rPr>
      </w:pPr>
      <w:hyperlink r:id="rId7" w:history="1">
        <w:r w:rsidR="00EB51C6" w:rsidRPr="00CC6CE9">
          <w:rPr>
            <w:rStyle w:val="Hyperlink"/>
            <w:b w:val="0"/>
            <w:sz w:val="24"/>
            <w:szCs w:val="24"/>
          </w:rPr>
          <w:t>Regan.Rush@usdoj.gov</w:t>
        </w:r>
      </w:hyperlink>
    </w:p>
    <w:p w:rsidR="00EB51C6" w:rsidRPr="00CC6CE9" w:rsidRDefault="00EB51C6" w:rsidP="00EB51C6">
      <w:pPr>
        <w:pStyle w:val="WPTitle"/>
        <w:widowControl/>
        <w:ind w:left="3600" w:firstLine="720"/>
        <w:jc w:val="left"/>
        <w:rPr>
          <w:b w:val="0"/>
          <w:sz w:val="24"/>
          <w:szCs w:val="24"/>
        </w:rPr>
      </w:pPr>
    </w:p>
    <w:p w:rsidR="00EB51C6" w:rsidRPr="00CC6CE9" w:rsidRDefault="00EB51C6" w:rsidP="00EB51C6">
      <w:pPr>
        <w:pStyle w:val="WPTitle"/>
        <w:widowControl/>
        <w:ind w:left="3600" w:firstLine="720"/>
        <w:jc w:val="left"/>
        <w:rPr>
          <w:b w:val="0"/>
          <w:i/>
          <w:sz w:val="24"/>
          <w:szCs w:val="24"/>
        </w:rPr>
      </w:pPr>
      <w:r w:rsidRPr="00CC6CE9">
        <w:rPr>
          <w:b w:val="0"/>
          <w:i/>
          <w:sz w:val="24"/>
          <w:szCs w:val="24"/>
        </w:rPr>
        <w:t>Counsel for Plaintiff</w:t>
      </w:r>
      <w:r w:rsidR="00EE390C" w:rsidRPr="00CC6CE9">
        <w:rPr>
          <w:b w:val="0"/>
          <w:i/>
          <w:sz w:val="24"/>
          <w:szCs w:val="24"/>
        </w:rPr>
        <w:t>s</w:t>
      </w:r>
      <w:r w:rsidR="00757C87" w:rsidRPr="00CC6CE9">
        <w:rPr>
          <w:b w:val="0"/>
          <w:i/>
          <w:sz w:val="24"/>
          <w:szCs w:val="24"/>
        </w:rPr>
        <w:t>-Intervene</w:t>
      </w:r>
      <w:r w:rsidRPr="00CC6CE9">
        <w:rPr>
          <w:b w:val="0"/>
          <w:i/>
          <w:sz w:val="24"/>
          <w:szCs w:val="24"/>
        </w:rPr>
        <w:t>r</w:t>
      </w:r>
    </w:p>
    <w:p w:rsidR="00EB51C6" w:rsidRPr="00CC6CE9" w:rsidRDefault="00EB51C6" w:rsidP="00EB51C6">
      <w:pPr>
        <w:pStyle w:val="WPTitle"/>
        <w:widowControl/>
        <w:ind w:left="3600" w:firstLine="720"/>
        <w:jc w:val="left"/>
        <w:rPr>
          <w:b w:val="0"/>
          <w:i/>
          <w:sz w:val="24"/>
          <w:szCs w:val="24"/>
        </w:rPr>
      </w:pPr>
      <w:r w:rsidRPr="00CC6CE9">
        <w:rPr>
          <w:b w:val="0"/>
          <w:i/>
          <w:sz w:val="24"/>
          <w:szCs w:val="24"/>
        </w:rPr>
        <w:t>United States of America</w:t>
      </w:r>
    </w:p>
    <w:p w:rsidR="004162D3" w:rsidRPr="00CC6CE9" w:rsidRDefault="004162D3" w:rsidP="00EB51C6">
      <w:pPr>
        <w:pStyle w:val="WPTitle"/>
        <w:widowControl/>
        <w:ind w:left="3600" w:firstLine="720"/>
        <w:jc w:val="left"/>
        <w:rPr>
          <w:b w:val="0"/>
          <w:i/>
          <w:sz w:val="24"/>
          <w:szCs w:val="24"/>
        </w:rPr>
      </w:pPr>
    </w:p>
    <w:p w:rsidR="004162D3" w:rsidRPr="00CC6CE9" w:rsidRDefault="004162D3" w:rsidP="004162D3">
      <w:pPr>
        <w:pStyle w:val="WPTitle"/>
        <w:widowControl/>
        <w:ind w:left="3600" w:firstLine="720"/>
        <w:jc w:val="left"/>
        <w:rPr>
          <w:b w:val="0"/>
          <w:i/>
          <w:sz w:val="24"/>
          <w:szCs w:val="24"/>
        </w:rPr>
      </w:pPr>
      <w:r w:rsidRPr="00CC6CE9">
        <w:rPr>
          <w:b w:val="0"/>
          <w:i/>
          <w:sz w:val="24"/>
          <w:szCs w:val="24"/>
        </w:rPr>
        <w:t>*</w:t>
      </w:r>
      <w:r w:rsidRPr="00CC6CE9">
        <w:rPr>
          <w:b w:val="0"/>
          <w:sz w:val="24"/>
          <w:szCs w:val="24"/>
        </w:rPr>
        <w:t xml:space="preserve">Admitted </w:t>
      </w:r>
      <w:r w:rsidRPr="00CC6CE9">
        <w:rPr>
          <w:b w:val="0"/>
          <w:i/>
          <w:sz w:val="24"/>
          <w:szCs w:val="24"/>
        </w:rPr>
        <w:t>pro hac vice</w:t>
      </w:r>
    </w:p>
    <w:p w:rsidR="00A83B32" w:rsidRPr="00CC6CE9" w:rsidRDefault="00A83B32">
      <w:pPr>
        <w:rPr>
          <w:rFonts w:eastAsia="Calibri"/>
          <w:b/>
          <w:color w:val="000000"/>
          <w:szCs w:val="24"/>
          <w:u w:val="single"/>
        </w:rPr>
      </w:pPr>
      <w:r w:rsidRPr="00CC6CE9">
        <w:rPr>
          <w:b/>
          <w:u w:val="single"/>
        </w:rPr>
        <w:br w:type="page"/>
      </w:r>
    </w:p>
    <w:p w:rsidR="004162D3" w:rsidRPr="00CC6CE9" w:rsidRDefault="004162D3" w:rsidP="004162D3">
      <w:pPr>
        <w:pStyle w:val="Default"/>
        <w:jc w:val="center"/>
        <w:rPr>
          <w:b/>
          <w:u w:val="single"/>
        </w:rPr>
      </w:pPr>
      <w:r w:rsidRPr="00CC6CE9">
        <w:rPr>
          <w:b/>
          <w:u w:val="single"/>
        </w:rPr>
        <w:t>CERTIFICATE OF SERVICE</w:t>
      </w:r>
    </w:p>
    <w:p w:rsidR="004162D3" w:rsidRPr="00CC6CE9" w:rsidRDefault="004162D3" w:rsidP="004162D3">
      <w:pPr>
        <w:pStyle w:val="Default"/>
        <w:jc w:val="center"/>
        <w:rPr>
          <w:b/>
        </w:rPr>
      </w:pPr>
    </w:p>
    <w:p w:rsidR="003C6A1F" w:rsidRPr="00CC6CE9" w:rsidRDefault="004162D3" w:rsidP="004162D3">
      <w:pPr>
        <w:pStyle w:val="Default"/>
      </w:pPr>
      <w:r w:rsidRPr="00CC6CE9">
        <w:t xml:space="preserve">I hereby certify that on </w:t>
      </w:r>
      <w:r w:rsidR="00860C35" w:rsidRPr="00CC6CE9">
        <w:t xml:space="preserve">August </w:t>
      </w:r>
      <w:r w:rsidR="00EC1066" w:rsidRPr="00CC6CE9">
        <w:t>4</w:t>
      </w:r>
      <w:r w:rsidRPr="00CC6CE9">
        <w:t xml:space="preserve">, 2011, a copy of the foregoing was </w:t>
      </w:r>
      <w:r w:rsidR="003C6A1F" w:rsidRPr="00CC6CE9">
        <w:t xml:space="preserve">sent via </w:t>
      </w:r>
      <w:r w:rsidR="00D76135">
        <w:t>the Court’s Electronic Filing System</w:t>
      </w:r>
      <w:r w:rsidR="003C6A1F" w:rsidRPr="00CC6CE9">
        <w:t xml:space="preserve"> to the following: </w:t>
      </w:r>
    </w:p>
    <w:p w:rsidR="003C6A1F" w:rsidRPr="00CC6CE9" w:rsidRDefault="003C6A1F" w:rsidP="004162D3">
      <w:pPr>
        <w:pStyle w:val="Default"/>
      </w:pPr>
    </w:p>
    <w:p w:rsidR="003C6A1F" w:rsidRPr="00CC6CE9" w:rsidRDefault="003C6A1F" w:rsidP="003C6A1F">
      <w:pPr>
        <w:autoSpaceDE w:val="0"/>
        <w:autoSpaceDN w:val="0"/>
        <w:adjustRightInd w:val="0"/>
        <w:rPr>
          <w:rFonts w:eastAsia="Calibri"/>
          <w:szCs w:val="24"/>
        </w:rPr>
      </w:pPr>
      <w:r w:rsidRPr="00CC6CE9">
        <w:rPr>
          <w:rFonts w:eastAsia="Calibri"/>
          <w:szCs w:val="24"/>
        </w:rPr>
        <w:t>Garth A. Corbett</w:t>
      </w:r>
    </w:p>
    <w:p w:rsidR="003C6A1F" w:rsidRPr="00CC6CE9" w:rsidRDefault="003C6A1F" w:rsidP="003C6A1F">
      <w:pPr>
        <w:autoSpaceDE w:val="0"/>
        <w:autoSpaceDN w:val="0"/>
        <w:adjustRightInd w:val="0"/>
        <w:rPr>
          <w:rFonts w:eastAsia="Calibri"/>
          <w:szCs w:val="24"/>
        </w:rPr>
      </w:pPr>
      <w:r w:rsidRPr="00CC6CE9">
        <w:rPr>
          <w:rFonts w:eastAsia="Calibri"/>
          <w:szCs w:val="24"/>
        </w:rPr>
        <w:t>Sean A. Jackson</w:t>
      </w:r>
    </w:p>
    <w:p w:rsidR="003C6A1F" w:rsidRPr="00CC6CE9" w:rsidRDefault="003C6A1F" w:rsidP="003C6A1F">
      <w:pPr>
        <w:autoSpaceDE w:val="0"/>
        <w:autoSpaceDN w:val="0"/>
        <w:adjustRightInd w:val="0"/>
        <w:rPr>
          <w:rFonts w:eastAsia="Calibri"/>
          <w:szCs w:val="24"/>
        </w:rPr>
      </w:pPr>
      <w:r w:rsidRPr="00CC6CE9">
        <w:rPr>
          <w:rFonts w:eastAsia="Calibri"/>
          <w:szCs w:val="24"/>
        </w:rPr>
        <w:t>Advocacy Inc.</w:t>
      </w:r>
    </w:p>
    <w:p w:rsidR="003C6A1F" w:rsidRPr="00CC6CE9" w:rsidRDefault="003C6A1F" w:rsidP="003C6A1F">
      <w:pPr>
        <w:autoSpaceDE w:val="0"/>
        <w:autoSpaceDN w:val="0"/>
        <w:adjustRightInd w:val="0"/>
        <w:rPr>
          <w:rFonts w:eastAsia="Calibri"/>
          <w:szCs w:val="24"/>
        </w:rPr>
      </w:pPr>
      <w:r w:rsidRPr="00CC6CE9">
        <w:rPr>
          <w:rFonts w:eastAsia="Calibri"/>
          <w:szCs w:val="24"/>
        </w:rPr>
        <w:t>7800 Shoal Creek Blvd., #171-E</w:t>
      </w:r>
    </w:p>
    <w:p w:rsidR="003C6A1F" w:rsidRPr="00CC6CE9" w:rsidRDefault="003C6A1F" w:rsidP="003C6A1F">
      <w:pPr>
        <w:autoSpaceDE w:val="0"/>
        <w:autoSpaceDN w:val="0"/>
        <w:adjustRightInd w:val="0"/>
        <w:rPr>
          <w:rFonts w:eastAsia="Calibri"/>
          <w:szCs w:val="24"/>
        </w:rPr>
      </w:pPr>
      <w:r w:rsidRPr="00CC6CE9">
        <w:rPr>
          <w:rFonts w:eastAsia="Calibri"/>
          <w:szCs w:val="24"/>
        </w:rPr>
        <w:t>Austin, Texas 78757</w:t>
      </w:r>
    </w:p>
    <w:p w:rsidR="003C6A1F" w:rsidRPr="00CC6CE9" w:rsidRDefault="003C6A1F" w:rsidP="003C6A1F">
      <w:pPr>
        <w:autoSpaceDE w:val="0"/>
        <w:autoSpaceDN w:val="0"/>
        <w:adjustRightInd w:val="0"/>
        <w:rPr>
          <w:rFonts w:eastAsia="Calibri"/>
          <w:szCs w:val="24"/>
        </w:rPr>
      </w:pPr>
    </w:p>
    <w:p w:rsidR="003C6A1F" w:rsidRPr="00CC6CE9" w:rsidRDefault="003C6A1F" w:rsidP="003C6A1F">
      <w:pPr>
        <w:autoSpaceDE w:val="0"/>
        <w:autoSpaceDN w:val="0"/>
        <w:adjustRightInd w:val="0"/>
        <w:rPr>
          <w:rFonts w:eastAsia="Calibri"/>
          <w:szCs w:val="24"/>
        </w:rPr>
      </w:pPr>
      <w:r w:rsidRPr="00CC6CE9">
        <w:rPr>
          <w:rFonts w:eastAsia="Calibri"/>
          <w:szCs w:val="24"/>
        </w:rPr>
        <w:t>Yvette Ostolaza</w:t>
      </w:r>
    </w:p>
    <w:p w:rsidR="003C6A1F" w:rsidRPr="00CC6CE9" w:rsidRDefault="003C6A1F" w:rsidP="003C6A1F">
      <w:pPr>
        <w:autoSpaceDE w:val="0"/>
        <w:autoSpaceDN w:val="0"/>
        <w:adjustRightInd w:val="0"/>
        <w:rPr>
          <w:rFonts w:eastAsia="Calibri"/>
          <w:szCs w:val="24"/>
        </w:rPr>
      </w:pPr>
      <w:r w:rsidRPr="00CC6CE9">
        <w:rPr>
          <w:rFonts w:eastAsia="Calibri"/>
          <w:szCs w:val="24"/>
        </w:rPr>
        <w:t>Robert Velevis</w:t>
      </w:r>
    </w:p>
    <w:p w:rsidR="003C6A1F" w:rsidRPr="00CC6CE9" w:rsidRDefault="003C6A1F" w:rsidP="003C6A1F">
      <w:pPr>
        <w:autoSpaceDE w:val="0"/>
        <w:autoSpaceDN w:val="0"/>
        <w:adjustRightInd w:val="0"/>
        <w:rPr>
          <w:rFonts w:eastAsia="Calibri"/>
          <w:szCs w:val="24"/>
        </w:rPr>
      </w:pPr>
      <w:r w:rsidRPr="00CC6CE9">
        <w:rPr>
          <w:rFonts w:eastAsia="Calibri"/>
          <w:szCs w:val="24"/>
        </w:rPr>
        <w:t>Casey A. Burton</w:t>
      </w:r>
    </w:p>
    <w:p w:rsidR="003C6A1F" w:rsidRPr="00CC6CE9" w:rsidRDefault="003C6A1F" w:rsidP="003C6A1F">
      <w:pPr>
        <w:autoSpaceDE w:val="0"/>
        <w:autoSpaceDN w:val="0"/>
        <w:adjustRightInd w:val="0"/>
        <w:rPr>
          <w:rFonts w:eastAsia="Calibri"/>
          <w:szCs w:val="24"/>
        </w:rPr>
      </w:pPr>
      <w:r w:rsidRPr="00CC6CE9">
        <w:rPr>
          <w:rFonts w:eastAsia="Calibri"/>
          <w:szCs w:val="24"/>
        </w:rPr>
        <w:t>Weil, Gotshal &amp; Manges</w:t>
      </w:r>
    </w:p>
    <w:p w:rsidR="003C6A1F" w:rsidRPr="00CC6CE9" w:rsidRDefault="003C6A1F" w:rsidP="003C6A1F">
      <w:pPr>
        <w:autoSpaceDE w:val="0"/>
        <w:autoSpaceDN w:val="0"/>
        <w:adjustRightInd w:val="0"/>
        <w:rPr>
          <w:rFonts w:eastAsia="Calibri"/>
          <w:szCs w:val="24"/>
        </w:rPr>
      </w:pPr>
      <w:r w:rsidRPr="00CC6CE9">
        <w:rPr>
          <w:rFonts w:eastAsia="Calibri"/>
          <w:szCs w:val="24"/>
        </w:rPr>
        <w:t>200 Crescent Court- Suite 300</w:t>
      </w:r>
    </w:p>
    <w:p w:rsidR="003C6A1F" w:rsidRPr="00CC6CE9" w:rsidRDefault="003C6A1F" w:rsidP="003C6A1F">
      <w:pPr>
        <w:autoSpaceDE w:val="0"/>
        <w:autoSpaceDN w:val="0"/>
        <w:adjustRightInd w:val="0"/>
        <w:rPr>
          <w:rFonts w:eastAsia="Calibri"/>
          <w:szCs w:val="24"/>
        </w:rPr>
      </w:pPr>
      <w:r w:rsidRPr="00CC6CE9">
        <w:rPr>
          <w:rFonts w:eastAsia="Calibri"/>
          <w:szCs w:val="24"/>
        </w:rPr>
        <w:t>Dallas, Texas 75201</w:t>
      </w:r>
    </w:p>
    <w:p w:rsidR="003C6A1F" w:rsidRPr="00CC6CE9" w:rsidRDefault="003C6A1F" w:rsidP="003C6A1F">
      <w:pPr>
        <w:autoSpaceDE w:val="0"/>
        <w:autoSpaceDN w:val="0"/>
        <w:adjustRightInd w:val="0"/>
        <w:rPr>
          <w:rFonts w:eastAsia="Calibri"/>
          <w:szCs w:val="24"/>
        </w:rPr>
      </w:pPr>
    </w:p>
    <w:p w:rsidR="003C6A1F" w:rsidRPr="00CC6CE9" w:rsidRDefault="003C6A1F" w:rsidP="003C6A1F">
      <w:pPr>
        <w:autoSpaceDE w:val="0"/>
        <w:autoSpaceDN w:val="0"/>
        <w:adjustRightInd w:val="0"/>
        <w:rPr>
          <w:rFonts w:eastAsia="Calibri"/>
          <w:szCs w:val="24"/>
        </w:rPr>
      </w:pPr>
      <w:r w:rsidRPr="00CC6CE9">
        <w:rPr>
          <w:rFonts w:eastAsia="Calibri"/>
          <w:szCs w:val="24"/>
        </w:rPr>
        <w:t>Steven J. Schwartz</w:t>
      </w:r>
    </w:p>
    <w:p w:rsidR="003C6A1F" w:rsidRPr="00CC6CE9" w:rsidRDefault="003C6A1F" w:rsidP="003C6A1F">
      <w:pPr>
        <w:autoSpaceDE w:val="0"/>
        <w:autoSpaceDN w:val="0"/>
        <w:adjustRightInd w:val="0"/>
        <w:rPr>
          <w:rFonts w:eastAsia="Calibri"/>
          <w:szCs w:val="24"/>
        </w:rPr>
      </w:pPr>
      <w:r w:rsidRPr="00CC6CE9">
        <w:rPr>
          <w:rFonts w:eastAsia="Calibri"/>
          <w:szCs w:val="24"/>
        </w:rPr>
        <w:t>J. Paterson Rae</w:t>
      </w:r>
    </w:p>
    <w:p w:rsidR="003C6A1F" w:rsidRPr="00CC6CE9" w:rsidRDefault="003C6A1F" w:rsidP="003C6A1F">
      <w:pPr>
        <w:autoSpaceDE w:val="0"/>
        <w:autoSpaceDN w:val="0"/>
        <w:adjustRightInd w:val="0"/>
        <w:rPr>
          <w:rFonts w:eastAsia="Calibri"/>
          <w:szCs w:val="24"/>
        </w:rPr>
      </w:pPr>
      <w:r w:rsidRPr="00CC6CE9">
        <w:rPr>
          <w:rFonts w:eastAsia="Calibri"/>
          <w:szCs w:val="24"/>
        </w:rPr>
        <w:t>Center for Public Representation</w:t>
      </w:r>
    </w:p>
    <w:p w:rsidR="003C6A1F" w:rsidRPr="00CC6CE9" w:rsidRDefault="003C6A1F" w:rsidP="003C6A1F">
      <w:pPr>
        <w:autoSpaceDE w:val="0"/>
        <w:autoSpaceDN w:val="0"/>
        <w:adjustRightInd w:val="0"/>
        <w:rPr>
          <w:rFonts w:eastAsia="Calibri"/>
          <w:szCs w:val="24"/>
        </w:rPr>
      </w:pPr>
      <w:r w:rsidRPr="00CC6CE9">
        <w:rPr>
          <w:rFonts w:eastAsia="Calibri"/>
          <w:szCs w:val="24"/>
        </w:rPr>
        <w:t>22 Green Street</w:t>
      </w:r>
    </w:p>
    <w:p w:rsidR="003C6A1F" w:rsidRPr="00CC6CE9" w:rsidRDefault="003C6A1F" w:rsidP="003C6A1F">
      <w:pPr>
        <w:autoSpaceDE w:val="0"/>
        <w:autoSpaceDN w:val="0"/>
        <w:adjustRightInd w:val="0"/>
        <w:rPr>
          <w:rFonts w:eastAsia="Calibri"/>
          <w:szCs w:val="24"/>
        </w:rPr>
      </w:pPr>
      <w:r w:rsidRPr="00CC6CE9">
        <w:rPr>
          <w:rFonts w:eastAsia="Calibri"/>
          <w:szCs w:val="24"/>
        </w:rPr>
        <w:t>Northampton, Massachusetts 01060</w:t>
      </w:r>
    </w:p>
    <w:p w:rsidR="003C6A1F" w:rsidRPr="00CC6CE9" w:rsidRDefault="003C6A1F" w:rsidP="003C6A1F">
      <w:pPr>
        <w:autoSpaceDE w:val="0"/>
        <w:autoSpaceDN w:val="0"/>
        <w:adjustRightInd w:val="0"/>
        <w:rPr>
          <w:rFonts w:eastAsia="Calibri"/>
          <w:szCs w:val="24"/>
        </w:rPr>
      </w:pPr>
    </w:p>
    <w:p w:rsidR="003C6A1F" w:rsidRPr="00CC6CE9" w:rsidRDefault="003C6A1F" w:rsidP="003C6A1F">
      <w:pPr>
        <w:autoSpaceDE w:val="0"/>
        <w:autoSpaceDN w:val="0"/>
        <w:adjustRightInd w:val="0"/>
        <w:rPr>
          <w:rFonts w:eastAsia="Calibri"/>
          <w:szCs w:val="24"/>
        </w:rPr>
      </w:pPr>
      <w:r w:rsidRPr="00CC6CE9">
        <w:rPr>
          <w:rFonts w:eastAsia="Calibri"/>
          <w:szCs w:val="24"/>
        </w:rPr>
        <w:t>Nancy Juren</w:t>
      </w:r>
    </w:p>
    <w:p w:rsidR="003C6A1F" w:rsidRPr="00CC6CE9" w:rsidRDefault="003C6A1F" w:rsidP="003C6A1F">
      <w:pPr>
        <w:autoSpaceDE w:val="0"/>
        <w:autoSpaceDN w:val="0"/>
        <w:adjustRightInd w:val="0"/>
        <w:rPr>
          <w:rFonts w:eastAsia="Calibri"/>
          <w:szCs w:val="24"/>
        </w:rPr>
      </w:pPr>
      <w:r w:rsidRPr="00CC6CE9">
        <w:rPr>
          <w:rFonts w:eastAsia="Calibri"/>
          <w:szCs w:val="24"/>
        </w:rPr>
        <w:t>Assistant Attorneys General</w:t>
      </w:r>
      <w:r w:rsidRPr="00CC6CE9">
        <w:rPr>
          <w:rFonts w:eastAsia="Calibri"/>
          <w:szCs w:val="24"/>
        </w:rPr>
        <w:br/>
        <w:t>General Litigation Division</w:t>
      </w:r>
    </w:p>
    <w:p w:rsidR="003C6A1F" w:rsidRPr="00CC6CE9" w:rsidRDefault="003C6A1F" w:rsidP="003C6A1F">
      <w:pPr>
        <w:autoSpaceDE w:val="0"/>
        <w:autoSpaceDN w:val="0"/>
        <w:adjustRightInd w:val="0"/>
        <w:rPr>
          <w:rFonts w:eastAsia="Calibri"/>
          <w:szCs w:val="24"/>
        </w:rPr>
      </w:pPr>
      <w:r w:rsidRPr="00CC6CE9">
        <w:rPr>
          <w:rFonts w:eastAsia="Calibri"/>
          <w:szCs w:val="24"/>
        </w:rPr>
        <w:t>P.O. Box</w:t>
      </w:r>
    </w:p>
    <w:p w:rsidR="003C6A1F" w:rsidRPr="00CC6CE9" w:rsidRDefault="003C6A1F" w:rsidP="003C6A1F">
      <w:pPr>
        <w:autoSpaceDE w:val="0"/>
        <w:autoSpaceDN w:val="0"/>
        <w:adjustRightInd w:val="0"/>
        <w:rPr>
          <w:rFonts w:eastAsia="Calibri"/>
          <w:szCs w:val="24"/>
        </w:rPr>
      </w:pPr>
      <w:r w:rsidRPr="00CC6CE9">
        <w:rPr>
          <w:rFonts w:eastAsia="Calibri"/>
          <w:szCs w:val="24"/>
        </w:rPr>
        <w:t>12548, Capitol Station</w:t>
      </w:r>
    </w:p>
    <w:p w:rsidR="003C6A1F" w:rsidRPr="00CC6CE9" w:rsidRDefault="003C6A1F" w:rsidP="003C6A1F">
      <w:pPr>
        <w:autoSpaceDE w:val="0"/>
        <w:autoSpaceDN w:val="0"/>
        <w:adjustRightInd w:val="0"/>
        <w:rPr>
          <w:rFonts w:eastAsia="Calibri"/>
          <w:szCs w:val="24"/>
        </w:rPr>
      </w:pPr>
      <w:r w:rsidRPr="00CC6CE9">
        <w:rPr>
          <w:rFonts w:eastAsia="Calibri"/>
          <w:szCs w:val="24"/>
        </w:rPr>
        <w:t>Austin, Texas 78711-2548.</w:t>
      </w:r>
    </w:p>
    <w:p w:rsidR="004162D3" w:rsidRPr="00CC6CE9" w:rsidRDefault="004162D3" w:rsidP="004162D3">
      <w:pPr>
        <w:pStyle w:val="Default"/>
      </w:pPr>
    </w:p>
    <w:p w:rsidR="00B75CBF" w:rsidRPr="00B75CBF" w:rsidRDefault="009E0699" w:rsidP="00B75CBF">
      <w:pPr>
        <w:pStyle w:val="WPTitle"/>
        <w:widowControl/>
        <w:ind w:left="4320" w:firstLine="720"/>
        <w:jc w:val="left"/>
        <w:rPr>
          <w:b w:val="0"/>
          <w:sz w:val="24"/>
          <w:szCs w:val="24"/>
        </w:rPr>
      </w:pPr>
      <w:r>
        <w:rPr>
          <w:b w:val="0"/>
          <w:noProof/>
          <w:sz w:val="24"/>
          <w:szCs w:val="24"/>
        </w:rPr>
        <w:pict>
          <v:shape id="_x0000_s1027" type="#_x0000_t32" style="position:absolute;left:0;text-align:left;margin-left:252.35pt;margin-top:12.25pt;width:205.35pt;height:0;z-index:251660288" o:connectortype="straight"/>
        </w:pict>
      </w:r>
      <w:r w:rsidR="00B75CBF" w:rsidRPr="00B75CBF">
        <w:rPr>
          <w:b w:val="0"/>
          <w:sz w:val="24"/>
          <w:szCs w:val="24"/>
        </w:rPr>
        <w:t xml:space="preserve">/s/  </w:t>
      </w:r>
      <w:r w:rsidR="00B75CBF" w:rsidRPr="00B75CBF">
        <w:rPr>
          <w:b w:val="0"/>
          <w:i/>
          <w:sz w:val="24"/>
          <w:szCs w:val="24"/>
        </w:rPr>
        <w:t>Regan Rush</w:t>
      </w:r>
      <w:r w:rsidR="00B75CBF" w:rsidRPr="00B75CBF">
        <w:rPr>
          <w:b w:val="0"/>
          <w:sz w:val="24"/>
          <w:szCs w:val="24"/>
        </w:rPr>
        <w:t xml:space="preserve">                     </w:t>
      </w:r>
      <w:r w:rsidR="00B75CBF">
        <w:rPr>
          <w:szCs w:val="24"/>
        </w:rPr>
        <w:tab/>
      </w:r>
      <w:r w:rsidR="00B75CBF">
        <w:rPr>
          <w:szCs w:val="24"/>
        </w:rPr>
        <w:tab/>
      </w:r>
      <w:r w:rsidR="00EB51C6" w:rsidRPr="00CC6CE9">
        <w:rPr>
          <w:szCs w:val="24"/>
        </w:rPr>
        <w:tab/>
      </w:r>
      <w:r w:rsidR="00B75CBF" w:rsidRPr="00B75CBF">
        <w:rPr>
          <w:b w:val="0"/>
          <w:sz w:val="24"/>
          <w:szCs w:val="24"/>
        </w:rPr>
        <w:t xml:space="preserve"> </w:t>
      </w:r>
    </w:p>
    <w:p w:rsidR="00EB51C6" w:rsidRPr="00CC6CE9" w:rsidRDefault="00B75CBF" w:rsidP="00EB51C6">
      <w:pPr>
        <w:pStyle w:val="WPTitle"/>
        <w:widowControl/>
        <w:ind w:left="5040"/>
        <w:jc w:val="left"/>
        <w:rPr>
          <w:b w:val="0"/>
          <w:sz w:val="24"/>
          <w:szCs w:val="24"/>
        </w:rPr>
      </w:pPr>
      <w:r>
        <w:rPr>
          <w:b w:val="0"/>
          <w:sz w:val="24"/>
          <w:szCs w:val="24"/>
        </w:rPr>
        <w:t>R</w:t>
      </w:r>
      <w:r w:rsidR="004162D3" w:rsidRPr="00CC6CE9">
        <w:rPr>
          <w:b w:val="0"/>
          <w:sz w:val="24"/>
          <w:szCs w:val="24"/>
        </w:rPr>
        <w:t>egan Rush</w:t>
      </w:r>
      <w:r w:rsidR="00EB51C6" w:rsidRPr="00CC6CE9">
        <w:rPr>
          <w:b w:val="0"/>
          <w:sz w:val="24"/>
          <w:szCs w:val="24"/>
        </w:rPr>
        <w:t>, Trial Attorney</w:t>
      </w:r>
    </w:p>
    <w:p w:rsidR="00EB51C6" w:rsidRPr="00CC6CE9" w:rsidRDefault="00EB51C6" w:rsidP="00EB51C6">
      <w:pPr>
        <w:pStyle w:val="WPTitle"/>
        <w:widowControl/>
        <w:ind w:left="5040"/>
        <w:jc w:val="left"/>
        <w:rPr>
          <w:b w:val="0"/>
          <w:sz w:val="24"/>
          <w:szCs w:val="24"/>
        </w:rPr>
      </w:pPr>
      <w:r w:rsidRPr="00CC6CE9">
        <w:rPr>
          <w:b w:val="0"/>
          <w:sz w:val="24"/>
          <w:szCs w:val="24"/>
        </w:rPr>
        <w:t>Disability Rights Section</w:t>
      </w:r>
    </w:p>
    <w:p w:rsidR="00EB51C6" w:rsidRPr="00CC6CE9" w:rsidRDefault="00EB51C6" w:rsidP="00EB51C6">
      <w:pPr>
        <w:pStyle w:val="WPTitle"/>
        <w:widowControl/>
        <w:ind w:left="5040"/>
        <w:jc w:val="left"/>
        <w:rPr>
          <w:b w:val="0"/>
          <w:sz w:val="24"/>
          <w:szCs w:val="24"/>
        </w:rPr>
      </w:pPr>
      <w:r w:rsidRPr="00CC6CE9">
        <w:rPr>
          <w:b w:val="0"/>
          <w:sz w:val="24"/>
          <w:szCs w:val="24"/>
        </w:rPr>
        <w:t>Civil Rights Division</w:t>
      </w:r>
    </w:p>
    <w:p w:rsidR="007105F0" w:rsidRPr="00A83B32" w:rsidRDefault="007105F0" w:rsidP="00A83B32">
      <w:pPr>
        <w:pStyle w:val="WPTitle"/>
        <w:widowControl/>
        <w:jc w:val="left"/>
        <w:rPr>
          <w:b w:val="0"/>
          <w:sz w:val="24"/>
          <w:szCs w:val="24"/>
        </w:rPr>
      </w:pPr>
      <w:bookmarkStart w:id="3" w:name="_GoBack"/>
      <w:bookmarkEnd w:id="3"/>
    </w:p>
    <w:sectPr w:rsidR="007105F0" w:rsidRPr="00A83B32" w:rsidSect="00BB21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BF" w:rsidRDefault="00B75CBF" w:rsidP="0016507D">
      <w:r>
        <w:separator/>
      </w:r>
    </w:p>
  </w:endnote>
  <w:endnote w:type="continuationSeparator" w:id="0">
    <w:p w:rsidR="00B75CBF" w:rsidRDefault="00B75CBF" w:rsidP="00165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BF" w:rsidRDefault="009E0699" w:rsidP="009B257B">
    <w:pPr>
      <w:pStyle w:val="Footer"/>
      <w:framePr w:wrap="around" w:vAnchor="text" w:hAnchor="margin" w:xAlign="center" w:y="1"/>
      <w:rPr>
        <w:rStyle w:val="PageNumber"/>
      </w:rPr>
    </w:pPr>
    <w:r>
      <w:rPr>
        <w:rStyle w:val="PageNumber"/>
      </w:rPr>
      <w:fldChar w:fldCharType="begin"/>
    </w:r>
    <w:r w:rsidR="00B75CBF">
      <w:rPr>
        <w:rStyle w:val="PageNumber"/>
      </w:rPr>
      <w:instrText xml:space="preserve">PAGE  </w:instrText>
    </w:r>
    <w:r>
      <w:rPr>
        <w:rStyle w:val="PageNumber"/>
      </w:rPr>
      <w:fldChar w:fldCharType="end"/>
    </w:r>
  </w:p>
  <w:p w:rsidR="00B75CBF" w:rsidRDefault="00B75C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BF" w:rsidRDefault="009E0699" w:rsidP="009B257B">
    <w:pPr>
      <w:pStyle w:val="Footer"/>
      <w:framePr w:wrap="around" w:vAnchor="text" w:hAnchor="margin" w:xAlign="center" w:y="1"/>
      <w:rPr>
        <w:rStyle w:val="PageNumber"/>
      </w:rPr>
    </w:pPr>
    <w:r>
      <w:rPr>
        <w:rStyle w:val="PageNumber"/>
      </w:rPr>
      <w:fldChar w:fldCharType="begin"/>
    </w:r>
    <w:r w:rsidR="00B75CBF">
      <w:rPr>
        <w:rStyle w:val="PageNumber"/>
      </w:rPr>
      <w:instrText xml:space="preserve">PAGE  </w:instrText>
    </w:r>
    <w:r>
      <w:rPr>
        <w:rStyle w:val="PageNumber"/>
      </w:rPr>
      <w:fldChar w:fldCharType="separate"/>
    </w:r>
    <w:r w:rsidR="00A80E19">
      <w:rPr>
        <w:rStyle w:val="PageNumber"/>
        <w:noProof/>
      </w:rPr>
      <w:t>1</w:t>
    </w:r>
    <w:r>
      <w:rPr>
        <w:rStyle w:val="PageNumber"/>
      </w:rPr>
      <w:fldChar w:fldCharType="end"/>
    </w:r>
  </w:p>
  <w:p w:rsidR="00B75CBF" w:rsidRDefault="00B75C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19" w:rsidRDefault="00A80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BF" w:rsidRDefault="00B75CBF" w:rsidP="0016507D">
      <w:r>
        <w:separator/>
      </w:r>
    </w:p>
  </w:footnote>
  <w:footnote w:type="continuationSeparator" w:id="0">
    <w:p w:rsidR="00B75CBF" w:rsidRDefault="00B75CBF" w:rsidP="0016507D">
      <w:r>
        <w:continuationSeparator/>
      </w:r>
    </w:p>
  </w:footnote>
  <w:footnote w:id="1">
    <w:p w:rsidR="00B75CBF" w:rsidRPr="009D31B2" w:rsidRDefault="00B75CBF" w:rsidP="009D31B2">
      <w:pPr>
        <w:rPr>
          <w:color w:val="000000"/>
          <w:sz w:val="20"/>
        </w:rPr>
      </w:pPr>
      <w:r w:rsidRPr="00A0277D">
        <w:rPr>
          <w:rStyle w:val="FootnoteReference"/>
          <w:sz w:val="20"/>
        </w:rPr>
        <w:footnoteRef/>
      </w:r>
      <w:r>
        <w:rPr>
          <w:sz w:val="20"/>
        </w:rPr>
        <w:t xml:space="preserve"> The</w:t>
      </w:r>
      <w:r w:rsidRPr="00A0277D">
        <w:rPr>
          <w:sz w:val="20"/>
        </w:rPr>
        <w:t xml:space="preserve"> Committee Notes reference </w:t>
      </w:r>
      <w:r>
        <w:rPr>
          <w:i/>
          <w:sz w:val="20"/>
        </w:rPr>
        <w:t xml:space="preserve">In re </w:t>
      </w:r>
      <w:r w:rsidRPr="00A0277D">
        <w:rPr>
          <w:i/>
          <w:sz w:val="20"/>
        </w:rPr>
        <w:t>Bender Body Co</w:t>
      </w:r>
      <w:r>
        <w:rPr>
          <w:sz w:val="20"/>
        </w:rPr>
        <w:t xml:space="preserve">, 47 F. Supp. 224 (N.D. Ohio 1942) as an example of the “exclusionary construction” that prevented </w:t>
      </w:r>
      <w:r w:rsidRPr="00081F96">
        <w:rPr>
          <w:sz w:val="20"/>
        </w:rPr>
        <w:t xml:space="preserve">government intervention which the revised Rule 24 sought to remedy.  Fed. R. Civ. P. 24, </w:t>
      </w:r>
      <w:r>
        <w:rPr>
          <w:sz w:val="20"/>
        </w:rPr>
        <w:t>a</w:t>
      </w:r>
      <w:r w:rsidRPr="00081F96">
        <w:rPr>
          <w:sz w:val="20"/>
        </w:rPr>
        <w:t xml:space="preserve">dvisory </w:t>
      </w:r>
      <w:r>
        <w:rPr>
          <w:sz w:val="20"/>
        </w:rPr>
        <w:t>c</w:t>
      </w:r>
      <w:r w:rsidRPr="00081F96">
        <w:rPr>
          <w:sz w:val="20"/>
        </w:rPr>
        <w:t>ommittee</w:t>
      </w:r>
      <w:r>
        <w:rPr>
          <w:sz w:val="20"/>
        </w:rPr>
        <w:t>’s</w:t>
      </w:r>
      <w:r w:rsidRPr="00081F96">
        <w:rPr>
          <w:sz w:val="20"/>
        </w:rPr>
        <w:t xml:space="preserve"> </w:t>
      </w:r>
      <w:r>
        <w:rPr>
          <w:sz w:val="20"/>
        </w:rPr>
        <w:t>n</w:t>
      </w:r>
      <w:r w:rsidRPr="00081F96">
        <w:rPr>
          <w:sz w:val="20"/>
        </w:rPr>
        <w:t>otes</w:t>
      </w:r>
      <w:r>
        <w:rPr>
          <w:sz w:val="20"/>
        </w:rPr>
        <w:t xml:space="preserve"> (1946)</w:t>
      </w:r>
      <w:r w:rsidRPr="00081F96">
        <w:rPr>
          <w:sz w:val="20"/>
        </w:rPr>
        <w:t xml:space="preserve">.  In </w:t>
      </w:r>
      <w:r w:rsidRPr="00081F96">
        <w:rPr>
          <w:i/>
          <w:sz w:val="20"/>
        </w:rPr>
        <w:t>In re Bender</w:t>
      </w:r>
      <w:r w:rsidRPr="00081F96">
        <w:rPr>
          <w:sz w:val="20"/>
        </w:rPr>
        <w:t xml:space="preserve">, the district court denied intervention to the </w:t>
      </w:r>
      <w:r w:rsidRPr="000D4408">
        <w:rPr>
          <w:sz w:val="20"/>
        </w:rPr>
        <w:t xml:space="preserve">Administrator of the Office of Price Administration, a then federal agency, because the Administrator’s interest was only that of the “public interest”, the Administrator had “no interest that may be bound by the judgment in this action . . . </w:t>
      </w:r>
      <w:r w:rsidRPr="000D4408">
        <w:rPr>
          <w:color w:val="000000"/>
          <w:sz w:val="20"/>
        </w:rPr>
        <w:t xml:space="preserve">he cannot be adversely affected by the court's decision . . . he has no claim or defense which will be affected by any decision of law or fact by the court.”  </w:t>
      </w:r>
      <w:r w:rsidRPr="000D4408">
        <w:rPr>
          <w:i/>
          <w:color w:val="000000"/>
          <w:sz w:val="20"/>
        </w:rPr>
        <w:t xml:space="preserve">In re </w:t>
      </w:r>
      <w:r w:rsidRPr="000D4408">
        <w:rPr>
          <w:color w:val="000000"/>
          <w:sz w:val="20"/>
        </w:rPr>
        <w:t>Bender, 47 F. Supp. at 232.</w:t>
      </w:r>
      <w:r>
        <w:rPr>
          <w:color w:val="000000"/>
          <w:sz w:val="20"/>
        </w:rPr>
        <w:t xml:space="preserve"> </w:t>
      </w:r>
    </w:p>
  </w:footnote>
  <w:footnote w:id="2">
    <w:p w:rsidR="00B75CBF" w:rsidRPr="002774D4" w:rsidRDefault="00B75CBF">
      <w:pPr>
        <w:pStyle w:val="FootnoteText"/>
      </w:pPr>
      <w:r w:rsidRPr="002774D4">
        <w:rPr>
          <w:rStyle w:val="FootnoteReference"/>
        </w:rPr>
        <w:footnoteRef/>
      </w:r>
      <w:r w:rsidRPr="002774D4">
        <w:t xml:space="preserve"> </w:t>
      </w:r>
      <w:r w:rsidRPr="002774D4">
        <w:rPr>
          <w:rFonts w:eastAsia="Calibri"/>
          <w:i/>
        </w:rPr>
        <w:t>See, e.g.,</w:t>
      </w:r>
      <w:r w:rsidRPr="002774D4">
        <w:rPr>
          <w:rFonts w:eastAsia="Calibri"/>
        </w:rPr>
        <w:t xml:space="preserve"> Title II of the Civil Rights Act of 1964, 42 U.S.C. §2000a-3(a) (Attorney General may intervene in private suits regarding public accommodations upon certification that the case is of general importance); Title VII of the Civil Rights Act of 1964, 42 U.S.C. § 2000e-5(f)(1) (Attorney General may intervene in private suits regarding employment discrimination by public employers upon certification that the case is of general public importance); Title IX of the Civil Rights Act of 1964, 42 U.S.C. § 2000h-2 (Attorney General may intervene in private suits alleging denial of equal protection on account of race, color, national origin, or sex upon certification that the case is of general public importance); Fair Housing Act, 42 U.S.C. § 3613(e) (Attorney General may intervene in private suits regarding discriminatory housing practices upon certification that the case is one of general public importance).  </w:t>
      </w:r>
    </w:p>
  </w:footnote>
  <w:footnote w:id="3">
    <w:p w:rsidR="00B75CBF" w:rsidRDefault="00B75CBF">
      <w:pPr>
        <w:pStyle w:val="FootnoteText"/>
      </w:pPr>
      <w:r>
        <w:rPr>
          <w:rStyle w:val="FootnoteReference"/>
        </w:rPr>
        <w:footnoteRef/>
      </w:r>
      <w:r>
        <w:t xml:space="preserve"> Whether the United States has complied with statutory prerequisites is an inquiry into the sufficiency of the allegations in the complaint, and thus not proper for consideration of whether the United States meets the requirements of intervention under Rule 24. </w:t>
      </w:r>
      <w:r>
        <w:rPr>
          <w:i/>
        </w:rPr>
        <w:t>See United States v. Arkansas</w:t>
      </w:r>
      <w:r w:rsidRPr="00E51B5B">
        <w:t>,</w:t>
      </w:r>
      <w:r>
        <w:rPr>
          <w:i/>
        </w:rPr>
        <w:t xml:space="preserve"> </w:t>
      </w:r>
      <w:r>
        <w:t xml:space="preserve">No. 10-327, </w:t>
      </w:r>
      <w:r w:rsidRPr="001D3B90">
        <w:t>2011 WL 251107</w:t>
      </w:r>
      <w:r w:rsidRPr="001D3B90">
        <w:rPr>
          <w:i/>
        </w:rPr>
        <w:t xml:space="preserve">, </w:t>
      </w:r>
      <w:r>
        <w:t>at *8 (E.D. Ark. Jan. 24, 2011)</w:t>
      </w:r>
      <w:r>
        <w:rPr>
          <w:i/>
        </w:rPr>
        <w:t>.</w:t>
      </w:r>
      <w:r>
        <w:t xml:space="preserve">  Further, the Defendants’ inclusion of documents that were not attached to the proposed complaint and not publically available adds another layer of procedural irregularity.  However, under the particular circumstances in this case and in the interest of judicial efficiency, the United States does not object to the Court’s full consideration of the Defendants’ arguments and exhibits so that these matters are fully settled going forward in the litigation. </w:t>
      </w:r>
    </w:p>
  </w:footnote>
  <w:footnote w:id="4">
    <w:p w:rsidR="00B75CBF" w:rsidRDefault="00B75CBF">
      <w:pPr>
        <w:pStyle w:val="FootnoteText"/>
      </w:pPr>
      <w:r>
        <w:rPr>
          <w:rStyle w:val="FootnoteReference"/>
        </w:rPr>
        <w:footnoteRef/>
      </w:r>
      <w:r>
        <w:t xml:space="preserve"> Plaintiff Benny Holmes was moved to the community soon after the Plaintiffs’ Complaint was filed, because of circumstances unrelated to the State’s willingness to remedy the ADA violations voluntarily.  (Plaintiffs’</w:t>
      </w:r>
      <w:r w:rsidRPr="00867CBB">
        <w:t xml:space="preserve"> Opposition to Defendants</w:t>
      </w:r>
      <w:r>
        <w:t>’</w:t>
      </w:r>
      <w:r w:rsidRPr="00867CBB">
        <w:t xml:space="preserve"> Opposed Motion to Abate Motion for Class Certification</w:t>
      </w:r>
      <w:r>
        <w:t xml:space="preserve"> 4, n.4, ECF No. 21 (Feb. 4, 2011).)</w:t>
      </w:r>
    </w:p>
  </w:footnote>
  <w:footnote w:id="5">
    <w:p w:rsidR="00B75CBF" w:rsidRPr="00A9153D" w:rsidRDefault="00B75CBF" w:rsidP="00A9153D">
      <w:pPr>
        <w:rPr>
          <w:sz w:val="20"/>
        </w:rPr>
      </w:pPr>
      <w:r w:rsidRPr="00AC4658">
        <w:rPr>
          <w:rStyle w:val="FootnoteReference"/>
          <w:sz w:val="20"/>
        </w:rPr>
        <w:footnoteRef/>
      </w:r>
      <w:r w:rsidRPr="00AC4658">
        <w:rPr>
          <w:sz w:val="20"/>
        </w:rPr>
        <w:t xml:space="preserve"> </w:t>
      </w:r>
      <w:r w:rsidRPr="00AC4658">
        <w:rPr>
          <w:i/>
          <w:sz w:val="20"/>
        </w:rPr>
        <w:t xml:space="preserve">See generally </w:t>
      </w:r>
      <w:r w:rsidRPr="00AC4658">
        <w:rPr>
          <w:i/>
          <w:iCs/>
          <w:sz w:val="20"/>
        </w:rPr>
        <w:t>Bazemore v. Friday,</w:t>
      </w:r>
      <w:r w:rsidRPr="00AC4658">
        <w:rPr>
          <w:sz w:val="20"/>
        </w:rPr>
        <w:t xml:space="preserve"> 478 U.S. 385 (1986) (United States granted intervention regarding Title</w:t>
      </w:r>
      <w:r>
        <w:rPr>
          <w:sz w:val="20"/>
        </w:rPr>
        <w:t>s</w:t>
      </w:r>
      <w:r w:rsidRPr="00AC4658">
        <w:rPr>
          <w:sz w:val="20"/>
        </w:rPr>
        <w:t xml:space="preserve"> VI </w:t>
      </w:r>
      <w:r>
        <w:rPr>
          <w:sz w:val="20"/>
        </w:rPr>
        <w:t>a</w:t>
      </w:r>
      <w:r w:rsidRPr="00AC4658">
        <w:rPr>
          <w:sz w:val="20"/>
        </w:rPr>
        <w:t xml:space="preserve">nd VII of the Civil Rights Act of 1964); </w:t>
      </w:r>
      <w:r w:rsidRPr="00AC4658">
        <w:rPr>
          <w:i/>
          <w:iCs/>
          <w:sz w:val="20"/>
        </w:rPr>
        <w:t>Ayers v. Allain</w:t>
      </w:r>
      <w:r w:rsidRPr="00AC4658">
        <w:rPr>
          <w:sz w:val="20"/>
        </w:rPr>
        <w:t>, 914 F.2d 676 (5th Cir. 1990) (United States</w:t>
      </w:r>
      <w:r>
        <w:rPr>
          <w:sz w:val="20"/>
        </w:rPr>
        <w:t xml:space="preserve"> granted</w:t>
      </w:r>
      <w:r w:rsidRPr="00AC4658">
        <w:rPr>
          <w:sz w:val="20"/>
        </w:rPr>
        <w:t xml:space="preserve"> intervention regarding Title VI of the Civil Rights Act of 1964); </w:t>
      </w:r>
      <w:r w:rsidRPr="00AC4658">
        <w:rPr>
          <w:i/>
          <w:iCs/>
          <w:sz w:val="20"/>
        </w:rPr>
        <w:t>Halderman v. Pennhurst State School &amp; Hosp.</w:t>
      </w:r>
      <w:r w:rsidRPr="00AC4658">
        <w:rPr>
          <w:sz w:val="20"/>
        </w:rPr>
        <w:t xml:space="preserve">, 612 F.2d 84 (3d Cir. 1979) (United States </w:t>
      </w:r>
      <w:r>
        <w:rPr>
          <w:sz w:val="20"/>
        </w:rPr>
        <w:t xml:space="preserve">granted </w:t>
      </w:r>
      <w:r w:rsidRPr="00AC4658">
        <w:rPr>
          <w:sz w:val="20"/>
        </w:rPr>
        <w:t xml:space="preserve">intervention involving, </w:t>
      </w:r>
      <w:r w:rsidRPr="00AC4658">
        <w:rPr>
          <w:i/>
          <w:iCs/>
          <w:sz w:val="20"/>
        </w:rPr>
        <w:t>inter alia</w:t>
      </w:r>
      <w:r w:rsidRPr="00AC4658">
        <w:rPr>
          <w:sz w:val="20"/>
        </w:rPr>
        <w:t xml:space="preserve">, the Rehabilitation Act); </w:t>
      </w:r>
      <w:r w:rsidRPr="00AC4658">
        <w:rPr>
          <w:i/>
          <w:iCs/>
          <w:sz w:val="20"/>
        </w:rPr>
        <w:t>Dilworth v. City of Detroit</w:t>
      </w:r>
      <w:r w:rsidRPr="00AC4658">
        <w:rPr>
          <w:sz w:val="20"/>
        </w:rPr>
        <w:t xml:space="preserve">, No. 4-cv-73152, 2010 U.S. Dist. LEXIS 23199 (E.D. Mich. Mar. 12, 2010) (United States granted intervention regarding Title II of the ADA); </w:t>
      </w:r>
      <w:r w:rsidRPr="00AC4658">
        <w:rPr>
          <w:i/>
          <w:iCs/>
          <w:sz w:val="20"/>
        </w:rPr>
        <w:t>Meineker v. Hoyts Cinemas Corp.</w:t>
      </w:r>
      <w:r w:rsidRPr="00AC4658">
        <w:rPr>
          <w:sz w:val="20"/>
        </w:rPr>
        <w:t xml:space="preserve">, 325 F. Supp. 2d 157 (N.D.N.Y. 2004) (United States granted intervention regarding Title III of the ADA); </w:t>
      </w:r>
      <w:r w:rsidRPr="00AC4658">
        <w:rPr>
          <w:i/>
          <w:iCs/>
          <w:sz w:val="20"/>
        </w:rPr>
        <w:t>Reg'l Econ. Cmty. Action Program Inc. v. City of Middletown</w:t>
      </w:r>
      <w:r w:rsidRPr="00AC4658">
        <w:rPr>
          <w:sz w:val="20"/>
        </w:rPr>
        <w:t>, No. 97-cv-8808, 2000 U.S. Dist. LEXIS 22194 (S.D.N.Y. Sept. 25, 2000) (United States</w:t>
      </w:r>
      <w:r>
        <w:rPr>
          <w:sz w:val="20"/>
        </w:rPr>
        <w:t xml:space="preserve"> granted</w:t>
      </w:r>
      <w:r w:rsidRPr="00AC4658">
        <w:rPr>
          <w:sz w:val="20"/>
        </w:rPr>
        <w:t xml:space="preserve"> intervention regarding Title II ADA and Rehabilitation Act claims); </w:t>
      </w:r>
      <w:r w:rsidRPr="00AC4658">
        <w:rPr>
          <w:i/>
          <w:sz w:val="20"/>
        </w:rPr>
        <w:t>Knight v. Ala</w:t>
      </w:r>
      <w:r w:rsidRPr="00AC4658">
        <w:rPr>
          <w:sz w:val="20"/>
        </w:rPr>
        <w:t>., No. 83-M-1676-S, 1990 U.S. Dist. LEXIS 19604 (N.D. Ala. Mar. 8, 1990) (United States</w:t>
      </w:r>
      <w:r>
        <w:rPr>
          <w:sz w:val="20"/>
        </w:rPr>
        <w:t xml:space="preserve"> granted</w:t>
      </w:r>
      <w:r w:rsidRPr="00AC4658">
        <w:rPr>
          <w:sz w:val="20"/>
        </w:rPr>
        <w:t xml:space="preserve"> intervention involving Tit</w:t>
      </w:r>
      <w:r>
        <w:rPr>
          <w:sz w:val="20"/>
        </w:rPr>
        <w:t>le VI of the Civil Rights Act of 1964).</w:t>
      </w:r>
    </w:p>
  </w:footnote>
  <w:footnote w:id="6">
    <w:p w:rsidR="00B75CBF" w:rsidRDefault="00B75CBF" w:rsidP="00665979">
      <w:pPr>
        <w:pStyle w:val="FootnoteText"/>
      </w:pPr>
      <w:r>
        <w:rPr>
          <w:rStyle w:val="FootnoteReference"/>
        </w:rPr>
        <w:footnoteRef/>
      </w:r>
      <w:r>
        <w:t xml:space="preserve"> Specifically, the Defendants allege</w:t>
      </w:r>
      <w:r>
        <w:rPr>
          <w:szCs w:val="24"/>
        </w:rPr>
        <w:t xml:space="preserve"> that the United States could “unleash a wide-ranging government enforcement action of whatever scope it deems necessary . . .” apparently motivated in part, due to the United States’ “thirst for launching a frontal attack on Texas’ Medicaid waiver programs”</w:t>
      </w:r>
      <w:r w:rsidR="00D83E1D">
        <w:rPr>
          <w:szCs w:val="24"/>
        </w:rPr>
        <w:t>.</w:t>
      </w:r>
      <w:r>
        <w:rPr>
          <w:szCs w:val="24"/>
        </w:rPr>
        <w:t xml:space="preserve">  (Def. Mem. 18.)  The United States is bound by the same rules governing scope of discovery as all parties in federal litigation. </w:t>
      </w:r>
    </w:p>
  </w:footnote>
  <w:footnote w:id="7">
    <w:p w:rsidR="00B75CBF" w:rsidRDefault="00B75CBF">
      <w:pPr>
        <w:pStyle w:val="FootnoteText"/>
      </w:pPr>
      <w:r>
        <w:rPr>
          <w:rStyle w:val="FootnoteReference"/>
        </w:rPr>
        <w:footnoteRef/>
      </w:r>
      <w:r>
        <w:t xml:space="preserve"> </w:t>
      </w:r>
      <w:r>
        <w:rPr>
          <w:szCs w:val="24"/>
        </w:rPr>
        <w:t xml:space="preserve">The Defendants also make reference to the Eleventh Amendment bar to asserting claims against a public entity pursuant to 42 U.S.C. § 1983.  (Def. Mem. 19.)  Since the United States is not asserting any claims pursuant to </w:t>
      </w:r>
      <w:r w:rsidRPr="001900E9">
        <w:rPr>
          <w:szCs w:val="24"/>
        </w:rPr>
        <w:t>42 U.S.C. § 1983</w:t>
      </w:r>
      <w:r>
        <w:rPr>
          <w:szCs w:val="24"/>
        </w:rPr>
        <w:t xml:space="preserve">, the proper defendant under a Section 1983 claim is irrelevant.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19" w:rsidRDefault="00A80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19" w:rsidRDefault="00A80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19" w:rsidRDefault="00A80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6D0"/>
    <w:multiLevelType w:val="hybridMultilevel"/>
    <w:tmpl w:val="95845B0A"/>
    <w:lvl w:ilvl="0" w:tplc="89A287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1B292A"/>
    <w:multiLevelType w:val="hybridMultilevel"/>
    <w:tmpl w:val="9DC4DA2E"/>
    <w:lvl w:ilvl="0" w:tplc="4E5457C6">
      <w:start w:val="1"/>
      <w:numFmt w:val="upperRoman"/>
      <w:lvlText w:val="%1."/>
      <w:lvlJc w:val="left"/>
      <w:pPr>
        <w:ind w:left="720" w:hanging="720"/>
      </w:pPr>
      <w:rPr>
        <w:rFonts w:hint="default"/>
        <w:b/>
      </w:rPr>
    </w:lvl>
    <w:lvl w:ilvl="1" w:tplc="C93447B8">
      <w:start w:val="1"/>
      <w:numFmt w:val="low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466CD"/>
    <w:multiLevelType w:val="hybridMultilevel"/>
    <w:tmpl w:val="B4886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054F7"/>
    <w:multiLevelType w:val="hybridMultilevel"/>
    <w:tmpl w:val="F572BB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8391F"/>
    <w:multiLevelType w:val="hybridMultilevel"/>
    <w:tmpl w:val="187CAC0C"/>
    <w:lvl w:ilvl="0" w:tplc="FD949CDC">
      <w:start w:val="1"/>
      <w:numFmt w:val="upperLetter"/>
      <w:pStyle w:val="Subsection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766D0"/>
    <w:multiLevelType w:val="hybridMultilevel"/>
    <w:tmpl w:val="E87A25E8"/>
    <w:lvl w:ilvl="0" w:tplc="BC685554">
      <w:start w:val="1"/>
      <w:numFmt w:val="decimal"/>
      <w:lvlText w:val="%1."/>
      <w:lvlJc w:val="left"/>
      <w:pPr>
        <w:ind w:left="450" w:hanging="360"/>
      </w:pPr>
      <w:rPr>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5A0823"/>
    <w:multiLevelType w:val="hybridMultilevel"/>
    <w:tmpl w:val="97344D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5233553"/>
    <w:multiLevelType w:val="hybridMultilevel"/>
    <w:tmpl w:val="3FF06ADC"/>
    <w:lvl w:ilvl="0" w:tplc="1B18A6AE">
      <w:start w:val="2"/>
      <w:numFmt w:val="lowerRoman"/>
      <w:pStyle w:val="Sub-Subsection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40622"/>
    <w:multiLevelType w:val="hybridMultilevel"/>
    <w:tmpl w:val="E7401524"/>
    <w:lvl w:ilvl="0" w:tplc="A816BD76">
      <w:start w:val="1"/>
      <w:numFmt w:val="upperRoman"/>
      <w:pStyle w:val="Heading1"/>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20ECE"/>
    <w:multiLevelType w:val="hybridMultilevel"/>
    <w:tmpl w:val="F37EF04C"/>
    <w:lvl w:ilvl="0" w:tplc="382A2BF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02FB4"/>
    <w:multiLevelType w:val="hybridMultilevel"/>
    <w:tmpl w:val="5800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92E5F"/>
    <w:multiLevelType w:val="hybridMultilevel"/>
    <w:tmpl w:val="8210249C"/>
    <w:lvl w:ilvl="0" w:tplc="C93447B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D0FFB"/>
    <w:multiLevelType w:val="hybridMultilevel"/>
    <w:tmpl w:val="AAF4F4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456564F"/>
    <w:multiLevelType w:val="hybridMultilevel"/>
    <w:tmpl w:val="CA42F4FA"/>
    <w:lvl w:ilvl="0" w:tplc="C2D28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13"/>
  </w:num>
  <w:num w:numId="6">
    <w:abstractNumId w:val="7"/>
  </w:num>
  <w:num w:numId="7">
    <w:abstractNumId w:val="4"/>
    <w:lvlOverride w:ilvl="0">
      <w:startOverride w:val="1"/>
    </w:lvlOverride>
  </w:num>
  <w:num w:numId="8">
    <w:abstractNumId w:val="0"/>
  </w:num>
  <w:num w:numId="9">
    <w:abstractNumId w:val="1"/>
  </w:num>
  <w:num w:numId="10">
    <w:abstractNumId w:val="11"/>
  </w:num>
  <w:num w:numId="11">
    <w:abstractNumId w:val="12"/>
  </w:num>
  <w:num w:numId="12">
    <w:abstractNumId w:val="6"/>
  </w:num>
  <w:num w:numId="13">
    <w:abstractNumId w:val="1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E3255"/>
    <w:rsid w:val="00002B19"/>
    <w:rsid w:val="00012097"/>
    <w:rsid w:val="00015108"/>
    <w:rsid w:val="00020D49"/>
    <w:rsid w:val="00022F40"/>
    <w:rsid w:val="00030338"/>
    <w:rsid w:val="0003439B"/>
    <w:rsid w:val="00043CAA"/>
    <w:rsid w:val="00045FBD"/>
    <w:rsid w:val="000524EE"/>
    <w:rsid w:val="00052F6C"/>
    <w:rsid w:val="00053A07"/>
    <w:rsid w:val="00054FEE"/>
    <w:rsid w:val="00057A5D"/>
    <w:rsid w:val="00060890"/>
    <w:rsid w:val="00064FA4"/>
    <w:rsid w:val="0007164B"/>
    <w:rsid w:val="0007562C"/>
    <w:rsid w:val="00081F96"/>
    <w:rsid w:val="00083CFB"/>
    <w:rsid w:val="00085786"/>
    <w:rsid w:val="00087ED1"/>
    <w:rsid w:val="00090170"/>
    <w:rsid w:val="00091049"/>
    <w:rsid w:val="00093336"/>
    <w:rsid w:val="00096664"/>
    <w:rsid w:val="000A3D10"/>
    <w:rsid w:val="000B1C2F"/>
    <w:rsid w:val="000B26A6"/>
    <w:rsid w:val="000B3224"/>
    <w:rsid w:val="000B49A3"/>
    <w:rsid w:val="000B73C8"/>
    <w:rsid w:val="000B776D"/>
    <w:rsid w:val="000B7DC8"/>
    <w:rsid w:val="000C12FA"/>
    <w:rsid w:val="000C4798"/>
    <w:rsid w:val="000C6DCA"/>
    <w:rsid w:val="000D3FE5"/>
    <w:rsid w:val="000D4408"/>
    <w:rsid w:val="000E18D1"/>
    <w:rsid w:val="000E4795"/>
    <w:rsid w:val="000E73B7"/>
    <w:rsid w:val="000F3B87"/>
    <w:rsid w:val="000F4CC6"/>
    <w:rsid w:val="000F4FF1"/>
    <w:rsid w:val="000F6476"/>
    <w:rsid w:val="000F734B"/>
    <w:rsid w:val="00102053"/>
    <w:rsid w:val="001020B3"/>
    <w:rsid w:val="00103305"/>
    <w:rsid w:val="00113FA5"/>
    <w:rsid w:val="00114385"/>
    <w:rsid w:val="001179DE"/>
    <w:rsid w:val="001209A4"/>
    <w:rsid w:val="00120A04"/>
    <w:rsid w:val="00126AE1"/>
    <w:rsid w:val="0012743C"/>
    <w:rsid w:val="00132EF5"/>
    <w:rsid w:val="00135E02"/>
    <w:rsid w:val="00141FCF"/>
    <w:rsid w:val="001502F2"/>
    <w:rsid w:val="001518CF"/>
    <w:rsid w:val="00154C06"/>
    <w:rsid w:val="00163B82"/>
    <w:rsid w:val="0016507D"/>
    <w:rsid w:val="00167167"/>
    <w:rsid w:val="00174525"/>
    <w:rsid w:val="00175287"/>
    <w:rsid w:val="00176A5C"/>
    <w:rsid w:val="00180422"/>
    <w:rsid w:val="00182380"/>
    <w:rsid w:val="00185AC1"/>
    <w:rsid w:val="001900E9"/>
    <w:rsid w:val="001950E4"/>
    <w:rsid w:val="001B7901"/>
    <w:rsid w:val="001C18FF"/>
    <w:rsid w:val="001C2CCC"/>
    <w:rsid w:val="001C7AAC"/>
    <w:rsid w:val="001D1DB2"/>
    <w:rsid w:val="001D3B90"/>
    <w:rsid w:val="001D64A3"/>
    <w:rsid w:val="001E1CE8"/>
    <w:rsid w:val="001E6B56"/>
    <w:rsid w:val="001E7753"/>
    <w:rsid w:val="001F410D"/>
    <w:rsid w:val="001F49DC"/>
    <w:rsid w:val="001F6080"/>
    <w:rsid w:val="001F711E"/>
    <w:rsid w:val="0020076C"/>
    <w:rsid w:val="002007CE"/>
    <w:rsid w:val="0020501F"/>
    <w:rsid w:val="00206CFA"/>
    <w:rsid w:val="00211C6C"/>
    <w:rsid w:val="00213C9E"/>
    <w:rsid w:val="00214752"/>
    <w:rsid w:val="00214CE4"/>
    <w:rsid w:val="00227547"/>
    <w:rsid w:val="00227AE4"/>
    <w:rsid w:val="00231B7E"/>
    <w:rsid w:val="00237206"/>
    <w:rsid w:val="00250065"/>
    <w:rsid w:val="00252608"/>
    <w:rsid w:val="00264A6C"/>
    <w:rsid w:val="00274A43"/>
    <w:rsid w:val="00274AD7"/>
    <w:rsid w:val="002774D4"/>
    <w:rsid w:val="002828C1"/>
    <w:rsid w:val="00285F8C"/>
    <w:rsid w:val="002930A6"/>
    <w:rsid w:val="00296ECC"/>
    <w:rsid w:val="002A0F7A"/>
    <w:rsid w:val="002A721F"/>
    <w:rsid w:val="002B281D"/>
    <w:rsid w:val="002C195D"/>
    <w:rsid w:val="002E0D45"/>
    <w:rsid w:val="002E0D49"/>
    <w:rsid w:val="002F0D96"/>
    <w:rsid w:val="002F0DFD"/>
    <w:rsid w:val="003025A5"/>
    <w:rsid w:val="00313FAF"/>
    <w:rsid w:val="00314F25"/>
    <w:rsid w:val="0031557D"/>
    <w:rsid w:val="00320BA4"/>
    <w:rsid w:val="00323B1C"/>
    <w:rsid w:val="00325091"/>
    <w:rsid w:val="003308FE"/>
    <w:rsid w:val="0033617E"/>
    <w:rsid w:val="003377BC"/>
    <w:rsid w:val="00340A71"/>
    <w:rsid w:val="003526C0"/>
    <w:rsid w:val="00356BD4"/>
    <w:rsid w:val="003610A8"/>
    <w:rsid w:val="0036212A"/>
    <w:rsid w:val="00362C32"/>
    <w:rsid w:val="00363B4A"/>
    <w:rsid w:val="00367F95"/>
    <w:rsid w:val="003705FD"/>
    <w:rsid w:val="003733C0"/>
    <w:rsid w:val="00375A11"/>
    <w:rsid w:val="00377A3B"/>
    <w:rsid w:val="00377C01"/>
    <w:rsid w:val="00382947"/>
    <w:rsid w:val="00383918"/>
    <w:rsid w:val="00383FA4"/>
    <w:rsid w:val="0039019B"/>
    <w:rsid w:val="003979D4"/>
    <w:rsid w:val="003A5900"/>
    <w:rsid w:val="003B3AFE"/>
    <w:rsid w:val="003C6A1F"/>
    <w:rsid w:val="003D0FB3"/>
    <w:rsid w:val="003D1141"/>
    <w:rsid w:val="003D5143"/>
    <w:rsid w:val="003E1935"/>
    <w:rsid w:val="003E2343"/>
    <w:rsid w:val="003E6B63"/>
    <w:rsid w:val="003F0E83"/>
    <w:rsid w:val="003F3E02"/>
    <w:rsid w:val="003F4985"/>
    <w:rsid w:val="004016B1"/>
    <w:rsid w:val="00401B26"/>
    <w:rsid w:val="00402AF5"/>
    <w:rsid w:val="00405512"/>
    <w:rsid w:val="0040588E"/>
    <w:rsid w:val="00405D4E"/>
    <w:rsid w:val="00407B7C"/>
    <w:rsid w:val="004102E4"/>
    <w:rsid w:val="004162D3"/>
    <w:rsid w:val="004165EC"/>
    <w:rsid w:val="0042266C"/>
    <w:rsid w:val="00427614"/>
    <w:rsid w:val="00431E12"/>
    <w:rsid w:val="0043265F"/>
    <w:rsid w:val="00437030"/>
    <w:rsid w:val="00441F7A"/>
    <w:rsid w:val="0045104E"/>
    <w:rsid w:val="00457FFB"/>
    <w:rsid w:val="004651B5"/>
    <w:rsid w:val="00470606"/>
    <w:rsid w:val="00470C2A"/>
    <w:rsid w:val="00471DFF"/>
    <w:rsid w:val="00472C4A"/>
    <w:rsid w:val="00474BC3"/>
    <w:rsid w:val="0047534E"/>
    <w:rsid w:val="004777A9"/>
    <w:rsid w:val="0048188B"/>
    <w:rsid w:val="004955C2"/>
    <w:rsid w:val="004A439D"/>
    <w:rsid w:val="004B3984"/>
    <w:rsid w:val="004B5708"/>
    <w:rsid w:val="004B767E"/>
    <w:rsid w:val="004C695E"/>
    <w:rsid w:val="004D79AC"/>
    <w:rsid w:val="004E318A"/>
    <w:rsid w:val="0050747C"/>
    <w:rsid w:val="00507672"/>
    <w:rsid w:val="005253F1"/>
    <w:rsid w:val="0052599F"/>
    <w:rsid w:val="0053062F"/>
    <w:rsid w:val="00532390"/>
    <w:rsid w:val="00541748"/>
    <w:rsid w:val="00544A60"/>
    <w:rsid w:val="00546E7A"/>
    <w:rsid w:val="00557EAC"/>
    <w:rsid w:val="005640DB"/>
    <w:rsid w:val="0056583D"/>
    <w:rsid w:val="0056617E"/>
    <w:rsid w:val="005669C6"/>
    <w:rsid w:val="00566C41"/>
    <w:rsid w:val="0056711B"/>
    <w:rsid w:val="00567521"/>
    <w:rsid w:val="005744D0"/>
    <w:rsid w:val="00582C7C"/>
    <w:rsid w:val="00583A09"/>
    <w:rsid w:val="00585A9F"/>
    <w:rsid w:val="00587240"/>
    <w:rsid w:val="00591863"/>
    <w:rsid w:val="005941BE"/>
    <w:rsid w:val="00594FF7"/>
    <w:rsid w:val="0059662B"/>
    <w:rsid w:val="005A0B30"/>
    <w:rsid w:val="005A5564"/>
    <w:rsid w:val="005A6D85"/>
    <w:rsid w:val="005A6D8D"/>
    <w:rsid w:val="005A71F9"/>
    <w:rsid w:val="005B3754"/>
    <w:rsid w:val="005B3A6F"/>
    <w:rsid w:val="005B4F9D"/>
    <w:rsid w:val="005D5306"/>
    <w:rsid w:val="005E02DC"/>
    <w:rsid w:val="005E3A77"/>
    <w:rsid w:val="005F36FD"/>
    <w:rsid w:val="005F7998"/>
    <w:rsid w:val="00607CC7"/>
    <w:rsid w:val="00610449"/>
    <w:rsid w:val="006140AE"/>
    <w:rsid w:val="00614FC3"/>
    <w:rsid w:val="0061511B"/>
    <w:rsid w:val="006230C1"/>
    <w:rsid w:val="006232A7"/>
    <w:rsid w:val="00625D97"/>
    <w:rsid w:val="00626087"/>
    <w:rsid w:val="0062657E"/>
    <w:rsid w:val="006371CF"/>
    <w:rsid w:val="006437EA"/>
    <w:rsid w:val="00643D06"/>
    <w:rsid w:val="0064519C"/>
    <w:rsid w:val="0064773D"/>
    <w:rsid w:val="00660638"/>
    <w:rsid w:val="00665979"/>
    <w:rsid w:val="0066654F"/>
    <w:rsid w:val="00667210"/>
    <w:rsid w:val="00667D65"/>
    <w:rsid w:val="00667E6A"/>
    <w:rsid w:val="00683AC7"/>
    <w:rsid w:val="00686FD8"/>
    <w:rsid w:val="006871AC"/>
    <w:rsid w:val="006877AE"/>
    <w:rsid w:val="0069053C"/>
    <w:rsid w:val="006944FE"/>
    <w:rsid w:val="0069654B"/>
    <w:rsid w:val="00696DF2"/>
    <w:rsid w:val="006A0DAB"/>
    <w:rsid w:val="006A1458"/>
    <w:rsid w:val="006A740A"/>
    <w:rsid w:val="006A7ED8"/>
    <w:rsid w:val="006B553F"/>
    <w:rsid w:val="006C0A79"/>
    <w:rsid w:val="006C430F"/>
    <w:rsid w:val="006C4FCC"/>
    <w:rsid w:val="006C5A7C"/>
    <w:rsid w:val="006C7213"/>
    <w:rsid w:val="006D67CC"/>
    <w:rsid w:val="006E00D3"/>
    <w:rsid w:val="006E1FB0"/>
    <w:rsid w:val="006E2FD9"/>
    <w:rsid w:val="006E3D88"/>
    <w:rsid w:val="006E3F85"/>
    <w:rsid w:val="006E683A"/>
    <w:rsid w:val="006F0D3D"/>
    <w:rsid w:val="006F610B"/>
    <w:rsid w:val="007105F0"/>
    <w:rsid w:val="00711F79"/>
    <w:rsid w:val="007148A2"/>
    <w:rsid w:val="00715423"/>
    <w:rsid w:val="00727F9B"/>
    <w:rsid w:val="00740A4C"/>
    <w:rsid w:val="00746CB3"/>
    <w:rsid w:val="007470F3"/>
    <w:rsid w:val="00757C87"/>
    <w:rsid w:val="00757F40"/>
    <w:rsid w:val="007606F2"/>
    <w:rsid w:val="00761684"/>
    <w:rsid w:val="007636F4"/>
    <w:rsid w:val="00781720"/>
    <w:rsid w:val="007848C5"/>
    <w:rsid w:val="00793F98"/>
    <w:rsid w:val="0079483B"/>
    <w:rsid w:val="007969C6"/>
    <w:rsid w:val="007A1A09"/>
    <w:rsid w:val="007A4AF3"/>
    <w:rsid w:val="007B3927"/>
    <w:rsid w:val="007B60EF"/>
    <w:rsid w:val="007C1E48"/>
    <w:rsid w:val="007D1AF9"/>
    <w:rsid w:val="007E55BD"/>
    <w:rsid w:val="007F289D"/>
    <w:rsid w:val="007F377C"/>
    <w:rsid w:val="007F40E8"/>
    <w:rsid w:val="007F7798"/>
    <w:rsid w:val="007F7D3E"/>
    <w:rsid w:val="00813C42"/>
    <w:rsid w:val="00816F6A"/>
    <w:rsid w:val="00820AAF"/>
    <w:rsid w:val="008303B5"/>
    <w:rsid w:val="008321F4"/>
    <w:rsid w:val="00832BB6"/>
    <w:rsid w:val="0083305A"/>
    <w:rsid w:val="008350BB"/>
    <w:rsid w:val="008351FE"/>
    <w:rsid w:val="008456FE"/>
    <w:rsid w:val="00854E75"/>
    <w:rsid w:val="00860C35"/>
    <w:rsid w:val="00860F50"/>
    <w:rsid w:val="00863F41"/>
    <w:rsid w:val="0086631E"/>
    <w:rsid w:val="00872215"/>
    <w:rsid w:val="008749CF"/>
    <w:rsid w:val="00876525"/>
    <w:rsid w:val="00886D30"/>
    <w:rsid w:val="00887C9B"/>
    <w:rsid w:val="00894740"/>
    <w:rsid w:val="00894CD5"/>
    <w:rsid w:val="008A0505"/>
    <w:rsid w:val="008A2E17"/>
    <w:rsid w:val="008A4D8E"/>
    <w:rsid w:val="008B03CF"/>
    <w:rsid w:val="008B21F4"/>
    <w:rsid w:val="008B429B"/>
    <w:rsid w:val="008C23C0"/>
    <w:rsid w:val="008C438E"/>
    <w:rsid w:val="008C49FF"/>
    <w:rsid w:val="008C6F37"/>
    <w:rsid w:val="008C7416"/>
    <w:rsid w:val="008D3229"/>
    <w:rsid w:val="008D463E"/>
    <w:rsid w:val="008D53D9"/>
    <w:rsid w:val="008D7D71"/>
    <w:rsid w:val="008E2E10"/>
    <w:rsid w:val="008E326E"/>
    <w:rsid w:val="008E5403"/>
    <w:rsid w:val="008F01FD"/>
    <w:rsid w:val="008F0CCF"/>
    <w:rsid w:val="008F1A14"/>
    <w:rsid w:val="008F7E6A"/>
    <w:rsid w:val="00902C6A"/>
    <w:rsid w:val="0090424D"/>
    <w:rsid w:val="009117C3"/>
    <w:rsid w:val="00921C6D"/>
    <w:rsid w:val="009225F7"/>
    <w:rsid w:val="0092439E"/>
    <w:rsid w:val="00926097"/>
    <w:rsid w:val="00926897"/>
    <w:rsid w:val="00934F5A"/>
    <w:rsid w:val="0093697B"/>
    <w:rsid w:val="00941D7F"/>
    <w:rsid w:val="009476FC"/>
    <w:rsid w:val="00950206"/>
    <w:rsid w:val="0095283C"/>
    <w:rsid w:val="00952ECC"/>
    <w:rsid w:val="009531D1"/>
    <w:rsid w:val="00960D42"/>
    <w:rsid w:val="009616E6"/>
    <w:rsid w:val="00962185"/>
    <w:rsid w:val="00964A2C"/>
    <w:rsid w:val="00965108"/>
    <w:rsid w:val="00967A7B"/>
    <w:rsid w:val="009722B3"/>
    <w:rsid w:val="0098053F"/>
    <w:rsid w:val="00983662"/>
    <w:rsid w:val="0098398C"/>
    <w:rsid w:val="00983BE2"/>
    <w:rsid w:val="00984987"/>
    <w:rsid w:val="00984F7B"/>
    <w:rsid w:val="00985DBE"/>
    <w:rsid w:val="00992165"/>
    <w:rsid w:val="00996EBA"/>
    <w:rsid w:val="009A0964"/>
    <w:rsid w:val="009A5467"/>
    <w:rsid w:val="009A5AEC"/>
    <w:rsid w:val="009A5DC7"/>
    <w:rsid w:val="009B257B"/>
    <w:rsid w:val="009B2C48"/>
    <w:rsid w:val="009B51AD"/>
    <w:rsid w:val="009C12D9"/>
    <w:rsid w:val="009C6F71"/>
    <w:rsid w:val="009D31B2"/>
    <w:rsid w:val="009D60DB"/>
    <w:rsid w:val="009D724F"/>
    <w:rsid w:val="009E0699"/>
    <w:rsid w:val="009E1E50"/>
    <w:rsid w:val="00A0277D"/>
    <w:rsid w:val="00A0437B"/>
    <w:rsid w:val="00A0650A"/>
    <w:rsid w:val="00A06EC2"/>
    <w:rsid w:val="00A06FAD"/>
    <w:rsid w:val="00A123B1"/>
    <w:rsid w:val="00A31408"/>
    <w:rsid w:val="00A416B7"/>
    <w:rsid w:val="00A43D8A"/>
    <w:rsid w:val="00A44C6E"/>
    <w:rsid w:val="00A50372"/>
    <w:rsid w:val="00A53DD9"/>
    <w:rsid w:val="00A53EAB"/>
    <w:rsid w:val="00A56F17"/>
    <w:rsid w:val="00A60B41"/>
    <w:rsid w:val="00A63916"/>
    <w:rsid w:val="00A66BED"/>
    <w:rsid w:val="00A72641"/>
    <w:rsid w:val="00A80E19"/>
    <w:rsid w:val="00A81123"/>
    <w:rsid w:val="00A83B32"/>
    <w:rsid w:val="00A848AF"/>
    <w:rsid w:val="00A849EF"/>
    <w:rsid w:val="00A9153D"/>
    <w:rsid w:val="00A9178F"/>
    <w:rsid w:val="00A94AE0"/>
    <w:rsid w:val="00A94C9A"/>
    <w:rsid w:val="00AA6284"/>
    <w:rsid w:val="00AB039C"/>
    <w:rsid w:val="00AB3207"/>
    <w:rsid w:val="00AB513A"/>
    <w:rsid w:val="00AB58E1"/>
    <w:rsid w:val="00AC22A2"/>
    <w:rsid w:val="00AC4070"/>
    <w:rsid w:val="00AC4115"/>
    <w:rsid w:val="00AC4658"/>
    <w:rsid w:val="00AC6BBB"/>
    <w:rsid w:val="00AD6761"/>
    <w:rsid w:val="00AD7B9D"/>
    <w:rsid w:val="00AE0B6A"/>
    <w:rsid w:val="00AE2964"/>
    <w:rsid w:val="00AF04BF"/>
    <w:rsid w:val="00AF3A00"/>
    <w:rsid w:val="00AF4108"/>
    <w:rsid w:val="00AF5CA7"/>
    <w:rsid w:val="00B102B3"/>
    <w:rsid w:val="00B13369"/>
    <w:rsid w:val="00B14269"/>
    <w:rsid w:val="00B161BF"/>
    <w:rsid w:val="00B24316"/>
    <w:rsid w:val="00B24F7F"/>
    <w:rsid w:val="00B25347"/>
    <w:rsid w:val="00B26B24"/>
    <w:rsid w:val="00B26C12"/>
    <w:rsid w:val="00B27D08"/>
    <w:rsid w:val="00B32A78"/>
    <w:rsid w:val="00B33A50"/>
    <w:rsid w:val="00B3625F"/>
    <w:rsid w:val="00B401C5"/>
    <w:rsid w:val="00B47F57"/>
    <w:rsid w:val="00B56BF5"/>
    <w:rsid w:val="00B60075"/>
    <w:rsid w:val="00B63A02"/>
    <w:rsid w:val="00B64833"/>
    <w:rsid w:val="00B668E7"/>
    <w:rsid w:val="00B747D4"/>
    <w:rsid w:val="00B75CBF"/>
    <w:rsid w:val="00B76CFF"/>
    <w:rsid w:val="00B81BA2"/>
    <w:rsid w:val="00B8319B"/>
    <w:rsid w:val="00B90E98"/>
    <w:rsid w:val="00B9130E"/>
    <w:rsid w:val="00B92DFB"/>
    <w:rsid w:val="00B93E00"/>
    <w:rsid w:val="00B942A2"/>
    <w:rsid w:val="00BA0DB1"/>
    <w:rsid w:val="00BA23D1"/>
    <w:rsid w:val="00BA3CA4"/>
    <w:rsid w:val="00BB009D"/>
    <w:rsid w:val="00BB0892"/>
    <w:rsid w:val="00BB21D1"/>
    <w:rsid w:val="00BC386F"/>
    <w:rsid w:val="00BC48A0"/>
    <w:rsid w:val="00BC5639"/>
    <w:rsid w:val="00BD1154"/>
    <w:rsid w:val="00BE1428"/>
    <w:rsid w:val="00BE3255"/>
    <w:rsid w:val="00BE59DD"/>
    <w:rsid w:val="00BF46F2"/>
    <w:rsid w:val="00BF49CF"/>
    <w:rsid w:val="00C008A4"/>
    <w:rsid w:val="00C10A31"/>
    <w:rsid w:val="00C11FA2"/>
    <w:rsid w:val="00C155FC"/>
    <w:rsid w:val="00C210AD"/>
    <w:rsid w:val="00C249FC"/>
    <w:rsid w:val="00C32B25"/>
    <w:rsid w:val="00C33B6E"/>
    <w:rsid w:val="00C3431D"/>
    <w:rsid w:val="00C34D69"/>
    <w:rsid w:val="00C36976"/>
    <w:rsid w:val="00C379D2"/>
    <w:rsid w:val="00C4181A"/>
    <w:rsid w:val="00C41AE7"/>
    <w:rsid w:val="00C51DD0"/>
    <w:rsid w:val="00C5477C"/>
    <w:rsid w:val="00C55B6A"/>
    <w:rsid w:val="00C56F66"/>
    <w:rsid w:val="00C61265"/>
    <w:rsid w:val="00C65603"/>
    <w:rsid w:val="00C708D3"/>
    <w:rsid w:val="00C72A67"/>
    <w:rsid w:val="00C8484D"/>
    <w:rsid w:val="00C857CD"/>
    <w:rsid w:val="00C87565"/>
    <w:rsid w:val="00CB2D54"/>
    <w:rsid w:val="00CC30FD"/>
    <w:rsid w:val="00CC3AA4"/>
    <w:rsid w:val="00CC6133"/>
    <w:rsid w:val="00CC6CE9"/>
    <w:rsid w:val="00CD1BFF"/>
    <w:rsid w:val="00CD591A"/>
    <w:rsid w:val="00CD609E"/>
    <w:rsid w:val="00CD6831"/>
    <w:rsid w:val="00CE0890"/>
    <w:rsid w:val="00CE15B2"/>
    <w:rsid w:val="00CE1783"/>
    <w:rsid w:val="00CE323C"/>
    <w:rsid w:val="00CF1ACE"/>
    <w:rsid w:val="00CF1BFB"/>
    <w:rsid w:val="00CF345F"/>
    <w:rsid w:val="00CF3D13"/>
    <w:rsid w:val="00CF4866"/>
    <w:rsid w:val="00CF6667"/>
    <w:rsid w:val="00D0359D"/>
    <w:rsid w:val="00D13ADB"/>
    <w:rsid w:val="00D14DAF"/>
    <w:rsid w:val="00D24CDB"/>
    <w:rsid w:val="00D267AB"/>
    <w:rsid w:val="00D32A38"/>
    <w:rsid w:val="00D3453B"/>
    <w:rsid w:val="00D43B49"/>
    <w:rsid w:val="00D45356"/>
    <w:rsid w:val="00D50828"/>
    <w:rsid w:val="00D520F8"/>
    <w:rsid w:val="00D6059D"/>
    <w:rsid w:val="00D61A90"/>
    <w:rsid w:val="00D62E39"/>
    <w:rsid w:val="00D6401F"/>
    <w:rsid w:val="00D645E5"/>
    <w:rsid w:val="00D67306"/>
    <w:rsid w:val="00D709B0"/>
    <w:rsid w:val="00D75696"/>
    <w:rsid w:val="00D7590A"/>
    <w:rsid w:val="00D76135"/>
    <w:rsid w:val="00D770EB"/>
    <w:rsid w:val="00D8027A"/>
    <w:rsid w:val="00D811BC"/>
    <w:rsid w:val="00D825F6"/>
    <w:rsid w:val="00D83E1D"/>
    <w:rsid w:val="00D85E94"/>
    <w:rsid w:val="00D873B9"/>
    <w:rsid w:val="00D95752"/>
    <w:rsid w:val="00D96A1C"/>
    <w:rsid w:val="00D96EC2"/>
    <w:rsid w:val="00DA07B6"/>
    <w:rsid w:val="00DB355F"/>
    <w:rsid w:val="00DB64A8"/>
    <w:rsid w:val="00DB77BC"/>
    <w:rsid w:val="00DC2D56"/>
    <w:rsid w:val="00DC660B"/>
    <w:rsid w:val="00DD0235"/>
    <w:rsid w:val="00DD4E19"/>
    <w:rsid w:val="00DE1322"/>
    <w:rsid w:val="00DF56DB"/>
    <w:rsid w:val="00DF6350"/>
    <w:rsid w:val="00DF770A"/>
    <w:rsid w:val="00E027B5"/>
    <w:rsid w:val="00E138F8"/>
    <w:rsid w:val="00E13F39"/>
    <w:rsid w:val="00E17F76"/>
    <w:rsid w:val="00E218F0"/>
    <w:rsid w:val="00E22062"/>
    <w:rsid w:val="00E22713"/>
    <w:rsid w:val="00E24011"/>
    <w:rsid w:val="00E24AE8"/>
    <w:rsid w:val="00E256CA"/>
    <w:rsid w:val="00E27E83"/>
    <w:rsid w:val="00E31BCF"/>
    <w:rsid w:val="00E346C9"/>
    <w:rsid w:val="00E413E1"/>
    <w:rsid w:val="00E416C8"/>
    <w:rsid w:val="00E42C21"/>
    <w:rsid w:val="00E46CD5"/>
    <w:rsid w:val="00E5036D"/>
    <w:rsid w:val="00E51B5B"/>
    <w:rsid w:val="00E60000"/>
    <w:rsid w:val="00E604D1"/>
    <w:rsid w:val="00E60C38"/>
    <w:rsid w:val="00E6343B"/>
    <w:rsid w:val="00E647F6"/>
    <w:rsid w:val="00E73150"/>
    <w:rsid w:val="00E85E71"/>
    <w:rsid w:val="00E91964"/>
    <w:rsid w:val="00E960B3"/>
    <w:rsid w:val="00E96302"/>
    <w:rsid w:val="00E9733B"/>
    <w:rsid w:val="00EB192F"/>
    <w:rsid w:val="00EB51C6"/>
    <w:rsid w:val="00EC1066"/>
    <w:rsid w:val="00EC4058"/>
    <w:rsid w:val="00EC6CCF"/>
    <w:rsid w:val="00EC71A2"/>
    <w:rsid w:val="00ED1F78"/>
    <w:rsid w:val="00ED250C"/>
    <w:rsid w:val="00EE269F"/>
    <w:rsid w:val="00EE390C"/>
    <w:rsid w:val="00EE72F1"/>
    <w:rsid w:val="00EF2F63"/>
    <w:rsid w:val="00F03365"/>
    <w:rsid w:val="00F04FCF"/>
    <w:rsid w:val="00F0735A"/>
    <w:rsid w:val="00F219DB"/>
    <w:rsid w:val="00F21A3D"/>
    <w:rsid w:val="00F229A1"/>
    <w:rsid w:val="00F27C7D"/>
    <w:rsid w:val="00F355FE"/>
    <w:rsid w:val="00F40724"/>
    <w:rsid w:val="00F4182B"/>
    <w:rsid w:val="00F51882"/>
    <w:rsid w:val="00F53369"/>
    <w:rsid w:val="00F545C4"/>
    <w:rsid w:val="00F60440"/>
    <w:rsid w:val="00F606EE"/>
    <w:rsid w:val="00F61B01"/>
    <w:rsid w:val="00F62694"/>
    <w:rsid w:val="00F62997"/>
    <w:rsid w:val="00F64104"/>
    <w:rsid w:val="00F75B09"/>
    <w:rsid w:val="00F80516"/>
    <w:rsid w:val="00F856AE"/>
    <w:rsid w:val="00F918C7"/>
    <w:rsid w:val="00FA2D3F"/>
    <w:rsid w:val="00FB145D"/>
    <w:rsid w:val="00FB3A44"/>
    <w:rsid w:val="00FB57B0"/>
    <w:rsid w:val="00FB7DCD"/>
    <w:rsid w:val="00FC336C"/>
    <w:rsid w:val="00FC5E60"/>
    <w:rsid w:val="00FD361B"/>
    <w:rsid w:val="00FD47BD"/>
    <w:rsid w:val="00FE2F69"/>
    <w:rsid w:val="00FE4B30"/>
    <w:rsid w:val="00FE72DC"/>
    <w:rsid w:val="00FF1B03"/>
    <w:rsid w:val="00FF578B"/>
    <w:rsid w:val="00FF6289"/>
    <w:rsid w:val="00FF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55"/>
    <w:rPr>
      <w:rFonts w:ascii="Times New Roman" w:eastAsia="Times New Roman" w:hAnsi="Times New Roman"/>
      <w:sz w:val="24"/>
    </w:rPr>
  </w:style>
  <w:style w:type="paragraph" w:styleId="Heading1">
    <w:name w:val="heading 1"/>
    <w:basedOn w:val="BodyText"/>
    <w:next w:val="Normal"/>
    <w:link w:val="Heading1Char"/>
    <w:uiPriority w:val="9"/>
    <w:qFormat/>
    <w:rsid w:val="00D267AB"/>
    <w:pPr>
      <w:keepNext/>
      <w:numPr>
        <w:numId w:val="2"/>
      </w:numPr>
      <w:spacing w:before="240"/>
      <w:ind w:left="864" w:hanging="72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uiPriority w:val="99"/>
    <w:rsid w:val="00E256CA"/>
    <w:pPr>
      <w:widowControl w:val="0"/>
      <w:jc w:val="center"/>
    </w:pPr>
    <w:rPr>
      <w:b/>
      <w:sz w:val="20"/>
    </w:rPr>
  </w:style>
  <w:style w:type="character" w:customStyle="1" w:styleId="Heading1Char">
    <w:name w:val="Heading 1 Char"/>
    <w:basedOn w:val="DefaultParagraphFont"/>
    <w:link w:val="Heading1"/>
    <w:uiPriority w:val="9"/>
    <w:rsid w:val="00D267AB"/>
    <w:rPr>
      <w:rFonts w:ascii="Times New Roman" w:eastAsia="Times New Roman" w:hAnsi="Times New Roman" w:cs="Times New Roman"/>
      <w:b/>
      <w:bCs/>
      <w:kern w:val="32"/>
      <w:sz w:val="24"/>
      <w:szCs w:val="32"/>
    </w:rPr>
  </w:style>
  <w:style w:type="paragraph" w:styleId="BodyText">
    <w:name w:val="Body Text"/>
    <w:basedOn w:val="Normal"/>
    <w:link w:val="BodyTextChar"/>
    <w:uiPriority w:val="99"/>
    <w:semiHidden/>
    <w:unhideWhenUsed/>
    <w:rsid w:val="00D267AB"/>
    <w:pPr>
      <w:spacing w:after="120"/>
    </w:pPr>
  </w:style>
  <w:style w:type="character" w:customStyle="1" w:styleId="BodyTextChar">
    <w:name w:val="Body Text Char"/>
    <w:basedOn w:val="DefaultParagraphFont"/>
    <w:link w:val="BodyText"/>
    <w:uiPriority w:val="99"/>
    <w:semiHidden/>
    <w:rsid w:val="00D267AB"/>
    <w:rPr>
      <w:rFonts w:ascii="Times New Roman" w:eastAsia="Times New Roman" w:hAnsi="Times New Roman" w:cs="Times New Roman"/>
      <w:sz w:val="24"/>
      <w:szCs w:val="20"/>
    </w:rPr>
  </w:style>
  <w:style w:type="paragraph" w:customStyle="1" w:styleId="SectionHeading">
    <w:name w:val="Section Heading"/>
    <w:basedOn w:val="Normal"/>
    <w:autoRedefine/>
    <w:qFormat/>
    <w:rsid w:val="00962185"/>
    <w:pPr>
      <w:jc w:val="center"/>
    </w:pPr>
    <w:rPr>
      <w:b/>
      <w:u w:val="single"/>
    </w:rPr>
  </w:style>
  <w:style w:type="character" w:styleId="Hyperlink">
    <w:name w:val="Hyperlink"/>
    <w:uiPriority w:val="99"/>
    <w:unhideWhenUsed/>
    <w:rsid w:val="00EB51C6"/>
    <w:rPr>
      <w:color w:val="0000FF"/>
      <w:u w:val="single"/>
    </w:rPr>
  </w:style>
  <w:style w:type="paragraph" w:styleId="Footer">
    <w:name w:val="footer"/>
    <w:basedOn w:val="Normal"/>
    <w:link w:val="FooterChar"/>
    <w:uiPriority w:val="99"/>
    <w:semiHidden/>
    <w:unhideWhenUsed/>
    <w:rsid w:val="00EB51C6"/>
    <w:pPr>
      <w:tabs>
        <w:tab w:val="center" w:pos="4320"/>
        <w:tab w:val="right" w:pos="8640"/>
      </w:tabs>
    </w:pPr>
  </w:style>
  <w:style w:type="character" w:customStyle="1" w:styleId="FooterChar">
    <w:name w:val="Footer Char"/>
    <w:basedOn w:val="DefaultParagraphFont"/>
    <w:link w:val="Footer"/>
    <w:uiPriority w:val="99"/>
    <w:semiHidden/>
    <w:rsid w:val="00EB51C6"/>
    <w:rPr>
      <w:rFonts w:ascii="Times New Roman" w:eastAsia="Times New Roman" w:hAnsi="Times New Roman"/>
      <w:sz w:val="24"/>
    </w:rPr>
  </w:style>
  <w:style w:type="character" w:styleId="PageNumber">
    <w:name w:val="page number"/>
    <w:basedOn w:val="DefaultParagraphFont"/>
    <w:uiPriority w:val="99"/>
    <w:semiHidden/>
    <w:unhideWhenUsed/>
    <w:rsid w:val="00EB51C6"/>
  </w:style>
  <w:style w:type="paragraph" w:styleId="FootnoteText">
    <w:name w:val="footnote text"/>
    <w:basedOn w:val="Normal"/>
    <w:link w:val="FootnoteTextChar"/>
    <w:uiPriority w:val="99"/>
    <w:unhideWhenUsed/>
    <w:rsid w:val="0016507D"/>
    <w:rPr>
      <w:sz w:val="20"/>
    </w:rPr>
  </w:style>
  <w:style w:type="character" w:customStyle="1" w:styleId="FootnoteTextChar">
    <w:name w:val="Footnote Text Char"/>
    <w:basedOn w:val="DefaultParagraphFont"/>
    <w:link w:val="FootnoteText"/>
    <w:uiPriority w:val="99"/>
    <w:rsid w:val="0016507D"/>
    <w:rPr>
      <w:rFonts w:ascii="Times New Roman" w:eastAsia="Times New Roman" w:hAnsi="Times New Roman"/>
    </w:rPr>
  </w:style>
  <w:style w:type="character" w:styleId="FootnoteReference">
    <w:name w:val="footnote reference"/>
    <w:uiPriority w:val="99"/>
    <w:semiHidden/>
    <w:unhideWhenUsed/>
    <w:rsid w:val="0016507D"/>
    <w:rPr>
      <w:vertAlign w:val="superscript"/>
    </w:rPr>
  </w:style>
  <w:style w:type="paragraph" w:customStyle="1" w:styleId="Sub-Subsection1">
    <w:name w:val="Sub-Subsection1"/>
    <w:basedOn w:val="Normal"/>
    <w:autoRedefine/>
    <w:qFormat/>
    <w:rsid w:val="00715423"/>
    <w:pPr>
      <w:numPr>
        <w:numId w:val="6"/>
      </w:numPr>
      <w:ind w:left="720" w:hanging="360"/>
    </w:pPr>
    <w:rPr>
      <w:i/>
    </w:rPr>
  </w:style>
  <w:style w:type="paragraph" w:customStyle="1" w:styleId="Subsection1">
    <w:name w:val="Subsection1"/>
    <w:basedOn w:val="Normal"/>
    <w:autoRedefine/>
    <w:qFormat/>
    <w:rsid w:val="0016507D"/>
    <w:pPr>
      <w:numPr>
        <w:numId w:val="4"/>
      </w:numPr>
    </w:pPr>
    <w:rPr>
      <w:b/>
      <w:u w:val="single"/>
    </w:rPr>
  </w:style>
  <w:style w:type="character" w:customStyle="1" w:styleId="documentbody">
    <w:name w:val="documentbody"/>
    <w:basedOn w:val="DefaultParagraphFont"/>
    <w:rsid w:val="0016507D"/>
  </w:style>
  <w:style w:type="character" w:customStyle="1" w:styleId="apple-style-span">
    <w:name w:val="apple-style-span"/>
    <w:rsid w:val="0016507D"/>
  </w:style>
  <w:style w:type="character" w:customStyle="1" w:styleId="apple-converted-space">
    <w:name w:val="apple-converted-space"/>
    <w:rsid w:val="0016507D"/>
  </w:style>
  <w:style w:type="character" w:styleId="CommentReference">
    <w:name w:val="annotation reference"/>
    <w:basedOn w:val="DefaultParagraphFont"/>
    <w:uiPriority w:val="99"/>
    <w:semiHidden/>
    <w:unhideWhenUsed/>
    <w:rsid w:val="00607CC7"/>
    <w:rPr>
      <w:sz w:val="16"/>
      <w:szCs w:val="16"/>
    </w:rPr>
  </w:style>
  <w:style w:type="paragraph" w:styleId="CommentText">
    <w:name w:val="annotation text"/>
    <w:basedOn w:val="Normal"/>
    <w:link w:val="CommentTextChar"/>
    <w:uiPriority w:val="99"/>
    <w:semiHidden/>
    <w:unhideWhenUsed/>
    <w:rsid w:val="00607CC7"/>
    <w:rPr>
      <w:sz w:val="20"/>
    </w:rPr>
  </w:style>
  <w:style w:type="character" w:customStyle="1" w:styleId="CommentTextChar">
    <w:name w:val="Comment Text Char"/>
    <w:basedOn w:val="DefaultParagraphFont"/>
    <w:link w:val="CommentText"/>
    <w:uiPriority w:val="99"/>
    <w:semiHidden/>
    <w:rsid w:val="00607C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7CC7"/>
    <w:rPr>
      <w:b/>
      <w:bCs/>
    </w:rPr>
  </w:style>
  <w:style w:type="character" w:customStyle="1" w:styleId="CommentSubjectChar">
    <w:name w:val="Comment Subject Char"/>
    <w:basedOn w:val="CommentTextChar"/>
    <w:link w:val="CommentSubject"/>
    <w:uiPriority w:val="99"/>
    <w:semiHidden/>
    <w:rsid w:val="00607CC7"/>
    <w:rPr>
      <w:rFonts w:ascii="Times New Roman" w:eastAsia="Times New Roman" w:hAnsi="Times New Roman"/>
      <w:b/>
      <w:bCs/>
    </w:rPr>
  </w:style>
  <w:style w:type="paragraph" w:styleId="BalloonText">
    <w:name w:val="Balloon Text"/>
    <w:basedOn w:val="Normal"/>
    <w:link w:val="BalloonTextChar"/>
    <w:uiPriority w:val="99"/>
    <w:semiHidden/>
    <w:unhideWhenUsed/>
    <w:rsid w:val="00607CC7"/>
    <w:rPr>
      <w:rFonts w:ascii="Tahoma" w:hAnsi="Tahoma" w:cs="Tahoma"/>
      <w:sz w:val="16"/>
      <w:szCs w:val="16"/>
    </w:rPr>
  </w:style>
  <w:style w:type="character" w:customStyle="1" w:styleId="BalloonTextChar">
    <w:name w:val="Balloon Text Char"/>
    <w:basedOn w:val="DefaultParagraphFont"/>
    <w:link w:val="BalloonText"/>
    <w:uiPriority w:val="99"/>
    <w:semiHidden/>
    <w:rsid w:val="00607CC7"/>
    <w:rPr>
      <w:rFonts w:ascii="Tahoma" w:eastAsia="Times New Roman" w:hAnsi="Tahoma" w:cs="Tahoma"/>
      <w:sz w:val="16"/>
      <w:szCs w:val="16"/>
    </w:rPr>
  </w:style>
  <w:style w:type="paragraph" w:customStyle="1" w:styleId="Default">
    <w:name w:val="Default"/>
    <w:rsid w:val="004162D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60C35"/>
    <w:pPr>
      <w:autoSpaceDE w:val="0"/>
      <w:autoSpaceDN w:val="0"/>
      <w:adjustRightInd w:val="0"/>
      <w:ind w:left="720"/>
      <w:contextualSpacing/>
    </w:pPr>
    <w:rPr>
      <w:rFonts w:eastAsia="Calibri"/>
    </w:rPr>
  </w:style>
  <w:style w:type="paragraph" w:styleId="Header">
    <w:name w:val="header"/>
    <w:basedOn w:val="Normal"/>
    <w:link w:val="HeaderChar"/>
    <w:uiPriority w:val="99"/>
    <w:semiHidden/>
    <w:unhideWhenUsed/>
    <w:rsid w:val="00567521"/>
    <w:pPr>
      <w:tabs>
        <w:tab w:val="center" w:pos="4680"/>
        <w:tab w:val="right" w:pos="9360"/>
      </w:tabs>
    </w:pPr>
  </w:style>
  <w:style w:type="character" w:customStyle="1" w:styleId="HeaderChar">
    <w:name w:val="Header Char"/>
    <w:basedOn w:val="DefaultParagraphFont"/>
    <w:link w:val="Header"/>
    <w:uiPriority w:val="99"/>
    <w:semiHidden/>
    <w:rsid w:val="00567521"/>
    <w:rPr>
      <w:rFonts w:ascii="Times New Roman" w:eastAsia="Times New Roman" w:hAnsi="Times New Roman"/>
      <w:sz w:val="24"/>
    </w:rPr>
  </w:style>
  <w:style w:type="paragraph" w:customStyle="1" w:styleId="ParaNumbers">
    <w:name w:val="Para Numbers"/>
    <w:uiPriority w:val="99"/>
    <w:rsid w:val="004D79AC"/>
    <w:pPr>
      <w:autoSpaceDE w:val="0"/>
      <w:autoSpaceDN w:val="0"/>
      <w:adjustRightInd w:val="0"/>
    </w:pPr>
    <w:rPr>
      <w:rFonts w:ascii="Times New Roman" w:hAnsi="Times New Roman"/>
      <w:sz w:val="24"/>
      <w:szCs w:val="24"/>
    </w:rPr>
  </w:style>
  <w:style w:type="character" w:customStyle="1" w:styleId="term">
    <w:name w:val="term"/>
    <w:basedOn w:val="DefaultParagraphFont"/>
    <w:rsid w:val="00984987"/>
  </w:style>
  <w:style w:type="character" w:customStyle="1" w:styleId="pmterms2">
    <w:name w:val="pmterms2"/>
    <w:basedOn w:val="DefaultParagraphFont"/>
    <w:rsid w:val="00984987"/>
  </w:style>
  <w:style w:type="paragraph" w:styleId="Revision">
    <w:name w:val="Revision"/>
    <w:hidden/>
    <w:uiPriority w:val="99"/>
    <w:semiHidden/>
    <w:rsid w:val="00323B1C"/>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55"/>
    <w:rPr>
      <w:rFonts w:ascii="Times New Roman" w:eastAsia="Times New Roman" w:hAnsi="Times New Roman"/>
      <w:sz w:val="24"/>
    </w:rPr>
  </w:style>
  <w:style w:type="paragraph" w:styleId="Heading1">
    <w:name w:val="heading 1"/>
    <w:basedOn w:val="BodyText"/>
    <w:next w:val="Normal"/>
    <w:link w:val="Heading1Char"/>
    <w:uiPriority w:val="9"/>
    <w:qFormat/>
    <w:rsid w:val="00D267AB"/>
    <w:pPr>
      <w:keepNext/>
      <w:numPr>
        <w:numId w:val="2"/>
      </w:numPr>
      <w:spacing w:before="240"/>
      <w:ind w:left="864" w:hanging="72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uiPriority w:val="99"/>
    <w:rsid w:val="00E256CA"/>
    <w:pPr>
      <w:widowControl w:val="0"/>
      <w:jc w:val="center"/>
    </w:pPr>
    <w:rPr>
      <w:b/>
      <w:sz w:val="20"/>
    </w:rPr>
  </w:style>
  <w:style w:type="character" w:customStyle="1" w:styleId="Heading1Char">
    <w:name w:val="Heading 1 Char"/>
    <w:basedOn w:val="DefaultParagraphFont"/>
    <w:link w:val="Heading1"/>
    <w:uiPriority w:val="9"/>
    <w:rsid w:val="00D267AB"/>
    <w:rPr>
      <w:rFonts w:ascii="Times New Roman" w:eastAsia="Times New Roman" w:hAnsi="Times New Roman" w:cs="Times New Roman"/>
      <w:b/>
      <w:bCs/>
      <w:kern w:val="32"/>
      <w:sz w:val="24"/>
      <w:szCs w:val="32"/>
    </w:rPr>
  </w:style>
  <w:style w:type="paragraph" w:styleId="BodyText">
    <w:name w:val="Body Text"/>
    <w:basedOn w:val="Normal"/>
    <w:link w:val="BodyTextChar"/>
    <w:uiPriority w:val="99"/>
    <w:semiHidden/>
    <w:unhideWhenUsed/>
    <w:rsid w:val="00D267AB"/>
    <w:pPr>
      <w:spacing w:after="120"/>
    </w:pPr>
  </w:style>
  <w:style w:type="character" w:customStyle="1" w:styleId="BodyTextChar">
    <w:name w:val="Body Text Char"/>
    <w:basedOn w:val="DefaultParagraphFont"/>
    <w:link w:val="BodyText"/>
    <w:uiPriority w:val="99"/>
    <w:semiHidden/>
    <w:rsid w:val="00D267AB"/>
    <w:rPr>
      <w:rFonts w:ascii="Times New Roman" w:eastAsia="Times New Roman" w:hAnsi="Times New Roman" w:cs="Times New Roman"/>
      <w:sz w:val="24"/>
      <w:szCs w:val="20"/>
    </w:rPr>
  </w:style>
  <w:style w:type="paragraph" w:customStyle="1" w:styleId="SectionHeading">
    <w:name w:val="Section Heading"/>
    <w:basedOn w:val="Normal"/>
    <w:autoRedefine/>
    <w:qFormat/>
    <w:rsid w:val="00D50828"/>
    <w:pPr>
      <w:jc w:val="center"/>
    </w:pPr>
    <w:rPr>
      <w:b/>
    </w:rPr>
  </w:style>
  <w:style w:type="character" w:styleId="Hyperlink">
    <w:name w:val="Hyperlink"/>
    <w:uiPriority w:val="99"/>
    <w:unhideWhenUsed/>
    <w:rsid w:val="00EB51C6"/>
    <w:rPr>
      <w:color w:val="0000FF"/>
      <w:u w:val="single"/>
    </w:rPr>
  </w:style>
  <w:style w:type="paragraph" w:styleId="Footer">
    <w:name w:val="footer"/>
    <w:basedOn w:val="Normal"/>
    <w:link w:val="FooterChar"/>
    <w:uiPriority w:val="99"/>
    <w:semiHidden/>
    <w:unhideWhenUsed/>
    <w:rsid w:val="00EB51C6"/>
    <w:pPr>
      <w:tabs>
        <w:tab w:val="center" w:pos="4320"/>
        <w:tab w:val="right" w:pos="8640"/>
      </w:tabs>
    </w:pPr>
  </w:style>
  <w:style w:type="character" w:customStyle="1" w:styleId="FooterChar">
    <w:name w:val="Footer Char"/>
    <w:basedOn w:val="DefaultParagraphFont"/>
    <w:link w:val="Footer"/>
    <w:uiPriority w:val="99"/>
    <w:semiHidden/>
    <w:rsid w:val="00EB51C6"/>
    <w:rPr>
      <w:rFonts w:ascii="Times New Roman" w:eastAsia="Times New Roman" w:hAnsi="Times New Roman"/>
      <w:sz w:val="24"/>
    </w:rPr>
  </w:style>
  <w:style w:type="character" w:styleId="PageNumber">
    <w:name w:val="page number"/>
    <w:basedOn w:val="DefaultParagraphFont"/>
    <w:uiPriority w:val="99"/>
    <w:semiHidden/>
    <w:unhideWhenUsed/>
    <w:rsid w:val="00EB51C6"/>
  </w:style>
  <w:style w:type="paragraph" w:styleId="FootnoteText">
    <w:name w:val="footnote text"/>
    <w:basedOn w:val="Normal"/>
    <w:link w:val="FootnoteTextChar"/>
    <w:uiPriority w:val="99"/>
    <w:unhideWhenUsed/>
    <w:rsid w:val="0016507D"/>
    <w:rPr>
      <w:sz w:val="20"/>
    </w:rPr>
  </w:style>
  <w:style w:type="character" w:customStyle="1" w:styleId="FootnoteTextChar">
    <w:name w:val="Footnote Text Char"/>
    <w:basedOn w:val="DefaultParagraphFont"/>
    <w:link w:val="FootnoteText"/>
    <w:uiPriority w:val="99"/>
    <w:rsid w:val="0016507D"/>
    <w:rPr>
      <w:rFonts w:ascii="Times New Roman" w:eastAsia="Times New Roman" w:hAnsi="Times New Roman"/>
    </w:rPr>
  </w:style>
  <w:style w:type="character" w:styleId="FootnoteReference">
    <w:name w:val="footnote reference"/>
    <w:uiPriority w:val="99"/>
    <w:semiHidden/>
    <w:unhideWhenUsed/>
    <w:rsid w:val="0016507D"/>
    <w:rPr>
      <w:vertAlign w:val="superscript"/>
    </w:rPr>
  </w:style>
  <w:style w:type="paragraph" w:customStyle="1" w:styleId="Sub-Subsection1">
    <w:name w:val="Sub-Subsection1"/>
    <w:basedOn w:val="Normal"/>
    <w:autoRedefine/>
    <w:qFormat/>
    <w:rsid w:val="00715423"/>
    <w:pPr>
      <w:numPr>
        <w:numId w:val="6"/>
      </w:numPr>
      <w:ind w:left="720" w:hanging="360"/>
    </w:pPr>
    <w:rPr>
      <w:i/>
    </w:rPr>
  </w:style>
  <w:style w:type="paragraph" w:customStyle="1" w:styleId="Subsection1">
    <w:name w:val="Subsection1"/>
    <w:basedOn w:val="Normal"/>
    <w:autoRedefine/>
    <w:qFormat/>
    <w:rsid w:val="0016507D"/>
    <w:pPr>
      <w:numPr>
        <w:numId w:val="4"/>
      </w:numPr>
    </w:pPr>
    <w:rPr>
      <w:b/>
      <w:u w:val="single"/>
    </w:rPr>
  </w:style>
  <w:style w:type="character" w:customStyle="1" w:styleId="documentbody">
    <w:name w:val="documentbody"/>
    <w:basedOn w:val="DefaultParagraphFont"/>
    <w:rsid w:val="0016507D"/>
  </w:style>
  <w:style w:type="character" w:customStyle="1" w:styleId="apple-style-span">
    <w:name w:val="apple-style-span"/>
    <w:rsid w:val="0016507D"/>
  </w:style>
  <w:style w:type="character" w:customStyle="1" w:styleId="apple-converted-space">
    <w:name w:val="apple-converted-space"/>
    <w:rsid w:val="0016507D"/>
  </w:style>
  <w:style w:type="character" w:styleId="CommentReference">
    <w:name w:val="annotation reference"/>
    <w:basedOn w:val="DefaultParagraphFont"/>
    <w:uiPriority w:val="99"/>
    <w:semiHidden/>
    <w:unhideWhenUsed/>
    <w:rsid w:val="00607CC7"/>
    <w:rPr>
      <w:sz w:val="16"/>
      <w:szCs w:val="16"/>
    </w:rPr>
  </w:style>
  <w:style w:type="paragraph" w:styleId="CommentText">
    <w:name w:val="annotation text"/>
    <w:basedOn w:val="Normal"/>
    <w:link w:val="CommentTextChar"/>
    <w:uiPriority w:val="99"/>
    <w:semiHidden/>
    <w:unhideWhenUsed/>
    <w:rsid w:val="00607CC7"/>
    <w:rPr>
      <w:sz w:val="20"/>
    </w:rPr>
  </w:style>
  <w:style w:type="character" w:customStyle="1" w:styleId="CommentTextChar">
    <w:name w:val="Comment Text Char"/>
    <w:basedOn w:val="DefaultParagraphFont"/>
    <w:link w:val="CommentText"/>
    <w:uiPriority w:val="99"/>
    <w:semiHidden/>
    <w:rsid w:val="00607C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7CC7"/>
    <w:rPr>
      <w:b/>
      <w:bCs/>
    </w:rPr>
  </w:style>
  <w:style w:type="character" w:customStyle="1" w:styleId="CommentSubjectChar">
    <w:name w:val="Comment Subject Char"/>
    <w:basedOn w:val="CommentTextChar"/>
    <w:link w:val="CommentSubject"/>
    <w:uiPriority w:val="99"/>
    <w:semiHidden/>
    <w:rsid w:val="00607CC7"/>
    <w:rPr>
      <w:rFonts w:ascii="Times New Roman" w:eastAsia="Times New Roman" w:hAnsi="Times New Roman"/>
      <w:b/>
      <w:bCs/>
    </w:rPr>
  </w:style>
  <w:style w:type="paragraph" w:styleId="BalloonText">
    <w:name w:val="Balloon Text"/>
    <w:basedOn w:val="Normal"/>
    <w:link w:val="BalloonTextChar"/>
    <w:uiPriority w:val="99"/>
    <w:semiHidden/>
    <w:unhideWhenUsed/>
    <w:rsid w:val="00607CC7"/>
    <w:rPr>
      <w:rFonts w:ascii="Tahoma" w:hAnsi="Tahoma" w:cs="Tahoma"/>
      <w:sz w:val="16"/>
      <w:szCs w:val="16"/>
    </w:rPr>
  </w:style>
  <w:style w:type="character" w:customStyle="1" w:styleId="BalloonTextChar">
    <w:name w:val="Balloon Text Char"/>
    <w:basedOn w:val="DefaultParagraphFont"/>
    <w:link w:val="BalloonText"/>
    <w:uiPriority w:val="99"/>
    <w:semiHidden/>
    <w:rsid w:val="00607CC7"/>
    <w:rPr>
      <w:rFonts w:ascii="Tahoma" w:eastAsia="Times New Roman" w:hAnsi="Tahoma" w:cs="Tahoma"/>
      <w:sz w:val="16"/>
      <w:szCs w:val="16"/>
    </w:rPr>
  </w:style>
  <w:style w:type="paragraph" w:customStyle="1" w:styleId="Default">
    <w:name w:val="Default"/>
    <w:rsid w:val="004162D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7040586">
      <w:bodyDiv w:val="1"/>
      <w:marLeft w:val="0"/>
      <w:marRight w:val="0"/>
      <w:marTop w:val="0"/>
      <w:marBottom w:val="0"/>
      <w:divBdr>
        <w:top w:val="none" w:sz="0" w:space="0" w:color="auto"/>
        <w:left w:val="none" w:sz="0" w:space="0" w:color="auto"/>
        <w:bottom w:val="none" w:sz="0" w:space="0" w:color="auto"/>
        <w:right w:val="none" w:sz="0" w:space="0" w:color="auto"/>
      </w:divBdr>
    </w:div>
    <w:div w:id="856576187">
      <w:bodyDiv w:val="1"/>
      <w:marLeft w:val="23"/>
      <w:marRight w:val="23"/>
      <w:marTop w:val="23"/>
      <w:marBottom w:val="23"/>
      <w:divBdr>
        <w:top w:val="none" w:sz="0" w:space="0" w:color="auto"/>
        <w:left w:val="none" w:sz="0" w:space="0" w:color="auto"/>
        <w:bottom w:val="none" w:sz="0" w:space="0" w:color="auto"/>
        <w:right w:val="none" w:sz="0" w:space="0" w:color="auto"/>
      </w:divBdr>
      <w:divsChild>
        <w:div w:id="96607729">
          <w:marLeft w:val="0"/>
          <w:marRight w:val="0"/>
          <w:marTop w:val="0"/>
          <w:marBottom w:val="0"/>
          <w:divBdr>
            <w:top w:val="none" w:sz="0" w:space="0" w:color="auto"/>
            <w:left w:val="none" w:sz="0" w:space="0" w:color="auto"/>
            <w:bottom w:val="none" w:sz="0" w:space="0" w:color="auto"/>
            <w:right w:val="none" w:sz="0" w:space="0" w:color="auto"/>
          </w:divBdr>
          <w:divsChild>
            <w:div w:id="238634546">
              <w:marLeft w:val="0"/>
              <w:marRight w:val="0"/>
              <w:marTop w:val="0"/>
              <w:marBottom w:val="0"/>
              <w:divBdr>
                <w:top w:val="none" w:sz="0" w:space="0" w:color="auto"/>
                <w:left w:val="none" w:sz="0" w:space="0" w:color="auto"/>
                <w:bottom w:val="none" w:sz="0" w:space="0" w:color="auto"/>
                <w:right w:val="none" w:sz="0" w:space="0" w:color="auto"/>
              </w:divBdr>
              <w:divsChild>
                <w:div w:id="1414662078">
                  <w:marLeft w:val="35"/>
                  <w:marRight w:val="35"/>
                  <w:marTop w:val="35"/>
                  <w:marBottom w:val="35"/>
                  <w:divBdr>
                    <w:top w:val="none" w:sz="0" w:space="0" w:color="auto"/>
                    <w:left w:val="none" w:sz="0" w:space="0" w:color="auto"/>
                    <w:bottom w:val="none" w:sz="0" w:space="0" w:color="auto"/>
                    <w:right w:val="none" w:sz="0" w:space="0" w:color="auto"/>
                  </w:divBdr>
                  <w:divsChild>
                    <w:div w:id="1557088523">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5820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32982">
      <w:bodyDiv w:val="1"/>
      <w:marLeft w:val="0"/>
      <w:marRight w:val="0"/>
      <w:marTop w:val="0"/>
      <w:marBottom w:val="0"/>
      <w:divBdr>
        <w:top w:val="none" w:sz="0" w:space="0" w:color="auto"/>
        <w:left w:val="none" w:sz="0" w:space="0" w:color="auto"/>
        <w:bottom w:val="none" w:sz="0" w:space="0" w:color="auto"/>
        <w:right w:val="none" w:sz="0" w:space="0" w:color="auto"/>
      </w:divBdr>
    </w:div>
    <w:div w:id="1928608800">
      <w:bodyDiv w:val="1"/>
      <w:marLeft w:val="0"/>
      <w:marRight w:val="0"/>
      <w:marTop w:val="0"/>
      <w:marBottom w:val="0"/>
      <w:divBdr>
        <w:top w:val="none" w:sz="0" w:space="0" w:color="auto"/>
        <w:left w:val="none" w:sz="0" w:space="0" w:color="auto"/>
        <w:bottom w:val="none" w:sz="0" w:space="0" w:color="auto"/>
        <w:right w:val="none" w:sz="0" w:space="0" w:color="auto"/>
      </w:divBdr>
    </w:div>
    <w:div w:id="2001541842">
      <w:bodyDiv w:val="1"/>
      <w:marLeft w:val="23"/>
      <w:marRight w:val="23"/>
      <w:marTop w:val="23"/>
      <w:marBottom w:val="23"/>
      <w:divBdr>
        <w:top w:val="none" w:sz="0" w:space="0" w:color="auto"/>
        <w:left w:val="none" w:sz="0" w:space="0" w:color="auto"/>
        <w:bottom w:val="none" w:sz="0" w:space="0" w:color="auto"/>
        <w:right w:val="none" w:sz="0" w:space="0" w:color="auto"/>
      </w:divBdr>
      <w:divsChild>
        <w:div w:id="526136003">
          <w:marLeft w:val="0"/>
          <w:marRight w:val="0"/>
          <w:marTop w:val="0"/>
          <w:marBottom w:val="0"/>
          <w:divBdr>
            <w:top w:val="none" w:sz="0" w:space="0" w:color="auto"/>
            <w:left w:val="none" w:sz="0" w:space="0" w:color="auto"/>
            <w:bottom w:val="none" w:sz="0" w:space="0" w:color="auto"/>
            <w:right w:val="none" w:sz="0" w:space="0" w:color="auto"/>
          </w:divBdr>
          <w:divsChild>
            <w:div w:id="1532379648">
              <w:marLeft w:val="0"/>
              <w:marRight w:val="0"/>
              <w:marTop w:val="0"/>
              <w:marBottom w:val="0"/>
              <w:divBdr>
                <w:top w:val="none" w:sz="0" w:space="0" w:color="auto"/>
                <w:left w:val="none" w:sz="0" w:space="0" w:color="auto"/>
                <w:bottom w:val="none" w:sz="0" w:space="0" w:color="auto"/>
                <w:right w:val="none" w:sz="0" w:space="0" w:color="auto"/>
              </w:divBdr>
              <w:divsChild>
                <w:div w:id="86998431">
                  <w:marLeft w:val="35"/>
                  <w:marRight w:val="35"/>
                  <w:marTop w:val="35"/>
                  <w:marBottom w:val="35"/>
                  <w:divBdr>
                    <w:top w:val="none" w:sz="0" w:space="0" w:color="auto"/>
                    <w:left w:val="none" w:sz="0" w:space="0" w:color="auto"/>
                    <w:bottom w:val="none" w:sz="0" w:space="0" w:color="auto"/>
                    <w:right w:val="none" w:sz="0" w:space="0" w:color="auto"/>
                  </w:divBdr>
                  <w:divsChild>
                    <w:div w:id="1596204438">
                      <w:marLeft w:val="0"/>
                      <w:marRight w:val="0"/>
                      <w:marTop w:val="0"/>
                      <w:marBottom w:val="0"/>
                      <w:divBdr>
                        <w:top w:val="none" w:sz="0" w:space="0" w:color="auto"/>
                        <w:left w:val="none" w:sz="0" w:space="0" w:color="auto"/>
                        <w:bottom w:val="none" w:sz="0" w:space="0" w:color="auto"/>
                        <w:right w:val="none" w:sz="0" w:space="0" w:color="auto"/>
                      </w:divBdr>
                      <w:divsChild>
                        <w:div w:id="5272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an.Rush@usdoj.go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2973</Words>
  <Characters>16948</Characters>
  <Application>Microsoft Office Word</Application>
  <DocSecurity>0</DocSecurity>
  <Lines>141</Lines>
  <Paragraphs>39</Paragraphs>
  <ScaleCrop>false</ScaleCrop>
  <Company/>
  <LinksUpToDate>false</LinksUpToDate>
  <CharactersWithSpaces>19882</CharactersWithSpaces>
  <SharedDoc>false</SharedDoc>
  <HLinks>
    <vt:vector size="12" baseType="variant">
      <vt:variant>
        <vt:i4>4980782</vt:i4>
      </vt:variant>
      <vt:variant>
        <vt:i4>7</vt:i4>
      </vt:variant>
      <vt:variant>
        <vt:i4>0</vt:i4>
      </vt:variant>
      <vt:variant>
        <vt:i4>5</vt:i4>
      </vt:variant>
      <vt:variant>
        <vt:lpwstr>mailto:Anne.Raish@usdoj.gov</vt:lpwstr>
      </vt:variant>
      <vt:variant>
        <vt:lpwstr/>
      </vt:variant>
      <vt:variant>
        <vt:i4>327777</vt:i4>
      </vt:variant>
      <vt:variant>
        <vt:i4>4</vt:i4>
      </vt:variant>
      <vt:variant>
        <vt:i4>0</vt:i4>
      </vt:variant>
      <vt:variant>
        <vt:i4>5</vt:i4>
      </vt:variant>
      <vt:variant>
        <vt:lpwstr>mailto:Regan.Rush@usdoj.gov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2011-08-30T18:39:00Z</dcterms:created>
  <dcterms:modified xsi:type="dcterms:W3CDTF">2011-08-30T18:39:00Z</dcterms:modified>
</cp:coreProperties>
</file>