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D0" w:rsidRDefault="002A64D0" w:rsidP="007B5614">
      <w:pPr>
        <w:rPr>
          <w:sz w:val="24"/>
          <w:szCs w:val="24"/>
        </w:rPr>
      </w:pPr>
      <w:bookmarkStart w:id="0" w:name="_GoBack"/>
    </w:p>
    <w:bookmarkEnd w:id="0"/>
    <w:p w:rsidR="002A64D0" w:rsidRDefault="002A64D0" w:rsidP="00EE7E7E">
      <w:pPr>
        <w:jc w:val="center"/>
        <w:rPr>
          <w:sz w:val="24"/>
          <w:szCs w:val="24"/>
        </w:rPr>
      </w:pPr>
      <w:r>
        <w:rPr>
          <w:sz w:val="24"/>
          <w:szCs w:val="24"/>
        </w:rPr>
        <w:t>UNITED STATES DISTRICT COURT</w:t>
      </w:r>
    </w:p>
    <w:p w:rsidR="002A64D0" w:rsidRDefault="002A64D0" w:rsidP="00EE7E7E">
      <w:pPr>
        <w:jc w:val="center"/>
        <w:rPr>
          <w:sz w:val="24"/>
          <w:szCs w:val="24"/>
        </w:rPr>
      </w:pPr>
      <w:r>
        <w:rPr>
          <w:sz w:val="24"/>
          <w:szCs w:val="24"/>
        </w:rPr>
        <w:t xml:space="preserve">FOR THE </w:t>
      </w:r>
      <w:r w:rsidR="00EE7E7E">
        <w:rPr>
          <w:sz w:val="24"/>
          <w:szCs w:val="24"/>
        </w:rPr>
        <w:t>EASTERN DISTRICT OF PENNSYLVANIA</w:t>
      </w:r>
    </w:p>
    <w:p w:rsidR="002A64D0" w:rsidRPr="00DB3D43" w:rsidRDefault="002A64D0" w:rsidP="007B5614">
      <w:pPr>
        <w:rPr>
          <w:sz w:val="24"/>
          <w:szCs w:val="24"/>
        </w:rPr>
      </w:pPr>
      <w:r w:rsidRPr="00DB3D43">
        <w:rPr>
          <w:sz w:val="24"/>
          <w:szCs w:val="24"/>
        </w:rPr>
        <w:t>____________________________________</w:t>
      </w:r>
    </w:p>
    <w:p w:rsidR="002A64D0" w:rsidRPr="00DB3D43" w:rsidRDefault="00C20FC7" w:rsidP="007B5614">
      <w:pPr>
        <w:tabs>
          <w:tab w:val="left" w:pos="720"/>
          <w:tab w:val="left" w:pos="1440"/>
          <w:tab w:val="left" w:pos="2160"/>
          <w:tab w:val="left" w:pos="2880"/>
          <w:tab w:val="left" w:pos="3600"/>
          <w:tab w:val="left" w:pos="4320"/>
        </w:tabs>
        <w:ind w:left="4320" w:hanging="4320"/>
        <w:rPr>
          <w:sz w:val="24"/>
          <w:szCs w:val="24"/>
        </w:rPr>
      </w:pPr>
      <w:r>
        <w:rPr>
          <w:sz w:val="24"/>
          <w:szCs w:val="24"/>
        </w:rPr>
        <w:t>PAULA SMITH</w:t>
      </w:r>
      <w:r w:rsidR="002A64D0" w:rsidRPr="00DB3D43">
        <w:rPr>
          <w:sz w:val="24"/>
          <w:szCs w:val="24"/>
        </w:rPr>
        <w:t>,</w:t>
      </w:r>
      <w:r>
        <w:rPr>
          <w:sz w:val="24"/>
          <w:szCs w:val="24"/>
        </w:rPr>
        <w:t xml:space="preserve"> individually and</w:t>
      </w:r>
      <w:r w:rsidR="002A64D0" w:rsidRPr="00DB3D43">
        <w:rPr>
          <w:sz w:val="24"/>
          <w:szCs w:val="24"/>
        </w:rPr>
        <w:tab/>
      </w:r>
      <w:r w:rsidR="002A64D0" w:rsidRPr="00DB3D43">
        <w:rPr>
          <w:sz w:val="24"/>
          <w:szCs w:val="24"/>
        </w:rPr>
        <w:tab/>
        <w:t>)</w:t>
      </w:r>
    </w:p>
    <w:p w:rsidR="00C20FC7" w:rsidRDefault="00C20FC7" w:rsidP="007B5614">
      <w:pPr>
        <w:rPr>
          <w:sz w:val="24"/>
          <w:szCs w:val="24"/>
        </w:rPr>
      </w:pPr>
      <w:proofErr w:type="gramStart"/>
      <w:r>
        <w:rPr>
          <w:sz w:val="24"/>
          <w:szCs w:val="24"/>
        </w:rPr>
        <w:t>on</w:t>
      </w:r>
      <w:proofErr w:type="gramEnd"/>
      <w:r>
        <w:rPr>
          <w:sz w:val="24"/>
          <w:szCs w:val="24"/>
        </w:rPr>
        <w:t xml:space="preserve"> behalf of similarly situated persons</w:t>
      </w:r>
      <w:r>
        <w:rPr>
          <w:sz w:val="24"/>
          <w:szCs w:val="24"/>
        </w:rPr>
        <w:tab/>
        <w:t>)</w:t>
      </w:r>
      <w:r w:rsidR="002A64D0" w:rsidRPr="00DB3D43">
        <w:rPr>
          <w:sz w:val="24"/>
          <w:szCs w:val="24"/>
        </w:rPr>
        <w:tab/>
      </w:r>
      <w:r w:rsidR="002A64D0" w:rsidRPr="00DB3D43">
        <w:rPr>
          <w:sz w:val="24"/>
          <w:szCs w:val="24"/>
        </w:rPr>
        <w:tab/>
      </w:r>
      <w:r w:rsidR="002A64D0" w:rsidRPr="00DB3D43">
        <w:rPr>
          <w:sz w:val="24"/>
          <w:szCs w:val="24"/>
        </w:rPr>
        <w:tab/>
      </w:r>
      <w:r w:rsidR="002A64D0" w:rsidRPr="00DB3D43">
        <w:rPr>
          <w:sz w:val="24"/>
          <w:szCs w:val="24"/>
        </w:rPr>
        <w:tab/>
      </w:r>
      <w:r w:rsidR="002A64D0" w:rsidRPr="00DB3D43">
        <w:rPr>
          <w:sz w:val="24"/>
          <w:szCs w:val="24"/>
        </w:rPr>
        <w:tab/>
      </w:r>
    </w:p>
    <w:p w:rsidR="002A64D0" w:rsidRPr="00DB3D43" w:rsidRDefault="00C20FC7" w:rsidP="007B5614">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2A64D0" w:rsidRPr="00DB3D43">
        <w:rPr>
          <w:sz w:val="24"/>
          <w:szCs w:val="24"/>
        </w:rPr>
        <w:tab/>
        <w:t>)</w:t>
      </w:r>
    </w:p>
    <w:p w:rsidR="002A64D0" w:rsidRPr="00DB3D43" w:rsidRDefault="004F4FFA" w:rsidP="007B5614">
      <w:pPr>
        <w:tabs>
          <w:tab w:val="left" w:pos="720"/>
          <w:tab w:val="left" w:pos="1440"/>
          <w:tab w:val="left" w:pos="2160"/>
          <w:tab w:val="left" w:pos="2880"/>
          <w:tab w:val="left" w:pos="3600"/>
          <w:tab w:val="left" w:pos="4320"/>
        </w:tabs>
        <w:ind w:left="4320" w:hanging="4320"/>
        <w:rPr>
          <w:sz w:val="24"/>
          <w:szCs w:val="24"/>
        </w:rPr>
      </w:pPr>
      <w:r w:rsidRPr="00DB3D43">
        <w:rPr>
          <w:sz w:val="24"/>
          <w:szCs w:val="24"/>
        </w:rPr>
        <w:tab/>
      </w:r>
      <w:r w:rsidRPr="00DB3D43">
        <w:rPr>
          <w:sz w:val="24"/>
          <w:szCs w:val="24"/>
        </w:rPr>
        <w:tab/>
      </w:r>
      <w:r w:rsidRPr="00DB3D43">
        <w:rPr>
          <w:sz w:val="24"/>
          <w:szCs w:val="24"/>
        </w:rPr>
        <w:tab/>
      </w:r>
      <w:r w:rsidRPr="00DB3D43">
        <w:rPr>
          <w:sz w:val="24"/>
          <w:szCs w:val="24"/>
        </w:rPr>
        <w:tab/>
        <w:t>Plaintiff</w:t>
      </w:r>
      <w:r w:rsidR="002A64D0" w:rsidRPr="00DB3D43">
        <w:rPr>
          <w:sz w:val="24"/>
          <w:szCs w:val="24"/>
        </w:rPr>
        <w:t xml:space="preserve">, </w:t>
      </w:r>
      <w:r w:rsidR="002A64D0" w:rsidRPr="00DB3D43">
        <w:rPr>
          <w:sz w:val="24"/>
          <w:szCs w:val="24"/>
        </w:rPr>
        <w:tab/>
        <w:t>)</w:t>
      </w:r>
    </w:p>
    <w:p w:rsidR="002A64D0" w:rsidRPr="00DB3D43" w:rsidRDefault="00DB3D43" w:rsidP="007B5614">
      <w:pPr>
        <w:rPr>
          <w:sz w:val="24"/>
          <w:szCs w:val="24"/>
        </w:rPr>
      </w:pPr>
      <w:r>
        <w:rPr>
          <w:sz w:val="24"/>
          <w:szCs w:val="24"/>
        </w:rPr>
        <w:tab/>
      </w:r>
      <w:r>
        <w:rPr>
          <w:sz w:val="24"/>
          <w:szCs w:val="24"/>
        </w:rPr>
        <w:tab/>
        <w:t>v.</w:t>
      </w:r>
      <w:r>
        <w:rPr>
          <w:sz w:val="24"/>
          <w:szCs w:val="24"/>
        </w:rPr>
        <w:tab/>
      </w:r>
      <w:r>
        <w:rPr>
          <w:sz w:val="24"/>
          <w:szCs w:val="24"/>
        </w:rPr>
        <w:tab/>
      </w:r>
      <w:r>
        <w:rPr>
          <w:sz w:val="24"/>
          <w:szCs w:val="24"/>
        </w:rPr>
        <w:tab/>
      </w:r>
      <w:r>
        <w:rPr>
          <w:sz w:val="24"/>
          <w:szCs w:val="24"/>
        </w:rPr>
        <w:tab/>
        <w:t xml:space="preserve">)      </w:t>
      </w:r>
      <w:r w:rsidR="00C20FC7">
        <w:rPr>
          <w:sz w:val="24"/>
          <w:szCs w:val="24"/>
        </w:rPr>
        <w:t>Civil Action No. 2:13-CV-5670-AB</w:t>
      </w:r>
    </w:p>
    <w:p w:rsidR="002A64D0" w:rsidRPr="00DB3D43" w:rsidRDefault="002A64D0" w:rsidP="007B5614">
      <w:pPr>
        <w:rPr>
          <w:sz w:val="24"/>
          <w:szCs w:val="24"/>
        </w:rPr>
      </w:pPr>
      <w:r w:rsidRPr="00DB3D43">
        <w:rPr>
          <w:sz w:val="24"/>
          <w:szCs w:val="24"/>
        </w:rPr>
        <w:tab/>
      </w:r>
      <w:r w:rsidRPr="00DB3D43">
        <w:rPr>
          <w:sz w:val="24"/>
          <w:szCs w:val="24"/>
        </w:rPr>
        <w:tab/>
      </w:r>
      <w:r w:rsidRPr="00DB3D43">
        <w:rPr>
          <w:sz w:val="24"/>
          <w:szCs w:val="24"/>
        </w:rPr>
        <w:tab/>
      </w:r>
      <w:r w:rsidRPr="00DB3D43">
        <w:rPr>
          <w:sz w:val="24"/>
          <w:szCs w:val="24"/>
        </w:rPr>
        <w:tab/>
      </w:r>
      <w:r w:rsidRPr="00DB3D43">
        <w:rPr>
          <w:sz w:val="24"/>
          <w:szCs w:val="24"/>
        </w:rPr>
        <w:tab/>
      </w:r>
      <w:r w:rsidRPr="00DB3D43">
        <w:rPr>
          <w:sz w:val="24"/>
          <w:szCs w:val="24"/>
        </w:rPr>
        <w:tab/>
        <w:t>)</w:t>
      </w:r>
      <w:r w:rsidRPr="00DB3D43">
        <w:rPr>
          <w:sz w:val="24"/>
          <w:szCs w:val="24"/>
        </w:rPr>
        <w:tab/>
      </w:r>
    </w:p>
    <w:p w:rsidR="00C20FC7" w:rsidRDefault="00C20FC7" w:rsidP="007B5614">
      <w:pPr>
        <w:tabs>
          <w:tab w:val="left" w:pos="720"/>
          <w:tab w:val="left" w:pos="1440"/>
          <w:tab w:val="left" w:pos="2160"/>
          <w:tab w:val="left" w:pos="2880"/>
          <w:tab w:val="left" w:pos="3600"/>
          <w:tab w:val="left" w:pos="4320"/>
        </w:tabs>
        <w:ind w:left="4320" w:hanging="4320"/>
        <w:rPr>
          <w:sz w:val="24"/>
          <w:szCs w:val="24"/>
        </w:rPr>
      </w:pPr>
      <w:r>
        <w:rPr>
          <w:sz w:val="24"/>
          <w:szCs w:val="24"/>
        </w:rPr>
        <w:t>DEPARTMENT OF PUBLIC</w:t>
      </w:r>
      <w:r>
        <w:rPr>
          <w:sz w:val="24"/>
          <w:szCs w:val="24"/>
        </w:rPr>
        <w:tab/>
      </w:r>
      <w:r>
        <w:rPr>
          <w:sz w:val="24"/>
          <w:szCs w:val="24"/>
        </w:rPr>
        <w:tab/>
        <w:t>)</w:t>
      </w:r>
    </w:p>
    <w:p w:rsidR="002A64D0" w:rsidRPr="00DB3D43" w:rsidRDefault="00C20FC7" w:rsidP="007B5614">
      <w:pPr>
        <w:tabs>
          <w:tab w:val="left" w:pos="720"/>
          <w:tab w:val="left" w:pos="1440"/>
          <w:tab w:val="left" w:pos="2160"/>
          <w:tab w:val="left" w:pos="2880"/>
          <w:tab w:val="left" w:pos="3600"/>
          <w:tab w:val="left" w:pos="4320"/>
        </w:tabs>
        <w:ind w:left="4320" w:hanging="4320"/>
        <w:rPr>
          <w:sz w:val="24"/>
          <w:szCs w:val="24"/>
        </w:rPr>
      </w:pPr>
      <w:r>
        <w:rPr>
          <w:sz w:val="24"/>
          <w:szCs w:val="24"/>
        </w:rPr>
        <w:t>WELFARE OF THE COMMONWEALTH</w:t>
      </w:r>
      <w:r w:rsidR="002A64D0" w:rsidRPr="00DB3D43">
        <w:rPr>
          <w:sz w:val="24"/>
          <w:szCs w:val="24"/>
        </w:rPr>
        <w:tab/>
        <w:t>)</w:t>
      </w:r>
    </w:p>
    <w:p w:rsidR="002A64D0" w:rsidRPr="00DB3D43" w:rsidRDefault="00C20FC7" w:rsidP="007B5614">
      <w:pPr>
        <w:tabs>
          <w:tab w:val="left" w:pos="720"/>
          <w:tab w:val="left" w:pos="1440"/>
          <w:tab w:val="left" w:pos="2160"/>
          <w:tab w:val="left" w:pos="2880"/>
          <w:tab w:val="left" w:pos="3600"/>
          <w:tab w:val="left" w:pos="4320"/>
        </w:tabs>
        <w:ind w:left="4320" w:hanging="4320"/>
        <w:rPr>
          <w:sz w:val="24"/>
          <w:szCs w:val="24"/>
        </w:rPr>
      </w:pPr>
      <w:r>
        <w:rPr>
          <w:sz w:val="24"/>
          <w:szCs w:val="24"/>
        </w:rPr>
        <w:t>OF PENNSYLVANIA; BEVERLY</w:t>
      </w:r>
      <w:r>
        <w:rPr>
          <w:sz w:val="24"/>
          <w:szCs w:val="24"/>
        </w:rPr>
        <w:tab/>
      </w:r>
      <w:r w:rsidR="002A64D0" w:rsidRPr="00DB3D43">
        <w:rPr>
          <w:sz w:val="24"/>
          <w:szCs w:val="24"/>
        </w:rPr>
        <w:t xml:space="preserve"> </w:t>
      </w:r>
      <w:r w:rsidR="002A64D0" w:rsidRPr="00DB3D43">
        <w:rPr>
          <w:sz w:val="24"/>
          <w:szCs w:val="24"/>
        </w:rPr>
        <w:tab/>
        <w:t>)</w:t>
      </w:r>
    </w:p>
    <w:p w:rsidR="002A64D0" w:rsidRPr="00DB3D43" w:rsidRDefault="00C20FC7" w:rsidP="007B5614">
      <w:pPr>
        <w:tabs>
          <w:tab w:val="left" w:pos="720"/>
          <w:tab w:val="left" w:pos="1440"/>
          <w:tab w:val="left" w:pos="2160"/>
          <w:tab w:val="left" w:pos="2880"/>
          <w:tab w:val="left" w:pos="3600"/>
          <w:tab w:val="left" w:pos="4320"/>
        </w:tabs>
        <w:ind w:left="4320" w:hanging="4320"/>
        <w:rPr>
          <w:sz w:val="24"/>
          <w:szCs w:val="24"/>
        </w:rPr>
      </w:pPr>
      <w:r>
        <w:rPr>
          <w:sz w:val="24"/>
          <w:szCs w:val="24"/>
        </w:rPr>
        <w:t xml:space="preserve">MACKERETH, in her official </w:t>
      </w:r>
      <w:r>
        <w:rPr>
          <w:sz w:val="24"/>
          <w:szCs w:val="24"/>
        </w:rPr>
        <w:tab/>
      </w:r>
      <w:r>
        <w:rPr>
          <w:sz w:val="24"/>
          <w:szCs w:val="24"/>
        </w:rPr>
        <w:tab/>
        <w:t>)</w:t>
      </w:r>
    </w:p>
    <w:p w:rsidR="002A64D0" w:rsidRPr="00DB3D43" w:rsidRDefault="002A64D0" w:rsidP="007B5614">
      <w:pPr>
        <w:tabs>
          <w:tab w:val="left" w:pos="720"/>
          <w:tab w:val="left" w:pos="1440"/>
          <w:tab w:val="left" w:pos="2160"/>
          <w:tab w:val="left" w:pos="2880"/>
          <w:tab w:val="left" w:pos="3600"/>
          <w:tab w:val="left" w:pos="4320"/>
        </w:tabs>
        <w:ind w:left="4320" w:hanging="4320"/>
        <w:rPr>
          <w:sz w:val="24"/>
          <w:szCs w:val="24"/>
        </w:rPr>
      </w:pPr>
      <w:proofErr w:type="gramStart"/>
      <w:r w:rsidRPr="00DB3D43">
        <w:rPr>
          <w:sz w:val="24"/>
          <w:szCs w:val="24"/>
        </w:rPr>
        <w:t>capacity</w:t>
      </w:r>
      <w:proofErr w:type="gramEnd"/>
      <w:r w:rsidRPr="00DB3D43">
        <w:rPr>
          <w:sz w:val="24"/>
          <w:szCs w:val="24"/>
        </w:rPr>
        <w:t xml:space="preserve"> as Secretary</w:t>
      </w:r>
      <w:r w:rsidR="00C20FC7">
        <w:rPr>
          <w:sz w:val="24"/>
          <w:szCs w:val="24"/>
        </w:rPr>
        <w:t xml:space="preserve"> of the Department </w:t>
      </w:r>
      <w:r w:rsidR="00C20FC7">
        <w:rPr>
          <w:sz w:val="24"/>
          <w:szCs w:val="24"/>
        </w:rPr>
        <w:tab/>
      </w:r>
      <w:r w:rsidRPr="00DB3D43">
        <w:rPr>
          <w:sz w:val="24"/>
          <w:szCs w:val="24"/>
        </w:rPr>
        <w:t>)</w:t>
      </w:r>
    </w:p>
    <w:p w:rsidR="002A64D0" w:rsidRDefault="00C20FC7" w:rsidP="007B5614">
      <w:pPr>
        <w:tabs>
          <w:tab w:val="left" w:pos="720"/>
          <w:tab w:val="left" w:pos="1440"/>
          <w:tab w:val="left" w:pos="2160"/>
          <w:tab w:val="left" w:pos="2880"/>
          <w:tab w:val="left" w:pos="3600"/>
          <w:tab w:val="left" w:pos="4320"/>
        </w:tabs>
        <w:ind w:left="4320" w:hanging="4320"/>
        <w:rPr>
          <w:sz w:val="24"/>
          <w:szCs w:val="24"/>
        </w:rPr>
      </w:pPr>
      <w:proofErr w:type="gramStart"/>
      <w:r>
        <w:rPr>
          <w:sz w:val="24"/>
          <w:szCs w:val="24"/>
        </w:rPr>
        <w:t>of</w:t>
      </w:r>
      <w:proofErr w:type="gramEnd"/>
      <w:r>
        <w:rPr>
          <w:sz w:val="24"/>
          <w:szCs w:val="24"/>
        </w:rPr>
        <w:t xml:space="preserve"> Public Welfare of the Commonwealth</w:t>
      </w:r>
      <w:r w:rsidR="002A64D0" w:rsidRPr="00DB3D43">
        <w:rPr>
          <w:sz w:val="24"/>
          <w:szCs w:val="24"/>
        </w:rPr>
        <w:tab/>
        <w:t>)</w:t>
      </w:r>
    </w:p>
    <w:p w:rsidR="00C20FC7" w:rsidRDefault="00C20FC7" w:rsidP="007B5614">
      <w:pPr>
        <w:rPr>
          <w:sz w:val="24"/>
          <w:szCs w:val="24"/>
        </w:rPr>
      </w:pPr>
      <w:proofErr w:type="gramStart"/>
      <w:r>
        <w:rPr>
          <w:sz w:val="24"/>
          <w:szCs w:val="24"/>
        </w:rPr>
        <w:t>of</w:t>
      </w:r>
      <w:proofErr w:type="gramEnd"/>
      <w:r>
        <w:rPr>
          <w:sz w:val="24"/>
          <w:szCs w:val="24"/>
        </w:rPr>
        <w:t xml:space="preserve"> Pennsylvania, </w:t>
      </w:r>
      <w:r w:rsidR="00B9178A">
        <w:rPr>
          <w:sz w:val="24"/>
          <w:szCs w:val="24"/>
        </w:rPr>
        <w:tab/>
      </w:r>
      <w:r w:rsidR="00B9178A">
        <w:rPr>
          <w:sz w:val="24"/>
          <w:szCs w:val="24"/>
        </w:rPr>
        <w:tab/>
      </w:r>
      <w:r w:rsidR="00B9178A">
        <w:rPr>
          <w:sz w:val="24"/>
          <w:szCs w:val="24"/>
        </w:rPr>
        <w:tab/>
      </w:r>
      <w:r w:rsidR="00B9178A">
        <w:rPr>
          <w:sz w:val="24"/>
          <w:szCs w:val="24"/>
        </w:rPr>
        <w:tab/>
        <w:t>)</w:t>
      </w:r>
    </w:p>
    <w:p w:rsidR="002A64D0" w:rsidRDefault="002A64D0" w:rsidP="007B561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2A64D0" w:rsidRDefault="002A64D0" w:rsidP="007B5614">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r>
      <w:r w:rsidR="004F4FFA">
        <w:rPr>
          <w:sz w:val="24"/>
          <w:szCs w:val="24"/>
        </w:rPr>
        <w:tab/>
      </w:r>
      <w:r w:rsidR="004F4FFA">
        <w:rPr>
          <w:sz w:val="24"/>
          <w:szCs w:val="24"/>
        </w:rPr>
        <w:tab/>
      </w:r>
      <w:proofErr w:type="gramStart"/>
      <w:r w:rsidR="004F4FFA">
        <w:rPr>
          <w:sz w:val="24"/>
          <w:szCs w:val="24"/>
        </w:rPr>
        <w:t>Defendants.</w:t>
      </w:r>
      <w:proofErr w:type="gramEnd"/>
      <w:r w:rsidR="004F4FFA">
        <w:rPr>
          <w:sz w:val="24"/>
          <w:szCs w:val="24"/>
        </w:rPr>
        <w:tab/>
      </w:r>
      <w:r>
        <w:rPr>
          <w:sz w:val="24"/>
          <w:szCs w:val="24"/>
        </w:rPr>
        <w:t>)</w:t>
      </w:r>
      <w:r>
        <w:rPr>
          <w:sz w:val="24"/>
          <w:szCs w:val="24"/>
        </w:rPr>
        <w:tab/>
      </w:r>
    </w:p>
    <w:p w:rsidR="002A64D0" w:rsidRDefault="002A64D0" w:rsidP="007B5614">
      <w:pPr>
        <w:rPr>
          <w:sz w:val="24"/>
          <w:szCs w:val="24"/>
        </w:rPr>
      </w:pPr>
      <w:r>
        <w:rPr>
          <w:sz w:val="24"/>
          <w:szCs w:val="24"/>
        </w:rPr>
        <w:t>____________________________________)</w:t>
      </w:r>
    </w:p>
    <w:p w:rsidR="002A64D0" w:rsidRDefault="002A64D0" w:rsidP="007B5614">
      <w:pPr>
        <w:rPr>
          <w:sz w:val="24"/>
          <w:szCs w:val="24"/>
        </w:rPr>
      </w:pPr>
    </w:p>
    <w:p w:rsidR="002A64D0" w:rsidRDefault="002A64D0" w:rsidP="001F5BE8">
      <w:pPr>
        <w:spacing w:line="480" w:lineRule="auto"/>
        <w:jc w:val="center"/>
        <w:rPr>
          <w:sz w:val="24"/>
          <w:szCs w:val="24"/>
        </w:rPr>
      </w:pPr>
      <w:r>
        <w:rPr>
          <w:b/>
          <w:bCs/>
          <w:sz w:val="24"/>
          <w:szCs w:val="24"/>
          <w:u w:val="single"/>
        </w:rPr>
        <w:t>STATEMENT OF INTEREST OF THE UNITED STATES OF AMERICA</w:t>
      </w:r>
    </w:p>
    <w:p w:rsidR="00B85C0D" w:rsidRDefault="002A64D0" w:rsidP="007B5614">
      <w:pPr>
        <w:spacing w:line="480" w:lineRule="auto"/>
        <w:rPr>
          <w:sz w:val="24"/>
          <w:szCs w:val="24"/>
        </w:rPr>
      </w:pPr>
      <w:r>
        <w:rPr>
          <w:sz w:val="24"/>
          <w:szCs w:val="24"/>
        </w:rPr>
        <w:tab/>
        <w:t xml:space="preserve">The United States files this Statement of Interest, pursuant to 28 U.S.C. § 517, because this litigation implicates the proper interpretation and application </w:t>
      </w:r>
      <w:r w:rsidR="004D3D76">
        <w:rPr>
          <w:sz w:val="24"/>
          <w:szCs w:val="24"/>
        </w:rPr>
        <w:t xml:space="preserve">of </w:t>
      </w:r>
      <w:r w:rsidR="00687072">
        <w:rPr>
          <w:sz w:val="24"/>
          <w:szCs w:val="24"/>
        </w:rPr>
        <w:t xml:space="preserve">Title II of </w:t>
      </w:r>
      <w:r>
        <w:rPr>
          <w:sz w:val="24"/>
          <w:szCs w:val="24"/>
        </w:rPr>
        <w:t>the Americans with Disabilities Act, 42 U.S.C. § 12101 (“ADA”)</w:t>
      </w:r>
      <w:r w:rsidR="00687072">
        <w:rPr>
          <w:sz w:val="24"/>
          <w:szCs w:val="24"/>
        </w:rPr>
        <w:t xml:space="preserve">.  </w:t>
      </w:r>
      <w:r w:rsidR="00950095">
        <w:rPr>
          <w:sz w:val="24"/>
          <w:szCs w:val="24"/>
        </w:rPr>
        <w:t>The Department of Justice has authority to enforce Title II and to issue regulations implementing the statute</w:t>
      </w:r>
      <w:r w:rsidR="00B9178A">
        <w:rPr>
          <w:sz w:val="24"/>
          <w:szCs w:val="24"/>
        </w:rPr>
        <w:t xml:space="preserve">.  </w:t>
      </w:r>
      <w:proofErr w:type="gramStart"/>
      <w:r w:rsidR="00B9178A">
        <w:rPr>
          <w:sz w:val="24"/>
          <w:szCs w:val="24"/>
        </w:rPr>
        <w:t>42 U.S.C. §</w:t>
      </w:r>
      <w:r w:rsidR="001C5AC8">
        <w:rPr>
          <w:sz w:val="24"/>
          <w:szCs w:val="24"/>
        </w:rPr>
        <w:t>§</w:t>
      </w:r>
      <w:r w:rsidR="00B9178A">
        <w:rPr>
          <w:sz w:val="24"/>
          <w:szCs w:val="24"/>
        </w:rPr>
        <w:t xml:space="preserve"> 12133</w:t>
      </w:r>
      <w:r w:rsidR="001C5AC8">
        <w:rPr>
          <w:sz w:val="24"/>
          <w:szCs w:val="24"/>
        </w:rPr>
        <w:t xml:space="preserve">, </w:t>
      </w:r>
      <w:r w:rsidR="0036758A">
        <w:rPr>
          <w:sz w:val="24"/>
          <w:szCs w:val="24"/>
        </w:rPr>
        <w:t>12134.</w:t>
      </w:r>
      <w:proofErr w:type="gramEnd"/>
      <w:r w:rsidR="0036758A">
        <w:rPr>
          <w:sz w:val="24"/>
          <w:szCs w:val="24"/>
        </w:rPr>
        <w:t xml:space="preserve">  </w:t>
      </w:r>
      <w:r w:rsidR="00923735">
        <w:rPr>
          <w:sz w:val="24"/>
          <w:szCs w:val="24"/>
        </w:rPr>
        <w:t>T</w:t>
      </w:r>
      <w:r w:rsidR="004D23DE">
        <w:rPr>
          <w:sz w:val="24"/>
          <w:szCs w:val="24"/>
        </w:rPr>
        <w:t>his case involves a public entity’s obligation</w:t>
      </w:r>
      <w:r w:rsidR="00B4487F">
        <w:rPr>
          <w:sz w:val="24"/>
          <w:szCs w:val="24"/>
        </w:rPr>
        <w:t>,</w:t>
      </w:r>
      <w:r w:rsidR="004D23DE">
        <w:rPr>
          <w:sz w:val="24"/>
          <w:szCs w:val="24"/>
        </w:rPr>
        <w:t xml:space="preserve"> under the ADA</w:t>
      </w:r>
      <w:r w:rsidR="004D3D76">
        <w:rPr>
          <w:sz w:val="24"/>
          <w:szCs w:val="24"/>
        </w:rPr>
        <w:t>’s integration regulation</w:t>
      </w:r>
      <w:r w:rsidR="00B4487F">
        <w:rPr>
          <w:sz w:val="24"/>
          <w:szCs w:val="24"/>
        </w:rPr>
        <w:t>,</w:t>
      </w:r>
      <w:r w:rsidR="004D23DE">
        <w:rPr>
          <w:sz w:val="24"/>
          <w:szCs w:val="24"/>
        </w:rPr>
        <w:t xml:space="preserve"> to provide services to individuals with disabilities in the most integrated setting appropriate to their needs and to avoid placing individuals at risk of </w:t>
      </w:r>
      <w:r w:rsidR="004D23DE" w:rsidRPr="004D23DE">
        <w:rPr>
          <w:sz w:val="24"/>
          <w:szCs w:val="24"/>
        </w:rPr>
        <w:t xml:space="preserve">institutionalization.   </w:t>
      </w:r>
      <w:r w:rsidR="00DB55B1" w:rsidRPr="00DB55B1">
        <w:rPr>
          <w:i/>
          <w:sz w:val="24"/>
          <w:szCs w:val="24"/>
        </w:rPr>
        <w:t>See</w:t>
      </w:r>
      <w:r w:rsidR="004D23DE" w:rsidRPr="004D23DE">
        <w:rPr>
          <w:sz w:val="24"/>
          <w:szCs w:val="24"/>
        </w:rPr>
        <w:t xml:space="preserve"> </w:t>
      </w:r>
      <w:r w:rsidR="00DB55B1" w:rsidRPr="00DB55B1">
        <w:rPr>
          <w:sz w:val="24"/>
          <w:szCs w:val="24"/>
        </w:rPr>
        <w:t>28 C.F.R. § 35.130(d)</w:t>
      </w:r>
      <w:r w:rsidR="002D2D1E">
        <w:rPr>
          <w:sz w:val="24"/>
          <w:szCs w:val="24"/>
        </w:rPr>
        <w:t xml:space="preserve">; </w:t>
      </w:r>
      <w:r w:rsidR="00DB55B1" w:rsidRPr="00DB55B1">
        <w:rPr>
          <w:i/>
          <w:iCs/>
          <w:sz w:val="24"/>
          <w:szCs w:val="24"/>
        </w:rPr>
        <w:t>Olmstead v. L.C.</w:t>
      </w:r>
      <w:r w:rsidR="00DB55B1" w:rsidRPr="00DB55B1">
        <w:rPr>
          <w:sz w:val="24"/>
          <w:szCs w:val="24"/>
        </w:rPr>
        <w:t>, 527 U.S. 581, 607 (1999).</w:t>
      </w:r>
      <w:r w:rsidR="004D23DE" w:rsidRPr="009F2469">
        <w:rPr>
          <w:szCs w:val="24"/>
        </w:rPr>
        <w:t xml:space="preserve">  </w:t>
      </w:r>
      <w:r w:rsidR="0036758A">
        <w:rPr>
          <w:sz w:val="24"/>
          <w:szCs w:val="24"/>
        </w:rPr>
        <w:t>Therefore, t</w:t>
      </w:r>
      <w:r>
        <w:rPr>
          <w:sz w:val="24"/>
          <w:szCs w:val="24"/>
        </w:rPr>
        <w:t xml:space="preserve">he United States has </w:t>
      </w:r>
      <w:r w:rsidR="004D3D76">
        <w:rPr>
          <w:sz w:val="24"/>
          <w:szCs w:val="24"/>
        </w:rPr>
        <w:t>an interest in ensuring the appropriate and consistent interpretation of Title II and the integration regulation.</w:t>
      </w:r>
    </w:p>
    <w:p w:rsidR="00534AC1" w:rsidRDefault="00534AC1" w:rsidP="007B5614">
      <w:pPr>
        <w:spacing w:line="480" w:lineRule="auto"/>
        <w:rPr>
          <w:sz w:val="24"/>
          <w:szCs w:val="24"/>
        </w:rPr>
      </w:pPr>
    </w:p>
    <w:p w:rsidR="00534AC1" w:rsidRDefault="00534AC1" w:rsidP="007B5614">
      <w:pPr>
        <w:spacing w:line="480" w:lineRule="auto"/>
        <w:rPr>
          <w:sz w:val="24"/>
          <w:szCs w:val="24"/>
        </w:rPr>
      </w:pPr>
    </w:p>
    <w:p w:rsidR="00556983" w:rsidRPr="00556983" w:rsidRDefault="00556983"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sidRPr="00556983">
        <w:rPr>
          <w:sz w:val="24"/>
          <w:szCs w:val="24"/>
        </w:rPr>
        <w:lastRenderedPageBreak/>
        <w:t>I.</w:t>
      </w:r>
      <w:r>
        <w:rPr>
          <w:sz w:val="24"/>
          <w:szCs w:val="24"/>
        </w:rPr>
        <w:t xml:space="preserve"> </w:t>
      </w:r>
      <w:r>
        <w:rPr>
          <w:sz w:val="24"/>
          <w:szCs w:val="24"/>
        </w:rPr>
        <w:tab/>
        <w:t>INTRODUCTION</w:t>
      </w:r>
    </w:p>
    <w:p w:rsidR="00A572C6"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r>
      <w:r w:rsidR="0094760B">
        <w:rPr>
          <w:sz w:val="24"/>
          <w:szCs w:val="24"/>
        </w:rPr>
        <w:t xml:space="preserve">The </w:t>
      </w:r>
      <w:r w:rsidR="004F4BE9">
        <w:rPr>
          <w:sz w:val="24"/>
          <w:szCs w:val="24"/>
        </w:rPr>
        <w:t xml:space="preserve">Plaintiff </w:t>
      </w:r>
      <w:r w:rsidR="00A835B8">
        <w:rPr>
          <w:sz w:val="24"/>
          <w:szCs w:val="24"/>
        </w:rPr>
        <w:t xml:space="preserve">and the putative class (“Plaintiffs”) </w:t>
      </w:r>
      <w:r w:rsidR="004F4BE9">
        <w:rPr>
          <w:sz w:val="24"/>
          <w:szCs w:val="24"/>
        </w:rPr>
        <w:t>allege that</w:t>
      </w:r>
      <w:r w:rsidR="00993E6C">
        <w:rPr>
          <w:sz w:val="24"/>
          <w:szCs w:val="24"/>
        </w:rPr>
        <w:t xml:space="preserve"> the</w:t>
      </w:r>
      <w:r w:rsidR="00993E6C" w:rsidRPr="00993E6C">
        <w:rPr>
          <w:sz w:val="24"/>
          <w:szCs w:val="24"/>
        </w:rPr>
        <w:t xml:space="preserve"> </w:t>
      </w:r>
      <w:r w:rsidR="00993E6C">
        <w:rPr>
          <w:sz w:val="24"/>
          <w:szCs w:val="24"/>
        </w:rPr>
        <w:t xml:space="preserve">Pennsylvania Department of Public Welfare (“DPW”) unnecessarily places </w:t>
      </w:r>
      <w:r w:rsidR="00A835B8">
        <w:rPr>
          <w:sz w:val="24"/>
          <w:szCs w:val="24"/>
        </w:rPr>
        <w:t>them</w:t>
      </w:r>
      <w:r w:rsidR="00A0385A">
        <w:rPr>
          <w:sz w:val="24"/>
          <w:szCs w:val="24"/>
        </w:rPr>
        <w:t xml:space="preserve"> </w:t>
      </w:r>
      <w:r w:rsidR="003535CF">
        <w:rPr>
          <w:sz w:val="24"/>
          <w:szCs w:val="24"/>
        </w:rPr>
        <w:t xml:space="preserve">at </w:t>
      </w:r>
      <w:r w:rsidR="00993E6C">
        <w:rPr>
          <w:sz w:val="24"/>
          <w:szCs w:val="24"/>
        </w:rPr>
        <w:t xml:space="preserve">serious risk of institutionalization in nursing facilities by failing to provide them </w:t>
      </w:r>
      <w:r w:rsidR="002437AD">
        <w:rPr>
          <w:sz w:val="24"/>
          <w:szCs w:val="24"/>
        </w:rPr>
        <w:t xml:space="preserve">with </w:t>
      </w:r>
      <w:r w:rsidR="00993E6C">
        <w:rPr>
          <w:sz w:val="24"/>
          <w:szCs w:val="24"/>
        </w:rPr>
        <w:t>attendant care services in the community</w:t>
      </w:r>
      <w:r w:rsidR="00183C1D">
        <w:rPr>
          <w:sz w:val="24"/>
          <w:szCs w:val="24"/>
        </w:rPr>
        <w:t xml:space="preserve">. </w:t>
      </w:r>
      <w:r w:rsidR="003F68AA">
        <w:rPr>
          <w:sz w:val="24"/>
          <w:szCs w:val="24"/>
        </w:rPr>
        <w:t xml:space="preserve"> </w:t>
      </w:r>
      <w:proofErr w:type="gramStart"/>
      <w:r w:rsidR="003F68AA">
        <w:rPr>
          <w:sz w:val="24"/>
          <w:szCs w:val="24"/>
        </w:rPr>
        <w:t>(Pls.</w:t>
      </w:r>
      <w:r w:rsidR="00E811F0">
        <w:rPr>
          <w:sz w:val="24"/>
          <w:szCs w:val="24"/>
        </w:rPr>
        <w:t xml:space="preserve">’ 2d Am. </w:t>
      </w:r>
      <w:proofErr w:type="spellStart"/>
      <w:r w:rsidR="00937B2C">
        <w:rPr>
          <w:sz w:val="24"/>
          <w:szCs w:val="24"/>
        </w:rPr>
        <w:t>Compl</w:t>
      </w:r>
      <w:proofErr w:type="spellEnd"/>
      <w:r w:rsidR="00937B2C">
        <w:rPr>
          <w:sz w:val="24"/>
          <w:szCs w:val="24"/>
        </w:rPr>
        <w:t>. 13-15, ¶¶ 57-62</w:t>
      </w:r>
      <w:r w:rsidR="00AA227C">
        <w:rPr>
          <w:sz w:val="24"/>
          <w:szCs w:val="24"/>
        </w:rPr>
        <w:t xml:space="preserve">, April 11, 2014, ECF </w:t>
      </w:r>
      <w:r w:rsidR="00C22945">
        <w:rPr>
          <w:sz w:val="24"/>
          <w:szCs w:val="24"/>
        </w:rPr>
        <w:t xml:space="preserve">No. </w:t>
      </w:r>
      <w:r w:rsidR="00AA227C">
        <w:rPr>
          <w:sz w:val="24"/>
          <w:szCs w:val="24"/>
        </w:rPr>
        <w:t>11</w:t>
      </w:r>
      <w:r w:rsidR="00937B2C">
        <w:rPr>
          <w:sz w:val="24"/>
          <w:szCs w:val="24"/>
        </w:rPr>
        <w:t>.)</w:t>
      </w:r>
      <w:proofErr w:type="gramEnd"/>
      <w:r w:rsidR="00A17A78">
        <w:rPr>
          <w:rStyle w:val="FootnoteReference"/>
          <w:sz w:val="24"/>
          <w:szCs w:val="24"/>
        </w:rPr>
        <w:footnoteReference w:id="1"/>
      </w:r>
      <w:r w:rsidR="00E811F0">
        <w:rPr>
          <w:sz w:val="24"/>
          <w:szCs w:val="24"/>
        </w:rPr>
        <w:t xml:space="preserve"> </w:t>
      </w:r>
      <w:r w:rsidR="00183C1D">
        <w:rPr>
          <w:sz w:val="24"/>
          <w:szCs w:val="24"/>
        </w:rPr>
        <w:t xml:space="preserve"> </w:t>
      </w:r>
      <w:r w:rsidR="00BC11BB">
        <w:rPr>
          <w:sz w:val="24"/>
          <w:szCs w:val="24"/>
        </w:rPr>
        <w:t>DPW has al</w:t>
      </w:r>
      <w:r w:rsidR="000619B0">
        <w:rPr>
          <w:sz w:val="24"/>
          <w:szCs w:val="24"/>
        </w:rPr>
        <w:t>ready determined that Plaintiff</w:t>
      </w:r>
      <w:r w:rsidR="00A835B8">
        <w:rPr>
          <w:sz w:val="24"/>
          <w:szCs w:val="24"/>
        </w:rPr>
        <w:t>s</w:t>
      </w:r>
      <w:r w:rsidR="00BC11BB">
        <w:rPr>
          <w:sz w:val="24"/>
          <w:szCs w:val="24"/>
        </w:rPr>
        <w:t xml:space="preserve"> are in need of</w:t>
      </w:r>
      <w:r w:rsidR="000619B0">
        <w:rPr>
          <w:sz w:val="24"/>
          <w:szCs w:val="24"/>
        </w:rPr>
        <w:t>,</w:t>
      </w:r>
      <w:r w:rsidR="00BC11BB">
        <w:rPr>
          <w:sz w:val="24"/>
          <w:szCs w:val="24"/>
        </w:rPr>
        <w:t xml:space="preserve"> and eligible for</w:t>
      </w:r>
      <w:r w:rsidR="000619B0">
        <w:rPr>
          <w:sz w:val="24"/>
          <w:szCs w:val="24"/>
        </w:rPr>
        <w:t>,</w:t>
      </w:r>
      <w:r w:rsidR="00BC11BB">
        <w:rPr>
          <w:sz w:val="24"/>
          <w:szCs w:val="24"/>
        </w:rPr>
        <w:t xml:space="preserve"> </w:t>
      </w:r>
      <w:r w:rsidR="000619B0">
        <w:rPr>
          <w:sz w:val="24"/>
          <w:szCs w:val="24"/>
        </w:rPr>
        <w:t xml:space="preserve">its existing </w:t>
      </w:r>
      <w:r w:rsidR="00BC11BB">
        <w:rPr>
          <w:sz w:val="24"/>
          <w:szCs w:val="24"/>
        </w:rPr>
        <w:t xml:space="preserve">community-based attendant care </w:t>
      </w:r>
      <w:r w:rsidR="000619B0">
        <w:rPr>
          <w:sz w:val="24"/>
          <w:szCs w:val="24"/>
        </w:rPr>
        <w:t>program</w:t>
      </w:r>
      <w:r w:rsidR="00923735">
        <w:rPr>
          <w:sz w:val="24"/>
          <w:szCs w:val="24"/>
        </w:rPr>
        <w:t xml:space="preserve">.  </w:t>
      </w:r>
      <w:r w:rsidR="00CA7E34">
        <w:rPr>
          <w:sz w:val="24"/>
          <w:szCs w:val="24"/>
        </w:rPr>
        <w:t>(</w:t>
      </w:r>
      <w:r w:rsidR="00AA227C">
        <w:rPr>
          <w:sz w:val="24"/>
          <w:szCs w:val="24"/>
        </w:rPr>
        <w:t xml:space="preserve">Virginia </w:t>
      </w:r>
      <w:r w:rsidR="00A17A78">
        <w:rPr>
          <w:sz w:val="24"/>
          <w:szCs w:val="24"/>
        </w:rPr>
        <w:t xml:space="preserve">Brown Dep. </w:t>
      </w:r>
      <w:r w:rsidR="00AA227C">
        <w:rPr>
          <w:sz w:val="24"/>
          <w:szCs w:val="24"/>
        </w:rPr>
        <w:t xml:space="preserve">2, </w:t>
      </w:r>
      <w:r w:rsidR="00CA7E34">
        <w:rPr>
          <w:sz w:val="24"/>
          <w:szCs w:val="24"/>
        </w:rPr>
        <w:t>88:13-23, March 25, 2014</w:t>
      </w:r>
      <w:r w:rsidR="005F577B">
        <w:rPr>
          <w:sz w:val="24"/>
          <w:szCs w:val="24"/>
        </w:rPr>
        <w:t xml:space="preserve">, ECF </w:t>
      </w:r>
      <w:r w:rsidR="00C22945">
        <w:rPr>
          <w:sz w:val="24"/>
          <w:szCs w:val="24"/>
        </w:rPr>
        <w:t xml:space="preserve">No. </w:t>
      </w:r>
      <w:r w:rsidR="005F577B">
        <w:rPr>
          <w:sz w:val="24"/>
          <w:szCs w:val="24"/>
        </w:rPr>
        <w:t>45-7</w:t>
      </w:r>
      <w:r w:rsidR="00A17A78">
        <w:rPr>
          <w:sz w:val="24"/>
          <w:szCs w:val="24"/>
        </w:rPr>
        <w:t>.</w:t>
      </w:r>
      <w:r w:rsidR="00CA7E34">
        <w:rPr>
          <w:sz w:val="24"/>
          <w:szCs w:val="24"/>
        </w:rPr>
        <w:t xml:space="preserve">)  </w:t>
      </w:r>
      <w:r w:rsidR="003535CF">
        <w:rPr>
          <w:sz w:val="24"/>
          <w:szCs w:val="24"/>
        </w:rPr>
        <w:t>Plaintiffs allege that</w:t>
      </w:r>
      <w:r w:rsidR="008B31C1">
        <w:rPr>
          <w:sz w:val="24"/>
          <w:szCs w:val="24"/>
        </w:rPr>
        <w:t>,</w:t>
      </w:r>
      <w:r w:rsidR="003535CF">
        <w:rPr>
          <w:sz w:val="24"/>
          <w:szCs w:val="24"/>
        </w:rPr>
        <w:t xml:space="preserve"> </w:t>
      </w:r>
      <w:r w:rsidR="00B4203D">
        <w:rPr>
          <w:sz w:val="24"/>
          <w:szCs w:val="24"/>
        </w:rPr>
        <w:t xml:space="preserve">even though it is </w:t>
      </w:r>
      <w:r w:rsidR="004D3D76">
        <w:rPr>
          <w:sz w:val="24"/>
          <w:szCs w:val="24"/>
        </w:rPr>
        <w:t xml:space="preserve">less </w:t>
      </w:r>
      <w:r w:rsidR="00B4203D">
        <w:rPr>
          <w:sz w:val="24"/>
          <w:szCs w:val="24"/>
        </w:rPr>
        <w:t xml:space="preserve">expensive to provide attendant care services in </w:t>
      </w:r>
      <w:r w:rsidR="004D3D76">
        <w:rPr>
          <w:sz w:val="24"/>
          <w:szCs w:val="24"/>
        </w:rPr>
        <w:t>the community</w:t>
      </w:r>
      <w:r w:rsidR="00B4203D">
        <w:rPr>
          <w:sz w:val="24"/>
          <w:szCs w:val="24"/>
        </w:rPr>
        <w:t xml:space="preserve">, </w:t>
      </w:r>
      <w:r w:rsidR="001C175A">
        <w:rPr>
          <w:sz w:val="24"/>
          <w:szCs w:val="24"/>
        </w:rPr>
        <w:t xml:space="preserve">DPW </w:t>
      </w:r>
      <w:r w:rsidR="003535CF">
        <w:rPr>
          <w:sz w:val="24"/>
          <w:szCs w:val="24"/>
        </w:rPr>
        <w:t>places them</w:t>
      </w:r>
      <w:r w:rsidR="00923735">
        <w:rPr>
          <w:sz w:val="24"/>
          <w:szCs w:val="24"/>
        </w:rPr>
        <w:t xml:space="preserve"> at risk of institutionalization in nursing facilities</w:t>
      </w:r>
      <w:r w:rsidR="001C175A">
        <w:rPr>
          <w:sz w:val="24"/>
          <w:szCs w:val="24"/>
        </w:rPr>
        <w:t xml:space="preserve"> by limiting their access to </w:t>
      </w:r>
      <w:r w:rsidR="003535CF">
        <w:rPr>
          <w:sz w:val="24"/>
          <w:szCs w:val="24"/>
        </w:rPr>
        <w:t>attendant care services in the community</w:t>
      </w:r>
      <w:r w:rsidR="00CA7E34">
        <w:rPr>
          <w:sz w:val="24"/>
          <w:szCs w:val="24"/>
        </w:rPr>
        <w:t>.  (</w:t>
      </w:r>
      <w:r w:rsidR="00CA7E34" w:rsidRPr="00690964">
        <w:rPr>
          <w:i/>
          <w:sz w:val="24"/>
          <w:szCs w:val="24"/>
        </w:rPr>
        <w:t>See</w:t>
      </w:r>
      <w:r w:rsidR="00CA7E34" w:rsidRPr="00690964">
        <w:rPr>
          <w:sz w:val="24"/>
          <w:szCs w:val="24"/>
        </w:rPr>
        <w:t xml:space="preserve"> </w:t>
      </w:r>
      <w:r w:rsidR="00690964" w:rsidRPr="00690964">
        <w:rPr>
          <w:sz w:val="24"/>
          <w:szCs w:val="24"/>
        </w:rPr>
        <w:t xml:space="preserve">Gov.’s Exec. </w:t>
      </w:r>
      <w:proofErr w:type="gramStart"/>
      <w:r w:rsidR="00690964" w:rsidRPr="00690964">
        <w:rPr>
          <w:sz w:val="24"/>
          <w:szCs w:val="24"/>
        </w:rPr>
        <w:t>Budget FY2014-2015 7, April 11, 2014, ECF No. 45-8; Gov.’s Exec.</w:t>
      </w:r>
      <w:proofErr w:type="gramEnd"/>
      <w:r w:rsidR="00690964" w:rsidRPr="00690964">
        <w:rPr>
          <w:sz w:val="24"/>
          <w:szCs w:val="24"/>
        </w:rPr>
        <w:t xml:space="preserve"> </w:t>
      </w:r>
      <w:proofErr w:type="gramStart"/>
      <w:r w:rsidR="00690964" w:rsidRPr="00690964">
        <w:rPr>
          <w:sz w:val="24"/>
          <w:szCs w:val="24"/>
        </w:rPr>
        <w:t>Budget, 46, ECF No. 45-8</w:t>
      </w:r>
      <w:r w:rsidR="00CA7E34" w:rsidRPr="00690964">
        <w:rPr>
          <w:sz w:val="24"/>
          <w:szCs w:val="24"/>
        </w:rPr>
        <w:t>.)</w:t>
      </w:r>
      <w:proofErr w:type="gramEnd"/>
      <w:r w:rsidR="00CA7E34">
        <w:rPr>
          <w:sz w:val="24"/>
          <w:szCs w:val="24"/>
        </w:rPr>
        <w:t xml:space="preserve">  </w:t>
      </w:r>
      <w:r w:rsidR="00CA7E34" w:rsidRPr="00C715F5">
        <w:rPr>
          <w:sz w:val="24"/>
          <w:szCs w:val="24"/>
        </w:rPr>
        <w:t xml:space="preserve"> </w:t>
      </w:r>
      <w:r w:rsidR="00BC11BB" w:rsidRPr="00B4203D">
        <w:rPr>
          <w:sz w:val="24"/>
          <w:szCs w:val="24"/>
        </w:rPr>
        <w:t xml:space="preserve">Plaintiffs request that DPW provide them </w:t>
      </w:r>
      <w:r w:rsidR="003535CF" w:rsidRPr="00B4203D">
        <w:rPr>
          <w:sz w:val="24"/>
          <w:szCs w:val="24"/>
        </w:rPr>
        <w:t>with</w:t>
      </w:r>
      <w:r w:rsidR="00BC11BB" w:rsidRPr="00B4203D">
        <w:rPr>
          <w:sz w:val="24"/>
          <w:szCs w:val="24"/>
        </w:rPr>
        <w:t xml:space="preserve"> community-based attendant care services</w:t>
      </w:r>
      <w:r w:rsidR="00B4203D">
        <w:rPr>
          <w:sz w:val="24"/>
          <w:szCs w:val="24"/>
        </w:rPr>
        <w:t xml:space="preserve"> that</w:t>
      </w:r>
      <w:r w:rsidR="00BC11BB" w:rsidRPr="00B4203D">
        <w:rPr>
          <w:sz w:val="24"/>
          <w:szCs w:val="24"/>
        </w:rPr>
        <w:t xml:space="preserve"> DPW already provides </w:t>
      </w:r>
      <w:r w:rsidR="003535CF" w:rsidRPr="00B4203D">
        <w:rPr>
          <w:sz w:val="24"/>
          <w:szCs w:val="24"/>
        </w:rPr>
        <w:t>to</w:t>
      </w:r>
      <w:r w:rsidR="00BC11BB" w:rsidRPr="00B4203D">
        <w:rPr>
          <w:sz w:val="24"/>
          <w:szCs w:val="24"/>
        </w:rPr>
        <w:t xml:space="preserve"> individuals</w:t>
      </w:r>
      <w:r w:rsidR="00B4203D">
        <w:rPr>
          <w:sz w:val="24"/>
          <w:szCs w:val="24"/>
        </w:rPr>
        <w:t xml:space="preserve"> with similar disabilities; and they claim that otherwise, they may suffer from a serious decline in health that would likely necessitate nursing facility admission</w:t>
      </w:r>
      <w:r w:rsidR="00BC11BB" w:rsidRPr="00B4203D">
        <w:rPr>
          <w:sz w:val="24"/>
          <w:szCs w:val="24"/>
        </w:rPr>
        <w:t>.</w:t>
      </w:r>
      <w:r w:rsidR="00B4487F">
        <w:rPr>
          <w:sz w:val="24"/>
          <w:szCs w:val="24"/>
        </w:rPr>
        <w:t xml:space="preserve"> </w:t>
      </w:r>
      <w:r w:rsidR="00BC11BB">
        <w:rPr>
          <w:sz w:val="24"/>
          <w:szCs w:val="24"/>
        </w:rPr>
        <w:t xml:space="preserve"> </w:t>
      </w:r>
      <w:proofErr w:type="gramStart"/>
      <w:r w:rsidR="00315D14">
        <w:rPr>
          <w:sz w:val="24"/>
          <w:szCs w:val="24"/>
        </w:rPr>
        <w:t>(Pl</w:t>
      </w:r>
      <w:r w:rsidR="00AA227C">
        <w:rPr>
          <w:sz w:val="24"/>
          <w:szCs w:val="24"/>
        </w:rPr>
        <w:t>s.’</w:t>
      </w:r>
      <w:r w:rsidR="00315D14">
        <w:rPr>
          <w:sz w:val="24"/>
          <w:szCs w:val="24"/>
        </w:rPr>
        <w:t xml:space="preserve"> </w:t>
      </w:r>
      <w:r w:rsidR="003234D0">
        <w:rPr>
          <w:sz w:val="24"/>
          <w:szCs w:val="24"/>
        </w:rPr>
        <w:t>Mot.</w:t>
      </w:r>
      <w:proofErr w:type="gramEnd"/>
      <w:r w:rsidR="003234D0">
        <w:rPr>
          <w:sz w:val="24"/>
          <w:szCs w:val="24"/>
        </w:rPr>
        <w:t xml:space="preserve"> </w:t>
      </w:r>
      <w:proofErr w:type="spellStart"/>
      <w:proofErr w:type="gramStart"/>
      <w:r w:rsidR="003234D0">
        <w:rPr>
          <w:sz w:val="24"/>
          <w:szCs w:val="24"/>
        </w:rPr>
        <w:t>Summ</w:t>
      </w:r>
      <w:proofErr w:type="spellEnd"/>
      <w:r w:rsidR="003234D0">
        <w:rPr>
          <w:sz w:val="24"/>
          <w:szCs w:val="24"/>
        </w:rPr>
        <w:t>.</w:t>
      </w:r>
      <w:proofErr w:type="gramEnd"/>
      <w:r w:rsidR="003234D0">
        <w:rPr>
          <w:sz w:val="24"/>
          <w:szCs w:val="24"/>
        </w:rPr>
        <w:t xml:space="preserve"> </w:t>
      </w:r>
      <w:proofErr w:type="gramStart"/>
      <w:r w:rsidR="003234D0">
        <w:rPr>
          <w:sz w:val="24"/>
          <w:szCs w:val="24"/>
        </w:rPr>
        <w:t>J.</w:t>
      </w:r>
      <w:r w:rsidR="00AA227C">
        <w:rPr>
          <w:sz w:val="24"/>
          <w:szCs w:val="24"/>
        </w:rPr>
        <w:t xml:space="preserve">, 36-38, April 11, 2014, ECF </w:t>
      </w:r>
      <w:r w:rsidR="00C22945">
        <w:rPr>
          <w:sz w:val="24"/>
          <w:szCs w:val="24"/>
        </w:rPr>
        <w:t xml:space="preserve">No. </w:t>
      </w:r>
      <w:r w:rsidR="00AA227C">
        <w:rPr>
          <w:sz w:val="24"/>
          <w:szCs w:val="24"/>
        </w:rPr>
        <w:t>45</w:t>
      </w:r>
      <w:r w:rsidR="003234D0">
        <w:rPr>
          <w:sz w:val="24"/>
          <w:szCs w:val="24"/>
        </w:rPr>
        <w:t>.)</w:t>
      </w:r>
      <w:proofErr w:type="gramEnd"/>
      <w:r w:rsidR="00315D14">
        <w:rPr>
          <w:sz w:val="24"/>
          <w:szCs w:val="24"/>
        </w:rPr>
        <w:t xml:space="preserve">  </w:t>
      </w:r>
    </w:p>
    <w:p w:rsidR="00B85C0D" w:rsidRDefault="00A572C6"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r>
      <w:r w:rsidR="00315D14">
        <w:rPr>
          <w:sz w:val="24"/>
          <w:szCs w:val="24"/>
        </w:rPr>
        <w:t xml:space="preserve">DPW </w:t>
      </w:r>
      <w:r w:rsidR="0094760B">
        <w:rPr>
          <w:sz w:val="24"/>
          <w:szCs w:val="24"/>
        </w:rPr>
        <w:t>denies</w:t>
      </w:r>
      <w:r w:rsidR="00A0385A">
        <w:rPr>
          <w:sz w:val="24"/>
          <w:szCs w:val="24"/>
        </w:rPr>
        <w:t xml:space="preserve"> that it has placed</w:t>
      </w:r>
      <w:r w:rsidR="002437AD">
        <w:rPr>
          <w:sz w:val="24"/>
          <w:szCs w:val="24"/>
        </w:rPr>
        <w:t xml:space="preserve"> Plaintiffs at </w:t>
      </w:r>
      <w:r w:rsidR="00A0385A">
        <w:rPr>
          <w:sz w:val="24"/>
          <w:szCs w:val="24"/>
        </w:rPr>
        <w:t xml:space="preserve">serious </w:t>
      </w:r>
      <w:r w:rsidR="002437AD">
        <w:rPr>
          <w:sz w:val="24"/>
          <w:szCs w:val="24"/>
        </w:rPr>
        <w:t>risk of institutionalization</w:t>
      </w:r>
      <w:r w:rsidR="0094760B">
        <w:rPr>
          <w:sz w:val="24"/>
          <w:szCs w:val="24"/>
        </w:rPr>
        <w:t xml:space="preserve"> and </w:t>
      </w:r>
      <w:r w:rsidR="005252D1">
        <w:rPr>
          <w:sz w:val="24"/>
          <w:szCs w:val="24"/>
        </w:rPr>
        <w:t>argues that</w:t>
      </w:r>
      <w:r w:rsidR="00042FFB">
        <w:rPr>
          <w:sz w:val="24"/>
          <w:szCs w:val="24"/>
        </w:rPr>
        <w:t>,</w:t>
      </w:r>
      <w:r w:rsidR="005252D1">
        <w:rPr>
          <w:sz w:val="24"/>
          <w:szCs w:val="24"/>
        </w:rPr>
        <w:t xml:space="preserve"> even </w:t>
      </w:r>
      <w:r w:rsidR="00F07BBF">
        <w:rPr>
          <w:sz w:val="24"/>
          <w:szCs w:val="24"/>
        </w:rPr>
        <w:t>if Plaintiffs were at risk</w:t>
      </w:r>
      <w:r w:rsidR="00A0385A">
        <w:rPr>
          <w:sz w:val="24"/>
          <w:szCs w:val="24"/>
        </w:rPr>
        <w:t xml:space="preserve">, </w:t>
      </w:r>
      <w:r w:rsidR="005252D1">
        <w:rPr>
          <w:sz w:val="24"/>
          <w:szCs w:val="24"/>
        </w:rPr>
        <w:t>any change it could make to address the violation would fundamental</w:t>
      </w:r>
      <w:r w:rsidR="00911258">
        <w:rPr>
          <w:sz w:val="24"/>
          <w:szCs w:val="24"/>
        </w:rPr>
        <w:t>ly</w:t>
      </w:r>
      <w:r w:rsidR="005252D1">
        <w:rPr>
          <w:sz w:val="24"/>
          <w:szCs w:val="24"/>
        </w:rPr>
        <w:t xml:space="preserve"> </w:t>
      </w:r>
      <w:r w:rsidR="00911258">
        <w:rPr>
          <w:sz w:val="24"/>
          <w:szCs w:val="24"/>
        </w:rPr>
        <w:t xml:space="preserve">alter </w:t>
      </w:r>
      <w:r w:rsidR="005252D1">
        <w:rPr>
          <w:sz w:val="24"/>
          <w:szCs w:val="24"/>
        </w:rPr>
        <w:t xml:space="preserve">the nature of </w:t>
      </w:r>
      <w:r w:rsidR="00911258">
        <w:rPr>
          <w:sz w:val="24"/>
          <w:szCs w:val="24"/>
        </w:rPr>
        <w:t xml:space="preserve">its attendant care </w:t>
      </w:r>
      <w:r w:rsidR="005252D1">
        <w:rPr>
          <w:sz w:val="24"/>
          <w:szCs w:val="24"/>
        </w:rPr>
        <w:t xml:space="preserve">services. </w:t>
      </w:r>
      <w:r w:rsidR="006B5392">
        <w:rPr>
          <w:sz w:val="24"/>
          <w:szCs w:val="24"/>
        </w:rPr>
        <w:t xml:space="preserve"> </w:t>
      </w:r>
      <w:proofErr w:type="gramStart"/>
      <w:r w:rsidR="0094760B">
        <w:rPr>
          <w:sz w:val="24"/>
          <w:szCs w:val="24"/>
        </w:rPr>
        <w:t>(</w:t>
      </w:r>
      <w:proofErr w:type="spellStart"/>
      <w:r w:rsidR="0094760B">
        <w:rPr>
          <w:sz w:val="24"/>
          <w:szCs w:val="24"/>
        </w:rPr>
        <w:t>Defs</w:t>
      </w:r>
      <w:proofErr w:type="spellEnd"/>
      <w:r w:rsidR="00C6087A">
        <w:rPr>
          <w:sz w:val="24"/>
          <w:szCs w:val="24"/>
        </w:rPr>
        <w:t>.</w:t>
      </w:r>
      <w:r w:rsidR="00AA227C">
        <w:rPr>
          <w:sz w:val="24"/>
          <w:szCs w:val="24"/>
        </w:rPr>
        <w:t>’</w:t>
      </w:r>
      <w:proofErr w:type="gramEnd"/>
      <w:r w:rsidR="00AA227C">
        <w:rPr>
          <w:sz w:val="24"/>
          <w:szCs w:val="24"/>
        </w:rPr>
        <w:t xml:space="preserve"> </w:t>
      </w:r>
      <w:proofErr w:type="spellStart"/>
      <w:proofErr w:type="gramStart"/>
      <w:r w:rsidR="00AA227C">
        <w:rPr>
          <w:sz w:val="24"/>
          <w:szCs w:val="24"/>
        </w:rPr>
        <w:t>Mem</w:t>
      </w:r>
      <w:proofErr w:type="spellEnd"/>
      <w:r w:rsidR="00AA227C">
        <w:rPr>
          <w:sz w:val="24"/>
          <w:szCs w:val="24"/>
        </w:rPr>
        <w:t>.</w:t>
      </w:r>
      <w:proofErr w:type="gramEnd"/>
      <w:r w:rsidR="00AA227C">
        <w:rPr>
          <w:sz w:val="24"/>
          <w:szCs w:val="24"/>
        </w:rPr>
        <w:t xml:space="preserve"> </w:t>
      </w:r>
      <w:proofErr w:type="gramStart"/>
      <w:r w:rsidR="00AA227C">
        <w:rPr>
          <w:sz w:val="24"/>
          <w:szCs w:val="24"/>
        </w:rPr>
        <w:t>Law Supp. Mot.</w:t>
      </w:r>
      <w:proofErr w:type="gramEnd"/>
      <w:r w:rsidR="00AA227C">
        <w:rPr>
          <w:sz w:val="24"/>
          <w:szCs w:val="24"/>
        </w:rPr>
        <w:t xml:space="preserve"> </w:t>
      </w:r>
      <w:proofErr w:type="spellStart"/>
      <w:proofErr w:type="gramStart"/>
      <w:r w:rsidR="00AA227C">
        <w:rPr>
          <w:sz w:val="24"/>
          <w:szCs w:val="24"/>
        </w:rPr>
        <w:t>Summ</w:t>
      </w:r>
      <w:proofErr w:type="spellEnd"/>
      <w:r w:rsidR="00AA227C">
        <w:rPr>
          <w:sz w:val="24"/>
          <w:szCs w:val="24"/>
        </w:rPr>
        <w:t>.</w:t>
      </w:r>
      <w:proofErr w:type="gramEnd"/>
      <w:r w:rsidR="00AA227C">
        <w:rPr>
          <w:sz w:val="24"/>
          <w:szCs w:val="24"/>
        </w:rPr>
        <w:t xml:space="preserve"> J.</w:t>
      </w:r>
      <w:r w:rsidR="0094760B">
        <w:rPr>
          <w:sz w:val="24"/>
          <w:szCs w:val="24"/>
        </w:rPr>
        <w:t xml:space="preserve"> </w:t>
      </w:r>
      <w:r w:rsidR="00AA227C">
        <w:rPr>
          <w:sz w:val="24"/>
          <w:szCs w:val="24"/>
        </w:rPr>
        <w:t>29-64</w:t>
      </w:r>
      <w:r w:rsidR="004916B6">
        <w:rPr>
          <w:sz w:val="24"/>
          <w:szCs w:val="24"/>
        </w:rPr>
        <w:t xml:space="preserve">, May 9, 2014, ECF </w:t>
      </w:r>
      <w:r w:rsidR="00C22945">
        <w:rPr>
          <w:sz w:val="24"/>
          <w:szCs w:val="24"/>
        </w:rPr>
        <w:t xml:space="preserve">No. </w:t>
      </w:r>
      <w:r w:rsidR="004916B6">
        <w:rPr>
          <w:sz w:val="24"/>
          <w:szCs w:val="24"/>
        </w:rPr>
        <w:t>51-1</w:t>
      </w:r>
      <w:r w:rsidR="0094760B">
        <w:rPr>
          <w:sz w:val="24"/>
          <w:szCs w:val="24"/>
        </w:rPr>
        <w:t>.)</w:t>
      </w:r>
      <w:r w:rsidR="007B4D9F">
        <w:rPr>
          <w:sz w:val="24"/>
          <w:szCs w:val="24"/>
        </w:rPr>
        <w:t xml:space="preserve">  </w:t>
      </w:r>
      <w:r w:rsidR="00911258">
        <w:rPr>
          <w:sz w:val="24"/>
          <w:szCs w:val="24"/>
        </w:rPr>
        <w:t xml:space="preserve"> </w:t>
      </w:r>
      <w:r w:rsidR="00501C10">
        <w:rPr>
          <w:sz w:val="24"/>
          <w:szCs w:val="24"/>
        </w:rPr>
        <w:t xml:space="preserve"> </w:t>
      </w:r>
      <w:r w:rsidR="00DE3343">
        <w:rPr>
          <w:sz w:val="24"/>
          <w:szCs w:val="24"/>
        </w:rPr>
        <w:t>The United States offers this Statement of Interest</w:t>
      </w:r>
      <w:r w:rsidR="0012327C">
        <w:rPr>
          <w:sz w:val="24"/>
          <w:szCs w:val="24"/>
        </w:rPr>
        <w:t xml:space="preserve"> </w:t>
      </w:r>
      <w:r w:rsidR="00DE3343">
        <w:rPr>
          <w:sz w:val="24"/>
          <w:szCs w:val="24"/>
        </w:rPr>
        <w:t xml:space="preserve">as a means of clarifying the applicable law so as to assist the Court in deciding the motions before it.  </w:t>
      </w:r>
    </w:p>
    <w:p w:rsidR="00B15F7D" w:rsidRDefault="00556983"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lastRenderedPageBreak/>
        <w:t>II.</w:t>
      </w:r>
      <w:r>
        <w:rPr>
          <w:sz w:val="24"/>
          <w:szCs w:val="24"/>
        </w:rPr>
        <w:tab/>
        <w:t>STATEMENT OF FACTS</w:t>
      </w:r>
      <w:r w:rsidR="0042273F">
        <w:rPr>
          <w:sz w:val="24"/>
          <w:szCs w:val="24"/>
        </w:rPr>
        <w:tab/>
      </w:r>
    </w:p>
    <w:p w:rsidR="00F420D1" w:rsidRDefault="00F420D1" w:rsidP="00F4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t>The Commonwealth of Pennsylvania offers community-based attendant care services to individuals with physical disabilities who need hands-on assistance with activities of daily living, such as dressing, taking medication, eating, and b</w:t>
      </w:r>
      <w:r w:rsidR="00201B5F">
        <w:rPr>
          <w:sz w:val="24"/>
          <w:szCs w:val="24"/>
        </w:rPr>
        <w:t xml:space="preserve">athing.  </w:t>
      </w:r>
      <w:proofErr w:type="gramStart"/>
      <w:r w:rsidR="00201B5F">
        <w:rPr>
          <w:sz w:val="24"/>
          <w:szCs w:val="24"/>
        </w:rPr>
        <w:t>(Decl. Virginia Brown 3, ¶¶ 6-12, May 9</w:t>
      </w:r>
      <w:r>
        <w:rPr>
          <w:sz w:val="24"/>
          <w:szCs w:val="24"/>
        </w:rPr>
        <w:t xml:space="preserve">, 2014, ECF </w:t>
      </w:r>
      <w:r w:rsidR="00C22945">
        <w:rPr>
          <w:sz w:val="24"/>
          <w:szCs w:val="24"/>
        </w:rPr>
        <w:t xml:space="preserve">No. </w:t>
      </w:r>
      <w:r>
        <w:rPr>
          <w:sz w:val="24"/>
          <w:szCs w:val="24"/>
        </w:rPr>
        <w:t>53-1.)</w:t>
      </w:r>
      <w:proofErr w:type="gramEnd"/>
      <w:r>
        <w:rPr>
          <w:sz w:val="24"/>
          <w:szCs w:val="24"/>
        </w:rPr>
        <w:t xml:space="preserve">  These services are funded one of two ways: (1) through the state- and federally-funded Attendant Care Waiver (“the Waiver”), which is available to those who are both clinically eligible to receive the services and financially eligible for Medicaid; or (2) through the state-funded Act 150 program, which is intended for individuals such as Paula Smith, who are clinically eligible to receive services, but ineligible for Medicaid because their income exceeds 300% of the Federal Benefit Rate paid for Supplemental Security Income benefits ($2163 per month).</w:t>
      </w:r>
      <w:r>
        <w:rPr>
          <w:rStyle w:val="FootnoteReference"/>
          <w:sz w:val="24"/>
          <w:szCs w:val="24"/>
        </w:rPr>
        <w:footnoteReference w:id="2"/>
      </w:r>
      <w:r>
        <w:rPr>
          <w:sz w:val="24"/>
          <w:szCs w:val="24"/>
        </w:rPr>
        <w:t xml:space="preserve">  </w:t>
      </w:r>
      <w:proofErr w:type="gramStart"/>
      <w:r>
        <w:rPr>
          <w:sz w:val="24"/>
          <w:szCs w:val="24"/>
        </w:rPr>
        <w:t xml:space="preserve">(Decl. Brown </w:t>
      </w:r>
      <w:r w:rsidR="00201B5F">
        <w:rPr>
          <w:sz w:val="24"/>
          <w:szCs w:val="24"/>
        </w:rPr>
        <w:t>3-4</w:t>
      </w:r>
      <w:r>
        <w:rPr>
          <w:sz w:val="24"/>
          <w:szCs w:val="24"/>
        </w:rPr>
        <w:t xml:space="preserve"> ¶¶ 10-19, ECF </w:t>
      </w:r>
      <w:r w:rsidR="00C22945">
        <w:rPr>
          <w:sz w:val="24"/>
          <w:szCs w:val="24"/>
        </w:rPr>
        <w:t xml:space="preserve">No. </w:t>
      </w:r>
      <w:r>
        <w:rPr>
          <w:sz w:val="24"/>
          <w:szCs w:val="24"/>
        </w:rPr>
        <w:t xml:space="preserve">53-1; </w:t>
      </w:r>
      <w:r w:rsidR="005567A8">
        <w:rPr>
          <w:sz w:val="24"/>
          <w:szCs w:val="24"/>
        </w:rPr>
        <w:t>Anne Henry Dep. 5, 11:7-</w:t>
      </w:r>
      <w:r w:rsidR="001D100F">
        <w:rPr>
          <w:sz w:val="24"/>
          <w:szCs w:val="24"/>
        </w:rPr>
        <w:t xml:space="preserve">11, </w:t>
      </w:r>
      <w:r>
        <w:rPr>
          <w:sz w:val="24"/>
          <w:szCs w:val="24"/>
        </w:rPr>
        <w:t xml:space="preserve">Apr. 11, 2014, ECF </w:t>
      </w:r>
      <w:r w:rsidR="00C22945">
        <w:rPr>
          <w:sz w:val="24"/>
          <w:szCs w:val="24"/>
        </w:rPr>
        <w:t xml:space="preserve">No. </w:t>
      </w:r>
      <w:r>
        <w:rPr>
          <w:sz w:val="24"/>
          <w:szCs w:val="24"/>
        </w:rPr>
        <w:t xml:space="preserve">45-3; </w:t>
      </w:r>
      <w:proofErr w:type="spellStart"/>
      <w:r>
        <w:rPr>
          <w:sz w:val="24"/>
          <w:szCs w:val="24"/>
        </w:rPr>
        <w:t>Def</w:t>
      </w:r>
      <w:proofErr w:type="spellEnd"/>
      <w:r>
        <w:rPr>
          <w:sz w:val="24"/>
          <w:szCs w:val="24"/>
        </w:rPr>
        <w:t xml:space="preserve">.’s </w:t>
      </w:r>
      <w:proofErr w:type="spellStart"/>
      <w:r>
        <w:rPr>
          <w:sz w:val="24"/>
          <w:szCs w:val="24"/>
        </w:rPr>
        <w:t>Mem</w:t>
      </w:r>
      <w:proofErr w:type="spellEnd"/>
      <w:r>
        <w:rPr>
          <w:sz w:val="24"/>
          <w:szCs w:val="24"/>
        </w:rPr>
        <w:t>.</w:t>
      </w:r>
      <w:proofErr w:type="gramEnd"/>
      <w:r>
        <w:rPr>
          <w:sz w:val="24"/>
          <w:szCs w:val="24"/>
        </w:rPr>
        <w:t xml:space="preserve"> </w:t>
      </w:r>
      <w:proofErr w:type="gramStart"/>
      <w:r>
        <w:rPr>
          <w:sz w:val="24"/>
          <w:szCs w:val="24"/>
        </w:rPr>
        <w:t>Law at 10</w:t>
      </w:r>
      <w:r w:rsidR="00C476B4">
        <w:rPr>
          <w:sz w:val="24"/>
          <w:szCs w:val="24"/>
        </w:rPr>
        <w:t>, ECF 51-1</w:t>
      </w:r>
      <w:r>
        <w:rPr>
          <w:sz w:val="24"/>
          <w:szCs w:val="24"/>
        </w:rPr>
        <w:t>.)</w:t>
      </w:r>
      <w:proofErr w:type="gramEnd"/>
      <w:r>
        <w:rPr>
          <w:sz w:val="24"/>
          <w:szCs w:val="24"/>
        </w:rPr>
        <w:t xml:space="preserve">   </w:t>
      </w:r>
    </w:p>
    <w:p w:rsidR="00A522DD" w:rsidRPr="00A522DD" w:rsidRDefault="00F420D1" w:rsidP="00A52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t xml:space="preserve">Prior to 2009, the Act 150 program served all eligible individuals; however, since 2009, there has been a waitlist for Act 150 </w:t>
      </w:r>
      <w:r w:rsidR="00B4487F">
        <w:rPr>
          <w:sz w:val="24"/>
          <w:szCs w:val="24"/>
        </w:rPr>
        <w:t>attendant</w:t>
      </w:r>
      <w:r>
        <w:rPr>
          <w:sz w:val="24"/>
          <w:szCs w:val="24"/>
        </w:rPr>
        <w:t xml:space="preserve"> care services, and it has grown to 283 individuals, seven of whom are currently in nu</w:t>
      </w:r>
      <w:r w:rsidR="00D1417F">
        <w:rPr>
          <w:sz w:val="24"/>
          <w:szCs w:val="24"/>
        </w:rPr>
        <w:t>rsing facilities.</w:t>
      </w:r>
      <w:r w:rsidR="00572E5F">
        <w:rPr>
          <w:sz w:val="24"/>
          <w:szCs w:val="24"/>
        </w:rPr>
        <w:t xml:space="preserve"> </w:t>
      </w:r>
      <w:r w:rsidR="00D1417F">
        <w:rPr>
          <w:sz w:val="24"/>
          <w:szCs w:val="24"/>
        </w:rPr>
        <w:t xml:space="preserve"> (Decl. Brown 8 ¶ 44, ECF</w:t>
      </w:r>
      <w:r w:rsidR="00C22945">
        <w:rPr>
          <w:sz w:val="24"/>
          <w:szCs w:val="24"/>
        </w:rPr>
        <w:t xml:space="preserve"> No.</w:t>
      </w:r>
      <w:r w:rsidR="00D1417F">
        <w:rPr>
          <w:sz w:val="24"/>
          <w:szCs w:val="24"/>
        </w:rPr>
        <w:t xml:space="preserve"> 53-1; Decl. Henry </w:t>
      </w:r>
      <w:r>
        <w:rPr>
          <w:sz w:val="24"/>
          <w:szCs w:val="24"/>
        </w:rPr>
        <w:t xml:space="preserve">4 ¶¶ 16-17, </w:t>
      </w:r>
      <w:r w:rsidR="00D1417F">
        <w:rPr>
          <w:sz w:val="24"/>
          <w:szCs w:val="24"/>
        </w:rPr>
        <w:t xml:space="preserve"> 5 ¶ </w:t>
      </w:r>
      <w:r>
        <w:rPr>
          <w:sz w:val="24"/>
          <w:szCs w:val="24"/>
        </w:rPr>
        <w:t xml:space="preserve">22, May 9, 2014, ECF </w:t>
      </w:r>
      <w:r w:rsidR="00C22945">
        <w:rPr>
          <w:sz w:val="24"/>
          <w:szCs w:val="24"/>
        </w:rPr>
        <w:t xml:space="preserve">No. </w:t>
      </w:r>
      <w:r>
        <w:rPr>
          <w:sz w:val="24"/>
          <w:szCs w:val="24"/>
        </w:rPr>
        <w:t xml:space="preserve">53-2; </w:t>
      </w:r>
      <w:proofErr w:type="spellStart"/>
      <w:r w:rsidRPr="00C715F5">
        <w:rPr>
          <w:sz w:val="24"/>
          <w:szCs w:val="24"/>
        </w:rPr>
        <w:t>Defs</w:t>
      </w:r>
      <w:proofErr w:type="spellEnd"/>
      <w:r w:rsidRPr="00C715F5">
        <w:rPr>
          <w:sz w:val="24"/>
          <w:szCs w:val="24"/>
        </w:rPr>
        <w:t xml:space="preserve">’ </w:t>
      </w:r>
      <w:proofErr w:type="spellStart"/>
      <w:r w:rsidRPr="00C715F5">
        <w:rPr>
          <w:sz w:val="24"/>
          <w:szCs w:val="24"/>
        </w:rPr>
        <w:t>Mem</w:t>
      </w:r>
      <w:proofErr w:type="spellEnd"/>
      <w:r w:rsidRPr="00C715F5">
        <w:rPr>
          <w:sz w:val="24"/>
          <w:szCs w:val="24"/>
        </w:rPr>
        <w:t xml:space="preserve">. </w:t>
      </w:r>
      <w:proofErr w:type="gramStart"/>
      <w:r w:rsidRPr="00C715F5">
        <w:rPr>
          <w:sz w:val="24"/>
          <w:szCs w:val="24"/>
        </w:rPr>
        <w:t xml:space="preserve">Law at </w:t>
      </w:r>
      <w:r w:rsidR="00D1417F">
        <w:rPr>
          <w:sz w:val="24"/>
          <w:szCs w:val="24"/>
        </w:rPr>
        <w:t>22-23</w:t>
      </w:r>
      <w:r w:rsidR="00F6149B">
        <w:rPr>
          <w:sz w:val="24"/>
          <w:szCs w:val="24"/>
        </w:rPr>
        <w:t>, ECF No. 51-1.</w:t>
      </w:r>
      <w:r>
        <w:rPr>
          <w:sz w:val="24"/>
          <w:szCs w:val="24"/>
        </w:rPr>
        <w:t>)</w:t>
      </w:r>
      <w:proofErr w:type="gramEnd"/>
      <w:r>
        <w:rPr>
          <w:sz w:val="24"/>
          <w:szCs w:val="24"/>
        </w:rPr>
        <w:t xml:space="preserve">  The creation of the Act 150 waitlist coincided with the Commonwealth’s reduction of funding for the program, which was approximately $45 million for fiscal year 2007 to 2008, but now stands at approximately $26 million.  (</w:t>
      </w:r>
      <w:r>
        <w:rPr>
          <w:i/>
          <w:sz w:val="24"/>
          <w:szCs w:val="24"/>
        </w:rPr>
        <w:t>See</w:t>
      </w:r>
      <w:r>
        <w:rPr>
          <w:sz w:val="24"/>
          <w:szCs w:val="24"/>
        </w:rPr>
        <w:t xml:space="preserve"> Pl</w:t>
      </w:r>
      <w:r w:rsidR="00D1417F">
        <w:rPr>
          <w:sz w:val="24"/>
          <w:szCs w:val="24"/>
        </w:rPr>
        <w:t>s</w:t>
      </w:r>
      <w:r w:rsidR="005567A8">
        <w:rPr>
          <w:sz w:val="24"/>
          <w:szCs w:val="24"/>
        </w:rPr>
        <w:t>.’ Stmt.</w:t>
      </w:r>
      <w:r>
        <w:rPr>
          <w:sz w:val="24"/>
          <w:szCs w:val="24"/>
        </w:rPr>
        <w:t xml:space="preserve"> </w:t>
      </w:r>
      <w:proofErr w:type="spellStart"/>
      <w:r>
        <w:rPr>
          <w:sz w:val="24"/>
          <w:szCs w:val="24"/>
        </w:rPr>
        <w:t>U</w:t>
      </w:r>
      <w:r w:rsidR="00D1417F">
        <w:rPr>
          <w:sz w:val="24"/>
          <w:szCs w:val="24"/>
        </w:rPr>
        <w:t>ndisp</w:t>
      </w:r>
      <w:proofErr w:type="spellEnd"/>
      <w:r w:rsidR="00D1417F">
        <w:rPr>
          <w:sz w:val="24"/>
          <w:szCs w:val="24"/>
        </w:rPr>
        <w:t xml:space="preserve">. </w:t>
      </w:r>
      <w:proofErr w:type="gramStart"/>
      <w:r w:rsidR="00D1417F">
        <w:rPr>
          <w:sz w:val="24"/>
          <w:szCs w:val="24"/>
        </w:rPr>
        <w:t>Facts</w:t>
      </w:r>
      <w:r>
        <w:rPr>
          <w:sz w:val="24"/>
          <w:szCs w:val="24"/>
        </w:rPr>
        <w:t xml:space="preserve"> Supp. Pl</w:t>
      </w:r>
      <w:r w:rsidR="005567A8">
        <w:rPr>
          <w:sz w:val="24"/>
          <w:szCs w:val="24"/>
        </w:rPr>
        <w:t>s</w:t>
      </w:r>
      <w:r>
        <w:rPr>
          <w:sz w:val="24"/>
          <w:szCs w:val="24"/>
        </w:rPr>
        <w:t>.’ Mot.</w:t>
      </w:r>
      <w:proofErr w:type="gramEnd"/>
      <w:r>
        <w:rPr>
          <w:sz w:val="24"/>
          <w:szCs w:val="24"/>
        </w:rPr>
        <w:t xml:space="preserve"> </w:t>
      </w:r>
      <w:proofErr w:type="spellStart"/>
      <w:proofErr w:type="gramStart"/>
      <w:r>
        <w:rPr>
          <w:sz w:val="24"/>
          <w:szCs w:val="24"/>
        </w:rPr>
        <w:t>Summ</w:t>
      </w:r>
      <w:proofErr w:type="spellEnd"/>
      <w:r>
        <w:rPr>
          <w:sz w:val="24"/>
          <w:szCs w:val="24"/>
        </w:rPr>
        <w:t>.</w:t>
      </w:r>
      <w:proofErr w:type="gramEnd"/>
      <w:r>
        <w:rPr>
          <w:sz w:val="24"/>
          <w:szCs w:val="24"/>
        </w:rPr>
        <w:t xml:space="preserve"> </w:t>
      </w:r>
      <w:proofErr w:type="gramStart"/>
      <w:r>
        <w:rPr>
          <w:sz w:val="24"/>
          <w:szCs w:val="24"/>
        </w:rPr>
        <w:t xml:space="preserve">J. 30-31, ¶¶ 111-12, April 11, 2014, </w:t>
      </w:r>
      <w:r>
        <w:rPr>
          <w:sz w:val="24"/>
          <w:szCs w:val="24"/>
        </w:rPr>
        <w:lastRenderedPageBreak/>
        <w:t xml:space="preserve">ECF </w:t>
      </w:r>
      <w:r w:rsidR="00C22945">
        <w:rPr>
          <w:sz w:val="24"/>
          <w:szCs w:val="24"/>
        </w:rPr>
        <w:t xml:space="preserve">No. </w:t>
      </w:r>
      <w:r>
        <w:rPr>
          <w:sz w:val="24"/>
          <w:szCs w:val="24"/>
        </w:rPr>
        <w:t>45-1.)</w:t>
      </w:r>
      <w:proofErr w:type="gramEnd"/>
      <w:r>
        <w:rPr>
          <w:sz w:val="24"/>
          <w:szCs w:val="24"/>
        </w:rPr>
        <w:t xml:space="preserve">  DPW has no plan for transitioning Act 150 applicants off the waitlist.  </w:t>
      </w:r>
      <w:proofErr w:type="gramStart"/>
      <w:r>
        <w:rPr>
          <w:sz w:val="24"/>
          <w:szCs w:val="24"/>
        </w:rPr>
        <w:t>(</w:t>
      </w:r>
      <w:r>
        <w:rPr>
          <w:i/>
          <w:sz w:val="24"/>
          <w:szCs w:val="24"/>
        </w:rPr>
        <w:t>See</w:t>
      </w:r>
      <w:r w:rsidR="00D1417F">
        <w:rPr>
          <w:sz w:val="24"/>
          <w:szCs w:val="24"/>
        </w:rPr>
        <w:t xml:space="preserve"> Decl. Henry 5</w:t>
      </w:r>
      <w:r>
        <w:rPr>
          <w:sz w:val="24"/>
          <w:szCs w:val="24"/>
        </w:rPr>
        <w:t xml:space="preserve"> ¶ 20, ECF </w:t>
      </w:r>
      <w:r w:rsidR="00C22945">
        <w:rPr>
          <w:sz w:val="24"/>
          <w:szCs w:val="24"/>
        </w:rPr>
        <w:t xml:space="preserve">No. </w:t>
      </w:r>
      <w:r>
        <w:rPr>
          <w:sz w:val="24"/>
          <w:szCs w:val="24"/>
        </w:rPr>
        <w:t>53-2.)</w:t>
      </w:r>
      <w:proofErr w:type="gramEnd"/>
    </w:p>
    <w:p w:rsidR="000F5E8B" w:rsidRDefault="00A522DD"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sidRPr="00A522DD">
        <w:rPr>
          <w:sz w:val="24"/>
          <w:szCs w:val="24"/>
        </w:rPr>
        <w:t xml:space="preserve">            The putative class includes individuals who have been found eligible for A</w:t>
      </w:r>
      <w:r w:rsidR="000F5E8B">
        <w:rPr>
          <w:sz w:val="24"/>
          <w:szCs w:val="24"/>
        </w:rPr>
        <w:t>ct</w:t>
      </w:r>
      <w:r w:rsidRPr="00A522DD">
        <w:rPr>
          <w:sz w:val="24"/>
          <w:szCs w:val="24"/>
        </w:rPr>
        <w:t xml:space="preserve"> 150 service</w:t>
      </w:r>
      <w:r w:rsidR="00210F2E">
        <w:rPr>
          <w:sz w:val="24"/>
          <w:szCs w:val="24"/>
        </w:rPr>
        <w:t xml:space="preserve">s, but remain on the waitlist.  </w:t>
      </w:r>
      <w:proofErr w:type="gramStart"/>
      <w:r w:rsidR="00210F2E">
        <w:rPr>
          <w:sz w:val="24"/>
          <w:szCs w:val="24"/>
        </w:rPr>
        <w:t>(Pl</w:t>
      </w:r>
      <w:r w:rsidR="005567A8">
        <w:rPr>
          <w:sz w:val="24"/>
          <w:szCs w:val="24"/>
        </w:rPr>
        <w:t>s</w:t>
      </w:r>
      <w:r w:rsidR="00210F2E">
        <w:rPr>
          <w:sz w:val="24"/>
          <w:szCs w:val="24"/>
        </w:rPr>
        <w:t xml:space="preserve">.’ 2d Am. </w:t>
      </w:r>
      <w:proofErr w:type="spellStart"/>
      <w:r w:rsidR="00210F2E">
        <w:rPr>
          <w:sz w:val="24"/>
          <w:szCs w:val="24"/>
        </w:rPr>
        <w:t>Compl</w:t>
      </w:r>
      <w:proofErr w:type="spellEnd"/>
      <w:r w:rsidR="00210F2E">
        <w:rPr>
          <w:sz w:val="24"/>
          <w:szCs w:val="24"/>
        </w:rPr>
        <w:t xml:space="preserve">. </w:t>
      </w:r>
      <w:r w:rsidR="00C476B4">
        <w:rPr>
          <w:sz w:val="24"/>
          <w:szCs w:val="24"/>
        </w:rPr>
        <w:t xml:space="preserve">at </w:t>
      </w:r>
      <w:r w:rsidR="00D1417F">
        <w:rPr>
          <w:sz w:val="24"/>
          <w:szCs w:val="24"/>
        </w:rPr>
        <w:t>12-13</w:t>
      </w:r>
      <w:r w:rsidR="00C476B4">
        <w:rPr>
          <w:sz w:val="24"/>
          <w:szCs w:val="24"/>
        </w:rPr>
        <w:t>, ECF No. 11</w:t>
      </w:r>
      <w:r w:rsidR="00210F2E">
        <w:rPr>
          <w:sz w:val="24"/>
          <w:szCs w:val="24"/>
        </w:rPr>
        <w:t>.)</w:t>
      </w:r>
      <w:proofErr w:type="gramEnd"/>
      <w:r w:rsidR="00210F2E">
        <w:rPr>
          <w:sz w:val="24"/>
          <w:szCs w:val="24"/>
        </w:rPr>
        <w:t xml:space="preserve">  </w:t>
      </w:r>
      <w:r w:rsidRPr="00A522DD">
        <w:rPr>
          <w:sz w:val="24"/>
          <w:szCs w:val="24"/>
        </w:rPr>
        <w:t>One individual who has been waiting for services since 2012 was briefly hospitalized</w:t>
      </w:r>
      <w:r w:rsidR="00572E5F">
        <w:rPr>
          <w:sz w:val="24"/>
          <w:szCs w:val="24"/>
        </w:rPr>
        <w:t>,</w:t>
      </w:r>
      <w:r w:rsidRPr="00A522DD">
        <w:rPr>
          <w:sz w:val="24"/>
          <w:szCs w:val="24"/>
        </w:rPr>
        <w:t xml:space="preserve"> and </w:t>
      </w:r>
      <w:r w:rsidR="00572E5F">
        <w:rPr>
          <w:sz w:val="24"/>
          <w:szCs w:val="24"/>
        </w:rPr>
        <w:t xml:space="preserve">she </w:t>
      </w:r>
      <w:r w:rsidRPr="00A522DD">
        <w:rPr>
          <w:sz w:val="24"/>
          <w:szCs w:val="24"/>
        </w:rPr>
        <w:t>informed DPW that her husband c</w:t>
      </w:r>
      <w:r w:rsidR="00972996">
        <w:rPr>
          <w:sz w:val="24"/>
          <w:szCs w:val="24"/>
        </w:rPr>
        <w:t>an no longer care for her.  (Act 150</w:t>
      </w:r>
      <w:r w:rsidR="00D1417F">
        <w:rPr>
          <w:sz w:val="24"/>
          <w:szCs w:val="24"/>
        </w:rPr>
        <w:t xml:space="preserve"> Waitlist 6, April 11, 2014, ECF</w:t>
      </w:r>
      <w:r w:rsidR="00210F2E">
        <w:rPr>
          <w:sz w:val="24"/>
          <w:szCs w:val="24"/>
        </w:rPr>
        <w:t xml:space="preserve"> </w:t>
      </w:r>
      <w:r w:rsidR="00C22945">
        <w:rPr>
          <w:sz w:val="24"/>
          <w:szCs w:val="24"/>
        </w:rPr>
        <w:t xml:space="preserve">No. </w:t>
      </w:r>
      <w:r w:rsidR="00210F2E">
        <w:rPr>
          <w:sz w:val="24"/>
          <w:szCs w:val="24"/>
        </w:rPr>
        <w:t>45-13</w:t>
      </w:r>
      <w:r w:rsidR="00572E5F">
        <w:rPr>
          <w:sz w:val="24"/>
          <w:szCs w:val="24"/>
        </w:rPr>
        <w:t>.</w:t>
      </w:r>
      <w:r w:rsidRPr="00A522DD">
        <w:rPr>
          <w:sz w:val="24"/>
          <w:szCs w:val="24"/>
        </w:rPr>
        <w:t xml:space="preserve">)  </w:t>
      </w:r>
      <w:r w:rsidR="00572E5F">
        <w:rPr>
          <w:sz w:val="24"/>
          <w:szCs w:val="24"/>
        </w:rPr>
        <w:t xml:space="preserve">A </w:t>
      </w:r>
      <w:r w:rsidRPr="00A522DD">
        <w:rPr>
          <w:sz w:val="24"/>
          <w:szCs w:val="24"/>
        </w:rPr>
        <w:t>man with quadriplegia who is also waiting for services is “in dire need of services</w:t>
      </w:r>
      <w:r w:rsidR="000F5E8B">
        <w:rPr>
          <w:sz w:val="24"/>
          <w:szCs w:val="24"/>
        </w:rPr>
        <w:t>,</w:t>
      </w:r>
      <w:r w:rsidRPr="00A522DD">
        <w:rPr>
          <w:sz w:val="24"/>
          <w:szCs w:val="24"/>
        </w:rPr>
        <w:t>” and DPW noted that he “MUST have additional help at home</w:t>
      </w:r>
      <w:r w:rsidR="00972996">
        <w:rPr>
          <w:sz w:val="24"/>
          <w:szCs w:val="24"/>
        </w:rPr>
        <w:t>.”</w:t>
      </w:r>
      <w:r w:rsidRPr="00A522DD">
        <w:rPr>
          <w:sz w:val="24"/>
          <w:szCs w:val="24"/>
        </w:rPr>
        <w:t xml:space="preserve"> </w:t>
      </w:r>
      <w:r w:rsidR="00972996">
        <w:rPr>
          <w:sz w:val="24"/>
          <w:szCs w:val="24"/>
        </w:rPr>
        <w:t xml:space="preserve"> </w:t>
      </w:r>
      <w:r w:rsidRPr="00A522DD">
        <w:rPr>
          <w:sz w:val="24"/>
          <w:szCs w:val="24"/>
        </w:rPr>
        <w:t>(</w:t>
      </w:r>
      <w:r w:rsidR="00972996">
        <w:rPr>
          <w:sz w:val="24"/>
          <w:szCs w:val="24"/>
        </w:rPr>
        <w:t>Act 150 Waitlist</w:t>
      </w:r>
      <w:r w:rsidR="00D1417F">
        <w:rPr>
          <w:sz w:val="24"/>
          <w:szCs w:val="24"/>
        </w:rPr>
        <w:t xml:space="preserve"> </w:t>
      </w:r>
      <w:r w:rsidRPr="00A522DD">
        <w:rPr>
          <w:sz w:val="24"/>
          <w:szCs w:val="24"/>
        </w:rPr>
        <w:t>8</w:t>
      </w:r>
      <w:r w:rsidR="00D1417F">
        <w:rPr>
          <w:sz w:val="24"/>
          <w:szCs w:val="24"/>
        </w:rPr>
        <w:t xml:space="preserve">, ECF </w:t>
      </w:r>
      <w:r w:rsidR="00C22945">
        <w:rPr>
          <w:sz w:val="24"/>
          <w:szCs w:val="24"/>
        </w:rPr>
        <w:t xml:space="preserve">No. </w:t>
      </w:r>
      <w:r w:rsidR="00690964">
        <w:rPr>
          <w:sz w:val="24"/>
          <w:szCs w:val="24"/>
        </w:rPr>
        <w:t>45-13)</w:t>
      </w:r>
      <w:r w:rsidR="00972996">
        <w:rPr>
          <w:sz w:val="24"/>
          <w:szCs w:val="24"/>
        </w:rPr>
        <w:t xml:space="preserve"> (</w:t>
      </w:r>
      <w:proofErr w:type="gramStart"/>
      <w:r w:rsidR="00972996">
        <w:rPr>
          <w:sz w:val="24"/>
          <w:szCs w:val="24"/>
        </w:rPr>
        <w:t>emphasis</w:t>
      </w:r>
      <w:proofErr w:type="gramEnd"/>
      <w:r w:rsidR="00972996">
        <w:rPr>
          <w:sz w:val="24"/>
          <w:szCs w:val="24"/>
        </w:rPr>
        <w:t xml:space="preserve"> in original)</w:t>
      </w:r>
      <w:r w:rsidR="005567A8">
        <w:rPr>
          <w:sz w:val="24"/>
          <w:szCs w:val="24"/>
        </w:rPr>
        <w:t>.</w:t>
      </w:r>
      <w:r w:rsidR="000F5E8B">
        <w:rPr>
          <w:sz w:val="24"/>
          <w:szCs w:val="24"/>
        </w:rPr>
        <w:t xml:space="preserve">  </w:t>
      </w:r>
      <w:r w:rsidRPr="00A522DD">
        <w:rPr>
          <w:sz w:val="24"/>
          <w:szCs w:val="24"/>
        </w:rPr>
        <w:t>This man also required surgery for skin/pressure wounds, a condition that is commonly associated with insufficient care and assistance.</w:t>
      </w:r>
      <w:r w:rsidR="00972996">
        <w:rPr>
          <w:sz w:val="24"/>
          <w:szCs w:val="24"/>
        </w:rPr>
        <w:t xml:space="preserve">  </w:t>
      </w:r>
      <w:r w:rsidR="00972996" w:rsidRPr="00A522DD">
        <w:rPr>
          <w:sz w:val="24"/>
          <w:szCs w:val="24"/>
        </w:rPr>
        <w:t>(</w:t>
      </w:r>
      <w:r w:rsidR="00572E5F">
        <w:rPr>
          <w:i/>
          <w:sz w:val="24"/>
          <w:szCs w:val="24"/>
        </w:rPr>
        <w:t>See</w:t>
      </w:r>
      <w:r w:rsidR="00572E5F">
        <w:rPr>
          <w:sz w:val="24"/>
          <w:szCs w:val="24"/>
        </w:rPr>
        <w:t xml:space="preserve"> </w:t>
      </w:r>
      <w:r w:rsidR="00690964">
        <w:rPr>
          <w:sz w:val="24"/>
          <w:szCs w:val="24"/>
        </w:rPr>
        <w:t xml:space="preserve">Act 150 Waitlist 8, ECF </w:t>
      </w:r>
      <w:r w:rsidR="00C22945">
        <w:rPr>
          <w:sz w:val="24"/>
          <w:szCs w:val="24"/>
        </w:rPr>
        <w:t xml:space="preserve">No. </w:t>
      </w:r>
      <w:r w:rsidR="00690964">
        <w:rPr>
          <w:sz w:val="24"/>
          <w:szCs w:val="24"/>
        </w:rPr>
        <w:t>45-13</w:t>
      </w:r>
      <w:r w:rsidR="00972996">
        <w:rPr>
          <w:sz w:val="24"/>
          <w:szCs w:val="24"/>
        </w:rPr>
        <w:t xml:space="preserve">.) </w:t>
      </w:r>
      <w:r w:rsidRPr="00A522DD">
        <w:rPr>
          <w:sz w:val="24"/>
          <w:szCs w:val="24"/>
        </w:rPr>
        <w:t xml:space="preserve"> </w:t>
      </w:r>
      <w:r w:rsidR="00690964">
        <w:rPr>
          <w:sz w:val="24"/>
          <w:szCs w:val="24"/>
        </w:rPr>
        <w:t>T</w:t>
      </w:r>
      <w:r w:rsidRPr="00A522DD">
        <w:rPr>
          <w:sz w:val="24"/>
          <w:szCs w:val="24"/>
        </w:rPr>
        <w:t>he doctor of a 55</w:t>
      </w:r>
      <w:r w:rsidR="00972996">
        <w:rPr>
          <w:sz w:val="24"/>
          <w:szCs w:val="24"/>
        </w:rPr>
        <w:t>-</w:t>
      </w:r>
      <w:r w:rsidRPr="00A522DD">
        <w:rPr>
          <w:sz w:val="24"/>
          <w:szCs w:val="24"/>
        </w:rPr>
        <w:t xml:space="preserve">year-old man on the waitlist indicated that his decreased ambulatory function and ability to transfer </w:t>
      </w:r>
      <w:proofErr w:type="gramStart"/>
      <w:r w:rsidRPr="00A522DD">
        <w:rPr>
          <w:sz w:val="24"/>
          <w:szCs w:val="24"/>
        </w:rPr>
        <w:t>himself</w:t>
      </w:r>
      <w:proofErr w:type="gramEnd"/>
      <w:r w:rsidRPr="00A522DD">
        <w:rPr>
          <w:sz w:val="24"/>
          <w:szCs w:val="24"/>
        </w:rPr>
        <w:t xml:space="preserve"> put him at risk of hospitalization. </w:t>
      </w:r>
      <w:r w:rsidR="00972996">
        <w:rPr>
          <w:sz w:val="24"/>
          <w:szCs w:val="24"/>
        </w:rPr>
        <w:t xml:space="preserve"> </w:t>
      </w:r>
      <w:r w:rsidR="00690964" w:rsidRPr="00A522DD">
        <w:rPr>
          <w:sz w:val="24"/>
          <w:szCs w:val="24"/>
        </w:rPr>
        <w:t>(</w:t>
      </w:r>
      <w:r w:rsidR="00690964">
        <w:rPr>
          <w:sz w:val="24"/>
          <w:szCs w:val="24"/>
        </w:rPr>
        <w:t xml:space="preserve">Act 150 Waitlist 6, ECF </w:t>
      </w:r>
      <w:r w:rsidR="00C22945">
        <w:rPr>
          <w:sz w:val="24"/>
          <w:szCs w:val="24"/>
        </w:rPr>
        <w:t xml:space="preserve">No. </w:t>
      </w:r>
      <w:r w:rsidR="00690964">
        <w:rPr>
          <w:sz w:val="24"/>
          <w:szCs w:val="24"/>
        </w:rPr>
        <w:t xml:space="preserve">45-13.) </w:t>
      </w:r>
      <w:r w:rsidR="00690964" w:rsidRPr="00A522DD">
        <w:rPr>
          <w:sz w:val="24"/>
          <w:szCs w:val="24"/>
        </w:rPr>
        <w:t xml:space="preserve"> </w:t>
      </w:r>
      <w:r w:rsidR="000F5E8B">
        <w:rPr>
          <w:sz w:val="24"/>
          <w:szCs w:val="24"/>
        </w:rPr>
        <w:t xml:space="preserve"> </w:t>
      </w:r>
    </w:p>
    <w:p w:rsidR="00F420D1" w:rsidRDefault="00F420D1" w:rsidP="00F4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t xml:space="preserve">DPW has already determined that Plaintiffs are clinically eligible for nursing facility care and for services through the Waiver and Act 150.  </w:t>
      </w:r>
      <w:r w:rsidRPr="005F577B">
        <w:rPr>
          <w:sz w:val="24"/>
          <w:szCs w:val="24"/>
        </w:rPr>
        <w:t xml:space="preserve">(NFCE Clarification 40, April, 4, 2014, ECF </w:t>
      </w:r>
      <w:r w:rsidR="00C22945">
        <w:rPr>
          <w:sz w:val="24"/>
          <w:szCs w:val="24"/>
        </w:rPr>
        <w:t xml:space="preserve">No. </w:t>
      </w:r>
      <w:r w:rsidR="005567A8">
        <w:rPr>
          <w:sz w:val="24"/>
          <w:szCs w:val="24"/>
        </w:rPr>
        <w:t>45-8</w:t>
      </w:r>
      <w:r>
        <w:rPr>
          <w:sz w:val="24"/>
          <w:szCs w:val="24"/>
        </w:rPr>
        <w:t>; Brown Dep.</w:t>
      </w:r>
      <w:r w:rsidR="00690964">
        <w:rPr>
          <w:sz w:val="24"/>
          <w:szCs w:val="24"/>
        </w:rPr>
        <w:t xml:space="preserve"> 2, </w:t>
      </w:r>
      <w:r w:rsidR="00572E5F">
        <w:rPr>
          <w:sz w:val="24"/>
          <w:szCs w:val="24"/>
        </w:rPr>
        <w:t>88:13-</w:t>
      </w:r>
      <w:r>
        <w:rPr>
          <w:sz w:val="24"/>
          <w:szCs w:val="24"/>
        </w:rPr>
        <w:t xml:space="preserve">23, ECF </w:t>
      </w:r>
      <w:r w:rsidR="005567A8">
        <w:rPr>
          <w:sz w:val="24"/>
          <w:szCs w:val="24"/>
        </w:rPr>
        <w:t xml:space="preserve">No. </w:t>
      </w:r>
      <w:r>
        <w:rPr>
          <w:sz w:val="24"/>
          <w:szCs w:val="24"/>
        </w:rPr>
        <w:t>45-</w:t>
      </w:r>
      <w:r w:rsidR="00690964">
        <w:rPr>
          <w:sz w:val="24"/>
          <w:szCs w:val="24"/>
        </w:rPr>
        <w:t>6.</w:t>
      </w:r>
      <w:r w:rsidRPr="005F577B">
        <w:rPr>
          <w:sz w:val="24"/>
          <w:szCs w:val="24"/>
        </w:rPr>
        <w:t xml:space="preserve">)  </w:t>
      </w:r>
      <w:r>
        <w:rPr>
          <w:sz w:val="24"/>
          <w:szCs w:val="24"/>
        </w:rPr>
        <w:t xml:space="preserve"> DPW’s guidance provides the following with respect to individuals who need attendant care services outside of a nursing facility: </w:t>
      </w:r>
    </w:p>
    <w:p w:rsidR="00F420D1" w:rsidRDefault="00F420D1" w:rsidP="00F4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sz w:val="24"/>
          <w:szCs w:val="24"/>
        </w:rPr>
      </w:pPr>
      <w:r>
        <w:rPr>
          <w:sz w:val="24"/>
          <w:szCs w:val="24"/>
        </w:rPr>
        <w:t xml:space="preserve">[A]n individual who only needs personal care services to remain at home or in a community setting may be [nursing facility eligible] if, absent those personal care services, the individual’s condition would deteriorate to the point that he or she would be institutionalized in a nursing facility in the near future (that is, a month or less). </w:t>
      </w:r>
    </w:p>
    <w:p w:rsidR="00F420D1" w:rsidRDefault="00F420D1" w:rsidP="00F4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sz w:val="24"/>
          <w:szCs w:val="24"/>
        </w:rPr>
      </w:pPr>
    </w:p>
    <w:p w:rsidR="00F420D1" w:rsidRDefault="00690964" w:rsidP="00F4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roofErr w:type="gramStart"/>
      <w:r>
        <w:rPr>
          <w:sz w:val="24"/>
          <w:szCs w:val="24"/>
        </w:rPr>
        <w:t xml:space="preserve">(NFCE Clarification </w:t>
      </w:r>
      <w:r w:rsidR="00F420D1">
        <w:rPr>
          <w:sz w:val="24"/>
          <w:szCs w:val="24"/>
        </w:rPr>
        <w:t>40</w:t>
      </w:r>
      <w:r>
        <w:rPr>
          <w:sz w:val="24"/>
          <w:szCs w:val="24"/>
        </w:rPr>
        <w:t xml:space="preserve">, </w:t>
      </w:r>
      <w:r w:rsidR="00F420D1">
        <w:rPr>
          <w:sz w:val="24"/>
          <w:szCs w:val="24"/>
        </w:rPr>
        <w:t xml:space="preserve">ECF </w:t>
      </w:r>
      <w:r w:rsidR="00C22945">
        <w:rPr>
          <w:sz w:val="24"/>
          <w:szCs w:val="24"/>
        </w:rPr>
        <w:t xml:space="preserve">No. </w:t>
      </w:r>
      <w:r w:rsidR="00F420D1">
        <w:rPr>
          <w:sz w:val="24"/>
          <w:szCs w:val="24"/>
        </w:rPr>
        <w:t>45-8.)</w:t>
      </w:r>
      <w:proofErr w:type="gramEnd"/>
      <w:r w:rsidR="00F420D1">
        <w:rPr>
          <w:sz w:val="24"/>
          <w:szCs w:val="24"/>
        </w:rPr>
        <w:t xml:space="preserve">  </w:t>
      </w:r>
    </w:p>
    <w:p w:rsidR="00F420D1" w:rsidRDefault="00F420D1" w:rsidP="00F4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03664D" w:rsidRDefault="00F420D1"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lastRenderedPageBreak/>
        <w:tab/>
        <w:t>T</w:t>
      </w:r>
      <w:r w:rsidRPr="00C715F5">
        <w:rPr>
          <w:sz w:val="24"/>
          <w:szCs w:val="24"/>
        </w:rPr>
        <w:t>he cost of serving individual</w:t>
      </w:r>
      <w:r>
        <w:rPr>
          <w:sz w:val="24"/>
          <w:szCs w:val="24"/>
        </w:rPr>
        <w:t>s</w:t>
      </w:r>
      <w:r w:rsidRPr="00C715F5">
        <w:rPr>
          <w:sz w:val="24"/>
          <w:szCs w:val="24"/>
        </w:rPr>
        <w:t xml:space="preserve"> </w:t>
      </w:r>
      <w:r>
        <w:rPr>
          <w:sz w:val="24"/>
          <w:szCs w:val="24"/>
        </w:rPr>
        <w:t xml:space="preserve">through the Act 150 program </w:t>
      </w:r>
      <w:r w:rsidR="00A17A78">
        <w:rPr>
          <w:sz w:val="24"/>
          <w:szCs w:val="24"/>
        </w:rPr>
        <w:t>($27,408</w:t>
      </w:r>
      <w:r w:rsidRPr="00C715F5">
        <w:rPr>
          <w:sz w:val="24"/>
          <w:szCs w:val="24"/>
        </w:rPr>
        <w:t xml:space="preserve"> per year) is </w:t>
      </w:r>
      <w:r>
        <w:rPr>
          <w:sz w:val="24"/>
          <w:szCs w:val="24"/>
        </w:rPr>
        <w:t xml:space="preserve">slightly </w:t>
      </w:r>
      <w:r w:rsidRPr="00C6087A">
        <w:rPr>
          <w:sz w:val="24"/>
          <w:szCs w:val="24"/>
        </w:rPr>
        <w:t>less</w:t>
      </w:r>
      <w:r w:rsidRPr="00C715F5">
        <w:rPr>
          <w:sz w:val="24"/>
          <w:szCs w:val="24"/>
        </w:rPr>
        <w:t xml:space="preserve"> than the Commonwealth’s cost for serving </w:t>
      </w:r>
      <w:r>
        <w:rPr>
          <w:sz w:val="24"/>
          <w:szCs w:val="24"/>
        </w:rPr>
        <w:t xml:space="preserve">the same person </w:t>
      </w:r>
      <w:r w:rsidRPr="00C715F5">
        <w:rPr>
          <w:sz w:val="24"/>
          <w:szCs w:val="24"/>
        </w:rPr>
        <w:t>in a nursing facility through Medicaid ($27,878 per year)</w:t>
      </w:r>
      <w:r>
        <w:rPr>
          <w:sz w:val="24"/>
          <w:szCs w:val="24"/>
        </w:rPr>
        <w:t>; and it is half the combined cost to the state and federal government</w:t>
      </w:r>
      <w:r w:rsidRPr="00C715F5">
        <w:rPr>
          <w:sz w:val="24"/>
          <w:szCs w:val="24"/>
        </w:rPr>
        <w:t xml:space="preserve">.  </w:t>
      </w:r>
      <w:proofErr w:type="gramStart"/>
      <w:r>
        <w:rPr>
          <w:sz w:val="24"/>
          <w:szCs w:val="24"/>
        </w:rPr>
        <w:t>(</w:t>
      </w:r>
      <w:r w:rsidR="00690964">
        <w:rPr>
          <w:sz w:val="24"/>
          <w:szCs w:val="24"/>
        </w:rPr>
        <w:t>Gov.’s Exec.</w:t>
      </w:r>
      <w:proofErr w:type="gramEnd"/>
      <w:r w:rsidR="00690964">
        <w:rPr>
          <w:sz w:val="24"/>
          <w:szCs w:val="24"/>
        </w:rPr>
        <w:t xml:space="preserve"> </w:t>
      </w:r>
      <w:proofErr w:type="gramStart"/>
      <w:r w:rsidR="00690964">
        <w:rPr>
          <w:sz w:val="24"/>
          <w:szCs w:val="24"/>
        </w:rPr>
        <w:t>Budget FY2014-2015</w:t>
      </w:r>
      <w:r w:rsidRPr="00210F2E">
        <w:rPr>
          <w:sz w:val="24"/>
          <w:szCs w:val="24"/>
        </w:rPr>
        <w:t xml:space="preserve"> </w:t>
      </w:r>
      <w:r w:rsidR="00A17A78">
        <w:rPr>
          <w:sz w:val="24"/>
          <w:szCs w:val="24"/>
        </w:rPr>
        <w:t>7</w:t>
      </w:r>
      <w:r w:rsidR="00690964">
        <w:rPr>
          <w:sz w:val="24"/>
          <w:szCs w:val="24"/>
        </w:rPr>
        <w:t>, April 11, 2014,</w:t>
      </w:r>
      <w:r w:rsidR="00A17A78">
        <w:rPr>
          <w:sz w:val="24"/>
          <w:szCs w:val="24"/>
        </w:rPr>
        <w:t xml:space="preserve"> </w:t>
      </w:r>
      <w:r w:rsidRPr="00210F2E">
        <w:rPr>
          <w:sz w:val="24"/>
          <w:szCs w:val="24"/>
        </w:rPr>
        <w:t>ECF No. 45-8) (stating</w:t>
      </w:r>
      <w:r w:rsidR="00A17A78">
        <w:rPr>
          <w:sz w:val="24"/>
          <w:szCs w:val="24"/>
        </w:rPr>
        <w:t xml:space="preserve"> that </w:t>
      </w:r>
      <w:r w:rsidR="00572E5F">
        <w:rPr>
          <w:sz w:val="24"/>
          <w:szCs w:val="24"/>
        </w:rPr>
        <w:t xml:space="preserve">the </w:t>
      </w:r>
      <w:r w:rsidR="00A17A78">
        <w:rPr>
          <w:sz w:val="24"/>
          <w:szCs w:val="24"/>
        </w:rPr>
        <w:t xml:space="preserve">cost of Act 150 </w:t>
      </w:r>
      <w:r w:rsidR="00572E5F">
        <w:rPr>
          <w:sz w:val="24"/>
          <w:szCs w:val="24"/>
        </w:rPr>
        <w:t xml:space="preserve">attendant care services </w:t>
      </w:r>
      <w:r w:rsidR="00A17A78">
        <w:rPr>
          <w:sz w:val="24"/>
          <w:szCs w:val="24"/>
        </w:rPr>
        <w:t>is $2</w:t>
      </w:r>
      <w:r w:rsidR="00690964">
        <w:rPr>
          <w:sz w:val="24"/>
          <w:szCs w:val="24"/>
        </w:rPr>
        <w:t>284 per month, per user</w:t>
      </w:r>
      <w:r w:rsidRPr="00210F2E">
        <w:rPr>
          <w:sz w:val="24"/>
          <w:szCs w:val="24"/>
        </w:rPr>
        <w:t xml:space="preserve">); </w:t>
      </w:r>
      <w:r>
        <w:rPr>
          <w:sz w:val="24"/>
          <w:szCs w:val="24"/>
        </w:rPr>
        <w:t>(</w:t>
      </w:r>
      <w:r w:rsidRPr="00210F2E">
        <w:rPr>
          <w:sz w:val="24"/>
          <w:szCs w:val="24"/>
        </w:rPr>
        <w:t>Gov.’s Exec.</w:t>
      </w:r>
      <w:proofErr w:type="gramEnd"/>
      <w:r w:rsidRPr="00210F2E">
        <w:rPr>
          <w:sz w:val="24"/>
          <w:szCs w:val="24"/>
        </w:rPr>
        <w:t xml:space="preserve"> Budget, </w:t>
      </w:r>
      <w:r w:rsidR="00690964">
        <w:rPr>
          <w:sz w:val="24"/>
          <w:szCs w:val="24"/>
        </w:rPr>
        <w:t xml:space="preserve">46, </w:t>
      </w:r>
      <w:r w:rsidRPr="00210F2E">
        <w:rPr>
          <w:sz w:val="24"/>
          <w:szCs w:val="24"/>
        </w:rPr>
        <w:t>ECF No. 45-8</w:t>
      </w:r>
      <w:r>
        <w:rPr>
          <w:sz w:val="24"/>
          <w:szCs w:val="24"/>
        </w:rPr>
        <w:t>)</w:t>
      </w:r>
      <w:r w:rsidRPr="00C715F5">
        <w:rPr>
          <w:sz w:val="24"/>
          <w:szCs w:val="24"/>
        </w:rPr>
        <w:t xml:space="preserve"> (</w:t>
      </w:r>
      <w:r>
        <w:rPr>
          <w:sz w:val="24"/>
          <w:szCs w:val="24"/>
        </w:rPr>
        <w:t xml:space="preserve">stating that the </w:t>
      </w:r>
      <w:r w:rsidRPr="00C715F5">
        <w:rPr>
          <w:sz w:val="24"/>
          <w:szCs w:val="24"/>
        </w:rPr>
        <w:t>yearly average cost of nursing facility care, including the federal and state shares</w:t>
      </w:r>
      <w:r>
        <w:rPr>
          <w:sz w:val="24"/>
          <w:szCs w:val="24"/>
        </w:rPr>
        <w:t>,</w:t>
      </w:r>
      <w:r w:rsidRPr="00C715F5">
        <w:rPr>
          <w:sz w:val="24"/>
          <w:szCs w:val="24"/>
        </w:rPr>
        <w:t xml:space="preserve"> is $58,080)</w:t>
      </w:r>
      <w:r>
        <w:rPr>
          <w:sz w:val="24"/>
          <w:szCs w:val="24"/>
        </w:rPr>
        <w:t>.</w:t>
      </w:r>
      <w:r>
        <w:rPr>
          <w:rStyle w:val="FootnoteReference"/>
          <w:sz w:val="24"/>
          <w:szCs w:val="24"/>
        </w:rPr>
        <w:footnoteReference w:id="3"/>
      </w:r>
    </w:p>
    <w:p w:rsidR="00E82951" w:rsidRPr="00E942A2" w:rsidRDefault="0003664D" w:rsidP="00F07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t xml:space="preserve">Individuals who do not qualify for Medicaid because their income exceeds $2163 per month may still meet the income criteria for </w:t>
      </w:r>
      <w:r w:rsidR="00B4487F">
        <w:rPr>
          <w:sz w:val="24"/>
          <w:szCs w:val="24"/>
        </w:rPr>
        <w:t xml:space="preserve">attendant </w:t>
      </w:r>
      <w:r>
        <w:rPr>
          <w:sz w:val="24"/>
          <w:szCs w:val="24"/>
        </w:rPr>
        <w:t>care</w:t>
      </w:r>
      <w:r w:rsidR="002A73D2">
        <w:rPr>
          <w:sz w:val="24"/>
          <w:szCs w:val="24"/>
        </w:rPr>
        <w:t xml:space="preserve"> under Medicaid</w:t>
      </w:r>
      <w:r>
        <w:rPr>
          <w:sz w:val="24"/>
          <w:szCs w:val="24"/>
        </w:rPr>
        <w:t xml:space="preserve"> (either in a nursing facility or through </w:t>
      </w:r>
      <w:r w:rsidR="0019785E">
        <w:rPr>
          <w:sz w:val="24"/>
          <w:szCs w:val="24"/>
        </w:rPr>
        <w:t>the Waiver</w:t>
      </w:r>
      <w:r>
        <w:rPr>
          <w:sz w:val="24"/>
          <w:szCs w:val="24"/>
        </w:rPr>
        <w:t xml:space="preserve">) by using the </w:t>
      </w:r>
      <w:r w:rsidR="00DF0E59">
        <w:rPr>
          <w:sz w:val="24"/>
          <w:szCs w:val="24"/>
        </w:rPr>
        <w:t xml:space="preserve">Commonwealth’s </w:t>
      </w:r>
      <w:r>
        <w:rPr>
          <w:sz w:val="24"/>
          <w:szCs w:val="24"/>
        </w:rPr>
        <w:t xml:space="preserve">“spend down” process.  </w:t>
      </w:r>
      <w:r w:rsidRPr="004B10BF">
        <w:rPr>
          <w:sz w:val="24"/>
          <w:szCs w:val="24"/>
        </w:rPr>
        <w:t>55 Pa. Code §§ 18</w:t>
      </w:r>
      <w:r>
        <w:rPr>
          <w:sz w:val="24"/>
          <w:szCs w:val="24"/>
        </w:rPr>
        <w:t>1.1(b), 181.1(f</w:t>
      </w:r>
      <w:proofErr w:type="gramStart"/>
      <w:r>
        <w:rPr>
          <w:sz w:val="24"/>
          <w:szCs w:val="24"/>
        </w:rPr>
        <w:t>)(</w:t>
      </w:r>
      <w:proofErr w:type="gramEnd"/>
      <w:r>
        <w:rPr>
          <w:sz w:val="24"/>
          <w:szCs w:val="24"/>
        </w:rPr>
        <w:t xml:space="preserve">7), 181.14(c); </w:t>
      </w:r>
      <w:r w:rsidR="00C22945">
        <w:rPr>
          <w:sz w:val="24"/>
          <w:szCs w:val="24"/>
        </w:rPr>
        <w:t xml:space="preserve">Pa. Operations </w:t>
      </w:r>
      <w:proofErr w:type="spellStart"/>
      <w:r w:rsidR="00C22945">
        <w:rPr>
          <w:sz w:val="24"/>
          <w:szCs w:val="24"/>
        </w:rPr>
        <w:t>Mem</w:t>
      </w:r>
      <w:proofErr w:type="spellEnd"/>
      <w:r w:rsidR="00C22945">
        <w:rPr>
          <w:sz w:val="24"/>
          <w:szCs w:val="24"/>
        </w:rPr>
        <w:t xml:space="preserve">. </w:t>
      </w:r>
      <w:proofErr w:type="gramStart"/>
      <w:r w:rsidR="00C22945">
        <w:rPr>
          <w:sz w:val="24"/>
          <w:szCs w:val="24"/>
        </w:rPr>
        <w:t>#13-11-01,</w:t>
      </w:r>
      <w:r>
        <w:rPr>
          <w:sz w:val="24"/>
          <w:szCs w:val="24"/>
        </w:rPr>
        <w:t xml:space="preserve"> 2-3</w:t>
      </w:r>
      <w:r w:rsidRPr="004B10BF">
        <w:rPr>
          <w:sz w:val="24"/>
          <w:szCs w:val="24"/>
        </w:rPr>
        <w:t xml:space="preserve">, </w:t>
      </w:r>
      <w:r>
        <w:rPr>
          <w:sz w:val="24"/>
          <w:szCs w:val="24"/>
        </w:rPr>
        <w:t xml:space="preserve">April 11, 2014, ECF </w:t>
      </w:r>
      <w:r w:rsidR="00C22945">
        <w:rPr>
          <w:sz w:val="24"/>
          <w:szCs w:val="24"/>
        </w:rPr>
        <w:t xml:space="preserve">No. </w:t>
      </w:r>
      <w:r>
        <w:rPr>
          <w:sz w:val="24"/>
          <w:szCs w:val="24"/>
        </w:rPr>
        <w:t>45-17.</w:t>
      </w:r>
      <w:proofErr w:type="gramEnd"/>
      <w:r>
        <w:rPr>
          <w:sz w:val="24"/>
          <w:szCs w:val="24"/>
        </w:rPr>
        <w:t xml:space="preserve">  With respect to nursing facility care, the “spend down” process is generally available if the cost of medical care over a six-month period exceeds an individual’s income during that time, in which case the person may ente</w:t>
      </w:r>
      <w:r w:rsidR="00DF0E59">
        <w:rPr>
          <w:sz w:val="24"/>
          <w:szCs w:val="24"/>
        </w:rPr>
        <w:t>r the nursing facility and</w:t>
      </w:r>
      <w:r>
        <w:rPr>
          <w:sz w:val="24"/>
          <w:szCs w:val="24"/>
        </w:rPr>
        <w:t xml:space="preserve"> pay most of his or her income to the nursing facility.  </w:t>
      </w:r>
      <w:r w:rsidR="00DF0E59">
        <w:rPr>
          <w:sz w:val="24"/>
          <w:szCs w:val="24"/>
        </w:rPr>
        <w:t xml:space="preserve">55 Pa. Code </w:t>
      </w:r>
      <w:r w:rsidR="00DF0E59">
        <w:rPr>
          <w:sz w:val="24"/>
          <w:szCs w:val="24"/>
        </w:rPr>
        <w:lastRenderedPageBreak/>
        <w:t>§§ </w:t>
      </w:r>
      <w:r w:rsidRPr="004B10BF">
        <w:rPr>
          <w:sz w:val="24"/>
          <w:szCs w:val="24"/>
        </w:rPr>
        <w:t>18</w:t>
      </w:r>
      <w:r>
        <w:rPr>
          <w:sz w:val="24"/>
          <w:szCs w:val="24"/>
        </w:rPr>
        <w:t>1.1(b), 181.1(f</w:t>
      </w:r>
      <w:proofErr w:type="gramStart"/>
      <w:r>
        <w:rPr>
          <w:sz w:val="24"/>
          <w:szCs w:val="24"/>
        </w:rPr>
        <w:t>)(</w:t>
      </w:r>
      <w:proofErr w:type="gramEnd"/>
      <w:r>
        <w:rPr>
          <w:sz w:val="24"/>
          <w:szCs w:val="24"/>
        </w:rPr>
        <w:t>7), 181.14(c).</w:t>
      </w:r>
      <w:r w:rsidR="00F420D1">
        <w:rPr>
          <w:sz w:val="24"/>
          <w:szCs w:val="24"/>
        </w:rPr>
        <w:t xml:space="preserve">  The average per person cost for all nursing facilities is approximately </w:t>
      </w:r>
      <w:r w:rsidR="005C16E1">
        <w:rPr>
          <w:sz w:val="24"/>
          <w:szCs w:val="24"/>
        </w:rPr>
        <w:t xml:space="preserve">$4840 per month (that is, </w:t>
      </w:r>
      <w:r w:rsidR="00F420D1">
        <w:rPr>
          <w:sz w:val="24"/>
          <w:szCs w:val="24"/>
        </w:rPr>
        <w:t>$26,040 every six months</w:t>
      </w:r>
      <w:r w:rsidR="005C16E1">
        <w:rPr>
          <w:sz w:val="24"/>
          <w:szCs w:val="24"/>
        </w:rPr>
        <w:t xml:space="preserve"> and $58,080 a year)</w:t>
      </w:r>
      <w:r w:rsidR="007D48FB">
        <w:rPr>
          <w:sz w:val="24"/>
          <w:szCs w:val="24"/>
        </w:rPr>
        <w:t xml:space="preserve">.  </w:t>
      </w:r>
      <w:proofErr w:type="gramStart"/>
      <w:r w:rsidR="007D48FB">
        <w:rPr>
          <w:sz w:val="24"/>
          <w:szCs w:val="24"/>
        </w:rPr>
        <w:t>(</w:t>
      </w:r>
      <w:r w:rsidR="007D48FB" w:rsidRPr="00210F2E">
        <w:rPr>
          <w:sz w:val="24"/>
          <w:szCs w:val="24"/>
        </w:rPr>
        <w:t>Gov.’s Exec.</w:t>
      </w:r>
      <w:proofErr w:type="gramEnd"/>
      <w:r w:rsidR="007D48FB" w:rsidRPr="00210F2E">
        <w:rPr>
          <w:sz w:val="24"/>
          <w:szCs w:val="24"/>
        </w:rPr>
        <w:t xml:space="preserve"> </w:t>
      </w:r>
      <w:proofErr w:type="gramStart"/>
      <w:r w:rsidR="007D48FB" w:rsidRPr="00210F2E">
        <w:rPr>
          <w:sz w:val="24"/>
          <w:szCs w:val="24"/>
        </w:rPr>
        <w:t xml:space="preserve">Budget, </w:t>
      </w:r>
      <w:r w:rsidR="007D48FB">
        <w:rPr>
          <w:sz w:val="24"/>
          <w:szCs w:val="24"/>
        </w:rPr>
        <w:t xml:space="preserve">46, </w:t>
      </w:r>
      <w:r w:rsidR="007D48FB" w:rsidRPr="00210F2E">
        <w:rPr>
          <w:sz w:val="24"/>
          <w:szCs w:val="24"/>
        </w:rPr>
        <w:t>ECF No. 45-8</w:t>
      </w:r>
      <w:r w:rsidR="007D48FB">
        <w:rPr>
          <w:sz w:val="24"/>
          <w:szCs w:val="24"/>
        </w:rPr>
        <w:t>)</w:t>
      </w:r>
      <w:r w:rsidR="0011624D">
        <w:rPr>
          <w:sz w:val="24"/>
          <w:szCs w:val="24"/>
        </w:rPr>
        <w:t>.</w:t>
      </w:r>
      <w:proofErr w:type="gramEnd"/>
      <w:r w:rsidR="00E56FED">
        <w:rPr>
          <w:sz w:val="24"/>
          <w:szCs w:val="24"/>
        </w:rPr>
        <w:t xml:space="preserve"> </w:t>
      </w:r>
      <w:r w:rsidR="00BD328B">
        <w:rPr>
          <w:sz w:val="24"/>
          <w:szCs w:val="24"/>
        </w:rPr>
        <w:t xml:space="preserve"> </w:t>
      </w:r>
      <w:r w:rsidR="0011624D">
        <w:rPr>
          <w:sz w:val="24"/>
          <w:szCs w:val="24"/>
        </w:rPr>
        <w:t>T</w:t>
      </w:r>
      <w:r w:rsidR="00E56FED">
        <w:rPr>
          <w:sz w:val="24"/>
          <w:szCs w:val="24"/>
        </w:rPr>
        <w:t xml:space="preserve">herefore, </w:t>
      </w:r>
      <w:r w:rsidR="005714DD">
        <w:rPr>
          <w:sz w:val="24"/>
          <w:szCs w:val="24"/>
        </w:rPr>
        <w:t>on average, individual</w:t>
      </w:r>
      <w:r w:rsidR="005C16E1">
        <w:rPr>
          <w:sz w:val="24"/>
          <w:szCs w:val="24"/>
        </w:rPr>
        <w:t>s</w:t>
      </w:r>
      <w:r w:rsidR="005714DD">
        <w:rPr>
          <w:sz w:val="24"/>
          <w:szCs w:val="24"/>
        </w:rPr>
        <w:t xml:space="preserve"> will only be eligible to enter a nursing facility and use the “spend down” process if </w:t>
      </w:r>
      <w:r w:rsidR="005C16E1">
        <w:rPr>
          <w:sz w:val="24"/>
          <w:szCs w:val="24"/>
        </w:rPr>
        <w:t xml:space="preserve">they have </w:t>
      </w:r>
      <w:r w:rsidR="005714DD">
        <w:rPr>
          <w:sz w:val="24"/>
          <w:szCs w:val="24"/>
        </w:rPr>
        <w:t>a</w:t>
      </w:r>
      <w:r w:rsidR="005C16E1">
        <w:rPr>
          <w:sz w:val="24"/>
          <w:szCs w:val="24"/>
        </w:rPr>
        <w:t xml:space="preserve"> yearly income lower than </w:t>
      </w:r>
      <w:r w:rsidR="0046552C">
        <w:rPr>
          <w:sz w:val="24"/>
          <w:szCs w:val="24"/>
        </w:rPr>
        <w:t xml:space="preserve">approximately </w:t>
      </w:r>
      <w:r w:rsidR="005C16E1">
        <w:rPr>
          <w:sz w:val="24"/>
          <w:szCs w:val="24"/>
        </w:rPr>
        <w:t>$58,080 a year</w:t>
      </w:r>
      <w:r w:rsidR="005714DD">
        <w:rPr>
          <w:sz w:val="24"/>
          <w:szCs w:val="24"/>
        </w:rPr>
        <w:t>.</w:t>
      </w:r>
      <w:r w:rsidR="006C1C4C">
        <w:rPr>
          <w:sz w:val="24"/>
          <w:szCs w:val="24"/>
        </w:rPr>
        <w:t xml:space="preserve">  </w:t>
      </w:r>
      <w:r w:rsidR="0006460E">
        <w:rPr>
          <w:sz w:val="24"/>
          <w:szCs w:val="24"/>
        </w:rPr>
        <w:tab/>
      </w:r>
      <w:r w:rsidR="00BE7A8B">
        <w:rPr>
          <w:sz w:val="24"/>
          <w:szCs w:val="24"/>
        </w:rPr>
        <w:t xml:space="preserve"> </w:t>
      </w:r>
    </w:p>
    <w:p w:rsidR="00556983" w:rsidRDefault="00556983"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 xml:space="preserve">III. </w:t>
      </w:r>
      <w:r>
        <w:rPr>
          <w:sz w:val="24"/>
          <w:szCs w:val="24"/>
        </w:rPr>
        <w:tab/>
      </w:r>
      <w:r w:rsidR="00D20065">
        <w:rPr>
          <w:sz w:val="24"/>
          <w:szCs w:val="24"/>
        </w:rPr>
        <w:t>LEGAL AUTHORITY AND ANALYSIS</w:t>
      </w:r>
    </w:p>
    <w:p w:rsidR="008A3CD9" w:rsidRDefault="003B258F" w:rsidP="00F07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r>
      <w:r w:rsidR="00F07BBF">
        <w:rPr>
          <w:sz w:val="24"/>
          <w:szCs w:val="24"/>
        </w:rPr>
        <w:t>A</w:t>
      </w:r>
      <w:r w:rsidR="00556983">
        <w:rPr>
          <w:sz w:val="24"/>
          <w:szCs w:val="24"/>
        </w:rPr>
        <w:t>.</w:t>
      </w:r>
      <w:r w:rsidR="00556983">
        <w:rPr>
          <w:sz w:val="24"/>
          <w:szCs w:val="24"/>
        </w:rPr>
        <w:tab/>
      </w:r>
      <w:r w:rsidR="008A3CD9">
        <w:rPr>
          <w:sz w:val="24"/>
          <w:szCs w:val="24"/>
        </w:rPr>
        <w:t xml:space="preserve">Unnecessary Segregation </w:t>
      </w:r>
    </w:p>
    <w:p w:rsidR="005805FC"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t xml:space="preserve">Congress enacted the </w:t>
      </w:r>
      <w:r w:rsidR="00EE2F73">
        <w:rPr>
          <w:sz w:val="24"/>
          <w:szCs w:val="24"/>
        </w:rPr>
        <w:t>ADA</w:t>
      </w:r>
      <w:r>
        <w:rPr>
          <w:sz w:val="24"/>
          <w:szCs w:val="24"/>
        </w:rPr>
        <w:t xml:space="preserve"> in 1990 “to provide a clear and comprehensive national mandate for the elimination of discrimination against individuals with disabilities.”  42 U.S.C. § 12101(b</w:t>
      </w:r>
      <w:proofErr w:type="gramStart"/>
      <w:r>
        <w:rPr>
          <w:sz w:val="24"/>
          <w:szCs w:val="24"/>
        </w:rPr>
        <w:t>)(</w:t>
      </w:r>
      <w:proofErr w:type="gramEnd"/>
      <w:r>
        <w:rPr>
          <w:sz w:val="24"/>
          <w:szCs w:val="24"/>
        </w:rPr>
        <w:t>1).  Congress found that “historically, society has tended to isolate and segregate individuals with disabilities, and, despite some improvements, such forms of discrimination against individuals with disabilities continue</w:t>
      </w:r>
      <w:r w:rsidR="00EE2F73">
        <w:rPr>
          <w:sz w:val="24"/>
          <w:szCs w:val="24"/>
        </w:rPr>
        <w:t>[d]</w:t>
      </w:r>
      <w:r>
        <w:rPr>
          <w:sz w:val="24"/>
          <w:szCs w:val="24"/>
        </w:rPr>
        <w:t xml:space="preserve"> to be a serious and pervasive social problem.”  42</w:t>
      </w:r>
      <w:r w:rsidR="00A117E7">
        <w:rPr>
          <w:sz w:val="24"/>
          <w:szCs w:val="24"/>
        </w:rPr>
        <w:t> </w:t>
      </w:r>
      <w:r>
        <w:rPr>
          <w:sz w:val="24"/>
          <w:szCs w:val="24"/>
        </w:rPr>
        <w:t>U.S.C.</w:t>
      </w:r>
      <w:r w:rsidR="00A117E7">
        <w:rPr>
          <w:sz w:val="24"/>
          <w:szCs w:val="24"/>
        </w:rPr>
        <w:t xml:space="preserve"> </w:t>
      </w:r>
      <w:r>
        <w:rPr>
          <w:sz w:val="24"/>
          <w:szCs w:val="24"/>
        </w:rPr>
        <w:t>§</w:t>
      </w:r>
      <w:r w:rsidR="00A117E7">
        <w:rPr>
          <w:sz w:val="24"/>
          <w:szCs w:val="24"/>
        </w:rPr>
        <w:t> </w:t>
      </w:r>
      <w:r>
        <w:rPr>
          <w:sz w:val="24"/>
          <w:szCs w:val="24"/>
        </w:rPr>
        <w:t>12101(a</w:t>
      </w:r>
      <w:proofErr w:type="gramStart"/>
      <w:r>
        <w:rPr>
          <w:sz w:val="24"/>
          <w:szCs w:val="24"/>
        </w:rPr>
        <w:t>)(</w:t>
      </w:r>
      <w:proofErr w:type="gramEnd"/>
      <w:r>
        <w:rPr>
          <w:sz w:val="24"/>
          <w:szCs w:val="24"/>
        </w:rPr>
        <w:t xml:space="preserve">2).  For those reasons, </w:t>
      </w:r>
      <w:r w:rsidR="007B5614">
        <w:rPr>
          <w:sz w:val="24"/>
          <w:szCs w:val="24"/>
        </w:rPr>
        <w:t>in Title II of the ADA</w:t>
      </w:r>
      <w:r w:rsidR="00DF37B3">
        <w:rPr>
          <w:sz w:val="24"/>
          <w:szCs w:val="24"/>
        </w:rPr>
        <w:t>,</w:t>
      </w:r>
      <w:r w:rsidR="007B5614">
        <w:rPr>
          <w:sz w:val="24"/>
          <w:szCs w:val="24"/>
        </w:rPr>
        <w:t xml:space="preserve"> </w:t>
      </w:r>
      <w:r>
        <w:rPr>
          <w:sz w:val="24"/>
          <w:szCs w:val="24"/>
        </w:rPr>
        <w:t xml:space="preserve">Congress prohibited discrimination </w:t>
      </w:r>
      <w:r w:rsidR="007B5614">
        <w:rPr>
          <w:sz w:val="24"/>
          <w:szCs w:val="24"/>
        </w:rPr>
        <w:t xml:space="preserve">by public entities </w:t>
      </w:r>
      <w:r>
        <w:rPr>
          <w:sz w:val="24"/>
          <w:szCs w:val="24"/>
        </w:rPr>
        <w:t>against individuals with disabilities</w:t>
      </w:r>
      <w:r w:rsidR="007B5614">
        <w:rPr>
          <w:sz w:val="24"/>
          <w:szCs w:val="24"/>
        </w:rPr>
        <w:t xml:space="preserve">, providing </w:t>
      </w:r>
      <w:r w:rsidR="00EE2F73">
        <w:rPr>
          <w:sz w:val="24"/>
          <w:szCs w:val="24"/>
        </w:rPr>
        <w:t>that “n</w:t>
      </w:r>
      <w:r>
        <w:rPr>
          <w:sz w:val="24"/>
          <w:szCs w:val="24"/>
        </w:rPr>
        <w:t>o qualified individual with a disability shall, by reason of such disability, be excluded from participation in or be denied the benefits of the services, programs, or activities of a public entity, or be subjected to discrimination by any such entity.</w:t>
      </w:r>
      <w:r w:rsidR="00EE2F73">
        <w:rPr>
          <w:sz w:val="24"/>
          <w:szCs w:val="24"/>
        </w:rPr>
        <w:t xml:space="preserve">”  </w:t>
      </w:r>
      <w:proofErr w:type="gramStart"/>
      <w:r w:rsidR="00F93D77">
        <w:rPr>
          <w:sz w:val="24"/>
          <w:szCs w:val="24"/>
        </w:rPr>
        <w:t>42 U.S.C. § 12132.</w:t>
      </w:r>
      <w:proofErr w:type="gramEnd"/>
      <w:r w:rsidR="0065703A">
        <w:rPr>
          <w:sz w:val="24"/>
          <w:szCs w:val="24"/>
        </w:rPr>
        <w:t xml:space="preserve">  </w:t>
      </w:r>
    </w:p>
    <w:p w:rsidR="00570B4A" w:rsidRPr="00DF04B7" w:rsidRDefault="005805FC"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r>
      <w:r w:rsidR="002A64D0">
        <w:rPr>
          <w:sz w:val="24"/>
          <w:szCs w:val="24"/>
        </w:rPr>
        <w:t>As directed by Congress, the Attorney General issued regulations implementing Title II</w:t>
      </w:r>
      <w:r w:rsidR="0065703A">
        <w:rPr>
          <w:sz w:val="24"/>
          <w:szCs w:val="24"/>
        </w:rPr>
        <w:t>.</w:t>
      </w:r>
      <w:r w:rsidR="00914D68">
        <w:rPr>
          <w:sz w:val="24"/>
          <w:szCs w:val="24"/>
        </w:rPr>
        <w:t xml:space="preserve">  </w:t>
      </w:r>
      <w:proofErr w:type="gramStart"/>
      <w:r w:rsidR="0065703A">
        <w:rPr>
          <w:sz w:val="24"/>
          <w:szCs w:val="24"/>
        </w:rPr>
        <w:t>42</w:t>
      </w:r>
      <w:r w:rsidR="002A64D0">
        <w:rPr>
          <w:sz w:val="24"/>
          <w:szCs w:val="24"/>
        </w:rPr>
        <w:t xml:space="preserve"> U.S.C. § 12134(a)</w:t>
      </w:r>
      <w:r w:rsidR="0065703A">
        <w:rPr>
          <w:sz w:val="24"/>
          <w:szCs w:val="24"/>
        </w:rPr>
        <w:t>.</w:t>
      </w:r>
      <w:proofErr w:type="gramEnd"/>
      <w:r w:rsidR="00A117E7">
        <w:rPr>
          <w:sz w:val="24"/>
          <w:szCs w:val="24"/>
        </w:rPr>
        <w:t xml:space="preserve">  </w:t>
      </w:r>
      <w:r w:rsidR="00DF04B7">
        <w:rPr>
          <w:sz w:val="24"/>
          <w:szCs w:val="24"/>
        </w:rPr>
        <w:t xml:space="preserve">Central to this case are two regulations, the first </w:t>
      </w:r>
      <w:r w:rsidR="006006F6">
        <w:rPr>
          <w:sz w:val="24"/>
          <w:szCs w:val="24"/>
        </w:rPr>
        <w:t xml:space="preserve">of </w:t>
      </w:r>
      <w:r w:rsidR="00DF04B7">
        <w:rPr>
          <w:sz w:val="24"/>
          <w:szCs w:val="24"/>
        </w:rPr>
        <w:t xml:space="preserve">which </w:t>
      </w:r>
      <w:proofErr w:type="gramStart"/>
      <w:r w:rsidR="00DF04B7">
        <w:rPr>
          <w:sz w:val="24"/>
          <w:szCs w:val="24"/>
        </w:rPr>
        <w:t>articulates</w:t>
      </w:r>
      <w:proofErr w:type="gramEnd"/>
      <w:r w:rsidR="00DF04B7">
        <w:rPr>
          <w:sz w:val="24"/>
          <w:szCs w:val="24"/>
        </w:rPr>
        <w:t xml:space="preserve"> the “integration mandate” of the ADA and provides that </w:t>
      </w:r>
      <w:r w:rsidR="001C6937" w:rsidRPr="000B4DBD">
        <w:rPr>
          <w:sz w:val="24"/>
          <w:szCs w:val="24"/>
        </w:rPr>
        <w:t>“</w:t>
      </w:r>
      <w:r w:rsidR="00DF04B7">
        <w:rPr>
          <w:sz w:val="24"/>
          <w:szCs w:val="24"/>
        </w:rPr>
        <w:t xml:space="preserve">[a] public entity shall administer services, programs, and activities </w:t>
      </w:r>
      <w:r w:rsidR="001C6937" w:rsidRPr="000B4DBD">
        <w:rPr>
          <w:sz w:val="24"/>
          <w:szCs w:val="24"/>
        </w:rPr>
        <w:t>in the most integrated setting appropriate to the needs of qualifie</w:t>
      </w:r>
      <w:r w:rsidR="00DF04B7">
        <w:rPr>
          <w:sz w:val="24"/>
          <w:szCs w:val="24"/>
        </w:rPr>
        <w:t>d individuals with disabilities.</w:t>
      </w:r>
      <w:r w:rsidR="001C6937" w:rsidRPr="000B4DBD">
        <w:rPr>
          <w:sz w:val="24"/>
          <w:szCs w:val="24"/>
        </w:rPr>
        <w:t xml:space="preserve">” </w:t>
      </w:r>
      <w:r w:rsidR="00DF04B7">
        <w:rPr>
          <w:sz w:val="24"/>
          <w:szCs w:val="24"/>
        </w:rPr>
        <w:t xml:space="preserve"> </w:t>
      </w:r>
      <w:proofErr w:type="gramStart"/>
      <w:r w:rsidR="00362DAB">
        <w:rPr>
          <w:sz w:val="24"/>
          <w:szCs w:val="24"/>
        </w:rPr>
        <w:t xml:space="preserve">28 CFR </w:t>
      </w:r>
      <w:r w:rsidR="001C6937" w:rsidRPr="000B4DBD">
        <w:rPr>
          <w:sz w:val="24"/>
          <w:szCs w:val="24"/>
        </w:rPr>
        <w:t>§ 35.130(d).</w:t>
      </w:r>
      <w:proofErr w:type="gramEnd"/>
      <w:r w:rsidR="001C6937">
        <w:rPr>
          <w:sz w:val="24"/>
          <w:szCs w:val="24"/>
        </w:rPr>
        <w:t xml:space="preserve">  </w:t>
      </w:r>
      <w:r w:rsidR="001C6937">
        <w:rPr>
          <w:sz w:val="24"/>
          <w:szCs w:val="24"/>
        </w:rPr>
        <w:lastRenderedPageBreak/>
        <w:t xml:space="preserve">The “most integrated setting” is “a setting that enables individuals with disabilities to interact with non-disabled persons to the fullest extent possible.”  </w:t>
      </w:r>
      <w:proofErr w:type="gramStart"/>
      <w:r w:rsidR="00D23979">
        <w:rPr>
          <w:sz w:val="24"/>
          <w:szCs w:val="24"/>
        </w:rPr>
        <w:t>28 C.F.R. pt. 35 app.</w:t>
      </w:r>
      <w:proofErr w:type="gramEnd"/>
      <w:r w:rsidR="00D23979">
        <w:rPr>
          <w:sz w:val="24"/>
          <w:szCs w:val="24"/>
        </w:rPr>
        <w:t xml:space="preserve"> A (2009); </w:t>
      </w:r>
      <w:r w:rsidR="00D23979">
        <w:rPr>
          <w:i/>
          <w:sz w:val="24"/>
          <w:szCs w:val="24"/>
        </w:rPr>
        <w:t xml:space="preserve">cf. Helen L. v. </w:t>
      </w:r>
      <w:proofErr w:type="spellStart"/>
      <w:r w:rsidR="00D23979">
        <w:rPr>
          <w:i/>
          <w:sz w:val="24"/>
          <w:szCs w:val="24"/>
        </w:rPr>
        <w:t>DiDario</w:t>
      </w:r>
      <w:proofErr w:type="spellEnd"/>
      <w:r w:rsidR="00D23979">
        <w:rPr>
          <w:sz w:val="24"/>
          <w:szCs w:val="24"/>
        </w:rPr>
        <w:t>, 46 F.3d 325, 333 (3d Cir. 1995) (holding that</w:t>
      </w:r>
      <w:r w:rsidR="00DF04B7" w:rsidRPr="00DF04B7">
        <w:rPr>
          <w:sz w:val="24"/>
          <w:szCs w:val="24"/>
        </w:rPr>
        <w:t xml:space="preserve"> </w:t>
      </w:r>
      <w:r w:rsidR="00D23979">
        <w:rPr>
          <w:sz w:val="24"/>
          <w:szCs w:val="24"/>
        </w:rPr>
        <w:t>“</w:t>
      </w:r>
      <w:r w:rsidR="00DF04B7" w:rsidRPr="00DF04B7">
        <w:rPr>
          <w:sz w:val="24"/>
          <w:szCs w:val="24"/>
        </w:rPr>
        <w:t>the ADA and its attendant regulations clearly define unnecessary segregation as a form of illegal discrimination against the disabled</w:t>
      </w:r>
      <w:r w:rsidR="00D23979">
        <w:rPr>
          <w:sz w:val="24"/>
          <w:szCs w:val="24"/>
        </w:rPr>
        <w:t xml:space="preserve">”).  </w:t>
      </w:r>
      <w:r w:rsidR="00DF04B7">
        <w:rPr>
          <w:sz w:val="24"/>
          <w:szCs w:val="24"/>
        </w:rPr>
        <w:t xml:space="preserve">The second regulation provides that public entities are required to </w:t>
      </w:r>
      <w:r w:rsidR="00DF04B7" w:rsidRPr="00DF04B7">
        <w:rPr>
          <w:sz w:val="24"/>
          <w:szCs w:val="24"/>
        </w:rPr>
        <w:t>“make reasonable modifications in policies, practices, or procedures” to avoid unjustif</w:t>
      </w:r>
      <w:r w:rsidR="00D23979">
        <w:rPr>
          <w:sz w:val="24"/>
          <w:szCs w:val="24"/>
        </w:rPr>
        <w:t xml:space="preserve">ied segregation of </w:t>
      </w:r>
      <w:r w:rsidR="0021668A">
        <w:rPr>
          <w:sz w:val="24"/>
          <w:szCs w:val="24"/>
        </w:rPr>
        <w:t xml:space="preserve">individuals with </w:t>
      </w:r>
      <w:r w:rsidR="002374F3">
        <w:rPr>
          <w:sz w:val="24"/>
          <w:szCs w:val="24"/>
        </w:rPr>
        <w:t>disabilities</w:t>
      </w:r>
      <w:r w:rsidR="0021668A">
        <w:rPr>
          <w:sz w:val="24"/>
          <w:szCs w:val="24"/>
        </w:rPr>
        <w:t>;</w:t>
      </w:r>
      <w:r w:rsidR="00D23979">
        <w:rPr>
          <w:sz w:val="24"/>
          <w:szCs w:val="24"/>
        </w:rPr>
        <w:t xml:space="preserve"> however, public entities are </w:t>
      </w:r>
      <w:r w:rsidR="0021668A">
        <w:rPr>
          <w:sz w:val="24"/>
          <w:szCs w:val="24"/>
        </w:rPr>
        <w:t xml:space="preserve">not required to make </w:t>
      </w:r>
      <w:r w:rsidR="00551A94">
        <w:rPr>
          <w:sz w:val="24"/>
          <w:szCs w:val="24"/>
        </w:rPr>
        <w:t xml:space="preserve">such </w:t>
      </w:r>
      <w:r w:rsidR="0021668A">
        <w:rPr>
          <w:sz w:val="24"/>
          <w:szCs w:val="24"/>
        </w:rPr>
        <w:t xml:space="preserve">modifications if </w:t>
      </w:r>
      <w:r w:rsidR="00DF04B7" w:rsidRPr="00DF04B7">
        <w:rPr>
          <w:sz w:val="24"/>
          <w:szCs w:val="24"/>
        </w:rPr>
        <w:t xml:space="preserve">“the public entity can demonstrate that making the modifications would fundamentally alter the nature of the service, program, or activity.” </w:t>
      </w:r>
      <w:r w:rsidR="00D23979">
        <w:rPr>
          <w:sz w:val="24"/>
          <w:szCs w:val="24"/>
        </w:rPr>
        <w:t xml:space="preserve"> </w:t>
      </w:r>
      <w:r w:rsidR="00DF04B7" w:rsidRPr="00DF04B7">
        <w:rPr>
          <w:sz w:val="24"/>
          <w:szCs w:val="24"/>
        </w:rPr>
        <w:t>28 C.F.R. § 35.130(b</w:t>
      </w:r>
      <w:proofErr w:type="gramStart"/>
      <w:r w:rsidR="00DF04B7" w:rsidRPr="00DF04B7">
        <w:rPr>
          <w:sz w:val="24"/>
          <w:szCs w:val="24"/>
        </w:rPr>
        <w:t>)(</w:t>
      </w:r>
      <w:proofErr w:type="gramEnd"/>
      <w:r w:rsidR="00DF04B7" w:rsidRPr="00DF04B7">
        <w:rPr>
          <w:sz w:val="24"/>
          <w:szCs w:val="24"/>
        </w:rPr>
        <w:t>7)</w:t>
      </w:r>
      <w:r w:rsidR="00D23979">
        <w:rPr>
          <w:sz w:val="24"/>
          <w:szCs w:val="24"/>
        </w:rPr>
        <w:t>.</w:t>
      </w:r>
    </w:p>
    <w:p w:rsidR="00890FAD" w:rsidRDefault="0050012D" w:rsidP="0050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Pr>
          <w:sz w:val="24"/>
          <w:szCs w:val="24"/>
        </w:rPr>
        <w:tab/>
      </w:r>
      <w:r w:rsidR="00F07BBF">
        <w:rPr>
          <w:sz w:val="24"/>
          <w:szCs w:val="24"/>
        </w:rPr>
        <w:t>B</w:t>
      </w:r>
      <w:r>
        <w:rPr>
          <w:sz w:val="24"/>
          <w:szCs w:val="24"/>
        </w:rPr>
        <w:t xml:space="preserve">. </w:t>
      </w:r>
      <w:r>
        <w:rPr>
          <w:sz w:val="24"/>
          <w:szCs w:val="24"/>
        </w:rPr>
        <w:tab/>
      </w:r>
      <w:r w:rsidR="00600C12">
        <w:rPr>
          <w:sz w:val="24"/>
          <w:szCs w:val="24"/>
        </w:rPr>
        <w:t>Risk of Institutionalization</w:t>
      </w:r>
    </w:p>
    <w:p w:rsidR="00DF37B3" w:rsidRPr="000E62AE" w:rsidRDefault="00DF37B3" w:rsidP="00DF37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p>
    <w:p w:rsidR="00C11FA6" w:rsidRDefault="0050012D" w:rsidP="00F07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Pr>
          <w:sz w:val="24"/>
          <w:szCs w:val="24"/>
        </w:rPr>
        <w:tab/>
      </w:r>
      <w:r w:rsidR="0011624D">
        <w:rPr>
          <w:sz w:val="24"/>
          <w:szCs w:val="24"/>
        </w:rPr>
        <w:t>Individuals who are at risk of entering an institution</w:t>
      </w:r>
      <w:r w:rsidR="00570B4A">
        <w:rPr>
          <w:sz w:val="24"/>
          <w:szCs w:val="24"/>
        </w:rPr>
        <w:t xml:space="preserve"> because of a state policy</w:t>
      </w:r>
      <w:r w:rsidR="0011624D">
        <w:rPr>
          <w:sz w:val="24"/>
          <w:szCs w:val="24"/>
        </w:rPr>
        <w:t xml:space="preserve"> need not wait until they enter the institution in order to assert an ADA integration claim</w:t>
      </w:r>
      <w:r w:rsidR="00DF37B3">
        <w:rPr>
          <w:sz w:val="24"/>
          <w:szCs w:val="24"/>
        </w:rPr>
        <w:t>.</w:t>
      </w:r>
      <w:r w:rsidR="009F7C9F">
        <w:rPr>
          <w:sz w:val="24"/>
          <w:szCs w:val="24"/>
        </w:rPr>
        <w:t xml:space="preserve"> </w:t>
      </w:r>
      <w:r w:rsidR="00DF37B3">
        <w:rPr>
          <w:sz w:val="24"/>
          <w:szCs w:val="24"/>
        </w:rPr>
        <w:t xml:space="preserve"> </w:t>
      </w:r>
      <w:proofErr w:type="spellStart"/>
      <w:proofErr w:type="gramStart"/>
      <w:r>
        <w:rPr>
          <w:i/>
          <w:sz w:val="24"/>
          <w:szCs w:val="24"/>
        </w:rPr>
        <w:t>Pashby</w:t>
      </w:r>
      <w:proofErr w:type="spellEnd"/>
      <w:r>
        <w:rPr>
          <w:i/>
          <w:sz w:val="24"/>
          <w:szCs w:val="24"/>
        </w:rPr>
        <w:t xml:space="preserve"> v. Delia</w:t>
      </w:r>
      <w:r>
        <w:rPr>
          <w:sz w:val="24"/>
          <w:szCs w:val="24"/>
        </w:rPr>
        <w:t>, 709 F.3d 307, 322-23 (4</w:t>
      </w:r>
      <w:r w:rsidRPr="00856834">
        <w:rPr>
          <w:sz w:val="24"/>
          <w:szCs w:val="24"/>
        </w:rPr>
        <w:t>th</w:t>
      </w:r>
      <w:r>
        <w:rPr>
          <w:sz w:val="24"/>
          <w:szCs w:val="24"/>
        </w:rPr>
        <w:t xml:space="preserve"> Cir. 201</w:t>
      </w:r>
      <w:r w:rsidR="00DF37B3">
        <w:rPr>
          <w:sz w:val="24"/>
          <w:szCs w:val="24"/>
        </w:rPr>
        <w:t>3)</w:t>
      </w:r>
      <w:r>
        <w:rPr>
          <w:sz w:val="24"/>
          <w:szCs w:val="24"/>
        </w:rPr>
        <w:t xml:space="preserve">; </w:t>
      </w:r>
      <w:r w:rsidRPr="00013962">
        <w:rPr>
          <w:i/>
          <w:sz w:val="24"/>
          <w:szCs w:val="24"/>
        </w:rPr>
        <w:t xml:space="preserve">M.R. v. Dreyfus, </w:t>
      </w:r>
      <w:r w:rsidRPr="00013962">
        <w:rPr>
          <w:sz w:val="24"/>
          <w:szCs w:val="24"/>
        </w:rPr>
        <w:t>663 F.3d 1100, 1118 (9th Cir.</w:t>
      </w:r>
      <w:r>
        <w:rPr>
          <w:sz w:val="24"/>
          <w:szCs w:val="24"/>
        </w:rPr>
        <w:t xml:space="preserve"> </w:t>
      </w:r>
      <w:r w:rsidRPr="00013962">
        <w:rPr>
          <w:sz w:val="24"/>
          <w:szCs w:val="24"/>
        </w:rPr>
        <w:t>2011),</w:t>
      </w:r>
      <w:r w:rsidRPr="00013962">
        <w:rPr>
          <w:i/>
          <w:sz w:val="24"/>
          <w:szCs w:val="24"/>
        </w:rPr>
        <w:t xml:space="preserve"> amended by </w:t>
      </w:r>
      <w:r w:rsidRPr="00013962">
        <w:rPr>
          <w:sz w:val="24"/>
          <w:szCs w:val="24"/>
        </w:rPr>
        <w:t>697 F.3d 706 (9th Cir.</w:t>
      </w:r>
      <w:r>
        <w:rPr>
          <w:sz w:val="24"/>
          <w:szCs w:val="24"/>
        </w:rPr>
        <w:t xml:space="preserve"> </w:t>
      </w:r>
      <w:r w:rsidRPr="00013962">
        <w:rPr>
          <w:sz w:val="24"/>
          <w:szCs w:val="24"/>
        </w:rPr>
        <w:t>2012)</w:t>
      </w:r>
      <w:r>
        <w:rPr>
          <w:sz w:val="24"/>
          <w:szCs w:val="24"/>
        </w:rPr>
        <w:t xml:space="preserve">; </w:t>
      </w:r>
      <w:r>
        <w:rPr>
          <w:i/>
          <w:iCs/>
          <w:sz w:val="24"/>
          <w:szCs w:val="24"/>
        </w:rPr>
        <w:t>Fisher v. Okla.</w:t>
      </w:r>
      <w:r w:rsidRPr="00EA7D38">
        <w:rPr>
          <w:i/>
          <w:iCs/>
          <w:sz w:val="24"/>
          <w:szCs w:val="24"/>
        </w:rPr>
        <w:t xml:space="preserve"> Health Care Auth.</w:t>
      </w:r>
      <w:r>
        <w:rPr>
          <w:sz w:val="24"/>
          <w:szCs w:val="24"/>
        </w:rPr>
        <w:t>, 335 F.3d 1175, 1181-82 (10</w:t>
      </w:r>
      <w:r w:rsidRPr="002C7379">
        <w:rPr>
          <w:sz w:val="24"/>
          <w:szCs w:val="24"/>
        </w:rPr>
        <w:t>th</w:t>
      </w:r>
      <w:r>
        <w:rPr>
          <w:sz w:val="24"/>
          <w:szCs w:val="24"/>
        </w:rPr>
        <w:t xml:space="preserve"> Cir. 2003).</w:t>
      </w:r>
      <w:proofErr w:type="gramEnd"/>
      <w:r>
        <w:rPr>
          <w:sz w:val="24"/>
          <w:szCs w:val="24"/>
        </w:rPr>
        <w:t xml:space="preserve">  </w:t>
      </w:r>
      <w:r w:rsidR="00DB55B1" w:rsidRPr="00DB55B1">
        <w:rPr>
          <w:sz w:val="24"/>
          <w:szCs w:val="24"/>
        </w:rPr>
        <w:t xml:space="preserve">In </w:t>
      </w:r>
      <w:r w:rsidR="00DB55B1" w:rsidRPr="00DB55B1">
        <w:rPr>
          <w:i/>
          <w:sz w:val="24"/>
          <w:szCs w:val="24"/>
        </w:rPr>
        <w:t>Fisher</w:t>
      </w:r>
      <w:r w:rsidR="00DB55B1" w:rsidRPr="00DB55B1">
        <w:rPr>
          <w:sz w:val="24"/>
          <w:szCs w:val="24"/>
        </w:rPr>
        <w:t>, the Tenth Circuit held that “disabled persons who</w:t>
      </w:r>
      <w:r w:rsidR="002374F3">
        <w:rPr>
          <w:sz w:val="24"/>
          <w:szCs w:val="24"/>
        </w:rPr>
        <w:t xml:space="preserve"> . . . </w:t>
      </w:r>
      <w:r w:rsidR="00DB55B1" w:rsidRPr="00DB55B1">
        <w:rPr>
          <w:sz w:val="24"/>
          <w:szCs w:val="24"/>
        </w:rPr>
        <w:t xml:space="preserve"> stand imperiled with segregation” could bring a claim “under the ADA’s integration regulation without first submitting to institutionalization.”  </w:t>
      </w:r>
      <w:proofErr w:type="gramStart"/>
      <w:r w:rsidR="00DB55B1" w:rsidRPr="00DB55B1">
        <w:rPr>
          <w:i/>
          <w:sz w:val="24"/>
          <w:szCs w:val="24"/>
        </w:rPr>
        <w:t>Id.</w:t>
      </w:r>
      <w:r w:rsidR="00DB55B1" w:rsidRPr="00DB55B1">
        <w:rPr>
          <w:sz w:val="24"/>
          <w:szCs w:val="24"/>
        </w:rPr>
        <w:t xml:space="preserve"> at 1182.</w:t>
      </w:r>
      <w:proofErr w:type="gramEnd"/>
      <w:r w:rsidR="00DB55B1" w:rsidRPr="00DB55B1">
        <w:rPr>
          <w:sz w:val="24"/>
          <w:szCs w:val="24"/>
        </w:rPr>
        <w:t xml:space="preserve">  The court reasoned that “there is nothing in the plain language of the regulations that limits protection to persons who are currently institutionalized.”  </w:t>
      </w:r>
      <w:proofErr w:type="gramStart"/>
      <w:r w:rsidR="00DB55B1" w:rsidRPr="00DB55B1">
        <w:rPr>
          <w:i/>
          <w:sz w:val="24"/>
          <w:szCs w:val="24"/>
        </w:rPr>
        <w:t>Id.</w:t>
      </w:r>
      <w:r w:rsidR="00DB55B1" w:rsidRPr="00DB55B1">
        <w:rPr>
          <w:sz w:val="24"/>
          <w:szCs w:val="24"/>
        </w:rPr>
        <w:t xml:space="preserve"> at 1181.</w:t>
      </w:r>
      <w:proofErr w:type="gramEnd"/>
      <w:r w:rsidR="00DB55B1" w:rsidRPr="00DB55B1">
        <w:rPr>
          <w:sz w:val="24"/>
          <w:szCs w:val="24"/>
        </w:rPr>
        <w:t xml:space="preserve">  The court concluded that the integration mandate “would be meaningless if plaintiffs were required to segregate themselves by entering an institution before they could challenge an allegedly discriminatory law or policy that threatens to force them </w:t>
      </w:r>
      <w:r w:rsidR="00DB55B1" w:rsidRPr="00DB55B1">
        <w:rPr>
          <w:sz w:val="24"/>
          <w:szCs w:val="24"/>
        </w:rPr>
        <w:lastRenderedPageBreak/>
        <w:t xml:space="preserve">into segregated isolation.”  </w:t>
      </w:r>
      <w:r w:rsidR="00DF37B3">
        <w:rPr>
          <w:i/>
          <w:sz w:val="24"/>
          <w:szCs w:val="24"/>
        </w:rPr>
        <w:t>Id</w:t>
      </w:r>
      <w:r w:rsidR="00DB55B1" w:rsidRPr="00DB55B1">
        <w:rPr>
          <w:i/>
          <w:sz w:val="24"/>
          <w:szCs w:val="24"/>
        </w:rPr>
        <w:t>.</w:t>
      </w:r>
      <w:r w:rsidR="00DB55B1" w:rsidRPr="00DB55B1">
        <w:rPr>
          <w:sz w:val="24"/>
          <w:szCs w:val="24"/>
        </w:rPr>
        <w:t xml:space="preserve">  </w:t>
      </w:r>
      <w:r w:rsidR="00DF37B3">
        <w:rPr>
          <w:sz w:val="24"/>
          <w:szCs w:val="24"/>
        </w:rPr>
        <w:t>M</w:t>
      </w:r>
      <w:r w:rsidR="00DF37B3" w:rsidRPr="00DB55B1">
        <w:rPr>
          <w:sz w:val="24"/>
          <w:szCs w:val="24"/>
        </w:rPr>
        <w:t>oreover</w:t>
      </w:r>
      <w:r w:rsidR="00DF37B3">
        <w:rPr>
          <w:sz w:val="24"/>
          <w:szCs w:val="24"/>
        </w:rPr>
        <w:t>, t</w:t>
      </w:r>
      <w:r w:rsidR="00DB55B1" w:rsidRPr="00DB55B1">
        <w:rPr>
          <w:sz w:val="24"/>
          <w:szCs w:val="24"/>
        </w:rPr>
        <w:t xml:space="preserve">he plaintiffs in </w:t>
      </w:r>
      <w:r w:rsidR="00DB55B1" w:rsidRPr="00DB55B1">
        <w:rPr>
          <w:i/>
          <w:sz w:val="24"/>
          <w:szCs w:val="24"/>
        </w:rPr>
        <w:t>Fisher</w:t>
      </w:r>
      <w:r w:rsidR="00DB55B1" w:rsidRPr="00DB55B1">
        <w:rPr>
          <w:sz w:val="24"/>
          <w:szCs w:val="24"/>
        </w:rPr>
        <w:t xml:space="preserve"> “face[d] a substantial risk of harm” because they were “at high risk for premature entry” to an institution due to the </w:t>
      </w:r>
      <w:r w:rsidR="00DE65B6">
        <w:rPr>
          <w:sz w:val="24"/>
          <w:szCs w:val="24"/>
        </w:rPr>
        <w:t>s</w:t>
      </w:r>
      <w:r w:rsidR="00DB55B1" w:rsidRPr="00DB55B1">
        <w:rPr>
          <w:sz w:val="24"/>
          <w:szCs w:val="24"/>
        </w:rPr>
        <w:t xml:space="preserve">tate policy at issue in the case.  </w:t>
      </w:r>
      <w:proofErr w:type="gramStart"/>
      <w:r w:rsidR="00DB55B1" w:rsidRPr="00DB55B1">
        <w:rPr>
          <w:i/>
          <w:sz w:val="24"/>
          <w:szCs w:val="24"/>
        </w:rPr>
        <w:t>Id.</w:t>
      </w:r>
      <w:r w:rsidR="00DB55B1" w:rsidRPr="00DB55B1">
        <w:rPr>
          <w:sz w:val="24"/>
          <w:szCs w:val="24"/>
        </w:rPr>
        <w:t xml:space="preserve"> at 1184 (internal quotation marks omitted).</w:t>
      </w:r>
      <w:proofErr w:type="gramEnd"/>
    </w:p>
    <w:p w:rsidR="00600C12" w:rsidRDefault="003B258F" w:rsidP="00F07BBF">
      <w:pPr>
        <w:spacing w:line="480" w:lineRule="auto"/>
        <w:ind w:firstLine="720"/>
        <w:rPr>
          <w:color w:val="000000"/>
          <w:sz w:val="24"/>
        </w:rPr>
      </w:pPr>
      <w:r>
        <w:rPr>
          <w:sz w:val="24"/>
          <w:szCs w:val="24"/>
        </w:rPr>
        <w:t>S</w:t>
      </w:r>
      <w:r w:rsidR="00C11FA6">
        <w:rPr>
          <w:sz w:val="24"/>
          <w:szCs w:val="24"/>
        </w:rPr>
        <w:t xml:space="preserve">erious risk of institutionalization </w:t>
      </w:r>
      <w:r>
        <w:rPr>
          <w:sz w:val="24"/>
          <w:szCs w:val="24"/>
        </w:rPr>
        <w:t xml:space="preserve">may be </w:t>
      </w:r>
      <w:r w:rsidR="00C11FA6">
        <w:rPr>
          <w:sz w:val="24"/>
          <w:szCs w:val="24"/>
        </w:rPr>
        <w:t>establish</w:t>
      </w:r>
      <w:r>
        <w:rPr>
          <w:sz w:val="24"/>
          <w:szCs w:val="24"/>
        </w:rPr>
        <w:t>ed by evidence</w:t>
      </w:r>
      <w:r w:rsidR="00C11FA6">
        <w:rPr>
          <w:sz w:val="24"/>
          <w:szCs w:val="24"/>
        </w:rPr>
        <w:t xml:space="preserve"> that the lack of sufficient </w:t>
      </w:r>
      <w:r w:rsidR="0023724B">
        <w:rPr>
          <w:sz w:val="24"/>
          <w:szCs w:val="24"/>
        </w:rPr>
        <w:t xml:space="preserve">state-sponsored </w:t>
      </w:r>
      <w:r w:rsidR="00C11FA6">
        <w:rPr>
          <w:sz w:val="24"/>
          <w:szCs w:val="24"/>
        </w:rPr>
        <w:t xml:space="preserve">community-based services will likely cause a decline in </w:t>
      </w:r>
      <w:r>
        <w:rPr>
          <w:sz w:val="24"/>
          <w:szCs w:val="24"/>
        </w:rPr>
        <w:t xml:space="preserve">a plaintiff’s </w:t>
      </w:r>
      <w:r w:rsidR="00C11FA6">
        <w:rPr>
          <w:sz w:val="24"/>
          <w:szCs w:val="24"/>
        </w:rPr>
        <w:t>health, safety</w:t>
      </w:r>
      <w:r w:rsidR="00DF37B3">
        <w:rPr>
          <w:sz w:val="24"/>
          <w:szCs w:val="24"/>
        </w:rPr>
        <w:t>,</w:t>
      </w:r>
      <w:r w:rsidR="00C11FA6">
        <w:rPr>
          <w:sz w:val="24"/>
          <w:szCs w:val="24"/>
        </w:rPr>
        <w:t xml:space="preserve"> or welfare that would lead to her eventual placement in an institution.  </w:t>
      </w:r>
      <w:r w:rsidR="00C11FA6">
        <w:rPr>
          <w:i/>
          <w:iCs/>
          <w:sz w:val="24"/>
          <w:szCs w:val="24"/>
        </w:rPr>
        <w:t>M.R.</w:t>
      </w:r>
      <w:r w:rsidR="00C11FA6">
        <w:rPr>
          <w:sz w:val="24"/>
          <w:szCs w:val="24"/>
        </w:rPr>
        <w:t xml:space="preserve"> </w:t>
      </w:r>
      <w:r w:rsidR="00C11FA6" w:rsidRPr="000A720E">
        <w:rPr>
          <w:i/>
          <w:sz w:val="24"/>
          <w:szCs w:val="24"/>
        </w:rPr>
        <w:t>v.</w:t>
      </w:r>
      <w:r w:rsidR="00C11FA6">
        <w:rPr>
          <w:sz w:val="24"/>
          <w:szCs w:val="24"/>
        </w:rPr>
        <w:t xml:space="preserve"> </w:t>
      </w:r>
      <w:r w:rsidR="00C11FA6">
        <w:rPr>
          <w:i/>
          <w:iCs/>
          <w:sz w:val="24"/>
          <w:szCs w:val="24"/>
        </w:rPr>
        <w:t>Dreyfus</w:t>
      </w:r>
      <w:r w:rsidR="00C11FA6">
        <w:rPr>
          <w:sz w:val="24"/>
          <w:szCs w:val="24"/>
        </w:rPr>
        <w:t>, 697 F.3d 706, 734 (9th Cir. 2012) (citing</w:t>
      </w:r>
      <w:r w:rsidR="00DF37B3">
        <w:rPr>
          <w:sz w:val="24"/>
          <w:szCs w:val="24"/>
        </w:rPr>
        <w:t>,</w:t>
      </w:r>
      <w:r w:rsidR="00C11FA6">
        <w:rPr>
          <w:sz w:val="24"/>
          <w:szCs w:val="24"/>
        </w:rPr>
        <w:t xml:space="preserve"> with approval</w:t>
      </w:r>
      <w:r w:rsidR="00DF37B3">
        <w:rPr>
          <w:sz w:val="24"/>
          <w:szCs w:val="24"/>
        </w:rPr>
        <w:t>,</w:t>
      </w:r>
      <w:r w:rsidR="00C11FA6">
        <w:rPr>
          <w:sz w:val="24"/>
          <w:szCs w:val="24"/>
        </w:rPr>
        <w:t xml:space="preserve"> the statement by the Department of Justice that serious risk of institutionalization </w:t>
      </w:r>
      <w:r>
        <w:rPr>
          <w:sz w:val="24"/>
          <w:szCs w:val="24"/>
        </w:rPr>
        <w:t xml:space="preserve">is demonstrated </w:t>
      </w:r>
      <w:r w:rsidR="00C11FA6">
        <w:rPr>
          <w:sz w:val="24"/>
          <w:szCs w:val="24"/>
        </w:rPr>
        <w:t>when insufficient services cause plaintiffs</w:t>
      </w:r>
      <w:r w:rsidR="00C11FA6">
        <w:rPr>
          <w:color w:val="000000"/>
          <w:sz w:val="24"/>
          <w:szCs w:val="24"/>
        </w:rPr>
        <w:t xml:space="preserve"> </w:t>
      </w:r>
      <w:bookmarkStart w:id="1" w:name="sp_506_735"/>
      <w:bookmarkStart w:id="2" w:name="SDU_735"/>
      <w:bookmarkEnd w:id="1"/>
      <w:bookmarkEnd w:id="2"/>
      <w:r w:rsidR="00C11FA6">
        <w:rPr>
          <w:color w:val="000000"/>
          <w:sz w:val="24"/>
          <w:szCs w:val="24"/>
        </w:rPr>
        <w:t xml:space="preserve">“to enter an institution immediately, or </w:t>
      </w:r>
      <w:r>
        <w:rPr>
          <w:color w:val="000000"/>
          <w:sz w:val="24"/>
          <w:szCs w:val="24"/>
        </w:rPr>
        <w:t xml:space="preserve">. . . </w:t>
      </w:r>
      <w:r w:rsidR="00C11FA6">
        <w:rPr>
          <w:color w:val="000000"/>
          <w:sz w:val="24"/>
          <w:szCs w:val="24"/>
        </w:rPr>
        <w:t>causes them to decline in health over time and eventually enter an institution in order to seek necessary care”).</w:t>
      </w:r>
      <w:r w:rsidR="00C11FA6">
        <w:rPr>
          <w:rStyle w:val="FootnoteReference"/>
          <w:color w:val="000000"/>
          <w:sz w:val="24"/>
          <w:szCs w:val="24"/>
        </w:rPr>
        <w:footnoteReference w:id="4"/>
      </w:r>
      <w:r w:rsidR="00C11FA6">
        <w:rPr>
          <w:i/>
          <w:iCs/>
          <w:color w:val="000000"/>
          <w:sz w:val="24"/>
          <w:szCs w:val="24"/>
        </w:rPr>
        <w:t xml:space="preserve">  </w:t>
      </w:r>
    </w:p>
    <w:p w:rsidR="00B006C0" w:rsidRPr="003B258F" w:rsidRDefault="00B006C0" w:rsidP="00B00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rPr>
      </w:pPr>
      <w:r>
        <w:rPr>
          <w:sz w:val="24"/>
          <w:szCs w:val="24"/>
        </w:rPr>
        <w:tab/>
        <w:t>C</w:t>
      </w:r>
      <w:r>
        <w:rPr>
          <w:sz w:val="24"/>
        </w:rPr>
        <w:t>.</w:t>
      </w:r>
      <w:r>
        <w:rPr>
          <w:sz w:val="24"/>
        </w:rPr>
        <w:tab/>
        <w:t xml:space="preserve">Reasonable </w:t>
      </w:r>
      <w:r>
        <w:rPr>
          <w:sz w:val="24"/>
          <w:szCs w:val="24"/>
        </w:rPr>
        <w:t>Accommodations</w:t>
      </w:r>
    </w:p>
    <w:p w:rsidR="00B006C0" w:rsidRDefault="00B006C0" w:rsidP="00B00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t>The plaintiff’s prima facie burden in articulating a reasonable accommodation is “not a heavy one.”</w:t>
      </w:r>
      <w:r w:rsidRPr="003D036A">
        <w:rPr>
          <w:sz w:val="24"/>
          <w:szCs w:val="24"/>
        </w:rPr>
        <w:t xml:space="preserve"> </w:t>
      </w:r>
      <w:r w:rsidR="006767EB">
        <w:rPr>
          <w:sz w:val="24"/>
          <w:szCs w:val="24"/>
        </w:rPr>
        <w:t xml:space="preserve"> </w:t>
      </w:r>
      <w:proofErr w:type="gramStart"/>
      <w:r w:rsidRPr="003D036A">
        <w:rPr>
          <w:i/>
          <w:sz w:val="24"/>
          <w:szCs w:val="24"/>
        </w:rPr>
        <w:t>Henrietta D. v. Bloomberg</w:t>
      </w:r>
      <w:r w:rsidRPr="003D036A">
        <w:rPr>
          <w:sz w:val="24"/>
          <w:szCs w:val="24"/>
        </w:rPr>
        <w:t>,</w:t>
      </w:r>
      <w:r>
        <w:rPr>
          <w:sz w:val="24"/>
          <w:szCs w:val="24"/>
        </w:rPr>
        <w:t xml:space="preserve"> </w:t>
      </w:r>
      <w:r w:rsidRPr="003D036A">
        <w:rPr>
          <w:sz w:val="24"/>
          <w:szCs w:val="24"/>
        </w:rPr>
        <w:t>331 F.3d 261, 280 (2d Cir.</w:t>
      </w:r>
      <w:r>
        <w:rPr>
          <w:sz w:val="24"/>
          <w:szCs w:val="24"/>
        </w:rPr>
        <w:t xml:space="preserve"> </w:t>
      </w:r>
      <w:r w:rsidRPr="003D036A">
        <w:rPr>
          <w:sz w:val="24"/>
          <w:szCs w:val="24"/>
        </w:rPr>
        <w:t>2003)</w:t>
      </w:r>
      <w:r>
        <w:rPr>
          <w:sz w:val="24"/>
          <w:szCs w:val="24"/>
        </w:rPr>
        <w:t xml:space="preserve"> (internal quotation marks omitted).</w:t>
      </w:r>
      <w:proofErr w:type="gramEnd"/>
      <w:r>
        <w:rPr>
          <w:sz w:val="24"/>
          <w:szCs w:val="24"/>
        </w:rPr>
        <w:t xml:space="preserve">  As the Second Circuit Court of Appeals explained in </w:t>
      </w:r>
      <w:r>
        <w:rPr>
          <w:i/>
          <w:sz w:val="24"/>
          <w:szCs w:val="24"/>
        </w:rPr>
        <w:t>Henrietta D.</w:t>
      </w:r>
      <w:r>
        <w:rPr>
          <w:sz w:val="24"/>
          <w:szCs w:val="24"/>
        </w:rPr>
        <w:t xml:space="preserve">, “it </w:t>
      </w:r>
      <w:r w:rsidRPr="003D036A">
        <w:rPr>
          <w:sz w:val="24"/>
          <w:szCs w:val="24"/>
        </w:rPr>
        <w:t>is enough for the plaintiff to suggest the existence of a plausible accommodation, the costs of which, facially, do not clearly exc</w:t>
      </w:r>
      <w:r>
        <w:rPr>
          <w:sz w:val="24"/>
          <w:szCs w:val="24"/>
        </w:rPr>
        <w:t xml:space="preserve">eed its benefits,” and that </w:t>
      </w:r>
      <w:r>
        <w:rPr>
          <w:sz w:val="24"/>
          <w:szCs w:val="24"/>
        </w:rPr>
        <w:lastRenderedPageBreak/>
        <w:t>“o</w:t>
      </w:r>
      <w:r w:rsidRPr="003D036A">
        <w:rPr>
          <w:sz w:val="24"/>
          <w:szCs w:val="24"/>
        </w:rPr>
        <w:t xml:space="preserve">nce the plaintiff has done this, she has made out a prima facie showing that a reasonable accommodation is available, and the risk of </w:t>
      </w:r>
      <w:proofErr w:type="spellStart"/>
      <w:r w:rsidRPr="003D036A">
        <w:rPr>
          <w:sz w:val="24"/>
          <w:szCs w:val="24"/>
        </w:rPr>
        <w:t>nonpersuasion</w:t>
      </w:r>
      <w:proofErr w:type="spellEnd"/>
      <w:r w:rsidRPr="003D036A">
        <w:rPr>
          <w:sz w:val="24"/>
          <w:szCs w:val="24"/>
        </w:rPr>
        <w:t xml:space="preserve"> falls on the defendant.”</w:t>
      </w:r>
      <w:r>
        <w:rPr>
          <w:rStyle w:val="FootnoteReference"/>
          <w:sz w:val="24"/>
          <w:szCs w:val="24"/>
        </w:rPr>
        <w:footnoteReference w:id="5"/>
      </w:r>
      <w:r>
        <w:rPr>
          <w:sz w:val="24"/>
          <w:szCs w:val="24"/>
        </w:rPr>
        <w:t xml:space="preserve">  331 F.3d at 280 (internal quotation marks and alterations omitted); </w:t>
      </w:r>
      <w:r>
        <w:rPr>
          <w:i/>
          <w:sz w:val="24"/>
          <w:szCs w:val="24"/>
        </w:rPr>
        <w:t>see also</w:t>
      </w:r>
      <w:r>
        <w:rPr>
          <w:sz w:val="24"/>
          <w:szCs w:val="24"/>
        </w:rPr>
        <w:t xml:space="preserve"> </w:t>
      </w:r>
      <w:r>
        <w:rPr>
          <w:i/>
          <w:sz w:val="24"/>
          <w:szCs w:val="24"/>
        </w:rPr>
        <w:t>Frederick L. v. Dept. of Public Welfare of Commonwealth of Pa.</w:t>
      </w:r>
      <w:r>
        <w:rPr>
          <w:sz w:val="24"/>
          <w:szCs w:val="24"/>
        </w:rPr>
        <w:t>, 364 F.3d 487, 492 n.4 (3d Cir. 2004) (</w:t>
      </w:r>
      <w:r>
        <w:rPr>
          <w:i/>
          <w:sz w:val="24"/>
          <w:szCs w:val="24"/>
        </w:rPr>
        <w:t>Frederick L. I</w:t>
      </w:r>
      <w:r>
        <w:rPr>
          <w:sz w:val="24"/>
          <w:szCs w:val="24"/>
        </w:rPr>
        <w:t xml:space="preserve">) (stating that a plaintiff in an </w:t>
      </w:r>
      <w:r>
        <w:rPr>
          <w:i/>
          <w:sz w:val="24"/>
          <w:szCs w:val="24"/>
        </w:rPr>
        <w:t>Olmstead</w:t>
      </w:r>
      <w:r>
        <w:rPr>
          <w:sz w:val="24"/>
          <w:szCs w:val="24"/>
        </w:rPr>
        <w:t xml:space="preserve"> action bears the burden of articulating a reasonable modification that the state may make in order to comply with the ADA).    </w:t>
      </w:r>
    </w:p>
    <w:p w:rsidR="00425BEC" w:rsidRPr="00B006C0" w:rsidRDefault="00B006C0" w:rsidP="00B00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t>DPW has not violated the ADA simply because it has a waitlist for Act 150 services, nor does the ADA require the Commonwealth to provide a certain level of benefits to nursing facility eligible individuals;</w:t>
      </w:r>
      <w:r>
        <w:rPr>
          <w:rStyle w:val="FootnoteReference"/>
          <w:sz w:val="24"/>
          <w:szCs w:val="24"/>
        </w:rPr>
        <w:footnoteReference w:id="6"/>
      </w:r>
      <w:r>
        <w:rPr>
          <w:sz w:val="24"/>
          <w:szCs w:val="24"/>
        </w:rPr>
        <w:t xml:space="preserve"> however, </w:t>
      </w:r>
      <w:r w:rsidR="00EF0306">
        <w:rPr>
          <w:sz w:val="24"/>
          <w:szCs w:val="24"/>
        </w:rPr>
        <w:t xml:space="preserve">as noted above, </w:t>
      </w:r>
      <w:r>
        <w:rPr>
          <w:sz w:val="24"/>
          <w:szCs w:val="24"/>
        </w:rPr>
        <w:t xml:space="preserve">the ADA </w:t>
      </w:r>
      <w:r w:rsidRPr="009F7C9F">
        <w:rPr>
          <w:sz w:val="24"/>
          <w:szCs w:val="24"/>
        </w:rPr>
        <w:t>does</w:t>
      </w:r>
      <w:r>
        <w:rPr>
          <w:sz w:val="24"/>
          <w:szCs w:val="24"/>
        </w:rPr>
        <w:t xml:space="preserve"> require public entities to avoid placing individuals at serious risk of unnecessary state-sponsored institutionalization.  </w:t>
      </w:r>
      <w:proofErr w:type="gramStart"/>
      <w:r>
        <w:rPr>
          <w:i/>
          <w:sz w:val="24"/>
          <w:szCs w:val="24"/>
        </w:rPr>
        <w:t>Frederick L.</w:t>
      </w:r>
      <w:r w:rsidR="002363FF">
        <w:rPr>
          <w:i/>
          <w:sz w:val="24"/>
          <w:szCs w:val="24"/>
        </w:rPr>
        <w:t>I</w:t>
      </w:r>
      <w:r w:rsidR="002363FF">
        <w:rPr>
          <w:sz w:val="24"/>
          <w:szCs w:val="24"/>
        </w:rPr>
        <w:t>,</w:t>
      </w:r>
      <w:r>
        <w:rPr>
          <w:sz w:val="24"/>
          <w:szCs w:val="24"/>
        </w:rPr>
        <w:t xml:space="preserve"> 364 F.3d </w:t>
      </w:r>
      <w:r w:rsidR="002363FF">
        <w:rPr>
          <w:sz w:val="24"/>
          <w:szCs w:val="24"/>
        </w:rPr>
        <w:t xml:space="preserve">at </w:t>
      </w:r>
      <w:r>
        <w:rPr>
          <w:sz w:val="24"/>
          <w:szCs w:val="24"/>
        </w:rPr>
        <w:t>492.</w:t>
      </w:r>
      <w:proofErr w:type="gramEnd"/>
      <w:r>
        <w:rPr>
          <w:sz w:val="24"/>
          <w:szCs w:val="24"/>
        </w:rPr>
        <w:t xml:space="preserve">  Moreover, where individuals are placed at serious ri</w:t>
      </w:r>
      <w:r w:rsidR="000A720E">
        <w:rPr>
          <w:sz w:val="24"/>
          <w:szCs w:val="24"/>
        </w:rPr>
        <w:t>sk of such institutionalization</w:t>
      </w:r>
      <w:r>
        <w:rPr>
          <w:sz w:val="24"/>
          <w:szCs w:val="24"/>
        </w:rPr>
        <w:t xml:space="preserve"> and an accommodation is available to prevent such institutionalization, the public entity bears the burden of showing that accommodating those individuals will fundamentally alter its provision of services.  </w:t>
      </w:r>
      <w:proofErr w:type="gramStart"/>
      <w:r w:rsidR="006767EB">
        <w:rPr>
          <w:i/>
          <w:iCs/>
          <w:sz w:val="24"/>
          <w:szCs w:val="24"/>
        </w:rPr>
        <w:t>Pa. Prot.</w:t>
      </w:r>
      <w:r>
        <w:rPr>
          <w:i/>
          <w:iCs/>
          <w:sz w:val="24"/>
          <w:szCs w:val="24"/>
        </w:rPr>
        <w:t xml:space="preserve"> and Advocacy, Inc. v. Pa. Dept. of Public Welfare</w:t>
      </w:r>
      <w:r>
        <w:rPr>
          <w:sz w:val="24"/>
          <w:szCs w:val="24"/>
        </w:rPr>
        <w:t>, 402 F.3d 374, 379 (3d Cir. 2005).</w:t>
      </w:r>
      <w:proofErr w:type="gramEnd"/>
      <w:r>
        <w:rPr>
          <w:sz w:val="24"/>
          <w:szCs w:val="24"/>
        </w:rPr>
        <w:t xml:space="preserve">  If this Court determines that Plaintiffs have established that they are at risk of needing state-sponsored nursing facility services and have “suggest</w:t>
      </w:r>
      <w:r w:rsidR="002363FF">
        <w:rPr>
          <w:sz w:val="24"/>
          <w:szCs w:val="24"/>
        </w:rPr>
        <w:t>[</w:t>
      </w:r>
      <w:proofErr w:type="spellStart"/>
      <w:r>
        <w:rPr>
          <w:sz w:val="24"/>
          <w:szCs w:val="24"/>
        </w:rPr>
        <w:t>ed</w:t>
      </w:r>
      <w:proofErr w:type="spellEnd"/>
      <w:r w:rsidR="002363FF">
        <w:rPr>
          <w:sz w:val="24"/>
          <w:szCs w:val="24"/>
        </w:rPr>
        <w:t>]</w:t>
      </w:r>
      <w:r>
        <w:rPr>
          <w:sz w:val="24"/>
          <w:szCs w:val="24"/>
        </w:rPr>
        <w:t xml:space="preserve"> the </w:t>
      </w:r>
      <w:r>
        <w:rPr>
          <w:sz w:val="24"/>
          <w:szCs w:val="24"/>
        </w:rPr>
        <w:lastRenderedPageBreak/>
        <w:t xml:space="preserve">existence of a plausible accommodation,” </w:t>
      </w:r>
      <w:r>
        <w:rPr>
          <w:i/>
          <w:sz w:val="24"/>
          <w:szCs w:val="24"/>
        </w:rPr>
        <w:t xml:space="preserve">Henrietta D. </w:t>
      </w:r>
      <w:r>
        <w:rPr>
          <w:sz w:val="24"/>
          <w:szCs w:val="24"/>
        </w:rPr>
        <w:t>331 F.3d at 280 (for example, by making a request for attendant care services in the community), DPW must meet its burden with respect to whether it can properly assert a fundamental alteration defense.</w:t>
      </w:r>
      <w:r>
        <w:rPr>
          <w:rStyle w:val="FootnoteReference"/>
          <w:sz w:val="24"/>
          <w:szCs w:val="24"/>
        </w:rPr>
        <w:footnoteReference w:id="7"/>
      </w:r>
    </w:p>
    <w:p w:rsidR="00425BEC" w:rsidRPr="0007054F" w:rsidRDefault="00425BEC" w:rsidP="00425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color w:val="000000"/>
          <w:sz w:val="24"/>
          <w:szCs w:val="24"/>
        </w:rPr>
        <w:tab/>
        <w:t>C</w:t>
      </w:r>
      <w:r w:rsidRPr="00BA2F1E">
        <w:rPr>
          <w:color w:val="000000"/>
          <w:sz w:val="24"/>
          <w:szCs w:val="24"/>
        </w:rPr>
        <w:t>ourts</w:t>
      </w:r>
      <w:r w:rsidRPr="00BA2F1E">
        <w:rPr>
          <w:color w:val="000000"/>
          <w:sz w:val="24"/>
        </w:rPr>
        <w:t xml:space="preserve"> have routinely recognized that a request to receive services in the community when </w:t>
      </w:r>
      <w:r w:rsidR="00EF0306">
        <w:rPr>
          <w:color w:val="000000"/>
          <w:sz w:val="24"/>
        </w:rPr>
        <w:t>an</w:t>
      </w:r>
      <w:r w:rsidRPr="00BA2F1E">
        <w:rPr>
          <w:color w:val="000000"/>
          <w:sz w:val="24"/>
        </w:rPr>
        <w:t xml:space="preserve"> individual is entitled to those same services in an institution is a reasonable modification and not a fu</w:t>
      </w:r>
      <w:r>
        <w:rPr>
          <w:color w:val="000000"/>
          <w:sz w:val="24"/>
        </w:rPr>
        <w:t>ndamental alteration of a state’</w:t>
      </w:r>
      <w:r w:rsidRPr="00BA2F1E">
        <w:rPr>
          <w:color w:val="000000"/>
          <w:sz w:val="24"/>
        </w:rPr>
        <w:t xml:space="preserve">s program. </w:t>
      </w:r>
      <w:r w:rsidR="00126DF6">
        <w:rPr>
          <w:color w:val="000000"/>
          <w:sz w:val="24"/>
        </w:rPr>
        <w:t xml:space="preserve"> For instance, in </w:t>
      </w:r>
      <w:r w:rsidR="00126DF6">
        <w:rPr>
          <w:i/>
          <w:color w:val="000000"/>
          <w:sz w:val="24"/>
        </w:rPr>
        <w:t xml:space="preserve">Townsend v. </w:t>
      </w:r>
      <w:proofErr w:type="spellStart"/>
      <w:r w:rsidR="00126DF6">
        <w:rPr>
          <w:i/>
          <w:color w:val="000000"/>
          <w:sz w:val="24"/>
        </w:rPr>
        <w:t>Quasim</w:t>
      </w:r>
      <w:proofErr w:type="spellEnd"/>
      <w:r w:rsidR="00126DF6">
        <w:rPr>
          <w:color w:val="000000"/>
          <w:sz w:val="24"/>
        </w:rPr>
        <w:t xml:space="preserve">, the court stated that </w:t>
      </w:r>
      <w:r w:rsidR="00126DF6">
        <w:rPr>
          <w:i/>
          <w:color w:val="000000"/>
          <w:sz w:val="24"/>
        </w:rPr>
        <w:t>Olmstead</w:t>
      </w:r>
      <w:r w:rsidR="00126DF6">
        <w:rPr>
          <w:color w:val="000000"/>
          <w:sz w:val="24"/>
        </w:rPr>
        <w:t xml:space="preserve"> controls where the issue centers on “what location these services will be provided.  Mr. Townsend simply requests that the services he is already eligible to receive under an existing state program (assistance in dressing, bathing, preparing meals, taking medications, and so on) be provided in the community-based adult home where he lives, rather than the nursing home setting the state requires.”  </w:t>
      </w:r>
      <w:proofErr w:type="gramStart"/>
      <w:r w:rsidR="002363FF">
        <w:rPr>
          <w:color w:val="000000"/>
          <w:sz w:val="24"/>
        </w:rPr>
        <w:t>328 F.3d 511, 517 (9th Cir. 2003).</w:t>
      </w:r>
      <w:proofErr w:type="gramEnd"/>
      <w:r w:rsidR="00126DF6">
        <w:rPr>
          <w:color w:val="000000"/>
          <w:sz w:val="24"/>
        </w:rPr>
        <w:t xml:space="preserve">  Similarly, in the pre-</w:t>
      </w:r>
      <w:r w:rsidR="00126DF6">
        <w:rPr>
          <w:i/>
          <w:color w:val="000000"/>
          <w:sz w:val="24"/>
        </w:rPr>
        <w:t>Olmstead</w:t>
      </w:r>
      <w:r w:rsidR="00126DF6">
        <w:rPr>
          <w:color w:val="000000"/>
          <w:sz w:val="24"/>
        </w:rPr>
        <w:t xml:space="preserve"> case of </w:t>
      </w:r>
      <w:r w:rsidR="00126DF6">
        <w:rPr>
          <w:i/>
          <w:color w:val="000000"/>
          <w:sz w:val="24"/>
        </w:rPr>
        <w:t>Helen L</w:t>
      </w:r>
      <w:r w:rsidR="00C476B4">
        <w:rPr>
          <w:i/>
          <w:color w:val="000000"/>
          <w:sz w:val="24"/>
        </w:rPr>
        <w:t>.</w:t>
      </w:r>
      <w:r w:rsidR="00126DF6">
        <w:rPr>
          <w:color w:val="000000"/>
          <w:sz w:val="24"/>
        </w:rPr>
        <w:t>, the Third Circuit</w:t>
      </w:r>
      <w:r w:rsidR="006767EB">
        <w:rPr>
          <w:color w:val="000000"/>
          <w:sz w:val="24"/>
        </w:rPr>
        <w:t xml:space="preserve"> Court of Appeals</w:t>
      </w:r>
      <w:r w:rsidR="00126DF6">
        <w:rPr>
          <w:color w:val="000000"/>
          <w:sz w:val="24"/>
        </w:rPr>
        <w:t xml:space="preserve"> determined that DPW had violated the ADA’s integration mandate by failing to provide state-funded attendant care services for the plaintiff in her own home, rather than in a nursing </w:t>
      </w:r>
      <w:r w:rsidR="007116FE">
        <w:rPr>
          <w:color w:val="000000"/>
          <w:sz w:val="24"/>
        </w:rPr>
        <w:t>facility</w:t>
      </w:r>
      <w:r w:rsidR="00126DF6">
        <w:rPr>
          <w:color w:val="000000"/>
          <w:sz w:val="24"/>
        </w:rPr>
        <w:t xml:space="preserve">.  </w:t>
      </w:r>
      <w:proofErr w:type="gramStart"/>
      <w:r w:rsidR="000A720E">
        <w:rPr>
          <w:color w:val="000000"/>
          <w:sz w:val="24"/>
        </w:rPr>
        <w:t>46 F.3d at 337-39.</w:t>
      </w:r>
      <w:proofErr w:type="gramEnd"/>
      <w:r w:rsidR="000A720E">
        <w:rPr>
          <w:color w:val="000000"/>
          <w:sz w:val="24"/>
        </w:rPr>
        <w:t xml:space="preserve">  </w:t>
      </w:r>
      <w:r w:rsidR="00126DF6">
        <w:rPr>
          <w:i/>
          <w:color w:val="000000"/>
          <w:sz w:val="24"/>
        </w:rPr>
        <w:t>See also</w:t>
      </w:r>
      <w:r w:rsidR="00126DF6">
        <w:rPr>
          <w:color w:val="000000"/>
          <w:sz w:val="24"/>
        </w:rPr>
        <w:t xml:space="preserve"> </w:t>
      </w:r>
      <w:proofErr w:type="spellStart"/>
      <w:r w:rsidR="00126DF6">
        <w:rPr>
          <w:i/>
          <w:color w:val="000000"/>
          <w:sz w:val="24"/>
        </w:rPr>
        <w:t>Radaszewski</w:t>
      </w:r>
      <w:proofErr w:type="spellEnd"/>
      <w:r w:rsidR="00126DF6">
        <w:rPr>
          <w:i/>
          <w:color w:val="000000"/>
          <w:sz w:val="24"/>
        </w:rPr>
        <w:t xml:space="preserve"> v. </w:t>
      </w:r>
      <w:proofErr w:type="spellStart"/>
      <w:r w:rsidR="00126DF6">
        <w:rPr>
          <w:i/>
          <w:color w:val="000000"/>
          <w:sz w:val="24"/>
        </w:rPr>
        <w:t>Maram</w:t>
      </w:r>
      <w:proofErr w:type="spellEnd"/>
      <w:r w:rsidR="00126DF6">
        <w:rPr>
          <w:color w:val="000000"/>
          <w:sz w:val="24"/>
        </w:rPr>
        <w:t xml:space="preserve">, </w:t>
      </w:r>
      <w:r w:rsidR="00126DF6" w:rsidRPr="007116FE">
        <w:rPr>
          <w:color w:val="000000"/>
          <w:sz w:val="24"/>
        </w:rPr>
        <w:t>383 F.3d 599</w:t>
      </w:r>
      <w:r w:rsidR="007116FE">
        <w:rPr>
          <w:color w:val="000000"/>
          <w:sz w:val="24"/>
        </w:rPr>
        <w:t>, 611</w:t>
      </w:r>
      <w:r w:rsidR="00126DF6">
        <w:rPr>
          <w:color w:val="000000"/>
          <w:sz w:val="24"/>
        </w:rPr>
        <w:t xml:space="preserve"> (7th Cir. 2004) (</w:t>
      </w:r>
      <w:r w:rsidR="007116FE">
        <w:rPr>
          <w:color w:val="000000"/>
          <w:sz w:val="24"/>
        </w:rPr>
        <w:t>stating that</w:t>
      </w:r>
      <w:r w:rsidR="007116FE" w:rsidRPr="007116FE">
        <w:rPr>
          <w:color w:val="000000"/>
          <w:sz w:val="24"/>
        </w:rPr>
        <w:t xml:space="preserve"> </w:t>
      </w:r>
      <w:r w:rsidR="007116FE">
        <w:rPr>
          <w:color w:val="000000"/>
          <w:sz w:val="24"/>
        </w:rPr>
        <w:t>“</w:t>
      </w:r>
      <w:r w:rsidR="007116FE" w:rsidRPr="007116FE">
        <w:rPr>
          <w:color w:val="000000"/>
          <w:sz w:val="24"/>
        </w:rPr>
        <w:t>the integration mandate may well require the State to make reasonable modifications to the form of existing services in order to adapt them to community-integrated settings.</w:t>
      </w:r>
      <w:r w:rsidR="007116FE">
        <w:rPr>
          <w:color w:val="000000"/>
          <w:sz w:val="24"/>
        </w:rPr>
        <w:t>”</w:t>
      </w:r>
      <w:r w:rsidR="00EF0306">
        <w:rPr>
          <w:color w:val="000000"/>
          <w:sz w:val="24"/>
        </w:rPr>
        <w:t xml:space="preserve">).  </w:t>
      </w:r>
      <w:r w:rsidR="00126DF6">
        <w:rPr>
          <w:color w:val="000000"/>
          <w:sz w:val="24"/>
        </w:rPr>
        <w:t>Accordingly, DPW must</w:t>
      </w:r>
      <w:r>
        <w:rPr>
          <w:color w:val="000000"/>
          <w:sz w:val="24"/>
        </w:rPr>
        <w:t xml:space="preserve"> provide attendant care services in the community to the same group of individuals whom the Commonwealth has already determined it would </w:t>
      </w:r>
      <w:r>
        <w:rPr>
          <w:color w:val="000000"/>
          <w:sz w:val="24"/>
        </w:rPr>
        <w:lastRenderedPageBreak/>
        <w:t xml:space="preserve">otherwise serve through its Medicaid program in nursing facilities, unless it </w:t>
      </w:r>
      <w:r w:rsidR="00EF0306">
        <w:rPr>
          <w:color w:val="000000"/>
          <w:sz w:val="24"/>
        </w:rPr>
        <w:t>can</w:t>
      </w:r>
      <w:r>
        <w:rPr>
          <w:color w:val="000000"/>
          <w:sz w:val="24"/>
        </w:rPr>
        <w:t xml:space="preserve"> establish that doing so </w:t>
      </w:r>
      <w:r w:rsidR="00EF0306">
        <w:rPr>
          <w:color w:val="000000"/>
          <w:sz w:val="24"/>
        </w:rPr>
        <w:t xml:space="preserve">will </w:t>
      </w:r>
      <w:r>
        <w:rPr>
          <w:color w:val="000000"/>
          <w:sz w:val="24"/>
        </w:rPr>
        <w:t>cause a fundamental alteration.</w:t>
      </w:r>
      <w:r>
        <w:rPr>
          <w:rStyle w:val="FootnoteReference"/>
          <w:color w:val="000000"/>
          <w:sz w:val="24"/>
        </w:rPr>
        <w:footnoteReference w:id="8"/>
      </w:r>
      <w:r>
        <w:rPr>
          <w:color w:val="000000"/>
          <w:sz w:val="24"/>
        </w:rPr>
        <w:t xml:space="preserve">  </w:t>
      </w:r>
      <w:r>
        <w:rPr>
          <w:sz w:val="24"/>
          <w:szCs w:val="24"/>
        </w:rPr>
        <w:tab/>
      </w:r>
    </w:p>
    <w:p w:rsidR="00375709" w:rsidRDefault="0050012D">
      <w:pPr>
        <w:tabs>
          <w:tab w:val="left" w:pos="0"/>
          <w:tab w:val="left" w:pos="720"/>
          <w:tab w:val="left" w:pos="1440"/>
          <w:tab w:val="left" w:pos="2970"/>
          <w:tab w:val="left" w:pos="3600"/>
          <w:tab w:val="left" w:pos="4320"/>
          <w:tab w:val="left" w:pos="5040"/>
          <w:tab w:val="left" w:pos="5760"/>
          <w:tab w:val="left" w:pos="6480"/>
          <w:tab w:val="left" w:pos="7200"/>
          <w:tab w:val="left" w:pos="7920"/>
          <w:tab w:val="left" w:pos="8640"/>
        </w:tabs>
        <w:ind w:left="1800" w:hanging="3600"/>
        <w:rPr>
          <w:sz w:val="24"/>
          <w:szCs w:val="24"/>
        </w:rPr>
      </w:pPr>
      <w:r>
        <w:rPr>
          <w:sz w:val="24"/>
          <w:szCs w:val="24"/>
        </w:rPr>
        <w:tab/>
      </w:r>
      <w:r w:rsidR="00B006C0">
        <w:rPr>
          <w:sz w:val="24"/>
          <w:szCs w:val="24"/>
        </w:rPr>
        <w:tab/>
        <w:t>D</w:t>
      </w:r>
      <w:r w:rsidR="00E63E64">
        <w:rPr>
          <w:sz w:val="24"/>
          <w:szCs w:val="24"/>
        </w:rPr>
        <w:t>.</w:t>
      </w:r>
      <w:r w:rsidR="00EE3CB7">
        <w:rPr>
          <w:sz w:val="24"/>
          <w:szCs w:val="24"/>
        </w:rPr>
        <w:tab/>
      </w:r>
      <w:r w:rsidR="00600C12">
        <w:rPr>
          <w:sz w:val="24"/>
          <w:szCs w:val="24"/>
        </w:rPr>
        <w:t>Fundamental Alteration Defense</w:t>
      </w:r>
    </w:p>
    <w:p w:rsidR="0050012D" w:rsidRDefault="0050012D" w:rsidP="0050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rsidR="00600C12" w:rsidRDefault="00600C12" w:rsidP="00600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t>DPW argues that any change to its current approach to attendant care services would constitute a fundamental alteration.  For summary judgment purposes, DPW bear</w:t>
      </w:r>
      <w:r w:rsidR="00EF0306">
        <w:rPr>
          <w:sz w:val="24"/>
          <w:szCs w:val="24"/>
        </w:rPr>
        <w:t>s</w:t>
      </w:r>
      <w:r>
        <w:rPr>
          <w:sz w:val="24"/>
          <w:szCs w:val="24"/>
        </w:rPr>
        <w:t xml:space="preserve"> the burden of demonstrating such a fundamental alteration based on undisputed facts.  </w:t>
      </w:r>
      <w:proofErr w:type="gramStart"/>
      <w:r>
        <w:rPr>
          <w:i/>
          <w:sz w:val="24"/>
          <w:szCs w:val="24"/>
        </w:rPr>
        <w:t>See</w:t>
      </w:r>
      <w:r w:rsidR="00F059BB">
        <w:rPr>
          <w:i/>
          <w:sz w:val="24"/>
          <w:szCs w:val="24"/>
        </w:rPr>
        <w:t>, e.g.</w:t>
      </w:r>
      <w:r w:rsidR="00F059BB">
        <w:rPr>
          <w:sz w:val="24"/>
          <w:szCs w:val="24"/>
        </w:rPr>
        <w:t>,</w:t>
      </w:r>
      <w:r w:rsidR="006767EB">
        <w:rPr>
          <w:i/>
          <w:iCs/>
          <w:sz w:val="24"/>
          <w:szCs w:val="24"/>
        </w:rPr>
        <w:t xml:space="preserve"> </w:t>
      </w:r>
      <w:r w:rsidR="00181E67">
        <w:rPr>
          <w:i/>
          <w:iCs/>
          <w:sz w:val="24"/>
          <w:szCs w:val="24"/>
        </w:rPr>
        <w:t xml:space="preserve">Pa. </w:t>
      </w:r>
      <w:r w:rsidR="006767EB">
        <w:rPr>
          <w:i/>
          <w:iCs/>
          <w:sz w:val="24"/>
          <w:szCs w:val="24"/>
        </w:rPr>
        <w:t>Prot.</w:t>
      </w:r>
      <w:r>
        <w:rPr>
          <w:i/>
          <w:iCs/>
          <w:sz w:val="24"/>
          <w:szCs w:val="24"/>
        </w:rPr>
        <w:t xml:space="preserve"> and Advocacy, Inc.</w:t>
      </w:r>
      <w:r w:rsidR="006767EB">
        <w:rPr>
          <w:iCs/>
          <w:sz w:val="24"/>
          <w:szCs w:val="24"/>
        </w:rPr>
        <w:t>,</w:t>
      </w:r>
      <w:r>
        <w:rPr>
          <w:sz w:val="24"/>
          <w:szCs w:val="24"/>
        </w:rPr>
        <w:t xml:space="preserve"> 402 F.3d </w:t>
      </w:r>
      <w:r w:rsidR="006767EB">
        <w:rPr>
          <w:sz w:val="24"/>
          <w:szCs w:val="24"/>
        </w:rPr>
        <w:t xml:space="preserve">at </w:t>
      </w:r>
      <w:r>
        <w:rPr>
          <w:sz w:val="24"/>
          <w:szCs w:val="24"/>
        </w:rPr>
        <w:t>379</w:t>
      </w:r>
      <w:r w:rsidR="009C28B4">
        <w:rPr>
          <w:sz w:val="24"/>
          <w:szCs w:val="24"/>
        </w:rPr>
        <w:t>-81</w:t>
      </w:r>
      <w:r>
        <w:rPr>
          <w:sz w:val="24"/>
          <w:szCs w:val="24"/>
        </w:rPr>
        <w:t xml:space="preserve"> </w:t>
      </w:r>
      <w:r w:rsidR="009C28B4">
        <w:rPr>
          <w:sz w:val="24"/>
          <w:szCs w:val="24"/>
        </w:rPr>
        <w:t>(stating that it is error for a district court, on summary judgment, “to find a fundamental alteration solely on the basis of budgetary constraints”)</w:t>
      </w:r>
      <w:r>
        <w:rPr>
          <w:sz w:val="24"/>
          <w:szCs w:val="24"/>
        </w:rPr>
        <w:t>.</w:t>
      </w:r>
      <w:proofErr w:type="gramEnd"/>
      <w:r w:rsidR="00844E94">
        <w:rPr>
          <w:sz w:val="24"/>
          <w:szCs w:val="24"/>
        </w:rPr>
        <w:t xml:space="preserve">  A public entity can establish a</w:t>
      </w:r>
      <w:r w:rsidR="00844E94" w:rsidRPr="00670953">
        <w:rPr>
          <w:sz w:val="24"/>
          <w:szCs w:val="24"/>
        </w:rPr>
        <w:t xml:space="preserve"> fundamental alteration defense if</w:t>
      </w:r>
      <w:r w:rsidR="00844E94">
        <w:rPr>
          <w:sz w:val="24"/>
          <w:szCs w:val="24"/>
        </w:rPr>
        <w:t>,</w:t>
      </w:r>
      <w:r w:rsidR="00844E94" w:rsidRPr="00670953">
        <w:rPr>
          <w:sz w:val="24"/>
          <w:szCs w:val="24"/>
        </w:rPr>
        <w:t xml:space="preserve"> “in the allocation of available resources, immediate relief would be </w:t>
      </w:r>
      <w:r w:rsidR="00844E94" w:rsidRPr="0076339F">
        <w:rPr>
          <w:sz w:val="24"/>
          <w:szCs w:val="24"/>
        </w:rPr>
        <w:t>inequitable, given the responsibility the State has undertaken for the care and treatment of a large and diverse</w:t>
      </w:r>
      <w:r w:rsidR="000A720E">
        <w:rPr>
          <w:sz w:val="24"/>
          <w:szCs w:val="24"/>
        </w:rPr>
        <w:t xml:space="preserve"> population of persons with . . </w:t>
      </w:r>
      <w:r w:rsidR="00844E94" w:rsidRPr="0076339F">
        <w:rPr>
          <w:sz w:val="24"/>
          <w:szCs w:val="24"/>
        </w:rPr>
        <w:t>. disabilities.”</w:t>
      </w:r>
      <w:r w:rsidR="00844E94">
        <w:rPr>
          <w:sz w:val="24"/>
          <w:szCs w:val="24"/>
        </w:rPr>
        <w:t xml:space="preserve"> </w:t>
      </w:r>
      <w:r w:rsidR="00844E94" w:rsidRPr="0076339F">
        <w:rPr>
          <w:sz w:val="24"/>
          <w:szCs w:val="24"/>
        </w:rPr>
        <w:t xml:space="preserve"> </w:t>
      </w:r>
      <w:r w:rsidR="00844E94" w:rsidRPr="0076339F">
        <w:rPr>
          <w:i/>
          <w:sz w:val="24"/>
          <w:szCs w:val="24"/>
        </w:rPr>
        <w:t>Olmstead</w:t>
      </w:r>
      <w:r w:rsidR="00844E94" w:rsidRPr="0076339F">
        <w:rPr>
          <w:sz w:val="24"/>
          <w:szCs w:val="24"/>
        </w:rPr>
        <w:t xml:space="preserve">, 527 U.S. at 604.  </w:t>
      </w:r>
      <w:r w:rsidR="00844E94">
        <w:rPr>
          <w:sz w:val="24"/>
          <w:szCs w:val="24"/>
        </w:rPr>
        <w:tab/>
      </w:r>
    </w:p>
    <w:p w:rsidR="00600C12" w:rsidRDefault="00600C12" w:rsidP="00E82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ab/>
        <w:t>DPW argues that any accommodations that would require it to change its attendant care system would impermissibly interfere with its discretion to administer its Medicaid program.</w:t>
      </w:r>
      <w:r w:rsidR="001F545C">
        <w:rPr>
          <w:sz w:val="24"/>
          <w:szCs w:val="24"/>
        </w:rPr>
        <w:t xml:space="preserve">  </w:t>
      </w:r>
      <w:proofErr w:type="gramStart"/>
      <w:r w:rsidR="001F545C">
        <w:rPr>
          <w:sz w:val="24"/>
          <w:szCs w:val="24"/>
        </w:rPr>
        <w:t>(</w:t>
      </w:r>
      <w:proofErr w:type="spellStart"/>
      <w:r w:rsidR="001F545C">
        <w:rPr>
          <w:sz w:val="24"/>
          <w:szCs w:val="24"/>
        </w:rPr>
        <w:t>Def</w:t>
      </w:r>
      <w:r w:rsidR="00676B93">
        <w:rPr>
          <w:sz w:val="24"/>
          <w:szCs w:val="24"/>
        </w:rPr>
        <w:t>s</w:t>
      </w:r>
      <w:proofErr w:type="spellEnd"/>
      <w:r w:rsidR="001F545C">
        <w:rPr>
          <w:sz w:val="24"/>
          <w:szCs w:val="24"/>
        </w:rPr>
        <w:t>.</w:t>
      </w:r>
      <w:r w:rsidR="00676B93">
        <w:rPr>
          <w:sz w:val="24"/>
          <w:szCs w:val="24"/>
        </w:rPr>
        <w:t>’</w:t>
      </w:r>
      <w:proofErr w:type="gramEnd"/>
      <w:r w:rsidR="001F545C">
        <w:rPr>
          <w:sz w:val="24"/>
          <w:szCs w:val="24"/>
        </w:rPr>
        <w:t xml:space="preserve"> </w:t>
      </w:r>
      <w:proofErr w:type="spellStart"/>
      <w:proofErr w:type="gramStart"/>
      <w:r w:rsidR="001F545C">
        <w:rPr>
          <w:sz w:val="24"/>
          <w:szCs w:val="24"/>
        </w:rPr>
        <w:t>Mem</w:t>
      </w:r>
      <w:proofErr w:type="spellEnd"/>
      <w:r w:rsidR="001F545C">
        <w:rPr>
          <w:sz w:val="24"/>
          <w:szCs w:val="24"/>
        </w:rPr>
        <w:t>.</w:t>
      </w:r>
      <w:proofErr w:type="gramEnd"/>
      <w:r w:rsidR="001F545C">
        <w:rPr>
          <w:sz w:val="24"/>
          <w:szCs w:val="24"/>
        </w:rPr>
        <w:t xml:space="preserve"> </w:t>
      </w:r>
      <w:proofErr w:type="gramStart"/>
      <w:r w:rsidR="001F545C">
        <w:rPr>
          <w:sz w:val="24"/>
          <w:szCs w:val="24"/>
        </w:rPr>
        <w:t>Law at 49-50</w:t>
      </w:r>
      <w:r w:rsidR="00C476B4">
        <w:rPr>
          <w:sz w:val="24"/>
          <w:szCs w:val="24"/>
        </w:rPr>
        <w:t>, 55-56, ECF No. 51-1.</w:t>
      </w:r>
      <w:r w:rsidR="001F545C">
        <w:rPr>
          <w:sz w:val="24"/>
          <w:szCs w:val="24"/>
        </w:rPr>
        <w:t>)</w:t>
      </w:r>
      <w:proofErr w:type="gramEnd"/>
      <w:r>
        <w:rPr>
          <w:sz w:val="24"/>
          <w:szCs w:val="24"/>
        </w:rPr>
        <w:t xml:space="preserve">  This is legally incorrect.  </w:t>
      </w:r>
      <w:r w:rsidR="001F545C">
        <w:rPr>
          <w:sz w:val="24"/>
          <w:szCs w:val="24"/>
        </w:rPr>
        <w:t>A state’</w:t>
      </w:r>
      <w:r w:rsidR="001905F2" w:rsidRPr="001905F2">
        <w:rPr>
          <w:sz w:val="24"/>
          <w:szCs w:val="24"/>
        </w:rPr>
        <w:t xml:space="preserve">s obligations under the ADA are not defined by the scope of the </w:t>
      </w:r>
      <w:r w:rsidR="001F545C">
        <w:rPr>
          <w:sz w:val="24"/>
          <w:szCs w:val="24"/>
        </w:rPr>
        <w:t>federal-state Medicaid program—</w:t>
      </w:r>
      <w:r w:rsidR="001905F2" w:rsidRPr="001905F2">
        <w:rPr>
          <w:sz w:val="24"/>
          <w:szCs w:val="24"/>
        </w:rPr>
        <w:t xml:space="preserve">Title II of the ADA is an independent legal obligation on states to operate programs, services, and activities in ways that do not discriminate on </w:t>
      </w:r>
      <w:r w:rsidR="001905F2" w:rsidRPr="001905F2">
        <w:rPr>
          <w:sz w:val="24"/>
          <w:szCs w:val="24"/>
        </w:rPr>
        <w:lastRenderedPageBreak/>
        <w:t>the basis of disability.</w:t>
      </w:r>
      <w:r w:rsidR="001F545C">
        <w:rPr>
          <w:sz w:val="24"/>
          <w:szCs w:val="24"/>
        </w:rPr>
        <w:t xml:space="preserve"> </w:t>
      </w:r>
      <w:r w:rsidR="001905F2" w:rsidRPr="001905F2">
        <w:rPr>
          <w:sz w:val="24"/>
          <w:szCs w:val="24"/>
        </w:rPr>
        <w:t xml:space="preserve"> </w:t>
      </w:r>
      <w:r w:rsidR="001905F2" w:rsidRPr="001905F2">
        <w:rPr>
          <w:i/>
          <w:sz w:val="24"/>
          <w:szCs w:val="24"/>
        </w:rPr>
        <w:t>Townsend</w:t>
      </w:r>
      <w:r w:rsidR="001905F2" w:rsidRPr="001905F2">
        <w:rPr>
          <w:sz w:val="24"/>
          <w:szCs w:val="24"/>
        </w:rPr>
        <w:t>, 328 F.3d at 518, n.1.</w:t>
      </w:r>
      <w:r w:rsidR="001905F2">
        <w:rPr>
          <w:sz w:val="24"/>
          <w:szCs w:val="24"/>
        </w:rPr>
        <w:t xml:space="preserve"> </w:t>
      </w:r>
      <w:r w:rsidR="001905F2" w:rsidRPr="001905F2">
        <w:rPr>
          <w:sz w:val="24"/>
          <w:szCs w:val="24"/>
        </w:rPr>
        <w:t xml:space="preserve"> </w:t>
      </w:r>
      <w:r w:rsidR="008051F5">
        <w:rPr>
          <w:sz w:val="24"/>
          <w:szCs w:val="24"/>
        </w:rPr>
        <w:t>Therefore, c</w:t>
      </w:r>
      <w:r w:rsidR="001905F2" w:rsidRPr="001905F2">
        <w:rPr>
          <w:sz w:val="24"/>
          <w:szCs w:val="24"/>
        </w:rPr>
        <w:t xml:space="preserve">omplying with the Medicaid Act </w:t>
      </w:r>
      <w:r w:rsidR="00F14377">
        <w:rPr>
          <w:sz w:val="24"/>
          <w:szCs w:val="24"/>
        </w:rPr>
        <w:t>does not equate to compl</w:t>
      </w:r>
      <w:r w:rsidR="0018451D">
        <w:rPr>
          <w:sz w:val="24"/>
          <w:szCs w:val="24"/>
        </w:rPr>
        <w:t>ying</w:t>
      </w:r>
      <w:r w:rsidR="001905F2" w:rsidRPr="001905F2">
        <w:rPr>
          <w:sz w:val="24"/>
          <w:szCs w:val="24"/>
        </w:rPr>
        <w:t xml:space="preserve"> with the ADA</w:t>
      </w:r>
      <w:r w:rsidR="008051F5">
        <w:rPr>
          <w:sz w:val="24"/>
          <w:szCs w:val="24"/>
        </w:rPr>
        <w:t xml:space="preserve">; </w:t>
      </w:r>
      <w:r w:rsidR="001F545C">
        <w:rPr>
          <w:sz w:val="24"/>
          <w:szCs w:val="24"/>
        </w:rPr>
        <w:t xml:space="preserve">therefore, </w:t>
      </w:r>
      <w:r w:rsidR="001905F2" w:rsidRPr="001905F2">
        <w:rPr>
          <w:sz w:val="24"/>
          <w:szCs w:val="24"/>
        </w:rPr>
        <w:t xml:space="preserve">courts have routinely held that a state may run afoul of the </w:t>
      </w:r>
      <w:r w:rsidR="001F545C">
        <w:rPr>
          <w:sz w:val="24"/>
          <w:szCs w:val="24"/>
        </w:rPr>
        <w:t>ADA even while carrying out CMS-</w:t>
      </w:r>
      <w:r w:rsidR="001905F2" w:rsidRPr="001905F2">
        <w:rPr>
          <w:sz w:val="24"/>
          <w:szCs w:val="24"/>
        </w:rPr>
        <w:t xml:space="preserve">approved state plans, waiver services, and amendments. </w:t>
      </w:r>
      <w:r w:rsidR="001905F2">
        <w:rPr>
          <w:sz w:val="24"/>
          <w:szCs w:val="24"/>
        </w:rPr>
        <w:t xml:space="preserve"> </w:t>
      </w:r>
      <w:r w:rsidR="001905F2" w:rsidRPr="001905F2">
        <w:rPr>
          <w:i/>
          <w:sz w:val="24"/>
          <w:szCs w:val="24"/>
        </w:rPr>
        <w:t xml:space="preserve">See </w:t>
      </w:r>
      <w:r w:rsidR="007116FE">
        <w:rPr>
          <w:i/>
          <w:sz w:val="24"/>
          <w:szCs w:val="24"/>
        </w:rPr>
        <w:t>e.g.</w:t>
      </w:r>
      <w:r w:rsidR="007116FE">
        <w:rPr>
          <w:sz w:val="24"/>
          <w:szCs w:val="24"/>
        </w:rPr>
        <w:t>,</w:t>
      </w:r>
      <w:r w:rsidR="001905F2" w:rsidRPr="001905F2">
        <w:rPr>
          <w:sz w:val="24"/>
          <w:szCs w:val="24"/>
        </w:rPr>
        <w:t xml:space="preserve"> </w:t>
      </w:r>
      <w:proofErr w:type="spellStart"/>
      <w:r w:rsidR="001905F2" w:rsidRPr="001905F2">
        <w:rPr>
          <w:i/>
          <w:sz w:val="24"/>
          <w:szCs w:val="24"/>
        </w:rPr>
        <w:t>Radaszewski</w:t>
      </w:r>
      <w:proofErr w:type="spellEnd"/>
      <w:r w:rsidR="001905F2" w:rsidRPr="001905F2">
        <w:rPr>
          <w:sz w:val="24"/>
          <w:szCs w:val="24"/>
        </w:rPr>
        <w:t xml:space="preserve">, 383 F.3d </w:t>
      </w:r>
      <w:r w:rsidR="000A720E">
        <w:rPr>
          <w:sz w:val="24"/>
          <w:szCs w:val="24"/>
        </w:rPr>
        <w:t xml:space="preserve">at </w:t>
      </w:r>
      <w:r w:rsidR="007116FE">
        <w:rPr>
          <w:sz w:val="24"/>
          <w:szCs w:val="24"/>
        </w:rPr>
        <w:t>601</w:t>
      </w:r>
      <w:r w:rsidR="001905F2">
        <w:rPr>
          <w:sz w:val="24"/>
          <w:szCs w:val="24"/>
        </w:rPr>
        <w:t xml:space="preserve"> (allowing the plaintiffs’ claims</w:t>
      </w:r>
      <w:r w:rsidR="001905F2" w:rsidRPr="001905F2">
        <w:rPr>
          <w:sz w:val="24"/>
          <w:szCs w:val="24"/>
        </w:rPr>
        <w:t xml:space="preserve"> t</w:t>
      </w:r>
      <w:r w:rsidR="001905F2">
        <w:rPr>
          <w:sz w:val="24"/>
          <w:szCs w:val="24"/>
        </w:rPr>
        <w:t xml:space="preserve">o proceed without regard to federal approval of </w:t>
      </w:r>
      <w:r w:rsidR="001F545C">
        <w:rPr>
          <w:sz w:val="24"/>
          <w:szCs w:val="24"/>
        </w:rPr>
        <w:t xml:space="preserve">the </w:t>
      </w:r>
      <w:r w:rsidR="001905F2">
        <w:rPr>
          <w:sz w:val="24"/>
          <w:szCs w:val="24"/>
        </w:rPr>
        <w:t>state’</w:t>
      </w:r>
      <w:r w:rsidR="001905F2" w:rsidRPr="001905F2">
        <w:rPr>
          <w:sz w:val="24"/>
          <w:szCs w:val="24"/>
        </w:rPr>
        <w:t xml:space="preserve">s Medicaid plan and waiver programs); </w:t>
      </w:r>
      <w:r w:rsidR="001905F2" w:rsidRPr="001905F2">
        <w:rPr>
          <w:i/>
          <w:sz w:val="24"/>
          <w:szCs w:val="24"/>
        </w:rPr>
        <w:t>Crabtree v. Goetz</w:t>
      </w:r>
      <w:r w:rsidR="001905F2" w:rsidRPr="001905F2">
        <w:rPr>
          <w:sz w:val="24"/>
          <w:szCs w:val="24"/>
        </w:rPr>
        <w:t xml:space="preserve">, No. Civ. A. 3:08-0939, 2008 WL 5330506, at *2, </w:t>
      </w:r>
      <w:r w:rsidR="007116FE">
        <w:rPr>
          <w:sz w:val="24"/>
          <w:szCs w:val="24"/>
        </w:rPr>
        <w:t>*30-*31</w:t>
      </w:r>
      <w:r w:rsidR="001905F2" w:rsidRPr="001905F2">
        <w:rPr>
          <w:sz w:val="24"/>
          <w:szCs w:val="24"/>
        </w:rPr>
        <w:t>, (M.D. Tenn. Dec.19, 2008)</w:t>
      </w:r>
      <w:r w:rsidR="001F545C">
        <w:rPr>
          <w:sz w:val="24"/>
          <w:szCs w:val="24"/>
        </w:rPr>
        <w:t xml:space="preserve"> (unpublished)</w:t>
      </w:r>
      <w:r w:rsidR="001905F2" w:rsidRPr="001905F2">
        <w:rPr>
          <w:sz w:val="24"/>
          <w:szCs w:val="24"/>
        </w:rPr>
        <w:t xml:space="preserve"> (same); </w:t>
      </w:r>
      <w:r w:rsidR="001905F2" w:rsidRPr="004B7B63">
        <w:rPr>
          <w:i/>
          <w:sz w:val="24"/>
          <w:szCs w:val="24"/>
        </w:rPr>
        <w:t xml:space="preserve">Grooms v. </w:t>
      </w:r>
      <w:proofErr w:type="spellStart"/>
      <w:r w:rsidR="001905F2" w:rsidRPr="004B7B63">
        <w:rPr>
          <w:i/>
          <w:sz w:val="24"/>
          <w:szCs w:val="24"/>
        </w:rPr>
        <w:t>Maram</w:t>
      </w:r>
      <w:proofErr w:type="spellEnd"/>
      <w:r w:rsidR="001F545C">
        <w:rPr>
          <w:sz w:val="24"/>
          <w:szCs w:val="24"/>
        </w:rPr>
        <w:t xml:space="preserve">, 563 F. </w:t>
      </w:r>
      <w:r w:rsidR="001905F2" w:rsidRPr="001905F2">
        <w:rPr>
          <w:sz w:val="24"/>
          <w:szCs w:val="24"/>
        </w:rPr>
        <w:t>Supp. 2d 840</w:t>
      </w:r>
      <w:r w:rsidR="005050BA">
        <w:rPr>
          <w:sz w:val="24"/>
          <w:szCs w:val="24"/>
        </w:rPr>
        <w:t>, 844, 863</w:t>
      </w:r>
      <w:r w:rsidR="001905F2" w:rsidRPr="001905F2">
        <w:rPr>
          <w:sz w:val="24"/>
          <w:szCs w:val="24"/>
        </w:rPr>
        <w:t xml:space="preserve"> (N.D. Ill. 2008) (</w:t>
      </w:r>
      <w:r w:rsidR="004B7B63">
        <w:rPr>
          <w:sz w:val="24"/>
          <w:szCs w:val="24"/>
        </w:rPr>
        <w:t>same</w:t>
      </w:r>
      <w:r w:rsidR="001905F2" w:rsidRPr="001905F2">
        <w:rPr>
          <w:sz w:val="24"/>
          <w:szCs w:val="24"/>
        </w:rPr>
        <w:t>).</w:t>
      </w:r>
    </w:p>
    <w:p w:rsidR="00B006C0" w:rsidRDefault="00600C12" w:rsidP="00571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i/>
          <w:sz w:val="24"/>
          <w:szCs w:val="24"/>
        </w:rPr>
      </w:pPr>
      <w:r>
        <w:rPr>
          <w:sz w:val="24"/>
          <w:szCs w:val="24"/>
        </w:rPr>
        <w:tab/>
        <w:t>DPW’s assertion that budget constraints prevent it from providing community-based services does not square with the fact that the cost of providing community-based attendant care services to Plaintiffs is slightly less than the cost of providing these services in a nursing facility.  (</w:t>
      </w:r>
      <w:r w:rsidRPr="00CA7E34">
        <w:rPr>
          <w:i/>
          <w:sz w:val="24"/>
          <w:szCs w:val="24"/>
        </w:rPr>
        <w:t>See</w:t>
      </w:r>
      <w:r>
        <w:rPr>
          <w:sz w:val="24"/>
          <w:szCs w:val="24"/>
        </w:rPr>
        <w:t xml:space="preserve"> </w:t>
      </w:r>
      <w:r w:rsidR="00C476B4">
        <w:rPr>
          <w:sz w:val="24"/>
          <w:szCs w:val="24"/>
        </w:rPr>
        <w:t xml:space="preserve">Gov.’s Exec. </w:t>
      </w:r>
      <w:proofErr w:type="gramStart"/>
      <w:r w:rsidR="00C476B4">
        <w:rPr>
          <w:sz w:val="24"/>
          <w:szCs w:val="24"/>
        </w:rPr>
        <w:t>Budget FY2014-2015</w:t>
      </w:r>
      <w:r w:rsidR="00C476B4" w:rsidRPr="00210F2E">
        <w:rPr>
          <w:sz w:val="24"/>
          <w:szCs w:val="24"/>
        </w:rPr>
        <w:t xml:space="preserve"> </w:t>
      </w:r>
      <w:r w:rsidR="00C476B4">
        <w:rPr>
          <w:sz w:val="24"/>
          <w:szCs w:val="24"/>
        </w:rPr>
        <w:t xml:space="preserve">7, ECF No. 45-8; </w:t>
      </w:r>
      <w:r w:rsidR="00C476B4" w:rsidRPr="00210F2E">
        <w:rPr>
          <w:sz w:val="24"/>
          <w:szCs w:val="24"/>
        </w:rPr>
        <w:t>Gov.’s Exec.</w:t>
      </w:r>
      <w:proofErr w:type="gramEnd"/>
      <w:r w:rsidR="00C476B4" w:rsidRPr="00210F2E">
        <w:rPr>
          <w:sz w:val="24"/>
          <w:szCs w:val="24"/>
        </w:rPr>
        <w:t xml:space="preserve"> </w:t>
      </w:r>
      <w:proofErr w:type="gramStart"/>
      <w:r w:rsidR="00C476B4" w:rsidRPr="00210F2E">
        <w:rPr>
          <w:sz w:val="24"/>
          <w:szCs w:val="24"/>
        </w:rPr>
        <w:t xml:space="preserve">Budget, </w:t>
      </w:r>
      <w:r w:rsidR="00C476B4">
        <w:rPr>
          <w:sz w:val="24"/>
          <w:szCs w:val="24"/>
        </w:rPr>
        <w:t xml:space="preserve">46, </w:t>
      </w:r>
      <w:r w:rsidR="00C476B4" w:rsidRPr="00210F2E">
        <w:rPr>
          <w:sz w:val="24"/>
          <w:szCs w:val="24"/>
        </w:rPr>
        <w:t>ECF No. 45-8</w:t>
      </w:r>
      <w:r w:rsidR="00C476B4">
        <w:rPr>
          <w:sz w:val="24"/>
          <w:szCs w:val="24"/>
        </w:rPr>
        <w:t>.)</w:t>
      </w:r>
      <w:proofErr w:type="gramEnd"/>
      <w:r w:rsidR="00C476B4">
        <w:rPr>
          <w:sz w:val="24"/>
          <w:szCs w:val="24"/>
        </w:rPr>
        <w:t xml:space="preserve">  </w:t>
      </w:r>
      <w:r w:rsidR="00844E94">
        <w:rPr>
          <w:sz w:val="24"/>
          <w:szCs w:val="24"/>
        </w:rPr>
        <w:t>In addition</w:t>
      </w:r>
      <w:r>
        <w:rPr>
          <w:sz w:val="24"/>
          <w:szCs w:val="24"/>
        </w:rPr>
        <w:t>, the Third Circuit has held that “</w:t>
      </w:r>
      <w:r w:rsidRPr="001D1DDF">
        <w:rPr>
          <w:sz w:val="24"/>
          <w:szCs w:val="24"/>
        </w:rPr>
        <w:t>budgetary constraints alone are insufficient to establish a fundamental alteration defense</w:t>
      </w:r>
      <w:r>
        <w:rPr>
          <w:sz w:val="24"/>
          <w:szCs w:val="24"/>
        </w:rPr>
        <w:t xml:space="preserve">.”  </w:t>
      </w:r>
      <w:r>
        <w:rPr>
          <w:i/>
          <w:iCs/>
          <w:sz w:val="24"/>
          <w:szCs w:val="24"/>
        </w:rPr>
        <w:t xml:space="preserve">Pa. </w:t>
      </w:r>
      <w:r w:rsidR="006767EB">
        <w:rPr>
          <w:i/>
          <w:iCs/>
          <w:sz w:val="24"/>
          <w:szCs w:val="24"/>
        </w:rPr>
        <w:t>Prot.</w:t>
      </w:r>
      <w:r>
        <w:rPr>
          <w:i/>
          <w:iCs/>
          <w:sz w:val="24"/>
          <w:szCs w:val="24"/>
        </w:rPr>
        <w:t xml:space="preserve"> and Advocacy</w:t>
      </w:r>
      <w:r>
        <w:rPr>
          <w:sz w:val="24"/>
          <w:szCs w:val="24"/>
        </w:rPr>
        <w:t xml:space="preserve">, </w:t>
      </w:r>
      <w:proofErr w:type="gramStart"/>
      <w:r>
        <w:rPr>
          <w:sz w:val="24"/>
          <w:szCs w:val="24"/>
        </w:rPr>
        <w:t>402 F.3d at 380</w:t>
      </w:r>
      <w:proofErr w:type="gramEnd"/>
      <w:r>
        <w:rPr>
          <w:sz w:val="24"/>
          <w:szCs w:val="24"/>
        </w:rPr>
        <w:t>.</w:t>
      </w:r>
    </w:p>
    <w:p w:rsidR="00571ABC" w:rsidRPr="00B006C0" w:rsidRDefault="00890FAD" w:rsidP="00571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i/>
          <w:sz w:val="24"/>
        </w:rPr>
      </w:pPr>
      <w:r>
        <w:rPr>
          <w:sz w:val="24"/>
          <w:szCs w:val="24"/>
        </w:rPr>
        <w:tab/>
      </w:r>
      <w:r w:rsidR="00844E94">
        <w:rPr>
          <w:sz w:val="24"/>
          <w:szCs w:val="24"/>
        </w:rPr>
        <w:t>T</w:t>
      </w:r>
      <w:r w:rsidR="00571ABC">
        <w:rPr>
          <w:sz w:val="24"/>
          <w:szCs w:val="24"/>
        </w:rPr>
        <w:t xml:space="preserve">he Third Circuit has </w:t>
      </w:r>
      <w:r w:rsidR="006767EB">
        <w:rPr>
          <w:sz w:val="24"/>
          <w:szCs w:val="24"/>
        </w:rPr>
        <w:t xml:space="preserve">also </w:t>
      </w:r>
      <w:r w:rsidR="00571ABC">
        <w:rPr>
          <w:sz w:val="24"/>
          <w:szCs w:val="24"/>
        </w:rPr>
        <w:t>held that p</w:t>
      </w:r>
      <w:r w:rsidR="00571ABC" w:rsidRPr="0076339F">
        <w:rPr>
          <w:sz w:val="24"/>
          <w:szCs w:val="24"/>
        </w:rPr>
        <w:t xml:space="preserve">ublic entities may not avail themselves of </w:t>
      </w:r>
      <w:r w:rsidR="00844E94">
        <w:rPr>
          <w:sz w:val="24"/>
          <w:szCs w:val="24"/>
        </w:rPr>
        <w:t>the fundamental alteration</w:t>
      </w:r>
      <w:r w:rsidR="00844E94" w:rsidRPr="0076339F">
        <w:rPr>
          <w:sz w:val="24"/>
          <w:szCs w:val="24"/>
        </w:rPr>
        <w:t xml:space="preserve"> </w:t>
      </w:r>
      <w:r w:rsidR="00571ABC" w:rsidRPr="0076339F">
        <w:rPr>
          <w:sz w:val="24"/>
          <w:szCs w:val="24"/>
        </w:rPr>
        <w:t xml:space="preserve">defense unless they can first demonstrate that they have a comprehensive, effectively working plan to comply with the </w:t>
      </w:r>
      <w:r w:rsidR="00571ABC" w:rsidRPr="0076339F">
        <w:rPr>
          <w:i/>
          <w:sz w:val="24"/>
          <w:szCs w:val="24"/>
        </w:rPr>
        <w:t>Olmstead</w:t>
      </w:r>
      <w:r w:rsidR="00571ABC" w:rsidRPr="0076339F">
        <w:rPr>
          <w:sz w:val="24"/>
          <w:szCs w:val="24"/>
        </w:rPr>
        <w:t xml:space="preserve"> mandate.  </w:t>
      </w:r>
      <w:r w:rsidR="00C163E3">
        <w:rPr>
          <w:i/>
          <w:sz w:val="24"/>
          <w:szCs w:val="24"/>
        </w:rPr>
        <w:t xml:space="preserve">Id. </w:t>
      </w:r>
      <w:r w:rsidR="00571ABC" w:rsidRPr="0076339F">
        <w:rPr>
          <w:sz w:val="24"/>
          <w:szCs w:val="24"/>
        </w:rPr>
        <w:t>at 381</w:t>
      </w:r>
      <w:r w:rsidR="00571ABC">
        <w:rPr>
          <w:sz w:val="24"/>
          <w:szCs w:val="24"/>
        </w:rPr>
        <w:t xml:space="preserve"> (holding that the “</w:t>
      </w:r>
      <w:r w:rsidR="00571ABC" w:rsidRPr="00566599">
        <w:rPr>
          <w:sz w:val="24"/>
          <w:szCs w:val="24"/>
        </w:rPr>
        <w:t>only sensible reading of the integration ma</w:t>
      </w:r>
      <w:r w:rsidR="00571ABC">
        <w:rPr>
          <w:sz w:val="24"/>
          <w:szCs w:val="24"/>
        </w:rPr>
        <w:t>ndate consistent with the Court’</w:t>
      </w:r>
      <w:r w:rsidR="00571ABC" w:rsidRPr="00566599">
        <w:rPr>
          <w:sz w:val="24"/>
          <w:szCs w:val="24"/>
        </w:rPr>
        <w:t xml:space="preserve">s </w:t>
      </w:r>
      <w:r w:rsidR="00571ABC" w:rsidRPr="00566599">
        <w:rPr>
          <w:i/>
          <w:sz w:val="24"/>
          <w:szCs w:val="24"/>
        </w:rPr>
        <w:t>Olmstead</w:t>
      </w:r>
      <w:r w:rsidR="00571ABC" w:rsidRPr="00566599">
        <w:rPr>
          <w:sz w:val="24"/>
          <w:szCs w:val="24"/>
        </w:rPr>
        <w:t xml:space="preserve"> opinion allows for a fundamental alteration defense only if the accused agency has developed and implemented a plan to come into compliance with the ADA</w:t>
      </w:r>
      <w:r w:rsidR="00571ABC" w:rsidRPr="006D75FF">
        <w:rPr>
          <w:color w:val="000000"/>
          <w:sz w:val="24"/>
        </w:rPr>
        <w:t xml:space="preserve">”); </w:t>
      </w:r>
      <w:hyperlink r:id="rId8" w:tgtFrame="_top" w:history="1">
        <w:r w:rsidR="00571ABC">
          <w:rPr>
            <w:i/>
            <w:color w:val="000000"/>
            <w:sz w:val="24"/>
          </w:rPr>
          <w:t>Frederick L. v. Dept. of Public Welfare of Pa.</w:t>
        </w:r>
        <w:r w:rsidR="00571ABC" w:rsidRPr="006D75FF">
          <w:rPr>
            <w:i/>
            <w:color w:val="000000"/>
            <w:sz w:val="24"/>
          </w:rPr>
          <w:t>,</w:t>
        </w:r>
        <w:r w:rsidR="00571ABC" w:rsidRPr="006D75FF">
          <w:rPr>
            <w:color w:val="000000"/>
            <w:sz w:val="24"/>
          </w:rPr>
          <w:t xml:space="preserve"> 422 F.3d </w:t>
        </w:r>
        <w:r w:rsidR="00571ABC">
          <w:rPr>
            <w:color w:val="000000"/>
            <w:sz w:val="24"/>
          </w:rPr>
          <w:t xml:space="preserve">151, </w:t>
        </w:r>
        <w:r w:rsidR="00126DF6">
          <w:rPr>
            <w:color w:val="000000"/>
            <w:sz w:val="24"/>
          </w:rPr>
          <w:t>157</w:t>
        </w:r>
      </w:hyperlink>
      <w:r w:rsidR="00571ABC">
        <w:rPr>
          <w:color w:val="000000"/>
          <w:sz w:val="24"/>
        </w:rPr>
        <w:t xml:space="preserve"> (3d Cir. 2005) </w:t>
      </w:r>
      <w:r w:rsidR="00571ABC">
        <w:rPr>
          <w:color w:val="000000"/>
          <w:sz w:val="24"/>
        </w:rPr>
        <w:lastRenderedPageBreak/>
        <w:t>(“</w:t>
      </w:r>
      <w:r w:rsidR="00571ABC">
        <w:rPr>
          <w:i/>
          <w:color w:val="000000"/>
          <w:sz w:val="24"/>
        </w:rPr>
        <w:t>Frederick L. II</w:t>
      </w:r>
      <w:r w:rsidR="00571ABC">
        <w:rPr>
          <w:color w:val="000000"/>
          <w:sz w:val="24"/>
        </w:rPr>
        <w:t xml:space="preserve">”) </w:t>
      </w:r>
      <w:r w:rsidR="00571ABC" w:rsidRPr="006D75FF">
        <w:rPr>
          <w:color w:val="000000"/>
          <w:sz w:val="24"/>
        </w:rPr>
        <w:t>(</w:t>
      </w:r>
      <w:r w:rsidR="00126DF6">
        <w:rPr>
          <w:color w:val="000000"/>
          <w:sz w:val="24"/>
        </w:rPr>
        <w:t xml:space="preserve">holding that the existence of an </w:t>
      </w:r>
      <w:r w:rsidR="00126DF6">
        <w:rPr>
          <w:i/>
          <w:color w:val="000000"/>
          <w:sz w:val="24"/>
        </w:rPr>
        <w:t>Olmstead</w:t>
      </w:r>
      <w:r w:rsidR="00126DF6">
        <w:rPr>
          <w:color w:val="000000"/>
          <w:sz w:val="24"/>
        </w:rPr>
        <w:t xml:space="preserve"> plan is a “necessary element” of a successful fundamental alteration defense).</w:t>
      </w:r>
    </w:p>
    <w:p w:rsidR="002A73D2" w:rsidRDefault="00571ABC">
      <w:pPr>
        <w:spacing w:line="480" w:lineRule="auto"/>
        <w:ind w:firstLine="720"/>
        <w:rPr>
          <w:sz w:val="24"/>
          <w:szCs w:val="24"/>
        </w:rPr>
      </w:pPr>
      <w:r>
        <w:rPr>
          <w:sz w:val="24"/>
          <w:szCs w:val="24"/>
        </w:rPr>
        <w:t>More specifically, t</w:t>
      </w:r>
      <w:r w:rsidR="00E821F6" w:rsidRPr="006D75FF">
        <w:rPr>
          <w:sz w:val="24"/>
          <w:szCs w:val="24"/>
        </w:rPr>
        <w:t xml:space="preserve">he Third Circuit </w:t>
      </w:r>
      <w:r w:rsidR="00E821F6">
        <w:rPr>
          <w:sz w:val="24"/>
          <w:szCs w:val="24"/>
        </w:rPr>
        <w:t>requires</w:t>
      </w:r>
      <w:r w:rsidR="00E821F6" w:rsidRPr="006D75FF">
        <w:rPr>
          <w:sz w:val="24"/>
          <w:szCs w:val="24"/>
        </w:rPr>
        <w:t xml:space="preserve"> a public entity to prove that it has developed and is implementing an </w:t>
      </w:r>
      <w:r w:rsidR="00E821F6" w:rsidRPr="006D75FF">
        <w:rPr>
          <w:i/>
          <w:sz w:val="24"/>
          <w:szCs w:val="24"/>
        </w:rPr>
        <w:t xml:space="preserve">Olmstead </w:t>
      </w:r>
      <w:r w:rsidR="00E821F6" w:rsidRPr="006D75FF">
        <w:rPr>
          <w:sz w:val="24"/>
          <w:szCs w:val="24"/>
        </w:rPr>
        <w:t>plan that demonstrates a specific and measurable commitment to action by the public entity, including goals, benchmarks, and timeframes for which the entity can be held accountable.</w:t>
      </w:r>
      <w:r w:rsidR="00E821F6" w:rsidRPr="006D75FF">
        <w:rPr>
          <w:rStyle w:val="FootnoteReference"/>
          <w:sz w:val="24"/>
          <w:szCs w:val="24"/>
        </w:rPr>
        <w:footnoteReference w:id="9"/>
      </w:r>
      <w:r w:rsidR="00E821F6" w:rsidRPr="006D75FF">
        <w:rPr>
          <w:sz w:val="24"/>
          <w:szCs w:val="24"/>
        </w:rPr>
        <w:t xml:space="preserve">  </w:t>
      </w:r>
      <w:r w:rsidR="00E821F6" w:rsidRPr="006D75FF">
        <w:rPr>
          <w:i/>
          <w:sz w:val="24"/>
          <w:szCs w:val="24"/>
        </w:rPr>
        <w:t>Frederick L.</w:t>
      </w:r>
      <w:r w:rsidR="0071694B">
        <w:rPr>
          <w:i/>
          <w:sz w:val="24"/>
          <w:szCs w:val="24"/>
        </w:rPr>
        <w:t xml:space="preserve"> II</w:t>
      </w:r>
      <w:r w:rsidR="00E821F6" w:rsidRPr="006D75FF">
        <w:rPr>
          <w:sz w:val="24"/>
          <w:szCs w:val="24"/>
        </w:rPr>
        <w:t xml:space="preserve">, </w:t>
      </w:r>
      <w:proofErr w:type="gramStart"/>
      <w:r w:rsidR="00E821F6" w:rsidRPr="006D75FF">
        <w:rPr>
          <w:sz w:val="24"/>
          <w:szCs w:val="24"/>
        </w:rPr>
        <w:t>422 F.3d at 156-59</w:t>
      </w:r>
      <w:proofErr w:type="gramEnd"/>
      <w:r w:rsidR="00E821F6" w:rsidRPr="006D75FF">
        <w:rPr>
          <w:sz w:val="24"/>
          <w:szCs w:val="24"/>
        </w:rPr>
        <w:t>.  The Third Circuit has rejected a public entity’s vague, general assurances and good faith intentions of future community placement</w:t>
      </w:r>
      <w:r w:rsidR="00E4607E">
        <w:rPr>
          <w:sz w:val="24"/>
          <w:szCs w:val="24"/>
        </w:rPr>
        <w:t>,</w:t>
      </w:r>
      <w:r w:rsidR="00E821F6" w:rsidRPr="006D75FF">
        <w:rPr>
          <w:sz w:val="24"/>
          <w:szCs w:val="24"/>
        </w:rPr>
        <w:t xml:space="preserve"> because such assurances </w:t>
      </w:r>
      <w:r w:rsidR="000F2C46">
        <w:rPr>
          <w:sz w:val="24"/>
          <w:szCs w:val="24"/>
        </w:rPr>
        <w:t>may change;</w:t>
      </w:r>
      <w:r w:rsidR="00E821F6" w:rsidRPr="006D75FF">
        <w:rPr>
          <w:sz w:val="24"/>
          <w:szCs w:val="24"/>
        </w:rPr>
        <w:t xml:space="preserve"> and </w:t>
      </w:r>
      <w:r w:rsidR="00E4607E">
        <w:rPr>
          <w:sz w:val="24"/>
          <w:szCs w:val="24"/>
        </w:rPr>
        <w:t xml:space="preserve">it has further held </w:t>
      </w:r>
      <w:r w:rsidR="00E821F6" w:rsidRPr="006D75FF">
        <w:rPr>
          <w:sz w:val="24"/>
          <w:szCs w:val="24"/>
        </w:rPr>
        <w:t xml:space="preserve">that past progress in deinstitutionalization alone is insufficient to establish a comprehensive, effectively working </w:t>
      </w:r>
      <w:r w:rsidR="00E821F6" w:rsidRPr="006D75FF">
        <w:rPr>
          <w:i/>
          <w:sz w:val="24"/>
          <w:szCs w:val="24"/>
        </w:rPr>
        <w:t>Olmstead</w:t>
      </w:r>
      <w:r w:rsidR="00E821F6" w:rsidRPr="006D75FF">
        <w:rPr>
          <w:sz w:val="24"/>
          <w:szCs w:val="24"/>
        </w:rPr>
        <w:t xml:space="preserve"> plan.</w:t>
      </w:r>
      <w:r w:rsidR="0071694B">
        <w:rPr>
          <w:rStyle w:val="FootnoteReference"/>
          <w:sz w:val="24"/>
          <w:szCs w:val="24"/>
        </w:rPr>
        <w:footnoteReference w:id="10"/>
      </w:r>
      <w:r w:rsidR="00E821F6" w:rsidRPr="006D75FF">
        <w:rPr>
          <w:sz w:val="24"/>
          <w:szCs w:val="24"/>
        </w:rPr>
        <w:t xml:space="preserve">  </w:t>
      </w:r>
      <w:proofErr w:type="gramStart"/>
      <w:r w:rsidR="00E821F6" w:rsidRPr="006D75FF">
        <w:rPr>
          <w:i/>
          <w:sz w:val="24"/>
          <w:szCs w:val="24"/>
        </w:rPr>
        <w:t>Id</w:t>
      </w:r>
      <w:r w:rsidR="00E821F6" w:rsidRPr="006D75FF">
        <w:rPr>
          <w:sz w:val="24"/>
          <w:szCs w:val="24"/>
        </w:rPr>
        <w:t xml:space="preserve">.; </w:t>
      </w:r>
      <w:r w:rsidR="00E821F6" w:rsidRPr="006D75FF">
        <w:rPr>
          <w:i/>
          <w:sz w:val="24"/>
          <w:szCs w:val="24"/>
        </w:rPr>
        <w:t>Frederick L.</w:t>
      </w:r>
      <w:proofErr w:type="gramEnd"/>
      <w:r w:rsidR="00E821F6" w:rsidRPr="006D75FF">
        <w:rPr>
          <w:i/>
          <w:sz w:val="24"/>
          <w:szCs w:val="24"/>
        </w:rPr>
        <w:t xml:space="preserve"> I</w:t>
      </w:r>
      <w:r w:rsidR="00E821F6" w:rsidRPr="006D75FF">
        <w:rPr>
          <w:sz w:val="24"/>
          <w:szCs w:val="24"/>
        </w:rPr>
        <w:t xml:space="preserve">, 364 F.3d at 499-501; </w:t>
      </w:r>
      <w:r w:rsidR="0071694B">
        <w:rPr>
          <w:i/>
          <w:sz w:val="24"/>
          <w:szCs w:val="24"/>
        </w:rPr>
        <w:t>Pa. Prot</w:t>
      </w:r>
      <w:r w:rsidR="006767EB">
        <w:rPr>
          <w:i/>
          <w:sz w:val="24"/>
          <w:szCs w:val="24"/>
        </w:rPr>
        <w:t>.</w:t>
      </w:r>
      <w:r w:rsidR="00E821F6" w:rsidRPr="006D75FF">
        <w:rPr>
          <w:i/>
          <w:sz w:val="24"/>
          <w:szCs w:val="24"/>
        </w:rPr>
        <w:t xml:space="preserve"> </w:t>
      </w:r>
      <w:r w:rsidR="0071694B">
        <w:rPr>
          <w:i/>
          <w:sz w:val="24"/>
          <w:szCs w:val="24"/>
        </w:rPr>
        <w:t>and</w:t>
      </w:r>
      <w:r w:rsidR="00E821F6" w:rsidRPr="006D75FF">
        <w:rPr>
          <w:i/>
          <w:sz w:val="24"/>
          <w:szCs w:val="24"/>
        </w:rPr>
        <w:t xml:space="preserve"> Advocacy, Inc.</w:t>
      </w:r>
      <w:r w:rsidR="00E821F6" w:rsidRPr="006D75FF">
        <w:rPr>
          <w:sz w:val="24"/>
          <w:szCs w:val="24"/>
        </w:rPr>
        <w:t>, 402 F.3d at 383-85</w:t>
      </w:r>
      <w:r w:rsidR="0071694B">
        <w:rPr>
          <w:sz w:val="24"/>
          <w:szCs w:val="24"/>
        </w:rPr>
        <w:t>;</w:t>
      </w:r>
      <w:r w:rsidR="00E821F6" w:rsidRPr="00CB49E8">
        <w:rPr>
          <w:sz w:val="24"/>
          <w:szCs w:val="24"/>
        </w:rPr>
        <w:t xml:space="preserve"> </w:t>
      </w:r>
      <w:r w:rsidR="00E821F6" w:rsidRPr="006D75FF">
        <w:rPr>
          <w:i/>
          <w:sz w:val="24"/>
          <w:szCs w:val="24"/>
        </w:rPr>
        <w:t>see also</w:t>
      </w:r>
      <w:r w:rsidR="00E821F6" w:rsidRPr="00CB49E8">
        <w:rPr>
          <w:sz w:val="24"/>
          <w:szCs w:val="24"/>
        </w:rPr>
        <w:t xml:space="preserve"> </w:t>
      </w:r>
      <w:r w:rsidR="0071694B" w:rsidRPr="0071694B">
        <w:rPr>
          <w:color w:val="000000"/>
          <w:sz w:val="24"/>
          <w:szCs w:val="24"/>
        </w:rPr>
        <w:t xml:space="preserve">U.S. Dept. of Justice, Statement of the Department of Justice on the Integration Mandate of Title II of the ADA and </w:t>
      </w:r>
      <w:r w:rsidR="0071694B" w:rsidRPr="0084668B">
        <w:rPr>
          <w:i/>
          <w:color w:val="000000"/>
          <w:sz w:val="24"/>
          <w:szCs w:val="24"/>
        </w:rPr>
        <w:t>Olmstead v. L.C.</w:t>
      </w:r>
      <w:r w:rsidR="0084668B">
        <w:rPr>
          <w:color w:val="000000"/>
          <w:sz w:val="24"/>
          <w:szCs w:val="24"/>
        </w:rPr>
        <w:t>, http://</w:t>
      </w:r>
      <w:r w:rsidR="000A720E">
        <w:rPr>
          <w:color w:val="000000"/>
          <w:sz w:val="24"/>
          <w:szCs w:val="24"/>
        </w:rPr>
        <w:t>www.ada.gov/olmstead</w:t>
      </w:r>
      <w:r w:rsidR="0084668B">
        <w:rPr>
          <w:color w:val="000000"/>
          <w:sz w:val="24"/>
          <w:szCs w:val="24"/>
        </w:rPr>
        <w:t>/q&amp;</w:t>
      </w:r>
      <w:r w:rsidR="0071694B" w:rsidRPr="0071694B">
        <w:rPr>
          <w:color w:val="000000"/>
          <w:sz w:val="24"/>
          <w:szCs w:val="24"/>
        </w:rPr>
        <w:t>a</w:t>
      </w:r>
      <w:r w:rsidR="000A720E">
        <w:rPr>
          <w:color w:val="000000"/>
          <w:sz w:val="24"/>
          <w:szCs w:val="24"/>
        </w:rPr>
        <w:t xml:space="preserve"> </w:t>
      </w:r>
      <w:r w:rsidR="0071694B" w:rsidRPr="0071694B">
        <w:rPr>
          <w:color w:val="000000"/>
          <w:sz w:val="24"/>
          <w:szCs w:val="24"/>
        </w:rPr>
        <w:t>_</w:t>
      </w:r>
      <w:r w:rsidR="0084668B">
        <w:rPr>
          <w:color w:val="000000"/>
          <w:sz w:val="24"/>
          <w:szCs w:val="24"/>
        </w:rPr>
        <w:t>olmstead.</w:t>
      </w:r>
      <w:r w:rsidR="0071694B" w:rsidRPr="0071694B">
        <w:rPr>
          <w:color w:val="000000"/>
          <w:sz w:val="24"/>
          <w:szCs w:val="24"/>
        </w:rPr>
        <w:t>htm (last updated June 22, 2011)</w:t>
      </w:r>
      <w:r w:rsidR="00814106">
        <w:rPr>
          <w:color w:val="000000"/>
          <w:sz w:val="24"/>
          <w:szCs w:val="24"/>
        </w:rPr>
        <w:t xml:space="preserve"> (providing guidance for ADA and </w:t>
      </w:r>
      <w:r w:rsidR="00814106">
        <w:rPr>
          <w:i/>
          <w:color w:val="000000"/>
          <w:sz w:val="24"/>
          <w:szCs w:val="24"/>
        </w:rPr>
        <w:t>Olmstead</w:t>
      </w:r>
      <w:r w:rsidR="00814106">
        <w:rPr>
          <w:color w:val="000000"/>
          <w:sz w:val="24"/>
          <w:szCs w:val="24"/>
        </w:rPr>
        <w:t xml:space="preserve"> enforcement)</w:t>
      </w:r>
      <w:r w:rsidR="0071694B">
        <w:rPr>
          <w:color w:val="000000"/>
          <w:sz w:val="24"/>
          <w:szCs w:val="24"/>
        </w:rPr>
        <w:t xml:space="preserve">. </w:t>
      </w:r>
      <w:r w:rsidR="00E821F6">
        <w:rPr>
          <w:sz w:val="24"/>
          <w:szCs w:val="24"/>
        </w:rPr>
        <w:t xml:space="preserve"> </w:t>
      </w:r>
    </w:p>
    <w:p w:rsidR="00676B93" w:rsidRDefault="00E821F6" w:rsidP="00676B93">
      <w:pPr>
        <w:spacing w:line="480" w:lineRule="auto"/>
        <w:rPr>
          <w:sz w:val="24"/>
          <w:szCs w:val="24"/>
        </w:rPr>
      </w:pPr>
      <w:r w:rsidRPr="008E41FC">
        <w:rPr>
          <w:sz w:val="24"/>
          <w:szCs w:val="24"/>
        </w:rPr>
        <w:lastRenderedPageBreak/>
        <w:tab/>
      </w:r>
      <w:r w:rsidRPr="00556884">
        <w:rPr>
          <w:sz w:val="24"/>
          <w:szCs w:val="24"/>
        </w:rPr>
        <w:t xml:space="preserve">The Commonwealth </w:t>
      </w:r>
      <w:r w:rsidR="008A2A95">
        <w:rPr>
          <w:sz w:val="24"/>
          <w:szCs w:val="24"/>
        </w:rPr>
        <w:t xml:space="preserve">claims to have an unwritten </w:t>
      </w:r>
      <w:r w:rsidR="008A2A95">
        <w:rPr>
          <w:i/>
          <w:sz w:val="24"/>
          <w:szCs w:val="24"/>
        </w:rPr>
        <w:t>Olmstead</w:t>
      </w:r>
      <w:r w:rsidR="00126DF6" w:rsidRPr="00126DF6">
        <w:rPr>
          <w:i/>
          <w:sz w:val="24"/>
        </w:rPr>
        <w:t xml:space="preserve"> </w:t>
      </w:r>
      <w:r w:rsidR="008A2A95">
        <w:rPr>
          <w:sz w:val="24"/>
          <w:szCs w:val="24"/>
        </w:rPr>
        <w:t xml:space="preserve">plan to move some individuals out of institutions and into community-based settings.  </w:t>
      </w:r>
      <w:proofErr w:type="gramStart"/>
      <w:r w:rsidR="00676B93">
        <w:rPr>
          <w:sz w:val="24"/>
          <w:szCs w:val="24"/>
        </w:rPr>
        <w:t>(</w:t>
      </w:r>
      <w:proofErr w:type="spellStart"/>
      <w:r w:rsidR="00676B93">
        <w:rPr>
          <w:sz w:val="24"/>
          <w:szCs w:val="24"/>
        </w:rPr>
        <w:t>Defs</w:t>
      </w:r>
      <w:proofErr w:type="spellEnd"/>
      <w:r w:rsidR="00676B93">
        <w:rPr>
          <w:sz w:val="24"/>
          <w:szCs w:val="24"/>
        </w:rPr>
        <w:t>.’</w:t>
      </w:r>
      <w:proofErr w:type="gramEnd"/>
      <w:r w:rsidR="00676B93">
        <w:rPr>
          <w:sz w:val="24"/>
          <w:szCs w:val="24"/>
        </w:rPr>
        <w:t xml:space="preserve"> </w:t>
      </w:r>
      <w:proofErr w:type="spellStart"/>
      <w:proofErr w:type="gramStart"/>
      <w:r w:rsidR="00676B93">
        <w:rPr>
          <w:sz w:val="24"/>
          <w:szCs w:val="24"/>
        </w:rPr>
        <w:t>Mem</w:t>
      </w:r>
      <w:proofErr w:type="spellEnd"/>
      <w:r w:rsidR="00676B93">
        <w:rPr>
          <w:sz w:val="24"/>
          <w:szCs w:val="24"/>
        </w:rPr>
        <w:t>.</w:t>
      </w:r>
      <w:proofErr w:type="gramEnd"/>
      <w:r w:rsidR="00676B93">
        <w:rPr>
          <w:sz w:val="24"/>
          <w:szCs w:val="24"/>
        </w:rPr>
        <w:t xml:space="preserve"> </w:t>
      </w:r>
      <w:proofErr w:type="gramStart"/>
      <w:r w:rsidR="00676B93">
        <w:rPr>
          <w:sz w:val="24"/>
          <w:szCs w:val="24"/>
        </w:rPr>
        <w:t>Law at 44-47</w:t>
      </w:r>
      <w:r w:rsidR="00C476B4">
        <w:rPr>
          <w:sz w:val="24"/>
          <w:szCs w:val="24"/>
        </w:rPr>
        <w:t>, ECF No. 51-1.</w:t>
      </w:r>
      <w:r w:rsidR="00676B93">
        <w:rPr>
          <w:sz w:val="24"/>
          <w:szCs w:val="24"/>
        </w:rPr>
        <w:t>)</w:t>
      </w:r>
      <w:proofErr w:type="gramEnd"/>
      <w:r w:rsidR="00676B93">
        <w:rPr>
          <w:sz w:val="24"/>
          <w:szCs w:val="24"/>
        </w:rPr>
        <w:t xml:space="preserve">  </w:t>
      </w:r>
      <w:r w:rsidR="008A2A95">
        <w:rPr>
          <w:sz w:val="24"/>
          <w:szCs w:val="24"/>
        </w:rPr>
        <w:t xml:space="preserve">Plaintiffs claim that unwritten plan lacks the </w:t>
      </w:r>
      <w:r w:rsidR="00814106">
        <w:rPr>
          <w:sz w:val="24"/>
          <w:szCs w:val="24"/>
        </w:rPr>
        <w:t xml:space="preserve">specificity required by </w:t>
      </w:r>
      <w:r w:rsidR="00814106">
        <w:rPr>
          <w:i/>
          <w:sz w:val="24"/>
          <w:szCs w:val="24"/>
        </w:rPr>
        <w:t>Frederick II</w:t>
      </w:r>
      <w:r w:rsidR="008B31C1">
        <w:rPr>
          <w:sz w:val="24"/>
          <w:szCs w:val="24"/>
        </w:rPr>
        <w:t>.</w:t>
      </w:r>
      <w:r w:rsidR="00676B93">
        <w:rPr>
          <w:sz w:val="24"/>
          <w:szCs w:val="24"/>
        </w:rPr>
        <w:t xml:space="preserve">  </w:t>
      </w:r>
      <w:proofErr w:type="gramStart"/>
      <w:r w:rsidR="00676B93">
        <w:rPr>
          <w:sz w:val="24"/>
          <w:szCs w:val="24"/>
        </w:rPr>
        <w:t>(Pls.’ Mot.</w:t>
      </w:r>
      <w:proofErr w:type="gramEnd"/>
      <w:r w:rsidR="00676B93">
        <w:rPr>
          <w:sz w:val="24"/>
          <w:szCs w:val="24"/>
        </w:rPr>
        <w:t xml:space="preserve"> </w:t>
      </w:r>
      <w:proofErr w:type="spellStart"/>
      <w:proofErr w:type="gramStart"/>
      <w:r w:rsidR="00676B93">
        <w:rPr>
          <w:sz w:val="24"/>
          <w:szCs w:val="24"/>
        </w:rPr>
        <w:t>Summ</w:t>
      </w:r>
      <w:proofErr w:type="spellEnd"/>
      <w:r w:rsidR="00676B93">
        <w:rPr>
          <w:sz w:val="24"/>
          <w:szCs w:val="24"/>
        </w:rPr>
        <w:t>.</w:t>
      </w:r>
      <w:proofErr w:type="gramEnd"/>
      <w:r w:rsidR="00676B93">
        <w:rPr>
          <w:sz w:val="24"/>
          <w:szCs w:val="24"/>
        </w:rPr>
        <w:t xml:space="preserve"> </w:t>
      </w:r>
      <w:proofErr w:type="gramStart"/>
      <w:r w:rsidR="00676B93">
        <w:rPr>
          <w:sz w:val="24"/>
          <w:szCs w:val="24"/>
        </w:rPr>
        <w:t>J., 51-53, ECF No. 45.)</w:t>
      </w:r>
      <w:proofErr w:type="gramEnd"/>
      <w:r w:rsidR="008B31C1">
        <w:rPr>
          <w:sz w:val="24"/>
          <w:szCs w:val="24"/>
        </w:rPr>
        <w:t xml:space="preserve">  However, resolution of this disputed issue is not essential to defeat the Commonwealth’s fundamental alteration argument.  Both parties acknowledge that the Commonwealth does not have a</w:t>
      </w:r>
      <w:r w:rsidR="007E1550">
        <w:rPr>
          <w:sz w:val="24"/>
          <w:szCs w:val="24"/>
        </w:rPr>
        <w:t xml:space="preserve"> </w:t>
      </w:r>
      <w:r w:rsidRPr="00556884">
        <w:rPr>
          <w:sz w:val="24"/>
          <w:szCs w:val="24"/>
        </w:rPr>
        <w:t xml:space="preserve">plan to ensure that individuals on the Act 150 waitlist are not placed at serious risk of institutionalization.  </w:t>
      </w:r>
      <w:proofErr w:type="gramStart"/>
      <w:r w:rsidRPr="00556884">
        <w:rPr>
          <w:sz w:val="24"/>
          <w:szCs w:val="24"/>
        </w:rPr>
        <w:t>(</w:t>
      </w:r>
      <w:r w:rsidRPr="00556884">
        <w:rPr>
          <w:i/>
          <w:sz w:val="24"/>
          <w:szCs w:val="24"/>
        </w:rPr>
        <w:t>See</w:t>
      </w:r>
      <w:r w:rsidRPr="00556884">
        <w:rPr>
          <w:sz w:val="24"/>
          <w:szCs w:val="24"/>
        </w:rPr>
        <w:t xml:space="preserve"> Decl. Henry 4 ¶ 20, ECF </w:t>
      </w:r>
      <w:r w:rsidR="0084668B">
        <w:rPr>
          <w:sz w:val="24"/>
          <w:szCs w:val="24"/>
        </w:rPr>
        <w:t xml:space="preserve">No. </w:t>
      </w:r>
      <w:r w:rsidR="00676B93">
        <w:rPr>
          <w:sz w:val="24"/>
          <w:szCs w:val="24"/>
        </w:rPr>
        <w:t>53-2; Pls.’ Mot.</w:t>
      </w:r>
      <w:proofErr w:type="gramEnd"/>
      <w:r w:rsidR="00676B93">
        <w:rPr>
          <w:sz w:val="24"/>
          <w:szCs w:val="24"/>
        </w:rPr>
        <w:t xml:space="preserve"> </w:t>
      </w:r>
      <w:proofErr w:type="spellStart"/>
      <w:proofErr w:type="gramStart"/>
      <w:r w:rsidR="00676B93">
        <w:rPr>
          <w:sz w:val="24"/>
          <w:szCs w:val="24"/>
        </w:rPr>
        <w:t>Summ</w:t>
      </w:r>
      <w:proofErr w:type="spellEnd"/>
      <w:r w:rsidR="00676B93">
        <w:rPr>
          <w:sz w:val="24"/>
          <w:szCs w:val="24"/>
        </w:rPr>
        <w:t>.</w:t>
      </w:r>
      <w:proofErr w:type="gramEnd"/>
      <w:r w:rsidR="00676B93">
        <w:rPr>
          <w:sz w:val="24"/>
          <w:szCs w:val="24"/>
        </w:rPr>
        <w:t xml:space="preserve"> </w:t>
      </w:r>
      <w:proofErr w:type="gramStart"/>
      <w:r w:rsidR="00676B93">
        <w:rPr>
          <w:sz w:val="24"/>
          <w:szCs w:val="24"/>
        </w:rPr>
        <w:t>J., 51-53, ECF No. 45.</w:t>
      </w:r>
      <w:r w:rsidRPr="00556884">
        <w:rPr>
          <w:sz w:val="24"/>
          <w:szCs w:val="24"/>
        </w:rPr>
        <w:t>)</w:t>
      </w:r>
      <w:proofErr w:type="gramEnd"/>
      <w:r w:rsidRPr="00556884">
        <w:rPr>
          <w:sz w:val="24"/>
          <w:szCs w:val="24"/>
        </w:rPr>
        <w:t xml:space="preserve">  That alone</w:t>
      </w:r>
      <w:r w:rsidR="00C90548">
        <w:rPr>
          <w:sz w:val="24"/>
          <w:szCs w:val="24"/>
        </w:rPr>
        <w:t xml:space="preserve"> is fatal</w:t>
      </w:r>
      <w:r w:rsidR="007E1550">
        <w:rPr>
          <w:sz w:val="24"/>
          <w:szCs w:val="24"/>
        </w:rPr>
        <w:t xml:space="preserve"> </w:t>
      </w:r>
      <w:r w:rsidR="00676B93">
        <w:rPr>
          <w:sz w:val="24"/>
          <w:szCs w:val="24"/>
        </w:rPr>
        <w:t xml:space="preserve">to </w:t>
      </w:r>
      <w:r w:rsidRPr="00556884">
        <w:rPr>
          <w:sz w:val="24"/>
          <w:szCs w:val="24"/>
        </w:rPr>
        <w:t>DPW’s fundamental alteration defense</w:t>
      </w:r>
      <w:r w:rsidR="00B006C0">
        <w:rPr>
          <w:sz w:val="24"/>
          <w:szCs w:val="24"/>
        </w:rPr>
        <w:t xml:space="preserve"> in this case</w:t>
      </w:r>
      <w:r w:rsidRPr="00556884">
        <w:rPr>
          <w:sz w:val="24"/>
          <w:szCs w:val="24"/>
        </w:rPr>
        <w:t xml:space="preserve">.   </w:t>
      </w:r>
      <w:r w:rsidR="00B4203D">
        <w:rPr>
          <w:sz w:val="24"/>
          <w:szCs w:val="24"/>
        </w:rPr>
        <w:t xml:space="preserve">DPW </w:t>
      </w:r>
      <w:r w:rsidRPr="00556884">
        <w:rPr>
          <w:sz w:val="24"/>
          <w:szCs w:val="24"/>
        </w:rPr>
        <w:t xml:space="preserve">incorrectly argues that it can avoid liability for placing </w:t>
      </w:r>
      <w:r w:rsidR="009F7C9F">
        <w:rPr>
          <w:sz w:val="24"/>
          <w:szCs w:val="24"/>
        </w:rPr>
        <w:t>Plaintiffs</w:t>
      </w:r>
      <w:r w:rsidRPr="00556884">
        <w:rPr>
          <w:sz w:val="24"/>
          <w:szCs w:val="24"/>
        </w:rPr>
        <w:t xml:space="preserve"> at risk of institutionalization </w:t>
      </w:r>
      <w:r w:rsidR="008808C8">
        <w:rPr>
          <w:sz w:val="24"/>
          <w:szCs w:val="24"/>
        </w:rPr>
        <w:t>because it has established</w:t>
      </w:r>
      <w:r w:rsidRPr="00556884">
        <w:rPr>
          <w:sz w:val="24"/>
          <w:szCs w:val="24"/>
        </w:rPr>
        <w:t xml:space="preserve"> a comprehensive, effectively working </w:t>
      </w:r>
      <w:r w:rsidRPr="006D75FF">
        <w:rPr>
          <w:i/>
          <w:sz w:val="24"/>
          <w:szCs w:val="24"/>
        </w:rPr>
        <w:t>Olmstead</w:t>
      </w:r>
      <w:r w:rsidRPr="00556884">
        <w:rPr>
          <w:sz w:val="24"/>
          <w:szCs w:val="24"/>
        </w:rPr>
        <w:t xml:space="preserve"> plan to</w:t>
      </w:r>
      <w:r w:rsidRPr="006D75FF">
        <w:rPr>
          <w:i/>
          <w:sz w:val="24"/>
          <w:szCs w:val="24"/>
        </w:rPr>
        <w:t xml:space="preserve"> </w:t>
      </w:r>
      <w:r w:rsidRPr="00F5671A">
        <w:rPr>
          <w:sz w:val="24"/>
          <w:szCs w:val="24"/>
        </w:rPr>
        <w:t xml:space="preserve">move </w:t>
      </w:r>
      <w:r w:rsidR="003702D0">
        <w:rPr>
          <w:sz w:val="24"/>
          <w:szCs w:val="24"/>
        </w:rPr>
        <w:t xml:space="preserve">some </w:t>
      </w:r>
      <w:r w:rsidR="008B31C1">
        <w:rPr>
          <w:sz w:val="24"/>
          <w:szCs w:val="24"/>
        </w:rPr>
        <w:t xml:space="preserve">other </w:t>
      </w:r>
      <w:r w:rsidR="003702D0">
        <w:rPr>
          <w:sz w:val="24"/>
          <w:szCs w:val="24"/>
        </w:rPr>
        <w:t>individuals</w:t>
      </w:r>
      <w:r w:rsidR="008808C8">
        <w:rPr>
          <w:sz w:val="24"/>
          <w:szCs w:val="24"/>
        </w:rPr>
        <w:t xml:space="preserve"> </w:t>
      </w:r>
      <w:r w:rsidRPr="00F5671A">
        <w:rPr>
          <w:sz w:val="24"/>
          <w:szCs w:val="24"/>
        </w:rPr>
        <w:t>out of institutions</w:t>
      </w:r>
      <w:r w:rsidRPr="006D75FF">
        <w:rPr>
          <w:i/>
          <w:sz w:val="24"/>
          <w:szCs w:val="24"/>
        </w:rPr>
        <w:t>.</w:t>
      </w:r>
      <w:r w:rsidRPr="00556884">
        <w:rPr>
          <w:sz w:val="24"/>
          <w:szCs w:val="24"/>
        </w:rPr>
        <w:t xml:space="preserve">  </w:t>
      </w:r>
      <w:proofErr w:type="gramStart"/>
      <w:r w:rsidRPr="00556884">
        <w:rPr>
          <w:sz w:val="24"/>
          <w:szCs w:val="24"/>
        </w:rPr>
        <w:t>(</w:t>
      </w:r>
      <w:proofErr w:type="spellStart"/>
      <w:r w:rsidRPr="00556884">
        <w:rPr>
          <w:sz w:val="24"/>
          <w:szCs w:val="24"/>
        </w:rPr>
        <w:t>Defs</w:t>
      </w:r>
      <w:proofErr w:type="spellEnd"/>
      <w:r w:rsidR="008808C8">
        <w:rPr>
          <w:sz w:val="24"/>
          <w:szCs w:val="24"/>
        </w:rPr>
        <w:t>.’</w:t>
      </w:r>
      <w:proofErr w:type="gramEnd"/>
      <w:r w:rsidRPr="00556884">
        <w:rPr>
          <w:sz w:val="24"/>
          <w:szCs w:val="24"/>
        </w:rPr>
        <w:t xml:space="preserve"> </w:t>
      </w:r>
      <w:proofErr w:type="spellStart"/>
      <w:proofErr w:type="gramStart"/>
      <w:r w:rsidRPr="00556884">
        <w:rPr>
          <w:sz w:val="24"/>
          <w:szCs w:val="24"/>
        </w:rPr>
        <w:t>Mem</w:t>
      </w:r>
      <w:proofErr w:type="spellEnd"/>
      <w:r w:rsidRPr="00556884">
        <w:rPr>
          <w:sz w:val="24"/>
          <w:szCs w:val="24"/>
        </w:rPr>
        <w:t>.</w:t>
      </w:r>
      <w:proofErr w:type="gramEnd"/>
      <w:r w:rsidRPr="00556884">
        <w:rPr>
          <w:sz w:val="24"/>
          <w:szCs w:val="24"/>
        </w:rPr>
        <w:t xml:space="preserve"> </w:t>
      </w:r>
      <w:proofErr w:type="gramStart"/>
      <w:r w:rsidRPr="00556884">
        <w:rPr>
          <w:sz w:val="24"/>
          <w:szCs w:val="24"/>
        </w:rPr>
        <w:t>Law at 54</w:t>
      </w:r>
      <w:r w:rsidR="00C476B4">
        <w:rPr>
          <w:sz w:val="24"/>
          <w:szCs w:val="24"/>
        </w:rPr>
        <w:t>, ECF No. 51-1.</w:t>
      </w:r>
      <w:r w:rsidRPr="00556884">
        <w:rPr>
          <w:sz w:val="24"/>
          <w:szCs w:val="24"/>
        </w:rPr>
        <w:t>)</w:t>
      </w:r>
      <w:proofErr w:type="gramEnd"/>
      <w:r w:rsidRPr="00556884">
        <w:rPr>
          <w:sz w:val="24"/>
          <w:szCs w:val="24"/>
        </w:rPr>
        <w:t xml:space="preserve">   </w:t>
      </w:r>
      <w:bookmarkStart w:id="7" w:name="SR;5474"/>
      <w:bookmarkEnd w:id="7"/>
      <w:r w:rsidR="00676B93">
        <w:rPr>
          <w:sz w:val="24"/>
          <w:szCs w:val="24"/>
        </w:rPr>
        <w:t xml:space="preserve">However, a </w:t>
      </w:r>
      <w:r w:rsidR="003702D0">
        <w:rPr>
          <w:sz w:val="24"/>
          <w:szCs w:val="24"/>
        </w:rPr>
        <w:t xml:space="preserve">state may not </w:t>
      </w:r>
      <w:r>
        <w:rPr>
          <w:color w:val="000000"/>
          <w:sz w:val="24"/>
          <w:szCs w:val="24"/>
        </w:rPr>
        <w:t>p</w:t>
      </w:r>
      <w:r w:rsidRPr="006D75FF">
        <w:rPr>
          <w:color w:val="000000"/>
          <w:sz w:val="24"/>
          <w:szCs w:val="24"/>
        </w:rPr>
        <w:t>lac</w:t>
      </w:r>
      <w:r>
        <w:rPr>
          <w:color w:val="000000"/>
          <w:sz w:val="24"/>
          <w:szCs w:val="24"/>
        </w:rPr>
        <w:t>e one group of</w:t>
      </w:r>
      <w:r w:rsidRPr="006D75FF">
        <w:rPr>
          <w:color w:val="000000"/>
          <w:sz w:val="24"/>
          <w:szCs w:val="24"/>
        </w:rPr>
        <w:t xml:space="preserve"> individuals at serious risk of institutionalization</w:t>
      </w:r>
      <w:r w:rsidR="003702D0">
        <w:rPr>
          <w:color w:val="000000"/>
          <w:sz w:val="24"/>
          <w:szCs w:val="24"/>
        </w:rPr>
        <w:t xml:space="preserve">, </w:t>
      </w:r>
      <w:r w:rsidRPr="006D75FF">
        <w:rPr>
          <w:color w:val="000000"/>
          <w:sz w:val="24"/>
          <w:szCs w:val="24"/>
        </w:rPr>
        <w:t xml:space="preserve">without any plan to </w:t>
      </w:r>
      <w:r>
        <w:rPr>
          <w:color w:val="000000"/>
          <w:sz w:val="24"/>
          <w:szCs w:val="24"/>
        </w:rPr>
        <w:t xml:space="preserve">address the </w:t>
      </w:r>
      <w:r w:rsidR="00472F7A">
        <w:rPr>
          <w:color w:val="000000"/>
          <w:sz w:val="24"/>
          <w:szCs w:val="24"/>
        </w:rPr>
        <w:t xml:space="preserve">alleged </w:t>
      </w:r>
      <w:r>
        <w:rPr>
          <w:color w:val="000000"/>
          <w:sz w:val="24"/>
          <w:szCs w:val="24"/>
        </w:rPr>
        <w:t>violation</w:t>
      </w:r>
      <w:r w:rsidR="003702D0">
        <w:rPr>
          <w:color w:val="000000"/>
          <w:sz w:val="24"/>
          <w:szCs w:val="24"/>
        </w:rPr>
        <w:t xml:space="preserve">, </w:t>
      </w:r>
      <w:r>
        <w:rPr>
          <w:color w:val="000000"/>
          <w:sz w:val="24"/>
          <w:szCs w:val="24"/>
        </w:rPr>
        <w:t xml:space="preserve">solely because </w:t>
      </w:r>
      <w:r w:rsidR="00472F7A">
        <w:rPr>
          <w:color w:val="000000"/>
          <w:sz w:val="24"/>
          <w:szCs w:val="24"/>
        </w:rPr>
        <w:t>it</w:t>
      </w:r>
      <w:r>
        <w:rPr>
          <w:color w:val="000000"/>
          <w:sz w:val="24"/>
          <w:szCs w:val="24"/>
        </w:rPr>
        <w:t xml:space="preserve"> is working towards remedying unnecessary institutionalization as to another group of individuals</w:t>
      </w:r>
      <w:r w:rsidR="000F2C46">
        <w:rPr>
          <w:color w:val="000000"/>
          <w:sz w:val="24"/>
          <w:szCs w:val="24"/>
        </w:rPr>
        <w:t>.</w:t>
      </w:r>
      <w:r w:rsidR="009F7C9F">
        <w:rPr>
          <w:color w:val="000000"/>
          <w:sz w:val="24"/>
          <w:szCs w:val="24"/>
        </w:rPr>
        <w:t xml:space="preserve"> </w:t>
      </w:r>
      <w:r w:rsidR="000F2C46">
        <w:rPr>
          <w:color w:val="000000"/>
          <w:sz w:val="24"/>
          <w:szCs w:val="24"/>
        </w:rPr>
        <w:t xml:space="preserve"> </w:t>
      </w:r>
      <w:r w:rsidR="002A73D2">
        <w:rPr>
          <w:i/>
          <w:color w:val="000000"/>
          <w:sz w:val="24"/>
          <w:szCs w:val="24"/>
        </w:rPr>
        <w:t xml:space="preserve">See </w:t>
      </w:r>
      <w:r w:rsidR="002A73D2" w:rsidRPr="0071694B">
        <w:rPr>
          <w:color w:val="000000"/>
          <w:sz w:val="24"/>
          <w:szCs w:val="24"/>
        </w:rPr>
        <w:t xml:space="preserve">U.S. Dept. of Justice, Statement of the Department of Justice on the Integration Mandate of Title II of the ADA and </w:t>
      </w:r>
      <w:r w:rsidR="002A73D2" w:rsidRPr="0084668B">
        <w:rPr>
          <w:i/>
          <w:color w:val="000000"/>
          <w:sz w:val="24"/>
          <w:szCs w:val="24"/>
        </w:rPr>
        <w:t>Olmstead v. L.C.</w:t>
      </w:r>
      <w:r w:rsidR="002A73D2" w:rsidRPr="0071694B">
        <w:rPr>
          <w:color w:val="000000"/>
          <w:sz w:val="24"/>
          <w:szCs w:val="24"/>
        </w:rPr>
        <w:t>, http://</w:t>
      </w:r>
      <w:r w:rsidR="00B85C0D">
        <w:rPr>
          <w:color w:val="000000"/>
          <w:sz w:val="24"/>
          <w:szCs w:val="24"/>
        </w:rPr>
        <w:t>www.ada.gov/olmstead/q&amp;a_olmstead.</w:t>
      </w:r>
      <w:r w:rsidR="002A73D2" w:rsidRPr="0071694B">
        <w:rPr>
          <w:color w:val="000000"/>
          <w:sz w:val="24"/>
          <w:szCs w:val="24"/>
        </w:rPr>
        <w:t>htm (last updated June 22, 2011)</w:t>
      </w:r>
      <w:r w:rsidR="002A73D2">
        <w:rPr>
          <w:color w:val="000000"/>
          <w:sz w:val="24"/>
          <w:szCs w:val="24"/>
        </w:rPr>
        <w:t xml:space="preserve"> (stating that a public entity’s </w:t>
      </w:r>
      <w:r w:rsidR="002A73D2">
        <w:rPr>
          <w:i/>
          <w:color w:val="000000"/>
          <w:sz w:val="24"/>
          <w:szCs w:val="24"/>
        </w:rPr>
        <w:t>Olmstead</w:t>
      </w:r>
      <w:r w:rsidR="002A73D2">
        <w:rPr>
          <w:color w:val="000000"/>
          <w:sz w:val="24"/>
          <w:szCs w:val="24"/>
        </w:rPr>
        <w:t xml:space="preserve"> “</w:t>
      </w:r>
      <w:r w:rsidR="002A73D2" w:rsidRPr="002A73D2">
        <w:rPr>
          <w:color w:val="000000"/>
          <w:sz w:val="24"/>
          <w:szCs w:val="24"/>
        </w:rPr>
        <w:t>plan should include commitments for each group of persons who are unnecessarily segregated, such as individuals residing in facilities for individuals with developmental disabilities, psychiatric hospitals, nursing homes and board and care homes, or individuals spending their days in sheltered workshops or segregated day programs</w:t>
      </w:r>
      <w:r w:rsidR="002A73D2">
        <w:rPr>
          <w:color w:val="000000"/>
          <w:sz w:val="24"/>
          <w:szCs w:val="24"/>
        </w:rPr>
        <w:t xml:space="preserve">”).  </w:t>
      </w:r>
      <w:r w:rsidR="000F2C46">
        <w:rPr>
          <w:color w:val="000000"/>
          <w:sz w:val="24"/>
          <w:szCs w:val="24"/>
        </w:rPr>
        <w:t>P</w:t>
      </w:r>
      <w:r w:rsidR="003702D0">
        <w:rPr>
          <w:color w:val="000000"/>
          <w:sz w:val="24"/>
          <w:szCs w:val="24"/>
        </w:rPr>
        <w:t>ermitting such a result would contradict</w:t>
      </w:r>
      <w:r>
        <w:rPr>
          <w:color w:val="000000"/>
          <w:sz w:val="24"/>
          <w:szCs w:val="24"/>
        </w:rPr>
        <w:t xml:space="preserve"> </w:t>
      </w:r>
      <w:r w:rsidRPr="006D75FF">
        <w:rPr>
          <w:i/>
          <w:color w:val="000000"/>
          <w:sz w:val="24"/>
          <w:szCs w:val="24"/>
        </w:rPr>
        <w:t>Olmstead</w:t>
      </w:r>
      <w:r w:rsidRPr="008808C8">
        <w:rPr>
          <w:color w:val="000000"/>
          <w:sz w:val="24"/>
          <w:szCs w:val="24"/>
        </w:rPr>
        <w:t>’s</w:t>
      </w:r>
      <w:r>
        <w:rPr>
          <w:color w:val="000000"/>
          <w:sz w:val="24"/>
          <w:szCs w:val="24"/>
        </w:rPr>
        <w:t xml:space="preserve"> </w:t>
      </w:r>
      <w:r>
        <w:rPr>
          <w:color w:val="000000"/>
          <w:sz w:val="24"/>
          <w:szCs w:val="24"/>
        </w:rPr>
        <w:lastRenderedPageBreak/>
        <w:t>ho</w:t>
      </w:r>
      <w:r w:rsidR="003702D0">
        <w:rPr>
          <w:color w:val="000000"/>
          <w:sz w:val="24"/>
          <w:szCs w:val="24"/>
        </w:rPr>
        <w:t xml:space="preserve">lding that a state must consider the needs of a </w:t>
      </w:r>
      <w:r>
        <w:rPr>
          <w:color w:val="000000"/>
          <w:sz w:val="24"/>
          <w:szCs w:val="24"/>
        </w:rPr>
        <w:t xml:space="preserve">“large and diverse population” of individuals with disabilities served by the state.  </w:t>
      </w:r>
      <w:r w:rsidRPr="006D75FF">
        <w:rPr>
          <w:i/>
          <w:color w:val="000000"/>
          <w:sz w:val="24"/>
          <w:szCs w:val="24"/>
        </w:rPr>
        <w:t>See</w:t>
      </w:r>
      <w:r>
        <w:rPr>
          <w:color w:val="000000"/>
          <w:sz w:val="24"/>
          <w:szCs w:val="24"/>
        </w:rPr>
        <w:t xml:space="preserve"> </w:t>
      </w:r>
      <w:r w:rsidRPr="006D75FF">
        <w:rPr>
          <w:i/>
          <w:color w:val="000000"/>
          <w:sz w:val="24"/>
          <w:szCs w:val="24"/>
        </w:rPr>
        <w:t>Olmstead</w:t>
      </w:r>
      <w:r>
        <w:rPr>
          <w:color w:val="000000"/>
          <w:sz w:val="24"/>
          <w:szCs w:val="24"/>
        </w:rPr>
        <w:t xml:space="preserve">, 527 U.S. at 604.   </w:t>
      </w:r>
      <w:r w:rsidR="00472F7A">
        <w:rPr>
          <w:sz w:val="24"/>
          <w:szCs w:val="24"/>
        </w:rPr>
        <w:t>That is, a</w:t>
      </w:r>
      <w:r w:rsidRPr="006D75FF">
        <w:rPr>
          <w:sz w:val="24"/>
          <w:szCs w:val="24"/>
        </w:rPr>
        <w:t xml:space="preserve"> public entity cannot rely on its </w:t>
      </w:r>
      <w:r w:rsidRPr="006D75FF">
        <w:rPr>
          <w:i/>
          <w:iCs/>
          <w:sz w:val="24"/>
          <w:szCs w:val="24"/>
        </w:rPr>
        <w:t xml:space="preserve">Olmstead </w:t>
      </w:r>
      <w:r w:rsidRPr="006D75FF">
        <w:rPr>
          <w:sz w:val="24"/>
          <w:szCs w:val="24"/>
        </w:rPr>
        <w:t>plan as part of its defense unless it can prove that its plan comprehensively and effectively addresses the needless segregation of the group at issue.</w:t>
      </w:r>
      <w:r w:rsidR="006F554B">
        <w:rPr>
          <w:rStyle w:val="FootnoteReference"/>
          <w:sz w:val="24"/>
          <w:szCs w:val="24"/>
        </w:rPr>
        <w:footnoteReference w:id="11"/>
      </w:r>
      <w:r>
        <w:rPr>
          <w:sz w:val="24"/>
          <w:szCs w:val="24"/>
        </w:rPr>
        <w:t xml:space="preserve"> </w:t>
      </w:r>
      <w:r w:rsidR="00E72021">
        <w:rPr>
          <w:sz w:val="24"/>
          <w:szCs w:val="24"/>
        </w:rPr>
        <w:tab/>
      </w:r>
    </w:p>
    <w:p w:rsidR="0050012D" w:rsidRPr="00D005C3" w:rsidRDefault="0050012D" w:rsidP="00676B93">
      <w:pPr>
        <w:spacing w:line="480" w:lineRule="auto"/>
        <w:rPr>
          <w:sz w:val="24"/>
          <w:szCs w:val="24"/>
          <w:highlight w:val="cyan"/>
        </w:rPr>
      </w:pPr>
      <w:r>
        <w:rPr>
          <w:bCs/>
          <w:sz w:val="24"/>
          <w:szCs w:val="24"/>
        </w:rPr>
        <w:t>IV.</w:t>
      </w:r>
      <w:r>
        <w:rPr>
          <w:bCs/>
          <w:sz w:val="24"/>
          <w:szCs w:val="24"/>
        </w:rPr>
        <w:tab/>
      </w:r>
      <w:r w:rsidRPr="00D005C3">
        <w:rPr>
          <w:bCs/>
          <w:sz w:val="24"/>
          <w:szCs w:val="24"/>
        </w:rPr>
        <w:t>CONCLUSION</w:t>
      </w:r>
    </w:p>
    <w:p w:rsidR="00375709" w:rsidRDefault="00DB5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rPr>
      </w:pPr>
      <w:r w:rsidRPr="00DB55B1">
        <w:rPr>
          <w:sz w:val="24"/>
          <w:szCs w:val="24"/>
        </w:rPr>
        <w:t xml:space="preserve"> </w:t>
      </w:r>
      <w:r w:rsidR="00E407AF">
        <w:rPr>
          <w:color w:val="000000"/>
          <w:sz w:val="24"/>
          <w:szCs w:val="24"/>
        </w:rPr>
        <w:tab/>
      </w:r>
      <w:r w:rsidR="00E407AF">
        <w:rPr>
          <w:sz w:val="24"/>
          <w:szCs w:val="24"/>
        </w:rPr>
        <w:t xml:space="preserve">The United States offers this Statement of Interest as a means of clarifying the applicable law in this action so as to assist the Court in deciding the motions before it.  </w:t>
      </w:r>
      <w:r w:rsidR="00E407AF">
        <w:rPr>
          <w:color w:val="000000"/>
          <w:sz w:val="24"/>
          <w:szCs w:val="24"/>
        </w:rPr>
        <w:t>If the Court so desires</w:t>
      </w:r>
      <w:r w:rsidRPr="00DB55B1">
        <w:rPr>
          <w:color w:val="000000"/>
          <w:sz w:val="24"/>
          <w:szCs w:val="24"/>
        </w:rPr>
        <w:t xml:space="preserve">, counsel for the United States will be present and </w:t>
      </w:r>
      <w:r w:rsidRPr="00DB55B1">
        <w:rPr>
          <w:sz w:val="24"/>
          <w:szCs w:val="24"/>
        </w:rPr>
        <w:t>prepared to argue the present Statement</w:t>
      </w:r>
      <w:r w:rsidRPr="00DB55B1">
        <w:rPr>
          <w:color w:val="000000"/>
          <w:sz w:val="24"/>
          <w:szCs w:val="24"/>
        </w:rPr>
        <w:t xml:space="preserve"> </w:t>
      </w:r>
      <w:r w:rsidR="00676B93">
        <w:rPr>
          <w:color w:val="000000"/>
          <w:sz w:val="24"/>
          <w:szCs w:val="24"/>
        </w:rPr>
        <w:t xml:space="preserve">of Interest </w:t>
      </w:r>
      <w:r w:rsidRPr="00DB55B1">
        <w:rPr>
          <w:color w:val="000000"/>
          <w:sz w:val="24"/>
          <w:szCs w:val="24"/>
        </w:rPr>
        <w:t>at any upcoming hearings regarding the Motion.</w:t>
      </w:r>
    </w:p>
    <w:p w:rsidR="00676B93" w:rsidRDefault="00D20065" w:rsidP="00FB1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sz w:val="24"/>
          <w:szCs w:val="24"/>
        </w:rPr>
        <w:t xml:space="preserve"> </w:t>
      </w:r>
      <w:r w:rsidR="00FB15BE" w:rsidRPr="00371DEE">
        <w:rPr>
          <w:sz w:val="24"/>
          <w:szCs w:val="24"/>
        </w:rPr>
        <w:tab/>
      </w:r>
      <w:r w:rsidR="00DE7B7B">
        <w:rPr>
          <w:sz w:val="24"/>
          <w:szCs w:val="24"/>
        </w:rPr>
        <w:tab/>
      </w:r>
      <w:r w:rsidR="00DE7B7B">
        <w:rPr>
          <w:sz w:val="24"/>
          <w:szCs w:val="24"/>
        </w:rPr>
        <w:tab/>
      </w:r>
    </w:p>
    <w:p w:rsidR="00FB15BE" w:rsidRPr="00371DEE" w:rsidRDefault="00676B93" w:rsidP="0067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firstLine="720"/>
        <w:rPr>
          <w:color w:val="000000"/>
          <w:sz w:val="24"/>
          <w:szCs w:val="24"/>
        </w:rPr>
      </w:pPr>
      <w:r>
        <w:rPr>
          <w:sz w:val="24"/>
          <w:szCs w:val="24"/>
        </w:rPr>
        <w:br w:type="column"/>
      </w:r>
      <w:r w:rsidR="00FB15BE" w:rsidRPr="00371DEE">
        <w:rPr>
          <w:color w:val="000000"/>
          <w:sz w:val="24"/>
          <w:szCs w:val="24"/>
        </w:rPr>
        <w:lastRenderedPageBreak/>
        <w:t xml:space="preserve">Respectfully submitted, </w:t>
      </w:r>
    </w:p>
    <w:p w:rsidR="00FB15BE" w:rsidRPr="00371DEE" w:rsidRDefault="00FB15BE" w:rsidP="00FB15BE">
      <w:pPr>
        <w:ind w:firstLine="720"/>
        <w:rPr>
          <w:color w:val="000000"/>
          <w:sz w:val="24"/>
          <w:szCs w:val="24"/>
        </w:rPr>
      </w:pPr>
    </w:p>
    <w:p w:rsidR="00FB15BE" w:rsidRPr="00371DEE" w:rsidRDefault="00371DEE" w:rsidP="00FB15BE">
      <w:pPr>
        <w:ind w:firstLine="72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FB15BE" w:rsidRPr="00371DEE">
        <w:rPr>
          <w:color w:val="000000"/>
          <w:sz w:val="24"/>
          <w:szCs w:val="24"/>
        </w:rPr>
        <w:t>JOCELYN SAMUELS</w:t>
      </w:r>
    </w:p>
    <w:p w:rsidR="00FB15BE" w:rsidRPr="00371DEE" w:rsidRDefault="00FB15BE" w:rsidP="00FB15BE">
      <w:pPr>
        <w:ind w:firstLine="720"/>
        <w:rPr>
          <w:color w:val="000000"/>
          <w:sz w:val="24"/>
          <w:szCs w:val="24"/>
        </w:rPr>
      </w:pP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t>Acting Assistant Attorney General</w:t>
      </w:r>
    </w:p>
    <w:p w:rsidR="00FB15BE" w:rsidRPr="00371DEE" w:rsidRDefault="00FB15BE" w:rsidP="00FB15BE">
      <w:pPr>
        <w:ind w:firstLine="720"/>
        <w:rPr>
          <w:color w:val="000000"/>
          <w:sz w:val="24"/>
          <w:szCs w:val="24"/>
        </w:rPr>
      </w:pP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t>Civil Rights Division</w:t>
      </w:r>
    </w:p>
    <w:p w:rsidR="00FB15BE" w:rsidRPr="00371DEE" w:rsidRDefault="00FB15BE" w:rsidP="00FB15BE">
      <w:pPr>
        <w:ind w:firstLine="720"/>
        <w:rPr>
          <w:color w:val="000000"/>
          <w:sz w:val="24"/>
          <w:szCs w:val="24"/>
        </w:rPr>
      </w:pP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r>
    </w:p>
    <w:p w:rsidR="00FB15BE" w:rsidRPr="00371DEE" w:rsidRDefault="00FB15BE" w:rsidP="00371DEE">
      <w:pPr>
        <w:ind w:left="3600" w:firstLine="720"/>
        <w:rPr>
          <w:color w:val="000000"/>
          <w:sz w:val="24"/>
          <w:szCs w:val="24"/>
        </w:rPr>
      </w:pPr>
      <w:r w:rsidRPr="00371DEE">
        <w:rPr>
          <w:color w:val="000000"/>
          <w:sz w:val="24"/>
          <w:szCs w:val="24"/>
        </w:rPr>
        <w:t>EVE L. HILL</w:t>
      </w:r>
    </w:p>
    <w:p w:rsidR="00FB15BE" w:rsidRPr="00371DEE" w:rsidRDefault="00FB15BE" w:rsidP="00371DEE">
      <w:pPr>
        <w:ind w:left="3600" w:firstLine="720"/>
        <w:rPr>
          <w:color w:val="000000"/>
          <w:sz w:val="24"/>
          <w:szCs w:val="24"/>
        </w:rPr>
      </w:pPr>
      <w:r w:rsidRPr="00371DEE">
        <w:rPr>
          <w:color w:val="000000"/>
          <w:sz w:val="24"/>
          <w:szCs w:val="24"/>
        </w:rPr>
        <w:t>Deputy Assistant Attorney General</w:t>
      </w:r>
    </w:p>
    <w:p w:rsidR="00FB15BE" w:rsidRPr="00371DEE" w:rsidRDefault="00FB15BE" w:rsidP="00FB15BE">
      <w:pPr>
        <w:ind w:left="5040" w:firstLine="720"/>
        <w:rPr>
          <w:color w:val="000000"/>
          <w:sz w:val="24"/>
          <w:szCs w:val="24"/>
        </w:rPr>
      </w:pPr>
    </w:p>
    <w:p w:rsidR="00FB15BE" w:rsidRPr="00371DEE" w:rsidRDefault="00FB15BE" w:rsidP="00FB15BE">
      <w:pPr>
        <w:rPr>
          <w:color w:val="000000"/>
          <w:sz w:val="24"/>
          <w:szCs w:val="24"/>
        </w:rPr>
      </w:pP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t xml:space="preserve">JONATHAN M. SMITH </w:t>
      </w:r>
    </w:p>
    <w:p w:rsidR="00FB15BE" w:rsidRPr="00371DEE" w:rsidRDefault="00FB15BE" w:rsidP="00FB15BE">
      <w:pPr>
        <w:rPr>
          <w:color w:val="000000"/>
          <w:sz w:val="24"/>
          <w:szCs w:val="24"/>
        </w:rPr>
      </w:pPr>
      <w:r w:rsidRPr="00371DEE">
        <w:rPr>
          <w:color w:val="000000"/>
          <w:sz w:val="24"/>
          <w:szCs w:val="24"/>
        </w:rPr>
        <w:tab/>
      </w:r>
      <w:r w:rsidRPr="00371DEE">
        <w:rPr>
          <w:color w:val="000000"/>
          <w:sz w:val="24"/>
          <w:szCs w:val="24"/>
        </w:rPr>
        <w:tab/>
        <w:t xml:space="preserve"> </w:t>
      </w: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t>Chief</w:t>
      </w:r>
      <w:r w:rsidR="00371DEE">
        <w:rPr>
          <w:color w:val="000000"/>
          <w:sz w:val="24"/>
          <w:szCs w:val="24"/>
        </w:rPr>
        <w:t>, Special Litigation Section</w:t>
      </w:r>
    </w:p>
    <w:p w:rsidR="00FB15BE" w:rsidRPr="00371DEE" w:rsidRDefault="00FB15BE" w:rsidP="00FB15BE">
      <w:pPr>
        <w:rPr>
          <w:color w:val="000000"/>
          <w:sz w:val="24"/>
          <w:szCs w:val="24"/>
        </w:rPr>
      </w:pP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t xml:space="preserve"> </w:t>
      </w:r>
      <w:r w:rsidRPr="00371DEE">
        <w:rPr>
          <w:color w:val="000000"/>
          <w:sz w:val="24"/>
          <w:szCs w:val="24"/>
        </w:rPr>
        <w:tab/>
      </w:r>
      <w:r w:rsidRPr="00371DEE">
        <w:rPr>
          <w:color w:val="000000"/>
          <w:sz w:val="24"/>
          <w:szCs w:val="24"/>
        </w:rPr>
        <w:tab/>
      </w:r>
      <w:r w:rsidR="00371DEE">
        <w:rPr>
          <w:color w:val="000000"/>
          <w:sz w:val="24"/>
          <w:szCs w:val="24"/>
        </w:rPr>
        <w:t>BENJAMIN “BO” TAYLOE</w:t>
      </w:r>
    </w:p>
    <w:p w:rsidR="00FB15BE" w:rsidRDefault="00FB15BE" w:rsidP="00FB15BE">
      <w:pPr>
        <w:rPr>
          <w:color w:val="000000"/>
          <w:sz w:val="24"/>
          <w:szCs w:val="24"/>
        </w:rPr>
      </w:pP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r>
      <w:r w:rsidRPr="00371DEE">
        <w:rPr>
          <w:color w:val="000000"/>
          <w:sz w:val="24"/>
          <w:szCs w:val="24"/>
        </w:rPr>
        <w:tab/>
        <w:t>Deputy Chief</w:t>
      </w:r>
    </w:p>
    <w:p w:rsidR="00371DEE" w:rsidRDefault="00371DEE" w:rsidP="00FB15BE">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REGAN L. RUSH</w:t>
      </w:r>
    </w:p>
    <w:p w:rsidR="00371DEE" w:rsidRDefault="00371DEE" w:rsidP="00371DEE">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Special Counsel</w:t>
      </w:r>
      <w:r w:rsidR="00FB15BE" w:rsidRPr="00371DEE">
        <w:rPr>
          <w:color w:val="000000"/>
          <w:sz w:val="24"/>
          <w:szCs w:val="24"/>
        </w:rPr>
        <w:tab/>
      </w:r>
    </w:p>
    <w:p w:rsidR="00C213F8" w:rsidRDefault="002C73A7" w:rsidP="00676B93">
      <w:pPr>
        <w:rPr>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371DEE">
        <w:rPr>
          <w:sz w:val="24"/>
          <w:szCs w:val="24"/>
        </w:rPr>
        <w:tab/>
      </w:r>
      <w:r w:rsidR="00371DEE">
        <w:rPr>
          <w:sz w:val="24"/>
          <w:szCs w:val="24"/>
        </w:rPr>
        <w:tab/>
      </w:r>
      <w:r w:rsidR="00371DEE">
        <w:rPr>
          <w:sz w:val="24"/>
          <w:szCs w:val="24"/>
        </w:rPr>
        <w:tab/>
      </w:r>
      <w:r w:rsidR="00371DEE">
        <w:rPr>
          <w:sz w:val="24"/>
          <w:szCs w:val="24"/>
        </w:rPr>
        <w:tab/>
      </w:r>
      <w:r w:rsidR="00371DEE">
        <w:rPr>
          <w:sz w:val="24"/>
          <w:szCs w:val="24"/>
        </w:rPr>
        <w:tab/>
      </w:r>
    </w:p>
    <w:p w:rsidR="00C213F8" w:rsidRPr="00DE7B7B" w:rsidRDefault="00C213F8" w:rsidP="00371DEE">
      <w:pPr>
        <w:pStyle w:val="ListParagrap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00DE7B7B">
        <w:rPr>
          <w:sz w:val="24"/>
          <w:szCs w:val="24"/>
          <w:u w:val="single"/>
        </w:rPr>
        <w:t xml:space="preserve">/s/   Joshua L. Rogers    </w:t>
      </w:r>
      <w:r w:rsidR="00DE7B7B">
        <w:rPr>
          <w:sz w:val="24"/>
          <w:szCs w:val="24"/>
          <w:u w:val="single"/>
        </w:rPr>
        <w:tab/>
        <w:t xml:space="preserve">       </w:t>
      </w:r>
    </w:p>
    <w:p w:rsidR="00371DEE" w:rsidRDefault="00371DEE" w:rsidP="00C213F8">
      <w:pPr>
        <w:pStyle w:val="ListParagraph"/>
        <w:ind w:left="3600" w:firstLine="720"/>
        <w:rPr>
          <w:sz w:val="24"/>
          <w:szCs w:val="24"/>
        </w:rPr>
      </w:pPr>
      <w:r>
        <w:rPr>
          <w:sz w:val="24"/>
          <w:szCs w:val="24"/>
        </w:rPr>
        <w:t>JOSHUA L. ROGERS</w:t>
      </w:r>
    </w:p>
    <w:p w:rsidR="00F6149B" w:rsidRDefault="00F6149B" w:rsidP="00C213F8">
      <w:pPr>
        <w:pStyle w:val="ListParagraph"/>
        <w:ind w:left="3600" w:firstLine="720"/>
        <w:rPr>
          <w:sz w:val="24"/>
          <w:szCs w:val="24"/>
        </w:rPr>
      </w:pPr>
      <w:r>
        <w:rPr>
          <w:sz w:val="24"/>
          <w:szCs w:val="24"/>
        </w:rPr>
        <w:t>Miss. Bar. No. 101468</w:t>
      </w:r>
    </w:p>
    <w:p w:rsidR="00676B93" w:rsidRDefault="00676B93" w:rsidP="00C213F8">
      <w:pPr>
        <w:pStyle w:val="ListParagraph"/>
        <w:ind w:left="3600" w:firstLine="720"/>
        <w:rPr>
          <w:sz w:val="24"/>
          <w:szCs w:val="24"/>
        </w:rPr>
      </w:pPr>
      <w:r>
        <w:rPr>
          <w:sz w:val="24"/>
          <w:szCs w:val="24"/>
        </w:rPr>
        <w:t>DEENA FOX</w:t>
      </w:r>
    </w:p>
    <w:p w:rsidR="00371DEE" w:rsidRPr="00371DEE" w:rsidRDefault="00371DEE" w:rsidP="00371DEE">
      <w:pPr>
        <w:pStyle w:val="ListParagraph"/>
        <w:rPr>
          <w:sz w:val="24"/>
          <w:szCs w:val="24"/>
        </w:rPr>
      </w:pPr>
      <w:r w:rsidRPr="00371DEE">
        <w:rPr>
          <w:sz w:val="24"/>
          <w:szCs w:val="24"/>
        </w:rPr>
        <w:tab/>
      </w:r>
      <w:r w:rsidRPr="00371DEE">
        <w:rPr>
          <w:sz w:val="24"/>
          <w:szCs w:val="24"/>
        </w:rPr>
        <w:tab/>
      </w:r>
      <w:r w:rsidRPr="00371DEE">
        <w:rPr>
          <w:sz w:val="24"/>
          <w:szCs w:val="24"/>
        </w:rPr>
        <w:tab/>
      </w:r>
      <w:r w:rsidRPr="00371DEE">
        <w:rPr>
          <w:sz w:val="24"/>
          <w:szCs w:val="24"/>
        </w:rPr>
        <w:tab/>
      </w:r>
      <w:r w:rsidRPr="00371DEE">
        <w:rPr>
          <w:sz w:val="24"/>
          <w:szCs w:val="24"/>
        </w:rPr>
        <w:tab/>
        <w:t>Trial Attorney</w:t>
      </w:r>
      <w:r w:rsidR="00676B93">
        <w:rPr>
          <w:sz w:val="24"/>
          <w:szCs w:val="24"/>
        </w:rPr>
        <w:t>s</w:t>
      </w:r>
    </w:p>
    <w:p w:rsidR="00371DEE" w:rsidRPr="00371DEE" w:rsidRDefault="00371DEE" w:rsidP="00371DEE">
      <w:pPr>
        <w:pStyle w:val="ListParagraph"/>
        <w:rPr>
          <w:color w:val="000000"/>
          <w:sz w:val="24"/>
          <w:szCs w:val="24"/>
        </w:rPr>
      </w:pPr>
      <w:r w:rsidRPr="00371DEE">
        <w:rPr>
          <w:sz w:val="24"/>
          <w:szCs w:val="24"/>
        </w:rPr>
        <w:tab/>
      </w:r>
      <w:r w:rsidRPr="00371DEE">
        <w:rPr>
          <w:sz w:val="24"/>
          <w:szCs w:val="24"/>
        </w:rPr>
        <w:tab/>
      </w:r>
      <w:r w:rsidRPr="00371DEE">
        <w:rPr>
          <w:sz w:val="24"/>
          <w:szCs w:val="24"/>
        </w:rPr>
        <w:tab/>
      </w:r>
      <w:r w:rsidRPr="00371DEE">
        <w:rPr>
          <w:sz w:val="24"/>
          <w:szCs w:val="24"/>
        </w:rPr>
        <w:tab/>
      </w:r>
      <w:r w:rsidRPr="00371DEE">
        <w:rPr>
          <w:sz w:val="24"/>
          <w:szCs w:val="24"/>
        </w:rPr>
        <w:tab/>
      </w:r>
      <w:r w:rsidRPr="00371DEE">
        <w:rPr>
          <w:color w:val="000000"/>
          <w:sz w:val="24"/>
          <w:szCs w:val="24"/>
        </w:rPr>
        <w:t xml:space="preserve">Civil Rights Division </w:t>
      </w:r>
    </w:p>
    <w:p w:rsidR="00371DEE" w:rsidRPr="00371DEE" w:rsidRDefault="00371DEE" w:rsidP="00371DEE">
      <w:pPr>
        <w:ind w:left="4320"/>
        <w:rPr>
          <w:color w:val="000000"/>
          <w:sz w:val="24"/>
          <w:szCs w:val="24"/>
        </w:rPr>
      </w:pPr>
      <w:r w:rsidRPr="00371DEE">
        <w:rPr>
          <w:color w:val="000000"/>
          <w:sz w:val="24"/>
          <w:szCs w:val="24"/>
        </w:rPr>
        <w:t>Special Litigation Section</w:t>
      </w:r>
    </w:p>
    <w:p w:rsidR="00371DEE" w:rsidRPr="00371DEE" w:rsidRDefault="00371DEE" w:rsidP="00371DEE">
      <w:pPr>
        <w:rPr>
          <w:sz w:val="24"/>
          <w:szCs w:val="24"/>
        </w:rPr>
      </w:pPr>
      <w:r w:rsidRPr="00371DEE">
        <w:rPr>
          <w:sz w:val="24"/>
          <w:szCs w:val="24"/>
        </w:rPr>
        <w:tab/>
      </w:r>
      <w:r w:rsidRPr="00371DEE">
        <w:rPr>
          <w:sz w:val="24"/>
          <w:szCs w:val="24"/>
        </w:rPr>
        <w:tab/>
      </w:r>
      <w:r w:rsidRPr="00371DEE">
        <w:rPr>
          <w:sz w:val="24"/>
          <w:szCs w:val="24"/>
        </w:rPr>
        <w:tab/>
      </w:r>
      <w:r w:rsidRPr="00371DEE">
        <w:rPr>
          <w:sz w:val="24"/>
          <w:szCs w:val="24"/>
        </w:rPr>
        <w:tab/>
      </w:r>
      <w:r w:rsidRPr="00371DEE">
        <w:rPr>
          <w:sz w:val="24"/>
          <w:szCs w:val="24"/>
        </w:rPr>
        <w:tab/>
      </w:r>
      <w:r w:rsidRPr="00371DEE">
        <w:rPr>
          <w:sz w:val="24"/>
          <w:szCs w:val="24"/>
        </w:rPr>
        <w:tab/>
        <w:t>950 Pennsylvania Avenue, NW</w:t>
      </w:r>
    </w:p>
    <w:p w:rsidR="00371DEE" w:rsidRPr="00371DEE" w:rsidRDefault="00371DEE" w:rsidP="00371DEE">
      <w:pPr>
        <w:ind w:left="4320"/>
        <w:rPr>
          <w:sz w:val="24"/>
          <w:szCs w:val="24"/>
        </w:rPr>
      </w:pPr>
      <w:r w:rsidRPr="00371DEE">
        <w:rPr>
          <w:sz w:val="24"/>
          <w:szCs w:val="24"/>
        </w:rPr>
        <w:t>Washington, DC  20530</w:t>
      </w:r>
    </w:p>
    <w:p w:rsidR="00371DEE" w:rsidRPr="00371DEE" w:rsidRDefault="00371DEE" w:rsidP="00371DEE">
      <w:pPr>
        <w:pStyle w:val="ListParagraph"/>
        <w:rPr>
          <w:sz w:val="24"/>
          <w:szCs w:val="24"/>
        </w:rPr>
      </w:pPr>
      <w:r w:rsidRPr="00371DEE">
        <w:rPr>
          <w:sz w:val="24"/>
          <w:szCs w:val="24"/>
        </w:rPr>
        <w:tab/>
      </w:r>
      <w:r w:rsidRPr="00371DEE">
        <w:rPr>
          <w:sz w:val="24"/>
          <w:szCs w:val="24"/>
        </w:rPr>
        <w:tab/>
      </w:r>
      <w:r w:rsidRPr="00371DEE">
        <w:rPr>
          <w:sz w:val="24"/>
          <w:szCs w:val="24"/>
        </w:rPr>
        <w:tab/>
      </w:r>
      <w:r w:rsidRPr="00371DEE">
        <w:rPr>
          <w:sz w:val="24"/>
          <w:szCs w:val="24"/>
        </w:rPr>
        <w:tab/>
      </w:r>
      <w:r w:rsidRPr="00371DEE">
        <w:rPr>
          <w:sz w:val="24"/>
          <w:szCs w:val="24"/>
        </w:rPr>
        <w:tab/>
        <w:t xml:space="preserve">Telephone: (202) </w:t>
      </w:r>
      <w:r w:rsidR="00DE7B7B">
        <w:rPr>
          <w:sz w:val="24"/>
          <w:szCs w:val="24"/>
        </w:rPr>
        <w:t>353-1089</w:t>
      </w:r>
    </w:p>
    <w:p w:rsidR="00371DEE" w:rsidRPr="00371DEE" w:rsidRDefault="00371DEE" w:rsidP="00371DEE">
      <w:pPr>
        <w:pStyle w:val="ListParagraph"/>
        <w:rPr>
          <w:sz w:val="24"/>
          <w:szCs w:val="24"/>
        </w:rPr>
      </w:pPr>
      <w:r w:rsidRPr="00371DEE">
        <w:rPr>
          <w:sz w:val="24"/>
          <w:szCs w:val="24"/>
        </w:rPr>
        <w:tab/>
      </w:r>
      <w:r w:rsidRPr="00371DEE">
        <w:rPr>
          <w:sz w:val="24"/>
          <w:szCs w:val="24"/>
        </w:rPr>
        <w:tab/>
      </w:r>
      <w:r w:rsidRPr="00371DEE">
        <w:rPr>
          <w:sz w:val="24"/>
          <w:szCs w:val="24"/>
        </w:rPr>
        <w:tab/>
      </w:r>
      <w:r w:rsidRPr="00371DEE">
        <w:rPr>
          <w:sz w:val="24"/>
          <w:szCs w:val="24"/>
        </w:rPr>
        <w:tab/>
      </w:r>
      <w:r w:rsidRPr="00371DEE">
        <w:rPr>
          <w:sz w:val="24"/>
          <w:szCs w:val="24"/>
        </w:rPr>
        <w:tab/>
        <w:t xml:space="preserve">Facsimile:  (202) </w:t>
      </w:r>
      <w:r w:rsidR="00DE7B7B">
        <w:rPr>
          <w:sz w:val="24"/>
          <w:szCs w:val="24"/>
        </w:rPr>
        <w:t>514-4883</w:t>
      </w:r>
    </w:p>
    <w:p w:rsidR="00371DEE" w:rsidRPr="00371DEE" w:rsidRDefault="00371DEE" w:rsidP="00371DEE">
      <w:pPr>
        <w:ind w:firstLine="720"/>
        <w:rPr>
          <w:sz w:val="24"/>
          <w:szCs w:val="24"/>
        </w:rPr>
      </w:pPr>
      <w:r w:rsidRPr="00371DEE">
        <w:rPr>
          <w:sz w:val="24"/>
          <w:szCs w:val="24"/>
        </w:rPr>
        <w:tab/>
      </w:r>
      <w:r w:rsidRPr="00371DEE">
        <w:rPr>
          <w:sz w:val="24"/>
          <w:szCs w:val="24"/>
        </w:rPr>
        <w:tab/>
      </w:r>
      <w:r w:rsidRPr="00371DEE">
        <w:rPr>
          <w:sz w:val="24"/>
          <w:szCs w:val="24"/>
        </w:rPr>
        <w:tab/>
      </w:r>
      <w:r w:rsidRPr="00371DEE">
        <w:rPr>
          <w:sz w:val="24"/>
          <w:szCs w:val="24"/>
        </w:rPr>
        <w:tab/>
      </w:r>
      <w:r w:rsidRPr="00371DEE">
        <w:rPr>
          <w:sz w:val="24"/>
          <w:szCs w:val="24"/>
        </w:rPr>
        <w:tab/>
        <w:t xml:space="preserve">E-mail: </w:t>
      </w:r>
      <w:r w:rsidR="00DE7B7B">
        <w:rPr>
          <w:sz w:val="24"/>
          <w:szCs w:val="24"/>
        </w:rPr>
        <w:t>Joshua.Rogers</w:t>
      </w:r>
      <w:r w:rsidRPr="00371DEE">
        <w:rPr>
          <w:sz w:val="24"/>
          <w:szCs w:val="24"/>
        </w:rPr>
        <w:t xml:space="preserve">@usdoj.gov </w:t>
      </w:r>
    </w:p>
    <w:p w:rsidR="00371DEE" w:rsidRPr="00371DEE" w:rsidRDefault="00371DEE" w:rsidP="00371DEE">
      <w:pPr>
        <w:spacing w:line="480" w:lineRule="auto"/>
        <w:rPr>
          <w:sz w:val="24"/>
          <w:szCs w:val="24"/>
        </w:rPr>
      </w:pPr>
      <w:r w:rsidRPr="00371DEE">
        <w:rPr>
          <w:sz w:val="24"/>
          <w:szCs w:val="24"/>
        </w:rPr>
        <w:tab/>
      </w:r>
      <w:r w:rsidRPr="00371DEE">
        <w:rPr>
          <w:sz w:val="24"/>
          <w:szCs w:val="24"/>
        </w:rPr>
        <w:tab/>
      </w:r>
      <w:r w:rsidRPr="00371DEE">
        <w:rPr>
          <w:sz w:val="24"/>
          <w:szCs w:val="24"/>
        </w:rPr>
        <w:tab/>
      </w:r>
      <w:r w:rsidRPr="00371DEE">
        <w:rPr>
          <w:sz w:val="24"/>
          <w:szCs w:val="24"/>
        </w:rPr>
        <w:tab/>
      </w:r>
      <w:r w:rsidRPr="00371DEE">
        <w:rPr>
          <w:sz w:val="24"/>
          <w:szCs w:val="24"/>
        </w:rPr>
        <w:tab/>
      </w:r>
      <w:r w:rsidRPr="00371DEE">
        <w:rPr>
          <w:sz w:val="24"/>
          <w:szCs w:val="24"/>
        </w:rPr>
        <w:tab/>
        <w:t xml:space="preserve">Attorneys for the United States of America </w:t>
      </w:r>
    </w:p>
    <w:p w:rsidR="00371DEE" w:rsidRPr="00371DEE" w:rsidRDefault="00371DEE" w:rsidP="00C213F8">
      <w:pPr>
        <w:ind w:left="3600" w:firstLine="720"/>
        <w:rPr>
          <w:sz w:val="24"/>
          <w:szCs w:val="24"/>
        </w:rPr>
      </w:pPr>
      <w:r w:rsidRPr="00371DEE">
        <w:rPr>
          <w:sz w:val="24"/>
          <w:szCs w:val="24"/>
        </w:rPr>
        <w:t>DATED:</w:t>
      </w:r>
      <w:r w:rsidRPr="00371DEE">
        <w:rPr>
          <w:sz w:val="24"/>
          <w:szCs w:val="24"/>
        </w:rPr>
        <w:tab/>
      </w:r>
      <w:r w:rsidR="00DE7B7B">
        <w:rPr>
          <w:sz w:val="24"/>
          <w:szCs w:val="24"/>
        </w:rPr>
        <w:t>June 12</w:t>
      </w:r>
      <w:r w:rsidRPr="00371DEE">
        <w:rPr>
          <w:sz w:val="24"/>
          <w:szCs w:val="24"/>
        </w:rPr>
        <w:t>, 2014</w:t>
      </w:r>
    </w:p>
    <w:p w:rsidR="002A64D0" w:rsidRDefault="00C213F8" w:rsidP="0037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ab/>
      </w:r>
      <w:r>
        <w:rPr>
          <w:sz w:val="24"/>
          <w:szCs w:val="24"/>
        </w:rPr>
        <w:tab/>
      </w:r>
      <w:r>
        <w:rPr>
          <w:sz w:val="24"/>
          <w:szCs w:val="24"/>
        </w:rPr>
        <w:tab/>
      </w:r>
      <w:r w:rsidR="00371DEE" w:rsidRPr="00371DEE">
        <w:rPr>
          <w:sz w:val="24"/>
          <w:szCs w:val="24"/>
        </w:rPr>
        <w:tab/>
      </w:r>
      <w:r w:rsidR="00371DEE">
        <w:rPr>
          <w:sz w:val="24"/>
          <w:szCs w:val="24"/>
          <w:u w:val="single"/>
        </w:rPr>
        <w:br w:type="column"/>
      </w:r>
      <w:r w:rsidR="002A64D0">
        <w:rPr>
          <w:sz w:val="24"/>
          <w:szCs w:val="24"/>
          <w:u w:val="single"/>
        </w:rPr>
        <w:lastRenderedPageBreak/>
        <w:t>CERTIFICATE OF SERVICE</w:t>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 hereby certify that on </w:t>
      </w:r>
      <w:r w:rsidR="00DE7B7B">
        <w:rPr>
          <w:sz w:val="24"/>
          <w:szCs w:val="24"/>
        </w:rPr>
        <w:t>June 12, 2014</w:t>
      </w:r>
      <w:r>
        <w:rPr>
          <w:sz w:val="24"/>
          <w:szCs w:val="24"/>
        </w:rPr>
        <w:t>, a copy of foregoing was filed electronically.  Notice of this filing will be sent by e-mail to all parties by operation of the Court’s electronic filing system.  Parties may access this filing through the Court’s CM/ECF System.</w:t>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whit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27A01" w:rsidRPr="002D723E">
        <w:rPr>
          <w:sz w:val="24"/>
          <w:szCs w:val="24"/>
          <w:u w:val="single"/>
        </w:rPr>
        <w:t xml:space="preserve">/s/ </w:t>
      </w:r>
      <w:r w:rsidR="00827A01">
        <w:rPr>
          <w:sz w:val="24"/>
          <w:szCs w:val="24"/>
          <w:u w:val="single"/>
        </w:rPr>
        <w:t>Joshua L. Rogers</w:t>
      </w:r>
      <w:r w:rsidR="00827A01" w:rsidRPr="002D723E">
        <w:rPr>
          <w:sz w:val="24"/>
          <w:szCs w:val="24"/>
          <w:u w:val="single"/>
        </w:rPr>
        <w:t xml:space="preserve">            </w:t>
      </w:r>
      <w:r w:rsidR="00827A01">
        <w:rPr>
          <w:sz w:val="24"/>
          <w:szCs w:val="24"/>
        </w:rPr>
        <w:tab/>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white"/>
        </w:rPr>
      </w:pP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sidR="00D20065">
        <w:rPr>
          <w:sz w:val="24"/>
          <w:szCs w:val="24"/>
          <w:highlight w:val="white"/>
        </w:rPr>
        <w:t>JOSHUA L. ROGERS</w:t>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white"/>
        </w:rPr>
      </w:pP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Trial Attorney</w:t>
      </w:r>
      <w:r>
        <w:rPr>
          <w:sz w:val="24"/>
          <w:szCs w:val="24"/>
          <w:highlight w:val="white"/>
        </w:rPr>
        <w:tab/>
      </w:r>
      <w:r>
        <w:rPr>
          <w:sz w:val="24"/>
          <w:szCs w:val="24"/>
          <w:highlight w:val="white"/>
        </w:rPr>
        <w:tab/>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white"/>
        </w:rPr>
      </w:pP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sidR="00D20065">
        <w:rPr>
          <w:sz w:val="24"/>
          <w:szCs w:val="24"/>
          <w:highlight w:val="white"/>
        </w:rPr>
        <w:t>Special Litigation</w:t>
      </w:r>
      <w:r>
        <w:rPr>
          <w:sz w:val="24"/>
          <w:szCs w:val="24"/>
          <w:highlight w:val="white"/>
        </w:rPr>
        <w:t xml:space="preserve"> Section</w:t>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highlight w:val="white"/>
        </w:rPr>
      </w:pPr>
      <w:r>
        <w:rPr>
          <w:sz w:val="24"/>
          <w:szCs w:val="24"/>
          <w:highlight w:val="white"/>
        </w:rPr>
        <w:t>Civil Rights Division</w:t>
      </w:r>
      <w:r>
        <w:rPr>
          <w:sz w:val="24"/>
          <w:szCs w:val="24"/>
          <w:highlight w:val="white"/>
        </w:rPr>
        <w:tab/>
        <w:t xml:space="preserve">          </w:t>
      </w:r>
      <w:r>
        <w:rPr>
          <w:sz w:val="24"/>
          <w:szCs w:val="24"/>
          <w:highlight w:val="white"/>
        </w:rPr>
        <w:tab/>
      </w:r>
      <w:r>
        <w:rPr>
          <w:sz w:val="24"/>
          <w:szCs w:val="24"/>
          <w:highlight w:val="white"/>
        </w:rPr>
        <w:tab/>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highlight w:val="white"/>
        </w:rPr>
      </w:pPr>
      <w:r>
        <w:rPr>
          <w:sz w:val="24"/>
          <w:szCs w:val="24"/>
          <w:highlight w:val="white"/>
        </w:rPr>
        <w:t>U.S. Department of Justice</w:t>
      </w:r>
    </w:p>
    <w:p w:rsidR="00D20065"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highlight w:val="white"/>
        </w:rPr>
      </w:pPr>
      <w:r>
        <w:rPr>
          <w:sz w:val="24"/>
          <w:szCs w:val="24"/>
          <w:highlight w:val="white"/>
        </w:rPr>
        <w:t xml:space="preserve">950 Pennsylvania Avenue, N.W. </w:t>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highlight w:val="white"/>
        </w:rPr>
      </w:pPr>
      <w:r>
        <w:rPr>
          <w:sz w:val="24"/>
          <w:szCs w:val="24"/>
          <w:highlight w:val="white"/>
        </w:rPr>
        <w:t>Washington, D.C. 20530</w:t>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highlight w:val="white"/>
        </w:rPr>
      </w:pPr>
      <w:r>
        <w:rPr>
          <w:sz w:val="24"/>
          <w:szCs w:val="24"/>
          <w:highlight w:val="white"/>
        </w:rPr>
        <w:t xml:space="preserve">Telephone:  (202) </w:t>
      </w:r>
      <w:r w:rsidR="00D20065">
        <w:rPr>
          <w:sz w:val="24"/>
          <w:szCs w:val="24"/>
        </w:rPr>
        <w:t>353</w:t>
      </w:r>
      <w:r w:rsidR="006717FC">
        <w:rPr>
          <w:sz w:val="24"/>
          <w:szCs w:val="24"/>
        </w:rPr>
        <w:t>-</w:t>
      </w:r>
      <w:r w:rsidR="00D20065">
        <w:rPr>
          <w:sz w:val="24"/>
          <w:szCs w:val="24"/>
        </w:rPr>
        <w:t>1089</w:t>
      </w:r>
    </w:p>
    <w:p w:rsidR="002A64D0" w:rsidRPr="00DE7B7B" w:rsidRDefault="00DB55B1"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rPr>
      </w:pPr>
      <w:r w:rsidRPr="00DE7B7B">
        <w:rPr>
          <w:sz w:val="24"/>
          <w:szCs w:val="24"/>
        </w:rPr>
        <w:t>Facsimile</w:t>
      </w:r>
      <w:r w:rsidR="002A64D0" w:rsidRPr="00DE7B7B">
        <w:rPr>
          <w:sz w:val="24"/>
          <w:szCs w:val="24"/>
        </w:rPr>
        <w:t xml:space="preserve">:  </w:t>
      </w:r>
      <w:r w:rsidR="00DE7B7B" w:rsidRPr="00371DEE">
        <w:rPr>
          <w:sz w:val="24"/>
          <w:szCs w:val="24"/>
        </w:rPr>
        <w:t xml:space="preserve">(202) </w:t>
      </w:r>
      <w:r w:rsidR="00DE7B7B">
        <w:rPr>
          <w:sz w:val="24"/>
          <w:szCs w:val="24"/>
        </w:rPr>
        <w:t>514-4883</w:t>
      </w:r>
    </w:p>
    <w:p w:rsidR="002A64D0" w:rsidRDefault="00D20065"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4"/>
          <w:szCs w:val="24"/>
        </w:rPr>
      </w:pPr>
      <w:r>
        <w:rPr>
          <w:sz w:val="24"/>
          <w:szCs w:val="24"/>
          <w:highlight w:val="white"/>
        </w:rPr>
        <w:t>Joshua.Rogers</w:t>
      </w:r>
      <w:r w:rsidR="002A64D0">
        <w:rPr>
          <w:sz w:val="24"/>
          <w:szCs w:val="24"/>
          <w:highlight w:val="white"/>
        </w:rPr>
        <w:t>@</w:t>
      </w:r>
      <w:r w:rsidR="002A64D0">
        <w:rPr>
          <w:sz w:val="24"/>
          <w:szCs w:val="24"/>
        </w:rPr>
        <w:t>usdoj.gov</w:t>
      </w:r>
      <w:r w:rsidR="002A64D0">
        <w:rPr>
          <w:sz w:val="24"/>
          <w:szCs w:val="24"/>
        </w:rPr>
        <w:tab/>
      </w:r>
      <w:r w:rsidR="002A64D0">
        <w:rPr>
          <w:sz w:val="24"/>
          <w:szCs w:val="24"/>
        </w:rPr>
        <w:tab/>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Counsel for United States</w:t>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A64D0" w:rsidRDefault="002A64D0" w:rsidP="007B5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805FC" w:rsidRDefault="002A64D0" w:rsidP="007B5614">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5805FC" w:rsidSect="002B6310">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45" w:rsidRDefault="00AB5145" w:rsidP="002A64D0">
      <w:r>
        <w:separator/>
      </w:r>
    </w:p>
  </w:endnote>
  <w:endnote w:type="continuationSeparator" w:id="0">
    <w:p w:rsidR="00AB5145" w:rsidRDefault="00AB5145" w:rsidP="002A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87" w:rsidRDefault="001E2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45" w:rsidRDefault="001E2B87">
    <w:pPr>
      <w:pStyle w:val="Footer"/>
      <w:jc w:val="center"/>
    </w:pPr>
    <w:r>
      <w:fldChar w:fldCharType="begin"/>
    </w:r>
    <w:r>
      <w:instrText xml:space="preserve"> PAGE   \* MERGEFORMAT </w:instrText>
    </w:r>
    <w:r>
      <w:fldChar w:fldCharType="separate"/>
    </w:r>
    <w:r>
      <w:rPr>
        <w:noProof/>
      </w:rPr>
      <w:t>17</w:t>
    </w:r>
    <w:r>
      <w:rPr>
        <w:noProof/>
      </w:rPr>
      <w:fldChar w:fldCharType="end"/>
    </w:r>
  </w:p>
  <w:p w:rsidR="00AB5145" w:rsidRDefault="00AB51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87" w:rsidRDefault="001E2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45" w:rsidRDefault="00AB5145" w:rsidP="002A64D0">
      <w:r>
        <w:separator/>
      </w:r>
    </w:p>
  </w:footnote>
  <w:footnote w:type="continuationSeparator" w:id="0">
    <w:p w:rsidR="00AB5145" w:rsidRDefault="00AB5145" w:rsidP="002A64D0">
      <w:r>
        <w:continuationSeparator/>
      </w:r>
    </w:p>
  </w:footnote>
  <w:footnote w:id="1">
    <w:p w:rsidR="00AB5145" w:rsidRDefault="00AB5145" w:rsidP="00A17A78">
      <w:pPr>
        <w:pStyle w:val="FootnoteText"/>
        <w:ind w:firstLine="720"/>
        <w:rPr>
          <w:sz w:val="24"/>
          <w:szCs w:val="24"/>
        </w:rPr>
      </w:pPr>
      <w:r w:rsidRPr="00A17A78">
        <w:rPr>
          <w:rStyle w:val="FootnoteReference"/>
          <w:sz w:val="24"/>
          <w:szCs w:val="24"/>
        </w:rPr>
        <w:footnoteRef/>
      </w:r>
      <w:r w:rsidRPr="00A17A78">
        <w:rPr>
          <w:sz w:val="24"/>
          <w:szCs w:val="24"/>
        </w:rPr>
        <w:t xml:space="preserve"> </w:t>
      </w:r>
      <w:r>
        <w:rPr>
          <w:sz w:val="24"/>
          <w:szCs w:val="24"/>
        </w:rPr>
        <w:t>Throughout this Statement of Interest, the references to page numbers in the record refer to the ECF page numbers.</w:t>
      </w:r>
    </w:p>
    <w:p w:rsidR="00AB5145" w:rsidRPr="00A17A78" w:rsidRDefault="00AB5145" w:rsidP="00A17A78">
      <w:pPr>
        <w:pStyle w:val="FootnoteText"/>
        <w:ind w:firstLine="720"/>
        <w:rPr>
          <w:sz w:val="24"/>
          <w:szCs w:val="24"/>
        </w:rPr>
      </w:pPr>
    </w:p>
  </w:footnote>
  <w:footnote w:id="2">
    <w:p w:rsidR="00AB5145" w:rsidRPr="0039382A" w:rsidRDefault="00AB5145" w:rsidP="00F420D1">
      <w:pPr>
        <w:pStyle w:val="FootnoteText"/>
        <w:ind w:firstLine="720"/>
        <w:rPr>
          <w:sz w:val="24"/>
          <w:szCs w:val="24"/>
        </w:rPr>
      </w:pPr>
      <w:r w:rsidRPr="005A2E4C">
        <w:rPr>
          <w:rStyle w:val="FootnoteReference"/>
          <w:sz w:val="24"/>
          <w:szCs w:val="24"/>
        </w:rPr>
        <w:footnoteRef/>
      </w:r>
      <w:r w:rsidRPr="005A2E4C">
        <w:rPr>
          <w:sz w:val="24"/>
          <w:szCs w:val="24"/>
        </w:rPr>
        <w:t xml:space="preserve"> </w:t>
      </w:r>
      <w:r>
        <w:rPr>
          <w:sz w:val="24"/>
          <w:szCs w:val="24"/>
        </w:rPr>
        <w:t xml:space="preserve">Pennsylvania created the Act 150 program under the Attendant Care Services Act in 1987.  </w:t>
      </w:r>
      <w:r>
        <w:rPr>
          <w:i/>
          <w:sz w:val="24"/>
          <w:szCs w:val="24"/>
        </w:rPr>
        <w:t>See</w:t>
      </w:r>
      <w:r>
        <w:rPr>
          <w:sz w:val="24"/>
          <w:szCs w:val="24"/>
        </w:rPr>
        <w:t xml:space="preserve"> 62 Pa. Stat. Ann. §§ 3051-3058.  </w:t>
      </w:r>
    </w:p>
    <w:p w:rsidR="00AB5145" w:rsidRPr="005A2E4C" w:rsidRDefault="00AB5145" w:rsidP="00F420D1">
      <w:pPr>
        <w:pStyle w:val="FootnoteText"/>
        <w:ind w:firstLine="720"/>
        <w:rPr>
          <w:sz w:val="24"/>
          <w:szCs w:val="24"/>
        </w:rPr>
      </w:pPr>
    </w:p>
  </w:footnote>
  <w:footnote w:id="3">
    <w:p w:rsidR="00AB5145" w:rsidRDefault="00AB5145" w:rsidP="00F420D1">
      <w:pPr>
        <w:pStyle w:val="FootnoteText"/>
        <w:ind w:firstLine="720"/>
        <w:rPr>
          <w:sz w:val="24"/>
          <w:szCs w:val="24"/>
        </w:rPr>
      </w:pPr>
      <w:r w:rsidRPr="00C715F5">
        <w:rPr>
          <w:rStyle w:val="FootnoteReference"/>
          <w:sz w:val="24"/>
          <w:szCs w:val="24"/>
        </w:rPr>
        <w:footnoteRef/>
      </w:r>
      <w:r w:rsidRPr="00C715F5">
        <w:rPr>
          <w:sz w:val="24"/>
          <w:szCs w:val="24"/>
        </w:rPr>
        <w:t xml:space="preserve"> The state portion of the nursing facility cost changes yearly based upon the federal share, referred to as Federal Medical Assistance Payment (FMAP).  The Commonwealth’s current FMAP is 53.52%</w:t>
      </w:r>
      <w:r>
        <w:rPr>
          <w:sz w:val="24"/>
          <w:szCs w:val="24"/>
        </w:rPr>
        <w:t>,</w:t>
      </w:r>
      <w:r w:rsidRPr="00C715F5">
        <w:rPr>
          <w:sz w:val="24"/>
          <w:szCs w:val="24"/>
        </w:rPr>
        <w:t xml:space="preserve"> which drops </w:t>
      </w:r>
      <w:r>
        <w:rPr>
          <w:sz w:val="24"/>
          <w:szCs w:val="24"/>
        </w:rPr>
        <w:t xml:space="preserve">to 51.82% on October 1, 2014.  </w:t>
      </w:r>
      <w:r>
        <w:rPr>
          <w:i/>
          <w:sz w:val="24"/>
          <w:szCs w:val="24"/>
        </w:rPr>
        <w:t>See</w:t>
      </w:r>
      <w:r>
        <w:rPr>
          <w:sz w:val="24"/>
          <w:szCs w:val="24"/>
        </w:rPr>
        <w:t xml:space="preserve"> Federal Financial Participation In State Assistance Expenditures; Federal </w:t>
      </w:r>
      <w:r w:rsidRPr="00E14DC3">
        <w:rPr>
          <w:sz w:val="24"/>
          <w:szCs w:val="24"/>
        </w:rPr>
        <w:t>Matching Shares for Medicaid, the</w:t>
      </w:r>
      <w:r>
        <w:rPr>
          <w:sz w:val="24"/>
          <w:szCs w:val="24"/>
        </w:rPr>
        <w:t xml:space="preserve"> </w:t>
      </w:r>
      <w:r w:rsidRPr="00E14DC3">
        <w:rPr>
          <w:sz w:val="24"/>
          <w:szCs w:val="24"/>
        </w:rPr>
        <w:t>Children’s Health Insurance Program,</w:t>
      </w:r>
      <w:r>
        <w:rPr>
          <w:sz w:val="24"/>
          <w:szCs w:val="24"/>
        </w:rPr>
        <w:t xml:space="preserve"> </w:t>
      </w:r>
      <w:r w:rsidRPr="00E14DC3">
        <w:rPr>
          <w:sz w:val="24"/>
          <w:szCs w:val="24"/>
        </w:rPr>
        <w:t>and Aid to Needy Aged, Blind, or</w:t>
      </w:r>
      <w:r>
        <w:rPr>
          <w:sz w:val="24"/>
          <w:szCs w:val="24"/>
        </w:rPr>
        <w:t xml:space="preserve"> </w:t>
      </w:r>
      <w:r w:rsidRPr="00E14DC3">
        <w:rPr>
          <w:sz w:val="24"/>
          <w:szCs w:val="24"/>
        </w:rPr>
        <w:t>Disab</w:t>
      </w:r>
      <w:r>
        <w:rPr>
          <w:sz w:val="24"/>
          <w:szCs w:val="24"/>
        </w:rPr>
        <w:t>led Persons for October 1, 2013 Through September 30, 2014</w:t>
      </w:r>
      <w:r w:rsidRPr="00C715F5">
        <w:rPr>
          <w:sz w:val="24"/>
          <w:szCs w:val="24"/>
        </w:rPr>
        <w:t>,</w:t>
      </w:r>
      <w:r>
        <w:rPr>
          <w:sz w:val="24"/>
          <w:szCs w:val="24"/>
        </w:rPr>
        <w:t xml:space="preserve"> 70 Fed. Reg. 231, 71422 (Nov. 30, 2012)</w:t>
      </w:r>
      <w:r w:rsidRPr="00C715F5">
        <w:rPr>
          <w:sz w:val="24"/>
          <w:szCs w:val="24"/>
        </w:rPr>
        <w:t xml:space="preserve">; </w:t>
      </w:r>
      <w:r>
        <w:rPr>
          <w:sz w:val="24"/>
          <w:szCs w:val="24"/>
        </w:rPr>
        <w:t xml:space="preserve">Federal Financial Participation In State Assistance Expenditures; Federal </w:t>
      </w:r>
      <w:r w:rsidRPr="00E14DC3">
        <w:rPr>
          <w:sz w:val="24"/>
          <w:szCs w:val="24"/>
        </w:rPr>
        <w:t>Matching Shares for Medicaid, the</w:t>
      </w:r>
      <w:r>
        <w:rPr>
          <w:sz w:val="24"/>
          <w:szCs w:val="24"/>
        </w:rPr>
        <w:t xml:space="preserve"> </w:t>
      </w:r>
      <w:r w:rsidRPr="00E14DC3">
        <w:rPr>
          <w:sz w:val="24"/>
          <w:szCs w:val="24"/>
        </w:rPr>
        <w:t>Children’s Health Insurance Program,</w:t>
      </w:r>
      <w:r>
        <w:rPr>
          <w:sz w:val="24"/>
          <w:szCs w:val="24"/>
        </w:rPr>
        <w:t xml:space="preserve"> </w:t>
      </w:r>
      <w:r w:rsidRPr="00E14DC3">
        <w:rPr>
          <w:sz w:val="24"/>
          <w:szCs w:val="24"/>
        </w:rPr>
        <w:t>and Aid to Needy Aged, Blind, or</w:t>
      </w:r>
      <w:r>
        <w:rPr>
          <w:sz w:val="24"/>
          <w:szCs w:val="24"/>
        </w:rPr>
        <w:t xml:space="preserve"> </w:t>
      </w:r>
      <w:r w:rsidRPr="00E14DC3">
        <w:rPr>
          <w:sz w:val="24"/>
          <w:szCs w:val="24"/>
        </w:rPr>
        <w:t>Disab</w:t>
      </w:r>
      <w:r>
        <w:rPr>
          <w:sz w:val="24"/>
          <w:szCs w:val="24"/>
        </w:rPr>
        <w:t>led Persons for October 1, 2014 Through September 30, 2015, 79 Fed. Reg. 13, 3387 (Jan. 21, 2014)</w:t>
      </w:r>
      <w:r w:rsidRPr="00C715F5">
        <w:rPr>
          <w:sz w:val="24"/>
          <w:szCs w:val="24"/>
        </w:rPr>
        <w:t xml:space="preserve">.  </w:t>
      </w:r>
    </w:p>
    <w:p w:rsidR="00AB5145" w:rsidRDefault="00AB5145" w:rsidP="00F420D1">
      <w:pPr>
        <w:pStyle w:val="FootnoteText"/>
        <w:ind w:firstLine="720"/>
        <w:rPr>
          <w:sz w:val="24"/>
          <w:szCs w:val="24"/>
        </w:rPr>
      </w:pPr>
      <w:r>
        <w:rPr>
          <w:sz w:val="24"/>
          <w:szCs w:val="24"/>
        </w:rPr>
        <w:t xml:space="preserve">DPW </w:t>
      </w:r>
      <w:r w:rsidRPr="00C715F5">
        <w:rPr>
          <w:sz w:val="24"/>
          <w:szCs w:val="24"/>
        </w:rPr>
        <w:t>approximate</w:t>
      </w:r>
      <w:r>
        <w:rPr>
          <w:sz w:val="24"/>
          <w:szCs w:val="24"/>
        </w:rPr>
        <w:t>s</w:t>
      </w:r>
      <w:r w:rsidRPr="00C715F5">
        <w:rPr>
          <w:sz w:val="24"/>
          <w:szCs w:val="24"/>
        </w:rPr>
        <w:t xml:space="preserve"> the FMAP at 52%, presumably because the FMAP changes during the Commonwealth’s fiscal year.  </w:t>
      </w:r>
      <w:proofErr w:type="gramStart"/>
      <w:r>
        <w:rPr>
          <w:sz w:val="24"/>
          <w:szCs w:val="24"/>
        </w:rPr>
        <w:t>(</w:t>
      </w:r>
      <w:r>
        <w:rPr>
          <w:i/>
          <w:sz w:val="24"/>
          <w:szCs w:val="24"/>
        </w:rPr>
        <w:t>See</w:t>
      </w:r>
      <w:r>
        <w:rPr>
          <w:sz w:val="24"/>
          <w:szCs w:val="24"/>
        </w:rPr>
        <w:t xml:space="preserve"> </w:t>
      </w:r>
      <w:proofErr w:type="spellStart"/>
      <w:r>
        <w:rPr>
          <w:sz w:val="24"/>
          <w:szCs w:val="24"/>
        </w:rPr>
        <w:t>Defs</w:t>
      </w:r>
      <w:proofErr w:type="spellEnd"/>
      <w:r>
        <w:rPr>
          <w:sz w:val="24"/>
          <w:szCs w:val="24"/>
        </w:rPr>
        <w:t>.’</w:t>
      </w:r>
      <w:proofErr w:type="gramEnd"/>
      <w:r>
        <w:rPr>
          <w:sz w:val="24"/>
          <w:szCs w:val="24"/>
        </w:rPr>
        <w:t xml:space="preserve"> </w:t>
      </w:r>
      <w:proofErr w:type="spellStart"/>
      <w:proofErr w:type="gramStart"/>
      <w:r>
        <w:rPr>
          <w:sz w:val="24"/>
          <w:szCs w:val="24"/>
        </w:rPr>
        <w:t>Mem</w:t>
      </w:r>
      <w:proofErr w:type="spellEnd"/>
      <w:r>
        <w:rPr>
          <w:sz w:val="24"/>
          <w:szCs w:val="24"/>
        </w:rPr>
        <w:t>.</w:t>
      </w:r>
      <w:proofErr w:type="gramEnd"/>
      <w:r>
        <w:rPr>
          <w:sz w:val="24"/>
          <w:szCs w:val="24"/>
        </w:rPr>
        <w:t xml:space="preserve"> </w:t>
      </w:r>
      <w:proofErr w:type="gramStart"/>
      <w:r>
        <w:rPr>
          <w:sz w:val="24"/>
          <w:szCs w:val="24"/>
        </w:rPr>
        <w:t>Law at 5, ECF No. 51-1.)</w:t>
      </w:r>
      <w:proofErr w:type="gramEnd"/>
      <w:r w:rsidRPr="00C715F5">
        <w:rPr>
          <w:sz w:val="24"/>
          <w:szCs w:val="24"/>
        </w:rPr>
        <w:t xml:space="preserve">   Using the </w:t>
      </w:r>
      <w:r>
        <w:rPr>
          <w:sz w:val="24"/>
          <w:szCs w:val="24"/>
        </w:rPr>
        <w:t>Commonwealth’s</w:t>
      </w:r>
      <w:r w:rsidRPr="00C715F5">
        <w:rPr>
          <w:sz w:val="24"/>
          <w:szCs w:val="24"/>
        </w:rPr>
        <w:t xml:space="preserve"> FMAP rate of 52% and the Governor’s budgetary projection for the total yearly nursing facility cost of $58,080, the </w:t>
      </w:r>
      <w:r>
        <w:rPr>
          <w:sz w:val="24"/>
          <w:szCs w:val="24"/>
        </w:rPr>
        <w:t xml:space="preserve">state </w:t>
      </w:r>
      <w:r w:rsidRPr="00C715F5">
        <w:rPr>
          <w:sz w:val="24"/>
          <w:szCs w:val="24"/>
        </w:rPr>
        <w:t xml:space="preserve">cost to serve each person in a nursing facility under Medicaid is $27,878 per year.  </w:t>
      </w:r>
    </w:p>
    <w:p w:rsidR="00AB5145" w:rsidRPr="00C715F5" w:rsidRDefault="00AB5145" w:rsidP="00F420D1">
      <w:pPr>
        <w:pStyle w:val="FootnoteText"/>
        <w:ind w:firstLine="720"/>
        <w:rPr>
          <w:sz w:val="24"/>
          <w:szCs w:val="24"/>
        </w:rPr>
      </w:pPr>
    </w:p>
  </w:footnote>
  <w:footnote w:id="4">
    <w:p w:rsidR="00AB5145" w:rsidRDefault="00AB5145" w:rsidP="00C11FA6">
      <w:pPr>
        <w:pStyle w:val="FootnoteText"/>
        <w:ind w:firstLine="720"/>
      </w:pPr>
      <w:r>
        <w:rPr>
          <w:rStyle w:val="FootnoteReference"/>
        </w:rPr>
        <w:footnoteRef/>
      </w:r>
      <w:r>
        <w:rPr>
          <w:i/>
          <w:iCs/>
          <w:color w:val="000000"/>
          <w:sz w:val="24"/>
          <w:szCs w:val="24"/>
        </w:rPr>
        <w:t xml:space="preserve"> See also</w:t>
      </w:r>
      <w:r>
        <w:rPr>
          <w:color w:val="000000"/>
          <w:sz w:val="24"/>
          <w:szCs w:val="24"/>
        </w:rPr>
        <w:t xml:space="preserve"> </w:t>
      </w:r>
      <w:r>
        <w:rPr>
          <w:i/>
          <w:iCs/>
          <w:color w:val="000000"/>
          <w:sz w:val="24"/>
          <w:szCs w:val="24"/>
        </w:rPr>
        <w:t>Fisher</w:t>
      </w:r>
      <w:r>
        <w:rPr>
          <w:color w:val="000000"/>
          <w:sz w:val="24"/>
          <w:szCs w:val="24"/>
        </w:rPr>
        <w:t xml:space="preserve">, </w:t>
      </w:r>
      <w:r>
        <w:rPr>
          <w:sz w:val="24"/>
          <w:szCs w:val="24"/>
        </w:rPr>
        <w:t>335 F.3d at 1185 (finding the fact that many of the plaintiffs would remain in their homes “until their health ha[d] deteriorated” and would “</w:t>
      </w:r>
      <w:r w:rsidRPr="00734414">
        <w:rPr>
          <w:iCs/>
          <w:sz w:val="24"/>
          <w:szCs w:val="24"/>
        </w:rPr>
        <w:t>eventually</w:t>
      </w:r>
      <w:r>
        <w:rPr>
          <w:sz w:val="24"/>
          <w:szCs w:val="24"/>
        </w:rPr>
        <w:t xml:space="preserve"> end up in a nursing home” was sufficient to show the plaintiffs were at risk of institutionalization); </w:t>
      </w:r>
      <w:r>
        <w:rPr>
          <w:i/>
          <w:iCs/>
          <w:sz w:val="24"/>
          <w:szCs w:val="24"/>
        </w:rPr>
        <w:t>V.L</w:t>
      </w:r>
      <w:r>
        <w:rPr>
          <w:sz w:val="24"/>
          <w:szCs w:val="24"/>
        </w:rPr>
        <w:t>.</w:t>
      </w:r>
      <w:r w:rsidRPr="00A41D20">
        <w:rPr>
          <w:i/>
          <w:sz w:val="24"/>
          <w:szCs w:val="24"/>
        </w:rPr>
        <w:t xml:space="preserve"> v</w:t>
      </w:r>
      <w:r>
        <w:rPr>
          <w:sz w:val="24"/>
          <w:szCs w:val="24"/>
        </w:rPr>
        <w:t xml:space="preserve">. </w:t>
      </w:r>
      <w:r>
        <w:rPr>
          <w:i/>
          <w:iCs/>
          <w:sz w:val="24"/>
          <w:szCs w:val="24"/>
        </w:rPr>
        <w:t>Wagner</w:t>
      </w:r>
      <w:r>
        <w:rPr>
          <w:sz w:val="24"/>
          <w:szCs w:val="24"/>
        </w:rPr>
        <w:t xml:space="preserve">, 669 F. Supp. 2d 1106, 1120 (N.D. Cal. 2009) (concluding that plaintiffs may establish a violation of the integration mandate by showing that the denial of services could lead to an eventual “decline in health” that puts them at “risk [of] being placed in a nursing home”); </w:t>
      </w:r>
      <w:r>
        <w:rPr>
          <w:i/>
          <w:iCs/>
          <w:sz w:val="24"/>
          <w:szCs w:val="24"/>
        </w:rPr>
        <w:t>Crabtree</w:t>
      </w:r>
      <w:r>
        <w:rPr>
          <w:sz w:val="24"/>
          <w:szCs w:val="24"/>
        </w:rPr>
        <w:t xml:space="preserve"> </w:t>
      </w:r>
      <w:r w:rsidRPr="00A41D20">
        <w:rPr>
          <w:i/>
          <w:sz w:val="24"/>
          <w:szCs w:val="24"/>
        </w:rPr>
        <w:t>v.</w:t>
      </w:r>
      <w:r>
        <w:rPr>
          <w:sz w:val="24"/>
          <w:szCs w:val="24"/>
        </w:rPr>
        <w:t xml:space="preserve"> </w:t>
      </w:r>
      <w:r>
        <w:rPr>
          <w:i/>
          <w:iCs/>
          <w:sz w:val="24"/>
          <w:szCs w:val="24"/>
        </w:rPr>
        <w:t>Goetz</w:t>
      </w:r>
      <w:r>
        <w:rPr>
          <w:sz w:val="24"/>
          <w:szCs w:val="24"/>
        </w:rPr>
        <w:t xml:space="preserve">, No. 3:08-0939, 2008 WL 5330506, *3-*12 (M.D. Tenn. Dec. 19, 2008) (unpublished) (granting a preliminary injunction to reinstate plaintiffs’ home health services based on evidence of the plaintiffs’ deteriorating health and likely placement in nursing facilities); </w:t>
      </w:r>
      <w:proofErr w:type="spellStart"/>
      <w:r>
        <w:rPr>
          <w:i/>
          <w:iCs/>
          <w:sz w:val="24"/>
          <w:szCs w:val="24"/>
        </w:rPr>
        <w:t>Hiltibran</w:t>
      </w:r>
      <w:proofErr w:type="spellEnd"/>
      <w:r>
        <w:rPr>
          <w:sz w:val="24"/>
          <w:szCs w:val="24"/>
        </w:rPr>
        <w:t xml:space="preserve"> </w:t>
      </w:r>
      <w:r w:rsidRPr="00A41D20">
        <w:rPr>
          <w:i/>
          <w:sz w:val="24"/>
          <w:szCs w:val="24"/>
        </w:rPr>
        <w:t>v.</w:t>
      </w:r>
      <w:r>
        <w:rPr>
          <w:sz w:val="24"/>
          <w:szCs w:val="24"/>
        </w:rPr>
        <w:t xml:space="preserve"> </w:t>
      </w:r>
      <w:r>
        <w:rPr>
          <w:i/>
          <w:iCs/>
          <w:sz w:val="24"/>
          <w:szCs w:val="24"/>
        </w:rPr>
        <w:t>Levy</w:t>
      </w:r>
      <w:r>
        <w:rPr>
          <w:sz w:val="24"/>
          <w:szCs w:val="24"/>
        </w:rPr>
        <w:t xml:space="preserve">, No. 10-4185, 2010 WL 6825306, *4-*6 (W.D. Mo. Dec. 27, 2010) (unpublished) (ordering the state to provide plaintiffs incontinence briefs to prevent their eventual placement in nursing facilities).  </w:t>
      </w:r>
      <w:r>
        <w:t xml:space="preserve"> </w:t>
      </w:r>
    </w:p>
  </w:footnote>
  <w:footnote w:id="5">
    <w:p w:rsidR="00AB5145" w:rsidRDefault="00AB5145" w:rsidP="00B006C0">
      <w:pPr>
        <w:pStyle w:val="FootnoteText"/>
        <w:ind w:firstLine="720"/>
        <w:rPr>
          <w:sz w:val="24"/>
          <w:szCs w:val="24"/>
        </w:rPr>
      </w:pPr>
      <w:r w:rsidRPr="00890FAD">
        <w:rPr>
          <w:rStyle w:val="FootnoteReference"/>
          <w:sz w:val="24"/>
          <w:szCs w:val="24"/>
        </w:rPr>
        <w:footnoteRef/>
      </w:r>
      <w:r w:rsidRPr="00890FAD">
        <w:rPr>
          <w:sz w:val="24"/>
          <w:szCs w:val="24"/>
        </w:rPr>
        <w:t xml:space="preserve"> </w:t>
      </w:r>
      <w:r>
        <w:rPr>
          <w:i/>
          <w:sz w:val="24"/>
          <w:szCs w:val="24"/>
        </w:rPr>
        <w:t>See also Duffy v. Velez</w:t>
      </w:r>
      <w:r>
        <w:rPr>
          <w:sz w:val="24"/>
          <w:szCs w:val="24"/>
        </w:rPr>
        <w:t>, No. 09-5539, 2010 WL 503037, at *3 (D.N.J. Feb. 8, 2010) (unpublished) (holding that a “[p]</w:t>
      </w:r>
      <w:proofErr w:type="spellStart"/>
      <w:r w:rsidRPr="003723CB">
        <w:rPr>
          <w:sz w:val="24"/>
          <w:szCs w:val="24"/>
        </w:rPr>
        <w:t>laintiff</w:t>
      </w:r>
      <w:proofErr w:type="spellEnd"/>
      <w:r w:rsidRPr="003723CB">
        <w:rPr>
          <w:sz w:val="24"/>
          <w:szCs w:val="24"/>
        </w:rPr>
        <w:t xml:space="preserve"> need only allege facts showing that an accommodation could be made which would allow</w:t>
      </w:r>
      <w:r>
        <w:rPr>
          <w:sz w:val="24"/>
          <w:szCs w:val="24"/>
        </w:rPr>
        <w:t xml:space="preserve">” him or her to receive integrated services).  </w:t>
      </w:r>
    </w:p>
    <w:p w:rsidR="00AB5145" w:rsidRDefault="00AB5145" w:rsidP="00B006C0">
      <w:pPr>
        <w:pStyle w:val="FootnoteText"/>
        <w:ind w:firstLine="720"/>
      </w:pPr>
    </w:p>
  </w:footnote>
  <w:footnote w:id="6">
    <w:p w:rsidR="00AB5145" w:rsidRDefault="00AB5145" w:rsidP="00B006C0">
      <w:pPr>
        <w:pStyle w:val="FootnoteText"/>
        <w:ind w:firstLine="720"/>
        <w:rPr>
          <w:sz w:val="24"/>
          <w:szCs w:val="24"/>
        </w:rPr>
      </w:pPr>
      <w:r w:rsidRPr="001C3435">
        <w:rPr>
          <w:rStyle w:val="FootnoteReference"/>
          <w:sz w:val="24"/>
          <w:szCs w:val="24"/>
        </w:rPr>
        <w:footnoteRef/>
      </w:r>
      <w:r w:rsidRPr="001C3435">
        <w:rPr>
          <w:sz w:val="24"/>
          <w:szCs w:val="24"/>
        </w:rPr>
        <w:t xml:space="preserve"> </w:t>
      </w:r>
      <w:r>
        <w:rPr>
          <w:i/>
          <w:sz w:val="24"/>
          <w:szCs w:val="24"/>
        </w:rPr>
        <w:t>See Olmstead</w:t>
      </w:r>
      <w:r>
        <w:rPr>
          <w:sz w:val="24"/>
          <w:szCs w:val="24"/>
        </w:rPr>
        <w:t>, 527 U.S. at 603 n.14 (stating, “</w:t>
      </w:r>
      <w:r w:rsidRPr="009F7C9F">
        <w:rPr>
          <w:sz w:val="24"/>
          <w:szCs w:val="24"/>
        </w:rPr>
        <w:t>We do not in this opinion hold that the ADA imposes on the States a standard of care for whatever medical services they render, or that the ADA requires States to provide a certain level of benefits to individuals with disabilities”</w:t>
      </w:r>
      <w:r>
        <w:rPr>
          <w:sz w:val="24"/>
          <w:szCs w:val="24"/>
        </w:rPr>
        <w:t>)</w:t>
      </w:r>
      <w:r w:rsidRPr="009F7C9F">
        <w:rPr>
          <w:sz w:val="24"/>
          <w:szCs w:val="24"/>
        </w:rPr>
        <w:t xml:space="preserve"> (in</w:t>
      </w:r>
      <w:r>
        <w:rPr>
          <w:sz w:val="24"/>
          <w:szCs w:val="24"/>
        </w:rPr>
        <w:t>ternal quotation marks omitted).</w:t>
      </w:r>
    </w:p>
    <w:p w:rsidR="00AB5145" w:rsidRPr="009F7C9F" w:rsidRDefault="00AB5145" w:rsidP="00B006C0">
      <w:pPr>
        <w:pStyle w:val="FootnoteText"/>
        <w:ind w:firstLine="720"/>
        <w:rPr>
          <w:sz w:val="24"/>
          <w:szCs w:val="24"/>
        </w:rPr>
      </w:pPr>
    </w:p>
  </w:footnote>
  <w:footnote w:id="7">
    <w:p w:rsidR="00AB5145" w:rsidRDefault="00AB5145" w:rsidP="00B006C0">
      <w:pPr>
        <w:pStyle w:val="FootnoteText"/>
        <w:ind w:firstLine="720"/>
        <w:rPr>
          <w:sz w:val="24"/>
          <w:szCs w:val="24"/>
        </w:rPr>
      </w:pPr>
      <w:r w:rsidRPr="00CF3768">
        <w:rPr>
          <w:rStyle w:val="FootnoteReference"/>
          <w:sz w:val="24"/>
          <w:szCs w:val="24"/>
        </w:rPr>
        <w:footnoteRef/>
      </w:r>
      <w:r w:rsidRPr="00CF3768">
        <w:rPr>
          <w:sz w:val="24"/>
          <w:szCs w:val="24"/>
        </w:rPr>
        <w:t xml:space="preserve"> </w:t>
      </w:r>
      <w:r>
        <w:rPr>
          <w:sz w:val="24"/>
          <w:szCs w:val="24"/>
        </w:rPr>
        <w:t>Contrary to DPW’s argument that Plaintiffs’ other suggested modifications are irrelevant because their “allegations . . . center on the Act 150 program” and should therefore be limited to that program (</w:t>
      </w:r>
      <w:proofErr w:type="spellStart"/>
      <w:r>
        <w:rPr>
          <w:sz w:val="24"/>
          <w:szCs w:val="24"/>
        </w:rPr>
        <w:t>Defs</w:t>
      </w:r>
      <w:proofErr w:type="spellEnd"/>
      <w:r>
        <w:rPr>
          <w:sz w:val="24"/>
          <w:szCs w:val="24"/>
        </w:rPr>
        <w:t xml:space="preserve">.’ </w:t>
      </w:r>
      <w:proofErr w:type="spellStart"/>
      <w:proofErr w:type="gramStart"/>
      <w:r>
        <w:rPr>
          <w:sz w:val="24"/>
          <w:szCs w:val="24"/>
        </w:rPr>
        <w:t>Mem</w:t>
      </w:r>
      <w:proofErr w:type="spellEnd"/>
      <w:r>
        <w:rPr>
          <w:sz w:val="24"/>
          <w:szCs w:val="24"/>
        </w:rPr>
        <w:t>.</w:t>
      </w:r>
      <w:proofErr w:type="gramEnd"/>
      <w:r>
        <w:rPr>
          <w:sz w:val="24"/>
          <w:szCs w:val="24"/>
        </w:rPr>
        <w:t xml:space="preserve"> Law at 55-56, ECF No. 51-1), nothing </w:t>
      </w:r>
      <w:r w:rsidRPr="00DF0E59">
        <w:rPr>
          <w:sz w:val="24"/>
          <w:szCs w:val="24"/>
        </w:rPr>
        <w:t xml:space="preserve">in </w:t>
      </w:r>
      <w:r w:rsidRPr="00CF3768">
        <w:rPr>
          <w:i/>
          <w:sz w:val="24"/>
          <w:szCs w:val="24"/>
        </w:rPr>
        <w:t>Olmstead</w:t>
      </w:r>
      <w:r w:rsidRPr="00DF0E59">
        <w:rPr>
          <w:sz w:val="24"/>
          <w:szCs w:val="24"/>
        </w:rPr>
        <w:t xml:space="preserve"> or</w:t>
      </w:r>
      <w:r>
        <w:rPr>
          <w:sz w:val="24"/>
          <w:szCs w:val="24"/>
        </w:rPr>
        <w:t xml:space="preserve"> other case law indicates that s</w:t>
      </w:r>
      <w:r w:rsidRPr="00DF0E59">
        <w:rPr>
          <w:sz w:val="24"/>
          <w:szCs w:val="24"/>
        </w:rPr>
        <w:t xml:space="preserve">tates can meet their </w:t>
      </w:r>
      <w:r w:rsidRPr="00CF3768">
        <w:rPr>
          <w:i/>
          <w:sz w:val="24"/>
          <w:szCs w:val="24"/>
        </w:rPr>
        <w:t>Olmstead</w:t>
      </w:r>
      <w:r w:rsidRPr="00DF0E59">
        <w:rPr>
          <w:sz w:val="24"/>
          <w:szCs w:val="24"/>
        </w:rPr>
        <w:t xml:space="preserve"> obligations only by providing the services through the very same program in which an individual is currently participating, or is on a waiting list to receive services from, or that provided the services to the individual in the past.</w:t>
      </w:r>
      <w:r>
        <w:rPr>
          <w:sz w:val="24"/>
          <w:szCs w:val="24"/>
        </w:rPr>
        <w:t xml:space="preserve">  </w:t>
      </w:r>
    </w:p>
  </w:footnote>
  <w:footnote w:id="8">
    <w:p w:rsidR="00AB5145" w:rsidRPr="001A37B6" w:rsidRDefault="00AB5145" w:rsidP="00425BEC">
      <w:pPr>
        <w:pStyle w:val="FootnoteText"/>
        <w:ind w:firstLine="720"/>
        <w:rPr>
          <w:sz w:val="24"/>
          <w:szCs w:val="24"/>
        </w:rPr>
      </w:pPr>
      <w:r w:rsidRPr="001A37B6">
        <w:rPr>
          <w:rStyle w:val="FootnoteReference"/>
          <w:sz w:val="24"/>
          <w:szCs w:val="24"/>
        </w:rPr>
        <w:footnoteRef/>
      </w:r>
      <w:r w:rsidRPr="001A37B6">
        <w:rPr>
          <w:sz w:val="24"/>
          <w:szCs w:val="24"/>
        </w:rPr>
        <w:t xml:space="preserve"> </w:t>
      </w:r>
      <w:r>
        <w:rPr>
          <w:sz w:val="24"/>
          <w:szCs w:val="24"/>
        </w:rPr>
        <w:t>Contrary to DPW’s assertion that “one could have millions, or even tens-of-millions, of dollars of assets to pay privately for community-based care and still” receive attendant care services from the DPW (</w:t>
      </w:r>
      <w:proofErr w:type="spellStart"/>
      <w:r>
        <w:rPr>
          <w:sz w:val="24"/>
          <w:szCs w:val="24"/>
        </w:rPr>
        <w:t>Defs</w:t>
      </w:r>
      <w:proofErr w:type="spellEnd"/>
      <w:r>
        <w:rPr>
          <w:sz w:val="24"/>
          <w:szCs w:val="24"/>
        </w:rPr>
        <w:t xml:space="preserve">.’ </w:t>
      </w:r>
      <w:proofErr w:type="spellStart"/>
      <w:r>
        <w:rPr>
          <w:sz w:val="24"/>
          <w:szCs w:val="24"/>
        </w:rPr>
        <w:t>Mem</w:t>
      </w:r>
      <w:proofErr w:type="spellEnd"/>
      <w:r>
        <w:rPr>
          <w:sz w:val="24"/>
          <w:szCs w:val="24"/>
        </w:rPr>
        <w:t xml:space="preserve"> Law at 11, ECF No. 51-1), the Commonwealth’s obligation to provide community-based services does not extend to an unlimited group of individuals.  As noted above, the Commonwealth only provides nursing facility services to Medicaid-eligible individuals whose income, on average, is less than $58,080 a year; and therefore, the Commonwealth’s obligation to provide attendant care services is limited to individuals making less than $58,080 per year </w:t>
      </w:r>
      <w:r w:rsidRPr="005C16E1">
        <w:rPr>
          <w:i/>
          <w:sz w:val="24"/>
          <w:szCs w:val="24"/>
        </w:rPr>
        <w:t>and</w:t>
      </w:r>
      <w:r>
        <w:rPr>
          <w:sz w:val="24"/>
          <w:szCs w:val="24"/>
        </w:rPr>
        <w:t xml:space="preserve"> who are at serious risk of institutionalization.  </w:t>
      </w:r>
      <w:r>
        <w:rPr>
          <w:i/>
          <w:sz w:val="24"/>
          <w:szCs w:val="24"/>
        </w:rPr>
        <w:t>See</w:t>
      </w:r>
      <w:r>
        <w:rPr>
          <w:sz w:val="24"/>
          <w:szCs w:val="24"/>
        </w:rPr>
        <w:t xml:space="preserve"> </w:t>
      </w:r>
      <w:r w:rsidRPr="004B10BF">
        <w:rPr>
          <w:sz w:val="24"/>
          <w:szCs w:val="24"/>
        </w:rPr>
        <w:t>55 Pa. Code §§ 18</w:t>
      </w:r>
      <w:r>
        <w:rPr>
          <w:sz w:val="24"/>
          <w:szCs w:val="24"/>
        </w:rPr>
        <w:t>1.1(b), 181.1(f</w:t>
      </w:r>
      <w:proofErr w:type="gramStart"/>
      <w:r>
        <w:rPr>
          <w:sz w:val="24"/>
          <w:szCs w:val="24"/>
        </w:rPr>
        <w:t>)(</w:t>
      </w:r>
      <w:proofErr w:type="gramEnd"/>
      <w:r>
        <w:rPr>
          <w:sz w:val="24"/>
          <w:szCs w:val="24"/>
        </w:rPr>
        <w:t>7), 181.14(c); (</w:t>
      </w:r>
      <w:r w:rsidRPr="00210F2E">
        <w:rPr>
          <w:sz w:val="24"/>
          <w:szCs w:val="24"/>
        </w:rPr>
        <w:t xml:space="preserve">Gov.’s Exec. </w:t>
      </w:r>
      <w:proofErr w:type="gramStart"/>
      <w:r w:rsidRPr="00210F2E">
        <w:rPr>
          <w:sz w:val="24"/>
          <w:szCs w:val="24"/>
        </w:rPr>
        <w:t xml:space="preserve">Budget, </w:t>
      </w:r>
      <w:r>
        <w:rPr>
          <w:sz w:val="24"/>
          <w:szCs w:val="24"/>
        </w:rPr>
        <w:t xml:space="preserve">46, </w:t>
      </w:r>
      <w:r w:rsidRPr="00210F2E">
        <w:rPr>
          <w:sz w:val="24"/>
          <w:szCs w:val="24"/>
        </w:rPr>
        <w:t>ECF No. 45-8</w:t>
      </w:r>
      <w:r>
        <w:rPr>
          <w:sz w:val="24"/>
          <w:szCs w:val="24"/>
        </w:rPr>
        <w:t xml:space="preserve">); (Pa. Operations </w:t>
      </w:r>
      <w:proofErr w:type="spellStart"/>
      <w:r>
        <w:rPr>
          <w:sz w:val="24"/>
          <w:szCs w:val="24"/>
        </w:rPr>
        <w:t>Mem</w:t>
      </w:r>
      <w:proofErr w:type="spellEnd"/>
      <w:r>
        <w:rPr>
          <w:sz w:val="24"/>
          <w:szCs w:val="24"/>
        </w:rPr>
        <w:t>. #13-11-01, 2-3</w:t>
      </w:r>
      <w:r w:rsidRPr="004B10BF">
        <w:rPr>
          <w:sz w:val="24"/>
          <w:szCs w:val="24"/>
        </w:rPr>
        <w:t xml:space="preserve">, </w:t>
      </w:r>
      <w:r>
        <w:rPr>
          <w:sz w:val="24"/>
          <w:szCs w:val="24"/>
        </w:rPr>
        <w:t>ECF No. 45-17).</w:t>
      </w:r>
      <w:proofErr w:type="gramEnd"/>
    </w:p>
  </w:footnote>
  <w:footnote w:id="9">
    <w:p w:rsidR="00AB5145" w:rsidRDefault="00AB5145" w:rsidP="0071694B">
      <w:pPr>
        <w:ind w:right="720" w:firstLine="720"/>
        <w:rPr>
          <w:sz w:val="24"/>
          <w:szCs w:val="24"/>
        </w:rPr>
      </w:pPr>
      <w:r w:rsidRPr="00E4607E">
        <w:rPr>
          <w:rStyle w:val="FootnoteReference"/>
          <w:sz w:val="24"/>
          <w:szCs w:val="24"/>
        </w:rPr>
        <w:footnoteRef/>
      </w:r>
      <w:r>
        <w:rPr>
          <w:sz w:val="24"/>
          <w:szCs w:val="24"/>
        </w:rPr>
        <w:t xml:space="preserve"> In </w:t>
      </w:r>
      <w:r>
        <w:rPr>
          <w:i/>
          <w:sz w:val="24"/>
          <w:szCs w:val="24"/>
        </w:rPr>
        <w:t>Frederick L. II</w:t>
      </w:r>
      <w:r>
        <w:rPr>
          <w:sz w:val="24"/>
          <w:szCs w:val="24"/>
        </w:rPr>
        <w:t>,</w:t>
      </w:r>
      <w:r w:rsidRPr="00E4607E">
        <w:rPr>
          <w:sz w:val="24"/>
          <w:szCs w:val="24"/>
        </w:rPr>
        <w:t xml:space="preserve"> </w:t>
      </w:r>
      <w:r>
        <w:rPr>
          <w:sz w:val="24"/>
          <w:szCs w:val="24"/>
        </w:rPr>
        <w:t xml:space="preserve">the </w:t>
      </w:r>
      <w:r w:rsidRPr="00E4607E">
        <w:rPr>
          <w:sz w:val="24"/>
          <w:szCs w:val="24"/>
        </w:rPr>
        <w:t xml:space="preserve">Third Circuit </w:t>
      </w:r>
      <w:r>
        <w:rPr>
          <w:sz w:val="24"/>
          <w:szCs w:val="24"/>
        </w:rPr>
        <w:t>held:</w:t>
      </w:r>
    </w:p>
    <w:p w:rsidR="00AB5145" w:rsidRPr="00E4607E" w:rsidRDefault="00AB5145" w:rsidP="00E821F6">
      <w:pPr>
        <w:ind w:right="720"/>
        <w:rPr>
          <w:sz w:val="24"/>
          <w:szCs w:val="24"/>
        </w:rPr>
      </w:pPr>
    </w:p>
    <w:p w:rsidR="00AB5145" w:rsidRDefault="00AB5145" w:rsidP="00E821F6">
      <w:pPr>
        <w:keepNext/>
        <w:ind w:left="720" w:right="1440"/>
        <w:jc w:val="both"/>
        <w:rPr>
          <w:sz w:val="24"/>
          <w:szCs w:val="24"/>
        </w:rPr>
      </w:pPr>
      <w:r>
        <w:rPr>
          <w:sz w:val="24"/>
          <w:szCs w:val="24"/>
        </w:rPr>
        <w:t>[A]</w:t>
      </w:r>
      <w:r w:rsidRPr="00E4607E">
        <w:rPr>
          <w:sz w:val="24"/>
          <w:szCs w:val="24"/>
        </w:rPr>
        <w:t xml:space="preserve"> viable integration plan at a bare minimum should specify the time-frame or target date for patient discharge, the approximate number of patients to be discharged each time period, the eligibility for discharge, and a general description of the collaboration required between the local authorities and the housing, transportation, care, and education agencies to effectuate integration into the community.  </w:t>
      </w:r>
    </w:p>
    <w:p w:rsidR="00AB5145" w:rsidRPr="00E4607E" w:rsidRDefault="00AB5145" w:rsidP="00E821F6">
      <w:pPr>
        <w:keepNext/>
        <w:ind w:left="720" w:right="1440"/>
        <w:jc w:val="both"/>
        <w:rPr>
          <w:sz w:val="24"/>
          <w:szCs w:val="24"/>
        </w:rPr>
      </w:pPr>
    </w:p>
    <w:p w:rsidR="00AB5145" w:rsidRPr="00E4607E" w:rsidRDefault="00AB5145" w:rsidP="00E821F6">
      <w:pPr>
        <w:ind w:right="1440"/>
        <w:jc w:val="both"/>
        <w:rPr>
          <w:sz w:val="24"/>
          <w:szCs w:val="24"/>
        </w:rPr>
      </w:pPr>
      <w:proofErr w:type="gramStart"/>
      <w:r w:rsidRPr="00E4607E">
        <w:rPr>
          <w:sz w:val="24"/>
          <w:szCs w:val="24"/>
        </w:rPr>
        <w:t>422 F.3d at 160.</w:t>
      </w:r>
      <w:proofErr w:type="gramEnd"/>
    </w:p>
    <w:p w:rsidR="00AB5145" w:rsidRDefault="00AB5145" w:rsidP="00E821F6">
      <w:pPr>
        <w:pStyle w:val="FootnoteText"/>
      </w:pPr>
    </w:p>
  </w:footnote>
  <w:footnote w:id="10">
    <w:p w:rsidR="00AB5145" w:rsidRPr="0071694B" w:rsidRDefault="00AB5145" w:rsidP="0071694B">
      <w:pPr>
        <w:pStyle w:val="FootnoteText"/>
        <w:ind w:firstLine="720"/>
        <w:rPr>
          <w:sz w:val="24"/>
          <w:szCs w:val="24"/>
        </w:rPr>
      </w:pPr>
      <w:r w:rsidRPr="0071694B">
        <w:rPr>
          <w:rStyle w:val="FootnoteReference"/>
          <w:sz w:val="24"/>
          <w:szCs w:val="24"/>
        </w:rPr>
        <w:footnoteRef/>
      </w:r>
      <w:r w:rsidRPr="0071694B">
        <w:rPr>
          <w:sz w:val="24"/>
          <w:szCs w:val="24"/>
        </w:rPr>
        <w:t xml:space="preserve"> </w:t>
      </w:r>
      <w:r>
        <w:rPr>
          <w:sz w:val="24"/>
          <w:szCs w:val="24"/>
        </w:rPr>
        <w:t xml:space="preserve">DPW applies the </w:t>
      </w:r>
      <w:r w:rsidRPr="00CB49E8">
        <w:rPr>
          <w:sz w:val="24"/>
          <w:szCs w:val="24"/>
        </w:rPr>
        <w:t>standard articulated by the Ninth Circuit Court of Appeals (</w:t>
      </w:r>
      <w:proofErr w:type="spellStart"/>
      <w:r w:rsidRPr="00CB49E8">
        <w:rPr>
          <w:sz w:val="24"/>
          <w:szCs w:val="24"/>
        </w:rPr>
        <w:t>Defs</w:t>
      </w:r>
      <w:proofErr w:type="spellEnd"/>
      <w:r w:rsidRPr="00CB49E8">
        <w:rPr>
          <w:sz w:val="24"/>
          <w:szCs w:val="24"/>
        </w:rPr>
        <w:t xml:space="preserve">.’ </w:t>
      </w:r>
      <w:proofErr w:type="spellStart"/>
      <w:proofErr w:type="gramStart"/>
      <w:r w:rsidRPr="00CB49E8">
        <w:rPr>
          <w:sz w:val="24"/>
          <w:szCs w:val="24"/>
        </w:rPr>
        <w:t>Mem</w:t>
      </w:r>
      <w:proofErr w:type="spellEnd"/>
      <w:r w:rsidRPr="00CB49E8">
        <w:rPr>
          <w:sz w:val="24"/>
          <w:szCs w:val="24"/>
        </w:rPr>
        <w:t>.</w:t>
      </w:r>
      <w:proofErr w:type="gramEnd"/>
      <w:r w:rsidRPr="00CB49E8">
        <w:rPr>
          <w:sz w:val="24"/>
          <w:szCs w:val="24"/>
        </w:rPr>
        <w:t xml:space="preserve"> Law at 51-</w:t>
      </w:r>
      <w:r>
        <w:rPr>
          <w:sz w:val="24"/>
          <w:szCs w:val="24"/>
        </w:rPr>
        <w:t>5</w:t>
      </w:r>
      <w:r w:rsidRPr="00CB49E8">
        <w:rPr>
          <w:sz w:val="24"/>
          <w:szCs w:val="24"/>
        </w:rPr>
        <w:t>2</w:t>
      </w:r>
      <w:r>
        <w:rPr>
          <w:sz w:val="24"/>
          <w:szCs w:val="24"/>
        </w:rPr>
        <w:t>, ECF No. 51-1</w:t>
      </w:r>
      <w:r w:rsidRPr="00CB49E8">
        <w:rPr>
          <w:sz w:val="24"/>
          <w:szCs w:val="24"/>
        </w:rPr>
        <w:t>)</w:t>
      </w:r>
      <w:r>
        <w:rPr>
          <w:sz w:val="24"/>
          <w:szCs w:val="24"/>
        </w:rPr>
        <w:t xml:space="preserve">, which is less exacting than that of the Third Circuit; however, even if it were applicable, </w:t>
      </w:r>
      <w:r w:rsidRPr="00CB49E8">
        <w:rPr>
          <w:sz w:val="24"/>
          <w:szCs w:val="24"/>
        </w:rPr>
        <w:t>the Ninth Circuit still requires that</w:t>
      </w:r>
      <w:r>
        <w:rPr>
          <w:sz w:val="24"/>
          <w:szCs w:val="24"/>
        </w:rPr>
        <w:t xml:space="preserve"> the state be “genuinely and effectively </w:t>
      </w:r>
      <w:bookmarkStart w:id="3" w:name="SR;17457"/>
      <w:bookmarkStart w:id="4" w:name="SR;17458"/>
      <w:bookmarkStart w:id="5" w:name="SR;17459"/>
      <w:bookmarkEnd w:id="3"/>
      <w:bookmarkEnd w:id="4"/>
      <w:bookmarkEnd w:id="5"/>
      <w:r>
        <w:rPr>
          <w:sz w:val="24"/>
          <w:szCs w:val="24"/>
        </w:rPr>
        <w:t>in the process of deinstitutionalizing disabled persons.”</w:t>
      </w:r>
      <w:r w:rsidRPr="00CB49E8">
        <w:rPr>
          <w:sz w:val="24"/>
          <w:szCs w:val="24"/>
        </w:rPr>
        <w:t xml:space="preserve">  </w:t>
      </w:r>
      <w:bookmarkStart w:id="6" w:name="SR;17640"/>
      <w:bookmarkEnd w:id="6"/>
      <w:proofErr w:type="gramStart"/>
      <w:r w:rsidRPr="006D75FF">
        <w:rPr>
          <w:i/>
          <w:sz w:val="24"/>
          <w:szCs w:val="24"/>
        </w:rPr>
        <w:t xml:space="preserve">Arc of Wash. State, Inc. </w:t>
      </w:r>
      <w:r w:rsidRPr="008808C8">
        <w:rPr>
          <w:i/>
          <w:sz w:val="24"/>
          <w:szCs w:val="24"/>
        </w:rPr>
        <w:t>v.</w:t>
      </w:r>
      <w:r w:rsidRPr="006D75FF">
        <w:rPr>
          <w:i/>
          <w:sz w:val="24"/>
          <w:szCs w:val="24"/>
        </w:rPr>
        <w:t xml:space="preserve"> Braddock</w:t>
      </w:r>
      <w:r w:rsidRPr="006D75FF">
        <w:rPr>
          <w:sz w:val="24"/>
          <w:szCs w:val="24"/>
        </w:rPr>
        <w:t>, 427 F.3d 615, 619-21 (9th Cir. 2005)</w:t>
      </w:r>
      <w:r>
        <w:rPr>
          <w:sz w:val="24"/>
          <w:szCs w:val="24"/>
        </w:rPr>
        <w:t>.</w:t>
      </w:r>
      <w:proofErr w:type="gramEnd"/>
    </w:p>
  </w:footnote>
  <w:footnote w:id="11">
    <w:p w:rsidR="00AB5145" w:rsidRDefault="00AB5145" w:rsidP="00F14377">
      <w:pPr>
        <w:pStyle w:val="FootnoteText"/>
        <w:ind w:firstLine="720"/>
        <w:rPr>
          <w:sz w:val="24"/>
          <w:szCs w:val="24"/>
        </w:rPr>
      </w:pPr>
      <w:r w:rsidRPr="006F554B">
        <w:rPr>
          <w:rStyle w:val="FootnoteReference"/>
          <w:sz w:val="24"/>
          <w:szCs w:val="24"/>
        </w:rPr>
        <w:footnoteRef/>
      </w:r>
      <w:r w:rsidRPr="006F554B">
        <w:rPr>
          <w:sz w:val="24"/>
          <w:szCs w:val="24"/>
        </w:rPr>
        <w:t xml:space="preserve"> DPW also argues that </w:t>
      </w:r>
      <w:r w:rsidRPr="006F554B">
        <w:rPr>
          <w:i/>
          <w:sz w:val="24"/>
          <w:szCs w:val="24"/>
        </w:rPr>
        <w:t>Olmstead</w:t>
      </w:r>
      <w:r w:rsidRPr="006F554B">
        <w:rPr>
          <w:sz w:val="24"/>
          <w:szCs w:val="24"/>
        </w:rPr>
        <w:t xml:space="preserve"> plans are only applicable to individuals in institutions.  </w:t>
      </w:r>
      <w:proofErr w:type="gramStart"/>
      <w:r w:rsidRPr="006F554B">
        <w:rPr>
          <w:sz w:val="24"/>
          <w:szCs w:val="24"/>
        </w:rPr>
        <w:t>(</w:t>
      </w:r>
      <w:r>
        <w:rPr>
          <w:i/>
          <w:sz w:val="24"/>
          <w:szCs w:val="24"/>
        </w:rPr>
        <w:t xml:space="preserve">See </w:t>
      </w:r>
      <w:proofErr w:type="spellStart"/>
      <w:r>
        <w:rPr>
          <w:sz w:val="24"/>
          <w:szCs w:val="24"/>
        </w:rPr>
        <w:t>Defs</w:t>
      </w:r>
      <w:proofErr w:type="spellEnd"/>
      <w:r>
        <w:rPr>
          <w:sz w:val="24"/>
          <w:szCs w:val="24"/>
        </w:rPr>
        <w:t>.’</w:t>
      </w:r>
      <w:proofErr w:type="gramEnd"/>
      <w:r>
        <w:rPr>
          <w:sz w:val="24"/>
          <w:szCs w:val="24"/>
        </w:rPr>
        <w:t xml:space="preserve"> </w:t>
      </w:r>
      <w:proofErr w:type="spellStart"/>
      <w:proofErr w:type="gramStart"/>
      <w:r>
        <w:rPr>
          <w:sz w:val="24"/>
          <w:szCs w:val="24"/>
        </w:rPr>
        <w:t>Mem</w:t>
      </w:r>
      <w:proofErr w:type="spellEnd"/>
      <w:r>
        <w:rPr>
          <w:sz w:val="24"/>
          <w:szCs w:val="24"/>
        </w:rPr>
        <w:t>.</w:t>
      </w:r>
      <w:proofErr w:type="gramEnd"/>
      <w:r>
        <w:rPr>
          <w:sz w:val="24"/>
          <w:szCs w:val="24"/>
        </w:rPr>
        <w:t xml:space="preserve"> </w:t>
      </w:r>
      <w:proofErr w:type="gramStart"/>
      <w:r>
        <w:rPr>
          <w:sz w:val="24"/>
          <w:szCs w:val="24"/>
        </w:rPr>
        <w:t>Law at 53 (stating that “an integration plan is a plan to move people out of institutions and into the community”</w:t>
      </w:r>
      <w:r w:rsidRPr="006F554B">
        <w:rPr>
          <w:sz w:val="24"/>
          <w:szCs w:val="24"/>
        </w:rPr>
        <w:t>)</w:t>
      </w:r>
      <w:r>
        <w:rPr>
          <w:sz w:val="24"/>
          <w:szCs w:val="24"/>
        </w:rPr>
        <w:t>.)</w:t>
      </w:r>
      <w:proofErr w:type="gramEnd"/>
      <w:r w:rsidRPr="006F554B">
        <w:rPr>
          <w:sz w:val="24"/>
          <w:szCs w:val="24"/>
        </w:rPr>
        <w:t xml:space="preserve">  </w:t>
      </w:r>
      <w:r>
        <w:rPr>
          <w:sz w:val="24"/>
          <w:szCs w:val="24"/>
        </w:rPr>
        <w:t xml:space="preserve">The purpose of an </w:t>
      </w:r>
      <w:r w:rsidRPr="00B22F68">
        <w:rPr>
          <w:i/>
          <w:sz w:val="24"/>
          <w:szCs w:val="24"/>
        </w:rPr>
        <w:t>Olmstead</w:t>
      </w:r>
      <w:r>
        <w:rPr>
          <w:sz w:val="24"/>
          <w:szCs w:val="24"/>
        </w:rPr>
        <w:t xml:space="preserve"> plan is for a state to correct its noncompliance with the ADA, not insulate itself from its ADA obligations to people who are facing institutionalization.  Further, DPW’s position would effectively push people into institutions in order to benefit from an </w:t>
      </w:r>
      <w:r>
        <w:rPr>
          <w:i/>
          <w:sz w:val="24"/>
          <w:szCs w:val="24"/>
        </w:rPr>
        <w:t xml:space="preserve">Olmstead </w:t>
      </w:r>
      <w:r>
        <w:rPr>
          <w:sz w:val="24"/>
          <w:szCs w:val="24"/>
        </w:rPr>
        <w:t xml:space="preserve">plan, a result plainly at odds with the ADA.  </w:t>
      </w:r>
      <w:r>
        <w:rPr>
          <w:i/>
          <w:sz w:val="24"/>
          <w:szCs w:val="24"/>
        </w:rPr>
        <w:t>Cf. Fisher</w:t>
      </w:r>
      <w:r>
        <w:rPr>
          <w:sz w:val="24"/>
          <w:szCs w:val="24"/>
        </w:rPr>
        <w:t>, 335 F.3d</w:t>
      </w:r>
      <w:r w:rsidRPr="00DB55B1">
        <w:rPr>
          <w:sz w:val="24"/>
          <w:szCs w:val="24"/>
        </w:rPr>
        <w:t xml:space="preserve"> at 1182</w:t>
      </w:r>
      <w:r>
        <w:rPr>
          <w:i/>
          <w:sz w:val="24"/>
          <w:szCs w:val="24"/>
        </w:rPr>
        <w:t xml:space="preserve"> </w:t>
      </w:r>
      <w:r>
        <w:rPr>
          <w:sz w:val="24"/>
          <w:szCs w:val="24"/>
        </w:rPr>
        <w:t>(</w:t>
      </w:r>
      <w:r w:rsidRPr="00DB55B1">
        <w:rPr>
          <w:sz w:val="24"/>
          <w:szCs w:val="24"/>
        </w:rPr>
        <w:t>the integration mandate “</w:t>
      </w:r>
      <w:r w:rsidRPr="00B569DD">
        <w:rPr>
          <w:sz w:val="24"/>
          <w:szCs w:val="24"/>
        </w:rPr>
        <w:t>would be meaningless if plaintiffs were required to segregate themselves by entering an institution before they could challenge an allegedly discriminatory law or policy that threatens to force them into segregated isolation</w:t>
      </w:r>
      <w:r w:rsidRPr="00DB55B1">
        <w:rPr>
          <w:sz w:val="24"/>
          <w:szCs w:val="24"/>
        </w:rPr>
        <w:t>”</w:t>
      </w:r>
      <w:r>
        <w:rPr>
          <w:sz w:val="24"/>
          <w:szCs w:val="24"/>
        </w:rPr>
        <w:t>).</w:t>
      </w:r>
    </w:p>
    <w:p w:rsidR="00AB5145" w:rsidRPr="00B85C0D" w:rsidRDefault="00AB5145" w:rsidP="00084B42">
      <w:pPr>
        <w:pStyle w:val="FootnoteText"/>
        <w:ind w:firstLine="72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87" w:rsidRDefault="001E2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45" w:rsidRDefault="00AB5145">
    <w:pP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87" w:rsidRDefault="001E2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16E0"/>
    <w:multiLevelType w:val="hybridMultilevel"/>
    <w:tmpl w:val="45703A5E"/>
    <w:lvl w:ilvl="0" w:tplc="14F4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E7010"/>
    <w:multiLevelType w:val="hybridMultilevel"/>
    <w:tmpl w:val="C50A9C18"/>
    <w:lvl w:ilvl="0" w:tplc="49583B5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B986783"/>
    <w:multiLevelType w:val="hybridMultilevel"/>
    <w:tmpl w:val="F4805428"/>
    <w:lvl w:ilvl="0" w:tplc="975649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readOnly" w:enforcement="1" w:cryptProviderType="rsaFull" w:cryptAlgorithmClass="hash" w:cryptAlgorithmType="typeAny" w:cryptAlgorithmSid="4" w:cryptSpinCount="100000" w:hash="UYxvWuijJ6sKiGTUCmp7R/HDNEU=" w:salt="3S8Lc8X+rqJO+V+U1HOz0A=="/>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D0"/>
    <w:rsid w:val="00002B77"/>
    <w:rsid w:val="00006702"/>
    <w:rsid w:val="00011FCB"/>
    <w:rsid w:val="00013962"/>
    <w:rsid w:val="0002365F"/>
    <w:rsid w:val="00027120"/>
    <w:rsid w:val="00027CC5"/>
    <w:rsid w:val="0003196E"/>
    <w:rsid w:val="0003447F"/>
    <w:rsid w:val="000361FD"/>
    <w:rsid w:val="0003664D"/>
    <w:rsid w:val="00041B4C"/>
    <w:rsid w:val="00042966"/>
    <w:rsid w:val="00042FFB"/>
    <w:rsid w:val="00053593"/>
    <w:rsid w:val="00053B6B"/>
    <w:rsid w:val="00056340"/>
    <w:rsid w:val="00056492"/>
    <w:rsid w:val="000619B0"/>
    <w:rsid w:val="0006460E"/>
    <w:rsid w:val="0007054F"/>
    <w:rsid w:val="00071373"/>
    <w:rsid w:val="000739CE"/>
    <w:rsid w:val="0007480D"/>
    <w:rsid w:val="00084B42"/>
    <w:rsid w:val="000854A8"/>
    <w:rsid w:val="00094005"/>
    <w:rsid w:val="00096D39"/>
    <w:rsid w:val="0009732D"/>
    <w:rsid w:val="000A53CE"/>
    <w:rsid w:val="000A6E33"/>
    <w:rsid w:val="000A720E"/>
    <w:rsid w:val="000B100C"/>
    <w:rsid w:val="000B3224"/>
    <w:rsid w:val="000B33ED"/>
    <w:rsid w:val="000B4DBD"/>
    <w:rsid w:val="000C03D1"/>
    <w:rsid w:val="000C14EE"/>
    <w:rsid w:val="000C3F78"/>
    <w:rsid w:val="000C6B17"/>
    <w:rsid w:val="000E5FCA"/>
    <w:rsid w:val="000E62AE"/>
    <w:rsid w:val="000F2C46"/>
    <w:rsid w:val="000F5E8B"/>
    <w:rsid w:val="00113A2F"/>
    <w:rsid w:val="001140D9"/>
    <w:rsid w:val="0011624D"/>
    <w:rsid w:val="001223E1"/>
    <w:rsid w:val="0012327C"/>
    <w:rsid w:val="001236C5"/>
    <w:rsid w:val="00126DF6"/>
    <w:rsid w:val="001324A5"/>
    <w:rsid w:val="00134B7A"/>
    <w:rsid w:val="00134C10"/>
    <w:rsid w:val="00142DC1"/>
    <w:rsid w:val="00143446"/>
    <w:rsid w:val="00155DB7"/>
    <w:rsid w:val="00157355"/>
    <w:rsid w:val="00171295"/>
    <w:rsid w:val="00172E85"/>
    <w:rsid w:val="0017358E"/>
    <w:rsid w:val="00175698"/>
    <w:rsid w:val="0017611B"/>
    <w:rsid w:val="00181182"/>
    <w:rsid w:val="00181E67"/>
    <w:rsid w:val="00183C1D"/>
    <w:rsid w:val="0018451D"/>
    <w:rsid w:val="001905F2"/>
    <w:rsid w:val="001907E3"/>
    <w:rsid w:val="00195DE5"/>
    <w:rsid w:val="00197018"/>
    <w:rsid w:val="0019785E"/>
    <w:rsid w:val="001A0229"/>
    <w:rsid w:val="001A0551"/>
    <w:rsid w:val="001A1572"/>
    <w:rsid w:val="001A314A"/>
    <w:rsid w:val="001A37B6"/>
    <w:rsid w:val="001A7FAF"/>
    <w:rsid w:val="001B1792"/>
    <w:rsid w:val="001B3163"/>
    <w:rsid w:val="001C175A"/>
    <w:rsid w:val="001C3435"/>
    <w:rsid w:val="001C5AC8"/>
    <w:rsid w:val="001C6937"/>
    <w:rsid w:val="001D100F"/>
    <w:rsid w:val="001D1DDF"/>
    <w:rsid w:val="001D3C85"/>
    <w:rsid w:val="001E107A"/>
    <w:rsid w:val="001E2B87"/>
    <w:rsid w:val="001E424C"/>
    <w:rsid w:val="001E4A64"/>
    <w:rsid w:val="001F0073"/>
    <w:rsid w:val="001F03E5"/>
    <w:rsid w:val="001F31E6"/>
    <w:rsid w:val="001F545C"/>
    <w:rsid w:val="001F5BE8"/>
    <w:rsid w:val="002006E2"/>
    <w:rsid w:val="002014B8"/>
    <w:rsid w:val="00201B5F"/>
    <w:rsid w:val="00202D78"/>
    <w:rsid w:val="00210F2E"/>
    <w:rsid w:val="00211D1E"/>
    <w:rsid w:val="00215BC1"/>
    <w:rsid w:val="0021668A"/>
    <w:rsid w:val="0021763C"/>
    <w:rsid w:val="00221C6F"/>
    <w:rsid w:val="00223F23"/>
    <w:rsid w:val="00224363"/>
    <w:rsid w:val="0023028F"/>
    <w:rsid w:val="00235D9D"/>
    <w:rsid w:val="002363FF"/>
    <w:rsid w:val="00236C10"/>
    <w:rsid w:val="0023724B"/>
    <w:rsid w:val="002373CB"/>
    <w:rsid w:val="002374F3"/>
    <w:rsid w:val="00242F0C"/>
    <w:rsid w:val="002437AD"/>
    <w:rsid w:val="00250AB7"/>
    <w:rsid w:val="00262999"/>
    <w:rsid w:val="002637B5"/>
    <w:rsid w:val="00266551"/>
    <w:rsid w:val="0027757F"/>
    <w:rsid w:val="00277C47"/>
    <w:rsid w:val="002812BB"/>
    <w:rsid w:val="0028390B"/>
    <w:rsid w:val="00287DD0"/>
    <w:rsid w:val="00295B97"/>
    <w:rsid w:val="002A0AA6"/>
    <w:rsid w:val="002A125F"/>
    <w:rsid w:val="002A5BC6"/>
    <w:rsid w:val="002A5DFA"/>
    <w:rsid w:val="002A6351"/>
    <w:rsid w:val="002A64D0"/>
    <w:rsid w:val="002A73D2"/>
    <w:rsid w:val="002B1F16"/>
    <w:rsid w:val="002B2125"/>
    <w:rsid w:val="002B34EA"/>
    <w:rsid w:val="002B3DA5"/>
    <w:rsid w:val="002B6310"/>
    <w:rsid w:val="002B7AD3"/>
    <w:rsid w:val="002C6460"/>
    <w:rsid w:val="002C6BA2"/>
    <w:rsid w:val="002C7379"/>
    <w:rsid w:val="002C73A7"/>
    <w:rsid w:val="002C7B04"/>
    <w:rsid w:val="002D00D6"/>
    <w:rsid w:val="002D2D1E"/>
    <w:rsid w:val="002D343E"/>
    <w:rsid w:val="002D485A"/>
    <w:rsid w:val="002D723E"/>
    <w:rsid w:val="002E26A8"/>
    <w:rsid w:val="002E6A16"/>
    <w:rsid w:val="002F19D8"/>
    <w:rsid w:val="002F4E3E"/>
    <w:rsid w:val="00301647"/>
    <w:rsid w:val="00304EC4"/>
    <w:rsid w:val="0030636D"/>
    <w:rsid w:val="00306B60"/>
    <w:rsid w:val="0030703F"/>
    <w:rsid w:val="003127A9"/>
    <w:rsid w:val="00314742"/>
    <w:rsid w:val="0031579A"/>
    <w:rsid w:val="00315D14"/>
    <w:rsid w:val="003234D0"/>
    <w:rsid w:val="00323653"/>
    <w:rsid w:val="003255A6"/>
    <w:rsid w:val="00327E2C"/>
    <w:rsid w:val="003341D3"/>
    <w:rsid w:val="00335DEE"/>
    <w:rsid w:val="00343C69"/>
    <w:rsid w:val="003458B6"/>
    <w:rsid w:val="00345956"/>
    <w:rsid w:val="00350828"/>
    <w:rsid w:val="00351E50"/>
    <w:rsid w:val="003535CF"/>
    <w:rsid w:val="00355D4E"/>
    <w:rsid w:val="00362DAB"/>
    <w:rsid w:val="003635FF"/>
    <w:rsid w:val="0036758A"/>
    <w:rsid w:val="003702D0"/>
    <w:rsid w:val="00370FFB"/>
    <w:rsid w:val="00371998"/>
    <w:rsid w:val="00371DEE"/>
    <w:rsid w:val="003723CB"/>
    <w:rsid w:val="00375709"/>
    <w:rsid w:val="0037684A"/>
    <w:rsid w:val="00376F52"/>
    <w:rsid w:val="003877A2"/>
    <w:rsid w:val="00393242"/>
    <w:rsid w:val="0039382A"/>
    <w:rsid w:val="00394C35"/>
    <w:rsid w:val="003A5554"/>
    <w:rsid w:val="003B0012"/>
    <w:rsid w:val="003B258F"/>
    <w:rsid w:val="003B4526"/>
    <w:rsid w:val="003B66A1"/>
    <w:rsid w:val="003C26BD"/>
    <w:rsid w:val="003C2A37"/>
    <w:rsid w:val="003C4655"/>
    <w:rsid w:val="003C6F4E"/>
    <w:rsid w:val="003D036A"/>
    <w:rsid w:val="003D2A7C"/>
    <w:rsid w:val="003D6109"/>
    <w:rsid w:val="003F68AA"/>
    <w:rsid w:val="0040679C"/>
    <w:rsid w:val="00411AA4"/>
    <w:rsid w:val="00413039"/>
    <w:rsid w:val="0042273F"/>
    <w:rsid w:val="00424460"/>
    <w:rsid w:val="00425BEC"/>
    <w:rsid w:val="00435A94"/>
    <w:rsid w:val="00441B83"/>
    <w:rsid w:val="004611D1"/>
    <w:rsid w:val="0046552C"/>
    <w:rsid w:val="00472F7A"/>
    <w:rsid w:val="004744D4"/>
    <w:rsid w:val="0048035D"/>
    <w:rsid w:val="004806E7"/>
    <w:rsid w:val="00480F1A"/>
    <w:rsid w:val="00481414"/>
    <w:rsid w:val="004818F5"/>
    <w:rsid w:val="00484B41"/>
    <w:rsid w:val="00484B78"/>
    <w:rsid w:val="004916B6"/>
    <w:rsid w:val="00493B70"/>
    <w:rsid w:val="00495763"/>
    <w:rsid w:val="004A4A9B"/>
    <w:rsid w:val="004A5F60"/>
    <w:rsid w:val="004B10BF"/>
    <w:rsid w:val="004B5257"/>
    <w:rsid w:val="004B7B63"/>
    <w:rsid w:val="004D23DE"/>
    <w:rsid w:val="004D2C57"/>
    <w:rsid w:val="004D32E2"/>
    <w:rsid w:val="004D3D76"/>
    <w:rsid w:val="004E32AC"/>
    <w:rsid w:val="004F0386"/>
    <w:rsid w:val="004F12D6"/>
    <w:rsid w:val="004F3236"/>
    <w:rsid w:val="004F4BE9"/>
    <w:rsid w:val="004F4FFA"/>
    <w:rsid w:val="0050012D"/>
    <w:rsid w:val="00501C10"/>
    <w:rsid w:val="005050BA"/>
    <w:rsid w:val="00514EC6"/>
    <w:rsid w:val="00522976"/>
    <w:rsid w:val="005252D1"/>
    <w:rsid w:val="005311A6"/>
    <w:rsid w:val="0053226D"/>
    <w:rsid w:val="005332F2"/>
    <w:rsid w:val="00534AC1"/>
    <w:rsid w:val="00535B16"/>
    <w:rsid w:val="00536760"/>
    <w:rsid w:val="005416A7"/>
    <w:rsid w:val="00541D97"/>
    <w:rsid w:val="005438D8"/>
    <w:rsid w:val="00551A94"/>
    <w:rsid w:val="00554475"/>
    <w:rsid w:val="005567A8"/>
    <w:rsid w:val="00556983"/>
    <w:rsid w:val="00566599"/>
    <w:rsid w:val="00570B4A"/>
    <w:rsid w:val="005714DD"/>
    <w:rsid w:val="00571ABC"/>
    <w:rsid w:val="00572E5F"/>
    <w:rsid w:val="0057426A"/>
    <w:rsid w:val="00576EF3"/>
    <w:rsid w:val="005805FC"/>
    <w:rsid w:val="00582D96"/>
    <w:rsid w:val="0059280E"/>
    <w:rsid w:val="0059756F"/>
    <w:rsid w:val="00597983"/>
    <w:rsid w:val="005A041E"/>
    <w:rsid w:val="005A2E4C"/>
    <w:rsid w:val="005A4519"/>
    <w:rsid w:val="005A50E7"/>
    <w:rsid w:val="005A57CA"/>
    <w:rsid w:val="005A69D4"/>
    <w:rsid w:val="005B4827"/>
    <w:rsid w:val="005B4EDE"/>
    <w:rsid w:val="005C16E1"/>
    <w:rsid w:val="005C193D"/>
    <w:rsid w:val="005C6ECB"/>
    <w:rsid w:val="005D22B9"/>
    <w:rsid w:val="005D284C"/>
    <w:rsid w:val="005D2E90"/>
    <w:rsid w:val="005E5DE4"/>
    <w:rsid w:val="005E65CB"/>
    <w:rsid w:val="005F577B"/>
    <w:rsid w:val="005F5A4F"/>
    <w:rsid w:val="006006F6"/>
    <w:rsid w:val="00600C12"/>
    <w:rsid w:val="00601E7C"/>
    <w:rsid w:val="00604126"/>
    <w:rsid w:val="00604DD0"/>
    <w:rsid w:val="00607599"/>
    <w:rsid w:val="00614A5F"/>
    <w:rsid w:val="00615749"/>
    <w:rsid w:val="00617EBF"/>
    <w:rsid w:val="00622B7C"/>
    <w:rsid w:val="00623B90"/>
    <w:rsid w:val="006268F1"/>
    <w:rsid w:val="00631641"/>
    <w:rsid w:val="00633E5F"/>
    <w:rsid w:val="0063766A"/>
    <w:rsid w:val="006379DB"/>
    <w:rsid w:val="00644397"/>
    <w:rsid w:val="00647C6D"/>
    <w:rsid w:val="0065703A"/>
    <w:rsid w:val="00662E9D"/>
    <w:rsid w:val="00663703"/>
    <w:rsid w:val="006717FC"/>
    <w:rsid w:val="006767EB"/>
    <w:rsid w:val="00676B93"/>
    <w:rsid w:val="00680D9C"/>
    <w:rsid w:val="00687072"/>
    <w:rsid w:val="00690964"/>
    <w:rsid w:val="00696E52"/>
    <w:rsid w:val="00697543"/>
    <w:rsid w:val="006B5392"/>
    <w:rsid w:val="006B651E"/>
    <w:rsid w:val="006C1C4C"/>
    <w:rsid w:val="006C5D3C"/>
    <w:rsid w:val="006C6D30"/>
    <w:rsid w:val="006E00DA"/>
    <w:rsid w:val="006E0A95"/>
    <w:rsid w:val="006E1EAB"/>
    <w:rsid w:val="006E3FF8"/>
    <w:rsid w:val="006E5E10"/>
    <w:rsid w:val="006E6842"/>
    <w:rsid w:val="006F1A58"/>
    <w:rsid w:val="006F216B"/>
    <w:rsid w:val="006F3AA9"/>
    <w:rsid w:val="006F3BB7"/>
    <w:rsid w:val="006F554B"/>
    <w:rsid w:val="00700256"/>
    <w:rsid w:val="00700624"/>
    <w:rsid w:val="00700E20"/>
    <w:rsid w:val="007020A5"/>
    <w:rsid w:val="007116FE"/>
    <w:rsid w:val="0071694B"/>
    <w:rsid w:val="00717CA4"/>
    <w:rsid w:val="00723AEF"/>
    <w:rsid w:val="00727CC5"/>
    <w:rsid w:val="00730591"/>
    <w:rsid w:val="00734414"/>
    <w:rsid w:val="00737C02"/>
    <w:rsid w:val="0074305D"/>
    <w:rsid w:val="0074660B"/>
    <w:rsid w:val="00752B70"/>
    <w:rsid w:val="00754E78"/>
    <w:rsid w:val="007602A5"/>
    <w:rsid w:val="007605CF"/>
    <w:rsid w:val="00775BBB"/>
    <w:rsid w:val="00785D40"/>
    <w:rsid w:val="00791CEF"/>
    <w:rsid w:val="0079469D"/>
    <w:rsid w:val="00794E95"/>
    <w:rsid w:val="007A5EA4"/>
    <w:rsid w:val="007B22D3"/>
    <w:rsid w:val="007B4D9F"/>
    <w:rsid w:val="007B5614"/>
    <w:rsid w:val="007B6508"/>
    <w:rsid w:val="007C0FC1"/>
    <w:rsid w:val="007C13AA"/>
    <w:rsid w:val="007C20B6"/>
    <w:rsid w:val="007C5790"/>
    <w:rsid w:val="007D48FB"/>
    <w:rsid w:val="007D5A86"/>
    <w:rsid w:val="007D663C"/>
    <w:rsid w:val="007E1033"/>
    <w:rsid w:val="007E1550"/>
    <w:rsid w:val="007E7143"/>
    <w:rsid w:val="007F083D"/>
    <w:rsid w:val="007F231A"/>
    <w:rsid w:val="007F3F4E"/>
    <w:rsid w:val="007F796D"/>
    <w:rsid w:val="008051F5"/>
    <w:rsid w:val="00805682"/>
    <w:rsid w:val="00806D78"/>
    <w:rsid w:val="00813ABD"/>
    <w:rsid w:val="00814106"/>
    <w:rsid w:val="00816FC1"/>
    <w:rsid w:val="00823BFA"/>
    <w:rsid w:val="008247A0"/>
    <w:rsid w:val="008263CA"/>
    <w:rsid w:val="00827293"/>
    <w:rsid w:val="00827A01"/>
    <w:rsid w:val="00831497"/>
    <w:rsid w:val="00835794"/>
    <w:rsid w:val="008364FB"/>
    <w:rsid w:val="00844E94"/>
    <w:rsid w:val="0084668B"/>
    <w:rsid w:val="00856834"/>
    <w:rsid w:val="00861D85"/>
    <w:rsid w:val="00862390"/>
    <w:rsid w:val="008758C1"/>
    <w:rsid w:val="00876D2E"/>
    <w:rsid w:val="008808C8"/>
    <w:rsid w:val="008824AE"/>
    <w:rsid w:val="00890FAD"/>
    <w:rsid w:val="008A2159"/>
    <w:rsid w:val="008A293F"/>
    <w:rsid w:val="008A2A95"/>
    <w:rsid w:val="008A3CD9"/>
    <w:rsid w:val="008A5086"/>
    <w:rsid w:val="008A57AF"/>
    <w:rsid w:val="008B1DFD"/>
    <w:rsid w:val="008B31C1"/>
    <w:rsid w:val="008B3E2D"/>
    <w:rsid w:val="008B54E6"/>
    <w:rsid w:val="008B729F"/>
    <w:rsid w:val="008D0789"/>
    <w:rsid w:val="008D4592"/>
    <w:rsid w:val="008D6102"/>
    <w:rsid w:val="008D76A8"/>
    <w:rsid w:val="008E1189"/>
    <w:rsid w:val="008E4E8A"/>
    <w:rsid w:val="008F3292"/>
    <w:rsid w:val="008F7D3E"/>
    <w:rsid w:val="00903BDD"/>
    <w:rsid w:val="00904017"/>
    <w:rsid w:val="00911258"/>
    <w:rsid w:val="00914D68"/>
    <w:rsid w:val="00914E08"/>
    <w:rsid w:val="00916065"/>
    <w:rsid w:val="00923735"/>
    <w:rsid w:val="009307CA"/>
    <w:rsid w:val="00930D96"/>
    <w:rsid w:val="009318F0"/>
    <w:rsid w:val="00937B2C"/>
    <w:rsid w:val="00937BEA"/>
    <w:rsid w:val="00941875"/>
    <w:rsid w:val="0094201F"/>
    <w:rsid w:val="00942409"/>
    <w:rsid w:val="00945505"/>
    <w:rsid w:val="0094760B"/>
    <w:rsid w:val="00950095"/>
    <w:rsid w:val="00951E8D"/>
    <w:rsid w:val="00954421"/>
    <w:rsid w:val="009655B0"/>
    <w:rsid w:val="00972996"/>
    <w:rsid w:val="00974D6D"/>
    <w:rsid w:val="009770EF"/>
    <w:rsid w:val="0099052C"/>
    <w:rsid w:val="00993E6C"/>
    <w:rsid w:val="009A2329"/>
    <w:rsid w:val="009A5055"/>
    <w:rsid w:val="009A6B80"/>
    <w:rsid w:val="009C0D5A"/>
    <w:rsid w:val="009C28B4"/>
    <w:rsid w:val="009C2A96"/>
    <w:rsid w:val="009C33D5"/>
    <w:rsid w:val="009C595E"/>
    <w:rsid w:val="009D3F8E"/>
    <w:rsid w:val="009F3889"/>
    <w:rsid w:val="009F4DD8"/>
    <w:rsid w:val="009F5AAB"/>
    <w:rsid w:val="009F5BDF"/>
    <w:rsid w:val="009F7C9F"/>
    <w:rsid w:val="00A01B44"/>
    <w:rsid w:val="00A0385A"/>
    <w:rsid w:val="00A06C4E"/>
    <w:rsid w:val="00A07793"/>
    <w:rsid w:val="00A117E7"/>
    <w:rsid w:val="00A12AC6"/>
    <w:rsid w:val="00A14519"/>
    <w:rsid w:val="00A1672E"/>
    <w:rsid w:val="00A17A78"/>
    <w:rsid w:val="00A17EAB"/>
    <w:rsid w:val="00A2275E"/>
    <w:rsid w:val="00A232A7"/>
    <w:rsid w:val="00A271FA"/>
    <w:rsid w:val="00A31971"/>
    <w:rsid w:val="00A33D49"/>
    <w:rsid w:val="00A41D20"/>
    <w:rsid w:val="00A50640"/>
    <w:rsid w:val="00A522DD"/>
    <w:rsid w:val="00A52C57"/>
    <w:rsid w:val="00A52FAA"/>
    <w:rsid w:val="00A572C6"/>
    <w:rsid w:val="00A650CD"/>
    <w:rsid w:val="00A72641"/>
    <w:rsid w:val="00A77BA3"/>
    <w:rsid w:val="00A835B8"/>
    <w:rsid w:val="00A85210"/>
    <w:rsid w:val="00A97F34"/>
    <w:rsid w:val="00AA0EC3"/>
    <w:rsid w:val="00AA227C"/>
    <w:rsid w:val="00AB2FD7"/>
    <w:rsid w:val="00AB39DC"/>
    <w:rsid w:val="00AB4FE3"/>
    <w:rsid w:val="00AB5145"/>
    <w:rsid w:val="00AC4082"/>
    <w:rsid w:val="00AC4F8D"/>
    <w:rsid w:val="00AC646E"/>
    <w:rsid w:val="00AD5961"/>
    <w:rsid w:val="00AD6283"/>
    <w:rsid w:val="00AF05A8"/>
    <w:rsid w:val="00AF1E9F"/>
    <w:rsid w:val="00AF1ED5"/>
    <w:rsid w:val="00AF2D2D"/>
    <w:rsid w:val="00B006C0"/>
    <w:rsid w:val="00B02E61"/>
    <w:rsid w:val="00B037DE"/>
    <w:rsid w:val="00B10BD2"/>
    <w:rsid w:val="00B1248C"/>
    <w:rsid w:val="00B13F7C"/>
    <w:rsid w:val="00B15F7D"/>
    <w:rsid w:val="00B21413"/>
    <w:rsid w:val="00B21EAB"/>
    <w:rsid w:val="00B24936"/>
    <w:rsid w:val="00B31899"/>
    <w:rsid w:val="00B3264C"/>
    <w:rsid w:val="00B40039"/>
    <w:rsid w:val="00B4203D"/>
    <w:rsid w:val="00B4487F"/>
    <w:rsid w:val="00B44A64"/>
    <w:rsid w:val="00B45B66"/>
    <w:rsid w:val="00B4603C"/>
    <w:rsid w:val="00B53AE3"/>
    <w:rsid w:val="00B54B57"/>
    <w:rsid w:val="00B54E27"/>
    <w:rsid w:val="00B5596F"/>
    <w:rsid w:val="00B569DD"/>
    <w:rsid w:val="00B57C3A"/>
    <w:rsid w:val="00B66471"/>
    <w:rsid w:val="00B67C21"/>
    <w:rsid w:val="00B727EF"/>
    <w:rsid w:val="00B732E3"/>
    <w:rsid w:val="00B85911"/>
    <w:rsid w:val="00B859DF"/>
    <w:rsid w:val="00B85C0D"/>
    <w:rsid w:val="00B9178A"/>
    <w:rsid w:val="00B91C35"/>
    <w:rsid w:val="00B956BF"/>
    <w:rsid w:val="00B96139"/>
    <w:rsid w:val="00BA1127"/>
    <w:rsid w:val="00BA1C27"/>
    <w:rsid w:val="00BA2F1E"/>
    <w:rsid w:val="00BA69F8"/>
    <w:rsid w:val="00BA7CA5"/>
    <w:rsid w:val="00BB6285"/>
    <w:rsid w:val="00BB7A81"/>
    <w:rsid w:val="00BC0C68"/>
    <w:rsid w:val="00BC11BB"/>
    <w:rsid w:val="00BC15CE"/>
    <w:rsid w:val="00BC61A9"/>
    <w:rsid w:val="00BD088B"/>
    <w:rsid w:val="00BD0A99"/>
    <w:rsid w:val="00BD328B"/>
    <w:rsid w:val="00BD4B4D"/>
    <w:rsid w:val="00BE2B62"/>
    <w:rsid w:val="00BE7A8B"/>
    <w:rsid w:val="00BF5B6C"/>
    <w:rsid w:val="00BF5D40"/>
    <w:rsid w:val="00BF6AEA"/>
    <w:rsid w:val="00C065B7"/>
    <w:rsid w:val="00C066D5"/>
    <w:rsid w:val="00C06D67"/>
    <w:rsid w:val="00C11FA6"/>
    <w:rsid w:val="00C163E3"/>
    <w:rsid w:val="00C20FC7"/>
    <w:rsid w:val="00C213F8"/>
    <w:rsid w:val="00C22945"/>
    <w:rsid w:val="00C24FBD"/>
    <w:rsid w:val="00C254D3"/>
    <w:rsid w:val="00C27BCF"/>
    <w:rsid w:val="00C3142A"/>
    <w:rsid w:val="00C365ED"/>
    <w:rsid w:val="00C37C5B"/>
    <w:rsid w:val="00C40DA4"/>
    <w:rsid w:val="00C4165A"/>
    <w:rsid w:val="00C46D7F"/>
    <w:rsid w:val="00C476B4"/>
    <w:rsid w:val="00C50F34"/>
    <w:rsid w:val="00C50FB2"/>
    <w:rsid w:val="00C51557"/>
    <w:rsid w:val="00C54A9E"/>
    <w:rsid w:val="00C56463"/>
    <w:rsid w:val="00C6087A"/>
    <w:rsid w:val="00C61D5C"/>
    <w:rsid w:val="00C70367"/>
    <w:rsid w:val="00C715F5"/>
    <w:rsid w:val="00C82DAF"/>
    <w:rsid w:val="00C90548"/>
    <w:rsid w:val="00C9204F"/>
    <w:rsid w:val="00CA61D4"/>
    <w:rsid w:val="00CA7E34"/>
    <w:rsid w:val="00CC3DEA"/>
    <w:rsid w:val="00CD25FB"/>
    <w:rsid w:val="00CD5196"/>
    <w:rsid w:val="00CD65EC"/>
    <w:rsid w:val="00CD6A25"/>
    <w:rsid w:val="00CE0281"/>
    <w:rsid w:val="00CE134A"/>
    <w:rsid w:val="00CE18FF"/>
    <w:rsid w:val="00CE2FD4"/>
    <w:rsid w:val="00CE323C"/>
    <w:rsid w:val="00CE38EA"/>
    <w:rsid w:val="00CE4B68"/>
    <w:rsid w:val="00CF2E9F"/>
    <w:rsid w:val="00CF3768"/>
    <w:rsid w:val="00CF50C9"/>
    <w:rsid w:val="00CF7382"/>
    <w:rsid w:val="00D00009"/>
    <w:rsid w:val="00D027DD"/>
    <w:rsid w:val="00D0392C"/>
    <w:rsid w:val="00D04169"/>
    <w:rsid w:val="00D061DA"/>
    <w:rsid w:val="00D10B5F"/>
    <w:rsid w:val="00D1417F"/>
    <w:rsid w:val="00D16F9A"/>
    <w:rsid w:val="00D20065"/>
    <w:rsid w:val="00D23446"/>
    <w:rsid w:val="00D23979"/>
    <w:rsid w:val="00D3352B"/>
    <w:rsid w:val="00D35EB3"/>
    <w:rsid w:val="00D65E40"/>
    <w:rsid w:val="00D7126B"/>
    <w:rsid w:val="00D75AA1"/>
    <w:rsid w:val="00D81344"/>
    <w:rsid w:val="00D86C17"/>
    <w:rsid w:val="00D875ED"/>
    <w:rsid w:val="00DA0410"/>
    <w:rsid w:val="00DA2D0B"/>
    <w:rsid w:val="00DB069B"/>
    <w:rsid w:val="00DB3D43"/>
    <w:rsid w:val="00DB55B1"/>
    <w:rsid w:val="00DB59B7"/>
    <w:rsid w:val="00DC1F27"/>
    <w:rsid w:val="00DC4983"/>
    <w:rsid w:val="00DC6E2E"/>
    <w:rsid w:val="00DD117F"/>
    <w:rsid w:val="00DD24B3"/>
    <w:rsid w:val="00DD2B67"/>
    <w:rsid w:val="00DD33C2"/>
    <w:rsid w:val="00DD6003"/>
    <w:rsid w:val="00DE0CCB"/>
    <w:rsid w:val="00DE2BA9"/>
    <w:rsid w:val="00DE2F20"/>
    <w:rsid w:val="00DE3343"/>
    <w:rsid w:val="00DE65B6"/>
    <w:rsid w:val="00DE7B7B"/>
    <w:rsid w:val="00DF04B7"/>
    <w:rsid w:val="00DF0DA5"/>
    <w:rsid w:val="00DF0E59"/>
    <w:rsid w:val="00DF37B3"/>
    <w:rsid w:val="00DF4FEE"/>
    <w:rsid w:val="00DF5EAA"/>
    <w:rsid w:val="00E055BA"/>
    <w:rsid w:val="00E107C2"/>
    <w:rsid w:val="00E1143D"/>
    <w:rsid w:val="00E14DC3"/>
    <w:rsid w:val="00E25B37"/>
    <w:rsid w:val="00E3130E"/>
    <w:rsid w:val="00E36CA3"/>
    <w:rsid w:val="00E407AF"/>
    <w:rsid w:val="00E44429"/>
    <w:rsid w:val="00E4607E"/>
    <w:rsid w:val="00E46C51"/>
    <w:rsid w:val="00E510C6"/>
    <w:rsid w:val="00E53386"/>
    <w:rsid w:val="00E56FED"/>
    <w:rsid w:val="00E57F70"/>
    <w:rsid w:val="00E61D45"/>
    <w:rsid w:val="00E63E64"/>
    <w:rsid w:val="00E6588B"/>
    <w:rsid w:val="00E66AE0"/>
    <w:rsid w:val="00E70D70"/>
    <w:rsid w:val="00E71C34"/>
    <w:rsid w:val="00E72021"/>
    <w:rsid w:val="00E748D8"/>
    <w:rsid w:val="00E76E4D"/>
    <w:rsid w:val="00E811F0"/>
    <w:rsid w:val="00E821F6"/>
    <w:rsid w:val="00E82951"/>
    <w:rsid w:val="00E85715"/>
    <w:rsid w:val="00E92428"/>
    <w:rsid w:val="00E942A2"/>
    <w:rsid w:val="00EA0FE4"/>
    <w:rsid w:val="00EA7158"/>
    <w:rsid w:val="00EA7D38"/>
    <w:rsid w:val="00EB1A6E"/>
    <w:rsid w:val="00EC1801"/>
    <w:rsid w:val="00EC2528"/>
    <w:rsid w:val="00EC592D"/>
    <w:rsid w:val="00EC78B3"/>
    <w:rsid w:val="00ED1BC9"/>
    <w:rsid w:val="00ED5A35"/>
    <w:rsid w:val="00ED75D8"/>
    <w:rsid w:val="00EE283E"/>
    <w:rsid w:val="00EE2F73"/>
    <w:rsid w:val="00EE3BCD"/>
    <w:rsid w:val="00EE3CB7"/>
    <w:rsid w:val="00EE7E7E"/>
    <w:rsid w:val="00EF0306"/>
    <w:rsid w:val="00EF0D59"/>
    <w:rsid w:val="00EF5D48"/>
    <w:rsid w:val="00EF5E6C"/>
    <w:rsid w:val="00EF6EB7"/>
    <w:rsid w:val="00F05341"/>
    <w:rsid w:val="00F059BB"/>
    <w:rsid w:val="00F07BBF"/>
    <w:rsid w:val="00F12ADD"/>
    <w:rsid w:val="00F12B8D"/>
    <w:rsid w:val="00F14377"/>
    <w:rsid w:val="00F145BC"/>
    <w:rsid w:val="00F2326B"/>
    <w:rsid w:val="00F2457D"/>
    <w:rsid w:val="00F321EB"/>
    <w:rsid w:val="00F3456E"/>
    <w:rsid w:val="00F420D1"/>
    <w:rsid w:val="00F43B28"/>
    <w:rsid w:val="00F46B34"/>
    <w:rsid w:val="00F53FD0"/>
    <w:rsid w:val="00F6149B"/>
    <w:rsid w:val="00F62716"/>
    <w:rsid w:val="00F6526E"/>
    <w:rsid w:val="00F66874"/>
    <w:rsid w:val="00F74B05"/>
    <w:rsid w:val="00F75E24"/>
    <w:rsid w:val="00F77E5B"/>
    <w:rsid w:val="00F83277"/>
    <w:rsid w:val="00F87A94"/>
    <w:rsid w:val="00F92FF2"/>
    <w:rsid w:val="00F938D1"/>
    <w:rsid w:val="00F93D77"/>
    <w:rsid w:val="00F96026"/>
    <w:rsid w:val="00FA2C09"/>
    <w:rsid w:val="00FA777C"/>
    <w:rsid w:val="00FA7C21"/>
    <w:rsid w:val="00FB15BE"/>
    <w:rsid w:val="00FB2930"/>
    <w:rsid w:val="00FD4270"/>
    <w:rsid w:val="00FD5670"/>
    <w:rsid w:val="00FE22A6"/>
    <w:rsid w:val="00FE4325"/>
    <w:rsid w:val="00FF3513"/>
    <w:rsid w:val="00FF3938"/>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D0"/>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32D"/>
    <w:pPr>
      <w:tabs>
        <w:tab w:val="center" w:pos="4680"/>
        <w:tab w:val="right" w:pos="9360"/>
      </w:tabs>
    </w:pPr>
  </w:style>
  <w:style w:type="character" w:customStyle="1" w:styleId="HeaderChar">
    <w:name w:val="Header Char"/>
    <w:basedOn w:val="DefaultParagraphFont"/>
    <w:link w:val="Header"/>
    <w:uiPriority w:val="99"/>
    <w:rsid w:val="0009732D"/>
    <w:rPr>
      <w:rFonts w:ascii="Times New Roman" w:hAnsi="Times New Roman"/>
    </w:rPr>
  </w:style>
  <w:style w:type="paragraph" w:styleId="Footer">
    <w:name w:val="footer"/>
    <w:basedOn w:val="Normal"/>
    <w:link w:val="FooterChar"/>
    <w:uiPriority w:val="99"/>
    <w:unhideWhenUsed/>
    <w:rsid w:val="0009732D"/>
    <w:pPr>
      <w:tabs>
        <w:tab w:val="center" w:pos="4680"/>
        <w:tab w:val="right" w:pos="9360"/>
      </w:tabs>
    </w:pPr>
  </w:style>
  <w:style w:type="character" w:customStyle="1" w:styleId="FooterChar">
    <w:name w:val="Footer Char"/>
    <w:basedOn w:val="DefaultParagraphFont"/>
    <w:link w:val="Footer"/>
    <w:uiPriority w:val="99"/>
    <w:rsid w:val="0009732D"/>
    <w:rPr>
      <w:rFonts w:ascii="Times New Roman" w:hAnsi="Times New Roman"/>
    </w:rPr>
  </w:style>
  <w:style w:type="character" w:styleId="Hyperlink">
    <w:name w:val="Hyperlink"/>
    <w:basedOn w:val="DefaultParagraphFont"/>
    <w:uiPriority w:val="99"/>
    <w:unhideWhenUsed/>
    <w:rsid w:val="00E748D8"/>
    <w:rPr>
      <w:color w:val="0000FF"/>
      <w:u w:val="single"/>
    </w:rPr>
  </w:style>
  <w:style w:type="paragraph" w:styleId="FootnoteText">
    <w:name w:val="footnote text"/>
    <w:aliases w:val="fn"/>
    <w:basedOn w:val="Normal"/>
    <w:link w:val="FootnoteTextChar"/>
    <w:uiPriority w:val="99"/>
    <w:unhideWhenUsed/>
    <w:rsid w:val="007B6508"/>
  </w:style>
  <w:style w:type="character" w:customStyle="1" w:styleId="FootnoteTextChar">
    <w:name w:val="Footnote Text Char"/>
    <w:aliases w:val="fn Char"/>
    <w:basedOn w:val="DefaultParagraphFont"/>
    <w:link w:val="FootnoteText"/>
    <w:uiPriority w:val="99"/>
    <w:rsid w:val="007B6508"/>
    <w:rPr>
      <w:rFonts w:ascii="Times New Roman" w:hAnsi="Times New Roman"/>
    </w:rPr>
  </w:style>
  <w:style w:type="character" w:styleId="FootnoteReference">
    <w:name w:val="footnote reference"/>
    <w:basedOn w:val="DefaultParagraphFont"/>
    <w:uiPriority w:val="99"/>
    <w:semiHidden/>
    <w:unhideWhenUsed/>
    <w:rsid w:val="007B6508"/>
    <w:rPr>
      <w:vertAlign w:val="superscript"/>
    </w:rPr>
  </w:style>
  <w:style w:type="paragraph" w:styleId="EndnoteText">
    <w:name w:val="endnote text"/>
    <w:basedOn w:val="Normal"/>
    <w:link w:val="EndnoteTextChar"/>
    <w:uiPriority w:val="99"/>
    <w:semiHidden/>
    <w:unhideWhenUsed/>
    <w:rsid w:val="00262999"/>
  </w:style>
  <w:style w:type="character" w:customStyle="1" w:styleId="EndnoteTextChar">
    <w:name w:val="Endnote Text Char"/>
    <w:basedOn w:val="DefaultParagraphFont"/>
    <w:link w:val="EndnoteText"/>
    <w:uiPriority w:val="99"/>
    <w:semiHidden/>
    <w:rsid w:val="00262999"/>
    <w:rPr>
      <w:rFonts w:ascii="Times New Roman" w:hAnsi="Times New Roman"/>
    </w:rPr>
  </w:style>
  <w:style w:type="character" w:styleId="EndnoteReference">
    <w:name w:val="endnote reference"/>
    <w:basedOn w:val="DefaultParagraphFont"/>
    <w:uiPriority w:val="99"/>
    <w:semiHidden/>
    <w:unhideWhenUsed/>
    <w:rsid w:val="00262999"/>
    <w:rPr>
      <w:vertAlign w:val="superscript"/>
    </w:rPr>
  </w:style>
  <w:style w:type="paragraph" w:styleId="ListParagraph">
    <w:name w:val="List Paragraph"/>
    <w:basedOn w:val="Normal"/>
    <w:uiPriority w:val="34"/>
    <w:qFormat/>
    <w:rsid w:val="00556983"/>
    <w:pPr>
      <w:ind w:left="720"/>
      <w:contextualSpacing/>
    </w:pPr>
  </w:style>
  <w:style w:type="character" w:styleId="CommentReference">
    <w:name w:val="annotation reference"/>
    <w:basedOn w:val="DefaultParagraphFont"/>
    <w:uiPriority w:val="99"/>
    <w:semiHidden/>
    <w:unhideWhenUsed/>
    <w:rsid w:val="00BC11BB"/>
    <w:rPr>
      <w:sz w:val="16"/>
      <w:szCs w:val="16"/>
    </w:rPr>
  </w:style>
  <w:style w:type="paragraph" w:styleId="CommentText">
    <w:name w:val="annotation text"/>
    <w:basedOn w:val="Normal"/>
    <w:link w:val="CommentTextChar"/>
    <w:uiPriority w:val="99"/>
    <w:unhideWhenUsed/>
    <w:rsid w:val="00BC11BB"/>
  </w:style>
  <w:style w:type="character" w:customStyle="1" w:styleId="CommentTextChar">
    <w:name w:val="Comment Text Char"/>
    <w:basedOn w:val="DefaultParagraphFont"/>
    <w:link w:val="CommentText"/>
    <w:uiPriority w:val="99"/>
    <w:rsid w:val="00BC11B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C11BB"/>
    <w:rPr>
      <w:b/>
      <w:bCs/>
    </w:rPr>
  </w:style>
  <w:style w:type="character" w:customStyle="1" w:styleId="CommentSubjectChar">
    <w:name w:val="Comment Subject Char"/>
    <w:basedOn w:val="CommentTextChar"/>
    <w:link w:val="CommentSubject"/>
    <w:uiPriority w:val="99"/>
    <w:semiHidden/>
    <w:rsid w:val="00BC11BB"/>
    <w:rPr>
      <w:rFonts w:ascii="Times New Roman" w:hAnsi="Times New Roman"/>
      <w:b/>
      <w:bCs/>
    </w:rPr>
  </w:style>
  <w:style w:type="paragraph" w:styleId="BalloonText">
    <w:name w:val="Balloon Text"/>
    <w:basedOn w:val="Normal"/>
    <w:link w:val="BalloonTextChar"/>
    <w:uiPriority w:val="99"/>
    <w:semiHidden/>
    <w:unhideWhenUsed/>
    <w:rsid w:val="00BC11BB"/>
    <w:rPr>
      <w:rFonts w:ascii="Tahoma" w:hAnsi="Tahoma" w:cs="Tahoma"/>
      <w:sz w:val="16"/>
      <w:szCs w:val="16"/>
    </w:rPr>
  </w:style>
  <w:style w:type="character" w:customStyle="1" w:styleId="BalloonTextChar">
    <w:name w:val="Balloon Text Char"/>
    <w:basedOn w:val="DefaultParagraphFont"/>
    <w:link w:val="BalloonText"/>
    <w:uiPriority w:val="99"/>
    <w:semiHidden/>
    <w:rsid w:val="00BC11BB"/>
    <w:rPr>
      <w:rFonts w:ascii="Tahoma" w:hAnsi="Tahoma" w:cs="Tahoma"/>
      <w:sz w:val="16"/>
      <w:szCs w:val="16"/>
    </w:rPr>
  </w:style>
  <w:style w:type="paragraph" w:styleId="Revision">
    <w:name w:val="Revision"/>
    <w:hidden/>
    <w:uiPriority w:val="99"/>
    <w:semiHidden/>
    <w:rsid w:val="007F796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D0"/>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32D"/>
    <w:pPr>
      <w:tabs>
        <w:tab w:val="center" w:pos="4680"/>
        <w:tab w:val="right" w:pos="9360"/>
      </w:tabs>
    </w:pPr>
  </w:style>
  <w:style w:type="character" w:customStyle="1" w:styleId="HeaderChar">
    <w:name w:val="Header Char"/>
    <w:basedOn w:val="DefaultParagraphFont"/>
    <w:link w:val="Header"/>
    <w:uiPriority w:val="99"/>
    <w:rsid w:val="0009732D"/>
    <w:rPr>
      <w:rFonts w:ascii="Times New Roman" w:hAnsi="Times New Roman"/>
    </w:rPr>
  </w:style>
  <w:style w:type="paragraph" w:styleId="Footer">
    <w:name w:val="footer"/>
    <w:basedOn w:val="Normal"/>
    <w:link w:val="FooterChar"/>
    <w:uiPriority w:val="99"/>
    <w:unhideWhenUsed/>
    <w:rsid w:val="0009732D"/>
    <w:pPr>
      <w:tabs>
        <w:tab w:val="center" w:pos="4680"/>
        <w:tab w:val="right" w:pos="9360"/>
      </w:tabs>
    </w:pPr>
  </w:style>
  <w:style w:type="character" w:customStyle="1" w:styleId="FooterChar">
    <w:name w:val="Footer Char"/>
    <w:basedOn w:val="DefaultParagraphFont"/>
    <w:link w:val="Footer"/>
    <w:uiPriority w:val="99"/>
    <w:rsid w:val="0009732D"/>
    <w:rPr>
      <w:rFonts w:ascii="Times New Roman" w:hAnsi="Times New Roman"/>
    </w:rPr>
  </w:style>
  <w:style w:type="character" w:styleId="Hyperlink">
    <w:name w:val="Hyperlink"/>
    <w:basedOn w:val="DefaultParagraphFont"/>
    <w:uiPriority w:val="99"/>
    <w:unhideWhenUsed/>
    <w:rsid w:val="00E748D8"/>
    <w:rPr>
      <w:color w:val="0000FF"/>
      <w:u w:val="single"/>
    </w:rPr>
  </w:style>
  <w:style w:type="paragraph" w:styleId="FootnoteText">
    <w:name w:val="footnote text"/>
    <w:aliases w:val="fn"/>
    <w:basedOn w:val="Normal"/>
    <w:link w:val="FootnoteTextChar"/>
    <w:uiPriority w:val="99"/>
    <w:unhideWhenUsed/>
    <w:rsid w:val="007B6508"/>
  </w:style>
  <w:style w:type="character" w:customStyle="1" w:styleId="FootnoteTextChar">
    <w:name w:val="Footnote Text Char"/>
    <w:aliases w:val="fn Char"/>
    <w:basedOn w:val="DefaultParagraphFont"/>
    <w:link w:val="FootnoteText"/>
    <w:uiPriority w:val="99"/>
    <w:rsid w:val="007B6508"/>
    <w:rPr>
      <w:rFonts w:ascii="Times New Roman" w:hAnsi="Times New Roman"/>
    </w:rPr>
  </w:style>
  <w:style w:type="character" w:styleId="FootnoteReference">
    <w:name w:val="footnote reference"/>
    <w:basedOn w:val="DefaultParagraphFont"/>
    <w:uiPriority w:val="99"/>
    <w:semiHidden/>
    <w:unhideWhenUsed/>
    <w:rsid w:val="007B6508"/>
    <w:rPr>
      <w:vertAlign w:val="superscript"/>
    </w:rPr>
  </w:style>
  <w:style w:type="paragraph" w:styleId="EndnoteText">
    <w:name w:val="endnote text"/>
    <w:basedOn w:val="Normal"/>
    <w:link w:val="EndnoteTextChar"/>
    <w:uiPriority w:val="99"/>
    <w:semiHidden/>
    <w:unhideWhenUsed/>
    <w:rsid w:val="00262999"/>
  </w:style>
  <w:style w:type="character" w:customStyle="1" w:styleId="EndnoteTextChar">
    <w:name w:val="Endnote Text Char"/>
    <w:basedOn w:val="DefaultParagraphFont"/>
    <w:link w:val="EndnoteText"/>
    <w:uiPriority w:val="99"/>
    <w:semiHidden/>
    <w:rsid w:val="00262999"/>
    <w:rPr>
      <w:rFonts w:ascii="Times New Roman" w:hAnsi="Times New Roman"/>
    </w:rPr>
  </w:style>
  <w:style w:type="character" w:styleId="EndnoteReference">
    <w:name w:val="endnote reference"/>
    <w:basedOn w:val="DefaultParagraphFont"/>
    <w:uiPriority w:val="99"/>
    <w:semiHidden/>
    <w:unhideWhenUsed/>
    <w:rsid w:val="00262999"/>
    <w:rPr>
      <w:vertAlign w:val="superscript"/>
    </w:rPr>
  </w:style>
  <w:style w:type="paragraph" w:styleId="ListParagraph">
    <w:name w:val="List Paragraph"/>
    <w:basedOn w:val="Normal"/>
    <w:uiPriority w:val="34"/>
    <w:qFormat/>
    <w:rsid w:val="00556983"/>
    <w:pPr>
      <w:ind w:left="720"/>
      <w:contextualSpacing/>
    </w:pPr>
  </w:style>
  <w:style w:type="character" w:styleId="CommentReference">
    <w:name w:val="annotation reference"/>
    <w:basedOn w:val="DefaultParagraphFont"/>
    <w:uiPriority w:val="99"/>
    <w:semiHidden/>
    <w:unhideWhenUsed/>
    <w:rsid w:val="00BC11BB"/>
    <w:rPr>
      <w:sz w:val="16"/>
      <w:szCs w:val="16"/>
    </w:rPr>
  </w:style>
  <w:style w:type="paragraph" w:styleId="CommentText">
    <w:name w:val="annotation text"/>
    <w:basedOn w:val="Normal"/>
    <w:link w:val="CommentTextChar"/>
    <w:uiPriority w:val="99"/>
    <w:unhideWhenUsed/>
    <w:rsid w:val="00BC11BB"/>
  </w:style>
  <w:style w:type="character" w:customStyle="1" w:styleId="CommentTextChar">
    <w:name w:val="Comment Text Char"/>
    <w:basedOn w:val="DefaultParagraphFont"/>
    <w:link w:val="CommentText"/>
    <w:uiPriority w:val="99"/>
    <w:rsid w:val="00BC11B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C11BB"/>
    <w:rPr>
      <w:b/>
      <w:bCs/>
    </w:rPr>
  </w:style>
  <w:style w:type="character" w:customStyle="1" w:styleId="CommentSubjectChar">
    <w:name w:val="Comment Subject Char"/>
    <w:basedOn w:val="CommentTextChar"/>
    <w:link w:val="CommentSubject"/>
    <w:uiPriority w:val="99"/>
    <w:semiHidden/>
    <w:rsid w:val="00BC11BB"/>
    <w:rPr>
      <w:rFonts w:ascii="Times New Roman" w:hAnsi="Times New Roman"/>
      <w:b/>
      <w:bCs/>
    </w:rPr>
  </w:style>
  <w:style w:type="paragraph" w:styleId="BalloonText">
    <w:name w:val="Balloon Text"/>
    <w:basedOn w:val="Normal"/>
    <w:link w:val="BalloonTextChar"/>
    <w:uiPriority w:val="99"/>
    <w:semiHidden/>
    <w:unhideWhenUsed/>
    <w:rsid w:val="00BC11BB"/>
    <w:rPr>
      <w:rFonts w:ascii="Tahoma" w:hAnsi="Tahoma" w:cs="Tahoma"/>
      <w:sz w:val="16"/>
      <w:szCs w:val="16"/>
    </w:rPr>
  </w:style>
  <w:style w:type="character" w:customStyle="1" w:styleId="BalloonTextChar">
    <w:name w:val="Balloon Text Char"/>
    <w:basedOn w:val="DefaultParagraphFont"/>
    <w:link w:val="BalloonText"/>
    <w:uiPriority w:val="99"/>
    <w:semiHidden/>
    <w:rsid w:val="00BC11BB"/>
    <w:rPr>
      <w:rFonts w:ascii="Tahoma" w:hAnsi="Tahoma" w:cs="Tahoma"/>
      <w:sz w:val="16"/>
      <w:szCs w:val="16"/>
    </w:rPr>
  </w:style>
  <w:style w:type="paragraph" w:styleId="Revision">
    <w:name w:val="Revision"/>
    <w:hidden/>
    <w:uiPriority w:val="99"/>
    <w:semiHidden/>
    <w:rsid w:val="007F796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25817">
      <w:bodyDiv w:val="1"/>
      <w:marLeft w:val="0"/>
      <w:marRight w:val="0"/>
      <w:marTop w:val="0"/>
      <w:marBottom w:val="0"/>
      <w:divBdr>
        <w:top w:val="none" w:sz="0" w:space="0" w:color="auto"/>
        <w:left w:val="none" w:sz="0" w:space="0" w:color="auto"/>
        <w:bottom w:val="none" w:sz="0" w:space="0" w:color="auto"/>
        <w:right w:val="none" w:sz="0" w:space="0" w:color="auto"/>
      </w:divBdr>
    </w:div>
    <w:div w:id="960261455">
      <w:bodyDiv w:val="1"/>
      <w:marLeft w:val="0"/>
      <w:marRight w:val="0"/>
      <w:marTop w:val="0"/>
      <w:marBottom w:val="0"/>
      <w:divBdr>
        <w:top w:val="none" w:sz="0" w:space="0" w:color="auto"/>
        <w:left w:val="none" w:sz="0" w:space="0" w:color="auto"/>
        <w:bottom w:val="none" w:sz="0" w:space="0" w:color="auto"/>
        <w:right w:val="none" w:sz="0" w:space="0" w:color="auto"/>
      </w:divBdr>
    </w:div>
    <w:div w:id="10137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2.westlaw.com/find/default.wl?mt=Westlaw&amp;db=506&amp;tc=-1&amp;rp=%2ffind%2fdefault.wl&amp;findtype=Y&amp;ordoc=2027100383&amp;serialnum=2007256421&amp;vr=2.0&amp;fn=_top&amp;sv=Split&amp;tf=-1&amp;referencepositiontype=S&amp;pbc=5DC42BF4&amp;referenceposition=157&amp;rs=WLW14.0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3785</Words>
  <Characters>21575</Characters>
  <Application>Microsoft Office Word</Application>
  <DocSecurity>12</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25310</CharactersWithSpaces>
  <SharedDoc>false</SharedDoc>
  <HLinks>
    <vt:vector size="6" baseType="variant">
      <vt:variant>
        <vt:i4>2162716</vt:i4>
      </vt:variant>
      <vt:variant>
        <vt:i4>0</vt:i4>
      </vt:variant>
      <vt:variant>
        <vt:i4>0</vt:i4>
      </vt:variant>
      <vt:variant>
        <vt:i4>5</vt:i4>
      </vt:variant>
      <vt:variant>
        <vt:lpwstr>https://web2.westlaw.com/find/default.wl?mt=Westlaw&amp;db=506&amp;tc=-1&amp;rp=%2ffind%2fdefault.wl&amp;findtype=Y&amp;ordoc=2027100383&amp;serialnum=2007256421&amp;vr=2.0&amp;fn=_top&amp;sv=Split&amp;tf=-1&amp;referencepositiontype=S&amp;pbc=5DC42BF4&amp;referenceposition=157&amp;rs=WLW14.04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2014-06-30T16:08:00Z</dcterms:created>
  <dcterms:modified xsi:type="dcterms:W3CDTF">2014-06-30T16:08:00Z</dcterms:modified>
</cp:coreProperties>
</file>