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A1" w:rsidRPr="00661B39" w:rsidRDefault="00F312A1" w:rsidP="00F312A1">
      <w:pPr>
        <w:jc w:val="center"/>
        <w:rPr>
          <w:szCs w:val="24"/>
        </w:rPr>
      </w:pPr>
      <w:bookmarkStart w:id="0" w:name="_GoBack"/>
      <w:bookmarkEnd w:id="0"/>
      <w:r w:rsidRPr="00661B39">
        <w:rPr>
          <w:szCs w:val="24"/>
        </w:rPr>
        <w:t>UNITED STATES DISTRICT COURT</w:t>
      </w:r>
    </w:p>
    <w:p w:rsidR="00F312A1" w:rsidRPr="00661B39" w:rsidRDefault="00F312A1" w:rsidP="00F312A1">
      <w:pPr>
        <w:jc w:val="center"/>
        <w:rPr>
          <w:szCs w:val="24"/>
        </w:rPr>
      </w:pPr>
      <w:r w:rsidRPr="00661B39">
        <w:rPr>
          <w:szCs w:val="24"/>
        </w:rPr>
        <w:t>FOR THE EASTERN DISTRICT OF NORTH CAROLINA</w:t>
      </w:r>
    </w:p>
    <w:p w:rsidR="00F312A1" w:rsidRPr="00661B39" w:rsidRDefault="00F312A1" w:rsidP="00F312A1">
      <w:pPr>
        <w:jc w:val="center"/>
        <w:rPr>
          <w:szCs w:val="24"/>
        </w:rPr>
      </w:pPr>
      <w:r w:rsidRPr="00661B39">
        <w:rPr>
          <w:szCs w:val="24"/>
        </w:rPr>
        <w:t>WESTERN DIVISION</w:t>
      </w:r>
    </w:p>
    <w:p w:rsidR="00F312A1" w:rsidRPr="00661B39" w:rsidRDefault="00F312A1" w:rsidP="00F312A1">
      <w:pPr>
        <w:jc w:val="both"/>
        <w:rPr>
          <w:b/>
          <w:szCs w:val="24"/>
          <w:u w:val="single"/>
        </w:rPr>
      </w:pPr>
    </w:p>
    <w:p w:rsidR="00F312A1" w:rsidRPr="00661B39" w:rsidRDefault="00B34D87" w:rsidP="00F312A1">
      <w:pPr>
        <w:jc w:val="both"/>
        <w:rPr>
          <w:b/>
          <w:szCs w:val="24"/>
          <w:u w:val="single"/>
        </w:rPr>
      </w:pPr>
      <w:r w:rsidRPr="00B34D87">
        <w:rPr>
          <w:noProof/>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236.75pt;margin-top:12.5pt;width:.05pt;height:1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DU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"/>
        </w:pict>
      </w:r>
    </w:p>
    <w:p w:rsidR="00F312A1" w:rsidRPr="00661B39" w:rsidRDefault="00F312A1" w:rsidP="00F312A1">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t xml:space="preserve">                                    </w:t>
      </w:r>
    </w:p>
    <w:p w:rsidR="00F312A1" w:rsidRPr="00661B39" w:rsidRDefault="00F312A1" w:rsidP="00F312A1">
      <w:pPr>
        <w:jc w:val="both"/>
        <w:rPr>
          <w:szCs w:val="24"/>
        </w:rPr>
      </w:pPr>
      <w:r w:rsidRPr="00661B39">
        <w:rPr>
          <w:szCs w:val="24"/>
        </w:rPr>
        <w:t>THE UNITED STATES OF AMERICA,</w:t>
      </w:r>
      <w:r w:rsidRPr="00661B39">
        <w:rPr>
          <w:szCs w:val="24"/>
        </w:rPr>
        <w:tab/>
        <w:t xml:space="preserve">                        </w:t>
      </w:r>
      <w:r w:rsidRPr="00661B39">
        <w:rPr>
          <w:szCs w:val="24"/>
        </w:rPr>
        <w:tab/>
      </w:r>
    </w:p>
    <w:p w:rsidR="00F312A1" w:rsidRPr="00661B39" w:rsidRDefault="00F312A1" w:rsidP="00F312A1">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 xml:space="preserve">                        </w:t>
      </w:r>
    </w:p>
    <w:p w:rsidR="00F312A1" w:rsidRPr="00661B39" w:rsidRDefault="00F312A1" w:rsidP="00F312A1">
      <w:pPr>
        <w:tabs>
          <w:tab w:val="left" w:pos="720"/>
          <w:tab w:val="left" w:pos="1440"/>
          <w:tab w:val="left" w:pos="2160"/>
          <w:tab w:val="left" w:pos="2880"/>
          <w:tab w:val="left" w:pos="3600"/>
          <w:tab w:val="left" w:pos="4320"/>
          <w:tab w:val="left" w:pos="6390"/>
        </w:tabs>
        <w:jc w:val="both"/>
        <w:rPr>
          <w:szCs w:val="24"/>
        </w:rPr>
      </w:pPr>
      <w:r w:rsidRPr="00661B39">
        <w:rPr>
          <w:szCs w:val="24"/>
        </w:rPr>
        <w:tab/>
      </w:r>
      <w:r w:rsidRPr="00661B39">
        <w:rPr>
          <w:szCs w:val="24"/>
        </w:rPr>
        <w:tab/>
      </w:r>
      <w:r w:rsidRPr="00661B39">
        <w:rPr>
          <w:szCs w:val="24"/>
        </w:rPr>
        <w:tab/>
        <w:t>Plaintiff,</w:t>
      </w:r>
      <w:r w:rsidRPr="00661B39">
        <w:rPr>
          <w:szCs w:val="24"/>
        </w:rPr>
        <w:tab/>
      </w:r>
      <w:r w:rsidRPr="00661B39">
        <w:rPr>
          <w:szCs w:val="24"/>
        </w:rPr>
        <w:tab/>
        <w:t xml:space="preserve">                        </w:t>
      </w:r>
      <w:r w:rsidRPr="00661B39">
        <w:rPr>
          <w:szCs w:val="24"/>
        </w:rPr>
        <w:tab/>
      </w:r>
    </w:p>
    <w:p w:rsidR="00F312A1" w:rsidRPr="00661B39" w:rsidRDefault="00F312A1" w:rsidP="00F312A1">
      <w:pPr>
        <w:jc w:val="both"/>
        <w:rPr>
          <w:szCs w:val="24"/>
        </w:rPr>
      </w:pPr>
      <w:r w:rsidRPr="00661B39">
        <w:rPr>
          <w:szCs w:val="24"/>
        </w:rPr>
        <w:tab/>
      </w:r>
      <w:r w:rsidRPr="00661B39">
        <w:rPr>
          <w:szCs w:val="24"/>
        </w:rPr>
        <w:tab/>
        <w:t xml:space="preserve">v. </w:t>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Case No. 5:12-cv-557</w:t>
      </w:r>
      <w:r w:rsidR="003F5170" w:rsidRPr="00661B39">
        <w:rPr>
          <w:szCs w:val="24"/>
        </w:rPr>
        <w:t>-F</w:t>
      </w:r>
    </w:p>
    <w:p w:rsidR="00F312A1" w:rsidRPr="00661B39" w:rsidRDefault="00F312A1" w:rsidP="00F312A1">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p>
    <w:p w:rsidR="00F312A1" w:rsidRPr="00661B39" w:rsidRDefault="00F312A1" w:rsidP="00F312A1">
      <w:pPr>
        <w:jc w:val="both"/>
        <w:rPr>
          <w:szCs w:val="24"/>
        </w:rPr>
      </w:pPr>
      <w:r w:rsidRPr="00661B39">
        <w:rPr>
          <w:szCs w:val="24"/>
        </w:rPr>
        <w:t>STATE OF NORTH CAROLINA,</w:t>
      </w:r>
      <w:r w:rsidRPr="00661B39">
        <w:rPr>
          <w:szCs w:val="24"/>
        </w:rPr>
        <w:tab/>
      </w:r>
      <w:r w:rsidRPr="00661B39">
        <w:rPr>
          <w:szCs w:val="24"/>
        </w:rPr>
        <w:tab/>
      </w:r>
      <w:r w:rsidRPr="00661B39">
        <w:rPr>
          <w:szCs w:val="24"/>
        </w:rPr>
        <w:tab/>
      </w:r>
      <w:r w:rsidRPr="00661B39">
        <w:rPr>
          <w:szCs w:val="24"/>
        </w:rPr>
        <w:tab/>
      </w:r>
    </w:p>
    <w:p w:rsidR="00F312A1" w:rsidRPr="00661B39" w:rsidRDefault="00F312A1" w:rsidP="00F312A1">
      <w:pPr>
        <w:tabs>
          <w:tab w:val="left" w:pos="720"/>
          <w:tab w:val="left" w:pos="1440"/>
          <w:tab w:val="left" w:pos="2160"/>
          <w:tab w:val="left" w:pos="2880"/>
          <w:tab w:val="left" w:pos="3600"/>
          <w:tab w:val="left" w:pos="4320"/>
          <w:tab w:val="left" w:pos="6510"/>
        </w:tabs>
        <w:jc w:val="both"/>
        <w:rPr>
          <w:szCs w:val="24"/>
        </w:rPr>
      </w:pPr>
      <w:r w:rsidRPr="00661B39">
        <w:rPr>
          <w:szCs w:val="24"/>
        </w:rPr>
        <w:tab/>
      </w:r>
      <w:r w:rsidRPr="00661B39">
        <w:rPr>
          <w:szCs w:val="24"/>
        </w:rPr>
        <w:tab/>
      </w:r>
      <w:r w:rsidRPr="00661B39">
        <w:rPr>
          <w:szCs w:val="24"/>
        </w:rPr>
        <w:tab/>
      </w:r>
      <w:r w:rsidRPr="00661B39">
        <w:rPr>
          <w:szCs w:val="24"/>
        </w:rPr>
        <w:tab/>
        <w:t xml:space="preserve">    </w:t>
      </w:r>
      <w:r w:rsidRPr="00661B39">
        <w:rPr>
          <w:szCs w:val="24"/>
        </w:rPr>
        <w:tab/>
      </w:r>
      <w:r w:rsidRPr="00661B39">
        <w:rPr>
          <w:szCs w:val="24"/>
        </w:rPr>
        <w:tab/>
        <w:t xml:space="preserve">                                     </w:t>
      </w:r>
    </w:p>
    <w:p w:rsidR="00F312A1" w:rsidRPr="00661B39" w:rsidRDefault="00F312A1" w:rsidP="00F312A1">
      <w:pPr>
        <w:jc w:val="both"/>
        <w:rPr>
          <w:szCs w:val="24"/>
        </w:rPr>
      </w:pPr>
      <w:r w:rsidRPr="00661B39">
        <w:rPr>
          <w:szCs w:val="24"/>
        </w:rPr>
        <w:tab/>
      </w:r>
      <w:r w:rsidRPr="00661B39">
        <w:rPr>
          <w:szCs w:val="24"/>
        </w:rPr>
        <w:tab/>
      </w:r>
      <w:r w:rsidRPr="00661B39">
        <w:rPr>
          <w:szCs w:val="24"/>
        </w:rPr>
        <w:tab/>
        <w:t>Defendant.</w:t>
      </w:r>
      <w:r w:rsidRPr="00661B39">
        <w:rPr>
          <w:szCs w:val="24"/>
        </w:rPr>
        <w:tab/>
      </w:r>
      <w:r w:rsidRPr="00661B39">
        <w:rPr>
          <w:szCs w:val="24"/>
        </w:rPr>
        <w:tab/>
        <w:t xml:space="preserve">                        </w:t>
      </w:r>
    </w:p>
    <w:p w:rsidR="00F312A1" w:rsidRPr="00661B39" w:rsidRDefault="00F312A1" w:rsidP="00F312A1">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p>
    <w:p w:rsidR="00F312A1" w:rsidRPr="00661B39" w:rsidRDefault="00B34D87" w:rsidP="00F312A1">
      <w:pPr>
        <w:jc w:val="both"/>
        <w:rPr>
          <w:szCs w:val="24"/>
        </w:rPr>
      </w:pPr>
      <w:r>
        <w:rPr>
          <w:noProof/>
          <w:szCs w:val="24"/>
        </w:rPr>
        <w:pict>
          <v:shape id="AutoShape 7" o:spid="_x0000_s1029" type="#_x0000_t32" style="position:absolute;left:0;text-align:left;margin-left:0;margin-top:8.65pt;width:236.8pt;height:.0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"/>
        </w:pict>
      </w:r>
    </w:p>
    <w:p w:rsidR="00F312A1" w:rsidRPr="00661B39" w:rsidRDefault="00F312A1" w:rsidP="00F312A1">
      <w:pPr>
        <w:jc w:val="both"/>
        <w:rPr>
          <w:b/>
          <w:szCs w:val="24"/>
          <w:u w:val="single"/>
        </w:rPr>
      </w:pPr>
    </w:p>
    <w:p w:rsidR="00182EDB" w:rsidRPr="00661B39" w:rsidRDefault="00182EDB" w:rsidP="00F55698">
      <w:pPr>
        <w:jc w:val="both"/>
        <w:rPr>
          <w:b/>
          <w:szCs w:val="24"/>
          <w:u w:val="single"/>
        </w:rPr>
      </w:pPr>
    </w:p>
    <w:p w:rsidR="00182EDB" w:rsidRPr="00661B39" w:rsidRDefault="00182EDB" w:rsidP="00F55698">
      <w:pPr>
        <w:jc w:val="both"/>
        <w:rPr>
          <w:b/>
          <w:szCs w:val="24"/>
          <w:u w:val="single"/>
        </w:rPr>
      </w:pPr>
    </w:p>
    <w:p w:rsidR="00182EDB" w:rsidRPr="00661B39" w:rsidRDefault="00182EDB" w:rsidP="00F55698">
      <w:pPr>
        <w:jc w:val="both"/>
        <w:rPr>
          <w:b/>
          <w:szCs w:val="24"/>
          <w:u w:val="single"/>
        </w:rPr>
      </w:pPr>
    </w:p>
    <w:p w:rsidR="00182EDB" w:rsidRPr="00661B39" w:rsidRDefault="00182EDB" w:rsidP="00F55698">
      <w:pPr>
        <w:jc w:val="both"/>
        <w:rPr>
          <w:b/>
          <w:szCs w:val="24"/>
          <w:u w:val="single"/>
        </w:rPr>
      </w:pPr>
    </w:p>
    <w:p w:rsidR="00182EDB" w:rsidRPr="00661B39" w:rsidRDefault="00182EDB" w:rsidP="00F55698">
      <w:pPr>
        <w:jc w:val="both"/>
        <w:rPr>
          <w:b/>
          <w:szCs w:val="24"/>
          <w:u w:val="single"/>
        </w:rPr>
      </w:pPr>
    </w:p>
    <w:p w:rsidR="00182EDB" w:rsidRPr="00661B39" w:rsidRDefault="00182EDB" w:rsidP="00F55698">
      <w:pPr>
        <w:jc w:val="both"/>
        <w:rPr>
          <w:b/>
          <w:szCs w:val="24"/>
          <w:u w:val="single"/>
        </w:rPr>
      </w:pPr>
    </w:p>
    <w:p w:rsidR="00182EDB" w:rsidRPr="00661B39" w:rsidRDefault="00182EDB" w:rsidP="00E35CCB">
      <w:pPr>
        <w:jc w:val="center"/>
        <w:rPr>
          <w:b/>
          <w:szCs w:val="24"/>
          <w:u w:val="single"/>
        </w:rPr>
      </w:pPr>
      <w:r w:rsidRPr="00661B39">
        <w:rPr>
          <w:b/>
          <w:szCs w:val="24"/>
          <w:u w:val="single"/>
        </w:rPr>
        <w:t xml:space="preserve">UNITED STATES’ MEMORANDUM IN SUPPORT OF </w:t>
      </w:r>
      <w:r w:rsidR="002B5442" w:rsidRPr="00661B39">
        <w:rPr>
          <w:b/>
          <w:szCs w:val="24"/>
          <w:u w:val="single"/>
        </w:rPr>
        <w:t>ITS</w:t>
      </w:r>
    </w:p>
    <w:p w:rsidR="00182EDB" w:rsidRPr="00661B39" w:rsidRDefault="00182EDB" w:rsidP="00E35CCB">
      <w:pPr>
        <w:jc w:val="center"/>
        <w:rPr>
          <w:b/>
          <w:szCs w:val="24"/>
          <w:u w:val="single"/>
        </w:rPr>
      </w:pPr>
      <w:r w:rsidRPr="00661B39">
        <w:rPr>
          <w:b/>
          <w:szCs w:val="24"/>
          <w:u w:val="single"/>
        </w:rPr>
        <w:t>MOTION TO ENFORCE SETTLEMENT AGREEMENT</w:t>
      </w:r>
    </w:p>
    <w:p w:rsidR="00182EDB" w:rsidRPr="00661B39" w:rsidRDefault="00182EDB" w:rsidP="00F55698">
      <w:pPr>
        <w:jc w:val="both"/>
        <w:rPr>
          <w:b/>
          <w:szCs w:val="24"/>
          <w:u w:val="single"/>
        </w:rPr>
      </w:pPr>
    </w:p>
    <w:p w:rsidR="00182EDB" w:rsidRPr="00661B39" w:rsidRDefault="00182EDB" w:rsidP="00F55698">
      <w:pPr>
        <w:spacing w:line="480" w:lineRule="auto"/>
        <w:jc w:val="both"/>
        <w:rPr>
          <w:szCs w:val="24"/>
        </w:rPr>
      </w:pPr>
      <w:r w:rsidRPr="00661B39">
        <w:rPr>
          <w:szCs w:val="24"/>
        </w:rPr>
        <w:tab/>
      </w:r>
    </w:p>
    <w:p w:rsidR="00182EDB" w:rsidRPr="00661B39" w:rsidRDefault="00182EDB" w:rsidP="00F55698">
      <w:pPr>
        <w:jc w:val="both"/>
        <w:rPr>
          <w:b/>
          <w:szCs w:val="24"/>
          <w:u w:val="single"/>
        </w:rPr>
      </w:pPr>
    </w:p>
    <w:p w:rsidR="000E089D" w:rsidRPr="00661B39" w:rsidRDefault="00182EDB" w:rsidP="00F55698">
      <w:pPr>
        <w:jc w:val="both"/>
        <w:rPr>
          <w:b/>
          <w:szCs w:val="24"/>
          <w:u w:val="single"/>
        </w:rPr>
        <w:sectPr w:rsidR="000E089D" w:rsidRPr="00661B39" w:rsidSect="004C55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r w:rsidRPr="00661B39">
        <w:rPr>
          <w:b/>
          <w:szCs w:val="24"/>
          <w:u w:val="single"/>
        </w:rPr>
        <w:br w:type="page"/>
      </w:r>
    </w:p>
    <w:sdt>
      <w:sdtPr>
        <w:rPr>
          <w:b w:val="0"/>
          <w:szCs w:val="22"/>
          <w:u w:val="none"/>
        </w:rPr>
        <w:id w:val="10495373"/>
        <w:docPartObj>
          <w:docPartGallery w:val="Table of Contents"/>
          <w:docPartUnique/>
        </w:docPartObj>
      </w:sdtPr>
      <w:sdtContent>
        <w:p w:rsidR="000E089D" w:rsidRDefault="00163F0C" w:rsidP="000E089D">
          <w:pPr>
            <w:pStyle w:val="TOCHeading"/>
          </w:pPr>
          <w:r w:rsidRPr="00B15609">
            <w:t>TABLE OF CONTENTS</w:t>
          </w:r>
        </w:p>
        <w:p w:rsidR="00B15609" w:rsidRPr="00B15609" w:rsidRDefault="00B15609" w:rsidP="00427B47">
          <w:pPr>
            <w:spacing w:line="276" w:lineRule="auto"/>
          </w:pPr>
        </w:p>
        <w:p w:rsidR="003F5CD7" w:rsidRDefault="00B34D87" w:rsidP="00113F67">
          <w:pPr>
            <w:pStyle w:val="TOC1"/>
            <w:rPr>
              <w:rFonts w:asciiTheme="minorHAnsi" w:eastAsiaTheme="minorEastAsia" w:hAnsiTheme="minorHAnsi" w:cstheme="minorBidi"/>
              <w:noProof/>
              <w:sz w:val="22"/>
            </w:rPr>
          </w:pPr>
          <w:r w:rsidRPr="00661B39">
            <w:rPr>
              <w:szCs w:val="24"/>
            </w:rPr>
            <w:fldChar w:fldCharType="begin"/>
          </w:r>
          <w:r w:rsidR="000E089D" w:rsidRPr="00661B39">
            <w:rPr>
              <w:szCs w:val="24"/>
            </w:rPr>
            <w:instrText xml:space="preserve"> TOC \o "1-3" \h \z \u </w:instrText>
          </w:r>
          <w:r w:rsidRPr="00661B39">
            <w:rPr>
              <w:szCs w:val="24"/>
            </w:rPr>
            <w:fldChar w:fldCharType="separate"/>
          </w:r>
          <w:hyperlink w:anchor="_Toc471487542" w:history="1">
            <w:r w:rsidR="003F5CD7" w:rsidRPr="0040008A">
              <w:rPr>
                <w:rStyle w:val="Hyperlink"/>
                <w:noProof/>
              </w:rPr>
              <w:t>NATURE OF THE CASE</w:t>
            </w:r>
            <w:r w:rsidR="003F5CD7">
              <w:rPr>
                <w:noProof/>
                <w:webHidden/>
              </w:rPr>
              <w:tab/>
            </w:r>
            <w:r>
              <w:rPr>
                <w:noProof/>
                <w:webHidden/>
              </w:rPr>
              <w:fldChar w:fldCharType="begin"/>
            </w:r>
            <w:r w:rsidR="003F5CD7">
              <w:rPr>
                <w:noProof/>
                <w:webHidden/>
              </w:rPr>
              <w:instrText xml:space="preserve"> PAGEREF _Toc471487542 \h </w:instrText>
            </w:r>
            <w:r>
              <w:rPr>
                <w:noProof/>
                <w:webHidden/>
              </w:rPr>
            </w:r>
            <w:r>
              <w:rPr>
                <w:noProof/>
                <w:webHidden/>
              </w:rPr>
              <w:fldChar w:fldCharType="separate"/>
            </w:r>
            <w:r w:rsidR="00EE0893">
              <w:rPr>
                <w:noProof/>
                <w:webHidden/>
              </w:rPr>
              <w:t>1</w:t>
            </w:r>
            <w:r>
              <w:rPr>
                <w:noProof/>
                <w:webHidden/>
              </w:rPr>
              <w:fldChar w:fldCharType="end"/>
            </w:r>
          </w:hyperlink>
        </w:p>
        <w:p w:rsidR="003F5CD7" w:rsidRPr="003F5CD7" w:rsidRDefault="003F5CD7" w:rsidP="00113F67">
          <w:pPr>
            <w:pStyle w:val="TOC1"/>
            <w:rPr>
              <w:rStyle w:val="Hyperlink"/>
              <w:noProof/>
              <w:sz w:val="12"/>
              <w:szCs w:val="12"/>
            </w:rPr>
          </w:pPr>
        </w:p>
        <w:p w:rsidR="003F5CD7" w:rsidRDefault="00B34D87" w:rsidP="00113F67">
          <w:pPr>
            <w:pStyle w:val="TOC1"/>
            <w:rPr>
              <w:rFonts w:asciiTheme="minorHAnsi" w:eastAsiaTheme="minorEastAsia" w:hAnsiTheme="minorHAnsi" w:cstheme="minorBidi"/>
              <w:noProof/>
              <w:sz w:val="22"/>
            </w:rPr>
          </w:pPr>
          <w:hyperlink w:anchor="_Toc471487543" w:history="1">
            <w:r w:rsidR="003F5CD7" w:rsidRPr="0040008A">
              <w:rPr>
                <w:rStyle w:val="Hyperlink"/>
                <w:noProof/>
              </w:rPr>
              <w:t>STATEMENT OF FACTS</w:t>
            </w:r>
            <w:r w:rsidR="003F5CD7">
              <w:rPr>
                <w:noProof/>
                <w:webHidden/>
              </w:rPr>
              <w:tab/>
            </w:r>
            <w:r>
              <w:rPr>
                <w:noProof/>
                <w:webHidden/>
              </w:rPr>
              <w:fldChar w:fldCharType="begin"/>
            </w:r>
            <w:r w:rsidR="003F5CD7">
              <w:rPr>
                <w:noProof/>
                <w:webHidden/>
              </w:rPr>
              <w:instrText xml:space="preserve"> PAGEREF _Toc471487543 \h </w:instrText>
            </w:r>
            <w:r>
              <w:rPr>
                <w:noProof/>
                <w:webHidden/>
              </w:rPr>
            </w:r>
            <w:r>
              <w:rPr>
                <w:noProof/>
                <w:webHidden/>
              </w:rPr>
              <w:fldChar w:fldCharType="separate"/>
            </w:r>
            <w:r w:rsidR="00EE0893">
              <w:rPr>
                <w:noProof/>
                <w:webHidden/>
              </w:rPr>
              <w:t>4</w:t>
            </w:r>
            <w:r>
              <w:rPr>
                <w:noProof/>
                <w:webHidden/>
              </w:rPr>
              <w:fldChar w:fldCharType="end"/>
            </w:r>
          </w:hyperlink>
        </w:p>
        <w:p w:rsidR="003F5CD7" w:rsidRDefault="00B34D87" w:rsidP="00113F67">
          <w:pPr>
            <w:pStyle w:val="TOC2"/>
            <w:rPr>
              <w:rFonts w:asciiTheme="minorHAnsi" w:eastAsiaTheme="minorEastAsia" w:hAnsiTheme="minorHAnsi" w:cstheme="minorBidi"/>
              <w:noProof/>
              <w:sz w:val="22"/>
            </w:rPr>
          </w:pPr>
          <w:hyperlink w:anchor="_Toc471487544" w:history="1">
            <w:r w:rsidR="003F5CD7" w:rsidRPr="0040008A">
              <w:rPr>
                <w:rStyle w:val="Hyperlink"/>
                <w:noProof/>
              </w:rPr>
              <w:t>I.</w:t>
            </w:r>
            <w:r w:rsidR="003F5CD7">
              <w:rPr>
                <w:rFonts w:asciiTheme="minorHAnsi" w:eastAsiaTheme="minorEastAsia" w:hAnsiTheme="minorHAnsi" w:cstheme="minorBidi"/>
                <w:noProof/>
                <w:sz w:val="22"/>
              </w:rPr>
              <w:tab/>
            </w:r>
            <w:r w:rsidR="003F5CD7" w:rsidRPr="0040008A">
              <w:rPr>
                <w:rStyle w:val="Hyperlink"/>
                <w:noProof/>
              </w:rPr>
              <w:t>BACKGROUND AND PROCEDURAL HISTORY</w:t>
            </w:r>
            <w:r w:rsidR="003F5CD7">
              <w:rPr>
                <w:noProof/>
                <w:webHidden/>
              </w:rPr>
              <w:tab/>
            </w:r>
            <w:r>
              <w:rPr>
                <w:noProof/>
                <w:webHidden/>
              </w:rPr>
              <w:fldChar w:fldCharType="begin"/>
            </w:r>
            <w:r w:rsidR="003F5CD7">
              <w:rPr>
                <w:noProof/>
                <w:webHidden/>
              </w:rPr>
              <w:instrText xml:space="preserve"> PAGEREF _Toc471487544 \h </w:instrText>
            </w:r>
            <w:r>
              <w:rPr>
                <w:noProof/>
                <w:webHidden/>
              </w:rPr>
            </w:r>
            <w:r>
              <w:rPr>
                <w:noProof/>
                <w:webHidden/>
              </w:rPr>
              <w:fldChar w:fldCharType="separate"/>
            </w:r>
            <w:r w:rsidR="00EE0893">
              <w:rPr>
                <w:noProof/>
                <w:webHidden/>
              </w:rPr>
              <w:t>4</w:t>
            </w:r>
            <w:r>
              <w:rPr>
                <w:noProof/>
                <w:webHidden/>
              </w:rPr>
              <w:fldChar w:fldCharType="end"/>
            </w:r>
          </w:hyperlink>
        </w:p>
        <w:p w:rsidR="003F5CD7" w:rsidRDefault="00B34D87" w:rsidP="00113F67">
          <w:pPr>
            <w:pStyle w:val="TOC2"/>
            <w:rPr>
              <w:rFonts w:asciiTheme="minorHAnsi" w:eastAsiaTheme="minorEastAsia" w:hAnsiTheme="minorHAnsi" w:cstheme="minorBidi"/>
              <w:noProof/>
              <w:sz w:val="22"/>
            </w:rPr>
          </w:pPr>
          <w:hyperlink w:anchor="_Toc471487545" w:history="1">
            <w:r w:rsidR="003F5CD7" w:rsidRPr="0040008A">
              <w:rPr>
                <w:rStyle w:val="Hyperlink"/>
                <w:noProof/>
              </w:rPr>
              <w:t xml:space="preserve">II. </w:t>
            </w:r>
            <w:r w:rsidR="003F5CD7">
              <w:rPr>
                <w:rFonts w:asciiTheme="minorHAnsi" w:eastAsiaTheme="minorEastAsia" w:hAnsiTheme="minorHAnsi" w:cstheme="minorBidi"/>
                <w:noProof/>
                <w:sz w:val="22"/>
              </w:rPr>
              <w:tab/>
            </w:r>
            <w:r w:rsidR="003F5CD7" w:rsidRPr="0040008A">
              <w:rPr>
                <w:rStyle w:val="Hyperlink"/>
                <w:noProof/>
              </w:rPr>
              <w:t>PERTINENT TERMS OF THE SETTLEMENT AGREEMENT</w:t>
            </w:r>
            <w:r w:rsidR="003F5CD7">
              <w:rPr>
                <w:noProof/>
                <w:webHidden/>
              </w:rPr>
              <w:tab/>
            </w:r>
            <w:r>
              <w:rPr>
                <w:noProof/>
                <w:webHidden/>
              </w:rPr>
              <w:fldChar w:fldCharType="begin"/>
            </w:r>
            <w:r w:rsidR="003F5CD7">
              <w:rPr>
                <w:noProof/>
                <w:webHidden/>
              </w:rPr>
              <w:instrText xml:space="preserve"> PAGEREF _Toc471487545 \h </w:instrText>
            </w:r>
            <w:r>
              <w:rPr>
                <w:noProof/>
                <w:webHidden/>
              </w:rPr>
            </w:r>
            <w:r>
              <w:rPr>
                <w:noProof/>
                <w:webHidden/>
              </w:rPr>
              <w:fldChar w:fldCharType="separate"/>
            </w:r>
            <w:r w:rsidR="00EE0893">
              <w:rPr>
                <w:noProof/>
                <w:webHidden/>
              </w:rPr>
              <w:t>5</w:t>
            </w:r>
            <w:r>
              <w:rPr>
                <w:noProof/>
                <w:webHidden/>
              </w:rPr>
              <w:fldChar w:fldCharType="end"/>
            </w:r>
          </w:hyperlink>
        </w:p>
        <w:p w:rsidR="003F5CD7" w:rsidRDefault="00B34D87" w:rsidP="00113F67">
          <w:pPr>
            <w:pStyle w:val="TOC2"/>
            <w:tabs>
              <w:tab w:val="left" w:pos="1080"/>
            </w:tabs>
            <w:rPr>
              <w:rFonts w:asciiTheme="minorHAnsi" w:eastAsiaTheme="minorEastAsia" w:hAnsiTheme="minorHAnsi" w:cstheme="minorBidi"/>
              <w:noProof/>
              <w:sz w:val="22"/>
            </w:rPr>
          </w:pPr>
          <w:hyperlink w:anchor="_Toc471487546" w:history="1">
            <w:r w:rsidR="003F5CD7" w:rsidRPr="0040008A">
              <w:rPr>
                <w:rStyle w:val="Hyperlink"/>
                <w:noProof/>
              </w:rPr>
              <w:t>III.</w:t>
            </w:r>
            <w:r w:rsidR="003F5CD7">
              <w:rPr>
                <w:rFonts w:asciiTheme="minorHAnsi" w:eastAsiaTheme="minorEastAsia" w:hAnsiTheme="minorHAnsi" w:cstheme="minorBidi"/>
                <w:noProof/>
                <w:sz w:val="22"/>
              </w:rPr>
              <w:tab/>
            </w:r>
            <w:r w:rsidR="003F5CD7" w:rsidRPr="0040008A">
              <w:rPr>
                <w:rStyle w:val="Hyperlink"/>
                <w:noProof/>
              </w:rPr>
              <w:t>THE STATE’S SHIFTING INTERPRETATIONS OF THE AGREEMENT’S HOUSING AND EMPLOYMENT SERVICES REQUIREMENTS</w:t>
            </w:r>
            <w:r w:rsidR="003F5CD7">
              <w:rPr>
                <w:noProof/>
                <w:webHidden/>
              </w:rPr>
              <w:tab/>
            </w:r>
            <w:r>
              <w:rPr>
                <w:noProof/>
                <w:webHidden/>
              </w:rPr>
              <w:fldChar w:fldCharType="begin"/>
            </w:r>
            <w:r w:rsidR="003F5CD7">
              <w:rPr>
                <w:noProof/>
                <w:webHidden/>
              </w:rPr>
              <w:instrText xml:space="preserve"> PAGEREF _Toc471487546 \h </w:instrText>
            </w:r>
            <w:r>
              <w:rPr>
                <w:noProof/>
                <w:webHidden/>
              </w:rPr>
            </w:r>
            <w:r>
              <w:rPr>
                <w:noProof/>
                <w:webHidden/>
              </w:rPr>
              <w:fldChar w:fldCharType="separate"/>
            </w:r>
            <w:r w:rsidR="00EE0893">
              <w:rPr>
                <w:noProof/>
                <w:webHidden/>
              </w:rPr>
              <w:t>7</w:t>
            </w:r>
            <w:r>
              <w:rPr>
                <w:noProof/>
                <w:webHidden/>
              </w:rPr>
              <w:fldChar w:fldCharType="end"/>
            </w:r>
          </w:hyperlink>
        </w:p>
        <w:p w:rsidR="003F5CD7" w:rsidRDefault="00B34D87" w:rsidP="00113F67">
          <w:pPr>
            <w:pStyle w:val="TOC3"/>
            <w:rPr>
              <w:rFonts w:asciiTheme="minorHAnsi" w:eastAsiaTheme="minorEastAsia" w:hAnsiTheme="minorHAnsi" w:cstheme="minorBidi"/>
              <w:noProof/>
              <w:sz w:val="22"/>
            </w:rPr>
          </w:pPr>
          <w:hyperlink w:anchor="_Toc471487547" w:history="1">
            <w:r w:rsidR="003F5CD7" w:rsidRPr="0040008A">
              <w:rPr>
                <w:rStyle w:val="Hyperlink"/>
                <w:noProof/>
              </w:rPr>
              <w:t>A.</w:t>
            </w:r>
            <w:r w:rsidR="003F5CD7">
              <w:rPr>
                <w:rFonts w:asciiTheme="minorHAnsi" w:eastAsiaTheme="minorEastAsia" w:hAnsiTheme="minorHAnsi" w:cstheme="minorBidi"/>
                <w:noProof/>
                <w:sz w:val="22"/>
              </w:rPr>
              <w:tab/>
            </w:r>
            <w:r w:rsidR="003F5CD7" w:rsidRPr="0040008A">
              <w:rPr>
                <w:rStyle w:val="Hyperlink"/>
                <w:noProof/>
              </w:rPr>
              <w:t>Housing Requirements</w:t>
            </w:r>
            <w:r w:rsidR="003F5CD7">
              <w:rPr>
                <w:noProof/>
                <w:webHidden/>
              </w:rPr>
              <w:tab/>
            </w:r>
            <w:r>
              <w:rPr>
                <w:noProof/>
                <w:webHidden/>
              </w:rPr>
              <w:fldChar w:fldCharType="begin"/>
            </w:r>
            <w:r w:rsidR="003F5CD7">
              <w:rPr>
                <w:noProof/>
                <w:webHidden/>
              </w:rPr>
              <w:instrText xml:space="preserve"> PAGEREF _Toc471487547 \h </w:instrText>
            </w:r>
            <w:r>
              <w:rPr>
                <w:noProof/>
                <w:webHidden/>
              </w:rPr>
            </w:r>
            <w:r>
              <w:rPr>
                <w:noProof/>
                <w:webHidden/>
              </w:rPr>
              <w:fldChar w:fldCharType="separate"/>
            </w:r>
            <w:r w:rsidR="00EE0893">
              <w:rPr>
                <w:noProof/>
                <w:webHidden/>
              </w:rPr>
              <w:t>7</w:t>
            </w:r>
            <w:r>
              <w:rPr>
                <w:noProof/>
                <w:webHidden/>
              </w:rPr>
              <w:fldChar w:fldCharType="end"/>
            </w:r>
          </w:hyperlink>
        </w:p>
        <w:p w:rsidR="003F5CD7" w:rsidRDefault="00B34D87" w:rsidP="00113F67">
          <w:pPr>
            <w:pStyle w:val="TOC3"/>
            <w:rPr>
              <w:rFonts w:asciiTheme="minorHAnsi" w:eastAsiaTheme="minorEastAsia" w:hAnsiTheme="minorHAnsi" w:cstheme="minorBidi"/>
              <w:noProof/>
              <w:sz w:val="22"/>
            </w:rPr>
          </w:pPr>
          <w:hyperlink w:anchor="_Toc471487548" w:history="1">
            <w:r w:rsidR="003F5CD7" w:rsidRPr="0040008A">
              <w:rPr>
                <w:rStyle w:val="Hyperlink"/>
                <w:noProof/>
              </w:rPr>
              <w:t xml:space="preserve">B. </w:t>
            </w:r>
            <w:r w:rsidR="003F5CD7">
              <w:rPr>
                <w:rFonts w:asciiTheme="minorHAnsi" w:eastAsiaTheme="minorEastAsia" w:hAnsiTheme="minorHAnsi" w:cstheme="minorBidi"/>
                <w:noProof/>
                <w:sz w:val="22"/>
              </w:rPr>
              <w:tab/>
            </w:r>
            <w:r w:rsidR="003F5CD7" w:rsidRPr="0040008A">
              <w:rPr>
                <w:rStyle w:val="Hyperlink"/>
                <w:noProof/>
              </w:rPr>
              <w:t>Employment Services Requirements</w:t>
            </w:r>
            <w:r w:rsidR="003F5CD7">
              <w:rPr>
                <w:noProof/>
                <w:webHidden/>
              </w:rPr>
              <w:tab/>
            </w:r>
            <w:r>
              <w:rPr>
                <w:noProof/>
                <w:webHidden/>
              </w:rPr>
              <w:fldChar w:fldCharType="begin"/>
            </w:r>
            <w:r w:rsidR="003F5CD7">
              <w:rPr>
                <w:noProof/>
                <w:webHidden/>
              </w:rPr>
              <w:instrText xml:space="preserve"> PAGEREF _Toc471487548 \h </w:instrText>
            </w:r>
            <w:r>
              <w:rPr>
                <w:noProof/>
                <w:webHidden/>
              </w:rPr>
            </w:r>
            <w:r>
              <w:rPr>
                <w:noProof/>
                <w:webHidden/>
              </w:rPr>
              <w:fldChar w:fldCharType="separate"/>
            </w:r>
            <w:r w:rsidR="00EE0893">
              <w:rPr>
                <w:noProof/>
                <w:webHidden/>
              </w:rPr>
              <w:t>9</w:t>
            </w:r>
            <w:r>
              <w:rPr>
                <w:noProof/>
                <w:webHidden/>
              </w:rPr>
              <w:fldChar w:fldCharType="end"/>
            </w:r>
          </w:hyperlink>
        </w:p>
        <w:p w:rsidR="003F5CD7" w:rsidRDefault="00B34D87" w:rsidP="00113F67">
          <w:pPr>
            <w:pStyle w:val="TOC2"/>
            <w:tabs>
              <w:tab w:val="left" w:pos="1080"/>
            </w:tabs>
            <w:rPr>
              <w:rStyle w:val="Hyperlink"/>
              <w:noProof/>
            </w:rPr>
          </w:pPr>
          <w:hyperlink w:anchor="_Toc471487549" w:history="1">
            <w:r w:rsidR="003F5CD7" w:rsidRPr="0040008A">
              <w:rPr>
                <w:rStyle w:val="Hyperlink"/>
                <w:noProof/>
              </w:rPr>
              <w:t>IV.</w:t>
            </w:r>
            <w:r w:rsidR="003F5CD7">
              <w:rPr>
                <w:rFonts w:asciiTheme="minorHAnsi" w:eastAsiaTheme="minorEastAsia" w:hAnsiTheme="minorHAnsi" w:cstheme="minorBidi"/>
                <w:noProof/>
                <w:sz w:val="22"/>
              </w:rPr>
              <w:tab/>
            </w:r>
            <w:r w:rsidR="003F5CD7">
              <w:rPr>
                <w:rStyle w:val="Hyperlink"/>
                <w:noProof/>
              </w:rPr>
              <w:t>THE STATE’S</w:t>
            </w:r>
            <w:r w:rsidR="003F5CD7" w:rsidRPr="0040008A">
              <w:rPr>
                <w:rStyle w:val="Hyperlink"/>
                <w:noProof/>
              </w:rPr>
              <w:t xml:space="preserve"> FAILURE TO PROVIDE REQUIRED HOUSI</w:t>
            </w:r>
            <w:r w:rsidR="003F5CD7">
              <w:rPr>
                <w:rStyle w:val="Hyperlink"/>
                <w:noProof/>
              </w:rPr>
              <w:t>NG AND</w:t>
            </w:r>
            <w:r w:rsidR="003F5CD7" w:rsidRPr="0040008A">
              <w:rPr>
                <w:rStyle w:val="Hyperlink"/>
                <w:noProof/>
              </w:rPr>
              <w:t xml:space="preserve"> EMPLOYMENT SERVICES</w:t>
            </w:r>
            <w:r w:rsidR="003F5CD7">
              <w:rPr>
                <w:noProof/>
                <w:webHidden/>
              </w:rPr>
              <w:tab/>
            </w:r>
            <w:r>
              <w:rPr>
                <w:noProof/>
                <w:webHidden/>
              </w:rPr>
              <w:fldChar w:fldCharType="begin"/>
            </w:r>
            <w:r w:rsidR="003F5CD7">
              <w:rPr>
                <w:noProof/>
                <w:webHidden/>
              </w:rPr>
              <w:instrText xml:space="preserve"> PAGEREF _Toc471487549 \h </w:instrText>
            </w:r>
            <w:r>
              <w:rPr>
                <w:noProof/>
                <w:webHidden/>
              </w:rPr>
            </w:r>
            <w:r>
              <w:rPr>
                <w:noProof/>
                <w:webHidden/>
              </w:rPr>
              <w:fldChar w:fldCharType="separate"/>
            </w:r>
            <w:r w:rsidR="00EE0893">
              <w:rPr>
                <w:noProof/>
                <w:webHidden/>
              </w:rPr>
              <w:t>10</w:t>
            </w:r>
            <w:r>
              <w:rPr>
                <w:noProof/>
                <w:webHidden/>
              </w:rPr>
              <w:fldChar w:fldCharType="end"/>
            </w:r>
          </w:hyperlink>
        </w:p>
        <w:p w:rsidR="003F5CD7" w:rsidRPr="003F5CD7" w:rsidRDefault="003F5CD7" w:rsidP="00113F67">
          <w:pPr>
            <w:spacing w:after="100"/>
            <w:rPr>
              <w:sz w:val="12"/>
              <w:szCs w:val="12"/>
            </w:rPr>
          </w:pPr>
        </w:p>
        <w:p w:rsidR="003F5CD7" w:rsidRDefault="00B34D87" w:rsidP="00113F67">
          <w:pPr>
            <w:pStyle w:val="TOC1"/>
            <w:rPr>
              <w:rFonts w:asciiTheme="minorHAnsi" w:eastAsiaTheme="minorEastAsia" w:hAnsiTheme="minorHAnsi" w:cstheme="minorBidi"/>
              <w:noProof/>
              <w:sz w:val="22"/>
            </w:rPr>
          </w:pPr>
          <w:hyperlink w:anchor="_Toc471487550" w:history="1">
            <w:r w:rsidR="003F5CD7" w:rsidRPr="0040008A">
              <w:rPr>
                <w:rStyle w:val="Hyperlink"/>
                <w:noProof/>
              </w:rPr>
              <w:t>LEGAL STANDARD</w:t>
            </w:r>
            <w:r w:rsidR="003F5CD7">
              <w:rPr>
                <w:noProof/>
                <w:webHidden/>
              </w:rPr>
              <w:tab/>
            </w:r>
            <w:r>
              <w:rPr>
                <w:noProof/>
                <w:webHidden/>
              </w:rPr>
              <w:fldChar w:fldCharType="begin"/>
            </w:r>
            <w:r w:rsidR="003F5CD7">
              <w:rPr>
                <w:noProof/>
                <w:webHidden/>
              </w:rPr>
              <w:instrText xml:space="preserve"> PAGEREF _Toc471487550 \h </w:instrText>
            </w:r>
            <w:r>
              <w:rPr>
                <w:noProof/>
                <w:webHidden/>
              </w:rPr>
            </w:r>
            <w:r>
              <w:rPr>
                <w:noProof/>
                <w:webHidden/>
              </w:rPr>
              <w:fldChar w:fldCharType="separate"/>
            </w:r>
            <w:r w:rsidR="00EE0893">
              <w:rPr>
                <w:noProof/>
                <w:webHidden/>
              </w:rPr>
              <w:t>11</w:t>
            </w:r>
            <w:r>
              <w:rPr>
                <w:noProof/>
                <w:webHidden/>
              </w:rPr>
              <w:fldChar w:fldCharType="end"/>
            </w:r>
          </w:hyperlink>
        </w:p>
        <w:p w:rsidR="003F5CD7" w:rsidRDefault="00B34D87" w:rsidP="00113F67">
          <w:pPr>
            <w:pStyle w:val="TOC2"/>
            <w:rPr>
              <w:rFonts w:asciiTheme="minorHAnsi" w:eastAsiaTheme="minorEastAsia" w:hAnsiTheme="minorHAnsi" w:cstheme="minorBidi"/>
              <w:noProof/>
              <w:sz w:val="22"/>
            </w:rPr>
          </w:pPr>
          <w:hyperlink w:anchor="_Toc471487551" w:history="1">
            <w:r w:rsidR="003F5CD7" w:rsidRPr="0040008A">
              <w:rPr>
                <w:rStyle w:val="Hyperlink"/>
                <w:noProof/>
              </w:rPr>
              <w:t>I.</w:t>
            </w:r>
            <w:r w:rsidR="003F5CD7">
              <w:rPr>
                <w:rFonts w:asciiTheme="minorHAnsi" w:eastAsiaTheme="minorEastAsia" w:hAnsiTheme="minorHAnsi" w:cstheme="minorBidi"/>
                <w:noProof/>
                <w:sz w:val="22"/>
              </w:rPr>
              <w:tab/>
            </w:r>
            <w:r w:rsidR="003F5CD7" w:rsidRPr="0040008A">
              <w:rPr>
                <w:rStyle w:val="Hyperlink"/>
                <w:noProof/>
              </w:rPr>
              <w:t>SUMMARY ENFORCEMENT OF SETTLEMENT AGREEMENTS</w:t>
            </w:r>
            <w:r w:rsidR="003F5CD7">
              <w:rPr>
                <w:noProof/>
                <w:webHidden/>
              </w:rPr>
              <w:tab/>
            </w:r>
            <w:r>
              <w:rPr>
                <w:noProof/>
                <w:webHidden/>
              </w:rPr>
              <w:fldChar w:fldCharType="begin"/>
            </w:r>
            <w:r w:rsidR="003F5CD7">
              <w:rPr>
                <w:noProof/>
                <w:webHidden/>
              </w:rPr>
              <w:instrText xml:space="preserve"> PAGEREF _Toc471487551 \h </w:instrText>
            </w:r>
            <w:r>
              <w:rPr>
                <w:noProof/>
                <w:webHidden/>
              </w:rPr>
            </w:r>
            <w:r>
              <w:rPr>
                <w:noProof/>
                <w:webHidden/>
              </w:rPr>
              <w:fldChar w:fldCharType="separate"/>
            </w:r>
            <w:r w:rsidR="00EE0893">
              <w:rPr>
                <w:noProof/>
                <w:webHidden/>
              </w:rPr>
              <w:t>11</w:t>
            </w:r>
            <w:r>
              <w:rPr>
                <w:noProof/>
                <w:webHidden/>
              </w:rPr>
              <w:fldChar w:fldCharType="end"/>
            </w:r>
          </w:hyperlink>
        </w:p>
        <w:p w:rsidR="003F5CD7" w:rsidRDefault="00B34D87" w:rsidP="00113F67">
          <w:pPr>
            <w:pStyle w:val="TOC2"/>
            <w:rPr>
              <w:rFonts w:asciiTheme="minorHAnsi" w:eastAsiaTheme="minorEastAsia" w:hAnsiTheme="minorHAnsi" w:cstheme="minorBidi"/>
              <w:noProof/>
              <w:sz w:val="22"/>
            </w:rPr>
          </w:pPr>
          <w:hyperlink w:anchor="_Toc471487552" w:history="1">
            <w:r w:rsidR="003F5CD7" w:rsidRPr="0040008A">
              <w:rPr>
                <w:rStyle w:val="Hyperlink"/>
                <w:noProof/>
              </w:rPr>
              <w:t>II.</w:t>
            </w:r>
            <w:r w:rsidR="003F5CD7">
              <w:rPr>
                <w:rFonts w:asciiTheme="minorHAnsi" w:eastAsiaTheme="minorEastAsia" w:hAnsiTheme="minorHAnsi" w:cstheme="minorBidi"/>
                <w:noProof/>
                <w:sz w:val="22"/>
              </w:rPr>
              <w:tab/>
            </w:r>
            <w:r w:rsidR="003F5CD7" w:rsidRPr="0040008A">
              <w:rPr>
                <w:rStyle w:val="Hyperlink"/>
                <w:noProof/>
              </w:rPr>
              <w:t>PRINCIPLES OF INTERPRETATION</w:t>
            </w:r>
            <w:r w:rsidR="003F5CD7">
              <w:rPr>
                <w:noProof/>
                <w:webHidden/>
              </w:rPr>
              <w:tab/>
            </w:r>
            <w:r>
              <w:rPr>
                <w:noProof/>
                <w:webHidden/>
              </w:rPr>
              <w:fldChar w:fldCharType="begin"/>
            </w:r>
            <w:r w:rsidR="003F5CD7">
              <w:rPr>
                <w:noProof/>
                <w:webHidden/>
              </w:rPr>
              <w:instrText xml:space="preserve"> PAGEREF _Toc471487552 \h </w:instrText>
            </w:r>
            <w:r>
              <w:rPr>
                <w:noProof/>
                <w:webHidden/>
              </w:rPr>
            </w:r>
            <w:r>
              <w:rPr>
                <w:noProof/>
                <w:webHidden/>
              </w:rPr>
              <w:fldChar w:fldCharType="separate"/>
            </w:r>
            <w:r w:rsidR="00EE0893">
              <w:rPr>
                <w:noProof/>
                <w:webHidden/>
              </w:rPr>
              <w:t>11</w:t>
            </w:r>
            <w:r>
              <w:rPr>
                <w:noProof/>
                <w:webHidden/>
              </w:rPr>
              <w:fldChar w:fldCharType="end"/>
            </w:r>
          </w:hyperlink>
        </w:p>
        <w:p w:rsidR="003F5CD7" w:rsidRPr="003F5CD7" w:rsidRDefault="003F5CD7" w:rsidP="00113F67">
          <w:pPr>
            <w:pStyle w:val="TOC1"/>
            <w:rPr>
              <w:rStyle w:val="Hyperlink"/>
              <w:noProof/>
              <w:sz w:val="12"/>
              <w:szCs w:val="12"/>
            </w:rPr>
          </w:pPr>
        </w:p>
        <w:p w:rsidR="003F5CD7" w:rsidRDefault="00B34D87" w:rsidP="00113F67">
          <w:pPr>
            <w:pStyle w:val="TOC1"/>
            <w:rPr>
              <w:rFonts w:asciiTheme="minorHAnsi" w:eastAsiaTheme="minorEastAsia" w:hAnsiTheme="minorHAnsi" w:cstheme="minorBidi"/>
              <w:noProof/>
              <w:sz w:val="22"/>
            </w:rPr>
          </w:pPr>
          <w:hyperlink w:anchor="_Toc471487553" w:history="1">
            <w:r w:rsidR="003F5CD7" w:rsidRPr="0040008A">
              <w:rPr>
                <w:rStyle w:val="Hyperlink"/>
                <w:noProof/>
              </w:rPr>
              <w:t>ARGUMENT</w:t>
            </w:r>
            <w:r w:rsidR="003F5CD7">
              <w:rPr>
                <w:noProof/>
                <w:webHidden/>
              </w:rPr>
              <w:tab/>
            </w:r>
            <w:r>
              <w:rPr>
                <w:noProof/>
                <w:webHidden/>
              </w:rPr>
              <w:fldChar w:fldCharType="begin"/>
            </w:r>
            <w:r w:rsidR="003F5CD7">
              <w:rPr>
                <w:noProof/>
                <w:webHidden/>
              </w:rPr>
              <w:instrText xml:space="preserve"> PAGEREF _Toc471487553 \h </w:instrText>
            </w:r>
            <w:r>
              <w:rPr>
                <w:noProof/>
                <w:webHidden/>
              </w:rPr>
            </w:r>
            <w:r>
              <w:rPr>
                <w:noProof/>
                <w:webHidden/>
              </w:rPr>
              <w:fldChar w:fldCharType="separate"/>
            </w:r>
            <w:r w:rsidR="00EE0893">
              <w:rPr>
                <w:noProof/>
                <w:webHidden/>
              </w:rPr>
              <w:t>13</w:t>
            </w:r>
            <w:r>
              <w:rPr>
                <w:noProof/>
                <w:webHidden/>
              </w:rPr>
              <w:fldChar w:fldCharType="end"/>
            </w:r>
          </w:hyperlink>
        </w:p>
        <w:p w:rsidR="003F5CD7" w:rsidRDefault="00B34D87" w:rsidP="00113F67">
          <w:pPr>
            <w:pStyle w:val="TOC2"/>
            <w:rPr>
              <w:rFonts w:asciiTheme="minorHAnsi" w:eastAsiaTheme="minorEastAsia" w:hAnsiTheme="minorHAnsi" w:cstheme="minorBidi"/>
              <w:noProof/>
              <w:sz w:val="22"/>
            </w:rPr>
          </w:pPr>
          <w:hyperlink w:anchor="_Toc471487554" w:history="1">
            <w:r w:rsidR="003F5CD7" w:rsidRPr="0040008A">
              <w:rPr>
                <w:rStyle w:val="Hyperlink"/>
                <w:noProof/>
              </w:rPr>
              <w:t>I.</w:t>
            </w:r>
            <w:r w:rsidR="003F5CD7">
              <w:rPr>
                <w:rFonts w:asciiTheme="minorHAnsi" w:eastAsiaTheme="minorEastAsia" w:hAnsiTheme="minorHAnsi" w:cstheme="minorBidi"/>
                <w:noProof/>
                <w:sz w:val="22"/>
              </w:rPr>
              <w:tab/>
            </w:r>
            <w:r w:rsidR="003F5CD7" w:rsidRPr="0040008A">
              <w:rPr>
                <w:rStyle w:val="Hyperlink"/>
                <w:noProof/>
              </w:rPr>
              <w:t>THE STATE MISCONSTRUES AND FAILS TO COMPLY WITH THE AGREEMENT’S HOUSING REQUIREMENTS</w:t>
            </w:r>
            <w:r w:rsidR="003F5CD7">
              <w:rPr>
                <w:noProof/>
                <w:webHidden/>
              </w:rPr>
              <w:tab/>
            </w:r>
            <w:r>
              <w:rPr>
                <w:noProof/>
                <w:webHidden/>
              </w:rPr>
              <w:fldChar w:fldCharType="begin"/>
            </w:r>
            <w:r w:rsidR="003F5CD7">
              <w:rPr>
                <w:noProof/>
                <w:webHidden/>
              </w:rPr>
              <w:instrText xml:space="preserve"> PAGEREF _Toc471487554 \h </w:instrText>
            </w:r>
            <w:r>
              <w:rPr>
                <w:noProof/>
                <w:webHidden/>
              </w:rPr>
            </w:r>
            <w:r>
              <w:rPr>
                <w:noProof/>
                <w:webHidden/>
              </w:rPr>
              <w:fldChar w:fldCharType="separate"/>
            </w:r>
            <w:r w:rsidR="00EE0893">
              <w:rPr>
                <w:noProof/>
                <w:webHidden/>
              </w:rPr>
              <w:t>14</w:t>
            </w:r>
            <w:r>
              <w:rPr>
                <w:noProof/>
                <w:webHidden/>
              </w:rPr>
              <w:fldChar w:fldCharType="end"/>
            </w:r>
          </w:hyperlink>
        </w:p>
        <w:p w:rsidR="003F5CD7" w:rsidRDefault="00B34D87" w:rsidP="00113F67">
          <w:pPr>
            <w:pStyle w:val="TOC3"/>
            <w:rPr>
              <w:rFonts w:asciiTheme="minorHAnsi" w:eastAsiaTheme="minorEastAsia" w:hAnsiTheme="minorHAnsi" w:cstheme="minorBidi"/>
              <w:noProof/>
              <w:sz w:val="22"/>
            </w:rPr>
          </w:pPr>
          <w:hyperlink w:anchor="_Toc471487555" w:history="1">
            <w:r w:rsidR="003F5CD7" w:rsidRPr="0040008A">
              <w:rPr>
                <w:rStyle w:val="Hyperlink"/>
                <w:noProof/>
              </w:rPr>
              <w:t>A.</w:t>
            </w:r>
            <w:r w:rsidR="003F5CD7">
              <w:rPr>
                <w:rFonts w:asciiTheme="minorHAnsi" w:eastAsiaTheme="minorEastAsia" w:hAnsiTheme="minorHAnsi" w:cstheme="minorBidi"/>
                <w:noProof/>
                <w:sz w:val="22"/>
              </w:rPr>
              <w:tab/>
            </w:r>
            <w:r w:rsidR="003F5CD7" w:rsidRPr="0040008A">
              <w:rPr>
                <w:rStyle w:val="Hyperlink"/>
                <w:noProof/>
              </w:rPr>
              <w:t>The Parties Intended to Measure Compliance with Section III(B)(3) by Counting Only Occupied Housing Slots on Given Compliance Dates.</w:t>
            </w:r>
            <w:r w:rsidR="003F5CD7">
              <w:rPr>
                <w:noProof/>
                <w:webHidden/>
              </w:rPr>
              <w:tab/>
            </w:r>
            <w:r>
              <w:rPr>
                <w:noProof/>
                <w:webHidden/>
              </w:rPr>
              <w:fldChar w:fldCharType="begin"/>
            </w:r>
            <w:r w:rsidR="003F5CD7">
              <w:rPr>
                <w:noProof/>
                <w:webHidden/>
              </w:rPr>
              <w:instrText xml:space="preserve"> PAGEREF _Toc471487555 \h </w:instrText>
            </w:r>
            <w:r>
              <w:rPr>
                <w:noProof/>
                <w:webHidden/>
              </w:rPr>
            </w:r>
            <w:r>
              <w:rPr>
                <w:noProof/>
                <w:webHidden/>
              </w:rPr>
              <w:fldChar w:fldCharType="separate"/>
            </w:r>
            <w:r w:rsidR="00EE0893">
              <w:rPr>
                <w:noProof/>
                <w:webHidden/>
              </w:rPr>
              <w:t>14</w:t>
            </w:r>
            <w:r>
              <w:rPr>
                <w:noProof/>
                <w:webHidden/>
              </w:rPr>
              <w:fldChar w:fldCharType="end"/>
            </w:r>
          </w:hyperlink>
        </w:p>
        <w:p w:rsidR="003F5CD7" w:rsidRDefault="00B34D87" w:rsidP="00113F67">
          <w:pPr>
            <w:pStyle w:val="TOC3"/>
            <w:rPr>
              <w:rFonts w:asciiTheme="minorHAnsi" w:eastAsiaTheme="minorEastAsia" w:hAnsiTheme="minorHAnsi" w:cstheme="minorBidi"/>
              <w:noProof/>
              <w:sz w:val="22"/>
            </w:rPr>
          </w:pPr>
          <w:hyperlink w:anchor="_Toc471487556" w:history="1">
            <w:r w:rsidR="003F5CD7" w:rsidRPr="0040008A">
              <w:rPr>
                <w:rStyle w:val="Hyperlink"/>
                <w:noProof/>
              </w:rPr>
              <w:t>B.</w:t>
            </w:r>
            <w:r w:rsidR="003F5CD7">
              <w:rPr>
                <w:rFonts w:asciiTheme="minorHAnsi" w:eastAsiaTheme="minorEastAsia" w:hAnsiTheme="minorHAnsi" w:cstheme="minorBidi"/>
                <w:noProof/>
                <w:sz w:val="22"/>
              </w:rPr>
              <w:tab/>
            </w:r>
            <w:r w:rsidR="003F5CD7" w:rsidRPr="0040008A">
              <w:rPr>
                <w:rStyle w:val="Hyperlink"/>
                <w:noProof/>
              </w:rPr>
              <w:t>The State Has Failed to Meet Its July 2016 Housing Obligation Even Under Its Own Incorrect Interpretation of Compliance.</w:t>
            </w:r>
            <w:r w:rsidR="003F5CD7">
              <w:rPr>
                <w:noProof/>
                <w:webHidden/>
              </w:rPr>
              <w:tab/>
            </w:r>
            <w:r>
              <w:rPr>
                <w:noProof/>
                <w:webHidden/>
              </w:rPr>
              <w:fldChar w:fldCharType="begin"/>
            </w:r>
            <w:r w:rsidR="003F5CD7">
              <w:rPr>
                <w:noProof/>
                <w:webHidden/>
              </w:rPr>
              <w:instrText xml:space="preserve"> PAGEREF _Toc471487556 \h </w:instrText>
            </w:r>
            <w:r>
              <w:rPr>
                <w:noProof/>
                <w:webHidden/>
              </w:rPr>
            </w:r>
            <w:r>
              <w:rPr>
                <w:noProof/>
                <w:webHidden/>
              </w:rPr>
              <w:fldChar w:fldCharType="separate"/>
            </w:r>
            <w:r w:rsidR="00EE0893">
              <w:rPr>
                <w:noProof/>
                <w:webHidden/>
              </w:rPr>
              <w:t>20</w:t>
            </w:r>
            <w:r>
              <w:rPr>
                <w:noProof/>
                <w:webHidden/>
              </w:rPr>
              <w:fldChar w:fldCharType="end"/>
            </w:r>
          </w:hyperlink>
        </w:p>
        <w:p w:rsidR="003F5CD7" w:rsidRDefault="00B34D87" w:rsidP="00113F67">
          <w:pPr>
            <w:pStyle w:val="TOC2"/>
            <w:rPr>
              <w:rFonts w:asciiTheme="minorHAnsi" w:eastAsiaTheme="minorEastAsia" w:hAnsiTheme="minorHAnsi" w:cstheme="minorBidi"/>
              <w:noProof/>
              <w:sz w:val="22"/>
            </w:rPr>
          </w:pPr>
          <w:hyperlink w:anchor="_Toc471487557" w:history="1">
            <w:r w:rsidR="003F5CD7" w:rsidRPr="0040008A">
              <w:rPr>
                <w:rStyle w:val="Hyperlink"/>
                <w:noProof/>
              </w:rPr>
              <w:t>II.</w:t>
            </w:r>
            <w:r w:rsidR="003F5CD7">
              <w:rPr>
                <w:rFonts w:asciiTheme="minorHAnsi" w:eastAsiaTheme="minorEastAsia" w:hAnsiTheme="minorHAnsi" w:cstheme="minorBidi"/>
                <w:noProof/>
                <w:sz w:val="22"/>
              </w:rPr>
              <w:tab/>
            </w:r>
            <w:r w:rsidR="003F5CD7" w:rsidRPr="0040008A">
              <w:rPr>
                <w:rStyle w:val="Hyperlink"/>
                <w:noProof/>
              </w:rPr>
              <w:t>THE STATE MISCONSTRUES AND FAILS TO COMPLY WITH THE AGREEMENT’S EMPLOYMENT SERVICES REQUIREMENTS</w:t>
            </w:r>
            <w:r w:rsidR="003F5CD7">
              <w:rPr>
                <w:noProof/>
                <w:webHidden/>
              </w:rPr>
              <w:tab/>
            </w:r>
            <w:r>
              <w:rPr>
                <w:noProof/>
                <w:webHidden/>
              </w:rPr>
              <w:fldChar w:fldCharType="begin"/>
            </w:r>
            <w:r w:rsidR="003F5CD7">
              <w:rPr>
                <w:noProof/>
                <w:webHidden/>
              </w:rPr>
              <w:instrText xml:space="preserve"> PAGEREF _Toc471487557 \h </w:instrText>
            </w:r>
            <w:r>
              <w:rPr>
                <w:noProof/>
                <w:webHidden/>
              </w:rPr>
            </w:r>
            <w:r>
              <w:rPr>
                <w:noProof/>
                <w:webHidden/>
              </w:rPr>
              <w:fldChar w:fldCharType="separate"/>
            </w:r>
            <w:r w:rsidR="00EE0893">
              <w:rPr>
                <w:noProof/>
                <w:webHidden/>
              </w:rPr>
              <w:t>20</w:t>
            </w:r>
            <w:r>
              <w:rPr>
                <w:noProof/>
                <w:webHidden/>
              </w:rPr>
              <w:fldChar w:fldCharType="end"/>
            </w:r>
          </w:hyperlink>
        </w:p>
        <w:p w:rsidR="003F5CD7" w:rsidRDefault="00B34D87" w:rsidP="00113F67">
          <w:pPr>
            <w:pStyle w:val="TOC3"/>
            <w:rPr>
              <w:rFonts w:asciiTheme="minorHAnsi" w:eastAsiaTheme="minorEastAsia" w:hAnsiTheme="minorHAnsi" w:cstheme="minorBidi"/>
              <w:noProof/>
              <w:sz w:val="22"/>
            </w:rPr>
          </w:pPr>
          <w:hyperlink w:anchor="_Toc471487558" w:history="1">
            <w:r w:rsidR="003F5CD7" w:rsidRPr="0040008A">
              <w:rPr>
                <w:rStyle w:val="Hyperlink"/>
                <w:noProof/>
              </w:rPr>
              <w:t>A.</w:t>
            </w:r>
            <w:r w:rsidR="003F5CD7">
              <w:rPr>
                <w:rFonts w:asciiTheme="minorHAnsi" w:eastAsiaTheme="minorEastAsia" w:hAnsiTheme="minorHAnsi" w:cstheme="minorBidi"/>
                <w:noProof/>
                <w:sz w:val="22"/>
              </w:rPr>
              <w:tab/>
            </w:r>
            <w:r w:rsidR="003F5CD7" w:rsidRPr="0040008A">
              <w:rPr>
                <w:rStyle w:val="Hyperlink"/>
                <w:noProof/>
              </w:rPr>
              <w:t>The Parties Intended to Measure Compliance with Section III(D)(3) by Counting Only Individuals in the Target Population Receiving Supported Employment Services on Given Compliance Dates.</w:t>
            </w:r>
            <w:r w:rsidR="003F5CD7">
              <w:rPr>
                <w:noProof/>
                <w:webHidden/>
              </w:rPr>
              <w:tab/>
            </w:r>
            <w:r>
              <w:rPr>
                <w:noProof/>
                <w:webHidden/>
              </w:rPr>
              <w:fldChar w:fldCharType="begin"/>
            </w:r>
            <w:r w:rsidR="003F5CD7">
              <w:rPr>
                <w:noProof/>
                <w:webHidden/>
              </w:rPr>
              <w:instrText xml:space="preserve"> PAGEREF _Toc471487558 \h </w:instrText>
            </w:r>
            <w:r>
              <w:rPr>
                <w:noProof/>
                <w:webHidden/>
              </w:rPr>
            </w:r>
            <w:r>
              <w:rPr>
                <w:noProof/>
                <w:webHidden/>
              </w:rPr>
              <w:fldChar w:fldCharType="separate"/>
            </w:r>
            <w:r w:rsidR="00EE0893">
              <w:rPr>
                <w:noProof/>
                <w:webHidden/>
              </w:rPr>
              <w:t>21</w:t>
            </w:r>
            <w:r>
              <w:rPr>
                <w:noProof/>
                <w:webHidden/>
              </w:rPr>
              <w:fldChar w:fldCharType="end"/>
            </w:r>
          </w:hyperlink>
        </w:p>
        <w:p w:rsidR="003F5CD7" w:rsidRDefault="00B34D87" w:rsidP="00113F67">
          <w:pPr>
            <w:pStyle w:val="TOC3"/>
            <w:rPr>
              <w:rFonts w:asciiTheme="minorHAnsi" w:eastAsiaTheme="minorEastAsia" w:hAnsiTheme="minorHAnsi" w:cstheme="minorBidi"/>
              <w:noProof/>
              <w:sz w:val="22"/>
            </w:rPr>
          </w:pPr>
          <w:hyperlink w:anchor="_Toc471487559" w:history="1">
            <w:r w:rsidR="003F5CD7" w:rsidRPr="0040008A">
              <w:rPr>
                <w:rStyle w:val="Hyperlink"/>
                <w:noProof/>
              </w:rPr>
              <w:t xml:space="preserve">B. </w:t>
            </w:r>
            <w:r w:rsidR="003F5CD7">
              <w:rPr>
                <w:rFonts w:asciiTheme="minorHAnsi" w:eastAsiaTheme="minorEastAsia" w:hAnsiTheme="minorHAnsi" w:cstheme="minorBidi"/>
                <w:noProof/>
                <w:sz w:val="22"/>
              </w:rPr>
              <w:tab/>
            </w:r>
            <w:r w:rsidR="003F5CD7" w:rsidRPr="0040008A">
              <w:rPr>
                <w:rStyle w:val="Hyperlink"/>
                <w:noProof/>
              </w:rPr>
              <w:t>The State Has Failed to Meet Its July 2016</w:t>
            </w:r>
            <w:r w:rsidR="003F5CD7">
              <w:rPr>
                <w:rStyle w:val="Hyperlink"/>
                <w:noProof/>
              </w:rPr>
              <w:t xml:space="preserve"> Employment Services Obligation</w:t>
            </w:r>
            <w:r w:rsidR="003F5CD7">
              <w:rPr>
                <w:noProof/>
                <w:webHidden/>
              </w:rPr>
              <w:tab/>
            </w:r>
            <w:r>
              <w:rPr>
                <w:noProof/>
                <w:webHidden/>
              </w:rPr>
              <w:fldChar w:fldCharType="begin"/>
            </w:r>
            <w:r w:rsidR="003F5CD7">
              <w:rPr>
                <w:noProof/>
                <w:webHidden/>
              </w:rPr>
              <w:instrText xml:space="preserve"> PAGEREF _Toc471487559 \h </w:instrText>
            </w:r>
            <w:r>
              <w:rPr>
                <w:noProof/>
                <w:webHidden/>
              </w:rPr>
            </w:r>
            <w:r>
              <w:rPr>
                <w:noProof/>
                <w:webHidden/>
              </w:rPr>
              <w:fldChar w:fldCharType="separate"/>
            </w:r>
            <w:r w:rsidR="00EE0893">
              <w:rPr>
                <w:noProof/>
                <w:webHidden/>
              </w:rPr>
              <w:t>25</w:t>
            </w:r>
            <w:r>
              <w:rPr>
                <w:noProof/>
                <w:webHidden/>
              </w:rPr>
              <w:fldChar w:fldCharType="end"/>
            </w:r>
          </w:hyperlink>
        </w:p>
        <w:p w:rsidR="003F5CD7" w:rsidRDefault="00B34D87" w:rsidP="00113F67">
          <w:pPr>
            <w:pStyle w:val="TOC2"/>
            <w:tabs>
              <w:tab w:val="left" w:pos="1080"/>
            </w:tabs>
            <w:rPr>
              <w:rFonts w:asciiTheme="minorHAnsi" w:eastAsiaTheme="minorEastAsia" w:hAnsiTheme="minorHAnsi" w:cstheme="minorBidi"/>
              <w:noProof/>
              <w:sz w:val="22"/>
            </w:rPr>
          </w:pPr>
          <w:hyperlink w:anchor="_Toc471487560" w:history="1">
            <w:r w:rsidR="003F5CD7" w:rsidRPr="0040008A">
              <w:rPr>
                <w:rStyle w:val="Hyperlink"/>
                <w:noProof/>
              </w:rPr>
              <w:t>III.</w:t>
            </w:r>
            <w:r w:rsidR="003F5CD7">
              <w:rPr>
                <w:rFonts w:asciiTheme="minorHAnsi" w:eastAsiaTheme="minorEastAsia" w:hAnsiTheme="minorHAnsi" w:cstheme="minorBidi"/>
                <w:noProof/>
                <w:sz w:val="22"/>
              </w:rPr>
              <w:tab/>
            </w:r>
            <w:r w:rsidR="003F5CD7" w:rsidRPr="0040008A">
              <w:rPr>
                <w:rStyle w:val="Hyperlink"/>
                <w:noProof/>
              </w:rPr>
              <w:t>REMEDIES</w:t>
            </w:r>
            <w:r w:rsidR="003F5CD7">
              <w:rPr>
                <w:noProof/>
                <w:webHidden/>
              </w:rPr>
              <w:tab/>
            </w:r>
            <w:r>
              <w:rPr>
                <w:noProof/>
                <w:webHidden/>
              </w:rPr>
              <w:fldChar w:fldCharType="begin"/>
            </w:r>
            <w:r w:rsidR="003F5CD7">
              <w:rPr>
                <w:noProof/>
                <w:webHidden/>
              </w:rPr>
              <w:instrText xml:space="preserve"> PAGEREF _Toc471487560 \h </w:instrText>
            </w:r>
            <w:r>
              <w:rPr>
                <w:noProof/>
                <w:webHidden/>
              </w:rPr>
            </w:r>
            <w:r>
              <w:rPr>
                <w:noProof/>
                <w:webHidden/>
              </w:rPr>
              <w:fldChar w:fldCharType="separate"/>
            </w:r>
            <w:r w:rsidR="00EE0893">
              <w:rPr>
                <w:noProof/>
                <w:webHidden/>
              </w:rPr>
              <w:t>25</w:t>
            </w:r>
            <w:r>
              <w:rPr>
                <w:noProof/>
                <w:webHidden/>
              </w:rPr>
              <w:fldChar w:fldCharType="end"/>
            </w:r>
          </w:hyperlink>
        </w:p>
        <w:p w:rsidR="003F5CD7" w:rsidRPr="003F5CD7" w:rsidRDefault="003F5CD7" w:rsidP="00113F67">
          <w:pPr>
            <w:pStyle w:val="TOC1"/>
            <w:rPr>
              <w:rStyle w:val="Hyperlink"/>
              <w:noProof/>
              <w:sz w:val="12"/>
              <w:szCs w:val="12"/>
            </w:rPr>
          </w:pPr>
        </w:p>
        <w:p w:rsidR="003F5CD7" w:rsidRDefault="00B34D87" w:rsidP="00113F67">
          <w:pPr>
            <w:pStyle w:val="TOC1"/>
            <w:rPr>
              <w:rFonts w:asciiTheme="minorHAnsi" w:eastAsiaTheme="minorEastAsia" w:hAnsiTheme="minorHAnsi" w:cstheme="minorBidi"/>
              <w:noProof/>
              <w:sz w:val="22"/>
            </w:rPr>
          </w:pPr>
          <w:hyperlink w:anchor="_Toc471487561" w:history="1">
            <w:r w:rsidR="003F5CD7" w:rsidRPr="0040008A">
              <w:rPr>
                <w:rStyle w:val="Hyperlink"/>
                <w:noProof/>
              </w:rPr>
              <w:t>CONCLUSION</w:t>
            </w:r>
            <w:r w:rsidR="003F5CD7">
              <w:rPr>
                <w:noProof/>
                <w:webHidden/>
              </w:rPr>
              <w:tab/>
            </w:r>
            <w:r>
              <w:rPr>
                <w:noProof/>
                <w:webHidden/>
              </w:rPr>
              <w:fldChar w:fldCharType="begin"/>
            </w:r>
            <w:r w:rsidR="003F5CD7">
              <w:rPr>
                <w:noProof/>
                <w:webHidden/>
              </w:rPr>
              <w:instrText xml:space="preserve"> PAGEREF _Toc471487561 \h </w:instrText>
            </w:r>
            <w:r>
              <w:rPr>
                <w:noProof/>
                <w:webHidden/>
              </w:rPr>
            </w:r>
            <w:r>
              <w:rPr>
                <w:noProof/>
                <w:webHidden/>
              </w:rPr>
              <w:fldChar w:fldCharType="separate"/>
            </w:r>
            <w:r w:rsidR="00EE0893">
              <w:rPr>
                <w:noProof/>
                <w:webHidden/>
              </w:rPr>
              <w:t>26</w:t>
            </w:r>
            <w:r>
              <w:rPr>
                <w:noProof/>
                <w:webHidden/>
              </w:rPr>
              <w:fldChar w:fldCharType="end"/>
            </w:r>
          </w:hyperlink>
        </w:p>
        <w:p w:rsidR="000E089D" w:rsidRPr="00661B39" w:rsidRDefault="00B34D87">
          <w:pPr>
            <w:rPr>
              <w:szCs w:val="24"/>
            </w:rPr>
          </w:pPr>
          <w:r w:rsidRPr="00661B39">
            <w:rPr>
              <w:szCs w:val="24"/>
            </w:rPr>
            <w:fldChar w:fldCharType="end"/>
          </w:r>
        </w:p>
      </w:sdtContent>
    </w:sdt>
    <w:p w:rsidR="00182EDB" w:rsidRPr="00661B39" w:rsidRDefault="00182EDB" w:rsidP="00F55698">
      <w:pPr>
        <w:jc w:val="both"/>
        <w:rPr>
          <w:b/>
          <w:szCs w:val="24"/>
          <w:u w:val="single"/>
        </w:rPr>
      </w:pPr>
    </w:p>
    <w:p w:rsidR="000E089D" w:rsidRPr="00661B39" w:rsidRDefault="000E089D" w:rsidP="00F55698">
      <w:pPr>
        <w:jc w:val="both"/>
        <w:rPr>
          <w:b/>
          <w:szCs w:val="24"/>
          <w:u w:val="single"/>
        </w:rPr>
      </w:pPr>
    </w:p>
    <w:p w:rsidR="00572929" w:rsidRPr="00661B39" w:rsidRDefault="00572929">
      <w:pPr>
        <w:rPr>
          <w:b/>
          <w:szCs w:val="24"/>
          <w:u w:val="single"/>
        </w:rPr>
      </w:pPr>
      <w:r w:rsidRPr="00661B39">
        <w:rPr>
          <w:b/>
          <w:szCs w:val="24"/>
          <w:u w:val="single"/>
        </w:rPr>
        <w:br w:type="page"/>
      </w:r>
    </w:p>
    <w:p w:rsidR="00464320" w:rsidRDefault="00464320" w:rsidP="00464320">
      <w:pPr>
        <w:pStyle w:val="TOAHeading"/>
        <w:tabs>
          <w:tab w:val="right" w:leader="dot" w:pos="9350"/>
        </w:tabs>
        <w:jc w:val="center"/>
        <w:rPr>
          <w:rFonts w:ascii="Times New Roman" w:hAnsi="Times New Roman" w:cs="Times New Roman"/>
          <w:sz w:val="24"/>
          <w:szCs w:val="24"/>
          <w:u w:val="single"/>
        </w:rPr>
      </w:pPr>
      <w:r w:rsidRPr="00B15609">
        <w:rPr>
          <w:rFonts w:ascii="Times New Roman" w:hAnsi="Times New Roman" w:cs="Times New Roman"/>
          <w:sz w:val="24"/>
          <w:szCs w:val="24"/>
          <w:u w:val="single"/>
        </w:rPr>
        <w:lastRenderedPageBreak/>
        <w:t>Table of authorities</w:t>
      </w:r>
    </w:p>
    <w:p w:rsidR="00E26A9E" w:rsidRPr="00464320" w:rsidRDefault="00B34D87" w:rsidP="00D95A57">
      <w:pPr>
        <w:pStyle w:val="TOAHeading"/>
        <w:tabs>
          <w:tab w:val="right" w:leader="dot" w:pos="9350"/>
        </w:tabs>
        <w:jc w:val="center"/>
        <w:rPr>
          <w:rFonts w:ascii="Times New Roman" w:eastAsiaTheme="minorEastAsia" w:hAnsi="Times New Roman" w:cs="Times New Roman"/>
          <w:b w:val="0"/>
          <w:bCs w:val="0"/>
          <w:noProof/>
          <w:sz w:val="24"/>
          <w:szCs w:val="24"/>
        </w:rPr>
      </w:pPr>
      <w:r w:rsidRPr="00464320">
        <w:rPr>
          <w:rFonts w:ascii="Times New Roman" w:hAnsi="Times New Roman" w:cs="Times New Roman"/>
          <w:b w:val="0"/>
          <w:sz w:val="24"/>
          <w:szCs w:val="24"/>
          <w:u w:val="single"/>
        </w:rPr>
        <w:fldChar w:fldCharType="begin"/>
      </w:r>
      <w:r w:rsidR="00E26A9E" w:rsidRPr="00464320">
        <w:rPr>
          <w:rFonts w:ascii="Times New Roman" w:hAnsi="Times New Roman" w:cs="Times New Roman"/>
          <w:b w:val="0"/>
          <w:sz w:val="24"/>
          <w:szCs w:val="24"/>
          <w:u w:val="single"/>
        </w:rPr>
        <w:instrText xml:space="preserve"> TOA \h \c "1" \p </w:instrText>
      </w:r>
      <w:r w:rsidRPr="00464320">
        <w:rPr>
          <w:rFonts w:ascii="Times New Roman" w:hAnsi="Times New Roman" w:cs="Times New Roman"/>
          <w:b w:val="0"/>
          <w:sz w:val="24"/>
          <w:szCs w:val="24"/>
          <w:u w:val="single"/>
        </w:rPr>
        <w:fldChar w:fldCharType="separate"/>
      </w:r>
      <w:r w:rsidR="00E26A9E" w:rsidRPr="00464320">
        <w:rPr>
          <w:rFonts w:ascii="Times New Roman" w:hAnsi="Times New Roman" w:cs="Times New Roman"/>
          <w:noProof/>
          <w:sz w:val="24"/>
          <w:szCs w:val="24"/>
        </w:rPr>
        <w:t>Cases</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Bicket v. McLean Sec</w:t>
      </w:r>
      <w:r w:rsidR="006B3A95">
        <w:rPr>
          <w:rFonts w:ascii="Times New Roman" w:hAnsi="Times New Roman"/>
          <w:i/>
          <w:noProof/>
          <w:sz w:val="24"/>
          <w:szCs w:val="24"/>
        </w:rPr>
        <w:t>urities</w:t>
      </w:r>
      <w:r w:rsidRPr="00464320">
        <w:rPr>
          <w:rFonts w:ascii="Times New Roman" w:hAnsi="Times New Roman"/>
          <w:i/>
          <w:noProof/>
          <w:sz w:val="24"/>
          <w:szCs w:val="24"/>
        </w:rPr>
        <w:t>, Inc.</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138 N.C. App. 353, 532 S.E.2d 183 (2000)</w:t>
      </w:r>
      <w:r w:rsidRPr="00464320">
        <w:rPr>
          <w:rFonts w:ascii="Times New Roman" w:hAnsi="Times New Roman"/>
          <w:noProof/>
          <w:sz w:val="24"/>
          <w:szCs w:val="24"/>
        </w:rPr>
        <w:tab/>
        <w:t>13</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iCs/>
          <w:noProof/>
          <w:sz w:val="24"/>
          <w:szCs w:val="24"/>
        </w:rPr>
        <w:t>Castle v. Cohen</w:t>
      </w:r>
      <w:r w:rsidRPr="00464320">
        <w:rPr>
          <w:rFonts w:ascii="Times New Roman" w:hAnsi="Times New Roman"/>
          <w:noProof/>
          <w:sz w:val="24"/>
          <w:szCs w:val="24"/>
        </w:rPr>
        <w:t>, 840 F.2d 173 (3d Cir. 1998)</w:t>
      </w:r>
      <w:r w:rsidRPr="00464320">
        <w:rPr>
          <w:rFonts w:ascii="Times New Roman" w:hAnsi="Times New Roman"/>
          <w:noProof/>
          <w:sz w:val="24"/>
          <w:szCs w:val="24"/>
        </w:rPr>
        <w:tab/>
        <w:t>26</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Cent</w:t>
      </w:r>
      <w:r w:rsidR="006B3A95">
        <w:rPr>
          <w:rFonts w:ascii="Times New Roman" w:hAnsi="Times New Roman"/>
          <w:i/>
          <w:noProof/>
          <w:sz w:val="24"/>
          <w:szCs w:val="24"/>
        </w:rPr>
        <w:t>ral</w:t>
      </w:r>
      <w:r w:rsidRPr="00464320">
        <w:rPr>
          <w:rFonts w:ascii="Times New Roman" w:hAnsi="Times New Roman"/>
          <w:i/>
          <w:noProof/>
          <w:sz w:val="24"/>
          <w:szCs w:val="24"/>
        </w:rPr>
        <w:t xml:space="preserve"> Tel</w:t>
      </w:r>
      <w:r w:rsidR="006B3A95">
        <w:rPr>
          <w:rFonts w:ascii="Times New Roman" w:hAnsi="Times New Roman"/>
          <w:i/>
          <w:noProof/>
          <w:sz w:val="24"/>
          <w:szCs w:val="24"/>
        </w:rPr>
        <w:t>ephone</w:t>
      </w:r>
      <w:r w:rsidRPr="00464320">
        <w:rPr>
          <w:rFonts w:ascii="Times New Roman" w:hAnsi="Times New Roman"/>
          <w:i/>
          <w:noProof/>
          <w:sz w:val="24"/>
          <w:szCs w:val="24"/>
        </w:rPr>
        <w:t xml:space="preserve"> Co. of V</w:t>
      </w:r>
      <w:r w:rsidR="006B3A95">
        <w:rPr>
          <w:rFonts w:ascii="Times New Roman" w:hAnsi="Times New Roman"/>
          <w:i/>
          <w:noProof/>
          <w:sz w:val="24"/>
          <w:szCs w:val="24"/>
        </w:rPr>
        <w:t>irginia</w:t>
      </w:r>
      <w:r w:rsidRPr="00464320">
        <w:rPr>
          <w:rFonts w:ascii="Times New Roman" w:hAnsi="Times New Roman"/>
          <w:i/>
          <w:noProof/>
          <w:sz w:val="24"/>
          <w:szCs w:val="24"/>
        </w:rPr>
        <w:t xml:space="preserve"> v. Sprint Comm</w:t>
      </w:r>
      <w:r w:rsidR="006B3A95">
        <w:rPr>
          <w:rFonts w:ascii="Times New Roman" w:hAnsi="Times New Roman"/>
          <w:i/>
          <w:noProof/>
          <w:sz w:val="24"/>
          <w:szCs w:val="24"/>
        </w:rPr>
        <w:t>unications</w:t>
      </w:r>
      <w:r w:rsidRPr="00464320">
        <w:rPr>
          <w:rFonts w:ascii="Times New Roman" w:hAnsi="Times New Roman"/>
          <w:i/>
          <w:noProof/>
          <w:sz w:val="24"/>
          <w:szCs w:val="24"/>
        </w:rPr>
        <w:t xml:space="preserve"> Co. of V</w:t>
      </w:r>
      <w:r w:rsidR="006B3A95">
        <w:rPr>
          <w:rFonts w:ascii="Times New Roman" w:hAnsi="Times New Roman"/>
          <w:i/>
          <w:noProof/>
          <w:sz w:val="24"/>
          <w:szCs w:val="24"/>
        </w:rPr>
        <w:t>irgini</w:t>
      </w:r>
      <w:r w:rsidRPr="00464320">
        <w:rPr>
          <w:rFonts w:ascii="Times New Roman" w:hAnsi="Times New Roman"/>
          <w:i/>
          <w:noProof/>
          <w:sz w:val="24"/>
          <w:szCs w:val="24"/>
        </w:rPr>
        <w:t>a</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715 F.3d 501 (4th Cir. 2013)</w:t>
      </w:r>
      <w:r w:rsidRPr="00464320">
        <w:rPr>
          <w:rFonts w:ascii="Times New Roman" w:hAnsi="Times New Roman"/>
          <w:noProof/>
          <w:sz w:val="24"/>
          <w:szCs w:val="24"/>
        </w:rPr>
        <w:tab/>
        <w:t>13</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eastAsia="Times New Roman" w:hAnsi="Times New Roman"/>
          <w:i/>
          <w:noProof/>
          <w:sz w:val="24"/>
          <w:szCs w:val="24"/>
        </w:rPr>
        <w:t>Clayton v. Ameriquest Mortg</w:t>
      </w:r>
      <w:r w:rsidR="006B3A95">
        <w:rPr>
          <w:rFonts w:ascii="Times New Roman" w:eastAsia="Times New Roman" w:hAnsi="Times New Roman"/>
          <w:i/>
          <w:noProof/>
          <w:sz w:val="24"/>
          <w:szCs w:val="24"/>
        </w:rPr>
        <w:t>age</w:t>
      </w:r>
      <w:r w:rsidRPr="00464320">
        <w:rPr>
          <w:rFonts w:ascii="Times New Roman" w:eastAsia="Times New Roman" w:hAnsi="Times New Roman"/>
          <w:i/>
          <w:noProof/>
          <w:sz w:val="24"/>
          <w:szCs w:val="24"/>
        </w:rPr>
        <w:t xml:space="preserve"> Co.</w:t>
      </w:r>
      <w:r w:rsidRPr="00464320">
        <w:rPr>
          <w:rFonts w:ascii="Times New Roman" w:eastAsia="Times New Roman" w:hAnsi="Times New Roman"/>
          <w:noProof/>
          <w:sz w:val="24"/>
          <w:szCs w:val="24"/>
        </w:rPr>
        <w:t>, No. 1:02CV415, 2004 WL</w:t>
      </w:r>
      <w:r w:rsidR="00A72B24">
        <w:rPr>
          <w:rFonts w:ascii="Times New Roman" w:eastAsia="Times New Roman" w:hAnsi="Times New Roman"/>
          <w:noProof/>
          <w:sz w:val="24"/>
          <w:szCs w:val="24"/>
        </w:rPr>
        <w:t xml:space="preserve"> 734978 (M.D.N.C. Apr. 5, 2004)</w:t>
      </w:r>
      <w:r w:rsidRPr="00464320">
        <w:rPr>
          <w:rFonts w:ascii="Times New Roman" w:hAnsi="Times New Roman"/>
          <w:noProof/>
          <w:sz w:val="24"/>
          <w:szCs w:val="24"/>
        </w:rPr>
        <w:tab/>
        <w:t>11, 25</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Columbus-Am</w:t>
      </w:r>
      <w:r w:rsidR="001C090D">
        <w:rPr>
          <w:rFonts w:ascii="Times New Roman" w:hAnsi="Times New Roman"/>
          <w:i/>
          <w:noProof/>
          <w:sz w:val="24"/>
          <w:szCs w:val="24"/>
        </w:rPr>
        <w:t>erica</w:t>
      </w:r>
      <w:r w:rsidRPr="00464320">
        <w:rPr>
          <w:rFonts w:ascii="Times New Roman" w:hAnsi="Times New Roman"/>
          <w:i/>
          <w:noProof/>
          <w:sz w:val="24"/>
          <w:szCs w:val="24"/>
        </w:rPr>
        <w:t xml:space="preserve"> Discovery Gr</w:t>
      </w:r>
      <w:r w:rsidR="001C090D">
        <w:rPr>
          <w:rFonts w:ascii="Times New Roman" w:hAnsi="Times New Roman"/>
          <w:i/>
          <w:noProof/>
          <w:sz w:val="24"/>
          <w:szCs w:val="24"/>
        </w:rPr>
        <w:t>ou</w:t>
      </w:r>
      <w:r w:rsidRPr="00464320">
        <w:rPr>
          <w:rFonts w:ascii="Times New Roman" w:hAnsi="Times New Roman"/>
          <w:i/>
          <w:noProof/>
          <w:sz w:val="24"/>
          <w:szCs w:val="24"/>
        </w:rPr>
        <w:t>p v. Atl</w:t>
      </w:r>
      <w:r w:rsidR="001C090D">
        <w:rPr>
          <w:rFonts w:ascii="Times New Roman" w:hAnsi="Times New Roman"/>
          <w:i/>
          <w:noProof/>
          <w:sz w:val="24"/>
          <w:szCs w:val="24"/>
        </w:rPr>
        <w:t>antic</w:t>
      </w:r>
      <w:r w:rsidRPr="00464320">
        <w:rPr>
          <w:rFonts w:ascii="Times New Roman" w:hAnsi="Times New Roman"/>
          <w:i/>
          <w:noProof/>
          <w:sz w:val="24"/>
          <w:szCs w:val="24"/>
        </w:rPr>
        <w:t xml:space="preserve"> Mut</w:t>
      </w:r>
      <w:r w:rsidR="001C090D">
        <w:rPr>
          <w:rFonts w:ascii="Times New Roman" w:hAnsi="Times New Roman"/>
          <w:i/>
          <w:noProof/>
          <w:sz w:val="24"/>
          <w:szCs w:val="24"/>
        </w:rPr>
        <w:t>ual</w:t>
      </w:r>
      <w:r w:rsidRPr="00464320">
        <w:rPr>
          <w:rFonts w:ascii="Times New Roman" w:hAnsi="Times New Roman"/>
          <w:i/>
          <w:noProof/>
          <w:sz w:val="24"/>
          <w:szCs w:val="24"/>
        </w:rPr>
        <w:t xml:space="preserve"> Ins</w:t>
      </w:r>
      <w:r w:rsidR="001C090D">
        <w:rPr>
          <w:rFonts w:ascii="Times New Roman" w:hAnsi="Times New Roman"/>
          <w:i/>
          <w:noProof/>
          <w:sz w:val="24"/>
          <w:szCs w:val="24"/>
        </w:rPr>
        <w:t>urance</w:t>
      </w:r>
      <w:r w:rsidRPr="00464320">
        <w:rPr>
          <w:rFonts w:ascii="Times New Roman" w:hAnsi="Times New Roman"/>
          <w:i/>
          <w:noProof/>
          <w:sz w:val="24"/>
          <w:szCs w:val="24"/>
        </w:rPr>
        <w:t xml:space="preserve"> Co.</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203 F.3d 291 (4th Cir. 2000)</w:t>
      </w:r>
      <w:r w:rsidRPr="00464320">
        <w:rPr>
          <w:rFonts w:ascii="Times New Roman" w:hAnsi="Times New Roman"/>
          <w:noProof/>
          <w:sz w:val="24"/>
          <w:szCs w:val="24"/>
        </w:rPr>
        <w:tab/>
        <w:t>13</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Crain v. DeBartolo,</w:t>
      </w:r>
      <w:r w:rsidRPr="00464320">
        <w:rPr>
          <w:rFonts w:ascii="Times New Roman" w:hAnsi="Times New Roman"/>
          <w:noProof/>
          <w:sz w:val="24"/>
          <w:szCs w:val="24"/>
        </w:rPr>
        <w:t xml:space="preserve"> No. 7:14-CV-29-D, 2015 WL 73961 (E.D.N.C. Jan. 6, 2015)</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Crowder Constr</w:t>
      </w:r>
      <w:r w:rsidR="001C090D">
        <w:rPr>
          <w:rFonts w:ascii="Times New Roman" w:hAnsi="Times New Roman"/>
          <w:i/>
          <w:noProof/>
          <w:sz w:val="24"/>
          <w:szCs w:val="24"/>
        </w:rPr>
        <w:t>uction</w:t>
      </w:r>
      <w:r w:rsidRPr="00464320">
        <w:rPr>
          <w:rFonts w:ascii="Times New Roman" w:hAnsi="Times New Roman"/>
          <w:i/>
          <w:noProof/>
          <w:sz w:val="24"/>
          <w:szCs w:val="24"/>
        </w:rPr>
        <w:t xml:space="preserve"> Co. v. Kiser, </w:t>
      </w:r>
      <w:r w:rsidRPr="00464320">
        <w:rPr>
          <w:rFonts w:ascii="Times New Roman" w:hAnsi="Times New Roman"/>
          <w:noProof/>
          <w:sz w:val="24"/>
          <w:szCs w:val="24"/>
        </w:rPr>
        <w:t>134 N.C. App. 190, 517 S.E.2d 178 (1999)</w:t>
      </w:r>
      <w:r w:rsidRPr="00464320">
        <w:rPr>
          <w:rFonts w:ascii="Times New Roman" w:hAnsi="Times New Roman"/>
          <w:noProof/>
          <w:sz w:val="24"/>
          <w:szCs w:val="24"/>
        </w:rPr>
        <w:tab/>
        <w:t>13</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 xml:space="preserve">Fulford v. Jenkins, </w:t>
      </w:r>
      <w:r w:rsidRPr="00464320">
        <w:rPr>
          <w:rFonts w:ascii="Times New Roman" w:hAnsi="Times New Roman"/>
          <w:noProof/>
          <w:sz w:val="24"/>
          <w:szCs w:val="24"/>
        </w:rPr>
        <w:t>195 N.C. App. 402, 672 S.E.2d 759 (2009)</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Glo</w:t>
      </w:r>
      <w:r w:rsidR="00885A0E">
        <w:rPr>
          <w:rFonts w:ascii="Times New Roman" w:hAnsi="Times New Roman"/>
          <w:i/>
          <w:noProof/>
          <w:sz w:val="24"/>
          <w:szCs w:val="24"/>
        </w:rPr>
        <w:t>ver v. First Union Nationa</w:t>
      </w:r>
      <w:r w:rsidRPr="00464320">
        <w:rPr>
          <w:rFonts w:ascii="Times New Roman" w:hAnsi="Times New Roman"/>
          <w:i/>
          <w:noProof/>
          <w:sz w:val="24"/>
          <w:szCs w:val="24"/>
        </w:rPr>
        <w:t xml:space="preserve">l Bank, </w:t>
      </w:r>
      <w:r w:rsidRPr="00464320">
        <w:rPr>
          <w:rFonts w:ascii="Times New Roman" w:hAnsi="Times New Roman"/>
          <w:noProof/>
          <w:sz w:val="24"/>
          <w:szCs w:val="24"/>
        </w:rPr>
        <w:t>109 N.C. App. 451, 428 S.E.2d 206 (1993)</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eastAsia="Times New Roman" w:hAnsi="Times New Roman"/>
          <w:bCs/>
          <w:i/>
          <w:noProof/>
          <w:sz w:val="24"/>
          <w:szCs w:val="24"/>
        </w:rPr>
        <w:t>Golf Resorts, Inc. v. Peshak</w:t>
      </w:r>
      <w:r w:rsidRPr="00464320">
        <w:rPr>
          <w:rFonts w:ascii="Times New Roman" w:eastAsia="Times New Roman" w:hAnsi="Times New Roman"/>
          <w:bCs/>
          <w:noProof/>
          <w:sz w:val="24"/>
          <w:szCs w:val="24"/>
        </w:rPr>
        <w:t xml:space="preserve">, </w:t>
      </w:r>
      <w:r w:rsidRPr="00464320">
        <w:rPr>
          <w:rFonts w:ascii="Times New Roman" w:hAnsi="Times New Roman"/>
          <w:noProof/>
          <w:sz w:val="24"/>
          <w:szCs w:val="24"/>
        </w:rPr>
        <w:t xml:space="preserve">991 F.2d 799 (Table), 1993 WL 113722 </w:t>
      </w:r>
      <w:r w:rsidRPr="00464320">
        <w:rPr>
          <w:rFonts w:ascii="Times New Roman" w:eastAsia="Times New Roman" w:hAnsi="Times New Roman"/>
          <w:bCs/>
          <w:noProof/>
          <w:sz w:val="24"/>
          <w:szCs w:val="24"/>
        </w:rPr>
        <w:t>(7th Cir. Apr. 13, 1993)</w:t>
      </w:r>
      <w:r w:rsidRPr="00464320">
        <w:rPr>
          <w:rFonts w:ascii="Times New Roman" w:hAnsi="Times New Roman"/>
          <w:noProof/>
          <w:sz w:val="24"/>
          <w:szCs w:val="24"/>
        </w:rPr>
        <w:tab/>
        <w:t>26</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Harris v. Ray Johnson Constr</w:t>
      </w:r>
      <w:r w:rsidR="00885A0E">
        <w:rPr>
          <w:rFonts w:ascii="Times New Roman" w:hAnsi="Times New Roman"/>
          <w:i/>
          <w:noProof/>
          <w:sz w:val="24"/>
          <w:szCs w:val="24"/>
        </w:rPr>
        <w:t>uction</w:t>
      </w:r>
      <w:r w:rsidRPr="00464320">
        <w:rPr>
          <w:rFonts w:ascii="Times New Roman" w:hAnsi="Times New Roman"/>
          <w:i/>
          <w:noProof/>
          <w:sz w:val="24"/>
          <w:szCs w:val="24"/>
        </w:rPr>
        <w:t xml:space="preserve"> Co., </w:t>
      </w:r>
      <w:r w:rsidRPr="00464320">
        <w:rPr>
          <w:rFonts w:ascii="Times New Roman" w:hAnsi="Times New Roman"/>
          <w:noProof/>
          <w:sz w:val="24"/>
          <w:szCs w:val="24"/>
        </w:rPr>
        <w:t>139 N.C. App. 827, 534 S.E.2d 653 (2000)</w:t>
      </w:r>
      <w:r w:rsidRPr="00464320">
        <w:rPr>
          <w:rFonts w:ascii="Times New Roman" w:hAnsi="Times New Roman"/>
          <w:noProof/>
          <w:sz w:val="24"/>
          <w:szCs w:val="24"/>
        </w:rPr>
        <w:tab/>
        <w:t>11</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Hensley v. Alcon Lab</w:t>
      </w:r>
      <w:r w:rsidR="00885A0E">
        <w:rPr>
          <w:rFonts w:ascii="Times New Roman" w:hAnsi="Times New Roman"/>
          <w:i/>
          <w:noProof/>
          <w:sz w:val="24"/>
          <w:szCs w:val="24"/>
        </w:rPr>
        <w:t>oratorie</w:t>
      </w:r>
      <w:r w:rsidRPr="00464320">
        <w:rPr>
          <w:rFonts w:ascii="Times New Roman" w:hAnsi="Times New Roman"/>
          <w:i/>
          <w:noProof/>
          <w:sz w:val="24"/>
          <w:szCs w:val="24"/>
        </w:rPr>
        <w:t>s, Inc.</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277 F.3d 535 (4th Cir. 2002)</w:t>
      </w:r>
      <w:r w:rsidRPr="00464320">
        <w:rPr>
          <w:rFonts w:ascii="Times New Roman" w:hAnsi="Times New Roman"/>
          <w:noProof/>
          <w:sz w:val="24"/>
          <w:szCs w:val="24"/>
        </w:rPr>
        <w:tab/>
        <w:t>11</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Johnson v. Am</w:t>
      </w:r>
      <w:r w:rsidR="00885A0E">
        <w:rPr>
          <w:rFonts w:ascii="Times New Roman" w:hAnsi="Times New Roman"/>
          <w:i/>
          <w:noProof/>
          <w:sz w:val="24"/>
          <w:szCs w:val="24"/>
        </w:rPr>
        <w:t>erican</w:t>
      </w:r>
      <w:r w:rsidRPr="00464320">
        <w:rPr>
          <w:rFonts w:ascii="Times New Roman" w:hAnsi="Times New Roman"/>
          <w:i/>
          <w:noProof/>
          <w:sz w:val="24"/>
          <w:szCs w:val="24"/>
        </w:rPr>
        <w:t xml:space="preserve"> United Life Ins</w:t>
      </w:r>
      <w:r w:rsidR="00885A0E">
        <w:rPr>
          <w:rFonts w:ascii="Times New Roman" w:hAnsi="Times New Roman"/>
          <w:i/>
          <w:noProof/>
          <w:sz w:val="24"/>
          <w:szCs w:val="24"/>
        </w:rPr>
        <w:t>urance</w:t>
      </w:r>
      <w:r w:rsidRPr="00464320">
        <w:rPr>
          <w:rFonts w:ascii="Times New Roman" w:hAnsi="Times New Roman"/>
          <w:i/>
          <w:noProof/>
          <w:sz w:val="24"/>
          <w:szCs w:val="24"/>
        </w:rPr>
        <w:t xml:space="preserve"> Co.</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716 F.3d 813 (4th Cir. 2013)</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Kokkonen v. Guardian Life Ins</w:t>
      </w:r>
      <w:r w:rsidR="00027694">
        <w:rPr>
          <w:rFonts w:ascii="Times New Roman" w:hAnsi="Times New Roman"/>
          <w:i/>
          <w:noProof/>
          <w:sz w:val="24"/>
          <w:szCs w:val="24"/>
        </w:rPr>
        <w:t>urance</w:t>
      </w:r>
      <w:r w:rsidRPr="00464320">
        <w:rPr>
          <w:rFonts w:ascii="Times New Roman" w:hAnsi="Times New Roman"/>
          <w:i/>
          <w:noProof/>
          <w:sz w:val="24"/>
          <w:szCs w:val="24"/>
        </w:rPr>
        <w:t xml:space="preserve"> Co. of Am</w:t>
      </w:r>
      <w:r w:rsidR="00027694">
        <w:rPr>
          <w:rFonts w:ascii="Times New Roman" w:hAnsi="Times New Roman"/>
          <w:i/>
          <w:noProof/>
          <w:sz w:val="24"/>
          <w:szCs w:val="24"/>
        </w:rPr>
        <w:t>erica</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511 U.S. 375 (1994)</w:t>
      </w:r>
      <w:r w:rsidRPr="00464320">
        <w:rPr>
          <w:rFonts w:ascii="Times New Roman" w:hAnsi="Times New Roman"/>
          <w:noProof/>
          <w:sz w:val="24"/>
          <w:szCs w:val="24"/>
        </w:rPr>
        <w:tab/>
        <w:t>11</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 xml:space="preserve">Lynn v. Lynn, </w:t>
      </w:r>
      <w:r w:rsidRPr="00464320">
        <w:rPr>
          <w:rFonts w:ascii="Times New Roman" w:hAnsi="Times New Roman"/>
          <w:noProof/>
          <w:sz w:val="24"/>
          <w:szCs w:val="24"/>
        </w:rPr>
        <w:t>202 N.C. App. 423, 689 S.E.2d 198 (2010)</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Med</w:t>
      </w:r>
      <w:r w:rsidR="00027694">
        <w:rPr>
          <w:rFonts w:ascii="Times New Roman" w:hAnsi="Times New Roman"/>
          <w:i/>
          <w:noProof/>
          <w:sz w:val="24"/>
          <w:szCs w:val="24"/>
        </w:rPr>
        <w:t xml:space="preserve">ical </w:t>
      </w:r>
      <w:r w:rsidRPr="00464320">
        <w:rPr>
          <w:rFonts w:ascii="Times New Roman" w:hAnsi="Times New Roman"/>
          <w:i/>
          <w:noProof/>
          <w:sz w:val="24"/>
          <w:szCs w:val="24"/>
        </w:rPr>
        <w:t>Mut</w:t>
      </w:r>
      <w:r w:rsidR="00027694">
        <w:rPr>
          <w:rFonts w:ascii="Times New Roman" w:hAnsi="Times New Roman"/>
          <w:i/>
          <w:noProof/>
          <w:sz w:val="24"/>
          <w:szCs w:val="24"/>
        </w:rPr>
        <w:t>ual</w:t>
      </w:r>
      <w:r w:rsidRPr="00464320">
        <w:rPr>
          <w:rFonts w:ascii="Times New Roman" w:hAnsi="Times New Roman"/>
          <w:i/>
          <w:noProof/>
          <w:sz w:val="24"/>
          <w:szCs w:val="24"/>
        </w:rPr>
        <w:t xml:space="preserve"> Ins</w:t>
      </w:r>
      <w:r w:rsidR="00027694">
        <w:rPr>
          <w:rFonts w:ascii="Times New Roman" w:hAnsi="Times New Roman"/>
          <w:i/>
          <w:noProof/>
          <w:sz w:val="24"/>
          <w:szCs w:val="24"/>
        </w:rPr>
        <w:t>urance</w:t>
      </w:r>
      <w:r w:rsidRPr="00464320">
        <w:rPr>
          <w:rFonts w:ascii="Times New Roman" w:hAnsi="Times New Roman"/>
          <w:i/>
          <w:noProof/>
          <w:sz w:val="24"/>
          <w:szCs w:val="24"/>
        </w:rPr>
        <w:t xml:space="preserve"> Co. of N</w:t>
      </w:r>
      <w:r w:rsidR="00027694">
        <w:rPr>
          <w:rFonts w:ascii="Times New Roman" w:hAnsi="Times New Roman"/>
          <w:i/>
          <w:noProof/>
          <w:sz w:val="24"/>
          <w:szCs w:val="24"/>
        </w:rPr>
        <w:t xml:space="preserve">orth </w:t>
      </w:r>
      <w:r w:rsidRPr="00464320">
        <w:rPr>
          <w:rFonts w:ascii="Times New Roman" w:hAnsi="Times New Roman"/>
          <w:i/>
          <w:noProof/>
          <w:sz w:val="24"/>
          <w:szCs w:val="24"/>
        </w:rPr>
        <w:t>C</w:t>
      </w:r>
      <w:r w:rsidR="00027694">
        <w:rPr>
          <w:rFonts w:ascii="Times New Roman" w:hAnsi="Times New Roman"/>
          <w:i/>
          <w:noProof/>
          <w:sz w:val="24"/>
          <w:szCs w:val="24"/>
        </w:rPr>
        <w:t>arolina</w:t>
      </w:r>
      <w:r w:rsidRPr="00464320">
        <w:rPr>
          <w:rFonts w:ascii="Times New Roman" w:hAnsi="Times New Roman"/>
          <w:i/>
          <w:noProof/>
          <w:sz w:val="24"/>
          <w:szCs w:val="24"/>
        </w:rPr>
        <w:t xml:space="preserve"> v. Am</w:t>
      </w:r>
      <w:r w:rsidR="00027694">
        <w:rPr>
          <w:rFonts w:ascii="Times New Roman" w:hAnsi="Times New Roman"/>
          <w:i/>
          <w:noProof/>
          <w:sz w:val="24"/>
          <w:szCs w:val="24"/>
        </w:rPr>
        <w:t>erican</w:t>
      </w:r>
      <w:r w:rsidRPr="00464320">
        <w:rPr>
          <w:rFonts w:ascii="Times New Roman" w:hAnsi="Times New Roman"/>
          <w:i/>
          <w:noProof/>
          <w:sz w:val="24"/>
          <w:szCs w:val="24"/>
        </w:rPr>
        <w:t xml:space="preserve"> Cas</w:t>
      </w:r>
      <w:r w:rsidR="00027694">
        <w:rPr>
          <w:rFonts w:ascii="Times New Roman" w:hAnsi="Times New Roman"/>
          <w:i/>
          <w:noProof/>
          <w:sz w:val="24"/>
          <w:szCs w:val="24"/>
        </w:rPr>
        <w:t>ualty</w:t>
      </w:r>
      <w:r w:rsidRPr="00464320">
        <w:rPr>
          <w:rFonts w:ascii="Times New Roman" w:hAnsi="Times New Roman"/>
          <w:i/>
          <w:noProof/>
          <w:sz w:val="24"/>
          <w:szCs w:val="24"/>
        </w:rPr>
        <w:t xml:space="preserve"> Co. of Reading, P</w:t>
      </w:r>
      <w:r w:rsidR="00027694">
        <w:rPr>
          <w:rFonts w:ascii="Times New Roman" w:hAnsi="Times New Roman"/>
          <w:i/>
          <w:noProof/>
          <w:sz w:val="24"/>
          <w:szCs w:val="24"/>
        </w:rPr>
        <w:t>ennsylvani</w:t>
      </w:r>
      <w:r w:rsidRPr="00464320">
        <w:rPr>
          <w:rFonts w:ascii="Times New Roman" w:hAnsi="Times New Roman"/>
          <w:i/>
          <w:noProof/>
          <w:sz w:val="24"/>
          <w:szCs w:val="24"/>
        </w:rPr>
        <w:t>a</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721 F. Supp. 2d 447 (E.D.N.C. 2010)</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M</w:t>
      </w:r>
      <w:r w:rsidR="00027694">
        <w:rPr>
          <w:rFonts w:ascii="Times New Roman" w:hAnsi="Times New Roman"/>
          <w:i/>
          <w:noProof/>
          <w:sz w:val="24"/>
          <w:szCs w:val="24"/>
        </w:rPr>
        <w:t>ana</w:t>
      </w:r>
      <w:r w:rsidRPr="00464320">
        <w:rPr>
          <w:rFonts w:ascii="Times New Roman" w:hAnsi="Times New Roman"/>
          <w:i/>
          <w:noProof/>
          <w:sz w:val="24"/>
          <w:szCs w:val="24"/>
        </w:rPr>
        <w:t>g</w:t>
      </w:r>
      <w:r w:rsidR="00027694">
        <w:rPr>
          <w:rFonts w:ascii="Times New Roman" w:hAnsi="Times New Roman"/>
          <w:i/>
          <w:noProof/>
          <w:sz w:val="24"/>
          <w:szCs w:val="24"/>
        </w:rPr>
        <w:t>e</w:t>
      </w:r>
      <w:r w:rsidRPr="00464320">
        <w:rPr>
          <w:rFonts w:ascii="Times New Roman" w:hAnsi="Times New Roman"/>
          <w:i/>
          <w:noProof/>
          <w:sz w:val="24"/>
          <w:szCs w:val="24"/>
        </w:rPr>
        <w:t>m</w:t>
      </w:r>
      <w:r w:rsidR="00027694">
        <w:rPr>
          <w:rFonts w:ascii="Times New Roman" w:hAnsi="Times New Roman"/>
          <w:i/>
          <w:noProof/>
          <w:sz w:val="24"/>
          <w:szCs w:val="24"/>
        </w:rPr>
        <w:t>en</w:t>
      </w:r>
      <w:r w:rsidRPr="00464320">
        <w:rPr>
          <w:rFonts w:ascii="Times New Roman" w:hAnsi="Times New Roman"/>
          <w:i/>
          <w:noProof/>
          <w:sz w:val="24"/>
          <w:szCs w:val="24"/>
        </w:rPr>
        <w:t>t Sys</w:t>
      </w:r>
      <w:r w:rsidR="00027694">
        <w:rPr>
          <w:rFonts w:ascii="Times New Roman" w:hAnsi="Times New Roman"/>
          <w:i/>
          <w:noProof/>
          <w:sz w:val="24"/>
          <w:szCs w:val="24"/>
        </w:rPr>
        <w:t>tems</w:t>
      </w:r>
      <w:r w:rsidRPr="00464320">
        <w:rPr>
          <w:rFonts w:ascii="Times New Roman" w:hAnsi="Times New Roman"/>
          <w:i/>
          <w:noProof/>
          <w:sz w:val="24"/>
          <w:szCs w:val="24"/>
        </w:rPr>
        <w:t xml:space="preserve"> Assoc</w:t>
      </w:r>
      <w:r w:rsidR="00027694">
        <w:rPr>
          <w:rFonts w:ascii="Times New Roman" w:hAnsi="Times New Roman"/>
          <w:i/>
          <w:noProof/>
          <w:sz w:val="24"/>
          <w:szCs w:val="24"/>
        </w:rPr>
        <w:t>iates</w:t>
      </w:r>
      <w:r w:rsidRPr="00464320">
        <w:rPr>
          <w:rFonts w:ascii="Times New Roman" w:hAnsi="Times New Roman"/>
          <w:i/>
          <w:noProof/>
          <w:sz w:val="24"/>
          <w:szCs w:val="24"/>
        </w:rPr>
        <w:t>, Inc. v. McDonnell Douglas Corp.</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762 F.2d 1161 (4th Cir. 1985)</w:t>
      </w:r>
      <w:r w:rsidRPr="00464320">
        <w:rPr>
          <w:rFonts w:ascii="Times New Roman" w:hAnsi="Times New Roman"/>
          <w:noProof/>
          <w:sz w:val="24"/>
          <w:szCs w:val="24"/>
        </w:rPr>
        <w:tab/>
        <w:t>13</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iCs/>
          <w:noProof/>
          <w:sz w:val="24"/>
          <w:szCs w:val="24"/>
        </w:rPr>
        <w:lastRenderedPageBreak/>
        <w:t>Ohio Valley Env</w:t>
      </w:r>
      <w:r w:rsidR="00027694">
        <w:rPr>
          <w:rFonts w:ascii="Times New Roman" w:hAnsi="Times New Roman"/>
          <w:i/>
          <w:iCs/>
          <w:noProof/>
          <w:sz w:val="24"/>
          <w:szCs w:val="24"/>
        </w:rPr>
        <w:t>ironmen</w:t>
      </w:r>
      <w:r w:rsidRPr="00464320">
        <w:rPr>
          <w:rFonts w:ascii="Times New Roman" w:hAnsi="Times New Roman"/>
          <w:i/>
          <w:iCs/>
          <w:noProof/>
          <w:sz w:val="24"/>
          <w:szCs w:val="24"/>
        </w:rPr>
        <w:t>t</w:t>
      </w:r>
      <w:r w:rsidR="00027694">
        <w:rPr>
          <w:rFonts w:ascii="Times New Roman" w:hAnsi="Times New Roman"/>
          <w:i/>
          <w:iCs/>
          <w:noProof/>
          <w:sz w:val="24"/>
          <w:szCs w:val="24"/>
        </w:rPr>
        <w:t>a</w:t>
      </w:r>
      <w:r w:rsidR="00293E28">
        <w:rPr>
          <w:rFonts w:ascii="Times New Roman" w:hAnsi="Times New Roman"/>
          <w:i/>
          <w:iCs/>
          <w:noProof/>
          <w:sz w:val="24"/>
          <w:szCs w:val="24"/>
        </w:rPr>
        <w:t>l Coalition</w:t>
      </w:r>
      <w:r w:rsidRPr="00464320">
        <w:rPr>
          <w:rFonts w:ascii="Times New Roman" w:hAnsi="Times New Roman"/>
          <w:i/>
          <w:iCs/>
          <w:noProof/>
          <w:sz w:val="24"/>
          <w:szCs w:val="24"/>
        </w:rPr>
        <w:t xml:space="preserve"> v. Aracoma Coal Co</w:t>
      </w:r>
      <w:r w:rsidRPr="00464320">
        <w:rPr>
          <w:rFonts w:ascii="Times New Roman" w:hAnsi="Times New Roman"/>
          <w:noProof/>
          <w:sz w:val="24"/>
          <w:szCs w:val="24"/>
        </w:rPr>
        <w:t>., 556 F.3d 177 (4th Cir. 2009)</w:t>
      </w:r>
      <w:r w:rsidRPr="00464320">
        <w:rPr>
          <w:rFonts w:ascii="Times New Roman" w:hAnsi="Times New Roman"/>
          <w:noProof/>
          <w:sz w:val="24"/>
          <w:szCs w:val="24"/>
        </w:rPr>
        <w:tab/>
        <w:t>11</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Olmstead v. L.C.</w:t>
      </w:r>
      <w:r w:rsidRPr="00464320">
        <w:rPr>
          <w:rFonts w:ascii="Times New Roman" w:hAnsi="Times New Roman"/>
          <w:noProof/>
          <w:sz w:val="24"/>
          <w:szCs w:val="24"/>
        </w:rPr>
        <w:t>, 527 U.S. 581 (1999)</w:t>
      </w:r>
      <w:r w:rsidRPr="00464320">
        <w:rPr>
          <w:rFonts w:ascii="Times New Roman" w:hAnsi="Times New Roman"/>
          <w:noProof/>
          <w:sz w:val="24"/>
          <w:szCs w:val="24"/>
        </w:rPr>
        <w:tab/>
        <w:t>1</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Preyer v. Parker</w:t>
      </w:r>
      <w:r w:rsidRPr="00464320">
        <w:rPr>
          <w:rFonts w:ascii="Times New Roman" w:hAnsi="Times New Roman"/>
          <w:noProof/>
          <w:sz w:val="24"/>
          <w:szCs w:val="24"/>
        </w:rPr>
        <w:t>, 257 N.C. 440, 125 S.E.2d 916 (1962)</w:t>
      </w:r>
      <w:r w:rsidRPr="00464320">
        <w:rPr>
          <w:rFonts w:ascii="Times New Roman" w:hAnsi="Times New Roman"/>
          <w:noProof/>
          <w:sz w:val="24"/>
          <w:szCs w:val="24"/>
        </w:rPr>
        <w:tab/>
        <w:t>13</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Renfro v. Richardson Sports Ltd.</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172 N.C. App. 176, 616 S.E.2d 317 (2005)</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 xml:space="preserve">Silicon Image, Inc. v. Genesis Microchip, Inc., </w:t>
      </w:r>
      <w:r w:rsidRPr="00464320">
        <w:rPr>
          <w:rFonts w:ascii="Times New Roman" w:hAnsi="Times New Roman"/>
          <w:noProof/>
          <w:sz w:val="24"/>
          <w:szCs w:val="24"/>
        </w:rPr>
        <w:t>271 F. Supp. 2d 840 (E.D. Va. 2003)</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State v. Philip Morris USA Inc.</w:t>
      </w:r>
      <w:r w:rsidRPr="00464320">
        <w:rPr>
          <w:rFonts w:ascii="Times New Roman" w:hAnsi="Times New Roman"/>
          <w:noProof/>
          <w:sz w:val="24"/>
          <w:szCs w:val="24"/>
        </w:rPr>
        <w:t>,</w:t>
      </w:r>
      <w:r w:rsidRPr="00464320">
        <w:rPr>
          <w:rFonts w:ascii="Times New Roman" w:hAnsi="Times New Roman"/>
          <w:i/>
          <w:noProof/>
          <w:sz w:val="24"/>
          <w:szCs w:val="24"/>
        </w:rPr>
        <w:t xml:space="preserve"> </w:t>
      </w:r>
      <w:r w:rsidRPr="00464320">
        <w:rPr>
          <w:rFonts w:ascii="Times New Roman" w:hAnsi="Times New Roman"/>
          <w:noProof/>
          <w:sz w:val="24"/>
          <w:szCs w:val="24"/>
        </w:rPr>
        <w:t>359 N.C. 763, 618 S.E.2d. 219 (2005)</w:t>
      </w:r>
      <w:r w:rsidRPr="00464320">
        <w:rPr>
          <w:rFonts w:ascii="Times New Roman" w:hAnsi="Times New Roman"/>
          <w:noProof/>
          <w:sz w:val="24"/>
          <w:szCs w:val="24"/>
        </w:rPr>
        <w:tab/>
        <w:t>12</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i/>
          <w:noProof/>
          <w:sz w:val="24"/>
          <w:szCs w:val="24"/>
        </w:rPr>
        <w:t>U.S. ex rel. McDermitt, Inc. v. Centex-Simpson Const</w:t>
      </w:r>
      <w:r w:rsidR="00ED238D">
        <w:rPr>
          <w:rFonts w:ascii="Times New Roman" w:hAnsi="Times New Roman"/>
          <w:i/>
          <w:noProof/>
          <w:sz w:val="24"/>
          <w:szCs w:val="24"/>
        </w:rPr>
        <w:t>r</w:t>
      </w:r>
      <w:r w:rsidR="00D95A57">
        <w:rPr>
          <w:rFonts w:ascii="Times New Roman" w:hAnsi="Times New Roman"/>
          <w:i/>
          <w:noProof/>
          <w:sz w:val="24"/>
          <w:szCs w:val="24"/>
        </w:rPr>
        <w:t>uction</w:t>
      </w:r>
      <w:r w:rsidRPr="00464320">
        <w:rPr>
          <w:rFonts w:ascii="Times New Roman" w:hAnsi="Times New Roman"/>
          <w:i/>
          <w:noProof/>
          <w:sz w:val="24"/>
          <w:szCs w:val="24"/>
        </w:rPr>
        <w:t xml:space="preserve"> Co.</w:t>
      </w:r>
      <w:r w:rsidRPr="00464320">
        <w:rPr>
          <w:rFonts w:ascii="Times New Roman" w:hAnsi="Times New Roman"/>
          <w:noProof/>
          <w:sz w:val="24"/>
          <w:szCs w:val="24"/>
        </w:rPr>
        <w:t>, 34 F. Supp. 2d 397 (N</w:t>
      </w:r>
      <w:r w:rsidR="00293E28">
        <w:rPr>
          <w:rFonts w:ascii="Times New Roman" w:hAnsi="Times New Roman"/>
          <w:noProof/>
          <w:sz w:val="24"/>
          <w:szCs w:val="24"/>
        </w:rPr>
        <w:t xml:space="preserve">.D. </w:t>
      </w:r>
      <w:r w:rsidR="007E1170">
        <w:rPr>
          <w:rFonts w:ascii="Times New Roman" w:hAnsi="Times New Roman"/>
          <w:noProof/>
          <w:sz w:val="24"/>
          <w:szCs w:val="24"/>
        </w:rPr>
        <w:t>W. Va. 1999)</w:t>
      </w:r>
      <w:r w:rsidRPr="00464320">
        <w:rPr>
          <w:rFonts w:ascii="Times New Roman" w:hAnsi="Times New Roman"/>
          <w:noProof/>
          <w:sz w:val="24"/>
          <w:szCs w:val="24"/>
        </w:rPr>
        <w:tab/>
        <w:t>11, 25</w:t>
      </w:r>
    </w:p>
    <w:p w:rsidR="00E26A9E" w:rsidRPr="00464320" w:rsidRDefault="00E26A9E"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eastAsia="Times New Roman" w:hAnsi="Times New Roman"/>
          <w:i/>
          <w:iCs/>
          <w:noProof/>
          <w:sz w:val="24"/>
          <w:szCs w:val="24"/>
        </w:rPr>
        <w:t>Williams v. Habul</w:t>
      </w:r>
      <w:r w:rsidRPr="00464320">
        <w:rPr>
          <w:rFonts w:ascii="Times New Roman" w:eastAsia="Times New Roman" w:hAnsi="Times New Roman"/>
          <w:noProof/>
          <w:sz w:val="24"/>
          <w:szCs w:val="24"/>
        </w:rPr>
        <w:t>, 219 N.C. App. 281, 724 S.E.2d 104 (2012)</w:t>
      </w:r>
      <w:r w:rsidRPr="00464320">
        <w:rPr>
          <w:rFonts w:ascii="Times New Roman" w:hAnsi="Times New Roman"/>
          <w:noProof/>
          <w:sz w:val="24"/>
          <w:szCs w:val="24"/>
        </w:rPr>
        <w:tab/>
        <w:t>25</w:t>
      </w:r>
    </w:p>
    <w:p w:rsidR="00E26A9E" w:rsidRPr="00464320" w:rsidRDefault="00B34D87" w:rsidP="00D778CF">
      <w:pPr>
        <w:pStyle w:val="TOAHeading"/>
        <w:tabs>
          <w:tab w:val="right" w:leader="dot" w:pos="9350"/>
        </w:tabs>
        <w:jc w:val="center"/>
        <w:rPr>
          <w:rFonts w:ascii="Times New Roman" w:eastAsiaTheme="minorEastAsia" w:hAnsi="Times New Roman" w:cs="Times New Roman"/>
          <w:b w:val="0"/>
          <w:bCs w:val="0"/>
          <w:noProof/>
          <w:sz w:val="24"/>
          <w:szCs w:val="24"/>
        </w:rPr>
      </w:pPr>
      <w:r w:rsidRPr="00464320">
        <w:rPr>
          <w:rFonts w:ascii="Times New Roman" w:hAnsi="Times New Roman" w:cs="Times New Roman"/>
          <w:b w:val="0"/>
          <w:sz w:val="24"/>
          <w:szCs w:val="24"/>
          <w:u w:val="single"/>
        </w:rPr>
        <w:fldChar w:fldCharType="end"/>
      </w:r>
      <w:r w:rsidRPr="00464320">
        <w:rPr>
          <w:rFonts w:ascii="Times New Roman" w:hAnsi="Times New Roman" w:cs="Times New Roman"/>
          <w:b w:val="0"/>
          <w:sz w:val="24"/>
          <w:szCs w:val="24"/>
          <w:u w:val="single"/>
        </w:rPr>
        <w:fldChar w:fldCharType="begin"/>
      </w:r>
      <w:r w:rsidR="00E26A9E" w:rsidRPr="00464320">
        <w:rPr>
          <w:rFonts w:ascii="Times New Roman" w:hAnsi="Times New Roman" w:cs="Times New Roman"/>
          <w:b w:val="0"/>
          <w:sz w:val="24"/>
          <w:szCs w:val="24"/>
          <w:u w:val="single"/>
        </w:rPr>
        <w:instrText xml:space="preserve"> TOA \h \c "2" \p </w:instrText>
      </w:r>
      <w:r w:rsidRPr="00464320">
        <w:rPr>
          <w:rFonts w:ascii="Times New Roman" w:hAnsi="Times New Roman" w:cs="Times New Roman"/>
          <w:b w:val="0"/>
          <w:sz w:val="24"/>
          <w:szCs w:val="24"/>
          <w:u w:val="single"/>
        </w:rPr>
        <w:fldChar w:fldCharType="separate"/>
      </w:r>
      <w:r w:rsidR="00E26A9E" w:rsidRPr="00464320">
        <w:rPr>
          <w:rFonts w:ascii="Times New Roman" w:hAnsi="Times New Roman" w:cs="Times New Roman"/>
          <w:noProof/>
          <w:sz w:val="24"/>
          <w:szCs w:val="24"/>
        </w:rPr>
        <w:t>Statutes</w:t>
      </w:r>
    </w:p>
    <w:p w:rsidR="00E26A9E" w:rsidRPr="00464320" w:rsidRDefault="00E26A9E" w:rsidP="00C06779">
      <w:pPr>
        <w:pStyle w:val="TableofAuthorities"/>
        <w:tabs>
          <w:tab w:val="right" w:leader="dot" w:pos="9350"/>
        </w:tabs>
        <w:spacing w:line="480" w:lineRule="auto"/>
        <w:ind w:left="245" w:hanging="245"/>
        <w:jc w:val="both"/>
        <w:rPr>
          <w:rFonts w:ascii="Times New Roman" w:hAnsi="Times New Roman"/>
          <w:noProof/>
          <w:sz w:val="24"/>
          <w:szCs w:val="24"/>
        </w:rPr>
      </w:pPr>
      <w:r w:rsidRPr="00464320">
        <w:rPr>
          <w:rFonts w:ascii="Times New Roman" w:hAnsi="Times New Roman"/>
          <w:noProof/>
          <w:sz w:val="24"/>
          <w:szCs w:val="24"/>
        </w:rPr>
        <w:t>42 U.S.C. § 12132</w:t>
      </w:r>
      <w:r w:rsidRPr="00464320">
        <w:rPr>
          <w:rFonts w:ascii="Times New Roman" w:hAnsi="Times New Roman"/>
          <w:noProof/>
          <w:sz w:val="24"/>
          <w:szCs w:val="24"/>
        </w:rPr>
        <w:tab/>
        <w:t>1</w:t>
      </w:r>
    </w:p>
    <w:p w:rsidR="00D778CF" w:rsidRPr="00464320" w:rsidRDefault="00B34D87" w:rsidP="00967433">
      <w:pPr>
        <w:pStyle w:val="TOAHeading"/>
        <w:tabs>
          <w:tab w:val="right" w:leader="dot" w:pos="9350"/>
        </w:tabs>
        <w:jc w:val="center"/>
        <w:rPr>
          <w:rFonts w:ascii="Times New Roman" w:eastAsiaTheme="minorEastAsia" w:hAnsi="Times New Roman" w:cs="Times New Roman"/>
          <w:b w:val="0"/>
          <w:bCs w:val="0"/>
          <w:noProof/>
          <w:sz w:val="24"/>
          <w:szCs w:val="24"/>
        </w:rPr>
      </w:pPr>
      <w:r w:rsidRPr="00464320">
        <w:rPr>
          <w:rFonts w:ascii="Times New Roman" w:hAnsi="Times New Roman" w:cs="Times New Roman"/>
          <w:b w:val="0"/>
          <w:sz w:val="24"/>
          <w:szCs w:val="24"/>
          <w:u w:val="single"/>
        </w:rPr>
        <w:fldChar w:fldCharType="end"/>
      </w:r>
      <w:r w:rsidRPr="00464320">
        <w:rPr>
          <w:rFonts w:ascii="Times New Roman" w:hAnsi="Times New Roman" w:cs="Times New Roman"/>
          <w:b w:val="0"/>
          <w:sz w:val="24"/>
          <w:szCs w:val="24"/>
          <w:u w:val="single"/>
        </w:rPr>
        <w:fldChar w:fldCharType="begin"/>
      </w:r>
      <w:r w:rsidR="00D778CF" w:rsidRPr="00464320">
        <w:rPr>
          <w:rFonts w:ascii="Times New Roman" w:hAnsi="Times New Roman" w:cs="Times New Roman"/>
          <w:b w:val="0"/>
          <w:sz w:val="24"/>
          <w:szCs w:val="24"/>
          <w:u w:val="single"/>
        </w:rPr>
        <w:instrText xml:space="preserve"> TOA \h \c "6" \p </w:instrText>
      </w:r>
      <w:r w:rsidRPr="00464320">
        <w:rPr>
          <w:rFonts w:ascii="Times New Roman" w:hAnsi="Times New Roman" w:cs="Times New Roman"/>
          <w:b w:val="0"/>
          <w:sz w:val="24"/>
          <w:szCs w:val="24"/>
          <w:u w:val="single"/>
        </w:rPr>
        <w:fldChar w:fldCharType="separate"/>
      </w:r>
      <w:r w:rsidR="00D778CF" w:rsidRPr="00464320">
        <w:rPr>
          <w:rFonts w:ascii="Times New Roman" w:hAnsi="Times New Roman" w:cs="Times New Roman"/>
          <w:noProof/>
          <w:sz w:val="24"/>
          <w:szCs w:val="24"/>
        </w:rPr>
        <w:t>Regulations</w:t>
      </w:r>
    </w:p>
    <w:p w:rsidR="00D778CF" w:rsidRPr="00464320" w:rsidRDefault="00D778CF"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noProof/>
          <w:sz w:val="24"/>
          <w:szCs w:val="24"/>
        </w:rPr>
        <w:t>28 C.F.R. § 35.130(b)</w:t>
      </w:r>
      <w:r w:rsidRPr="00464320">
        <w:rPr>
          <w:rFonts w:ascii="Times New Roman" w:hAnsi="Times New Roman"/>
          <w:noProof/>
          <w:sz w:val="24"/>
          <w:szCs w:val="24"/>
        </w:rPr>
        <w:tab/>
        <w:t>4</w:t>
      </w:r>
    </w:p>
    <w:p w:rsidR="00D778CF" w:rsidRPr="00464320" w:rsidRDefault="00D778CF" w:rsidP="00C06779">
      <w:pPr>
        <w:pStyle w:val="TableofAuthorities"/>
        <w:tabs>
          <w:tab w:val="right" w:leader="dot" w:pos="9350"/>
        </w:tabs>
        <w:spacing w:line="480" w:lineRule="auto"/>
        <w:jc w:val="both"/>
        <w:rPr>
          <w:rFonts w:ascii="Times New Roman" w:hAnsi="Times New Roman"/>
          <w:noProof/>
          <w:sz w:val="24"/>
          <w:szCs w:val="24"/>
        </w:rPr>
      </w:pPr>
      <w:r w:rsidRPr="00464320">
        <w:rPr>
          <w:rFonts w:ascii="Times New Roman" w:hAnsi="Times New Roman"/>
          <w:noProof/>
          <w:sz w:val="24"/>
          <w:szCs w:val="24"/>
        </w:rPr>
        <w:t>28 C.F.R. § 35.130(d)</w:t>
      </w:r>
      <w:r w:rsidRPr="00464320">
        <w:rPr>
          <w:rFonts w:ascii="Times New Roman" w:hAnsi="Times New Roman"/>
          <w:noProof/>
          <w:sz w:val="24"/>
          <w:szCs w:val="24"/>
        </w:rPr>
        <w:tab/>
        <w:t>1, 4</w:t>
      </w:r>
    </w:p>
    <w:p w:rsidR="00D778CF" w:rsidRPr="00464320" w:rsidRDefault="00ED238D" w:rsidP="00C06779">
      <w:pPr>
        <w:pStyle w:val="TableofAuthorities"/>
        <w:tabs>
          <w:tab w:val="right" w:leader="dot" w:pos="9350"/>
        </w:tabs>
        <w:spacing w:line="480" w:lineRule="auto"/>
        <w:jc w:val="both"/>
        <w:rPr>
          <w:rFonts w:ascii="Times New Roman" w:hAnsi="Times New Roman"/>
          <w:noProof/>
          <w:sz w:val="24"/>
          <w:szCs w:val="24"/>
        </w:rPr>
      </w:pPr>
      <w:r>
        <w:rPr>
          <w:rFonts w:ascii="Times New Roman" w:hAnsi="Times New Roman"/>
          <w:noProof/>
          <w:sz w:val="24"/>
          <w:szCs w:val="24"/>
        </w:rPr>
        <w:t>28 C.F.R. pt. 35</w:t>
      </w:r>
      <w:r w:rsidR="00C7792D">
        <w:rPr>
          <w:rFonts w:ascii="Times New Roman" w:hAnsi="Times New Roman"/>
          <w:noProof/>
          <w:sz w:val="24"/>
          <w:szCs w:val="24"/>
        </w:rPr>
        <w:t>,</w:t>
      </w:r>
      <w:r>
        <w:rPr>
          <w:rFonts w:ascii="Times New Roman" w:hAnsi="Times New Roman"/>
          <w:noProof/>
          <w:sz w:val="24"/>
          <w:szCs w:val="24"/>
        </w:rPr>
        <w:t xml:space="preserve"> app. B (2015</w:t>
      </w:r>
      <w:r w:rsidR="00D778CF" w:rsidRPr="00464320">
        <w:rPr>
          <w:rFonts w:ascii="Times New Roman" w:hAnsi="Times New Roman"/>
          <w:noProof/>
          <w:sz w:val="24"/>
          <w:szCs w:val="24"/>
        </w:rPr>
        <w:t>)</w:t>
      </w:r>
      <w:r w:rsidR="00D778CF" w:rsidRPr="00464320">
        <w:rPr>
          <w:rFonts w:ascii="Times New Roman" w:hAnsi="Times New Roman"/>
          <w:noProof/>
          <w:sz w:val="24"/>
          <w:szCs w:val="24"/>
        </w:rPr>
        <w:tab/>
        <w:t>1</w:t>
      </w:r>
    </w:p>
    <w:p w:rsidR="00E26A9E" w:rsidRPr="00464320" w:rsidRDefault="00B34D87" w:rsidP="001D60AD">
      <w:pPr>
        <w:pStyle w:val="TOAHeading"/>
        <w:tabs>
          <w:tab w:val="right" w:leader="dot" w:pos="9350"/>
        </w:tabs>
        <w:jc w:val="center"/>
        <w:rPr>
          <w:rFonts w:ascii="Times New Roman" w:eastAsiaTheme="minorEastAsia" w:hAnsi="Times New Roman" w:cs="Times New Roman"/>
          <w:b w:val="0"/>
          <w:bCs w:val="0"/>
          <w:noProof/>
          <w:sz w:val="24"/>
          <w:szCs w:val="24"/>
        </w:rPr>
      </w:pPr>
      <w:r w:rsidRPr="00464320">
        <w:rPr>
          <w:rFonts w:ascii="Times New Roman" w:hAnsi="Times New Roman" w:cs="Times New Roman"/>
          <w:b w:val="0"/>
          <w:sz w:val="24"/>
          <w:szCs w:val="24"/>
          <w:u w:val="single"/>
        </w:rPr>
        <w:fldChar w:fldCharType="end"/>
      </w:r>
      <w:r w:rsidRPr="00464320">
        <w:rPr>
          <w:rFonts w:ascii="Times New Roman" w:hAnsi="Times New Roman" w:cs="Times New Roman"/>
          <w:b w:val="0"/>
          <w:sz w:val="24"/>
          <w:szCs w:val="24"/>
          <w:u w:val="single"/>
        </w:rPr>
        <w:fldChar w:fldCharType="begin"/>
      </w:r>
      <w:r w:rsidR="00E26A9E" w:rsidRPr="00464320">
        <w:rPr>
          <w:rFonts w:ascii="Times New Roman" w:hAnsi="Times New Roman" w:cs="Times New Roman"/>
          <w:b w:val="0"/>
          <w:sz w:val="24"/>
          <w:szCs w:val="24"/>
          <w:u w:val="single"/>
        </w:rPr>
        <w:instrText xml:space="preserve"> TOA \h \c "4" \p </w:instrText>
      </w:r>
      <w:r w:rsidRPr="00464320">
        <w:rPr>
          <w:rFonts w:ascii="Times New Roman" w:hAnsi="Times New Roman" w:cs="Times New Roman"/>
          <w:b w:val="0"/>
          <w:sz w:val="24"/>
          <w:szCs w:val="24"/>
          <w:u w:val="single"/>
        </w:rPr>
        <w:fldChar w:fldCharType="separate"/>
      </w:r>
      <w:r w:rsidR="001D60AD">
        <w:rPr>
          <w:rFonts w:ascii="Times New Roman" w:hAnsi="Times New Roman" w:cs="Times New Roman"/>
          <w:noProof/>
          <w:sz w:val="24"/>
          <w:szCs w:val="24"/>
        </w:rPr>
        <w:t>federal r</w:t>
      </w:r>
      <w:r w:rsidR="00E26A9E" w:rsidRPr="00464320">
        <w:rPr>
          <w:rFonts w:ascii="Times New Roman" w:hAnsi="Times New Roman" w:cs="Times New Roman"/>
          <w:noProof/>
          <w:sz w:val="24"/>
          <w:szCs w:val="24"/>
        </w:rPr>
        <w:t>ules</w:t>
      </w:r>
    </w:p>
    <w:p w:rsidR="00E26A9E" w:rsidRPr="00464320" w:rsidRDefault="00E26A9E" w:rsidP="00C06779">
      <w:pPr>
        <w:pStyle w:val="TableofAuthorities"/>
        <w:tabs>
          <w:tab w:val="right" w:leader="dot" w:pos="9350"/>
        </w:tabs>
        <w:spacing w:line="480" w:lineRule="auto"/>
        <w:ind w:left="245" w:hanging="245"/>
        <w:jc w:val="both"/>
        <w:rPr>
          <w:rFonts w:ascii="Times New Roman" w:hAnsi="Times New Roman"/>
          <w:noProof/>
          <w:sz w:val="24"/>
          <w:szCs w:val="24"/>
        </w:rPr>
      </w:pPr>
      <w:r w:rsidRPr="00464320">
        <w:rPr>
          <w:rFonts w:ascii="Times New Roman" w:hAnsi="Times New Roman"/>
          <w:noProof/>
          <w:sz w:val="24"/>
          <w:szCs w:val="24"/>
        </w:rPr>
        <w:t>Federal Rule of Civil Procedure 41(a)(2)</w:t>
      </w:r>
      <w:r w:rsidRPr="00464320">
        <w:rPr>
          <w:rFonts w:ascii="Times New Roman" w:hAnsi="Times New Roman"/>
          <w:noProof/>
          <w:sz w:val="24"/>
          <w:szCs w:val="24"/>
        </w:rPr>
        <w:tab/>
        <w:t>5</w:t>
      </w:r>
    </w:p>
    <w:p w:rsidR="00D778CF" w:rsidRPr="00464320" w:rsidRDefault="00B34D87" w:rsidP="001D60AD">
      <w:pPr>
        <w:pStyle w:val="TOAHeading"/>
        <w:tabs>
          <w:tab w:val="right" w:leader="dot" w:pos="9350"/>
        </w:tabs>
        <w:jc w:val="center"/>
        <w:rPr>
          <w:rFonts w:ascii="Times New Roman" w:eastAsiaTheme="minorEastAsia" w:hAnsi="Times New Roman" w:cs="Times New Roman"/>
          <w:b w:val="0"/>
          <w:bCs w:val="0"/>
          <w:noProof/>
          <w:sz w:val="24"/>
          <w:szCs w:val="24"/>
        </w:rPr>
      </w:pPr>
      <w:r w:rsidRPr="00464320">
        <w:rPr>
          <w:rFonts w:ascii="Times New Roman" w:hAnsi="Times New Roman" w:cs="Times New Roman"/>
          <w:b w:val="0"/>
          <w:sz w:val="24"/>
          <w:szCs w:val="24"/>
          <w:u w:val="single"/>
        </w:rPr>
        <w:fldChar w:fldCharType="end"/>
      </w:r>
      <w:r w:rsidRPr="00B34D87">
        <w:rPr>
          <w:rFonts w:ascii="Times New Roman" w:hAnsi="Times New Roman" w:cs="Times New Roman"/>
          <w:b w:val="0"/>
          <w:sz w:val="24"/>
          <w:szCs w:val="24"/>
          <w:u w:val="single"/>
        </w:rPr>
        <w:fldChar w:fldCharType="begin"/>
      </w:r>
      <w:r w:rsidR="00D778CF" w:rsidRPr="00464320">
        <w:rPr>
          <w:rFonts w:ascii="Times New Roman" w:hAnsi="Times New Roman" w:cs="Times New Roman"/>
          <w:b w:val="0"/>
          <w:sz w:val="24"/>
          <w:szCs w:val="24"/>
          <w:u w:val="single"/>
        </w:rPr>
        <w:instrText xml:space="preserve"> TOA \h \c "3" \p </w:instrText>
      </w:r>
      <w:r w:rsidRPr="00B34D87">
        <w:rPr>
          <w:rFonts w:ascii="Times New Roman" w:hAnsi="Times New Roman" w:cs="Times New Roman"/>
          <w:b w:val="0"/>
          <w:sz w:val="24"/>
          <w:szCs w:val="24"/>
          <w:u w:val="single"/>
        </w:rPr>
        <w:fldChar w:fldCharType="separate"/>
      </w:r>
      <w:r w:rsidR="00D778CF" w:rsidRPr="00464320">
        <w:rPr>
          <w:rFonts w:ascii="Times New Roman" w:hAnsi="Times New Roman" w:cs="Times New Roman"/>
          <w:noProof/>
          <w:sz w:val="24"/>
          <w:szCs w:val="24"/>
        </w:rPr>
        <w:t>Other Authorities</w:t>
      </w:r>
    </w:p>
    <w:p w:rsidR="00D778CF" w:rsidRPr="00464320" w:rsidRDefault="00D778CF" w:rsidP="00C06779">
      <w:pPr>
        <w:pStyle w:val="TableofAuthorities"/>
        <w:tabs>
          <w:tab w:val="right" w:leader="dot" w:pos="9350"/>
        </w:tabs>
        <w:spacing w:line="480" w:lineRule="auto"/>
        <w:ind w:left="245" w:hanging="245"/>
        <w:jc w:val="both"/>
        <w:rPr>
          <w:rFonts w:ascii="Times New Roman" w:hAnsi="Times New Roman"/>
          <w:noProof/>
          <w:sz w:val="24"/>
          <w:szCs w:val="24"/>
        </w:rPr>
      </w:pPr>
      <w:r w:rsidRPr="00464320">
        <w:rPr>
          <w:rFonts w:ascii="Times New Roman" w:hAnsi="Times New Roman"/>
          <w:noProof/>
          <w:sz w:val="24"/>
          <w:szCs w:val="24"/>
        </w:rPr>
        <w:t>5 Arthur L. Corbin, Corbin on Contracts § 24.20 (Rev. ed. 2002)</w:t>
      </w:r>
      <w:r w:rsidRPr="00464320">
        <w:rPr>
          <w:rFonts w:ascii="Times New Roman" w:hAnsi="Times New Roman"/>
          <w:noProof/>
          <w:sz w:val="24"/>
          <w:szCs w:val="24"/>
        </w:rPr>
        <w:tab/>
        <w:t>12</w:t>
      </w:r>
    </w:p>
    <w:p w:rsidR="00D778CF" w:rsidRPr="00464320" w:rsidRDefault="00D778CF" w:rsidP="00C06779">
      <w:pPr>
        <w:pStyle w:val="TableofAuthorities"/>
        <w:tabs>
          <w:tab w:val="right" w:leader="dot" w:pos="9350"/>
        </w:tabs>
        <w:spacing w:line="480" w:lineRule="auto"/>
        <w:ind w:left="245" w:hanging="245"/>
        <w:jc w:val="both"/>
        <w:rPr>
          <w:rFonts w:ascii="Times New Roman" w:hAnsi="Times New Roman"/>
          <w:noProof/>
          <w:sz w:val="24"/>
          <w:szCs w:val="24"/>
        </w:rPr>
      </w:pPr>
      <w:r w:rsidRPr="00464320">
        <w:rPr>
          <w:rFonts w:ascii="Times New Roman" w:hAnsi="Times New Roman"/>
          <w:noProof/>
          <w:sz w:val="24"/>
          <w:szCs w:val="24"/>
        </w:rPr>
        <w:t>Restatement (Second) of Contracts § 202(1) (1981)</w:t>
      </w:r>
      <w:r w:rsidRPr="00464320">
        <w:rPr>
          <w:rFonts w:ascii="Times New Roman" w:hAnsi="Times New Roman"/>
          <w:noProof/>
          <w:sz w:val="24"/>
          <w:szCs w:val="24"/>
        </w:rPr>
        <w:tab/>
        <w:t>12, 17</w:t>
      </w:r>
    </w:p>
    <w:p w:rsidR="00D778CF" w:rsidRPr="00464320" w:rsidRDefault="00D778CF" w:rsidP="00C06779">
      <w:pPr>
        <w:pStyle w:val="TableofAuthorities"/>
        <w:tabs>
          <w:tab w:val="right" w:leader="dot" w:pos="9350"/>
        </w:tabs>
        <w:spacing w:line="480" w:lineRule="auto"/>
        <w:ind w:left="245" w:hanging="245"/>
        <w:jc w:val="both"/>
        <w:rPr>
          <w:rFonts w:ascii="Times New Roman" w:hAnsi="Times New Roman"/>
          <w:noProof/>
          <w:sz w:val="24"/>
          <w:szCs w:val="24"/>
        </w:rPr>
      </w:pPr>
      <w:r w:rsidRPr="00464320">
        <w:rPr>
          <w:rFonts w:ascii="Times New Roman" w:hAnsi="Times New Roman"/>
          <w:noProof/>
          <w:sz w:val="24"/>
          <w:szCs w:val="24"/>
        </w:rPr>
        <w:t>Restatement (Second) of Contracts § 202(2) (1981)</w:t>
      </w:r>
      <w:r w:rsidRPr="00464320">
        <w:rPr>
          <w:rFonts w:ascii="Times New Roman" w:hAnsi="Times New Roman"/>
          <w:noProof/>
          <w:sz w:val="24"/>
          <w:szCs w:val="24"/>
        </w:rPr>
        <w:tab/>
        <w:t>12, 21</w:t>
      </w:r>
    </w:p>
    <w:p w:rsidR="00D778CF" w:rsidRPr="00464320" w:rsidRDefault="00D778CF" w:rsidP="00C06779">
      <w:pPr>
        <w:pStyle w:val="TableofAuthorities"/>
        <w:tabs>
          <w:tab w:val="right" w:leader="dot" w:pos="9350"/>
        </w:tabs>
        <w:spacing w:line="480" w:lineRule="auto"/>
        <w:ind w:left="245" w:hanging="245"/>
        <w:jc w:val="both"/>
        <w:rPr>
          <w:rFonts w:ascii="Times New Roman" w:hAnsi="Times New Roman"/>
          <w:noProof/>
          <w:sz w:val="24"/>
          <w:szCs w:val="24"/>
        </w:rPr>
      </w:pPr>
      <w:r w:rsidRPr="00464320">
        <w:rPr>
          <w:rFonts w:ascii="Times New Roman" w:hAnsi="Times New Roman"/>
          <w:iCs/>
          <w:noProof/>
          <w:sz w:val="24"/>
          <w:szCs w:val="24"/>
        </w:rPr>
        <w:t xml:space="preserve">Restatement </w:t>
      </w:r>
      <w:r w:rsidRPr="00464320">
        <w:rPr>
          <w:rFonts w:ascii="Times New Roman" w:hAnsi="Times New Roman"/>
          <w:noProof/>
          <w:sz w:val="24"/>
          <w:szCs w:val="24"/>
        </w:rPr>
        <w:t>(Second) of Contracts § 357 cmt. a (1981)</w:t>
      </w:r>
      <w:r w:rsidRPr="00464320">
        <w:rPr>
          <w:rFonts w:ascii="Times New Roman" w:hAnsi="Times New Roman"/>
          <w:noProof/>
          <w:sz w:val="24"/>
          <w:szCs w:val="24"/>
        </w:rPr>
        <w:tab/>
        <w:t>25</w:t>
      </w:r>
    </w:p>
    <w:p w:rsidR="00156619" w:rsidRDefault="00D778CF" w:rsidP="00C06779">
      <w:pPr>
        <w:pStyle w:val="TableofAuthorities"/>
        <w:tabs>
          <w:tab w:val="right" w:leader="dot" w:pos="9350"/>
        </w:tabs>
        <w:spacing w:line="480" w:lineRule="auto"/>
        <w:ind w:left="245" w:hanging="245"/>
        <w:jc w:val="both"/>
        <w:rPr>
          <w:b/>
          <w:szCs w:val="24"/>
          <w:u w:val="single"/>
        </w:rPr>
        <w:sectPr w:rsidR="00156619" w:rsidSect="002B0CA3">
          <w:pgSz w:w="12240" w:h="15840"/>
          <w:pgMar w:top="1440" w:right="1440" w:bottom="1440" w:left="1440" w:header="720" w:footer="720" w:gutter="0"/>
          <w:pgNumType w:fmt="lowerRoman"/>
          <w:cols w:space="720"/>
          <w:docGrid w:linePitch="360"/>
        </w:sectPr>
      </w:pPr>
      <w:r w:rsidRPr="00464320">
        <w:rPr>
          <w:rFonts w:ascii="Times New Roman" w:hAnsi="Times New Roman"/>
          <w:noProof/>
          <w:sz w:val="24"/>
          <w:szCs w:val="24"/>
        </w:rPr>
        <w:t>Restatement (Second) of Contracts § 358(1) (1981)</w:t>
      </w:r>
      <w:r w:rsidRPr="00464320">
        <w:rPr>
          <w:rFonts w:ascii="Times New Roman" w:hAnsi="Times New Roman"/>
          <w:noProof/>
          <w:sz w:val="24"/>
          <w:szCs w:val="24"/>
        </w:rPr>
        <w:tab/>
        <w:t>25</w:t>
      </w:r>
      <w:r w:rsidR="00B34D87" w:rsidRPr="00464320">
        <w:rPr>
          <w:rFonts w:ascii="Times New Roman" w:hAnsi="Times New Roman"/>
          <w:b/>
          <w:sz w:val="24"/>
          <w:szCs w:val="24"/>
          <w:u w:val="single"/>
        </w:rPr>
        <w:fldChar w:fldCharType="end"/>
      </w:r>
      <w:r w:rsidR="00572929" w:rsidRPr="00661B39">
        <w:rPr>
          <w:rFonts w:ascii="Times New Roman" w:hAnsi="Times New Roman"/>
          <w:b/>
          <w:sz w:val="24"/>
          <w:szCs w:val="24"/>
          <w:u w:val="single"/>
        </w:rPr>
        <w:br w:type="page"/>
      </w:r>
    </w:p>
    <w:p w:rsidR="00C91CAF" w:rsidRPr="00661B39" w:rsidRDefault="00C91CAF" w:rsidP="000E089D">
      <w:pPr>
        <w:pStyle w:val="Heading1"/>
      </w:pPr>
      <w:bookmarkStart w:id="1" w:name="_Toc471487542"/>
      <w:r w:rsidRPr="00661B39">
        <w:t>NATURE OF THE CASE</w:t>
      </w:r>
      <w:bookmarkEnd w:id="1"/>
    </w:p>
    <w:p w:rsidR="00B93C83" w:rsidRPr="00661B39" w:rsidRDefault="00C91CAF" w:rsidP="00F17F3C">
      <w:pPr>
        <w:spacing w:line="480" w:lineRule="auto"/>
        <w:jc w:val="both"/>
        <w:rPr>
          <w:szCs w:val="24"/>
        </w:rPr>
      </w:pPr>
      <w:r w:rsidRPr="00661B39">
        <w:rPr>
          <w:szCs w:val="24"/>
        </w:rPr>
        <w:tab/>
      </w:r>
      <w:r w:rsidR="00FD71D7" w:rsidRPr="00661B39">
        <w:rPr>
          <w:szCs w:val="24"/>
        </w:rPr>
        <w:t>F</w:t>
      </w:r>
      <w:r w:rsidR="007A246D" w:rsidRPr="00661B39">
        <w:rPr>
          <w:szCs w:val="24"/>
        </w:rPr>
        <w:t xml:space="preserve">our years ago, the State of North Carolina (the “State”) </w:t>
      </w:r>
      <w:r w:rsidR="00837122" w:rsidRPr="00661B39">
        <w:rPr>
          <w:szCs w:val="24"/>
        </w:rPr>
        <w:t xml:space="preserve">and the United States </w:t>
      </w:r>
      <w:r w:rsidR="007A246D" w:rsidRPr="00661B39">
        <w:rPr>
          <w:szCs w:val="24"/>
        </w:rPr>
        <w:t>entered into a court-enforceable settlement agreement (the “Agreement”)</w:t>
      </w:r>
      <w:r w:rsidR="00CD75C1" w:rsidRPr="00661B39">
        <w:rPr>
          <w:szCs w:val="24"/>
        </w:rPr>
        <w:t xml:space="preserve"> to resolve allegations that the State unnecessarily </w:t>
      </w:r>
      <w:r w:rsidR="00A8500B" w:rsidRPr="00661B39">
        <w:rPr>
          <w:szCs w:val="24"/>
        </w:rPr>
        <w:t xml:space="preserve">segregates </w:t>
      </w:r>
      <w:r w:rsidR="00F54D9D" w:rsidRPr="00661B39">
        <w:rPr>
          <w:szCs w:val="24"/>
        </w:rPr>
        <w:t>thousands of</w:t>
      </w:r>
      <w:r w:rsidR="00CD75C1" w:rsidRPr="00661B39">
        <w:rPr>
          <w:szCs w:val="24"/>
        </w:rPr>
        <w:t xml:space="preserve"> individuals with serious mental illness in</w:t>
      </w:r>
      <w:r w:rsidR="001426FC" w:rsidRPr="00661B39">
        <w:rPr>
          <w:szCs w:val="24"/>
        </w:rPr>
        <w:t xml:space="preserve"> adult care homes, in</w:t>
      </w:r>
      <w:r w:rsidR="00CD75C1" w:rsidRPr="00661B39">
        <w:rPr>
          <w:szCs w:val="24"/>
        </w:rPr>
        <w:t xml:space="preserve"> violation of Title II of the Americans with Disabilities Act (“ADA”), 42 U.S.C. § 12132</w:t>
      </w:r>
      <w:r w:rsidR="00B34D87" w:rsidRPr="00661B39">
        <w:rPr>
          <w:szCs w:val="24"/>
        </w:rPr>
        <w:fldChar w:fldCharType="begin"/>
      </w:r>
      <w:r w:rsidR="00C571CB" w:rsidRPr="00661B39">
        <w:rPr>
          <w:szCs w:val="24"/>
        </w:rPr>
        <w:instrText xml:space="preserve"> TA \l "42 U.S.C. § 12132" \s "42 U.S.C. § 12132" \c 2 </w:instrText>
      </w:r>
      <w:r w:rsidR="00B34D87" w:rsidRPr="00661B39">
        <w:rPr>
          <w:szCs w:val="24"/>
        </w:rPr>
        <w:fldChar w:fldCharType="end"/>
      </w:r>
      <w:r w:rsidR="00927BD0" w:rsidRPr="00661B39">
        <w:rPr>
          <w:szCs w:val="24"/>
        </w:rPr>
        <w:t xml:space="preserve">.  </w:t>
      </w:r>
      <w:r w:rsidR="00C552A9" w:rsidRPr="00661B39">
        <w:rPr>
          <w:szCs w:val="24"/>
        </w:rPr>
        <w:t>The State has repeatedly failed to comply with its annual obligations under the Agreement</w:t>
      </w:r>
      <w:r w:rsidR="002570A1" w:rsidRPr="00661B39">
        <w:rPr>
          <w:szCs w:val="24"/>
        </w:rPr>
        <w:t>, lagging far behind schedule.  As a result, h</w:t>
      </w:r>
      <w:r w:rsidR="00BD426A" w:rsidRPr="00661B39">
        <w:rPr>
          <w:szCs w:val="24"/>
        </w:rPr>
        <w:t xml:space="preserve">alfway through the eight-year Agreement, </w:t>
      </w:r>
      <w:r w:rsidR="002570A1" w:rsidRPr="00661B39">
        <w:rPr>
          <w:szCs w:val="24"/>
        </w:rPr>
        <w:t>hundred</w:t>
      </w:r>
      <w:r w:rsidR="00BD426A" w:rsidRPr="00661B39">
        <w:rPr>
          <w:szCs w:val="24"/>
        </w:rPr>
        <w:t xml:space="preserve">s of North Carolinians remain </w:t>
      </w:r>
      <w:r w:rsidR="002570A1" w:rsidRPr="00661B39">
        <w:rPr>
          <w:szCs w:val="24"/>
        </w:rPr>
        <w:t xml:space="preserve">unnecessarily </w:t>
      </w:r>
      <w:r w:rsidR="00BA1F62" w:rsidRPr="00661B39">
        <w:rPr>
          <w:szCs w:val="24"/>
        </w:rPr>
        <w:t>segregated</w:t>
      </w:r>
      <w:r w:rsidR="00BD426A" w:rsidRPr="00661B39">
        <w:rPr>
          <w:szCs w:val="24"/>
        </w:rPr>
        <w:t xml:space="preserve"> in adult care homes.</w:t>
      </w:r>
      <w:r w:rsidR="002570A1" w:rsidRPr="00661B39">
        <w:rPr>
          <w:szCs w:val="24"/>
        </w:rPr>
        <w:t xml:space="preserve">  </w:t>
      </w:r>
      <w:r w:rsidR="00BD426A" w:rsidRPr="00661B39">
        <w:rPr>
          <w:szCs w:val="24"/>
        </w:rPr>
        <w:t xml:space="preserve">Judicial intervention is </w:t>
      </w:r>
      <w:r w:rsidR="00BA1F62" w:rsidRPr="00661B39">
        <w:rPr>
          <w:szCs w:val="24"/>
        </w:rPr>
        <w:t>necessary</w:t>
      </w:r>
      <w:r w:rsidR="00BD426A" w:rsidRPr="00661B39">
        <w:rPr>
          <w:szCs w:val="24"/>
        </w:rPr>
        <w:t xml:space="preserve"> to </w:t>
      </w:r>
      <w:r w:rsidR="002B5442" w:rsidRPr="00661B39">
        <w:rPr>
          <w:szCs w:val="24"/>
        </w:rPr>
        <w:t>remedy the State’s noncompliance with the Agreement</w:t>
      </w:r>
      <w:r w:rsidR="00BA1F62" w:rsidRPr="00661B39">
        <w:rPr>
          <w:szCs w:val="24"/>
        </w:rPr>
        <w:t>.</w:t>
      </w:r>
    </w:p>
    <w:p w:rsidR="00B93C83" w:rsidRPr="00661B39" w:rsidRDefault="00F54D9D" w:rsidP="00F55698">
      <w:pPr>
        <w:spacing w:line="480" w:lineRule="auto"/>
        <w:ind w:firstLine="720"/>
        <w:jc w:val="both"/>
        <w:rPr>
          <w:szCs w:val="24"/>
        </w:rPr>
      </w:pPr>
      <w:r w:rsidRPr="00661B39">
        <w:rPr>
          <w:szCs w:val="24"/>
        </w:rPr>
        <w:t xml:space="preserve">Title II prohibits </w:t>
      </w:r>
      <w:r w:rsidR="00CF16E7" w:rsidRPr="00661B39">
        <w:rPr>
          <w:szCs w:val="24"/>
        </w:rPr>
        <w:t xml:space="preserve">disability-based discrimination, including </w:t>
      </w:r>
      <w:r w:rsidRPr="00661B39">
        <w:rPr>
          <w:szCs w:val="24"/>
        </w:rPr>
        <w:t>unnecessary segregation</w:t>
      </w:r>
      <w:r w:rsidR="00CF16E7" w:rsidRPr="00661B39">
        <w:rPr>
          <w:szCs w:val="24"/>
        </w:rPr>
        <w:t xml:space="preserve">, </w:t>
      </w:r>
      <w:r w:rsidRPr="00661B39">
        <w:rPr>
          <w:szCs w:val="24"/>
        </w:rPr>
        <w:t xml:space="preserve">and requires North Carolina to administer </w:t>
      </w:r>
      <w:r w:rsidR="00FD71D7" w:rsidRPr="00661B39">
        <w:rPr>
          <w:szCs w:val="24"/>
        </w:rPr>
        <w:t xml:space="preserve">its </w:t>
      </w:r>
      <w:r w:rsidRPr="00661B39">
        <w:rPr>
          <w:szCs w:val="24"/>
        </w:rPr>
        <w:t>services, programs, and activities</w:t>
      </w:r>
      <w:r w:rsidR="002B5442" w:rsidRPr="00661B39">
        <w:rPr>
          <w:szCs w:val="24"/>
        </w:rPr>
        <w:t>, including its mental health service system,</w:t>
      </w:r>
      <w:r w:rsidRPr="00661B39">
        <w:rPr>
          <w:szCs w:val="24"/>
        </w:rPr>
        <w:t xml:space="preserve"> in the most integrated setting appropriate to individual</w:t>
      </w:r>
      <w:r w:rsidR="00CF16E7" w:rsidRPr="00661B39">
        <w:rPr>
          <w:szCs w:val="24"/>
        </w:rPr>
        <w:t>s with disabilities</w:t>
      </w:r>
      <w:r w:rsidRPr="00661B39">
        <w:rPr>
          <w:szCs w:val="24"/>
        </w:rPr>
        <w:t>.</w:t>
      </w:r>
      <w:r w:rsidR="00BA76AA" w:rsidRPr="00661B39">
        <w:rPr>
          <w:szCs w:val="24"/>
        </w:rPr>
        <w:t xml:space="preserve">  </w:t>
      </w:r>
      <w:r w:rsidR="00BA76AA" w:rsidRPr="00661B39">
        <w:rPr>
          <w:i/>
          <w:szCs w:val="24"/>
        </w:rPr>
        <w:t>See id.</w:t>
      </w:r>
      <w:r w:rsidR="00BA76AA" w:rsidRPr="00661B39">
        <w:rPr>
          <w:szCs w:val="24"/>
        </w:rPr>
        <w:t xml:space="preserve">; </w:t>
      </w:r>
      <w:r w:rsidR="00BA76AA" w:rsidRPr="00661B39">
        <w:rPr>
          <w:i/>
          <w:szCs w:val="24"/>
        </w:rPr>
        <w:t>Olmstead v. L.C.</w:t>
      </w:r>
      <w:r w:rsidR="00BA76AA" w:rsidRPr="00661B39">
        <w:rPr>
          <w:szCs w:val="24"/>
        </w:rPr>
        <w:t>, 527 U.S. 581 (1999)</w:t>
      </w:r>
      <w:r w:rsidR="00B34D87" w:rsidRPr="00661B39">
        <w:rPr>
          <w:szCs w:val="24"/>
        </w:rPr>
        <w:fldChar w:fldCharType="begin"/>
      </w:r>
      <w:r w:rsidR="00C571CB" w:rsidRPr="00661B39">
        <w:rPr>
          <w:szCs w:val="24"/>
        </w:rPr>
        <w:instrText xml:space="preserve"> TA \l "</w:instrText>
      </w:r>
      <w:r w:rsidR="00C571CB" w:rsidRPr="00661B39">
        <w:rPr>
          <w:i/>
          <w:szCs w:val="24"/>
        </w:rPr>
        <w:instrText>Olmstead v. L.C.</w:instrText>
      </w:r>
      <w:r w:rsidR="00C571CB" w:rsidRPr="00661B39">
        <w:rPr>
          <w:szCs w:val="24"/>
        </w:rPr>
        <w:instrText xml:space="preserve">, 527 U.S. 581 (1999)" \s "Olmstead v. L.C., 527 U.S. 581 (1999)" \c </w:instrText>
      </w:r>
      <w:r w:rsidR="001B639A">
        <w:rPr>
          <w:szCs w:val="24"/>
        </w:rPr>
        <w:instrText>1</w:instrText>
      </w:r>
      <w:r w:rsidR="00C571CB" w:rsidRPr="00661B39">
        <w:rPr>
          <w:szCs w:val="24"/>
        </w:rPr>
        <w:instrText xml:space="preserve"> </w:instrText>
      </w:r>
      <w:r w:rsidR="00B34D87" w:rsidRPr="00661B39">
        <w:rPr>
          <w:szCs w:val="24"/>
        </w:rPr>
        <w:fldChar w:fldCharType="end"/>
      </w:r>
      <w:r w:rsidR="000E5BCF" w:rsidRPr="00661B39">
        <w:rPr>
          <w:szCs w:val="24"/>
        </w:rPr>
        <w:t>; 28 C.F.R. § 35.130(d)</w:t>
      </w:r>
      <w:r w:rsidR="00B34D87" w:rsidRPr="00661B39">
        <w:rPr>
          <w:szCs w:val="24"/>
        </w:rPr>
        <w:fldChar w:fldCharType="begin"/>
      </w:r>
      <w:r w:rsidR="00C571CB" w:rsidRPr="00661B39">
        <w:rPr>
          <w:szCs w:val="24"/>
        </w:rPr>
        <w:instrText xml:space="preserve"> TA \l "28 C.F.R. § 35.130(d)" \s "28 C.F.R. § 35.130(d)" \c 6 </w:instrText>
      </w:r>
      <w:r w:rsidR="00B34D87" w:rsidRPr="00661B39">
        <w:rPr>
          <w:szCs w:val="24"/>
        </w:rPr>
        <w:fldChar w:fldCharType="end"/>
      </w:r>
      <w:r w:rsidR="000E5BCF" w:rsidRPr="00661B39">
        <w:rPr>
          <w:szCs w:val="24"/>
        </w:rPr>
        <w:t xml:space="preserve">.  The most integrated setting is one that enables individuals with disabilities to interact with nondisabled </w:t>
      </w:r>
      <w:r w:rsidR="00FE5EA1" w:rsidRPr="00661B39">
        <w:rPr>
          <w:szCs w:val="24"/>
        </w:rPr>
        <w:t xml:space="preserve">individuals </w:t>
      </w:r>
      <w:r w:rsidR="000E5BCF" w:rsidRPr="00661B39">
        <w:rPr>
          <w:szCs w:val="24"/>
        </w:rPr>
        <w:t xml:space="preserve">to the fullest extent possible.  </w:t>
      </w:r>
      <w:r w:rsidR="00F21626" w:rsidRPr="00661B39">
        <w:rPr>
          <w:szCs w:val="24"/>
        </w:rPr>
        <w:t xml:space="preserve">28 C.F.R. </w:t>
      </w:r>
      <w:r w:rsidR="00F46CF4">
        <w:rPr>
          <w:szCs w:val="24"/>
        </w:rPr>
        <w:t>p</w:t>
      </w:r>
      <w:r w:rsidR="00F21626" w:rsidRPr="00661B39">
        <w:rPr>
          <w:szCs w:val="24"/>
        </w:rPr>
        <w:t xml:space="preserve">t. 35, </w:t>
      </w:r>
      <w:r w:rsidR="00F46CF4">
        <w:rPr>
          <w:szCs w:val="24"/>
        </w:rPr>
        <w:t>app. B at 685 (2015) (address</w:t>
      </w:r>
      <w:r w:rsidR="00470094">
        <w:rPr>
          <w:szCs w:val="24"/>
        </w:rPr>
        <w:t xml:space="preserve">ing </w:t>
      </w:r>
      <w:r w:rsidR="00F46CF4">
        <w:rPr>
          <w:szCs w:val="24"/>
        </w:rPr>
        <w:t>§ 35.130)</w:t>
      </w:r>
      <w:r w:rsidR="00B34D87" w:rsidRPr="00661B39">
        <w:rPr>
          <w:szCs w:val="24"/>
        </w:rPr>
        <w:fldChar w:fldCharType="begin"/>
      </w:r>
      <w:r w:rsidR="00C571CB" w:rsidRPr="00661B39">
        <w:rPr>
          <w:szCs w:val="24"/>
        </w:rPr>
        <w:instrText xml:space="preserve"> TA \l "28 C.F.R. Pt. 35, App’x A (2010)" \s "28 C.F.R. Pt. 35, App’x A (2010)" \c 6 </w:instrText>
      </w:r>
      <w:r w:rsidR="00B34D87" w:rsidRPr="00661B39">
        <w:rPr>
          <w:szCs w:val="24"/>
        </w:rPr>
        <w:fldChar w:fldCharType="end"/>
      </w:r>
      <w:r w:rsidR="00660B9D" w:rsidRPr="00661B39">
        <w:rPr>
          <w:szCs w:val="24"/>
        </w:rPr>
        <w:t>.</w:t>
      </w:r>
      <w:r w:rsidR="000E5BCF" w:rsidRPr="00661B39">
        <w:rPr>
          <w:szCs w:val="24"/>
        </w:rPr>
        <w:t xml:space="preserve">   </w:t>
      </w:r>
    </w:p>
    <w:p w:rsidR="00433C70" w:rsidRPr="00661B39" w:rsidRDefault="004D4153" w:rsidP="00715C88">
      <w:pPr>
        <w:spacing w:line="480" w:lineRule="auto"/>
        <w:ind w:firstLine="720"/>
        <w:jc w:val="both"/>
        <w:rPr>
          <w:szCs w:val="24"/>
        </w:rPr>
      </w:pPr>
      <w:r w:rsidRPr="00661B39">
        <w:rPr>
          <w:szCs w:val="24"/>
        </w:rPr>
        <w:t xml:space="preserve">The </w:t>
      </w:r>
      <w:r w:rsidR="0060048B" w:rsidRPr="00661B39">
        <w:rPr>
          <w:szCs w:val="24"/>
        </w:rPr>
        <w:t xml:space="preserve">Agreement arose out of findings </w:t>
      </w:r>
      <w:r w:rsidR="00470094">
        <w:rPr>
          <w:szCs w:val="24"/>
        </w:rPr>
        <w:t>of</w:t>
      </w:r>
      <w:r w:rsidR="0060048B" w:rsidRPr="00661B39">
        <w:rPr>
          <w:szCs w:val="24"/>
        </w:rPr>
        <w:t xml:space="preserve"> the </w:t>
      </w:r>
      <w:r w:rsidRPr="00661B39">
        <w:rPr>
          <w:szCs w:val="24"/>
        </w:rPr>
        <w:t>United States</w:t>
      </w:r>
      <w:r w:rsidR="0060048B" w:rsidRPr="00661B39">
        <w:rPr>
          <w:szCs w:val="24"/>
        </w:rPr>
        <w:t>, following an investigation,</w:t>
      </w:r>
      <w:r w:rsidRPr="00661B39">
        <w:rPr>
          <w:szCs w:val="24"/>
        </w:rPr>
        <w:t xml:space="preserve"> </w:t>
      </w:r>
      <w:r w:rsidR="0060048B" w:rsidRPr="00661B39">
        <w:rPr>
          <w:szCs w:val="24"/>
        </w:rPr>
        <w:t>that North Carolina administers its mental health service system in a manner that unnecessarily segregates thousands of</w:t>
      </w:r>
      <w:r w:rsidR="00535879" w:rsidRPr="00661B39">
        <w:rPr>
          <w:szCs w:val="24"/>
        </w:rPr>
        <w:t xml:space="preserve"> individuals</w:t>
      </w:r>
      <w:r w:rsidR="0060048B" w:rsidRPr="00661B39">
        <w:rPr>
          <w:szCs w:val="24"/>
        </w:rPr>
        <w:t xml:space="preserve"> with mental illness in large, institutional adult care homes</w:t>
      </w:r>
      <w:r w:rsidR="008C3568" w:rsidRPr="00661B39">
        <w:rPr>
          <w:szCs w:val="24"/>
        </w:rPr>
        <w:t xml:space="preserve"> in violation of the ADA</w:t>
      </w:r>
      <w:r w:rsidR="0060048B" w:rsidRPr="00661B39">
        <w:rPr>
          <w:szCs w:val="24"/>
        </w:rPr>
        <w:t xml:space="preserve">.  The United States found </w:t>
      </w:r>
      <w:r w:rsidR="00715C88" w:rsidRPr="00661B39">
        <w:rPr>
          <w:szCs w:val="24"/>
        </w:rPr>
        <w:t>that a</w:t>
      </w:r>
      <w:r w:rsidR="0060048B" w:rsidRPr="00661B39">
        <w:rPr>
          <w:szCs w:val="24"/>
        </w:rPr>
        <w:t>dult care homes are institutional settings that segregate residents from the community and imped</w:t>
      </w:r>
      <w:r w:rsidR="00535879" w:rsidRPr="00661B39">
        <w:rPr>
          <w:szCs w:val="24"/>
        </w:rPr>
        <w:t>e their interactions with individuals</w:t>
      </w:r>
      <w:r w:rsidR="0060048B" w:rsidRPr="00661B39">
        <w:rPr>
          <w:szCs w:val="24"/>
        </w:rPr>
        <w:t xml:space="preserve"> who do not have disabilities.  </w:t>
      </w:r>
      <w:r w:rsidR="00715C88" w:rsidRPr="00661B39">
        <w:rPr>
          <w:szCs w:val="24"/>
        </w:rPr>
        <w:t>The United States further found</w:t>
      </w:r>
      <w:r w:rsidR="008C3568" w:rsidRPr="00661B39">
        <w:rPr>
          <w:szCs w:val="24"/>
        </w:rPr>
        <w:t xml:space="preserve"> </w:t>
      </w:r>
      <w:r w:rsidR="00715C88" w:rsidRPr="00661B39">
        <w:rPr>
          <w:szCs w:val="24"/>
        </w:rPr>
        <w:t>that m</w:t>
      </w:r>
      <w:r w:rsidR="00535879" w:rsidRPr="00661B39">
        <w:rPr>
          <w:szCs w:val="24"/>
        </w:rPr>
        <w:t>ost individuals</w:t>
      </w:r>
      <w:r w:rsidR="0060048B" w:rsidRPr="00661B39">
        <w:rPr>
          <w:szCs w:val="24"/>
        </w:rPr>
        <w:t xml:space="preserve"> with mental illness could</w:t>
      </w:r>
      <w:r w:rsidR="008C3568" w:rsidRPr="00661B39">
        <w:rPr>
          <w:szCs w:val="24"/>
        </w:rPr>
        <w:t>, and would prefer to</w:t>
      </w:r>
      <w:r w:rsidR="00120B49" w:rsidRPr="00661B39">
        <w:rPr>
          <w:szCs w:val="24"/>
        </w:rPr>
        <w:t>,</w:t>
      </w:r>
      <w:r w:rsidR="0060048B" w:rsidRPr="00661B39">
        <w:rPr>
          <w:szCs w:val="24"/>
        </w:rPr>
        <w:t xml:space="preserve"> </w:t>
      </w:r>
      <w:r w:rsidR="008C3568" w:rsidRPr="00661B39">
        <w:rPr>
          <w:szCs w:val="24"/>
        </w:rPr>
        <w:t>receive services</w:t>
      </w:r>
      <w:r w:rsidR="00715C88" w:rsidRPr="00661B39">
        <w:rPr>
          <w:szCs w:val="24"/>
        </w:rPr>
        <w:t xml:space="preserve"> in community-based</w:t>
      </w:r>
      <w:r w:rsidR="0060048B" w:rsidRPr="00661B39">
        <w:rPr>
          <w:szCs w:val="24"/>
        </w:rPr>
        <w:t xml:space="preserve"> settings</w:t>
      </w:r>
      <w:r w:rsidR="00715C88" w:rsidRPr="00661B39">
        <w:rPr>
          <w:szCs w:val="24"/>
        </w:rPr>
        <w:t xml:space="preserve"> and that community-based housing</w:t>
      </w:r>
      <w:r w:rsidR="008C3568" w:rsidRPr="00661B39">
        <w:rPr>
          <w:szCs w:val="24"/>
        </w:rPr>
        <w:t xml:space="preserve"> is</w:t>
      </w:r>
      <w:r w:rsidR="00715C88" w:rsidRPr="00661B39">
        <w:rPr>
          <w:szCs w:val="24"/>
        </w:rPr>
        <w:t xml:space="preserve"> </w:t>
      </w:r>
      <w:r w:rsidR="008C3568" w:rsidRPr="00661B39">
        <w:rPr>
          <w:szCs w:val="24"/>
        </w:rPr>
        <w:t xml:space="preserve">more </w:t>
      </w:r>
      <w:r w:rsidR="00715C88" w:rsidRPr="00661B39">
        <w:rPr>
          <w:szCs w:val="24"/>
        </w:rPr>
        <w:t>cost-effective</w:t>
      </w:r>
      <w:r w:rsidR="008C3568" w:rsidRPr="00661B39">
        <w:rPr>
          <w:szCs w:val="24"/>
        </w:rPr>
        <w:t xml:space="preserve"> than institutionalization</w:t>
      </w:r>
      <w:r w:rsidR="00715C88" w:rsidRPr="00661B39">
        <w:rPr>
          <w:szCs w:val="24"/>
        </w:rPr>
        <w:t xml:space="preserve">.  </w:t>
      </w:r>
      <w:r w:rsidR="008C3568" w:rsidRPr="00661B39">
        <w:rPr>
          <w:szCs w:val="24"/>
        </w:rPr>
        <w:t xml:space="preserve"> </w:t>
      </w:r>
    </w:p>
    <w:p w:rsidR="00B93C83" w:rsidRPr="00661B39" w:rsidRDefault="00EF6EB9" w:rsidP="00F17F3C">
      <w:pPr>
        <w:spacing w:line="480" w:lineRule="auto"/>
        <w:ind w:firstLine="720"/>
        <w:jc w:val="both"/>
        <w:rPr>
          <w:szCs w:val="24"/>
        </w:rPr>
      </w:pPr>
      <w:r w:rsidRPr="00661B39">
        <w:rPr>
          <w:szCs w:val="24"/>
        </w:rPr>
        <w:t>To resolve the United States’ investigation</w:t>
      </w:r>
      <w:r w:rsidR="007A246D" w:rsidRPr="00661B39">
        <w:rPr>
          <w:szCs w:val="24"/>
        </w:rPr>
        <w:t>, the State committed to</w:t>
      </w:r>
      <w:r w:rsidR="00762C65" w:rsidRPr="00661B39">
        <w:rPr>
          <w:szCs w:val="24"/>
        </w:rPr>
        <w:t xml:space="preserve"> </w:t>
      </w:r>
      <w:r w:rsidR="005F7EA2" w:rsidRPr="00661B39">
        <w:rPr>
          <w:szCs w:val="24"/>
        </w:rPr>
        <w:t>expand</w:t>
      </w:r>
      <w:r w:rsidR="00B421A4" w:rsidRPr="00661B39">
        <w:rPr>
          <w:szCs w:val="24"/>
        </w:rPr>
        <w:t>ing</w:t>
      </w:r>
      <w:r w:rsidR="009E69F5" w:rsidRPr="00661B39">
        <w:rPr>
          <w:szCs w:val="24"/>
        </w:rPr>
        <w:t xml:space="preserve"> its communit</w:t>
      </w:r>
      <w:r w:rsidR="00BE5D5E" w:rsidRPr="00661B39">
        <w:rPr>
          <w:szCs w:val="24"/>
        </w:rPr>
        <w:t xml:space="preserve">y-based </w:t>
      </w:r>
      <w:r w:rsidR="0080504B" w:rsidRPr="00661B39">
        <w:rPr>
          <w:szCs w:val="24"/>
        </w:rPr>
        <w:t>services</w:t>
      </w:r>
      <w:r w:rsidR="009E69F5" w:rsidRPr="00661B39">
        <w:rPr>
          <w:szCs w:val="24"/>
        </w:rPr>
        <w:t xml:space="preserve"> for thousands of individuals with serious mental illness who are in or at</w:t>
      </w:r>
      <w:r w:rsidR="00B421A4" w:rsidRPr="00661B39">
        <w:rPr>
          <w:szCs w:val="24"/>
        </w:rPr>
        <w:t xml:space="preserve"> </w:t>
      </w:r>
      <w:r w:rsidR="009E69F5" w:rsidRPr="00661B39">
        <w:rPr>
          <w:szCs w:val="24"/>
        </w:rPr>
        <w:t>risk of entry to adult care homes</w:t>
      </w:r>
      <w:r w:rsidR="0080504B" w:rsidRPr="00661B39">
        <w:rPr>
          <w:szCs w:val="24"/>
        </w:rPr>
        <w:t xml:space="preserve"> (the “target population”)</w:t>
      </w:r>
      <w:r w:rsidR="009E69F5" w:rsidRPr="00661B39">
        <w:rPr>
          <w:szCs w:val="24"/>
        </w:rPr>
        <w:t>.</w:t>
      </w:r>
      <w:r w:rsidR="00452465" w:rsidRPr="00661B39">
        <w:rPr>
          <w:szCs w:val="24"/>
        </w:rPr>
        <w:t xml:space="preserve">  </w:t>
      </w:r>
      <w:r w:rsidRPr="00661B39">
        <w:rPr>
          <w:i/>
          <w:szCs w:val="24"/>
        </w:rPr>
        <w:t xml:space="preserve">See </w:t>
      </w:r>
      <w:r w:rsidRPr="00661B39">
        <w:rPr>
          <w:szCs w:val="24"/>
        </w:rPr>
        <w:t xml:space="preserve">Settlement Agreement, Aug. 23, 2012, </w:t>
      </w:r>
      <w:r w:rsidR="003F5170" w:rsidRPr="00661B39">
        <w:rPr>
          <w:szCs w:val="24"/>
        </w:rPr>
        <w:t>D.E.</w:t>
      </w:r>
      <w:r w:rsidRPr="00661B39">
        <w:rPr>
          <w:szCs w:val="24"/>
        </w:rPr>
        <w:t xml:space="preserve"> 2-2 [“S.A.”].  </w:t>
      </w:r>
      <w:r w:rsidR="00452465" w:rsidRPr="00661B39">
        <w:rPr>
          <w:szCs w:val="24"/>
        </w:rPr>
        <w:t xml:space="preserve">The </w:t>
      </w:r>
      <w:r w:rsidR="00BE5D5E" w:rsidRPr="00661B39">
        <w:rPr>
          <w:szCs w:val="24"/>
        </w:rPr>
        <w:t xml:space="preserve">Agreement requires the State to </w:t>
      </w:r>
      <w:r w:rsidR="002F40ED" w:rsidRPr="00661B39">
        <w:rPr>
          <w:szCs w:val="24"/>
        </w:rPr>
        <w:t>modify</w:t>
      </w:r>
      <w:r w:rsidR="002B5442" w:rsidRPr="00661B39">
        <w:rPr>
          <w:szCs w:val="24"/>
        </w:rPr>
        <w:t xml:space="preserve"> its mental health service system</w:t>
      </w:r>
      <w:r w:rsidR="00452465" w:rsidRPr="00661B39">
        <w:rPr>
          <w:szCs w:val="24"/>
        </w:rPr>
        <w:t>, including increasing its capacity to provide integrated services such as supported housing and supported employment</w:t>
      </w:r>
      <w:r w:rsidR="002B5442" w:rsidRPr="00661B39">
        <w:rPr>
          <w:szCs w:val="24"/>
        </w:rPr>
        <w:t xml:space="preserve"> to individuals in the target population</w:t>
      </w:r>
      <w:r w:rsidR="00452465" w:rsidRPr="00661B39">
        <w:rPr>
          <w:szCs w:val="24"/>
        </w:rPr>
        <w:t>.</w:t>
      </w:r>
      <w:r w:rsidR="00BE5D5E" w:rsidRPr="00661B39">
        <w:rPr>
          <w:szCs w:val="24"/>
        </w:rPr>
        <w:t xml:space="preserve">  T</w:t>
      </w:r>
      <w:r w:rsidR="009E69F5" w:rsidRPr="00661B39">
        <w:rPr>
          <w:szCs w:val="24"/>
        </w:rPr>
        <w:t>he State</w:t>
      </w:r>
      <w:r w:rsidR="00BE5D5E" w:rsidRPr="00661B39">
        <w:rPr>
          <w:szCs w:val="24"/>
        </w:rPr>
        <w:t xml:space="preserve"> must </w:t>
      </w:r>
      <w:r w:rsidR="00052CDD" w:rsidRPr="00661B39">
        <w:rPr>
          <w:szCs w:val="24"/>
        </w:rPr>
        <w:t xml:space="preserve">modify its </w:t>
      </w:r>
      <w:r w:rsidR="0044736D" w:rsidRPr="00661B39">
        <w:rPr>
          <w:szCs w:val="24"/>
        </w:rPr>
        <w:t>supported housing</w:t>
      </w:r>
      <w:r w:rsidR="00052CDD" w:rsidRPr="00661B39">
        <w:rPr>
          <w:szCs w:val="24"/>
        </w:rPr>
        <w:t xml:space="preserve"> system</w:t>
      </w:r>
      <w:r w:rsidR="004B27DA" w:rsidRPr="00661B39">
        <w:rPr>
          <w:szCs w:val="24"/>
        </w:rPr>
        <w:t>—</w:t>
      </w:r>
      <w:r w:rsidR="0004600F" w:rsidRPr="00661B39">
        <w:rPr>
          <w:szCs w:val="24"/>
        </w:rPr>
        <w:t>i.e</w:t>
      </w:r>
      <w:r w:rsidR="004B27DA" w:rsidRPr="00661B39">
        <w:rPr>
          <w:szCs w:val="24"/>
        </w:rPr>
        <w:t>., permanent housing with supports that enable residents to attain and maintain stable housing in the community—</w:t>
      </w:r>
      <w:r w:rsidR="0044736D" w:rsidRPr="00661B39">
        <w:rPr>
          <w:szCs w:val="24"/>
        </w:rPr>
        <w:t xml:space="preserve">by </w:t>
      </w:r>
      <w:r w:rsidR="004B27DA" w:rsidRPr="00661B39">
        <w:rPr>
          <w:szCs w:val="24"/>
        </w:rPr>
        <w:t xml:space="preserve">providing </w:t>
      </w:r>
      <w:r w:rsidR="009E69F5" w:rsidRPr="00661B39">
        <w:rPr>
          <w:szCs w:val="24"/>
        </w:rPr>
        <w:t xml:space="preserve">access to 3,000 </w:t>
      </w:r>
      <w:r w:rsidR="007C456A" w:rsidRPr="00661B39">
        <w:rPr>
          <w:szCs w:val="24"/>
        </w:rPr>
        <w:t>“</w:t>
      </w:r>
      <w:r w:rsidR="001B689E" w:rsidRPr="00661B39">
        <w:rPr>
          <w:szCs w:val="24"/>
        </w:rPr>
        <w:t>Housing Slots</w:t>
      </w:r>
      <w:r w:rsidR="007C456A" w:rsidRPr="00661B39">
        <w:rPr>
          <w:szCs w:val="24"/>
        </w:rPr>
        <w:t>”</w:t>
      </w:r>
      <w:r w:rsidR="00B56CB5" w:rsidRPr="00661B39">
        <w:rPr>
          <w:szCs w:val="24"/>
        </w:rPr>
        <w:t xml:space="preserve"> </w:t>
      </w:r>
      <w:r w:rsidR="006A4A28" w:rsidRPr="00661B39">
        <w:rPr>
          <w:szCs w:val="24"/>
        </w:rPr>
        <w:t xml:space="preserve">according to </w:t>
      </w:r>
      <w:r w:rsidR="00BE5D5E" w:rsidRPr="00661B39">
        <w:rPr>
          <w:szCs w:val="24"/>
        </w:rPr>
        <w:t xml:space="preserve">a schedule of </w:t>
      </w:r>
      <w:r w:rsidR="00454DFB" w:rsidRPr="00661B39">
        <w:rPr>
          <w:szCs w:val="24"/>
        </w:rPr>
        <w:t xml:space="preserve">annual </w:t>
      </w:r>
      <w:r w:rsidR="006A4A28" w:rsidRPr="00661B39">
        <w:rPr>
          <w:szCs w:val="24"/>
        </w:rPr>
        <w:t>obligations.</w:t>
      </w:r>
      <w:r w:rsidR="00BF3712" w:rsidRPr="00661B39">
        <w:rPr>
          <w:szCs w:val="24"/>
        </w:rPr>
        <w:t xml:space="preserve">  </w:t>
      </w:r>
      <w:r w:rsidRPr="00661B39">
        <w:rPr>
          <w:i/>
          <w:szCs w:val="24"/>
        </w:rPr>
        <w:t xml:space="preserve">Id. </w:t>
      </w:r>
      <w:r w:rsidRPr="00661B39">
        <w:rPr>
          <w:szCs w:val="24"/>
        </w:rPr>
        <w:t xml:space="preserve">§ III(B).  </w:t>
      </w:r>
      <w:r w:rsidR="008A7816" w:rsidRPr="00661B39">
        <w:rPr>
          <w:szCs w:val="24"/>
        </w:rPr>
        <w:t>The State must also</w:t>
      </w:r>
      <w:r w:rsidR="00BE5D5E" w:rsidRPr="00661B39">
        <w:rPr>
          <w:szCs w:val="24"/>
        </w:rPr>
        <w:t xml:space="preserve"> </w:t>
      </w:r>
      <w:r w:rsidR="009E69F5" w:rsidRPr="00661B39">
        <w:rPr>
          <w:szCs w:val="24"/>
        </w:rPr>
        <w:t xml:space="preserve">provide </w:t>
      </w:r>
      <w:r w:rsidR="007C456A" w:rsidRPr="00661B39">
        <w:rPr>
          <w:szCs w:val="24"/>
        </w:rPr>
        <w:t>“</w:t>
      </w:r>
      <w:r w:rsidR="00B56CB5" w:rsidRPr="00661B39">
        <w:rPr>
          <w:szCs w:val="24"/>
        </w:rPr>
        <w:t>S</w:t>
      </w:r>
      <w:r w:rsidR="009E69F5" w:rsidRPr="00661B39">
        <w:rPr>
          <w:szCs w:val="24"/>
        </w:rPr>
        <w:t xml:space="preserve">upported </w:t>
      </w:r>
      <w:r w:rsidR="00B56CB5" w:rsidRPr="00661B39">
        <w:rPr>
          <w:szCs w:val="24"/>
        </w:rPr>
        <w:t>Employment S</w:t>
      </w:r>
      <w:r w:rsidR="009E69F5" w:rsidRPr="00661B39">
        <w:rPr>
          <w:szCs w:val="24"/>
        </w:rPr>
        <w:t>ervices</w:t>
      </w:r>
      <w:r w:rsidR="00B56CB5" w:rsidRPr="00661B39">
        <w:rPr>
          <w:szCs w:val="24"/>
        </w:rPr>
        <w:t>,</w:t>
      </w:r>
      <w:r w:rsidR="007C456A" w:rsidRPr="00661B39">
        <w:rPr>
          <w:szCs w:val="24"/>
        </w:rPr>
        <w:t>”</w:t>
      </w:r>
      <w:r w:rsidR="00B56CB5" w:rsidRPr="00661B39">
        <w:rPr>
          <w:szCs w:val="24"/>
        </w:rPr>
        <w:t xml:space="preserve"> which allow individuals to secure and maintain integrated employment,</w:t>
      </w:r>
      <w:r w:rsidR="009E69F5" w:rsidRPr="00661B39">
        <w:rPr>
          <w:szCs w:val="24"/>
        </w:rPr>
        <w:t xml:space="preserve"> to 2,500 </w:t>
      </w:r>
      <w:r w:rsidR="0080504B" w:rsidRPr="00661B39">
        <w:rPr>
          <w:szCs w:val="24"/>
        </w:rPr>
        <w:t>t</w:t>
      </w:r>
      <w:r w:rsidR="009E69F5" w:rsidRPr="00661B39">
        <w:rPr>
          <w:szCs w:val="24"/>
        </w:rPr>
        <w:t xml:space="preserve">arget </w:t>
      </w:r>
      <w:r w:rsidR="0080504B" w:rsidRPr="00661B39">
        <w:rPr>
          <w:szCs w:val="24"/>
        </w:rPr>
        <w:t>p</w:t>
      </w:r>
      <w:r w:rsidR="009E69F5" w:rsidRPr="00661B39">
        <w:rPr>
          <w:szCs w:val="24"/>
        </w:rPr>
        <w:t xml:space="preserve">opulation </w:t>
      </w:r>
      <w:r w:rsidR="00297696" w:rsidRPr="00661B39">
        <w:rPr>
          <w:szCs w:val="24"/>
        </w:rPr>
        <w:t xml:space="preserve">members according to </w:t>
      </w:r>
      <w:r w:rsidR="00BE5D5E" w:rsidRPr="00661B39">
        <w:rPr>
          <w:szCs w:val="24"/>
        </w:rPr>
        <w:t xml:space="preserve">a schedule of </w:t>
      </w:r>
      <w:r w:rsidR="00654854" w:rsidRPr="00661B39">
        <w:rPr>
          <w:szCs w:val="24"/>
        </w:rPr>
        <w:t>annual obligations</w:t>
      </w:r>
      <w:r w:rsidR="009E69F5" w:rsidRPr="00661B39">
        <w:rPr>
          <w:szCs w:val="24"/>
        </w:rPr>
        <w:t>.</w:t>
      </w:r>
      <w:r w:rsidR="00610C08" w:rsidRPr="00661B39">
        <w:rPr>
          <w:szCs w:val="24"/>
        </w:rPr>
        <w:t xml:space="preserve">  </w:t>
      </w:r>
      <w:r w:rsidR="00610C08" w:rsidRPr="00661B39">
        <w:rPr>
          <w:i/>
          <w:szCs w:val="24"/>
        </w:rPr>
        <w:t xml:space="preserve">Id. </w:t>
      </w:r>
      <w:r w:rsidR="00610C08" w:rsidRPr="00661B39">
        <w:rPr>
          <w:szCs w:val="24"/>
        </w:rPr>
        <w:t>§ III(D).</w:t>
      </w:r>
      <w:r w:rsidR="0080504B" w:rsidRPr="00661B39">
        <w:rPr>
          <w:szCs w:val="24"/>
        </w:rPr>
        <w:t xml:space="preserve">   </w:t>
      </w:r>
    </w:p>
    <w:p w:rsidR="00EF20E2" w:rsidRPr="00661B39" w:rsidRDefault="00EF20E2" w:rsidP="00F17F3C">
      <w:pPr>
        <w:spacing w:line="480" w:lineRule="auto"/>
        <w:jc w:val="both"/>
        <w:rPr>
          <w:szCs w:val="24"/>
        </w:rPr>
      </w:pPr>
      <w:r w:rsidRPr="00661B39">
        <w:rPr>
          <w:szCs w:val="24"/>
        </w:rPr>
        <w:tab/>
      </w:r>
      <w:r w:rsidR="004B27DA" w:rsidRPr="00661B39">
        <w:rPr>
          <w:szCs w:val="24"/>
        </w:rPr>
        <w:t>T</w:t>
      </w:r>
      <w:r w:rsidR="00FD71D7" w:rsidRPr="00661B39">
        <w:rPr>
          <w:szCs w:val="24"/>
        </w:rPr>
        <w:t xml:space="preserve">he </w:t>
      </w:r>
      <w:r w:rsidRPr="00661B39">
        <w:rPr>
          <w:szCs w:val="24"/>
        </w:rPr>
        <w:t>State</w:t>
      </w:r>
      <w:r w:rsidR="004B27DA" w:rsidRPr="00661B39">
        <w:rPr>
          <w:szCs w:val="24"/>
        </w:rPr>
        <w:t>’s reports</w:t>
      </w:r>
      <w:r w:rsidR="00A95A04" w:rsidRPr="00661B39">
        <w:rPr>
          <w:szCs w:val="24"/>
        </w:rPr>
        <w:t xml:space="preserve"> </w:t>
      </w:r>
      <w:r w:rsidRPr="00661B39">
        <w:rPr>
          <w:szCs w:val="24"/>
        </w:rPr>
        <w:t xml:space="preserve">demonstrate that </w:t>
      </w:r>
      <w:r w:rsidR="006C3B32" w:rsidRPr="00661B39">
        <w:rPr>
          <w:szCs w:val="24"/>
        </w:rPr>
        <w:t>North Carolina</w:t>
      </w:r>
      <w:r w:rsidRPr="00661B39">
        <w:rPr>
          <w:szCs w:val="24"/>
        </w:rPr>
        <w:t xml:space="preserve"> has failed to comply with the Agreement</w:t>
      </w:r>
      <w:r w:rsidR="006C3B32" w:rsidRPr="00661B39">
        <w:rPr>
          <w:szCs w:val="24"/>
        </w:rPr>
        <w:t>.</w:t>
      </w:r>
      <w:r w:rsidR="000D673B" w:rsidRPr="00661B39">
        <w:rPr>
          <w:szCs w:val="24"/>
        </w:rPr>
        <w:t xml:space="preserve">  </w:t>
      </w:r>
      <w:r w:rsidR="002C464F" w:rsidRPr="00661B39">
        <w:rPr>
          <w:szCs w:val="24"/>
        </w:rPr>
        <w:t>The Agreement requires the State to</w:t>
      </w:r>
      <w:r w:rsidR="0080504B" w:rsidRPr="00661B39">
        <w:rPr>
          <w:szCs w:val="24"/>
        </w:rPr>
        <w:t xml:space="preserve"> provide 1,166 Housing Slots by July 1, 2016</w:t>
      </w:r>
      <w:r w:rsidR="00610C08" w:rsidRPr="00661B39">
        <w:rPr>
          <w:szCs w:val="24"/>
        </w:rPr>
        <w:t xml:space="preserve">, </w:t>
      </w:r>
      <w:r w:rsidR="00610C08" w:rsidRPr="00661B39">
        <w:rPr>
          <w:i/>
          <w:szCs w:val="24"/>
        </w:rPr>
        <w:t xml:space="preserve">id. </w:t>
      </w:r>
      <w:r w:rsidR="00610C08" w:rsidRPr="00661B39">
        <w:rPr>
          <w:szCs w:val="24"/>
        </w:rPr>
        <w:t>§ III(</w:t>
      </w:r>
      <w:r w:rsidR="00082740" w:rsidRPr="00661B39">
        <w:rPr>
          <w:szCs w:val="24"/>
        </w:rPr>
        <w:t>B)(3)(d)</w:t>
      </w:r>
      <w:r w:rsidR="00AE741C" w:rsidRPr="00661B39">
        <w:rPr>
          <w:szCs w:val="24"/>
        </w:rPr>
        <w:t xml:space="preserve">; </w:t>
      </w:r>
      <w:r w:rsidR="00097EC7" w:rsidRPr="00661B39">
        <w:rPr>
          <w:szCs w:val="24"/>
        </w:rPr>
        <w:t>yet</w:t>
      </w:r>
      <w:r w:rsidR="002C464F" w:rsidRPr="00661B39">
        <w:rPr>
          <w:szCs w:val="24"/>
        </w:rPr>
        <w:t xml:space="preserve"> o</w:t>
      </w:r>
      <w:r w:rsidR="0080504B" w:rsidRPr="00661B39">
        <w:rPr>
          <w:szCs w:val="24"/>
        </w:rPr>
        <w:t>nly</w:t>
      </w:r>
      <w:r w:rsidR="000D673B" w:rsidRPr="00661B39">
        <w:rPr>
          <w:szCs w:val="24"/>
        </w:rPr>
        <w:t xml:space="preserve"> 650</w:t>
      </w:r>
      <w:r w:rsidR="00FD71D7" w:rsidRPr="00661B39">
        <w:rPr>
          <w:szCs w:val="24"/>
        </w:rPr>
        <w:t xml:space="preserve"> </w:t>
      </w:r>
      <w:r w:rsidR="000D673B" w:rsidRPr="00661B39">
        <w:rPr>
          <w:szCs w:val="24"/>
        </w:rPr>
        <w:t xml:space="preserve">individuals </w:t>
      </w:r>
      <w:r w:rsidR="0080504B" w:rsidRPr="00661B39">
        <w:rPr>
          <w:szCs w:val="24"/>
        </w:rPr>
        <w:t>occ</w:t>
      </w:r>
      <w:r w:rsidR="00BE5D5E" w:rsidRPr="00661B39">
        <w:rPr>
          <w:szCs w:val="24"/>
        </w:rPr>
        <w:t>upied Housing Slots on June 30, 2016</w:t>
      </w:r>
      <w:r w:rsidR="0080504B" w:rsidRPr="00661B39">
        <w:rPr>
          <w:szCs w:val="24"/>
        </w:rPr>
        <w:t>.</w:t>
      </w:r>
      <w:r w:rsidR="00FD71D7" w:rsidRPr="00661B39">
        <w:rPr>
          <w:szCs w:val="24"/>
        </w:rPr>
        <w:t xml:space="preserve">  </w:t>
      </w:r>
      <w:r w:rsidR="002C464F" w:rsidRPr="00661B39">
        <w:rPr>
          <w:szCs w:val="24"/>
        </w:rPr>
        <w:t xml:space="preserve">The Agreement also requires </w:t>
      </w:r>
      <w:r w:rsidR="00654854" w:rsidRPr="00661B39">
        <w:rPr>
          <w:szCs w:val="24"/>
        </w:rPr>
        <w:t xml:space="preserve">the State </w:t>
      </w:r>
      <w:r w:rsidR="0080504B" w:rsidRPr="00661B39">
        <w:rPr>
          <w:szCs w:val="24"/>
        </w:rPr>
        <w:t xml:space="preserve">to </w:t>
      </w:r>
      <w:r w:rsidR="00654854" w:rsidRPr="00661B39">
        <w:rPr>
          <w:szCs w:val="24"/>
        </w:rPr>
        <w:t xml:space="preserve">provide </w:t>
      </w:r>
      <w:r w:rsidR="0080504B" w:rsidRPr="00661B39">
        <w:rPr>
          <w:szCs w:val="24"/>
        </w:rPr>
        <w:t>S</w:t>
      </w:r>
      <w:r w:rsidR="00654854" w:rsidRPr="00661B39">
        <w:rPr>
          <w:szCs w:val="24"/>
        </w:rPr>
        <w:t xml:space="preserve">upported </w:t>
      </w:r>
      <w:r w:rsidR="0080504B" w:rsidRPr="00661B39">
        <w:rPr>
          <w:szCs w:val="24"/>
        </w:rPr>
        <w:t>E</w:t>
      </w:r>
      <w:r w:rsidR="00654854" w:rsidRPr="00661B39">
        <w:rPr>
          <w:szCs w:val="24"/>
        </w:rPr>
        <w:t xml:space="preserve">mployment </w:t>
      </w:r>
      <w:r w:rsidR="0080504B" w:rsidRPr="00661B39">
        <w:rPr>
          <w:szCs w:val="24"/>
        </w:rPr>
        <w:t>S</w:t>
      </w:r>
      <w:r w:rsidR="00654854" w:rsidRPr="00661B39">
        <w:rPr>
          <w:szCs w:val="24"/>
        </w:rPr>
        <w:t xml:space="preserve">ervices to 1,166 </w:t>
      </w:r>
      <w:r w:rsidR="00CC1957" w:rsidRPr="00661B39">
        <w:rPr>
          <w:szCs w:val="24"/>
        </w:rPr>
        <w:t xml:space="preserve">individuals in the </w:t>
      </w:r>
      <w:r w:rsidR="0080504B" w:rsidRPr="00661B39">
        <w:rPr>
          <w:szCs w:val="24"/>
        </w:rPr>
        <w:t xml:space="preserve">target population </w:t>
      </w:r>
      <w:r w:rsidR="00654854" w:rsidRPr="00661B39">
        <w:rPr>
          <w:szCs w:val="24"/>
        </w:rPr>
        <w:t>by July 1, 2016</w:t>
      </w:r>
      <w:r w:rsidR="00082740" w:rsidRPr="00661B39">
        <w:rPr>
          <w:szCs w:val="24"/>
        </w:rPr>
        <w:t xml:space="preserve">, </w:t>
      </w:r>
      <w:r w:rsidR="00082740" w:rsidRPr="00661B39">
        <w:rPr>
          <w:i/>
          <w:szCs w:val="24"/>
        </w:rPr>
        <w:t xml:space="preserve">id. </w:t>
      </w:r>
      <w:r w:rsidR="00082740" w:rsidRPr="00661B39">
        <w:rPr>
          <w:szCs w:val="24"/>
        </w:rPr>
        <w:t>§ III(D)(3)</w:t>
      </w:r>
      <w:r w:rsidR="00AE741C" w:rsidRPr="00661B39">
        <w:rPr>
          <w:szCs w:val="24"/>
        </w:rPr>
        <w:t xml:space="preserve">; </w:t>
      </w:r>
      <w:r w:rsidR="00097EC7" w:rsidRPr="00661B39">
        <w:rPr>
          <w:szCs w:val="24"/>
        </w:rPr>
        <w:t>yet</w:t>
      </w:r>
      <w:r w:rsidR="002C464F" w:rsidRPr="00661B39">
        <w:rPr>
          <w:szCs w:val="24"/>
        </w:rPr>
        <w:t xml:space="preserve"> o</w:t>
      </w:r>
      <w:r w:rsidR="0080504B" w:rsidRPr="00661B39">
        <w:rPr>
          <w:szCs w:val="24"/>
        </w:rPr>
        <w:t xml:space="preserve">nly 708 </w:t>
      </w:r>
      <w:r w:rsidR="00CC1957" w:rsidRPr="00661B39">
        <w:rPr>
          <w:szCs w:val="24"/>
        </w:rPr>
        <w:t xml:space="preserve">individuals </w:t>
      </w:r>
      <w:r w:rsidR="0080504B" w:rsidRPr="00661B39">
        <w:rPr>
          <w:szCs w:val="24"/>
        </w:rPr>
        <w:t>were receiving</w:t>
      </w:r>
      <w:r w:rsidR="002C464F" w:rsidRPr="00661B39">
        <w:rPr>
          <w:szCs w:val="24"/>
        </w:rPr>
        <w:t xml:space="preserve"> those services</w:t>
      </w:r>
      <w:r w:rsidR="0080504B" w:rsidRPr="00661B39">
        <w:rPr>
          <w:szCs w:val="24"/>
        </w:rPr>
        <w:t xml:space="preserve"> </w:t>
      </w:r>
      <w:r w:rsidR="00927BD0" w:rsidRPr="00661B39">
        <w:rPr>
          <w:szCs w:val="24"/>
        </w:rPr>
        <w:t>on June 30, 2016</w:t>
      </w:r>
      <w:r w:rsidR="0080504B" w:rsidRPr="00661B39">
        <w:rPr>
          <w:szCs w:val="24"/>
        </w:rPr>
        <w:t xml:space="preserve">. </w:t>
      </w:r>
    </w:p>
    <w:p w:rsidR="00B93C83" w:rsidRPr="00661B39" w:rsidRDefault="00606B48" w:rsidP="00F17F3C">
      <w:pPr>
        <w:spacing w:line="480" w:lineRule="auto"/>
        <w:jc w:val="both"/>
        <w:rPr>
          <w:szCs w:val="24"/>
        </w:rPr>
      </w:pPr>
      <w:r w:rsidRPr="00661B39">
        <w:rPr>
          <w:szCs w:val="24"/>
        </w:rPr>
        <w:tab/>
      </w:r>
      <w:r w:rsidR="00144C23" w:rsidRPr="00661B39">
        <w:rPr>
          <w:szCs w:val="24"/>
        </w:rPr>
        <w:t xml:space="preserve">Confronted with </w:t>
      </w:r>
      <w:r w:rsidR="00FD71D7" w:rsidRPr="00661B39">
        <w:rPr>
          <w:szCs w:val="24"/>
        </w:rPr>
        <w:t>a growing gap between its performance and its obligations</w:t>
      </w:r>
      <w:r w:rsidR="00144C23" w:rsidRPr="00661B39">
        <w:rPr>
          <w:szCs w:val="24"/>
        </w:rPr>
        <w:t xml:space="preserve">, the State has </w:t>
      </w:r>
      <w:r w:rsidR="00DC7BE0" w:rsidRPr="00661B39">
        <w:rPr>
          <w:szCs w:val="24"/>
        </w:rPr>
        <w:t xml:space="preserve">attempted </w:t>
      </w:r>
      <w:r w:rsidR="00144C23" w:rsidRPr="00661B39">
        <w:rPr>
          <w:szCs w:val="24"/>
        </w:rPr>
        <w:t xml:space="preserve">to </w:t>
      </w:r>
      <w:r w:rsidR="00927BD0" w:rsidRPr="00661B39">
        <w:rPr>
          <w:szCs w:val="24"/>
        </w:rPr>
        <w:t>unilaterally redefine its obligation</w:t>
      </w:r>
      <w:r w:rsidR="006C4D43" w:rsidRPr="00661B39">
        <w:rPr>
          <w:szCs w:val="24"/>
        </w:rPr>
        <w:t xml:space="preserve"> to </w:t>
      </w:r>
      <w:r w:rsidR="002B5442" w:rsidRPr="00661B39">
        <w:rPr>
          <w:szCs w:val="24"/>
        </w:rPr>
        <w:t>provide</w:t>
      </w:r>
      <w:r w:rsidR="006C4D43" w:rsidRPr="00661B39">
        <w:rPr>
          <w:szCs w:val="24"/>
        </w:rPr>
        <w:t xml:space="preserve"> 3,000 Housing Slots</w:t>
      </w:r>
      <w:r w:rsidR="00927BD0" w:rsidRPr="00661B39">
        <w:rPr>
          <w:szCs w:val="24"/>
        </w:rPr>
        <w:t xml:space="preserve">.  </w:t>
      </w:r>
      <w:r w:rsidR="00DB42A5" w:rsidRPr="00661B39">
        <w:rPr>
          <w:szCs w:val="24"/>
        </w:rPr>
        <w:t xml:space="preserve">The </w:t>
      </w:r>
      <w:r w:rsidR="00DB2AF7" w:rsidRPr="00661B39">
        <w:rPr>
          <w:szCs w:val="24"/>
        </w:rPr>
        <w:t xml:space="preserve">State initially </w:t>
      </w:r>
      <w:r w:rsidR="009C2843" w:rsidRPr="00661B39">
        <w:rPr>
          <w:szCs w:val="24"/>
        </w:rPr>
        <w:t xml:space="preserve">reported </w:t>
      </w:r>
      <w:r w:rsidR="00C25A8B" w:rsidRPr="00661B39">
        <w:rPr>
          <w:szCs w:val="24"/>
        </w:rPr>
        <w:t xml:space="preserve">on </w:t>
      </w:r>
      <w:r w:rsidR="00DB2AF7" w:rsidRPr="00661B39">
        <w:rPr>
          <w:szCs w:val="24"/>
        </w:rPr>
        <w:t>compliance with its housing obligations by counting only occupied Housing Slots</w:t>
      </w:r>
      <w:r w:rsidR="00FD56A5" w:rsidRPr="00661B39">
        <w:rPr>
          <w:szCs w:val="24"/>
        </w:rPr>
        <w:t xml:space="preserve">, consistent with the </w:t>
      </w:r>
      <w:r w:rsidR="006C44B5" w:rsidRPr="00661B39">
        <w:rPr>
          <w:szCs w:val="24"/>
        </w:rPr>
        <w:t xml:space="preserve">Agreement and with the </w:t>
      </w:r>
      <w:r w:rsidR="00FD56A5" w:rsidRPr="00661B39">
        <w:rPr>
          <w:szCs w:val="24"/>
        </w:rPr>
        <w:t>parties’ intent</w:t>
      </w:r>
      <w:r w:rsidR="00DB2AF7" w:rsidRPr="00661B39">
        <w:rPr>
          <w:szCs w:val="24"/>
        </w:rPr>
        <w:t xml:space="preserve">.  </w:t>
      </w:r>
      <w:r w:rsidR="00D066AD" w:rsidRPr="00661B39">
        <w:rPr>
          <w:szCs w:val="24"/>
        </w:rPr>
        <w:t xml:space="preserve">More than two </w:t>
      </w:r>
      <w:r w:rsidR="006C4D43" w:rsidRPr="00661B39">
        <w:rPr>
          <w:szCs w:val="24"/>
        </w:rPr>
        <w:t xml:space="preserve">and a half years </w:t>
      </w:r>
      <w:r w:rsidR="00D066AD" w:rsidRPr="00661B39">
        <w:rPr>
          <w:szCs w:val="24"/>
        </w:rPr>
        <w:t xml:space="preserve">into </w:t>
      </w:r>
      <w:r w:rsidR="00E21B76" w:rsidRPr="00661B39">
        <w:rPr>
          <w:szCs w:val="24"/>
        </w:rPr>
        <w:t>implementation</w:t>
      </w:r>
      <w:r w:rsidR="00D066AD" w:rsidRPr="00661B39">
        <w:rPr>
          <w:szCs w:val="24"/>
        </w:rPr>
        <w:t xml:space="preserve">, </w:t>
      </w:r>
      <w:r w:rsidR="00DB2AF7" w:rsidRPr="00661B39">
        <w:rPr>
          <w:szCs w:val="24"/>
        </w:rPr>
        <w:t xml:space="preserve">however, </w:t>
      </w:r>
      <w:r w:rsidR="00D066AD" w:rsidRPr="00661B39">
        <w:rPr>
          <w:szCs w:val="24"/>
        </w:rPr>
        <w:t>the State</w:t>
      </w:r>
      <w:r w:rsidR="005B7BB9" w:rsidRPr="00661B39">
        <w:rPr>
          <w:szCs w:val="24"/>
        </w:rPr>
        <w:t xml:space="preserve"> began </w:t>
      </w:r>
      <w:r w:rsidR="00C25A8B" w:rsidRPr="00661B39">
        <w:rPr>
          <w:szCs w:val="24"/>
        </w:rPr>
        <w:t xml:space="preserve">reporting on </w:t>
      </w:r>
      <w:r w:rsidR="005B7BB9" w:rsidRPr="00661B39">
        <w:rPr>
          <w:szCs w:val="24"/>
        </w:rPr>
        <w:t xml:space="preserve">compliance </w:t>
      </w:r>
      <w:r w:rsidR="00C60265" w:rsidRPr="00661B39">
        <w:rPr>
          <w:szCs w:val="24"/>
        </w:rPr>
        <w:t>by co</w:t>
      </w:r>
      <w:r w:rsidR="00DB2AF7" w:rsidRPr="00661B39">
        <w:rPr>
          <w:szCs w:val="24"/>
        </w:rPr>
        <w:t xml:space="preserve">unting </w:t>
      </w:r>
      <w:r w:rsidR="00CC3325" w:rsidRPr="00661B39">
        <w:rPr>
          <w:szCs w:val="24"/>
        </w:rPr>
        <w:t xml:space="preserve">both occupied and </w:t>
      </w:r>
      <w:r w:rsidR="00C60265" w:rsidRPr="00661B39">
        <w:rPr>
          <w:szCs w:val="24"/>
        </w:rPr>
        <w:t>vacant</w:t>
      </w:r>
      <w:r w:rsidR="005B7BB9" w:rsidRPr="00661B39">
        <w:rPr>
          <w:szCs w:val="24"/>
        </w:rPr>
        <w:t xml:space="preserve"> Housing Slots</w:t>
      </w:r>
      <w:r w:rsidR="002B5442" w:rsidRPr="00661B39">
        <w:rPr>
          <w:szCs w:val="24"/>
        </w:rPr>
        <w:t xml:space="preserve">, thereby misstating the number of </w:t>
      </w:r>
      <w:r w:rsidR="00AA0049" w:rsidRPr="00661B39">
        <w:rPr>
          <w:szCs w:val="24"/>
        </w:rPr>
        <w:t xml:space="preserve">individuals </w:t>
      </w:r>
      <w:r w:rsidR="002B5442" w:rsidRPr="00661B39">
        <w:rPr>
          <w:szCs w:val="24"/>
        </w:rPr>
        <w:t xml:space="preserve">afforded </w:t>
      </w:r>
      <w:r w:rsidR="00AA0049" w:rsidRPr="00661B39">
        <w:rPr>
          <w:szCs w:val="24"/>
        </w:rPr>
        <w:t xml:space="preserve">the </w:t>
      </w:r>
      <w:r w:rsidR="002B5442" w:rsidRPr="00661B39">
        <w:rPr>
          <w:szCs w:val="24"/>
        </w:rPr>
        <w:t>relief required by the Agre</w:t>
      </w:r>
      <w:r w:rsidR="001E45FE" w:rsidRPr="00661B39">
        <w:rPr>
          <w:szCs w:val="24"/>
        </w:rPr>
        <w:t>e</w:t>
      </w:r>
      <w:r w:rsidR="002B5442" w:rsidRPr="00661B39">
        <w:rPr>
          <w:szCs w:val="24"/>
        </w:rPr>
        <w:t>ment</w:t>
      </w:r>
      <w:r w:rsidR="00C25A8B" w:rsidRPr="00661B39">
        <w:rPr>
          <w:szCs w:val="24"/>
        </w:rPr>
        <w:t>.</w:t>
      </w:r>
      <w:r w:rsidR="008E45C8" w:rsidRPr="00661B39">
        <w:rPr>
          <w:szCs w:val="24"/>
        </w:rPr>
        <w:t xml:space="preserve">  </w:t>
      </w:r>
    </w:p>
    <w:p w:rsidR="00B93C83" w:rsidRPr="00661B39" w:rsidRDefault="00DB2AF7" w:rsidP="00F17F3C">
      <w:pPr>
        <w:spacing w:line="480" w:lineRule="auto"/>
        <w:jc w:val="both"/>
        <w:rPr>
          <w:szCs w:val="24"/>
        </w:rPr>
      </w:pPr>
      <w:r w:rsidRPr="00661B39">
        <w:rPr>
          <w:szCs w:val="24"/>
        </w:rPr>
        <w:tab/>
      </w:r>
      <w:r w:rsidR="008E45C8" w:rsidRPr="00661B39">
        <w:rPr>
          <w:szCs w:val="24"/>
        </w:rPr>
        <w:t xml:space="preserve">The State has also </w:t>
      </w:r>
      <w:r w:rsidR="0060538D" w:rsidRPr="00661B39">
        <w:rPr>
          <w:szCs w:val="24"/>
        </w:rPr>
        <w:t>attempted</w:t>
      </w:r>
      <w:r w:rsidR="008E45C8" w:rsidRPr="00661B39">
        <w:rPr>
          <w:szCs w:val="24"/>
        </w:rPr>
        <w:t xml:space="preserve"> to </w:t>
      </w:r>
      <w:r w:rsidR="006C4D43" w:rsidRPr="00661B39">
        <w:rPr>
          <w:szCs w:val="24"/>
        </w:rPr>
        <w:t xml:space="preserve">unilaterally </w:t>
      </w:r>
      <w:r w:rsidR="008E45C8" w:rsidRPr="00661B39">
        <w:rPr>
          <w:szCs w:val="24"/>
        </w:rPr>
        <w:t xml:space="preserve">redefine its obligation to provide Supported Employment Services to 2,500 individuals in the target population.  </w:t>
      </w:r>
      <w:r w:rsidR="00DE7CC2" w:rsidRPr="00661B39">
        <w:rPr>
          <w:szCs w:val="24"/>
        </w:rPr>
        <w:t>T</w:t>
      </w:r>
      <w:r w:rsidRPr="00661B39">
        <w:rPr>
          <w:szCs w:val="24"/>
        </w:rPr>
        <w:t xml:space="preserve">he State initially </w:t>
      </w:r>
      <w:r w:rsidR="009C2843" w:rsidRPr="00661B39">
        <w:rPr>
          <w:szCs w:val="24"/>
        </w:rPr>
        <w:t xml:space="preserve">reported </w:t>
      </w:r>
      <w:r w:rsidR="006C4D43" w:rsidRPr="00661B39">
        <w:rPr>
          <w:szCs w:val="24"/>
        </w:rPr>
        <w:t xml:space="preserve">on </w:t>
      </w:r>
      <w:r w:rsidRPr="00661B39">
        <w:rPr>
          <w:szCs w:val="24"/>
        </w:rPr>
        <w:t xml:space="preserve">compliance with its employment </w:t>
      </w:r>
      <w:r w:rsidR="0029145E" w:rsidRPr="00661B39">
        <w:rPr>
          <w:szCs w:val="24"/>
        </w:rPr>
        <w:t xml:space="preserve">services </w:t>
      </w:r>
      <w:r w:rsidRPr="00661B39">
        <w:rPr>
          <w:szCs w:val="24"/>
        </w:rPr>
        <w:t>obligations by counting only individuals in the target population receiving Supported Employment Services</w:t>
      </w:r>
      <w:r w:rsidR="00FD56A5" w:rsidRPr="00661B39">
        <w:rPr>
          <w:szCs w:val="24"/>
        </w:rPr>
        <w:t xml:space="preserve">, consistent with the </w:t>
      </w:r>
      <w:r w:rsidR="002B5442" w:rsidRPr="00661B39">
        <w:rPr>
          <w:szCs w:val="24"/>
        </w:rPr>
        <w:t xml:space="preserve">Agreement and with the </w:t>
      </w:r>
      <w:r w:rsidR="00FD56A5" w:rsidRPr="00661B39">
        <w:rPr>
          <w:szCs w:val="24"/>
        </w:rPr>
        <w:t>parties’ intent</w:t>
      </w:r>
      <w:r w:rsidRPr="00661B39">
        <w:rPr>
          <w:szCs w:val="24"/>
        </w:rPr>
        <w:t xml:space="preserve">.  </w:t>
      </w:r>
      <w:r w:rsidR="006C4D43" w:rsidRPr="00661B39">
        <w:rPr>
          <w:szCs w:val="24"/>
        </w:rPr>
        <w:t xml:space="preserve">More than </w:t>
      </w:r>
      <w:r w:rsidRPr="00661B39">
        <w:rPr>
          <w:szCs w:val="24"/>
        </w:rPr>
        <w:t>three years into implementation, however, the State began a</w:t>
      </w:r>
      <w:r w:rsidR="006302F6" w:rsidRPr="00661B39">
        <w:rPr>
          <w:szCs w:val="24"/>
        </w:rPr>
        <w:t>ssert</w:t>
      </w:r>
      <w:r w:rsidRPr="00661B39">
        <w:rPr>
          <w:szCs w:val="24"/>
        </w:rPr>
        <w:t>ing</w:t>
      </w:r>
      <w:r w:rsidR="008E45C8" w:rsidRPr="00661B39">
        <w:rPr>
          <w:szCs w:val="24"/>
        </w:rPr>
        <w:t xml:space="preserve"> that </w:t>
      </w:r>
      <w:r w:rsidR="002132A4" w:rsidRPr="00661B39">
        <w:rPr>
          <w:szCs w:val="24"/>
        </w:rPr>
        <w:t>providing Supported Employment Services to any</w:t>
      </w:r>
      <w:r w:rsidR="006302F6" w:rsidRPr="00661B39">
        <w:rPr>
          <w:szCs w:val="24"/>
        </w:rPr>
        <w:t>one</w:t>
      </w:r>
      <w:r w:rsidR="00F51DB2" w:rsidRPr="00661B39">
        <w:rPr>
          <w:szCs w:val="24"/>
        </w:rPr>
        <w:t xml:space="preserve">, regardless of whether </w:t>
      </w:r>
      <w:r w:rsidR="00660B9D" w:rsidRPr="00661B39">
        <w:rPr>
          <w:szCs w:val="24"/>
        </w:rPr>
        <w:t>the</w:t>
      </w:r>
      <w:r w:rsidR="006302F6" w:rsidRPr="00661B39">
        <w:rPr>
          <w:szCs w:val="24"/>
        </w:rPr>
        <w:t>y</w:t>
      </w:r>
      <w:r w:rsidR="00660B9D" w:rsidRPr="00661B39">
        <w:rPr>
          <w:szCs w:val="24"/>
        </w:rPr>
        <w:t xml:space="preserve"> </w:t>
      </w:r>
      <w:r w:rsidR="00D066AD" w:rsidRPr="00661B39">
        <w:rPr>
          <w:szCs w:val="24"/>
        </w:rPr>
        <w:t>are</w:t>
      </w:r>
      <w:r w:rsidR="00E21B76" w:rsidRPr="00661B39">
        <w:rPr>
          <w:szCs w:val="24"/>
        </w:rPr>
        <w:t xml:space="preserve"> </w:t>
      </w:r>
      <w:r w:rsidR="00D066AD" w:rsidRPr="00661B39">
        <w:rPr>
          <w:szCs w:val="24"/>
        </w:rPr>
        <w:t xml:space="preserve">in </w:t>
      </w:r>
      <w:r w:rsidR="002B5442" w:rsidRPr="00661B39">
        <w:rPr>
          <w:szCs w:val="24"/>
        </w:rPr>
        <w:t>the Agreement’s target population</w:t>
      </w:r>
      <w:r w:rsidR="00FF5F1A" w:rsidRPr="00661B39">
        <w:rPr>
          <w:szCs w:val="24"/>
        </w:rPr>
        <w:t>, satisfies this obligation</w:t>
      </w:r>
      <w:r w:rsidR="00D066AD" w:rsidRPr="00661B39">
        <w:rPr>
          <w:szCs w:val="24"/>
        </w:rPr>
        <w:t xml:space="preserve">.  </w:t>
      </w:r>
    </w:p>
    <w:p w:rsidR="00B93C83" w:rsidRPr="00661B39" w:rsidRDefault="004D1900" w:rsidP="00F17F3C">
      <w:pPr>
        <w:spacing w:line="480" w:lineRule="auto"/>
        <w:jc w:val="both"/>
        <w:rPr>
          <w:szCs w:val="24"/>
        </w:rPr>
      </w:pPr>
      <w:r w:rsidRPr="00661B39">
        <w:rPr>
          <w:szCs w:val="24"/>
        </w:rPr>
        <w:tab/>
      </w:r>
      <w:r w:rsidR="00784D9D" w:rsidRPr="00661B39">
        <w:rPr>
          <w:szCs w:val="24"/>
        </w:rPr>
        <w:t>The State’s</w:t>
      </w:r>
      <w:r w:rsidR="00CD701D" w:rsidRPr="00661B39">
        <w:rPr>
          <w:szCs w:val="24"/>
        </w:rPr>
        <w:t xml:space="preserve"> new </w:t>
      </w:r>
      <w:r w:rsidR="00F37B32" w:rsidRPr="00661B39">
        <w:rPr>
          <w:szCs w:val="24"/>
        </w:rPr>
        <w:t xml:space="preserve">interpretations </w:t>
      </w:r>
      <w:r w:rsidR="00A96F04" w:rsidRPr="00661B39">
        <w:rPr>
          <w:szCs w:val="24"/>
        </w:rPr>
        <w:t xml:space="preserve">dilute </w:t>
      </w:r>
      <w:r w:rsidR="00E21B76" w:rsidRPr="00661B39">
        <w:rPr>
          <w:szCs w:val="24"/>
        </w:rPr>
        <w:t>the Agreement</w:t>
      </w:r>
      <w:r w:rsidR="00297696" w:rsidRPr="00661B39">
        <w:rPr>
          <w:szCs w:val="24"/>
        </w:rPr>
        <w:t>’s housing and employment</w:t>
      </w:r>
      <w:r w:rsidR="0029145E" w:rsidRPr="00661B39">
        <w:rPr>
          <w:szCs w:val="24"/>
        </w:rPr>
        <w:t xml:space="preserve"> services</w:t>
      </w:r>
      <w:r w:rsidR="00297696" w:rsidRPr="00661B39">
        <w:rPr>
          <w:szCs w:val="24"/>
        </w:rPr>
        <w:t xml:space="preserve"> requirements</w:t>
      </w:r>
      <w:r w:rsidR="008A5631" w:rsidRPr="00661B39">
        <w:rPr>
          <w:szCs w:val="24"/>
        </w:rPr>
        <w:t>.</w:t>
      </w:r>
      <w:r w:rsidR="006A4A28" w:rsidRPr="00661B39">
        <w:rPr>
          <w:szCs w:val="24"/>
        </w:rPr>
        <w:t xml:space="preserve">  </w:t>
      </w:r>
      <w:r w:rsidR="00CD701D" w:rsidRPr="00661B39">
        <w:rPr>
          <w:szCs w:val="24"/>
        </w:rPr>
        <w:t xml:space="preserve">Under its </w:t>
      </w:r>
      <w:r w:rsidR="00297696" w:rsidRPr="00661B39">
        <w:rPr>
          <w:szCs w:val="24"/>
        </w:rPr>
        <w:t>interpretation</w:t>
      </w:r>
      <w:r w:rsidR="00023A40" w:rsidRPr="00661B39">
        <w:rPr>
          <w:szCs w:val="24"/>
        </w:rPr>
        <w:t xml:space="preserve">, </w:t>
      </w:r>
      <w:r w:rsidR="00514655" w:rsidRPr="00661B39">
        <w:rPr>
          <w:szCs w:val="24"/>
        </w:rPr>
        <w:t xml:space="preserve">the State </w:t>
      </w:r>
      <w:r w:rsidR="00EE0A03" w:rsidRPr="00661B39">
        <w:rPr>
          <w:szCs w:val="24"/>
        </w:rPr>
        <w:t xml:space="preserve">could </w:t>
      </w:r>
      <w:r w:rsidR="00B62F2A" w:rsidRPr="00661B39">
        <w:rPr>
          <w:szCs w:val="24"/>
        </w:rPr>
        <w:t xml:space="preserve">claim </w:t>
      </w:r>
      <w:r w:rsidR="00EE3957" w:rsidRPr="00661B39">
        <w:rPr>
          <w:szCs w:val="24"/>
        </w:rPr>
        <w:t>c</w:t>
      </w:r>
      <w:r w:rsidR="00B62F2A" w:rsidRPr="00661B39">
        <w:rPr>
          <w:szCs w:val="24"/>
        </w:rPr>
        <w:t>ompliance</w:t>
      </w:r>
      <w:r w:rsidR="006C4D43" w:rsidRPr="00661B39">
        <w:rPr>
          <w:szCs w:val="24"/>
        </w:rPr>
        <w:t xml:space="preserve"> </w:t>
      </w:r>
      <w:r w:rsidR="00514655" w:rsidRPr="00661B39">
        <w:rPr>
          <w:szCs w:val="24"/>
        </w:rPr>
        <w:t xml:space="preserve">even if </w:t>
      </w:r>
      <w:r w:rsidR="005802CE" w:rsidRPr="00661B39">
        <w:rPr>
          <w:szCs w:val="24"/>
        </w:rPr>
        <w:t>no</w:t>
      </w:r>
      <w:r w:rsidR="00D7470E" w:rsidRPr="00661B39">
        <w:rPr>
          <w:szCs w:val="24"/>
        </w:rPr>
        <w:t xml:space="preserve"> one</w:t>
      </w:r>
      <w:r w:rsidR="005802CE" w:rsidRPr="00661B39">
        <w:rPr>
          <w:szCs w:val="24"/>
        </w:rPr>
        <w:t xml:space="preserve"> </w:t>
      </w:r>
      <w:r w:rsidR="00D7470E" w:rsidRPr="00661B39">
        <w:rPr>
          <w:szCs w:val="24"/>
        </w:rPr>
        <w:t>occupies a Housing Slot at the</w:t>
      </w:r>
      <w:r w:rsidR="00C95B6C" w:rsidRPr="00661B39">
        <w:rPr>
          <w:szCs w:val="24"/>
        </w:rPr>
        <w:t xml:space="preserve"> conclusion</w:t>
      </w:r>
      <w:r w:rsidR="00CD701D" w:rsidRPr="00661B39">
        <w:rPr>
          <w:szCs w:val="24"/>
        </w:rPr>
        <w:t xml:space="preserve"> of the Agreement.  Similarly</w:t>
      </w:r>
      <w:r w:rsidR="00D7470E" w:rsidRPr="00661B39">
        <w:rPr>
          <w:szCs w:val="24"/>
        </w:rPr>
        <w:t xml:space="preserve">, the State </w:t>
      </w:r>
      <w:r w:rsidR="00EE0A03" w:rsidRPr="00661B39">
        <w:rPr>
          <w:szCs w:val="24"/>
        </w:rPr>
        <w:t xml:space="preserve">could </w:t>
      </w:r>
      <w:r w:rsidR="00B62F2A" w:rsidRPr="00661B39">
        <w:rPr>
          <w:szCs w:val="24"/>
        </w:rPr>
        <w:t>claim compliance</w:t>
      </w:r>
      <w:r w:rsidR="00E851B1" w:rsidRPr="00661B39">
        <w:rPr>
          <w:szCs w:val="24"/>
        </w:rPr>
        <w:t xml:space="preserve"> even if no one </w:t>
      </w:r>
      <w:r w:rsidR="00B62F2A" w:rsidRPr="00661B39">
        <w:rPr>
          <w:szCs w:val="24"/>
        </w:rPr>
        <w:t>in the target population</w:t>
      </w:r>
      <w:r w:rsidR="00E851B1" w:rsidRPr="00661B39">
        <w:rPr>
          <w:szCs w:val="24"/>
        </w:rPr>
        <w:t xml:space="preserve"> receives Supported Employment Services.</w:t>
      </w:r>
      <w:r w:rsidRPr="00661B39">
        <w:rPr>
          <w:szCs w:val="24"/>
        </w:rPr>
        <w:t xml:space="preserve">  </w:t>
      </w:r>
    </w:p>
    <w:p w:rsidR="00B93C83" w:rsidRPr="00661B39" w:rsidRDefault="00D56DB4" w:rsidP="00F17F3C">
      <w:pPr>
        <w:spacing w:line="480" w:lineRule="auto"/>
        <w:ind w:firstLine="720"/>
        <w:jc w:val="both"/>
        <w:rPr>
          <w:szCs w:val="24"/>
        </w:rPr>
      </w:pPr>
      <w:r w:rsidRPr="00661B39">
        <w:rPr>
          <w:szCs w:val="24"/>
        </w:rPr>
        <w:t>T</w:t>
      </w:r>
      <w:r w:rsidR="004D1900" w:rsidRPr="00661B39">
        <w:rPr>
          <w:szCs w:val="24"/>
        </w:rPr>
        <w:t xml:space="preserve">he </w:t>
      </w:r>
      <w:r w:rsidRPr="00661B39">
        <w:rPr>
          <w:szCs w:val="24"/>
        </w:rPr>
        <w:t>State’s new interpretation</w:t>
      </w:r>
      <w:r w:rsidR="004D7E0E" w:rsidRPr="00661B39">
        <w:rPr>
          <w:szCs w:val="24"/>
        </w:rPr>
        <w:t>s</w:t>
      </w:r>
      <w:r w:rsidR="00EA1BD4" w:rsidRPr="00661B39">
        <w:rPr>
          <w:szCs w:val="24"/>
        </w:rPr>
        <w:t xml:space="preserve"> run </w:t>
      </w:r>
      <w:r w:rsidR="007C351F" w:rsidRPr="00661B39">
        <w:rPr>
          <w:szCs w:val="24"/>
        </w:rPr>
        <w:t>contrary</w:t>
      </w:r>
      <w:r w:rsidR="00EA1BD4" w:rsidRPr="00661B39">
        <w:rPr>
          <w:szCs w:val="24"/>
        </w:rPr>
        <w:t xml:space="preserve"> to</w:t>
      </w:r>
      <w:r w:rsidR="002B5442" w:rsidRPr="00661B39">
        <w:rPr>
          <w:szCs w:val="24"/>
        </w:rPr>
        <w:t xml:space="preserve"> the </w:t>
      </w:r>
      <w:r w:rsidR="00BF627C" w:rsidRPr="00661B39">
        <w:rPr>
          <w:szCs w:val="24"/>
        </w:rPr>
        <w:t xml:space="preserve">terms of the </w:t>
      </w:r>
      <w:r w:rsidR="002B5442" w:rsidRPr="00661B39">
        <w:rPr>
          <w:szCs w:val="24"/>
        </w:rPr>
        <w:t>Agreement and</w:t>
      </w:r>
      <w:r w:rsidR="00EA1BD4" w:rsidRPr="00661B39">
        <w:rPr>
          <w:szCs w:val="24"/>
        </w:rPr>
        <w:t xml:space="preserve"> the parties’ intent</w:t>
      </w:r>
      <w:r w:rsidRPr="00661B39">
        <w:rPr>
          <w:szCs w:val="24"/>
        </w:rPr>
        <w:t xml:space="preserve">. </w:t>
      </w:r>
      <w:r w:rsidR="0080504B" w:rsidRPr="00661B39">
        <w:rPr>
          <w:szCs w:val="24"/>
        </w:rPr>
        <w:t xml:space="preserve"> The only reasonable interpretation of the housing </w:t>
      </w:r>
      <w:r w:rsidR="006302F6" w:rsidRPr="00661B39">
        <w:rPr>
          <w:szCs w:val="24"/>
        </w:rPr>
        <w:t xml:space="preserve">provisions </w:t>
      </w:r>
      <w:r w:rsidR="004B27DA" w:rsidRPr="00661B39">
        <w:rPr>
          <w:szCs w:val="24"/>
        </w:rPr>
        <w:t>requires the State to count only individuals resid</w:t>
      </w:r>
      <w:r w:rsidR="006302F6" w:rsidRPr="00661B39">
        <w:rPr>
          <w:szCs w:val="24"/>
        </w:rPr>
        <w:t>ing</w:t>
      </w:r>
      <w:r w:rsidR="004B27DA" w:rsidRPr="00661B39">
        <w:rPr>
          <w:szCs w:val="24"/>
        </w:rPr>
        <w:t xml:space="preserve"> in </w:t>
      </w:r>
      <w:r w:rsidR="0080504B" w:rsidRPr="00661B39">
        <w:rPr>
          <w:szCs w:val="24"/>
        </w:rPr>
        <w:t>permanent</w:t>
      </w:r>
      <w:r w:rsidR="00EA1BD4" w:rsidRPr="00661B39">
        <w:rPr>
          <w:szCs w:val="24"/>
        </w:rPr>
        <w:t xml:space="preserve"> </w:t>
      </w:r>
      <w:r w:rsidR="008C728D" w:rsidRPr="00661B39">
        <w:rPr>
          <w:szCs w:val="24"/>
        </w:rPr>
        <w:t xml:space="preserve">supported </w:t>
      </w:r>
      <w:r w:rsidR="0080504B" w:rsidRPr="00661B39">
        <w:rPr>
          <w:szCs w:val="24"/>
        </w:rPr>
        <w:t xml:space="preserve">housing.  </w:t>
      </w:r>
      <w:r w:rsidR="007C5242" w:rsidRPr="00661B39">
        <w:rPr>
          <w:szCs w:val="24"/>
        </w:rPr>
        <w:t xml:space="preserve">And </w:t>
      </w:r>
      <w:r w:rsidR="0080504B" w:rsidRPr="00661B39">
        <w:rPr>
          <w:szCs w:val="24"/>
        </w:rPr>
        <w:t xml:space="preserve">the only reasonable </w:t>
      </w:r>
      <w:r w:rsidR="007C5242" w:rsidRPr="00661B39">
        <w:rPr>
          <w:szCs w:val="24"/>
        </w:rPr>
        <w:t xml:space="preserve">interpretation </w:t>
      </w:r>
      <w:r w:rsidR="00EA1BD4" w:rsidRPr="00661B39">
        <w:rPr>
          <w:szCs w:val="24"/>
        </w:rPr>
        <w:t xml:space="preserve">of the employment </w:t>
      </w:r>
      <w:r w:rsidR="0029145E" w:rsidRPr="00661B39">
        <w:rPr>
          <w:szCs w:val="24"/>
        </w:rPr>
        <w:t xml:space="preserve">services </w:t>
      </w:r>
      <w:r w:rsidR="00EA1BD4" w:rsidRPr="00661B39">
        <w:rPr>
          <w:szCs w:val="24"/>
        </w:rPr>
        <w:t>provision</w:t>
      </w:r>
      <w:r w:rsidR="0080504B" w:rsidRPr="00661B39">
        <w:rPr>
          <w:szCs w:val="24"/>
        </w:rPr>
        <w:t xml:space="preserve">s requires the State to serve individuals in the target population.  Moreover, </w:t>
      </w:r>
      <w:r w:rsidR="00FD28E3" w:rsidRPr="00661B39">
        <w:rPr>
          <w:szCs w:val="24"/>
        </w:rPr>
        <w:t>the State</w:t>
      </w:r>
      <w:r w:rsidR="00CD75C1" w:rsidRPr="00661B39">
        <w:rPr>
          <w:szCs w:val="24"/>
        </w:rPr>
        <w:t>’s conduct</w:t>
      </w:r>
      <w:r w:rsidR="00FD28E3" w:rsidRPr="00661B39">
        <w:rPr>
          <w:szCs w:val="24"/>
        </w:rPr>
        <w:t xml:space="preserve"> </w:t>
      </w:r>
      <w:r w:rsidR="000E0FC5" w:rsidRPr="00661B39">
        <w:rPr>
          <w:szCs w:val="24"/>
        </w:rPr>
        <w:t xml:space="preserve">prior to this </w:t>
      </w:r>
      <w:r w:rsidR="002B5442" w:rsidRPr="00661B39">
        <w:rPr>
          <w:szCs w:val="24"/>
        </w:rPr>
        <w:t xml:space="preserve">dispute </w:t>
      </w:r>
      <w:r w:rsidR="000E0FC5" w:rsidRPr="00661B39">
        <w:rPr>
          <w:szCs w:val="24"/>
        </w:rPr>
        <w:t>beli</w:t>
      </w:r>
      <w:r w:rsidR="007C5242" w:rsidRPr="00661B39">
        <w:rPr>
          <w:szCs w:val="24"/>
        </w:rPr>
        <w:t xml:space="preserve">es </w:t>
      </w:r>
      <w:r w:rsidR="00AF27DD" w:rsidRPr="00661B39">
        <w:rPr>
          <w:szCs w:val="24"/>
        </w:rPr>
        <w:t xml:space="preserve">the validity of </w:t>
      </w:r>
      <w:r w:rsidR="00C76D25" w:rsidRPr="00661B39">
        <w:rPr>
          <w:szCs w:val="24"/>
        </w:rPr>
        <w:t>its</w:t>
      </w:r>
      <w:r w:rsidR="004B2B49" w:rsidRPr="00661B39">
        <w:rPr>
          <w:szCs w:val="24"/>
        </w:rPr>
        <w:t xml:space="preserve"> </w:t>
      </w:r>
      <w:r w:rsidR="007C5242" w:rsidRPr="00661B39">
        <w:rPr>
          <w:szCs w:val="24"/>
        </w:rPr>
        <w:t xml:space="preserve">new </w:t>
      </w:r>
      <w:r w:rsidR="004B2B49" w:rsidRPr="00661B39">
        <w:rPr>
          <w:szCs w:val="24"/>
        </w:rPr>
        <w:t>interpretation</w:t>
      </w:r>
      <w:r w:rsidR="004D7E0E" w:rsidRPr="00661B39">
        <w:rPr>
          <w:szCs w:val="24"/>
        </w:rPr>
        <w:t>s</w:t>
      </w:r>
      <w:r w:rsidR="00FD28E3" w:rsidRPr="00661B39">
        <w:rPr>
          <w:szCs w:val="24"/>
        </w:rPr>
        <w:t>.</w:t>
      </w:r>
      <w:r w:rsidR="00AF27DD" w:rsidRPr="00661B39">
        <w:rPr>
          <w:szCs w:val="24"/>
        </w:rPr>
        <w:t xml:space="preserve">  </w:t>
      </w:r>
      <w:r w:rsidR="000E0FC5" w:rsidRPr="00661B39">
        <w:rPr>
          <w:szCs w:val="24"/>
        </w:rPr>
        <w:t xml:space="preserve">During the first several years of implementation, the </w:t>
      </w:r>
      <w:r w:rsidR="00883620" w:rsidRPr="00661B39">
        <w:rPr>
          <w:szCs w:val="24"/>
        </w:rPr>
        <w:t xml:space="preserve">State </w:t>
      </w:r>
      <w:r w:rsidR="009978E1" w:rsidRPr="00661B39">
        <w:rPr>
          <w:szCs w:val="24"/>
        </w:rPr>
        <w:t xml:space="preserve">reported on </w:t>
      </w:r>
      <w:r w:rsidR="007C5242" w:rsidRPr="00661B39">
        <w:rPr>
          <w:szCs w:val="24"/>
        </w:rPr>
        <w:t>compliance by counting only occupied Housing Slots and</w:t>
      </w:r>
      <w:r w:rsidR="000E0FC5" w:rsidRPr="00661B39">
        <w:rPr>
          <w:szCs w:val="24"/>
        </w:rPr>
        <w:t xml:space="preserve"> by counting only individuals in the target population receiving Supported Employment Services.</w:t>
      </w:r>
      <w:r w:rsidR="007C5242" w:rsidRPr="00661B39">
        <w:rPr>
          <w:szCs w:val="24"/>
        </w:rPr>
        <w:t xml:space="preserve"> </w:t>
      </w:r>
    </w:p>
    <w:p w:rsidR="00514113" w:rsidRPr="00661B39" w:rsidRDefault="00AF27DD" w:rsidP="00A94E84">
      <w:pPr>
        <w:spacing w:line="480" w:lineRule="auto"/>
        <w:ind w:firstLine="720"/>
        <w:jc w:val="both"/>
        <w:rPr>
          <w:szCs w:val="24"/>
        </w:rPr>
      </w:pPr>
      <w:r w:rsidRPr="00661B39">
        <w:rPr>
          <w:szCs w:val="24"/>
        </w:rPr>
        <w:t>Th</w:t>
      </w:r>
      <w:r w:rsidR="00883620" w:rsidRPr="00661B39">
        <w:rPr>
          <w:szCs w:val="24"/>
        </w:rPr>
        <w:t xml:space="preserve">e </w:t>
      </w:r>
      <w:r w:rsidR="00E21B76" w:rsidRPr="00661B39">
        <w:rPr>
          <w:szCs w:val="24"/>
        </w:rPr>
        <w:t xml:space="preserve">State’s </w:t>
      </w:r>
      <w:r w:rsidR="00345AF8" w:rsidRPr="00661B39">
        <w:rPr>
          <w:szCs w:val="24"/>
        </w:rPr>
        <w:t>changed position</w:t>
      </w:r>
      <w:r w:rsidR="002B5442" w:rsidRPr="00661B39">
        <w:rPr>
          <w:szCs w:val="24"/>
        </w:rPr>
        <w:t xml:space="preserve"> </w:t>
      </w:r>
      <w:r w:rsidRPr="00661B39">
        <w:rPr>
          <w:szCs w:val="24"/>
        </w:rPr>
        <w:t xml:space="preserve">denies thousands of individuals with </w:t>
      </w:r>
      <w:r w:rsidR="00EA1BD4" w:rsidRPr="00661B39">
        <w:rPr>
          <w:szCs w:val="24"/>
        </w:rPr>
        <w:t xml:space="preserve">serious mental illness </w:t>
      </w:r>
      <w:r w:rsidRPr="00661B39">
        <w:rPr>
          <w:szCs w:val="24"/>
        </w:rPr>
        <w:t xml:space="preserve">access to </w:t>
      </w:r>
      <w:r w:rsidR="00EA1BD4" w:rsidRPr="00661B39">
        <w:rPr>
          <w:szCs w:val="24"/>
        </w:rPr>
        <w:t xml:space="preserve">the </w:t>
      </w:r>
      <w:r w:rsidR="008C728D" w:rsidRPr="00661B39">
        <w:rPr>
          <w:szCs w:val="24"/>
        </w:rPr>
        <w:t>supported</w:t>
      </w:r>
      <w:r w:rsidRPr="00661B39">
        <w:rPr>
          <w:szCs w:val="24"/>
        </w:rPr>
        <w:t xml:space="preserve"> housing and</w:t>
      </w:r>
      <w:r w:rsidR="00EA1BD4" w:rsidRPr="00661B39">
        <w:rPr>
          <w:szCs w:val="24"/>
        </w:rPr>
        <w:t xml:space="preserve"> supported employment </w:t>
      </w:r>
      <w:r w:rsidR="0044627B" w:rsidRPr="00661B39">
        <w:rPr>
          <w:szCs w:val="24"/>
        </w:rPr>
        <w:t>required by the Agreement</w:t>
      </w:r>
      <w:r w:rsidRPr="00661B39">
        <w:rPr>
          <w:szCs w:val="24"/>
        </w:rPr>
        <w:t>.</w:t>
      </w:r>
      <w:r w:rsidR="000E0FC5" w:rsidRPr="00661B39">
        <w:rPr>
          <w:szCs w:val="24"/>
        </w:rPr>
        <w:t xml:space="preserve">  </w:t>
      </w:r>
      <w:r w:rsidR="004913EA" w:rsidRPr="00661B39">
        <w:rPr>
          <w:szCs w:val="24"/>
        </w:rPr>
        <w:t xml:space="preserve">Judicial </w:t>
      </w:r>
      <w:r w:rsidR="00EA1BD4" w:rsidRPr="00661B39">
        <w:rPr>
          <w:szCs w:val="24"/>
        </w:rPr>
        <w:t xml:space="preserve">enforcement of the Agreement is necessary to remedy the State’s ongoing noncompliance and </w:t>
      </w:r>
      <w:r w:rsidR="00D33891" w:rsidRPr="00661B39">
        <w:rPr>
          <w:szCs w:val="24"/>
        </w:rPr>
        <w:t xml:space="preserve">increase the likelihood that the State will achieve compliance for the remainder of the Agreement. </w:t>
      </w:r>
      <w:r w:rsidR="004913EA" w:rsidRPr="00661B39">
        <w:rPr>
          <w:szCs w:val="24"/>
        </w:rPr>
        <w:t xml:space="preserve"> </w:t>
      </w:r>
    </w:p>
    <w:p w:rsidR="007A246D" w:rsidRPr="00661B39" w:rsidRDefault="00872EFF" w:rsidP="000E089D">
      <w:pPr>
        <w:pStyle w:val="Heading1"/>
      </w:pPr>
      <w:bookmarkStart w:id="2" w:name="_Toc471487543"/>
      <w:r w:rsidRPr="00661B39">
        <w:t>STATEMENT OF FACTS</w:t>
      </w:r>
      <w:bookmarkEnd w:id="2"/>
    </w:p>
    <w:p w:rsidR="007A246D" w:rsidRPr="00661B39" w:rsidRDefault="00872EFF" w:rsidP="00E51D77">
      <w:pPr>
        <w:pStyle w:val="Heading2"/>
      </w:pPr>
      <w:bookmarkStart w:id="3" w:name="_Toc471487544"/>
      <w:r w:rsidRPr="00661B39">
        <w:t>I.</w:t>
      </w:r>
      <w:r w:rsidRPr="00661B39">
        <w:tab/>
      </w:r>
      <w:r w:rsidR="00A8500B" w:rsidRPr="009D535A">
        <w:rPr>
          <w:caps w:val="0"/>
        </w:rPr>
        <w:t xml:space="preserve">BACKGROUND AND </w:t>
      </w:r>
      <w:r w:rsidR="009D535A">
        <w:rPr>
          <w:caps w:val="0"/>
        </w:rPr>
        <w:t>PROCEDURAL HISTORY</w:t>
      </w:r>
      <w:bookmarkEnd w:id="3"/>
    </w:p>
    <w:p w:rsidR="00CD213E" w:rsidRPr="00661B39" w:rsidRDefault="007A246D" w:rsidP="00DA4F3A">
      <w:pPr>
        <w:spacing w:line="480" w:lineRule="auto"/>
        <w:ind w:firstLine="720"/>
        <w:jc w:val="both"/>
        <w:rPr>
          <w:szCs w:val="24"/>
        </w:rPr>
      </w:pPr>
      <w:r w:rsidRPr="00661B39">
        <w:rPr>
          <w:szCs w:val="24"/>
        </w:rPr>
        <w:t xml:space="preserve">The United States began investigating North Carolina’s </w:t>
      </w:r>
      <w:r w:rsidR="00260460" w:rsidRPr="00661B39">
        <w:rPr>
          <w:szCs w:val="24"/>
        </w:rPr>
        <w:t xml:space="preserve">mental health </w:t>
      </w:r>
      <w:r w:rsidRPr="00661B39">
        <w:rPr>
          <w:szCs w:val="24"/>
        </w:rPr>
        <w:t xml:space="preserve">service system </w:t>
      </w:r>
      <w:r w:rsidR="005D705D" w:rsidRPr="00661B39">
        <w:rPr>
          <w:szCs w:val="24"/>
        </w:rPr>
        <w:t xml:space="preserve">on November 17, </w:t>
      </w:r>
      <w:r w:rsidRPr="00661B39">
        <w:rPr>
          <w:szCs w:val="24"/>
        </w:rPr>
        <w:t>2010 and issued a letter detailing its findings on July 28, 2011</w:t>
      </w:r>
      <w:r w:rsidR="00460603" w:rsidRPr="00661B39">
        <w:rPr>
          <w:szCs w:val="24"/>
        </w:rPr>
        <w:t xml:space="preserve">.  </w:t>
      </w:r>
      <w:r w:rsidR="004276D2">
        <w:t xml:space="preserve">Complaint </w:t>
      </w:r>
      <w:r w:rsidR="004276D2" w:rsidRPr="003C7820">
        <w:t xml:space="preserve">¶ </w:t>
      </w:r>
      <w:r w:rsidR="004276D2">
        <w:t>49</w:t>
      </w:r>
      <w:r w:rsidR="004276D2" w:rsidRPr="003C7820">
        <w:rPr>
          <w:szCs w:val="24"/>
        </w:rPr>
        <w:t>,</w:t>
      </w:r>
      <w:r w:rsidR="004276D2">
        <w:rPr>
          <w:szCs w:val="24"/>
        </w:rPr>
        <w:t xml:space="preserve"> </w:t>
      </w:r>
      <w:r w:rsidR="004276D2">
        <w:t>Aug. 23, 2012, D.E. 1</w:t>
      </w:r>
      <w:r w:rsidR="00FE2220" w:rsidRPr="00661B39">
        <w:rPr>
          <w:szCs w:val="24"/>
        </w:rPr>
        <w:t>; Letter from Thomas E. Perez</w:t>
      </w:r>
      <w:r w:rsidR="00D42341" w:rsidRPr="00661B39">
        <w:rPr>
          <w:szCs w:val="24"/>
        </w:rPr>
        <w:t xml:space="preserve">, Assistant </w:t>
      </w:r>
      <w:proofErr w:type="spellStart"/>
      <w:r w:rsidR="00D42341" w:rsidRPr="00661B39">
        <w:rPr>
          <w:szCs w:val="24"/>
        </w:rPr>
        <w:t>Att’y</w:t>
      </w:r>
      <w:proofErr w:type="spellEnd"/>
      <w:r w:rsidR="00D42341" w:rsidRPr="00661B39">
        <w:rPr>
          <w:szCs w:val="24"/>
        </w:rPr>
        <w:t xml:space="preserve"> Gen., U.S. DOJ, to Roy Cooper, </w:t>
      </w:r>
      <w:proofErr w:type="spellStart"/>
      <w:r w:rsidR="00D42341" w:rsidRPr="00661B39">
        <w:rPr>
          <w:szCs w:val="24"/>
        </w:rPr>
        <w:t>Att’y</w:t>
      </w:r>
      <w:proofErr w:type="spellEnd"/>
      <w:r w:rsidR="00D42341" w:rsidRPr="00661B39">
        <w:rPr>
          <w:szCs w:val="24"/>
        </w:rPr>
        <w:t xml:space="preserve"> Gen., N.C. DOJ</w:t>
      </w:r>
      <w:r w:rsidR="00FE2220" w:rsidRPr="00661B39">
        <w:rPr>
          <w:szCs w:val="24"/>
        </w:rPr>
        <w:t xml:space="preserve"> </w:t>
      </w:r>
      <w:r w:rsidR="00135605" w:rsidRPr="00661B39">
        <w:rPr>
          <w:szCs w:val="24"/>
        </w:rPr>
        <w:t xml:space="preserve">(July 28, 2011) Ex. </w:t>
      </w:r>
      <w:r w:rsidR="00D42341" w:rsidRPr="00661B39">
        <w:rPr>
          <w:szCs w:val="24"/>
        </w:rPr>
        <w:t>A</w:t>
      </w:r>
      <w:r w:rsidR="00F02524" w:rsidRPr="00661B39">
        <w:rPr>
          <w:szCs w:val="24"/>
        </w:rPr>
        <w:t xml:space="preserve"> </w:t>
      </w:r>
      <w:r w:rsidR="00135605" w:rsidRPr="00661B39">
        <w:rPr>
          <w:szCs w:val="24"/>
        </w:rPr>
        <w:t>[“Letter of Findings”]</w:t>
      </w:r>
      <w:r w:rsidR="00460603" w:rsidRPr="00661B39">
        <w:rPr>
          <w:szCs w:val="24"/>
        </w:rPr>
        <w:t xml:space="preserve">.  </w:t>
      </w:r>
      <w:r w:rsidR="00CD213E" w:rsidRPr="00661B39">
        <w:rPr>
          <w:szCs w:val="24"/>
        </w:rPr>
        <w:t xml:space="preserve">The </w:t>
      </w:r>
      <w:r w:rsidR="00DA4F3A" w:rsidRPr="00661B39">
        <w:rPr>
          <w:szCs w:val="24"/>
        </w:rPr>
        <w:t>United States</w:t>
      </w:r>
      <w:r w:rsidR="00CD213E" w:rsidRPr="00661B39">
        <w:rPr>
          <w:szCs w:val="24"/>
        </w:rPr>
        <w:t xml:space="preserve"> concluded that the State fails to provide services to individuals with mental illness in the most integrated setting appropriate to their needs as required by the ADA.  </w:t>
      </w:r>
      <w:r w:rsidR="00DA4F3A" w:rsidRPr="00661B39">
        <w:rPr>
          <w:i/>
          <w:szCs w:val="24"/>
        </w:rPr>
        <w:t xml:space="preserve">See </w:t>
      </w:r>
      <w:r w:rsidR="00DA4F3A" w:rsidRPr="00661B39">
        <w:rPr>
          <w:szCs w:val="24"/>
        </w:rPr>
        <w:t>Letter of Findings</w:t>
      </w:r>
      <w:r w:rsidR="00D42341" w:rsidRPr="00661B39">
        <w:rPr>
          <w:szCs w:val="24"/>
        </w:rPr>
        <w:t xml:space="preserve"> Ex. A,</w:t>
      </w:r>
      <w:r w:rsidR="00DA4F3A" w:rsidRPr="00661B39">
        <w:rPr>
          <w:szCs w:val="24"/>
        </w:rPr>
        <w:t xml:space="preserve"> at 1; </w:t>
      </w:r>
      <w:r w:rsidR="00DA4F3A" w:rsidRPr="00661B39">
        <w:rPr>
          <w:i/>
          <w:szCs w:val="24"/>
        </w:rPr>
        <w:t xml:space="preserve">see also </w:t>
      </w:r>
      <w:r w:rsidR="00CD213E" w:rsidRPr="00661B39">
        <w:rPr>
          <w:szCs w:val="24"/>
        </w:rPr>
        <w:t>42 U.S.C. § 12132</w:t>
      </w:r>
      <w:r w:rsidR="00B34D87" w:rsidRPr="00661B39">
        <w:rPr>
          <w:szCs w:val="24"/>
        </w:rPr>
        <w:fldChar w:fldCharType="begin"/>
      </w:r>
      <w:r w:rsidR="00C571CB" w:rsidRPr="00661B39">
        <w:rPr>
          <w:szCs w:val="24"/>
        </w:rPr>
        <w:instrText xml:space="preserve"> XE "42 U.S.C. § 12132" </w:instrText>
      </w:r>
      <w:r w:rsidR="00B34D87" w:rsidRPr="00661B39">
        <w:rPr>
          <w:szCs w:val="24"/>
        </w:rPr>
        <w:fldChar w:fldCharType="end"/>
      </w:r>
      <w:r w:rsidR="00CD213E" w:rsidRPr="00661B39">
        <w:rPr>
          <w:szCs w:val="24"/>
        </w:rPr>
        <w:t>; 28 C.F.R. § 35.130(d)</w:t>
      </w:r>
      <w:r w:rsidR="00B34D87" w:rsidRPr="00661B39">
        <w:rPr>
          <w:szCs w:val="24"/>
        </w:rPr>
        <w:fldChar w:fldCharType="begin"/>
      </w:r>
      <w:r w:rsidR="00C571CB" w:rsidRPr="00661B39">
        <w:rPr>
          <w:szCs w:val="24"/>
        </w:rPr>
        <w:instrText xml:space="preserve"> TA \s "28 C.F.R. § 35.130(d)" </w:instrText>
      </w:r>
      <w:r w:rsidR="00B34D87" w:rsidRPr="00661B39">
        <w:rPr>
          <w:szCs w:val="24"/>
        </w:rPr>
        <w:fldChar w:fldCharType="end"/>
      </w:r>
      <w:r w:rsidR="00CD213E" w:rsidRPr="00661B39">
        <w:rPr>
          <w:szCs w:val="24"/>
        </w:rPr>
        <w:t xml:space="preserve">.  The State plans, administers, and funds its mental health service system in a manner that unnecessarily segregates </w:t>
      </w:r>
      <w:r w:rsidR="00F46CF4">
        <w:rPr>
          <w:szCs w:val="24"/>
        </w:rPr>
        <w:t>individuals</w:t>
      </w:r>
      <w:r w:rsidR="00F46CF4" w:rsidRPr="00661B39">
        <w:rPr>
          <w:szCs w:val="24"/>
        </w:rPr>
        <w:t xml:space="preserve"> </w:t>
      </w:r>
      <w:r w:rsidR="00CD213E" w:rsidRPr="00661B39">
        <w:rPr>
          <w:szCs w:val="24"/>
        </w:rPr>
        <w:t xml:space="preserve">with mental illness in institutional adult care homes, rather than providing services to them in community-based settings.  </w:t>
      </w:r>
      <w:r w:rsidR="00CD213E" w:rsidRPr="00661B39">
        <w:rPr>
          <w:i/>
          <w:szCs w:val="24"/>
        </w:rPr>
        <w:t>See</w:t>
      </w:r>
      <w:r w:rsidR="00CD213E" w:rsidRPr="00661B39">
        <w:rPr>
          <w:szCs w:val="24"/>
        </w:rPr>
        <w:t xml:space="preserve"> </w:t>
      </w:r>
      <w:r w:rsidR="00745760" w:rsidRPr="00661B39">
        <w:rPr>
          <w:szCs w:val="24"/>
        </w:rPr>
        <w:t xml:space="preserve">Letter of Findings </w:t>
      </w:r>
      <w:r w:rsidR="00D42341" w:rsidRPr="00661B39">
        <w:rPr>
          <w:szCs w:val="24"/>
        </w:rPr>
        <w:t xml:space="preserve">Ex. A, </w:t>
      </w:r>
      <w:r w:rsidR="00745760" w:rsidRPr="00661B39">
        <w:rPr>
          <w:szCs w:val="24"/>
        </w:rPr>
        <w:t>at 1</w:t>
      </w:r>
      <w:r w:rsidR="00DA4F3A" w:rsidRPr="00661B39">
        <w:rPr>
          <w:szCs w:val="24"/>
        </w:rPr>
        <w:t>;</w:t>
      </w:r>
      <w:r w:rsidR="00DA4F3A" w:rsidRPr="00661B39">
        <w:rPr>
          <w:i/>
          <w:szCs w:val="24"/>
        </w:rPr>
        <w:t xml:space="preserve"> </w:t>
      </w:r>
      <w:r w:rsidR="00745760" w:rsidRPr="00661B39">
        <w:rPr>
          <w:i/>
          <w:szCs w:val="24"/>
        </w:rPr>
        <w:t xml:space="preserve">see also </w:t>
      </w:r>
      <w:r w:rsidR="00CD213E" w:rsidRPr="00661B39">
        <w:rPr>
          <w:szCs w:val="24"/>
        </w:rPr>
        <w:t>28 C.F.R. § 35.130(b)</w:t>
      </w:r>
      <w:r w:rsidR="00B34D87" w:rsidRPr="00661B39">
        <w:rPr>
          <w:szCs w:val="24"/>
        </w:rPr>
        <w:fldChar w:fldCharType="begin"/>
      </w:r>
      <w:r w:rsidR="00A94820" w:rsidRPr="00661B39">
        <w:rPr>
          <w:szCs w:val="24"/>
        </w:rPr>
        <w:instrText xml:space="preserve"> TA \l "28 C.F.R. § 35.130(b)" \s "28 C.F.R. § 35.130(b)" \c 6 </w:instrText>
      </w:r>
      <w:r w:rsidR="00B34D87" w:rsidRPr="00661B39">
        <w:rPr>
          <w:szCs w:val="24"/>
        </w:rPr>
        <w:fldChar w:fldCharType="end"/>
      </w:r>
      <w:r w:rsidR="00CD213E" w:rsidRPr="00661B39">
        <w:rPr>
          <w:szCs w:val="24"/>
        </w:rPr>
        <w:t xml:space="preserve"> and (d).  As a result, thousands of individuals with mental illness, who could be served in the community with the types of services and supports that exist in North Carolina’s mental health service system, are needlessly institutionalized.  </w:t>
      </w:r>
    </w:p>
    <w:p w:rsidR="00B93C83" w:rsidRPr="00661B39" w:rsidRDefault="00C7163A">
      <w:pPr>
        <w:spacing w:line="480" w:lineRule="auto"/>
        <w:ind w:firstLine="720"/>
        <w:jc w:val="both"/>
        <w:rPr>
          <w:szCs w:val="24"/>
        </w:rPr>
      </w:pPr>
      <w:r w:rsidRPr="00661B39">
        <w:rPr>
          <w:szCs w:val="24"/>
        </w:rPr>
        <w:t xml:space="preserve">The Letter of Findings </w:t>
      </w:r>
      <w:r w:rsidR="00EE3957" w:rsidRPr="00661B39">
        <w:rPr>
          <w:szCs w:val="24"/>
        </w:rPr>
        <w:t>identified</w:t>
      </w:r>
      <w:r w:rsidRPr="00661B39">
        <w:rPr>
          <w:szCs w:val="24"/>
        </w:rPr>
        <w:t xml:space="preserve"> remedial measure</w:t>
      </w:r>
      <w:r w:rsidR="00B34E4B" w:rsidRPr="00661B39">
        <w:rPr>
          <w:szCs w:val="24"/>
        </w:rPr>
        <w:t>s</w:t>
      </w:r>
      <w:r w:rsidRPr="00661B39">
        <w:rPr>
          <w:szCs w:val="24"/>
        </w:rPr>
        <w:t xml:space="preserve"> necessary to resolve the violations</w:t>
      </w:r>
      <w:r w:rsidR="00884A7E" w:rsidRPr="00661B39">
        <w:rPr>
          <w:szCs w:val="24"/>
        </w:rPr>
        <w:t xml:space="preserve"> of federal law</w:t>
      </w:r>
      <w:r w:rsidR="00A8500B" w:rsidRPr="00661B39">
        <w:rPr>
          <w:szCs w:val="24"/>
        </w:rPr>
        <w:t xml:space="preserve">.  </w:t>
      </w:r>
      <w:r w:rsidR="00BD69C0" w:rsidRPr="00661B39">
        <w:rPr>
          <w:i/>
          <w:szCs w:val="24"/>
        </w:rPr>
        <w:t xml:space="preserve">See </w:t>
      </w:r>
      <w:r w:rsidR="00BD69C0" w:rsidRPr="00661B39">
        <w:rPr>
          <w:szCs w:val="24"/>
        </w:rPr>
        <w:t>Letter of Findings</w:t>
      </w:r>
      <w:r w:rsidR="00D42341" w:rsidRPr="00661B39">
        <w:rPr>
          <w:szCs w:val="24"/>
        </w:rPr>
        <w:t xml:space="preserve"> Ex. A,</w:t>
      </w:r>
      <w:r w:rsidR="00BD69C0" w:rsidRPr="00661B39">
        <w:rPr>
          <w:szCs w:val="24"/>
        </w:rPr>
        <w:t xml:space="preserve"> at 14</w:t>
      </w:r>
      <w:r w:rsidR="00FF63DB" w:rsidRPr="00661B39">
        <w:rPr>
          <w:szCs w:val="24"/>
        </w:rPr>
        <w:t>–</w:t>
      </w:r>
      <w:r w:rsidR="00FF311B" w:rsidRPr="00661B39">
        <w:rPr>
          <w:szCs w:val="24"/>
        </w:rPr>
        <w:t>15</w:t>
      </w:r>
      <w:r w:rsidR="00BD69C0" w:rsidRPr="00661B39">
        <w:rPr>
          <w:szCs w:val="24"/>
        </w:rPr>
        <w:t xml:space="preserve">.  </w:t>
      </w:r>
      <w:r w:rsidR="00A8500B" w:rsidRPr="00661B39">
        <w:rPr>
          <w:szCs w:val="24"/>
        </w:rPr>
        <w:t>These measures included</w:t>
      </w:r>
      <w:r w:rsidRPr="00661B39">
        <w:rPr>
          <w:szCs w:val="24"/>
        </w:rPr>
        <w:t xml:space="preserve"> </w:t>
      </w:r>
      <w:r w:rsidR="00B57642" w:rsidRPr="00661B39">
        <w:rPr>
          <w:szCs w:val="24"/>
        </w:rPr>
        <w:t>increasing the capacity</w:t>
      </w:r>
      <w:r w:rsidRPr="00661B39">
        <w:rPr>
          <w:szCs w:val="24"/>
        </w:rPr>
        <w:t xml:space="preserve"> of supported housing</w:t>
      </w:r>
      <w:r w:rsidR="00A8500B" w:rsidRPr="00661B39">
        <w:rPr>
          <w:szCs w:val="24"/>
        </w:rPr>
        <w:t>,</w:t>
      </w:r>
      <w:r w:rsidR="00A8500B" w:rsidRPr="00661B39" w:rsidDel="00A8500B">
        <w:rPr>
          <w:szCs w:val="24"/>
        </w:rPr>
        <w:t xml:space="preserve"> </w:t>
      </w:r>
      <w:r w:rsidR="00861A30" w:rsidRPr="00661B39">
        <w:rPr>
          <w:szCs w:val="24"/>
        </w:rPr>
        <w:t>a service</w:t>
      </w:r>
      <w:r w:rsidRPr="00661B39">
        <w:rPr>
          <w:szCs w:val="24"/>
        </w:rPr>
        <w:t xml:space="preserve"> that enables individuals to live in integrated, community settings</w:t>
      </w:r>
      <w:r w:rsidR="00B57642" w:rsidRPr="00661B39">
        <w:rPr>
          <w:szCs w:val="24"/>
        </w:rPr>
        <w:t xml:space="preserve"> that are generally more cost effective than </w:t>
      </w:r>
      <w:r w:rsidR="00220A40" w:rsidRPr="00661B39">
        <w:rPr>
          <w:szCs w:val="24"/>
        </w:rPr>
        <w:t xml:space="preserve">segregated </w:t>
      </w:r>
      <w:r w:rsidR="00B57642" w:rsidRPr="00661B39">
        <w:rPr>
          <w:szCs w:val="24"/>
        </w:rPr>
        <w:t xml:space="preserve">adult </w:t>
      </w:r>
      <w:r w:rsidR="00D8209C" w:rsidRPr="00661B39">
        <w:rPr>
          <w:szCs w:val="24"/>
        </w:rPr>
        <w:t xml:space="preserve">care </w:t>
      </w:r>
      <w:r w:rsidR="00B57642" w:rsidRPr="00661B39">
        <w:rPr>
          <w:szCs w:val="24"/>
        </w:rPr>
        <w:t>homes</w:t>
      </w:r>
      <w:r w:rsidRPr="00661B39">
        <w:rPr>
          <w:szCs w:val="24"/>
        </w:rPr>
        <w:t xml:space="preserve">.  </w:t>
      </w:r>
      <w:r w:rsidRPr="00661B39">
        <w:rPr>
          <w:i/>
          <w:szCs w:val="24"/>
        </w:rPr>
        <w:t>See id</w:t>
      </w:r>
      <w:r w:rsidRPr="00661B39">
        <w:rPr>
          <w:szCs w:val="24"/>
        </w:rPr>
        <w:t xml:space="preserve">.  The Letter of Findings also proposed </w:t>
      </w:r>
      <w:r w:rsidR="00B57642" w:rsidRPr="00661B39">
        <w:rPr>
          <w:szCs w:val="24"/>
        </w:rPr>
        <w:t xml:space="preserve">expanding the capacity of </w:t>
      </w:r>
      <w:r w:rsidR="008565E9" w:rsidRPr="00661B39">
        <w:rPr>
          <w:szCs w:val="24"/>
        </w:rPr>
        <w:t xml:space="preserve">other </w:t>
      </w:r>
      <w:r w:rsidRPr="00661B39">
        <w:rPr>
          <w:szCs w:val="24"/>
        </w:rPr>
        <w:t>services</w:t>
      </w:r>
      <w:r w:rsidR="008565E9" w:rsidRPr="00661B39">
        <w:rPr>
          <w:szCs w:val="24"/>
        </w:rPr>
        <w:t xml:space="preserve"> that enable individuals to live in the community</w:t>
      </w:r>
      <w:r w:rsidRPr="00661B39">
        <w:rPr>
          <w:szCs w:val="24"/>
        </w:rPr>
        <w:t xml:space="preserve">, including supported employment, assertive community treatment, case management, and crisis services.  </w:t>
      </w:r>
      <w:r w:rsidRPr="00661B39">
        <w:rPr>
          <w:i/>
          <w:szCs w:val="24"/>
        </w:rPr>
        <w:t>Id.</w:t>
      </w:r>
      <w:r w:rsidRPr="00661B39">
        <w:rPr>
          <w:szCs w:val="24"/>
        </w:rPr>
        <w:t xml:space="preserve"> </w:t>
      </w:r>
      <w:r w:rsidR="00BD69C0" w:rsidRPr="00661B39">
        <w:rPr>
          <w:szCs w:val="24"/>
        </w:rPr>
        <w:t xml:space="preserve"> </w:t>
      </w:r>
      <w:r w:rsidR="00551CB2" w:rsidRPr="00661B39">
        <w:rPr>
          <w:szCs w:val="24"/>
        </w:rPr>
        <w:t>T</w:t>
      </w:r>
      <w:r w:rsidR="00BD69C0" w:rsidRPr="00661B39">
        <w:rPr>
          <w:szCs w:val="24"/>
        </w:rPr>
        <w:t xml:space="preserve">he parties negotiated an eight-year settlement agreement that </w:t>
      </w:r>
      <w:r w:rsidR="00884A7E" w:rsidRPr="00661B39">
        <w:rPr>
          <w:szCs w:val="24"/>
        </w:rPr>
        <w:t>includes</w:t>
      </w:r>
      <w:r w:rsidR="00BD69C0" w:rsidRPr="00661B39">
        <w:rPr>
          <w:szCs w:val="24"/>
        </w:rPr>
        <w:t xml:space="preserve"> the remedial measures discussed in the Letter of Findings.  </w:t>
      </w:r>
      <w:r w:rsidR="00BD69C0" w:rsidRPr="00661B39">
        <w:rPr>
          <w:i/>
          <w:szCs w:val="24"/>
        </w:rPr>
        <w:t xml:space="preserve">See </w:t>
      </w:r>
      <w:r w:rsidR="00BD69C0" w:rsidRPr="00661B39">
        <w:rPr>
          <w:szCs w:val="24"/>
        </w:rPr>
        <w:t xml:space="preserve">Settlement Agreement, Aug. 23, 2012, </w:t>
      </w:r>
      <w:r w:rsidR="003F5170" w:rsidRPr="00661B39">
        <w:rPr>
          <w:szCs w:val="24"/>
        </w:rPr>
        <w:t>D.E.</w:t>
      </w:r>
      <w:r w:rsidR="00BD69C0" w:rsidRPr="00661B39">
        <w:rPr>
          <w:szCs w:val="24"/>
        </w:rPr>
        <w:t xml:space="preserve"> 2-2 [“S.A.”].</w:t>
      </w:r>
    </w:p>
    <w:p w:rsidR="00B93C83" w:rsidRPr="00661B39" w:rsidRDefault="00861A30" w:rsidP="00F17F3C">
      <w:pPr>
        <w:spacing w:line="480" w:lineRule="auto"/>
        <w:ind w:firstLine="720"/>
        <w:jc w:val="both"/>
        <w:rPr>
          <w:szCs w:val="24"/>
        </w:rPr>
      </w:pPr>
      <w:r w:rsidRPr="00661B39">
        <w:rPr>
          <w:szCs w:val="24"/>
        </w:rPr>
        <w:t>On August 23, 2012, t</w:t>
      </w:r>
      <w:r w:rsidR="00D642B1" w:rsidRPr="00661B39">
        <w:rPr>
          <w:szCs w:val="24"/>
        </w:rPr>
        <w:t>he United States</w:t>
      </w:r>
      <w:r w:rsidRPr="00661B39">
        <w:rPr>
          <w:szCs w:val="24"/>
        </w:rPr>
        <w:t xml:space="preserve"> </w:t>
      </w:r>
      <w:r w:rsidR="00D642B1" w:rsidRPr="00661B39">
        <w:rPr>
          <w:szCs w:val="24"/>
        </w:rPr>
        <w:t>filed a complaint for declaratory and injunctive relief</w:t>
      </w:r>
      <w:r w:rsidR="00A8500B" w:rsidRPr="00661B39">
        <w:rPr>
          <w:szCs w:val="24"/>
        </w:rPr>
        <w:t>.</w:t>
      </w:r>
      <w:r w:rsidR="00D642B1" w:rsidRPr="00661B39">
        <w:rPr>
          <w:i/>
          <w:szCs w:val="24"/>
        </w:rPr>
        <w:t xml:space="preserve"> </w:t>
      </w:r>
      <w:r w:rsidR="005C66E3" w:rsidRPr="00661B39">
        <w:rPr>
          <w:i/>
          <w:szCs w:val="24"/>
        </w:rPr>
        <w:t xml:space="preserve"> </w:t>
      </w:r>
      <w:proofErr w:type="spellStart"/>
      <w:r w:rsidR="00D642B1" w:rsidRPr="00661B39">
        <w:rPr>
          <w:szCs w:val="24"/>
        </w:rPr>
        <w:t>Compl</w:t>
      </w:r>
      <w:proofErr w:type="spellEnd"/>
      <w:r w:rsidR="005C5124" w:rsidRPr="00661B39">
        <w:rPr>
          <w:szCs w:val="24"/>
        </w:rPr>
        <w:t>.</w:t>
      </w:r>
      <w:r w:rsidR="00D642B1" w:rsidRPr="00661B39">
        <w:rPr>
          <w:szCs w:val="24"/>
        </w:rPr>
        <w:t xml:space="preserve"> </w:t>
      </w:r>
      <w:r w:rsidR="00C7163A" w:rsidRPr="00661B39">
        <w:rPr>
          <w:szCs w:val="24"/>
        </w:rPr>
        <w:t xml:space="preserve"> The </w:t>
      </w:r>
      <w:r w:rsidR="00BD69C0" w:rsidRPr="00661B39">
        <w:rPr>
          <w:szCs w:val="24"/>
        </w:rPr>
        <w:t>Complaint</w:t>
      </w:r>
      <w:r w:rsidR="00C7163A" w:rsidRPr="00661B39">
        <w:rPr>
          <w:szCs w:val="24"/>
        </w:rPr>
        <w:t xml:space="preserve"> alleged that the State </w:t>
      </w:r>
      <w:r w:rsidR="005C66E3" w:rsidRPr="00661B39">
        <w:rPr>
          <w:szCs w:val="24"/>
        </w:rPr>
        <w:t xml:space="preserve">has </w:t>
      </w:r>
      <w:r w:rsidR="00C7163A" w:rsidRPr="00661B39">
        <w:rPr>
          <w:szCs w:val="24"/>
        </w:rPr>
        <w:t>failed to serve individuals with serious mental illness in the most integrated setting appropriate to their needs</w:t>
      </w:r>
      <w:r w:rsidR="00A8500B" w:rsidRPr="00661B39">
        <w:rPr>
          <w:szCs w:val="24"/>
        </w:rPr>
        <w:t>, in violation of Title II of the ADA and Section 504 of the Rehabilitation Act of 1973</w:t>
      </w:r>
      <w:r w:rsidR="00C7163A" w:rsidRPr="00661B39">
        <w:rPr>
          <w:szCs w:val="24"/>
        </w:rPr>
        <w:t xml:space="preserve">.  </w:t>
      </w:r>
      <w:r w:rsidR="003C7820" w:rsidRPr="00661B39">
        <w:rPr>
          <w:i/>
          <w:szCs w:val="24"/>
        </w:rPr>
        <w:t xml:space="preserve">Id. </w:t>
      </w:r>
      <w:r w:rsidR="00EF680F" w:rsidRPr="00661B39">
        <w:rPr>
          <w:szCs w:val="24"/>
        </w:rPr>
        <w:t xml:space="preserve">¶¶ </w:t>
      </w:r>
      <w:r w:rsidR="003C7820" w:rsidRPr="00661B39">
        <w:rPr>
          <w:szCs w:val="24"/>
        </w:rPr>
        <w:t>1</w:t>
      </w:r>
      <w:r w:rsidR="005C5124" w:rsidRPr="00661B39">
        <w:rPr>
          <w:szCs w:val="24"/>
        </w:rPr>
        <w:t>–</w:t>
      </w:r>
      <w:r w:rsidR="003C7820" w:rsidRPr="00661B39">
        <w:rPr>
          <w:szCs w:val="24"/>
        </w:rPr>
        <w:t>3.</w:t>
      </w:r>
      <w:r w:rsidR="008565E9" w:rsidRPr="00661B39">
        <w:rPr>
          <w:szCs w:val="24"/>
        </w:rPr>
        <w:t xml:space="preserve">  </w:t>
      </w:r>
      <w:r w:rsidRPr="00661B39">
        <w:rPr>
          <w:szCs w:val="24"/>
        </w:rPr>
        <w:t xml:space="preserve">On the same day, the parties filed </w:t>
      </w:r>
      <w:r w:rsidR="00D642B1" w:rsidRPr="00661B39">
        <w:rPr>
          <w:szCs w:val="24"/>
        </w:rPr>
        <w:t xml:space="preserve">a joint motion to dismiss </w:t>
      </w:r>
      <w:r w:rsidR="00FD56A5" w:rsidRPr="00661B39">
        <w:rPr>
          <w:szCs w:val="24"/>
        </w:rPr>
        <w:t xml:space="preserve">the Complaint </w:t>
      </w:r>
      <w:r w:rsidR="00D642B1" w:rsidRPr="00661B39">
        <w:rPr>
          <w:szCs w:val="24"/>
        </w:rPr>
        <w:t>without prejudice under Federal Rule of Civil Procedure 41(a)(2)</w:t>
      </w:r>
      <w:r w:rsidR="00B34D87" w:rsidRPr="00661B39">
        <w:rPr>
          <w:szCs w:val="24"/>
        </w:rPr>
        <w:fldChar w:fldCharType="begin"/>
      </w:r>
      <w:r w:rsidR="00A94820" w:rsidRPr="00661B39">
        <w:rPr>
          <w:szCs w:val="24"/>
        </w:rPr>
        <w:instrText xml:space="preserve"> TA \l "Federal Rule of Civil Procedure 41(a)(2)" \s "Fed. R. Civ. P. 41(a)(2)" \c 4 </w:instrText>
      </w:r>
      <w:r w:rsidR="00B34D87" w:rsidRPr="00661B39">
        <w:rPr>
          <w:szCs w:val="24"/>
        </w:rPr>
        <w:fldChar w:fldCharType="end"/>
      </w:r>
      <w:r w:rsidR="00D642B1" w:rsidRPr="00661B39">
        <w:rPr>
          <w:szCs w:val="24"/>
        </w:rPr>
        <w:t xml:space="preserve"> and</w:t>
      </w:r>
      <w:r w:rsidR="00E56278" w:rsidRPr="00661B39">
        <w:rPr>
          <w:szCs w:val="24"/>
        </w:rPr>
        <w:t xml:space="preserve"> </w:t>
      </w:r>
      <w:r w:rsidR="00D642B1" w:rsidRPr="00661B39">
        <w:rPr>
          <w:szCs w:val="24"/>
        </w:rPr>
        <w:t xml:space="preserve">retain jurisdiction to enforce the Agreement.  </w:t>
      </w:r>
      <w:r w:rsidR="003F5170" w:rsidRPr="00661B39">
        <w:rPr>
          <w:szCs w:val="24"/>
        </w:rPr>
        <w:t>D.E.</w:t>
      </w:r>
      <w:r w:rsidR="006C3A0E" w:rsidRPr="00661B39">
        <w:rPr>
          <w:szCs w:val="24"/>
        </w:rPr>
        <w:t xml:space="preserve"> 2.</w:t>
      </w:r>
      <w:r w:rsidR="00D642B1" w:rsidRPr="00661B39">
        <w:rPr>
          <w:szCs w:val="24"/>
        </w:rPr>
        <w:t xml:space="preserve">  </w:t>
      </w:r>
      <w:r w:rsidR="00823A52" w:rsidRPr="00661B39">
        <w:rPr>
          <w:szCs w:val="24"/>
        </w:rPr>
        <w:t xml:space="preserve">On October 5, 2012, the </w:t>
      </w:r>
      <w:r w:rsidR="00D642B1" w:rsidRPr="00661B39">
        <w:rPr>
          <w:szCs w:val="24"/>
        </w:rPr>
        <w:t>Court conditionally dismissed the Complaint and retained jurisdiction to e</w:t>
      </w:r>
      <w:r w:rsidR="00E56278" w:rsidRPr="00661B39">
        <w:rPr>
          <w:szCs w:val="24"/>
        </w:rPr>
        <w:t>nforce the Agreement.</w:t>
      </w:r>
      <w:r w:rsidR="00D642B1" w:rsidRPr="00661B39">
        <w:rPr>
          <w:szCs w:val="24"/>
        </w:rPr>
        <w:t xml:space="preserve"> </w:t>
      </w:r>
      <w:r w:rsidR="00E50EE3" w:rsidRPr="00661B39">
        <w:rPr>
          <w:szCs w:val="24"/>
        </w:rPr>
        <w:t xml:space="preserve"> </w:t>
      </w:r>
      <w:r w:rsidR="003F5170" w:rsidRPr="00661B39">
        <w:rPr>
          <w:szCs w:val="24"/>
        </w:rPr>
        <w:t>D</w:t>
      </w:r>
      <w:r w:rsidR="00D642B1" w:rsidRPr="00661B39">
        <w:rPr>
          <w:szCs w:val="24"/>
        </w:rPr>
        <w:t>.</w:t>
      </w:r>
      <w:r w:rsidR="003F5170" w:rsidRPr="00661B39">
        <w:rPr>
          <w:szCs w:val="24"/>
        </w:rPr>
        <w:t>E.</w:t>
      </w:r>
      <w:r w:rsidR="00D642B1" w:rsidRPr="00661B39">
        <w:rPr>
          <w:szCs w:val="24"/>
        </w:rPr>
        <w:t xml:space="preserve"> 13.</w:t>
      </w:r>
    </w:p>
    <w:p w:rsidR="002B7959" w:rsidRPr="00661B39" w:rsidRDefault="00103C8B" w:rsidP="00E51D77">
      <w:pPr>
        <w:pStyle w:val="Heading2"/>
      </w:pPr>
      <w:bookmarkStart w:id="4" w:name="_Toc471487545"/>
      <w:r w:rsidRPr="00661B39">
        <w:t xml:space="preserve">II. </w:t>
      </w:r>
      <w:r w:rsidRPr="00661B39">
        <w:tab/>
      </w:r>
      <w:r w:rsidR="00674E21" w:rsidRPr="00661B39">
        <w:t>PERTINENT TERMS OF THE SETTLEMENT AGREEMENT</w:t>
      </w:r>
      <w:bookmarkEnd w:id="4"/>
    </w:p>
    <w:p w:rsidR="00293E28" w:rsidRDefault="00C325AD" w:rsidP="00F17F3C">
      <w:pPr>
        <w:spacing w:line="480" w:lineRule="auto"/>
        <w:ind w:firstLine="720"/>
        <w:jc w:val="both"/>
        <w:rPr>
          <w:szCs w:val="24"/>
        </w:rPr>
      </w:pPr>
      <w:r w:rsidRPr="00661B39">
        <w:rPr>
          <w:szCs w:val="24"/>
        </w:rPr>
        <w:t xml:space="preserve">The Agreement </w:t>
      </w:r>
      <w:r w:rsidR="00B57642" w:rsidRPr="00661B39">
        <w:rPr>
          <w:szCs w:val="24"/>
        </w:rPr>
        <w:t xml:space="preserve">provides relief to </w:t>
      </w:r>
      <w:r w:rsidRPr="00661B39">
        <w:rPr>
          <w:szCs w:val="24"/>
        </w:rPr>
        <w:t xml:space="preserve">individuals with serious mental illness who are in or at risk of entry to an adult care home.  S.A. § III(A).  </w:t>
      </w:r>
      <w:r w:rsidR="00D833F2" w:rsidRPr="00661B39">
        <w:rPr>
          <w:szCs w:val="24"/>
        </w:rPr>
        <w:t>The</w:t>
      </w:r>
      <w:r w:rsidR="006900ED" w:rsidRPr="00661B39">
        <w:rPr>
          <w:szCs w:val="24"/>
        </w:rPr>
        <w:t xml:space="preserve"> </w:t>
      </w:r>
      <w:r w:rsidRPr="00661B39">
        <w:rPr>
          <w:szCs w:val="24"/>
        </w:rPr>
        <w:t xml:space="preserve">Agreement’s </w:t>
      </w:r>
      <w:r w:rsidR="00FE1E24" w:rsidRPr="00661B39">
        <w:rPr>
          <w:szCs w:val="24"/>
        </w:rPr>
        <w:t>stated purpose</w:t>
      </w:r>
      <w:r w:rsidR="00D833F2" w:rsidRPr="00661B39">
        <w:rPr>
          <w:szCs w:val="24"/>
        </w:rPr>
        <w:t xml:space="preserve"> </w:t>
      </w:r>
      <w:r w:rsidR="001C2B28" w:rsidRPr="00661B39">
        <w:rPr>
          <w:szCs w:val="24"/>
        </w:rPr>
        <w:t>is to ensure that “community integration and self-determination will be achieved</w:t>
      </w:r>
      <w:r w:rsidR="00FE1E24" w:rsidRPr="00661B39">
        <w:rPr>
          <w:szCs w:val="24"/>
        </w:rPr>
        <w:t>.</w:t>
      </w:r>
      <w:r w:rsidR="001C2B28" w:rsidRPr="00661B39">
        <w:rPr>
          <w:szCs w:val="24"/>
        </w:rPr>
        <w:t>”</w:t>
      </w:r>
      <w:r w:rsidR="00FE1E24" w:rsidRPr="00661B39">
        <w:rPr>
          <w:szCs w:val="24"/>
        </w:rPr>
        <w:t xml:space="preserve">  </w:t>
      </w:r>
      <w:r w:rsidRPr="00661B39">
        <w:rPr>
          <w:i/>
          <w:szCs w:val="24"/>
        </w:rPr>
        <w:t>See id.</w:t>
      </w:r>
      <w:r w:rsidRPr="00661B39">
        <w:rPr>
          <w:szCs w:val="24"/>
        </w:rPr>
        <w:t xml:space="preserve"> </w:t>
      </w:r>
      <w:r w:rsidR="00FE1E24" w:rsidRPr="00661B39">
        <w:rPr>
          <w:szCs w:val="24"/>
        </w:rPr>
        <w:t xml:space="preserve">§ I(C).  </w:t>
      </w:r>
      <w:r w:rsidR="007A246D" w:rsidRPr="00661B39">
        <w:rPr>
          <w:szCs w:val="24"/>
        </w:rPr>
        <w:t xml:space="preserve">To that end, </w:t>
      </w:r>
      <w:r w:rsidR="00B57642" w:rsidRPr="00661B39">
        <w:rPr>
          <w:szCs w:val="24"/>
        </w:rPr>
        <w:t>the State agreed</w:t>
      </w:r>
      <w:r w:rsidR="007A246D" w:rsidRPr="00661B39">
        <w:rPr>
          <w:szCs w:val="24"/>
        </w:rPr>
        <w:t xml:space="preserve"> to </w:t>
      </w:r>
      <w:r w:rsidR="00610C08" w:rsidRPr="00661B39">
        <w:rPr>
          <w:szCs w:val="24"/>
        </w:rPr>
        <w:t>modify</w:t>
      </w:r>
      <w:r w:rsidR="00B57642" w:rsidRPr="00661B39">
        <w:rPr>
          <w:szCs w:val="24"/>
        </w:rPr>
        <w:t xml:space="preserve"> its service system</w:t>
      </w:r>
      <w:r w:rsidR="009A4BD3" w:rsidRPr="00661B39">
        <w:rPr>
          <w:szCs w:val="24"/>
        </w:rPr>
        <w:t xml:space="preserve"> to </w:t>
      </w:r>
      <w:r w:rsidR="007A246D" w:rsidRPr="00661B39">
        <w:rPr>
          <w:szCs w:val="24"/>
        </w:rPr>
        <w:t xml:space="preserve">prevent inappropriate institutionalization and to provide adequate </w:t>
      </w:r>
      <w:r w:rsidR="00FE1E24" w:rsidRPr="00661B39">
        <w:rPr>
          <w:szCs w:val="24"/>
        </w:rPr>
        <w:t xml:space="preserve">community-based </w:t>
      </w:r>
      <w:r w:rsidR="007A246D" w:rsidRPr="00661B39">
        <w:rPr>
          <w:szCs w:val="24"/>
        </w:rPr>
        <w:t>services and supports</w:t>
      </w:r>
      <w:r w:rsidR="00E03214" w:rsidRPr="00661B39">
        <w:rPr>
          <w:szCs w:val="24"/>
        </w:rPr>
        <w:t xml:space="preserve"> </w:t>
      </w:r>
      <w:r w:rsidR="007A246D" w:rsidRPr="00661B39">
        <w:rPr>
          <w:szCs w:val="24"/>
        </w:rPr>
        <w:t>to meet the needs of individuals</w:t>
      </w:r>
      <w:r w:rsidRPr="00661B39">
        <w:rPr>
          <w:szCs w:val="24"/>
        </w:rPr>
        <w:t xml:space="preserve"> </w:t>
      </w:r>
      <w:r w:rsidR="00294AA6" w:rsidRPr="00661B39">
        <w:rPr>
          <w:szCs w:val="24"/>
        </w:rPr>
        <w:t>with serious mental illness who are in or at risk of entry to an adult care home</w:t>
      </w:r>
      <w:r w:rsidR="00B95212" w:rsidRPr="00661B39">
        <w:rPr>
          <w:szCs w:val="24"/>
        </w:rPr>
        <w:t>.</w:t>
      </w:r>
      <w:r w:rsidR="00762185" w:rsidRPr="00661B39">
        <w:rPr>
          <w:rStyle w:val="FootnoteReference"/>
          <w:szCs w:val="24"/>
        </w:rPr>
        <w:footnoteReference w:id="1"/>
      </w:r>
      <w:r w:rsidR="00BA2430" w:rsidRPr="00661B39">
        <w:rPr>
          <w:szCs w:val="24"/>
        </w:rPr>
        <w:t xml:space="preserve">  </w:t>
      </w:r>
      <w:r w:rsidR="006853E2" w:rsidRPr="00661B39">
        <w:rPr>
          <w:i/>
          <w:szCs w:val="24"/>
        </w:rPr>
        <w:t>See i</w:t>
      </w:r>
      <w:r w:rsidR="00BA2430" w:rsidRPr="00661B39">
        <w:rPr>
          <w:i/>
          <w:szCs w:val="24"/>
        </w:rPr>
        <w:t>d.</w:t>
      </w:r>
      <w:r w:rsidR="00D233C0" w:rsidRPr="00661B39">
        <w:rPr>
          <w:i/>
          <w:szCs w:val="24"/>
        </w:rPr>
        <w:t xml:space="preserve"> </w:t>
      </w:r>
      <w:r w:rsidR="00D233C0" w:rsidRPr="00661B39">
        <w:rPr>
          <w:szCs w:val="24"/>
        </w:rPr>
        <w:t>§ III(A).</w:t>
      </w:r>
    </w:p>
    <w:p w:rsidR="007C5B2D" w:rsidRPr="00661B39" w:rsidRDefault="009A4BD3" w:rsidP="00F17F3C">
      <w:pPr>
        <w:spacing w:line="480" w:lineRule="auto"/>
        <w:ind w:firstLine="720"/>
        <w:jc w:val="both"/>
        <w:rPr>
          <w:szCs w:val="24"/>
        </w:rPr>
      </w:pPr>
      <w:r w:rsidRPr="00661B39">
        <w:rPr>
          <w:szCs w:val="24"/>
        </w:rPr>
        <w:t xml:space="preserve">One such community-based service is </w:t>
      </w:r>
      <w:r w:rsidR="00EE3957" w:rsidRPr="00661B39">
        <w:rPr>
          <w:szCs w:val="24"/>
        </w:rPr>
        <w:t>s</w:t>
      </w:r>
      <w:r w:rsidRPr="00661B39">
        <w:rPr>
          <w:szCs w:val="24"/>
        </w:rPr>
        <w:t xml:space="preserve">upported </w:t>
      </w:r>
      <w:r w:rsidR="00EE3957" w:rsidRPr="00661B39">
        <w:rPr>
          <w:szCs w:val="24"/>
        </w:rPr>
        <w:t>h</w:t>
      </w:r>
      <w:r w:rsidRPr="00661B39">
        <w:rPr>
          <w:szCs w:val="24"/>
        </w:rPr>
        <w:t>ousing</w:t>
      </w:r>
      <w:r w:rsidR="00746D93" w:rsidRPr="00661B39">
        <w:rPr>
          <w:szCs w:val="24"/>
        </w:rPr>
        <w:t xml:space="preserve">, </w:t>
      </w:r>
      <w:r w:rsidR="004D2CAE" w:rsidRPr="00661B39">
        <w:rPr>
          <w:szCs w:val="24"/>
        </w:rPr>
        <w:t>i.e</w:t>
      </w:r>
      <w:r w:rsidR="00746D93" w:rsidRPr="00661B39">
        <w:rPr>
          <w:szCs w:val="24"/>
        </w:rPr>
        <w:t>., permanent housing with supports that enable residents to attain and maintain housing in the community</w:t>
      </w:r>
      <w:r w:rsidRPr="00661B39">
        <w:rPr>
          <w:szCs w:val="24"/>
        </w:rPr>
        <w:t>.</w:t>
      </w:r>
      <w:r w:rsidR="002F3CFA" w:rsidRPr="00661B39">
        <w:rPr>
          <w:rStyle w:val="FootnoteReference"/>
          <w:szCs w:val="24"/>
        </w:rPr>
        <w:footnoteReference w:id="2"/>
      </w:r>
      <w:r w:rsidRPr="00661B39">
        <w:rPr>
          <w:szCs w:val="24"/>
        </w:rPr>
        <w:t xml:space="preserve">  </w:t>
      </w:r>
      <w:r w:rsidR="00746D93" w:rsidRPr="00661B39">
        <w:rPr>
          <w:i/>
          <w:szCs w:val="24"/>
        </w:rPr>
        <w:t>See i</w:t>
      </w:r>
      <w:r w:rsidR="00110A0A" w:rsidRPr="00661B39">
        <w:rPr>
          <w:i/>
          <w:szCs w:val="24"/>
        </w:rPr>
        <w:t>d.</w:t>
      </w:r>
      <w:r w:rsidRPr="00661B39">
        <w:rPr>
          <w:szCs w:val="24"/>
        </w:rPr>
        <w:t xml:space="preserve"> §</w:t>
      </w:r>
      <w:r w:rsidR="00823A52" w:rsidRPr="00661B39">
        <w:rPr>
          <w:szCs w:val="24"/>
        </w:rPr>
        <w:t> </w:t>
      </w:r>
      <w:r w:rsidRPr="00661B39">
        <w:rPr>
          <w:szCs w:val="24"/>
        </w:rPr>
        <w:t xml:space="preserve">III(B)(1).  </w:t>
      </w:r>
      <w:r w:rsidR="002869E4" w:rsidRPr="00661B39">
        <w:rPr>
          <w:szCs w:val="24"/>
        </w:rPr>
        <w:t>The Agreement</w:t>
      </w:r>
      <w:r w:rsidR="00EE3957" w:rsidRPr="00661B39">
        <w:rPr>
          <w:szCs w:val="24"/>
        </w:rPr>
        <w:t xml:space="preserve"> </w:t>
      </w:r>
      <w:r w:rsidR="00746D93" w:rsidRPr="00661B39">
        <w:rPr>
          <w:szCs w:val="24"/>
        </w:rPr>
        <w:t xml:space="preserve">requires the State to </w:t>
      </w:r>
      <w:r w:rsidR="00052CDD" w:rsidRPr="00661B39">
        <w:rPr>
          <w:szCs w:val="24"/>
        </w:rPr>
        <w:t xml:space="preserve">increase its </w:t>
      </w:r>
      <w:r w:rsidR="00746D93" w:rsidRPr="00661B39">
        <w:rPr>
          <w:szCs w:val="24"/>
        </w:rPr>
        <w:t>supported housing</w:t>
      </w:r>
      <w:r w:rsidR="00EE3957" w:rsidRPr="00661B39">
        <w:rPr>
          <w:szCs w:val="24"/>
        </w:rPr>
        <w:t xml:space="preserve"> </w:t>
      </w:r>
      <w:r w:rsidR="00052CDD" w:rsidRPr="00661B39">
        <w:rPr>
          <w:szCs w:val="24"/>
        </w:rPr>
        <w:t xml:space="preserve">capacity </w:t>
      </w:r>
      <w:r w:rsidR="00EE3957" w:rsidRPr="00661B39">
        <w:rPr>
          <w:szCs w:val="24"/>
        </w:rPr>
        <w:t xml:space="preserve">by </w:t>
      </w:r>
      <w:r w:rsidR="00751A01" w:rsidRPr="00661B39">
        <w:rPr>
          <w:szCs w:val="24"/>
        </w:rPr>
        <w:t>“</w:t>
      </w:r>
      <w:proofErr w:type="spellStart"/>
      <w:r w:rsidR="00751A01" w:rsidRPr="00661B39">
        <w:rPr>
          <w:szCs w:val="24"/>
        </w:rPr>
        <w:t>provid</w:t>
      </w:r>
      <w:proofErr w:type="spellEnd"/>
      <w:r w:rsidR="00476393" w:rsidRPr="00661B39">
        <w:rPr>
          <w:szCs w:val="24"/>
        </w:rPr>
        <w:t>[</w:t>
      </w:r>
      <w:proofErr w:type="spellStart"/>
      <w:r w:rsidR="00476393" w:rsidRPr="00661B39">
        <w:rPr>
          <w:szCs w:val="24"/>
        </w:rPr>
        <w:t>ing</w:t>
      </w:r>
      <w:proofErr w:type="spellEnd"/>
      <w:r w:rsidR="00476393" w:rsidRPr="00661B39">
        <w:rPr>
          <w:szCs w:val="24"/>
        </w:rPr>
        <w:t>]</w:t>
      </w:r>
      <w:r w:rsidR="00751A01" w:rsidRPr="00661B39">
        <w:rPr>
          <w:szCs w:val="24"/>
        </w:rPr>
        <w:t xml:space="preserve"> access to 3,000 Housing Slots</w:t>
      </w:r>
      <w:r w:rsidR="00746D93" w:rsidRPr="00661B39">
        <w:rPr>
          <w:szCs w:val="24"/>
        </w:rPr>
        <w:t>.</w:t>
      </w:r>
      <w:r w:rsidR="00751A01" w:rsidRPr="00661B39">
        <w:rPr>
          <w:szCs w:val="24"/>
        </w:rPr>
        <w:t xml:space="preserve">”  </w:t>
      </w:r>
      <w:r w:rsidR="00751A01" w:rsidRPr="00661B39">
        <w:rPr>
          <w:i/>
          <w:szCs w:val="24"/>
        </w:rPr>
        <w:t>Id.</w:t>
      </w:r>
      <w:r w:rsidR="00751A01" w:rsidRPr="00661B39">
        <w:rPr>
          <w:szCs w:val="24"/>
        </w:rPr>
        <w:t xml:space="preserve"> § III(B)(3).  “Housing Slots” are “State or federal housing vouchers and/or rental subsidies for community-based supported housing</w:t>
      </w:r>
      <w:r w:rsidR="00487DEF" w:rsidRPr="00661B39">
        <w:rPr>
          <w:szCs w:val="24"/>
        </w:rPr>
        <w:t>”</w:t>
      </w:r>
      <w:r w:rsidR="00751A01" w:rsidRPr="00661B39">
        <w:rPr>
          <w:szCs w:val="24"/>
        </w:rPr>
        <w:t xml:space="preserve"> </w:t>
      </w:r>
      <w:r w:rsidR="00487DEF" w:rsidRPr="00661B39">
        <w:rPr>
          <w:szCs w:val="24"/>
        </w:rPr>
        <w:t>that</w:t>
      </w:r>
      <w:r w:rsidR="00476393" w:rsidRPr="00661B39">
        <w:rPr>
          <w:szCs w:val="24"/>
        </w:rPr>
        <w:t xml:space="preserve"> </w:t>
      </w:r>
      <w:r w:rsidR="00751A01" w:rsidRPr="00661B39">
        <w:rPr>
          <w:szCs w:val="24"/>
        </w:rPr>
        <w:t xml:space="preserve">include </w:t>
      </w:r>
      <w:r w:rsidR="00476393" w:rsidRPr="00661B39">
        <w:rPr>
          <w:szCs w:val="24"/>
        </w:rPr>
        <w:t>“</w:t>
      </w:r>
      <w:r w:rsidR="00751A01" w:rsidRPr="00661B39">
        <w:rPr>
          <w:szCs w:val="24"/>
        </w:rPr>
        <w:t xml:space="preserve">a package of tenancy support, transition support and rental support.”  </w:t>
      </w:r>
      <w:r w:rsidR="00751A01" w:rsidRPr="00661B39">
        <w:rPr>
          <w:i/>
          <w:szCs w:val="24"/>
        </w:rPr>
        <w:t>Id.</w:t>
      </w:r>
      <w:r w:rsidR="00F51DB2" w:rsidRPr="00661B39">
        <w:rPr>
          <w:szCs w:val="24"/>
        </w:rPr>
        <w:t xml:space="preserve"> § II(A).</w:t>
      </w:r>
      <w:r w:rsidR="00454DFB" w:rsidRPr="00661B39">
        <w:rPr>
          <w:szCs w:val="24"/>
        </w:rPr>
        <w:t xml:space="preserve"> </w:t>
      </w:r>
      <w:r w:rsidR="00751A01" w:rsidRPr="00661B39">
        <w:rPr>
          <w:szCs w:val="24"/>
        </w:rPr>
        <w:t xml:space="preserve"> </w:t>
      </w:r>
      <w:r w:rsidR="009D501D" w:rsidRPr="00661B39">
        <w:rPr>
          <w:szCs w:val="24"/>
        </w:rPr>
        <w:t>In short, a</w:t>
      </w:r>
      <w:r w:rsidR="00A53B90" w:rsidRPr="00661B39">
        <w:rPr>
          <w:szCs w:val="24"/>
        </w:rPr>
        <w:t xml:space="preserve"> </w:t>
      </w:r>
      <w:r w:rsidR="00751A01" w:rsidRPr="00661B39">
        <w:rPr>
          <w:szCs w:val="24"/>
        </w:rPr>
        <w:t>Housing Slot</w:t>
      </w:r>
      <w:r w:rsidR="00454DFB" w:rsidRPr="00661B39">
        <w:rPr>
          <w:szCs w:val="24"/>
        </w:rPr>
        <w:t xml:space="preserve"> </w:t>
      </w:r>
      <w:r w:rsidR="00C51380" w:rsidRPr="00661B39">
        <w:rPr>
          <w:szCs w:val="24"/>
        </w:rPr>
        <w:t xml:space="preserve">combines </w:t>
      </w:r>
      <w:r w:rsidR="00751A01" w:rsidRPr="00661B39">
        <w:rPr>
          <w:szCs w:val="24"/>
        </w:rPr>
        <w:t>permanent</w:t>
      </w:r>
      <w:r w:rsidR="00277242" w:rsidRPr="00661B39">
        <w:rPr>
          <w:szCs w:val="24"/>
        </w:rPr>
        <w:t xml:space="preserve"> </w:t>
      </w:r>
      <w:r w:rsidR="00751A01" w:rsidRPr="00661B39">
        <w:rPr>
          <w:szCs w:val="24"/>
        </w:rPr>
        <w:t>housing</w:t>
      </w:r>
      <w:r w:rsidR="002F3CFA" w:rsidRPr="00661B39">
        <w:rPr>
          <w:szCs w:val="24"/>
        </w:rPr>
        <w:t xml:space="preserve"> </w:t>
      </w:r>
      <w:r w:rsidR="00C51380" w:rsidRPr="00661B39">
        <w:rPr>
          <w:szCs w:val="24"/>
        </w:rPr>
        <w:t>with</w:t>
      </w:r>
      <w:r w:rsidR="00454DFB" w:rsidRPr="00661B39">
        <w:rPr>
          <w:szCs w:val="24"/>
        </w:rPr>
        <w:t xml:space="preserve"> tenancy support</w:t>
      </w:r>
      <w:r w:rsidR="00F51DB2" w:rsidRPr="00661B39">
        <w:rPr>
          <w:szCs w:val="24"/>
        </w:rPr>
        <w:t xml:space="preserve"> services</w:t>
      </w:r>
      <w:r w:rsidR="00454DFB" w:rsidRPr="00661B39">
        <w:rPr>
          <w:szCs w:val="24"/>
        </w:rPr>
        <w:t xml:space="preserve"> </w:t>
      </w:r>
      <w:r w:rsidR="00F51DB2" w:rsidRPr="00661B39">
        <w:rPr>
          <w:szCs w:val="24"/>
        </w:rPr>
        <w:t xml:space="preserve">that enable an individual </w:t>
      </w:r>
      <w:r w:rsidR="00746D93" w:rsidRPr="00661B39">
        <w:rPr>
          <w:szCs w:val="24"/>
        </w:rPr>
        <w:t xml:space="preserve">to </w:t>
      </w:r>
      <w:r w:rsidR="00F51DB2" w:rsidRPr="00661B39">
        <w:rPr>
          <w:szCs w:val="24"/>
        </w:rPr>
        <w:t>“</w:t>
      </w:r>
      <w:r w:rsidR="0048414F" w:rsidRPr="00661B39">
        <w:rPr>
          <w:szCs w:val="24"/>
        </w:rPr>
        <w:t xml:space="preserve">maintain </w:t>
      </w:r>
      <w:r w:rsidR="00277242" w:rsidRPr="00661B39">
        <w:rPr>
          <w:szCs w:val="24"/>
        </w:rPr>
        <w:t xml:space="preserve">integrated, </w:t>
      </w:r>
      <w:r w:rsidR="0048414F" w:rsidRPr="00661B39">
        <w:rPr>
          <w:szCs w:val="24"/>
        </w:rPr>
        <w:t>affordable housing</w:t>
      </w:r>
      <w:r w:rsidR="00746D93" w:rsidRPr="00661B39">
        <w:rPr>
          <w:szCs w:val="24"/>
        </w:rPr>
        <w:t>.</w:t>
      </w:r>
      <w:r w:rsidR="00277242" w:rsidRPr="00661B39">
        <w:rPr>
          <w:szCs w:val="24"/>
        </w:rPr>
        <w:t xml:space="preserve">” </w:t>
      </w:r>
      <w:r w:rsidR="00110A0A" w:rsidRPr="00661B39">
        <w:rPr>
          <w:szCs w:val="24"/>
        </w:rPr>
        <w:t xml:space="preserve"> </w:t>
      </w:r>
      <w:r w:rsidR="00110A0A" w:rsidRPr="00661B39">
        <w:rPr>
          <w:i/>
          <w:szCs w:val="24"/>
        </w:rPr>
        <w:t xml:space="preserve">Id. </w:t>
      </w:r>
      <w:r w:rsidR="00277242" w:rsidRPr="00661B39">
        <w:rPr>
          <w:szCs w:val="24"/>
        </w:rPr>
        <w:t>§ III(B)(7)</w:t>
      </w:r>
      <w:r w:rsidR="00F51DB2" w:rsidRPr="00661B39">
        <w:rPr>
          <w:szCs w:val="24"/>
        </w:rPr>
        <w:t>(a)–(b)</w:t>
      </w:r>
      <w:r w:rsidR="00277242" w:rsidRPr="00661B39">
        <w:rPr>
          <w:szCs w:val="24"/>
        </w:rPr>
        <w:t>.</w:t>
      </w:r>
      <w:r w:rsidR="00707143" w:rsidRPr="00661B39">
        <w:rPr>
          <w:szCs w:val="24"/>
        </w:rPr>
        <w:t xml:space="preserve">  </w:t>
      </w:r>
      <w:r w:rsidR="00277242" w:rsidRPr="00661B39">
        <w:rPr>
          <w:szCs w:val="24"/>
        </w:rPr>
        <w:t>Annual</w:t>
      </w:r>
      <w:r w:rsidR="009D501D" w:rsidRPr="00661B39">
        <w:rPr>
          <w:szCs w:val="24"/>
        </w:rPr>
        <w:t xml:space="preserve">, incremental </w:t>
      </w:r>
      <w:r w:rsidR="00277242" w:rsidRPr="00661B39">
        <w:rPr>
          <w:szCs w:val="24"/>
        </w:rPr>
        <w:t>obligations dictate the pace at which t</w:t>
      </w:r>
      <w:r w:rsidR="00063799" w:rsidRPr="00661B39">
        <w:rPr>
          <w:szCs w:val="24"/>
        </w:rPr>
        <w:t xml:space="preserve">he State must </w:t>
      </w:r>
      <w:r w:rsidR="009D501D" w:rsidRPr="00661B39">
        <w:rPr>
          <w:szCs w:val="24"/>
        </w:rPr>
        <w:t>increase its</w:t>
      </w:r>
      <w:r w:rsidR="00C26A88" w:rsidRPr="00661B39">
        <w:rPr>
          <w:szCs w:val="24"/>
        </w:rPr>
        <w:t xml:space="preserve"> capacity </w:t>
      </w:r>
      <w:r w:rsidR="009D501D" w:rsidRPr="00661B39">
        <w:rPr>
          <w:szCs w:val="24"/>
        </w:rPr>
        <w:t xml:space="preserve">to provide </w:t>
      </w:r>
      <w:r w:rsidR="00C26A88" w:rsidRPr="00661B39">
        <w:rPr>
          <w:szCs w:val="24"/>
        </w:rPr>
        <w:t>Housing Slot</w:t>
      </w:r>
      <w:r w:rsidR="00120B49" w:rsidRPr="00661B39">
        <w:rPr>
          <w:szCs w:val="24"/>
        </w:rPr>
        <w:t>s</w:t>
      </w:r>
      <w:r w:rsidR="00884A7E" w:rsidRPr="00661B39">
        <w:rPr>
          <w:szCs w:val="24"/>
        </w:rPr>
        <w:t>.</w:t>
      </w:r>
      <w:r w:rsidR="000C1BF5" w:rsidRPr="00661B39">
        <w:rPr>
          <w:rStyle w:val="FootnoteReference"/>
          <w:szCs w:val="24"/>
        </w:rPr>
        <w:footnoteReference w:id="3"/>
      </w:r>
      <w:r w:rsidR="00277242" w:rsidRPr="00661B39">
        <w:rPr>
          <w:szCs w:val="24"/>
        </w:rPr>
        <w:t xml:space="preserve"> </w:t>
      </w:r>
      <w:r w:rsidR="00F6188E" w:rsidRPr="00661B39">
        <w:rPr>
          <w:szCs w:val="24"/>
        </w:rPr>
        <w:t xml:space="preserve"> </w:t>
      </w:r>
      <w:r w:rsidR="00F6188E" w:rsidRPr="00661B39">
        <w:rPr>
          <w:i/>
          <w:szCs w:val="24"/>
        </w:rPr>
        <w:t xml:space="preserve">Id. </w:t>
      </w:r>
      <w:r w:rsidR="00707143" w:rsidRPr="00661B39">
        <w:rPr>
          <w:szCs w:val="24"/>
        </w:rPr>
        <w:t>§</w:t>
      </w:r>
      <w:r w:rsidR="00E569DD" w:rsidRPr="00661B39">
        <w:rPr>
          <w:szCs w:val="24"/>
        </w:rPr>
        <w:t> </w:t>
      </w:r>
      <w:r w:rsidR="00707143" w:rsidRPr="00661B39">
        <w:rPr>
          <w:szCs w:val="24"/>
        </w:rPr>
        <w:t>III(B)</w:t>
      </w:r>
      <w:r w:rsidR="00063799" w:rsidRPr="00661B39">
        <w:rPr>
          <w:szCs w:val="24"/>
        </w:rPr>
        <w:t xml:space="preserve">(3).  </w:t>
      </w:r>
      <w:r w:rsidR="00823A52" w:rsidRPr="00661B39">
        <w:rPr>
          <w:szCs w:val="24"/>
        </w:rPr>
        <w:t>By July 1, 2016,</w:t>
      </w:r>
      <w:r w:rsidR="00FD2B85" w:rsidRPr="00661B39">
        <w:rPr>
          <w:szCs w:val="24"/>
        </w:rPr>
        <w:t xml:space="preserve"> the State </w:t>
      </w:r>
      <w:r w:rsidR="00823A52" w:rsidRPr="00661B39">
        <w:rPr>
          <w:szCs w:val="24"/>
        </w:rPr>
        <w:t>must</w:t>
      </w:r>
      <w:r w:rsidR="009D501D" w:rsidRPr="00661B39">
        <w:rPr>
          <w:szCs w:val="24"/>
        </w:rPr>
        <w:t xml:space="preserve"> </w:t>
      </w:r>
      <w:r w:rsidR="00C26A88" w:rsidRPr="00661B39">
        <w:rPr>
          <w:szCs w:val="24"/>
        </w:rPr>
        <w:t xml:space="preserve">have the systemic capacity </w:t>
      </w:r>
      <w:r w:rsidR="00551CB2" w:rsidRPr="00661B39">
        <w:rPr>
          <w:szCs w:val="24"/>
        </w:rPr>
        <w:t xml:space="preserve">to </w:t>
      </w:r>
      <w:r w:rsidR="001C2B28" w:rsidRPr="00661B39">
        <w:rPr>
          <w:szCs w:val="24"/>
        </w:rPr>
        <w:t xml:space="preserve">provide </w:t>
      </w:r>
      <w:r w:rsidR="00FD2B85" w:rsidRPr="00661B39">
        <w:rPr>
          <w:szCs w:val="24"/>
        </w:rPr>
        <w:t xml:space="preserve">1,166 Housing Slots.  </w:t>
      </w:r>
      <w:r w:rsidR="00FD2B85" w:rsidRPr="00661B39">
        <w:rPr>
          <w:i/>
          <w:szCs w:val="24"/>
        </w:rPr>
        <w:t xml:space="preserve">Id. </w:t>
      </w:r>
      <w:r w:rsidR="00707143" w:rsidRPr="00661B39">
        <w:rPr>
          <w:szCs w:val="24"/>
        </w:rPr>
        <w:t>§</w:t>
      </w:r>
      <w:r w:rsidR="00C42B52" w:rsidRPr="00661B39">
        <w:rPr>
          <w:szCs w:val="24"/>
        </w:rPr>
        <w:t xml:space="preserve"> III(B)</w:t>
      </w:r>
      <w:r w:rsidR="00FD2B85" w:rsidRPr="00661B39">
        <w:rPr>
          <w:szCs w:val="24"/>
        </w:rPr>
        <w:t xml:space="preserve">(3)(d).  </w:t>
      </w:r>
    </w:p>
    <w:p w:rsidR="007C5B2D" w:rsidRPr="00661B39" w:rsidRDefault="00E03214" w:rsidP="00EA73A1">
      <w:pPr>
        <w:spacing w:line="480" w:lineRule="auto"/>
        <w:ind w:firstLine="720"/>
        <w:jc w:val="both"/>
        <w:rPr>
          <w:szCs w:val="24"/>
        </w:rPr>
      </w:pPr>
      <w:r w:rsidRPr="00661B39">
        <w:rPr>
          <w:szCs w:val="24"/>
        </w:rPr>
        <w:t>The Agreement also requires the State to provide Supported Employment Services</w:t>
      </w:r>
      <w:r w:rsidR="00F57316" w:rsidRPr="00661B39">
        <w:rPr>
          <w:szCs w:val="24"/>
        </w:rPr>
        <w:t xml:space="preserve"> </w:t>
      </w:r>
      <w:r w:rsidRPr="00661B39">
        <w:rPr>
          <w:szCs w:val="24"/>
        </w:rPr>
        <w:t xml:space="preserve">to </w:t>
      </w:r>
      <w:r w:rsidR="000C442F" w:rsidRPr="00661B39">
        <w:rPr>
          <w:szCs w:val="24"/>
        </w:rPr>
        <w:t xml:space="preserve">individuals in the </w:t>
      </w:r>
      <w:r w:rsidR="0023637E" w:rsidRPr="00661B39">
        <w:rPr>
          <w:szCs w:val="24"/>
        </w:rPr>
        <w:t>target population</w:t>
      </w:r>
      <w:r w:rsidR="00F57316" w:rsidRPr="00661B39">
        <w:rPr>
          <w:szCs w:val="24"/>
        </w:rPr>
        <w:t xml:space="preserve">.  </w:t>
      </w:r>
      <w:r w:rsidR="00F57316" w:rsidRPr="00661B39">
        <w:rPr>
          <w:i/>
          <w:szCs w:val="24"/>
        </w:rPr>
        <w:t>Id.</w:t>
      </w:r>
      <w:r w:rsidR="00F57316" w:rsidRPr="00661B39">
        <w:rPr>
          <w:szCs w:val="24"/>
        </w:rPr>
        <w:t xml:space="preserve"> § III(D).  Supported Employment Services</w:t>
      </w:r>
      <w:r w:rsidR="00B57642" w:rsidRPr="00661B39">
        <w:rPr>
          <w:szCs w:val="24"/>
        </w:rPr>
        <w:t xml:space="preserve"> are services</w:t>
      </w:r>
      <w:r w:rsidR="00F57316" w:rsidRPr="00661B39">
        <w:rPr>
          <w:szCs w:val="24"/>
        </w:rPr>
        <w:t xml:space="preserve"> </w:t>
      </w:r>
      <w:r w:rsidR="00335ADD" w:rsidRPr="00661B39">
        <w:rPr>
          <w:szCs w:val="24"/>
        </w:rPr>
        <w:t xml:space="preserve">that </w:t>
      </w:r>
      <w:r w:rsidR="00F57316" w:rsidRPr="00661B39">
        <w:rPr>
          <w:szCs w:val="24"/>
        </w:rPr>
        <w:t xml:space="preserve">help </w:t>
      </w:r>
      <w:r w:rsidR="00110A0A" w:rsidRPr="00661B39">
        <w:rPr>
          <w:szCs w:val="24"/>
        </w:rPr>
        <w:t>individuals</w:t>
      </w:r>
      <w:r w:rsidR="00F57316" w:rsidRPr="00661B39">
        <w:rPr>
          <w:szCs w:val="24"/>
        </w:rPr>
        <w:t xml:space="preserve"> prepare for, identify, and maintain integrated, competitive employment.  </w:t>
      </w:r>
      <w:r w:rsidR="00F57316" w:rsidRPr="00661B39">
        <w:rPr>
          <w:i/>
          <w:szCs w:val="24"/>
        </w:rPr>
        <w:t>Id.</w:t>
      </w:r>
      <w:r w:rsidR="002B3A59" w:rsidRPr="00661B39">
        <w:rPr>
          <w:i/>
          <w:szCs w:val="24"/>
        </w:rPr>
        <w:t xml:space="preserve"> </w:t>
      </w:r>
      <w:r w:rsidR="002B3A59" w:rsidRPr="00661B39">
        <w:rPr>
          <w:szCs w:val="24"/>
        </w:rPr>
        <w:t xml:space="preserve">§ III(D)(1). </w:t>
      </w:r>
      <w:r w:rsidR="00482C16" w:rsidRPr="00661B39">
        <w:rPr>
          <w:szCs w:val="24"/>
        </w:rPr>
        <w:t xml:space="preserve"> </w:t>
      </w:r>
      <w:r w:rsidR="00EA73A1" w:rsidRPr="00661B39">
        <w:rPr>
          <w:szCs w:val="24"/>
        </w:rPr>
        <w:t>Annual, incremental obligations dictate the pace at which the State must increase its capacity to provide Supported Employment Services</w:t>
      </w:r>
      <w:r w:rsidR="000A32A3" w:rsidRPr="00661B39">
        <w:rPr>
          <w:szCs w:val="24"/>
        </w:rPr>
        <w:t>.</w:t>
      </w:r>
      <w:r w:rsidR="000C442F" w:rsidRPr="00661B39">
        <w:rPr>
          <w:rStyle w:val="FootnoteReference"/>
          <w:szCs w:val="24"/>
        </w:rPr>
        <w:footnoteReference w:id="4"/>
      </w:r>
      <w:r w:rsidR="000A32A3" w:rsidRPr="00661B39">
        <w:rPr>
          <w:szCs w:val="24"/>
        </w:rPr>
        <w:t xml:space="preserve">  </w:t>
      </w:r>
      <w:r w:rsidR="00A1011C" w:rsidRPr="00661B39">
        <w:rPr>
          <w:i/>
          <w:szCs w:val="24"/>
        </w:rPr>
        <w:t>See id.</w:t>
      </w:r>
      <w:r w:rsidR="002B3A59" w:rsidRPr="00661B39">
        <w:rPr>
          <w:i/>
          <w:szCs w:val="24"/>
        </w:rPr>
        <w:t xml:space="preserve"> </w:t>
      </w:r>
      <w:r w:rsidR="002B3A59" w:rsidRPr="00661B39">
        <w:rPr>
          <w:szCs w:val="24"/>
        </w:rPr>
        <w:t xml:space="preserve">§ III(D)(3).  </w:t>
      </w:r>
      <w:r w:rsidR="00823A52" w:rsidRPr="00661B39">
        <w:rPr>
          <w:szCs w:val="24"/>
        </w:rPr>
        <w:t>By July 1, 2016</w:t>
      </w:r>
      <w:r w:rsidR="003C6423" w:rsidRPr="00661B39">
        <w:rPr>
          <w:szCs w:val="24"/>
        </w:rPr>
        <w:t xml:space="preserve">, </w:t>
      </w:r>
      <w:r w:rsidR="008528DB" w:rsidRPr="00661B39">
        <w:rPr>
          <w:szCs w:val="24"/>
        </w:rPr>
        <w:t xml:space="preserve">the State </w:t>
      </w:r>
      <w:r w:rsidR="00823A52" w:rsidRPr="00661B39">
        <w:rPr>
          <w:szCs w:val="24"/>
        </w:rPr>
        <w:t xml:space="preserve">must </w:t>
      </w:r>
      <w:r w:rsidR="00EA73A1" w:rsidRPr="00661B39">
        <w:rPr>
          <w:szCs w:val="24"/>
        </w:rPr>
        <w:t xml:space="preserve">have the systemic capacity to </w:t>
      </w:r>
      <w:r w:rsidR="008528DB" w:rsidRPr="00661B39">
        <w:rPr>
          <w:szCs w:val="24"/>
        </w:rPr>
        <w:t>provide Supported Employment Services to 1,166</w:t>
      </w:r>
      <w:r w:rsidR="0023637E" w:rsidRPr="00661B39">
        <w:rPr>
          <w:szCs w:val="24"/>
        </w:rPr>
        <w:t xml:space="preserve"> </w:t>
      </w:r>
      <w:r w:rsidR="00EA73A1" w:rsidRPr="00661B39">
        <w:rPr>
          <w:szCs w:val="24"/>
        </w:rPr>
        <w:t>individuals in the target population</w:t>
      </w:r>
      <w:r w:rsidR="008528DB" w:rsidRPr="00661B39">
        <w:rPr>
          <w:szCs w:val="24"/>
        </w:rPr>
        <w:t xml:space="preserve">. </w:t>
      </w:r>
      <w:r w:rsidR="00EA73A1" w:rsidRPr="00661B39">
        <w:rPr>
          <w:szCs w:val="24"/>
        </w:rPr>
        <w:t xml:space="preserve"> </w:t>
      </w:r>
      <w:r w:rsidR="00EA73A1" w:rsidRPr="00661B39">
        <w:rPr>
          <w:i/>
          <w:szCs w:val="24"/>
        </w:rPr>
        <w:t xml:space="preserve">Id. </w:t>
      </w:r>
    </w:p>
    <w:p w:rsidR="00B93C83" w:rsidRPr="00661B39" w:rsidRDefault="008F0182" w:rsidP="00E51D77">
      <w:pPr>
        <w:pStyle w:val="Heading2"/>
      </w:pPr>
      <w:bookmarkStart w:id="5" w:name="_Toc471487546"/>
      <w:r w:rsidRPr="00661B39">
        <w:t>I</w:t>
      </w:r>
      <w:r w:rsidR="00FF4C85" w:rsidRPr="00661B39">
        <w:t>I</w:t>
      </w:r>
      <w:r w:rsidR="00103C8B" w:rsidRPr="00661B39">
        <w:t>I</w:t>
      </w:r>
      <w:r w:rsidR="00FF4C85" w:rsidRPr="00661B39">
        <w:t>.</w:t>
      </w:r>
      <w:r w:rsidR="00FF4C85" w:rsidRPr="00661B39">
        <w:tab/>
      </w:r>
      <w:r w:rsidR="007A246D" w:rsidRPr="005A1122">
        <w:rPr>
          <w:caps w:val="0"/>
        </w:rPr>
        <w:t>T</w:t>
      </w:r>
      <w:r w:rsidR="005A1122">
        <w:rPr>
          <w:caps w:val="0"/>
        </w:rPr>
        <w:t>HE STATE’S</w:t>
      </w:r>
      <w:r w:rsidR="005A2C57" w:rsidRPr="005A1122">
        <w:rPr>
          <w:caps w:val="0"/>
        </w:rPr>
        <w:t xml:space="preserve"> </w:t>
      </w:r>
      <w:r w:rsidR="00FF5F1A" w:rsidRPr="005A1122">
        <w:rPr>
          <w:caps w:val="0"/>
        </w:rPr>
        <w:t xml:space="preserve">SHIFTING </w:t>
      </w:r>
      <w:r w:rsidR="005A1122">
        <w:rPr>
          <w:caps w:val="0"/>
        </w:rPr>
        <w:t>INTERPRETATIONS</w:t>
      </w:r>
      <w:r w:rsidR="005A2C57" w:rsidRPr="005A1122">
        <w:rPr>
          <w:caps w:val="0"/>
        </w:rPr>
        <w:t xml:space="preserve"> </w:t>
      </w:r>
      <w:r w:rsidR="005A1122">
        <w:rPr>
          <w:caps w:val="0"/>
        </w:rPr>
        <w:t>OF</w:t>
      </w:r>
      <w:r w:rsidR="005A2C57" w:rsidRPr="005A1122">
        <w:rPr>
          <w:caps w:val="0"/>
        </w:rPr>
        <w:t xml:space="preserve"> </w:t>
      </w:r>
      <w:r w:rsidR="00B07BF4" w:rsidRPr="005A1122">
        <w:rPr>
          <w:caps w:val="0"/>
        </w:rPr>
        <w:t xml:space="preserve">THE AGREEMENT’S HOUSING AND EMPLOYMENT </w:t>
      </w:r>
      <w:r w:rsidR="0029145E" w:rsidRPr="005A1122">
        <w:rPr>
          <w:caps w:val="0"/>
        </w:rPr>
        <w:t xml:space="preserve">SERVICES </w:t>
      </w:r>
      <w:r w:rsidR="00B07BF4" w:rsidRPr="005A1122">
        <w:rPr>
          <w:caps w:val="0"/>
        </w:rPr>
        <w:t>REQUIREMENTS</w:t>
      </w:r>
      <w:bookmarkEnd w:id="5"/>
      <w:r w:rsidR="00B07BF4" w:rsidRPr="005A1122">
        <w:rPr>
          <w:caps w:val="0"/>
        </w:rPr>
        <w:t xml:space="preserve"> </w:t>
      </w:r>
    </w:p>
    <w:p w:rsidR="00403E15" w:rsidRPr="00661B39" w:rsidRDefault="00EA73A1" w:rsidP="00D663B0">
      <w:pPr>
        <w:pStyle w:val="Heading3"/>
      </w:pPr>
      <w:r w:rsidRPr="00661B39">
        <w:tab/>
      </w:r>
      <w:bookmarkStart w:id="6" w:name="_Toc471487547"/>
      <w:r w:rsidR="00403E15" w:rsidRPr="00661B39">
        <w:t>A.</w:t>
      </w:r>
      <w:r w:rsidR="00E46776" w:rsidRPr="00661B39">
        <w:tab/>
      </w:r>
      <w:r w:rsidR="00C00F0C" w:rsidRPr="00D663B0">
        <w:t>Housing</w:t>
      </w:r>
      <w:r w:rsidR="00FB3B42" w:rsidRPr="00D663B0">
        <w:t xml:space="preserve"> </w:t>
      </w:r>
      <w:r w:rsidR="00193A4C" w:rsidRPr="00D663B0">
        <w:t>Requirements</w:t>
      </w:r>
      <w:bookmarkEnd w:id="6"/>
    </w:p>
    <w:p w:rsidR="00E46776" w:rsidRPr="00661B39" w:rsidRDefault="00403E15" w:rsidP="00F17F3C">
      <w:pPr>
        <w:tabs>
          <w:tab w:val="left" w:pos="720"/>
          <w:tab w:val="left" w:pos="2520"/>
        </w:tabs>
        <w:spacing w:line="480" w:lineRule="auto"/>
        <w:jc w:val="both"/>
        <w:rPr>
          <w:szCs w:val="24"/>
        </w:rPr>
      </w:pPr>
      <w:r w:rsidRPr="00661B39">
        <w:rPr>
          <w:szCs w:val="24"/>
        </w:rPr>
        <w:tab/>
      </w:r>
      <w:r w:rsidR="00766A46" w:rsidRPr="00661B39">
        <w:rPr>
          <w:szCs w:val="24"/>
        </w:rPr>
        <w:t xml:space="preserve">From the Agreement’s inception </w:t>
      </w:r>
      <w:r w:rsidR="00457D23" w:rsidRPr="00661B39">
        <w:rPr>
          <w:szCs w:val="24"/>
        </w:rPr>
        <w:t>through July</w:t>
      </w:r>
      <w:r w:rsidR="001C211D" w:rsidRPr="00661B39">
        <w:rPr>
          <w:szCs w:val="24"/>
        </w:rPr>
        <w:t xml:space="preserve"> </w:t>
      </w:r>
      <w:r w:rsidR="00766A46" w:rsidRPr="00661B39">
        <w:rPr>
          <w:szCs w:val="24"/>
        </w:rPr>
        <w:t>2014, t</w:t>
      </w:r>
      <w:r w:rsidR="00F42E75" w:rsidRPr="00661B39">
        <w:rPr>
          <w:szCs w:val="24"/>
        </w:rPr>
        <w:t>he State</w:t>
      </w:r>
      <w:r w:rsidR="00B57642" w:rsidRPr="00661B39">
        <w:rPr>
          <w:szCs w:val="24"/>
        </w:rPr>
        <w:t>, consistent with the Agreement,</w:t>
      </w:r>
      <w:r w:rsidR="00F42E75" w:rsidRPr="00661B39">
        <w:rPr>
          <w:szCs w:val="24"/>
        </w:rPr>
        <w:t xml:space="preserve"> reported </w:t>
      </w:r>
      <w:r w:rsidR="00021F7A" w:rsidRPr="00661B39">
        <w:rPr>
          <w:szCs w:val="24"/>
        </w:rPr>
        <w:t xml:space="preserve">its </w:t>
      </w:r>
      <w:r w:rsidR="00E231FA" w:rsidRPr="00661B39">
        <w:rPr>
          <w:szCs w:val="24"/>
        </w:rPr>
        <w:t xml:space="preserve">progress toward </w:t>
      </w:r>
      <w:r w:rsidR="00331E61" w:rsidRPr="00661B39">
        <w:rPr>
          <w:szCs w:val="24"/>
        </w:rPr>
        <w:t>compliance</w:t>
      </w:r>
      <w:r w:rsidR="00DC4882" w:rsidRPr="00661B39">
        <w:rPr>
          <w:szCs w:val="24"/>
        </w:rPr>
        <w:t xml:space="preserve"> with section III(B)(3)</w:t>
      </w:r>
      <w:r w:rsidR="00E231FA" w:rsidRPr="00661B39">
        <w:rPr>
          <w:szCs w:val="24"/>
        </w:rPr>
        <w:t xml:space="preserve"> </w:t>
      </w:r>
      <w:r w:rsidR="007D76E6" w:rsidRPr="00661B39">
        <w:rPr>
          <w:szCs w:val="24"/>
        </w:rPr>
        <w:t>as</w:t>
      </w:r>
      <w:r w:rsidR="001D1FE7" w:rsidRPr="00661B39">
        <w:rPr>
          <w:szCs w:val="24"/>
        </w:rPr>
        <w:t xml:space="preserve"> the number of </w:t>
      </w:r>
      <w:r w:rsidR="007D76E6" w:rsidRPr="00661B39">
        <w:rPr>
          <w:szCs w:val="24"/>
        </w:rPr>
        <w:t xml:space="preserve">individuals </w:t>
      </w:r>
      <w:r w:rsidR="00537B91" w:rsidRPr="00661B39">
        <w:rPr>
          <w:szCs w:val="24"/>
        </w:rPr>
        <w:t xml:space="preserve">occupying </w:t>
      </w:r>
      <w:r w:rsidR="001D1FE7" w:rsidRPr="00661B39">
        <w:rPr>
          <w:szCs w:val="24"/>
        </w:rPr>
        <w:t>Housing Slots</w:t>
      </w:r>
      <w:r w:rsidR="000F4470" w:rsidRPr="00661B39">
        <w:rPr>
          <w:szCs w:val="24"/>
        </w:rPr>
        <w:t xml:space="preserve"> on the reporting dates</w:t>
      </w:r>
      <w:r w:rsidR="00F91EE7" w:rsidRPr="00661B39">
        <w:rPr>
          <w:szCs w:val="24"/>
        </w:rPr>
        <w:t>.</w:t>
      </w:r>
      <w:r w:rsidR="00207560" w:rsidRPr="00661B39">
        <w:rPr>
          <w:szCs w:val="24"/>
        </w:rPr>
        <w:t xml:space="preserve"> </w:t>
      </w:r>
      <w:r w:rsidR="00E231FA" w:rsidRPr="00661B39">
        <w:rPr>
          <w:szCs w:val="24"/>
        </w:rPr>
        <w:t xml:space="preserve"> </w:t>
      </w:r>
      <w:r w:rsidR="007370F3" w:rsidRPr="00661B39">
        <w:rPr>
          <w:szCs w:val="24"/>
        </w:rPr>
        <w:t>For example,</w:t>
      </w:r>
      <w:r w:rsidR="000F4470" w:rsidRPr="00661B39">
        <w:rPr>
          <w:szCs w:val="24"/>
        </w:rPr>
        <w:t xml:space="preserve"> </w:t>
      </w:r>
      <w:r w:rsidR="00EC63C0" w:rsidRPr="00661B39">
        <w:rPr>
          <w:szCs w:val="24"/>
        </w:rPr>
        <w:t xml:space="preserve">the </w:t>
      </w:r>
      <w:r w:rsidR="00F91EE7" w:rsidRPr="00661B39">
        <w:rPr>
          <w:szCs w:val="24"/>
        </w:rPr>
        <w:t>State’s first four monthly reports</w:t>
      </w:r>
      <w:r w:rsidR="00C672CA" w:rsidRPr="00661B39">
        <w:rPr>
          <w:szCs w:val="24"/>
        </w:rPr>
        <w:t xml:space="preserve"> identified</w:t>
      </w:r>
      <w:r w:rsidR="002141D7" w:rsidRPr="00661B39">
        <w:rPr>
          <w:szCs w:val="24"/>
        </w:rPr>
        <w:t xml:space="preserve"> the net number of</w:t>
      </w:r>
      <w:r w:rsidR="000F4470" w:rsidRPr="00661B39">
        <w:rPr>
          <w:szCs w:val="24"/>
        </w:rPr>
        <w:t xml:space="preserve"> individuals “In Housing with Confirmed Lease”</w:t>
      </w:r>
      <w:r w:rsidR="000F4470" w:rsidRPr="00661B39" w:rsidDel="000F4470">
        <w:rPr>
          <w:szCs w:val="24"/>
        </w:rPr>
        <w:t xml:space="preserve"> </w:t>
      </w:r>
      <w:r w:rsidR="002141D7" w:rsidRPr="00661B39">
        <w:rPr>
          <w:szCs w:val="24"/>
        </w:rPr>
        <w:t>in a summary table.”</w:t>
      </w:r>
      <w:r w:rsidR="002F7762" w:rsidRPr="00661B39">
        <w:rPr>
          <w:rStyle w:val="FootnoteReference"/>
          <w:szCs w:val="24"/>
        </w:rPr>
        <w:footnoteReference w:id="5"/>
      </w:r>
      <w:r w:rsidR="002141D7" w:rsidRPr="00661B39">
        <w:rPr>
          <w:szCs w:val="24"/>
        </w:rPr>
        <w:t xml:space="preserve">  </w:t>
      </w:r>
      <w:r w:rsidR="00F91EE7" w:rsidRPr="00661B39">
        <w:rPr>
          <w:szCs w:val="24"/>
        </w:rPr>
        <w:t xml:space="preserve">July 2014 </w:t>
      </w:r>
      <w:r w:rsidR="00E03664" w:rsidRPr="00661B39">
        <w:rPr>
          <w:szCs w:val="24"/>
        </w:rPr>
        <w:t xml:space="preserve">Monthly </w:t>
      </w:r>
      <w:r w:rsidR="00F91EE7" w:rsidRPr="00661B39">
        <w:rPr>
          <w:szCs w:val="24"/>
        </w:rPr>
        <w:t>Rep. (Aug. 25, 2014)</w:t>
      </w:r>
      <w:r w:rsidR="001C211D" w:rsidRPr="00661B39">
        <w:rPr>
          <w:szCs w:val="24"/>
        </w:rPr>
        <w:t xml:space="preserve"> Ex. </w:t>
      </w:r>
      <w:r w:rsidR="00E03664" w:rsidRPr="00661B39">
        <w:rPr>
          <w:szCs w:val="24"/>
        </w:rPr>
        <w:t>B</w:t>
      </w:r>
      <w:r w:rsidR="001C211D" w:rsidRPr="00661B39">
        <w:rPr>
          <w:szCs w:val="24"/>
        </w:rPr>
        <w:t xml:space="preserve">, at </w:t>
      </w:r>
      <w:r w:rsidR="00FF311B" w:rsidRPr="00661B39">
        <w:rPr>
          <w:szCs w:val="24"/>
        </w:rPr>
        <w:t>2</w:t>
      </w:r>
      <w:r w:rsidR="00F91EE7" w:rsidRPr="00661B39">
        <w:rPr>
          <w:szCs w:val="24"/>
        </w:rPr>
        <w:t xml:space="preserve">; June 2014 </w:t>
      </w:r>
      <w:r w:rsidR="00E03664" w:rsidRPr="00661B39">
        <w:rPr>
          <w:szCs w:val="24"/>
        </w:rPr>
        <w:t xml:space="preserve">Monthly </w:t>
      </w:r>
      <w:r w:rsidR="00F91EE7" w:rsidRPr="00661B39">
        <w:rPr>
          <w:szCs w:val="24"/>
        </w:rPr>
        <w:t>Rep.</w:t>
      </w:r>
      <w:r w:rsidR="00A451A5" w:rsidRPr="00661B39">
        <w:rPr>
          <w:szCs w:val="24"/>
        </w:rPr>
        <w:t xml:space="preserve"> </w:t>
      </w:r>
      <w:r w:rsidR="00F91EE7" w:rsidRPr="00661B39">
        <w:rPr>
          <w:szCs w:val="24"/>
        </w:rPr>
        <w:t>(undated)</w:t>
      </w:r>
      <w:r w:rsidR="00A451A5" w:rsidRPr="00661B39">
        <w:rPr>
          <w:szCs w:val="24"/>
        </w:rPr>
        <w:t xml:space="preserve"> Ex. </w:t>
      </w:r>
      <w:r w:rsidR="00E03664" w:rsidRPr="00661B39">
        <w:rPr>
          <w:szCs w:val="24"/>
        </w:rPr>
        <w:t>C</w:t>
      </w:r>
      <w:r w:rsidR="00A451A5" w:rsidRPr="00661B39">
        <w:rPr>
          <w:szCs w:val="24"/>
        </w:rPr>
        <w:t>, at 1</w:t>
      </w:r>
      <w:r w:rsidR="007370F3" w:rsidRPr="00661B39">
        <w:rPr>
          <w:szCs w:val="24"/>
        </w:rPr>
        <w:t>;</w:t>
      </w:r>
      <w:r w:rsidR="00A451A5" w:rsidRPr="00661B39">
        <w:rPr>
          <w:szCs w:val="24"/>
        </w:rPr>
        <w:t xml:space="preserve"> </w:t>
      </w:r>
      <w:r w:rsidR="00F91EE7" w:rsidRPr="00661B39">
        <w:rPr>
          <w:szCs w:val="24"/>
        </w:rPr>
        <w:t xml:space="preserve">May 2014 </w:t>
      </w:r>
      <w:r w:rsidR="00E03664" w:rsidRPr="00661B39">
        <w:rPr>
          <w:szCs w:val="24"/>
        </w:rPr>
        <w:t xml:space="preserve">Monthly </w:t>
      </w:r>
      <w:r w:rsidR="00F91EE7" w:rsidRPr="00661B39">
        <w:rPr>
          <w:szCs w:val="24"/>
        </w:rPr>
        <w:t>Rep.</w:t>
      </w:r>
      <w:r w:rsidR="00A451A5" w:rsidRPr="00661B39">
        <w:rPr>
          <w:szCs w:val="24"/>
        </w:rPr>
        <w:t xml:space="preserve"> </w:t>
      </w:r>
      <w:r w:rsidR="00F91EE7" w:rsidRPr="00661B39">
        <w:rPr>
          <w:szCs w:val="24"/>
        </w:rPr>
        <w:t>(undated)</w:t>
      </w:r>
      <w:r w:rsidR="00A451A5" w:rsidRPr="00661B39">
        <w:rPr>
          <w:szCs w:val="24"/>
        </w:rPr>
        <w:t xml:space="preserve"> Ex. </w:t>
      </w:r>
      <w:r w:rsidR="00E03664" w:rsidRPr="00661B39">
        <w:rPr>
          <w:szCs w:val="24"/>
        </w:rPr>
        <w:t>D</w:t>
      </w:r>
      <w:r w:rsidR="00A451A5" w:rsidRPr="00661B39">
        <w:rPr>
          <w:szCs w:val="24"/>
        </w:rPr>
        <w:t>, at 1</w:t>
      </w:r>
      <w:r w:rsidR="00F91EE7" w:rsidRPr="00661B39">
        <w:rPr>
          <w:szCs w:val="24"/>
        </w:rPr>
        <w:t xml:space="preserve">; April 2014 </w:t>
      </w:r>
      <w:r w:rsidR="00E03664" w:rsidRPr="00661B39">
        <w:rPr>
          <w:szCs w:val="24"/>
        </w:rPr>
        <w:t xml:space="preserve">Monthly </w:t>
      </w:r>
      <w:r w:rsidR="00F91EE7" w:rsidRPr="00661B39">
        <w:rPr>
          <w:szCs w:val="24"/>
        </w:rPr>
        <w:t>Rep.</w:t>
      </w:r>
      <w:r w:rsidR="00A451A5" w:rsidRPr="00661B39">
        <w:rPr>
          <w:szCs w:val="24"/>
        </w:rPr>
        <w:t xml:space="preserve"> </w:t>
      </w:r>
      <w:r w:rsidR="00F91EE7" w:rsidRPr="00661B39">
        <w:rPr>
          <w:szCs w:val="24"/>
        </w:rPr>
        <w:t>(undated)</w:t>
      </w:r>
      <w:r w:rsidR="00A451A5" w:rsidRPr="00661B39">
        <w:rPr>
          <w:szCs w:val="24"/>
        </w:rPr>
        <w:t xml:space="preserve"> Ex. </w:t>
      </w:r>
      <w:r w:rsidR="00E03664" w:rsidRPr="00661B39">
        <w:rPr>
          <w:szCs w:val="24"/>
        </w:rPr>
        <w:t>E</w:t>
      </w:r>
      <w:r w:rsidR="00A451A5" w:rsidRPr="00661B39">
        <w:rPr>
          <w:szCs w:val="24"/>
        </w:rPr>
        <w:t>, at 1</w:t>
      </w:r>
      <w:r w:rsidR="00F91EE7" w:rsidRPr="00661B39">
        <w:rPr>
          <w:szCs w:val="24"/>
        </w:rPr>
        <w:t>.</w:t>
      </w:r>
      <w:r w:rsidR="00E46776" w:rsidRPr="00661B39">
        <w:rPr>
          <w:szCs w:val="24"/>
        </w:rPr>
        <w:t xml:space="preserve">  </w:t>
      </w:r>
      <w:r w:rsidR="00470094">
        <w:rPr>
          <w:bCs/>
          <w:szCs w:val="24"/>
        </w:rPr>
        <w:t>Each of these reports included</w:t>
      </w:r>
      <w:r w:rsidR="00FF311B" w:rsidRPr="00661B39">
        <w:rPr>
          <w:bCs/>
          <w:szCs w:val="24"/>
        </w:rPr>
        <w:t xml:space="preserve"> a graph reflecting the number of individuals currently in housing.  July 2014</w:t>
      </w:r>
      <w:r w:rsidR="005647EF" w:rsidRPr="00661B39">
        <w:rPr>
          <w:bCs/>
          <w:szCs w:val="24"/>
        </w:rPr>
        <w:t xml:space="preserve"> </w:t>
      </w:r>
      <w:r w:rsidR="00E45B79" w:rsidRPr="00661B39">
        <w:rPr>
          <w:bCs/>
          <w:szCs w:val="24"/>
        </w:rPr>
        <w:t xml:space="preserve">Monthly </w:t>
      </w:r>
      <w:r w:rsidR="005647EF" w:rsidRPr="00661B39">
        <w:rPr>
          <w:bCs/>
          <w:szCs w:val="24"/>
        </w:rPr>
        <w:t xml:space="preserve">Rep. </w:t>
      </w:r>
      <w:r w:rsidR="00E03664" w:rsidRPr="00661B39">
        <w:rPr>
          <w:bCs/>
          <w:szCs w:val="24"/>
        </w:rPr>
        <w:t xml:space="preserve">Ex. B, </w:t>
      </w:r>
      <w:r w:rsidR="005647EF" w:rsidRPr="00661B39">
        <w:rPr>
          <w:bCs/>
          <w:szCs w:val="24"/>
        </w:rPr>
        <w:t xml:space="preserve">at 5 (Fig. C); June 2014 </w:t>
      </w:r>
      <w:r w:rsidR="00E45B79" w:rsidRPr="00661B39">
        <w:rPr>
          <w:bCs/>
          <w:szCs w:val="24"/>
        </w:rPr>
        <w:t xml:space="preserve">Monthly </w:t>
      </w:r>
      <w:r w:rsidR="005647EF" w:rsidRPr="00661B39">
        <w:rPr>
          <w:bCs/>
          <w:szCs w:val="24"/>
        </w:rPr>
        <w:t xml:space="preserve">Rep. </w:t>
      </w:r>
      <w:r w:rsidR="00E03664" w:rsidRPr="00661B39">
        <w:rPr>
          <w:bCs/>
          <w:szCs w:val="24"/>
        </w:rPr>
        <w:t xml:space="preserve">Ex. C, </w:t>
      </w:r>
      <w:r w:rsidR="005647EF" w:rsidRPr="00661B39">
        <w:rPr>
          <w:bCs/>
          <w:szCs w:val="24"/>
        </w:rPr>
        <w:t>at 8 (Fig. 3)</w:t>
      </w:r>
      <w:r w:rsidR="00FF311B" w:rsidRPr="00661B39">
        <w:rPr>
          <w:bCs/>
          <w:szCs w:val="24"/>
        </w:rPr>
        <w:t xml:space="preserve">; May 2014 </w:t>
      </w:r>
      <w:r w:rsidR="00E45B79" w:rsidRPr="00661B39">
        <w:rPr>
          <w:bCs/>
          <w:szCs w:val="24"/>
        </w:rPr>
        <w:t xml:space="preserve">Monthly </w:t>
      </w:r>
      <w:r w:rsidR="00FF311B" w:rsidRPr="00661B39">
        <w:rPr>
          <w:bCs/>
          <w:szCs w:val="24"/>
        </w:rPr>
        <w:t xml:space="preserve">Rep. </w:t>
      </w:r>
      <w:r w:rsidR="00E03664" w:rsidRPr="00661B39">
        <w:rPr>
          <w:bCs/>
          <w:szCs w:val="24"/>
        </w:rPr>
        <w:t xml:space="preserve">Ex. D, </w:t>
      </w:r>
      <w:r w:rsidR="00FF311B" w:rsidRPr="00661B39">
        <w:rPr>
          <w:bCs/>
          <w:szCs w:val="24"/>
        </w:rPr>
        <w:t xml:space="preserve">at 4 (Fig. 3); April 2014 </w:t>
      </w:r>
      <w:r w:rsidR="00E45B79" w:rsidRPr="00661B39">
        <w:rPr>
          <w:bCs/>
          <w:szCs w:val="24"/>
        </w:rPr>
        <w:t xml:space="preserve">Monthly </w:t>
      </w:r>
      <w:r w:rsidR="00FF311B" w:rsidRPr="00661B39">
        <w:rPr>
          <w:bCs/>
          <w:szCs w:val="24"/>
        </w:rPr>
        <w:t xml:space="preserve">Rep. </w:t>
      </w:r>
      <w:r w:rsidR="00E03664" w:rsidRPr="00661B39">
        <w:rPr>
          <w:bCs/>
          <w:szCs w:val="24"/>
        </w:rPr>
        <w:t xml:space="preserve">Ex. E, </w:t>
      </w:r>
      <w:r w:rsidR="00FF311B" w:rsidRPr="00661B39">
        <w:rPr>
          <w:bCs/>
          <w:szCs w:val="24"/>
        </w:rPr>
        <w:t xml:space="preserve">at </w:t>
      </w:r>
      <w:r w:rsidR="00E424C8">
        <w:rPr>
          <w:bCs/>
          <w:szCs w:val="24"/>
        </w:rPr>
        <w:t>5</w:t>
      </w:r>
      <w:r w:rsidR="00FF311B" w:rsidRPr="00661B39">
        <w:rPr>
          <w:bCs/>
          <w:szCs w:val="24"/>
        </w:rPr>
        <w:t xml:space="preserve"> (Fig. 3). </w:t>
      </w:r>
      <w:r w:rsidR="007217D7" w:rsidRPr="00661B39">
        <w:rPr>
          <w:bCs/>
          <w:szCs w:val="24"/>
        </w:rPr>
        <w:t xml:space="preserve"> </w:t>
      </w:r>
      <w:r w:rsidR="00FF311B" w:rsidRPr="00661B39">
        <w:rPr>
          <w:bCs/>
          <w:szCs w:val="24"/>
        </w:rPr>
        <w:t xml:space="preserve">The State also reported the net gain in individuals housed.  July 2014 </w:t>
      </w:r>
      <w:r w:rsidR="00E45B79" w:rsidRPr="00661B39">
        <w:rPr>
          <w:bCs/>
          <w:szCs w:val="24"/>
        </w:rPr>
        <w:t xml:space="preserve">Monthly </w:t>
      </w:r>
      <w:r w:rsidR="00FF311B" w:rsidRPr="00661B39">
        <w:rPr>
          <w:bCs/>
          <w:szCs w:val="24"/>
        </w:rPr>
        <w:t xml:space="preserve">Rep. </w:t>
      </w:r>
      <w:r w:rsidR="00E45B79" w:rsidRPr="00661B39">
        <w:rPr>
          <w:bCs/>
          <w:szCs w:val="24"/>
        </w:rPr>
        <w:t xml:space="preserve">Ex. B, </w:t>
      </w:r>
      <w:r w:rsidR="00FF311B" w:rsidRPr="00661B39">
        <w:rPr>
          <w:bCs/>
          <w:szCs w:val="24"/>
        </w:rPr>
        <w:t>at 6</w:t>
      </w:r>
      <w:r w:rsidR="005647EF" w:rsidRPr="00661B39">
        <w:rPr>
          <w:bCs/>
          <w:szCs w:val="24"/>
        </w:rPr>
        <w:t xml:space="preserve"> (Fig. D)</w:t>
      </w:r>
      <w:r w:rsidR="00FF311B" w:rsidRPr="00661B39">
        <w:rPr>
          <w:bCs/>
          <w:szCs w:val="24"/>
        </w:rPr>
        <w:t xml:space="preserve">; June 2014 </w:t>
      </w:r>
      <w:r w:rsidR="00E45B79" w:rsidRPr="00661B39">
        <w:rPr>
          <w:bCs/>
          <w:szCs w:val="24"/>
        </w:rPr>
        <w:t xml:space="preserve">Monthly </w:t>
      </w:r>
      <w:r w:rsidR="00FF311B" w:rsidRPr="00661B39">
        <w:rPr>
          <w:bCs/>
          <w:szCs w:val="24"/>
        </w:rPr>
        <w:t xml:space="preserve">Rep. </w:t>
      </w:r>
      <w:r w:rsidR="00E45B79" w:rsidRPr="00661B39">
        <w:rPr>
          <w:bCs/>
          <w:szCs w:val="24"/>
        </w:rPr>
        <w:t xml:space="preserve">Ex. C, </w:t>
      </w:r>
      <w:r w:rsidR="00FF311B" w:rsidRPr="00661B39">
        <w:rPr>
          <w:bCs/>
          <w:szCs w:val="24"/>
        </w:rPr>
        <w:t>at 9</w:t>
      </w:r>
      <w:r w:rsidR="005647EF" w:rsidRPr="00661B39">
        <w:rPr>
          <w:bCs/>
          <w:szCs w:val="24"/>
        </w:rPr>
        <w:t xml:space="preserve"> (Fig. 4)</w:t>
      </w:r>
      <w:r w:rsidR="00FF311B" w:rsidRPr="00661B39">
        <w:rPr>
          <w:bCs/>
          <w:szCs w:val="24"/>
        </w:rPr>
        <w:t>.</w:t>
      </w:r>
      <w:r w:rsidR="00FF311B" w:rsidRPr="00661B39">
        <w:rPr>
          <w:szCs w:val="24"/>
        </w:rPr>
        <w:t xml:space="preserve">  </w:t>
      </w:r>
      <w:r w:rsidR="00E46776" w:rsidRPr="00661B39">
        <w:rPr>
          <w:szCs w:val="24"/>
        </w:rPr>
        <w:t xml:space="preserve">In short, the </w:t>
      </w:r>
      <w:r w:rsidR="00B54CBE" w:rsidRPr="00661B39">
        <w:rPr>
          <w:szCs w:val="24"/>
        </w:rPr>
        <w:t xml:space="preserve">State accounted for turnover each month, counting only </w:t>
      </w:r>
      <w:r w:rsidR="000F4470" w:rsidRPr="00661B39">
        <w:rPr>
          <w:szCs w:val="24"/>
        </w:rPr>
        <w:t>occupied</w:t>
      </w:r>
      <w:r w:rsidR="00B54CBE" w:rsidRPr="00661B39">
        <w:rPr>
          <w:szCs w:val="24"/>
        </w:rPr>
        <w:t xml:space="preserve"> Housing Slots.</w:t>
      </w:r>
      <w:r w:rsidR="00AC1540" w:rsidRPr="00661B39">
        <w:rPr>
          <w:szCs w:val="24"/>
        </w:rPr>
        <w:t xml:space="preserve">  </w:t>
      </w:r>
      <w:r w:rsidR="00AC1540" w:rsidRPr="00661B39">
        <w:rPr>
          <w:i/>
          <w:szCs w:val="24"/>
        </w:rPr>
        <w:t xml:space="preserve">See </w:t>
      </w:r>
      <w:r w:rsidR="00AC1540" w:rsidRPr="00661B39">
        <w:rPr>
          <w:szCs w:val="24"/>
        </w:rPr>
        <w:t xml:space="preserve">July 2014 </w:t>
      </w:r>
      <w:r w:rsidR="00E45B79" w:rsidRPr="00661B39">
        <w:rPr>
          <w:szCs w:val="24"/>
        </w:rPr>
        <w:t xml:space="preserve">Monthly </w:t>
      </w:r>
      <w:r w:rsidR="00AC1540" w:rsidRPr="00661B39">
        <w:rPr>
          <w:szCs w:val="24"/>
        </w:rPr>
        <w:t>Rep.</w:t>
      </w:r>
      <w:r w:rsidR="00E45B79" w:rsidRPr="00661B39">
        <w:rPr>
          <w:szCs w:val="24"/>
        </w:rPr>
        <w:t xml:space="preserve"> Ex. B,</w:t>
      </w:r>
      <w:r w:rsidR="00AC1540" w:rsidRPr="00661B39">
        <w:rPr>
          <w:szCs w:val="24"/>
        </w:rPr>
        <w:t xml:space="preserve"> at 2 (reporting</w:t>
      </w:r>
      <w:r w:rsidR="000F291D" w:rsidRPr="00661B39">
        <w:rPr>
          <w:szCs w:val="24"/>
        </w:rPr>
        <w:t xml:space="preserve"> </w:t>
      </w:r>
      <w:r w:rsidR="006853E2" w:rsidRPr="00661B39">
        <w:rPr>
          <w:szCs w:val="24"/>
        </w:rPr>
        <w:t>compliance</w:t>
      </w:r>
      <w:r w:rsidR="00AC1540" w:rsidRPr="00661B39">
        <w:rPr>
          <w:szCs w:val="24"/>
        </w:rPr>
        <w:t xml:space="preserve"> as 260 individuals after factoring in turnover of four individuals); May 20</w:t>
      </w:r>
      <w:r w:rsidR="006853E2" w:rsidRPr="00661B39">
        <w:rPr>
          <w:szCs w:val="24"/>
        </w:rPr>
        <w:t xml:space="preserve">14 </w:t>
      </w:r>
      <w:r w:rsidR="00E45B79" w:rsidRPr="00661B39">
        <w:rPr>
          <w:szCs w:val="24"/>
        </w:rPr>
        <w:t xml:space="preserve">Monthly </w:t>
      </w:r>
      <w:r w:rsidR="006853E2" w:rsidRPr="00661B39">
        <w:rPr>
          <w:szCs w:val="24"/>
        </w:rPr>
        <w:t>Rep.</w:t>
      </w:r>
      <w:r w:rsidR="00E45B79" w:rsidRPr="00661B39">
        <w:rPr>
          <w:szCs w:val="24"/>
        </w:rPr>
        <w:t xml:space="preserve"> Ex. D,</w:t>
      </w:r>
      <w:r w:rsidR="006853E2" w:rsidRPr="00661B39">
        <w:rPr>
          <w:szCs w:val="24"/>
        </w:rPr>
        <w:t xml:space="preserve"> at 1 (reporting compliance</w:t>
      </w:r>
      <w:r w:rsidR="00AC1540" w:rsidRPr="00661B39">
        <w:rPr>
          <w:szCs w:val="24"/>
        </w:rPr>
        <w:t xml:space="preserve"> as 237 individuals after factoring</w:t>
      </w:r>
      <w:r w:rsidR="00760154" w:rsidRPr="00661B39">
        <w:rPr>
          <w:szCs w:val="24"/>
        </w:rPr>
        <w:t xml:space="preserve"> in turnover of one individual); </w:t>
      </w:r>
      <w:r w:rsidR="00760154" w:rsidRPr="00661B39">
        <w:rPr>
          <w:i/>
          <w:szCs w:val="24"/>
        </w:rPr>
        <w:t xml:space="preserve">see also infra </w:t>
      </w:r>
      <w:r w:rsidR="00760154" w:rsidRPr="00661B39">
        <w:rPr>
          <w:szCs w:val="24"/>
        </w:rPr>
        <w:t>Argument I(A)(2) (</w:t>
      </w:r>
      <w:r w:rsidR="00876691" w:rsidRPr="00661B39">
        <w:rPr>
          <w:szCs w:val="24"/>
        </w:rPr>
        <w:t xml:space="preserve">detailing </w:t>
      </w:r>
      <w:r w:rsidR="00760154" w:rsidRPr="00661B39">
        <w:rPr>
          <w:szCs w:val="24"/>
        </w:rPr>
        <w:t>how State accounted for turnover).</w:t>
      </w:r>
      <w:r w:rsidR="00AC1540" w:rsidRPr="00661B39">
        <w:rPr>
          <w:szCs w:val="24"/>
        </w:rPr>
        <w:t xml:space="preserve">  </w:t>
      </w:r>
      <w:r w:rsidR="00B54CBE" w:rsidRPr="00661B39">
        <w:rPr>
          <w:szCs w:val="24"/>
        </w:rPr>
        <w:t xml:space="preserve"> </w:t>
      </w:r>
    </w:p>
    <w:p w:rsidR="009F5494" w:rsidRPr="00661B39" w:rsidRDefault="005F2901" w:rsidP="00F17F3C">
      <w:pPr>
        <w:tabs>
          <w:tab w:val="left" w:pos="720"/>
          <w:tab w:val="left" w:pos="2520"/>
        </w:tabs>
        <w:spacing w:line="480" w:lineRule="auto"/>
        <w:jc w:val="both"/>
        <w:rPr>
          <w:szCs w:val="24"/>
        </w:rPr>
      </w:pPr>
      <w:r w:rsidRPr="00661B39">
        <w:rPr>
          <w:szCs w:val="24"/>
        </w:rPr>
        <w:tab/>
      </w:r>
      <w:r w:rsidR="0043128E" w:rsidRPr="00661B39">
        <w:rPr>
          <w:szCs w:val="24"/>
        </w:rPr>
        <w:t>T</w:t>
      </w:r>
      <w:r w:rsidR="00C051C0" w:rsidRPr="00661B39">
        <w:rPr>
          <w:szCs w:val="24"/>
        </w:rPr>
        <w:t xml:space="preserve">he State shifted its reporting </w:t>
      </w:r>
      <w:r w:rsidR="000F040A" w:rsidRPr="00661B39">
        <w:rPr>
          <w:szCs w:val="24"/>
        </w:rPr>
        <w:t>practices</w:t>
      </w:r>
      <w:r w:rsidR="00021F7A" w:rsidRPr="00661B39">
        <w:rPr>
          <w:szCs w:val="24"/>
        </w:rPr>
        <w:t xml:space="preserve"> in August 2014</w:t>
      </w:r>
      <w:r w:rsidR="0043128E" w:rsidRPr="00661B39">
        <w:rPr>
          <w:szCs w:val="24"/>
        </w:rPr>
        <w:t xml:space="preserve">.  In addition to </w:t>
      </w:r>
      <w:r w:rsidR="00C051C0" w:rsidRPr="00661B39">
        <w:rPr>
          <w:szCs w:val="24"/>
        </w:rPr>
        <w:t xml:space="preserve">reporting the </w:t>
      </w:r>
      <w:r w:rsidR="000F040A" w:rsidRPr="00661B39">
        <w:rPr>
          <w:szCs w:val="24"/>
        </w:rPr>
        <w:t xml:space="preserve">number of </w:t>
      </w:r>
      <w:r w:rsidR="005C7C8C" w:rsidRPr="00661B39">
        <w:rPr>
          <w:szCs w:val="24"/>
        </w:rPr>
        <w:t>occupied</w:t>
      </w:r>
      <w:r w:rsidR="000F040A" w:rsidRPr="00661B39">
        <w:rPr>
          <w:szCs w:val="24"/>
        </w:rPr>
        <w:t xml:space="preserve"> </w:t>
      </w:r>
      <w:r w:rsidR="00C051C0" w:rsidRPr="00661B39">
        <w:rPr>
          <w:szCs w:val="24"/>
        </w:rPr>
        <w:t>Housing Slots, the State added a column label</w:t>
      </w:r>
      <w:r w:rsidR="000F040A" w:rsidRPr="00661B39">
        <w:rPr>
          <w:szCs w:val="24"/>
        </w:rPr>
        <w:t xml:space="preserve">ed “total” </w:t>
      </w:r>
      <w:r w:rsidR="003F31E0" w:rsidRPr="00661B39">
        <w:rPr>
          <w:szCs w:val="24"/>
        </w:rPr>
        <w:t>to</w:t>
      </w:r>
      <w:r w:rsidR="000F040A" w:rsidRPr="00661B39">
        <w:rPr>
          <w:szCs w:val="24"/>
        </w:rPr>
        <w:t xml:space="preserve"> the summary table.  Aug. 2014 </w:t>
      </w:r>
      <w:r w:rsidR="00CE3291" w:rsidRPr="00661B39">
        <w:rPr>
          <w:szCs w:val="24"/>
        </w:rPr>
        <w:t xml:space="preserve">Monthly </w:t>
      </w:r>
      <w:r w:rsidR="000F040A" w:rsidRPr="00661B39">
        <w:rPr>
          <w:szCs w:val="24"/>
        </w:rPr>
        <w:t xml:space="preserve">Rep. (Sept. 25, 2014) Ex. </w:t>
      </w:r>
      <w:r w:rsidR="00CE3291" w:rsidRPr="00661B39">
        <w:rPr>
          <w:szCs w:val="24"/>
        </w:rPr>
        <w:t>F</w:t>
      </w:r>
      <w:r w:rsidR="000F040A" w:rsidRPr="00661B39">
        <w:rPr>
          <w:szCs w:val="24"/>
        </w:rPr>
        <w:t>, at 3</w:t>
      </w:r>
      <w:r w:rsidR="004D7BD5" w:rsidRPr="00661B39">
        <w:rPr>
          <w:szCs w:val="24"/>
        </w:rPr>
        <w:t xml:space="preserve">.  This column </w:t>
      </w:r>
      <w:r w:rsidR="000F040A" w:rsidRPr="00661B39">
        <w:rPr>
          <w:szCs w:val="24"/>
        </w:rPr>
        <w:t>appears to represent</w:t>
      </w:r>
      <w:r w:rsidR="00C051C0" w:rsidRPr="00661B39">
        <w:rPr>
          <w:szCs w:val="24"/>
        </w:rPr>
        <w:t xml:space="preserve"> the total number of occupied and vacant Housing Slots</w:t>
      </w:r>
      <w:r w:rsidR="003F31E0" w:rsidRPr="00661B39">
        <w:rPr>
          <w:szCs w:val="24"/>
        </w:rPr>
        <w:t>.</w:t>
      </w:r>
      <w:r w:rsidR="00F17F3C" w:rsidRPr="00661B39">
        <w:rPr>
          <w:rStyle w:val="FootnoteReference"/>
          <w:szCs w:val="24"/>
        </w:rPr>
        <w:footnoteReference w:id="6"/>
      </w:r>
      <w:r w:rsidR="000F040A" w:rsidRPr="00661B39">
        <w:rPr>
          <w:szCs w:val="24"/>
        </w:rPr>
        <w:t xml:space="preserve"> </w:t>
      </w:r>
      <w:r w:rsidR="003F31E0" w:rsidRPr="00661B39">
        <w:rPr>
          <w:szCs w:val="24"/>
        </w:rPr>
        <w:t xml:space="preserve"> </w:t>
      </w:r>
      <w:r w:rsidR="00C70A94" w:rsidRPr="00661B39">
        <w:rPr>
          <w:i/>
          <w:szCs w:val="24"/>
        </w:rPr>
        <w:t xml:space="preserve">See id.  </w:t>
      </w:r>
      <w:r w:rsidR="000B2B06" w:rsidRPr="00661B39">
        <w:rPr>
          <w:szCs w:val="24"/>
        </w:rPr>
        <w:tab/>
      </w:r>
    </w:p>
    <w:p w:rsidR="00433C70" w:rsidRPr="00661B39" w:rsidRDefault="009F5494" w:rsidP="00C40194">
      <w:pPr>
        <w:tabs>
          <w:tab w:val="left" w:pos="720"/>
          <w:tab w:val="left" w:pos="2520"/>
        </w:tabs>
        <w:spacing w:line="480" w:lineRule="auto"/>
        <w:jc w:val="both"/>
        <w:rPr>
          <w:i/>
          <w:szCs w:val="24"/>
        </w:rPr>
      </w:pPr>
      <w:r w:rsidRPr="00661B39">
        <w:rPr>
          <w:szCs w:val="24"/>
        </w:rPr>
        <w:tab/>
      </w:r>
      <w:r w:rsidR="00021F7A" w:rsidRPr="00661B39">
        <w:rPr>
          <w:szCs w:val="24"/>
        </w:rPr>
        <w:t>Beginning in January 2015, t</w:t>
      </w:r>
      <w:r w:rsidRPr="00661B39">
        <w:rPr>
          <w:szCs w:val="24"/>
        </w:rPr>
        <w:t xml:space="preserve">wo and a </w:t>
      </w:r>
      <w:r w:rsidR="00021F7A" w:rsidRPr="00661B39">
        <w:rPr>
          <w:szCs w:val="24"/>
        </w:rPr>
        <w:t xml:space="preserve">half years into implementation, </w:t>
      </w:r>
      <w:r w:rsidRPr="00661B39">
        <w:rPr>
          <w:szCs w:val="24"/>
        </w:rPr>
        <w:t xml:space="preserve">the State </w:t>
      </w:r>
      <w:r w:rsidR="00C90C27" w:rsidRPr="00661B39">
        <w:rPr>
          <w:szCs w:val="24"/>
        </w:rPr>
        <w:t>ceased reporting its progress as the number of individuals occupying Housing Slots.</w:t>
      </w:r>
      <w:r w:rsidR="00831EF2" w:rsidRPr="00661B39">
        <w:rPr>
          <w:szCs w:val="24"/>
        </w:rPr>
        <w:t xml:space="preserve">  Jan. 2015 </w:t>
      </w:r>
      <w:r w:rsidR="00520A7C" w:rsidRPr="00661B39">
        <w:rPr>
          <w:szCs w:val="24"/>
        </w:rPr>
        <w:t xml:space="preserve">Monthly </w:t>
      </w:r>
      <w:r w:rsidR="00831EF2" w:rsidRPr="00661B39">
        <w:rPr>
          <w:szCs w:val="24"/>
        </w:rPr>
        <w:t xml:space="preserve">Rep. (Feb. 25, 2015) Ex. </w:t>
      </w:r>
      <w:r w:rsidR="00CE3291" w:rsidRPr="00661B39">
        <w:rPr>
          <w:szCs w:val="24"/>
        </w:rPr>
        <w:t>G</w:t>
      </w:r>
      <w:r w:rsidR="00831EF2" w:rsidRPr="00661B39">
        <w:rPr>
          <w:szCs w:val="24"/>
        </w:rPr>
        <w:t xml:space="preserve">, at 2.  </w:t>
      </w:r>
      <w:r w:rsidR="00446695" w:rsidRPr="00661B39">
        <w:rPr>
          <w:szCs w:val="24"/>
        </w:rPr>
        <w:t xml:space="preserve">Instead of reporting </w:t>
      </w:r>
      <w:r w:rsidR="001D6696" w:rsidRPr="00661B39">
        <w:rPr>
          <w:szCs w:val="24"/>
        </w:rPr>
        <w:t xml:space="preserve">two numbers for housing in the summary table, </w:t>
      </w:r>
      <w:r w:rsidR="00446695" w:rsidRPr="00661B39">
        <w:rPr>
          <w:szCs w:val="24"/>
        </w:rPr>
        <w:t xml:space="preserve">the State </w:t>
      </w:r>
      <w:r w:rsidR="00B35C56" w:rsidRPr="00661B39">
        <w:rPr>
          <w:szCs w:val="24"/>
        </w:rPr>
        <w:t xml:space="preserve">began </w:t>
      </w:r>
      <w:r w:rsidR="00446695" w:rsidRPr="00661B39">
        <w:rPr>
          <w:szCs w:val="24"/>
        </w:rPr>
        <w:t>report</w:t>
      </w:r>
      <w:r w:rsidR="00B35C56" w:rsidRPr="00661B39">
        <w:rPr>
          <w:szCs w:val="24"/>
        </w:rPr>
        <w:t>ing</w:t>
      </w:r>
      <w:r w:rsidR="00446695" w:rsidRPr="00661B39">
        <w:rPr>
          <w:szCs w:val="24"/>
        </w:rPr>
        <w:t xml:space="preserve"> </w:t>
      </w:r>
      <w:r w:rsidR="001D6696" w:rsidRPr="00661B39">
        <w:rPr>
          <w:szCs w:val="24"/>
        </w:rPr>
        <w:t xml:space="preserve">only </w:t>
      </w:r>
      <w:r w:rsidR="00446695" w:rsidRPr="00661B39">
        <w:rPr>
          <w:szCs w:val="24"/>
        </w:rPr>
        <w:t xml:space="preserve">the </w:t>
      </w:r>
      <w:r w:rsidR="0040205F" w:rsidRPr="00661B39">
        <w:rPr>
          <w:szCs w:val="24"/>
        </w:rPr>
        <w:t>combined</w:t>
      </w:r>
      <w:r w:rsidR="00446695" w:rsidRPr="00661B39">
        <w:rPr>
          <w:szCs w:val="24"/>
        </w:rPr>
        <w:t xml:space="preserve"> number of </w:t>
      </w:r>
      <w:r w:rsidR="001D6696" w:rsidRPr="00661B39">
        <w:rPr>
          <w:szCs w:val="24"/>
        </w:rPr>
        <w:t>occupied and vacant Housing Slots</w:t>
      </w:r>
      <w:r w:rsidR="001D6696" w:rsidRPr="00661B39">
        <w:rPr>
          <w:i/>
          <w:szCs w:val="24"/>
        </w:rPr>
        <w:t>.</w:t>
      </w:r>
      <w:r w:rsidR="00C672CA" w:rsidRPr="00661B39">
        <w:rPr>
          <w:i/>
          <w:szCs w:val="24"/>
        </w:rPr>
        <w:t xml:space="preserve">  Id.  </w:t>
      </w:r>
      <w:r w:rsidR="005D4C34" w:rsidRPr="00661B39">
        <w:rPr>
          <w:i/>
          <w:szCs w:val="24"/>
        </w:rPr>
        <w:t xml:space="preserve">  </w:t>
      </w:r>
    </w:p>
    <w:tbl>
      <w:tblPr>
        <w:tblW w:w="8595" w:type="dxa"/>
        <w:jc w:val="center"/>
        <w:tblLayout w:type="fixed"/>
        <w:tblLook w:val="04A0"/>
      </w:tblPr>
      <w:tblGrid>
        <w:gridCol w:w="2865"/>
        <w:gridCol w:w="2865"/>
        <w:gridCol w:w="2865"/>
      </w:tblGrid>
      <w:tr w:rsidR="00CD701D" w:rsidRPr="00661B39" w:rsidTr="006E3FEA">
        <w:trPr>
          <w:trHeight w:val="457"/>
          <w:jc w:val="center"/>
        </w:trPr>
        <w:tc>
          <w:tcPr>
            <w:tcW w:w="8595" w:type="dxa"/>
            <w:gridSpan w:val="3"/>
            <w:tcBorders>
              <w:top w:val="single" w:sz="8" w:space="0" w:color="auto"/>
              <w:left w:val="single" w:sz="8" w:space="0" w:color="auto"/>
              <w:bottom w:val="single" w:sz="8" w:space="0" w:color="auto"/>
              <w:right w:val="single" w:sz="8" w:space="0" w:color="000000"/>
            </w:tcBorders>
            <w:shd w:val="clear" w:color="000000" w:fill="7F7F7F"/>
            <w:vAlign w:val="center"/>
            <w:hideMark/>
          </w:tcPr>
          <w:p w:rsidR="00CD701D" w:rsidRPr="00661B39" w:rsidRDefault="00E231FA" w:rsidP="00E231FA">
            <w:pPr>
              <w:jc w:val="center"/>
              <w:rPr>
                <w:rFonts w:eastAsia="Times New Roman"/>
                <w:b/>
                <w:bCs/>
                <w:color w:val="000000"/>
                <w:szCs w:val="24"/>
              </w:rPr>
            </w:pPr>
            <w:r w:rsidRPr="00661B39">
              <w:rPr>
                <w:rFonts w:eastAsia="Times New Roman"/>
                <w:b/>
                <w:bCs/>
                <w:color w:val="000000"/>
                <w:szCs w:val="24"/>
              </w:rPr>
              <w:t xml:space="preserve">Supported Housing Obligations: </w:t>
            </w:r>
            <w:r w:rsidR="00CD701D" w:rsidRPr="00661B39">
              <w:rPr>
                <w:rFonts w:eastAsia="Times New Roman"/>
                <w:b/>
                <w:bCs/>
                <w:color w:val="000000"/>
                <w:szCs w:val="24"/>
              </w:rPr>
              <w:t xml:space="preserve">Summary </w:t>
            </w:r>
            <w:r w:rsidR="00D670CA" w:rsidRPr="00661B39">
              <w:rPr>
                <w:rFonts w:eastAsia="Times New Roman"/>
                <w:b/>
                <w:bCs/>
                <w:color w:val="000000"/>
                <w:szCs w:val="24"/>
              </w:rPr>
              <w:t xml:space="preserve">of the State’s </w:t>
            </w:r>
            <w:r w:rsidR="00CD701D" w:rsidRPr="00661B39">
              <w:rPr>
                <w:rFonts w:eastAsia="Times New Roman"/>
                <w:b/>
                <w:bCs/>
                <w:color w:val="000000"/>
                <w:szCs w:val="24"/>
              </w:rPr>
              <w:t>Reporting</w:t>
            </w:r>
          </w:p>
        </w:tc>
      </w:tr>
      <w:tr w:rsidR="00CD701D" w:rsidRPr="00661B39" w:rsidTr="006E3FEA">
        <w:trPr>
          <w:trHeight w:val="1150"/>
          <w:jc w:val="center"/>
        </w:trPr>
        <w:tc>
          <w:tcPr>
            <w:tcW w:w="2865" w:type="dxa"/>
            <w:tcBorders>
              <w:top w:val="nil"/>
              <w:left w:val="single" w:sz="8" w:space="0" w:color="auto"/>
              <w:bottom w:val="nil"/>
              <w:right w:val="nil"/>
            </w:tcBorders>
            <w:shd w:val="clear" w:color="000000" w:fill="7F7F7F"/>
            <w:vAlign w:val="center"/>
            <w:hideMark/>
          </w:tcPr>
          <w:p w:rsidR="00CD701D" w:rsidRPr="00661B39" w:rsidRDefault="00CD701D" w:rsidP="00016A3D">
            <w:pPr>
              <w:jc w:val="center"/>
              <w:rPr>
                <w:rFonts w:eastAsia="Times New Roman"/>
                <w:b/>
                <w:bCs/>
                <w:color w:val="000000"/>
                <w:szCs w:val="24"/>
              </w:rPr>
            </w:pPr>
            <w:r w:rsidRPr="00661B39">
              <w:rPr>
                <w:rFonts w:eastAsia="Times New Roman"/>
                <w:b/>
                <w:bCs/>
                <w:color w:val="000000"/>
                <w:szCs w:val="24"/>
              </w:rPr>
              <w:t>Monthly Report</w:t>
            </w:r>
          </w:p>
        </w:tc>
        <w:tc>
          <w:tcPr>
            <w:tcW w:w="2865" w:type="dxa"/>
            <w:tcBorders>
              <w:top w:val="nil"/>
              <w:left w:val="single" w:sz="4" w:space="0" w:color="auto"/>
              <w:bottom w:val="single" w:sz="8" w:space="0" w:color="auto"/>
              <w:right w:val="nil"/>
            </w:tcBorders>
            <w:shd w:val="clear" w:color="000000" w:fill="7F7F7F"/>
            <w:vAlign w:val="center"/>
            <w:hideMark/>
          </w:tcPr>
          <w:p w:rsidR="00CD701D" w:rsidRPr="00661B39" w:rsidRDefault="000A6CFE" w:rsidP="00016A3D">
            <w:pPr>
              <w:jc w:val="center"/>
              <w:rPr>
                <w:rFonts w:eastAsia="Times New Roman"/>
                <w:b/>
                <w:bCs/>
                <w:color w:val="000000"/>
                <w:szCs w:val="24"/>
              </w:rPr>
            </w:pPr>
            <w:r w:rsidRPr="00661B39">
              <w:rPr>
                <w:rFonts w:eastAsia="Times New Roman"/>
                <w:b/>
                <w:bCs/>
                <w:color w:val="000000"/>
                <w:szCs w:val="24"/>
              </w:rPr>
              <w:t>Number of Occupied</w:t>
            </w:r>
            <w:r w:rsidR="00016A3D" w:rsidRPr="00661B39">
              <w:rPr>
                <w:rFonts w:eastAsia="Times New Roman"/>
                <w:b/>
                <w:bCs/>
                <w:color w:val="000000"/>
                <w:szCs w:val="24"/>
              </w:rPr>
              <w:t xml:space="preserve"> </w:t>
            </w:r>
            <w:r w:rsidR="00CD701D" w:rsidRPr="00661B39">
              <w:rPr>
                <w:rFonts w:eastAsia="Times New Roman"/>
                <w:b/>
                <w:bCs/>
                <w:color w:val="000000"/>
                <w:szCs w:val="24"/>
              </w:rPr>
              <w:t>Housing</w:t>
            </w:r>
            <w:r w:rsidR="00CD701D" w:rsidRPr="00661B39">
              <w:rPr>
                <w:b/>
                <w:color w:val="000000"/>
                <w:szCs w:val="24"/>
              </w:rPr>
              <w:t xml:space="preserve"> Slots</w:t>
            </w:r>
          </w:p>
        </w:tc>
        <w:tc>
          <w:tcPr>
            <w:tcW w:w="2865" w:type="dxa"/>
            <w:tcBorders>
              <w:top w:val="nil"/>
              <w:left w:val="single" w:sz="4" w:space="0" w:color="auto"/>
              <w:bottom w:val="single" w:sz="8" w:space="0" w:color="auto"/>
              <w:right w:val="single" w:sz="8" w:space="0" w:color="auto"/>
            </w:tcBorders>
            <w:shd w:val="clear" w:color="000000" w:fill="7F7F7F"/>
            <w:vAlign w:val="center"/>
            <w:hideMark/>
          </w:tcPr>
          <w:p w:rsidR="00CD701D" w:rsidRPr="00661B39" w:rsidRDefault="000A6CFE" w:rsidP="00016A3D">
            <w:pPr>
              <w:jc w:val="center"/>
              <w:rPr>
                <w:rFonts w:eastAsia="Times New Roman"/>
                <w:b/>
                <w:bCs/>
                <w:color w:val="000000"/>
                <w:szCs w:val="24"/>
              </w:rPr>
            </w:pPr>
            <w:r w:rsidRPr="00661B39">
              <w:rPr>
                <w:rFonts w:eastAsia="Times New Roman"/>
                <w:b/>
                <w:bCs/>
                <w:color w:val="000000"/>
                <w:szCs w:val="24"/>
              </w:rPr>
              <w:t>Number of O</w:t>
            </w:r>
            <w:r w:rsidR="00CD701D" w:rsidRPr="00661B39">
              <w:rPr>
                <w:rFonts w:eastAsia="Times New Roman"/>
                <w:b/>
                <w:bCs/>
                <w:color w:val="000000"/>
                <w:szCs w:val="24"/>
              </w:rPr>
              <w:t xml:space="preserve">ccupied + </w:t>
            </w:r>
            <w:r w:rsidRPr="00661B39">
              <w:rPr>
                <w:rFonts w:eastAsia="Times New Roman"/>
                <w:b/>
                <w:bCs/>
                <w:color w:val="000000"/>
                <w:szCs w:val="24"/>
              </w:rPr>
              <w:t>Vacant</w:t>
            </w:r>
            <w:r w:rsidRPr="00661B39">
              <w:rPr>
                <w:b/>
                <w:color w:val="000000"/>
                <w:szCs w:val="24"/>
              </w:rPr>
              <w:t xml:space="preserve"> </w:t>
            </w:r>
            <w:r w:rsidR="00CD701D" w:rsidRPr="00661B39">
              <w:rPr>
                <w:b/>
                <w:color w:val="000000"/>
                <w:szCs w:val="24"/>
              </w:rPr>
              <w:t>Housing Slots</w:t>
            </w:r>
          </w:p>
        </w:tc>
      </w:tr>
      <w:tr w:rsidR="00CD701D" w:rsidRPr="00661B39" w:rsidTr="006E3FEA">
        <w:trPr>
          <w:trHeight w:val="330"/>
          <w:jc w:val="center"/>
        </w:trPr>
        <w:tc>
          <w:tcPr>
            <w:tcW w:w="2865" w:type="dxa"/>
            <w:tcBorders>
              <w:top w:val="single" w:sz="8" w:space="0" w:color="auto"/>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April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(228)</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Not Reported</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May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(237)</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Not Reported</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June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(254)</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Not Reported</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July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(260)</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Not Reported</w:t>
            </w:r>
          </w:p>
        </w:tc>
      </w:tr>
      <w:tr w:rsidR="00CD701D" w:rsidRPr="00661B39" w:rsidTr="006E3FEA">
        <w:trPr>
          <w:trHeight w:val="330"/>
          <w:jc w:val="center"/>
        </w:trPr>
        <w:tc>
          <w:tcPr>
            <w:tcW w:w="2865" w:type="dxa"/>
            <w:tcBorders>
              <w:top w:val="single" w:sz="4" w:space="0" w:color="auto"/>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August 2014</w:t>
            </w:r>
          </w:p>
        </w:tc>
        <w:tc>
          <w:tcPr>
            <w:tcW w:w="2865" w:type="dxa"/>
            <w:tcBorders>
              <w:top w:val="single" w:sz="4" w:space="0" w:color="auto"/>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(263)</w:t>
            </w:r>
          </w:p>
        </w:tc>
        <w:tc>
          <w:tcPr>
            <w:tcW w:w="2865" w:type="dxa"/>
            <w:tcBorders>
              <w:top w:val="single" w:sz="4" w:space="0" w:color="auto"/>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(303)</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September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(273)</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(317)</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October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(286)</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(330)</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November 2014</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(302)</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(352)</w:t>
            </w:r>
          </w:p>
        </w:tc>
      </w:tr>
      <w:tr w:rsidR="00CD701D" w:rsidRPr="00661B39" w:rsidTr="006E3FEA">
        <w:trPr>
          <w:trHeight w:val="330"/>
          <w:jc w:val="center"/>
        </w:trPr>
        <w:tc>
          <w:tcPr>
            <w:tcW w:w="2865" w:type="dxa"/>
            <w:tcBorders>
              <w:top w:val="nil"/>
              <w:left w:val="single" w:sz="8" w:space="0" w:color="auto"/>
              <w:bottom w:val="single" w:sz="4" w:space="0" w:color="auto"/>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December 2014</w:t>
            </w:r>
          </w:p>
        </w:tc>
        <w:tc>
          <w:tcPr>
            <w:tcW w:w="2865" w:type="dxa"/>
            <w:tcBorders>
              <w:top w:val="nil"/>
              <w:left w:val="single" w:sz="4" w:space="0" w:color="auto"/>
              <w:bottom w:val="single" w:sz="4" w:space="0" w:color="auto"/>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Reported (317)</w:t>
            </w:r>
          </w:p>
        </w:tc>
        <w:tc>
          <w:tcPr>
            <w:tcW w:w="2865" w:type="dxa"/>
            <w:tcBorders>
              <w:top w:val="nil"/>
              <w:left w:val="single" w:sz="4" w:space="0" w:color="auto"/>
              <w:bottom w:val="single" w:sz="4" w:space="0" w:color="auto"/>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(375)</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January 2015</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Not Reported</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(403)</w:t>
            </w:r>
          </w:p>
        </w:tc>
      </w:tr>
      <w:tr w:rsidR="00CD701D" w:rsidRPr="00661B39" w:rsidTr="006E3FEA">
        <w:trPr>
          <w:trHeight w:val="330"/>
          <w:jc w:val="center"/>
        </w:trPr>
        <w:tc>
          <w:tcPr>
            <w:tcW w:w="2865" w:type="dxa"/>
            <w:tcBorders>
              <w:top w:val="nil"/>
              <w:left w:val="single" w:sz="8"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February 2015</w:t>
            </w:r>
          </w:p>
        </w:tc>
        <w:tc>
          <w:tcPr>
            <w:tcW w:w="2865" w:type="dxa"/>
            <w:tcBorders>
              <w:top w:val="nil"/>
              <w:left w:val="single" w:sz="4" w:space="0" w:color="auto"/>
              <w:bottom w:val="nil"/>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Not Reported</w:t>
            </w:r>
          </w:p>
        </w:tc>
        <w:tc>
          <w:tcPr>
            <w:tcW w:w="2865" w:type="dxa"/>
            <w:tcBorders>
              <w:top w:val="nil"/>
              <w:left w:val="single" w:sz="4" w:space="0" w:color="auto"/>
              <w:bottom w:val="nil"/>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(426)</w:t>
            </w:r>
          </w:p>
        </w:tc>
      </w:tr>
      <w:tr w:rsidR="00CD701D" w:rsidRPr="00661B39" w:rsidTr="006E3FEA">
        <w:trPr>
          <w:trHeight w:val="330"/>
          <w:jc w:val="center"/>
        </w:trPr>
        <w:tc>
          <w:tcPr>
            <w:tcW w:w="2865" w:type="dxa"/>
            <w:tcBorders>
              <w:top w:val="nil"/>
              <w:left w:val="single" w:sz="8" w:space="0" w:color="auto"/>
              <w:bottom w:val="single" w:sz="8" w:space="0" w:color="auto"/>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March 2015</w:t>
            </w:r>
          </w:p>
        </w:tc>
        <w:tc>
          <w:tcPr>
            <w:tcW w:w="2865" w:type="dxa"/>
            <w:tcBorders>
              <w:top w:val="nil"/>
              <w:left w:val="single" w:sz="4" w:space="0" w:color="auto"/>
              <w:bottom w:val="single" w:sz="8" w:space="0" w:color="auto"/>
              <w:right w:val="nil"/>
            </w:tcBorders>
            <w:shd w:val="clear" w:color="auto" w:fill="auto"/>
            <w:noWrap/>
            <w:vAlign w:val="center"/>
            <w:hideMark/>
          </w:tcPr>
          <w:p w:rsidR="00CD701D" w:rsidRPr="00661B39" w:rsidRDefault="00CD701D" w:rsidP="00016A3D">
            <w:pPr>
              <w:jc w:val="center"/>
              <w:rPr>
                <w:rFonts w:eastAsia="Times New Roman"/>
                <w:szCs w:val="24"/>
              </w:rPr>
            </w:pPr>
            <w:r w:rsidRPr="00661B39">
              <w:rPr>
                <w:rFonts w:eastAsia="Times New Roman"/>
                <w:szCs w:val="24"/>
              </w:rPr>
              <w:t>Not Reported</w:t>
            </w:r>
          </w:p>
        </w:tc>
        <w:tc>
          <w:tcPr>
            <w:tcW w:w="2865" w:type="dxa"/>
            <w:tcBorders>
              <w:top w:val="nil"/>
              <w:left w:val="single" w:sz="4" w:space="0" w:color="auto"/>
              <w:bottom w:val="single" w:sz="8" w:space="0" w:color="auto"/>
              <w:right w:val="single" w:sz="8" w:space="0" w:color="auto"/>
            </w:tcBorders>
            <w:shd w:val="clear" w:color="auto" w:fill="auto"/>
            <w:noWrap/>
            <w:vAlign w:val="center"/>
            <w:hideMark/>
          </w:tcPr>
          <w:p w:rsidR="00CD701D" w:rsidRPr="00661B39" w:rsidRDefault="00CD701D" w:rsidP="0047161F">
            <w:pPr>
              <w:jc w:val="center"/>
              <w:rPr>
                <w:rFonts w:eastAsia="Times New Roman"/>
                <w:szCs w:val="24"/>
              </w:rPr>
            </w:pPr>
            <w:r w:rsidRPr="00661B39">
              <w:rPr>
                <w:rFonts w:eastAsia="Times New Roman"/>
                <w:szCs w:val="24"/>
              </w:rPr>
              <w:t>Reported (451)</w:t>
            </w:r>
          </w:p>
        </w:tc>
      </w:tr>
    </w:tbl>
    <w:p w:rsidR="00016A3D" w:rsidRPr="00661B39" w:rsidRDefault="003A7501" w:rsidP="00240DCA">
      <w:pPr>
        <w:tabs>
          <w:tab w:val="left" w:pos="720"/>
          <w:tab w:val="left" w:pos="2520"/>
        </w:tabs>
        <w:jc w:val="both"/>
        <w:rPr>
          <w:szCs w:val="24"/>
        </w:rPr>
      </w:pPr>
      <w:r w:rsidRPr="00661B39">
        <w:rPr>
          <w:szCs w:val="24"/>
        </w:rPr>
        <w:tab/>
      </w:r>
    </w:p>
    <w:p w:rsidR="00B93C83" w:rsidRPr="00661B39" w:rsidRDefault="00016A3D" w:rsidP="00F17F3C">
      <w:pPr>
        <w:tabs>
          <w:tab w:val="left" w:pos="720"/>
          <w:tab w:val="left" w:pos="2520"/>
        </w:tabs>
        <w:spacing w:line="480" w:lineRule="auto"/>
        <w:jc w:val="both"/>
        <w:rPr>
          <w:szCs w:val="24"/>
        </w:rPr>
      </w:pPr>
      <w:r w:rsidRPr="00661B39">
        <w:rPr>
          <w:szCs w:val="24"/>
        </w:rPr>
        <w:tab/>
      </w:r>
      <w:r w:rsidR="003A7501" w:rsidRPr="00661B39">
        <w:rPr>
          <w:szCs w:val="24"/>
        </w:rPr>
        <w:t xml:space="preserve">On March 17, 2015, </w:t>
      </w:r>
      <w:r w:rsidR="00584281" w:rsidRPr="00661B39">
        <w:rPr>
          <w:szCs w:val="24"/>
        </w:rPr>
        <w:t xml:space="preserve">the United States advised the State that the </w:t>
      </w:r>
      <w:r w:rsidR="00A362E2" w:rsidRPr="00661B39">
        <w:rPr>
          <w:szCs w:val="24"/>
        </w:rPr>
        <w:t>appropriate measure of compliance is</w:t>
      </w:r>
      <w:r w:rsidR="00584281" w:rsidRPr="00661B39">
        <w:rPr>
          <w:szCs w:val="24"/>
        </w:rPr>
        <w:t xml:space="preserve"> the number of individuals occupying Housing Slots on the given compliance dates</w:t>
      </w:r>
      <w:r w:rsidR="00905D5E" w:rsidRPr="00661B39">
        <w:rPr>
          <w:szCs w:val="24"/>
        </w:rPr>
        <w:t xml:space="preserve">.  </w:t>
      </w:r>
      <w:r w:rsidR="00905D5E" w:rsidRPr="00661B39">
        <w:rPr>
          <w:i/>
          <w:szCs w:val="24"/>
        </w:rPr>
        <w:t xml:space="preserve">See </w:t>
      </w:r>
      <w:r w:rsidR="00905D5E" w:rsidRPr="00661B39">
        <w:rPr>
          <w:szCs w:val="24"/>
        </w:rPr>
        <w:t xml:space="preserve">Letter from Nicholas Lee et al., Trial </w:t>
      </w:r>
      <w:proofErr w:type="spellStart"/>
      <w:r w:rsidR="00905D5E" w:rsidRPr="00661B39">
        <w:rPr>
          <w:szCs w:val="24"/>
        </w:rPr>
        <w:t>Att</w:t>
      </w:r>
      <w:r w:rsidR="003551E2" w:rsidRPr="00661B39">
        <w:rPr>
          <w:szCs w:val="24"/>
        </w:rPr>
        <w:t>’</w:t>
      </w:r>
      <w:r w:rsidR="00905D5E" w:rsidRPr="00661B39">
        <w:rPr>
          <w:szCs w:val="24"/>
        </w:rPr>
        <w:t>ys</w:t>
      </w:r>
      <w:proofErr w:type="spellEnd"/>
      <w:r w:rsidR="00905D5E" w:rsidRPr="00661B39">
        <w:rPr>
          <w:szCs w:val="24"/>
        </w:rPr>
        <w:t xml:space="preserve">, U.S. DOJ, to Lisa Corbett, </w:t>
      </w:r>
      <w:r w:rsidR="0040040D" w:rsidRPr="00661B39">
        <w:rPr>
          <w:szCs w:val="24"/>
        </w:rPr>
        <w:t xml:space="preserve">Asst. </w:t>
      </w:r>
      <w:r w:rsidR="00C04F1C" w:rsidRPr="00661B39">
        <w:rPr>
          <w:szCs w:val="24"/>
        </w:rPr>
        <w:t xml:space="preserve">Gen. Counsel, </w:t>
      </w:r>
      <w:r w:rsidR="00905D5E" w:rsidRPr="00661B39">
        <w:rPr>
          <w:szCs w:val="24"/>
        </w:rPr>
        <w:t xml:space="preserve">N.C. Dep’t of Health &amp; Human </w:t>
      </w:r>
      <w:proofErr w:type="spellStart"/>
      <w:r w:rsidR="00905D5E" w:rsidRPr="00661B39">
        <w:rPr>
          <w:szCs w:val="24"/>
        </w:rPr>
        <w:t>Servs</w:t>
      </w:r>
      <w:proofErr w:type="spellEnd"/>
      <w:r w:rsidR="00905D5E" w:rsidRPr="00661B39">
        <w:rPr>
          <w:szCs w:val="24"/>
        </w:rPr>
        <w:t xml:space="preserve">. (Mar. 17, 2015) </w:t>
      </w:r>
      <w:r w:rsidR="00F556D8" w:rsidRPr="00661B39">
        <w:rPr>
          <w:szCs w:val="24"/>
        </w:rPr>
        <w:t xml:space="preserve">Ex. </w:t>
      </w:r>
      <w:r w:rsidR="004A765E" w:rsidRPr="00661B39">
        <w:rPr>
          <w:szCs w:val="24"/>
        </w:rPr>
        <w:t>H</w:t>
      </w:r>
      <w:r w:rsidR="00905D5E" w:rsidRPr="00661B39">
        <w:rPr>
          <w:szCs w:val="24"/>
        </w:rPr>
        <w:t xml:space="preserve">.  </w:t>
      </w:r>
      <w:r w:rsidR="0088552C" w:rsidRPr="00661B39">
        <w:rPr>
          <w:szCs w:val="24"/>
        </w:rPr>
        <w:t>T</w:t>
      </w:r>
      <w:r w:rsidR="00EE2E8C" w:rsidRPr="00661B39">
        <w:rPr>
          <w:szCs w:val="24"/>
        </w:rPr>
        <w:t xml:space="preserve">he State </w:t>
      </w:r>
      <w:r w:rsidR="00584281" w:rsidRPr="00661B39">
        <w:rPr>
          <w:szCs w:val="24"/>
        </w:rPr>
        <w:t xml:space="preserve">took </w:t>
      </w:r>
      <w:r w:rsidR="00247B60" w:rsidRPr="00661B39">
        <w:rPr>
          <w:szCs w:val="24"/>
        </w:rPr>
        <w:t xml:space="preserve">the </w:t>
      </w:r>
      <w:r w:rsidR="00584281" w:rsidRPr="00661B39">
        <w:rPr>
          <w:szCs w:val="24"/>
        </w:rPr>
        <w:t>contrary position</w:t>
      </w:r>
      <w:r w:rsidR="00247B60" w:rsidRPr="00661B39">
        <w:rPr>
          <w:szCs w:val="24"/>
        </w:rPr>
        <w:t xml:space="preserve"> </w:t>
      </w:r>
      <w:r w:rsidR="00584281" w:rsidRPr="00661B39">
        <w:rPr>
          <w:szCs w:val="24"/>
        </w:rPr>
        <w:t xml:space="preserve">that </w:t>
      </w:r>
      <w:r w:rsidR="006F28E1" w:rsidRPr="00661B39">
        <w:rPr>
          <w:szCs w:val="24"/>
        </w:rPr>
        <w:t xml:space="preserve">any </w:t>
      </w:r>
      <w:r w:rsidR="005521ED" w:rsidRPr="00661B39">
        <w:rPr>
          <w:szCs w:val="24"/>
        </w:rPr>
        <w:t>individual</w:t>
      </w:r>
      <w:r w:rsidR="0088552C" w:rsidRPr="00661B39">
        <w:rPr>
          <w:szCs w:val="24"/>
        </w:rPr>
        <w:t xml:space="preserve"> to</w:t>
      </w:r>
      <w:r w:rsidR="005521ED" w:rsidRPr="00661B39">
        <w:rPr>
          <w:szCs w:val="24"/>
        </w:rPr>
        <w:t xml:space="preserve"> </w:t>
      </w:r>
      <w:r w:rsidR="00DC6A85" w:rsidRPr="00661B39">
        <w:rPr>
          <w:szCs w:val="24"/>
        </w:rPr>
        <w:t xml:space="preserve">whom </w:t>
      </w:r>
      <w:r w:rsidR="00211E34" w:rsidRPr="00661B39">
        <w:rPr>
          <w:szCs w:val="24"/>
        </w:rPr>
        <w:t xml:space="preserve">the </w:t>
      </w:r>
      <w:r w:rsidR="006F28E1" w:rsidRPr="00661B39">
        <w:rPr>
          <w:szCs w:val="24"/>
        </w:rPr>
        <w:t xml:space="preserve">State </w:t>
      </w:r>
      <w:r w:rsidRPr="00661B39">
        <w:rPr>
          <w:szCs w:val="24"/>
        </w:rPr>
        <w:t>has provided</w:t>
      </w:r>
      <w:r w:rsidR="006F28E1" w:rsidRPr="00661B39">
        <w:rPr>
          <w:szCs w:val="24"/>
        </w:rPr>
        <w:t xml:space="preserve"> a Housing Slot, </w:t>
      </w:r>
      <w:r w:rsidR="00E215EF" w:rsidRPr="00661B39">
        <w:rPr>
          <w:szCs w:val="24"/>
        </w:rPr>
        <w:t>including those who have since vacated their Housing Slots</w:t>
      </w:r>
      <w:r w:rsidR="006F28E1" w:rsidRPr="00661B39">
        <w:rPr>
          <w:szCs w:val="24"/>
        </w:rPr>
        <w:t xml:space="preserve">, counts toward </w:t>
      </w:r>
      <w:r w:rsidR="00305965" w:rsidRPr="00661B39">
        <w:rPr>
          <w:szCs w:val="24"/>
        </w:rPr>
        <w:t>section III(B)(3)’s</w:t>
      </w:r>
      <w:r w:rsidR="006F28E1" w:rsidRPr="00661B39">
        <w:rPr>
          <w:szCs w:val="24"/>
        </w:rPr>
        <w:t xml:space="preserve"> requirements.  </w:t>
      </w:r>
      <w:r w:rsidR="005521ED" w:rsidRPr="00661B39">
        <w:rPr>
          <w:i/>
          <w:szCs w:val="24"/>
        </w:rPr>
        <w:t xml:space="preserve">See </w:t>
      </w:r>
      <w:r w:rsidR="00B3285C" w:rsidRPr="00661B39">
        <w:rPr>
          <w:szCs w:val="24"/>
        </w:rPr>
        <w:t>Letter from Lisa Corbett to Nic</w:t>
      </w:r>
      <w:r w:rsidR="005B463A" w:rsidRPr="00661B39">
        <w:rPr>
          <w:szCs w:val="24"/>
        </w:rPr>
        <w:t>h</w:t>
      </w:r>
      <w:r w:rsidR="00B3285C" w:rsidRPr="00661B39">
        <w:rPr>
          <w:szCs w:val="24"/>
        </w:rPr>
        <w:t>olas Lee</w:t>
      </w:r>
      <w:r w:rsidR="00D816EF" w:rsidRPr="00661B39">
        <w:rPr>
          <w:szCs w:val="24"/>
        </w:rPr>
        <w:t xml:space="preserve"> </w:t>
      </w:r>
      <w:r w:rsidR="00B3285C" w:rsidRPr="00661B39">
        <w:rPr>
          <w:szCs w:val="24"/>
        </w:rPr>
        <w:t>(June 29, 2015)</w:t>
      </w:r>
      <w:r w:rsidR="00F556D8" w:rsidRPr="00661B39">
        <w:rPr>
          <w:szCs w:val="24"/>
        </w:rPr>
        <w:t xml:space="preserve"> Ex. </w:t>
      </w:r>
      <w:r w:rsidR="004A765E" w:rsidRPr="00661B39">
        <w:rPr>
          <w:szCs w:val="24"/>
        </w:rPr>
        <w:t>I</w:t>
      </w:r>
      <w:r w:rsidR="00F556D8" w:rsidRPr="00661B39">
        <w:rPr>
          <w:szCs w:val="24"/>
        </w:rPr>
        <w:t>, at 2.</w:t>
      </w:r>
      <w:r w:rsidR="00B3285C" w:rsidRPr="00661B39">
        <w:rPr>
          <w:szCs w:val="24"/>
        </w:rPr>
        <w:t xml:space="preserve">  </w:t>
      </w:r>
    </w:p>
    <w:p w:rsidR="00F25433" w:rsidRPr="00661B39" w:rsidRDefault="00A15F81" w:rsidP="00D663B0">
      <w:pPr>
        <w:pStyle w:val="Heading3"/>
        <w:rPr>
          <w:i/>
        </w:rPr>
      </w:pPr>
      <w:r w:rsidRPr="00661B39">
        <w:tab/>
      </w:r>
      <w:bookmarkStart w:id="7" w:name="_Toc471487548"/>
      <w:r w:rsidRPr="00661B39">
        <w:t xml:space="preserve">B. </w:t>
      </w:r>
      <w:r w:rsidR="0055469E" w:rsidRPr="00661B39">
        <w:tab/>
      </w:r>
      <w:r w:rsidRPr="00661B39">
        <w:t xml:space="preserve">Employment </w:t>
      </w:r>
      <w:r w:rsidR="0029145E" w:rsidRPr="00661B39">
        <w:t xml:space="preserve">Services </w:t>
      </w:r>
      <w:r w:rsidR="00573450" w:rsidRPr="00661B39">
        <w:t>Requirements</w:t>
      </w:r>
      <w:bookmarkEnd w:id="7"/>
    </w:p>
    <w:p w:rsidR="00AB758E" w:rsidRPr="00661B39" w:rsidRDefault="00021F7A" w:rsidP="006A7506">
      <w:pPr>
        <w:spacing w:line="480" w:lineRule="auto"/>
        <w:ind w:firstLine="720"/>
        <w:jc w:val="both"/>
        <w:rPr>
          <w:b/>
          <w:caps/>
          <w:szCs w:val="24"/>
        </w:rPr>
      </w:pPr>
      <w:r w:rsidRPr="00661B39">
        <w:rPr>
          <w:szCs w:val="24"/>
        </w:rPr>
        <w:t>During the first three years of implementation</w:t>
      </w:r>
      <w:r w:rsidR="00CF5FDC" w:rsidRPr="00661B39">
        <w:rPr>
          <w:szCs w:val="24"/>
        </w:rPr>
        <w:t>, t</w:t>
      </w:r>
      <w:r w:rsidR="00A15F81" w:rsidRPr="00661B39">
        <w:rPr>
          <w:szCs w:val="24"/>
        </w:rPr>
        <w:t xml:space="preserve">he State </w:t>
      </w:r>
      <w:r w:rsidR="000E6140" w:rsidRPr="00661B39">
        <w:rPr>
          <w:szCs w:val="24"/>
        </w:rPr>
        <w:t xml:space="preserve">repeatedly referred </w:t>
      </w:r>
      <w:r w:rsidR="00852B17" w:rsidRPr="00661B39">
        <w:rPr>
          <w:szCs w:val="24"/>
        </w:rPr>
        <w:t>to</w:t>
      </w:r>
      <w:r w:rsidR="00F42E75" w:rsidRPr="00661B39">
        <w:rPr>
          <w:szCs w:val="24"/>
        </w:rPr>
        <w:t xml:space="preserve"> </w:t>
      </w:r>
      <w:r w:rsidR="00235A07" w:rsidRPr="00661B39">
        <w:rPr>
          <w:szCs w:val="24"/>
        </w:rPr>
        <w:t>the target population</w:t>
      </w:r>
      <w:r w:rsidR="000E6140" w:rsidRPr="00661B39">
        <w:rPr>
          <w:szCs w:val="24"/>
        </w:rPr>
        <w:t>—</w:t>
      </w:r>
      <w:r w:rsidR="00235A07" w:rsidRPr="00661B39">
        <w:rPr>
          <w:szCs w:val="24"/>
        </w:rPr>
        <w:t xml:space="preserve">i.e., </w:t>
      </w:r>
      <w:r w:rsidR="00A15F81" w:rsidRPr="00661B39">
        <w:rPr>
          <w:szCs w:val="24"/>
        </w:rPr>
        <w:t xml:space="preserve">individuals with serious mental illness who </w:t>
      </w:r>
      <w:r w:rsidR="00235A07" w:rsidRPr="00661B39">
        <w:rPr>
          <w:szCs w:val="24"/>
        </w:rPr>
        <w:t xml:space="preserve">are </w:t>
      </w:r>
      <w:r w:rsidR="00A15F81" w:rsidRPr="00661B39">
        <w:rPr>
          <w:szCs w:val="24"/>
        </w:rPr>
        <w:t>in or at</w:t>
      </w:r>
      <w:r w:rsidR="00235A07" w:rsidRPr="00661B39">
        <w:rPr>
          <w:szCs w:val="24"/>
        </w:rPr>
        <w:t xml:space="preserve"> </w:t>
      </w:r>
      <w:r w:rsidR="00A15F81" w:rsidRPr="00661B39">
        <w:rPr>
          <w:szCs w:val="24"/>
        </w:rPr>
        <w:t>risk of entry to an adult care home</w:t>
      </w:r>
      <w:r w:rsidR="000E6140" w:rsidRPr="00661B39">
        <w:rPr>
          <w:szCs w:val="24"/>
        </w:rPr>
        <w:t xml:space="preserve">—when describing its employment </w:t>
      </w:r>
      <w:r w:rsidR="0029145E" w:rsidRPr="00661B39">
        <w:rPr>
          <w:szCs w:val="24"/>
        </w:rPr>
        <w:t xml:space="preserve">services </w:t>
      </w:r>
      <w:r w:rsidR="000E6140" w:rsidRPr="00661B39">
        <w:rPr>
          <w:szCs w:val="24"/>
        </w:rPr>
        <w:t>obligations.</w:t>
      </w:r>
      <w:r w:rsidR="005E7024" w:rsidRPr="00661B39">
        <w:rPr>
          <w:szCs w:val="24"/>
        </w:rPr>
        <w:t xml:space="preserve">  </w:t>
      </w:r>
      <w:r w:rsidR="009D0FA7" w:rsidRPr="00661B39">
        <w:rPr>
          <w:szCs w:val="24"/>
        </w:rPr>
        <w:t xml:space="preserve">It also reported </w:t>
      </w:r>
      <w:r w:rsidRPr="00661B39">
        <w:rPr>
          <w:szCs w:val="24"/>
        </w:rPr>
        <w:t xml:space="preserve">its </w:t>
      </w:r>
      <w:r w:rsidR="009D0FA7" w:rsidRPr="00661B39">
        <w:rPr>
          <w:szCs w:val="24"/>
        </w:rPr>
        <w:t xml:space="preserve">progress toward compliance with section III(D)(3) as the number of individuals in the target population receiving Supported Employment Services on the reporting dates. </w:t>
      </w:r>
      <w:r w:rsidR="007A7056" w:rsidRPr="00661B39">
        <w:rPr>
          <w:szCs w:val="24"/>
        </w:rPr>
        <w:t xml:space="preserve"> </w:t>
      </w:r>
      <w:r w:rsidR="008C427C" w:rsidRPr="00661B39">
        <w:rPr>
          <w:szCs w:val="24"/>
        </w:rPr>
        <w:t>The State subsequently changed tack, asserting that anyone receiving Supported Employment Services counts toward section III(D)(3)’s requirements, including individuals outside the target population.</w:t>
      </w:r>
      <w:r w:rsidR="00A96F04" w:rsidRPr="00661B39">
        <w:rPr>
          <w:rStyle w:val="FootnoteReference"/>
          <w:szCs w:val="24"/>
        </w:rPr>
        <w:footnoteReference w:id="7"/>
      </w:r>
      <w:r w:rsidR="008C427C" w:rsidRPr="00661B39">
        <w:rPr>
          <w:szCs w:val="24"/>
        </w:rPr>
        <w:t xml:space="preserve">  </w:t>
      </w:r>
      <w:r w:rsidR="008C427C" w:rsidRPr="00661B39">
        <w:rPr>
          <w:i/>
          <w:szCs w:val="24"/>
        </w:rPr>
        <w:t xml:space="preserve">See </w:t>
      </w:r>
      <w:r w:rsidR="008C427C" w:rsidRPr="00661B39">
        <w:rPr>
          <w:szCs w:val="24"/>
        </w:rPr>
        <w:t xml:space="preserve">Letter from Emery Milliken, Gen. Counsel, N.C. Dep’t of Health &amp; Human </w:t>
      </w:r>
      <w:proofErr w:type="spellStart"/>
      <w:r w:rsidR="008C427C" w:rsidRPr="00661B39">
        <w:rPr>
          <w:szCs w:val="24"/>
        </w:rPr>
        <w:t>Servs</w:t>
      </w:r>
      <w:proofErr w:type="spellEnd"/>
      <w:r w:rsidR="008C427C" w:rsidRPr="00661B39">
        <w:rPr>
          <w:szCs w:val="24"/>
        </w:rPr>
        <w:t xml:space="preserve">., to Nicholas Lee (May 27, 2016) Ex. </w:t>
      </w:r>
      <w:r w:rsidR="004A765E" w:rsidRPr="00661B39">
        <w:rPr>
          <w:szCs w:val="24"/>
        </w:rPr>
        <w:t>J</w:t>
      </w:r>
      <w:r w:rsidR="008C427C" w:rsidRPr="00661B39">
        <w:rPr>
          <w:szCs w:val="24"/>
        </w:rPr>
        <w:t xml:space="preserve">, at 2 [“May 2016 Letter from N.C.”].  </w:t>
      </w:r>
      <w:r w:rsidR="00AB758E" w:rsidRPr="00661B39">
        <w:rPr>
          <w:b/>
          <w:caps/>
          <w:szCs w:val="24"/>
        </w:rPr>
        <w:br w:type="page"/>
      </w:r>
    </w:p>
    <w:p w:rsidR="00403E15" w:rsidRPr="003F5CD7" w:rsidRDefault="00403E15" w:rsidP="003F5CD7">
      <w:pPr>
        <w:pStyle w:val="Heading2"/>
        <w:rPr>
          <w:b w:val="0"/>
          <w:caps w:val="0"/>
        </w:rPr>
      </w:pPr>
      <w:bookmarkStart w:id="8" w:name="_Toc471487549"/>
      <w:r w:rsidRPr="003F5CD7">
        <w:t>IV.</w:t>
      </w:r>
      <w:r w:rsidRPr="003F5CD7">
        <w:tab/>
      </w:r>
      <w:r w:rsidR="003F5CD7">
        <w:rPr>
          <w:rStyle w:val="Heading2Char"/>
          <w:b/>
        </w:rPr>
        <w:t>THE STATE’S</w:t>
      </w:r>
      <w:r w:rsidRPr="003F5CD7">
        <w:rPr>
          <w:rStyle w:val="Heading2Char"/>
          <w:b/>
        </w:rPr>
        <w:t xml:space="preserve"> </w:t>
      </w:r>
      <w:r w:rsidR="00504BCB" w:rsidRPr="003F5CD7">
        <w:rPr>
          <w:rStyle w:val="Heading2Char"/>
          <w:b/>
        </w:rPr>
        <w:t xml:space="preserve">FAILURE TO </w:t>
      </w:r>
      <w:r w:rsidR="00953020" w:rsidRPr="003F5CD7">
        <w:rPr>
          <w:rStyle w:val="Heading2Char"/>
          <w:b/>
        </w:rPr>
        <w:t xml:space="preserve">PROVIDE REQUIRED </w:t>
      </w:r>
      <w:r w:rsidR="00504BCB" w:rsidRPr="003F5CD7">
        <w:rPr>
          <w:rStyle w:val="Heading2Char"/>
          <w:b/>
        </w:rPr>
        <w:t xml:space="preserve">HOUSING </w:t>
      </w:r>
      <w:r w:rsidR="003F5CD7">
        <w:rPr>
          <w:rStyle w:val="Heading2Char"/>
          <w:b/>
        </w:rPr>
        <w:t>AND</w:t>
      </w:r>
      <w:r w:rsidR="00504BCB" w:rsidRPr="003F5CD7">
        <w:rPr>
          <w:rStyle w:val="Heading2Char"/>
          <w:b/>
        </w:rPr>
        <w:t xml:space="preserve"> EMPLOYMENT SERVICES</w:t>
      </w:r>
      <w:bookmarkEnd w:id="8"/>
    </w:p>
    <w:p w:rsidR="00B93C83" w:rsidRPr="00661B39" w:rsidRDefault="00A02AE7" w:rsidP="00F17F3C">
      <w:pPr>
        <w:tabs>
          <w:tab w:val="left" w:pos="720"/>
        </w:tabs>
        <w:spacing w:line="480" w:lineRule="auto"/>
        <w:jc w:val="both"/>
        <w:rPr>
          <w:szCs w:val="24"/>
        </w:rPr>
      </w:pPr>
      <w:r w:rsidRPr="00661B39">
        <w:rPr>
          <w:szCs w:val="24"/>
        </w:rPr>
        <w:tab/>
      </w:r>
      <w:r w:rsidR="00C00267" w:rsidRPr="00661B39">
        <w:rPr>
          <w:szCs w:val="24"/>
        </w:rPr>
        <w:t xml:space="preserve">The State failed to meet its July 2015 </w:t>
      </w:r>
      <w:r w:rsidR="001138C1" w:rsidRPr="00661B39">
        <w:rPr>
          <w:szCs w:val="24"/>
        </w:rPr>
        <w:t>obligations</w:t>
      </w:r>
      <w:r w:rsidR="00C00267" w:rsidRPr="00661B39">
        <w:rPr>
          <w:szCs w:val="24"/>
        </w:rPr>
        <w:t xml:space="preserve"> to provide 708 Housing Slots and to provide Supported Employment Services to 708 individuals in t</w:t>
      </w:r>
      <w:r w:rsidR="001138C1" w:rsidRPr="00661B39">
        <w:rPr>
          <w:szCs w:val="24"/>
        </w:rPr>
        <w:t xml:space="preserve">he target population.  Only 417 </w:t>
      </w:r>
      <w:r w:rsidR="00C00267" w:rsidRPr="00661B39">
        <w:rPr>
          <w:szCs w:val="24"/>
        </w:rPr>
        <w:t xml:space="preserve">Housing Slots were occupied on June 30, 2015.  </w:t>
      </w:r>
      <w:r w:rsidR="00C00267" w:rsidRPr="00661B39">
        <w:rPr>
          <w:i/>
          <w:szCs w:val="24"/>
        </w:rPr>
        <w:t xml:space="preserve">See </w:t>
      </w:r>
      <w:r w:rsidR="00C00267" w:rsidRPr="00661B39">
        <w:rPr>
          <w:szCs w:val="24"/>
        </w:rPr>
        <w:t xml:space="preserve">June 2015 </w:t>
      </w:r>
      <w:r w:rsidR="00906EC7" w:rsidRPr="00661B39">
        <w:rPr>
          <w:szCs w:val="24"/>
        </w:rPr>
        <w:t xml:space="preserve">Monthly </w:t>
      </w:r>
      <w:r w:rsidR="00C00267" w:rsidRPr="00661B39">
        <w:rPr>
          <w:szCs w:val="24"/>
        </w:rPr>
        <w:t xml:space="preserve">Rep. </w:t>
      </w:r>
      <w:r w:rsidR="00906EC7" w:rsidRPr="00661B39">
        <w:rPr>
          <w:szCs w:val="24"/>
        </w:rPr>
        <w:t xml:space="preserve">(July 27, 2015) Ex. K, </w:t>
      </w:r>
      <w:r w:rsidR="00C00267" w:rsidRPr="00661B39">
        <w:rPr>
          <w:szCs w:val="24"/>
        </w:rPr>
        <w:t>at 6.  And only 304 individuals in the target population were receiving Supported Employment Services</w:t>
      </w:r>
      <w:r w:rsidR="001138C1" w:rsidRPr="00661B39">
        <w:rPr>
          <w:szCs w:val="24"/>
        </w:rPr>
        <w:t xml:space="preserve"> on August 31, 2015</w:t>
      </w:r>
      <w:r w:rsidR="00C00267" w:rsidRPr="00661B39">
        <w:rPr>
          <w:szCs w:val="24"/>
        </w:rPr>
        <w:t>.</w:t>
      </w:r>
      <w:r w:rsidR="001138C1" w:rsidRPr="00661B39">
        <w:rPr>
          <w:rStyle w:val="FootnoteReference"/>
          <w:szCs w:val="24"/>
        </w:rPr>
        <w:footnoteReference w:id="8"/>
      </w:r>
      <w:r w:rsidR="00C00267" w:rsidRPr="00661B39">
        <w:rPr>
          <w:szCs w:val="24"/>
        </w:rPr>
        <w:t xml:space="preserve">  </w:t>
      </w:r>
      <w:r w:rsidR="00C00267" w:rsidRPr="00661B39">
        <w:rPr>
          <w:i/>
          <w:szCs w:val="24"/>
        </w:rPr>
        <w:t xml:space="preserve">See </w:t>
      </w:r>
      <w:r w:rsidR="001138C1" w:rsidRPr="00661B39">
        <w:rPr>
          <w:szCs w:val="24"/>
        </w:rPr>
        <w:t xml:space="preserve">Aug. 2015 </w:t>
      </w:r>
      <w:r w:rsidR="00906EC7" w:rsidRPr="00661B39">
        <w:rPr>
          <w:szCs w:val="24"/>
        </w:rPr>
        <w:t xml:space="preserve">Monthly </w:t>
      </w:r>
      <w:r w:rsidR="001138C1" w:rsidRPr="00661B39">
        <w:rPr>
          <w:szCs w:val="24"/>
        </w:rPr>
        <w:t xml:space="preserve">Rep. (Sept. 30, 2015) Ex. </w:t>
      </w:r>
      <w:r w:rsidR="00906EC7" w:rsidRPr="00661B39">
        <w:rPr>
          <w:szCs w:val="24"/>
        </w:rPr>
        <w:t>L</w:t>
      </w:r>
      <w:r w:rsidR="001138C1" w:rsidRPr="00661B39">
        <w:rPr>
          <w:szCs w:val="24"/>
        </w:rPr>
        <w:t>, at 2</w:t>
      </w:r>
      <w:r w:rsidR="00C00267" w:rsidRPr="00661B39">
        <w:rPr>
          <w:szCs w:val="24"/>
        </w:rPr>
        <w:t>.</w:t>
      </w:r>
      <w:r w:rsidR="00AA1BD5" w:rsidRPr="00661B39">
        <w:rPr>
          <w:szCs w:val="24"/>
        </w:rPr>
        <w:t xml:space="preserve">  </w:t>
      </w:r>
    </w:p>
    <w:p w:rsidR="00B93C83" w:rsidRPr="00661B39" w:rsidRDefault="00F71D0D" w:rsidP="00F17F3C">
      <w:pPr>
        <w:tabs>
          <w:tab w:val="left" w:pos="720"/>
        </w:tabs>
        <w:spacing w:line="480" w:lineRule="auto"/>
        <w:jc w:val="both"/>
        <w:rPr>
          <w:i/>
          <w:szCs w:val="24"/>
        </w:rPr>
      </w:pPr>
      <w:r w:rsidRPr="00661B39">
        <w:rPr>
          <w:szCs w:val="24"/>
        </w:rPr>
        <w:tab/>
      </w:r>
      <w:r w:rsidR="00AA1BD5" w:rsidRPr="00661B39">
        <w:rPr>
          <w:szCs w:val="24"/>
        </w:rPr>
        <w:t xml:space="preserve">On November 6, 2015, the United States requested a corrective action plan pursuant to section V.  Letter from Nicholas Lee et al. to </w:t>
      </w:r>
      <w:r w:rsidR="0014355C" w:rsidRPr="00661B39">
        <w:rPr>
          <w:szCs w:val="24"/>
        </w:rPr>
        <w:t xml:space="preserve">Roy Cooper and Richard </w:t>
      </w:r>
      <w:proofErr w:type="spellStart"/>
      <w:r w:rsidR="0014355C" w:rsidRPr="00661B39">
        <w:rPr>
          <w:szCs w:val="24"/>
        </w:rPr>
        <w:t>Brajer</w:t>
      </w:r>
      <w:proofErr w:type="spellEnd"/>
      <w:r w:rsidR="00AA1BD5" w:rsidRPr="00661B39">
        <w:rPr>
          <w:szCs w:val="24"/>
        </w:rPr>
        <w:t xml:space="preserve"> (Nov. 6, 2015) Ex. </w:t>
      </w:r>
      <w:r w:rsidR="00B90F18" w:rsidRPr="00661B39">
        <w:rPr>
          <w:szCs w:val="24"/>
        </w:rPr>
        <w:t>M</w:t>
      </w:r>
      <w:r w:rsidR="00AA1BD5" w:rsidRPr="00661B39">
        <w:rPr>
          <w:szCs w:val="24"/>
        </w:rPr>
        <w:t xml:space="preserve">.  </w:t>
      </w:r>
      <w:r w:rsidR="009E13CC" w:rsidRPr="00661B39">
        <w:rPr>
          <w:szCs w:val="24"/>
        </w:rPr>
        <w:t>On</w:t>
      </w:r>
      <w:r w:rsidR="00805149" w:rsidRPr="00661B39">
        <w:rPr>
          <w:szCs w:val="24"/>
        </w:rPr>
        <w:t xml:space="preserve"> </w:t>
      </w:r>
      <w:r w:rsidR="001306E1" w:rsidRPr="00661B39">
        <w:rPr>
          <w:szCs w:val="24"/>
        </w:rPr>
        <w:t>December 22, 2015</w:t>
      </w:r>
      <w:r w:rsidR="004B2B49" w:rsidRPr="00661B39">
        <w:rPr>
          <w:szCs w:val="24"/>
        </w:rPr>
        <w:t xml:space="preserve">, the </w:t>
      </w:r>
      <w:r w:rsidR="007A246D" w:rsidRPr="00661B39">
        <w:rPr>
          <w:szCs w:val="24"/>
        </w:rPr>
        <w:t xml:space="preserve">State provided </w:t>
      </w:r>
      <w:r w:rsidR="00EB49EA" w:rsidRPr="00661B39">
        <w:rPr>
          <w:szCs w:val="24"/>
        </w:rPr>
        <w:t xml:space="preserve">the United States with </w:t>
      </w:r>
      <w:r w:rsidR="007A246D" w:rsidRPr="00661B39">
        <w:rPr>
          <w:szCs w:val="24"/>
        </w:rPr>
        <w:t xml:space="preserve">a corrective action plan (the “Plan”).  </w:t>
      </w:r>
      <w:r w:rsidR="00470B49" w:rsidRPr="00661B39">
        <w:rPr>
          <w:szCs w:val="24"/>
        </w:rPr>
        <w:t xml:space="preserve">Letter from Richard </w:t>
      </w:r>
      <w:proofErr w:type="spellStart"/>
      <w:r w:rsidR="00470B49" w:rsidRPr="00661B39">
        <w:rPr>
          <w:szCs w:val="24"/>
        </w:rPr>
        <w:t>Brajer</w:t>
      </w:r>
      <w:proofErr w:type="spellEnd"/>
      <w:r w:rsidR="00470B49" w:rsidRPr="00661B39">
        <w:rPr>
          <w:szCs w:val="24"/>
        </w:rPr>
        <w:t xml:space="preserve"> to Nicholas Lee (Dec. 22, 2015)</w:t>
      </w:r>
      <w:r w:rsidR="00207D26" w:rsidRPr="00661B39">
        <w:rPr>
          <w:szCs w:val="24"/>
        </w:rPr>
        <w:t xml:space="preserve"> Ex. </w:t>
      </w:r>
      <w:r w:rsidR="00B90F18" w:rsidRPr="00661B39">
        <w:rPr>
          <w:szCs w:val="24"/>
        </w:rPr>
        <w:t>N</w:t>
      </w:r>
      <w:r w:rsidR="00207D26" w:rsidRPr="00661B39">
        <w:rPr>
          <w:szCs w:val="24"/>
        </w:rPr>
        <w:t>.</w:t>
      </w:r>
      <w:r w:rsidR="00470B49" w:rsidRPr="00661B39">
        <w:rPr>
          <w:szCs w:val="24"/>
        </w:rPr>
        <w:t xml:space="preserve">  </w:t>
      </w:r>
      <w:r w:rsidRPr="00661B39">
        <w:rPr>
          <w:szCs w:val="24"/>
        </w:rPr>
        <w:t>T</w:t>
      </w:r>
      <w:r w:rsidR="007A246D" w:rsidRPr="00661B39">
        <w:rPr>
          <w:szCs w:val="24"/>
        </w:rPr>
        <w:t>he United Stat</w:t>
      </w:r>
      <w:r w:rsidR="00DB584F" w:rsidRPr="00661B39">
        <w:rPr>
          <w:szCs w:val="24"/>
        </w:rPr>
        <w:t xml:space="preserve">es rejected the </w:t>
      </w:r>
      <w:r w:rsidR="007A246D" w:rsidRPr="00661B39">
        <w:rPr>
          <w:szCs w:val="24"/>
        </w:rPr>
        <w:t>Plan as inadequate and propo</w:t>
      </w:r>
      <w:r w:rsidR="00502804" w:rsidRPr="00661B39">
        <w:rPr>
          <w:szCs w:val="24"/>
        </w:rPr>
        <w:t xml:space="preserve">sed </w:t>
      </w:r>
      <w:r w:rsidR="00AA1BD5" w:rsidRPr="00661B39">
        <w:rPr>
          <w:szCs w:val="24"/>
        </w:rPr>
        <w:t>that the State revise the Plan</w:t>
      </w:r>
      <w:r w:rsidR="001306E1" w:rsidRPr="00661B39">
        <w:rPr>
          <w:szCs w:val="24"/>
        </w:rPr>
        <w:t xml:space="preserve">. </w:t>
      </w:r>
      <w:r w:rsidR="00201F61" w:rsidRPr="00661B39">
        <w:rPr>
          <w:szCs w:val="24"/>
        </w:rPr>
        <w:t xml:space="preserve"> </w:t>
      </w:r>
      <w:r w:rsidR="00201F61" w:rsidRPr="00661B39">
        <w:rPr>
          <w:i/>
          <w:szCs w:val="24"/>
        </w:rPr>
        <w:t xml:space="preserve">See </w:t>
      </w:r>
      <w:r w:rsidR="00201F61" w:rsidRPr="00661B39">
        <w:rPr>
          <w:szCs w:val="24"/>
        </w:rPr>
        <w:t xml:space="preserve">Letter from Nicholas Lee to Roy Cooper and Richard </w:t>
      </w:r>
      <w:proofErr w:type="spellStart"/>
      <w:r w:rsidR="00201F61" w:rsidRPr="00661B39">
        <w:rPr>
          <w:szCs w:val="24"/>
        </w:rPr>
        <w:t>Brajer</w:t>
      </w:r>
      <w:proofErr w:type="spellEnd"/>
      <w:r w:rsidR="00201F61" w:rsidRPr="00661B39">
        <w:rPr>
          <w:szCs w:val="24"/>
        </w:rPr>
        <w:t xml:space="preserve"> (Mar. 24, 2016)</w:t>
      </w:r>
      <w:r w:rsidR="00207D26" w:rsidRPr="00661B39">
        <w:rPr>
          <w:szCs w:val="24"/>
        </w:rPr>
        <w:t xml:space="preserve"> Ex. </w:t>
      </w:r>
      <w:r w:rsidR="00B90F18" w:rsidRPr="00661B39">
        <w:rPr>
          <w:szCs w:val="24"/>
        </w:rPr>
        <w:t>O</w:t>
      </w:r>
      <w:r w:rsidR="00207D26" w:rsidRPr="00661B39">
        <w:rPr>
          <w:szCs w:val="24"/>
        </w:rPr>
        <w:t>.</w:t>
      </w:r>
      <w:r w:rsidR="00201F61" w:rsidRPr="00661B39">
        <w:rPr>
          <w:szCs w:val="24"/>
        </w:rPr>
        <w:t xml:space="preserve">  </w:t>
      </w:r>
      <w:r w:rsidRPr="00661B39">
        <w:rPr>
          <w:szCs w:val="24"/>
        </w:rPr>
        <w:t>The State’s revised corrective action plan was also inadequate.</w:t>
      </w:r>
      <w:r w:rsidR="00F97FA3" w:rsidRPr="00661B39">
        <w:rPr>
          <w:szCs w:val="24"/>
        </w:rPr>
        <w:t xml:space="preserve">  </w:t>
      </w:r>
      <w:r w:rsidR="00F97FA3" w:rsidRPr="00661B39">
        <w:rPr>
          <w:i/>
          <w:szCs w:val="24"/>
        </w:rPr>
        <w:t xml:space="preserve">See </w:t>
      </w:r>
      <w:r w:rsidR="00F97FA3" w:rsidRPr="00661B39">
        <w:rPr>
          <w:szCs w:val="24"/>
        </w:rPr>
        <w:t xml:space="preserve">Letter from Teresa Yeh et al. to Roy Cooper and Richard </w:t>
      </w:r>
      <w:proofErr w:type="spellStart"/>
      <w:r w:rsidR="00F97FA3" w:rsidRPr="00661B39">
        <w:rPr>
          <w:szCs w:val="24"/>
        </w:rPr>
        <w:t>Brajer</w:t>
      </w:r>
      <w:proofErr w:type="spellEnd"/>
      <w:r w:rsidR="00F97FA3" w:rsidRPr="00661B39">
        <w:rPr>
          <w:szCs w:val="24"/>
        </w:rPr>
        <w:t xml:space="preserve"> (Oct. 21, 2016) Ex. </w:t>
      </w:r>
      <w:r w:rsidR="00B90F18" w:rsidRPr="00661B39">
        <w:rPr>
          <w:szCs w:val="24"/>
        </w:rPr>
        <w:t>P</w:t>
      </w:r>
      <w:r w:rsidR="00F97FA3" w:rsidRPr="00661B39">
        <w:rPr>
          <w:szCs w:val="24"/>
        </w:rPr>
        <w:t>.</w:t>
      </w:r>
    </w:p>
    <w:p w:rsidR="006E60F8" w:rsidRPr="00661B39" w:rsidRDefault="00F71D0D" w:rsidP="00CC726C">
      <w:pPr>
        <w:tabs>
          <w:tab w:val="left" w:pos="720"/>
        </w:tabs>
        <w:spacing w:line="480" w:lineRule="auto"/>
        <w:jc w:val="both"/>
        <w:rPr>
          <w:szCs w:val="24"/>
        </w:rPr>
      </w:pPr>
      <w:r w:rsidRPr="00661B39">
        <w:rPr>
          <w:szCs w:val="24"/>
        </w:rPr>
        <w:tab/>
        <w:t xml:space="preserve">On July 1, 2016, the State </w:t>
      </w:r>
      <w:r w:rsidR="00745C9F" w:rsidRPr="00661B39">
        <w:rPr>
          <w:szCs w:val="24"/>
        </w:rPr>
        <w:t>again fell far short of</w:t>
      </w:r>
      <w:r w:rsidR="001047A6" w:rsidRPr="00661B39">
        <w:rPr>
          <w:szCs w:val="24"/>
        </w:rPr>
        <w:t xml:space="preserve"> its </w:t>
      </w:r>
      <w:r w:rsidRPr="00661B39">
        <w:rPr>
          <w:szCs w:val="24"/>
        </w:rPr>
        <w:t xml:space="preserve">obligations, providing only 650 of the </w:t>
      </w:r>
      <w:r w:rsidR="00B3200D" w:rsidRPr="00661B39">
        <w:rPr>
          <w:szCs w:val="24"/>
        </w:rPr>
        <w:t>required 1,166 Housing Slots and providing Supported Employment Services to only 708 of the required 1,166 individuals from the target population.</w:t>
      </w:r>
      <w:r w:rsidR="001027A9" w:rsidRPr="00661B39">
        <w:rPr>
          <w:rStyle w:val="FootnoteReference"/>
          <w:szCs w:val="24"/>
        </w:rPr>
        <w:footnoteReference w:id="9"/>
      </w:r>
      <w:r w:rsidR="00B3200D" w:rsidRPr="00661B39">
        <w:rPr>
          <w:szCs w:val="24"/>
        </w:rPr>
        <w:t xml:space="preserve">  </w:t>
      </w:r>
      <w:r w:rsidR="00B3200D" w:rsidRPr="00661B39">
        <w:rPr>
          <w:i/>
          <w:szCs w:val="24"/>
        </w:rPr>
        <w:t xml:space="preserve">See </w:t>
      </w:r>
      <w:r w:rsidR="00B3200D" w:rsidRPr="00661B39">
        <w:rPr>
          <w:szCs w:val="24"/>
        </w:rPr>
        <w:t xml:space="preserve">June 2016 </w:t>
      </w:r>
      <w:r w:rsidR="00B90F18" w:rsidRPr="00661B39">
        <w:rPr>
          <w:szCs w:val="24"/>
        </w:rPr>
        <w:t xml:space="preserve">Monthly </w:t>
      </w:r>
      <w:r w:rsidR="00B3200D" w:rsidRPr="00661B39">
        <w:rPr>
          <w:szCs w:val="24"/>
        </w:rPr>
        <w:t xml:space="preserve">Rep. </w:t>
      </w:r>
      <w:r w:rsidR="00B90F18" w:rsidRPr="00661B39">
        <w:rPr>
          <w:szCs w:val="24"/>
        </w:rPr>
        <w:t xml:space="preserve">(July 28, 2016) Ex. Q, </w:t>
      </w:r>
      <w:r w:rsidR="00B3200D" w:rsidRPr="00661B39">
        <w:rPr>
          <w:szCs w:val="24"/>
        </w:rPr>
        <w:t>at 2, 7.</w:t>
      </w:r>
      <w:r w:rsidR="0087171E" w:rsidRPr="00661B39">
        <w:rPr>
          <w:szCs w:val="24"/>
        </w:rPr>
        <w:t xml:space="preserve">  Notably, the State’s failure to meet its obligations </w:t>
      </w:r>
      <w:r w:rsidR="000B6E23" w:rsidRPr="00661B39">
        <w:rPr>
          <w:szCs w:val="24"/>
        </w:rPr>
        <w:t>wa</w:t>
      </w:r>
      <w:r w:rsidR="0087171E" w:rsidRPr="00661B39">
        <w:rPr>
          <w:szCs w:val="24"/>
        </w:rPr>
        <w:t>s not due to a lack of demand</w:t>
      </w:r>
      <w:r w:rsidR="000B6E23" w:rsidRPr="00661B39">
        <w:rPr>
          <w:szCs w:val="24"/>
        </w:rPr>
        <w:t xml:space="preserve"> for Housing Slots</w:t>
      </w:r>
      <w:r w:rsidR="0087171E" w:rsidRPr="00661B39">
        <w:rPr>
          <w:szCs w:val="24"/>
        </w:rPr>
        <w:t>.</w:t>
      </w:r>
      <w:r w:rsidR="000B6E23" w:rsidRPr="00661B39">
        <w:rPr>
          <w:szCs w:val="24"/>
        </w:rPr>
        <w:t xml:space="preserve">  </w:t>
      </w:r>
      <w:r w:rsidR="000B6E23" w:rsidRPr="00661B39">
        <w:rPr>
          <w:i/>
          <w:szCs w:val="24"/>
        </w:rPr>
        <w:t>See N.C. Supportive Housing Corrective Action Plan</w:t>
      </w:r>
      <w:r w:rsidR="000B6E23" w:rsidRPr="00661B39">
        <w:rPr>
          <w:szCs w:val="24"/>
        </w:rPr>
        <w:t xml:space="preserve"> (June 3, 2016) Ex. R, at 3 (reporting that as of May 2016, 354 individuals</w:t>
      </w:r>
      <w:r w:rsidR="00CC726C" w:rsidRPr="00661B39">
        <w:rPr>
          <w:szCs w:val="24"/>
        </w:rPr>
        <w:t xml:space="preserve"> </w:t>
      </w:r>
      <w:r w:rsidR="00D9426D">
        <w:rPr>
          <w:szCs w:val="24"/>
        </w:rPr>
        <w:t>had</w:t>
      </w:r>
      <w:r w:rsidR="00D9426D" w:rsidRPr="00661B39">
        <w:rPr>
          <w:szCs w:val="24"/>
        </w:rPr>
        <w:t xml:space="preserve"> </w:t>
      </w:r>
      <w:r w:rsidR="00CC726C" w:rsidRPr="00661B39">
        <w:rPr>
          <w:szCs w:val="24"/>
        </w:rPr>
        <w:t xml:space="preserve">received a Housing Slot but </w:t>
      </w:r>
      <w:r w:rsidR="00D9426D">
        <w:rPr>
          <w:szCs w:val="24"/>
        </w:rPr>
        <w:t>had</w:t>
      </w:r>
      <w:r w:rsidR="00D9426D" w:rsidRPr="00661B39">
        <w:rPr>
          <w:szCs w:val="24"/>
        </w:rPr>
        <w:t xml:space="preserve"> </w:t>
      </w:r>
      <w:r w:rsidR="00CC726C" w:rsidRPr="00661B39">
        <w:rPr>
          <w:szCs w:val="24"/>
        </w:rPr>
        <w:t>not transitioned</w:t>
      </w:r>
      <w:r w:rsidR="000B6E23" w:rsidRPr="00661B39">
        <w:rPr>
          <w:szCs w:val="24"/>
        </w:rPr>
        <w:t xml:space="preserve">). </w:t>
      </w:r>
    </w:p>
    <w:p w:rsidR="00A61636" w:rsidRPr="00661B39" w:rsidRDefault="00A61636" w:rsidP="000E089D">
      <w:pPr>
        <w:pStyle w:val="Heading1"/>
      </w:pPr>
      <w:bookmarkStart w:id="9" w:name="_Toc471487550"/>
      <w:r w:rsidRPr="00661B39">
        <w:t>LEGAL STANDARD</w:t>
      </w:r>
      <w:bookmarkEnd w:id="9"/>
    </w:p>
    <w:p w:rsidR="00A61636" w:rsidRPr="00661B39" w:rsidRDefault="00A61636" w:rsidP="00E51D77">
      <w:pPr>
        <w:pStyle w:val="Heading2"/>
      </w:pPr>
      <w:bookmarkStart w:id="10" w:name="_Toc471487551"/>
      <w:r w:rsidRPr="00661B39">
        <w:t>I.</w:t>
      </w:r>
      <w:r w:rsidRPr="00661B39">
        <w:tab/>
        <w:t>SUMMARY ENFORCEMENT OF SETTLEMENT AGREEMENTS</w:t>
      </w:r>
      <w:bookmarkEnd w:id="10"/>
    </w:p>
    <w:p w:rsidR="00B93C83" w:rsidRPr="00661B39" w:rsidRDefault="00A61636" w:rsidP="00F17F3C">
      <w:pPr>
        <w:tabs>
          <w:tab w:val="left" w:pos="720"/>
        </w:tabs>
        <w:spacing w:line="480" w:lineRule="auto"/>
        <w:jc w:val="both"/>
        <w:rPr>
          <w:i/>
          <w:szCs w:val="24"/>
        </w:rPr>
      </w:pPr>
      <w:r w:rsidRPr="00661B39">
        <w:rPr>
          <w:szCs w:val="24"/>
        </w:rPr>
        <w:tab/>
        <w:t xml:space="preserve">District courts have the inherent authority to enforce settlement agreements.  </w:t>
      </w:r>
      <w:r w:rsidRPr="00661B39">
        <w:rPr>
          <w:i/>
          <w:szCs w:val="24"/>
        </w:rPr>
        <w:t>Hensley v. Alcon Labs., Inc.</w:t>
      </w:r>
      <w:r w:rsidR="005A76A0" w:rsidRPr="00661B39">
        <w:rPr>
          <w:szCs w:val="24"/>
        </w:rPr>
        <w:t>,</w:t>
      </w:r>
      <w:r w:rsidRPr="00661B39">
        <w:rPr>
          <w:i/>
          <w:szCs w:val="24"/>
        </w:rPr>
        <w:t xml:space="preserve"> </w:t>
      </w:r>
      <w:r w:rsidRPr="00661B39">
        <w:rPr>
          <w:szCs w:val="24"/>
        </w:rPr>
        <w:t>277 F.3d 535, 540 (4th Cir. 2002)</w:t>
      </w:r>
      <w:r w:rsidR="00B34D87" w:rsidRPr="00661B39">
        <w:rPr>
          <w:szCs w:val="24"/>
        </w:rPr>
        <w:fldChar w:fldCharType="begin"/>
      </w:r>
      <w:r w:rsidR="000F1F97" w:rsidRPr="00661B39">
        <w:rPr>
          <w:szCs w:val="24"/>
        </w:rPr>
        <w:instrText xml:space="preserve"> TA \l "</w:instrText>
      </w:r>
      <w:r w:rsidR="000F1F97" w:rsidRPr="00661B39">
        <w:rPr>
          <w:i/>
          <w:szCs w:val="24"/>
        </w:rPr>
        <w:instrText>Hensley v. Alcon Labs., Inc.</w:instrText>
      </w:r>
      <w:r w:rsidR="000F1F97" w:rsidRPr="00661B39">
        <w:rPr>
          <w:szCs w:val="24"/>
        </w:rPr>
        <w:instrText>,</w:instrText>
      </w:r>
      <w:r w:rsidR="000F1F97" w:rsidRPr="00661B39">
        <w:rPr>
          <w:i/>
          <w:szCs w:val="24"/>
        </w:rPr>
        <w:instrText xml:space="preserve"> </w:instrText>
      </w:r>
      <w:r w:rsidR="000F1F97" w:rsidRPr="00661B39">
        <w:rPr>
          <w:szCs w:val="24"/>
        </w:rPr>
        <w:instrText xml:space="preserve">277 F.3d 535 (4th Cir. 2002)" \s "Hensley v. Alcon Labs., Inc., 277 F.3d 535, 540 (4th Cir. 2002)" \c 1 </w:instrText>
      </w:r>
      <w:r w:rsidR="00B34D87" w:rsidRPr="00661B39">
        <w:rPr>
          <w:szCs w:val="24"/>
        </w:rPr>
        <w:fldChar w:fldCharType="end"/>
      </w:r>
      <w:r w:rsidRPr="00661B39">
        <w:rPr>
          <w:szCs w:val="24"/>
        </w:rPr>
        <w:t xml:space="preserve">.  Jurisdiction arises when the “obligation to comply with the terms of the settlement agreement [is] made part of an order of dismissal . . . [by] a provision ‘retaining jurisdiction’ over the settlement agreement.”  </w:t>
      </w:r>
      <w:proofErr w:type="spellStart"/>
      <w:r w:rsidRPr="00661B39">
        <w:rPr>
          <w:i/>
          <w:szCs w:val="24"/>
        </w:rPr>
        <w:t>Kokkonen</w:t>
      </w:r>
      <w:proofErr w:type="spellEnd"/>
      <w:r w:rsidRPr="00661B39">
        <w:rPr>
          <w:i/>
          <w:szCs w:val="24"/>
        </w:rPr>
        <w:t xml:space="preserve"> v. Guardian Life Ins. Co. of Am.</w:t>
      </w:r>
      <w:r w:rsidR="005A76A0" w:rsidRPr="00661B39">
        <w:rPr>
          <w:szCs w:val="24"/>
        </w:rPr>
        <w:t>,</w:t>
      </w:r>
      <w:r w:rsidRPr="00661B39">
        <w:rPr>
          <w:i/>
          <w:szCs w:val="24"/>
        </w:rPr>
        <w:t xml:space="preserve"> </w:t>
      </w:r>
      <w:r w:rsidRPr="00661B39">
        <w:rPr>
          <w:szCs w:val="24"/>
        </w:rPr>
        <w:t>511 U.S. 375, 381 (1994)</w:t>
      </w:r>
      <w:r w:rsidR="00B34D87" w:rsidRPr="00661B39">
        <w:rPr>
          <w:szCs w:val="24"/>
        </w:rPr>
        <w:fldChar w:fldCharType="begin"/>
      </w:r>
      <w:r w:rsidR="000F1F97" w:rsidRPr="00661B39">
        <w:rPr>
          <w:szCs w:val="24"/>
        </w:rPr>
        <w:instrText xml:space="preserve"> TA \l "</w:instrText>
      </w:r>
      <w:r w:rsidR="000F1F97" w:rsidRPr="00661B39">
        <w:rPr>
          <w:i/>
          <w:szCs w:val="24"/>
        </w:rPr>
        <w:instrText>Kokkonen v. Guardian Life Ins. Co. of Am.</w:instrText>
      </w:r>
      <w:r w:rsidR="000F1F97" w:rsidRPr="00661B39">
        <w:rPr>
          <w:szCs w:val="24"/>
        </w:rPr>
        <w:instrText>,</w:instrText>
      </w:r>
      <w:r w:rsidR="000F1F97" w:rsidRPr="00661B39">
        <w:rPr>
          <w:i/>
          <w:szCs w:val="24"/>
        </w:rPr>
        <w:instrText xml:space="preserve"> </w:instrText>
      </w:r>
      <w:r w:rsidR="000F1F97" w:rsidRPr="00661B39">
        <w:rPr>
          <w:szCs w:val="24"/>
        </w:rPr>
        <w:instrText xml:space="preserve">511 U.S. 375 (1994)" \s "Kokkonen v. Guardian Life Ins. Co. of Am., 511 U.S. 375, 381 (1994)" \c 1 </w:instrText>
      </w:r>
      <w:r w:rsidR="00B34D87" w:rsidRPr="00661B39">
        <w:rPr>
          <w:szCs w:val="24"/>
        </w:rPr>
        <w:fldChar w:fldCharType="end"/>
      </w:r>
      <w:r w:rsidRPr="00661B39">
        <w:rPr>
          <w:szCs w:val="24"/>
        </w:rPr>
        <w:t xml:space="preserve">.  In such instances, “a breach of the agreement would be a violation of the order,” and a court has jurisdiction to enforce the agreement.  </w:t>
      </w:r>
      <w:r w:rsidRPr="00661B39">
        <w:rPr>
          <w:i/>
          <w:szCs w:val="24"/>
        </w:rPr>
        <w:t>Id</w:t>
      </w:r>
      <w:r w:rsidR="00581AC6" w:rsidRPr="00661B39">
        <w:rPr>
          <w:szCs w:val="24"/>
        </w:rPr>
        <w:t xml:space="preserve">.  </w:t>
      </w:r>
      <w:r w:rsidRPr="00661B39">
        <w:rPr>
          <w:szCs w:val="24"/>
        </w:rPr>
        <w:t xml:space="preserve">A court may summarily enforce a settlement agreement </w:t>
      </w:r>
      <w:r w:rsidR="00832299" w:rsidRPr="00661B39">
        <w:rPr>
          <w:szCs w:val="24"/>
        </w:rPr>
        <w:t xml:space="preserve">without a plenary evidentiary hearing </w:t>
      </w:r>
      <w:r w:rsidRPr="00661B39">
        <w:rPr>
          <w:szCs w:val="24"/>
        </w:rPr>
        <w:t xml:space="preserve">when it finds that the parties reached a complete agreement with terms that the court is able to determine.  </w:t>
      </w:r>
      <w:r w:rsidR="000A10F5" w:rsidRPr="00661B39">
        <w:rPr>
          <w:i/>
          <w:szCs w:val="24"/>
        </w:rPr>
        <w:t xml:space="preserve">See </w:t>
      </w:r>
      <w:r w:rsidRPr="00661B39">
        <w:rPr>
          <w:i/>
          <w:szCs w:val="24"/>
        </w:rPr>
        <w:t>Hensley</w:t>
      </w:r>
      <w:r w:rsidR="005A76A0" w:rsidRPr="00661B39">
        <w:rPr>
          <w:szCs w:val="24"/>
        </w:rPr>
        <w:t>,</w:t>
      </w:r>
      <w:r w:rsidRPr="00661B39">
        <w:rPr>
          <w:i/>
          <w:szCs w:val="24"/>
        </w:rPr>
        <w:t xml:space="preserve"> </w:t>
      </w:r>
      <w:r w:rsidRPr="00661B39">
        <w:rPr>
          <w:szCs w:val="24"/>
        </w:rPr>
        <w:t>277 F.3d at 540–41</w:t>
      </w:r>
      <w:r w:rsidR="00B34D87" w:rsidRPr="00661B39">
        <w:rPr>
          <w:szCs w:val="24"/>
        </w:rPr>
        <w:fldChar w:fldCharType="begin"/>
      </w:r>
      <w:r w:rsidR="000F1F97" w:rsidRPr="00661B39">
        <w:rPr>
          <w:szCs w:val="24"/>
        </w:rPr>
        <w:instrText xml:space="preserve"> TA \s "Hensley v. Alcon Labs., Inc., 277 F.3d 535, 540 (4th Cir. 2002)" </w:instrText>
      </w:r>
      <w:r w:rsidR="00B34D87" w:rsidRPr="00661B39">
        <w:rPr>
          <w:szCs w:val="24"/>
        </w:rPr>
        <w:fldChar w:fldCharType="end"/>
      </w:r>
      <w:r w:rsidRPr="00661B39">
        <w:rPr>
          <w:szCs w:val="24"/>
        </w:rPr>
        <w:t>.</w:t>
      </w:r>
      <w:r w:rsidRPr="00661B39">
        <w:rPr>
          <w:i/>
          <w:szCs w:val="24"/>
        </w:rPr>
        <w:t xml:space="preserve">  </w:t>
      </w:r>
    </w:p>
    <w:p w:rsidR="00B93C83" w:rsidRPr="00661B39" w:rsidRDefault="00A61636" w:rsidP="00F17F3C">
      <w:pPr>
        <w:tabs>
          <w:tab w:val="left" w:pos="720"/>
        </w:tabs>
        <w:spacing w:line="480" w:lineRule="auto"/>
        <w:jc w:val="both"/>
        <w:rPr>
          <w:b/>
          <w:szCs w:val="24"/>
        </w:rPr>
      </w:pPr>
      <w:r w:rsidRPr="00661B39">
        <w:rPr>
          <w:i/>
          <w:szCs w:val="24"/>
        </w:rPr>
        <w:tab/>
      </w:r>
      <w:r w:rsidRPr="00661B39">
        <w:rPr>
          <w:szCs w:val="24"/>
        </w:rPr>
        <w:t xml:space="preserve">The remedy for </w:t>
      </w:r>
      <w:r w:rsidR="005F428B" w:rsidRPr="00661B39">
        <w:rPr>
          <w:szCs w:val="24"/>
        </w:rPr>
        <w:t>noncompliance with</w:t>
      </w:r>
      <w:r w:rsidRPr="00661B39">
        <w:rPr>
          <w:szCs w:val="24"/>
        </w:rPr>
        <w:t xml:space="preserve"> a settlement agreement is specific performance.  </w:t>
      </w:r>
      <w:r w:rsidRPr="00661B39">
        <w:rPr>
          <w:i/>
          <w:szCs w:val="24"/>
        </w:rPr>
        <w:t>See</w:t>
      </w:r>
      <w:r w:rsidR="0036287A" w:rsidRPr="00661B39">
        <w:rPr>
          <w:i/>
          <w:szCs w:val="24"/>
        </w:rPr>
        <w:t xml:space="preserve"> </w:t>
      </w:r>
      <w:r w:rsidR="00B34D87">
        <w:rPr>
          <w:rFonts w:eastAsia="Times New Roman"/>
          <w:i/>
          <w:szCs w:val="24"/>
        </w:rPr>
        <w:fldChar w:fldCharType="begin"/>
      </w:r>
      <w:r w:rsidR="00C557DA">
        <w:instrText xml:space="preserve"> TA \l "</w:instrText>
      </w:r>
      <w:r w:rsidR="00E02E98" w:rsidRPr="00E02E98">
        <w:instrText xml:space="preserve"> </w:instrText>
      </w:r>
      <w:r w:rsidR="00E02E98" w:rsidRPr="00B97CDD">
        <w:rPr>
          <w:i/>
        </w:rPr>
        <w:instrText>U.S. ex rel. McDermitt, Inc. v. Centex-Simpson Const. Co.</w:instrText>
      </w:r>
      <w:r w:rsidR="00E02E98">
        <w:instrText xml:space="preserve">, 34 F. Supp. 2d 397 (N.D. W. Va. 1999), </w:instrText>
      </w:r>
      <w:r w:rsidR="00E02E98" w:rsidRPr="00B97CDD">
        <w:rPr>
          <w:i/>
        </w:rPr>
        <w:instrText>aff’d sub nom.</w:instrText>
      </w:r>
      <w:r w:rsidR="00E02E98">
        <w:instrText xml:space="preserve"> </w:instrText>
      </w:r>
      <w:r w:rsidR="00E02E98" w:rsidRPr="00B97CDD">
        <w:rPr>
          <w:i/>
        </w:rPr>
        <w:instrText>United States v. Centex-Simpson Const.</w:instrText>
      </w:r>
      <w:r w:rsidR="00E02E98">
        <w:instrText>, 203 F.3d 824 (4th Cir. 2000)</w:instrText>
      </w:r>
      <w:r w:rsidR="00C557DA">
        <w:instrText xml:space="preserve">" \s "U.S. ex rel. McDermitt, Inc. v. Centex-Simpson Const. Co., 34 F. Supp. 2d 397 (N.D. W. Va. 1999), aff’d sub nom. United States v. Centex-Simpson Const., 203 F.3d 824 (4th Cir. 2000)" \c 1 </w:instrText>
      </w:r>
      <w:r w:rsidR="00B34D87">
        <w:rPr>
          <w:rFonts w:eastAsia="Times New Roman"/>
          <w:i/>
          <w:szCs w:val="24"/>
        </w:rPr>
        <w:fldChar w:fldCharType="end"/>
      </w:r>
      <w:r w:rsidRPr="00661B39">
        <w:rPr>
          <w:rFonts w:eastAsia="Times New Roman"/>
          <w:i/>
          <w:szCs w:val="24"/>
        </w:rPr>
        <w:t xml:space="preserve">U.S. ex rel. </w:t>
      </w:r>
      <w:proofErr w:type="spellStart"/>
      <w:r w:rsidRPr="00661B39">
        <w:rPr>
          <w:rFonts w:eastAsia="Times New Roman"/>
          <w:i/>
          <w:szCs w:val="24"/>
        </w:rPr>
        <w:t>McDermitt</w:t>
      </w:r>
      <w:proofErr w:type="spellEnd"/>
      <w:r w:rsidRPr="00661B39">
        <w:rPr>
          <w:rFonts w:eastAsia="Times New Roman"/>
          <w:i/>
          <w:szCs w:val="24"/>
        </w:rPr>
        <w:t>, Inc. v. Centex-Simpson Const</w:t>
      </w:r>
      <w:r w:rsidR="00D9426D">
        <w:rPr>
          <w:rFonts w:eastAsia="Times New Roman"/>
          <w:i/>
          <w:szCs w:val="24"/>
        </w:rPr>
        <w:t>r</w:t>
      </w:r>
      <w:r w:rsidRPr="00661B39">
        <w:rPr>
          <w:rFonts w:eastAsia="Times New Roman"/>
          <w:i/>
          <w:szCs w:val="24"/>
        </w:rPr>
        <w:t>. Co.</w:t>
      </w:r>
      <w:r w:rsidR="00586F74">
        <w:rPr>
          <w:rFonts w:eastAsia="Times New Roman"/>
          <w:szCs w:val="24"/>
        </w:rPr>
        <w:t xml:space="preserve">, 34 F. Supp. 2d 397, 399 (N.D. </w:t>
      </w:r>
      <w:r w:rsidRPr="00661B39">
        <w:rPr>
          <w:rFonts w:eastAsia="Times New Roman"/>
          <w:szCs w:val="24"/>
        </w:rPr>
        <w:t>W. Va. 1999)</w:t>
      </w:r>
      <w:r w:rsidR="00586F74">
        <w:rPr>
          <w:rFonts w:eastAsia="Times New Roman"/>
          <w:szCs w:val="24"/>
        </w:rPr>
        <w:t xml:space="preserve"> </w:t>
      </w:r>
      <w:r w:rsidR="00586F74" w:rsidRPr="00661B39">
        <w:rPr>
          <w:rFonts w:eastAsia="Times New Roman"/>
          <w:szCs w:val="24"/>
        </w:rPr>
        <w:t>(“A motion to enforce a settlement agreement is an action for specific enforcement of a contract.”</w:t>
      </w:r>
      <w:r w:rsidR="00586F74">
        <w:rPr>
          <w:rFonts w:eastAsia="Times New Roman"/>
          <w:szCs w:val="24"/>
        </w:rPr>
        <w:t>)</w:t>
      </w:r>
      <w:r w:rsidRPr="00661B39">
        <w:rPr>
          <w:rFonts w:eastAsia="Times New Roman"/>
          <w:szCs w:val="24"/>
        </w:rPr>
        <w:t xml:space="preserve">, </w:t>
      </w:r>
      <w:proofErr w:type="spellStart"/>
      <w:r w:rsidRPr="00661B39">
        <w:rPr>
          <w:rFonts w:eastAsia="Times New Roman"/>
          <w:i/>
          <w:szCs w:val="24"/>
        </w:rPr>
        <w:t>aff’d</w:t>
      </w:r>
      <w:proofErr w:type="spellEnd"/>
      <w:r w:rsidRPr="00661B39">
        <w:rPr>
          <w:rFonts w:eastAsia="Times New Roman"/>
          <w:i/>
          <w:szCs w:val="24"/>
        </w:rPr>
        <w:t xml:space="preserve"> sub nom. United States v. Centex-Simpson Const</w:t>
      </w:r>
      <w:r w:rsidR="00D9426D">
        <w:rPr>
          <w:rFonts w:eastAsia="Times New Roman"/>
          <w:i/>
          <w:szCs w:val="24"/>
        </w:rPr>
        <w:t>r</w:t>
      </w:r>
      <w:r w:rsidRPr="00661B39">
        <w:rPr>
          <w:rFonts w:eastAsia="Times New Roman"/>
          <w:i/>
          <w:szCs w:val="24"/>
        </w:rPr>
        <w:t>.</w:t>
      </w:r>
      <w:r w:rsidR="00586F74">
        <w:rPr>
          <w:rFonts w:eastAsia="Times New Roman"/>
          <w:szCs w:val="24"/>
        </w:rPr>
        <w:t>, 203 F.3d 824 (4th Cir. 2000</w:t>
      </w:r>
      <w:r w:rsidRPr="00661B39">
        <w:rPr>
          <w:rFonts w:eastAsia="Times New Roman"/>
          <w:szCs w:val="24"/>
        </w:rPr>
        <w:t xml:space="preserve">); </w:t>
      </w:r>
      <w:r w:rsidRPr="00661B39">
        <w:rPr>
          <w:rFonts w:eastAsia="Times New Roman"/>
          <w:i/>
          <w:szCs w:val="24"/>
        </w:rPr>
        <w:t xml:space="preserve">Clayton v. </w:t>
      </w:r>
      <w:proofErr w:type="spellStart"/>
      <w:r w:rsidRPr="00661B39">
        <w:rPr>
          <w:rFonts w:eastAsia="Times New Roman"/>
          <w:i/>
          <w:szCs w:val="24"/>
        </w:rPr>
        <w:t>Ameriquest</w:t>
      </w:r>
      <w:proofErr w:type="spellEnd"/>
      <w:r w:rsidRPr="00661B39">
        <w:rPr>
          <w:rFonts w:eastAsia="Times New Roman"/>
          <w:i/>
          <w:szCs w:val="24"/>
        </w:rPr>
        <w:t xml:space="preserve"> </w:t>
      </w:r>
      <w:proofErr w:type="spellStart"/>
      <w:r w:rsidRPr="00661B39">
        <w:rPr>
          <w:rFonts w:eastAsia="Times New Roman"/>
          <w:i/>
          <w:szCs w:val="24"/>
        </w:rPr>
        <w:t>Mortg</w:t>
      </w:r>
      <w:proofErr w:type="spellEnd"/>
      <w:r w:rsidRPr="00661B39">
        <w:rPr>
          <w:rFonts w:eastAsia="Times New Roman"/>
          <w:i/>
          <w:szCs w:val="24"/>
        </w:rPr>
        <w:t>. Co.</w:t>
      </w:r>
      <w:r w:rsidRPr="00661B39">
        <w:rPr>
          <w:rFonts w:eastAsia="Times New Roman"/>
          <w:szCs w:val="24"/>
        </w:rPr>
        <w:t xml:space="preserve">, No. 1:02CV415, 2004 WL 734978, at *3 (M.D.N.C. Apr. 5, 2004), </w:t>
      </w:r>
      <w:proofErr w:type="spellStart"/>
      <w:r w:rsidRPr="00661B39">
        <w:rPr>
          <w:rFonts w:eastAsia="Times New Roman"/>
          <w:i/>
          <w:szCs w:val="24"/>
        </w:rPr>
        <w:t>aff’d</w:t>
      </w:r>
      <w:proofErr w:type="spellEnd"/>
      <w:r w:rsidRPr="00661B39">
        <w:rPr>
          <w:rFonts w:eastAsia="Times New Roman"/>
          <w:szCs w:val="24"/>
        </w:rPr>
        <w:t xml:space="preserve">, 117 F. </w:t>
      </w:r>
      <w:proofErr w:type="spellStart"/>
      <w:r w:rsidRPr="00661B39">
        <w:rPr>
          <w:rFonts w:eastAsia="Times New Roman"/>
          <w:szCs w:val="24"/>
        </w:rPr>
        <w:t>App’x</w:t>
      </w:r>
      <w:proofErr w:type="spellEnd"/>
      <w:r w:rsidRPr="00661B39">
        <w:rPr>
          <w:rFonts w:eastAsia="Times New Roman"/>
          <w:szCs w:val="24"/>
        </w:rPr>
        <w:t xml:space="preserve"> 301 (4th Cir. 2004)</w:t>
      </w:r>
      <w:r w:rsidR="00B34D87" w:rsidRPr="00661B39">
        <w:rPr>
          <w:rFonts w:eastAsia="Times New Roman"/>
          <w:szCs w:val="24"/>
        </w:rPr>
        <w:fldChar w:fldCharType="begin"/>
      </w:r>
      <w:r w:rsidR="000F1F97" w:rsidRPr="00661B39">
        <w:rPr>
          <w:szCs w:val="24"/>
        </w:rPr>
        <w:instrText xml:space="preserve"> TA \l "</w:instrText>
      </w:r>
      <w:r w:rsidR="000F1F97" w:rsidRPr="00661B39">
        <w:rPr>
          <w:rFonts w:eastAsia="Times New Roman"/>
          <w:i/>
          <w:szCs w:val="24"/>
        </w:rPr>
        <w:instrText>Clayton v. Ameriquest Mortg. Co.</w:instrText>
      </w:r>
      <w:r w:rsidR="000F1F97" w:rsidRPr="00661B39">
        <w:rPr>
          <w:rFonts w:eastAsia="Times New Roman"/>
          <w:szCs w:val="24"/>
        </w:rPr>
        <w:instrText xml:space="preserve">, No. 1:02CV415, 2004 WL 734978 (M.D.N.C. Apr. 5, 2004), </w:instrText>
      </w:r>
      <w:r w:rsidR="000F1F97" w:rsidRPr="00661B39">
        <w:rPr>
          <w:rFonts w:eastAsia="Times New Roman"/>
          <w:i/>
          <w:szCs w:val="24"/>
        </w:rPr>
        <w:instrText>aff’d</w:instrText>
      </w:r>
      <w:r w:rsidR="000F1F97" w:rsidRPr="00661B39">
        <w:rPr>
          <w:rFonts w:eastAsia="Times New Roman"/>
          <w:szCs w:val="24"/>
        </w:rPr>
        <w:instrText>, 117 F. App’x 301 (4th Cir. 2004)</w:instrText>
      </w:r>
      <w:r w:rsidR="000F1F97" w:rsidRPr="00661B39">
        <w:rPr>
          <w:szCs w:val="24"/>
        </w:rPr>
        <w:instrText xml:space="preserve">" \s "Clayton v. Ameriquest Mortg. Co., No. 1:02CV415, 2004 WL 734978 (M.D.N.C. Apr. 5, 2004), aff’d, 117 F. App’x 301 (4th Cir. 2004)" \c 1 </w:instrText>
      </w:r>
      <w:r w:rsidR="00B34D87" w:rsidRPr="00661B39">
        <w:rPr>
          <w:rFonts w:eastAsia="Times New Roman"/>
          <w:szCs w:val="24"/>
        </w:rPr>
        <w:fldChar w:fldCharType="end"/>
      </w:r>
      <w:r w:rsidRPr="00661B39">
        <w:rPr>
          <w:rFonts w:eastAsia="Times New Roman"/>
          <w:szCs w:val="24"/>
        </w:rPr>
        <w:t>.</w:t>
      </w:r>
    </w:p>
    <w:p w:rsidR="00A61636" w:rsidRPr="00661B39" w:rsidRDefault="00A61636" w:rsidP="00E51D77">
      <w:pPr>
        <w:pStyle w:val="Heading2"/>
      </w:pPr>
      <w:bookmarkStart w:id="11" w:name="_Toc471487552"/>
      <w:r w:rsidRPr="00661B39">
        <w:t>I</w:t>
      </w:r>
      <w:r w:rsidR="00081084" w:rsidRPr="00661B39">
        <w:t>I</w:t>
      </w:r>
      <w:r w:rsidRPr="00661B39">
        <w:t>.</w:t>
      </w:r>
      <w:r w:rsidRPr="00661B39">
        <w:tab/>
        <w:t>PRINCIPLES OF INTERPRETATION</w:t>
      </w:r>
      <w:bookmarkEnd w:id="11"/>
    </w:p>
    <w:p w:rsidR="00B93C83" w:rsidRPr="00661B39" w:rsidRDefault="00A61636" w:rsidP="00F17F3C">
      <w:pPr>
        <w:spacing w:line="480" w:lineRule="auto"/>
        <w:ind w:firstLine="720"/>
        <w:jc w:val="both"/>
        <w:rPr>
          <w:szCs w:val="24"/>
        </w:rPr>
      </w:pPr>
      <w:r w:rsidRPr="00661B39">
        <w:rPr>
          <w:szCs w:val="24"/>
        </w:rPr>
        <w:t xml:space="preserve">Courts apply standard contract principles when interpreting settlement agreements.  </w:t>
      </w:r>
      <w:r w:rsidRPr="00661B39">
        <w:rPr>
          <w:i/>
          <w:szCs w:val="24"/>
        </w:rPr>
        <w:t>See</w:t>
      </w:r>
      <w:r w:rsidR="00D6563B" w:rsidRPr="00661B39">
        <w:rPr>
          <w:i/>
          <w:szCs w:val="24"/>
        </w:rPr>
        <w:t xml:space="preserve"> </w:t>
      </w:r>
      <w:r w:rsidRPr="00661B39">
        <w:rPr>
          <w:i/>
          <w:iCs/>
          <w:szCs w:val="24"/>
        </w:rPr>
        <w:t xml:space="preserve">Ohio Valley </w:t>
      </w:r>
      <w:proofErr w:type="spellStart"/>
      <w:r w:rsidRPr="00661B39">
        <w:rPr>
          <w:i/>
          <w:iCs/>
          <w:szCs w:val="24"/>
        </w:rPr>
        <w:t>Envtl</w:t>
      </w:r>
      <w:proofErr w:type="spellEnd"/>
      <w:r w:rsidRPr="00661B39">
        <w:rPr>
          <w:i/>
          <w:iCs/>
          <w:szCs w:val="24"/>
        </w:rPr>
        <w:t xml:space="preserve">. Coal. v. </w:t>
      </w:r>
      <w:proofErr w:type="spellStart"/>
      <w:r w:rsidRPr="00661B39">
        <w:rPr>
          <w:i/>
          <w:iCs/>
          <w:szCs w:val="24"/>
        </w:rPr>
        <w:t>Aracoma</w:t>
      </w:r>
      <w:proofErr w:type="spellEnd"/>
      <w:r w:rsidRPr="00661B39">
        <w:rPr>
          <w:i/>
          <w:iCs/>
          <w:szCs w:val="24"/>
        </w:rPr>
        <w:t xml:space="preserve"> Coal Co</w:t>
      </w:r>
      <w:r w:rsidRPr="00661B39">
        <w:rPr>
          <w:szCs w:val="24"/>
        </w:rPr>
        <w:t>., 556 F.3d 177, 211 (4th Cir. 2009)</w:t>
      </w:r>
      <w:r w:rsidR="00B34D87" w:rsidRPr="00661B39">
        <w:rPr>
          <w:szCs w:val="24"/>
        </w:rPr>
        <w:fldChar w:fldCharType="begin"/>
      </w:r>
      <w:r w:rsidR="00EC7C45" w:rsidRPr="00661B39">
        <w:rPr>
          <w:szCs w:val="24"/>
        </w:rPr>
        <w:instrText xml:space="preserve"> TA \l "</w:instrText>
      </w:r>
      <w:r w:rsidR="00EC7C45" w:rsidRPr="00661B39">
        <w:rPr>
          <w:i/>
          <w:iCs/>
          <w:szCs w:val="24"/>
        </w:rPr>
        <w:instrText>Ohio Valley Envtl. Coal. v. Aracoma Coal Co</w:instrText>
      </w:r>
      <w:r w:rsidR="00EC7C45" w:rsidRPr="00661B39">
        <w:rPr>
          <w:szCs w:val="24"/>
        </w:rPr>
        <w:instrText xml:space="preserve">., 556 F.3d 177 (4th Cir. 2009)" \s "Ohio Valley Envtl. Coal. v. Aracoma Coal Co., 556 F.3d 177, 211 (4th Cir. 2009)" \c 1 </w:instrText>
      </w:r>
      <w:r w:rsidR="00B34D87" w:rsidRPr="00661B39">
        <w:rPr>
          <w:szCs w:val="24"/>
        </w:rPr>
        <w:fldChar w:fldCharType="end"/>
      </w:r>
      <w:r w:rsidRPr="00661B39">
        <w:rPr>
          <w:szCs w:val="24"/>
        </w:rPr>
        <w:t>;</w:t>
      </w:r>
      <w:r w:rsidRPr="00661B39">
        <w:rPr>
          <w:i/>
          <w:szCs w:val="24"/>
        </w:rPr>
        <w:t xml:space="preserve"> Hensley, </w:t>
      </w:r>
      <w:r w:rsidR="00F12BE4" w:rsidRPr="00661B39">
        <w:rPr>
          <w:szCs w:val="24"/>
        </w:rPr>
        <w:t>277 F.3d at 540</w:t>
      </w:r>
      <w:r w:rsidR="00B34D87" w:rsidRPr="00661B39">
        <w:rPr>
          <w:szCs w:val="24"/>
        </w:rPr>
        <w:fldChar w:fldCharType="begin"/>
      </w:r>
      <w:r w:rsidR="00EC7C45" w:rsidRPr="00661B39">
        <w:rPr>
          <w:szCs w:val="24"/>
        </w:rPr>
        <w:instrText xml:space="preserve"> TA \s "Hensley v. Alcon Labs., Inc., 277 F.3d 535 (4th Cir. 2002)" </w:instrText>
      </w:r>
      <w:r w:rsidR="00B34D87" w:rsidRPr="00661B39">
        <w:rPr>
          <w:szCs w:val="24"/>
        </w:rPr>
        <w:fldChar w:fldCharType="end"/>
      </w:r>
      <w:r w:rsidRPr="00661B39">
        <w:rPr>
          <w:szCs w:val="24"/>
        </w:rPr>
        <w:t xml:space="preserve">; </w:t>
      </w:r>
      <w:r w:rsidR="00D6563B" w:rsidRPr="00661B39">
        <w:rPr>
          <w:i/>
          <w:szCs w:val="24"/>
        </w:rPr>
        <w:t>Harris v. Ray Johnson Const</w:t>
      </w:r>
      <w:r w:rsidR="00CD5DEC">
        <w:rPr>
          <w:i/>
          <w:szCs w:val="24"/>
        </w:rPr>
        <w:t>r</w:t>
      </w:r>
      <w:r w:rsidR="00D6563B" w:rsidRPr="00661B39">
        <w:rPr>
          <w:i/>
          <w:szCs w:val="24"/>
        </w:rPr>
        <w:t xml:space="preserve">. Co., </w:t>
      </w:r>
      <w:r w:rsidR="00D6563B" w:rsidRPr="00661B39">
        <w:rPr>
          <w:szCs w:val="24"/>
        </w:rPr>
        <w:t>139 N.C. App. 827, 829, 534 S.E.2d 653, 654 (2000)</w:t>
      </w:r>
      <w:r w:rsidR="00B34D87" w:rsidRPr="00661B39">
        <w:rPr>
          <w:szCs w:val="24"/>
        </w:rPr>
        <w:fldChar w:fldCharType="begin"/>
      </w:r>
      <w:r w:rsidR="00EC7C45" w:rsidRPr="00661B39">
        <w:rPr>
          <w:szCs w:val="24"/>
        </w:rPr>
        <w:instrText xml:space="preserve"> TA \l "</w:instrText>
      </w:r>
      <w:r w:rsidR="00EC7C45" w:rsidRPr="00661B39">
        <w:rPr>
          <w:i/>
          <w:szCs w:val="24"/>
        </w:rPr>
        <w:instrText>Harris v. Ray Johnson Const</w:instrText>
      </w:r>
      <w:r w:rsidR="00CD5DEC">
        <w:rPr>
          <w:i/>
          <w:szCs w:val="24"/>
        </w:rPr>
        <w:instrText>r</w:instrText>
      </w:r>
      <w:r w:rsidR="00EC7C45" w:rsidRPr="00661B39">
        <w:rPr>
          <w:i/>
          <w:szCs w:val="24"/>
        </w:rPr>
        <w:instrText xml:space="preserve">. Co., </w:instrText>
      </w:r>
      <w:r w:rsidR="00EC7C45" w:rsidRPr="00661B39">
        <w:rPr>
          <w:szCs w:val="24"/>
        </w:rPr>
        <w:instrText xml:space="preserve">139 N.C. App. 827, 534 S.E.2d 653 (2000)" \s "Harris v. Ray Johnson Const. Co., 139 N.C. App. 827, 829, 534 S.E.2d 653, 654 (2000)" \c 1 </w:instrText>
      </w:r>
      <w:r w:rsidR="00B34D87" w:rsidRPr="00661B39">
        <w:rPr>
          <w:szCs w:val="24"/>
        </w:rPr>
        <w:fldChar w:fldCharType="end"/>
      </w:r>
      <w:r w:rsidRPr="00661B39">
        <w:rPr>
          <w:szCs w:val="24"/>
        </w:rPr>
        <w:t>.  In interpreting an agreement, a court’s princip</w:t>
      </w:r>
      <w:r w:rsidR="00B57642" w:rsidRPr="00661B39">
        <w:rPr>
          <w:szCs w:val="24"/>
        </w:rPr>
        <w:t>al</w:t>
      </w:r>
      <w:r w:rsidRPr="00661B39">
        <w:rPr>
          <w:szCs w:val="24"/>
        </w:rPr>
        <w:t xml:space="preserve"> objective is to determine the intent of the parties at the time they made the agreement.  </w:t>
      </w:r>
      <w:r w:rsidRPr="00661B39">
        <w:rPr>
          <w:i/>
          <w:szCs w:val="24"/>
        </w:rPr>
        <w:t>See</w:t>
      </w:r>
      <w:r w:rsidR="00A41CA3" w:rsidRPr="00661B39">
        <w:rPr>
          <w:i/>
          <w:szCs w:val="24"/>
        </w:rPr>
        <w:t xml:space="preserve"> </w:t>
      </w:r>
      <w:r w:rsidRPr="00661B39">
        <w:rPr>
          <w:i/>
          <w:szCs w:val="24"/>
        </w:rPr>
        <w:t xml:space="preserve">Med. </w:t>
      </w:r>
      <w:proofErr w:type="spellStart"/>
      <w:r w:rsidRPr="00661B39">
        <w:rPr>
          <w:i/>
          <w:szCs w:val="24"/>
        </w:rPr>
        <w:t>Mut</w:t>
      </w:r>
      <w:proofErr w:type="spellEnd"/>
      <w:r w:rsidRPr="00661B39">
        <w:rPr>
          <w:i/>
          <w:szCs w:val="24"/>
        </w:rPr>
        <w:t xml:space="preserve">. Ins. Co. of N.C. v. Am. </w:t>
      </w:r>
      <w:proofErr w:type="spellStart"/>
      <w:r w:rsidRPr="00661B39">
        <w:rPr>
          <w:i/>
          <w:szCs w:val="24"/>
        </w:rPr>
        <w:t>Cas</w:t>
      </w:r>
      <w:proofErr w:type="spellEnd"/>
      <w:r w:rsidRPr="00661B39">
        <w:rPr>
          <w:i/>
          <w:szCs w:val="24"/>
        </w:rPr>
        <w:t>. Co. of Reading, Pa.</w:t>
      </w:r>
      <w:r w:rsidRPr="00661B39">
        <w:rPr>
          <w:szCs w:val="24"/>
        </w:rPr>
        <w:t>,</w:t>
      </w:r>
      <w:r w:rsidRPr="00661B39">
        <w:rPr>
          <w:i/>
          <w:szCs w:val="24"/>
        </w:rPr>
        <w:t xml:space="preserve"> </w:t>
      </w:r>
      <w:r w:rsidRPr="00661B39">
        <w:rPr>
          <w:szCs w:val="24"/>
        </w:rPr>
        <w:t>721 F. Supp. 2d 447, 452 (E.D.N.C. 2010)</w:t>
      </w:r>
      <w:r w:rsidR="00B34D87" w:rsidRPr="00661B39">
        <w:rPr>
          <w:szCs w:val="24"/>
        </w:rPr>
        <w:fldChar w:fldCharType="begin"/>
      </w:r>
      <w:r w:rsidR="00EC7C45" w:rsidRPr="00661B39">
        <w:rPr>
          <w:szCs w:val="24"/>
        </w:rPr>
        <w:instrText xml:space="preserve"> TA \l "</w:instrText>
      </w:r>
      <w:r w:rsidR="00EC7C45" w:rsidRPr="00661B39">
        <w:rPr>
          <w:i/>
          <w:szCs w:val="24"/>
        </w:rPr>
        <w:instrText>Med. Mut. Ins. Co. of N.C. v. Am. Cas. Co. of Reading, Pa.</w:instrText>
      </w:r>
      <w:r w:rsidR="00EC7C45" w:rsidRPr="00661B39">
        <w:rPr>
          <w:szCs w:val="24"/>
        </w:rPr>
        <w:instrText>,</w:instrText>
      </w:r>
      <w:r w:rsidR="00EC7C45" w:rsidRPr="00661B39">
        <w:rPr>
          <w:i/>
          <w:szCs w:val="24"/>
        </w:rPr>
        <w:instrText xml:space="preserve"> </w:instrText>
      </w:r>
      <w:r w:rsidR="00EC7C45" w:rsidRPr="00661B39">
        <w:rPr>
          <w:szCs w:val="24"/>
        </w:rPr>
        <w:instrText xml:space="preserve">721 F. Supp. 2d 447 (E.D.N.C. 2010)" \s "Med. Mut. Ins. Co. of N.C. v. Am. Cas. Co. of Reading, Pa., 721 F. Supp. 2d 447, 452 (E.D.N.C. 2010)" \c 1 </w:instrText>
      </w:r>
      <w:r w:rsidR="00B34D87" w:rsidRPr="00661B39">
        <w:rPr>
          <w:szCs w:val="24"/>
        </w:rPr>
        <w:fldChar w:fldCharType="end"/>
      </w:r>
      <w:r w:rsidRPr="00661B39">
        <w:rPr>
          <w:szCs w:val="24"/>
        </w:rPr>
        <w:t xml:space="preserve">; </w:t>
      </w:r>
      <w:r w:rsidRPr="00661B39">
        <w:rPr>
          <w:i/>
          <w:szCs w:val="24"/>
        </w:rPr>
        <w:t>Renfro v. Richardson Sports Ltd.</w:t>
      </w:r>
      <w:r w:rsidRPr="00661B39">
        <w:rPr>
          <w:szCs w:val="24"/>
        </w:rPr>
        <w:t>,</w:t>
      </w:r>
      <w:r w:rsidRPr="00661B39">
        <w:rPr>
          <w:i/>
          <w:szCs w:val="24"/>
        </w:rPr>
        <w:t xml:space="preserve"> </w:t>
      </w:r>
      <w:r w:rsidRPr="00661B39">
        <w:rPr>
          <w:szCs w:val="24"/>
        </w:rPr>
        <w:t>172 N.C. App. 176, 198, 616 S.E.2d 317, 333 (2005)</w:t>
      </w:r>
      <w:r w:rsidR="00B34D87" w:rsidRPr="00661B39">
        <w:rPr>
          <w:szCs w:val="24"/>
        </w:rPr>
        <w:fldChar w:fldCharType="begin"/>
      </w:r>
      <w:r w:rsidR="00EC7C45" w:rsidRPr="00661B39">
        <w:rPr>
          <w:szCs w:val="24"/>
        </w:rPr>
        <w:instrText xml:space="preserve"> TA \l "</w:instrText>
      </w:r>
      <w:r w:rsidR="00EC7C45" w:rsidRPr="00661B39">
        <w:rPr>
          <w:i/>
          <w:szCs w:val="24"/>
        </w:rPr>
        <w:instrText>Renfro v. Richardson Sports Ltd.</w:instrText>
      </w:r>
      <w:r w:rsidR="00EC7C45" w:rsidRPr="00661B39">
        <w:rPr>
          <w:szCs w:val="24"/>
        </w:rPr>
        <w:instrText>,</w:instrText>
      </w:r>
      <w:r w:rsidR="00EC7C45" w:rsidRPr="00661B39">
        <w:rPr>
          <w:i/>
          <w:szCs w:val="24"/>
        </w:rPr>
        <w:instrText xml:space="preserve"> </w:instrText>
      </w:r>
      <w:r w:rsidR="00EC7C45" w:rsidRPr="00661B39">
        <w:rPr>
          <w:szCs w:val="24"/>
        </w:rPr>
        <w:instrText xml:space="preserve">172 N.C. App. 176, 616 S.E.2d 317 (2005)" \s "Renfro v. Richardson Sports Ltd., 172 N.C. App. 176, 616 S.E.2d 317 (2005)" \c 1 </w:instrText>
      </w:r>
      <w:r w:rsidR="00B34D87" w:rsidRPr="00661B39">
        <w:rPr>
          <w:szCs w:val="24"/>
        </w:rPr>
        <w:fldChar w:fldCharType="end"/>
      </w:r>
      <w:r w:rsidRPr="00661B39">
        <w:rPr>
          <w:szCs w:val="24"/>
        </w:rPr>
        <w:t xml:space="preserve">.  </w:t>
      </w:r>
    </w:p>
    <w:p w:rsidR="00B93C83" w:rsidRPr="00661B39" w:rsidRDefault="00A61636" w:rsidP="00F17F3C">
      <w:pPr>
        <w:spacing w:line="480" w:lineRule="auto"/>
        <w:ind w:firstLine="720"/>
        <w:jc w:val="both"/>
        <w:rPr>
          <w:szCs w:val="24"/>
        </w:rPr>
      </w:pPr>
      <w:r w:rsidRPr="00661B39">
        <w:rPr>
          <w:szCs w:val="24"/>
        </w:rPr>
        <w:t xml:space="preserve">Where the language of an agreement is unambiguous, a court derives the parties’ intent from the words of the contract.  </w:t>
      </w:r>
      <w:r w:rsidRPr="00661B39">
        <w:rPr>
          <w:i/>
          <w:szCs w:val="24"/>
        </w:rPr>
        <w:t>See</w:t>
      </w:r>
      <w:r w:rsidR="00342DA3" w:rsidRPr="00661B39">
        <w:rPr>
          <w:i/>
          <w:szCs w:val="24"/>
        </w:rPr>
        <w:t xml:space="preserve"> </w:t>
      </w:r>
      <w:r w:rsidR="00782811" w:rsidRPr="00661B39">
        <w:rPr>
          <w:i/>
          <w:szCs w:val="24"/>
        </w:rPr>
        <w:t>Crain v. DeBartolo,</w:t>
      </w:r>
      <w:r w:rsidR="00782811" w:rsidRPr="00661B39">
        <w:rPr>
          <w:szCs w:val="24"/>
        </w:rPr>
        <w:t xml:space="preserve"> No. 7:14-CV-29-D, 2015 WL 73961, at *2 (E.D.N.C. Jan. 6, 2015</w:t>
      </w:r>
      <w:r w:rsidRPr="00661B39">
        <w:rPr>
          <w:szCs w:val="24"/>
        </w:rPr>
        <w:t>)</w:t>
      </w:r>
      <w:r w:rsidR="00B34D87" w:rsidRPr="00661B39">
        <w:rPr>
          <w:szCs w:val="24"/>
        </w:rPr>
        <w:fldChar w:fldCharType="begin"/>
      </w:r>
      <w:r w:rsidR="00EC7C45" w:rsidRPr="00661B39">
        <w:rPr>
          <w:szCs w:val="24"/>
        </w:rPr>
        <w:instrText xml:space="preserve"> TA \l "</w:instrText>
      </w:r>
      <w:r w:rsidR="00EC7C45" w:rsidRPr="00661B39">
        <w:rPr>
          <w:i/>
          <w:szCs w:val="24"/>
        </w:rPr>
        <w:instrText>Crain v. DeBartolo,</w:instrText>
      </w:r>
      <w:r w:rsidR="00EC7C45" w:rsidRPr="00661B39">
        <w:rPr>
          <w:szCs w:val="24"/>
        </w:rPr>
        <w:instrText xml:space="preserve"> No. 7:14-CV-29-D, 2015 WL 73961 (E.D.N.C. Jan. 6, 2015)" \s "Crain v. DeBartolo, No. 7:14-CV-29-D, 2015 WL 73961, at *2 (E.D.N.C. Jan. 6, 2015)" \c 1 </w:instrText>
      </w:r>
      <w:r w:rsidR="00B34D87" w:rsidRPr="00661B39">
        <w:rPr>
          <w:szCs w:val="24"/>
        </w:rPr>
        <w:fldChar w:fldCharType="end"/>
      </w:r>
      <w:r w:rsidRPr="00661B39">
        <w:rPr>
          <w:szCs w:val="24"/>
        </w:rPr>
        <w:t>;</w:t>
      </w:r>
      <w:r w:rsidR="004B4DA6" w:rsidRPr="00661B39">
        <w:rPr>
          <w:szCs w:val="24"/>
        </w:rPr>
        <w:t xml:space="preserve"> </w:t>
      </w:r>
      <w:r w:rsidR="00782811" w:rsidRPr="00661B39">
        <w:rPr>
          <w:i/>
          <w:szCs w:val="24"/>
        </w:rPr>
        <w:t>State v. Philip Morris USA Inc.</w:t>
      </w:r>
      <w:r w:rsidR="00782811" w:rsidRPr="00661B39">
        <w:rPr>
          <w:szCs w:val="24"/>
        </w:rPr>
        <w:t>,</w:t>
      </w:r>
      <w:r w:rsidR="00782811" w:rsidRPr="00661B39">
        <w:rPr>
          <w:i/>
          <w:szCs w:val="24"/>
        </w:rPr>
        <w:t xml:space="preserve"> </w:t>
      </w:r>
      <w:r w:rsidR="00782811" w:rsidRPr="00661B39">
        <w:rPr>
          <w:szCs w:val="24"/>
        </w:rPr>
        <w:t>359 N.C. 763, 618 S.E.2d</w:t>
      </w:r>
      <w:r w:rsidRPr="00661B39">
        <w:rPr>
          <w:szCs w:val="24"/>
        </w:rPr>
        <w:t>.</w:t>
      </w:r>
      <w:r w:rsidR="00782811" w:rsidRPr="00661B39">
        <w:rPr>
          <w:szCs w:val="24"/>
        </w:rPr>
        <w:t xml:space="preserve"> 219, 225 (2005)</w:t>
      </w:r>
      <w:r w:rsidR="00B34D87" w:rsidRPr="00661B39">
        <w:rPr>
          <w:szCs w:val="24"/>
        </w:rPr>
        <w:fldChar w:fldCharType="begin"/>
      </w:r>
      <w:r w:rsidR="00EC7C45" w:rsidRPr="00661B39">
        <w:rPr>
          <w:szCs w:val="24"/>
        </w:rPr>
        <w:instrText xml:space="preserve"> TA \l "</w:instrText>
      </w:r>
      <w:r w:rsidR="00EC7C45" w:rsidRPr="00661B39">
        <w:rPr>
          <w:i/>
          <w:szCs w:val="24"/>
        </w:rPr>
        <w:instrText>State v. Philip Morris USA Inc.</w:instrText>
      </w:r>
      <w:r w:rsidR="00EC7C45" w:rsidRPr="00661B39">
        <w:rPr>
          <w:szCs w:val="24"/>
        </w:rPr>
        <w:instrText>,</w:instrText>
      </w:r>
      <w:r w:rsidR="00EC7C45" w:rsidRPr="00661B39">
        <w:rPr>
          <w:i/>
          <w:szCs w:val="24"/>
        </w:rPr>
        <w:instrText xml:space="preserve"> </w:instrText>
      </w:r>
      <w:r w:rsidR="00EC7C45" w:rsidRPr="00661B39">
        <w:rPr>
          <w:szCs w:val="24"/>
        </w:rPr>
        <w:instrText xml:space="preserve">359 N.C. 763, 618 S.E.2d. 219 (2005)" \s "State v. Philip Morris USA Inc., 359 N.C. 763, 773, 618 S.E.2d. 219, 225 (2005)" \c 1 </w:instrText>
      </w:r>
      <w:r w:rsidR="00B34D87" w:rsidRPr="00661B39">
        <w:rPr>
          <w:szCs w:val="24"/>
        </w:rPr>
        <w:fldChar w:fldCharType="end"/>
      </w:r>
      <w:r w:rsidR="00782811" w:rsidRPr="00661B39">
        <w:rPr>
          <w:szCs w:val="24"/>
        </w:rPr>
        <w:t>.</w:t>
      </w:r>
      <w:r w:rsidRPr="00661B39">
        <w:rPr>
          <w:szCs w:val="24"/>
        </w:rPr>
        <w:t xml:space="preserve">  Ambiguity exists “only where contractual language is capable of two </w:t>
      </w:r>
      <w:r w:rsidRPr="00661B39">
        <w:rPr>
          <w:i/>
          <w:szCs w:val="24"/>
        </w:rPr>
        <w:t>reasonable</w:t>
      </w:r>
      <w:r w:rsidRPr="00661B39">
        <w:rPr>
          <w:szCs w:val="24"/>
        </w:rPr>
        <w:t xml:space="preserve"> interpretations.”  </w:t>
      </w:r>
      <w:r w:rsidRPr="00661B39">
        <w:rPr>
          <w:i/>
          <w:szCs w:val="24"/>
        </w:rPr>
        <w:t xml:space="preserve">Silicon Image, Inc. v. Genesis Microchip, Inc., </w:t>
      </w:r>
      <w:r w:rsidRPr="00661B39">
        <w:rPr>
          <w:szCs w:val="24"/>
        </w:rPr>
        <w:t>271 F. Supp. 2d 840, 850 (E.D</w:t>
      </w:r>
      <w:r w:rsidR="004B4DA6" w:rsidRPr="00661B39">
        <w:rPr>
          <w:szCs w:val="24"/>
        </w:rPr>
        <w:t>. Va. 2003)</w:t>
      </w:r>
      <w:r w:rsidR="00B34D87" w:rsidRPr="00661B39">
        <w:rPr>
          <w:szCs w:val="24"/>
        </w:rPr>
        <w:fldChar w:fldCharType="begin"/>
      </w:r>
      <w:r w:rsidR="00EC7C45" w:rsidRPr="00661B39">
        <w:rPr>
          <w:szCs w:val="24"/>
        </w:rPr>
        <w:instrText xml:space="preserve"> TA \l "</w:instrText>
      </w:r>
      <w:r w:rsidR="00EC7C45" w:rsidRPr="00661B39">
        <w:rPr>
          <w:i/>
          <w:szCs w:val="24"/>
        </w:rPr>
        <w:instrText xml:space="preserve">Silicon Image, Inc. v. Genesis Microchip, Inc., </w:instrText>
      </w:r>
      <w:r w:rsidR="00EC7C45" w:rsidRPr="00661B39">
        <w:rPr>
          <w:szCs w:val="24"/>
        </w:rPr>
        <w:instrText xml:space="preserve">271 F. Supp. 2d 840 (E.D. Va. 2003)" \s "Silicon Image, Inc. v. Genesis Microchip, Inc., 271 F. Supp. 2d 840, 850 (E.D. Va. 2003)" \c 1 </w:instrText>
      </w:r>
      <w:r w:rsidR="00B34D87" w:rsidRPr="00661B39">
        <w:rPr>
          <w:szCs w:val="24"/>
        </w:rPr>
        <w:fldChar w:fldCharType="end"/>
      </w:r>
      <w:r w:rsidRPr="00661B39">
        <w:rPr>
          <w:szCs w:val="24"/>
        </w:rPr>
        <w:t xml:space="preserve">; </w:t>
      </w:r>
      <w:r w:rsidR="00F63AB8" w:rsidRPr="00661B39">
        <w:rPr>
          <w:i/>
          <w:szCs w:val="24"/>
        </w:rPr>
        <w:t xml:space="preserve">see </w:t>
      </w:r>
      <w:r w:rsidRPr="00661B39">
        <w:rPr>
          <w:i/>
          <w:szCs w:val="24"/>
        </w:rPr>
        <w:t>Johnson v. Am. United Life Ins. Co.</w:t>
      </w:r>
      <w:r w:rsidR="005A76A0" w:rsidRPr="00661B39">
        <w:rPr>
          <w:szCs w:val="24"/>
        </w:rPr>
        <w:t>,</w:t>
      </w:r>
      <w:r w:rsidRPr="00661B39">
        <w:rPr>
          <w:i/>
          <w:szCs w:val="24"/>
        </w:rPr>
        <w:t xml:space="preserve"> </w:t>
      </w:r>
      <w:r w:rsidRPr="00661B39">
        <w:rPr>
          <w:szCs w:val="24"/>
        </w:rPr>
        <w:t>71</w:t>
      </w:r>
      <w:r w:rsidR="00F63AB8" w:rsidRPr="00661B39">
        <w:rPr>
          <w:szCs w:val="24"/>
        </w:rPr>
        <w:t>6 F.3d 813, 820 (4th Cir. 2013)</w:t>
      </w:r>
      <w:r w:rsidR="00B34D87" w:rsidRPr="00661B39">
        <w:rPr>
          <w:szCs w:val="24"/>
        </w:rPr>
        <w:fldChar w:fldCharType="begin"/>
      </w:r>
      <w:r w:rsidR="00EC7C45" w:rsidRPr="00661B39">
        <w:rPr>
          <w:szCs w:val="24"/>
        </w:rPr>
        <w:instrText xml:space="preserve"> TA \l "</w:instrText>
      </w:r>
      <w:r w:rsidR="00EC7C45" w:rsidRPr="00661B39">
        <w:rPr>
          <w:i/>
          <w:szCs w:val="24"/>
        </w:rPr>
        <w:instrText>Johnson v. Am. United Life Ins. Co.</w:instrText>
      </w:r>
      <w:r w:rsidR="00EC7C45" w:rsidRPr="00661B39">
        <w:rPr>
          <w:szCs w:val="24"/>
        </w:rPr>
        <w:instrText>,</w:instrText>
      </w:r>
      <w:r w:rsidR="00EC7C45" w:rsidRPr="00661B39">
        <w:rPr>
          <w:i/>
          <w:szCs w:val="24"/>
        </w:rPr>
        <w:instrText xml:space="preserve"> </w:instrText>
      </w:r>
      <w:r w:rsidR="00EC7C45" w:rsidRPr="00661B39">
        <w:rPr>
          <w:szCs w:val="24"/>
        </w:rPr>
        <w:instrText xml:space="preserve">716 F.3d 813 (4th Cir. 2013)" \s "Johnson v. Am. United Life Ins. Co., 716 F.3d 813, 820 (4th Cir. 2013)" \c 1 </w:instrText>
      </w:r>
      <w:r w:rsidR="00B34D87" w:rsidRPr="00661B39">
        <w:rPr>
          <w:szCs w:val="24"/>
        </w:rPr>
        <w:fldChar w:fldCharType="end"/>
      </w:r>
      <w:r w:rsidR="00F63AB8" w:rsidRPr="00661B39">
        <w:rPr>
          <w:szCs w:val="24"/>
        </w:rPr>
        <w:t xml:space="preserve">; </w:t>
      </w:r>
      <w:r w:rsidR="00F63AB8" w:rsidRPr="00661B39">
        <w:rPr>
          <w:i/>
          <w:szCs w:val="24"/>
        </w:rPr>
        <w:t xml:space="preserve">Glover v. First Union Nat’l Bank, </w:t>
      </w:r>
      <w:r w:rsidR="00F63AB8" w:rsidRPr="00661B39">
        <w:rPr>
          <w:szCs w:val="24"/>
        </w:rPr>
        <w:t>109 N.C</w:t>
      </w:r>
      <w:r w:rsidR="00544C73" w:rsidRPr="00661B39">
        <w:rPr>
          <w:szCs w:val="24"/>
        </w:rPr>
        <w:t>.</w:t>
      </w:r>
      <w:r w:rsidR="00F63AB8" w:rsidRPr="00661B39">
        <w:rPr>
          <w:szCs w:val="24"/>
        </w:rPr>
        <w:t xml:space="preserve"> App. 451, 456, 428 S.E.2d 206, 209 (1993)</w:t>
      </w:r>
      <w:r w:rsidR="00B34D87" w:rsidRPr="00661B39">
        <w:rPr>
          <w:szCs w:val="24"/>
        </w:rPr>
        <w:fldChar w:fldCharType="begin"/>
      </w:r>
      <w:r w:rsidR="00EC7C45" w:rsidRPr="00661B39">
        <w:rPr>
          <w:szCs w:val="24"/>
        </w:rPr>
        <w:instrText xml:space="preserve"> TA \l "</w:instrText>
      </w:r>
      <w:r w:rsidR="00EC7C45" w:rsidRPr="00661B39">
        <w:rPr>
          <w:i/>
          <w:szCs w:val="24"/>
        </w:rPr>
        <w:instrText xml:space="preserve">Glover v. First Union Nat’l Bank, </w:instrText>
      </w:r>
      <w:r w:rsidR="00EC7C45" w:rsidRPr="00661B39">
        <w:rPr>
          <w:szCs w:val="24"/>
        </w:rPr>
        <w:instrText xml:space="preserve">109 N.C. App. 451, 428 S.E.2d 206 (1993)" \s "Glover v. First Union Nat’l Bank, 109 N.C. App. 451, 456, 428 S.E.2d 206, 209 (1993)" \c 1 </w:instrText>
      </w:r>
      <w:r w:rsidR="00B34D87" w:rsidRPr="00661B39">
        <w:rPr>
          <w:szCs w:val="24"/>
        </w:rPr>
        <w:fldChar w:fldCharType="end"/>
      </w:r>
      <w:r w:rsidR="00F63AB8" w:rsidRPr="00661B39">
        <w:rPr>
          <w:szCs w:val="24"/>
        </w:rPr>
        <w:t>.</w:t>
      </w:r>
      <w:r w:rsidRPr="00661B39">
        <w:rPr>
          <w:szCs w:val="24"/>
        </w:rPr>
        <w:t xml:space="preserve">  </w:t>
      </w:r>
    </w:p>
    <w:p w:rsidR="00B93C83" w:rsidRPr="00661B39" w:rsidRDefault="00A61636" w:rsidP="00F17F3C">
      <w:pPr>
        <w:spacing w:line="480" w:lineRule="auto"/>
        <w:ind w:firstLine="720"/>
        <w:jc w:val="both"/>
        <w:rPr>
          <w:szCs w:val="24"/>
        </w:rPr>
      </w:pPr>
      <w:r w:rsidRPr="00661B39">
        <w:rPr>
          <w:szCs w:val="24"/>
        </w:rPr>
        <w:t>In determining reasonable</w:t>
      </w:r>
      <w:r w:rsidR="00F12BE4" w:rsidRPr="00661B39">
        <w:rPr>
          <w:szCs w:val="24"/>
        </w:rPr>
        <w:t>ness</w:t>
      </w:r>
      <w:r w:rsidRPr="00661B39">
        <w:rPr>
          <w:szCs w:val="24"/>
        </w:rPr>
        <w:t xml:space="preserve">, courts examine the context and purpose of the contracting parties.  </w:t>
      </w:r>
      <w:r w:rsidRPr="00661B39">
        <w:rPr>
          <w:i/>
          <w:szCs w:val="24"/>
        </w:rPr>
        <w:t>See Silicon Image</w:t>
      </w:r>
      <w:r w:rsidR="005A76A0" w:rsidRPr="00661B39">
        <w:rPr>
          <w:szCs w:val="24"/>
        </w:rPr>
        <w:t>,</w:t>
      </w:r>
      <w:r w:rsidRPr="00661B39">
        <w:rPr>
          <w:i/>
          <w:szCs w:val="24"/>
        </w:rPr>
        <w:t xml:space="preserve"> </w:t>
      </w:r>
      <w:r w:rsidRPr="00661B39">
        <w:rPr>
          <w:szCs w:val="24"/>
        </w:rPr>
        <w:t>271 F. Supp. 2d at 851</w:t>
      </w:r>
      <w:r w:rsidR="00B34D87" w:rsidRPr="00661B39">
        <w:rPr>
          <w:szCs w:val="24"/>
        </w:rPr>
        <w:fldChar w:fldCharType="begin"/>
      </w:r>
      <w:r w:rsidR="00EC7C45" w:rsidRPr="00661B39">
        <w:rPr>
          <w:szCs w:val="24"/>
        </w:rPr>
        <w:instrText xml:space="preserve"> TA \s "Silicon Image, Inc. v. Genesis Micro</w:instrText>
      </w:r>
      <w:r w:rsidR="00E05815" w:rsidRPr="00661B39">
        <w:rPr>
          <w:szCs w:val="24"/>
        </w:rPr>
        <w:instrText>chip, Inc., 271 F. Supp. 2d 840</w:instrText>
      </w:r>
      <w:r w:rsidR="00EC7C45" w:rsidRPr="00661B39">
        <w:rPr>
          <w:szCs w:val="24"/>
        </w:rPr>
        <w:instrText xml:space="preserve"> (E.D. Va. 2003)" </w:instrText>
      </w:r>
      <w:r w:rsidR="00B34D87" w:rsidRPr="00661B39">
        <w:rPr>
          <w:szCs w:val="24"/>
        </w:rPr>
        <w:fldChar w:fldCharType="end"/>
      </w:r>
      <w:r w:rsidRPr="00661B39">
        <w:rPr>
          <w:szCs w:val="24"/>
        </w:rPr>
        <w:t xml:space="preserve"> (“[T]o interpret disputed contract terms, the context and intention [of the parties] are more meaningful than the dictionary def</w:t>
      </w:r>
      <w:r w:rsidR="004B4DA6" w:rsidRPr="00661B39">
        <w:rPr>
          <w:szCs w:val="24"/>
        </w:rPr>
        <w:t xml:space="preserve">inition.” (quotations omitted)); </w:t>
      </w:r>
      <w:proofErr w:type="spellStart"/>
      <w:r w:rsidR="004B4DA6" w:rsidRPr="00661B39">
        <w:rPr>
          <w:i/>
          <w:szCs w:val="24"/>
        </w:rPr>
        <w:t>Fulford</w:t>
      </w:r>
      <w:proofErr w:type="spellEnd"/>
      <w:r w:rsidR="004B4DA6" w:rsidRPr="00661B39">
        <w:rPr>
          <w:i/>
          <w:szCs w:val="24"/>
        </w:rPr>
        <w:t xml:space="preserve"> v. Jenkins, </w:t>
      </w:r>
      <w:r w:rsidR="004B4DA6" w:rsidRPr="00661B39">
        <w:rPr>
          <w:szCs w:val="24"/>
        </w:rPr>
        <w:t>195 N.C. App. 402, 408–09, 672 S.E.2d 759, 763 (2009)</w:t>
      </w:r>
      <w:r w:rsidR="00B34D87" w:rsidRPr="00661B39">
        <w:rPr>
          <w:szCs w:val="24"/>
        </w:rPr>
        <w:fldChar w:fldCharType="begin"/>
      </w:r>
      <w:r w:rsidR="00EC7C45" w:rsidRPr="00661B39">
        <w:rPr>
          <w:szCs w:val="24"/>
        </w:rPr>
        <w:instrText xml:space="preserve"> TA \l "</w:instrText>
      </w:r>
      <w:r w:rsidR="00EC7C45" w:rsidRPr="00661B39">
        <w:rPr>
          <w:i/>
          <w:szCs w:val="24"/>
        </w:rPr>
        <w:instrText xml:space="preserve">Fulford v. Jenkins, </w:instrText>
      </w:r>
      <w:r w:rsidR="00EC7C45" w:rsidRPr="00661B39">
        <w:rPr>
          <w:szCs w:val="24"/>
        </w:rPr>
        <w:instrText xml:space="preserve">195 N.C. App. 402, 672 S.E.2d 759 (2009)" \s "Fulford v. Jenkins, 195 N.C. App. 402, 408–09, 672 S.E.2d 759, 763 (2009)" \c 1 </w:instrText>
      </w:r>
      <w:r w:rsidR="00B34D87" w:rsidRPr="00661B39">
        <w:rPr>
          <w:szCs w:val="24"/>
        </w:rPr>
        <w:fldChar w:fldCharType="end"/>
      </w:r>
      <w:r w:rsidR="004B4DA6" w:rsidRPr="00661B39">
        <w:rPr>
          <w:szCs w:val="24"/>
        </w:rPr>
        <w:t>.</w:t>
      </w:r>
      <w:r w:rsidRPr="00661B39">
        <w:rPr>
          <w:szCs w:val="24"/>
        </w:rPr>
        <w:t xml:space="preserve">  </w:t>
      </w:r>
      <w:r w:rsidR="00150CE6" w:rsidRPr="00661B39">
        <w:rPr>
          <w:szCs w:val="24"/>
        </w:rPr>
        <w:t xml:space="preserve">Courts interpret an agreement’s </w:t>
      </w:r>
      <w:r w:rsidRPr="00661B39">
        <w:rPr>
          <w:szCs w:val="24"/>
        </w:rPr>
        <w:t xml:space="preserve">language </w:t>
      </w:r>
      <w:r w:rsidR="00150CE6" w:rsidRPr="00661B39">
        <w:rPr>
          <w:szCs w:val="24"/>
        </w:rPr>
        <w:t xml:space="preserve">“in the </w:t>
      </w:r>
      <w:r w:rsidRPr="00661B39">
        <w:rPr>
          <w:szCs w:val="24"/>
        </w:rPr>
        <w:t>light of all the circumstances, and if the principal purpose of the parties is ascertainable it is given great weight.”  Restatement (Second) of Contracts § 202(1) (1981)</w:t>
      </w:r>
      <w:r w:rsidR="00B34D87" w:rsidRPr="00661B39">
        <w:rPr>
          <w:szCs w:val="24"/>
        </w:rPr>
        <w:fldChar w:fldCharType="begin"/>
      </w:r>
      <w:r w:rsidR="00E05815" w:rsidRPr="00661B39">
        <w:rPr>
          <w:szCs w:val="24"/>
        </w:rPr>
        <w:instrText xml:space="preserve"> TA \l "Restatement (Second) of Contracts § 202(1) (1981)" \s "Restatement (Second) of Contracts § 202(1) (1981)" \c 3 </w:instrText>
      </w:r>
      <w:r w:rsidR="00B34D87" w:rsidRPr="00661B39">
        <w:rPr>
          <w:szCs w:val="24"/>
        </w:rPr>
        <w:fldChar w:fldCharType="end"/>
      </w:r>
      <w:r w:rsidRPr="00661B39">
        <w:rPr>
          <w:szCs w:val="24"/>
        </w:rPr>
        <w:t>; 5 Arthur L. Corbin, Corbin on Contracts § 24.20 (Rev. ed. 2002)</w:t>
      </w:r>
      <w:r w:rsidR="00B34D87" w:rsidRPr="00661B39">
        <w:rPr>
          <w:szCs w:val="24"/>
        </w:rPr>
        <w:fldChar w:fldCharType="begin"/>
      </w:r>
      <w:r w:rsidR="00E05815" w:rsidRPr="00661B39">
        <w:rPr>
          <w:szCs w:val="24"/>
        </w:rPr>
        <w:instrText xml:space="preserve"> TA \l "5 Arthur L. Corbin, Corbin on Contracts § 24.20 (Rev. ed. 2002)" \s "5 Arthur L. Corbin, Corbin on Contracts § 24.20 (Rev. ed. 2002)" \c 3 </w:instrText>
      </w:r>
      <w:r w:rsidR="00B34D87" w:rsidRPr="00661B39">
        <w:rPr>
          <w:szCs w:val="24"/>
        </w:rPr>
        <w:fldChar w:fldCharType="end"/>
      </w:r>
      <w:r w:rsidRPr="00661B39">
        <w:rPr>
          <w:szCs w:val="24"/>
        </w:rPr>
        <w:t xml:space="preserve"> (“When the principal purpose of the parties becomes clear, further interpretation should be guided thereby.”).  In short, </w:t>
      </w:r>
      <w:r w:rsidR="00150CE6" w:rsidRPr="00661B39">
        <w:rPr>
          <w:szCs w:val="24"/>
        </w:rPr>
        <w:t>a court</w:t>
      </w:r>
      <w:r w:rsidRPr="00661B39">
        <w:rPr>
          <w:szCs w:val="24"/>
        </w:rPr>
        <w:t xml:space="preserve"> </w:t>
      </w:r>
      <w:r w:rsidR="00150CE6" w:rsidRPr="00661B39">
        <w:rPr>
          <w:szCs w:val="24"/>
        </w:rPr>
        <w:t xml:space="preserve">will </w:t>
      </w:r>
      <w:r w:rsidRPr="00661B39">
        <w:rPr>
          <w:szCs w:val="24"/>
        </w:rPr>
        <w:t xml:space="preserve">interpret </w:t>
      </w:r>
      <w:r w:rsidR="00150CE6" w:rsidRPr="00661B39">
        <w:rPr>
          <w:szCs w:val="24"/>
        </w:rPr>
        <w:t>an agreement</w:t>
      </w:r>
      <w:r w:rsidRPr="00661B39">
        <w:rPr>
          <w:szCs w:val="24"/>
        </w:rPr>
        <w:t xml:space="preserve"> “to effectuate its spirit and purpose.”  </w:t>
      </w:r>
      <w:r w:rsidRPr="00661B39">
        <w:rPr>
          <w:i/>
          <w:szCs w:val="24"/>
        </w:rPr>
        <w:t>Silicon Image</w:t>
      </w:r>
      <w:r w:rsidR="005A76A0" w:rsidRPr="00661B39">
        <w:rPr>
          <w:szCs w:val="24"/>
        </w:rPr>
        <w:t>,</w:t>
      </w:r>
      <w:r w:rsidRPr="00661B39">
        <w:rPr>
          <w:i/>
          <w:szCs w:val="24"/>
        </w:rPr>
        <w:t xml:space="preserve"> </w:t>
      </w:r>
      <w:r w:rsidRPr="00661B39">
        <w:rPr>
          <w:szCs w:val="24"/>
        </w:rPr>
        <w:t>271 F. Supp. 2d at 851</w:t>
      </w:r>
      <w:r w:rsidR="00B34D87" w:rsidRPr="00661B39">
        <w:rPr>
          <w:szCs w:val="24"/>
        </w:rPr>
        <w:fldChar w:fldCharType="begin"/>
      </w:r>
      <w:r w:rsidR="00810225" w:rsidRPr="00661B39">
        <w:rPr>
          <w:szCs w:val="24"/>
        </w:rPr>
        <w:instrText xml:space="preserve"> TA \s "Silicon Image, Inc. v. Genesis Microchip, Inc., 271 F. Supp. 2d 840 (E.D. Va. 2003)" </w:instrText>
      </w:r>
      <w:r w:rsidR="00B34D87" w:rsidRPr="00661B39">
        <w:rPr>
          <w:szCs w:val="24"/>
        </w:rPr>
        <w:fldChar w:fldCharType="end"/>
      </w:r>
      <w:r w:rsidRPr="00661B39">
        <w:rPr>
          <w:szCs w:val="24"/>
        </w:rPr>
        <w:t xml:space="preserve"> (</w:t>
      </w:r>
      <w:r w:rsidR="00F12BE4" w:rsidRPr="00661B39">
        <w:rPr>
          <w:szCs w:val="24"/>
        </w:rPr>
        <w:t>quotations omitted</w:t>
      </w:r>
      <w:r w:rsidRPr="00661B39">
        <w:rPr>
          <w:szCs w:val="24"/>
        </w:rPr>
        <w:t xml:space="preserve">).  </w:t>
      </w:r>
    </w:p>
    <w:p w:rsidR="00B93C83" w:rsidRPr="00661B39" w:rsidRDefault="00A61636" w:rsidP="00F17F3C">
      <w:pPr>
        <w:spacing w:line="480" w:lineRule="auto"/>
        <w:ind w:firstLine="720"/>
        <w:jc w:val="both"/>
        <w:rPr>
          <w:szCs w:val="24"/>
        </w:rPr>
      </w:pPr>
      <w:r w:rsidRPr="00661B39">
        <w:rPr>
          <w:szCs w:val="24"/>
        </w:rPr>
        <w:t xml:space="preserve">Moreover, “intent is derived not from a particular contractual term but from the contract as a whole.”  </w:t>
      </w:r>
      <w:r w:rsidRPr="00661B39">
        <w:rPr>
          <w:i/>
          <w:szCs w:val="24"/>
        </w:rPr>
        <w:t>Crain</w:t>
      </w:r>
      <w:r w:rsidRPr="00661B39">
        <w:rPr>
          <w:szCs w:val="24"/>
        </w:rPr>
        <w:t>, 2015 WL 73961</w:t>
      </w:r>
      <w:r w:rsidR="004B4DA6" w:rsidRPr="00661B39">
        <w:rPr>
          <w:szCs w:val="24"/>
        </w:rPr>
        <w:t xml:space="preserve">, at *2 </w:t>
      </w:r>
      <w:r w:rsidRPr="00661B39">
        <w:rPr>
          <w:szCs w:val="24"/>
        </w:rPr>
        <w:t>(quotations omitted)</w:t>
      </w:r>
      <w:r w:rsidR="00B34D87" w:rsidRPr="00661B39">
        <w:rPr>
          <w:szCs w:val="24"/>
        </w:rPr>
        <w:fldChar w:fldCharType="begin"/>
      </w:r>
      <w:r w:rsidR="00810225" w:rsidRPr="00661B39">
        <w:rPr>
          <w:szCs w:val="24"/>
        </w:rPr>
        <w:instrText xml:space="preserve"> TA \s "Crain v. DeBartolo, No. 7:14-CV-29-D, 2015 WL 73961 (E.D.N.C. Jan. 6, 2015)" </w:instrText>
      </w:r>
      <w:r w:rsidR="00B34D87" w:rsidRPr="00661B39">
        <w:rPr>
          <w:szCs w:val="24"/>
        </w:rPr>
        <w:fldChar w:fldCharType="end"/>
      </w:r>
      <w:r w:rsidRPr="00661B39">
        <w:rPr>
          <w:szCs w:val="24"/>
        </w:rPr>
        <w:t xml:space="preserve">; </w:t>
      </w:r>
      <w:r w:rsidRPr="00661B39">
        <w:rPr>
          <w:i/>
          <w:szCs w:val="24"/>
        </w:rPr>
        <w:t xml:space="preserve">see Johnson, </w:t>
      </w:r>
      <w:r w:rsidR="00F63AB8" w:rsidRPr="00661B39">
        <w:rPr>
          <w:szCs w:val="24"/>
        </w:rPr>
        <w:t>716 F.3d at 820</w:t>
      </w:r>
      <w:r w:rsidR="00B34D87" w:rsidRPr="00661B39">
        <w:rPr>
          <w:szCs w:val="24"/>
        </w:rPr>
        <w:fldChar w:fldCharType="begin"/>
      </w:r>
      <w:r w:rsidR="00810225" w:rsidRPr="00661B39">
        <w:rPr>
          <w:szCs w:val="24"/>
        </w:rPr>
        <w:instrText xml:space="preserve"> TA \s "Johnson v. Am. United Life Ins. Co., 716 F.3d 813 (4th Cir. 2013)" </w:instrText>
      </w:r>
      <w:r w:rsidR="00B34D87" w:rsidRPr="00661B39">
        <w:rPr>
          <w:szCs w:val="24"/>
        </w:rPr>
        <w:fldChar w:fldCharType="end"/>
      </w:r>
      <w:r w:rsidR="00F63AB8" w:rsidRPr="00661B39">
        <w:rPr>
          <w:szCs w:val="24"/>
        </w:rPr>
        <w:t xml:space="preserve">; </w:t>
      </w:r>
      <w:r w:rsidR="00F63AB8" w:rsidRPr="00661B39">
        <w:rPr>
          <w:i/>
          <w:szCs w:val="24"/>
        </w:rPr>
        <w:t xml:space="preserve">Lynn v. Lynn, </w:t>
      </w:r>
      <w:r w:rsidR="00F63AB8" w:rsidRPr="00661B39">
        <w:rPr>
          <w:szCs w:val="24"/>
        </w:rPr>
        <w:t>202 N.C. App. 423, 435, 689 S.E.2d 198, 207 (2010)</w:t>
      </w:r>
      <w:r w:rsidR="00B34D87" w:rsidRPr="00661B39">
        <w:rPr>
          <w:szCs w:val="24"/>
        </w:rPr>
        <w:fldChar w:fldCharType="begin"/>
      </w:r>
      <w:r w:rsidR="00810225" w:rsidRPr="00661B39">
        <w:rPr>
          <w:szCs w:val="24"/>
        </w:rPr>
        <w:instrText xml:space="preserve"> TA \l "</w:instrText>
      </w:r>
      <w:r w:rsidR="00810225" w:rsidRPr="00661B39">
        <w:rPr>
          <w:i/>
          <w:szCs w:val="24"/>
        </w:rPr>
        <w:instrText xml:space="preserve">Lynn v. Lynn, </w:instrText>
      </w:r>
      <w:r w:rsidR="00810225" w:rsidRPr="00661B39">
        <w:rPr>
          <w:szCs w:val="24"/>
        </w:rPr>
        <w:instrText xml:space="preserve">202 N.C. App. 423, 689 S.E.2d 198 (2010)" \s "Lynn v. Lynn, 202 N.C. App. 423, 435, 689 S.E.2d 198, 207 (2010)" \c 1 </w:instrText>
      </w:r>
      <w:r w:rsidR="00B34D87" w:rsidRPr="00661B39">
        <w:rPr>
          <w:szCs w:val="24"/>
        </w:rPr>
        <w:fldChar w:fldCharType="end"/>
      </w:r>
      <w:r w:rsidR="00F63AB8" w:rsidRPr="00661B39">
        <w:rPr>
          <w:szCs w:val="24"/>
        </w:rPr>
        <w:t xml:space="preserve">; </w:t>
      </w:r>
      <w:r w:rsidRPr="00661B39">
        <w:rPr>
          <w:szCs w:val="24"/>
        </w:rPr>
        <w:t>Rest</w:t>
      </w:r>
      <w:r w:rsidR="009D164C" w:rsidRPr="00661B39">
        <w:rPr>
          <w:szCs w:val="24"/>
        </w:rPr>
        <w:t>atement</w:t>
      </w:r>
      <w:r w:rsidRPr="00661B39">
        <w:rPr>
          <w:szCs w:val="24"/>
        </w:rPr>
        <w:t xml:space="preserve"> § 202(2)</w:t>
      </w:r>
      <w:r w:rsidR="00B34D87" w:rsidRPr="00661B39">
        <w:rPr>
          <w:szCs w:val="24"/>
        </w:rPr>
        <w:fldChar w:fldCharType="begin"/>
      </w:r>
      <w:r w:rsidR="001F70B4" w:rsidRPr="00661B39">
        <w:rPr>
          <w:szCs w:val="24"/>
        </w:rPr>
        <w:instrText xml:space="preserve"> TA </w:instrText>
      </w:r>
      <w:r w:rsidR="001C26E6">
        <w:rPr>
          <w:szCs w:val="24"/>
        </w:rPr>
        <w:instrText>\l “</w:instrText>
      </w:r>
      <w:r w:rsidR="001C26E6">
        <w:rPr>
          <w:noProof/>
        </w:rPr>
        <w:instrText>Restatement (Second) of Contracts § 202(2) (1981)</w:instrText>
      </w:r>
      <w:r w:rsidR="001F70B4" w:rsidRPr="00661B39">
        <w:rPr>
          <w:szCs w:val="24"/>
        </w:rPr>
        <w:instrText xml:space="preserve">" \s "Restatement (Second) of Contracts § 202(2) (1981)" \c 3 </w:instrText>
      </w:r>
      <w:r w:rsidR="00B34D87" w:rsidRPr="00661B39">
        <w:rPr>
          <w:szCs w:val="24"/>
        </w:rPr>
        <w:fldChar w:fldCharType="end"/>
      </w:r>
      <w:r w:rsidR="001F70B4" w:rsidRPr="00661B39">
        <w:rPr>
          <w:szCs w:val="24"/>
        </w:rPr>
        <w:t xml:space="preserve"> </w:t>
      </w:r>
      <w:r w:rsidRPr="00661B39">
        <w:rPr>
          <w:szCs w:val="24"/>
        </w:rPr>
        <w:t>(“A writing is interpreted as a whole, and all writings that are part of the same transaction are interpreted together.”).</w:t>
      </w:r>
      <w:r w:rsidR="00A8125B" w:rsidRPr="00661B39">
        <w:rPr>
          <w:szCs w:val="24"/>
        </w:rPr>
        <w:t xml:space="preserve">  </w:t>
      </w:r>
    </w:p>
    <w:p w:rsidR="008A0CE7" w:rsidRDefault="00A61636" w:rsidP="00A94E84">
      <w:pPr>
        <w:tabs>
          <w:tab w:val="left" w:pos="720"/>
        </w:tabs>
        <w:spacing w:line="480" w:lineRule="auto"/>
        <w:jc w:val="both"/>
        <w:rPr>
          <w:szCs w:val="24"/>
        </w:rPr>
      </w:pPr>
      <w:r w:rsidRPr="00661B39">
        <w:rPr>
          <w:szCs w:val="24"/>
        </w:rPr>
        <w:tab/>
        <w:t xml:space="preserve">Where the language of an agreement is </w:t>
      </w:r>
      <w:r w:rsidR="00F12BE4" w:rsidRPr="00661B39">
        <w:rPr>
          <w:szCs w:val="24"/>
        </w:rPr>
        <w:t xml:space="preserve">ambiguous, </w:t>
      </w:r>
      <w:r w:rsidR="00150CE6" w:rsidRPr="00661B39">
        <w:rPr>
          <w:szCs w:val="24"/>
        </w:rPr>
        <w:t xml:space="preserve">a court </w:t>
      </w:r>
      <w:r w:rsidRPr="00661B39">
        <w:rPr>
          <w:szCs w:val="24"/>
        </w:rPr>
        <w:t>turn</w:t>
      </w:r>
      <w:r w:rsidR="00150CE6" w:rsidRPr="00661B39">
        <w:rPr>
          <w:szCs w:val="24"/>
        </w:rPr>
        <w:t>s</w:t>
      </w:r>
      <w:r w:rsidRPr="00661B39">
        <w:rPr>
          <w:szCs w:val="24"/>
        </w:rPr>
        <w:t xml:space="preserve"> to extrinsic evidence to determine the parties’ intent.  </w:t>
      </w:r>
      <w:r w:rsidRPr="00661B39">
        <w:rPr>
          <w:i/>
          <w:szCs w:val="24"/>
        </w:rPr>
        <w:t xml:space="preserve">See </w:t>
      </w:r>
      <w:r w:rsidR="00F63AB8" w:rsidRPr="00661B39">
        <w:rPr>
          <w:i/>
          <w:szCs w:val="24"/>
        </w:rPr>
        <w:t>Silicon Image</w:t>
      </w:r>
      <w:r w:rsidR="00F63AB8" w:rsidRPr="00661B39">
        <w:rPr>
          <w:szCs w:val="24"/>
        </w:rPr>
        <w:t>,</w:t>
      </w:r>
      <w:r w:rsidR="00F63AB8" w:rsidRPr="00661B39">
        <w:rPr>
          <w:i/>
          <w:szCs w:val="24"/>
        </w:rPr>
        <w:t xml:space="preserve"> </w:t>
      </w:r>
      <w:r w:rsidR="00F63AB8" w:rsidRPr="00661B39">
        <w:rPr>
          <w:szCs w:val="24"/>
        </w:rPr>
        <w:t>271 F. Supp. 2d at 850</w:t>
      </w:r>
      <w:r w:rsidR="00B34D87" w:rsidRPr="00661B39">
        <w:rPr>
          <w:szCs w:val="24"/>
        </w:rPr>
        <w:fldChar w:fldCharType="begin"/>
      </w:r>
      <w:r w:rsidR="00810225" w:rsidRPr="00661B39">
        <w:rPr>
          <w:szCs w:val="24"/>
        </w:rPr>
        <w:instrText xml:space="preserve"> TA \s "Silicon Image, Inc. v. Genesis Microchip, Inc., 271 F. Supp. 2d 840 (E.D. Va. 2003)" </w:instrText>
      </w:r>
      <w:r w:rsidR="00B34D87" w:rsidRPr="00661B39">
        <w:rPr>
          <w:szCs w:val="24"/>
        </w:rPr>
        <w:fldChar w:fldCharType="end"/>
      </w:r>
      <w:r w:rsidRPr="00661B39">
        <w:rPr>
          <w:szCs w:val="24"/>
        </w:rPr>
        <w:t xml:space="preserve">.  Courts “give consideration to evidence of the parties’ own interpretation of the contract prior to the controversy.”  </w:t>
      </w:r>
      <w:proofErr w:type="spellStart"/>
      <w:r w:rsidRPr="00661B39">
        <w:rPr>
          <w:i/>
          <w:szCs w:val="24"/>
        </w:rPr>
        <w:t>Bicket</w:t>
      </w:r>
      <w:proofErr w:type="spellEnd"/>
      <w:r w:rsidRPr="00661B39">
        <w:rPr>
          <w:i/>
          <w:szCs w:val="24"/>
        </w:rPr>
        <w:t xml:space="preserve"> v. McLean Sec., Inc.</w:t>
      </w:r>
      <w:r w:rsidRPr="00661B39">
        <w:rPr>
          <w:szCs w:val="24"/>
        </w:rPr>
        <w:t>,</w:t>
      </w:r>
      <w:r w:rsidRPr="00661B39">
        <w:rPr>
          <w:i/>
          <w:szCs w:val="24"/>
        </w:rPr>
        <w:t xml:space="preserve"> </w:t>
      </w:r>
      <w:r w:rsidRPr="00661B39">
        <w:rPr>
          <w:szCs w:val="24"/>
        </w:rPr>
        <w:t>138 N.C. App. 353, 361–62, 532 S.E.2d 183</w:t>
      </w:r>
      <w:r w:rsidR="002C2C88">
        <w:rPr>
          <w:szCs w:val="24"/>
        </w:rPr>
        <w:t>, 188</w:t>
      </w:r>
      <w:r w:rsidR="00F12BE4" w:rsidRPr="00661B39">
        <w:rPr>
          <w:szCs w:val="24"/>
        </w:rPr>
        <w:t xml:space="preserve"> (2000)</w:t>
      </w:r>
      <w:r w:rsidR="00B34D87" w:rsidRPr="00661B39">
        <w:rPr>
          <w:szCs w:val="24"/>
        </w:rPr>
        <w:fldChar w:fldCharType="begin"/>
      </w:r>
      <w:r w:rsidR="00810225" w:rsidRPr="00661B39">
        <w:rPr>
          <w:szCs w:val="24"/>
        </w:rPr>
        <w:instrText xml:space="preserve"> TA \l "</w:instrText>
      </w:r>
      <w:r w:rsidR="00810225" w:rsidRPr="003279A2">
        <w:rPr>
          <w:i/>
          <w:szCs w:val="24"/>
        </w:rPr>
        <w:instrText>Bicket v. McLean Sec., Inc.</w:instrText>
      </w:r>
      <w:r w:rsidR="00810225" w:rsidRPr="00661B39">
        <w:rPr>
          <w:szCs w:val="24"/>
        </w:rPr>
        <w:instrText>,</w:instrText>
      </w:r>
      <w:r w:rsidR="00810225" w:rsidRPr="00661B39">
        <w:rPr>
          <w:i/>
          <w:szCs w:val="24"/>
        </w:rPr>
        <w:instrText xml:space="preserve"> </w:instrText>
      </w:r>
      <w:r w:rsidR="00810225" w:rsidRPr="00661B39">
        <w:rPr>
          <w:szCs w:val="24"/>
        </w:rPr>
        <w:instrText>138 N.C. App. 353, 532 S.E.2d 183 (2000)" \s "</w:instrText>
      </w:r>
      <w:r w:rsidR="00810225" w:rsidRPr="003279A2">
        <w:rPr>
          <w:i/>
          <w:szCs w:val="24"/>
        </w:rPr>
        <w:instrText>Bicket v. McLean Sec., Inc.</w:instrText>
      </w:r>
      <w:r w:rsidR="00810225" w:rsidRPr="00661B39">
        <w:rPr>
          <w:szCs w:val="24"/>
        </w:rPr>
        <w:instrText xml:space="preserve">, 138 N.C. App. 353, 361–62, 532 S.E.2d 183, 188 (2000)" \c 1 </w:instrText>
      </w:r>
      <w:r w:rsidR="00B34D87" w:rsidRPr="00661B39">
        <w:rPr>
          <w:szCs w:val="24"/>
        </w:rPr>
        <w:fldChar w:fldCharType="end"/>
      </w:r>
      <w:r w:rsidRPr="00661B39">
        <w:rPr>
          <w:szCs w:val="24"/>
        </w:rPr>
        <w:t xml:space="preserve">; </w:t>
      </w:r>
      <w:r w:rsidRPr="00661B39">
        <w:rPr>
          <w:i/>
          <w:szCs w:val="24"/>
        </w:rPr>
        <w:t xml:space="preserve">Cent. Tel. Co. of Va. v. Sprint </w:t>
      </w:r>
      <w:proofErr w:type="spellStart"/>
      <w:r w:rsidRPr="00661B39">
        <w:rPr>
          <w:i/>
          <w:szCs w:val="24"/>
        </w:rPr>
        <w:t>Commc’ns</w:t>
      </w:r>
      <w:proofErr w:type="spellEnd"/>
      <w:r w:rsidRPr="00661B39">
        <w:rPr>
          <w:i/>
          <w:szCs w:val="24"/>
        </w:rPr>
        <w:t xml:space="preserve"> Co. of Va.</w:t>
      </w:r>
      <w:r w:rsidR="005A76A0" w:rsidRPr="00661B39">
        <w:rPr>
          <w:szCs w:val="24"/>
        </w:rPr>
        <w:t>,</w:t>
      </w:r>
      <w:r w:rsidRPr="00661B39">
        <w:rPr>
          <w:i/>
          <w:szCs w:val="24"/>
        </w:rPr>
        <w:t xml:space="preserve"> </w:t>
      </w:r>
      <w:r w:rsidRPr="00661B39">
        <w:rPr>
          <w:szCs w:val="24"/>
        </w:rPr>
        <w:t>715 F.3d 501, 517 (4th Cir. 2013)</w:t>
      </w:r>
      <w:r w:rsidR="00B34D87" w:rsidRPr="00661B39">
        <w:rPr>
          <w:szCs w:val="24"/>
        </w:rPr>
        <w:fldChar w:fldCharType="begin"/>
      </w:r>
      <w:r w:rsidR="00810225" w:rsidRPr="00661B39">
        <w:rPr>
          <w:szCs w:val="24"/>
        </w:rPr>
        <w:instrText xml:space="preserve"> TA \l "</w:instrText>
      </w:r>
      <w:r w:rsidR="00810225" w:rsidRPr="00661B39">
        <w:rPr>
          <w:i/>
          <w:szCs w:val="24"/>
        </w:rPr>
        <w:instrText>Cent. Tel. Co. of Va. v. Sprint Commc’ns Co. of Va.</w:instrText>
      </w:r>
      <w:r w:rsidR="00810225" w:rsidRPr="00661B39">
        <w:rPr>
          <w:szCs w:val="24"/>
        </w:rPr>
        <w:instrText>,</w:instrText>
      </w:r>
      <w:r w:rsidR="00810225" w:rsidRPr="00661B39">
        <w:rPr>
          <w:i/>
          <w:szCs w:val="24"/>
        </w:rPr>
        <w:instrText xml:space="preserve"> </w:instrText>
      </w:r>
      <w:r w:rsidR="00810225" w:rsidRPr="00661B39">
        <w:rPr>
          <w:szCs w:val="24"/>
        </w:rPr>
        <w:instrText xml:space="preserve">715 F.3d 501 (4th Cir. 2013)" \s "Cent. Tel. Co. of Va. v. Sprint Commc’ns Co. of Va., 715 F.3d 501, 517 (4th Cir. 2013)" \c 1 </w:instrText>
      </w:r>
      <w:r w:rsidR="00B34D87" w:rsidRPr="00661B39">
        <w:rPr>
          <w:szCs w:val="24"/>
        </w:rPr>
        <w:fldChar w:fldCharType="end"/>
      </w:r>
      <w:r w:rsidR="00BC32ED" w:rsidRPr="00661B39">
        <w:rPr>
          <w:szCs w:val="24"/>
        </w:rPr>
        <w:t xml:space="preserve">.  </w:t>
      </w:r>
      <w:r w:rsidRPr="00661B39">
        <w:rPr>
          <w:szCs w:val="24"/>
        </w:rPr>
        <w:t xml:space="preserve">The manner in which the parties have carried out the terms of an agreement since its execution is indicative of how the parties construe the terms.  </w:t>
      </w:r>
      <w:r w:rsidRPr="00661B39">
        <w:rPr>
          <w:i/>
          <w:szCs w:val="24"/>
        </w:rPr>
        <w:t>See</w:t>
      </w:r>
      <w:r w:rsidR="00BC32ED" w:rsidRPr="00661B39">
        <w:rPr>
          <w:i/>
          <w:szCs w:val="24"/>
        </w:rPr>
        <w:t xml:space="preserve"> Crowder Const</w:t>
      </w:r>
      <w:r w:rsidR="00AE419B">
        <w:rPr>
          <w:i/>
          <w:szCs w:val="24"/>
        </w:rPr>
        <w:t>r</w:t>
      </w:r>
      <w:r w:rsidR="00BC32ED" w:rsidRPr="00661B39">
        <w:rPr>
          <w:i/>
          <w:szCs w:val="24"/>
        </w:rPr>
        <w:t xml:space="preserve">. Co. v. Kiser, </w:t>
      </w:r>
      <w:r w:rsidR="00BC32ED" w:rsidRPr="00661B39">
        <w:rPr>
          <w:szCs w:val="24"/>
        </w:rPr>
        <w:t>134 N.C. App. 190, 200–01, 517 S.E.2d 178, 186 (1999)</w:t>
      </w:r>
      <w:r w:rsidR="00B34D87" w:rsidRPr="00661B39">
        <w:rPr>
          <w:szCs w:val="24"/>
        </w:rPr>
        <w:fldChar w:fldCharType="begin"/>
      </w:r>
      <w:r w:rsidR="00DB617C" w:rsidRPr="00661B39">
        <w:rPr>
          <w:szCs w:val="24"/>
        </w:rPr>
        <w:instrText xml:space="preserve"> TA \l "</w:instrText>
      </w:r>
      <w:r w:rsidR="00DB617C" w:rsidRPr="00661B39">
        <w:rPr>
          <w:i/>
          <w:szCs w:val="24"/>
        </w:rPr>
        <w:instrText>Crowder Const</w:instrText>
      </w:r>
      <w:r w:rsidR="00AE419B">
        <w:rPr>
          <w:i/>
          <w:szCs w:val="24"/>
        </w:rPr>
        <w:instrText>r</w:instrText>
      </w:r>
      <w:r w:rsidR="00DB617C" w:rsidRPr="00661B39">
        <w:rPr>
          <w:i/>
          <w:szCs w:val="24"/>
        </w:rPr>
        <w:instrText xml:space="preserve">. Co. v. Kiser, </w:instrText>
      </w:r>
      <w:r w:rsidR="00DB617C" w:rsidRPr="00661B39">
        <w:rPr>
          <w:szCs w:val="24"/>
        </w:rPr>
        <w:instrText xml:space="preserve">134 N.C. App. 190, 517 S.E.2d 178 (1999)" \s "Crowder Const. Co. v. Kiser, 134 N.C. App. 190, 200–01, 517 S.E.2d 178, 186 (1999)" \c 1 </w:instrText>
      </w:r>
      <w:r w:rsidR="00B34D87" w:rsidRPr="00661B39">
        <w:rPr>
          <w:szCs w:val="24"/>
        </w:rPr>
        <w:fldChar w:fldCharType="end"/>
      </w:r>
      <w:r w:rsidRPr="00661B39">
        <w:rPr>
          <w:szCs w:val="24"/>
        </w:rPr>
        <w:t>.  Accordingly, course</w:t>
      </w:r>
      <w:r w:rsidR="008B3D09" w:rsidRPr="00661B39">
        <w:rPr>
          <w:szCs w:val="24"/>
        </w:rPr>
        <w:t>-</w:t>
      </w:r>
      <w:r w:rsidRPr="00661B39">
        <w:rPr>
          <w:szCs w:val="24"/>
        </w:rPr>
        <w:t>of</w:t>
      </w:r>
      <w:r w:rsidR="008B3D09" w:rsidRPr="00661B39">
        <w:rPr>
          <w:szCs w:val="24"/>
        </w:rPr>
        <w:t>-</w:t>
      </w:r>
      <w:r w:rsidRPr="00661B39">
        <w:rPr>
          <w:szCs w:val="24"/>
        </w:rPr>
        <w:t xml:space="preserve">conduct evidence is </w:t>
      </w:r>
      <w:r w:rsidR="00BC6FFB" w:rsidRPr="00661B39">
        <w:rPr>
          <w:szCs w:val="24"/>
        </w:rPr>
        <w:t>“deemed to be of great, if not controlling, influence.”</w:t>
      </w:r>
      <w:r w:rsidRPr="00661B39">
        <w:rPr>
          <w:szCs w:val="24"/>
        </w:rPr>
        <w:t xml:space="preserve">  </w:t>
      </w:r>
      <w:r w:rsidR="00F12BE4" w:rsidRPr="00661B39">
        <w:rPr>
          <w:i/>
          <w:szCs w:val="24"/>
        </w:rPr>
        <w:t>See Mgmt Sys. Assocs.</w:t>
      </w:r>
      <w:r w:rsidRPr="00661B39">
        <w:rPr>
          <w:i/>
          <w:szCs w:val="24"/>
        </w:rPr>
        <w:t>, Inc. v. McDonnell Douglas Corp.</w:t>
      </w:r>
      <w:r w:rsidR="005A76A0" w:rsidRPr="00661B39">
        <w:rPr>
          <w:szCs w:val="24"/>
        </w:rPr>
        <w:t>,</w:t>
      </w:r>
      <w:r w:rsidRPr="00661B39">
        <w:rPr>
          <w:i/>
          <w:szCs w:val="24"/>
        </w:rPr>
        <w:t xml:space="preserve"> </w:t>
      </w:r>
      <w:r w:rsidRPr="00661B39">
        <w:rPr>
          <w:szCs w:val="24"/>
        </w:rPr>
        <w:t>762 F.2</w:t>
      </w:r>
      <w:r w:rsidR="00BC6FFB" w:rsidRPr="00661B39">
        <w:rPr>
          <w:szCs w:val="24"/>
        </w:rPr>
        <w:t>d 1161, 1171–72 (4th Cir. 1985</w:t>
      </w:r>
      <w:r w:rsidR="00B34D87" w:rsidRPr="00661B39">
        <w:rPr>
          <w:szCs w:val="24"/>
        </w:rPr>
        <w:fldChar w:fldCharType="begin"/>
      </w:r>
      <w:r w:rsidR="00DB617C" w:rsidRPr="00661B39">
        <w:rPr>
          <w:szCs w:val="24"/>
        </w:rPr>
        <w:instrText xml:space="preserve"> TA \l "</w:instrText>
      </w:r>
      <w:r w:rsidR="00DB617C" w:rsidRPr="00661B39">
        <w:rPr>
          <w:i/>
          <w:szCs w:val="24"/>
        </w:rPr>
        <w:instrText>Mgmt Sys. Assocs., Inc. v. McDonnell Douglas Corp.</w:instrText>
      </w:r>
      <w:r w:rsidR="00DB617C" w:rsidRPr="00661B39">
        <w:rPr>
          <w:szCs w:val="24"/>
        </w:rPr>
        <w:instrText>,</w:instrText>
      </w:r>
      <w:r w:rsidR="00DB617C" w:rsidRPr="00661B39">
        <w:rPr>
          <w:i/>
          <w:szCs w:val="24"/>
        </w:rPr>
        <w:instrText xml:space="preserve"> </w:instrText>
      </w:r>
      <w:r w:rsidR="00DB617C" w:rsidRPr="00661B39">
        <w:rPr>
          <w:szCs w:val="24"/>
        </w:rPr>
        <w:instrText>762 F.2d 1161 (4th Cir. 1985</w:instrText>
      </w:r>
      <w:r w:rsidR="008C178D" w:rsidRPr="00661B39">
        <w:rPr>
          <w:szCs w:val="24"/>
        </w:rPr>
        <w:instrText>)</w:instrText>
      </w:r>
      <w:r w:rsidR="00DB617C" w:rsidRPr="00661B39">
        <w:rPr>
          <w:szCs w:val="24"/>
        </w:rPr>
        <w:instrText xml:space="preserve">" \s "Mgmt Sys. Assocs., Inc. v. McDonnell Douglas Corp., 762 F.2d 1161, 1171–72 (4th Cir. 1985" \c 1 </w:instrText>
      </w:r>
      <w:r w:rsidR="00B34D87" w:rsidRPr="00661B39">
        <w:rPr>
          <w:szCs w:val="24"/>
        </w:rPr>
        <w:fldChar w:fldCharType="end"/>
      </w:r>
      <w:r w:rsidR="00BC6FFB" w:rsidRPr="00661B39">
        <w:rPr>
          <w:szCs w:val="24"/>
        </w:rPr>
        <w:t xml:space="preserve">) </w:t>
      </w:r>
      <w:r w:rsidRPr="00661B39">
        <w:rPr>
          <w:szCs w:val="24"/>
        </w:rPr>
        <w:t>(</w:t>
      </w:r>
      <w:r w:rsidR="00BC6FFB" w:rsidRPr="00661B39">
        <w:rPr>
          <w:szCs w:val="24"/>
        </w:rPr>
        <w:t>quotation</w:t>
      </w:r>
      <w:r w:rsidR="00F12BE4" w:rsidRPr="00661B39">
        <w:rPr>
          <w:szCs w:val="24"/>
        </w:rPr>
        <w:t>s</w:t>
      </w:r>
      <w:r w:rsidR="00BC6FFB" w:rsidRPr="00661B39">
        <w:rPr>
          <w:szCs w:val="24"/>
        </w:rPr>
        <w:t xml:space="preserve"> omitted); </w:t>
      </w:r>
      <w:proofErr w:type="spellStart"/>
      <w:r w:rsidR="00BC6FFB" w:rsidRPr="00661B39">
        <w:rPr>
          <w:i/>
          <w:szCs w:val="24"/>
        </w:rPr>
        <w:t>Preyer</w:t>
      </w:r>
      <w:proofErr w:type="spellEnd"/>
      <w:r w:rsidR="00BC6FFB" w:rsidRPr="00661B39">
        <w:rPr>
          <w:i/>
          <w:szCs w:val="24"/>
        </w:rPr>
        <w:t xml:space="preserve"> v. Parker</w:t>
      </w:r>
      <w:r w:rsidR="00BC6FFB" w:rsidRPr="00661B39">
        <w:rPr>
          <w:szCs w:val="24"/>
        </w:rPr>
        <w:t>, 257 N.C. 440, 446, 125 S.E.2d 916, 920 (1962)</w:t>
      </w:r>
      <w:r w:rsidR="00B34D87" w:rsidRPr="00661B39">
        <w:rPr>
          <w:szCs w:val="24"/>
        </w:rPr>
        <w:fldChar w:fldCharType="begin"/>
      </w:r>
      <w:r w:rsidR="00DB617C" w:rsidRPr="00661B39">
        <w:rPr>
          <w:szCs w:val="24"/>
        </w:rPr>
        <w:instrText xml:space="preserve"> TA \l "</w:instrText>
      </w:r>
      <w:r w:rsidR="00DB617C" w:rsidRPr="00661B39">
        <w:rPr>
          <w:i/>
          <w:szCs w:val="24"/>
        </w:rPr>
        <w:instrText>Preyer v. Parker</w:instrText>
      </w:r>
      <w:r w:rsidR="00DB617C" w:rsidRPr="00661B39">
        <w:rPr>
          <w:szCs w:val="24"/>
        </w:rPr>
        <w:instrText xml:space="preserve">, 257 N.C. 440, 125 S.E.2d 916 (1962)" \s "Preyer v. Parker, 257 N.C. 440, 446, 125 S.E.2d 916, 920 (1962)" \c 1 </w:instrText>
      </w:r>
      <w:r w:rsidR="00B34D87" w:rsidRPr="00661B39">
        <w:rPr>
          <w:szCs w:val="24"/>
        </w:rPr>
        <w:fldChar w:fldCharType="end"/>
      </w:r>
      <w:r w:rsidR="00BC6FFB" w:rsidRPr="00661B39">
        <w:rPr>
          <w:szCs w:val="24"/>
        </w:rPr>
        <w:t>.</w:t>
      </w:r>
      <w:r w:rsidRPr="00661B39">
        <w:rPr>
          <w:szCs w:val="24"/>
        </w:rPr>
        <w:t xml:space="preserve"> </w:t>
      </w:r>
    </w:p>
    <w:p w:rsidR="006A7506" w:rsidRPr="00661B39" w:rsidRDefault="006A7506" w:rsidP="006A7506">
      <w:pPr>
        <w:tabs>
          <w:tab w:val="left" w:pos="720"/>
        </w:tabs>
        <w:jc w:val="both"/>
        <w:rPr>
          <w:szCs w:val="24"/>
        </w:rPr>
      </w:pPr>
    </w:p>
    <w:p w:rsidR="00F64108" w:rsidRPr="00661B39" w:rsidRDefault="00A61636" w:rsidP="000E089D">
      <w:pPr>
        <w:pStyle w:val="Heading1"/>
      </w:pPr>
      <w:bookmarkStart w:id="12" w:name="_Toc471487553"/>
      <w:r w:rsidRPr="00661B39">
        <w:t>ARGUMENT</w:t>
      </w:r>
      <w:bookmarkEnd w:id="12"/>
    </w:p>
    <w:p w:rsidR="00B93C83" w:rsidRPr="00661B39" w:rsidRDefault="00A61636" w:rsidP="00F17F3C">
      <w:pPr>
        <w:spacing w:line="480" w:lineRule="auto"/>
        <w:jc w:val="both"/>
        <w:rPr>
          <w:szCs w:val="24"/>
        </w:rPr>
      </w:pPr>
      <w:r w:rsidRPr="00661B39">
        <w:rPr>
          <w:szCs w:val="24"/>
        </w:rPr>
        <w:tab/>
        <w:t>Court enforcement of the Agreement is necessary to rectify the State’s ongoing noncompliance.</w:t>
      </w:r>
      <w:r w:rsidRPr="00661B39">
        <w:rPr>
          <w:rStyle w:val="FootnoteReference"/>
          <w:szCs w:val="24"/>
        </w:rPr>
        <w:footnoteReference w:id="10"/>
      </w:r>
      <w:r w:rsidRPr="00661B39">
        <w:rPr>
          <w:szCs w:val="24"/>
        </w:rPr>
        <w:t xml:space="preserve">  For two consecutive years, the State has failed to </w:t>
      </w:r>
      <w:r w:rsidR="0094754F" w:rsidRPr="00661B39">
        <w:rPr>
          <w:szCs w:val="24"/>
        </w:rPr>
        <w:t>meet</w:t>
      </w:r>
      <w:r w:rsidR="005E57C4" w:rsidRPr="00661B39">
        <w:rPr>
          <w:szCs w:val="24"/>
        </w:rPr>
        <w:t xml:space="preserve"> </w:t>
      </w:r>
      <w:r w:rsidRPr="00661B39">
        <w:rPr>
          <w:szCs w:val="24"/>
        </w:rPr>
        <w:t xml:space="preserve">its housing obligations under section III(B)(3).  Only 650 of the 1,166 required Housing Slots were occupied on </w:t>
      </w:r>
      <w:r w:rsidR="0005387D" w:rsidRPr="00661B39">
        <w:rPr>
          <w:szCs w:val="24"/>
        </w:rPr>
        <w:t>June 30</w:t>
      </w:r>
      <w:r w:rsidRPr="00661B39">
        <w:rPr>
          <w:szCs w:val="24"/>
        </w:rPr>
        <w:t xml:space="preserve">, 2016.  </w:t>
      </w:r>
      <w:r w:rsidR="00A0010E" w:rsidRPr="00661B39">
        <w:rPr>
          <w:i/>
          <w:szCs w:val="24"/>
        </w:rPr>
        <w:t xml:space="preserve">See </w:t>
      </w:r>
      <w:r w:rsidR="007E4C6C" w:rsidRPr="00661B39">
        <w:rPr>
          <w:szCs w:val="24"/>
        </w:rPr>
        <w:t xml:space="preserve">June 2016 </w:t>
      </w:r>
      <w:r w:rsidR="00B90F18" w:rsidRPr="00661B39">
        <w:rPr>
          <w:szCs w:val="24"/>
        </w:rPr>
        <w:t xml:space="preserve">Monthly </w:t>
      </w:r>
      <w:r w:rsidR="007E4C6C" w:rsidRPr="00661B39">
        <w:rPr>
          <w:szCs w:val="24"/>
        </w:rPr>
        <w:t xml:space="preserve">Rep. </w:t>
      </w:r>
      <w:r w:rsidR="00B90F18" w:rsidRPr="00661B39">
        <w:rPr>
          <w:szCs w:val="24"/>
        </w:rPr>
        <w:t>Ex. Q</w:t>
      </w:r>
      <w:r w:rsidR="00117C1C" w:rsidRPr="00661B39">
        <w:rPr>
          <w:szCs w:val="24"/>
        </w:rPr>
        <w:t>,</w:t>
      </w:r>
      <w:r w:rsidR="00B90F18" w:rsidRPr="00661B39">
        <w:rPr>
          <w:szCs w:val="24"/>
        </w:rPr>
        <w:t xml:space="preserve"> </w:t>
      </w:r>
      <w:r w:rsidR="007E4C6C" w:rsidRPr="00661B39">
        <w:rPr>
          <w:szCs w:val="24"/>
        </w:rPr>
        <w:t xml:space="preserve">at 7.  </w:t>
      </w:r>
      <w:r w:rsidRPr="00661B39">
        <w:rPr>
          <w:szCs w:val="24"/>
        </w:rPr>
        <w:t xml:space="preserve">The State has never </w:t>
      </w:r>
      <w:r w:rsidR="005E57C4" w:rsidRPr="00661B39">
        <w:rPr>
          <w:szCs w:val="24"/>
        </w:rPr>
        <w:t>substantially complied</w:t>
      </w:r>
      <w:r w:rsidR="004618F5" w:rsidRPr="00661B39">
        <w:rPr>
          <w:szCs w:val="24"/>
        </w:rPr>
        <w:t xml:space="preserve"> with</w:t>
      </w:r>
      <w:r w:rsidR="005E57C4" w:rsidRPr="00661B39">
        <w:rPr>
          <w:szCs w:val="24"/>
        </w:rPr>
        <w:t xml:space="preserve"> </w:t>
      </w:r>
      <w:r w:rsidRPr="00661B39">
        <w:rPr>
          <w:szCs w:val="24"/>
        </w:rPr>
        <w:t xml:space="preserve">its employment </w:t>
      </w:r>
      <w:r w:rsidR="0029145E" w:rsidRPr="00661B39">
        <w:rPr>
          <w:szCs w:val="24"/>
        </w:rPr>
        <w:t xml:space="preserve">services </w:t>
      </w:r>
      <w:r w:rsidRPr="00661B39">
        <w:rPr>
          <w:szCs w:val="24"/>
        </w:rPr>
        <w:t xml:space="preserve">obligations under section III(D)(3).  Only 708 individuals from the target population of the 1,166 required were receiving Supported Employment Services on </w:t>
      </w:r>
      <w:r w:rsidR="0005387D" w:rsidRPr="00661B39">
        <w:rPr>
          <w:szCs w:val="24"/>
        </w:rPr>
        <w:t>June 30</w:t>
      </w:r>
      <w:r w:rsidRPr="00661B39">
        <w:rPr>
          <w:szCs w:val="24"/>
        </w:rPr>
        <w:t>, 2016.</w:t>
      </w:r>
      <w:r w:rsidR="00A0010E" w:rsidRPr="00661B39">
        <w:rPr>
          <w:szCs w:val="24"/>
        </w:rPr>
        <w:t xml:space="preserve">  </w:t>
      </w:r>
      <w:r w:rsidR="00A0010E" w:rsidRPr="00661B39">
        <w:rPr>
          <w:i/>
          <w:szCs w:val="24"/>
        </w:rPr>
        <w:t xml:space="preserve">See id. </w:t>
      </w:r>
      <w:r w:rsidR="00A0010E" w:rsidRPr="00661B39">
        <w:rPr>
          <w:szCs w:val="24"/>
        </w:rPr>
        <w:t>at 2.</w:t>
      </w:r>
      <w:r w:rsidRPr="00661B39">
        <w:rPr>
          <w:szCs w:val="24"/>
        </w:rPr>
        <w:t xml:space="preserve">  </w:t>
      </w:r>
    </w:p>
    <w:p w:rsidR="00B93C83" w:rsidRPr="00661B39" w:rsidRDefault="00A61636" w:rsidP="00B85674">
      <w:pPr>
        <w:spacing w:line="480" w:lineRule="auto"/>
        <w:jc w:val="both"/>
        <w:rPr>
          <w:szCs w:val="24"/>
        </w:rPr>
      </w:pPr>
      <w:r w:rsidRPr="00661B39">
        <w:rPr>
          <w:szCs w:val="24"/>
        </w:rPr>
        <w:tab/>
        <w:t xml:space="preserve">Although the State </w:t>
      </w:r>
      <w:r w:rsidR="00643DBE" w:rsidRPr="00661B39">
        <w:rPr>
          <w:szCs w:val="24"/>
        </w:rPr>
        <w:t xml:space="preserve">has </w:t>
      </w:r>
      <w:r w:rsidRPr="00661B39">
        <w:rPr>
          <w:szCs w:val="24"/>
        </w:rPr>
        <w:t>attempt</w:t>
      </w:r>
      <w:r w:rsidR="00643DBE" w:rsidRPr="00661B39">
        <w:rPr>
          <w:szCs w:val="24"/>
        </w:rPr>
        <w:t>ed</w:t>
      </w:r>
      <w:r w:rsidRPr="00661B39">
        <w:rPr>
          <w:szCs w:val="24"/>
        </w:rPr>
        <w:t xml:space="preserve"> to diminish its obligations by redefining how to measure compliance with sections III(B)</w:t>
      </w:r>
      <w:r w:rsidR="00FC3231" w:rsidRPr="00661B39">
        <w:rPr>
          <w:szCs w:val="24"/>
        </w:rPr>
        <w:t>(3)</w:t>
      </w:r>
      <w:r w:rsidRPr="00661B39">
        <w:rPr>
          <w:szCs w:val="24"/>
        </w:rPr>
        <w:t xml:space="preserve"> and III(D)</w:t>
      </w:r>
      <w:r w:rsidR="00FC3231" w:rsidRPr="00661B39">
        <w:rPr>
          <w:szCs w:val="24"/>
        </w:rPr>
        <w:t>(3)</w:t>
      </w:r>
      <w:r w:rsidRPr="00661B39">
        <w:rPr>
          <w:szCs w:val="24"/>
        </w:rPr>
        <w:t>, its new interpretations run contrary to the parties’ intent.  The Agreement</w:t>
      </w:r>
      <w:r w:rsidR="00A0010E" w:rsidRPr="00661B39">
        <w:rPr>
          <w:szCs w:val="24"/>
        </w:rPr>
        <w:t>’s language</w:t>
      </w:r>
      <w:r w:rsidRPr="00661B39">
        <w:rPr>
          <w:szCs w:val="24"/>
        </w:rPr>
        <w:t xml:space="preserve"> is unambiguous: </w:t>
      </w:r>
      <w:r w:rsidR="00D23330" w:rsidRPr="00661B39">
        <w:rPr>
          <w:szCs w:val="24"/>
        </w:rPr>
        <w:t xml:space="preserve">only </w:t>
      </w:r>
      <w:r w:rsidRPr="00661B39">
        <w:rPr>
          <w:szCs w:val="24"/>
        </w:rPr>
        <w:t xml:space="preserve">occupied Housing Slots count toward compliance with section III(B)(3), and only </w:t>
      </w:r>
      <w:r w:rsidR="00A0010E" w:rsidRPr="00661B39">
        <w:rPr>
          <w:szCs w:val="24"/>
        </w:rPr>
        <w:t xml:space="preserve">individuals in the target population </w:t>
      </w:r>
      <w:r w:rsidRPr="00661B39">
        <w:rPr>
          <w:szCs w:val="24"/>
        </w:rPr>
        <w:t xml:space="preserve">receiving Supported Employment Services count toward compliance with section III(D)(3).  </w:t>
      </w:r>
      <w:r w:rsidR="00FB40EC" w:rsidRPr="00661B39">
        <w:rPr>
          <w:szCs w:val="24"/>
        </w:rPr>
        <w:t>Further</w:t>
      </w:r>
      <w:r w:rsidR="00484925" w:rsidRPr="00661B39">
        <w:rPr>
          <w:szCs w:val="24"/>
        </w:rPr>
        <w:t xml:space="preserve">more, the way in which the </w:t>
      </w:r>
      <w:r w:rsidRPr="00661B39">
        <w:rPr>
          <w:szCs w:val="24"/>
        </w:rPr>
        <w:t>State</w:t>
      </w:r>
      <w:r w:rsidR="00484925" w:rsidRPr="00661B39">
        <w:rPr>
          <w:szCs w:val="24"/>
        </w:rPr>
        <w:t xml:space="preserve"> executed the Agreement during the first several years of implementation </w:t>
      </w:r>
      <w:r w:rsidR="00A0010E" w:rsidRPr="00661B39">
        <w:rPr>
          <w:szCs w:val="24"/>
        </w:rPr>
        <w:t xml:space="preserve">confirms that it understood </w:t>
      </w:r>
      <w:r w:rsidR="00CD6E12">
        <w:rPr>
          <w:szCs w:val="24"/>
        </w:rPr>
        <w:t xml:space="preserve">that </w:t>
      </w:r>
      <w:r w:rsidR="00A0010E" w:rsidRPr="00661B39">
        <w:rPr>
          <w:szCs w:val="24"/>
        </w:rPr>
        <w:t xml:space="preserve">the parties intended to measure </w:t>
      </w:r>
      <w:r w:rsidRPr="00661B39">
        <w:rPr>
          <w:szCs w:val="24"/>
        </w:rPr>
        <w:t xml:space="preserve">compliance </w:t>
      </w:r>
      <w:r w:rsidR="00C02597" w:rsidRPr="00661B39">
        <w:rPr>
          <w:szCs w:val="24"/>
        </w:rPr>
        <w:t xml:space="preserve">in </w:t>
      </w:r>
      <w:r w:rsidR="000D2FC5" w:rsidRPr="00661B39">
        <w:rPr>
          <w:szCs w:val="24"/>
        </w:rPr>
        <w:t xml:space="preserve">this </w:t>
      </w:r>
      <w:r w:rsidR="00E5590C" w:rsidRPr="00661B39">
        <w:rPr>
          <w:szCs w:val="24"/>
        </w:rPr>
        <w:t>manner</w:t>
      </w:r>
      <w:r w:rsidRPr="00661B39">
        <w:rPr>
          <w:szCs w:val="24"/>
        </w:rPr>
        <w:t>.</w:t>
      </w:r>
      <w:r w:rsidR="000D2FC5" w:rsidRPr="00661B39">
        <w:rPr>
          <w:szCs w:val="24"/>
        </w:rPr>
        <w:t xml:space="preserve">  </w:t>
      </w:r>
      <w:r w:rsidRPr="00661B39">
        <w:rPr>
          <w:szCs w:val="24"/>
        </w:rPr>
        <w:t>The Court should reject the State’s attempt to</w:t>
      </w:r>
      <w:r w:rsidR="00484925" w:rsidRPr="00661B39">
        <w:rPr>
          <w:szCs w:val="24"/>
        </w:rPr>
        <w:t xml:space="preserve"> </w:t>
      </w:r>
      <w:r w:rsidR="000D2FC5" w:rsidRPr="00661B39">
        <w:rPr>
          <w:szCs w:val="24"/>
        </w:rPr>
        <w:t>sidestep its obligations</w:t>
      </w:r>
      <w:r w:rsidRPr="00661B39">
        <w:rPr>
          <w:szCs w:val="24"/>
        </w:rPr>
        <w:t xml:space="preserve"> and order the State to take the actions described in the proposed order</w:t>
      </w:r>
      <w:r w:rsidR="00AC43F5" w:rsidRPr="00661B39">
        <w:rPr>
          <w:szCs w:val="24"/>
        </w:rPr>
        <w:t>.</w:t>
      </w:r>
      <w:r w:rsidRPr="00661B39">
        <w:rPr>
          <w:szCs w:val="24"/>
        </w:rPr>
        <w:t xml:space="preserve"> </w:t>
      </w:r>
    </w:p>
    <w:p w:rsidR="00657A7C" w:rsidRPr="00661B39" w:rsidRDefault="00A61636" w:rsidP="00CD1E8C">
      <w:pPr>
        <w:pStyle w:val="Heading2"/>
      </w:pPr>
      <w:bookmarkStart w:id="13" w:name="_Toc471487554"/>
      <w:r w:rsidRPr="00661B39">
        <w:t>I.</w:t>
      </w:r>
      <w:r w:rsidRPr="00661B39">
        <w:tab/>
      </w:r>
      <w:r w:rsidR="00F12216" w:rsidRPr="00661B39">
        <w:t xml:space="preserve">THE STATE </w:t>
      </w:r>
      <w:r w:rsidR="00973D92" w:rsidRPr="00661B39">
        <w:t xml:space="preserve">MISCONSTRUES </w:t>
      </w:r>
      <w:r w:rsidR="00F12216" w:rsidRPr="00661B39">
        <w:t xml:space="preserve">AND </w:t>
      </w:r>
      <w:r w:rsidR="00973D92" w:rsidRPr="00661B39">
        <w:t xml:space="preserve">FAILS </w:t>
      </w:r>
      <w:r w:rsidR="0029145E" w:rsidRPr="00661B39">
        <w:t xml:space="preserve">TO COMPLY WITH </w:t>
      </w:r>
      <w:r w:rsidR="00F12216" w:rsidRPr="00661B39">
        <w:t>THE AGREEMENT’S HOUSING REQUIREMENTS</w:t>
      </w:r>
      <w:bookmarkEnd w:id="13"/>
      <w:r w:rsidR="00F12216" w:rsidRPr="00661B39" w:rsidDel="00F12216">
        <w:t xml:space="preserve"> </w:t>
      </w:r>
    </w:p>
    <w:p w:rsidR="00B93C83" w:rsidRPr="00661B39" w:rsidRDefault="003C2A7C" w:rsidP="00F17F3C">
      <w:pPr>
        <w:spacing w:line="480" w:lineRule="auto"/>
        <w:ind w:firstLine="720"/>
        <w:jc w:val="both"/>
        <w:rPr>
          <w:szCs w:val="24"/>
        </w:rPr>
      </w:pPr>
      <w:r w:rsidRPr="00661B39">
        <w:rPr>
          <w:szCs w:val="24"/>
        </w:rPr>
        <w:t xml:space="preserve">Although the State attempts to measure compliance by counting both occupied and vacant Housing Slots, the State’s interpretation contradicts the parties’ intent.  </w:t>
      </w:r>
      <w:r w:rsidR="00704BA1" w:rsidRPr="00661B39">
        <w:rPr>
          <w:szCs w:val="24"/>
        </w:rPr>
        <w:t xml:space="preserve">Based on the Agreement’s language and the State’s </w:t>
      </w:r>
      <w:r w:rsidR="00D90BDF" w:rsidRPr="00661B39">
        <w:rPr>
          <w:szCs w:val="24"/>
        </w:rPr>
        <w:t>prior conduct</w:t>
      </w:r>
      <w:r w:rsidR="00704BA1" w:rsidRPr="00661B39">
        <w:rPr>
          <w:szCs w:val="24"/>
        </w:rPr>
        <w:t>, t</w:t>
      </w:r>
      <w:r w:rsidR="00225D59" w:rsidRPr="00661B39">
        <w:rPr>
          <w:szCs w:val="24"/>
        </w:rPr>
        <w:t>he only reasonable interpretation is to count o</w:t>
      </w:r>
      <w:r w:rsidRPr="00661B39">
        <w:rPr>
          <w:szCs w:val="24"/>
        </w:rPr>
        <w:t xml:space="preserve">nly occupied Housing Slots toward compliance with section III(B)(3).  </w:t>
      </w:r>
      <w:r w:rsidR="000374C0" w:rsidRPr="00661B39">
        <w:rPr>
          <w:szCs w:val="24"/>
        </w:rPr>
        <w:t>Under either party’s interpretation</w:t>
      </w:r>
      <w:r w:rsidR="00B85382" w:rsidRPr="00661B39">
        <w:rPr>
          <w:szCs w:val="24"/>
        </w:rPr>
        <w:t xml:space="preserve">, the State has failed to </w:t>
      </w:r>
      <w:r w:rsidR="000374C0" w:rsidRPr="00661B39">
        <w:rPr>
          <w:szCs w:val="24"/>
        </w:rPr>
        <w:t>meet</w:t>
      </w:r>
      <w:r w:rsidR="00B85382" w:rsidRPr="00661B39">
        <w:rPr>
          <w:szCs w:val="24"/>
        </w:rPr>
        <w:t xml:space="preserve"> its July 2016 housing obligation.</w:t>
      </w:r>
      <w:r w:rsidRPr="00661B39">
        <w:rPr>
          <w:szCs w:val="24"/>
        </w:rPr>
        <w:t xml:space="preserve">  </w:t>
      </w:r>
    </w:p>
    <w:p w:rsidR="00A61636" w:rsidRPr="00661B39" w:rsidRDefault="00A61636" w:rsidP="00C0163A">
      <w:pPr>
        <w:pStyle w:val="Heading3"/>
        <w:spacing w:line="240" w:lineRule="auto"/>
      </w:pPr>
      <w:bookmarkStart w:id="14" w:name="_Toc471487555"/>
      <w:r w:rsidRPr="00661B39">
        <w:t>A.</w:t>
      </w:r>
      <w:r w:rsidRPr="00661B39">
        <w:tab/>
        <w:t>The Parties Intended to Measure Compliance with Section III(B)(3) by Counting Only Occupied Housing Slots on Given Compliance Dates.</w:t>
      </w:r>
      <w:bookmarkEnd w:id="14"/>
    </w:p>
    <w:p w:rsidR="00657A7C" w:rsidRPr="00661B39" w:rsidRDefault="00657A7C" w:rsidP="00F17F3C">
      <w:pPr>
        <w:tabs>
          <w:tab w:val="left" w:pos="1440"/>
        </w:tabs>
        <w:ind w:left="1440" w:hanging="720"/>
        <w:jc w:val="both"/>
        <w:rPr>
          <w:b/>
          <w:i/>
          <w:szCs w:val="24"/>
        </w:rPr>
      </w:pPr>
    </w:p>
    <w:p w:rsidR="00A61636" w:rsidRPr="00661B39" w:rsidRDefault="00A61636" w:rsidP="00C536A0">
      <w:pPr>
        <w:pStyle w:val="Heading4"/>
        <w:rPr>
          <w:szCs w:val="24"/>
        </w:rPr>
      </w:pPr>
      <w:r w:rsidRPr="00661B39">
        <w:rPr>
          <w:szCs w:val="24"/>
        </w:rPr>
        <w:tab/>
        <w:t>1.</w:t>
      </w:r>
      <w:r w:rsidRPr="00661B39">
        <w:rPr>
          <w:szCs w:val="24"/>
        </w:rPr>
        <w:tab/>
        <w:t>T</w:t>
      </w:r>
      <w:r w:rsidR="00B40B64" w:rsidRPr="00661B39">
        <w:rPr>
          <w:szCs w:val="24"/>
        </w:rPr>
        <w:t>he Agreement’s Language Is Unambiguous</w:t>
      </w:r>
      <w:r w:rsidR="00B85382" w:rsidRPr="00661B39">
        <w:rPr>
          <w:szCs w:val="24"/>
        </w:rPr>
        <w:t>.</w:t>
      </w:r>
      <w:r w:rsidR="00B40B64" w:rsidRPr="00661B39">
        <w:rPr>
          <w:szCs w:val="24"/>
        </w:rPr>
        <w:t xml:space="preserve"> </w:t>
      </w:r>
    </w:p>
    <w:p w:rsidR="00492F67" w:rsidRPr="00661B39" w:rsidRDefault="00492F67" w:rsidP="00F17F3C">
      <w:pPr>
        <w:tabs>
          <w:tab w:val="left" w:pos="1440"/>
        </w:tabs>
        <w:ind w:left="1440" w:hanging="720"/>
        <w:jc w:val="both"/>
        <w:rPr>
          <w:b/>
          <w:szCs w:val="24"/>
        </w:rPr>
      </w:pPr>
    </w:p>
    <w:p w:rsidR="00B93C83" w:rsidRPr="00661B39" w:rsidRDefault="00A61636" w:rsidP="00F17F3C">
      <w:pPr>
        <w:tabs>
          <w:tab w:val="left" w:pos="0"/>
        </w:tabs>
        <w:spacing w:line="480" w:lineRule="auto"/>
        <w:ind w:firstLine="720"/>
        <w:jc w:val="both"/>
        <w:rPr>
          <w:szCs w:val="24"/>
        </w:rPr>
      </w:pPr>
      <w:r w:rsidRPr="00661B39">
        <w:rPr>
          <w:szCs w:val="24"/>
        </w:rPr>
        <w:t xml:space="preserve">The </w:t>
      </w:r>
      <w:r w:rsidR="00492F67" w:rsidRPr="00661B39">
        <w:rPr>
          <w:szCs w:val="24"/>
        </w:rPr>
        <w:t xml:space="preserve">language of the </w:t>
      </w:r>
      <w:r w:rsidRPr="00661B39">
        <w:rPr>
          <w:szCs w:val="24"/>
        </w:rPr>
        <w:t>Agreement makes clear that the parties intended to measure compliance with section III(B)</w:t>
      </w:r>
      <w:r w:rsidR="00492F67" w:rsidRPr="00661B39">
        <w:rPr>
          <w:szCs w:val="24"/>
        </w:rPr>
        <w:t xml:space="preserve">(3) by counting only </w:t>
      </w:r>
      <w:r w:rsidRPr="00661B39">
        <w:rPr>
          <w:szCs w:val="24"/>
        </w:rPr>
        <w:t>individuals occupying Housing Slots on given compliance dates.</w:t>
      </w:r>
      <w:r w:rsidR="00FC44C4" w:rsidRPr="00661B39">
        <w:rPr>
          <w:szCs w:val="24"/>
        </w:rPr>
        <w:t xml:space="preserve">  </w:t>
      </w:r>
      <w:r w:rsidR="00FC44C4" w:rsidRPr="00661B39">
        <w:rPr>
          <w:i/>
          <w:szCs w:val="24"/>
        </w:rPr>
        <w:t>See Silicon Image</w:t>
      </w:r>
      <w:r w:rsidR="00FC44C4" w:rsidRPr="00661B39">
        <w:rPr>
          <w:szCs w:val="24"/>
        </w:rPr>
        <w:t>,</w:t>
      </w:r>
      <w:r w:rsidR="00FC44C4" w:rsidRPr="00661B39">
        <w:rPr>
          <w:i/>
          <w:szCs w:val="24"/>
        </w:rPr>
        <w:t xml:space="preserve"> </w:t>
      </w:r>
      <w:r w:rsidR="00FC44C4" w:rsidRPr="00661B39">
        <w:rPr>
          <w:szCs w:val="24"/>
        </w:rPr>
        <w:t>271 F. Supp. 2d at 851</w:t>
      </w:r>
      <w:r w:rsidR="00B34D87" w:rsidRPr="00661B39">
        <w:rPr>
          <w:szCs w:val="24"/>
        </w:rPr>
        <w:fldChar w:fldCharType="begin"/>
      </w:r>
      <w:r w:rsidR="006B1B06" w:rsidRPr="00661B39">
        <w:rPr>
          <w:szCs w:val="24"/>
        </w:rPr>
        <w:instrText xml:space="preserve"> TA \s "Silicon Image, Inc. v. Genesis Microchip, Inc., 271 F. Supp. 2d 840 (E.D. Va. 2003)" </w:instrText>
      </w:r>
      <w:r w:rsidR="00B34D87" w:rsidRPr="00661B39">
        <w:rPr>
          <w:szCs w:val="24"/>
        </w:rPr>
        <w:fldChar w:fldCharType="end"/>
      </w:r>
      <w:r w:rsidR="00FC44C4" w:rsidRPr="00661B39">
        <w:rPr>
          <w:szCs w:val="24"/>
        </w:rPr>
        <w:t xml:space="preserve"> (“The contract must be considered as a whole and interpreted to effectuate its spirit and purpose, giving reasonable meaning to all parts.”).</w:t>
      </w:r>
      <w:r w:rsidR="00A9070B" w:rsidRPr="00661B39">
        <w:rPr>
          <w:szCs w:val="24"/>
        </w:rPr>
        <w:t xml:space="preserve"> </w:t>
      </w:r>
      <w:r w:rsidRPr="00661B39">
        <w:rPr>
          <w:szCs w:val="24"/>
        </w:rPr>
        <w:t xml:space="preserve"> </w:t>
      </w:r>
    </w:p>
    <w:p w:rsidR="00FC44C4" w:rsidRPr="00661B39" w:rsidRDefault="00FC44C4" w:rsidP="00FC44C4">
      <w:pPr>
        <w:spacing w:line="480" w:lineRule="auto"/>
        <w:ind w:firstLine="720"/>
        <w:jc w:val="both"/>
        <w:rPr>
          <w:szCs w:val="24"/>
        </w:rPr>
      </w:pPr>
      <w:r w:rsidRPr="00661B39">
        <w:rPr>
          <w:szCs w:val="24"/>
        </w:rPr>
        <w:t>Section III(B)(3) states:</w:t>
      </w:r>
    </w:p>
    <w:p w:rsidR="00FC44C4" w:rsidRPr="00661B39" w:rsidRDefault="00FC44C4" w:rsidP="00FC44C4">
      <w:pPr>
        <w:tabs>
          <w:tab w:val="left" w:pos="1440"/>
        </w:tabs>
        <w:ind w:right="1440" w:firstLine="720"/>
        <w:jc w:val="both"/>
        <w:rPr>
          <w:szCs w:val="24"/>
        </w:rPr>
      </w:pPr>
      <w:r w:rsidRPr="00661B39">
        <w:rPr>
          <w:szCs w:val="24"/>
        </w:rPr>
        <w:tab/>
        <w:t xml:space="preserve">The State will provide access to 3,000 Housing Slots in accordance </w:t>
      </w:r>
      <w:r w:rsidRPr="00661B39">
        <w:rPr>
          <w:szCs w:val="24"/>
        </w:rPr>
        <w:tab/>
        <w:t xml:space="preserve">with the following schedule: . . . </w:t>
      </w:r>
    </w:p>
    <w:p w:rsidR="00FC44C4" w:rsidRPr="00661B39" w:rsidRDefault="00FC44C4" w:rsidP="00FC44C4">
      <w:pPr>
        <w:tabs>
          <w:tab w:val="left" w:pos="2310"/>
        </w:tabs>
        <w:ind w:right="1440" w:firstLine="720"/>
        <w:jc w:val="both"/>
        <w:rPr>
          <w:szCs w:val="24"/>
        </w:rPr>
      </w:pPr>
      <w:r w:rsidRPr="00661B39">
        <w:rPr>
          <w:szCs w:val="24"/>
        </w:rPr>
        <w:tab/>
      </w:r>
    </w:p>
    <w:p w:rsidR="00FC44C4" w:rsidRPr="00661B39" w:rsidRDefault="00FC44C4" w:rsidP="00FC44C4">
      <w:pPr>
        <w:tabs>
          <w:tab w:val="left" w:pos="1440"/>
        </w:tabs>
        <w:ind w:right="1440" w:firstLine="720"/>
        <w:jc w:val="both"/>
        <w:rPr>
          <w:szCs w:val="24"/>
        </w:rPr>
      </w:pPr>
      <w:r w:rsidRPr="00661B39">
        <w:rPr>
          <w:szCs w:val="24"/>
        </w:rPr>
        <w:tab/>
      </w:r>
      <w:r w:rsidRPr="00661B39">
        <w:rPr>
          <w:szCs w:val="24"/>
        </w:rPr>
        <w:tab/>
        <w:t>d.</w:t>
      </w:r>
      <w:r w:rsidRPr="00661B39">
        <w:rPr>
          <w:szCs w:val="24"/>
        </w:rPr>
        <w:tab/>
        <w:t xml:space="preserve">By July 1, 2016 the State will provide Housing </w:t>
      </w:r>
      <w:r w:rsidRPr="00661B39">
        <w:rPr>
          <w:szCs w:val="24"/>
        </w:rPr>
        <w:tab/>
      </w:r>
      <w:r w:rsidRPr="00661B39">
        <w:rPr>
          <w:szCs w:val="24"/>
        </w:rPr>
        <w:tab/>
      </w:r>
      <w:r w:rsidRPr="00661B39">
        <w:rPr>
          <w:szCs w:val="24"/>
        </w:rPr>
        <w:tab/>
      </w:r>
      <w:r w:rsidRPr="00661B39">
        <w:rPr>
          <w:szCs w:val="24"/>
        </w:rPr>
        <w:tab/>
        <w:t xml:space="preserve">Slots to at least 1,166 individuals.  </w:t>
      </w:r>
    </w:p>
    <w:p w:rsidR="00FC44C4" w:rsidRPr="00661B39" w:rsidRDefault="00FC44C4" w:rsidP="00FC44C4">
      <w:pPr>
        <w:tabs>
          <w:tab w:val="left" w:pos="1440"/>
        </w:tabs>
        <w:ind w:right="1440" w:firstLine="720"/>
        <w:jc w:val="both"/>
        <w:rPr>
          <w:szCs w:val="24"/>
        </w:rPr>
      </w:pPr>
      <w:r w:rsidRPr="00661B39">
        <w:rPr>
          <w:szCs w:val="24"/>
        </w:rPr>
        <w:tab/>
      </w:r>
      <w:r w:rsidRPr="00661B39">
        <w:rPr>
          <w:szCs w:val="24"/>
        </w:rPr>
        <w:tab/>
        <w:t>. . .</w:t>
      </w:r>
      <w:r w:rsidRPr="00661B39">
        <w:rPr>
          <w:szCs w:val="24"/>
        </w:rPr>
        <w:tab/>
      </w:r>
      <w:r w:rsidRPr="00661B39">
        <w:rPr>
          <w:szCs w:val="24"/>
        </w:rPr>
        <w:tab/>
      </w:r>
    </w:p>
    <w:p w:rsidR="00FC44C4" w:rsidRPr="00661B39" w:rsidRDefault="00FC44C4" w:rsidP="00FC44C4">
      <w:pPr>
        <w:tabs>
          <w:tab w:val="left" w:pos="2160"/>
        </w:tabs>
        <w:ind w:left="2880" w:right="1440" w:hanging="2160"/>
        <w:jc w:val="both"/>
        <w:rPr>
          <w:szCs w:val="24"/>
        </w:rPr>
      </w:pPr>
      <w:r w:rsidRPr="00661B39">
        <w:rPr>
          <w:szCs w:val="24"/>
        </w:rPr>
        <w:tab/>
        <w:t>h.</w:t>
      </w:r>
      <w:r w:rsidRPr="00661B39">
        <w:rPr>
          <w:szCs w:val="24"/>
        </w:rPr>
        <w:tab/>
        <w:t>By July 1, 2020 the State will provide Housing Slots to at least 3,000 individuals.</w:t>
      </w:r>
    </w:p>
    <w:p w:rsidR="00FC44C4" w:rsidRPr="00661B39" w:rsidRDefault="00FC44C4" w:rsidP="00FC44C4">
      <w:pPr>
        <w:tabs>
          <w:tab w:val="left" w:pos="1440"/>
        </w:tabs>
        <w:ind w:right="1440" w:firstLine="720"/>
        <w:jc w:val="both"/>
        <w:rPr>
          <w:szCs w:val="24"/>
        </w:rPr>
      </w:pPr>
      <w:r w:rsidRPr="00661B39">
        <w:rPr>
          <w:szCs w:val="24"/>
        </w:rPr>
        <w:tab/>
      </w:r>
      <w:r w:rsidRPr="00661B39">
        <w:rPr>
          <w:szCs w:val="24"/>
        </w:rPr>
        <w:tab/>
      </w:r>
    </w:p>
    <w:p w:rsidR="006A7506" w:rsidRDefault="00FC44C4" w:rsidP="006A7506">
      <w:pPr>
        <w:spacing w:line="480" w:lineRule="auto"/>
        <w:jc w:val="both"/>
        <w:rPr>
          <w:szCs w:val="24"/>
        </w:rPr>
      </w:pPr>
      <w:r w:rsidRPr="00661B39">
        <w:rPr>
          <w:szCs w:val="24"/>
        </w:rPr>
        <w:t xml:space="preserve">S.A. § III(B)(3)(d), (h).  </w:t>
      </w:r>
      <w:r w:rsidR="00A61636" w:rsidRPr="00661B39">
        <w:rPr>
          <w:szCs w:val="24"/>
        </w:rPr>
        <w:t>Housing Slots are “State or federal housing vouchers and/or rental subsidies for community-based supported housing.”</w:t>
      </w:r>
      <w:r w:rsidR="002277B8" w:rsidRPr="00661B39">
        <w:rPr>
          <w:rStyle w:val="FootnoteReference"/>
          <w:szCs w:val="24"/>
        </w:rPr>
        <w:footnoteReference w:id="11"/>
      </w:r>
      <w:r w:rsidR="00A61636" w:rsidRPr="00661B39">
        <w:rPr>
          <w:szCs w:val="24"/>
        </w:rPr>
        <w:t xml:space="preserve">  </w:t>
      </w:r>
      <w:r w:rsidR="00A61636" w:rsidRPr="00661B39">
        <w:rPr>
          <w:i/>
          <w:szCs w:val="24"/>
        </w:rPr>
        <w:t>Id</w:t>
      </w:r>
      <w:r w:rsidR="00A61636" w:rsidRPr="00661B39">
        <w:rPr>
          <w:szCs w:val="24"/>
        </w:rPr>
        <w:t xml:space="preserve">. § II(A).  </w:t>
      </w:r>
      <w:r w:rsidR="00C17DC3" w:rsidRPr="00661B39">
        <w:rPr>
          <w:szCs w:val="24"/>
        </w:rPr>
        <w:t xml:space="preserve">They </w:t>
      </w:r>
      <w:r w:rsidR="00A61636" w:rsidRPr="00661B39">
        <w:rPr>
          <w:szCs w:val="24"/>
        </w:rPr>
        <w:t xml:space="preserve">must be used to secure “permanent housing” and must include “tenancy supports services that enable residents to attain and </w:t>
      </w:r>
      <w:r w:rsidR="009C030D" w:rsidRPr="00661B39">
        <w:rPr>
          <w:szCs w:val="24"/>
        </w:rPr>
        <w:t>maintain</w:t>
      </w:r>
      <w:r w:rsidR="00A61636" w:rsidRPr="00661B39">
        <w:rPr>
          <w:i/>
          <w:szCs w:val="24"/>
        </w:rPr>
        <w:t xml:space="preserve"> </w:t>
      </w:r>
      <w:r w:rsidR="00A61636" w:rsidRPr="00661B39">
        <w:rPr>
          <w:szCs w:val="24"/>
        </w:rPr>
        <w:t xml:space="preserve">integrated, affordable housing.”  </w:t>
      </w:r>
      <w:r w:rsidR="00A61636" w:rsidRPr="00661B39">
        <w:rPr>
          <w:i/>
          <w:szCs w:val="24"/>
        </w:rPr>
        <w:t xml:space="preserve">Id. </w:t>
      </w:r>
      <w:r w:rsidR="00A61636" w:rsidRPr="00661B39">
        <w:rPr>
          <w:szCs w:val="24"/>
        </w:rPr>
        <w:t xml:space="preserve">§ III(B)(7)(a)–(b).  The Agreement further provides that “[t]he goal of the State’s system will be that . . . services and supports funded by the State are of good quality and are sufficient to help individuals achieve increased independence, gain greater integration into the community, </w:t>
      </w:r>
      <w:r w:rsidR="00C17DC3" w:rsidRPr="00661B39">
        <w:rPr>
          <w:szCs w:val="24"/>
        </w:rPr>
        <w:t xml:space="preserve">[and] </w:t>
      </w:r>
      <w:r w:rsidR="00A61636" w:rsidRPr="00661B39">
        <w:rPr>
          <w:szCs w:val="24"/>
        </w:rPr>
        <w:t>obtain and maintain stable housing</w:t>
      </w:r>
      <w:r w:rsidR="00CD6E12">
        <w:rPr>
          <w:szCs w:val="24"/>
        </w:rPr>
        <w:t>[.]</w:t>
      </w:r>
      <w:r w:rsidR="00A61636" w:rsidRPr="00661B39">
        <w:rPr>
          <w:szCs w:val="24"/>
        </w:rPr>
        <w:t xml:space="preserve">”  </w:t>
      </w:r>
      <w:r w:rsidR="00A61636" w:rsidRPr="00661B39">
        <w:rPr>
          <w:i/>
          <w:szCs w:val="24"/>
        </w:rPr>
        <w:t xml:space="preserve">Id. </w:t>
      </w:r>
      <w:r w:rsidR="00A61636" w:rsidRPr="00661B39">
        <w:rPr>
          <w:szCs w:val="24"/>
        </w:rPr>
        <w:t>§</w:t>
      </w:r>
      <w:r w:rsidR="000F164F" w:rsidRPr="00661B39">
        <w:rPr>
          <w:szCs w:val="24"/>
        </w:rPr>
        <w:t> </w:t>
      </w:r>
      <w:r w:rsidR="00A61636" w:rsidRPr="00661B39">
        <w:rPr>
          <w:szCs w:val="24"/>
        </w:rPr>
        <w:t>III(G)(1).</w:t>
      </w:r>
      <w:r w:rsidR="00EB4A2E" w:rsidRPr="00661B39">
        <w:rPr>
          <w:szCs w:val="24"/>
        </w:rPr>
        <w:t xml:space="preserve">  </w:t>
      </w:r>
      <w:r w:rsidR="00C15468" w:rsidRPr="00661B39">
        <w:rPr>
          <w:szCs w:val="24"/>
        </w:rPr>
        <w:t>The Agreement’s intended outcomes include</w:t>
      </w:r>
      <w:r w:rsidR="00EB4A2E" w:rsidRPr="00661B39">
        <w:rPr>
          <w:szCs w:val="24"/>
        </w:rPr>
        <w:t xml:space="preserve"> “increased integration</w:t>
      </w:r>
      <w:r w:rsidRPr="00661B39">
        <w:rPr>
          <w:szCs w:val="24"/>
        </w:rPr>
        <w:t>,</w:t>
      </w:r>
      <w:r w:rsidR="00EB4A2E" w:rsidRPr="00661B39">
        <w:rPr>
          <w:szCs w:val="24"/>
        </w:rPr>
        <w:t xml:space="preserve"> stable integrated housing</w:t>
      </w:r>
      <w:r w:rsidRPr="00661B39">
        <w:rPr>
          <w:szCs w:val="24"/>
        </w:rPr>
        <w:t>, and decreased [ ] institutionalization</w:t>
      </w:r>
      <w:r w:rsidR="001918C8" w:rsidRPr="00661B39">
        <w:rPr>
          <w:szCs w:val="24"/>
        </w:rPr>
        <w:t>.</w:t>
      </w:r>
      <w:r w:rsidR="00EB4A2E" w:rsidRPr="00661B39">
        <w:rPr>
          <w:szCs w:val="24"/>
        </w:rPr>
        <w:t xml:space="preserve">”  </w:t>
      </w:r>
      <w:r w:rsidR="00EB4A2E" w:rsidRPr="00661B39">
        <w:rPr>
          <w:i/>
          <w:szCs w:val="24"/>
        </w:rPr>
        <w:t xml:space="preserve">Id. </w:t>
      </w:r>
      <w:r w:rsidR="00EB4A2E" w:rsidRPr="00661B39">
        <w:rPr>
          <w:szCs w:val="24"/>
        </w:rPr>
        <w:t xml:space="preserve">§ III(G)(7). </w:t>
      </w:r>
      <w:r w:rsidR="00A61636" w:rsidRPr="00661B39">
        <w:rPr>
          <w:szCs w:val="24"/>
        </w:rPr>
        <w:t xml:space="preserve">    </w:t>
      </w:r>
    </w:p>
    <w:p w:rsidR="00B93C83" w:rsidRPr="00661B39" w:rsidRDefault="006A7506" w:rsidP="006A7506">
      <w:pPr>
        <w:spacing w:line="480" w:lineRule="auto"/>
        <w:jc w:val="both"/>
        <w:rPr>
          <w:szCs w:val="24"/>
        </w:rPr>
      </w:pPr>
      <w:r>
        <w:rPr>
          <w:szCs w:val="24"/>
        </w:rPr>
        <w:tab/>
      </w:r>
      <w:r w:rsidR="006B0100" w:rsidRPr="00661B39">
        <w:rPr>
          <w:szCs w:val="24"/>
        </w:rPr>
        <w:t>These provisions, read together,</w:t>
      </w:r>
      <w:r w:rsidR="00A61636" w:rsidRPr="00661B39">
        <w:rPr>
          <w:szCs w:val="24"/>
        </w:rPr>
        <w:t xml:space="preserve"> </w:t>
      </w:r>
      <w:r w:rsidR="001864C0" w:rsidRPr="00661B39">
        <w:rPr>
          <w:szCs w:val="24"/>
        </w:rPr>
        <w:t xml:space="preserve">show </w:t>
      </w:r>
      <w:r w:rsidR="000E122F" w:rsidRPr="00661B39">
        <w:rPr>
          <w:szCs w:val="24"/>
        </w:rPr>
        <w:t xml:space="preserve">that </w:t>
      </w:r>
      <w:r w:rsidR="00D444B8" w:rsidRPr="00661B39">
        <w:rPr>
          <w:szCs w:val="24"/>
        </w:rPr>
        <w:t xml:space="preserve">the </w:t>
      </w:r>
      <w:r w:rsidR="000E122F" w:rsidRPr="00661B39">
        <w:rPr>
          <w:szCs w:val="24"/>
        </w:rPr>
        <w:t xml:space="preserve">number of individuals to whom the State </w:t>
      </w:r>
      <w:r w:rsidR="00740D61" w:rsidRPr="00661B39">
        <w:rPr>
          <w:szCs w:val="24"/>
        </w:rPr>
        <w:t>must</w:t>
      </w:r>
      <w:r w:rsidR="000E122F" w:rsidRPr="00661B39">
        <w:rPr>
          <w:szCs w:val="24"/>
        </w:rPr>
        <w:t xml:space="preserve"> provide Housing Slots pursuant to section III(B)(3) refers to the number of individuals simultaneously residing in community-based supported housing on given compliance dates.  </w:t>
      </w:r>
      <w:r w:rsidR="00D444B8" w:rsidRPr="00661B39">
        <w:rPr>
          <w:szCs w:val="24"/>
        </w:rPr>
        <w:t xml:space="preserve">This language expresses the parties’ intent </w:t>
      </w:r>
      <w:r w:rsidR="00B771FB" w:rsidRPr="00661B39">
        <w:rPr>
          <w:szCs w:val="24"/>
        </w:rPr>
        <w:t>for</w:t>
      </w:r>
      <w:r w:rsidR="00FC0A65" w:rsidRPr="00661B39">
        <w:rPr>
          <w:szCs w:val="24"/>
        </w:rPr>
        <w:t xml:space="preserve"> </w:t>
      </w:r>
      <w:r w:rsidR="00A61636" w:rsidRPr="00661B39">
        <w:rPr>
          <w:szCs w:val="24"/>
        </w:rPr>
        <w:t>the State</w:t>
      </w:r>
      <w:r w:rsidR="00B771FB" w:rsidRPr="00661B39">
        <w:rPr>
          <w:szCs w:val="24"/>
        </w:rPr>
        <w:t xml:space="preserve"> to </w:t>
      </w:r>
      <w:r w:rsidR="00C70E8A" w:rsidRPr="00661B39">
        <w:rPr>
          <w:szCs w:val="24"/>
        </w:rPr>
        <w:t>modify its</w:t>
      </w:r>
      <w:r w:rsidR="00470094">
        <w:rPr>
          <w:szCs w:val="24"/>
        </w:rPr>
        <w:t xml:space="preserve"> system and provide</w:t>
      </w:r>
      <w:r w:rsidR="00823DA3" w:rsidRPr="00661B39">
        <w:rPr>
          <w:szCs w:val="24"/>
        </w:rPr>
        <w:t xml:space="preserve"> </w:t>
      </w:r>
      <w:r w:rsidR="00A61636" w:rsidRPr="00661B39">
        <w:rPr>
          <w:szCs w:val="24"/>
        </w:rPr>
        <w:t>permanent housing with services t</w:t>
      </w:r>
      <w:r w:rsidR="00B771FB" w:rsidRPr="00661B39">
        <w:rPr>
          <w:szCs w:val="24"/>
        </w:rPr>
        <w:t>hat</w:t>
      </w:r>
      <w:r w:rsidR="006D08AB" w:rsidRPr="00661B39">
        <w:rPr>
          <w:szCs w:val="24"/>
        </w:rPr>
        <w:t xml:space="preserve"> </w:t>
      </w:r>
      <w:r w:rsidR="00EE74CF" w:rsidRPr="00661B39">
        <w:rPr>
          <w:szCs w:val="24"/>
        </w:rPr>
        <w:t>support</w:t>
      </w:r>
      <w:r w:rsidR="00A61636" w:rsidRPr="00661B39">
        <w:rPr>
          <w:szCs w:val="24"/>
        </w:rPr>
        <w:t xml:space="preserve"> individuals </w:t>
      </w:r>
      <w:r w:rsidR="009543B1" w:rsidRPr="00661B39">
        <w:rPr>
          <w:szCs w:val="24"/>
        </w:rPr>
        <w:t xml:space="preserve">in </w:t>
      </w:r>
      <w:r w:rsidR="00A61636" w:rsidRPr="00661B39">
        <w:rPr>
          <w:szCs w:val="24"/>
        </w:rPr>
        <w:t>integrated, community housing</w:t>
      </w:r>
      <w:r w:rsidR="000E122F" w:rsidRPr="00661B39">
        <w:rPr>
          <w:szCs w:val="24"/>
        </w:rPr>
        <w:t>.</w:t>
      </w:r>
      <w:r w:rsidR="00A61636" w:rsidRPr="00661B39">
        <w:rPr>
          <w:szCs w:val="24"/>
        </w:rPr>
        <w:t xml:space="preserve">  </w:t>
      </w:r>
      <w:r w:rsidR="00315382" w:rsidRPr="00661B39">
        <w:rPr>
          <w:szCs w:val="24"/>
        </w:rPr>
        <w:t xml:space="preserve">In other words, the parties intended for individuals to simultaneously occupy 3,000 Housing Slots at the conclusion of the Agreement—not </w:t>
      </w:r>
      <w:r w:rsidR="008F3598" w:rsidRPr="00661B39">
        <w:rPr>
          <w:szCs w:val="24"/>
        </w:rPr>
        <w:t xml:space="preserve">for </w:t>
      </w:r>
      <w:r w:rsidR="00315382" w:rsidRPr="00661B39">
        <w:rPr>
          <w:szCs w:val="24"/>
        </w:rPr>
        <w:t xml:space="preserve">a total of 3,000 individuals </w:t>
      </w:r>
      <w:r w:rsidR="008F3598" w:rsidRPr="00661B39">
        <w:rPr>
          <w:szCs w:val="24"/>
        </w:rPr>
        <w:t xml:space="preserve">to </w:t>
      </w:r>
      <w:r w:rsidR="00315382" w:rsidRPr="00661B39">
        <w:rPr>
          <w:szCs w:val="24"/>
        </w:rPr>
        <w:t>have used a Housing Slot at some point, however short-lived, over the course of the eight-year Agreement.</w:t>
      </w:r>
      <w:r w:rsidR="00C22C8B" w:rsidRPr="00661B39">
        <w:rPr>
          <w:szCs w:val="24"/>
        </w:rPr>
        <w:t xml:space="preserve">  </w:t>
      </w:r>
      <w:r w:rsidR="00A61636" w:rsidRPr="00661B39">
        <w:rPr>
          <w:szCs w:val="24"/>
        </w:rPr>
        <w:t>Me</w:t>
      </w:r>
      <w:r w:rsidR="00C17DC3" w:rsidRPr="00661B39">
        <w:rPr>
          <w:szCs w:val="24"/>
        </w:rPr>
        <w:t xml:space="preserve">asuring compliance as the </w:t>
      </w:r>
      <w:r w:rsidR="00A61636" w:rsidRPr="00661B39">
        <w:rPr>
          <w:szCs w:val="24"/>
        </w:rPr>
        <w:t>number of occupied Housing Slots</w:t>
      </w:r>
      <w:r w:rsidR="00CD6E12">
        <w:rPr>
          <w:szCs w:val="24"/>
        </w:rPr>
        <w:t>—</w:t>
      </w:r>
      <w:r w:rsidR="00726CE5" w:rsidRPr="00661B39">
        <w:rPr>
          <w:szCs w:val="24"/>
        </w:rPr>
        <w:t>i.e., the number of individuals the</w:t>
      </w:r>
      <w:r w:rsidR="00A82981" w:rsidRPr="00661B39">
        <w:rPr>
          <w:szCs w:val="24"/>
        </w:rPr>
        <w:t xml:space="preserve"> system</w:t>
      </w:r>
      <w:r w:rsidR="00EE74CF" w:rsidRPr="00661B39">
        <w:rPr>
          <w:szCs w:val="24"/>
        </w:rPr>
        <w:t xml:space="preserve"> supports</w:t>
      </w:r>
      <w:r w:rsidR="000E122F" w:rsidRPr="00661B39">
        <w:rPr>
          <w:szCs w:val="24"/>
        </w:rPr>
        <w:t xml:space="preserve"> </w:t>
      </w:r>
      <w:r w:rsidR="00A61636" w:rsidRPr="00661B39">
        <w:rPr>
          <w:szCs w:val="24"/>
        </w:rPr>
        <w:t xml:space="preserve">on </w:t>
      </w:r>
      <w:r w:rsidR="006B0100" w:rsidRPr="00661B39">
        <w:rPr>
          <w:szCs w:val="24"/>
        </w:rPr>
        <w:t xml:space="preserve">a </w:t>
      </w:r>
      <w:r w:rsidR="00A61636" w:rsidRPr="00661B39">
        <w:rPr>
          <w:szCs w:val="24"/>
        </w:rPr>
        <w:t>given compliance date</w:t>
      </w:r>
      <w:r w:rsidR="00CD6E12">
        <w:rPr>
          <w:szCs w:val="24"/>
        </w:rPr>
        <w:t>—</w:t>
      </w:r>
      <w:r w:rsidR="00A61636" w:rsidRPr="00661B39">
        <w:rPr>
          <w:szCs w:val="24"/>
        </w:rPr>
        <w:t xml:space="preserve">reflects the </w:t>
      </w:r>
      <w:r w:rsidR="00FC0A65" w:rsidRPr="00661B39">
        <w:rPr>
          <w:szCs w:val="24"/>
        </w:rPr>
        <w:t>parties’ intent to create a system of permanent</w:t>
      </w:r>
      <w:r w:rsidR="00E07AE1" w:rsidRPr="00661B39">
        <w:rPr>
          <w:szCs w:val="24"/>
        </w:rPr>
        <w:t xml:space="preserve"> supported</w:t>
      </w:r>
      <w:r w:rsidR="00FC0A65" w:rsidRPr="00661B39">
        <w:rPr>
          <w:szCs w:val="24"/>
        </w:rPr>
        <w:t xml:space="preserve"> housing.</w:t>
      </w:r>
    </w:p>
    <w:p w:rsidR="00B93C83" w:rsidRPr="00661B39" w:rsidRDefault="00823DA3" w:rsidP="00F17F3C">
      <w:pPr>
        <w:spacing w:line="480" w:lineRule="auto"/>
        <w:ind w:firstLine="720"/>
        <w:jc w:val="both"/>
        <w:rPr>
          <w:szCs w:val="24"/>
        </w:rPr>
      </w:pPr>
      <w:r w:rsidRPr="00661B39">
        <w:rPr>
          <w:szCs w:val="24"/>
        </w:rPr>
        <w:t>T</w:t>
      </w:r>
      <w:r w:rsidR="00B771FB" w:rsidRPr="00661B39">
        <w:rPr>
          <w:szCs w:val="24"/>
        </w:rPr>
        <w:t>he State’s interpretation</w:t>
      </w:r>
      <w:r w:rsidR="00EB4A2E" w:rsidRPr="00661B39">
        <w:rPr>
          <w:szCs w:val="24"/>
        </w:rPr>
        <w:t xml:space="preserve">—which </w:t>
      </w:r>
      <w:r w:rsidR="00B771FB" w:rsidRPr="00661B39">
        <w:rPr>
          <w:szCs w:val="24"/>
        </w:rPr>
        <w:t>include</w:t>
      </w:r>
      <w:r w:rsidR="00EB4A2E" w:rsidRPr="00661B39">
        <w:rPr>
          <w:szCs w:val="24"/>
        </w:rPr>
        <w:t>s</w:t>
      </w:r>
      <w:r w:rsidR="00B771FB" w:rsidRPr="00661B39">
        <w:rPr>
          <w:szCs w:val="24"/>
        </w:rPr>
        <w:t xml:space="preserve"> </w:t>
      </w:r>
      <w:r w:rsidR="001864C0" w:rsidRPr="00661B39">
        <w:rPr>
          <w:szCs w:val="24"/>
        </w:rPr>
        <w:t>vacant</w:t>
      </w:r>
      <w:r w:rsidR="00EB4A2E" w:rsidRPr="00661B39">
        <w:rPr>
          <w:szCs w:val="24"/>
        </w:rPr>
        <w:t xml:space="preserve"> Housing Slots—ignores the concepts of permanence, maintenance, and stability </w:t>
      </w:r>
      <w:r w:rsidR="005C2260" w:rsidRPr="00661B39">
        <w:rPr>
          <w:szCs w:val="24"/>
        </w:rPr>
        <w:t xml:space="preserve">incorporated </w:t>
      </w:r>
      <w:r w:rsidR="00EB4A2E" w:rsidRPr="00661B39">
        <w:rPr>
          <w:szCs w:val="24"/>
        </w:rPr>
        <w:t>throughout the Agreement.</w:t>
      </w:r>
      <w:r w:rsidR="00416282" w:rsidRPr="00661B39">
        <w:rPr>
          <w:szCs w:val="24"/>
        </w:rPr>
        <w:t xml:space="preserve">  It </w:t>
      </w:r>
      <w:r w:rsidRPr="00661B39">
        <w:rPr>
          <w:szCs w:val="24"/>
        </w:rPr>
        <w:t>disregards</w:t>
      </w:r>
      <w:r w:rsidR="00B771FB" w:rsidRPr="00661B39">
        <w:rPr>
          <w:szCs w:val="24"/>
        </w:rPr>
        <w:t xml:space="preserve"> the Agreement’s definition of Housing Slots as including tenancy supports that enable individuals to maintain permanent </w:t>
      </w:r>
      <w:r w:rsidR="00D9539F" w:rsidRPr="00661B39">
        <w:rPr>
          <w:szCs w:val="24"/>
        </w:rPr>
        <w:t xml:space="preserve">supported </w:t>
      </w:r>
      <w:r w:rsidR="00B771FB" w:rsidRPr="00661B39">
        <w:rPr>
          <w:szCs w:val="24"/>
        </w:rPr>
        <w:t>housing.</w:t>
      </w:r>
      <w:r w:rsidR="00416282" w:rsidRPr="00661B39">
        <w:rPr>
          <w:szCs w:val="24"/>
        </w:rPr>
        <w:t xml:space="preserve">  Under the State’s interpretation, even an individual who </w:t>
      </w:r>
      <w:r w:rsidR="00C22C8B" w:rsidRPr="00661B39">
        <w:rPr>
          <w:szCs w:val="24"/>
        </w:rPr>
        <w:t xml:space="preserve">resided </w:t>
      </w:r>
      <w:r w:rsidR="00416282" w:rsidRPr="00661B39">
        <w:rPr>
          <w:szCs w:val="24"/>
        </w:rPr>
        <w:t xml:space="preserve">in a Housing Slot for less than a day would count toward compliance.  </w:t>
      </w:r>
      <w:r w:rsidR="00416282" w:rsidRPr="00661B39">
        <w:rPr>
          <w:i/>
          <w:szCs w:val="24"/>
        </w:rPr>
        <w:t xml:space="preserve">See </w:t>
      </w:r>
      <w:r w:rsidR="00416282" w:rsidRPr="00661B39">
        <w:rPr>
          <w:szCs w:val="24"/>
        </w:rPr>
        <w:t>May 2016 Letter from N.C.</w:t>
      </w:r>
      <w:r w:rsidR="00117C1C" w:rsidRPr="00661B39">
        <w:rPr>
          <w:szCs w:val="24"/>
        </w:rPr>
        <w:t xml:space="preserve"> Ex. J,</w:t>
      </w:r>
      <w:r w:rsidR="00416282" w:rsidRPr="00661B39">
        <w:rPr>
          <w:szCs w:val="24"/>
        </w:rPr>
        <w:t xml:space="preserve"> at 1 (“Once that person is housed, the individual counts toward Section III B.3 . . . .”).  By counting vacant Housing Slots, the State’s interpretation </w:t>
      </w:r>
      <w:r w:rsidR="00942514" w:rsidRPr="00661B39">
        <w:rPr>
          <w:szCs w:val="24"/>
        </w:rPr>
        <w:t xml:space="preserve">would </w:t>
      </w:r>
      <w:r w:rsidR="00416282" w:rsidRPr="00661B39">
        <w:rPr>
          <w:szCs w:val="24"/>
        </w:rPr>
        <w:t xml:space="preserve">allow </w:t>
      </w:r>
      <w:r w:rsidR="00942514" w:rsidRPr="00661B39">
        <w:rPr>
          <w:szCs w:val="24"/>
        </w:rPr>
        <w:t xml:space="preserve">the State </w:t>
      </w:r>
      <w:r w:rsidR="00416282" w:rsidRPr="00661B39">
        <w:rPr>
          <w:szCs w:val="24"/>
        </w:rPr>
        <w:t>to claim compliance even if no</w:t>
      </w:r>
      <w:r w:rsidR="00C95B6C" w:rsidRPr="00661B39">
        <w:rPr>
          <w:szCs w:val="24"/>
        </w:rPr>
        <w:t xml:space="preserve"> one occupies a </w:t>
      </w:r>
      <w:r w:rsidR="00416282" w:rsidRPr="00661B39">
        <w:rPr>
          <w:szCs w:val="24"/>
        </w:rPr>
        <w:t>Housing Slot</w:t>
      </w:r>
      <w:r w:rsidRPr="00661B39">
        <w:rPr>
          <w:szCs w:val="24"/>
        </w:rPr>
        <w:t xml:space="preserve"> at the conclusion of the Agreement</w:t>
      </w:r>
      <w:r w:rsidR="00416282" w:rsidRPr="00661B39">
        <w:rPr>
          <w:szCs w:val="24"/>
        </w:rPr>
        <w:t>.</w:t>
      </w:r>
      <w:r w:rsidR="005155CA" w:rsidRPr="00661B39">
        <w:rPr>
          <w:szCs w:val="24"/>
        </w:rPr>
        <w:t xml:space="preserve">  </w:t>
      </w:r>
    </w:p>
    <w:p w:rsidR="00BE408D" w:rsidRPr="00661B39" w:rsidRDefault="005F25A4" w:rsidP="00F17F3C">
      <w:pPr>
        <w:spacing w:line="480" w:lineRule="auto"/>
        <w:ind w:firstLine="720"/>
        <w:jc w:val="both"/>
        <w:rPr>
          <w:szCs w:val="24"/>
        </w:rPr>
      </w:pPr>
      <w:r w:rsidRPr="00661B39">
        <w:rPr>
          <w:szCs w:val="24"/>
        </w:rPr>
        <w:t>The structure of section III(B)(3)</w:t>
      </w:r>
      <w:r w:rsidR="00942514" w:rsidRPr="00661B39">
        <w:rPr>
          <w:szCs w:val="24"/>
        </w:rPr>
        <w:t xml:space="preserve"> </w:t>
      </w:r>
      <w:r w:rsidR="00D937CF" w:rsidRPr="00661B39">
        <w:rPr>
          <w:szCs w:val="24"/>
        </w:rPr>
        <w:t xml:space="preserve">further </w:t>
      </w:r>
      <w:r w:rsidRPr="00661B39">
        <w:rPr>
          <w:szCs w:val="24"/>
        </w:rPr>
        <w:t>demonstrates that the parties intended</w:t>
      </w:r>
      <w:r w:rsidR="00E9781F" w:rsidRPr="00661B39">
        <w:rPr>
          <w:szCs w:val="24"/>
        </w:rPr>
        <w:t xml:space="preserve"> for the State to develop the systemic capacity to </w:t>
      </w:r>
      <w:r w:rsidR="00D9539F" w:rsidRPr="00661B39">
        <w:rPr>
          <w:szCs w:val="24"/>
        </w:rPr>
        <w:t>simultaneously s</w:t>
      </w:r>
      <w:r w:rsidR="009D164C" w:rsidRPr="00661B39">
        <w:rPr>
          <w:szCs w:val="24"/>
        </w:rPr>
        <w:t>upport</w:t>
      </w:r>
      <w:r w:rsidR="00D9539F" w:rsidRPr="00661B39">
        <w:rPr>
          <w:szCs w:val="24"/>
        </w:rPr>
        <w:t xml:space="preserve"> 3,000 individuals in Housing Slots</w:t>
      </w:r>
      <w:r w:rsidR="009D164C" w:rsidRPr="00661B39">
        <w:rPr>
          <w:szCs w:val="24"/>
        </w:rPr>
        <w:t xml:space="preserve"> </w:t>
      </w:r>
      <w:r w:rsidR="00DB5F0D" w:rsidRPr="00661B39">
        <w:rPr>
          <w:szCs w:val="24"/>
        </w:rPr>
        <w:t>by</w:t>
      </w:r>
      <w:r w:rsidR="009D164C" w:rsidRPr="00661B39">
        <w:rPr>
          <w:szCs w:val="24"/>
        </w:rPr>
        <w:t xml:space="preserve"> 2020.</w:t>
      </w:r>
      <w:r w:rsidR="00E9781F" w:rsidRPr="00661B39">
        <w:rPr>
          <w:szCs w:val="24"/>
        </w:rPr>
        <w:t xml:space="preserve">  </w:t>
      </w:r>
      <w:r w:rsidR="00942514" w:rsidRPr="00661B39">
        <w:rPr>
          <w:szCs w:val="24"/>
        </w:rPr>
        <w:t xml:space="preserve">Section III(B)(3) provides a schedule of annual benchmarks by which the State’s obligations increase by 458 or 459 Housing Slots each year from the second year of the Agreement until its conclusion, when the State must “provide Housing Slots to at least 3,000 individuals.”  </w:t>
      </w:r>
      <w:r w:rsidR="00942514" w:rsidRPr="00661B39">
        <w:rPr>
          <w:i/>
          <w:szCs w:val="24"/>
        </w:rPr>
        <w:t xml:space="preserve">See id. </w:t>
      </w:r>
      <w:r w:rsidR="00EB47E8" w:rsidRPr="00661B39">
        <w:rPr>
          <w:i/>
          <w:szCs w:val="24"/>
        </w:rPr>
        <w:t xml:space="preserve"> </w:t>
      </w:r>
      <w:r w:rsidR="00547A83" w:rsidRPr="00661B39">
        <w:rPr>
          <w:szCs w:val="24"/>
        </w:rPr>
        <w:t xml:space="preserve">This progressive schedule </w:t>
      </w:r>
      <w:r w:rsidR="00D937CF" w:rsidRPr="00661B39">
        <w:rPr>
          <w:szCs w:val="24"/>
        </w:rPr>
        <w:t>facilitate</w:t>
      </w:r>
      <w:r w:rsidR="00547A83" w:rsidRPr="00661B39">
        <w:rPr>
          <w:szCs w:val="24"/>
        </w:rPr>
        <w:t>s</w:t>
      </w:r>
      <w:r w:rsidR="00D937CF" w:rsidRPr="00661B39">
        <w:rPr>
          <w:szCs w:val="24"/>
        </w:rPr>
        <w:t xml:space="preserve"> sustainable systemic</w:t>
      </w:r>
      <w:r w:rsidRPr="00661B39">
        <w:rPr>
          <w:szCs w:val="24"/>
        </w:rPr>
        <w:t xml:space="preserve"> growth</w:t>
      </w:r>
      <w:r w:rsidR="00E9781F" w:rsidRPr="00661B39">
        <w:rPr>
          <w:szCs w:val="24"/>
        </w:rPr>
        <w:t>, requiring the State</w:t>
      </w:r>
      <w:r w:rsidR="00277636" w:rsidRPr="00661B39">
        <w:rPr>
          <w:szCs w:val="24"/>
        </w:rPr>
        <w:t xml:space="preserve"> to expand its capacity each year</w:t>
      </w:r>
      <w:r w:rsidR="00547A83" w:rsidRPr="00661B39">
        <w:rPr>
          <w:szCs w:val="24"/>
        </w:rPr>
        <w:t xml:space="preserve"> by </w:t>
      </w:r>
      <w:r w:rsidR="00E9781F" w:rsidRPr="00661B39">
        <w:rPr>
          <w:szCs w:val="24"/>
        </w:rPr>
        <w:t>build</w:t>
      </w:r>
      <w:r w:rsidR="00547A83" w:rsidRPr="00661B39">
        <w:rPr>
          <w:szCs w:val="24"/>
        </w:rPr>
        <w:t>ing</w:t>
      </w:r>
      <w:r w:rsidR="00277636" w:rsidRPr="00661B39">
        <w:rPr>
          <w:szCs w:val="24"/>
        </w:rPr>
        <w:t xml:space="preserve"> on the foundation of prior years</w:t>
      </w:r>
      <w:r w:rsidR="00E9781F" w:rsidRPr="00661B39">
        <w:rPr>
          <w:szCs w:val="24"/>
        </w:rPr>
        <w:t xml:space="preserve">.  </w:t>
      </w:r>
    </w:p>
    <w:p w:rsidR="00EB47E8" w:rsidRPr="00661B39" w:rsidRDefault="00ED01EF" w:rsidP="00F17F3C">
      <w:pPr>
        <w:spacing w:line="480" w:lineRule="auto"/>
        <w:ind w:firstLine="720"/>
        <w:jc w:val="both"/>
        <w:rPr>
          <w:szCs w:val="24"/>
        </w:rPr>
      </w:pPr>
      <w:r w:rsidRPr="00661B39">
        <w:rPr>
          <w:szCs w:val="24"/>
        </w:rPr>
        <w:t xml:space="preserve">Other sections of the Agreement also </w:t>
      </w:r>
      <w:r w:rsidR="00E653E9" w:rsidRPr="00661B39">
        <w:rPr>
          <w:szCs w:val="24"/>
        </w:rPr>
        <w:t>show</w:t>
      </w:r>
      <w:r w:rsidR="00A61636" w:rsidRPr="00661B39">
        <w:rPr>
          <w:szCs w:val="24"/>
        </w:rPr>
        <w:t xml:space="preserve"> </w:t>
      </w:r>
      <w:r w:rsidRPr="00661B39">
        <w:rPr>
          <w:szCs w:val="24"/>
        </w:rPr>
        <w:t xml:space="preserve">that </w:t>
      </w:r>
      <w:r w:rsidR="00A61636" w:rsidRPr="00661B39">
        <w:rPr>
          <w:szCs w:val="24"/>
        </w:rPr>
        <w:t xml:space="preserve">only occupied Housing Slots count toward compliance with section III(B)(3).  For example, the State may temporarily suspend its </w:t>
      </w:r>
      <w:r w:rsidR="005F78CA" w:rsidRPr="00661B39">
        <w:rPr>
          <w:szCs w:val="24"/>
        </w:rPr>
        <w:t xml:space="preserve">efforts to </w:t>
      </w:r>
      <w:r w:rsidR="001864C0" w:rsidRPr="00661B39">
        <w:rPr>
          <w:szCs w:val="24"/>
        </w:rPr>
        <w:t xml:space="preserve">inform </w:t>
      </w:r>
      <w:r w:rsidR="00704BA1" w:rsidRPr="00661B39">
        <w:rPr>
          <w:szCs w:val="24"/>
        </w:rPr>
        <w:t>individuals in adult care homes and psychiatric hospitals</w:t>
      </w:r>
      <w:r w:rsidR="005F78CA" w:rsidRPr="00661B39">
        <w:rPr>
          <w:szCs w:val="24"/>
        </w:rPr>
        <w:t xml:space="preserve"> about supported housing</w:t>
      </w:r>
      <w:r w:rsidR="00A61636" w:rsidRPr="00661B39">
        <w:rPr>
          <w:szCs w:val="24"/>
        </w:rPr>
        <w:t xml:space="preserve"> if the “interest list for Housing Slots exceeds twice the number of Housing Slots </w:t>
      </w:r>
      <w:r w:rsidR="009C030D" w:rsidRPr="00661B39">
        <w:rPr>
          <w:szCs w:val="24"/>
        </w:rPr>
        <w:t>required to be filled in the current and subsequent fiscal year.</w:t>
      </w:r>
      <w:r w:rsidR="00A61636" w:rsidRPr="00661B39">
        <w:rPr>
          <w:iCs/>
          <w:szCs w:val="24"/>
        </w:rPr>
        <w:t>”</w:t>
      </w:r>
      <w:r w:rsidR="00A61636" w:rsidRPr="00661B39">
        <w:rPr>
          <w:i/>
          <w:iCs/>
          <w:szCs w:val="24"/>
        </w:rPr>
        <w:t xml:space="preserve">  </w:t>
      </w:r>
      <w:r w:rsidR="00A61636" w:rsidRPr="00661B39">
        <w:rPr>
          <w:iCs/>
          <w:szCs w:val="24"/>
        </w:rPr>
        <w:t xml:space="preserve">S.A. </w:t>
      </w:r>
      <w:r w:rsidR="00A61636" w:rsidRPr="00661B39">
        <w:rPr>
          <w:szCs w:val="24"/>
        </w:rPr>
        <w:t xml:space="preserve">§ III(E)(2).  The </w:t>
      </w:r>
      <w:r w:rsidR="004D33FC" w:rsidRPr="00661B39">
        <w:rPr>
          <w:szCs w:val="24"/>
        </w:rPr>
        <w:t>phrase “required to be filled”</w:t>
      </w:r>
      <w:r w:rsidR="00692559" w:rsidRPr="00661B39">
        <w:rPr>
          <w:szCs w:val="24"/>
        </w:rPr>
        <w:t xml:space="preserve"> </w:t>
      </w:r>
      <w:r w:rsidR="00BE408D" w:rsidRPr="00661B39">
        <w:rPr>
          <w:szCs w:val="24"/>
        </w:rPr>
        <w:t>reflects</w:t>
      </w:r>
      <w:r w:rsidR="00A442C5" w:rsidRPr="00661B39">
        <w:rPr>
          <w:szCs w:val="24"/>
        </w:rPr>
        <w:t xml:space="preserve"> </w:t>
      </w:r>
      <w:r w:rsidR="00A61636" w:rsidRPr="00661B39">
        <w:rPr>
          <w:szCs w:val="24"/>
        </w:rPr>
        <w:t>that a Housing Slot is either occupied</w:t>
      </w:r>
      <w:r w:rsidR="00437B51" w:rsidRPr="00661B39">
        <w:rPr>
          <w:szCs w:val="24"/>
        </w:rPr>
        <w:t xml:space="preserve"> or vacant</w:t>
      </w:r>
      <w:r w:rsidR="004D33FC" w:rsidRPr="00661B39">
        <w:rPr>
          <w:szCs w:val="24"/>
        </w:rPr>
        <w:t xml:space="preserve"> </w:t>
      </w:r>
      <w:r w:rsidR="00A442C5" w:rsidRPr="00661B39">
        <w:rPr>
          <w:szCs w:val="24"/>
        </w:rPr>
        <w:t>and supports the interpretation</w:t>
      </w:r>
      <w:r w:rsidR="004D33FC" w:rsidRPr="00661B39">
        <w:rPr>
          <w:szCs w:val="24"/>
        </w:rPr>
        <w:t xml:space="preserve"> that only </w:t>
      </w:r>
      <w:r w:rsidR="00437B51" w:rsidRPr="00661B39">
        <w:rPr>
          <w:szCs w:val="24"/>
        </w:rPr>
        <w:t>“filled,” i.e.</w:t>
      </w:r>
      <w:r w:rsidR="0091544D" w:rsidRPr="00661B39">
        <w:rPr>
          <w:szCs w:val="24"/>
        </w:rPr>
        <w:t xml:space="preserve"> </w:t>
      </w:r>
      <w:r w:rsidR="004D33FC" w:rsidRPr="00661B39">
        <w:rPr>
          <w:szCs w:val="24"/>
        </w:rPr>
        <w:t>occupied</w:t>
      </w:r>
      <w:r w:rsidR="0091544D" w:rsidRPr="00661B39">
        <w:rPr>
          <w:szCs w:val="24"/>
        </w:rPr>
        <w:t>,</w:t>
      </w:r>
      <w:r w:rsidR="00437B51" w:rsidRPr="00661B39">
        <w:rPr>
          <w:szCs w:val="24"/>
        </w:rPr>
        <w:t xml:space="preserve"> Housing Slots</w:t>
      </w:r>
      <w:r w:rsidR="00A442C5" w:rsidRPr="00661B39">
        <w:rPr>
          <w:szCs w:val="24"/>
        </w:rPr>
        <w:t xml:space="preserve"> count toward compliance</w:t>
      </w:r>
      <w:r w:rsidR="00A61636" w:rsidRPr="00661B39">
        <w:rPr>
          <w:szCs w:val="24"/>
        </w:rPr>
        <w:t xml:space="preserve">.  </w:t>
      </w:r>
    </w:p>
    <w:p w:rsidR="00FA76E4" w:rsidRPr="00661B39" w:rsidRDefault="00E653E9" w:rsidP="00F17F3C">
      <w:pPr>
        <w:spacing w:line="480" w:lineRule="auto"/>
        <w:ind w:firstLine="720"/>
        <w:jc w:val="both"/>
        <w:rPr>
          <w:szCs w:val="24"/>
        </w:rPr>
      </w:pPr>
      <w:r w:rsidRPr="00661B39">
        <w:rPr>
          <w:szCs w:val="24"/>
        </w:rPr>
        <w:t>Furthermore</w:t>
      </w:r>
      <w:r w:rsidR="00545C69" w:rsidRPr="00661B39">
        <w:rPr>
          <w:szCs w:val="24"/>
        </w:rPr>
        <w:t>, m</w:t>
      </w:r>
      <w:r w:rsidR="00A61636" w:rsidRPr="00661B39">
        <w:rPr>
          <w:szCs w:val="24"/>
        </w:rPr>
        <w:t xml:space="preserve">easuring compliance by counting only occupied Housing Slots is the only interpretation that effectuates the Agreement’s stated purpose of achieving community integration.  </w:t>
      </w:r>
      <w:r w:rsidR="00A72521" w:rsidRPr="00661B39">
        <w:rPr>
          <w:i/>
          <w:szCs w:val="24"/>
        </w:rPr>
        <w:t xml:space="preserve">See </w:t>
      </w:r>
      <w:r w:rsidR="00A61636" w:rsidRPr="00661B39">
        <w:rPr>
          <w:szCs w:val="24"/>
        </w:rPr>
        <w:t>S.A. § I(</w:t>
      </w:r>
      <w:r w:rsidRPr="00661B39">
        <w:rPr>
          <w:szCs w:val="24"/>
        </w:rPr>
        <w:t>C</w:t>
      </w:r>
      <w:r w:rsidR="00A61636" w:rsidRPr="00661B39">
        <w:rPr>
          <w:szCs w:val="24"/>
        </w:rPr>
        <w:t>) (“[T]</w:t>
      </w:r>
      <w:proofErr w:type="spellStart"/>
      <w:r w:rsidR="00A61636" w:rsidRPr="00661B39">
        <w:rPr>
          <w:szCs w:val="24"/>
        </w:rPr>
        <w:t>hrough</w:t>
      </w:r>
      <w:proofErr w:type="spellEnd"/>
      <w:r w:rsidR="00A61636" w:rsidRPr="00661B39">
        <w:rPr>
          <w:szCs w:val="24"/>
        </w:rPr>
        <w:t xml:space="preserve"> this Agreement, the Parties intend that the goals of community integration and self-determination will be achieved.”)</w:t>
      </w:r>
      <w:r w:rsidR="009543B1" w:rsidRPr="00661B39">
        <w:rPr>
          <w:szCs w:val="24"/>
        </w:rPr>
        <w:t xml:space="preserve">; </w:t>
      </w:r>
      <w:r w:rsidR="00D93C80" w:rsidRPr="00661B39">
        <w:rPr>
          <w:i/>
          <w:szCs w:val="24"/>
        </w:rPr>
        <w:t xml:space="preserve">see also id. </w:t>
      </w:r>
      <w:r w:rsidR="009543B1" w:rsidRPr="00661B39">
        <w:rPr>
          <w:szCs w:val="24"/>
        </w:rPr>
        <w:t>§</w:t>
      </w:r>
      <w:r w:rsidR="00D93C80" w:rsidRPr="00661B39">
        <w:rPr>
          <w:szCs w:val="24"/>
        </w:rPr>
        <w:t xml:space="preserve"> III(G)(7) (discussing “Agreement’s intended outcomes of increased integration, stable integrated housing, and decreased hospitalization and institutionalization”)</w:t>
      </w:r>
      <w:r w:rsidR="00A61636" w:rsidRPr="00661B39">
        <w:rPr>
          <w:szCs w:val="24"/>
        </w:rPr>
        <w:t xml:space="preserve">.  When the </w:t>
      </w:r>
      <w:r w:rsidR="005C2260" w:rsidRPr="00661B39">
        <w:rPr>
          <w:szCs w:val="24"/>
        </w:rPr>
        <w:t xml:space="preserve">parties’ </w:t>
      </w:r>
      <w:r w:rsidR="00A61636" w:rsidRPr="00661B39">
        <w:rPr>
          <w:szCs w:val="24"/>
        </w:rPr>
        <w:t xml:space="preserve">purpose is ascertainable, as it is here, that purpose “is given great weight.” </w:t>
      </w:r>
      <w:r w:rsidR="00A72521" w:rsidRPr="00661B39">
        <w:rPr>
          <w:szCs w:val="24"/>
        </w:rPr>
        <w:t xml:space="preserve"> </w:t>
      </w:r>
      <w:r w:rsidR="00A72521" w:rsidRPr="00661B39">
        <w:rPr>
          <w:i/>
          <w:szCs w:val="24"/>
        </w:rPr>
        <w:t xml:space="preserve">See </w:t>
      </w:r>
      <w:r w:rsidR="00FA76E4" w:rsidRPr="00661B39">
        <w:rPr>
          <w:szCs w:val="24"/>
        </w:rPr>
        <w:t xml:space="preserve">Restatement </w:t>
      </w:r>
      <w:r w:rsidR="00A61636" w:rsidRPr="00661B39">
        <w:rPr>
          <w:szCs w:val="24"/>
        </w:rPr>
        <w:t>§</w:t>
      </w:r>
      <w:r w:rsidR="005C2260" w:rsidRPr="00661B39">
        <w:rPr>
          <w:szCs w:val="24"/>
        </w:rPr>
        <w:t> </w:t>
      </w:r>
      <w:r w:rsidR="00A61636" w:rsidRPr="00661B39">
        <w:rPr>
          <w:szCs w:val="24"/>
        </w:rPr>
        <w:t>202(1)</w:t>
      </w:r>
      <w:r w:rsidR="00B34D87" w:rsidRPr="00661B39">
        <w:rPr>
          <w:szCs w:val="24"/>
        </w:rPr>
        <w:fldChar w:fldCharType="begin"/>
      </w:r>
      <w:r w:rsidR="008C178D" w:rsidRPr="00661B39">
        <w:rPr>
          <w:szCs w:val="24"/>
        </w:rPr>
        <w:instrText xml:space="preserve"> TA \s "Restatement (Second) of Contracts § 202(1) (1981)" </w:instrText>
      </w:r>
      <w:r w:rsidR="00B34D87" w:rsidRPr="00661B39">
        <w:rPr>
          <w:szCs w:val="24"/>
        </w:rPr>
        <w:fldChar w:fldCharType="end"/>
      </w:r>
      <w:r w:rsidR="00A72521" w:rsidRPr="00661B39">
        <w:rPr>
          <w:szCs w:val="24"/>
        </w:rPr>
        <w:t xml:space="preserve">; </w:t>
      </w:r>
      <w:r w:rsidR="00A72521" w:rsidRPr="00661B39">
        <w:rPr>
          <w:i/>
          <w:szCs w:val="24"/>
        </w:rPr>
        <w:t xml:space="preserve">Silicon Image, </w:t>
      </w:r>
      <w:r w:rsidR="00A72521" w:rsidRPr="00661B39">
        <w:rPr>
          <w:szCs w:val="24"/>
        </w:rPr>
        <w:t>271 F. Supp. 2d at 851</w:t>
      </w:r>
      <w:r w:rsidR="00B34D87" w:rsidRPr="00661B39">
        <w:rPr>
          <w:szCs w:val="24"/>
        </w:rPr>
        <w:fldChar w:fldCharType="begin"/>
      </w:r>
      <w:r w:rsidR="006B1B06" w:rsidRPr="00661B39">
        <w:rPr>
          <w:szCs w:val="24"/>
        </w:rPr>
        <w:instrText xml:space="preserve"> TA \s "Silicon Image, Inc. v. Genesis Microchip, Inc., 271 F. Supp. 2d 840 (E.D. Va. 2003)" </w:instrText>
      </w:r>
      <w:r w:rsidR="00B34D87" w:rsidRPr="00661B39">
        <w:rPr>
          <w:szCs w:val="24"/>
        </w:rPr>
        <w:fldChar w:fldCharType="end"/>
      </w:r>
      <w:r w:rsidR="00A72521" w:rsidRPr="00661B39">
        <w:rPr>
          <w:szCs w:val="24"/>
        </w:rPr>
        <w:t xml:space="preserve"> (interpreting agreement to effectuate its purpose</w:t>
      </w:r>
      <w:r w:rsidR="00FA76E4" w:rsidRPr="00661B39">
        <w:rPr>
          <w:szCs w:val="24"/>
        </w:rPr>
        <w:t>).</w:t>
      </w:r>
    </w:p>
    <w:p w:rsidR="00A61636" w:rsidRPr="00661B39" w:rsidRDefault="00A61636" w:rsidP="00F17F3C">
      <w:pPr>
        <w:tabs>
          <w:tab w:val="left" w:pos="0"/>
        </w:tabs>
        <w:ind w:firstLine="720"/>
        <w:jc w:val="both"/>
        <w:rPr>
          <w:rStyle w:val="Heading4Char"/>
          <w:szCs w:val="24"/>
        </w:rPr>
      </w:pPr>
      <w:r w:rsidRPr="00661B39">
        <w:rPr>
          <w:b/>
          <w:i/>
          <w:szCs w:val="24"/>
        </w:rPr>
        <w:tab/>
        <w:t>2.</w:t>
      </w:r>
      <w:r w:rsidRPr="00661B39">
        <w:rPr>
          <w:b/>
          <w:i/>
          <w:szCs w:val="24"/>
        </w:rPr>
        <w:tab/>
      </w:r>
      <w:r w:rsidRPr="00661B39">
        <w:rPr>
          <w:rStyle w:val="Heading4Char"/>
          <w:szCs w:val="24"/>
        </w:rPr>
        <w:t>The State’s Prior Conduct</w:t>
      </w:r>
      <w:r w:rsidR="00CD701D" w:rsidRPr="00661B39">
        <w:rPr>
          <w:rStyle w:val="Heading4Char"/>
          <w:szCs w:val="24"/>
        </w:rPr>
        <w:t xml:space="preserve"> Confirms that </w:t>
      </w:r>
      <w:r w:rsidR="00225D59" w:rsidRPr="00661B39">
        <w:rPr>
          <w:rStyle w:val="Heading4Char"/>
          <w:szCs w:val="24"/>
        </w:rPr>
        <w:t xml:space="preserve">the Parties Intended to Count </w:t>
      </w:r>
      <w:r w:rsidR="00225D59" w:rsidRPr="00661B39">
        <w:rPr>
          <w:rStyle w:val="Heading4Char"/>
          <w:szCs w:val="24"/>
        </w:rPr>
        <w:tab/>
      </w:r>
      <w:r w:rsidR="00225D59" w:rsidRPr="00661B39">
        <w:rPr>
          <w:rStyle w:val="Heading4Char"/>
          <w:szCs w:val="24"/>
        </w:rPr>
        <w:tab/>
      </w:r>
      <w:r w:rsidR="00225D59" w:rsidRPr="00661B39">
        <w:rPr>
          <w:rStyle w:val="Heading4Char"/>
          <w:szCs w:val="24"/>
        </w:rPr>
        <w:tab/>
      </w:r>
      <w:r w:rsidR="00225D59" w:rsidRPr="00661B39">
        <w:rPr>
          <w:rStyle w:val="Heading4Char"/>
          <w:szCs w:val="24"/>
        </w:rPr>
        <w:tab/>
      </w:r>
      <w:r w:rsidRPr="00661B39">
        <w:rPr>
          <w:rStyle w:val="Heading4Char"/>
          <w:szCs w:val="24"/>
        </w:rPr>
        <w:t>Only Occupied Housing Slots.</w:t>
      </w:r>
    </w:p>
    <w:p w:rsidR="00A61636" w:rsidRPr="00661B39" w:rsidRDefault="00A61636" w:rsidP="00F17F3C">
      <w:pPr>
        <w:ind w:firstLine="720"/>
        <w:jc w:val="both"/>
        <w:rPr>
          <w:szCs w:val="24"/>
        </w:rPr>
      </w:pPr>
      <w:r w:rsidRPr="00661B39">
        <w:rPr>
          <w:b/>
          <w:szCs w:val="24"/>
        </w:rPr>
        <w:tab/>
      </w:r>
      <w:r w:rsidRPr="00661B39">
        <w:rPr>
          <w:b/>
          <w:szCs w:val="24"/>
        </w:rPr>
        <w:tab/>
        <w:t xml:space="preserve"> </w:t>
      </w:r>
    </w:p>
    <w:p w:rsidR="00B93C83" w:rsidRPr="00661B39" w:rsidRDefault="00495245" w:rsidP="00792DD9">
      <w:pPr>
        <w:tabs>
          <w:tab w:val="left" w:pos="0"/>
        </w:tabs>
        <w:spacing w:line="480" w:lineRule="auto"/>
        <w:ind w:firstLine="720"/>
        <w:jc w:val="both"/>
        <w:rPr>
          <w:szCs w:val="24"/>
        </w:rPr>
      </w:pPr>
      <w:r w:rsidRPr="00661B39">
        <w:rPr>
          <w:szCs w:val="24"/>
        </w:rPr>
        <w:t xml:space="preserve">The </w:t>
      </w:r>
      <w:r w:rsidR="00A61636" w:rsidRPr="00661B39">
        <w:rPr>
          <w:szCs w:val="24"/>
        </w:rPr>
        <w:t xml:space="preserve">State’s conduct </w:t>
      </w:r>
      <w:r w:rsidR="00640534" w:rsidRPr="00661B39">
        <w:rPr>
          <w:szCs w:val="24"/>
        </w:rPr>
        <w:t xml:space="preserve">prior to this </w:t>
      </w:r>
      <w:r w:rsidR="007C351F" w:rsidRPr="00661B39">
        <w:rPr>
          <w:szCs w:val="24"/>
        </w:rPr>
        <w:t>controversy</w:t>
      </w:r>
      <w:r w:rsidR="00640534" w:rsidRPr="00661B39">
        <w:rPr>
          <w:szCs w:val="24"/>
        </w:rPr>
        <w:t xml:space="preserve"> </w:t>
      </w:r>
      <w:r w:rsidR="00A61636" w:rsidRPr="00661B39">
        <w:rPr>
          <w:szCs w:val="24"/>
        </w:rPr>
        <w:t xml:space="preserve">confirms that the parties intended </w:t>
      </w:r>
      <w:r w:rsidR="00640534" w:rsidRPr="00661B39">
        <w:rPr>
          <w:szCs w:val="24"/>
        </w:rPr>
        <w:t xml:space="preserve">to measure compliance with section III(B)(3) by counting only the individuals occupying Housing Slots on given compliance dates.  </w:t>
      </w:r>
      <w:r w:rsidR="005C4CE6" w:rsidRPr="00661B39">
        <w:rPr>
          <w:i/>
          <w:szCs w:val="24"/>
        </w:rPr>
        <w:t>See Mgmt Sys. Assoc</w:t>
      </w:r>
      <w:r w:rsidR="00A61636" w:rsidRPr="00661B39">
        <w:rPr>
          <w:i/>
          <w:szCs w:val="24"/>
        </w:rPr>
        <w:t>s</w:t>
      </w:r>
      <w:r w:rsidR="005C4CE6" w:rsidRPr="00661B39">
        <w:rPr>
          <w:i/>
          <w:szCs w:val="24"/>
        </w:rPr>
        <w:t>.</w:t>
      </w:r>
      <w:r w:rsidR="00A61636" w:rsidRPr="00661B39">
        <w:rPr>
          <w:i/>
          <w:szCs w:val="24"/>
        </w:rPr>
        <w:t>, Inc.</w:t>
      </w:r>
      <w:r w:rsidR="005A76A0" w:rsidRPr="00661B39">
        <w:rPr>
          <w:szCs w:val="24"/>
        </w:rPr>
        <w:t>,</w:t>
      </w:r>
      <w:r w:rsidR="00A61636" w:rsidRPr="00661B39">
        <w:rPr>
          <w:i/>
          <w:szCs w:val="24"/>
        </w:rPr>
        <w:t xml:space="preserve"> </w:t>
      </w:r>
      <w:r w:rsidR="00A61636" w:rsidRPr="00661B39">
        <w:rPr>
          <w:szCs w:val="24"/>
        </w:rPr>
        <w:t>762 F.2d at 1171–72</w:t>
      </w:r>
      <w:r w:rsidR="00B34D87" w:rsidRPr="00661B39">
        <w:rPr>
          <w:szCs w:val="24"/>
        </w:rPr>
        <w:fldChar w:fldCharType="begin"/>
      </w:r>
      <w:r w:rsidR="006B1B06" w:rsidRPr="00661B39">
        <w:rPr>
          <w:szCs w:val="24"/>
        </w:rPr>
        <w:instrText xml:space="preserve"> TA \s "Mgmt Sys. Assocs., Inc. v. McDonnell Douglas Corp., 762 F.2d 1161 (4th Cir. 1985" </w:instrText>
      </w:r>
      <w:r w:rsidR="00B34D87" w:rsidRPr="00661B39">
        <w:rPr>
          <w:szCs w:val="24"/>
        </w:rPr>
        <w:fldChar w:fldCharType="end"/>
      </w:r>
      <w:r w:rsidR="00A61636" w:rsidRPr="00661B39">
        <w:rPr>
          <w:szCs w:val="24"/>
        </w:rPr>
        <w:t xml:space="preserve"> (</w:t>
      </w:r>
      <w:r w:rsidR="000366E9" w:rsidRPr="00661B39">
        <w:rPr>
          <w:szCs w:val="24"/>
        </w:rPr>
        <w:t xml:space="preserve">holding </w:t>
      </w:r>
      <w:r w:rsidR="00103FE4" w:rsidRPr="00661B39">
        <w:rPr>
          <w:szCs w:val="24"/>
        </w:rPr>
        <w:t>course-of-</w:t>
      </w:r>
      <w:r w:rsidR="00930089" w:rsidRPr="00661B39">
        <w:rPr>
          <w:szCs w:val="24"/>
        </w:rPr>
        <w:t>conduct evidence highly persuasive</w:t>
      </w:r>
      <w:r w:rsidR="00A61636" w:rsidRPr="00661B39">
        <w:rPr>
          <w:szCs w:val="24"/>
        </w:rPr>
        <w:t xml:space="preserve">); </w:t>
      </w:r>
      <w:r w:rsidR="005C4CE6" w:rsidRPr="00661B39">
        <w:rPr>
          <w:i/>
          <w:szCs w:val="24"/>
        </w:rPr>
        <w:t>Crowder Const</w:t>
      </w:r>
      <w:r w:rsidR="00CD6E12">
        <w:rPr>
          <w:i/>
          <w:szCs w:val="24"/>
        </w:rPr>
        <w:t>r</w:t>
      </w:r>
      <w:r w:rsidR="005C4CE6" w:rsidRPr="00661B39">
        <w:rPr>
          <w:i/>
          <w:szCs w:val="24"/>
        </w:rPr>
        <w:t>. Co.</w:t>
      </w:r>
      <w:r w:rsidR="005C4CE6" w:rsidRPr="00661B39">
        <w:rPr>
          <w:szCs w:val="24"/>
        </w:rPr>
        <w:t>, 134 N.C. App. at 200–01, 517 S.E.2d at 186</w:t>
      </w:r>
      <w:r w:rsidR="00B34D87" w:rsidRPr="00661B39">
        <w:rPr>
          <w:szCs w:val="24"/>
        </w:rPr>
        <w:fldChar w:fldCharType="begin"/>
      </w:r>
      <w:r w:rsidR="006B1B06" w:rsidRPr="00661B39">
        <w:rPr>
          <w:szCs w:val="24"/>
        </w:rPr>
        <w:instrText xml:space="preserve"> TA \s "Crowder Const. Co. v. Kiser, 134 N.C. App. 190, 517 S.E.2d 178 (1999)" </w:instrText>
      </w:r>
      <w:r w:rsidR="00B34D87" w:rsidRPr="00661B39">
        <w:rPr>
          <w:szCs w:val="24"/>
        </w:rPr>
        <w:fldChar w:fldCharType="end"/>
      </w:r>
      <w:r w:rsidR="005C4CE6" w:rsidRPr="00661B39">
        <w:rPr>
          <w:szCs w:val="24"/>
        </w:rPr>
        <w:t xml:space="preserve"> </w:t>
      </w:r>
      <w:r w:rsidR="00A61636" w:rsidRPr="00661B39">
        <w:rPr>
          <w:szCs w:val="24"/>
        </w:rPr>
        <w:t>(</w:t>
      </w:r>
      <w:r w:rsidR="000366E9" w:rsidRPr="00661B39">
        <w:rPr>
          <w:szCs w:val="24"/>
        </w:rPr>
        <w:t xml:space="preserve">holding </w:t>
      </w:r>
      <w:r w:rsidR="005C4CE6" w:rsidRPr="00661B39">
        <w:rPr>
          <w:szCs w:val="24"/>
        </w:rPr>
        <w:t>manner in which parties have carried out agreement</w:t>
      </w:r>
      <w:r w:rsidR="00637358" w:rsidRPr="00661B39">
        <w:rPr>
          <w:szCs w:val="24"/>
        </w:rPr>
        <w:t xml:space="preserve"> </w:t>
      </w:r>
      <w:r w:rsidR="005C4CE6" w:rsidRPr="00661B39">
        <w:rPr>
          <w:szCs w:val="24"/>
        </w:rPr>
        <w:t>indicative of how the parties construe the terms</w:t>
      </w:r>
      <w:r w:rsidR="00A61636" w:rsidRPr="00661B39">
        <w:rPr>
          <w:szCs w:val="24"/>
        </w:rPr>
        <w:t>).</w:t>
      </w:r>
    </w:p>
    <w:p w:rsidR="00B93C83" w:rsidRPr="00661B39" w:rsidRDefault="004F1D85" w:rsidP="00362BFF">
      <w:pPr>
        <w:tabs>
          <w:tab w:val="left" w:pos="0"/>
        </w:tabs>
        <w:spacing w:line="480" w:lineRule="auto"/>
        <w:ind w:firstLine="720"/>
        <w:jc w:val="both"/>
        <w:rPr>
          <w:szCs w:val="24"/>
        </w:rPr>
      </w:pPr>
      <w:r w:rsidRPr="00661B39">
        <w:rPr>
          <w:szCs w:val="24"/>
        </w:rPr>
        <w:t xml:space="preserve">During the first two years of implementation, </w:t>
      </w:r>
      <w:r w:rsidR="00A61636" w:rsidRPr="00661B39">
        <w:rPr>
          <w:szCs w:val="24"/>
        </w:rPr>
        <w:t>the State</w:t>
      </w:r>
      <w:r w:rsidR="001864C0" w:rsidRPr="00661B39">
        <w:rPr>
          <w:szCs w:val="24"/>
        </w:rPr>
        <w:t>, consistent with the Agreement,</w:t>
      </w:r>
      <w:r w:rsidR="00A61636" w:rsidRPr="00661B39">
        <w:rPr>
          <w:szCs w:val="24"/>
        </w:rPr>
        <w:t xml:space="preserve"> regularly submitted reports to the United States and the Independent Reviewer that </w:t>
      </w:r>
      <w:r w:rsidRPr="00661B39">
        <w:rPr>
          <w:szCs w:val="24"/>
        </w:rPr>
        <w:t xml:space="preserve">reported on </w:t>
      </w:r>
      <w:r w:rsidR="00146CA5" w:rsidRPr="00661B39">
        <w:rPr>
          <w:szCs w:val="24"/>
        </w:rPr>
        <w:t xml:space="preserve">compliance </w:t>
      </w:r>
      <w:r w:rsidRPr="00661B39">
        <w:rPr>
          <w:szCs w:val="24"/>
        </w:rPr>
        <w:t xml:space="preserve">by </w:t>
      </w:r>
      <w:r w:rsidR="00A61636" w:rsidRPr="00661B39">
        <w:rPr>
          <w:szCs w:val="24"/>
        </w:rPr>
        <w:t xml:space="preserve">counting only occupied Housing Slots. </w:t>
      </w:r>
      <w:r w:rsidR="00335ADD" w:rsidRPr="00661B39">
        <w:rPr>
          <w:szCs w:val="24"/>
        </w:rPr>
        <w:t xml:space="preserve"> </w:t>
      </w:r>
      <w:r w:rsidR="00A61636" w:rsidRPr="00661B39">
        <w:rPr>
          <w:szCs w:val="24"/>
        </w:rPr>
        <w:t xml:space="preserve">For example, </w:t>
      </w:r>
      <w:r w:rsidR="00D1285B" w:rsidRPr="00661B39">
        <w:rPr>
          <w:szCs w:val="24"/>
        </w:rPr>
        <w:t xml:space="preserve">the State described its July </w:t>
      </w:r>
      <w:r w:rsidR="00A61636" w:rsidRPr="00661B39">
        <w:rPr>
          <w:szCs w:val="24"/>
        </w:rPr>
        <w:t>2013 housing obligation as</w:t>
      </w:r>
      <w:r w:rsidR="000F4778" w:rsidRPr="00661B39">
        <w:rPr>
          <w:szCs w:val="24"/>
        </w:rPr>
        <w:t xml:space="preserve"> requiring “</w:t>
      </w:r>
      <w:r w:rsidR="00A61636" w:rsidRPr="00661B39">
        <w:rPr>
          <w:szCs w:val="24"/>
        </w:rPr>
        <w:t xml:space="preserve">100 </w:t>
      </w:r>
      <w:r w:rsidR="00E851B1" w:rsidRPr="00661B39">
        <w:rPr>
          <w:szCs w:val="24"/>
        </w:rPr>
        <w:t>individuals living in supported housing</w:t>
      </w:r>
      <w:r w:rsidR="00A61636" w:rsidRPr="00661B39">
        <w:rPr>
          <w:szCs w:val="24"/>
        </w:rPr>
        <w:t xml:space="preserve">.”  </w:t>
      </w:r>
      <w:r w:rsidR="00651FCF" w:rsidRPr="00661B39">
        <w:rPr>
          <w:szCs w:val="24"/>
        </w:rPr>
        <w:t xml:space="preserve">Jessica Keith, N.C. Dep’t of Health &amp; Human </w:t>
      </w:r>
      <w:proofErr w:type="spellStart"/>
      <w:r w:rsidR="00651FCF" w:rsidRPr="00661B39">
        <w:rPr>
          <w:szCs w:val="24"/>
        </w:rPr>
        <w:t>Servs</w:t>
      </w:r>
      <w:proofErr w:type="spellEnd"/>
      <w:r w:rsidR="00651FCF" w:rsidRPr="00661B39">
        <w:rPr>
          <w:szCs w:val="24"/>
        </w:rPr>
        <w:t xml:space="preserve">., </w:t>
      </w:r>
      <w:r w:rsidR="00651FCF" w:rsidRPr="00661B39">
        <w:rPr>
          <w:i/>
          <w:szCs w:val="24"/>
        </w:rPr>
        <w:t xml:space="preserve">Year One Summary </w:t>
      </w:r>
      <w:r w:rsidR="00651FCF" w:rsidRPr="00661B39">
        <w:rPr>
          <w:szCs w:val="24"/>
        </w:rPr>
        <w:t xml:space="preserve">(Aug. 7, 2013) Ex. </w:t>
      </w:r>
      <w:r w:rsidR="00735172" w:rsidRPr="00661B39">
        <w:rPr>
          <w:szCs w:val="24"/>
        </w:rPr>
        <w:t>T</w:t>
      </w:r>
      <w:r w:rsidR="00651FCF" w:rsidRPr="00661B39">
        <w:rPr>
          <w:szCs w:val="24"/>
        </w:rPr>
        <w:t>, at 5</w:t>
      </w:r>
      <w:r w:rsidR="00A61636" w:rsidRPr="00661B39">
        <w:rPr>
          <w:szCs w:val="24"/>
        </w:rPr>
        <w:t>.</w:t>
      </w:r>
      <w:r w:rsidR="00651FCF" w:rsidRPr="00661B39">
        <w:rPr>
          <w:szCs w:val="24"/>
        </w:rPr>
        <w:t xml:space="preserve">  In January 2014, the State reported only the number of individuals</w:t>
      </w:r>
      <w:r w:rsidR="00021F7A" w:rsidRPr="00661B39">
        <w:rPr>
          <w:szCs w:val="24"/>
        </w:rPr>
        <w:t xml:space="preserve"> “[c]</w:t>
      </w:r>
      <w:proofErr w:type="spellStart"/>
      <w:r w:rsidR="00021F7A" w:rsidRPr="00661B39">
        <w:rPr>
          <w:szCs w:val="24"/>
        </w:rPr>
        <w:t>onfirmed</w:t>
      </w:r>
      <w:proofErr w:type="spellEnd"/>
      <w:r w:rsidR="00021F7A" w:rsidRPr="00661B39">
        <w:rPr>
          <w:szCs w:val="24"/>
        </w:rPr>
        <w:t xml:space="preserve"> as in housing.”  </w:t>
      </w:r>
      <w:r w:rsidR="00651FCF" w:rsidRPr="00661B39">
        <w:rPr>
          <w:szCs w:val="24"/>
        </w:rPr>
        <w:t xml:space="preserve">N.C. Dep’t of Health &amp; Human </w:t>
      </w:r>
      <w:proofErr w:type="spellStart"/>
      <w:r w:rsidR="00651FCF" w:rsidRPr="00661B39">
        <w:rPr>
          <w:szCs w:val="24"/>
        </w:rPr>
        <w:t>Servs</w:t>
      </w:r>
      <w:proofErr w:type="spellEnd"/>
      <w:r w:rsidR="00651FCF" w:rsidRPr="00661B39">
        <w:rPr>
          <w:szCs w:val="24"/>
        </w:rPr>
        <w:t xml:space="preserve">., </w:t>
      </w:r>
      <w:r w:rsidR="00651FCF" w:rsidRPr="00661B39">
        <w:rPr>
          <w:i/>
          <w:szCs w:val="24"/>
        </w:rPr>
        <w:t>Transitions to Community Living Update as of January 6, 2014</w:t>
      </w:r>
      <w:r w:rsidR="00651FCF" w:rsidRPr="00661B39">
        <w:rPr>
          <w:szCs w:val="24"/>
        </w:rPr>
        <w:t xml:space="preserve"> Ex. </w:t>
      </w:r>
      <w:r w:rsidR="00735172" w:rsidRPr="00661B39">
        <w:rPr>
          <w:szCs w:val="24"/>
        </w:rPr>
        <w:t>U</w:t>
      </w:r>
      <w:r w:rsidR="00651FCF" w:rsidRPr="00661B39">
        <w:rPr>
          <w:szCs w:val="24"/>
        </w:rPr>
        <w:t xml:space="preserve">, at 1. </w:t>
      </w:r>
      <w:r w:rsidR="00146CA5" w:rsidRPr="00661B39">
        <w:rPr>
          <w:szCs w:val="24"/>
        </w:rPr>
        <w:tab/>
      </w:r>
    </w:p>
    <w:p w:rsidR="00C1621D" w:rsidRPr="00661B39" w:rsidRDefault="00146CA5" w:rsidP="00244D3E">
      <w:pPr>
        <w:tabs>
          <w:tab w:val="left" w:pos="720"/>
          <w:tab w:val="left" w:pos="2520"/>
        </w:tabs>
        <w:spacing w:line="480" w:lineRule="auto"/>
        <w:jc w:val="both"/>
        <w:rPr>
          <w:szCs w:val="24"/>
        </w:rPr>
      </w:pPr>
      <w:r w:rsidRPr="00661B39">
        <w:rPr>
          <w:szCs w:val="24"/>
        </w:rPr>
        <w:tab/>
      </w:r>
      <w:r w:rsidR="00244D3E" w:rsidRPr="00661B39">
        <w:rPr>
          <w:szCs w:val="24"/>
        </w:rPr>
        <w:t xml:space="preserve">Furthermore, a chronological review of the State’s monthly reports reveals how the State’s interpretation evolved as it abandoned the parties’ intent in the face of significant noncompliance. </w:t>
      </w:r>
      <w:r w:rsidR="00FF63DB" w:rsidRPr="00661B39">
        <w:rPr>
          <w:szCs w:val="24"/>
        </w:rPr>
        <w:t xml:space="preserve"> </w:t>
      </w:r>
      <w:r w:rsidR="006162CD" w:rsidRPr="00661B39">
        <w:rPr>
          <w:szCs w:val="24"/>
        </w:rPr>
        <w:t xml:space="preserve">Until August </w:t>
      </w:r>
      <w:r w:rsidR="00AC43F5" w:rsidRPr="00661B39">
        <w:rPr>
          <w:szCs w:val="24"/>
        </w:rPr>
        <w:t>2014, the State</w:t>
      </w:r>
      <w:r w:rsidR="00C1621D" w:rsidRPr="00661B39">
        <w:rPr>
          <w:szCs w:val="24"/>
        </w:rPr>
        <w:t xml:space="preserve">’s monthly reports were </w:t>
      </w:r>
      <w:r w:rsidR="006162CD" w:rsidRPr="00661B39">
        <w:rPr>
          <w:szCs w:val="24"/>
        </w:rPr>
        <w:t xml:space="preserve">devoid of any references to vacant Housing Slots or individuals who had vacated their Housing Slots.  Instead, the State reported </w:t>
      </w:r>
      <w:r w:rsidR="00C1621D" w:rsidRPr="00661B39">
        <w:rPr>
          <w:szCs w:val="24"/>
        </w:rPr>
        <w:t xml:space="preserve">on </w:t>
      </w:r>
      <w:r w:rsidR="00E612F6" w:rsidRPr="00661B39">
        <w:rPr>
          <w:szCs w:val="24"/>
        </w:rPr>
        <w:t>compliance by counting only occupied Housing Slots.</w:t>
      </w:r>
      <w:r w:rsidR="00C1621D" w:rsidRPr="00661B39">
        <w:rPr>
          <w:szCs w:val="24"/>
        </w:rPr>
        <w:t xml:space="preserve">  </w:t>
      </w:r>
      <w:r w:rsidR="00A61636" w:rsidRPr="00661B39">
        <w:rPr>
          <w:i/>
          <w:szCs w:val="24"/>
        </w:rPr>
        <w:t xml:space="preserve">See </w:t>
      </w:r>
      <w:r w:rsidR="000F4778" w:rsidRPr="00661B39">
        <w:rPr>
          <w:szCs w:val="24"/>
        </w:rPr>
        <w:t xml:space="preserve">July 2014 </w:t>
      </w:r>
      <w:r w:rsidR="008734C9" w:rsidRPr="00661B39">
        <w:rPr>
          <w:szCs w:val="24"/>
        </w:rPr>
        <w:t xml:space="preserve">Monthly </w:t>
      </w:r>
      <w:r w:rsidR="000F4778" w:rsidRPr="00661B39">
        <w:rPr>
          <w:szCs w:val="24"/>
        </w:rPr>
        <w:t xml:space="preserve">Rep. </w:t>
      </w:r>
      <w:r w:rsidR="008734C9" w:rsidRPr="00661B39">
        <w:rPr>
          <w:szCs w:val="24"/>
        </w:rPr>
        <w:t xml:space="preserve">Ex. B, </w:t>
      </w:r>
      <w:r w:rsidR="000F4778" w:rsidRPr="00661B39">
        <w:rPr>
          <w:szCs w:val="24"/>
        </w:rPr>
        <w:t xml:space="preserve">at </w:t>
      </w:r>
      <w:r w:rsidR="007217D7" w:rsidRPr="00661B39">
        <w:rPr>
          <w:szCs w:val="24"/>
        </w:rPr>
        <w:t xml:space="preserve">2 </w:t>
      </w:r>
      <w:r w:rsidR="00E612F6" w:rsidRPr="00661B39">
        <w:rPr>
          <w:szCs w:val="24"/>
        </w:rPr>
        <w:t>(reporting net number of occupied Housing Slots in summary table</w:t>
      </w:r>
      <w:r w:rsidR="00C1621D" w:rsidRPr="00661B39">
        <w:rPr>
          <w:szCs w:val="24"/>
        </w:rPr>
        <w:t xml:space="preserve"> as well as graphing net number of occupied Housing Slots and net gain in occupied Housing Slots)</w:t>
      </w:r>
      <w:r w:rsidR="000F4778" w:rsidRPr="00661B39">
        <w:rPr>
          <w:szCs w:val="24"/>
        </w:rPr>
        <w:t xml:space="preserve">; June 2014 </w:t>
      </w:r>
      <w:r w:rsidR="008734C9" w:rsidRPr="00661B39">
        <w:rPr>
          <w:szCs w:val="24"/>
        </w:rPr>
        <w:t xml:space="preserve">Monthly </w:t>
      </w:r>
      <w:r w:rsidR="000F4778" w:rsidRPr="00661B39">
        <w:rPr>
          <w:szCs w:val="24"/>
        </w:rPr>
        <w:t>Rep.</w:t>
      </w:r>
      <w:r w:rsidR="008734C9" w:rsidRPr="00661B39">
        <w:rPr>
          <w:szCs w:val="24"/>
        </w:rPr>
        <w:t xml:space="preserve"> Ex. C,</w:t>
      </w:r>
      <w:r w:rsidR="000F4778" w:rsidRPr="00661B39">
        <w:rPr>
          <w:szCs w:val="24"/>
        </w:rPr>
        <w:t xml:space="preserve"> at 1</w:t>
      </w:r>
      <w:r w:rsidR="00C1621D" w:rsidRPr="00661B39">
        <w:rPr>
          <w:szCs w:val="24"/>
        </w:rPr>
        <w:t xml:space="preserve"> (reporting that State met its </w:t>
      </w:r>
      <w:r w:rsidR="00651FCF" w:rsidRPr="00661B39">
        <w:rPr>
          <w:szCs w:val="24"/>
        </w:rPr>
        <w:t xml:space="preserve">obligation by having over 250 people </w:t>
      </w:r>
      <w:r w:rsidR="00876691" w:rsidRPr="00661B39">
        <w:rPr>
          <w:szCs w:val="24"/>
        </w:rPr>
        <w:t>“</w:t>
      </w:r>
      <w:r w:rsidR="00651FCF" w:rsidRPr="00661B39">
        <w:rPr>
          <w:szCs w:val="24"/>
        </w:rPr>
        <w:t>in housing”)</w:t>
      </w:r>
      <w:r w:rsidR="00C1621D" w:rsidRPr="00661B39">
        <w:rPr>
          <w:szCs w:val="24"/>
        </w:rPr>
        <w:t>;</w:t>
      </w:r>
      <w:r w:rsidR="000F4778" w:rsidRPr="00661B39">
        <w:rPr>
          <w:szCs w:val="24"/>
        </w:rPr>
        <w:t xml:space="preserve"> May 2014 </w:t>
      </w:r>
      <w:r w:rsidR="008734C9" w:rsidRPr="00661B39">
        <w:rPr>
          <w:szCs w:val="24"/>
        </w:rPr>
        <w:t xml:space="preserve">Monthly </w:t>
      </w:r>
      <w:r w:rsidR="000F4778" w:rsidRPr="00661B39">
        <w:rPr>
          <w:szCs w:val="24"/>
        </w:rPr>
        <w:t>Rep</w:t>
      </w:r>
      <w:r w:rsidR="008734C9" w:rsidRPr="00661B39">
        <w:rPr>
          <w:szCs w:val="24"/>
        </w:rPr>
        <w:t>. Ex. D,</w:t>
      </w:r>
      <w:r w:rsidR="000F4778" w:rsidRPr="00661B39">
        <w:rPr>
          <w:szCs w:val="24"/>
        </w:rPr>
        <w:t xml:space="preserve"> at 1</w:t>
      </w:r>
      <w:r w:rsidR="008A19E7" w:rsidRPr="00661B39">
        <w:rPr>
          <w:szCs w:val="24"/>
        </w:rPr>
        <w:t xml:space="preserve"> (same)</w:t>
      </w:r>
      <w:r w:rsidR="000F4778" w:rsidRPr="00661B39">
        <w:rPr>
          <w:szCs w:val="24"/>
        </w:rPr>
        <w:t>; April 2014</w:t>
      </w:r>
      <w:r w:rsidR="008734C9" w:rsidRPr="00661B39">
        <w:rPr>
          <w:szCs w:val="24"/>
        </w:rPr>
        <w:t xml:space="preserve"> Monthly</w:t>
      </w:r>
      <w:r w:rsidR="000F4778" w:rsidRPr="00661B39">
        <w:rPr>
          <w:szCs w:val="24"/>
        </w:rPr>
        <w:t xml:space="preserve"> Rep. </w:t>
      </w:r>
      <w:r w:rsidR="008734C9" w:rsidRPr="00661B39">
        <w:rPr>
          <w:szCs w:val="24"/>
        </w:rPr>
        <w:t xml:space="preserve">Ex. E, </w:t>
      </w:r>
      <w:r w:rsidR="000F4778" w:rsidRPr="00661B39">
        <w:rPr>
          <w:szCs w:val="24"/>
        </w:rPr>
        <w:t>at 1</w:t>
      </w:r>
      <w:r w:rsidR="008A19E7" w:rsidRPr="00661B39">
        <w:rPr>
          <w:szCs w:val="24"/>
        </w:rPr>
        <w:t xml:space="preserve"> (same)</w:t>
      </w:r>
      <w:r w:rsidR="00A61636" w:rsidRPr="00661B39">
        <w:rPr>
          <w:szCs w:val="24"/>
        </w:rPr>
        <w:t xml:space="preserve">.  </w:t>
      </w:r>
    </w:p>
    <w:p w:rsidR="00457A78" w:rsidRPr="00661B39" w:rsidRDefault="00F05BA7" w:rsidP="00457A78">
      <w:pPr>
        <w:spacing w:line="480" w:lineRule="auto"/>
        <w:ind w:firstLine="720"/>
        <w:jc w:val="both"/>
        <w:rPr>
          <w:szCs w:val="24"/>
        </w:rPr>
      </w:pPr>
      <w:r w:rsidRPr="00661B39">
        <w:rPr>
          <w:szCs w:val="24"/>
        </w:rPr>
        <w:t>In other words</w:t>
      </w:r>
      <w:r w:rsidR="00A61636" w:rsidRPr="00661B39">
        <w:rPr>
          <w:szCs w:val="24"/>
        </w:rPr>
        <w:t>, consis</w:t>
      </w:r>
      <w:r w:rsidRPr="00661B39">
        <w:rPr>
          <w:szCs w:val="24"/>
        </w:rPr>
        <w:t xml:space="preserve">tent with the parties’ </w:t>
      </w:r>
      <w:r w:rsidR="00A61636" w:rsidRPr="00661B39">
        <w:rPr>
          <w:szCs w:val="24"/>
        </w:rPr>
        <w:t xml:space="preserve">intent, the State accounted for turnover when </w:t>
      </w:r>
      <w:r w:rsidR="00C1621D" w:rsidRPr="00661B39">
        <w:rPr>
          <w:szCs w:val="24"/>
        </w:rPr>
        <w:t>reporting</w:t>
      </w:r>
      <w:r w:rsidR="00A61636" w:rsidRPr="00661B39">
        <w:rPr>
          <w:szCs w:val="24"/>
        </w:rPr>
        <w:t xml:space="preserve"> </w:t>
      </w:r>
      <w:r w:rsidR="000A6744" w:rsidRPr="00661B39">
        <w:rPr>
          <w:szCs w:val="24"/>
        </w:rPr>
        <w:t xml:space="preserve">on </w:t>
      </w:r>
      <w:r w:rsidR="00A61636" w:rsidRPr="00661B39">
        <w:rPr>
          <w:szCs w:val="24"/>
        </w:rPr>
        <w:t>compliance.</w:t>
      </w:r>
      <w:r w:rsidR="00C1621D" w:rsidRPr="00661B39">
        <w:rPr>
          <w:szCs w:val="24"/>
        </w:rPr>
        <w:t xml:space="preserve">  Each month, the State factored in turnover when reporting the number of individuals in housing from each population category,</w:t>
      </w:r>
      <w:r w:rsidR="00C1621D" w:rsidRPr="00661B39">
        <w:rPr>
          <w:rStyle w:val="FootnoteReference"/>
          <w:szCs w:val="24"/>
        </w:rPr>
        <w:footnoteReference w:id="12"/>
      </w:r>
      <w:r w:rsidR="00C1621D" w:rsidRPr="00661B39">
        <w:rPr>
          <w:szCs w:val="24"/>
        </w:rPr>
        <w:t xml:space="preserve"> reporting only individuals</w:t>
      </w:r>
      <w:r w:rsidR="000A6744" w:rsidRPr="00661B39">
        <w:rPr>
          <w:szCs w:val="24"/>
        </w:rPr>
        <w:t xml:space="preserve"> who </w:t>
      </w:r>
      <w:r w:rsidR="001726E1" w:rsidRPr="00661B39">
        <w:rPr>
          <w:szCs w:val="24"/>
        </w:rPr>
        <w:t xml:space="preserve">occupied </w:t>
      </w:r>
      <w:r w:rsidR="000A6744" w:rsidRPr="00661B39">
        <w:rPr>
          <w:szCs w:val="24"/>
        </w:rPr>
        <w:t>Housing Slots.</w:t>
      </w:r>
      <w:r w:rsidR="000A6744" w:rsidRPr="00661B39">
        <w:rPr>
          <w:rStyle w:val="FootnoteReference"/>
          <w:szCs w:val="24"/>
        </w:rPr>
        <w:footnoteReference w:id="13"/>
      </w:r>
      <w:r w:rsidR="00457A78" w:rsidRPr="00661B39">
        <w:rPr>
          <w:szCs w:val="24"/>
        </w:rPr>
        <w:t xml:space="preserve">  </w:t>
      </w:r>
    </w:p>
    <w:p w:rsidR="00804039" w:rsidRPr="00661B39" w:rsidRDefault="00457A78" w:rsidP="00804039">
      <w:pPr>
        <w:spacing w:line="480" w:lineRule="auto"/>
        <w:ind w:firstLine="720"/>
        <w:jc w:val="both"/>
        <w:rPr>
          <w:szCs w:val="24"/>
        </w:rPr>
      </w:pPr>
      <w:r w:rsidRPr="00661B39">
        <w:rPr>
          <w:szCs w:val="24"/>
        </w:rPr>
        <w:t>The State likewise factored in turnover when reporting</w:t>
      </w:r>
      <w:r w:rsidR="00760154" w:rsidRPr="00661B39">
        <w:rPr>
          <w:szCs w:val="24"/>
        </w:rPr>
        <w:t xml:space="preserve"> </w:t>
      </w:r>
      <w:r w:rsidRPr="00661B39">
        <w:rPr>
          <w:szCs w:val="24"/>
        </w:rPr>
        <w:t>its overall progress toward compliance with section III(B)(3).  For instance,</w:t>
      </w:r>
      <w:r w:rsidR="00804039" w:rsidRPr="00661B39">
        <w:rPr>
          <w:szCs w:val="24"/>
        </w:rPr>
        <w:t xml:space="preserve"> ten individuals </w:t>
      </w:r>
      <w:r w:rsidR="001864C0" w:rsidRPr="00661B39">
        <w:rPr>
          <w:szCs w:val="24"/>
        </w:rPr>
        <w:t>moved into</w:t>
      </w:r>
      <w:r w:rsidR="00804039" w:rsidRPr="00661B39">
        <w:rPr>
          <w:szCs w:val="24"/>
        </w:rPr>
        <w:t xml:space="preserve"> Housing Slots in May 2014.  </w:t>
      </w:r>
      <w:r w:rsidR="00804039" w:rsidRPr="00661B39">
        <w:rPr>
          <w:i/>
          <w:szCs w:val="24"/>
        </w:rPr>
        <w:t xml:space="preserve">Compare </w:t>
      </w:r>
      <w:r w:rsidR="00804039" w:rsidRPr="00661B39">
        <w:rPr>
          <w:szCs w:val="24"/>
        </w:rPr>
        <w:t xml:space="preserve">April 2014 </w:t>
      </w:r>
      <w:r w:rsidR="008734C9" w:rsidRPr="00661B39">
        <w:rPr>
          <w:szCs w:val="24"/>
        </w:rPr>
        <w:t xml:space="preserve">Monthly </w:t>
      </w:r>
      <w:r w:rsidR="00804039" w:rsidRPr="00661B39">
        <w:rPr>
          <w:szCs w:val="24"/>
        </w:rPr>
        <w:t>Rep.</w:t>
      </w:r>
      <w:r w:rsidR="008734C9" w:rsidRPr="00661B39">
        <w:rPr>
          <w:szCs w:val="24"/>
        </w:rPr>
        <w:t xml:space="preserve"> Ex. E,</w:t>
      </w:r>
      <w:r w:rsidR="00804039" w:rsidRPr="00661B39">
        <w:rPr>
          <w:szCs w:val="24"/>
        </w:rPr>
        <w:t xml:space="preserve"> at 1 (reporting 57 Category Two individuals and 92 Category Five individuals occupied Housing Slots), </w:t>
      </w:r>
      <w:r w:rsidR="00804039" w:rsidRPr="00661B39">
        <w:rPr>
          <w:i/>
          <w:szCs w:val="24"/>
        </w:rPr>
        <w:t xml:space="preserve">with </w:t>
      </w:r>
      <w:r w:rsidR="00804039" w:rsidRPr="00661B39">
        <w:rPr>
          <w:szCs w:val="24"/>
        </w:rPr>
        <w:t xml:space="preserve">May 2014 </w:t>
      </w:r>
      <w:r w:rsidR="008734C9" w:rsidRPr="00661B39">
        <w:rPr>
          <w:szCs w:val="24"/>
        </w:rPr>
        <w:t xml:space="preserve">Monthly </w:t>
      </w:r>
      <w:r w:rsidR="00804039" w:rsidRPr="00661B39">
        <w:rPr>
          <w:szCs w:val="24"/>
        </w:rPr>
        <w:t xml:space="preserve">Rep. </w:t>
      </w:r>
      <w:r w:rsidR="008734C9" w:rsidRPr="00661B39">
        <w:rPr>
          <w:szCs w:val="24"/>
        </w:rPr>
        <w:t xml:space="preserve">Ex. D, </w:t>
      </w:r>
      <w:r w:rsidR="00804039" w:rsidRPr="00661B39">
        <w:rPr>
          <w:szCs w:val="24"/>
        </w:rPr>
        <w:t xml:space="preserve">at </w:t>
      </w:r>
      <w:r w:rsidR="00E424C8">
        <w:rPr>
          <w:szCs w:val="24"/>
        </w:rPr>
        <w:t>1</w:t>
      </w:r>
      <w:r w:rsidR="00E424C8" w:rsidRPr="00661B39">
        <w:rPr>
          <w:szCs w:val="24"/>
        </w:rPr>
        <w:t xml:space="preserve"> </w:t>
      </w:r>
      <w:r w:rsidR="00804039" w:rsidRPr="00661B39">
        <w:rPr>
          <w:szCs w:val="24"/>
        </w:rPr>
        <w:t xml:space="preserve">(reporting 60 Category Two individuals and 99 Category Five individuals occupied Housing Slots).  Yet, </w:t>
      </w:r>
      <w:r w:rsidR="00CD6E12">
        <w:rPr>
          <w:szCs w:val="24"/>
        </w:rPr>
        <w:t>the State</w:t>
      </w:r>
      <w:r w:rsidR="00804039" w:rsidRPr="00661B39">
        <w:rPr>
          <w:szCs w:val="24"/>
        </w:rPr>
        <w:t xml:space="preserve"> reported an increase of </w:t>
      </w:r>
      <w:r w:rsidR="008F3598" w:rsidRPr="00661B39">
        <w:rPr>
          <w:szCs w:val="24"/>
        </w:rPr>
        <w:t xml:space="preserve">only </w:t>
      </w:r>
      <w:r w:rsidR="00804039" w:rsidRPr="00661B39">
        <w:rPr>
          <w:szCs w:val="24"/>
        </w:rPr>
        <w:t xml:space="preserve">nine individuals in Housing Slots, excluding from its count the </w:t>
      </w:r>
      <w:r w:rsidR="008A19E7" w:rsidRPr="00661B39">
        <w:rPr>
          <w:szCs w:val="24"/>
        </w:rPr>
        <w:t xml:space="preserve">Category 4 </w:t>
      </w:r>
      <w:r w:rsidR="00804039" w:rsidRPr="00661B39">
        <w:rPr>
          <w:szCs w:val="24"/>
        </w:rPr>
        <w:t>individual who had vacated his or her Housing Slot</w:t>
      </w:r>
      <w:r w:rsidR="008A19E7" w:rsidRPr="00661B39">
        <w:rPr>
          <w:szCs w:val="24"/>
        </w:rPr>
        <w:t xml:space="preserve"> in May</w:t>
      </w:r>
      <w:r w:rsidR="00804039" w:rsidRPr="00661B39">
        <w:rPr>
          <w:szCs w:val="24"/>
        </w:rPr>
        <w:t xml:space="preserve">.  </w:t>
      </w:r>
      <w:r w:rsidR="00804039" w:rsidRPr="00661B39">
        <w:rPr>
          <w:i/>
          <w:szCs w:val="24"/>
        </w:rPr>
        <w:t xml:space="preserve">Compare </w:t>
      </w:r>
      <w:r w:rsidR="00804039" w:rsidRPr="00661B39">
        <w:rPr>
          <w:szCs w:val="24"/>
        </w:rPr>
        <w:t xml:space="preserve">April 2014 </w:t>
      </w:r>
      <w:r w:rsidR="008734C9" w:rsidRPr="00661B39">
        <w:rPr>
          <w:szCs w:val="24"/>
        </w:rPr>
        <w:t xml:space="preserve">Monthly </w:t>
      </w:r>
      <w:r w:rsidR="00804039" w:rsidRPr="00661B39">
        <w:rPr>
          <w:szCs w:val="24"/>
        </w:rPr>
        <w:t xml:space="preserve">Rep. </w:t>
      </w:r>
      <w:r w:rsidR="008734C9" w:rsidRPr="00661B39">
        <w:rPr>
          <w:szCs w:val="24"/>
        </w:rPr>
        <w:t xml:space="preserve">Ex. E, </w:t>
      </w:r>
      <w:r w:rsidR="00804039" w:rsidRPr="00661B39">
        <w:rPr>
          <w:szCs w:val="24"/>
        </w:rPr>
        <w:t xml:space="preserve">at 1 (reporting compliance as 228 individuals), </w:t>
      </w:r>
      <w:r w:rsidR="00804039" w:rsidRPr="00661B39">
        <w:rPr>
          <w:i/>
          <w:szCs w:val="24"/>
        </w:rPr>
        <w:t xml:space="preserve">with </w:t>
      </w:r>
      <w:r w:rsidR="00804039" w:rsidRPr="00661B39">
        <w:rPr>
          <w:szCs w:val="24"/>
        </w:rPr>
        <w:t xml:space="preserve">May 2014 </w:t>
      </w:r>
      <w:r w:rsidR="008734C9" w:rsidRPr="00661B39">
        <w:rPr>
          <w:szCs w:val="24"/>
        </w:rPr>
        <w:t xml:space="preserve">Monthly </w:t>
      </w:r>
      <w:r w:rsidR="00804039" w:rsidRPr="00661B39">
        <w:rPr>
          <w:szCs w:val="24"/>
        </w:rPr>
        <w:t xml:space="preserve">Rep. </w:t>
      </w:r>
      <w:r w:rsidR="008734C9" w:rsidRPr="00661B39">
        <w:rPr>
          <w:szCs w:val="24"/>
        </w:rPr>
        <w:t xml:space="preserve">Ex. D, </w:t>
      </w:r>
      <w:r w:rsidR="00804039" w:rsidRPr="00661B39">
        <w:rPr>
          <w:szCs w:val="24"/>
        </w:rPr>
        <w:t xml:space="preserve">at 1 (reporting compliance as 237 individuals).  </w:t>
      </w:r>
    </w:p>
    <w:p w:rsidR="00457A78" w:rsidRPr="00661B39" w:rsidRDefault="007C351F" w:rsidP="00457A78">
      <w:pPr>
        <w:spacing w:line="480" w:lineRule="auto"/>
        <w:ind w:firstLine="720"/>
        <w:jc w:val="both"/>
        <w:rPr>
          <w:szCs w:val="24"/>
        </w:rPr>
      </w:pPr>
      <w:r w:rsidRPr="00661B39">
        <w:rPr>
          <w:szCs w:val="24"/>
        </w:rPr>
        <w:t>Similarly</w:t>
      </w:r>
      <w:r w:rsidR="00804039" w:rsidRPr="00661B39">
        <w:rPr>
          <w:szCs w:val="24"/>
        </w:rPr>
        <w:t xml:space="preserve">, </w:t>
      </w:r>
      <w:r w:rsidR="00457A78" w:rsidRPr="00661B39">
        <w:rPr>
          <w:szCs w:val="24"/>
        </w:rPr>
        <w:t xml:space="preserve">ten individuals </w:t>
      </w:r>
      <w:r w:rsidR="001864C0" w:rsidRPr="00661B39">
        <w:rPr>
          <w:szCs w:val="24"/>
        </w:rPr>
        <w:t xml:space="preserve">moved </w:t>
      </w:r>
      <w:r w:rsidR="00457A78" w:rsidRPr="00661B39">
        <w:rPr>
          <w:szCs w:val="24"/>
        </w:rPr>
        <w:t>in</w:t>
      </w:r>
      <w:r w:rsidR="001864C0" w:rsidRPr="00661B39">
        <w:rPr>
          <w:szCs w:val="24"/>
        </w:rPr>
        <w:t>to</w:t>
      </w:r>
      <w:r w:rsidR="00457A78" w:rsidRPr="00661B39">
        <w:rPr>
          <w:szCs w:val="24"/>
        </w:rPr>
        <w:t xml:space="preserve"> Housing Slots in July 2014.  </w:t>
      </w:r>
      <w:r w:rsidR="00457A78" w:rsidRPr="00661B39">
        <w:rPr>
          <w:i/>
          <w:szCs w:val="24"/>
        </w:rPr>
        <w:t xml:space="preserve">Compare </w:t>
      </w:r>
      <w:r w:rsidR="00457A78" w:rsidRPr="00661B39">
        <w:rPr>
          <w:szCs w:val="24"/>
        </w:rPr>
        <w:t xml:space="preserve">June 2014 </w:t>
      </w:r>
      <w:r w:rsidR="00C6723E" w:rsidRPr="00661B39">
        <w:rPr>
          <w:szCs w:val="24"/>
        </w:rPr>
        <w:t xml:space="preserve">Monthly </w:t>
      </w:r>
      <w:r w:rsidR="00457A78" w:rsidRPr="00661B39">
        <w:rPr>
          <w:szCs w:val="24"/>
        </w:rPr>
        <w:t xml:space="preserve">Rep. </w:t>
      </w:r>
      <w:r w:rsidR="00C6723E" w:rsidRPr="00661B39">
        <w:rPr>
          <w:szCs w:val="24"/>
        </w:rPr>
        <w:t xml:space="preserve">Ex. C, </w:t>
      </w:r>
      <w:r w:rsidR="00457A78" w:rsidRPr="00661B39">
        <w:rPr>
          <w:szCs w:val="24"/>
        </w:rPr>
        <w:t xml:space="preserve">at 2 (reporting 64 Category Two individuals and 110 Category Five individuals occupied Housing Slots), </w:t>
      </w:r>
      <w:r w:rsidR="00457A78" w:rsidRPr="00661B39">
        <w:rPr>
          <w:i/>
          <w:szCs w:val="24"/>
        </w:rPr>
        <w:t xml:space="preserve">with </w:t>
      </w:r>
      <w:r w:rsidR="00457A78" w:rsidRPr="00661B39">
        <w:rPr>
          <w:szCs w:val="24"/>
        </w:rPr>
        <w:t xml:space="preserve">July 2014 </w:t>
      </w:r>
      <w:r w:rsidR="00C6723E" w:rsidRPr="00661B39">
        <w:rPr>
          <w:szCs w:val="24"/>
        </w:rPr>
        <w:t xml:space="preserve">Monthly </w:t>
      </w:r>
      <w:r w:rsidR="00457A78" w:rsidRPr="00661B39">
        <w:rPr>
          <w:szCs w:val="24"/>
        </w:rPr>
        <w:t xml:space="preserve">Rep. </w:t>
      </w:r>
      <w:r w:rsidR="00C6723E" w:rsidRPr="00661B39">
        <w:rPr>
          <w:szCs w:val="24"/>
        </w:rPr>
        <w:t xml:space="preserve">Ex. B, </w:t>
      </w:r>
      <w:r w:rsidR="00457A78" w:rsidRPr="00661B39">
        <w:rPr>
          <w:szCs w:val="24"/>
        </w:rPr>
        <w:t>at 7 (reporting 67 Category Two individuals and 117 Category Five individuals occupied H</w:t>
      </w:r>
      <w:r w:rsidR="00470094">
        <w:rPr>
          <w:szCs w:val="24"/>
        </w:rPr>
        <w:t>ousing Slots).  Nevertheless, the State</w:t>
      </w:r>
      <w:r w:rsidR="00457A78" w:rsidRPr="00661B39">
        <w:rPr>
          <w:szCs w:val="24"/>
        </w:rPr>
        <w:t xml:space="preserve"> reported an increase of </w:t>
      </w:r>
      <w:r w:rsidR="008F3598" w:rsidRPr="00661B39">
        <w:rPr>
          <w:szCs w:val="24"/>
        </w:rPr>
        <w:t xml:space="preserve">only </w:t>
      </w:r>
      <w:r w:rsidR="00457A78" w:rsidRPr="00661B39">
        <w:rPr>
          <w:szCs w:val="24"/>
        </w:rPr>
        <w:t xml:space="preserve">six individuals in Housing Slots, excluding from its count the four individuals who had vacated their Housing Slots.  </w:t>
      </w:r>
      <w:r w:rsidR="00457A78" w:rsidRPr="00661B39">
        <w:rPr>
          <w:i/>
          <w:szCs w:val="24"/>
        </w:rPr>
        <w:t xml:space="preserve">Compare </w:t>
      </w:r>
      <w:r w:rsidR="00804039" w:rsidRPr="00661B39">
        <w:rPr>
          <w:szCs w:val="24"/>
        </w:rPr>
        <w:t xml:space="preserve">June 2014 </w:t>
      </w:r>
      <w:r w:rsidR="00793024" w:rsidRPr="00661B39">
        <w:rPr>
          <w:szCs w:val="24"/>
        </w:rPr>
        <w:t xml:space="preserve">Monthly </w:t>
      </w:r>
      <w:r w:rsidR="00804039" w:rsidRPr="00661B39">
        <w:rPr>
          <w:szCs w:val="24"/>
        </w:rPr>
        <w:t xml:space="preserve">Rep. </w:t>
      </w:r>
      <w:r w:rsidR="00793024" w:rsidRPr="00661B39">
        <w:rPr>
          <w:szCs w:val="24"/>
        </w:rPr>
        <w:t xml:space="preserve">Ex. C, </w:t>
      </w:r>
      <w:r w:rsidR="00804039" w:rsidRPr="00661B39">
        <w:rPr>
          <w:szCs w:val="24"/>
        </w:rPr>
        <w:t xml:space="preserve">at 1 (reporting compliance as 254 individuals), </w:t>
      </w:r>
      <w:r w:rsidR="00804039" w:rsidRPr="00661B39">
        <w:rPr>
          <w:i/>
          <w:szCs w:val="24"/>
        </w:rPr>
        <w:t xml:space="preserve">with </w:t>
      </w:r>
      <w:r w:rsidR="00457A78" w:rsidRPr="00661B39">
        <w:rPr>
          <w:szCs w:val="24"/>
        </w:rPr>
        <w:t xml:space="preserve">July 2014 Rep. </w:t>
      </w:r>
      <w:r w:rsidR="00793024" w:rsidRPr="00661B39">
        <w:rPr>
          <w:szCs w:val="24"/>
        </w:rPr>
        <w:t xml:space="preserve">Ex. B, </w:t>
      </w:r>
      <w:r w:rsidR="00457A78" w:rsidRPr="00661B39">
        <w:rPr>
          <w:szCs w:val="24"/>
        </w:rPr>
        <w:t xml:space="preserve">at 2 (reporting </w:t>
      </w:r>
      <w:r w:rsidR="00804039" w:rsidRPr="00661B39">
        <w:rPr>
          <w:szCs w:val="24"/>
        </w:rPr>
        <w:t>compliance as 260 individuals)</w:t>
      </w:r>
      <w:r w:rsidR="00457A78" w:rsidRPr="00661B39">
        <w:rPr>
          <w:szCs w:val="24"/>
        </w:rPr>
        <w:t xml:space="preserve">.  </w:t>
      </w:r>
    </w:p>
    <w:p w:rsidR="00E851B1" w:rsidRPr="00661B39" w:rsidRDefault="00457A78" w:rsidP="00162AFC">
      <w:pPr>
        <w:tabs>
          <w:tab w:val="left" w:pos="720"/>
          <w:tab w:val="left" w:pos="2520"/>
        </w:tabs>
        <w:spacing w:line="480" w:lineRule="auto"/>
        <w:jc w:val="both"/>
        <w:rPr>
          <w:szCs w:val="24"/>
        </w:rPr>
      </w:pPr>
      <w:r w:rsidRPr="00661B39">
        <w:rPr>
          <w:szCs w:val="24"/>
        </w:rPr>
        <w:t xml:space="preserve">  </w:t>
      </w:r>
      <w:r w:rsidR="00C1621D" w:rsidRPr="00661B39">
        <w:rPr>
          <w:szCs w:val="24"/>
        </w:rPr>
        <w:t xml:space="preserve"> </w:t>
      </w:r>
      <w:r w:rsidR="00A61636" w:rsidRPr="00661B39">
        <w:rPr>
          <w:szCs w:val="24"/>
        </w:rPr>
        <w:t xml:space="preserve">  </w:t>
      </w:r>
      <w:r w:rsidR="006162CD" w:rsidRPr="00661B39">
        <w:rPr>
          <w:szCs w:val="24"/>
        </w:rPr>
        <w:tab/>
      </w:r>
      <w:r w:rsidR="000B0D00" w:rsidRPr="00661B39">
        <w:rPr>
          <w:szCs w:val="24"/>
        </w:rPr>
        <w:t>In August</w:t>
      </w:r>
      <w:r w:rsidR="00A61636" w:rsidRPr="00661B39">
        <w:rPr>
          <w:szCs w:val="24"/>
        </w:rPr>
        <w:t xml:space="preserve"> 2014, th</w:t>
      </w:r>
      <w:r w:rsidR="00804039" w:rsidRPr="00661B39">
        <w:rPr>
          <w:szCs w:val="24"/>
        </w:rPr>
        <w:t>e State began reporting a number</w:t>
      </w:r>
      <w:r w:rsidR="00A61636" w:rsidRPr="00661B39">
        <w:rPr>
          <w:szCs w:val="24"/>
        </w:rPr>
        <w:t xml:space="preserve"> labeled “total,” which </w:t>
      </w:r>
      <w:r w:rsidR="00F74182" w:rsidRPr="00661B39">
        <w:rPr>
          <w:szCs w:val="24"/>
        </w:rPr>
        <w:t>appears to represent the</w:t>
      </w:r>
      <w:r w:rsidR="00A61636" w:rsidRPr="00661B39">
        <w:rPr>
          <w:szCs w:val="24"/>
        </w:rPr>
        <w:t xml:space="preserve"> </w:t>
      </w:r>
      <w:r w:rsidR="00BC7F03" w:rsidRPr="00661B39">
        <w:rPr>
          <w:szCs w:val="24"/>
        </w:rPr>
        <w:t xml:space="preserve">combined </w:t>
      </w:r>
      <w:r w:rsidR="000F040A" w:rsidRPr="00661B39">
        <w:rPr>
          <w:szCs w:val="24"/>
        </w:rPr>
        <w:t xml:space="preserve">number </w:t>
      </w:r>
      <w:r w:rsidR="006162CD" w:rsidRPr="00661B39">
        <w:rPr>
          <w:szCs w:val="24"/>
        </w:rPr>
        <w:t>of occupied and vacant</w:t>
      </w:r>
      <w:r w:rsidR="00A61636" w:rsidRPr="00661B39">
        <w:rPr>
          <w:szCs w:val="24"/>
        </w:rPr>
        <w:t xml:space="preserve"> Housing Slots.  </w:t>
      </w:r>
      <w:r w:rsidR="00A61636" w:rsidRPr="00661B39">
        <w:rPr>
          <w:i/>
          <w:szCs w:val="24"/>
        </w:rPr>
        <w:t>See</w:t>
      </w:r>
      <w:r w:rsidR="00184A91" w:rsidRPr="00661B39">
        <w:rPr>
          <w:i/>
          <w:szCs w:val="24"/>
        </w:rPr>
        <w:t xml:space="preserve"> </w:t>
      </w:r>
      <w:r w:rsidR="00A61636" w:rsidRPr="00661B39">
        <w:rPr>
          <w:szCs w:val="24"/>
        </w:rPr>
        <w:t xml:space="preserve">Aug. 2014 </w:t>
      </w:r>
      <w:r w:rsidR="00793024" w:rsidRPr="00661B39">
        <w:rPr>
          <w:szCs w:val="24"/>
        </w:rPr>
        <w:t xml:space="preserve">Monthly </w:t>
      </w:r>
      <w:r w:rsidR="00A61636" w:rsidRPr="00661B39">
        <w:rPr>
          <w:szCs w:val="24"/>
        </w:rPr>
        <w:t xml:space="preserve">Rep. </w:t>
      </w:r>
      <w:r w:rsidR="00793024" w:rsidRPr="00661B39">
        <w:rPr>
          <w:szCs w:val="24"/>
        </w:rPr>
        <w:t xml:space="preserve">Ex. F, </w:t>
      </w:r>
      <w:r w:rsidR="00A61636" w:rsidRPr="00661B39">
        <w:rPr>
          <w:szCs w:val="24"/>
        </w:rPr>
        <w:t xml:space="preserve">at 3.  </w:t>
      </w:r>
      <w:r w:rsidR="00F74182" w:rsidRPr="00661B39">
        <w:rPr>
          <w:szCs w:val="24"/>
        </w:rPr>
        <w:t xml:space="preserve">But the report otherwise suggests that the State </w:t>
      </w:r>
      <w:r w:rsidR="00115B37" w:rsidRPr="00661B39">
        <w:rPr>
          <w:szCs w:val="24"/>
        </w:rPr>
        <w:t>continued to count</w:t>
      </w:r>
      <w:r w:rsidR="00F74182" w:rsidRPr="00661B39">
        <w:rPr>
          <w:szCs w:val="24"/>
        </w:rPr>
        <w:t xml:space="preserve"> only occupied Housing Slots towards compliance.</w:t>
      </w:r>
      <w:r w:rsidR="00644FAE" w:rsidRPr="00661B39">
        <w:rPr>
          <w:szCs w:val="24"/>
        </w:rPr>
        <w:t xml:space="preserve">  </w:t>
      </w:r>
      <w:r w:rsidR="00644FAE" w:rsidRPr="00661B39">
        <w:rPr>
          <w:i/>
          <w:szCs w:val="24"/>
        </w:rPr>
        <w:t xml:space="preserve">See id. </w:t>
      </w:r>
      <w:r w:rsidR="00644FAE" w:rsidRPr="00661B39">
        <w:rPr>
          <w:szCs w:val="24"/>
        </w:rPr>
        <w:t xml:space="preserve">at 3, 6–7 (reporting </w:t>
      </w:r>
      <w:r w:rsidR="00E73AFA" w:rsidRPr="00661B39">
        <w:rPr>
          <w:szCs w:val="24"/>
        </w:rPr>
        <w:t xml:space="preserve">net </w:t>
      </w:r>
      <w:r w:rsidR="00644FAE" w:rsidRPr="00661B39">
        <w:rPr>
          <w:szCs w:val="24"/>
        </w:rPr>
        <w:t>number of occupied Housing Slots in summary table</w:t>
      </w:r>
      <w:r w:rsidR="00E73AFA" w:rsidRPr="00661B39">
        <w:rPr>
          <w:szCs w:val="24"/>
        </w:rPr>
        <w:t xml:space="preserve"> as well as graphing net number of occupied Housing Slots and net gain in occupied Housing Slots).</w:t>
      </w:r>
    </w:p>
    <w:p w:rsidR="00B93C83" w:rsidRPr="00661B39" w:rsidRDefault="009F1DC8" w:rsidP="00F17F3C">
      <w:pPr>
        <w:spacing w:line="480" w:lineRule="auto"/>
        <w:ind w:firstLine="720"/>
        <w:jc w:val="both"/>
        <w:rPr>
          <w:szCs w:val="24"/>
        </w:rPr>
      </w:pPr>
      <w:r w:rsidRPr="00661B39">
        <w:rPr>
          <w:szCs w:val="24"/>
        </w:rPr>
        <w:t>N</w:t>
      </w:r>
      <w:r w:rsidR="00A61636" w:rsidRPr="00661B39">
        <w:rPr>
          <w:szCs w:val="24"/>
        </w:rPr>
        <w:t xml:space="preserve">ot until </w:t>
      </w:r>
      <w:r w:rsidR="000B0D00" w:rsidRPr="00661B39">
        <w:rPr>
          <w:szCs w:val="24"/>
        </w:rPr>
        <w:t>January</w:t>
      </w:r>
      <w:r w:rsidR="00A61636" w:rsidRPr="00661B39">
        <w:rPr>
          <w:szCs w:val="24"/>
        </w:rPr>
        <w:t xml:space="preserve"> 2015, two and a half years into implementation, </w:t>
      </w:r>
      <w:r w:rsidRPr="00661B39">
        <w:rPr>
          <w:szCs w:val="24"/>
        </w:rPr>
        <w:t xml:space="preserve">did </w:t>
      </w:r>
      <w:r w:rsidR="00A61636" w:rsidRPr="00661B39">
        <w:rPr>
          <w:szCs w:val="24"/>
        </w:rPr>
        <w:t xml:space="preserve">the State </w:t>
      </w:r>
      <w:r w:rsidR="00E73AFA" w:rsidRPr="00661B39">
        <w:rPr>
          <w:szCs w:val="24"/>
        </w:rPr>
        <w:t xml:space="preserve">cease </w:t>
      </w:r>
      <w:r w:rsidR="00A61636" w:rsidRPr="00661B39">
        <w:rPr>
          <w:szCs w:val="24"/>
        </w:rPr>
        <w:t xml:space="preserve">reporting its progress </w:t>
      </w:r>
      <w:r w:rsidR="00E73AFA" w:rsidRPr="00661B39">
        <w:rPr>
          <w:szCs w:val="24"/>
        </w:rPr>
        <w:t xml:space="preserve">toward compliance as </w:t>
      </w:r>
      <w:r w:rsidR="00A61636" w:rsidRPr="00661B39">
        <w:rPr>
          <w:szCs w:val="24"/>
        </w:rPr>
        <w:t>t</w:t>
      </w:r>
      <w:r w:rsidR="00016A3D" w:rsidRPr="00661B39">
        <w:rPr>
          <w:szCs w:val="24"/>
        </w:rPr>
        <w:t xml:space="preserve">he number of </w:t>
      </w:r>
      <w:r w:rsidR="00A61636" w:rsidRPr="00661B39">
        <w:rPr>
          <w:szCs w:val="24"/>
        </w:rPr>
        <w:t xml:space="preserve">occupied Housing Slots.  </w:t>
      </w:r>
      <w:r w:rsidR="00A61636" w:rsidRPr="00661B39">
        <w:rPr>
          <w:i/>
          <w:szCs w:val="24"/>
        </w:rPr>
        <w:t xml:space="preserve">See </w:t>
      </w:r>
      <w:r w:rsidR="000B0D00" w:rsidRPr="00661B39">
        <w:rPr>
          <w:szCs w:val="24"/>
        </w:rPr>
        <w:t>Jan. 2015</w:t>
      </w:r>
      <w:r w:rsidR="00793024" w:rsidRPr="00661B39">
        <w:rPr>
          <w:szCs w:val="24"/>
        </w:rPr>
        <w:t xml:space="preserve"> Monthly</w:t>
      </w:r>
      <w:r w:rsidR="000B0D00" w:rsidRPr="00661B39">
        <w:rPr>
          <w:szCs w:val="24"/>
        </w:rPr>
        <w:t xml:space="preserve"> Rep. </w:t>
      </w:r>
      <w:r w:rsidR="00793024" w:rsidRPr="00661B39">
        <w:rPr>
          <w:szCs w:val="24"/>
        </w:rPr>
        <w:t xml:space="preserve">Ex. G, </w:t>
      </w:r>
      <w:r w:rsidR="000B0D00" w:rsidRPr="00661B39">
        <w:rPr>
          <w:szCs w:val="24"/>
        </w:rPr>
        <w:t>at 2</w:t>
      </w:r>
      <w:r w:rsidR="00A61636" w:rsidRPr="00661B39">
        <w:rPr>
          <w:szCs w:val="24"/>
        </w:rPr>
        <w:t>.  By that time, it was clear that the S</w:t>
      </w:r>
      <w:r w:rsidR="00E73AFA" w:rsidRPr="00661B39">
        <w:rPr>
          <w:szCs w:val="24"/>
        </w:rPr>
        <w:t xml:space="preserve">tate would not meet its July 2015 </w:t>
      </w:r>
      <w:r w:rsidR="00A61636" w:rsidRPr="00661B39">
        <w:rPr>
          <w:szCs w:val="24"/>
        </w:rPr>
        <w:t xml:space="preserve">obligation of 708 Housing Slots.  </w:t>
      </w:r>
      <w:r w:rsidR="00A61636" w:rsidRPr="00661B39">
        <w:rPr>
          <w:i/>
          <w:szCs w:val="24"/>
        </w:rPr>
        <w:t xml:space="preserve">See id. </w:t>
      </w:r>
      <w:r w:rsidR="00A61636" w:rsidRPr="00661B39">
        <w:rPr>
          <w:szCs w:val="24"/>
        </w:rPr>
        <w:t>at 7 (</w:t>
      </w:r>
      <w:r w:rsidR="00D4704D" w:rsidRPr="00661B39">
        <w:rPr>
          <w:szCs w:val="24"/>
        </w:rPr>
        <w:t>report</w:t>
      </w:r>
      <w:r w:rsidR="00A61636" w:rsidRPr="00661B39">
        <w:rPr>
          <w:szCs w:val="24"/>
        </w:rPr>
        <w:t>ing only 329 occupied Housing Slots as of January 31, 2015).  This new interpretation</w:t>
      </w:r>
      <w:r w:rsidR="00E67F15" w:rsidRPr="00661B39">
        <w:rPr>
          <w:szCs w:val="24"/>
        </w:rPr>
        <w:t xml:space="preserve"> abandoned the parties’ intent</w:t>
      </w:r>
      <w:r w:rsidR="00534674" w:rsidRPr="00661B39">
        <w:rPr>
          <w:szCs w:val="24"/>
        </w:rPr>
        <w:t>, b</w:t>
      </w:r>
      <w:r w:rsidR="00A61636" w:rsidRPr="00661B39">
        <w:rPr>
          <w:szCs w:val="24"/>
        </w:rPr>
        <w:t xml:space="preserve">ut </w:t>
      </w:r>
      <w:r w:rsidR="00534674" w:rsidRPr="00661B39">
        <w:rPr>
          <w:szCs w:val="24"/>
        </w:rPr>
        <w:t xml:space="preserve">the State’s </w:t>
      </w:r>
      <w:r w:rsidR="00A61636" w:rsidRPr="00661B39">
        <w:rPr>
          <w:szCs w:val="24"/>
        </w:rPr>
        <w:t xml:space="preserve">conduct </w:t>
      </w:r>
      <w:r w:rsidR="00BD09C3" w:rsidRPr="00661B39">
        <w:rPr>
          <w:szCs w:val="24"/>
        </w:rPr>
        <w:t xml:space="preserve">from August 2012 to January 2015 </w:t>
      </w:r>
      <w:r w:rsidR="00A61636" w:rsidRPr="00661B39">
        <w:rPr>
          <w:szCs w:val="24"/>
        </w:rPr>
        <w:t>confirms the Agreement’s meaning</w:t>
      </w:r>
      <w:r w:rsidR="00C51380" w:rsidRPr="00661B39">
        <w:rPr>
          <w:szCs w:val="24"/>
        </w:rPr>
        <w:t>.</w:t>
      </w:r>
      <w:r w:rsidR="00A61636" w:rsidRPr="00661B39">
        <w:rPr>
          <w:szCs w:val="24"/>
        </w:rPr>
        <w:t xml:space="preserve"> </w:t>
      </w:r>
    </w:p>
    <w:p w:rsidR="00A61636" w:rsidRPr="00661B39" w:rsidRDefault="00225D59" w:rsidP="00A7210F">
      <w:pPr>
        <w:pStyle w:val="Heading3"/>
        <w:spacing w:line="240" w:lineRule="auto"/>
      </w:pPr>
      <w:bookmarkStart w:id="15" w:name="_Toc471487556"/>
      <w:r w:rsidRPr="00661B39">
        <w:t>B</w:t>
      </w:r>
      <w:r w:rsidR="00A61636" w:rsidRPr="00661B39">
        <w:t>.</w:t>
      </w:r>
      <w:r w:rsidR="00A61636" w:rsidRPr="00661B39">
        <w:tab/>
      </w:r>
      <w:r w:rsidR="00A61636" w:rsidRPr="00A7210F">
        <w:t xml:space="preserve">The State Has Failed to </w:t>
      </w:r>
      <w:r w:rsidR="00F12216" w:rsidRPr="00A7210F">
        <w:t>Meet</w:t>
      </w:r>
      <w:r w:rsidR="00A61636" w:rsidRPr="00A7210F">
        <w:t xml:space="preserve"> Its July 2016 Housing Obligation </w:t>
      </w:r>
      <w:r w:rsidR="001864C0" w:rsidRPr="00A7210F">
        <w:t xml:space="preserve">Even </w:t>
      </w:r>
      <w:r w:rsidR="00A61636" w:rsidRPr="00A7210F">
        <w:t xml:space="preserve">Under </w:t>
      </w:r>
      <w:r w:rsidR="001864C0" w:rsidRPr="00A7210F">
        <w:t>Its Own Incorrect</w:t>
      </w:r>
      <w:r w:rsidR="00A61636" w:rsidRPr="00A7210F">
        <w:t xml:space="preserve"> Interpretation</w:t>
      </w:r>
      <w:r w:rsidR="00E64EA6" w:rsidRPr="00A7210F">
        <w:t xml:space="preserve"> of Compliance</w:t>
      </w:r>
      <w:r w:rsidR="00A61636" w:rsidRPr="00A7210F">
        <w:t>.</w:t>
      </w:r>
      <w:bookmarkEnd w:id="15"/>
    </w:p>
    <w:p w:rsidR="00A61636" w:rsidRPr="00661B39" w:rsidRDefault="00A61636" w:rsidP="00F17F3C">
      <w:pPr>
        <w:autoSpaceDE w:val="0"/>
        <w:autoSpaceDN w:val="0"/>
        <w:adjustRightInd w:val="0"/>
        <w:ind w:firstLine="720"/>
        <w:jc w:val="both"/>
        <w:rPr>
          <w:b/>
          <w:szCs w:val="24"/>
        </w:rPr>
      </w:pPr>
    </w:p>
    <w:p w:rsidR="00AB758E" w:rsidRPr="00661B39" w:rsidRDefault="00A61636" w:rsidP="006A7506">
      <w:pPr>
        <w:spacing w:line="480" w:lineRule="auto"/>
        <w:jc w:val="both"/>
        <w:rPr>
          <w:b/>
          <w:szCs w:val="24"/>
        </w:rPr>
      </w:pPr>
      <w:r w:rsidRPr="00661B39">
        <w:rPr>
          <w:szCs w:val="24"/>
        </w:rPr>
        <w:tab/>
        <w:t xml:space="preserve">The State has failed to </w:t>
      </w:r>
      <w:r w:rsidR="00244D3E" w:rsidRPr="00661B39">
        <w:rPr>
          <w:szCs w:val="24"/>
        </w:rPr>
        <w:t>meet</w:t>
      </w:r>
      <w:r w:rsidR="00B728AA" w:rsidRPr="00661B39">
        <w:rPr>
          <w:szCs w:val="24"/>
        </w:rPr>
        <w:t xml:space="preserve"> </w:t>
      </w:r>
      <w:r w:rsidR="00120B49" w:rsidRPr="00661B39">
        <w:rPr>
          <w:szCs w:val="24"/>
        </w:rPr>
        <w:t xml:space="preserve">the </w:t>
      </w:r>
      <w:r w:rsidR="00B728AA" w:rsidRPr="00661B39">
        <w:rPr>
          <w:szCs w:val="24"/>
        </w:rPr>
        <w:t xml:space="preserve">Agreement’s requirement that it provide 1,166 Housing Slots by July 1, 2016.  </w:t>
      </w:r>
      <w:r w:rsidR="005E57C4" w:rsidRPr="00661B39">
        <w:rPr>
          <w:i/>
          <w:szCs w:val="24"/>
        </w:rPr>
        <w:t xml:space="preserve">See </w:t>
      </w:r>
      <w:r w:rsidR="00B728AA" w:rsidRPr="00661B39">
        <w:rPr>
          <w:szCs w:val="24"/>
        </w:rPr>
        <w:t>S.A.</w:t>
      </w:r>
      <w:r w:rsidR="00B728AA" w:rsidRPr="00661B39">
        <w:rPr>
          <w:i/>
          <w:szCs w:val="24"/>
        </w:rPr>
        <w:t xml:space="preserve"> </w:t>
      </w:r>
      <w:r w:rsidR="00B728AA" w:rsidRPr="00661B39">
        <w:rPr>
          <w:szCs w:val="24"/>
        </w:rPr>
        <w:t xml:space="preserve">§ III(B)(3)(d). </w:t>
      </w:r>
      <w:r w:rsidRPr="00661B39">
        <w:rPr>
          <w:szCs w:val="24"/>
        </w:rPr>
        <w:t xml:space="preserve"> </w:t>
      </w:r>
      <w:r w:rsidR="00AA0D0A" w:rsidRPr="00661B39">
        <w:rPr>
          <w:szCs w:val="24"/>
        </w:rPr>
        <w:t>As</w:t>
      </w:r>
      <w:r w:rsidRPr="00661B39">
        <w:rPr>
          <w:szCs w:val="24"/>
        </w:rPr>
        <w:t xml:space="preserve"> of June 30, 2016, only 650 individuals o</w:t>
      </w:r>
      <w:r w:rsidR="00B55734" w:rsidRPr="00661B39">
        <w:rPr>
          <w:szCs w:val="24"/>
        </w:rPr>
        <w:t>ccupied Housing Slots</w:t>
      </w:r>
      <w:r w:rsidR="00265744" w:rsidRPr="00661B39">
        <w:rPr>
          <w:szCs w:val="24"/>
        </w:rPr>
        <w:t>,</w:t>
      </w:r>
      <w:r w:rsidR="0005387D" w:rsidRPr="00661B39">
        <w:rPr>
          <w:szCs w:val="24"/>
        </w:rPr>
        <w:t xml:space="preserve"> </w:t>
      </w:r>
      <w:r w:rsidR="00D4495D" w:rsidRPr="00661B39">
        <w:rPr>
          <w:szCs w:val="24"/>
        </w:rPr>
        <w:t>representing</w:t>
      </w:r>
      <w:r w:rsidRPr="00661B39">
        <w:rPr>
          <w:szCs w:val="24"/>
        </w:rPr>
        <w:t xml:space="preserve"> a shortfall of 516 Housing Slots.</w:t>
      </w:r>
      <w:r w:rsidR="0005387D" w:rsidRPr="00661B39">
        <w:rPr>
          <w:szCs w:val="24"/>
        </w:rPr>
        <w:t xml:space="preserve">  </w:t>
      </w:r>
      <w:r w:rsidR="0005387D" w:rsidRPr="00661B39">
        <w:rPr>
          <w:i/>
          <w:szCs w:val="24"/>
        </w:rPr>
        <w:t xml:space="preserve">See </w:t>
      </w:r>
      <w:r w:rsidR="0005387D" w:rsidRPr="00661B39">
        <w:rPr>
          <w:szCs w:val="24"/>
        </w:rPr>
        <w:t xml:space="preserve">June 2016 </w:t>
      </w:r>
      <w:r w:rsidR="008713F5" w:rsidRPr="00661B39">
        <w:rPr>
          <w:szCs w:val="24"/>
        </w:rPr>
        <w:t xml:space="preserve">Monthly </w:t>
      </w:r>
      <w:r w:rsidR="0005387D" w:rsidRPr="00661B39">
        <w:rPr>
          <w:szCs w:val="24"/>
        </w:rPr>
        <w:t xml:space="preserve">Rep. </w:t>
      </w:r>
      <w:r w:rsidR="008713F5" w:rsidRPr="00661B39">
        <w:rPr>
          <w:szCs w:val="24"/>
        </w:rPr>
        <w:t xml:space="preserve">Ex. Q, </w:t>
      </w:r>
      <w:r w:rsidR="0005387D" w:rsidRPr="00661B39">
        <w:rPr>
          <w:szCs w:val="24"/>
        </w:rPr>
        <w:t>at 7.</w:t>
      </w:r>
      <w:r w:rsidR="00AA0D0A" w:rsidRPr="00661B39">
        <w:rPr>
          <w:szCs w:val="24"/>
        </w:rPr>
        <w:t xml:space="preserve">  </w:t>
      </w:r>
      <w:r w:rsidRPr="00661B39">
        <w:rPr>
          <w:szCs w:val="24"/>
        </w:rPr>
        <w:t xml:space="preserve">Even under the State’s </w:t>
      </w:r>
      <w:r w:rsidR="00B55734" w:rsidRPr="00661B39">
        <w:rPr>
          <w:szCs w:val="24"/>
        </w:rPr>
        <w:t>new</w:t>
      </w:r>
      <w:r w:rsidR="001864C0" w:rsidRPr="00661B39">
        <w:rPr>
          <w:szCs w:val="24"/>
        </w:rPr>
        <w:t>, incorrect</w:t>
      </w:r>
      <w:r w:rsidR="00B55734" w:rsidRPr="00661B39">
        <w:rPr>
          <w:szCs w:val="24"/>
        </w:rPr>
        <w:t xml:space="preserve"> interpretation</w:t>
      </w:r>
      <w:r w:rsidRPr="00661B39">
        <w:rPr>
          <w:szCs w:val="24"/>
        </w:rPr>
        <w:t xml:space="preserve">, which would add 203 </w:t>
      </w:r>
      <w:r w:rsidR="00265744" w:rsidRPr="00661B39">
        <w:rPr>
          <w:szCs w:val="24"/>
        </w:rPr>
        <w:t>vacant</w:t>
      </w:r>
      <w:r w:rsidRPr="00661B39">
        <w:rPr>
          <w:szCs w:val="24"/>
        </w:rPr>
        <w:t xml:space="preserve"> Housing Slots, the State </w:t>
      </w:r>
      <w:r w:rsidR="00200713" w:rsidRPr="00661B39">
        <w:rPr>
          <w:szCs w:val="24"/>
        </w:rPr>
        <w:t>plac</w:t>
      </w:r>
      <w:r w:rsidR="00F85290" w:rsidRPr="00661B39">
        <w:rPr>
          <w:szCs w:val="24"/>
        </w:rPr>
        <w:t xml:space="preserve">ed </w:t>
      </w:r>
      <w:r w:rsidRPr="00661B39">
        <w:rPr>
          <w:szCs w:val="24"/>
        </w:rPr>
        <w:t>only 853 i</w:t>
      </w:r>
      <w:r w:rsidR="00B55734" w:rsidRPr="00661B39">
        <w:rPr>
          <w:szCs w:val="24"/>
        </w:rPr>
        <w:t>ndividuals</w:t>
      </w:r>
      <w:r w:rsidR="00D4495D" w:rsidRPr="00661B39">
        <w:rPr>
          <w:szCs w:val="24"/>
        </w:rPr>
        <w:t xml:space="preserve"> into Housing Slots</w:t>
      </w:r>
      <w:r w:rsidR="00B55734" w:rsidRPr="00661B39">
        <w:rPr>
          <w:szCs w:val="24"/>
        </w:rPr>
        <w:t xml:space="preserve">.  </w:t>
      </w:r>
      <w:r w:rsidR="00B55734" w:rsidRPr="00661B39">
        <w:rPr>
          <w:i/>
          <w:szCs w:val="24"/>
        </w:rPr>
        <w:t>Id</w:t>
      </w:r>
      <w:r w:rsidRPr="00661B39">
        <w:rPr>
          <w:szCs w:val="24"/>
        </w:rPr>
        <w:t>.</w:t>
      </w:r>
      <w:r w:rsidR="00265744" w:rsidRPr="00661B39">
        <w:rPr>
          <w:szCs w:val="24"/>
        </w:rPr>
        <w:t xml:space="preserve"> at 2,</w:t>
      </w:r>
      <w:r w:rsidR="00244D3E" w:rsidRPr="00661B39">
        <w:rPr>
          <w:szCs w:val="24"/>
        </w:rPr>
        <w:t xml:space="preserve"> </w:t>
      </w:r>
      <w:r w:rsidR="00265744" w:rsidRPr="00661B39">
        <w:rPr>
          <w:szCs w:val="24"/>
        </w:rPr>
        <w:t>7.</w:t>
      </w:r>
      <w:r w:rsidRPr="00661B39">
        <w:rPr>
          <w:szCs w:val="24"/>
        </w:rPr>
        <w:t xml:space="preserve">  </w:t>
      </w:r>
    </w:p>
    <w:p w:rsidR="00A61636" w:rsidRPr="00661B39" w:rsidRDefault="00A61636" w:rsidP="00CD1E8C">
      <w:pPr>
        <w:pStyle w:val="Heading2"/>
      </w:pPr>
      <w:bookmarkStart w:id="16" w:name="_Toc471487557"/>
      <w:r w:rsidRPr="00661B39">
        <w:t>II.</w:t>
      </w:r>
      <w:r w:rsidRPr="00661B39">
        <w:tab/>
      </w:r>
      <w:r w:rsidR="00F12216" w:rsidRPr="00661B39">
        <w:t>THE STATE MISCONSTRUE</w:t>
      </w:r>
      <w:r w:rsidR="001864C0" w:rsidRPr="00661B39">
        <w:t>S</w:t>
      </w:r>
      <w:r w:rsidR="00F12216" w:rsidRPr="00661B39">
        <w:t xml:space="preserve"> AND </w:t>
      </w:r>
      <w:r w:rsidR="007217D7" w:rsidRPr="00661B39">
        <w:t>FAIL</w:t>
      </w:r>
      <w:r w:rsidR="001864C0" w:rsidRPr="00661B39">
        <w:t>S</w:t>
      </w:r>
      <w:r w:rsidR="007217D7" w:rsidRPr="00661B39">
        <w:t xml:space="preserve"> TO COMPLY WITH </w:t>
      </w:r>
      <w:r w:rsidR="00F12216" w:rsidRPr="00661B39">
        <w:t xml:space="preserve">THE AGREEMENT’S EMPLOYMENT </w:t>
      </w:r>
      <w:r w:rsidR="0029145E" w:rsidRPr="00661B39">
        <w:t xml:space="preserve">SERVICES </w:t>
      </w:r>
      <w:r w:rsidR="00F12216" w:rsidRPr="00661B39">
        <w:t>REQUIREMENTS</w:t>
      </w:r>
      <w:bookmarkEnd w:id="16"/>
    </w:p>
    <w:p w:rsidR="00534674" w:rsidRPr="00661B39" w:rsidRDefault="001864C0" w:rsidP="00F17F3C">
      <w:pPr>
        <w:spacing w:line="480" w:lineRule="auto"/>
        <w:ind w:firstLine="720"/>
        <w:jc w:val="both"/>
        <w:rPr>
          <w:szCs w:val="24"/>
        </w:rPr>
      </w:pPr>
      <w:r w:rsidRPr="00661B39">
        <w:rPr>
          <w:szCs w:val="24"/>
        </w:rPr>
        <w:t xml:space="preserve">The Agreement requires the State to provide Supported Employment Services to individuals in the target population.  </w:t>
      </w:r>
      <w:r w:rsidR="00005A49" w:rsidRPr="00661B39">
        <w:rPr>
          <w:szCs w:val="24"/>
        </w:rPr>
        <w:t xml:space="preserve">The State’s attempt to measure compliance by counting </w:t>
      </w:r>
      <w:r w:rsidR="00534674" w:rsidRPr="00661B39">
        <w:rPr>
          <w:szCs w:val="24"/>
        </w:rPr>
        <w:t>anyone</w:t>
      </w:r>
      <w:r w:rsidR="00005A49" w:rsidRPr="00661B39">
        <w:rPr>
          <w:szCs w:val="24"/>
        </w:rPr>
        <w:t xml:space="preserve"> receiving Supported Employment Services, regardless of whether they are </w:t>
      </w:r>
      <w:r w:rsidR="00912004" w:rsidRPr="00661B39">
        <w:rPr>
          <w:szCs w:val="24"/>
        </w:rPr>
        <w:t xml:space="preserve">in </w:t>
      </w:r>
      <w:r w:rsidRPr="00661B39">
        <w:rPr>
          <w:szCs w:val="24"/>
        </w:rPr>
        <w:t>the target population</w:t>
      </w:r>
      <w:r w:rsidR="00C918AD" w:rsidRPr="00661B39">
        <w:rPr>
          <w:szCs w:val="24"/>
        </w:rPr>
        <w:t>,</w:t>
      </w:r>
      <w:r w:rsidRPr="00661B39">
        <w:rPr>
          <w:szCs w:val="24"/>
        </w:rPr>
        <w:t xml:space="preserve"> </w:t>
      </w:r>
      <w:r w:rsidR="00C332B6" w:rsidRPr="00661B39">
        <w:rPr>
          <w:szCs w:val="24"/>
        </w:rPr>
        <w:t>contra</w:t>
      </w:r>
      <w:r w:rsidRPr="00661B39">
        <w:rPr>
          <w:szCs w:val="24"/>
        </w:rPr>
        <w:t>venes</w:t>
      </w:r>
      <w:r w:rsidR="00005A49" w:rsidRPr="00661B39">
        <w:rPr>
          <w:szCs w:val="24"/>
        </w:rPr>
        <w:t xml:space="preserve"> the parties’ intent.  </w:t>
      </w:r>
      <w:r w:rsidR="00912004" w:rsidRPr="00661B39">
        <w:rPr>
          <w:szCs w:val="24"/>
        </w:rPr>
        <w:t xml:space="preserve">Under the proper interpretation, the State has failed to meet its July 2016 employment </w:t>
      </w:r>
      <w:r w:rsidR="0029145E" w:rsidRPr="00661B39">
        <w:rPr>
          <w:szCs w:val="24"/>
        </w:rPr>
        <w:t xml:space="preserve">services </w:t>
      </w:r>
      <w:r w:rsidR="00912004" w:rsidRPr="00661B39">
        <w:rPr>
          <w:szCs w:val="24"/>
        </w:rPr>
        <w:t>obligation.</w:t>
      </w:r>
      <w:r w:rsidR="00005A49" w:rsidRPr="00661B39">
        <w:rPr>
          <w:szCs w:val="24"/>
        </w:rPr>
        <w:t xml:space="preserve"> </w:t>
      </w:r>
    </w:p>
    <w:p w:rsidR="00A61636" w:rsidRPr="00661B39" w:rsidRDefault="00A61636" w:rsidP="00F17F3C">
      <w:pPr>
        <w:autoSpaceDE w:val="0"/>
        <w:autoSpaceDN w:val="0"/>
        <w:adjustRightInd w:val="0"/>
        <w:ind w:left="1440" w:hanging="720"/>
        <w:jc w:val="both"/>
        <w:rPr>
          <w:rStyle w:val="Heading3Char"/>
        </w:rPr>
      </w:pPr>
      <w:bookmarkStart w:id="17" w:name="_Toc471487558"/>
      <w:r w:rsidRPr="00156619">
        <w:rPr>
          <w:rStyle w:val="Heading3Char"/>
        </w:rPr>
        <w:t>A.</w:t>
      </w:r>
      <w:r w:rsidRPr="00156619">
        <w:rPr>
          <w:rStyle w:val="Heading3Char"/>
        </w:rPr>
        <w:tab/>
        <w:t>The Parties Intended to Measure Compliance with Section III(D)(3) by Counting Only Individuals in the Target Population Receiving Supported Employment Services on Given Compliance Dates</w:t>
      </w:r>
      <w:r w:rsidRPr="00A23601">
        <w:rPr>
          <w:rStyle w:val="Heading3Char"/>
        </w:rPr>
        <w:t>.</w:t>
      </w:r>
      <w:bookmarkEnd w:id="17"/>
    </w:p>
    <w:p w:rsidR="00A61636" w:rsidRPr="00661B39" w:rsidRDefault="00A61636" w:rsidP="00F17F3C">
      <w:pPr>
        <w:autoSpaceDE w:val="0"/>
        <w:autoSpaceDN w:val="0"/>
        <w:adjustRightInd w:val="0"/>
        <w:ind w:left="1440" w:hanging="720"/>
        <w:jc w:val="both"/>
        <w:rPr>
          <w:b/>
          <w:szCs w:val="24"/>
        </w:rPr>
      </w:pPr>
    </w:p>
    <w:p w:rsidR="00A61636" w:rsidRPr="00661B39" w:rsidRDefault="00A61636" w:rsidP="00C536A0">
      <w:pPr>
        <w:pStyle w:val="Heading4"/>
        <w:rPr>
          <w:szCs w:val="24"/>
        </w:rPr>
      </w:pPr>
      <w:r w:rsidRPr="00661B39">
        <w:rPr>
          <w:szCs w:val="24"/>
        </w:rPr>
        <w:tab/>
        <w:t>1.</w:t>
      </w:r>
      <w:r w:rsidRPr="00661B39">
        <w:rPr>
          <w:szCs w:val="24"/>
        </w:rPr>
        <w:tab/>
        <w:t xml:space="preserve">The Agreement’s </w:t>
      </w:r>
      <w:r w:rsidR="00BF6380" w:rsidRPr="00661B39">
        <w:rPr>
          <w:szCs w:val="24"/>
        </w:rPr>
        <w:t>Language Is Unambiguous</w:t>
      </w:r>
      <w:r w:rsidRPr="00661B39">
        <w:rPr>
          <w:szCs w:val="24"/>
        </w:rPr>
        <w:t>.</w:t>
      </w:r>
    </w:p>
    <w:p w:rsidR="00A61636" w:rsidRPr="00661B39" w:rsidRDefault="00A61636" w:rsidP="00F17F3C">
      <w:pPr>
        <w:ind w:firstLine="720"/>
        <w:jc w:val="both"/>
        <w:rPr>
          <w:szCs w:val="24"/>
        </w:rPr>
      </w:pPr>
    </w:p>
    <w:p w:rsidR="00B93C83" w:rsidRPr="00661B39" w:rsidRDefault="000528E4" w:rsidP="00362BFF">
      <w:pPr>
        <w:tabs>
          <w:tab w:val="left" w:pos="0"/>
        </w:tabs>
        <w:spacing w:line="480" w:lineRule="auto"/>
        <w:ind w:firstLine="720"/>
        <w:jc w:val="both"/>
        <w:rPr>
          <w:szCs w:val="24"/>
        </w:rPr>
      </w:pPr>
      <w:r w:rsidRPr="00661B39">
        <w:rPr>
          <w:szCs w:val="24"/>
        </w:rPr>
        <w:t xml:space="preserve">The language of the Agreement makes clear that the parties intended to measure compliance with section III(D)(3) by counting only individuals in the target population </w:t>
      </w:r>
      <w:r w:rsidR="00C53375" w:rsidRPr="00661B39">
        <w:rPr>
          <w:szCs w:val="24"/>
        </w:rPr>
        <w:t>receiving Supported Employment Services</w:t>
      </w:r>
      <w:r w:rsidRPr="00661B39">
        <w:rPr>
          <w:szCs w:val="24"/>
        </w:rPr>
        <w:t xml:space="preserve"> on given compliance dates.</w:t>
      </w:r>
      <w:r w:rsidR="00C53375" w:rsidRPr="00661B39">
        <w:rPr>
          <w:szCs w:val="24"/>
        </w:rPr>
        <w:t xml:space="preserve">  </w:t>
      </w:r>
      <w:r w:rsidR="00B50E29" w:rsidRPr="00661B39">
        <w:rPr>
          <w:i/>
          <w:szCs w:val="24"/>
        </w:rPr>
        <w:t xml:space="preserve">See </w:t>
      </w:r>
      <w:r w:rsidR="00363092" w:rsidRPr="00661B39">
        <w:rPr>
          <w:i/>
          <w:szCs w:val="24"/>
        </w:rPr>
        <w:t xml:space="preserve">Johnson, </w:t>
      </w:r>
      <w:r w:rsidR="00363092" w:rsidRPr="00661B39">
        <w:rPr>
          <w:szCs w:val="24"/>
        </w:rPr>
        <w:t>716 F.3d at 820</w:t>
      </w:r>
      <w:r w:rsidR="00B34D87" w:rsidRPr="00661B39">
        <w:rPr>
          <w:szCs w:val="24"/>
        </w:rPr>
        <w:fldChar w:fldCharType="begin"/>
      </w:r>
      <w:r w:rsidR="006B1B06" w:rsidRPr="00661B39">
        <w:rPr>
          <w:szCs w:val="24"/>
        </w:rPr>
        <w:instrText xml:space="preserve"> TA \s "Johnson v. Am. United Life Ins. Co., 716 F.3d 813 (4th Cir. 2013)" </w:instrText>
      </w:r>
      <w:r w:rsidR="00B34D87" w:rsidRPr="00661B39">
        <w:rPr>
          <w:szCs w:val="24"/>
        </w:rPr>
        <w:fldChar w:fldCharType="end"/>
      </w:r>
      <w:r w:rsidR="00363092" w:rsidRPr="00661B39">
        <w:rPr>
          <w:szCs w:val="24"/>
        </w:rPr>
        <w:t xml:space="preserve"> (interpreting discrete provisions within context of entire agreement); </w:t>
      </w:r>
      <w:r w:rsidR="00B50E29" w:rsidRPr="00661B39">
        <w:rPr>
          <w:i/>
          <w:szCs w:val="24"/>
        </w:rPr>
        <w:t>Crain,</w:t>
      </w:r>
      <w:r w:rsidR="00B50E29" w:rsidRPr="00661B39">
        <w:rPr>
          <w:szCs w:val="24"/>
        </w:rPr>
        <w:t xml:space="preserve"> 2015 WL 73961, at *2 </w:t>
      </w:r>
      <w:r w:rsidR="00363092" w:rsidRPr="00661B39">
        <w:rPr>
          <w:szCs w:val="24"/>
        </w:rPr>
        <w:t>(same)</w:t>
      </w:r>
      <w:r w:rsidR="00B34D87" w:rsidRPr="00661B39">
        <w:rPr>
          <w:szCs w:val="24"/>
        </w:rPr>
        <w:fldChar w:fldCharType="begin"/>
      </w:r>
      <w:r w:rsidR="006B1B06" w:rsidRPr="00661B39">
        <w:rPr>
          <w:szCs w:val="24"/>
        </w:rPr>
        <w:instrText xml:space="preserve"> TA \s "Crain v. DeBartolo, No. 7:14-CV-29-D, 2015 WL 73961 (E.D.N.C. Jan. 6, 2015)" </w:instrText>
      </w:r>
      <w:r w:rsidR="00B34D87" w:rsidRPr="00661B39">
        <w:rPr>
          <w:szCs w:val="24"/>
        </w:rPr>
        <w:fldChar w:fldCharType="end"/>
      </w:r>
      <w:r w:rsidR="00363092" w:rsidRPr="00661B39">
        <w:rPr>
          <w:szCs w:val="24"/>
        </w:rPr>
        <w:t xml:space="preserve">; </w:t>
      </w:r>
      <w:r w:rsidR="00363092" w:rsidRPr="00661B39">
        <w:rPr>
          <w:i/>
          <w:szCs w:val="24"/>
        </w:rPr>
        <w:t xml:space="preserve">Lynn, </w:t>
      </w:r>
      <w:r w:rsidR="00363092" w:rsidRPr="00661B39">
        <w:rPr>
          <w:szCs w:val="24"/>
        </w:rPr>
        <w:t>202 N.C. App. at 435, 689 S.E.2d at 207</w:t>
      </w:r>
      <w:r w:rsidR="00B34D87" w:rsidRPr="00661B39">
        <w:rPr>
          <w:szCs w:val="24"/>
        </w:rPr>
        <w:fldChar w:fldCharType="begin"/>
      </w:r>
      <w:r w:rsidR="006B1B06" w:rsidRPr="00661B39">
        <w:rPr>
          <w:szCs w:val="24"/>
        </w:rPr>
        <w:instrText xml:space="preserve"> TA \s "Lynn v. Lynn, 202 N.C. App. 423, 689 S.E.2d 198 (2010)" </w:instrText>
      </w:r>
      <w:r w:rsidR="00B34D87" w:rsidRPr="00661B39">
        <w:rPr>
          <w:szCs w:val="24"/>
        </w:rPr>
        <w:fldChar w:fldCharType="end"/>
      </w:r>
      <w:r w:rsidR="00363092" w:rsidRPr="00661B39">
        <w:rPr>
          <w:szCs w:val="24"/>
        </w:rPr>
        <w:t xml:space="preserve"> (same)</w:t>
      </w:r>
      <w:r w:rsidR="00637358" w:rsidRPr="00661B39">
        <w:rPr>
          <w:szCs w:val="24"/>
        </w:rPr>
        <w:t>; Rest</w:t>
      </w:r>
      <w:r w:rsidR="00C53375" w:rsidRPr="00661B39">
        <w:rPr>
          <w:szCs w:val="24"/>
        </w:rPr>
        <w:t>atement</w:t>
      </w:r>
      <w:r w:rsidR="00637358" w:rsidRPr="00661B39">
        <w:rPr>
          <w:szCs w:val="24"/>
        </w:rPr>
        <w:t xml:space="preserve"> § 202(2)</w:t>
      </w:r>
      <w:r w:rsidR="00B34D87" w:rsidRPr="00661B39">
        <w:rPr>
          <w:szCs w:val="24"/>
        </w:rPr>
        <w:fldChar w:fldCharType="begin"/>
      </w:r>
      <w:r w:rsidR="008C178D" w:rsidRPr="00661B39">
        <w:rPr>
          <w:szCs w:val="24"/>
        </w:rPr>
        <w:instrText xml:space="preserve"> TA \s "Restatement (Second) of Contracts § 202(2) (1981)" </w:instrText>
      </w:r>
      <w:r w:rsidR="00B34D87" w:rsidRPr="00661B39">
        <w:rPr>
          <w:szCs w:val="24"/>
        </w:rPr>
        <w:fldChar w:fldCharType="end"/>
      </w:r>
      <w:r w:rsidR="00637358" w:rsidRPr="00661B39">
        <w:rPr>
          <w:szCs w:val="24"/>
        </w:rPr>
        <w:t xml:space="preserve"> (“A writing is interpreted as a whole, and all writings that are part of the same transaction are interpreted together.”). </w:t>
      </w:r>
    </w:p>
    <w:p w:rsidR="00BC7E0F" w:rsidRPr="00661B39" w:rsidRDefault="00A61636" w:rsidP="00F17F3C">
      <w:pPr>
        <w:spacing w:line="480" w:lineRule="auto"/>
        <w:ind w:firstLine="720"/>
        <w:jc w:val="both"/>
        <w:rPr>
          <w:szCs w:val="24"/>
        </w:rPr>
      </w:pPr>
      <w:r w:rsidRPr="00661B39">
        <w:rPr>
          <w:szCs w:val="24"/>
        </w:rPr>
        <w:t xml:space="preserve">The three paragraphs of section III(D) work in </w:t>
      </w:r>
      <w:r w:rsidR="00845AC8" w:rsidRPr="00661B39">
        <w:rPr>
          <w:szCs w:val="24"/>
        </w:rPr>
        <w:t xml:space="preserve">concert to describe the State’s </w:t>
      </w:r>
      <w:r w:rsidRPr="00661B39">
        <w:rPr>
          <w:szCs w:val="24"/>
        </w:rPr>
        <w:t xml:space="preserve">employment </w:t>
      </w:r>
      <w:r w:rsidR="0029145E" w:rsidRPr="00661B39">
        <w:rPr>
          <w:szCs w:val="24"/>
        </w:rPr>
        <w:t xml:space="preserve">services </w:t>
      </w:r>
      <w:r w:rsidRPr="00661B39">
        <w:rPr>
          <w:szCs w:val="24"/>
        </w:rPr>
        <w:t xml:space="preserve">obligations.  Section III(D)(1) requires the State to provide Supported Employment Services to “individuals with </w:t>
      </w:r>
      <w:r w:rsidR="008D363A" w:rsidRPr="00661B39">
        <w:rPr>
          <w:szCs w:val="24"/>
        </w:rPr>
        <w:t>SMI</w:t>
      </w:r>
      <w:r w:rsidRPr="00661B39">
        <w:rPr>
          <w:szCs w:val="24"/>
        </w:rPr>
        <w:t>, who are in or at risk of entry to an adult care home[.]”</w:t>
      </w:r>
      <w:r w:rsidR="008D363A" w:rsidRPr="00661B39">
        <w:rPr>
          <w:rStyle w:val="FootnoteReference"/>
          <w:szCs w:val="24"/>
        </w:rPr>
        <w:footnoteReference w:id="14"/>
      </w:r>
      <w:r w:rsidRPr="00661B39">
        <w:rPr>
          <w:szCs w:val="24"/>
        </w:rPr>
        <w:t xml:space="preserve">  </w:t>
      </w:r>
      <w:r w:rsidRPr="00661B39">
        <w:rPr>
          <w:i/>
          <w:szCs w:val="24"/>
        </w:rPr>
        <w:t xml:space="preserve">Id.  </w:t>
      </w:r>
      <w:r w:rsidR="00943E75" w:rsidRPr="00661B39">
        <w:rPr>
          <w:szCs w:val="24"/>
        </w:rPr>
        <w:t xml:space="preserve">Section III(D)(2) ensures the quality of those services by requiring that Supported Employment Services be provided with fidelity to an evidence-based supported employment model.  </w:t>
      </w:r>
      <w:r w:rsidR="00943E75" w:rsidRPr="00661B39">
        <w:rPr>
          <w:i/>
          <w:szCs w:val="24"/>
        </w:rPr>
        <w:t xml:space="preserve">See id.  </w:t>
      </w:r>
      <w:r w:rsidRPr="00661B39">
        <w:rPr>
          <w:szCs w:val="24"/>
        </w:rPr>
        <w:t xml:space="preserve">Section III(D)(3) </w:t>
      </w:r>
      <w:r w:rsidR="00E61850" w:rsidRPr="00661B39">
        <w:rPr>
          <w:szCs w:val="24"/>
        </w:rPr>
        <w:t>dictates</w:t>
      </w:r>
      <w:r w:rsidRPr="00661B39">
        <w:rPr>
          <w:szCs w:val="24"/>
        </w:rPr>
        <w:t xml:space="preserve"> the timeline for w</w:t>
      </w:r>
      <w:r w:rsidR="00C53375" w:rsidRPr="00661B39">
        <w:rPr>
          <w:szCs w:val="24"/>
        </w:rPr>
        <w:t>hen the State must provide such</w:t>
      </w:r>
      <w:r w:rsidRPr="00661B39">
        <w:rPr>
          <w:szCs w:val="24"/>
        </w:rPr>
        <w:t xml:space="preserve"> services to those individuals: “[B]y July 1, 2016, the State will provide Supported Employment Services to a total of 1,166 individuals[.]”  </w:t>
      </w:r>
      <w:r w:rsidRPr="00661B39">
        <w:rPr>
          <w:i/>
          <w:szCs w:val="24"/>
        </w:rPr>
        <w:t>See id.</w:t>
      </w:r>
      <w:r w:rsidR="00C53375" w:rsidRPr="00661B39">
        <w:rPr>
          <w:szCs w:val="24"/>
        </w:rPr>
        <w:t xml:space="preserve">  The r</w:t>
      </w:r>
      <w:r w:rsidRPr="00661B39">
        <w:rPr>
          <w:szCs w:val="24"/>
        </w:rPr>
        <w:t>eference to “in</w:t>
      </w:r>
      <w:r w:rsidR="00C06948" w:rsidRPr="00661B39">
        <w:rPr>
          <w:szCs w:val="24"/>
        </w:rPr>
        <w:t>dividuals”</w:t>
      </w:r>
      <w:r w:rsidR="00C53375" w:rsidRPr="00661B39">
        <w:rPr>
          <w:szCs w:val="24"/>
        </w:rPr>
        <w:t xml:space="preserve"> in section III(D)(3)</w:t>
      </w:r>
      <w:r w:rsidR="00C06948" w:rsidRPr="00661B39">
        <w:rPr>
          <w:szCs w:val="24"/>
        </w:rPr>
        <w:t xml:space="preserve"> </w:t>
      </w:r>
      <w:r w:rsidRPr="00661B39">
        <w:rPr>
          <w:szCs w:val="24"/>
        </w:rPr>
        <w:t>must be construed in the</w:t>
      </w:r>
      <w:r w:rsidR="00B50E29" w:rsidRPr="00661B39">
        <w:rPr>
          <w:szCs w:val="24"/>
        </w:rPr>
        <w:t xml:space="preserve"> context of section III(D)(1).  </w:t>
      </w:r>
      <w:r w:rsidRPr="00661B39">
        <w:rPr>
          <w:szCs w:val="24"/>
        </w:rPr>
        <w:t xml:space="preserve">Thus, the State’s obligation to “provide Supported Employment Services to a total of 1,166 individuals [by July 1, 2016],” </w:t>
      </w:r>
      <w:r w:rsidRPr="00661B39">
        <w:rPr>
          <w:i/>
          <w:szCs w:val="24"/>
        </w:rPr>
        <w:t xml:space="preserve">id. </w:t>
      </w:r>
      <w:r w:rsidRPr="00661B39">
        <w:rPr>
          <w:szCs w:val="24"/>
        </w:rPr>
        <w:t xml:space="preserve">§ III(D)(3), is tied directly to </w:t>
      </w:r>
      <w:r w:rsidR="00BC7E0F" w:rsidRPr="00661B39">
        <w:rPr>
          <w:szCs w:val="24"/>
        </w:rPr>
        <w:t xml:space="preserve">“individuals with </w:t>
      </w:r>
      <w:r w:rsidR="008D363A" w:rsidRPr="00661B39">
        <w:rPr>
          <w:szCs w:val="24"/>
        </w:rPr>
        <w:t>SMI</w:t>
      </w:r>
      <w:r w:rsidR="00BC7E0F" w:rsidRPr="00661B39">
        <w:rPr>
          <w:szCs w:val="24"/>
        </w:rPr>
        <w:t xml:space="preserve">, who are in or at risk of entry to an adult care home,” </w:t>
      </w:r>
      <w:r w:rsidR="00BC7E0F" w:rsidRPr="00661B39">
        <w:rPr>
          <w:i/>
          <w:szCs w:val="24"/>
        </w:rPr>
        <w:t xml:space="preserve">id. </w:t>
      </w:r>
      <w:r w:rsidR="00BC7E0F" w:rsidRPr="00661B39">
        <w:rPr>
          <w:szCs w:val="24"/>
        </w:rPr>
        <w:t>§ III(D)(1).</w:t>
      </w:r>
    </w:p>
    <w:p w:rsidR="00B93C83" w:rsidRPr="00661B39" w:rsidRDefault="00E21236" w:rsidP="00F17F3C">
      <w:pPr>
        <w:spacing w:line="480" w:lineRule="auto"/>
        <w:ind w:firstLine="720"/>
        <w:jc w:val="both"/>
        <w:rPr>
          <w:szCs w:val="24"/>
        </w:rPr>
      </w:pPr>
      <w:r w:rsidRPr="00661B39">
        <w:rPr>
          <w:szCs w:val="24"/>
        </w:rPr>
        <w:t>I</w:t>
      </w:r>
      <w:r w:rsidR="00A61636" w:rsidRPr="00661B39">
        <w:rPr>
          <w:szCs w:val="24"/>
        </w:rPr>
        <w:t>nterpreting section III(D)(3) within the context of the entire Agreement</w:t>
      </w:r>
      <w:r w:rsidR="00E67F15" w:rsidRPr="00661B39">
        <w:rPr>
          <w:szCs w:val="24"/>
        </w:rPr>
        <w:t xml:space="preserve"> makes clear</w:t>
      </w:r>
      <w:r w:rsidR="00A61636" w:rsidRPr="00661B39">
        <w:rPr>
          <w:szCs w:val="24"/>
        </w:rPr>
        <w:t xml:space="preserve"> that the parties intended to measure compliance by counting only individuals </w:t>
      </w:r>
      <w:r w:rsidR="00E61850" w:rsidRPr="00661B39">
        <w:rPr>
          <w:szCs w:val="24"/>
        </w:rPr>
        <w:t>in the target population receiving Supported Employment Services</w:t>
      </w:r>
      <w:r w:rsidR="00637358" w:rsidRPr="00661B39">
        <w:rPr>
          <w:szCs w:val="24"/>
        </w:rPr>
        <w:t xml:space="preserve">.  </w:t>
      </w:r>
      <w:r w:rsidR="00A61636" w:rsidRPr="00661B39">
        <w:rPr>
          <w:szCs w:val="24"/>
        </w:rPr>
        <w:t>First, the Agreemen</w:t>
      </w:r>
      <w:r w:rsidR="00C06948" w:rsidRPr="00661B39">
        <w:rPr>
          <w:szCs w:val="24"/>
        </w:rPr>
        <w:t xml:space="preserve">t’s first substantive provision obligates </w:t>
      </w:r>
      <w:r w:rsidR="00A61636" w:rsidRPr="00661B39">
        <w:rPr>
          <w:szCs w:val="24"/>
        </w:rPr>
        <w:t xml:space="preserve">the State to implement measures to benefit “individuals with </w:t>
      </w:r>
      <w:r w:rsidR="00A94E84" w:rsidRPr="00661B39">
        <w:rPr>
          <w:szCs w:val="24"/>
        </w:rPr>
        <w:t>SMI</w:t>
      </w:r>
      <w:r w:rsidR="00A61636" w:rsidRPr="00661B39">
        <w:rPr>
          <w:szCs w:val="24"/>
        </w:rPr>
        <w:t xml:space="preserve">, who are in or at risk of entry to an adult care home, pursuant to the details and timelines set forth below.”  </w:t>
      </w:r>
      <w:r w:rsidR="00A61636" w:rsidRPr="00661B39">
        <w:rPr>
          <w:i/>
          <w:szCs w:val="24"/>
        </w:rPr>
        <w:t xml:space="preserve">See </w:t>
      </w:r>
      <w:r w:rsidR="00A61636" w:rsidRPr="00661B39">
        <w:rPr>
          <w:szCs w:val="24"/>
        </w:rPr>
        <w:t>S.A. § III(A).  It identifies the Agreement’s target population and links the “details and timelines set forth below</w:t>
      </w:r>
      <w:r w:rsidR="00C06948" w:rsidRPr="00661B39">
        <w:rPr>
          <w:szCs w:val="24"/>
        </w:rPr>
        <w:t>,</w:t>
      </w:r>
      <w:r w:rsidR="00A61636" w:rsidRPr="00661B39">
        <w:rPr>
          <w:szCs w:val="24"/>
        </w:rPr>
        <w:t>”</w:t>
      </w:r>
      <w:r w:rsidR="00C06948" w:rsidRPr="00661B39">
        <w:rPr>
          <w:szCs w:val="24"/>
        </w:rPr>
        <w:t xml:space="preserve"> which includes section III(D)(3)’s timeline, </w:t>
      </w:r>
      <w:r w:rsidR="00A61636" w:rsidRPr="00661B39">
        <w:rPr>
          <w:szCs w:val="24"/>
        </w:rPr>
        <w:t xml:space="preserve">to that target population.  </w:t>
      </w:r>
      <w:r w:rsidR="00E67F15" w:rsidRPr="00661B39">
        <w:rPr>
          <w:szCs w:val="24"/>
        </w:rPr>
        <w:t>It defies logic to</w:t>
      </w:r>
      <w:r w:rsidR="00A61636" w:rsidRPr="00661B39">
        <w:rPr>
          <w:szCs w:val="24"/>
        </w:rPr>
        <w:t xml:space="preserve"> constru</w:t>
      </w:r>
      <w:r w:rsidR="00E67F15" w:rsidRPr="00661B39">
        <w:rPr>
          <w:szCs w:val="24"/>
        </w:rPr>
        <w:t>e</w:t>
      </w:r>
      <w:r w:rsidR="00A61636" w:rsidRPr="00661B39">
        <w:rPr>
          <w:szCs w:val="24"/>
        </w:rPr>
        <w:t xml:space="preserve"> section III(D)(3) </w:t>
      </w:r>
      <w:r w:rsidR="00E67F15" w:rsidRPr="00661B39">
        <w:rPr>
          <w:szCs w:val="24"/>
        </w:rPr>
        <w:t xml:space="preserve">to </w:t>
      </w:r>
      <w:r w:rsidR="00A61636" w:rsidRPr="00661B39">
        <w:rPr>
          <w:szCs w:val="24"/>
        </w:rPr>
        <w:t>includ</w:t>
      </w:r>
      <w:r w:rsidR="00E67F15" w:rsidRPr="00661B39">
        <w:rPr>
          <w:szCs w:val="24"/>
        </w:rPr>
        <w:t>e</w:t>
      </w:r>
      <w:r w:rsidR="00A61636" w:rsidRPr="00661B39">
        <w:rPr>
          <w:szCs w:val="24"/>
        </w:rPr>
        <w:t xml:space="preserve"> individual</w:t>
      </w:r>
      <w:r w:rsidR="00E61850" w:rsidRPr="00661B39">
        <w:rPr>
          <w:szCs w:val="24"/>
        </w:rPr>
        <w:t xml:space="preserve">s outside the Agreement’s </w:t>
      </w:r>
      <w:r w:rsidR="00A61636" w:rsidRPr="00661B39">
        <w:rPr>
          <w:szCs w:val="24"/>
        </w:rPr>
        <w:t>target population.</w:t>
      </w:r>
    </w:p>
    <w:p w:rsidR="00B93C83" w:rsidRPr="00661B39" w:rsidRDefault="00A61636" w:rsidP="00F17F3C">
      <w:pPr>
        <w:spacing w:line="480" w:lineRule="auto"/>
        <w:ind w:firstLine="720"/>
        <w:jc w:val="both"/>
        <w:rPr>
          <w:szCs w:val="24"/>
        </w:rPr>
      </w:pPr>
      <w:r w:rsidRPr="00661B39">
        <w:rPr>
          <w:szCs w:val="24"/>
        </w:rPr>
        <w:t xml:space="preserve">Second, measuring compliance by counting only individuals in the target population is consistent with the use of the term “individual” throughout the Agreement.  The </w:t>
      </w:r>
      <w:r w:rsidR="00606441" w:rsidRPr="00661B39">
        <w:rPr>
          <w:szCs w:val="24"/>
        </w:rPr>
        <w:t xml:space="preserve">introductory </w:t>
      </w:r>
      <w:r w:rsidRPr="00661B39">
        <w:rPr>
          <w:szCs w:val="24"/>
        </w:rPr>
        <w:t>paragraph</w:t>
      </w:r>
      <w:r w:rsidR="00606441" w:rsidRPr="00661B39">
        <w:rPr>
          <w:szCs w:val="24"/>
        </w:rPr>
        <w:t xml:space="preserve">s of </w:t>
      </w:r>
      <w:r w:rsidRPr="00661B39">
        <w:rPr>
          <w:szCs w:val="24"/>
        </w:rPr>
        <w:t>substantive provision</w:t>
      </w:r>
      <w:r w:rsidR="00606441" w:rsidRPr="00661B39">
        <w:rPr>
          <w:szCs w:val="24"/>
        </w:rPr>
        <w:t>s identify</w:t>
      </w:r>
      <w:r w:rsidRPr="00661B39">
        <w:rPr>
          <w:szCs w:val="24"/>
        </w:rPr>
        <w:t xml:space="preserve"> the target population for the subsequent paragraphs.</w:t>
      </w:r>
      <w:r w:rsidRPr="00661B39">
        <w:rPr>
          <w:rStyle w:val="FootnoteReference"/>
          <w:szCs w:val="24"/>
        </w:rPr>
        <w:footnoteReference w:id="15"/>
      </w:r>
      <w:r w:rsidRPr="00661B39">
        <w:rPr>
          <w:szCs w:val="24"/>
        </w:rPr>
        <w:t xml:space="preserve">  Thereafter, the </w:t>
      </w:r>
      <w:r w:rsidR="003310A1" w:rsidRPr="00661B39">
        <w:rPr>
          <w:szCs w:val="24"/>
        </w:rPr>
        <w:t xml:space="preserve">Agreement uses the </w:t>
      </w:r>
      <w:r w:rsidRPr="00661B39">
        <w:rPr>
          <w:szCs w:val="24"/>
        </w:rPr>
        <w:t>term “</w:t>
      </w:r>
      <w:r w:rsidR="003310A1" w:rsidRPr="00661B39">
        <w:rPr>
          <w:szCs w:val="24"/>
        </w:rPr>
        <w:t xml:space="preserve">individuals” </w:t>
      </w:r>
      <w:r w:rsidR="00606441" w:rsidRPr="00661B39">
        <w:rPr>
          <w:szCs w:val="24"/>
        </w:rPr>
        <w:t xml:space="preserve">in </w:t>
      </w:r>
      <w:r w:rsidRPr="00661B39">
        <w:rPr>
          <w:szCs w:val="24"/>
        </w:rPr>
        <w:t xml:space="preserve">the remainder of the provision as shorthand for the identified target population.  For instance, </w:t>
      </w:r>
      <w:r w:rsidR="00606441" w:rsidRPr="00661B39">
        <w:rPr>
          <w:szCs w:val="24"/>
        </w:rPr>
        <w:t xml:space="preserve">the Supported Housing Slots provision identifies its target population in section III(B)(2).  The word “individuals” used thereafter in the Supported Housing Slots provision, such as in section III(B)(3), refers back to the target population in section III(B)(2).  </w:t>
      </w:r>
      <w:r w:rsidR="00606441" w:rsidRPr="00661B39">
        <w:rPr>
          <w:i/>
          <w:szCs w:val="24"/>
        </w:rPr>
        <w:t xml:space="preserve">See, e.g., </w:t>
      </w:r>
      <w:r w:rsidR="00606441" w:rsidRPr="00661B39">
        <w:rPr>
          <w:szCs w:val="24"/>
        </w:rPr>
        <w:t xml:space="preserve">S.A. </w:t>
      </w:r>
      <w:r w:rsidR="00BB060F" w:rsidRPr="00661B39">
        <w:rPr>
          <w:szCs w:val="24"/>
        </w:rPr>
        <w:t>§ III(B)(3)(d) (“By July 1, 2016</w:t>
      </w:r>
      <w:r w:rsidR="00606441" w:rsidRPr="00661B39">
        <w:rPr>
          <w:szCs w:val="24"/>
        </w:rPr>
        <w:t>, the State will provide Housing Slots</w:t>
      </w:r>
      <w:r w:rsidR="00BB060F" w:rsidRPr="00661B39">
        <w:rPr>
          <w:szCs w:val="24"/>
        </w:rPr>
        <w:t xml:space="preserve"> to at least 1,166 individuals.”); </w:t>
      </w:r>
      <w:r w:rsidR="00BB060F" w:rsidRPr="00661B39">
        <w:rPr>
          <w:i/>
          <w:szCs w:val="24"/>
        </w:rPr>
        <w:t xml:space="preserve">id. </w:t>
      </w:r>
      <w:r w:rsidR="00BB060F" w:rsidRPr="00661B39">
        <w:rPr>
          <w:szCs w:val="24"/>
        </w:rPr>
        <w:t>§ III(B)(7) (“Housing Slots will be provided for individuals to live in settings that meet the following criteria . . . .”).</w:t>
      </w:r>
    </w:p>
    <w:p w:rsidR="00B93C83" w:rsidRPr="00661B39" w:rsidRDefault="0027623A" w:rsidP="00F17F3C">
      <w:pPr>
        <w:spacing w:line="480" w:lineRule="auto"/>
        <w:ind w:firstLine="720"/>
        <w:jc w:val="both"/>
        <w:rPr>
          <w:szCs w:val="24"/>
        </w:rPr>
      </w:pPr>
      <w:r w:rsidRPr="00661B39">
        <w:rPr>
          <w:szCs w:val="24"/>
        </w:rPr>
        <w:t>Finally</w:t>
      </w:r>
      <w:r w:rsidR="00BC7E0F" w:rsidRPr="00661B39">
        <w:rPr>
          <w:szCs w:val="24"/>
        </w:rPr>
        <w:t>, m</w:t>
      </w:r>
      <w:r w:rsidR="00A61636" w:rsidRPr="00661B39">
        <w:rPr>
          <w:szCs w:val="24"/>
        </w:rPr>
        <w:t>easur</w:t>
      </w:r>
      <w:r w:rsidR="00BF6380" w:rsidRPr="00661B39">
        <w:rPr>
          <w:szCs w:val="24"/>
        </w:rPr>
        <w:t xml:space="preserve">ing compliance in reference to individuals in the target population </w:t>
      </w:r>
      <w:r w:rsidR="00A61636" w:rsidRPr="00661B39">
        <w:rPr>
          <w:szCs w:val="24"/>
        </w:rPr>
        <w:t>is consistent with</w:t>
      </w:r>
      <w:r w:rsidR="00C06948" w:rsidRPr="00661B39">
        <w:rPr>
          <w:szCs w:val="24"/>
        </w:rPr>
        <w:t xml:space="preserve"> the Agreement’s stated purpose</w:t>
      </w:r>
      <w:r w:rsidR="00A61636" w:rsidRPr="00661B39">
        <w:rPr>
          <w:szCs w:val="24"/>
        </w:rPr>
        <w:t xml:space="preserve"> to serve “individuals with </w:t>
      </w:r>
      <w:r w:rsidR="00A96F04" w:rsidRPr="00661B39">
        <w:rPr>
          <w:szCs w:val="24"/>
        </w:rPr>
        <w:t>SMI</w:t>
      </w:r>
      <w:r w:rsidR="00A61636" w:rsidRPr="00661B39">
        <w:rPr>
          <w:szCs w:val="24"/>
        </w:rPr>
        <w:t xml:space="preserve">, who are in or at risk of entry to an adult care home.”  </w:t>
      </w:r>
      <w:r w:rsidR="00A61636" w:rsidRPr="00661B39">
        <w:rPr>
          <w:i/>
          <w:szCs w:val="24"/>
        </w:rPr>
        <w:t xml:space="preserve">See </w:t>
      </w:r>
      <w:r w:rsidR="00637358" w:rsidRPr="00661B39">
        <w:rPr>
          <w:szCs w:val="24"/>
        </w:rPr>
        <w:t xml:space="preserve">S.A. § III(A); </w:t>
      </w:r>
      <w:r w:rsidR="00637358" w:rsidRPr="00661B39">
        <w:rPr>
          <w:i/>
          <w:szCs w:val="24"/>
        </w:rPr>
        <w:t>Silicon Image</w:t>
      </w:r>
      <w:r w:rsidR="00637358" w:rsidRPr="00661B39">
        <w:rPr>
          <w:szCs w:val="24"/>
        </w:rPr>
        <w:t>, 271 F. Supp. 2d at 851</w:t>
      </w:r>
      <w:r w:rsidR="00B34D87" w:rsidRPr="00661B39">
        <w:rPr>
          <w:szCs w:val="24"/>
        </w:rPr>
        <w:fldChar w:fldCharType="begin"/>
      </w:r>
      <w:r w:rsidR="00780697" w:rsidRPr="00661B39">
        <w:rPr>
          <w:szCs w:val="24"/>
        </w:rPr>
        <w:instrText xml:space="preserve"> TA \s "Silicon Image, Inc. v. Genesis Microchip, Inc., 271 F. Supp. 2d 840 (E.D. Va. 2003)" </w:instrText>
      </w:r>
      <w:r w:rsidR="00B34D87" w:rsidRPr="00661B39">
        <w:rPr>
          <w:szCs w:val="24"/>
        </w:rPr>
        <w:fldChar w:fldCharType="end"/>
      </w:r>
      <w:r w:rsidR="00637358" w:rsidRPr="00661B39">
        <w:rPr>
          <w:szCs w:val="24"/>
        </w:rPr>
        <w:t xml:space="preserve"> (interpreting agreement to effectuate its purpose).</w:t>
      </w:r>
      <w:r w:rsidR="00F77D4D" w:rsidRPr="00661B39">
        <w:rPr>
          <w:szCs w:val="24"/>
        </w:rPr>
        <w:t xml:space="preserve">  In contrast, meas</w:t>
      </w:r>
      <w:r w:rsidR="00BB060F" w:rsidRPr="00661B39">
        <w:rPr>
          <w:szCs w:val="24"/>
        </w:rPr>
        <w:t>uring compliance by counting any individual</w:t>
      </w:r>
      <w:r w:rsidR="00F77D4D" w:rsidRPr="00661B39">
        <w:rPr>
          <w:szCs w:val="24"/>
        </w:rPr>
        <w:t xml:space="preserve"> </w:t>
      </w:r>
      <w:r w:rsidR="007D598F" w:rsidRPr="00661B39">
        <w:rPr>
          <w:szCs w:val="24"/>
        </w:rPr>
        <w:t xml:space="preserve">receiving employment services </w:t>
      </w:r>
      <w:r w:rsidR="00F77D4D" w:rsidRPr="00661B39">
        <w:rPr>
          <w:szCs w:val="24"/>
        </w:rPr>
        <w:t>ignores the Agreement’s pur</w:t>
      </w:r>
      <w:r w:rsidR="00BB060F" w:rsidRPr="00661B39">
        <w:rPr>
          <w:szCs w:val="24"/>
        </w:rPr>
        <w:t>pose</w:t>
      </w:r>
      <w:r w:rsidR="00F77D4D" w:rsidRPr="00661B39">
        <w:rPr>
          <w:szCs w:val="24"/>
        </w:rPr>
        <w:t>.  The State’s interpretatio</w:t>
      </w:r>
      <w:r w:rsidR="007D598F" w:rsidRPr="00661B39">
        <w:rPr>
          <w:szCs w:val="24"/>
        </w:rPr>
        <w:t xml:space="preserve">n </w:t>
      </w:r>
      <w:r w:rsidR="00FD2557" w:rsidRPr="00661B39">
        <w:rPr>
          <w:szCs w:val="24"/>
        </w:rPr>
        <w:t xml:space="preserve">would allow </w:t>
      </w:r>
      <w:r w:rsidR="007D598F" w:rsidRPr="00661B39">
        <w:rPr>
          <w:szCs w:val="24"/>
        </w:rPr>
        <w:t>it to claim compliance</w:t>
      </w:r>
      <w:r w:rsidR="000528E4" w:rsidRPr="00661B39">
        <w:rPr>
          <w:szCs w:val="24"/>
        </w:rPr>
        <w:t xml:space="preserve"> with section III(D)(3)</w:t>
      </w:r>
      <w:r w:rsidR="007D598F" w:rsidRPr="00661B39">
        <w:rPr>
          <w:szCs w:val="24"/>
        </w:rPr>
        <w:t xml:space="preserve"> even if it does not provide Supported Employment Services to</w:t>
      </w:r>
      <w:r w:rsidR="00A61636" w:rsidRPr="00661B39">
        <w:rPr>
          <w:szCs w:val="24"/>
        </w:rPr>
        <w:t xml:space="preserve"> </w:t>
      </w:r>
      <w:r w:rsidR="007D598F" w:rsidRPr="00661B39">
        <w:rPr>
          <w:szCs w:val="24"/>
        </w:rPr>
        <w:t xml:space="preserve">a single </w:t>
      </w:r>
      <w:r w:rsidR="00A61636" w:rsidRPr="00661B39">
        <w:rPr>
          <w:szCs w:val="24"/>
        </w:rPr>
        <w:t xml:space="preserve">individual with serious mental illness or a single individual in or at risk of entry to an adult care home.  </w:t>
      </w:r>
    </w:p>
    <w:p w:rsidR="00A61636" w:rsidRPr="00661B39" w:rsidRDefault="00A61636" w:rsidP="00C536A0">
      <w:pPr>
        <w:pStyle w:val="Heading4"/>
        <w:rPr>
          <w:szCs w:val="24"/>
        </w:rPr>
      </w:pPr>
      <w:r w:rsidRPr="00661B39">
        <w:rPr>
          <w:szCs w:val="24"/>
        </w:rPr>
        <w:tab/>
        <w:t xml:space="preserve">2. </w:t>
      </w:r>
      <w:r w:rsidRPr="00661B39">
        <w:rPr>
          <w:szCs w:val="24"/>
        </w:rPr>
        <w:tab/>
        <w:t xml:space="preserve">The State’s Prior Conduct Confirms that </w:t>
      </w:r>
      <w:r w:rsidR="00B50E29" w:rsidRPr="00661B39">
        <w:rPr>
          <w:szCs w:val="24"/>
        </w:rPr>
        <w:t xml:space="preserve">the Parties Intended to Count </w:t>
      </w:r>
      <w:r w:rsidR="00B50E29" w:rsidRPr="00661B39">
        <w:rPr>
          <w:szCs w:val="24"/>
        </w:rPr>
        <w:tab/>
      </w:r>
      <w:r w:rsidRPr="00661B39">
        <w:rPr>
          <w:szCs w:val="24"/>
        </w:rPr>
        <w:t>Only Individuals in the Target Population.</w:t>
      </w:r>
    </w:p>
    <w:p w:rsidR="00A61636" w:rsidRPr="00661B39" w:rsidRDefault="00A61636" w:rsidP="00F17F3C">
      <w:pPr>
        <w:ind w:left="1440" w:hanging="720"/>
        <w:jc w:val="both"/>
        <w:rPr>
          <w:b/>
          <w:szCs w:val="24"/>
        </w:rPr>
      </w:pPr>
    </w:p>
    <w:p w:rsidR="00B93C83" w:rsidRPr="00661B39" w:rsidRDefault="00FB7972" w:rsidP="00F17F3C">
      <w:pPr>
        <w:spacing w:line="480" w:lineRule="auto"/>
        <w:ind w:firstLine="720"/>
        <w:jc w:val="both"/>
        <w:rPr>
          <w:szCs w:val="24"/>
        </w:rPr>
      </w:pPr>
      <w:r w:rsidRPr="00661B39">
        <w:rPr>
          <w:szCs w:val="24"/>
        </w:rPr>
        <w:t>T</w:t>
      </w:r>
      <w:r w:rsidR="00A61636" w:rsidRPr="00661B39">
        <w:rPr>
          <w:szCs w:val="24"/>
        </w:rPr>
        <w:t xml:space="preserve">he State’s </w:t>
      </w:r>
      <w:r w:rsidR="00640534" w:rsidRPr="00661B39">
        <w:rPr>
          <w:szCs w:val="24"/>
        </w:rPr>
        <w:t xml:space="preserve">conduct prior to this </w:t>
      </w:r>
      <w:r w:rsidR="00FD2557" w:rsidRPr="00661B39">
        <w:rPr>
          <w:szCs w:val="24"/>
        </w:rPr>
        <w:t xml:space="preserve">dispute </w:t>
      </w:r>
      <w:r w:rsidR="00A61636" w:rsidRPr="00661B39">
        <w:rPr>
          <w:szCs w:val="24"/>
        </w:rPr>
        <w:t>confirms that the parties intended to count only individu</w:t>
      </w:r>
      <w:r w:rsidR="00637358" w:rsidRPr="00661B39">
        <w:rPr>
          <w:szCs w:val="24"/>
        </w:rPr>
        <w:t>als in the target population</w:t>
      </w:r>
      <w:r w:rsidRPr="00661B39">
        <w:rPr>
          <w:szCs w:val="24"/>
        </w:rPr>
        <w:t xml:space="preserve"> receiving Supported Employment Services on given compliance dates</w:t>
      </w:r>
      <w:r w:rsidR="00637358" w:rsidRPr="00661B39">
        <w:rPr>
          <w:szCs w:val="24"/>
        </w:rPr>
        <w:t xml:space="preserve">.  </w:t>
      </w:r>
      <w:r w:rsidR="00637358" w:rsidRPr="00661B39">
        <w:rPr>
          <w:i/>
          <w:szCs w:val="24"/>
        </w:rPr>
        <w:t>See Mgmt Sys. Assocs., Inc.</w:t>
      </w:r>
      <w:r w:rsidR="00637358" w:rsidRPr="00661B39">
        <w:rPr>
          <w:szCs w:val="24"/>
        </w:rPr>
        <w:t>,</w:t>
      </w:r>
      <w:r w:rsidR="00637358" w:rsidRPr="00661B39">
        <w:rPr>
          <w:i/>
          <w:szCs w:val="24"/>
        </w:rPr>
        <w:t xml:space="preserve"> </w:t>
      </w:r>
      <w:r w:rsidR="00637358" w:rsidRPr="00661B39">
        <w:rPr>
          <w:szCs w:val="24"/>
        </w:rPr>
        <w:t>762 F.2d at 1171–72</w:t>
      </w:r>
      <w:r w:rsidR="00B34D87" w:rsidRPr="00661B39">
        <w:rPr>
          <w:szCs w:val="24"/>
        </w:rPr>
        <w:fldChar w:fldCharType="begin"/>
      </w:r>
      <w:r w:rsidR="00780697" w:rsidRPr="00661B39">
        <w:rPr>
          <w:szCs w:val="24"/>
        </w:rPr>
        <w:instrText xml:space="preserve"> TA \s "Mgmt Sys. Assocs., Inc. v. McDonnell Douglas Corp., 762 F.2d 1161 (4th Cir. 1985" </w:instrText>
      </w:r>
      <w:r w:rsidR="00B34D87" w:rsidRPr="00661B39">
        <w:rPr>
          <w:szCs w:val="24"/>
        </w:rPr>
        <w:fldChar w:fldCharType="end"/>
      </w:r>
      <w:r w:rsidR="00637358" w:rsidRPr="00661B39">
        <w:rPr>
          <w:szCs w:val="24"/>
        </w:rPr>
        <w:t xml:space="preserve"> (finding course-of-conduct evidence highly persuasive); </w:t>
      </w:r>
      <w:r w:rsidR="00637358" w:rsidRPr="00661B39">
        <w:rPr>
          <w:i/>
          <w:szCs w:val="24"/>
        </w:rPr>
        <w:t>Crowder Const</w:t>
      </w:r>
      <w:r w:rsidR="00CD6E12">
        <w:rPr>
          <w:i/>
          <w:szCs w:val="24"/>
        </w:rPr>
        <w:t>r</w:t>
      </w:r>
      <w:r w:rsidR="00637358" w:rsidRPr="00661B39">
        <w:rPr>
          <w:i/>
          <w:szCs w:val="24"/>
        </w:rPr>
        <w:t>. Co.</w:t>
      </w:r>
      <w:r w:rsidR="00637358" w:rsidRPr="00661B39">
        <w:rPr>
          <w:szCs w:val="24"/>
        </w:rPr>
        <w:t>, 134 N.C. App. at 200–01, 517 S.E.2d at 186</w:t>
      </w:r>
      <w:r w:rsidR="00B34D87" w:rsidRPr="00661B39">
        <w:rPr>
          <w:szCs w:val="24"/>
        </w:rPr>
        <w:fldChar w:fldCharType="begin"/>
      </w:r>
      <w:r w:rsidR="00780697" w:rsidRPr="00661B39">
        <w:rPr>
          <w:szCs w:val="24"/>
        </w:rPr>
        <w:instrText xml:space="preserve"> TA \s "Crowder Const. Co. v. Kiser, 134 N.C. App. 190, 517 S.E.2d 178 (1999)" </w:instrText>
      </w:r>
      <w:r w:rsidR="00B34D87" w:rsidRPr="00661B39">
        <w:rPr>
          <w:szCs w:val="24"/>
        </w:rPr>
        <w:fldChar w:fldCharType="end"/>
      </w:r>
      <w:r w:rsidR="00637358" w:rsidRPr="00661B39">
        <w:rPr>
          <w:szCs w:val="24"/>
        </w:rPr>
        <w:t xml:space="preserve"> (finding manner in which parties have carried out agreement indicative of how the parties construe the terms).</w:t>
      </w:r>
    </w:p>
    <w:p w:rsidR="006B05E9" w:rsidRPr="00661B39" w:rsidRDefault="00A61636" w:rsidP="00F17F3C">
      <w:pPr>
        <w:spacing w:line="480" w:lineRule="auto"/>
        <w:ind w:firstLine="720"/>
        <w:jc w:val="both"/>
        <w:rPr>
          <w:szCs w:val="24"/>
        </w:rPr>
      </w:pPr>
      <w:r w:rsidRPr="00661B39">
        <w:rPr>
          <w:szCs w:val="24"/>
        </w:rPr>
        <w:t xml:space="preserve">During the first </w:t>
      </w:r>
      <w:r w:rsidR="00BF6380" w:rsidRPr="00661B39">
        <w:rPr>
          <w:szCs w:val="24"/>
        </w:rPr>
        <w:t>three</w:t>
      </w:r>
      <w:r w:rsidRPr="00661B39">
        <w:rPr>
          <w:szCs w:val="24"/>
        </w:rPr>
        <w:t xml:space="preserve"> years of implementation, the</w:t>
      </w:r>
      <w:r w:rsidR="00845AC8" w:rsidRPr="00661B39">
        <w:rPr>
          <w:szCs w:val="24"/>
        </w:rPr>
        <w:t xml:space="preserve"> State repeatedly described its </w:t>
      </w:r>
      <w:r w:rsidRPr="00661B39">
        <w:rPr>
          <w:szCs w:val="24"/>
        </w:rPr>
        <w:t xml:space="preserve">employment </w:t>
      </w:r>
      <w:r w:rsidR="0029145E" w:rsidRPr="00661B39">
        <w:rPr>
          <w:szCs w:val="24"/>
        </w:rPr>
        <w:t xml:space="preserve">services </w:t>
      </w:r>
      <w:r w:rsidRPr="00661B39">
        <w:rPr>
          <w:szCs w:val="24"/>
        </w:rPr>
        <w:t>obligations in reference to individuals with serious mental illness who are in or at risk of entry to adult care homes.</w:t>
      </w:r>
      <w:r w:rsidR="008C427C" w:rsidRPr="00661B39">
        <w:rPr>
          <w:szCs w:val="24"/>
        </w:rPr>
        <w:t xml:space="preserve">  For instance, the Stat</w:t>
      </w:r>
      <w:r w:rsidR="005E682E" w:rsidRPr="00661B39">
        <w:rPr>
          <w:szCs w:val="24"/>
        </w:rPr>
        <w:t xml:space="preserve">e’s strategic </w:t>
      </w:r>
      <w:r w:rsidR="008C427C" w:rsidRPr="00661B39">
        <w:rPr>
          <w:szCs w:val="24"/>
        </w:rPr>
        <w:t xml:space="preserve">plan to meet its </w:t>
      </w:r>
      <w:r w:rsidR="005E682E" w:rsidRPr="00661B39">
        <w:rPr>
          <w:szCs w:val="24"/>
        </w:rPr>
        <w:t xml:space="preserve">July 2015 employment </w:t>
      </w:r>
      <w:r w:rsidR="0029145E" w:rsidRPr="00661B39">
        <w:rPr>
          <w:szCs w:val="24"/>
        </w:rPr>
        <w:t xml:space="preserve">services </w:t>
      </w:r>
      <w:r w:rsidR="005E682E" w:rsidRPr="00661B39">
        <w:rPr>
          <w:szCs w:val="24"/>
        </w:rPr>
        <w:t xml:space="preserve">obligation involved providing Supported Employment Services to “708 individuals with </w:t>
      </w:r>
      <w:r w:rsidR="00CD6E12">
        <w:rPr>
          <w:szCs w:val="24"/>
        </w:rPr>
        <w:t>SMI</w:t>
      </w:r>
      <w:r w:rsidR="005E682E" w:rsidRPr="00661B39">
        <w:rPr>
          <w:szCs w:val="24"/>
        </w:rPr>
        <w:t xml:space="preserve"> and [serious persistent mental illness] who are in or at risk of entry into an adult care home on or before June 30, 2015.”</w:t>
      </w:r>
      <w:r w:rsidR="006B05E9" w:rsidRPr="00661B39">
        <w:rPr>
          <w:szCs w:val="24"/>
        </w:rPr>
        <w:t xml:space="preserve">  </w:t>
      </w:r>
      <w:r w:rsidR="006B05E9" w:rsidRPr="00661B39">
        <w:rPr>
          <w:i/>
          <w:szCs w:val="24"/>
        </w:rPr>
        <w:t xml:space="preserve">See </w:t>
      </w:r>
      <w:r w:rsidR="006B05E9" w:rsidRPr="00661B39">
        <w:rPr>
          <w:szCs w:val="24"/>
        </w:rPr>
        <w:t xml:space="preserve">N.C. Dep’t of Health &amp; Human </w:t>
      </w:r>
      <w:proofErr w:type="spellStart"/>
      <w:r w:rsidR="006B05E9" w:rsidRPr="00661B39">
        <w:rPr>
          <w:szCs w:val="24"/>
        </w:rPr>
        <w:t>Servs</w:t>
      </w:r>
      <w:proofErr w:type="spellEnd"/>
      <w:r w:rsidR="006B05E9" w:rsidRPr="00661B39">
        <w:rPr>
          <w:szCs w:val="24"/>
        </w:rPr>
        <w:t xml:space="preserve">., </w:t>
      </w:r>
      <w:r w:rsidR="006B05E9" w:rsidRPr="00661B39">
        <w:rPr>
          <w:i/>
          <w:szCs w:val="24"/>
        </w:rPr>
        <w:t>Supported Employment Strategic Plan</w:t>
      </w:r>
      <w:r w:rsidR="006B05E9" w:rsidRPr="00661B39">
        <w:rPr>
          <w:szCs w:val="24"/>
        </w:rPr>
        <w:t xml:space="preserve"> (Sept. 2014) Ex. </w:t>
      </w:r>
      <w:r w:rsidR="00735172" w:rsidRPr="00661B39">
        <w:rPr>
          <w:szCs w:val="24"/>
        </w:rPr>
        <w:t>V</w:t>
      </w:r>
      <w:r w:rsidR="006B05E9" w:rsidRPr="00661B39">
        <w:rPr>
          <w:szCs w:val="24"/>
        </w:rPr>
        <w:t>, at 1.</w:t>
      </w:r>
    </w:p>
    <w:p w:rsidR="00215DE9" w:rsidRPr="00661B39" w:rsidRDefault="007A627A" w:rsidP="00F17F3C">
      <w:pPr>
        <w:spacing w:line="480" w:lineRule="auto"/>
        <w:ind w:firstLine="720"/>
        <w:jc w:val="both"/>
        <w:rPr>
          <w:szCs w:val="24"/>
        </w:rPr>
      </w:pPr>
      <w:r w:rsidRPr="00661B39">
        <w:rPr>
          <w:szCs w:val="24"/>
        </w:rPr>
        <w:t xml:space="preserve">The State also reported compliance as the number of individuals in the target population receiving Supported Employment Services on the reporting dates.  </w:t>
      </w:r>
      <w:r w:rsidR="007F787A" w:rsidRPr="00661B39">
        <w:rPr>
          <w:szCs w:val="24"/>
        </w:rPr>
        <w:t xml:space="preserve">Although the State acknowledged that </w:t>
      </w:r>
      <w:r w:rsidR="00A55EC0" w:rsidRPr="00661B39">
        <w:rPr>
          <w:szCs w:val="24"/>
        </w:rPr>
        <w:t xml:space="preserve">it provides employment services to </w:t>
      </w:r>
      <w:r w:rsidR="007F787A" w:rsidRPr="00661B39">
        <w:rPr>
          <w:szCs w:val="24"/>
        </w:rPr>
        <w:t>individuals outside the target popula</w:t>
      </w:r>
      <w:r w:rsidR="00A55EC0" w:rsidRPr="00661B39">
        <w:rPr>
          <w:szCs w:val="24"/>
        </w:rPr>
        <w:t>tion</w:t>
      </w:r>
      <w:r w:rsidR="007F787A" w:rsidRPr="00661B39">
        <w:rPr>
          <w:szCs w:val="24"/>
        </w:rPr>
        <w:t xml:space="preserve">, it did not count those individuals toward compliance.  </w:t>
      </w:r>
      <w:r w:rsidRPr="00661B39">
        <w:rPr>
          <w:i/>
          <w:szCs w:val="24"/>
        </w:rPr>
        <w:t xml:space="preserve">See, e.g., </w:t>
      </w:r>
      <w:r w:rsidR="00F0058E" w:rsidRPr="00661B39">
        <w:rPr>
          <w:szCs w:val="24"/>
        </w:rPr>
        <w:t xml:space="preserve">Dec. 2014 </w:t>
      </w:r>
      <w:r w:rsidR="00D925A7" w:rsidRPr="00661B39">
        <w:rPr>
          <w:szCs w:val="24"/>
        </w:rPr>
        <w:t xml:space="preserve">Monthly </w:t>
      </w:r>
      <w:r w:rsidR="00F0058E" w:rsidRPr="00661B39">
        <w:rPr>
          <w:szCs w:val="24"/>
        </w:rPr>
        <w:t xml:space="preserve">Rep. (Jan. 27, 2015) Ex. </w:t>
      </w:r>
      <w:r w:rsidR="00735172" w:rsidRPr="00661B39">
        <w:rPr>
          <w:szCs w:val="24"/>
        </w:rPr>
        <w:t>W</w:t>
      </w:r>
      <w:r w:rsidR="00F0058E" w:rsidRPr="00661B39">
        <w:rPr>
          <w:szCs w:val="24"/>
        </w:rPr>
        <w:t>, at 2 (reporting compliance as serving 62 i</w:t>
      </w:r>
      <w:r w:rsidR="007F787A" w:rsidRPr="00661B39">
        <w:rPr>
          <w:szCs w:val="24"/>
        </w:rPr>
        <w:t>ndividuals “in or at risk of [adult care home]</w:t>
      </w:r>
      <w:r w:rsidR="00F0058E" w:rsidRPr="00661B39">
        <w:rPr>
          <w:szCs w:val="24"/>
        </w:rPr>
        <w:t xml:space="preserve"> placement”</w:t>
      </w:r>
      <w:r w:rsidR="00A55EC0" w:rsidRPr="00661B39">
        <w:rPr>
          <w:szCs w:val="24"/>
        </w:rPr>
        <w:t>)</w:t>
      </w:r>
      <w:r w:rsidR="002455C5" w:rsidRPr="00661B39">
        <w:rPr>
          <w:szCs w:val="24"/>
        </w:rPr>
        <w:t xml:space="preserve">.  For example, in May 2015, the State reported that of the 460 individuals receiving Supported Employment Services, it was “providing those services to 62 individuals that meet the requirements of the settlement.”  2014 Annual Rep. (May 15, 2015) Ex. </w:t>
      </w:r>
      <w:r w:rsidR="00735172" w:rsidRPr="00661B39">
        <w:rPr>
          <w:szCs w:val="24"/>
        </w:rPr>
        <w:t>X</w:t>
      </w:r>
      <w:r w:rsidR="002455C5" w:rsidRPr="00661B39">
        <w:rPr>
          <w:szCs w:val="24"/>
        </w:rPr>
        <w:t xml:space="preserve">, at 2.  It described those 62 individuals as in or </w:t>
      </w:r>
      <w:r w:rsidR="00A55EC0" w:rsidRPr="00661B39">
        <w:rPr>
          <w:szCs w:val="24"/>
        </w:rPr>
        <w:t xml:space="preserve">at risk of entry to an adult care home.  </w:t>
      </w:r>
      <w:r w:rsidR="00A55EC0" w:rsidRPr="00661B39">
        <w:rPr>
          <w:i/>
          <w:szCs w:val="24"/>
        </w:rPr>
        <w:t xml:space="preserve">See id. </w:t>
      </w:r>
      <w:r w:rsidR="00A55EC0" w:rsidRPr="00661B39">
        <w:rPr>
          <w:szCs w:val="24"/>
        </w:rPr>
        <w:t>at 4.</w:t>
      </w:r>
      <w:r w:rsidR="002455C5" w:rsidRPr="00661B39">
        <w:rPr>
          <w:szCs w:val="24"/>
        </w:rPr>
        <w:t xml:space="preserve">  </w:t>
      </w:r>
    </w:p>
    <w:p w:rsidR="00515322" w:rsidRPr="00661B39" w:rsidRDefault="00901EAB" w:rsidP="00F17F3C">
      <w:pPr>
        <w:spacing w:line="480" w:lineRule="auto"/>
        <w:ind w:firstLine="720"/>
        <w:jc w:val="both"/>
        <w:rPr>
          <w:szCs w:val="24"/>
        </w:rPr>
      </w:pPr>
      <w:r w:rsidRPr="00661B39">
        <w:rPr>
          <w:szCs w:val="24"/>
        </w:rPr>
        <w:t xml:space="preserve">Furthermore, the State did not report on compliance </w:t>
      </w:r>
      <w:r w:rsidR="00515322" w:rsidRPr="00661B39">
        <w:rPr>
          <w:szCs w:val="24"/>
        </w:rPr>
        <w:t>in its June 2015 and July 2015 r</w:t>
      </w:r>
      <w:r w:rsidRPr="00661B39">
        <w:rPr>
          <w:szCs w:val="24"/>
        </w:rPr>
        <w:t>eports because the State was “assess[</w:t>
      </w:r>
      <w:proofErr w:type="spellStart"/>
      <w:r w:rsidRPr="00661B39">
        <w:rPr>
          <w:szCs w:val="24"/>
        </w:rPr>
        <w:t>ing</w:t>
      </w:r>
      <w:proofErr w:type="spellEnd"/>
      <w:r w:rsidRPr="00661B39">
        <w:rPr>
          <w:szCs w:val="24"/>
        </w:rPr>
        <w:t xml:space="preserve">] if all individuals reported [met] the in or at risk definition for supported employment.”  July 2015 </w:t>
      </w:r>
      <w:r w:rsidR="008F222F" w:rsidRPr="00661B39">
        <w:rPr>
          <w:szCs w:val="24"/>
        </w:rPr>
        <w:t xml:space="preserve">Monthly </w:t>
      </w:r>
      <w:r w:rsidRPr="00661B39">
        <w:rPr>
          <w:szCs w:val="24"/>
        </w:rPr>
        <w:t>Rep. (</w:t>
      </w:r>
      <w:r w:rsidR="00515322" w:rsidRPr="00661B39">
        <w:rPr>
          <w:szCs w:val="24"/>
        </w:rPr>
        <w:t xml:space="preserve">Aug. 25, 2015) Ex. </w:t>
      </w:r>
      <w:r w:rsidR="00735172" w:rsidRPr="00661B39">
        <w:rPr>
          <w:szCs w:val="24"/>
        </w:rPr>
        <w:t>Y</w:t>
      </w:r>
      <w:r w:rsidR="00515322" w:rsidRPr="00661B39">
        <w:rPr>
          <w:szCs w:val="24"/>
        </w:rPr>
        <w:t xml:space="preserve">, at 2; </w:t>
      </w:r>
      <w:r w:rsidRPr="00661B39">
        <w:rPr>
          <w:szCs w:val="24"/>
        </w:rPr>
        <w:t>June</w:t>
      </w:r>
      <w:r w:rsidR="006853E2" w:rsidRPr="00661B39">
        <w:rPr>
          <w:szCs w:val="24"/>
        </w:rPr>
        <w:t xml:space="preserve"> 2015 </w:t>
      </w:r>
      <w:r w:rsidR="008F222F" w:rsidRPr="00661B39">
        <w:rPr>
          <w:szCs w:val="24"/>
        </w:rPr>
        <w:t xml:space="preserve">Monthly </w:t>
      </w:r>
      <w:r w:rsidR="006853E2" w:rsidRPr="00661B39">
        <w:rPr>
          <w:szCs w:val="24"/>
        </w:rPr>
        <w:t xml:space="preserve">Rep. </w:t>
      </w:r>
      <w:r w:rsidR="008F222F" w:rsidRPr="00661B39">
        <w:rPr>
          <w:szCs w:val="24"/>
        </w:rPr>
        <w:t xml:space="preserve">Ex. K, </w:t>
      </w:r>
      <w:r w:rsidRPr="00661B39">
        <w:rPr>
          <w:szCs w:val="24"/>
        </w:rPr>
        <w:t>at 2.</w:t>
      </w:r>
      <w:r w:rsidR="00515322" w:rsidRPr="00661B39">
        <w:rPr>
          <w:szCs w:val="24"/>
        </w:rPr>
        <w:t xml:space="preserve">  Similarly, the State conducted reviews to ensure that those receiving services met “the definition of ‘in or at risk of entry to an adult care home’ </w:t>
      </w:r>
      <w:r w:rsidR="00515322" w:rsidRPr="00661B39">
        <w:rPr>
          <w:i/>
          <w:iCs/>
          <w:szCs w:val="24"/>
        </w:rPr>
        <w:t>as laid out in the settlement</w:t>
      </w:r>
      <w:r w:rsidR="00515322" w:rsidRPr="00661B39">
        <w:rPr>
          <w:iCs/>
          <w:szCs w:val="24"/>
        </w:rPr>
        <w:t xml:space="preserve">.”  </w:t>
      </w:r>
      <w:r w:rsidR="001228AF" w:rsidRPr="00661B39">
        <w:rPr>
          <w:i/>
          <w:iCs/>
          <w:szCs w:val="24"/>
        </w:rPr>
        <w:t xml:space="preserve">E.g., </w:t>
      </w:r>
      <w:r w:rsidR="00515322" w:rsidRPr="00661B39">
        <w:rPr>
          <w:szCs w:val="24"/>
        </w:rPr>
        <w:t xml:space="preserve">Oct. 2014 </w:t>
      </w:r>
      <w:r w:rsidR="008F222F" w:rsidRPr="00661B39">
        <w:rPr>
          <w:szCs w:val="24"/>
        </w:rPr>
        <w:t xml:space="preserve">Monthly </w:t>
      </w:r>
      <w:r w:rsidR="00515322" w:rsidRPr="00661B39">
        <w:rPr>
          <w:szCs w:val="24"/>
        </w:rPr>
        <w:t xml:space="preserve">Rep. </w:t>
      </w:r>
      <w:r w:rsidR="001228AF" w:rsidRPr="00661B39">
        <w:rPr>
          <w:szCs w:val="24"/>
        </w:rPr>
        <w:t>(Nov. 25, 2014) Ex.</w:t>
      </w:r>
      <w:r w:rsidR="008F222F" w:rsidRPr="00661B39">
        <w:rPr>
          <w:szCs w:val="24"/>
        </w:rPr>
        <w:t xml:space="preserve"> </w:t>
      </w:r>
      <w:r w:rsidR="00735172" w:rsidRPr="00661B39">
        <w:rPr>
          <w:szCs w:val="24"/>
        </w:rPr>
        <w:t>Z</w:t>
      </w:r>
      <w:r w:rsidR="00515322" w:rsidRPr="00661B39">
        <w:rPr>
          <w:szCs w:val="24"/>
        </w:rPr>
        <w:t xml:space="preserve">, </w:t>
      </w:r>
      <w:r w:rsidR="001228AF" w:rsidRPr="00661B39">
        <w:rPr>
          <w:szCs w:val="24"/>
        </w:rPr>
        <w:t>at 2 (emphasis added)</w:t>
      </w:r>
      <w:r w:rsidR="00515322" w:rsidRPr="00661B39">
        <w:rPr>
          <w:szCs w:val="24"/>
        </w:rPr>
        <w:t xml:space="preserve">.  </w:t>
      </w:r>
    </w:p>
    <w:p w:rsidR="006A7506" w:rsidRDefault="001228AF" w:rsidP="00293E28">
      <w:pPr>
        <w:spacing w:line="480" w:lineRule="auto"/>
        <w:ind w:firstLine="720"/>
        <w:jc w:val="both"/>
        <w:rPr>
          <w:szCs w:val="24"/>
        </w:rPr>
      </w:pPr>
      <w:r w:rsidRPr="00661B39">
        <w:rPr>
          <w:szCs w:val="24"/>
        </w:rPr>
        <w:t xml:space="preserve">For three years, the State </w:t>
      </w:r>
      <w:r w:rsidRPr="00661B39" w:rsidDel="00F0058E">
        <w:rPr>
          <w:szCs w:val="24"/>
        </w:rPr>
        <w:t>reiterated its understanding that only individuals in the target population count toward compliance with section III(D)(3)</w:t>
      </w:r>
      <w:r w:rsidRPr="00661B39">
        <w:rPr>
          <w:szCs w:val="24"/>
        </w:rPr>
        <w:t xml:space="preserve">.  It recognized </w:t>
      </w:r>
      <w:r w:rsidRPr="00661B39" w:rsidDel="00F0058E">
        <w:rPr>
          <w:szCs w:val="24"/>
        </w:rPr>
        <w:t>that individuals outside the target population receive employment services, but it did not count them toward compliance.  It cannot do so now</w:t>
      </w:r>
      <w:r w:rsidR="00FD2557" w:rsidRPr="00661B39">
        <w:rPr>
          <w:szCs w:val="24"/>
        </w:rPr>
        <w:t xml:space="preserve"> to avoid its obligations under the Agreement</w:t>
      </w:r>
      <w:r w:rsidRPr="00661B39" w:rsidDel="00F0058E">
        <w:rPr>
          <w:szCs w:val="24"/>
        </w:rPr>
        <w:t xml:space="preserve">. </w:t>
      </w:r>
      <w:r w:rsidRPr="00661B39">
        <w:rPr>
          <w:szCs w:val="24"/>
        </w:rPr>
        <w:t xml:space="preserve"> </w:t>
      </w:r>
      <w:r w:rsidR="00515322" w:rsidRPr="00661B39">
        <w:rPr>
          <w:szCs w:val="24"/>
        </w:rPr>
        <w:t xml:space="preserve">  </w:t>
      </w:r>
      <w:r w:rsidR="006B05E9" w:rsidRPr="00661B39">
        <w:rPr>
          <w:szCs w:val="24"/>
        </w:rPr>
        <w:t xml:space="preserve"> </w:t>
      </w:r>
      <w:r w:rsidR="005E682E" w:rsidRPr="00661B39">
        <w:rPr>
          <w:szCs w:val="24"/>
        </w:rPr>
        <w:t xml:space="preserve"> </w:t>
      </w:r>
      <w:r w:rsidR="008C427C" w:rsidRPr="00661B39">
        <w:rPr>
          <w:szCs w:val="24"/>
        </w:rPr>
        <w:t xml:space="preserve"> </w:t>
      </w:r>
    </w:p>
    <w:p w:rsidR="00293E28" w:rsidRDefault="00293E28" w:rsidP="00293E28">
      <w:pPr>
        <w:spacing w:line="480" w:lineRule="auto"/>
        <w:ind w:firstLine="720"/>
        <w:jc w:val="both"/>
        <w:rPr>
          <w:szCs w:val="24"/>
        </w:rPr>
      </w:pPr>
    </w:p>
    <w:p w:rsidR="00293E28" w:rsidRDefault="00293E28" w:rsidP="00293E28">
      <w:pPr>
        <w:spacing w:line="480" w:lineRule="auto"/>
        <w:ind w:firstLine="720"/>
        <w:jc w:val="both"/>
        <w:rPr>
          <w:b/>
          <w:szCs w:val="24"/>
        </w:rPr>
      </w:pPr>
    </w:p>
    <w:p w:rsidR="00A61636" w:rsidRPr="00661B39" w:rsidRDefault="00A61636" w:rsidP="00D663B0">
      <w:pPr>
        <w:pStyle w:val="Heading3"/>
      </w:pPr>
      <w:bookmarkStart w:id="18" w:name="_Toc471487559"/>
      <w:r w:rsidRPr="00661B39">
        <w:t xml:space="preserve">B. </w:t>
      </w:r>
      <w:r w:rsidRPr="00661B39">
        <w:tab/>
        <w:t xml:space="preserve">The State Has Failed to </w:t>
      </w:r>
      <w:r w:rsidR="005E5594" w:rsidRPr="00661B39">
        <w:t>Meet</w:t>
      </w:r>
      <w:r w:rsidRPr="00661B39">
        <w:t xml:space="preserve"> Its July 2016 Employment </w:t>
      </w:r>
      <w:r w:rsidR="00FD2557" w:rsidRPr="00661B39">
        <w:t xml:space="preserve">Services </w:t>
      </w:r>
      <w:r w:rsidRPr="00661B39">
        <w:t>Obligation.</w:t>
      </w:r>
      <w:bookmarkEnd w:id="18"/>
    </w:p>
    <w:p w:rsidR="00B93C83" w:rsidRPr="00661B39" w:rsidRDefault="00A61636" w:rsidP="00F17F3C">
      <w:pPr>
        <w:spacing w:line="480" w:lineRule="auto"/>
        <w:ind w:firstLine="720"/>
        <w:jc w:val="both"/>
        <w:rPr>
          <w:i/>
          <w:szCs w:val="24"/>
        </w:rPr>
      </w:pPr>
      <w:r w:rsidRPr="00661B39">
        <w:rPr>
          <w:szCs w:val="24"/>
        </w:rPr>
        <w:t xml:space="preserve">The State has failed to </w:t>
      </w:r>
      <w:r w:rsidR="00C60167" w:rsidRPr="00661B39">
        <w:rPr>
          <w:szCs w:val="24"/>
        </w:rPr>
        <w:t>meet</w:t>
      </w:r>
      <w:r w:rsidR="00BF3548" w:rsidRPr="00661B39">
        <w:rPr>
          <w:szCs w:val="24"/>
        </w:rPr>
        <w:t xml:space="preserve"> the Agreement’s requirement that it </w:t>
      </w:r>
      <w:r w:rsidRPr="00661B39">
        <w:rPr>
          <w:szCs w:val="24"/>
        </w:rPr>
        <w:t>provide Supported Employment Servic</w:t>
      </w:r>
      <w:r w:rsidR="00BF6380" w:rsidRPr="00661B39">
        <w:rPr>
          <w:szCs w:val="24"/>
        </w:rPr>
        <w:t>es to 1,166 individuals in the target p</w:t>
      </w:r>
      <w:r w:rsidRPr="00661B39">
        <w:rPr>
          <w:szCs w:val="24"/>
        </w:rPr>
        <w:t xml:space="preserve">opulation by July 1, 2016.  </w:t>
      </w:r>
      <w:r w:rsidRPr="00661B39">
        <w:rPr>
          <w:i/>
          <w:szCs w:val="24"/>
        </w:rPr>
        <w:t xml:space="preserve">See </w:t>
      </w:r>
      <w:r w:rsidR="00BF6380" w:rsidRPr="00661B39">
        <w:rPr>
          <w:szCs w:val="24"/>
        </w:rPr>
        <w:t>S.A. §</w:t>
      </w:r>
      <w:r w:rsidR="00803FEB" w:rsidRPr="00661B39">
        <w:rPr>
          <w:szCs w:val="24"/>
        </w:rPr>
        <w:t> </w:t>
      </w:r>
      <w:r w:rsidR="00BF6380" w:rsidRPr="00661B39">
        <w:rPr>
          <w:szCs w:val="24"/>
        </w:rPr>
        <w:t xml:space="preserve">III(D)(3).  </w:t>
      </w:r>
      <w:r w:rsidR="00265744" w:rsidRPr="00661B39">
        <w:rPr>
          <w:szCs w:val="24"/>
        </w:rPr>
        <w:t>A</w:t>
      </w:r>
      <w:r w:rsidR="00BF3548" w:rsidRPr="00661B39">
        <w:rPr>
          <w:szCs w:val="24"/>
        </w:rPr>
        <w:t xml:space="preserve">s of June </w:t>
      </w:r>
      <w:r w:rsidR="00E47574" w:rsidRPr="00661B39">
        <w:rPr>
          <w:szCs w:val="24"/>
        </w:rPr>
        <w:t xml:space="preserve">30, 2016, only </w:t>
      </w:r>
      <w:r w:rsidR="00BF6380" w:rsidRPr="00661B39">
        <w:rPr>
          <w:szCs w:val="24"/>
        </w:rPr>
        <w:t xml:space="preserve">708 individuals in the target population </w:t>
      </w:r>
      <w:r w:rsidR="000528E4" w:rsidRPr="00661B39">
        <w:rPr>
          <w:szCs w:val="24"/>
        </w:rPr>
        <w:t>received</w:t>
      </w:r>
      <w:r w:rsidRPr="00661B39">
        <w:rPr>
          <w:szCs w:val="24"/>
        </w:rPr>
        <w:t xml:space="preserve"> Supported Employment Service</w:t>
      </w:r>
      <w:r w:rsidR="00BF6380" w:rsidRPr="00661B39">
        <w:rPr>
          <w:szCs w:val="24"/>
        </w:rPr>
        <w:t>s</w:t>
      </w:r>
      <w:r w:rsidR="005103C3" w:rsidRPr="00661B39">
        <w:rPr>
          <w:szCs w:val="24"/>
        </w:rPr>
        <w:t xml:space="preserve">, </w:t>
      </w:r>
      <w:r w:rsidR="000528E4" w:rsidRPr="00661B39">
        <w:rPr>
          <w:szCs w:val="24"/>
        </w:rPr>
        <w:t>representing</w:t>
      </w:r>
      <w:r w:rsidR="005103C3" w:rsidRPr="00661B39">
        <w:rPr>
          <w:szCs w:val="24"/>
        </w:rPr>
        <w:t xml:space="preserve"> a shortfall of 458 individuals</w:t>
      </w:r>
      <w:r w:rsidR="00BF6380" w:rsidRPr="00661B39">
        <w:rPr>
          <w:szCs w:val="24"/>
        </w:rPr>
        <w:t xml:space="preserve">.  </w:t>
      </w:r>
      <w:r w:rsidR="005103C3" w:rsidRPr="00661B39">
        <w:rPr>
          <w:i/>
          <w:szCs w:val="24"/>
        </w:rPr>
        <w:t xml:space="preserve">See </w:t>
      </w:r>
      <w:r w:rsidRPr="00661B39">
        <w:rPr>
          <w:szCs w:val="24"/>
        </w:rPr>
        <w:t>June 2016</w:t>
      </w:r>
      <w:r w:rsidR="008F222F" w:rsidRPr="00661B39">
        <w:rPr>
          <w:szCs w:val="24"/>
        </w:rPr>
        <w:t xml:space="preserve"> Monthly</w:t>
      </w:r>
      <w:r w:rsidR="00BF6380" w:rsidRPr="00661B39">
        <w:rPr>
          <w:szCs w:val="24"/>
        </w:rPr>
        <w:t xml:space="preserve"> Rep. </w:t>
      </w:r>
      <w:r w:rsidR="008F222F" w:rsidRPr="00661B39">
        <w:rPr>
          <w:szCs w:val="24"/>
        </w:rPr>
        <w:t xml:space="preserve">Ex. Q, </w:t>
      </w:r>
      <w:r w:rsidR="00BF6380" w:rsidRPr="00661B39">
        <w:rPr>
          <w:szCs w:val="24"/>
        </w:rPr>
        <w:t>at 2</w:t>
      </w:r>
      <w:r w:rsidRPr="00661B39">
        <w:rPr>
          <w:szCs w:val="24"/>
        </w:rPr>
        <w:t xml:space="preserve">.  </w:t>
      </w:r>
      <w:r w:rsidR="00407B69" w:rsidRPr="00661B39">
        <w:rPr>
          <w:szCs w:val="24"/>
        </w:rPr>
        <w:t>T</w:t>
      </w:r>
      <w:r w:rsidRPr="00661B39">
        <w:rPr>
          <w:szCs w:val="24"/>
        </w:rPr>
        <w:t xml:space="preserve">he State </w:t>
      </w:r>
      <w:r w:rsidR="00452FD0" w:rsidRPr="00661B39">
        <w:rPr>
          <w:szCs w:val="24"/>
        </w:rPr>
        <w:t xml:space="preserve">contends </w:t>
      </w:r>
      <w:r w:rsidRPr="00661B39">
        <w:rPr>
          <w:szCs w:val="24"/>
        </w:rPr>
        <w:t>that an additional 1,047 individuals outside the target population count toward satisfying this obligation</w:t>
      </w:r>
      <w:r w:rsidR="00407B69" w:rsidRPr="00661B39">
        <w:rPr>
          <w:szCs w:val="24"/>
        </w:rPr>
        <w:t>.</w:t>
      </w:r>
      <w:r w:rsidR="00452FD0" w:rsidRPr="00661B39">
        <w:rPr>
          <w:szCs w:val="24"/>
        </w:rPr>
        <w:t xml:space="preserve">  </w:t>
      </w:r>
      <w:r w:rsidR="00407B69" w:rsidRPr="00661B39">
        <w:rPr>
          <w:szCs w:val="24"/>
        </w:rPr>
        <w:t xml:space="preserve">However, section III(D)(3) requires the State to serve </w:t>
      </w:r>
      <w:r w:rsidRPr="00661B39">
        <w:rPr>
          <w:szCs w:val="24"/>
        </w:rPr>
        <w:t>individuals in the target population</w:t>
      </w:r>
      <w:r w:rsidR="00762866" w:rsidRPr="00661B39">
        <w:rPr>
          <w:szCs w:val="24"/>
        </w:rPr>
        <w:t xml:space="preserve">, and only </w:t>
      </w:r>
      <w:r w:rsidR="00BB060F" w:rsidRPr="00661B39">
        <w:rPr>
          <w:szCs w:val="24"/>
        </w:rPr>
        <w:t>those individuals</w:t>
      </w:r>
      <w:r w:rsidR="00407B69" w:rsidRPr="00661B39">
        <w:rPr>
          <w:szCs w:val="24"/>
        </w:rPr>
        <w:t xml:space="preserve"> </w:t>
      </w:r>
      <w:r w:rsidRPr="00661B39">
        <w:rPr>
          <w:szCs w:val="24"/>
        </w:rPr>
        <w:t xml:space="preserve">count toward compliance.   </w:t>
      </w:r>
    </w:p>
    <w:p w:rsidR="005103C3" w:rsidRPr="00661B39" w:rsidRDefault="005103C3" w:rsidP="00CD1E8C">
      <w:pPr>
        <w:pStyle w:val="Heading2"/>
      </w:pPr>
      <w:bookmarkStart w:id="19" w:name="_Toc471487560"/>
      <w:r w:rsidRPr="00661B39">
        <w:t>III.</w:t>
      </w:r>
      <w:r w:rsidRPr="00661B39">
        <w:tab/>
        <w:t>REMEDIES</w:t>
      </w:r>
      <w:bookmarkEnd w:id="19"/>
    </w:p>
    <w:p w:rsidR="00D90A8A" w:rsidRPr="00661B39" w:rsidRDefault="00D90A8A" w:rsidP="00D90A8A">
      <w:pPr>
        <w:spacing w:line="480" w:lineRule="auto"/>
        <w:ind w:firstLine="720"/>
        <w:jc w:val="both"/>
        <w:rPr>
          <w:rFonts w:eastAsia="Times New Roman"/>
          <w:szCs w:val="24"/>
        </w:rPr>
      </w:pPr>
      <w:r w:rsidRPr="00661B39">
        <w:rPr>
          <w:rFonts w:eastAsia="Times New Roman"/>
          <w:szCs w:val="24"/>
        </w:rPr>
        <w:t xml:space="preserve">The United States respectfully requests that the Court find the State noncompliant with </w:t>
      </w:r>
      <w:r w:rsidRPr="00661B39">
        <w:rPr>
          <w:szCs w:val="24"/>
        </w:rPr>
        <w:t xml:space="preserve">its July 1, 2016 obligations under sections III(B)(3) and III(D)(3) of the Agreement and </w:t>
      </w:r>
      <w:r w:rsidRPr="00661B39">
        <w:rPr>
          <w:rFonts w:eastAsia="Times New Roman"/>
          <w:szCs w:val="24"/>
        </w:rPr>
        <w:t>order specific performance pursuant to a schedule of monthly obligations to bring the State into compliance</w:t>
      </w:r>
      <w:r w:rsidR="00190FD9" w:rsidRPr="00661B39">
        <w:rPr>
          <w:rFonts w:eastAsia="Times New Roman"/>
          <w:szCs w:val="24"/>
        </w:rPr>
        <w:t xml:space="preserve"> by a set date</w:t>
      </w:r>
      <w:r w:rsidR="001C1976" w:rsidRPr="00661B39">
        <w:rPr>
          <w:rFonts w:eastAsia="Times New Roman"/>
          <w:szCs w:val="24"/>
        </w:rPr>
        <w:t>, as reflected in the attached proposed order</w:t>
      </w:r>
      <w:r w:rsidRPr="00661B39">
        <w:rPr>
          <w:rFonts w:eastAsia="Times New Roman"/>
          <w:szCs w:val="24"/>
        </w:rPr>
        <w:t xml:space="preserve">.  </w:t>
      </w:r>
      <w:r w:rsidRPr="00661B39">
        <w:rPr>
          <w:rFonts w:eastAsia="Times New Roman"/>
          <w:i/>
          <w:szCs w:val="24"/>
        </w:rPr>
        <w:t xml:space="preserve">See U.S. ex rel. </w:t>
      </w:r>
      <w:proofErr w:type="spellStart"/>
      <w:r w:rsidRPr="00661B39">
        <w:rPr>
          <w:rFonts w:eastAsia="Times New Roman"/>
          <w:i/>
          <w:szCs w:val="24"/>
        </w:rPr>
        <w:t>McDermitt</w:t>
      </w:r>
      <w:proofErr w:type="spellEnd"/>
      <w:r w:rsidRPr="00661B39">
        <w:rPr>
          <w:rFonts w:eastAsia="Times New Roman"/>
          <w:i/>
          <w:szCs w:val="24"/>
        </w:rPr>
        <w:t>, Inc.</w:t>
      </w:r>
      <w:r w:rsidRPr="00661B39">
        <w:rPr>
          <w:rFonts w:eastAsia="Times New Roman"/>
          <w:szCs w:val="24"/>
        </w:rPr>
        <w:t>, 34 F. Supp. 2d at 399</w:t>
      </w:r>
      <w:r w:rsidR="00B34D87">
        <w:rPr>
          <w:rFonts w:eastAsia="Times New Roman"/>
          <w:szCs w:val="24"/>
        </w:rPr>
        <w:fldChar w:fldCharType="begin"/>
      </w:r>
      <w:r w:rsidR="00C557DA">
        <w:instrText xml:space="preserve"> TA \s "U.S. ex rel. McDermitt, Inc. v. Centex-Simpson Const. Co., 34 F. Supp. 2d 397 (N.D. W. Va. 1999), aff’d sub nom. United States v. Centex-Simpson Const., 203 F.3d 824 (4th Cir. 2000)" </w:instrText>
      </w:r>
      <w:r w:rsidR="00B34D87">
        <w:rPr>
          <w:rFonts w:eastAsia="Times New Roman"/>
          <w:szCs w:val="24"/>
        </w:rPr>
        <w:fldChar w:fldCharType="end"/>
      </w:r>
      <w:r w:rsidRPr="00661B39">
        <w:rPr>
          <w:rFonts w:eastAsia="Times New Roman"/>
          <w:szCs w:val="24"/>
        </w:rPr>
        <w:t xml:space="preserve"> (“A motion to enforce a settlement agreement is an action for specific enforcement of a contract.”); </w:t>
      </w:r>
      <w:r w:rsidRPr="00661B39">
        <w:rPr>
          <w:rFonts w:eastAsia="Times New Roman"/>
          <w:i/>
          <w:szCs w:val="24"/>
        </w:rPr>
        <w:t>Clayton</w:t>
      </w:r>
      <w:r w:rsidRPr="00661B39">
        <w:rPr>
          <w:rFonts w:eastAsia="Times New Roman"/>
          <w:szCs w:val="24"/>
        </w:rPr>
        <w:t>,</w:t>
      </w:r>
      <w:r w:rsidRPr="00661B39">
        <w:rPr>
          <w:rFonts w:eastAsia="Times New Roman"/>
          <w:i/>
          <w:szCs w:val="24"/>
        </w:rPr>
        <w:t xml:space="preserve"> </w:t>
      </w:r>
      <w:r w:rsidRPr="00661B39">
        <w:rPr>
          <w:rFonts w:eastAsia="Times New Roman"/>
          <w:szCs w:val="24"/>
        </w:rPr>
        <w:t>2004 WL 734978, at *3</w:t>
      </w:r>
      <w:r w:rsidR="00B34D87" w:rsidRPr="00661B39">
        <w:rPr>
          <w:rFonts w:eastAsia="Times New Roman"/>
          <w:szCs w:val="24"/>
        </w:rPr>
        <w:fldChar w:fldCharType="begin"/>
      </w:r>
      <w:r w:rsidR="00824676" w:rsidRPr="00661B39">
        <w:rPr>
          <w:szCs w:val="24"/>
        </w:rPr>
        <w:instrText xml:space="preserve"> TA \s "Clayton v. Ameriquest Mortg. Co., No. 1:02CV415, 2004 WL 734978 (M.D.N.C. Apr. 5, 2004), aff’d, 117 F. App’x 301 (4th Cir. 2004)" </w:instrText>
      </w:r>
      <w:r w:rsidR="00B34D87" w:rsidRPr="00661B39">
        <w:rPr>
          <w:rFonts w:eastAsia="Times New Roman"/>
          <w:szCs w:val="24"/>
        </w:rPr>
        <w:fldChar w:fldCharType="end"/>
      </w:r>
      <w:r w:rsidRPr="00661B39">
        <w:rPr>
          <w:rFonts w:eastAsia="Times New Roman"/>
          <w:szCs w:val="24"/>
        </w:rPr>
        <w:t xml:space="preserve">; </w:t>
      </w:r>
      <w:r w:rsidRPr="00661B39">
        <w:rPr>
          <w:rFonts w:eastAsia="Times New Roman"/>
          <w:i/>
          <w:iCs/>
          <w:szCs w:val="24"/>
        </w:rPr>
        <w:t xml:space="preserve">Williams v. </w:t>
      </w:r>
      <w:proofErr w:type="spellStart"/>
      <w:r w:rsidRPr="00661B39">
        <w:rPr>
          <w:rFonts w:eastAsia="Times New Roman"/>
          <w:i/>
          <w:iCs/>
          <w:szCs w:val="24"/>
        </w:rPr>
        <w:t>Habul</w:t>
      </w:r>
      <w:proofErr w:type="spellEnd"/>
      <w:r w:rsidRPr="00661B39">
        <w:rPr>
          <w:rFonts w:eastAsia="Times New Roman"/>
          <w:szCs w:val="24"/>
        </w:rPr>
        <w:t>, 219 N.C. App. 281, 290, 724 S.E.2d 104, 110 (2012)</w:t>
      </w:r>
      <w:r w:rsidR="00B34D87" w:rsidRPr="00661B39">
        <w:rPr>
          <w:rFonts w:eastAsia="Times New Roman"/>
          <w:szCs w:val="24"/>
        </w:rPr>
        <w:fldChar w:fldCharType="begin"/>
      </w:r>
      <w:r w:rsidR="00824676" w:rsidRPr="00661B39">
        <w:rPr>
          <w:szCs w:val="24"/>
        </w:rPr>
        <w:instrText xml:space="preserve"> TA \l "</w:instrText>
      </w:r>
      <w:r w:rsidR="00824676" w:rsidRPr="00661B39">
        <w:rPr>
          <w:rFonts w:eastAsia="Times New Roman"/>
          <w:i/>
          <w:iCs/>
          <w:szCs w:val="24"/>
        </w:rPr>
        <w:instrText>Williams v. Habul</w:instrText>
      </w:r>
      <w:r w:rsidR="00824676" w:rsidRPr="00661B39">
        <w:rPr>
          <w:rFonts w:eastAsia="Times New Roman"/>
          <w:szCs w:val="24"/>
        </w:rPr>
        <w:instrText>, 219 N.C. App. 281, 724 S.E.2d 104 (2012)</w:instrText>
      </w:r>
      <w:r w:rsidR="00824676" w:rsidRPr="00661B39">
        <w:rPr>
          <w:szCs w:val="24"/>
        </w:rPr>
        <w:instrText xml:space="preserve">" \s "Williams v. Habul, 219 N.C. App. 281, 724 S.E.2d 104 (2012)" \c 1 </w:instrText>
      </w:r>
      <w:r w:rsidR="00B34D87" w:rsidRPr="00661B39">
        <w:rPr>
          <w:rFonts w:eastAsia="Times New Roman"/>
          <w:szCs w:val="24"/>
        </w:rPr>
        <w:fldChar w:fldCharType="end"/>
      </w:r>
      <w:r w:rsidRPr="00661B39">
        <w:rPr>
          <w:szCs w:val="24"/>
        </w:rPr>
        <w:t xml:space="preserve"> </w:t>
      </w:r>
      <w:r w:rsidRPr="00661B39">
        <w:rPr>
          <w:rFonts w:eastAsia="Times New Roman"/>
          <w:szCs w:val="24"/>
        </w:rPr>
        <w:t>(“The sole function [of specific performance] is to compel a party to do precisely what he ought to have done without being coerced by the court.”).</w:t>
      </w:r>
      <w:r w:rsidRPr="00661B39">
        <w:rPr>
          <w:color w:val="1F497D"/>
          <w:szCs w:val="24"/>
        </w:rPr>
        <w:t xml:space="preserve">  </w:t>
      </w:r>
    </w:p>
    <w:p w:rsidR="00E404BD" w:rsidRPr="00661B39" w:rsidRDefault="00D90A8A" w:rsidP="00D90A8A">
      <w:pPr>
        <w:spacing w:line="480" w:lineRule="auto"/>
        <w:ind w:firstLine="720"/>
        <w:jc w:val="both"/>
        <w:rPr>
          <w:color w:val="1F497D"/>
          <w:szCs w:val="24"/>
        </w:rPr>
      </w:pPr>
      <w:r w:rsidRPr="00661B39">
        <w:rPr>
          <w:rFonts w:eastAsia="Times New Roman"/>
          <w:szCs w:val="24"/>
        </w:rPr>
        <w:t xml:space="preserve">The Court may order monthly obligations to bring the State into compliance with the Agreement.  </w:t>
      </w:r>
      <w:r w:rsidRPr="00661B39">
        <w:rPr>
          <w:i/>
          <w:iCs/>
          <w:szCs w:val="24"/>
        </w:rPr>
        <w:t>See</w:t>
      </w:r>
      <w:r w:rsidRPr="00661B39">
        <w:rPr>
          <w:iCs/>
          <w:szCs w:val="24"/>
        </w:rPr>
        <w:t xml:space="preserve"> Restatement § 357 </w:t>
      </w:r>
      <w:proofErr w:type="spellStart"/>
      <w:r w:rsidRPr="00661B39">
        <w:rPr>
          <w:iCs/>
          <w:szCs w:val="24"/>
        </w:rPr>
        <w:t>cmt</w:t>
      </w:r>
      <w:proofErr w:type="spellEnd"/>
      <w:r w:rsidRPr="00661B39">
        <w:rPr>
          <w:iCs/>
          <w:szCs w:val="24"/>
        </w:rPr>
        <w:t>. a</w:t>
      </w:r>
      <w:r w:rsidR="00B34D87" w:rsidRPr="00661B39">
        <w:rPr>
          <w:iCs/>
          <w:szCs w:val="24"/>
        </w:rPr>
        <w:fldChar w:fldCharType="begin"/>
      </w:r>
      <w:r w:rsidR="00824676" w:rsidRPr="00661B39">
        <w:rPr>
          <w:szCs w:val="24"/>
        </w:rPr>
        <w:instrText xml:space="preserve"> TA \l "</w:instrText>
      </w:r>
      <w:r w:rsidR="00824676" w:rsidRPr="00661B39">
        <w:rPr>
          <w:iCs/>
          <w:szCs w:val="24"/>
        </w:rPr>
        <w:instrText xml:space="preserve">Restatement </w:instrText>
      </w:r>
      <w:r w:rsidR="00116B64" w:rsidRPr="00661B39">
        <w:rPr>
          <w:szCs w:val="24"/>
        </w:rPr>
        <w:instrText>(Second) of Contracts § 357 cmt. a (1981)</w:instrText>
      </w:r>
      <w:r w:rsidR="00824676" w:rsidRPr="00661B39">
        <w:rPr>
          <w:szCs w:val="24"/>
        </w:rPr>
        <w:instrText xml:space="preserve">" \s "Restatement (Second) of Contracts § 357 cmt. a (1981)" \c 3 </w:instrText>
      </w:r>
      <w:r w:rsidR="00B34D87" w:rsidRPr="00661B39">
        <w:rPr>
          <w:iCs/>
          <w:szCs w:val="24"/>
        </w:rPr>
        <w:fldChar w:fldCharType="end"/>
      </w:r>
      <w:r w:rsidRPr="00661B39">
        <w:rPr>
          <w:iCs/>
          <w:szCs w:val="24"/>
        </w:rPr>
        <w:t xml:space="preserve"> (</w:t>
      </w:r>
      <w:r w:rsidRPr="00661B39">
        <w:rPr>
          <w:rFonts w:eastAsia="Times New Roman"/>
          <w:bCs/>
          <w:szCs w:val="24"/>
        </w:rPr>
        <w:t xml:space="preserve">“An order of specific performance is intended to produce </w:t>
      </w:r>
      <w:r w:rsidRPr="00661B39">
        <w:rPr>
          <w:rFonts w:eastAsia="Times New Roman"/>
          <w:bCs/>
          <w:iCs/>
          <w:szCs w:val="24"/>
        </w:rPr>
        <w:t>as nearly as is practicable the same effect that the performance due under a contract would have produced</w:t>
      </w:r>
      <w:r w:rsidRPr="00661B39">
        <w:rPr>
          <w:rFonts w:eastAsia="Times New Roman"/>
          <w:bCs/>
          <w:i/>
          <w:iCs/>
          <w:szCs w:val="24"/>
        </w:rPr>
        <w:t>.</w:t>
      </w:r>
      <w:r w:rsidRPr="00661B39">
        <w:rPr>
          <w:rFonts w:eastAsia="Times New Roman"/>
          <w:bCs/>
          <w:szCs w:val="24"/>
        </w:rPr>
        <w:t>”)</w:t>
      </w:r>
      <w:r w:rsidRPr="00661B39">
        <w:rPr>
          <w:iCs/>
          <w:szCs w:val="24"/>
        </w:rPr>
        <w:t>; Restatement § </w:t>
      </w:r>
      <w:r w:rsidRPr="00661B39">
        <w:rPr>
          <w:rStyle w:val="Strong"/>
          <w:b w:val="0"/>
          <w:bCs w:val="0"/>
          <w:szCs w:val="24"/>
        </w:rPr>
        <w:t>358(1)</w:t>
      </w:r>
      <w:r w:rsidR="00B34D87" w:rsidRPr="00661B39">
        <w:rPr>
          <w:rStyle w:val="Strong"/>
          <w:b w:val="0"/>
          <w:bCs w:val="0"/>
          <w:szCs w:val="24"/>
        </w:rPr>
        <w:fldChar w:fldCharType="begin"/>
      </w:r>
      <w:r w:rsidR="00824676" w:rsidRPr="00661B39">
        <w:rPr>
          <w:szCs w:val="24"/>
        </w:rPr>
        <w:instrText xml:space="preserve"> TA \l "</w:instrText>
      </w:r>
      <w:r w:rsidR="008D3F3F" w:rsidRPr="008D3F3F">
        <w:rPr>
          <w:szCs w:val="24"/>
        </w:rPr>
        <w:instrText xml:space="preserve"> </w:instrText>
      </w:r>
      <w:r w:rsidR="008D3F3F" w:rsidRPr="00661B39">
        <w:rPr>
          <w:szCs w:val="24"/>
        </w:rPr>
        <w:instrText>Restatement (Second) of Contracts § 358(1) (1981)</w:instrText>
      </w:r>
      <w:r w:rsidR="00824676" w:rsidRPr="00661B39">
        <w:rPr>
          <w:szCs w:val="24"/>
        </w:rPr>
        <w:instrText xml:space="preserve">" \s "Restatement (Second) of Contracts § 358(1) (1981)" \c 3 </w:instrText>
      </w:r>
      <w:r w:rsidR="00B34D87" w:rsidRPr="00661B39">
        <w:rPr>
          <w:rStyle w:val="Strong"/>
          <w:b w:val="0"/>
          <w:bCs w:val="0"/>
          <w:szCs w:val="24"/>
        </w:rPr>
        <w:fldChar w:fldCharType="end"/>
      </w:r>
      <w:r w:rsidRPr="00661B39">
        <w:rPr>
          <w:rStyle w:val="Strong"/>
          <w:b w:val="0"/>
          <w:bCs w:val="0"/>
          <w:szCs w:val="24"/>
        </w:rPr>
        <w:t xml:space="preserve"> (“An order of specific performance . . . will be so drawn as best to effectuate the purposes for which the contract was made and on such terms as justice requires.  It need not be absolute in form and </w:t>
      </w:r>
      <w:r w:rsidRPr="00661B39">
        <w:rPr>
          <w:rStyle w:val="Strong"/>
          <w:b w:val="0"/>
          <w:szCs w:val="24"/>
        </w:rPr>
        <w:t>the performance that it requires need not be identical with that due under the contract.”);</w:t>
      </w:r>
      <w:r w:rsidRPr="00661B39">
        <w:rPr>
          <w:rStyle w:val="Strong"/>
          <w:szCs w:val="24"/>
        </w:rPr>
        <w:t xml:space="preserve"> </w:t>
      </w:r>
      <w:r w:rsidRPr="00661B39">
        <w:rPr>
          <w:i/>
          <w:iCs/>
          <w:szCs w:val="24"/>
        </w:rPr>
        <w:t>Castle v. Cohen</w:t>
      </w:r>
      <w:r w:rsidRPr="00661B39">
        <w:rPr>
          <w:szCs w:val="24"/>
        </w:rPr>
        <w:t>, 840 F.2d 173, 180 (3d Cir. 1998)</w:t>
      </w:r>
      <w:r w:rsidR="00B34D87" w:rsidRPr="00661B39">
        <w:rPr>
          <w:szCs w:val="24"/>
        </w:rPr>
        <w:fldChar w:fldCharType="begin"/>
      </w:r>
      <w:r w:rsidR="00824676" w:rsidRPr="00661B39">
        <w:rPr>
          <w:szCs w:val="24"/>
        </w:rPr>
        <w:instrText xml:space="preserve"> TA \l "</w:instrText>
      </w:r>
      <w:r w:rsidR="00824676" w:rsidRPr="00661B39">
        <w:rPr>
          <w:i/>
          <w:iCs/>
          <w:szCs w:val="24"/>
        </w:rPr>
        <w:instrText>Castle v. Cohen</w:instrText>
      </w:r>
      <w:r w:rsidR="00824676" w:rsidRPr="00661B39">
        <w:rPr>
          <w:szCs w:val="24"/>
        </w:rPr>
        <w:instrText xml:space="preserve">, 840 F.2d 173 (3d Cir. 1998)" \s "Castle v. Cohen, 840 F.2d 173, 180 (3d Cir. 1998)" \c 1 </w:instrText>
      </w:r>
      <w:r w:rsidR="00B34D87" w:rsidRPr="00661B39">
        <w:rPr>
          <w:szCs w:val="24"/>
        </w:rPr>
        <w:fldChar w:fldCharType="end"/>
      </w:r>
      <w:r w:rsidRPr="00661B39">
        <w:rPr>
          <w:szCs w:val="24"/>
        </w:rPr>
        <w:t xml:space="preserve"> (holding that a district court may “</w:t>
      </w:r>
      <w:r w:rsidRPr="00661B39">
        <w:rPr>
          <w:bCs/>
          <w:szCs w:val="24"/>
        </w:rPr>
        <w:t xml:space="preserve">modify its decree to incorporate any additional time necessary </w:t>
      </w:r>
      <w:r w:rsidRPr="00661B39">
        <w:rPr>
          <w:szCs w:val="24"/>
        </w:rPr>
        <w:t xml:space="preserve">. . . </w:t>
      </w:r>
      <w:r w:rsidRPr="00661B39">
        <w:rPr>
          <w:bCs/>
          <w:szCs w:val="24"/>
        </w:rPr>
        <w:t xml:space="preserve">to protect its own decree by providing a reasonable time for” performance); </w:t>
      </w:r>
      <w:r w:rsidRPr="00661B39">
        <w:rPr>
          <w:rFonts w:eastAsia="Times New Roman"/>
          <w:bCs/>
          <w:i/>
          <w:szCs w:val="24"/>
        </w:rPr>
        <w:t xml:space="preserve">Golf Resorts, Inc. v. </w:t>
      </w:r>
      <w:proofErr w:type="spellStart"/>
      <w:r w:rsidRPr="00661B39">
        <w:rPr>
          <w:rFonts w:eastAsia="Times New Roman"/>
          <w:bCs/>
          <w:i/>
          <w:szCs w:val="24"/>
        </w:rPr>
        <w:t>Peshak</w:t>
      </w:r>
      <w:proofErr w:type="spellEnd"/>
      <w:r w:rsidRPr="00661B39">
        <w:rPr>
          <w:rFonts w:eastAsia="Times New Roman"/>
          <w:bCs/>
          <w:szCs w:val="24"/>
        </w:rPr>
        <w:t xml:space="preserve">, </w:t>
      </w:r>
      <w:r w:rsidRPr="00661B39">
        <w:rPr>
          <w:szCs w:val="24"/>
        </w:rPr>
        <w:t xml:space="preserve">991 F.2d 799 (Table), 1993 WL 113722, at *7 </w:t>
      </w:r>
      <w:r w:rsidRPr="00661B39">
        <w:rPr>
          <w:rFonts w:eastAsia="Times New Roman"/>
          <w:bCs/>
          <w:szCs w:val="24"/>
        </w:rPr>
        <w:t>(7th Cir. Apr</w:t>
      </w:r>
      <w:r w:rsidR="002B010E">
        <w:rPr>
          <w:rFonts w:eastAsia="Times New Roman"/>
          <w:bCs/>
          <w:szCs w:val="24"/>
        </w:rPr>
        <w:t>.</w:t>
      </w:r>
      <w:r w:rsidRPr="00661B39">
        <w:rPr>
          <w:rFonts w:eastAsia="Times New Roman"/>
          <w:bCs/>
          <w:szCs w:val="24"/>
        </w:rPr>
        <w:t xml:space="preserve"> 13, 1993)</w:t>
      </w:r>
      <w:r w:rsidR="00B34D87" w:rsidRPr="00661B39">
        <w:rPr>
          <w:rFonts w:eastAsia="Times New Roman"/>
          <w:bCs/>
          <w:szCs w:val="24"/>
        </w:rPr>
        <w:fldChar w:fldCharType="begin"/>
      </w:r>
      <w:r w:rsidR="00572929" w:rsidRPr="00661B39">
        <w:rPr>
          <w:szCs w:val="24"/>
        </w:rPr>
        <w:instrText xml:space="preserve"> TA \l "</w:instrText>
      </w:r>
      <w:r w:rsidR="00572929" w:rsidRPr="00661B39">
        <w:rPr>
          <w:rFonts w:eastAsia="Times New Roman"/>
          <w:bCs/>
          <w:i/>
          <w:szCs w:val="24"/>
        </w:rPr>
        <w:instrText>Golf Resorts, Inc. v. Peshak</w:instrText>
      </w:r>
      <w:r w:rsidR="00572929" w:rsidRPr="00661B39">
        <w:rPr>
          <w:rFonts w:eastAsia="Times New Roman"/>
          <w:bCs/>
          <w:szCs w:val="24"/>
        </w:rPr>
        <w:instrText xml:space="preserve">, </w:instrText>
      </w:r>
      <w:r w:rsidR="00572929" w:rsidRPr="00661B39">
        <w:rPr>
          <w:szCs w:val="24"/>
        </w:rPr>
        <w:instrText xml:space="preserve">991 F.2d 799 (Table), 1993 WL 113722 </w:instrText>
      </w:r>
      <w:r w:rsidR="00572929" w:rsidRPr="00661B39">
        <w:rPr>
          <w:rFonts w:eastAsia="Times New Roman"/>
          <w:bCs/>
          <w:szCs w:val="24"/>
        </w:rPr>
        <w:instrText>(7th Cir. Apr</w:instrText>
      </w:r>
      <w:r w:rsidR="002B010E">
        <w:rPr>
          <w:rFonts w:eastAsia="Times New Roman"/>
          <w:bCs/>
          <w:szCs w:val="24"/>
        </w:rPr>
        <w:instrText>.</w:instrText>
      </w:r>
      <w:r w:rsidR="00572929" w:rsidRPr="00661B39">
        <w:rPr>
          <w:rFonts w:eastAsia="Times New Roman"/>
          <w:bCs/>
          <w:szCs w:val="24"/>
        </w:rPr>
        <w:instrText xml:space="preserve"> 13, 1993)</w:instrText>
      </w:r>
      <w:r w:rsidR="00572929" w:rsidRPr="00661B39">
        <w:rPr>
          <w:szCs w:val="24"/>
        </w:rPr>
        <w:instrText xml:space="preserve">" \s "Golf Resorts, Inc. v. Peshak, 991 F.2d 799 (Table), 1993 WL 113722, at *7 (7th Cir. April 13, 1993)" \c 1 </w:instrText>
      </w:r>
      <w:r w:rsidR="00B34D87" w:rsidRPr="00661B39">
        <w:rPr>
          <w:rFonts w:eastAsia="Times New Roman"/>
          <w:bCs/>
          <w:szCs w:val="24"/>
        </w:rPr>
        <w:fldChar w:fldCharType="end"/>
      </w:r>
      <w:r w:rsidRPr="00661B39">
        <w:rPr>
          <w:rFonts w:eastAsia="Times New Roman"/>
          <w:bCs/>
          <w:szCs w:val="24"/>
        </w:rPr>
        <w:t xml:space="preserve"> (unpublished) (noting that “[t]he</w:t>
      </w:r>
      <w:r w:rsidRPr="00661B39">
        <w:rPr>
          <w:rFonts w:eastAsia="Times New Roman"/>
          <w:szCs w:val="24"/>
        </w:rPr>
        <w:t xml:space="preserve"> specific performance order must necessarily include time, reasonable under the circumstances, for the [party] to perform”).</w:t>
      </w:r>
      <w:r w:rsidRPr="00661B39">
        <w:rPr>
          <w:color w:val="1F497D"/>
          <w:szCs w:val="24"/>
        </w:rPr>
        <w:t xml:space="preserve">  </w:t>
      </w:r>
    </w:p>
    <w:p w:rsidR="00745760" w:rsidRPr="00661B39" w:rsidRDefault="003F283F" w:rsidP="00D90A8A">
      <w:pPr>
        <w:spacing w:line="480" w:lineRule="auto"/>
        <w:ind w:firstLine="720"/>
        <w:jc w:val="both"/>
        <w:rPr>
          <w:rFonts w:eastAsia="Times New Roman"/>
          <w:szCs w:val="24"/>
        </w:rPr>
      </w:pPr>
      <w:r w:rsidRPr="00661B39">
        <w:rPr>
          <w:rFonts w:eastAsia="Times New Roman"/>
          <w:szCs w:val="24"/>
        </w:rPr>
        <w:t>A</w:t>
      </w:r>
      <w:r w:rsidR="00017AF6" w:rsidRPr="00661B39">
        <w:rPr>
          <w:rFonts w:eastAsia="Times New Roman"/>
          <w:szCs w:val="24"/>
        </w:rPr>
        <w:t xml:space="preserve"> schedule of monthly obligations is warranted</w:t>
      </w:r>
      <w:r w:rsidRPr="00661B39">
        <w:rPr>
          <w:rFonts w:eastAsia="Times New Roman"/>
          <w:szCs w:val="24"/>
        </w:rPr>
        <w:t xml:space="preserve"> because, based on past performance, </w:t>
      </w:r>
      <w:r w:rsidR="00E404BD" w:rsidRPr="00661B39">
        <w:rPr>
          <w:rFonts w:eastAsia="Times New Roman"/>
          <w:szCs w:val="24"/>
        </w:rPr>
        <w:t xml:space="preserve">it </w:t>
      </w:r>
      <w:r w:rsidRPr="00661B39">
        <w:rPr>
          <w:rFonts w:eastAsia="Times New Roman"/>
          <w:szCs w:val="24"/>
        </w:rPr>
        <w:t>is highly unlikely that</w:t>
      </w:r>
      <w:r w:rsidR="00E404BD" w:rsidRPr="00661B39">
        <w:rPr>
          <w:rFonts w:eastAsia="Times New Roman"/>
          <w:szCs w:val="24"/>
        </w:rPr>
        <w:t xml:space="preserve"> the State </w:t>
      </w:r>
      <w:r w:rsidRPr="00661B39">
        <w:rPr>
          <w:rFonts w:eastAsia="Times New Roman"/>
          <w:szCs w:val="24"/>
        </w:rPr>
        <w:t>could</w:t>
      </w:r>
      <w:r w:rsidR="00E404BD" w:rsidRPr="00661B39">
        <w:rPr>
          <w:rFonts w:eastAsia="Times New Roman"/>
          <w:szCs w:val="24"/>
        </w:rPr>
        <w:t xml:space="preserve"> comply with its July 2016 </w:t>
      </w:r>
      <w:r w:rsidR="007150B8" w:rsidRPr="00661B39">
        <w:rPr>
          <w:rFonts w:eastAsia="Times New Roman"/>
          <w:szCs w:val="24"/>
        </w:rPr>
        <w:t>housing and employment</w:t>
      </w:r>
      <w:r w:rsidR="0029145E" w:rsidRPr="00661B39">
        <w:rPr>
          <w:rFonts w:eastAsia="Times New Roman"/>
          <w:szCs w:val="24"/>
        </w:rPr>
        <w:t xml:space="preserve"> services</w:t>
      </w:r>
      <w:r w:rsidR="007150B8" w:rsidRPr="00661B39">
        <w:rPr>
          <w:rFonts w:eastAsia="Times New Roman"/>
          <w:szCs w:val="24"/>
        </w:rPr>
        <w:t xml:space="preserve"> </w:t>
      </w:r>
      <w:r w:rsidR="00E404BD" w:rsidRPr="00661B39">
        <w:rPr>
          <w:rFonts w:eastAsia="Times New Roman"/>
          <w:szCs w:val="24"/>
        </w:rPr>
        <w:t xml:space="preserve">obligations </w:t>
      </w:r>
      <w:r w:rsidR="00FD014F" w:rsidRPr="00661B39">
        <w:rPr>
          <w:rFonts w:eastAsia="Times New Roman"/>
          <w:szCs w:val="24"/>
        </w:rPr>
        <w:t xml:space="preserve">immediately or even </w:t>
      </w:r>
      <w:r w:rsidR="00E404BD" w:rsidRPr="00661B39">
        <w:rPr>
          <w:rFonts w:eastAsia="Times New Roman"/>
          <w:szCs w:val="24"/>
        </w:rPr>
        <w:t xml:space="preserve">within </w:t>
      </w:r>
      <w:r w:rsidRPr="00661B39">
        <w:rPr>
          <w:rFonts w:eastAsia="Times New Roman"/>
          <w:szCs w:val="24"/>
        </w:rPr>
        <w:t>thirty</w:t>
      </w:r>
      <w:r w:rsidR="00E404BD" w:rsidRPr="00661B39">
        <w:rPr>
          <w:rFonts w:eastAsia="Times New Roman"/>
          <w:szCs w:val="24"/>
        </w:rPr>
        <w:t xml:space="preserve"> days. </w:t>
      </w:r>
      <w:r w:rsidR="00D90A8A" w:rsidRPr="00661B39">
        <w:rPr>
          <w:rFonts w:eastAsia="Times New Roman"/>
          <w:szCs w:val="24"/>
        </w:rPr>
        <w:t xml:space="preserve"> </w:t>
      </w:r>
      <w:r w:rsidR="00FD014F" w:rsidRPr="00661B39">
        <w:rPr>
          <w:rFonts w:eastAsia="Times New Roman"/>
          <w:szCs w:val="24"/>
        </w:rPr>
        <w:t xml:space="preserve">Instead, </w:t>
      </w:r>
      <w:r w:rsidR="00677AE7" w:rsidRPr="00661B39">
        <w:rPr>
          <w:rFonts w:eastAsia="Times New Roman"/>
          <w:szCs w:val="24"/>
        </w:rPr>
        <w:t>r</w:t>
      </w:r>
      <w:r w:rsidR="00FD014F" w:rsidRPr="00661B39">
        <w:rPr>
          <w:rFonts w:eastAsia="Times New Roman"/>
          <w:szCs w:val="24"/>
        </w:rPr>
        <w:t xml:space="preserve">equiring the State </w:t>
      </w:r>
      <w:r w:rsidR="007150B8" w:rsidRPr="00661B39">
        <w:rPr>
          <w:rFonts w:eastAsia="Times New Roman"/>
          <w:szCs w:val="24"/>
        </w:rPr>
        <w:t xml:space="preserve">to </w:t>
      </w:r>
      <w:r w:rsidR="00FD014F" w:rsidRPr="00661B39">
        <w:rPr>
          <w:rFonts w:eastAsia="Times New Roman"/>
          <w:szCs w:val="24"/>
        </w:rPr>
        <w:t xml:space="preserve">meet its July 2016 obligations </w:t>
      </w:r>
      <w:r w:rsidR="009B7E17" w:rsidRPr="00661B39">
        <w:rPr>
          <w:rFonts w:eastAsia="Times New Roman"/>
          <w:szCs w:val="24"/>
        </w:rPr>
        <w:t>under</w:t>
      </w:r>
      <w:r w:rsidR="00FD014F" w:rsidRPr="00661B39">
        <w:rPr>
          <w:rFonts w:eastAsia="Times New Roman"/>
          <w:szCs w:val="24"/>
        </w:rPr>
        <w:t xml:space="preserve"> a schedule of </w:t>
      </w:r>
      <w:r w:rsidR="00D90A8A" w:rsidRPr="00661B39">
        <w:rPr>
          <w:rFonts w:eastAsia="Times New Roman"/>
          <w:szCs w:val="24"/>
        </w:rPr>
        <w:t xml:space="preserve">monthly obligations </w:t>
      </w:r>
      <w:r w:rsidR="00677AE7" w:rsidRPr="00661B39">
        <w:rPr>
          <w:rFonts w:eastAsia="Times New Roman"/>
          <w:szCs w:val="24"/>
        </w:rPr>
        <w:t>will</w:t>
      </w:r>
      <w:r w:rsidR="007150B8" w:rsidRPr="00661B39">
        <w:rPr>
          <w:rFonts w:eastAsia="Times New Roman"/>
          <w:szCs w:val="24"/>
        </w:rPr>
        <w:t xml:space="preserve"> </w:t>
      </w:r>
      <w:r w:rsidR="00677AE7" w:rsidRPr="00661B39">
        <w:rPr>
          <w:rFonts w:eastAsia="Times New Roman"/>
          <w:szCs w:val="24"/>
        </w:rPr>
        <w:t>increase the likelihood that</w:t>
      </w:r>
      <w:r w:rsidR="00FD014F" w:rsidRPr="00661B39">
        <w:rPr>
          <w:rFonts w:eastAsia="Times New Roman"/>
          <w:szCs w:val="24"/>
        </w:rPr>
        <w:t xml:space="preserve"> the State </w:t>
      </w:r>
      <w:r w:rsidR="00677AE7" w:rsidRPr="00661B39">
        <w:rPr>
          <w:rFonts w:eastAsia="Times New Roman"/>
          <w:szCs w:val="24"/>
        </w:rPr>
        <w:t xml:space="preserve">will </w:t>
      </w:r>
      <w:r w:rsidR="007150B8" w:rsidRPr="00661B39">
        <w:rPr>
          <w:rFonts w:eastAsia="Times New Roman"/>
          <w:szCs w:val="24"/>
        </w:rPr>
        <w:t>compl</w:t>
      </w:r>
      <w:r w:rsidR="00677AE7" w:rsidRPr="00661B39">
        <w:rPr>
          <w:rFonts w:eastAsia="Times New Roman"/>
          <w:szCs w:val="24"/>
        </w:rPr>
        <w:t>y</w:t>
      </w:r>
      <w:r w:rsidR="00FD014F" w:rsidRPr="00661B39">
        <w:rPr>
          <w:rFonts w:eastAsia="Times New Roman"/>
          <w:szCs w:val="24"/>
        </w:rPr>
        <w:t xml:space="preserve"> with its July 2016</w:t>
      </w:r>
      <w:r w:rsidR="00D32360" w:rsidRPr="00661B39">
        <w:rPr>
          <w:rFonts w:eastAsia="Times New Roman"/>
          <w:szCs w:val="24"/>
        </w:rPr>
        <w:t xml:space="preserve"> </w:t>
      </w:r>
      <w:r w:rsidR="00FD014F" w:rsidRPr="00661B39">
        <w:rPr>
          <w:rFonts w:eastAsia="Times New Roman"/>
          <w:szCs w:val="24"/>
        </w:rPr>
        <w:t>obligations in a timely manner and</w:t>
      </w:r>
      <w:r w:rsidR="007150B8" w:rsidRPr="00661B39">
        <w:rPr>
          <w:rFonts w:eastAsia="Times New Roman"/>
          <w:szCs w:val="24"/>
        </w:rPr>
        <w:t xml:space="preserve"> </w:t>
      </w:r>
      <w:r w:rsidR="00FD014F" w:rsidRPr="00661B39">
        <w:rPr>
          <w:rFonts w:eastAsia="Times New Roman"/>
          <w:szCs w:val="24"/>
        </w:rPr>
        <w:t>be</w:t>
      </w:r>
      <w:r w:rsidR="007150B8" w:rsidRPr="00661B39">
        <w:rPr>
          <w:rFonts w:eastAsia="Times New Roman"/>
          <w:szCs w:val="24"/>
        </w:rPr>
        <w:t xml:space="preserve"> </w:t>
      </w:r>
      <w:r w:rsidR="00E51D14" w:rsidRPr="00661B39">
        <w:rPr>
          <w:rFonts w:eastAsia="Times New Roman"/>
          <w:szCs w:val="24"/>
        </w:rPr>
        <w:t>fully</w:t>
      </w:r>
      <w:r w:rsidR="00677AE7" w:rsidRPr="00661B39">
        <w:rPr>
          <w:rFonts w:eastAsia="Times New Roman"/>
          <w:szCs w:val="24"/>
        </w:rPr>
        <w:t xml:space="preserve"> </w:t>
      </w:r>
      <w:r w:rsidR="00E51D14" w:rsidRPr="00661B39">
        <w:rPr>
          <w:rFonts w:eastAsia="Times New Roman"/>
          <w:szCs w:val="24"/>
        </w:rPr>
        <w:t>compliant</w:t>
      </w:r>
      <w:r w:rsidR="00017AF6" w:rsidRPr="00661B39">
        <w:rPr>
          <w:rFonts w:eastAsia="Times New Roman"/>
          <w:szCs w:val="24"/>
        </w:rPr>
        <w:t xml:space="preserve"> at </w:t>
      </w:r>
      <w:r w:rsidRPr="00661B39">
        <w:rPr>
          <w:rFonts w:eastAsia="Times New Roman"/>
          <w:szCs w:val="24"/>
        </w:rPr>
        <w:t xml:space="preserve">the </w:t>
      </w:r>
      <w:r w:rsidR="006843B5" w:rsidRPr="00661B39">
        <w:rPr>
          <w:rFonts w:eastAsia="Times New Roman"/>
          <w:szCs w:val="24"/>
        </w:rPr>
        <w:t>Agreement’s</w:t>
      </w:r>
      <w:r w:rsidRPr="00661B39">
        <w:rPr>
          <w:rFonts w:eastAsia="Times New Roman"/>
          <w:szCs w:val="24"/>
        </w:rPr>
        <w:t xml:space="preserve"> </w:t>
      </w:r>
      <w:r w:rsidR="00017AF6" w:rsidRPr="00661B39">
        <w:rPr>
          <w:rFonts w:eastAsia="Times New Roman"/>
          <w:szCs w:val="24"/>
        </w:rPr>
        <w:t>conclusion</w:t>
      </w:r>
      <w:r w:rsidRPr="00661B39">
        <w:rPr>
          <w:rFonts w:eastAsia="Times New Roman"/>
          <w:szCs w:val="24"/>
        </w:rPr>
        <w:t>,</w:t>
      </w:r>
      <w:r w:rsidR="00953FDB" w:rsidRPr="00661B39">
        <w:rPr>
          <w:rFonts w:eastAsia="Times New Roman"/>
          <w:szCs w:val="24"/>
        </w:rPr>
        <w:t xml:space="preserve"> </w:t>
      </w:r>
      <w:r w:rsidR="006843B5" w:rsidRPr="00661B39">
        <w:rPr>
          <w:rFonts w:eastAsia="Times New Roman"/>
          <w:szCs w:val="24"/>
        </w:rPr>
        <w:t>scheduled for</w:t>
      </w:r>
      <w:r w:rsidR="007150B8" w:rsidRPr="00661B39">
        <w:rPr>
          <w:rFonts w:eastAsia="Times New Roman"/>
          <w:szCs w:val="24"/>
        </w:rPr>
        <w:t xml:space="preserve"> 2020.</w:t>
      </w:r>
    </w:p>
    <w:p w:rsidR="00D90A8A" w:rsidRPr="00661B39" w:rsidRDefault="00681F5D" w:rsidP="00DB3719">
      <w:pPr>
        <w:spacing w:line="480" w:lineRule="auto"/>
        <w:ind w:firstLine="720"/>
        <w:jc w:val="both"/>
        <w:rPr>
          <w:rFonts w:eastAsia="Times New Roman"/>
          <w:szCs w:val="24"/>
        </w:rPr>
      </w:pPr>
      <w:r w:rsidRPr="00661B39">
        <w:rPr>
          <w:rFonts w:eastAsia="Times New Roman"/>
          <w:szCs w:val="24"/>
        </w:rPr>
        <w:t xml:space="preserve">The United States also respectfully requests that the Court </w:t>
      </w:r>
      <w:r w:rsidRPr="00661B39">
        <w:rPr>
          <w:szCs w:val="24"/>
        </w:rPr>
        <w:t>set quarterly status conferences at which the State must report on its progress toward compliance.</w:t>
      </w:r>
      <w:r w:rsidR="007150B8" w:rsidRPr="00661B39">
        <w:rPr>
          <w:rFonts w:eastAsia="Times New Roman"/>
          <w:szCs w:val="24"/>
        </w:rPr>
        <w:t xml:space="preserve"> </w:t>
      </w:r>
      <w:r w:rsidR="00FD014F" w:rsidRPr="00661B39">
        <w:rPr>
          <w:rFonts w:eastAsia="Times New Roman"/>
          <w:szCs w:val="24"/>
        </w:rPr>
        <w:t xml:space="preserve">  </w:t>
      </w:r>
    </w:p>
    <w:p w:rsidR="006A7506" w:rsidRDefault="006A7506" w:rsidP="006A7506">
      <w:pPr>
        <w:pStyle w:val="Heading1"/>
        <w:spacing w:line="240" w:lineRule="auto"/>
      </w:pPr>
    </w:p>
    <w:p w:rsidR="00D90A8A" w:rsidRPr="00661B39" w:rsidRDefault="006E60F8" w:rsidP="000E089D">
      <w:pPr>
        <w:pStyle w:val="Heading1"/>
      </w:pPr>
      <w:bookmarkStart w:id="20" w:name="_Toc471487561"/>
      <w:r w:rsidRPr="00661B39">
        <w:t>CONCLUSION</w:t>
      </w:r>
      <w:bookmarkEnd w:id="20"/>
    </w:p>
    <w:p w:rsidR="00745760" w:rsidRPr="00661B39" w:rsidRDefault="00745760" w:rsidP="00745760">
      <w:pPr>
        <w:autoSpaceDE w:val="0"/>
        <w:autoSpaceDN w:val="0"/>
        <w:adjustRightInd w:val="0"/>
        <w:spacing w:line="480" w:lineRule="auto"/>
        <w:ind w:firstLine="720"/>
        <w:jc w:val="both"/>
        <w:rPr>
          <w:szCs w:val="24"/>
        </w:rPr>
      </w:pPr>
      <w:r w:rsidRPr="00661B39">
        <w:rPr>
          <w:szCs w:val="24"/>
        </w:rPr>
        <w:t xml:space="preserve">For the foregoing reasons, the United States respectfully requests that the Court grant the Motion to Enforce the Settlement Agreement.  </w:t>
      </w:r>
    </w:p>
    <w:tbl>
      <w:tblPr>
        <w:tblpPr w:leftFromText="180" w:rightFromText="180" w:vertAnchor="text" w:horzAnchor="margin" w:tblpY="240"/>
        <w:tblW w:w="9594" w:type="dxa"/>
        <w:tblLook w:val="04A0"/>
      </w:tblPr>
      <w:tblGrid>
        <w:gridCol w:w="4540"/>
        <w:gridCol w:w="5054"/>
      </w:tblGrid>
      <w:tr w:rsidR="00745760" w:rsidRPr="00661B39" w:rsidTr="00745760">
        <w:trPr>
          <w:trHeight w:val="8106"/>
        </w:trPr>
        <w:tc>
          <w:tcPr>
            <w:tcW w:w="4540" w:type="dxa"/>
            <w:shd w:val="clear" w:color="auto" w:fill="auto"/>
          </w:tcPr>
          <w:p w:rsidR="00745760" w:rsidRPr="00661B39" w:rsidRDefault="003F2B3D" w:rsidP="00745760">
            <w:pPr>
              <w:rPr>
                <w:szCs w:val="24"/>
              </w:rPr>
            </w:pPr>
            <w:r>
              <w:rPr>
                <w:bCs/>
                <w:szCs w:val="24"/>
              </w:rPr>
              <w:t>Dated: January 9</w:t>
            </w:r>
            <w:r w:rsidR="00745760" w:rsidRPr="00661B39">
              <w:rPr>
                <w:szCs w:val="24"/>
              </w:rPr>
              <w:t>, 201</w:t>
            </w:r>
            <w:r w:rsidR="005271FF" w:rsidRPr="00661B39">
              <w:rPr>
                <w:szCs w:val="24"/>
              </w:rPr>
              <w:t>7</w:t>
            </w:r>
          </w:p>
          <w:p w:rsidR="00745760" w:rsidRDefault="00745760" w:rsidP="00745760">
            <w:pPr>
              <w:rPr>
                <w:szCs w:val="24"/>
              </w:rPr>
            </w:pPr>
          </w:p>
          <w:p w:rsidR="00470094" w:rsidRPr="00661B39" w:rsidRDefault="00470094" w:rsidP="00745760">
            <w:pPr>
              <w:rPr>
                <w:szCs w:val="24"/>
              </w:rPr>
            </w:pPr>
          </w:p>
          <w:p w:rsidR="00745760" w:rsidRPr="00661B39" w:rsidRDefault="00745760" w:rsidP="00745760">
            <w:pPr>
              <w:autoSpaceDE w:val="0"/>
              <w:autoSpaceDN w:val="0"/>
              <w:adjustRightInd w:val="0"/>
              <w:rPr>
                <w:szCs w:val="24"/>
              </w:rPr>
            </w:pPr>
            <w:r w:rsidRPr="00661B39">
              <w:rPr>
                <w:szCs w:val="24"/>
              </w:rPr>
              <w:t>JOHN STUART BRUCE</w:t>
            </w:r>
          </w:p>
          <w:p w:rsidR="00745760" w:rsidRPr="00661B39" w:rsidRDefault="00745760" w:rsidP="00745760">
            <w:pPr>
              <w:autoSpaceDE w:val="0"/>
              <w:autoSpaceDN w:val="0"/>
              <w:adjustRightInd w:val="0"/>
              <w:rPr>
                <w:szCs w:val="24"/>
              </w:rPr>
            </w:pPr>
            <w:r w:rsidRPr="00661B39">
              <w:rPr>
                <w:szCs w:val="24"/>
              </w:rPr>
              <w:t>United States Attorney</w:t>
            </w:r>
          </w:p>
          <w:p w:rsidR="00745760" w:rsidRPr="00661B39" w:rsidRDefault="00745760" w:rsidP="00745760">
            <w:pPr>
              <w:autoSpaceDE w:val="0"/>
              <w:autoSpaceDN w:val="0"/>
              <w:adjustRightInd w:val="0"/>
              <w:rPr>
                <w:szCs w:val="24"/>
              </w:rPr>
            </w:pPr>
            <w:r w:rsidRPr="00661B39">
              <w:rPr>
                <w:szCs w:val="24"/>
              </w:rPr>
              <w:t>Eastern District of North Carolina</w:t>
            </w: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i/>
                <w:iCs/>
                <w:szCs w:val="24"/>
                <w:u w:val="single"/>
              </w:rPr>
            </w:pPr>
            <w:r w:rsidRPr="00661B39">
              <w:rPr>
                <w:i/>
                <w:iCs/>
                <w:szCs w:val="24"/>
                <w:u w:val="single"/>
              </w:rPr>
              <w:t>/s/ G. Norman Acker III</w:t>
            </w:r>
            <w:r w:rsidRPr="00661B39">
              <w:rPr>
                <w:i/>
                <w:iCs/>
                <w:szCs w:val="24"/>
                <w:u w:val="single"/>
              </w:rPr>
              <w:tab/>
            </w:r>
            <w:r w:rsidRPr="00661B39">
              <w:rPr>
                <w:i/>
                <w:iCs/>
                <w:szCs w:val="24"/>
                <w:u w:val="single"/>
              </w:rPr>
              <w:tab/>
            </w:r>
          </w:p>
          <w:p w:rsidR="00745760" w:rsidRPr="00661B39" w:rsidRDefault="00745760" w:rsidP="00745760">
            <w:pPr>
              <w:autoSpaceDE w:val="0"/>
              <w:autoSpaceDN w:val="0"/>
              <w:adjustRightInd w:val="0"/>
              <w:rPr>
                <w:szCs w:val="24"/>
              </w:rPr>
            </w:pPr>
            <w:r w:rsidRPr="00661B39">
              <w:rPr>
                <w:szCs w:val="24"/>
              </w:rPr>
              <w:t>G. NORMAN ACKER III</w:t>
            </w:r>
          </w:p>
          <w:p w:rsidR="00745760" w:rsidRPr="00661B39" w:rsidRDefault="00745760" w:rsidP="00745760">
            <w:pPr>
              <w:autoSpaceDE w:val="0"/>
              <w:autoSpaceDN w:val="0"/>
              <w:adjustRightInd w:val="0"/>
              <w:rPr>
                <w:szCs w:val="24"/>
              </w:rPr>
            </w:pPr>
            <w:r w:rsidRPr="00661B39">
              <w:rPr>
                <w:szCs w:val="24"/>
              </w:rPr>
              <w:t>Assistant United States Attorney</w:t>
            </w:r>
          </w:p>
          <w:p w:rsidR="00745760" w:rsidRPr="00661B39" w:rsidRDefault="00745760" w:rsidP="00745760">
            <w:pPr>
              <w:autoSpaceDE w:val="0"/>
              <w:autoSpaceDN w:val="0"/>
              <w:adjustRightInd w:val="0"/>
              <w:rPr>
                <w:szCs w:val="24"/>
              </w:rPr>
            </w:pPr>
            <w:r w:rsidRPr="00661B39">
              <w:rPr>
                <w:szCs w:val="24"/>
              </w:rPr>
              <w:t>310 New Bern Avenue</w:t>
            </w:r>
          </w:p>
          <w:p w:rsidR="00745760" w:rsidRPr="00661B39" w:rsidRDefault="00745760" w:rsidP="00745760">
            <w:pPr>
              <w:autoSpaceDE w:val="0"/>
              <w:autoSpaceDN w:val="0"/>
              <w:adjustRightInd w:val="0"/>
              <w:rPr>
                <w:szCs w:val="24"/>
              </w:rPr>
            </w:pPr>
            <w:r w:rsidRPr="00661B39">
              <w:rPr>
                <w:szCs w:val="24"/>
              </w:rPr>
              <w:t>Federal Building, Suite 800</w:t>
            </w:r>
          </w:p>
          <w:p w:rsidR="00745760" w:rsidRPr="00661B39" w:rsidRDefault="00745760" w:rsidP="00745760">
            <w:pPr>
              <w:autoSpaceDE w:val="0"/>
              <w:autoSpaceDN w:val="0"/>
              <w:adjustRightInd w:val="0"/>
              <w:rPr>
                <w:szCs w:val="24"/>
              </w:rPr>
            </w:pPr>
            <w:r w:rsidRPr="00661B39">
              <w:rPr>
                <w:szCs w:val="24"/>
              </w:rPr>
              <w:t>Telephone: (919) 856-4530</w:t>
            </w:r>
          </w:p>
          <w:p w:rsidR="00745760" w:rsidRPr="00661B39" w:rsidRDefault="00745760" w:rsidP="00745760">
            <w:pPr>
              <w:autoSpaceDE w:val="0"/>
              <w:autoSpaceDN w:val="0"/>
              <w:adjustRightInd w:val="0"/>
              <w:rPr>
                <w:szCs w:val="24"/>
              </w:rPr>
            </w:pPr>
            <w:r w:rsidRPr="00661B39">
              <w:rPr>
                <w:szCs w:val="24"/>
              </w:rPr>
              <w:t>Facsimile: (919) 856-4821</w:t>
            </w:r>
          </w:p>
          <w:p w:rsidR="00745760" w:rsidRPr="00661B39" w:rsidRDefault="00B34D87" w:rsidP="00745760">
            <w:pPr>
              <w:rPr>
                <w:szCs w:val="24"/>
              </w:rPr>
            </w:pPr>
            <w:hyperlink r:id="rId17" w:history="1">
              <w:r w:rsidR="00745760" w:rsidRPr="00661B39">
                <w:rPr>
                  <w:rStyle w:val="Hyperlink"/>
                  <w:color w:val="auto"/>
                  <w:szCs w:val="24"/>
                  <w:u w:val="none"/>
                </w:rPr>
                <w:t>Norman.Acker@usdoj.gov</w:t>
              </w:r>
            </w:hyperlink>
          </w:p>
          <w:p w:rsidR="00745760" w:rsidRPr="00661B39" w:rsidRDefault="00745760" w:rsidP="00745760">
            <w:pPr>
              <w:rPr>
                <w:szCs w:val="24"/>
              </w:rPr>
            </w:pPr>
            <w:r w:rsidRPr="00661B39">
              <w:rPr>
                <w:szCs w:val="24"/>
              </w:rPr>
              <w:t>N.C. Bar No. 12839</w:t>
            </w:r>
          </w:p>
        </w:tc>
        <w:tc>
          <w:tcPr>
            <w:tcW w:w="5054" w:type="dxa"/>
            <w:shd w:val="clear" w:color="auto" w:fill="auto"/>
          </w:tcPr>
          <w:p w:rsidR="00745760" w:rsidRPr="00661B39" w:rsidRDefault="00745760" w:rsidP="00745760">
            <w:pPr>
              <w:autoSpaceDE w:val="0"/>
              <w:autoSpaceDN w:val="0"/>
              <w:adjustRightInd w:val="0"/>
              <w:rPr>
                <w:bCs/>
                <w:szCs w:val="24"/>
              </w:rPr>
            </w:pPr>
            <w:r w:rsidRPr="00661B39">
              <w:rPr>
                <w:bCs/>
                <w:szCs w:val="24"/>
              </w:rPr>
              <w:t>Respectfully submitted,</w:t>
            </w:r>
          </w:p>
          <w:p w:rsidR="00745760" w:rsidRDefault="00745760" w:rsidP="00745760">
            <w:pPr>
              <w:autoSpaceDE w:val="0"/>
              <w:autoSpaceDN w:val="0"/>
              <w:adjustRightInd w:val="0"/>
              <w:rPr>
                <w:bCs/>
                <w:szCs w:val="24"/>
              </w:rPr>
            </w:pPr>
          </w:p>
          <w:p w:rsidR="00470094" w:rsidRPr="00661B39" w:rsidRDefault="00470094" w:rsidP="00745760">
            <w:pPr>
              <w:autoSpaceDE w:val="0"/>
              <w:autoSpaceDN w:val="0"/>
              <w:adjustRightInd w:val="0"/>
              <w:rPr>
                <w:bCs/>
                <w:szCs w:val="24"/>
              </w:rPr>
            </w:pPr>
          </w:p>
          <w:p w:rsidR="00745760" w:rsidRPr="00661B39" w:rsidRDefault="00745760" w:rsidP="00745760">
            <w:pPr>
              <w:autoSpaceDE w:val="0"/>
              <w:autoSpaceDN w:val="0"/>
              <w:adjustRightInd w:val="0"/>
              <w:rPr>
                <w:szCs w:val="24"/>
              </w:rPr>
            </w:pPr>
            <w:r w:rsidRPr="00661B39">
              <w:rPr>
                <w:szCs w:val="24"/>
              </w:rPr>
              <w:t>VANITA GUPTA</w:t>
            </w:r>
          </w:p>
          <w:p w:rsidR="00745760" w:rsidRPr="00661B39" w:rsidRDefault="00745760" w:rsidP="00745760">
            <w:pPr>
              <w:autoSpaceDE w:val="0"/>
              <w:autoSpaceDN w:val="0"/>
              <w:adjustRightInd w:val="0"/>
              <w:rPr>
                <w:szCs w:val="24"/>
              </w:rPr>
            </w:pPr>
            <w:r w:rsidRPr="00661B39">
              <w:rPr>
                <w:szCs w:val="24"/>
              </w:rPr>
              <w:t>Principal Deputy Assistant Attorney General</w:t>
            </w: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r w:rsidRPr="00661B39">
              <w:rPr>
                <w:szCs w:val="24"/>
              </w:rPr>
              <w:t>EVE L. HILL</w:t>
            </w:r>
          </w:p>
          <w:p w:rsidR="00745760" w:rsidRPr="00661B39" w:rsidRDefault="00745760" w:rsidP="00745760">
            <w:pPr>
              <w:autoSpaceDE w:val="0"/>
              <w:autoSpaceDN w:val="0"/>
              <w:adjustRightInd w:val="0"/>
              <w:rPr>
                <w:szCs w:val="24"/>
              </w:rPr>
            </w:pPr>
            <w:r w:rsidRPr="00661B39">
              <w:rPr>
                <w:szCs w:val="24"/>
              </w:rPr>
              <w:t>Deputy Assistant Attorney General</w:t>
            </w: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szCs w:val="24"/>
              </w:rPr>
            </w:pPr>
            <w:r w:rsidRPr="00661B39">
              <w:rPr>
                <w:szCs w:val="24"/>
              </w:rPr>
              <w:t>REBECCA B. BOND</w:t>
            </w:r>
          </w:p>
          <w:p w:rsidR="00745760" w:rsidRPr="00661B39" w:rsidRDefault="00745760" w:rsidP="00745760">
            <w:pPr>
              <w:autoSpaceDE w:val="0"/>
              <w:autoSpaceDN w:val="0"/>
              <w:adjustRightInd w:val="0"/>
              <w:rPr>
                <w:szCs w:val="24"/>
              </w:rPr>
            </w:pPr>
            <w:r w:rsidRPr="00661B39">
              <w:rPr>
                <w:szCs w:val="24"/>
              </w:rPr>
              <w:t>Chief</w:t>
            </w:r>
          </w:p>
          <w:p w:rsidR="00745760" w:rsidRPr="00661B39" w:rsidRDefault="00745760" w:rsidP="00745760">
            <w:pPr>
              <w:autoSpaceDE w:val="0"/>
              <w:autoSpaceDN w:val="0"/>
              <w:adjustRightInd w:val="0"/>
              <w:rPr>
                <w:szCs w:val="24"/>
              </w:rPr>
            </w:pPr>
            <w:r w:rsidRPr="00661B39">
              <w:rPr>
                <w:szCs w:val="24"/>
              </w:rPr>
              <w:t>ANNE S. RAISH</w:t>
            </w:r>
          </w:p>
          <w:p w:rsidR="00745760" w:rsidRPr="00661B39" w:rsidRDefault="00745760" w:rsidP="00745760">
            <w:pPr>
              <w:rPr>
                <w:szCs w:val="24"/>
              </w:rPr>
            </w:pPr>
            <w:r w:rsidRPr="00661B39">
              <w:rPr>
                <w:szCs w:val="24"/>
              </w:rPr>
              <w:t>Principal Deputy Chief</w:t>
            </w:r>
          </w:p>
          <w:p w:rsidR="00745760" w:rsidRPr="00661B39" w:rsidRDefault="00745760" w:rsidP="00745760">
            <w:pPr>
              <w:rPr>
                <w:szCs w:val="24"/>
              </w:rPr>
            </w:pPr>
            <w:r w:rsidRPr="00661B39">
              <w:rPr>
                <w:szCs w:val="24"/>
              </w:rPr>
              <w:t>ELIZABETH S. WESTFALL</w:t>
            </w:r>
          </w:p>
          <w:p w:rsidR="00745760" w:rsidRPr="00661B39" w:rsidRDefault="00745760" w:rsidP="00745760">
            <w:pPr>
              <w:rPr>
                <w:szCs w:val="24"/>
              </w:rPr>
            </w:pPr>
            <w:r w:rsidRPr="00661B39">
              <w:rPr>
                <w:szCs w:val="24"/>
              </w:rPr>
              <w:t>Deputy Chief</w:t>
            </w:r>
          </w:p>
          <w:p w:rsidR="00745760" w:rsidRPr="00661B39" w:rsidRDefault="00745760" w:rsidP="00745760">
            <w:pPr>
              <w:rPr>
                <w:szCs w:val="24"/>
              </w:rPr>
            </w:pPr>
          </w:p>
          <w:p w:rsidR="00745760" w:rsidRPr="00661B39" w:rsidRDefault="00745760" w:rsidP="00745760">
            <w:pPr>
              <w:autoSpaceDE w:val="0"/>
              <w:autoSpaceDN w:val="0"/>
              <w:adjustRightInd w:val="0"/>
              <w:rPr>
                <w:szCs w:val="24"/>
              </w:rPr>
            </w:pPr>
            <w:r w:rsidRPr="00661B39">
              <w:rPr>
                <w:i/>
                <w:iCs/>
                <w:szCs w:val="24"/>
                <w:u w:val="single"/>
              </w:rPr>
              <w:t xml:space="preserve">/s/ </w:t>
            </w:r>
            <w:r w:rsidR="005865B8">
              <w:rPr>
                <w:i/>
                <w:iCs/>
                <w:szCs w:val="24"/>
                <w:u w:val="single"/>
              </w:rPr>
              <w:t>Julia Graff</w:t>
            </w:r>
            <w:r w:rsidRPr="00661B39">
              <w:rPr>
                <w:szCs w:val="24"/>
                <w:u w:val="single"/>
              </w:rPr>
              <w:t>                              </w:t>
            </w:r>
            <w:r w:rsidRPr="00661B39">
              <w:rPr>
                <w:szCs w:val="24"/>
                <w:u w:val="single"/>
              </w:rPr>
              <w:br/>
            </w:r>
            <w:r w:rsidRPr="00661B39">
              <w:rPr>
                <w:szCs w:val="24"/>
              </w:rPr>
              <w:t xml:space="preserve">JULIA </w:t>
            </w:r>
            <w:r w:rsidR="001C1976" w:rsidRPr="00661B39">
              <w:rPr>
                <w:szCs w:val="24"/>
              </w:rPr>
              <w:t xml:space="preserve">M. </w:t>
            </w:r>
            <w:r w:rsidRPr="00661B39">
              <w:rPr>
                <w:szCs w:val="24"/>
              </w:rPr>
              <w:t>GRAFF</w:t>
            </w:r>
          </w:p>
          <w:p w:rsidR="00745760" w:rsidRPr="00661B39" w:rsidRDefault="00745760" w:rsidP="00745760">
            <w:pPr>
              <w:autoSpaceDE w:val="0"/>
              <w:autoSpaceDN w:val="0"/>
              <w:adjustRightInd w:val="0"/>
              <w:rPr>
                <w:szCs w:val="24"/>
              </w:rPr>
            </w:pPr>
            <w:r w:rsidRPr="00661B39">
              <w:rPr>
                <w:szCs w:val="24"/>
              </w:rPr>
              <w:t xml:space="preserve">TERESA YEH </w:t>
            </w:r>
          </w:p>
          <w:p w:rsidR="00745760" w:rsidRPr="00661B39" w:rsidRDefault="00745760" w:rsidP="00745760">
            <w:pPr>
              <w:autoSpaceDE w:val="0"/>
              <w:autoSpaceDN w:val="0"/>
              <w:adjustRightInd w:val="0"/>
              <w:rPr>
                <w:szCs w:val="24"/>
              </w:rPr>
            </w:pPr>
            <w:r w:rsidRPr="00661B39">
              <w:rPr>
                <w:szCs w:val="24"/>
              </w:rPr>
              <w:t>Trial Attorneys</w:t>
            </w:r>
          </w:p>
          <w:p w:rsidR="00745760" w:rsidRPr="00661B39" w:rsidRDefault="00745760" w:rsidP="00745760">
            <w:pPr>
              <w:autoSpaceDE w:val="0"/>
              <w:autoSpaceDN w:val="0"/>
              <w:adjustRightInd w:val="0"/>
              <w:rPr>
                <w:szCs w:val="24"/>
              </w:rPr>
            </w:pPr>
            <w:r w:rsidRPr="00661B39">
              <w:rPr>
                <w:szCs w:val="24"/>
              </w:rPr>
              <w:t>Disability Rights Section</w:t>
            </w:r>
          </w:p>
          <w:p w:rsidR="00745760" w:rsidRPr="00661B39" w:rsidRDefault="00745760" w:rsidP="00745760">
            <w:pPr>
              <w:autoSpaceDE w:val="0"/>
              <w:autoSpaceDN w:val="0"/>
              <w:adjustRightInd w:val="0"/>
              <w:rPr>
                <w:szCs w:val="24"/>
              </w:rPr>
            </w:pPr>
            <w:r w:rsidRPr="00661B39">
              <w:rPr>
                <w:szCs w:val="24"/>
              </w:rPr>
              <w:t>Civil Rights Division</w:t>
            </w:r>
          </w:p>
          <w:p w:rsidR="00745760" w:rsidRPr="00661B39" w:rsidRDefault="00745760" w:rsidP="00745760">
            <w:pPr>
              <w:autoSpaceDE w:val="0"/>
              <w:autoSpaceDN w:val="0"/>
              <w:adjustRightInd w:val="0"/>
              <w:rPr>
                <w:szCs w:val="24"/>
              </w:rPr>
            </w:pPr>
            <w:r w:rsidRPr="00661B39">
              <w:rPr>
                <w:szCs w:val="24"/>
              </w:rPr>
              <w:t>U.S. Department of Justice</w:t>
            </w:r>
          </w:p>
          <w:p w:rsidR="00745760" w:rsidRPr="00661B39" w:rsidRDefault="00745760" w:rsidP="00745760">
            <w:pPr>
              <w:autoSpaceDE w:val="0"/>
              <w:autoSpaceDN w:val="0"/>
              <w:adjustRightInd w:val="0"/>
              <w:rPr>
                <w:szCs w:val="24"/>
              </w:rPr>
            </w:pPr>
            <w:r w:rsidRPr="00661B39">
              <w:rPr>
                <w:szCs w:val="24"/>
              </w:rPr>
              <w:t>950 Pennsylvania Avenue, N.W. - NYA</w:t>
            </w:r>
          </w:p>
          <w:p w:rsidR="00745760" w:rsidRPr="00661B39" w:rsidRDefault="00745760" w:rsidP="00745760">
            <w:pPr>
              <w:autoSpaceDE w:val="0"/>
              <w:autoSpaceDN w:val="0"/>
              <w:adjustRightInd w:val="0"/>
              <w:rPr>
                <w:szCs w:val="24"/>
              </w:rPr>
            </w:pPr>
            <w:r w:rsidRPr="00661B39">
              <w:rPr>
                <w:szCs w:val="24"/>
              </w:rPr>
              <w:t>Washington, D.C. 20530</w:t>
            </w:r>
          </w:p>
          <w:p w:rsidR="00745760" w:rsidRPr="00661B39" w:rsidRDefault="00745760" w:rsidP="00745760">
            <w:pPr>
              <w:autoSpaceDE w:val="0"/>
              <w:autoSpaceDN w:val="0"/>
              <w:adjustRightInd w:val="0"/>
              <w:rPr>
                <w:szCs w:val="24"/>
              </w:rPr>
            </w:pPr>
            <w:r w:rsidRPr="00661B39">
              <w:rPr>
                <w:szCs w:val="24"/>
              </w:rPr>
              <w:t>Telephone: (202) 616-</w:t>
            </w:r>
            <w:r w:rsidR="005865B8">
              <w:rPr>
                <w:szCs w:val="24"/>
              </w:rPr>
              <w:t>5319</w:t>
            </w:r>
          </w:p>
          <w:p w:rsidR="00745760" w:rsidRPr="00661B39" w:rsidRDefault="00745760" w:rsidP="00745760">
            <w:pPr>
              <w:autoSpaceDE w:val="0"/>
              <w:autoSpaceDN w:val="0"/>
              <w:adjustRightInd w:val="0"/>
              <w:rPr>
                <w:szCs w:val="24"/>
              </w:rPr>
            </w:pPr>
            <w:r w:rsidRPr="00661B39">
              <w:rPr>
                <w:szCs w:val="24"/>
              </w:rPr>
              <w:t xml:space="preserve">Facsimile: (202) </w:t>
            </w:r>
            <w:r w:rsidR="005865B8">
              <w:rPr>
                <w:szCs w:val="24"/>
              </w:rPr>
              <w:t>514-7821</w:t>
            </w:r>
          </w:p>
          <w:p w:rsidR="00745760" w:rsidRPr="00661B39" w:rsidRDefault="005865B8" w:rsidP="00745760">
            <w:pPr>
              <w:autoSpaceDE w:val="0"/>
              <w:autoSpaceDN w:val="0"/>
              <w:adjustRightInd w:val="0"/>
              <w:rPr>
                <w:szCs w:val="24"/>
              </w:rPr>
            </w:pPr>
            <w:r>
              <w:rPr>
                <w:szCs w:val="24"/>
              </w:rPr>
              <w:t>julia.graff</w:t>
            </w:r>
            <w:r w:rsidR="00745760" w:rsidRPr="00661B39">
              <w:rPr>
                <w:szCs w:val="24"/>
              </w:rPr>
              <w:t>@usdoj.gov</w:t>
            </w:r>
          </w:p>
          <w:p w:rsidR="00745760" w:rsidRPr="00661B39" w:rsidRDefault="00745760" w:rsidP="00745760">
            <w:pPr>
              <w:autoSpaceDE w:val="0"/>
              <w:autoSpaceDN w:val="0"/>
              <w:adjustRightInd w:val="0"/>
              <w:rPr>
                <w:szCs w:val="24"/>
              </w:rPr>
            </w:pPr>
          </w:p>
          <w:p w:rsidR="00745760" w:rsidRPr="00661B39" w:rsidRDefault="00745760" w:rsidP="00745760">
            <w:pPr>
              <w:autoSpaceDE w:val="0"/>
              <w:autoSpaceDN w:val="0"/>
              <w:adjustRightInd w:val="0"/>
              <w:rPr>
                <w:i/>
                <w:szCs w:val="24"/>
              </w:rPr>
            </w:pPr>
            <w:r w:rsidRPr="00661B39">
              <w:rPr>
                <w:i/>
                <w:szCs w:val="24"/>
              </w:rPr>
              <w:t>Counsel for Plaintiff United States of America</w:t>
            </w:r>
          </w:p>
        </w:tc>
      </w:tr>
    </w:tbl>
    <w:p w:rsidR="00745760" w:rsidRPr="00661B39" w:rsidRDefault="00745760" w:rsidP="00745760">
      <w:pPr>
        <w:spacing w:line="480" w:lineRule="auto"/>
        <w:rPr>
          <w:szCs w:val="24"/>
        </w:rPr>
      </w:pPr>
    </w:p>
    <w:p w:rsidR="00A36D00" w:rsidRPr="00661B39" w:rsidRDefault="00A36D00" w:rsidP="00A36D00">
      <w:pPr>
        <w:ind w:left="2160" w:firstLine="720"/>
        <w:rPr>
          <w:szCs w:val="24"/>
        </w:rPr>
        <w:sectPr w:rsidR="00A36D00" w:rsidRPr="00661B39" w:rsidSect="002B0CA3">
          <w:pgSz w:w="12240" w:h="15840"/>
          <w:pgMar w:top="1440" w:right="1440" w:bottom="1440" w:left="1440" w:header="720" w:footer="720" w:gutter="0"/>
          <w:pgNumType w:start="1"/>
          <w:cols w:space="720"/>
          <w:docGrid w:linePitch="360"/>
        </w:sectPr>
      </w:pPr>
    </w:p>
    <w:p w:rsidR="00FB6363" w:rsidRPr="00661B39" w:rsidRDefault="00FB6363" w:rsidP="00FB6363">
      <w:pPr>
        <w:jc w:val="center"/>
        <w:rPr>
          <w:szCs w:val="24"/>
        </w:rPr>
      </w:pPr>
      <w:r w:rsidRPr="00661B39">
        <w:rPr>
          <w:szCs w:val="24"/>
        </w:rPr>
        <w:t>UNITED STATES DISTRICT COURT</w:t>
      </w:r>
    </w:p>
    <w:p w:rsidR="00FB6363" w:rsidRPr="00661B39" w:rsidRDefault="00FB6363" w:rsidP="00FB6363">
      <w:pPr>
        <w:jc w:val="center"/>
        <w:rPr>
          <w:szCs w:val="24"/>
        </w:rPr>
      </w:pPr>
      <w:r w:rsidRPr="00661B39">
        <w:rPr>
          <w:szCs w:val="24"/>
        </w:rPr>
        <w:t>FOR THE EASTERN DISTRICT OF NORTH CAROLINA</w:t>
      </w:r>
    </w:p>
    <w:p w:rsidR="00FB6363" w:rsidRPr="00661B39" w:rsidRDefault="00FB6363" w:rsidP="00FB6363">
      <w:pPr>
        <w:jc w:val="center"/>
        <w:rPr>
          <w:szCs w:val="24"/>
        </w:rPr>
      </w:pPr>
      <w:r w:rsidRPr="00661B39">
        <w:rPr>
          <w:szCs w:val="24"/>
        </w:rPr>
        <w:t>WESTERN DIVISION</w:t>
      </w:r>
    </w:p>
    <w:p w:rsidR="00FB6363" w:rsidRPr="00661B39" w:rsidRDefault="00FB6363" w:rsidP="00FB6363">
      <w:pPr>
        <w:jc w:val="both"/>
        <w:rPr>
          <w:b/>
          <w:szCs w:val="24"/>
          <w:u w:val="single"/>
        </w:rPr>
      </w:pPr>
    </w:p>
    <w:p w:rsidR="00FB6363" w:rsidRPr="00661B39" w:rsidRDefault="00B34D87" w:rsidP="00FB6363">
      <w:pPr>
        <w:jc w:val="both"/>
        <w:rPr>
          <w:b/>
          <w:szCs w:val="24"/>
          <w:u w:val="single"/>
        </w:rPr>
      </w:pPr>
      <w:r w:rsidRPr="00B34D87">
        <w:rPr>
          <w:noProof/>
          <w:szCs w:val="24"/>
        </w:rPr>
        <w:pict>
          <v:shape id="AutoShape 8" o:spid="_x0000_s1028" type="#_x0000_t32" style="position:absolute;left:0;text-align:left;margin-left:236.75pt;margin-top:12.5pt;width:.05pt;height:1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IGIgIAAD0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"/>
        </w:pict>
      </w:r>
    </w:p>
    <w:p w:rsidR="00FB6363" w:rsidRPr="00661B39" w:rsidRDefault="00FB6363" w:rsidP="00FB636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t xml:space="preserve">                                    </w:t>
      </w:r>
    </w:p>
    <w:p w:rsidR="00FB6363" w:rsidRPr="00661B39" w:rsidRDefault="00FB6363" w:rsidP="00FB6363">
      <w:pPr>
        <w:jc w:val="both"/>
        <w:rPr>
          <w:szCs w:val="24"/>
        </w:rPr>
      </w:pPr>
      <w:r w:rsidRPr="00661B39">
        <w:rPr>
          <w:szCs w:val="24"/>
        </w:rPr>
        <w:t>THE UNITED STATES OF AMERICA,</w:t>
      </w:r>
      <w:r w:rsidRPr="00661B39">
        <w:rPr>
          <w:szCs w:val="24"/>
        </w:rPr>
        <w:tab/>
        <w:t xml:space="preserve">                        </w:t>
      </w:r>
      <w:r w:rsidRPr="00661B39">
        <w:rPr>
          <w:szCs w:val="24"/>
        </w:rPr>
        <w:tab/>
      </w:r>
    </w:p>
    <w:p w:rsidR="00FB6363" w:rsidRPr="00661B39" w:rsidRDefault="00FB6363" w:rsidP="00FB636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 xml:space="preserve">                        </w:t>
      </w:r>
    </w:p>
    <w:p w:rsidR="00FB6363" w:rsidRPr="00661B39" w:rsidRDefault="00FB6363" w:rsidP="00FB6363">
      <w:pPr>
        <w:tabs>
          <w:tab w:val="left" w:pos="720"/>
          <w:tab w:val="left" w:pos="1440"/>
          <w:tab w:val="left" w:pos="2160"/>
          <w:tab w:val="left" w:pos="2880"/>
          <w:tab w:val="left" w:pos="3600"/>
          <w:tab w:val="left" w:pos="4320"/>
          <w:tab w:val="left" w:pos="6390"/>
        </w:tabs>
        <w:jc w:val="both"/>
        <w:rPr>
          <w:szCs w:val="24"/>
        </w:rPr>
      </w:pPr>
      <w:r w:rsidRPr="00661B39">
        <w:rPr>
          <w:szCs w:val="24"/>
        </w:rPr>
        <w:tab/>
      </w:r>
      <w:r w:rsidRPr="00661B39">
        <w:rPr>
          <w:szCs w:val="24"/>
        </w:rPr>
        <w:tab/>
      </w:r>
      <w:r w:rsidRPr="00661B39">
        <w:rPr>
          <w:szCs w:val="24"/>
        </w:rPr>
        <w:tab/>
        <w:t>Plaintiff,</w:t>
      </w:r>
      <w:r w:rsidRPr="00661B39">
        <w:rPr>
          <w:szCs w:val="24"/>
        </w:rPr>
        <w:tab/>
      </w:r>
      <w:r w:rsidRPr="00661B39">
        <w:rPr>
          <w:szCs w:val="24"/>
        </w:rPr>
        <w:tab/>
        <w:t xml:space="preserve">                        </w:t>
      </w:r>
      <w:r w:rsidRPr="00661B39">
        <w:rPr>
          <w:szCs w:val="24"/>
        </w:rPr>
        <w:tab/>
      </w:r>
    </w:p>
    <w:p w:rsidR="00FB6363" w:rsidRPr="00661B39" w:rsidRDefault="00FB6363" w:rsidP="00FB6363">
      <w:pPr>
        <w:jc w:val="both"/>
        <w:rPr>
          <w:szCs w:val="24"/>
        </w:rPr>
      </w:pPr>
      <w:r w:rsidRPr="00661B39">
        <w:rPr>
          <w:szCs w:val="24"/>
        </w:rPr>
        <w:tab/>
      </w:r>
      <w:r w:rsidRPr="00661B39">
        <w:rPr>
          <w:szCs w:val="24"/>
        </w:rPr>
        <w:tab/>
        <w:t xml:space="preserve">v. </w:t>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Case No. 5:12-cv-557</w:t>
      </w:r>
      <w:r w:rsidR="008C07B7">
        <w:rPr>
          <w:szCs w:val="24"/>
        </w:rPr>
        <w:t>-F</w:t>
      </w:r>
    </w:p>
    <w:p w:rsidR="00FB6363" w:rsidRPr="00661B39" w:rsidRDefault="00FB6363" w:rsidP="00FB636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p>
    <w:p w:rsidR="00FB6363" w:rsidRPr="00661B39" w:rsidRDefault="00FB6363" w:rsidP="00FB6363">
      <w:pPr>
        <w:jc w:val="both"/>
        <w:rPr>
          <w:szCs w:val="24"/>
        </w:rPr>
      </w:pPr>
      <w:r w:rsidRPr="00661B39">
        <w:rPr>
          <w:szCs w:val="24"/>
        </w:rPr>
        <w:t>STATE OF NORTH CAROLINA,</w:t>
      </w:r>
      <w:r w:rsidRPr="00661B39">
        <w:rPr>
          <w:szCs w:val="24"/>
        </w:rPr>
        <w:tab/>
      </w:r>
      <w:r w:rsidRPr="00661B39">
        <w:rPr>
          <w:szCs w:val="24"/>
        </w:rPr>
        <w:tab/>
      </w:r>
      <w:r w:rsidRPr="00661B39">
        <w:rPr>
          <w:szCs w:val="24"/>
        </w:rPr>
        <w:tab/>
      </w:r>
      <w:r w:rsidRPr="00661B39">
        <w:rPr>
          <w:szCs w:val="24"/>
        </w:rPr>
        <w:tab/>
      </w:r>
    </w:p>
    <w:p w:rsidR="00FB6363" w:rsidRPr="00661B39" w:rsidRDefault="00FB6363" w:rsidP="00FB6363">
      <w:pPr>
        <w:tabs>
          <w:tab w:val="left" w:pos="720"/>
          <w:tab w:val="left" w:pos="1440"/>
          <w:tab w:val="left" w:pos="2160"/>
          <w:tab w:val="left" w:pos="2880"/>
          <w:tab w:val="left" w:pos="3600"/>
          <w:tab w:val="left" w:pos="4320"/>
          <w:tab w:val="left" w:pos="6510"/>
        </w:tabs>
        <w:jc w:val="both"/>
        <w:rPr>
          <w:szCs w:val="24"/>
        </w:rPr>
      </w:pPr>
      <w:r w:rsidRPr="00661B39">
        <w:rPr>
          <w:szCs w:val="24"/>
        </w:rPr>
        <w:tab/>
      </w:r>
      <w:r w:rsidRPr="00661B39">
        <w:rPr>
          <w:szCs w:val="24"/>
        </w:rPr>
        <w:tab/>
      </w:r>
      <w:r w:rsidRPr="00661B39">
        <w:rPr>
          <w:szCs w:val="24"/>
        </w:rPr>
        <w:tab/>
      </w:r>
      <w:r w:rsidRPr="00661B39">
        <w:rPr>
          <w:szCs w:val="24"/>
        </w:rPr>
        <w:tab/>
        <w:t xml:space="preserve">    </w:t>
      </w:r>
      <w:r w:rsidRPr="00661B39">
        <w:rPr>
          <w:szCs w:val="24"/>
        </w:rPr>
        <w:tab/>
      </w:r>
      <w:r w:rsidRPr="00661B39">
        <w:rPr>
          <w:szCs w:val="24"/>
        </w:rPr>
        <w:tab/>
        <w:t xml:space="preserve">                                     </w:t>
      </w:r>
    </w:p>
    <w:p w:rsidR="00FB6363" w:rsidRPr="00661B39" w:rsidRDefault="00FB6363" w:rsidP="00FB6363">
      <w:pPr>
        <w:jc w:val="both"/>
        <w:rPr>
          <w:szCs w:val="24"/>
        </w:rPr>
      </w:pPr>
      <w:r w:rsidRPr="00661B39">
        <w:rPr>
          <w:szCs w:val="24"/>
        </w:rPr>
        <w:tab/>
      </w:r>
      <w:r w:rsidRPr="00661B39">
        <w:rPr>
          <w:szCs w:val="24"/>
        </w:rPr>
        <w:tab/>
      </w:r>
      <w:r w:rsidRPr="00661B39">
        <w:rPr>
          <w:szCs w:val="24"/>
        </w:rPr>
        <w:tab/>
        <w:t>Defendant.</w:t>
      </w:r>
      <w:r w:rsidRPr="00661B39">
        <w:rPr>
          <w:szCs w:val="24"/>
        </w:rPr>
        <w:tab/>
      </w:r>
      <w:r w:rsidRPr="00661B39">
        <w:rPr>
          <w:szCs w:val="24"/>
        </w:rPr>
        <w:tab/>
        <w:t xml:space="preserve">                        </w:t>
      </w:r>
    </w:p>
    <w:p w:rsidR="00FB6363" w:rsidRPr="00661B39" w:rsidRDefault="00FB6363" w:rsidP="00FB636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p>
    <w:p w:rsidR="00FB6363" w:rsidRPr="00661B39" w:rsidRDefault="00B34D87" w:rsidP="00FB6363">
      <w:pPr>
        <w:jc w:val="both"/>
        <w:rPr>
          <w:szCs w:val="24"/>
        </w:rPr>
      </w:pPr>
      <w:r>
        <w:rPr>
          <w:noProof/>
          <w:szCs w:val="24"/>
        </w:rPr>
        <w:pict>
          <v:shape id="AutoShape 9" o:spid="_x0000_s1027" type="#_x0000_t32" style="position:absolute;left:0;text-align:left;margin-left:0;margin-top:8.65pt;width:236.8pt;height:.0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"/>
        </w:pict>
      </w:r>
    </w:p>
    <w:p w:rsidR="00D90A8A" w:rsidRPr="00661B39" w:rsidRDefault="00D90A8A" w:rsidP="00D90A8A">
      <w:pPr>
        <w:jc w:val="both"/>
        <w:rPr>
          <w:b/>
          <w:szCs w:val="24"/>
          <w:u w:val="single"/>
        </w:rPr>
      </w:pPr>
    </w:p>
    <w:p w:rsidR="00D90A8A" w:rsidRPr="00661B39" w:rsidRDefault="00D90A8A" w:rsidP="00D90A8A">
      <w:pPr>
        <w:autoSpaceDE w:val="0"/>
        <w:autoSpaceDN w:val="0"/>
        <w:adjustRightInd w:val="0"/>
        <w:spacing w:line="480" w:lineRule="auto"/>
        <w:jc w:val="center"/>
        <w:rPr>
          <w:b/>
          <w:szCs w:val="24"/>
          <w:u w:val="single"/>
        </w:rPr>
      </w:pPr>
      <w:r w:rsidRPr="00661B39">
        <w:rPr>
          <w:b/>
          <w:szCs w:val="24"/>
          <w:u w:val="single"/>
        </w:rPr>
        <w:t>[PROPOSED] ORDER</w:t>
      </w:r>
    </w:p>
    <w:p w:rsidR="00D90A8A" w:rsidRPr="00661B39" w:rsidRDefault="00D90A8A" w:rsidP="00D90A8A">
      <w:pPr>
        <w:autoSpaceDE w:val="0"/>
        <w:autoSpaceDN w:val="0"/>
        <w:adjustRightInd w:val="0"/>
        <w:spacing w:line="480" w:lineRule="auto"/>
        <w:jc w:val="both"/>
        <w:rPr>
          <w:szCs w:val="24"/>
        </w:rPr>
      </w:pPr>
      <w:r w:rsidRPr="00661B39">
        <w:rPr>
          <w:szCs w:val="24"/>
        </w:rPr>
        <w:tab/>
        <w:t>Having reviewed the United States’ Motion to Enforce the Settlement Agreement (</w:t>
      </w:r>
      <w:r w:rsidR="003F5170" w:rsidRPr="00661B39">
        <w:rPr>
          <w:szCs w:val="24"/>
        </w:rPr>
        <w:t>D.E.</w:t>
      </w:r>
      <w:r w:rsidRPr="00661B39">
        <w:rPr>
          <w:szCs w:val="24"/>
        </w:rPr>
        <w:t>__) and Defendant’s Responses thereto (</w:t>
      </w:r>
      <w:r w:rsidR="003F5170" w:rsidRPr="00661B39">
        <w:rPr>
          <w:szCs w:val="24"/>
        </w:rPr>
        <w:t>D.E</w:t>
      </w:r>
      <w:r w:rsidRPr="00661B39">
        <w:rPr>
          <w:szCs w:val="24"/>
        </w:rPr>
        <w:t>.</w:t>
      </w:r>
      <w:r w:rsidR="003F5170" w:rsidRPr="00661B39">
        <w:rPr>
          <w:szCs w:val="24"/>
        </w:rPr>
        <w:t xml:space="preserve"> </w:t>
      </w:r>
      <w:r w:rsidRPr="00661B39">
        <w:rPr>
          <w:szCs w:val="24"/>
        </w:rPr>
        <w:t>__), the Court hereby GRANTS the Motion and</w:t>
      </w:r>
    </w:p>
    <w:p w:rsidR="00D90A8A" w:rsidRPr="00661B39" w:rsidRDefault="00D90A8A" w:rsidP="00D90A8A">
      <w:pPr>
        <w:pStyle w:val="ListParagraph"/>
        <w:numPr>
          <w:ilvl w:val="0"/>
          <w:numId w:val="3"/>
        </w:numPr>
        <w:autoSpaceDE w:val="0"/>
        <w:autoSpaceDN w:val="0"/>
        <w:adjustRightInd w:val="0"/>
        <w:spacing w:line="480" w:lineRule="auto"/>
        <w:jc w:val="both"/>
        <w:rPr>
          <w:rFonts w:ascii="Times New Roman" w:hAnsi="Times New Roman"/>
          <w:sz w:val="24"/>
          <w:szCs w:val="24"/>
        </w:rPr>
      </w:pPr>
      <w:r w:rsidRPr="00661B39">
        <w:rPr>
          <w:rFonts w:ascii="Times New Roman" w:hAnsi="Times New Roman"/>
          <w:sz w:val="24"/>
          <w:szCs w:val="24"/>
        </w:rPr>
        <w:t xml:space="preserve">Declares that (i) compliance with section III(B)(3) of the Agreement is measured by counting the number of occupied Housing Slots on the relevant compliance dates and (ii) compliance with section III(D)(3) of the Agreement is measured by counting the number of individuals with serious mental illness in or at risk of entry to an adult care home who are receiving Supported Employment Services on the relevant compliance dates; </w:t>
      </w:r>
    </w:p>
    <w:p w:rsidR="00D90A8A" w:rsidRPr="00661B39" w:rsidRDefault="00D90A8A" w:rsidP="00D90A8A">
      <w:pPr>
        <w:pStyle w:val="ListParagraph"/>
        <w:numPr>
          <w:ilvl w:val="0"/>
          <w:numId w:val="3"/>
        </w:numPr>
        <w:autoSpaceDE w:val="0"/>
        <w:autoSpaceDN w:val="0"/>
        <w:adjustRightInd w:val="0"/>
        <w:spacing w:line="480" w:lineRule="auto"/>
        <w:jc w:val="both"/>
        <w:rPr>
          <w:rFonts w:ascii="Times New Roman" w:hAnsi="Times New Roman"/>
          <w:sz w:val="24"/>
          <w:szCs w:val="24"/>
        </w:rPr>
      </w:pPr>
      <w:r w:rsidRPr="00661B39">
        <w:rPr>
          <w:rFonts w:ascii="Times New Roman" w:hAnsi="Times New Roman"/>
          <w:sz w:val="24"/>
          <w:szCs w:val="24"/>
        </w:rPr>
        <w:t xml:space="preserve">Declares that the State </w:t>
      </w:r>
      <w:r w:rsidR="005271FF" w:rsidRPr="00661B39">
        <w:rPr>
          <w:rFonts w:ascii="Times New Roman" w:hAnsi="Times New Roman"/>
          <w:sz w:val="24"/>
          <w:szCs w:val="24"/>
        </w:rPr>
        <w:t xml:space="preserve">of North Carolina </w:t>
      </w:r>
      <w:r w:rsidRPr="00661B39">
        <w:rPr>
          <w:rFonts w:ascii="Times New Roman" w:hAnsi="Times New Roman"/>
          <w:sz w:val="24"/>
          <w:szCs w:val="24"/>
        </w:rPr>
        <w:t xml:space="preserve">has failed to meet its July 1, 2016 obligations under sections III(B)(3) and III(D)(3) of the Agreement; </w:t>
      </w:r>
    </w:p>
    <w:p w:rsidR="001F3C5E" w:rsidRPr="00661B39" w:rsidRDefault="00D90A8A" w:rsidP="00D90A8A">
      <w:pPr>
        <w:pStyle w:val="ListParagraph"/>
        <w:numPr>
          <w:ilvl w:val="0"/>
          <w:numId w:val="3"/>
        </w:numPr>
        <w:autoSpaceDE w:val="0"/>
        <w:autoSpaceDN w:val="0"/>
        <w:adjustRightInd w:val="0"/>
        <w:spacing w:line="480" w:lineRule="auto"/>
        <w:jc w:val="both"/>
        <w:rPr>
          <w:rFonts w:ascii="Times New Roman" w:hAnsi="Times New Roman"/>
          <w:sz w:val="24"/>
          <w:szCs w:val="24"/>
        </w:rPr>
      </w:pPr>
      <w:r w:rsidRPr="00661B39">
        <w:rPr>
          <w:rFonts w:ascii="Times New Roman" w:eastAsia="Times New Roman" w:hAnsi="Times New Roman"/>
          <w:sz w:val="24"/>
          <w:szCs w:val="24"/>
        </w:rPr>
        <w:t xml:space="preserve">Orders the State to serve individuals in Housing Slots and Supported Employment Services pursuant to </w:t>
      </w:r>
      <w:r w:rsidR="00A402BD" w:rsidRPr="00661B39">
        <w:rPr>
          <w:rFonts w:ascii="Times New Roman" w:eastAsia="Times New Roman" w:hAnsi="Times New Roman"/>
          <w:sz w:val="24"/>
          <w:szCs w:val="24"/>
        </w:rPr>
        <w:t xml:space="preserve">the following </w:t>
      </w:r>
      <w:r w:rsidRPr="00661B39">
        <w:rPr>
          <w:rFonts w:ascii="Times New Roman" w:eastAsia="Times New Roman" w:hAnsi="Times New Roman"/>
          <w:sz w:val="24"/>
          <w:szCs w:val="24"/>
        </w:rPr>
        <w:t>schedule</w:t>
      </w:r>
      <w:r w:rsidR="00DF4948" w:rsidRPr="00661B39">
        <w:rPr>
          <w:rFonts w:ascii="Times New Roman" w:eastAsia="Times New Roman" w:hAnsi="Times New Roman"/>
          <w:sz w:val="24"/>
          <w:szCs w:val="24"/>
        </w:rPr>
        <w:t>s</w:t>
      </w:r>
      <w:r w:rsidRPr="00661B39">
        <w:rPr>
          <w:rFonts w:ascii="Times New Roman" w:eastAsia="Times New Roman" w:hAnsi="Times New Roman"/>
          <w:sz w:val="24"/>
          <w:szCs w:val="24"/>
        </w:rPr>
        <w:t xml:space="preserve"> of monthly obligations</w:t>
      </w:r>
      <w:r w:rsidR="00A402BD" w:rsidRPr="00661B39">
        <w:rPr>
          <w:rFonts w:ascii="Times New Roman" w:eastAsia="Times New Roman" w:hAnsi="Times New Roman"/>
          <w:sz w:val="24"/>
          <w:szCs w:val="24"/>
        </w:rPr>
        <w:t>:</w:t>
      </w:r>
    </w:p>
    <w:p w:rsidR="005E60BA" w:rsidRPr="00661B39" w:rsidRDefault="005E60BA" w:rsidP="005E60BA">
      <w:pPr>
        <w:pStyle w:val="ListParagraph"/>
        <w:autoSpaceDE w:val="0"/>
        <w:autoSpaceDN w:val="0"/>
        <w:adjustRightInd w:val="0"/>
        <w:spacing w:line="480" w:lineRule="auto"/>
        <w:ind w:left="1440"/>
        <w:jc w:val="both"/>
        <w:rPr>
          <w:rFonts w:ascii="Times New Roman" w:hAnsi="Times New Roman"/>
          <w:sz w:val="24"/>
          <w:szCs w:val="24"/>
        </w:rPr>
      </w:pPr>
    </w:p>
    <w:tbl>
      <w:tblPr>
        <w:tblStyle w:val="TableGrid"/>
        <w:tblW w:w="5000" w:type="pct"/>
        <w:tblLook w:val="04A0"/>
      </w:tblPr>
      <w:tblGrid>
        <w:gridCol w:w="1290"/>
        <w:gridCol w:w="1104"/>
        <w:gridCol w:w="1290"/>
        <w:gridCol w:w="1104"/>
        <w:gridCol w:w="1290"/>
        <w:gridCol w:w="1104"/>
        <w:gridCol w:w="1290"/>
        <w:gridCol w:w="1104"/>
      </w:tblGrid>
      <w:tr w:rsidR="008918A7" w:rsidRPr="00661B39" w:rsidTr="001E4EE7">
        <w:tc>
          <w:tcPr>
            <w:tcW w:w="5000" w:type="pct"/>
            <w:gridSpan w:val="8"/>
            <w:vAlign w:val="center"/>
          </w:tcPr>
          <w:p w:rsidR="008918A7" w:rsidRPr="00D67559" w:rsidRDefault="008918A7" w:rsidP="008918A7">
            <w:pPr>
              <w:jc w:val="center"/>
              <w:rPr>
                <w:sz w:val="20"/>
                <w:szCs w:val="20"/>
              </w:rPr>
            </w:pPr>
          </w:p>
          <w:p w:rsidR="008918A7" w:rsidRPr="00661B39" w:rsidRDefault="008918A7" w:rsidP="008918A7">
            <w:pPr>
              <w:jc w:val="center"/>
              <w:rPr>
                <w:b/>
                <w:szCs w:val="24"/>
              </w:rPr>
            </w:pPr>
            <w:r w:rsidRPr="00661B39">
              <w:rPr>
                <w:b/>
                <w:szCs w:val="24"/>
              </w:rPr>
              <w:t>SUPPORTED HOUSING</w:t>
            </w:r>
          </w:p>
          <w:p w:rsidR="008918A7" w:rsidRPr="00D67559" w:rsidRDefault="008918A7" w:rsidP="008918A7">
            <w:pPr>
              <w:jc w:val="center"/>
              <w:rPr>
                <w:sz w:val="20"/>
                <w:szCs w:val="20"/>
              </w:rPr>
            </w:pPr>
          </w:p>
        </w:tc>
      </w:tr>
      <w:tr w:rsidR="00CC726C" w:rsidRPr="00661B39" w:rsidTr="00FD20FB">
        <w:tc>
          <w:tcPr>
            <w:tcW w:w="647" w:type="pct"/>
            <w:vAlign w:val="center"/>
          </w:tcPr>
          <w:p w:rsidR="00CC726C" w:rsidRPr="00D67559" w:rsidRDefault="008918A7" w:rsidP="008918A7">
            <w:pPr>
              <w:jc w:val="center"/>
              <w:rPr>
                <w:b/>
                <w:sz w:val="21"/>
                <w:szCs w:val="21"/>
              </w:rPr>
            </w:pPr>
            <w:r w:rsidRPr="00D67559">
              <w:rPr>
                <w:b/>
                <w:sz w:val="21"/>
                <w:szCs w:val="21"/>
              </w:rPr>
              <w:t>2017 Complianc</w:t>
            </w:r>
            <w:r w:rsidR="00CC726C" w:rsidRPr="00D67559">
              <w:rPr>
                <w:b/>
                <w:sz w:val="21"/>
                <w:szCs w:val="21"/>
              </w:rPr>
              <w:t>e Date</w:t>
            </w:r>
          </w:p>
        </w:tc>
        <w:tc>
          <w:tcPr>
            <w:tcW w:w="603" w:type="pct"/>
            <w:vAlign w:val="center"/>
          </w:tcPr>
          <w:p w:rsidR="00CC726C" w:rsidRPr="00D67559" w:rsidRDefault="008918A7" w:rsidP="008918A7">
            <w:pPr>
              <w:jc w:val="center"/>
              <w:rPr>
                <w:b/>
                <w:sz w:val="21"/>
                <w:szCs w:val="21"/>
              </w:rPr>
            </w:pPr>
            <w:r w:rsidRPr="00D67559">
              <w:rPr>
                <w:b/>
                <w:sz w:val="21"/>
                <w:szCs w:val="21"/>
              </w:rPr>
              <w:t>Number of Occupied Housing Slots</w:t>
            </w:r>
          </w:p>
        </w:tc>
        <w:tc>
          <w:tcPr>
            <w:tcW w:w="647" w:type="pct"/>
            <w:vAlign w:val="center"/>
          </w:tcPr>
          <w:p w:rsidR="00CC726C" w:rsidRPr="00D67559" w:rsidRDefault="00CC726C" w:rsidP="008918A7">
            <w:pPr>
              <w:jc w:val="center"/>
              <w:rPr>
                <w:b/>
                <w:sz w:val="21"/>
                <w:szCs w:val="21"/>
              </w:rPr>
            </w:pPr>
            <w:r w:rsidRPr="00D67559">
              <w:rPr>
                <w:b/>
                <w:sz w:val="21"/>
                <w:szCs w:val="21"/>
              </w:rPr>
              <w:t>2018 Compliance Date</w:t>
            </w:r>
          </w:p>
        </w:tc>
        <w:tc>
          <w:tcPr>
            <w:tcW w:w="603" w:type="pct"/>
            <w:vAlign w:val="center"/>
          </w:tcPr>
          <w:p w:rsidR="00CC726C" w:rsidRPr="00D67559" w:rsidRDefault="008918A7" w:rsidP="008918A7">
            <w:pPr>
              <w:jc w:val="center"/>
              <w:rPr>
                <w:b/>
                <w:sz w:val="21"/>
                <w:szCs w:val="21"/>
              </w:rPr>
            </w:pPr>
            <w:r w:rsidRPr="00D67559">
              <w:rPr>
                <w:b/>
                <w:sz w:val="21"/>
                <w:szCs w:val="21"/>
              </w:rPr>
              <w:t>Number of Occupied Housing Slots</w:t>
            </w:r>
          </w:p>
        </w:tc>
        <w:tc>
          <w:tcPr>
            <w:tcW w:w="647" w:type="pct"/>
            <w:vAlign w:val="center"/>
          </w:tcPr>
          <w:p w:rsidR="00CC726C" w:rsidRPr="00D67559" w:rsidRDefault="00CC726C" w:rsidP="008918A7">
            <w:pPr>
              <w:jc w:val="center"/>
              <w:rPr>
                <w:b/>
                <w:sz w:val="21"/>
                <w:szCs w:val="21"/>
              </w:rPr>
            </w:pPr>
            <w:r w:rsidRPr="00D67559">
              <w:rPr>
                <w:b/>
                <w:sz w:val="21"/>
                <w:szCs w:val="21"/>
              </w:rPr>
              <w:t>2019 Compliance Date</w:t>
            </w:r>
          </w:p>
        </w:tc>
        <w:tc>
          <w:tcPr>
            <w:tcW w:w="603" w:type="pct"/>
            <w:vAlign w:val="center"/>
          </w:tcPr>
          <w:p w:rsidR="00CC726C" w:rsidRPr="00D67559" w:rsidRDefault="008918A7" w:rsidP="008918A7">
            <w:pPr>
              <w:jc w:val="center"/>
              <w:rPr>
                <w:b/>
                <w:sz w:val="21"/>
                <w:szCs w:val="21"/>
              </w:rPr>
            </w:pPr>
            <w:r w:rsidRPr="00D67559">
              <w:rPr>
                <w:b/>
                <w:sz w:val="21"/>
                <w:szCs w:val="21"/>
              </w:rPr>
              <w:t>Number of Occupied Housing Slots</w:t>
            </w:r>
          </w:p>
        </w:tc>
        <w:tc>
          <w:tcPr>
            <w:tcW w:w="647" w:type="pct"/>
            <w:vAlign w:val="center"/>
          </w:tcPr>
          <w:p w:rsidR="00CC726C" w:rsidRPr="00D67559" w:rsidRDefault="00CC726C" w:rsidP="008918A7">
            <w:pPr>
              <w:jc w:val="center"/>
              <w:rPr>
                <w:b/>
                <w:sz w:val="21"/>
                <w:szCs w:val="21"/>
              </w:rPr>
            </w:pPr>
            <w:r w:rsidRPr="00D67559">
              <w:rPr>
                <w:b/>
                <w:sz w:val="21"/>
                <w:szCs w:val="21"/>
              </w:rPr>
              <w:t>2020 Compliance Date</w:t>
            </w:r>
          </w:p>
        </w:tc>
        <w:tc>
          <w:tcPr>
            <w:tcW w:w="603" w:type="pct"/>
            <w:vAlign w:val="bottom"/>
          </w:tcPr>
          <w:p w:rsidR="00FD20FB" w:rsidRDefault="00D67559" w:rsidP="00D67559">
            <w:pPr>
              <w:jc w:val="center"/>
              <w:rPr>
                <w:b/>
                <w:sz w:val="21"/>
                <w:szCs w:val="21"/>
              </w:rPr>
            </w:pPr>
            <w:r>
              <w:rPr>
                <w:b/>
                <w:sz w:val="21"/>
                <w:szCs w:val="21"/>
              </w:rPr>
              <w:t xml:space="preserve">  </w:t>
            </w:r>
            <w:r w:rsidR="008918A7" w:rsidRPr="00D67559">
              <w:rPr>
                <w:b/>
                <w:sz w:val="21"/>
                <w:szCs w:val="21"/>
              </w:rPr>
              <w:t>Number of Occupied Housing Slots</w:t>
            </w:r>
          </w:p>
          <w:p w:rsidR="00D67559" w:rsidRPr="00D67559" w:rsidRDefault="00D67559" w:rsidP="00D67559">
            <w:pPr>
              <w:jc w:val="center"/>
              <w:rPr>
                <w:b/>
                <w:sz w:val="12"/>
                <w:szCs w:val="12"/>
              </w:rPr>
            </w:pPr>
          </w:p>
        </w:tc>
      </w:tr>
      <w:tr w:rsidR="00CC726C" w:rsidRPr="00661B39" w:rsidTr="001E4EE7">
        <w:tc>
          <w:tcPr>
            <w:tcW w:w="647" w:type="pct"/>
          </w:tcPr>
          <w:p w:rsidR="00CC726C" w:rsidRPr="00661B39" w:rsidRDefault="00CC726C" w:rsidP="001E4EE7">
            <w:pPr>
              <w:jc w:val="center"/>
              <w:rPr>
                <w:szCs w:val="24"/>
              </w:rPr>
            </w:pPr>
            <w:r w:rsidRPr="00661B39">
              <w:rPr>
                <w:szCs w:val="24"/>
              </w:rPr>
              <w:t>Mar. 1</w:t>
            </w:r>
          </w:p>
        </w:tc>
        <w:tc>
          <w:tcPr>
            <w:tcW w:w="603" w:type="pct"/>
          </w:tcPr>
          <w:p w:rsidR="00CC726C" w:rsidRPr="00661B39" w:rsidRDefault="00CC726C" w:rsidP="001E4EE7">
            <w:pPr>
              <w:jc w:val="center"/>
              <w:rPr>
                <w:szCs w:val="24"/>
              </w:rPr>
            </w:pPr>
            <w:r w:rsidRPr="00661B39">
              <w:rPr>
                <w:szCs w:val="24"/>
              </w:rPr>
              <w:t>990</w:t>
            </w:r>
          </w:p>
        </w:tc>
        <w:tc>
          <w:tcPr>
            <w:tcW w:w="647" w:type="pct"/>
          </w:tcPr>
          <w:p w:rsidR="00CC726C" w:rsidRPr="00661B39" w:rsidRDefault="00CC726C" w:rsidP="001E4EE7">
            <w:pPr>
              <w:jc w:val="center"/>
              <w:rPr>
                <w:szCs w:val="24"/>
              </w:rPr>
            </w:pPr>
            <w:r w:rsidRPr="00661B39">
              <w:rPr>
                <w:szCs w:val="24"/>
              </w:rPr>
              <w:t>Jan.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492</w:t>
            </w:r>
          </w:p>
        </w:tc>
        <w:tc>
          <w:tcPr>
            <w:tcW w:w="647" w:type="pct"/>
          </w:tcPr>
          <w:p w:rsidR="00CC726C" w:rsidRPr="00661B39" w:rsidRDefault="00CC726C" w:rsidP="001E4EE7">
            <w:pPr>
              <w:jc w:val="center"/>
              <w:rPr>
                <w:szCs w:val="24"/>
              </w:rPr>
            </w:pPr>
            <w:r w:rsidRPr="00661B39">
              <w:rPr>
                <w:szCs w:val="24"/>
              </w:rPr>
              <w:t>Jan.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092</w:t>
            </w:r>
          </w:p>
        </w:tc>
        <w:tc>
          <w:tcPr>
            <w:tcW w:w="647" w:type="pct"/>
          </w:tcPr>
          <w:p w:rsidR="00CC726C" w:rsidRPr="00661B39" w:rsidRDefault="00CC726C" w:rsidP="001E4EE7">
            <w:pPr>
              <w:jc w:val="center"/>
              <w:rPr>
                <w:szCs w:val="24"/>
              </w:rPr>
            </w:pPr>
            <w:r w:rsidRPr="00661B39">
              <w:rPr>
                <w:szCs w:val="24"/>
              </w:rPr>
              <w:t>Jan.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699</w:t>
            </w:r>
          </w:p>
        </w:tc>
      </w:tr>
      <w:tr w:rsidR="00CC726C" w:rsidRPr="00661B39" w:rsidTr="001E4EE7">
        <w:tc>
          <w:tcPr>
            <w:tcW w:w="647" w:type="pct"/>
          </w:tcPr>
          <w:p w:rsidR="00CC726C" w:rsidRPr="00661B39" w:rsidRDefault="00CC726C" w:rsidP="001E4EE7">
            <w:pPr>
              <w:jc w:val="center"/>
              <w:rPr>
                <w:szCs w:val="24"/>
              </w:rPr>
            </w:pPr>
            <w:r w:rsidRPr="00661B39">
              <w:rPr>
                <w:szCs w:val="24"/>
              </w:rPr>
              <w:t>April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041</w:t>
            </w:r>
          </w:p>
        </w:tc>
        <w:tc>
          <w:tcPr>
            <w:tcW w:w="647" w:type="pct"/>
          </w:tcPr>
          <w:p w:rsidR="00CC726C" w:rsidRPr="00661B39" w:rsidRDefault="00CC726C" w:rsidP="001E4EE7">
            <w:pPr>
              <w:jc w:val="center"/>
              <w:rPr>
                <w:szCs w:val="24"/>
              </w:rPr>
            </w:pPr>
            <w:r w:rsidRPr="00661B39">
              <w:rPr>
                <w:szCs w:val="24"/>
              </w:rPr>
              <w:t>Feb.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543</w:t>
            </w:r>
          </w:p>
        </w:tc>
        <w:tc>
          <w:tcPr>
            <w:tcW w:w="647" w:type="pct"/>
          </w:tcPr>
          <w:p w:rsidR="00CC726C" w:rsidRPr="00661B39" w:rsidRDefault="00CC726C" w:rsidP="001E4EE7">
            <w:pPr>
              <w:jc w:val="center"/>
              <w:rPr>
                <w:szCs w:val="24"/>
              </w:rPr>
            </w:pPr>
            <w:r w:rsidRPr="00661B39">
              <w:rPr>
                <w:szCs w:val="24"/>
              </w:rPr>
              <w:t>Feb.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144</w:t>
            </w:r>
          </w:p>
        </w:tc>
        <w:tc>
          <w:tcPr>
            <w:tcW w:w="647" w:type="pct"/>
          </w:tcPr>
          <w:p w:rsidR="00CC726C" w:rsidRPr="00661B39" w:rsidRDefault="00CC726C" w:rsidP="001E4EE7">
            <w:pPr>
              <w:jc w:val="center"/>
              <w:rPr>
                <w:szCs w:val="24"/>
              </w:rPr>
            </w:pPr>
            <w:r w:rsidRPr="00661B39">
              <w:rPr>
                <w:szCs w:val="24"/>
              </w:rPr>
              <w:t>Feb.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751</w:t>
            </w:r>
          </w:p>
        </w:tc>
      </w:tr>
      <w:tr w:rsidR="00CC726C" w:rsidRPr="00661B39" w:rsidTr="001E4EE7">
        <w:tc>
          <w:tcPr>
            <w:tcW w:w="647" w:type="pct"/>
          </w:tcPr>
          <w:p w:rsidR="00CC726C" w:rsidRPr="00661B39" w:rsidRDefault="00CC726C" w:rsidP="001E4EE7">
            <w:pPr>
              <w:jc w:val="center"/>
              <w:rPr>
                <w:szCs w:val="24"/>
              </w:rPr>
            </w:pPr>
            <w:r w:rsidRPr="00661B39">
              <w:rPr>
                <w:szCs w:val="24"/>
              </w:rPr>
              <w:t>May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090</w:t>
            </w:r>
          </w:p>
        </w:tc>
        <w:tc>
          <w:tcPr>
            <w:tcW w:w="647" w:type="pct"/>
          </w:tcPr>
          <w:p w:rsidR="00CC726C" w:rsidRPr="00661B39" w:rsidRDefault="00CC726C" w:rsidP="001E4EE7">
            <w:pPr>
              <w:jc w:val="center"/>
              <w:rPr>
                <w:szCs w:val="24"/>
              </w:rPr>
            </w:pPr>
            <w:r w:rsidRPr="00661B39">
              <w:rPr>
                <w:szCs w:val="24"/>
              </w:rPr>
              <w:t>Mar.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590</w:t>
            </w:r>
          </w:p>
        </w:tc>
        <w:tc>
          <w:tcPr>
            <w:tcW w:w="647" w:type="pct"/>
          </w:tcPr>
          <w:p w:rsidR="00CC726C" w:rsidRPr="00661B39" w:rsidRDefault="00CC726C" w:rsidP="001E4EE7">
            <w:pPr>
              <w:jc w:val="center"/>
              <w:rPr>
                <w:szCs w:val="24"/>
              </w:rPr>
            </w:pPr>
            <w:r w:rsidRPr="00661B39">
              <w:rPr>
                <w:szCs w:val="24"/>
              </w:rPr>
              <w:t>Mar.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191</w:t>
            </w:r>
          </w:p>
        </w:tc>
        <w:tc>
          <w:tcPr>
            <w:tcW w:w="647" w:type="pct"/>
          </w:tcPr>
          <w:p w:rsidR="00CC726C" w:rsidRPr="00661B39" w:rsidRDefault="00CC726C" w:rsidP="001E4EE7">
            <w:pPr>
              <w:jc w:val="center"/>
              <w:rPr>
                <w:szCs w:val="24"/>
              </w:rPr>
            </w:pPr>
            <w:r w:rsidRPr="00661B39">
              <w:rPr>
                <w:szCs w:val="24"/>
              </w:rPr>
              <w:t>Mar.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798</w:t>
            </w:r>
          </w:p>
        </w:tc>
      </w:tr>
      <w:tr w:rsidR="00CC726C" w:rsidRPr="00661B39" w:rsidTr="001E4EE7">
        <w:tc>
          <w:tcPr>
            <w:tcW w:w="647" w:type="pct"/>
          </w:tcPr>
          <w:p w:rsidR="00CC726C" w:rsidRPr="00661B39" w:rsidRDefault="00CC726C" w:rsidP="001E4EE7">
            <w:pPr>
              <w:jc w:val="center"/>
              <w:rPr>
                <w:szCs w:val="24"/>
              </w:rPr>
            </w:pPr>
            <w:r w:rsidRPr="00661B39">
              <w:rPr>
                <w:szCs w:val="24"/>
              </w:rPr>
              <w:t>June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141</w:t>
            </w:r>
          </w:p>
        </w:tc>
        <w:tc>
          <w:tcPr>
            <w:tcW w:w="647" w:type="pct"/>
          </w:tcPr>
          <w:p w:rsidR="00CC726C" w:rsidRPr="00661B39" w:rsidRDefault="00CC726C" w:rsidP="001E4EE7">
            <w:pPr>
              <w:jc w:val="center"/>
              <w:rPr>
                <w:szCs w:val="24"/>
              </w:rPr>
            </w:pPr>
            <w:r w:rsidRPr="00661B39">
              <w:rPr>
                <w:szCs w:val="24"/>
              </w:rPr>
              <w:t>April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641</w:t>
            </w:r>
          </w:p>
        </w:tc>
        <w:tc>
          <w:tcPr>
            <w:tcW w:w="647" w:type="pct"/>
          </w:tcPr>
          <w:p w:rsidR="00CC726C" w:rsidRPr="00661B39" w:rsidRDefault="00CC726C" w:rsidP="001E4EE7">
            <w:pPr>
              <w:jc w:val="center"/>
              <w:rPr>
                <w:szCs w:val="24"/>
              </w:rPr>
            </w:pPr>
            <w:r w:rsidRPr="00661B39">
              <w:rPr>
                <w:szCs w:val="24"/>
              </w:rPr>
              <w:t>April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243</w:t>
            </w:r>
          </w:p>
        </w:tc>
        <w:tc>
          <w:tcPr>
            <w:tcW w:w="647" w:type="pct"/>
          </w:tcPr>
          <w:p w:rsidR="00CC726C" w:rsidRPr="00661B39" w:rsidRDefault="00CC726C" w:rsidP="001E4EE7">
            <w:pPr>
              <w:jc w:val="center"/>
              <w:rPr>
                <w:szCs w:val="24"/>
              </w:rPr>
            </w:pPr>
            <w:r w:rsidRPr="00661B39">
              <w:rPr>
                <w:szCs w:val="24"/>
              </w:rPr>
              <w:t>April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850</w:t>
            </w:r>
          </w:p>
        </w:tc>
      </w:tr>
      <w:tr w:rsidR="00CC726C" w:rsidRPr="00661B39" w:rsidTr="001E4EE7">
        <w:tc>
          <w:tcPr>
            <w:tcW w:w="647" w:type="pct"/>
          </w:tcPr>
          <w:p w:rsidR="00CC726C" w:rsidRPr="00661B39" w:rsidRDefault="00CC726C" w:rsidP="001E4EE7">
            <w:pPr>
              <w:jc w:val="center"/>
              <w:rPr>
                <w:szCs w:val="24"/>
              </w:rPr>
            </w:pPr>
            <w:r w:rsidRPr="00661B39">
              <w:rPr>
                <w:szCs w:val="24"/>
              </w:rPr>
              <w:t>July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190</w:t>
            </w:r>
          </w:p>
        </w:tc>
        <w:tc>
          <w:tcPr>
            <w:tcW w:w="647" w:type="pct"/>
          </w:tcPr>
          <w:p w:rsidR="00CC726C" w:rsidRPr="00661B39" w:rsidRDefault="00CC726C" w:rsidP="001E4EE7">
            <w:pPr>
              <w:jc w:val="center"/>
              <w:rPr>
                <w:szCs w:val="24"/>
              </w:rPr>
            </w:pPr>
            <w:r w:rsidRPr="00661B39">
              <w:rPr>
                <w:szCs w:val="24"/>
              </w:rPr>
              <w:t>May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690</w:t>
            </w:r>
          </w:p>
        </w:tc>
        <w:tc>
          <w:tcPr>
            <w:tcW w:w="647" w:type="pct"/>
          </w:tcPr>
          <w:p w:rsidR="00CC726C" w:rsidRPr="00661B39" w:rsidRDefault="00CC726C" w:rsidP="001E4EE7">
            <w:pPr>
              <w:jc w:val="center"/>
              <w:rPr>
                <w:szCs w:val="24"/>
              </w:rPr>
            </w:pPr>
            <w:r w:rsidRPr="00661B39">
              <w:rPr>
                <w:szCs w:val="24"/>
              </w:rPr>
              <w:t>May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292</w:t>
            </w:r>
          </w:p>
        </w:tc>
        <w:tc>
          <w:tcPr>
            <w:tcW w:w="647" w:type="pct"/>
          </w:tcPr>
          <w:p w:rsidR="00CC726C" w:rsidRPr="00661B39" w:rsidRDefault="00CC726C" w:rsidP="001E4EE7">
            <w:pPr>
              <w:jc w:val="center"/>
              <w:rPr>
                <w:szCs w:val="24"/>
              </w:rPr>
            </w:pPr>
            <w:r w:rsidRPr="00661B39">
              <w:rPr>
                <w:szCs w:val="24"/>
              </w:rPr>
              <w:t>May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899</w:t>
            </w:r>
          </w:p>
        </w:tc>
      </w:tr>
      <w:tr w:rsidR="00CC726C" w:rsidRPr="00661B39" w:rsidTr="001E4EE7">
        <w:tc>
          <w:tcPr>
            <w:tcW w:w="647" w:type="pct"/>
          </w:tcPr>
          <w:p w:rsidR="00CC726C" w:rsidRPr="00661B39" w:rsidRDefault="00CC726C" w:rsidP="001E4EE7">
            <w:pPr>
              <w:jc w:val="center"/>
              <w:rPr>
                <w:szCs w:val="24"/>
              </w:rPr>
            </w:pPr>
            <w:r w:rsidRPr="00661B39">
              <w:rPr>
                <w:szCs w:val="24"/>
              </w:rPr>
              <w:t>Aug.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241</w:t>
            </w:r>
          </w:p>
        </w:tc>
        <w:tc>
          <w:tcPr>
            <w:tcW w:w="647" w:type="pct"/>
          </w:tcPr>
          <w:p w:rsidR="00CC726C" w:rsidRPr="00661B39" w:rsidRDefault="00CC726C" w:rsidP="001E4EE7">
            <w:pPr>
              <w:jc w:val="center"/>
              <w:rPr>
                <w:szCs w:val="24"/>
              </w:rPr>
            </w:pPr>
            <w:r w:rsidRPr="00661B39">
              <w:rPr>
                <w:szCs w:val="24"/>
              </w:rPr>
              <w:t>June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741</w:t>
            </w:r>
          </w:p>
        </w:tc>
        <w:tc>
          <w:tcPr>
            <w:tcW w:w="647" w:type="pct"/>
          </w:tcPr>
          <w:p w:rsidR="00CC726C" w:rsidRPr="00661B39" w:rsidRDefault="00CC726C" w:rsidP="001E4EE7">
            <w:pPr>
              <w:jc w:val="center"/>
              <w:rPr>
                <w:szCs w:val="24"/>
              </w:rPr>
            </w:pPr>
            <w:r w:rsidRPr="00661B39">
              <w:rPr>
                <w:szCs w:val="24"/>
              </w:rPr>
              <w:t>June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344</w:t>
            </w:r>
          </w:p>
        </w:tc>
        <w:tc>
          <w:tcPr>
            <w:tcW w:w="647" w:type="pct"/>
          </w:tcPr>
          <w:p w:rsidR="00CC726C" w:rsidRPr="00661B39" w:rsidRDefault="00CC726C" w:rsidP="001E4EE7">
            <w:pPr>
              <w:jc w:val="center"/>
              <w:rPr>
                <w:szCs w:val="24"/>
              </w:rPr>
            </w:pPr>
            <w:r w:rsidRPr="00661B39">
              <w:rPr>
                <w:szCs w:val="24"/>
              </w:rPr>
              <w:t>June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951</w:t>
            </w:r>
          </w:p>
        </w:tc>
      </w:tr>
      <w:tr w:rsidR="00CC726C" w:rsidRPr="00661B39" w:rsidTr="001E4EE7">
        <w:tc>
          <w:tcPr>
            <w:tcW w:w="647" w:type="pct"/>
          </w:tcPr>
          <w:p w:rsidR="00CC726C" w:rsidRPr="00661B39" w:rsidRDefault="00CC726C" w:rsidP="001E4EE7">
            <w:pPr>
              <w:jc w:val="center"/>
              <w:rPr>
                <w:szCs w:val="24"/>
              </w:rPr>
            </w:pPr>
            <w:r w:rsidRPr="00661B39">
              <w:rPr>
                <w:szCs w:val="24"/>
              </w:rPr>
              <w:t>Sept.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292</w:t>
            </w:r>
          </w:p>
        </w:tc>
        <w:tc>
          <w:tcPr>
            <w:tcW w:w="647" w:type="pct"/>
          </w:tcPr>
          <w:p w:rsidR="00CC726C" w:rsidRPr="00661B39" w:rsidRDefault="00CC726C" w:rsidP="001E4EE7">
            <w:pPr>
              <w:jc w:val="center"/>
              <w:rPr>
                <w:szCs w:val="24"/>
              </w:rPr>
            </w:pPr>
            <w:r w:rsidRPr="00661B39">
              <w:rPr>
                <w:szCs w:val="24"/>
              </w:rPr>
              <w:t>July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790</w:t>
            </w:r>
          </w:p>
        </w:tc>
        <w:tc>
          <w:tcPr>
            <w:tcW w:w="647" w:type="pct"/>
          </w:tcPr>
          <w:p w:rsidR="00CC726C" w:rsidRPr="00661B39" w:rsidRDefault="00CC726C" w:rsidP="001E4EE7">
            <w:pPr>
              <w:jc w:val="center"/>
              <w:rPr>
                <w:szCs w:val="24"/>
              </w:rPr>
            </w:pPr>
            <w:r w:rsidRPr="00661B39">
              <w:rPr>
                <w:szCs w:val="24"/>
              </w:rPr>
              <w:t>July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393</w:t>
            </w:r>
          </w:p>
        </w:tc>
        <w:tc>
          <w:tcPr>
            <w:tcW w:w="647" w:type="pct"/>
          </w:tcPr>
          <w:p w:rsidR="00CC726C" w:rsidRPr="00661B39" w:rsidRDefault="00CC726C" w:rsidP="001E4EE7">
            <w:pPr>
              <w:jc w:val="center"/>
              <w:rPr>
                <w:szCs w:val="24"/>
              </w:rPr>
            </w:pPr>
            <w:r w:rsidRPr="00661B39">
              <w:rPr>
                <w:szCs w:val="24"/>
              </w:rPr>
              <w:t>July 1</w:t>
            </w:r>
          </w:p>
        </w:tc>
        <w:tc>
          <w:tcPr>
            <w:tcW w:w="603" w:type="pct"/>
          </w:tcPr>
          <w:p w:rsidR="00CC726C" w:rsidRPr="00661B39" w:rsidRDefault="00CC726C" w:rsidP="001E4EE7">
            <w:pPr>
              <w:jc w:val="center"/>
              <w:rPr>
                <w:szCs w:val="24"/>
              </w:rPr>
            </w:pPr>
            <w:r w:rsidRPr="00661B39">
              <w:rPr>
                <w:szCs w:val="24"/>
              </w:rPr>
              <w:t>3</w:t>
            </w:r>
            <w:r w:rsidR="001E4EE7" w:rsidRPr="00661B39">
              <w:rPr>
                <w:szCs w:val="24"/>
              </w:rPr>
              <w:t>,</w:t>
            </w:r>
            <w:r w:rsidRPr="00661B39">
              <w:rPr>
                <w:szCs w:val="24"/>
              </w:rPr>
              <w:t>000</w:t>
            </w:r>
          </w:p>
        </w:tc>
      </w:tr>
      <w:tr w:rsidR="00CC726C" w:rsidRPr="00661B39" w:rsidTr="001E4EE7">
        <w:tc>
          <w:tcPr>
            <w:tcW w:w="647" w:type="pct"/>
          </w:tcPr>
          <w:p w:rsidR="00CC726C" w:rsidRPr="00661B39" w:rsidRDefault="00CC726C" w:rsidP="001E4EE7">
            <w:pPr>
              <w:jc w:val="center"/>
              <w:rPr>
                <w:szCs w:val="24"/>
              </w:rPr>
            </w:pPr>
            <w:r w:rsidRPr="00661B39">
              <w:rPr>
                <w:szCs w:val="24"/>
              </w:rPr>
              <w:t>Oct.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341</w:t>
            </w:r>
          </w:p>
        </w:tc>
        <w:tc>
          <w:tcPr>
            <w:tcW w:w="647" w:type="pct"/>
          </w:tcPr>
          <w:p w:rsidR="00CC726C" w:rsidRPr="00661B39" w:rsidRDefault="00CC726C" w:rsidP="001E4EE7">
            <w:pPr>
              <w:jc w:val="center"/>
              <w:rPr>
                <w:szCs w:val="24"/>
              </w:rPr>
            </w:pPr>
            <w:r w:rsidRPr="00661B39">
              <w:rPr>
                <w:szCs w:val="24"/>
              </w:rPr>
              <w:t>Aug.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841</w:t>
            </w:r>
          </w:p>
        </w:tc>
        <w:tc>
          <w:tcPr>
            <w:tcW w:w="647" w:type="pct"/>
          </w:tcPr>
          <w:p w:rsidR="00CC726C" w:rsidRPr="00661B39" w:rsidRDefault="00CC726C" w:rsidP="001E4EE7">
            <w:pPr>
              <w:jc w:val="center"/>
              <w:rPr>
                <w:szCs w:val="24"/>
              </w:rPr>
            </w:pPr>
            <w:r w:rsidRPr="00661B39">
              <w:rPr>
                <w:szCs w:val="24"/>
              </w:rPr>
              <w:t>Aug.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445</w:t>
            </w:r>
          </w:p>
        </w:tc>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r>
      <w:tr w:rsidR="00CC726C" w:rsidRPr="00661B39" w:rsidTr="001E4EE7">
        <w:tc>
          <w:tcPr>
            <w:tcW w:w="647" w:type="pct"/>
          </w:tcPr>
          <w:p w:rsidR="00CC726C" w:rsidRPr="00661B39" w:rsidRDefault="00CC726C" w:rsidP="001E4EE7">
            <w:pPr>
              <w:jc w:val="center"/>
              <w:rPr>
                <w:szCs w:val="24"/>
              </w:rPr>
            </w:pPr>
            <w:r w:rsidRPr="00661B39">
              <w:rPr>
                <w:szCs w:val="24"/>
              </w:rPr>
              <w:t>Nov.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391</w:t>
            </w:r>
          </w:p>
        </w:tc>
        <w:tc>
          <w:tcPr>
            <w:tcW w:w="647" w:type="pct"/>
          </w:tcPr>
          <w:p w:rsidR="00CC726C" w:rsidRPr="00661B39" w:rsidRDefault="00CC726C" w:rsidP="001E4EE7">
            <w:pPr>
              <w:jc w:val="center"/>
              <w:rPr>
                <w:szCs w:val="24"/>
              </w:rPr>
            </w:pPr>
            <w:r w:rsidRPr="00661B39">
              <w:rPr>
                <w:szCs w:val="24"/>
              </w:rPr>
              <w:t>Sept.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892</w:t>
            </w:r>
          </w:p>
        </w:tc>
        <w:tc>
          <w:tcPr>
            <w:tcW w:w="647" w:type="pct"/>
          </w:tcPr>
          <w:p w:rsidR="00CC726C" w:rsidRPr="00661B39" w:rsidRDefault="00CC726C" w:rsidP="001E4EE7">
            <w:pPr>
              <w:jc w:val="center"/>
              <w:rPr>
                <w:szCs w:val="24"/>
              </w:rPr>
            </w:pPr>
            <w:r w:rsidRPr="00661B39">
              <w:rPr>
                <w:szCs w:val="24"/>
              </w:rPr>
              <w:t>Sept.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497</w:t>
            </w:r>
          </w:p>
        </w:tc>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r>
      <w:tr w:rsidR="00CC726C" w:rsidRPr="00661B39" w:rsidTr="001E4EE7">
        <w:tc>
          <w:tcPr>
            <w:tcW w:w="647" w:type="pct"/>
          </w:tcPr>
          <w:p w:rsidR="00CC726C" w:rsidRPr="00661B39" w:rsidRDefault="00CC726C" w:rsidP="001E4EE7">
            <w:pPr>
              <w:jc w:val="center"/>
              <w:rPr>
                <w:szCs w:val="24"/>
              </w:rPr>
            </w:pPr>
            <w:r w:rsidRPr="00661B39">
              <w:rPr>
                <w:szCs w:val="24"/>
              </w:rPr>
              <w:t>Dec.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441</w:t>
            </w:r>
          </w:p>
        </w:tc>
        <w:tc>
          <w:tcPr>
            <w:tcW w:w="647" w:type="pct"/>
          </w:tcPr>
          <w:p w:rsidR="00CC726C" w:rsidRPr="00661B39" w:rsidRDefault="00CC726C" w:rsidP="001E4EE7">
            <w:pPr>
              <w:jc w:val="center"/>
              <w:rPr>
                <w:szCs w:val="24"/>
              </w:rPr>
            </w:pPr>
            <w:r w:rsidRPr="00661B39">
              <w:rPr>
                <w:szCs w:val="24"/>
              </w:rPr>
              <w:t>Oct.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941</w:t>
            </w:r>
          </w:p>
        </w:tc>
        <w:tc>
          <w:tcPr>
            <w:tcW w:w="647" w:type="pct"/>
          </w:tcPr>
          <w:p w:rsidR="00CC726C" w:rsidRPr="00661B39" w:rsidRDefault="00CC726C" w:rsidP="001E4EE7">
            <w:pPr>
              <w:jc w:val="center"/>
              <w:rPr>
                <w:szCs w:val="24"/>
              </w:rPr>
            </w:pPr>
            <w:r w:rsidRPr="00661B39">
              <w:rPr>
                <w:szCs w:val="24"/>
              </w:rPr>
              <w:t>Oct.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546</w:t>
            </w:r>
          </w:p>
        </w:tc>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r>
      <w:tr w:rsidR="00CC726C" w:rsidRPr="00661B39" w:rsidTr="001E4EE7">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c>
          <w:tcPr>
            <w:tcW w:w="647" w:type="pct"/>
          </w:tcPr>
          <w:p w:rsidR="00CC726C" w:rsidRPr="00661B39" w:rsidRDefault="00CC726C" w:rsidP="001E4EE7">
            <w:pPr>
              <w:jc w:val="center"/>
              <w:rPr>
                <w:szCs w:val="24"/>
              </w:rPr>
            </w:pPr>
            <w:r w:rsidRPr="00661B39">
              <w:rPr>
                <w:szCs w:val="24"/>
              </w:rPr>
              <w:t>Nov. 1</w:t>
            </w:r>
          </w:p>
        </w:tc>
        <w:tc>
          <w:tcPr>
            <w:tcW w:w="603" w:type="pct"/>
          </w:tcPr>
          <w:p w:rsidR="00CC726C" w:rsidRPr="00661B39" w:rsidRDefault="00CC726C" w:rsidP="001E4EE7">
            <w:pPr>
              <w:jc w:val="center"/>
              <w:rPr>
                <w:szCs w:val="24"/>
              </w:rPr>
            </w:pPr>
            <w:r w:rsidRPr="00661B39">
              <w:rPr>
                <w:szCs w:val="24"/>
              </w:rPr>
              <w:t>1</w:t>
            </w:r>
            <w:r w:rsidR="001E4EE7" w:rsidRPr="00661B39">
              <w:rPr>
                <w:szCs w:val="24"/>
              </w:rPr>
              <w:t>,</w:t>
            </w:r>
            <w:r w:rsidRPr="00661B39">
              <w:rPr>
                <w:szCs w:val="24"/>
              </w:rPr>
              <w:t>992</w:t>
            </w:r>
          </w:p>
        </w:tc>
        <w:tc>
          <w:tcPr>
            <w:tcW w:w="647" w:type="pct"/>
          </w:tcPr>
          <w:p w:rsidR="00CC726C" w:rsidRPr="00661B39" w:rsidRDefault="00CC726C" w:rsidP="001E4EE7">
            <w:pPr>
              <w:jc w:val="center"/>
              <w:rPr>
                <w:szCs w:val="24"/>
              </w:rPr>
            </w:pPr>
            <w:r w:rsidRPr="00661B39">
              <w:rPr>
                <w:szCs w:val="24"/>
              </w:rPr>
              <w:t>Nov.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598</w:t>
            </w:r>
          </w:p>
        </w:tc>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r>
      <w:tr w:rsidR="00CC726C" w:rsidRPr="00661B39" w:rsidTr="001E4EE7">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c>
          <w:tcPr>
            <w:tcW w:w="647" w:type="pct"/>
          </w:tcPr>
          <w:p w:rsidR="00CC726C" w:rsidRPr="00661B39" w:rsidRDefault="00CC726C" w:rsidP="001E4EE7">
            <w:pPr>
              <w:jc w:val="center"/>
              <w:rPr>
                <w:szCs w:val="24"/>
              </w:rPr>
            </w:pPr>
            <w:r w:rsidRPr="00661B39">
              <w:rPr>
                <w:szCs w:val="24"/>
              </w:rPr>
              <w:t>Dec.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041</w:t>
            </w:r>
          </w:p>
        </w:tc>
        <w:tc>
          <w:tcPr>
            <w:tcW w:w="647" w:type="pct"/>
          </w:tcPr>
          <w:p w:rsidR="00CC726C" w:rsidRPr="00661B39" w:rsidRDefault="00CC726C" w:rsidP="001E4EE7">
            <w:pPr>
              <w:jc w:val="center"/>
              <w:rPr>
                <w:szCs w:val="24"/>
              </w:rPr>
            </w:pPr>
            <w:r w:rsidRPr="00661B39">
              <w:rPr>
                <w:szCs w:val="24"/>
              </w:rPr>
              <w:t>Dec. 1</w:t>
            </w:r>
          </w:p>
        </w:tc>
        <w:tc>
          <w:tcPr>
            <w:tcW w:w="603" w:type="pct"/>
          </w:tcPr>
          <w:p w:rsidR="00CC726C" w:rsidRPr="00661B39" w:rsidRDefault="00CC726C" w:rsidP="001E4EE7">
            <w:pPr>
              <w:jc w:val="center"/>
              <w:rPr>
                <w:szCs w:val="24"/>
              </w:rPr>
            </w:pPr>
            <w:r w:rsidRPr="00661B39">
              <w:rPr>
                <w:szCs w:val="24"/>
              </w:rPr>
              <w:t>2</w:t>
            </w:r>
            <w:r w:rsidR="001E4EE7" w:rsidRPr="00661B39">
              <w:rPr>
                <w:szCs w:val="24"/>
              </w:rPr>
              <w:t>,</w:t>
            </w:r>
            <w:r w:rsidRPr="00661B39">
              <w:rPr>
                <w:szCs w:val="24"/>
              </w:rPr>
              <w:t>647</w:t>
            </w:r>
          </w:p>
        </w:tc>
        <w:tc>
          <w:tcPr>
            <w:tcW w:w="647" w:type="pct"/>
          </w:tcPr>
          <w:p w:rsidR="00CC726C" w:rsidRPr="00661B39" w:rsidRDefault="00CC726C" w:rsidP="001E4EE7">
            <w:pPr>
              <w:jc w:val="center"/>
              <w:rPr>
                <w:szCs w:val="24"/>
              </w:rPr>
            </w:pPr>
          </w:p>
        </w:tc>
        <w:tc>
          <w:tcPr>
            <w:tcW w:w="603" w:type="pct"/>
          </w:tcPr>
          <w:p w:rsidR="00CC726C" w:rsidRPr="00661B39" w:rsidRDefault="00CC726C" w:rsidP="001E4EE7">
            <w:pPr>
              <w:jc w:val="center"/>
              <w:rPr>
                <w:szCs w:val="24"/>
              </w:rPr>
            </w:pPr>
          </w:p>
        </w:tc>
      </w:tr>
    </w:tbl>
    <w:p w:rsidR="00FD20FB" w:rsidRDefault="00FD20FB" w:rsidP="00CC726C">
      <w:pPr>
        <w:rPr>
          <w:szCs w:val="24"/>
        </w:rPr>
      </w:pPr>
    </w:p>
    <w:p w:rsidR="00D67559" w:rsidRPr="00661B39" w:rsidRDefault="00D67559" w:rsidP="00CC726C">
      <w:pPr>
        <w:rPr>
          <w:szCs w:val="24"/>
        </w:rPr>
      </w:pPr>
    </w:p>
    <w:tbl>
      <w:tblPr>
        <w:tblStyle w:val="TableGrid"/>
        <w:tblW w:w="5000" w:type="pct"/>
        <w:tblLook w:val="04A0"/>
      </w:tblPr>
      <w:tblGrid>
        <w:gridCol w:w="1376"/>
        <w:gridCol w:w="1816"/>
        <w:gridCol w:w="1377"/>
        <w:gridCol w:w="1816"/>
        <w:gridCol w:w="1377"/>
        <w:gridCol w:w="1814"/>
      </w:tblGrid>
      <w:tr w:rsidR="008918A7" w:rsidRPr="00661B39" w:rsidTr="001E4EE7">
        <w:trPr>
          <w:trHeight w:val="548"/>
        </w:trPr>
        <w:tc>
          <w:tcPr>
            <w:tcW w:w="5000" w:type="pct"/>
            <w:gridSpan w:val="6"/>
          </w:tcPr>
          <w:p w:rsidR="008918A7" w:rsidRPr="00D67559" w:rsidRDefault="008918A7" w:rsidP="008918A7">
            <w:pPr>
              <w:jc w:val="center"/>
              <w:rPr>
                <w:b/>
                <w:sz w:val="20"/>
                <w:szCs w:val="20"/>
              </w:rPr>
            </w:pPr>
          </w:p>
          <w:p w:rsidR="008918A7" w:rsidRPr="00661B39" w:rsidRDefault="008918A7" w:rsidP="008918A7">
            <w:pPr>
              <w:jc w:val="center"/>
              <w:rPr>
                <w:b/>
                <w:szCs w:val="24"/>
              </w:rPr>
            </w:pPr>
            <w:r w:rsidRPr="00661B39">
              <w:rPr>
                <w:b/>
                <w:szCs w:val="24"/>
              </w:rPr>
              <w:t>SUPPORTED EMPLOYMENT</w:t>
            </w:r>
          </w:p>
          <w:p w:rsidR="008918A7" w:rsidRPr="00D67559" w:rsidRDefault="008918A7" w:rsidP="008918A7">
            <w:pPr>
              <w:rPr>
                <w:sz w:val="20"/>
                <w:szCs w:val="20"/>
              </w:rPr>
            </w:pPr>
          </w:p>
        </w:tc>
      </w:tr>
      <w:tr w:rsidR="008918A7" w:rsidRPr="00661B39" w:rsidTr="00FD20FB">
        <w:tc>
          <w:tcPr>
            <w:tcW w:w="719" w:type="pct"/>
            <w:vAlign w:val="center"/>
          </w:tcPr>
          <w:p w:rsidR="008918A7" w:rsidRPr="00D67559" w:rsidRDefault="008918A7" w:rsidP="00FD20FB">
            <w:pPr>
              <w:jc w:val="center"/>
              <w:rPr>
                <w:b/>
                <w:sz w:val="21"/>
                <w:szCs w:val="21"/>
              </w:rPr>
            </w:pPr>
            <w:r w:rsidRPr="00D67559">
              <w:rPr>
                <w:b/>
                <w:sz w:val="21"/>
                <w:szCs w:val="21"/>
              </w:rPr>
              <w:t>2017 Compliance Date</w:t>
            </w:r>
          </w:p>
        </w:tc>
        <w:tc>
          <w:tcPr>
            <w:tcW w:w="948" w:type="pct"/>
            <w:vAlign w:val="center"/>
          </w:tcPr>
          <w:p w:rsidR="008918A7" w:rsidRPr="00D67559" w:rsidRDefault="008918A7" w:rsidP="00FD20FB">
            <w:pPr>
              <w:jc w:val="center"/>
              <w:rPr>
                <w:b/>
                <w:sz w:val="12"/>
                <w:szCs w:val="12"/>
              </w:rPr>
            </w:pPr>
          </w:p>
          <w:p w:rsidR="008918A7" w:rsidRPr="00D67559" w:rsidRDefault="008918A7" w:rsidP="00FD20FB">
            <w:pPr>
              <w:jc w:val="center"/>
              <w:rPr>
                <w:b/>
                <w:sz w:val="21"/>
                <w:szCs w:val="21"/>
              </w:rPr>
            </w:pPr>
            <w:r w:rsidRPr="00D67559">
              <w:rPr>
                <w:b/>
                <w:sz w:val="21"/>
                <w:szCs w:val="21"/>
              </w:rPr>
              <w:t>Number of Individuals in Target Population Receiving SES</w:t>
            </w:r>
          </w:p>
          <w:p w:rsidR="00FD20FB" w:rsidRPr="00D67559" w:rsidRDefault="00FD20FB" w:rsidP="00FD20FB">
            <w:pPr>
              <w:jc w:val="center"/>
              <w:rPr>
                <w:b/>
                <w:sz w:val="12"/>
                <w:szCs w:val="12"/>
              </w:rPr>
            </w:pPr>
          </w:p>
        </w:tc>
        <w:tc>
          <w:tcPr>
            <w:tcW w:w="719" w:type="pct"/>
            <w:vAlign w:val="center"/>
          </w:tcPr>
          <w:p w:rsidR="008918A7" w:rsidRPr="00D67559" w:rsidRDefault="008918A7" w:rsidP="00FD20FB">
            <w:pPr>
              <w:jc w:val="center"/>
              <w:rPr>
                <w:b/>
                <w:sz w:val="21"/>
                <w:szCs w:val="21"/>
              </w:rPr>
            </w:pPr>
            <w:r w:rsidRPr="00D67559">
              <w:rPr>
                <w:b/>
                <w:sz w:val="21"/>
                <w:szCs w:val="21"/>
              </w:rPr>
              <w:t>2018 Compliance Date</w:t>
            </w:r>
          </w:p>
        </w:tc>
        <w:tc>
          <w:tcPr>
            <w:tcW w:w="948" w:type="pct"/>
            <w:vAlign w:val="center"/>
          </w:tcPr>
          <w:p w:rsidR="008918A7" w:rsidRPr="00D67559" w:rsidRDefault="008918A7" w:rsidP="00FD20FB">
            <w:pPr>
              <w:jc w:val="center"/>
              <w:rPr>
                <w:b/>
                <w:sz w:val="21"/>
                <w:szCs w:val="21"/>
              </w:rPr>
            </w:pPr>
            <w:r w:rsidRPr="00D67559">
              <w:rPr>
                <w:b/>
                <w:sz w:val="21"/>
                <w:szCs w:val="21"/>
              </w:rPr>
              <w:t>Number of Individuals in Target Population Receiving SES</w:t>
            </w:r>
          </w:p>
        </w:tc>
        <w:tc>
          <w:tcPr>
            <w:tcW w:w="719" w:type="pct"/>
            <w:vAlign w:val="center"/>
          </w:tcPr>
          <w:p w:rsidR="008918A7" w:rsidRPr="00D67559" w:rsidRDefault="008918A7" w:rsidP="00FD20FB">
            <w:pPr>
              <w:jc w:val="center"/>
              <w:rPr>
                <w:b/>
                <w:sz w:val="21"/>
                <w:szCs w:val="21"/>
              </w:rPr>
            </w:pPr>
            <w:r w:rsidRPr="00D67559">
              <w:rPr>
                <w:b/>
                <w:sz w:val="21"/>
                <w:szCs w:val="21"/>
              </w:rPr>
              <w:t>2019 Compliance Date</w:t>
            </w:r>
          </w:p>
        </w:tc>
        <w:tc>
          <w:tcPr>
            <w:tcW w:w="948" w:type="pct"/>
            <w:vAlign w:val="center"/>
          </w:tcPr>
          <w:p w:rsidR="008918A7" w:rsidRPr="00D67559" w:rsidRDefault="008918A7" w:rsidP="00FD20FB">
            <w:pPr>
              <w:jc w:val="center"/>
              <w:rPr>
                <w:b/>
                <w:sz w:val="21"/>
                <w:szCs w:val="21"/>
              </w:rPr>
            </w:pPr>
            <w:r w:rsidRPr="00D67559">
              <w:rPr>
                <w:b/>
                <w:sz w:val="21"/>
                <w:szCs w:val="21"/>
              </w:rPr>
              <w:t>Number of Individuals in Target Population Receiving SES</w:t>
            </w:r>
          </w:p>
        </w:tc>
      </w:tr>
      <w:tr w:rsidR="008918A7" w:rsidRPr="00661B39" w:rsidTr="001E4EE7">
        <w:tc>
          <w:tcPr>
            <w:tcW w:w="719" w:type="pct"/>
          </w:tcPr>
          <w:p w:rsidR="008918A7" w:rsidRPr="00661B39" w:rsidRDefault="008918A7" w:rsidP="008918A7">
            <w:pPr>
              <w:jc w:val="center"/>
              <w:rPr>
                <w:szCs w:val="24"/>
              </w:rPr>
            </w:pPr>
            <w:r w:rsidRPr="00661B39">
              <w:rPr>
                <w:szCs w:val="24"/>
              </w:rPr>
              <w:t>Mar. 1</w:t>
            </w:r>
          </w:p>
        </w:tc>
        <w:tc>
          <w:tcPr>
            <w:tcW w:w="948" w:type="pct"/>
          </w:tcPr>
          <w:p w:rsidR="008918A7" w:rsidRPr="00661B39" w:rsidRDefault="008918A7" w:rsidP="008918A7">
            <w:pPr>
              <w:jc w:val="center"/>
              <w:rPr>
                <w:szCs w:val="24"/>
              </w:rPr>
            </w:pPr>
            <w:r w:rsidRPr="00661B39">
              <w:rPr>
                <w:szCs w:val="24"/>
              </w:rPr>
              <w:t>1,002</w:t>
            </w:r>
          </w:p>
        </w:tc>
        <w:tc>
          <w:tcPr>
            <w:tcW w:w="719" w:type="pct"/>
          </w:tcPr>
          <w:p w:rsidR="008918A7" w:rsidRPr="00661B39" w:rsidRDefault="008918A7" w:rsidP="008918A7">
            <w:pPr>
              <w:jc w:val="center"/>
              <w:rPr>
                <w:szCs w:val="24"/>
              </w:rPr>
            </w:pPr>
            <w:r w:rsidRPr="00661B39">
              <w:rPr>
                <w:szCs w:val="24"/>
              </w:rPr>
              <w:t>Jan. 1</w:t>
            </w:r>
          </w:p>
        </w:tc>
        <w:tc>
          <w:tcPr>
            <w:tcW w:w="948" w:type="pct"/>
          </w:tcPr>
          <w:p w:rsidR="008918A7" w:rsidRPr="00661B39" w:rsidRDefault="008918A7" w:rsidP="008918A7">
            <w:pPr>
              <w:jc w:val="center"/>
              <w:rPr>
                <w:szCs w:val="24"/>
              </w:rPr>
            </w:pPr>
            <w:r w:rsidRPr="00661B39">
              <w:rPr>
                <w:szCs w:val="24"/>
              </w:rPr>
              <w:t>1,538</w:t>
            </w:r>
          </w:p>
        </w:tc>
        <w:tc>
          <w:tcPr>
            <w:tcW w:w="719" w:type="pct"/>
          </w:tcPr>
          <w:p w:rsidR="008918A7" w:rsidRPr="00661B39" w:rsidRDefault="008918A7" w:rsidP="008918A7">
            <w:pPr>
              <w:jc w:val="center"/>
              <w:rPr>
                <w:szCs w:val="24"/>
              </w:rPr>
            </w:pPr>
            <w:r w:rsidRPr="00661B39">
              <w:rPr>
                <w:szCs w:val="24"/>
              </w:rPr>
              <w:t>Jan. 1</w:t>
            </w:r>
          </w:p>
        </w:tc>
        <w:tc>
          <w:tcPr>
            <w:tcW w:w="948" w:type="pct"/>
          </w:tcPr>
          <w:p w:rsidR="008918A7" w:rsidRPr="00661B39" w:rsidRDefault="008918A7" w:rsidP="008918A7">
            <w:pPr>
              <w:jc w:val="center"/>
              <w:rPr>
                <w:szCs w:val="24"/>
              </w:rPr>
            </w:pPr>
            <w:r w:rsidRPr="00661B39">
              <w:rPr>
                <w:szCs w:val="24"/>
              </w:rPr>
              <w:t>2,180</w:t>
            </w:r>
          </w:p>
        </w:tc>
      </w:tr>
      <w:tr w:rsidR="008918A7" w:rsidRPr="00661B39" w:rsidTr="001E4EE7">
        <w:tc>
          <w:tcPr>
            <w:tcW w:w="719" w:type="pct"/>
          </w:tcPr>
          <w:p w:rsidR="008918A7" w:rsidRPr="00661B39" w:rsidRDefault="008918A7" w:rsidP="008918A7">
            <w:pPr>
              <w:jc w:val="center"/>
              <w:rPr>
                <w:szCs w:val="24"/>
              </w:rPr>
            </w:pPr>
            <w:r w:rsidRPr="00661B39">
              <w:rPr>
                <w:szCs w:val="24"/>
              </w:rPr>
              <w:t>April 1</w:t>
            </w:r>
          </w:p>
        </w:tc>
        <w:tc>
          <w:tcPr>
            <w:tcW w:w="948" w:type="pct"/>
          </w:tcPr>
          <w:p w:rsidR="008918A7" w:rsidRPr="00661B39" w:rsidRDefault="008918A7" w:rsidP="008918A7">
            <w:pPr>
              <w:jc w:val="center"/>
              <w:rPr>
                <w:szCs w:val="24"/>
              </w:rPr>
            </w:pPr>
            <w:r w:rsidRPr="00661B39">
              <w:rPr>
                <w:szCs w:val="24"/>
              </w:rPr>
              <w:t>1,056</w:t>
            </w:r>
          </w:p>
        </w:tc>
        <w:tc>
          <w:tcPr>
            <w:tcW w:w="719" w:type="pct"/>
          </w:tcPr>
          <w:p w:rsidR="008918A7" w:rsidRPr="00661B39" w:rsidRDefault="008918A7" w:rsidP="008918A7">
            <w:pPr>
              <w:jc w:val="center"/>
              <w:rPr>
                <w:szCs w:val="24"/>
              </w:rPr>
            </w:pPr>
            <w:r w:rsidRPr="00661B39">
              <w:rPr>
                <w:szCs w:val="24"/>
              </w:rPr>
              <w:t>Feb. 1</w:t>
            </w:r>
          </w:p>
        </w:tc>
        <w:tc>
          <w:tcPr>
            <w:tcW w:w="948" w:type="pct"/>
          </w:tcPr>
          <w:p w:rsidR="008918A7" w:rsidRPr="00661B39" w:rsidRDefault="008918A7" w:rsidP="008918A7">
            <w:pPr>
              <w:jc w:val="center"/>
              <w:rPr>
                <w:szCs w:val="24"/>
              </w:rPr>
            </w:pPr>
            <w:r w:rsidRPr="00661B39">
              <w:rPr>
                <w:szCs w:val="24"/>
              </w:rPr>
              <w:t>1,592</w:t>
            </w:r>
          </w:p>
        </w:tc>
        <w:tc>
          <w:tcPr>
            <w:tcW w:w="719" w:type="pct"/>
          </w:tcPr>
          <w:p w:rsidR="008918A7" w:rsidRPr="00661B39" w:rsidRDefault="008918A7" w:rsidP="008918A7">
            <w:pPr>
              <w:jc w:val="center"/>
              <w:rPr>
                <w:szCs w:val="24"/>
              </w:rPr>
            </w:pPr>
            <w:r w:rsidRPr="00661B39">
              <w:rPr>
                <w:szCs w:val="24"/>
              </w:rPr>
              <w:t>Feb. 1</w:t>
            </w:r>
          </w:p>
        </w:tc>
        <w:tc>
          <w:tcPr>
            <w:tcW w:w="948" w:type="pct"/>
          </w:tcPr>
          <w:p w:rsidR="008918A7" w:rsidRPr="00661B39" w:rsidRDefault="008918A7" w:rsidP="008918A7">
            <w:pPr>
              <w:jc w:val="center"/>
              <w:rPr>
                <w:szCs w:val="24"/>
              </w:rPr>
            </w:pPr>
            <w:r w:rsidRPr="00661B39">
              <w:rPr>
                <w:szCs w:val="24"/>
              </w:rPr>
              <w:t>2,234</w:t>
            </w:r>
          </w:p>
        </w:tc>
      </w:tr>
      <w:tr w:rsidR="008918A7" w:rsidRPr="00661B39" w:rsidTr="001E4EE7">
        <w:tc>
          <w:tcPr>
            <w:tcW w:w="719" w:type="pct"/>
          </w:tcPr>
          <w:p w:rsidR="008918A7" w:rsidRPr="00661B39" w:rsidRDefault="008918A7" w:rsidP="008918A7">
            <w:pPr>
              <w:jc w:val="center"/>
              <w:rPr>
                <w:szCs w:val="24"/>
              </w:rPr>
            </w:pPr>
            <w:r w:rsidRPr="00661B39">
              <w:rPr>
                <w:szCs w:val="24"/>
              </w:rPr>
              <w:t>May 1</w:t>
            </w:r>
          </w:p>
        </w:tc>
        <w:tc>
          <w:tcPr>
            <w:tcW w:w="948" w:type="pct"/>
          </w:tcPr>
          <w:p w:rsidR="008918A7" w:rsidRPr="00661B39" w:rsidRDefault="008918A7" w:rsidP="008918A7">
            <w:pPr>
              <w:jc w:val="center"/>
              <w:rPr>
                <w:szCs w:val="24"/>
              </w:rPr>
            </w:pPr>
            <w:r w:rsidRPr="00661B39">
              <w:rPr>
                <w:szCs w:val="24"/>
              </w:rPr>
              <w:t>1,109</w:t>
            </w:r>
          </w:p>
        </w:tc>
        <w:tc>
          <w:tcPr>
            <w:tcW w:w="719" w:type="pct"/>
          </w:tcPr>
          <w:p w:rsidR="008918A7" w:rsidRPr="00661B39" w:rsidRDefault="008918A7" w:rsidP="008918A7">
            <w:pPr>
              <w:jc w:val="center"/>
              <w:rPr>
                <w:szCs w:val="24"/>
              </w:rPr>
            </w:pPr>
            <w:r w:rsidRPr="00661B39">
              <w:rPr>
                <w:szCs w:val="24"/>
              </w:rPr>
              <w:t>Mar. 1</w:t>
            </w:r>
          </w:p>
        </w:tc>
        <w:tc>
          <w:tcPr>
            <w:tcW w:w="948" w:type="pct"/>
          </w:tcPr>
          <w:p w:rsidR="008918A7" w:rsidRPr="00661B39" w:rsidRDefault="008918A7" w:rsidP="008918A7">
            <w:pPr>
              <w:jc w:val="center"/>
              <w:rPr>
                <w:szCs w:val="24"/>
              </w:rPr>
            </w:pPr>
            <w:r w:rsidRPr="00661B39">
              <w:rPr>
                <w:szCs w:val="24"/>
              </w:rPr>
              <w:t>1,644</w:t>
            </w:r>
          </w:p>
        </w:tc>
        <w:tc>
          <w:tcPr>
            <w:tcW w:w="719" w:type="pct"/>
          </w:tcPr>
          <w:p w:rsidR="008918A7" w:rsidRPr="00661B39" w:rsidRDefault="008918A7" w:rsidP="008918A7">
            <w:pPr>
              <w:jc w:val="center"/>
              <w:rPr>
                <w:szCs w:val="24"/>
              </w:rPr>
            </w:pPr>
            <w:r w:rsidRPr="00661B39">
              <w:rPr>
                <w:szCs w:val="24"/>
              </w:rPr>
              <w:t>Mar. 1</w:t>
            </w:r>
          </w:p>
        </w:tc>
        <w:tc>
          <w:tcPr>
            <w:tcW w:w="948" w:type="pct"/>
          </w:tcPr>
          <w:p w:rsidR="008918A7" w:rsidRPr="00661B39" w:rsidRDefault="008918A7" w:rsidP="008918A7">
            <w:pPr>
              <w:jc w:val="center"/>
              <w:rPr>
                <w:szCs w:val="24"/>
              </w:rPr>
            </w:pPr>
            <w:r w:rsidRPr="00661B39">
              <w:rPr>
                <w:szCs w:val="24"/>
              </w:rPr>
              <w:t>2,286</w:t>
            </w:r>
          </w:p>
        </w:tc>
      </w:tr>
      <w:tr w:rsidR="008918A7" w:rsidRPr="00661B39" w:rsidTr="001E4EE7">
        <w:tc>
          <w:tcPr>
            <w:tcW w:w="719" w:type="pct"/>
          </w:tcPr>
          <w:p w:rsidR="008918A7" w:rsidRPr="00661B39" w:rsidRDefault="008918A7" w:rsidP="008918A7">
            <w:pPr>
              <w:jc w:val="center"/>
              <w:rPr>
                <w:szCs w:val="24"/>
              </w:rPr>
            </w:pPr>
            <w:r w:rsidRPr="00661B39">
              <w:rPr>
                <w:szCs w:val="24"/>
              </w:rPr>
              <w:t>June 1</w:t>
            </w:r>
          </w:p>
        </w:tc>
        <w:tc>
          <w:tcPr>
            <w:tcW w:w="948" w:type="pct"/>
          </w:tcPr>
          <w:p w:rsidR="008918A7" w:rsidRPr="00661B39" w:rsidRDefault="008918A7" w:rsidP="008918A7">
            <w:pPr>
              <w:jc w:val="center"/>
              <w:rPr>
                <w:szCs w:val="24"/>
              </w:rPr>
            </w:pPr>
            <w:r w:rsidRPr="00661B39">
              <w:rPr>
                <w:szCs w:val="24"/>
              </w:rPr>
              <w:t>1,163</w:t>
            </w:r>
          </w:p>
        </w:tc>
        <w:tc>
          <w:tcPr>
            <w:tcW w:w="719" w:type="pct"/>
          </w:tcPr>
          <w:p w:rsidR="008918A7" w:rsidRPr="00661B39" w:rsidRDefault="008918A7" w:rsidP="008918A7">
            <w:pPr>
              <w:jc w:val="center"/>
              <w:rPr>
                <w:szCs w:val="24"/>
              </w:rPr>
            </w:pPr>
            <w:r w:rsidRPr="00661B39">
              <w:rPr>
                <w:szCs w:val="24"/>
              </w:rPr>
              <w:t>April 1</w:t>
            </w:r>
          </w:p>
        </w:tc>
        <w:tc>
          <w:tcPr>
            <w:tcW w:w="948" w:type="pct"/>
          </w:tcPr>
          <w:p w:rsidR="008918A7" w:rsidRPr="00661B39" w:rsidRDefault="008918A7" w:rsidP="008918A7">
            <w:pPr>
              <w:jc w:val="center"/>
              <w:rPr>
                <w:szCs w:val="24"/>
              </w:rPr>
            </w:pPr>
            <w:r w:rsidRPr="00661B39">
              <w:rPr>
                <w:szCs w:val="24"/>
              </w:rPr>
              <w:t>1,698</w:t>
            </w:r>
          </w:p>
        </w:tc>
        <w:tc>
          <w:tcPr>
            <w:tcW w:w="719" w:type="pct"/>
          </w:tcPr>
          <w:p w:rsidR="008918A7" w:rsidRPr="00661B39" w:rsidRDefault="008918A7" w:rsidP="008918A7">
            <w:pPr>
              <w:jc w:val="center"/>
              <w:rPr>
                <w:szCs w:val="24"/>
              </w:rPr>
            </w:pPr>
            <w:r w:rsidRPr="00661B39">
              <w:rPr>
                <w:szCs w:val="24"/>
              </w:rPr>
              <w:t>April 1</w:t>
            </w:r>
          </w:p>
        </w:tc>
        <w:tc>
          <w:tcPr>
            <w:tcW w:w="948" w:type="pct"/>
          </w:tcPr>
          <w:p w:rsidR="008918A7" w:rsidRPr="00661B39" w:rsidRDefault="008918A7" w:rsidP="008918A7">
            <w:pPr>
              <w:jc w:val="center"/>
              <w:rPr>
                <w:szCs w:val="24"/>
              </w:rPr>
            </w:pPr>
            <w:r w:rsidRPr="00661B39">
              <w:rPr>
                <w:szCs w:val="24"/>
              </w:rPr>
              <w:t>2,340</w:t>
            </w:r>
          </w:p>
        </w:tc>
      </w:tr>
      <w:tr w:rsidR="008918A7" w:rsidRPr="00661B39" w:rsidTr="001E4EE7">
        <w:tc>
          <w:tcPr>
            <w:tcW w:w="719" w:type="pct"/>
          </w:tcPr>
          <w:p w:rsidR="008918A7" w:rsidRPr="00661B39" w:rsidRDefault="008918A7" w:rsidP="008918A7">
            <w:pPr>
              <w:jc w:val="center"/>
              <w:rPr>
                <w:szCs w:val="24"/>
              </w:rPr>
            </w:pPr>
            <w:r w:rsidRPr="00661B39">
              <w:rPr>
                <w:szCs w:val="24"/>
              </w:rPr>
              <w:t>July 1</w:t>
            </w:r>
          </w:p>
        </w:tc>
        <w:tc>
          <w:tcPr>
            <w:tcW w:w="948" w:type="pct"/>
          </w:tcPr>
          <w:p w:rsidR="008918A7" w:rsidRPr="00661B39" w:rsidRDefault="008918A7" w:rsidP="008918A7">
            <w:pPr>
              <w:jc w:val="center"/>
              <w:rPr>
                <w:szCs w:val="24"/>
              </w:rPr>
            </w:pPr>
            <w:r w:rsidRPr="00661B39">
              <w:rPr>
                <w:szCs w:val="24"/>
              </w:rPr>
              <w:t>1,216</w:t>
            </w:r>
          </w:p>
        </w:tc>
        <w:tc>
          <w:tcPr>
            <w:tcW w:w="719" w:type="pct"/>
          </w:tcPr>
          <w:p w:rsidR="008918A7" w:rsidRPr="00661B39" w:rsidRDefault="008918A7" w:rsidP="008918A7">
            <w:pPr>
              <w:jc w:val="center"/>
              <w:rPr>
                <w:szCs w:val="24"/>
              </w:rPr>
            </w:pPr>
            <w:r w:rsidRPr="00661B39">
              <w:rPr>
                <w:szCs w:val="24"/>
              </w:rPr>
              <w:t>May 1</w:t>
            </w:r>
          </w:p>
        </w:tc>
        <w:tc>
          <w:tcPr>
            <w:tcW w:w="948" w:type="pct"/>
          </w:tcPr>
          <w:p w:rsidR="008918A7" w:rsidRPr="00661B39" w:rsidRDefault="008918A7" w:rsidP="008918A7">
            <w:pPr>
              <w:jc w:val="center"/>
              <w:rPr>
                <w:szCs w:val="24"/>
              </w:rPr>
            </w:pPr>
            <w:r w:rsidRPr="00661B39">
              <w:rPr>
                <w:szCs w:val="24"/>
              </w:rPr>
              <w:t>1,751</w:t>
            </w:r>
          </w:p>
        </w:tc>
        <w:tc>
          <w:tcPr>
            <w:tcW w:w="719" w:type="pct"/>
          </w:tcPr>
          <w:p w:rsidR="008918A7" w:rsidRPr="00661B39" w:rsidRDefault="008918A7" w:rsidP="008918A7">
            <w:pPr>
              <w:jc w:val="center"/>
              <w:rPr>
                <w:szCs w:val="24"/>
              </w:rPr>
            </w:pPr>
            <w:r w:rsidRPr="00661B39">
              <w:rPr>
                <w:szCs w:val="24"/>
              </w:rPr>
              <w:t>May 1</w:t>
            </w:r>
          </w:p>
        </w:tc>
        <w:tc>
          <w:tcPr>
            <w:tcW w:w="948" w:type="pct"/>
          </w:tcPr>
          <w:p w:rsidR="008918A7" w:rsidRPr="00661B39" w:rsidRDefault="008918A7" w:rsidP="008918A7">
            <w:pPr>
              <w:jc w:val="center"/>
              <w:rPr>
                <w:szCs w:val="24"/>
              </w:rPr>
            </w:pPr>
            <w:r w:rsidRPr="00661B39">
              <w:rPr>
                <w:szCs w:val="24"/>
              </w:rPr>
              <w:t>2,393</w:t>
            </w:r>
          </w:p>
        </w:tc>
      </w:tr>
      <w:tr w:rsidR="008918A7" w:rsidRPr="00661B39" w:rsidTr="001E4EE7">
        <w:tc>
          <w:tcPr>
            <w:tcW w:w="719" w:type="pct"/>
          </w:tcPr>
          <w:p w:rsidR="008918A7" w:rsidRPr="00661B39" w:rsidRDefault="008918A7" w:rsidP="008918A7">
            <w:pPr>
              <w:jc w:val="center"/>
              <w:rPr>
                <w:szCs w:val="24"/>
              </w:rPr>
            </w:pPr>
            <w:r w:rsidRPr="00661B39">
              <w:rPr>
                <w:szCs w:val="24"/>
              </w:rPr>
              <w:t>Aug. 1</w:t>
            </w:r>
          </w:p>
        </w:tc>
        <w:tc>
          <w:tcPr>
            <w:tcW w:w="948" w:type="pct"/>
          </w:tcPr>
          <w:p w:rsidR="008918A7" w:rsidRPr="00661B39" w:rsidRDefault="008918A7" w:rsidP="008918A7">
            <w:pPr>
              <w:jc w:val="center"/>
              <w:rPr>
                <w:szCs w:val="24"/>
              </w:rPr>
            </w:pPr>
            <w:r w:rsidRPr="00661B39">
              <w:rPr>
                <w:szCs w:val="24"/>
              </w:rPr>
              <w:t>1,270</w:t>
            </w:r>
          </w:p>
        </w:tc>
        <w:tc>
          <w:tcPr>
            <w:tcW w:w="719" w:type="pct"/>
          </w:tcPr>
          <w:p w:rsidR="008918A7" w:rsidRPr="00661B39" w:rsidRDefault="008918A7" w:rsidP="008918A7">
            <w:pPr>
              <w:jc w:val="center"/>
              <w:rPr>
                <w:szCs w:val="24"/>
              </w:rPr>
            </w:pPr>
            <w:r w:rsidRPr="00661B39">
              <w:rPr>
                <w:szCs w:val="24"/>
              </w:rPr>
              <w:t>June 1</w:t>
            </w:r>
          </w:p>
        </w:tc>
        <w:tc>
          <w:tcPr>
            <w:tcW w:w="948" w:type="pct"/>
          </w:tcPr>
          <w:p w:rsidR="008918A7" w:rsidRPr="00661B39" w:rsidRDefault="008918A7" w:rsidP="008918A7">
            <w:pPr>
              <w:jc w:val="center"/>
              <w:rPr>
                <w:szCs w:val="24"/>
              </w:rPr>
            </w:pPr>
            <w:r w:rsidRPr="00661B39">
              <w:rPr>
                <w:szCs w:val="24"/>
              </w:rPr>
              <w:t>1,805</w:t>
            </w:r>
          </w:p>
        </w:tc>
        <w:tc>
          <w:tcPr>
            <w:tcW w:w="719" w:type="pct"/>
          </w:tcPr>
          <w:p w:rsidR="008918A7" w:rsidRPr="00661B39" w:rsidRDefault="008918A7" w:rsidP="008918A7">
            <w:pPr>
              <w:jc w:val="center"/>
              <w:rPr>
                <w:szCs w:val="24"/>
              </w:rPr>
            </w:pPr>
            <w:r w:rsidRPr="00661B39">
              <w:rPr>
                <w:szCs w:val="24"/>
              </w:rPr>
              <w:t>June 1</w:t>
            </w:r>
          </w:p>
        </w:tc>
        <w:tc>
          <w:tcPr>
            <w:tcW w:w="948" w:type="pct"/>
          </w:tcPr>
          <w:p w:rsidR="008918A7" w:rsidRPr="00661B39" w:rsidRDefault="008918A7" w:rsidP="008918A7">
            <w:pPr>
              <w:jc w:val="center"/>
              <w:rPr>
                <w:szCs w:val="24"/>
              </w:rPr>
            </w:pPr>
            <w:r w:rsidRPr="00661B39">
              <w:rPr>
                <w:szCs w:val="24"/>
              </w:rPr>
              <w:t>2,447</w:t>
            </w:r>
          </w:p>
        </w:tc>
      </w:tr>
      <w:tr w:rsidR="008918A7" w:rsidRPr="00661B39" w:rsidTr="001E4EE7">
        <w:tc>
          <w:tcPr>
            <w:tcW w:w="719" w:type="pct"/>
          </w:tcPr>
          <w:p w:rsidR="008918A7" w:rsidRPr="00661B39" w:rsidRDefault="008918A7" w:rsidP="008918A7">
            <w:pPr>
              <w:jc w:val="center"/>
              <w:rPr>
                <w:szCs w:val="24"/>
              </w:rPr>
            </w:pPr>
            <w:r w:rsidRPr="00661B39">
              <w:rPr>
                <w:szCs w:val="24"/>
              </w:rPr>
              <w:t>Sept. 1</w:t>
            </w:r>
          </w:p>
        </w:tc>
        <w:tc>
          <w:tcPr>
            <w:tcW w:w="948" w:type="pct"/>
          </w:tcPr>
          <w:p w:rsidR="008918A7" w:rsidRPr="00661B39" w:rsidRDefault="008918A7" w:rsidP="008918A7">
            <w:pPr>
              <w:jc w:val="center"/>
              <w:rPr>
                <w:szCs w:val="24"/>
              </w:rPr>
            </w:pPr>
            <w:r w:rsidRPr="00661B39">
              <w:rPr>
                <w:szCs w:val="24"/>
              </w:rPr>
              <w:t>1,324</w:t>
            </w:r>
          </w:p>
        </w:tc>
        <w:tc>
          <w:tcPr>
            <w:tcW w:w="719" w:type="pct"/>
          </w:tcPr>
          <w:p w:rsidR="008918A7" w:rsidRPr="00661B39" w:rsidRDefault="008918A7" w:rsidP="008918A7">
            <w:pPr>
              <w:jc w:val="center"/>
              <w:rPr>
                <w:szCs w:val="24"/>
              </w:rPr>
            </w:pPr>
            <w:r w:rsidRPr="00661B39">
              <w:rPr>
                <w:szCs w:val="24"/>
              </w:rPr>
              <w:t>July 1</w:t>
            </w:r>
          </w:p>
        </w:tc>
        <w:tc>
          <w:tcPr>
            <w:tcW w:w="948" w:type="pct"/>
          </w:tcPr>
          <w:p w:rsidR="008918A7" w:rsidRPr="00661B39" w:rsidRDefault="008918A7" w:rsidP="008918A7">
            <w:pPr>
              <w:jc w:val="center"/>
              <w:rPr>
                <w:szCs w:val="24"/>
              </w:rPr>
            </w:pPr>
            <w:r w:rsidRPr="00661B39">
              <w:rPr>
                <w:szCs w:val="24"/>
              </w:rPr>
              <w:t>1,858</w:t>
            </w:r>
          </w:p>
        </w:tc>
        <w:tc>
          <w:tcPr>
            <w:tcW w:w="719" w:type="pct"/>
          </w:tcPr>
          <w:p w:rsidR="008918A7" w:rsidRPr="00661B39" w:rsidRDefault="008918A7" w:rsidP="008918A7">
            <w:pPr>
              <w:jc w:val="center"/>
              <w:rPr>
                <w:szCs w:val="24"/>
              </w:rPr>
            </w:pPr>
            <w:r w:rsidRPr="00661B39">
              <w:rPr>
                <w:szCs w:val="24"/>
              </w:rPr>
              <w:t>July 1</w:t>
            </w:r>
          </w:p>
        </w:tc>
        <w:tc>
          <w:tcPr>
            <w:tcW w:w="948" w:type="pct"/>
          </w:tcPr>
          <w:p w:rsidR="008918A7" w:rsidRPr="00661B39" w:rsidRDefault="008918A7" w:rsidP="008918A7">
            <w:pPr>
              <w:jc w:val="center"/>
              <w:rPr>
                <w:szCs w:val="24"/>
              </w:rPr>
            </w:pPr>
            <w:r w:rsidRPr="00661B39">
              <w:rPr>
                <w:szCs w:val="24"/>
              </w:rPr>
              <w:t>2,500</w:t>
            </w:r>
          </w:p>
        </w:tc>
      </w:tr>
      <w:tr w:rsidR="008918A7" w:rsidRPr="00661B39" w:rsidTr="001E4EE7">
        <w:tc>
          <w:tcPr>
            <w:tcW w:w="719" w:type="pct"/>
          </w:tcPr>
          <w:p w:rsidR="008918A7" w:rsidRPr="00661B39" w:rsidRDefault="008918A7" w:rsidP="008918A7">
            <w:pPr>
              <w:jc w:val="center"/>
              <w:rPr>
                <w:szCs w:val="24"/>
              </w:rPr>
            </w:pPr>
            <w:r w:rsidRPr="00661B39">
              <w:rPr>
                <w:szCs w:val="24"/>
              </w:rPr>
              <w:t>Oct. 1</w:t>
            </w:r>
          </w:p>
        </w:tc>
        <w:tc>
          <w:tcPr>
            <w:tcW w:w="948" w:type="pct"/>
          </w:tcPr>
          <w:p w:rsidR="008918A7" w:rsidRPr="00661B39" w:rsidRDefault="008918A7" w:rsidP="008918A7">
            <w:pPr>
              <w:jc w:val="center"/>
              <w:rPr>
                <w:szCs w:val="24"/>
              </w:rPr>
            </w:pPr>
            <w:r w:rsidRPr="00661B39">
              <w:rPr>
                <w:szCs w:val="24"/>
              </w:rPr>
              <w:t>1,377</w:t>
            </w:r>
          </w:p>
        </w:tc>
        <w:tc>
          <w:tcPr>
            <w:tcW w:w="719" w:type="pct"/>
          </w:tcPr>
          <w:p w:rsidR="008918A7" w:rsidRPr="00661B39" w:rsidRDefault="008918A7" w:rsidP="008918A7">
            <w:pPr>
              <w:jc w:val="center"/>
              <w:rPr>
                <w:szCs w:val="24"/>
              </w:rPr>
            </w:pPr>
            <w:r w:rsidRPr="00661B39">
              <w:rPr>
                <w:szCs w:val="24"/>
              </w:rPr>
              <w:t>Aug. 1</w:t>
            </w:r>
          </w:p>
        </w:tc>
        <w:tc>
          <w:tcPr>
            <w:tcW w:w="948" w:type="pct"/>
          </w:tcPr>
          <w:p w:rsidR="008918A7" w:rsidRPr="00661B39" w:rsidRDefault="008918A7" w:rsidP="008918A7">
            <w:pPr>
              <w:jc w:val="center"/>
              <w:rPr>
                <w:szCs w:val="24"/>
              </w:rPr>
            </w:pPr>
            <w:r w:rsidRPr="00661B39">
              <w:rPr>
                <w:szCs w:val="24"/>
              </w:rPr>
              <w:t>1,912</w:t>
            </w:r>
          </w:p>
        </w:tc>
        <w:tc>
          <w:tcPr>
            <w:tcW w:w="719" w:type="pct"/>
          </w:tcPr>
          <w:p w:rsidR="008918A7" w:rsidRPr="00661B39" w:rsidRDefault="008918A7" w:rsidP="008918A7">
            <w:pPr>
              <w:rPr>
                <w:szCs w:val="24"/>
              </w:rPr>
            </w:pPr>
          </w:p>
        </w:tc>
        <w:tc>
          <w:tcPr>
            <w:tcW w:w="948" w:type="pct"/>
          </w:tcPr>
          <w:p w:rsidR="008918A7" w:rsidRPr="00661B39" w:rsidRDefault="008918A7" w:rsidP="008918A7">
            <w:pPr>
              <w:jc w:val="center"/>
              <w:rPr>
                <w:szCs w:val="24"/>
              </w:rPr>
            </w:pPr>
          </w:p>
        </w:tc>
      </w:tr>
      <w:tr w:rsidR="008918A7" w:rsidRPr="00661B39" w:rsidTr="001E4EE7">
        <w:tc>
          <w:tcPr>
            <w:tcW w:w="719" w:type="pct"/>
          </w:tcPr>
          <w:p w:rsidR="008918A7" w:rsidRPr="00661B39" w:rsidRDefault="008918A7" w:rsidP="008918A7">
            <w:pPr>
              <w:jc w:val="center"/>
              <w:rPr>
                <w:szCs w:val="24"/>
              </w:rPr>
            </w:pPr>
            <w:r w:rsidRPr="00661B39">
              <w:rPr>
                <w:szCs w:val="24"/>
              </w:rPr>
              <w:t>Nov. 1</w:t>
            </w:r>
          </w:p>
        </w:tc>
        <w:tc>
          <w:tcPr>
            <w:tcW w:w="948" w:type="pct"/>
          </w:tcPr>
          <w:p w:rsidR="008918A7" w:rsidRPr="00661B39" w:rsidRDefault="008918A7" w:rsidP="008918A7">
            <w:pPr>
              <w:jc w:val="center"/>
              <w:rPr>
                <w:szCs w:val="24"/>
              </w:rPr>
            </w:pPr>
            <w:r w:rsidRPr="00661B39">
              <w:rPr>
                <w:szCs w:val="24"/>
              </w:rPr>
              <w:t>1,431</w:t>
            </w:r>
          </w:p>
        </w:tc>
        <w:tc>
          <w:tcPr>
            <w:tcW w:w="719" w:type="pct"/>
          </w:tcPr>
          <w:p w:rsidR="008918A7" w:rsidRPr="00661B39" w:rsidRDefault="008918A7" w:rsidP="008918A7">
            <w:pPr>
              <w:jc w:val="center"/>
              <w:rPr>
                <w:szCs w:val="24"/>
              </w:rPr>
            </w:pPr>
            <w:r w:rsidRPr="00661B39">
              <w:rPr>
                <w:szCs w:val="24"/>
              </w:rPr>
              <w:t>Sept. 1</w:t>
            </w:r>
          </w:p>
        </w:tc>
        <w:tc>
          <w:tcPr>
            <w:tcW w:w="948" w:type="pct"/>
          </w:tcPr>
          <w:p w:rsidR="008918A7" w:rsidRPr="00661B39" w:rsidRDefault="008918A7" w:rsidP="008918A7">
            <w:pPr>
              <w:jc w:val="center"/>
              <w:rPr>
                <w:szCs w:val="24"/>
              </w:rPr>
            </w:pPr>
            <w:r w:rsidRPr="00661B39">
              <w:rPr>
                <w:szCs w:val="24"/>
              </w:rPr>
              <w:t>1,966</w:t>
            </w:r>
          </w:p>
        </w:tc>
        <w:tc>
          <w:tcPr>
            <w:tcW w:w="719" w:type="pct"/>
          </w:tcPr>
          <w:p w:rsidR="008918A7" w:rsidRPr="00661B39" w:rsidRDefault="008918A7" w:rsidP="008918A7">
            <w:pPr>
              <w:rPr>
                <w:szCs w:val="24"/>
              </w:rPr>
            </w:pPr>
          </w:p>
        </w:tc>
        <w:tc>
          <w:tcPr>
            <w:tcW w:w="948" w:type="pct"/>
          </w:tcPr>
          <w:p w:rsidR="008918A7" w:rsidRPr="00661B39" w:rsidRDefault="008918A7" w:rsidP="008918A7">
            <w:pPr>
              <w:rPr>
                <w:szCs w:val="24"/>
              </w:rPr>
            </w:pPr>
          </w:p>
        </w:tc>
      </w:tr>
      <w:tr w:rsidR="008918A7" w:rsidRPr="00661B39" w:rsidTr="001E4EE7">
        <w:tc>
          <w:tcPr>
            <w:tcW w:w="719" w:type="pct"/>
          </w:tcPr>
          <w:p w:rsidR="008918A7" w:rsidRPr="00661B39" w:rsidRDefault="008918A7" w:rsidP="008918A7">
            <w:pPr>
              <w:jc w:val="center"/>
              <w:rPr>
                <w:szCs w:val="24"/>
              </w:rPr>
            </w:pPr>
            <w:r w:rsidRPr="00661B39">
              <w:rPr>
                <w:szCs w:val="24"/>
              </w:rPr>
              <w:t>Dec. 1</w:t>
            </w:r>
          </w:p>
        </w:tc>
        <w:tc>
          <w:tcPr>
            <w:tcW w:w="948" w:type="pct"/>
          </w:tcPr>
          <w:p w:rsidR="008918A7" w:rsidRPr="00661B39" w:rsidRDefault="008918A7" w:rsidP="008918A7">
            <w:pPr>
              <w:jc w:val="center"/>
              <w:rPr>
                <w:szCs w:val="24"/>
              </w:rPr>
            </w:pPr>
            <w:r w:rsidRPr="00661B39">
              <w:rPr>
                <w:szCs w:val="24"/>
              </w:rPr>
              <w:t>1,484</w:t>
            </w:r>
          </w:p>
        </w:tc>
        <w:tc>
          <w:tcPr>
            <w:tcW w:w="719" w:type="pct"/>
          </w:tcPr>
          <w:p w:rsidR="008918A7" w:rsidRPr="00661B39" w:rsidRDefault="008918A7" w:rsidP="008918A7">
            <w:pPr>
              <w:jc w:val="center"/>
              <w:rPr>
                <w:szCs w:val="24"/>
              </w:rPr>
            </w:pPr>
            <w:r w:rsidRPr="00661B39">
              <w:rPr>
                <w:szCs w:val="24"/>
              </w:rPr>
              <w:t>Oct. 1</w:t>
            </w:r>
          </w:p>
        </w:tc>
        <w:tc>
          <w:tcPr>
            <w:tcW w:w="948" w:type="pct"/>
          </w:tcPr>
          <w:p w:rsidR="008918A7" w:rsidRPr="00661B39" w:rsidRDefault="008918A7" w:rsidP="008918A7">
            <w:pPr>
              <w:jc w:val="center"/>
              <w:rPr>
                <w:szCs w:val="24"/>
              </w:rPr>
            </w:pPr>
            <w:r w:rsidRPr="00661B39">
              <w:rPr>
                <w:szCs w:val="24"/>
              </w:rPr>
              <w:t>2,019</w:t>
            </w:r>
          </w:p>
        </w:tc>
        <w:tc>
          <w:tcPr>
            <w:tcW w:w="719" w:type="pct"/>
          </w:tcPr>
          <w:p w:rsidR="008918A7" w:rsidRPr="00661B39" w:rsidRDefault="008918A7" w:rsidP="008918A7">
            <w:pPr>
              <w:rPr>
                <w:szCs w:val="24"/>
              </w:rPr>
            </w:pPr>
          </w:p>
        </w:tc>
        <w:tc>
          <w:tcPr>
            <w:tcW w:w="948" w:type="pct"/>
          </w:tcPr>
          <w:p w:rsidR="008918A7" w:rsidRPr="00661B39" w:rsidRDefault="008918A7" w:rsidP="008918A7">
            <w:pPr>
              <w:rPr>
                <w:szCs w:val="24"/>
              </w:rPr>
            </w:pPr>
          </w:p>
        </w:tc>
      </w:tr>
      <w:tr w:rsidR="008918A7" w:rsidRPr="00661B39" w:rsidTr="001E4EE7">
        <w:tc>
          <w:tcPr>
            <w:tcW w:w="719" w:type="pct"/>
          </w:tcPr>
          <w:p w:rsidR="008918A7" w:rsidRPr="00661B39" w:rsidRDefault="008918A7" w:rsidP="008918A7">
            <w:pPr>
              <w:rPr>
                <w:szCs w:val="24"/>
              </w:rPr>
            </w:pPr>
          </w:p>
        </w:tc>
        <w:tc>
          <w:tcPr>
            <w:tcW w:w="948" w:type="pct"/>
          </w:tcPr>
          <w:p w:rsidR="008918A7" w:rsidRPr="00661B39" w:rsidRDefault="008918A7" w:rsidP="008918A7">
            <w:pPr>
              <w:rPr>
                <w:szCs w:val="24"/>
              </w:rPr>
            </w:pPr>
          </w:p>
        </w:tc>
        <w:tc>
          <w:tcPr>
            <w:tcW w:w="719" w:type="pct"/>
          </w:tcPr>
          <w:p w:rsidR="008918A7" w:rsidRPr="00661B39" w:rsidRDefault="008918A7" w:rsidP="008918A7">
            <w:pPr>
              <w:jc w:val="center"/>
              <w:rPr>
                <w:szCs w:val="24"/>
              </w:rPr>
            </w:pPr>
            <w:r w:rsidRPr="00661B39">
              <w:rPr>
                <w:szCs w:val="24"/>
              </w:rPr>
              <w:t>Nov. 1</w:t>
            </w:r>
          </w:p>
        </w:tc>
        <w:tc>
          <w:tcPr>
            <w:tcW w:w="948" w:type="pct"/>
          </w:tcPr>
          <w:p w:rsidR="008918A7" w:rsidRPr="00661B39" w:rsidRDefault="008918A7" w:rsidP="008918A7">
            <w:pPr>
              <w:jc w:val="center"/>
              <w:rPr>
                <w:szCs w:val="24"/>
              </w:rPr>
            </w:pPr>
            <w:r w:rsidRPr="00661B39">
              <w:rPr>
                <w:szCs w:val="24"/>
              </w:rPr>
              <w:t>2,073</w:t>
            </w:r>
          </w:p>
        </w:tc>
        <w:tc>
          <w:tcPr>
            <w:tcW w:w="719" w:type="pct"/>
          </w:tcPr>
          <w:p w:rsidR="008918A7" w:rsidRPr="00661B39" w:rsidRDefault="008918A7" w:rsidP="008918A7">
            <w:pPr>
              <w:rPr>
                <w:szCs w:val="24"/>
              </w:rPr>
            </w:pPr>
          </w:p>
        </w:tc>
        <w:tc>
          <w:tcPr>
            <w:tcW w:w="948" w:type="pct"/>
          </w:tcPr>
          <w:p w:rsidR="008918A7" w:rsidRPr="00661B39" w:rsidRDefault="008918A7" w:rsidP="008918A7">
            <w:pPr>
              <w:rPr>
                <w:szCs w:val="24"/>
              </w:rPr>
            </w:pPr>
          </w:p>
        </w:tc>
      </w:tr>
      <w:tr w:rsidR="008918A7" w:rsidRPr="00661B39" w:rsidTr="001E4EE7">
        <w:trPr>
          <w:trHeight w:val="55"/>
        </w:trPr>
        <w:tc>
          <w:tcPr>
            <w:tcW w:w="719" w:type="pct"/>
          </w:tcPr>
          <w:p w:rsidR="008918A7" w:rsidRPr="00661B39" w:rsidRDefault="008918A7" w:rsidP="008918A7">
            <w:pPr>
              <w:rPr>
                <w:szCs w:val="24"/>
              </w:rPr>
            </w:pPr>
          </w:p>
        </w:tc>
        <w:tc>
          <w:tcPr>
            <w:tcW w:w="948" w:type="pct"/>
          </w:tcPr>
          <w:p w:rsidR="008918A7" w:rsidRPr="00661B39" w:rsidRDefault="008918A7" w:rsidP="008918A7">
            <w:pPr>
              <w:rPr>
                <w:szCs w:val="24"/>
              </w:rPr>
            </w:pPr>
          </w:p>
        </w:tc>
        <w:tc>
          <w:tcPr>
            <w:tcW w:w="719" w:type="pct"/>
          </w:tcPr>
          <w:p w:rsidR="008918A7" w:rsidRPr="00661B39" w:rsidRDefault="008918A7" w:rsidP="008918A7">
            <w:pPr>
              <w:jc w:val="center"/>
              <w:rPr>
                <w:szCs w:val="24"/>
              </w:rPr>
            </w:pPr>
            <w:r w:rsidRPr="00661B39">
              <w:rPr>
                <w:szCs w:val="24"/>
              </w:rPr>
              <w:t>Dec. 1</w:t>
            </w:r>
          </w:p>
        </w:tc>
        <w:tc>
          <w:tcPr>
            <w:tcW w:w="948" w:type="pct"/>
          </w:tcPr>
          <w:p w:rsidR="008918A7" w:rsidRPr="00661B39" w:rsidRDefault="008918A7" w:rsidP="008918A7">
            <w:pPr>
              <w:jc w:val="center"/>
              <w:rPr>
                <w:szCs w:val="24"/>
              </w:rPr>
            </w:pPr>
            <w:r w:rsidRPr="00661B39">
              <w:rPr>
                <w:szCs w:val="24"/>
              </w:rPr>
              <w:t>2,126</w:t>
            </w:r>
          </w:p>
        </w:tc>
        <w:tc>
          <w:tcPr>
            <w:tcW w:w="719" w:type="pct"/>
          </w:tcPr>
          <w:p w:rsidR="008918A7" w:rsidRPr="00661B39" w:rsidRDefault="008918A7" w:rsidP="008918A7">
            <w:pPr>
              <w:rPr>
                <w:szCs w:val="24"/>
              </w:rPr>
            </w:pPr>
          </w:p>
        </w:tc>
        <w:tc>
          <w:tcPr>
            <w:tcW w:w="948" w:type="pct"/>
          </w:tcPr>
          <w:p w:rsidR="008918A7" w:rsidRPr="00661B39" w:rsidRDefault="008918A7" w:rsidP="008918A7">
            <w:pPr>
              <w:rPr>
                <w:szCs w:val="24"/>
              </w:rPr>
            </w:pPr>
          </w:p>
        </w:tc>
      </w:tr>
    </w:tbl>
    <w:p w:rsidR="008918A7" w:rsidRPr="00661B39" w:rsidRDefault="008918A7" w:rsidP="008918A7">
      <w:pPr>
        <w:rPr>
          <w:szCs w:val="24"/>
        </w:rPr>
      </w:pPr>
    </w:p>
    <w:p w:rsidR="00D90A8A" w:rsidRPr="00661B39" w:rsidRDefault="001F3C5E" w:rsidP="00681F5D">
      <w:pPr>
        <w:pStyle w:val="ListParagraph"/>
        <w:tabs>
          <w:tab w:val="center" w:pos="5400"/>
        </w:tabs>
        <w:autoSpaceDE w:val="0"/>
        <w:autoSpaceDN w:val="0"/>
        <w:adjustRightInd w:val="0"/>
        <w:spacing w:line="480" w:lineRule="auto"/>
        <w:ind w:left="1440"/>
        <w:jc w:val="both"/>
        <w:rPr>
          <w:rFonts w:ascii="Times New Roman" w:hAnsi="Times New Roman"/>
          <w:sz w:val="24"/>
          <w:szCs w:val="24"/>
        </w:rPr>
      </w:pPr>
      <w:r w:rsidRPr="00661B39">
        <w:rPr>
          <w:rFonts w:ascii="Times New Roman" w:eastAsia="Times New Roman" w:hAnsi="Times New Roman"/>
          <w:sz w:val="24"/>
          <w:szCs w:val="24"/>
        </w:rPr>
        <w:t>and</w:t>
      </w:r>
      <w:r w:rsidR="00D90A8A" w:rsidRPr="00661B39">
        <w:rPr>
          <w:rFonts w:ascii="Times New Roman" w:eastAsia="Times New Roman" w:hAnsi="Times New Roman"/>
          <w:sz w:val="24"/>
          <w:szCs w:val="24"/>
        </w:rPr>
        <w:t>;</w:t>
      </w:r>
      <w:r w:rsidR="00681F5D" w:rsidRPr="00661B39">
        <w:rPr>
          <w:rFonts w:ascii="Times New Roman" w:eastAsia="Times New Roman" w:hAnsi="Times New Roman"/>
          <w:sz w:val="24"/>
          <w:szCs w:val="24"/>
        </w:rPr>
        <w:tab/>
      </w:r>
    </w:p>
    <w:p w:rsidR="00D90A8A" w:rsidRPr="00661B39" w:rsidRDefault="00D90A8A" w:rsidP="00D90A8A">
      <w:pPr>
        <w:pStyle w:val="ListParagraph"/>
        <w:numPr>
          <w:ilvl w:val="0"/>
          <w:numId w:val="3"/>
        </w:numPr>
        <w:autoSpaceDE w:val="0"/>
        <w:autoSpaceDN w:val="0"/>
        <w:adjustRightInd w:val="0"/>
        <w:spacing w:line="480" w:lineRule="auto"/>
        <w:jc w:val="both"/>
        <w:rPr>
          <w:rFonts w:ascii="Times New Roman" w:hAnsi="Times New Roman"/>
          <w:sz w:val="24"/>
          <w:szCs w:val="24"/>
        </w:rPr>
      </w:pPr>
      <w:r w:rsidRPr="00661B39">
        <w:rPr>
          <w:rFonts w:ascii="Times New Roman" w:hAnsi="Times New Roman"/>
          <w:sz w:val="24"/>
          <w:szCs w:val="24"/>
        </w:rPr>
        <w:t>Sets quarterly status conferences at which the State must report on its progress toward compliance</w:t>
      </w:r>
      <w:r w:rsidR="001F3C5E" w:rsidRPr="00661B39">
        <w:rPr>
          <w:rFonts w:ascii="Times New Roman" w:hAnsi="Times New Roman"/>
          <w:sz w:val="24"/>
          <w:szCs w:val="24"/>
        </w:rPr>
        <w:t>, beginning with an initial</w:t>
      </w:r>
      <w:r w:rsidR="001E4EE7" w:rsidRPr="00661B39">
        <w:rPr>
          <w:rFonts w:ascii="Times New Roman" w:hAnsi="Times New Roman"/>
          <w:sz w:val="24"/>
          <w:szCs w:val="24"/>
        </w:rPr>
        <w:t xml:space="preserve"> status conference on _______</w:t>
      </w:r>
      <w:r w:rsidR="001F3C5E" w:rsidRPr="00661B39">
        <w:rPr>
          <w:rFonts w:ascii="Times New Roman" w:hAnsi="Times New Roman"/>
          <w:sz w:val="24"/>
          <w:szCs w:val="24"/>
        </w:rPr>
        <w:t>, 2017</w:t>
      </w:r>
      <w:r w:rsidR="001C6062" w:rsidRPr="00661B39">
        <w:rPr>
          <w:rFonts w:ascii="Times New Roman" w:hAnsi="Times New Roman"/>
          <w:sz w:val="24"/>
          <w:szCs w:val="24"/>
        </w:rPr>
        <w:t>.</w:t>
      </w:r>
      <w:r w:rsidRPr="00661B39">
        <w:rPr>
          <w:rFonts w:ascii="Times New Roman" w:hAnsi="Times New Roman"/>
          <w:sz w:val="24"/>
          <w:szCs w:val="24"/>
        </w:rPr>
        <w:t xml:space="preserve">  </w:t>
      </w:r>
    </w:p>
    <w:p w:rsidR="00D67559" w:rsidRDefault="00D67559" w:rsidP="00D90A8A">
      <w:pPr>
        <w:autoSpaceDE w:val="0"/>
        <w:autoSpaceDN w:val="0"/>
        <w:adjustRightInd w:val="0"/>
        <w:spacing w:line="480" w:lineRule="auto"/>
        <w:jc w:val="both"/>
        <w:rPr>
          <w:szCs w:val="24"/>
        </w:rPr>
      </w:pPr>
    </w:p>
    <w:p w:rsidR="00D90A8A" w:rsidRPr="00661B39" w:rsidRDefault="00D90A8A" w:rsidP="00D90A8A">
      <w:pPr>
        <w:autoSpaceDE w:val="0"/>
        <w:autoSpaceDN w:val="0"/>
        <w:adjustRightInd w:val="0"/>
        <w:spacing w:line="480" w:lineRule="auto"/>
        <w:jc w:val="both"/>
        <w:rPr>
          <w:szCs w:val="24"/>
        </w:rPr>
      </w:pPr>
      <w:r w:rsidRPr="00661B39">
        <w:rPr>
          <w:szCs w:val="24"/>
        </w:rPr>
        <w:t>SO ORDERED</w:t>
      </w:r>
      <w:r w:rsidR="001F3C5E" w:rsidRPr="00661B39">
        <w:rPr>
          <w:szCs w:val="24"/>
        </w:rPr>
        <w:t>,</w:t>
      </w:r>
    </w:p>
    <w:p w:rsidR="001E4EE7" w:rsidRPr="00661B39" w:rsidRDefault="00D67559" w:rsidP="001E4EE7">
      <w:pPr>
        <w:autoSpaceDE w:val="0"/>
        <w:autoSpaceDN w:val="0"/>
        <w:adjustRightInd w:val="0"/>
        <w:jc w:val="both"/>
        <w:rPr>
          <w:szCs w:val="24"/>
        </w:rPr>
      </w:pPr>
      <w:r>
        <w:rPr>
          <w:szCs w:val="24"/>
        </w:rPr>
        <w:t xml:space="preserve">This </w:t>
      </w:r>
      <w:r w:rsidR="008C07B7">
        <w:rPr>
          <w:szCs w:val="24"/>
        </w:rPr>
        <w:t>___</w:t>
      </w:r>
      <w:r>
        <w:rPr>
          <w:szCs w:val="24"/>
        </w:rPr>
        <w:t xml:space="preserve"> day of </w:t>
      </w:r>
      <w:r w:rsidR="008C07B7">
        <w:rPr>
          <w:szCs w:val="24"/>
        </w:rPr>
        <w:t>_____</w:t>
      </w:r>
      <w:r>
        <w:rPr>
          <w:szCs w:val="24"/>
        </w:rPr>
        <w:t xml:space="preserve"> </w:t>
      </w:r>
      <w:r w:rsidR="00D90A8A" w:rsidRPr="00661B39">
        <w:rPr>
          <w:szCs w:val="24"/>
        </w:rPr>
        <w:t>20</w:t>
      </w:r>
      <w:r w:rsidR="001F3C5E" w:rsidRPr="00661B39">
        <w:rPr>
          <w:szCs w:val="24"/>
        </w:rPr>
        <w:t>17.</w:t>
      </w:r>
      <w:r w:rsidR="00D90A8A" w:rsidRPr="00661B39">
        <w:rPr>
          <w:szCs w:val="24"/>
        </w:rPr>
        <w:tab/>
      </w:r>
      <w:r w:rsidR="00D90A8A" w:rsidRPr="00661B39">
        <w:rPr>
          <w:szCs w:val="24"/>
        </w:rPr>
        <w:tab/>
      </w:r>
      <w:r w:rsidR="00D90A8A" w:rsidRPr="00661B39">
        <w:rPr>
          <w:szCs w:val="24"/>
        </w:rPr>
        <w:tab/>
      </w:r>
      <w:r w:rsidR="00D90A8A" w:rsidRPr="00661B39">
        <w:rPr>
          <w:szCs w:val="24"/>
        </w:rPr>
        <w:tab/>
        <w:t>_______________________</w:t>
      </w:r>
    </w:p>
    <w:p w:rsidR="00D90A8A" w:rsidRPr="00661B39" w:rsidRDefault="001E4EE7" w:rsidP="001E4EE7">
      <w:pPr>
        <w:autoSpaceDE w:val="0"/>
        <w:autoSpaceDN w:val="0"/>
        <w:adjustRightInd w:val="0"/>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00D90A8A" w:rsidRPr="00661B39">
        <w:rPr>
          <w:szCs w:val="24"/>
        </w:rPr>
        <w:t>JAMES C. FOX</w:t>
      </w:r>
    </w:p>
    <w:p w:rsidR="00AE741C" w:rsidRPr="00661B39" w:rsidRDefault="00D90A8A" w:rsidP="001E4EE7">
      <w:pPr>
        <w:autoSpaceDE w:val="0"/>
        <w:autoSpaceDN w:val="0"/>
        <w:adjustRightInd w:val="0"/>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UNITED STATES DISTRICT JUDGE</w:t>
      </w:r>
    </w:p>
    <w:sectPr w:rsidR="00AE741C" w:rsidRPr="00661B39" w:rsidSect="004C556B">
      <w:footerReference w:type="default" r:id="rId18"/>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2A8E5" w15:done="0"/>
  <w15:commentEx w15:paraId="4A464DB4" w15:done="0"/>
  <w15:commentEx w15:paraId="061FDD9E" w15:done="0"/>
  <w15:commentEx w15:paraId="0F85A7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2F" w:rsidRDefault="00F4182F" w:rsidP="007A246D">
      <w:r>
        <w:separator/>
      </w:r>
    </w:p>
  </w:endnote>
  <w:endnote w:type="continuationSeparator" w:id="0">
    <w:p w:rsidR="00F4182F" w:rsidRDefault="00F4182F" w:rsidP="007A2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8" w:rsidRDefault="002E0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21" w:rsidRDefault="00B34D87">
    <w:pPr>
      <w:pStyle w:val="Footer"/>
      <w:jc w:val="center"/>
    </w:pPr>
    <w:fldSimple w:instr=" PAGE   \* MERGEFORMAT ">
      <w:r w:rsidR="002E0EA8">
        <w:rPr>
          <w:noProof/>
        </w:rPr>
        <w:t>i</w:t>
      </w:r>
    </w:fldSimple>
  </w:p>
  <w:p w:rsidR="003D6621" w:rsidRDefault="003D6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8" w:rsidRDefault="002E0E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21" w:rsidRDefault="003D6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2F" w:rsidRDefault="00F4182F" w:rsidP="007A246D">
      <w:r>
        <w:separator/>
      </w:r>
    </w:p>
  </w:footnote>
  <w:footnote w:type="continuationSeparator" w:id="0">
    <w:p w:rsidR="00F4182F" w:rsidRDefault="00F4182F" w:rsidP="007A246D">
      <w:r>
        <w:continuationSeparator/>
      </w:r>
    </w:p>
  </w:footnote>
  <w:footnote w:id="1">
    <w:p w:rsidR="003D6621" w:rsidRPr="0023637E" w:rsidRDefault="003D6621" w:rsidP="00F71023">
      <w:pPr>
        <w:pStyle w:val="FootnoteText"/>
        <w:jc w:val="both"/>
      </w:pPr>
      <w:r w:rsidRPr="0023637E">
        <w:rPr>
          <w:rStyle w:val="FootnoteReference"/>
        </w:rPr>
        <w:footnoteRef/>
      </w:r>
      <w:r w:rsidRPr="0023637E">
        <w:t xml:space="preserve"> </w:t>
      </w:r>
      <w:r>
        <w:t>T</w:t>
      </w:r>
      <w:r w:rsidRPr="0023637E">
        <w:t xml:space="preserve">he </w:t>
      </w:r>
      <w:r>
        <w:t xml:space="preserve">Agreement requires that the </w:t>
      </w:r>
      <w:r w:rsidRPr="0023637E">
        <w:t xml:space="preserve">State </w:t>
      </w:r>
      <w:r>
        <w:t>increase its capacity to provide an</w:t>
      </w:r>
      <w:r w:rsidRPr="0023637E">
        <w:t xml:space="preserve"> array of services to avoid unnecessary institutionalization and </w:t>
      </w:r>
      <w:r>
        <w:t xml:space="preserve">to </w:t>
      </w:r>
      <w:r w:rsidRPr="0023637E">
        <w:t xml:space="preserve">achieve community integration.  </w:t>
      </w:r>
      <w:r>
        <w:rPr>
          <w:i/>
        </w:rPr>
        <w:t xml:space="preserve">See </w:t>
      </w:r>
      <w:r>
        <w:t xml:space="preserve">S.A. § III(A).  </w:t>
      </w:r>
      <w:r w:rsidRPr="0023637E">
        <w:t xml:space="preserve">These services include, but are not limited to, community-based mental health services, </w:t>
      </w:r>
      <w:r>
        <w:rPr>
          <w:i/>
        </w:rPr>
        <w:t>id</w:t>
      </w:r>
      <w:r w:rsidRPr="0023637E">
        <w:t xml:space="preserve">. § III(C); discharge and transition services, including educating individuals about community-based services and supports, </w:t>
      </w:r>
      <w:r w:rsidRPr="0023637E">
        <w:rPr>
          <w:i/>
        </w:rPr>
        <w:t xml:space="preserve">id. </w:t>
      </w:r>
      <w:r w:rsidRPr="0023637E">
        <w:t xml:space="preserve">§ III(E); and pre-admission screening and diversion services, </w:t>
      </w:r>
      <w:r w:rsidRPr="0023637E">
        <w:rPr>
          <w:i/>
        </w:rPr>
        <w:t xml:space="preserve">id. </w:t>
      </w:r>
      <w:r w:rsidRPr="0023637E">
        <w:t xml:space="preserve">III(F).  The Agreement also obligates the State to implement quality assurance and performance improvement measures.  </w:t>
      </w:r>
      <w:r w:rsidRPr="0023637E">
        <w:rPr>
          <w:i/>
        </w:rPr>
        <w:t xml:space="preserve">Id. </w:t>
      </w:r>
      <w:r w:rsidRPr="0023637E">
        <w:t>§ III(G).</w:t>
      </w:r>
      <w:r>
        <w:t xml:space="preserve">  The United States’ motion does not seek to enforce or otherwise take a position on whether the State is in compliance with any or all of these provisions.</w:t>
      </w:r>
    </w:p>
    <w:p w:rsidR="003D6621" w:rsidRPr="0023637E" w:rsidRDefault="003D6621" w:rsidP="00F71023">
      <w:pPr>
        <w:pStyle w:val="FootnoteText"/>
        <w:jc w:val="both"/>
      </w:pPr>
    </w:p>
  </w:footnote>
  <w:footnote w:id="2">
    <w:p w:rsidR="003D6621" w:rsidRDefault="003D6621" w:rsidP="002F3CFA">
      <w:pPr>
        <w:pStyle w:val="FootnoteText"/>
        <w:jc w:val="both"/>
      </w:pPr>
      <w:r>
        <w:rPr>
          <w:rStyle w:val="FootnoteReference"/>
        </w:rPr>
        <w:footnoteRef/>
      </w:r>
      <w:r>
        <w:t xml:space="preserve"> </w:t>
      </w:r>
      <w:r w:rsidRPr="00762185">
        <w:t xml:space="preserve">Supported housing restores the personal freedoms and individuality that residents often lose in adult care homes.  It </w:t>
      </w:r>
      <w:r>
        <w:t xml:space="preserve">“afford[s] individuals choice in their daily life activities, such as eating, bathing, sleeping, visiting and other typical daily activities.”  S.A. § III(B)(7)(f).  For example, it allows them to access community activities, cook meals, and entertain guests at times, frequencies, and with persons of their choosing.  </w:t>
      </w:r>
      <w:r>
        <w:rPr>
          <w:i/>
        </w:rPr>
        <w:t xml:space="preserve">See id. </w:t>
      </w:r>
      <w:r>
        <w:t>§ III(B)(7).  Moreover, supported housing allows residents to participate in society alongside individuals without disabilities</w:t>
      </w:r>
      <w:r w:rsidRPr="00762185">
        <w:t xml:space="preserve">.  </w:t>
      </w:r>
    </w:p>
    <w:p w:rsidR="003D6621" w:rsidRDefault="003D6621">
      <w:pPr>
        <w:pStyle w:val="FootnoteText"/>
      </w:pPr>
    </w:p>
  </w:footnote>
  <w:footnote w:id="3">
    <w:p w:rsidR="003D6621" w:rsidRDefault="003D6621" w:rsidP="000C1BF5">
      <w:pPr>
        <w:pStyle w:val="FootnoteText"/>
      </w:pPr>
      <w:r>
        <w:rPr>
          <w:rStyle w:val="FootnoteReference"/>
        </w:rPr>
        <w:footnoteRef/>
      </w:r>
      <w:r>
        <w:t xml:space="preserve"> </w:t>
      </w:r>
      <w:r w:rsidRPr="0023637E">
        <w:t>Section III(B)(3) provides that:</w:t>
      </w:r>
    </w:p>
    <w:p w:rsidR="003D6621" w:rsidRPr="0023637E" w:rsidRDefault="003D6621" w:rsidP="000C1BF5">
      <w:pPr>
        <w:pStyle w:val="FootnoteText"/>
      </w:pPr>
    </w:p>
    <w:p w:rsidR="003D6621" w:rsidRPr="0023637E" w:rsidRDefault="003D6621" w:rsidP="000C1BF5">
      <w:pPr>
        <w:tabs>
          <w:tab w:val="left" w:pos="1440"/>
        </w:tabs>
        <w:ind w:left="720" w:right="1440"/>
        <w:jc w:val="both"/>
        <w:rPr>
          <w:sz w:val="20"/>
          <w:szCs w:val="20"/>
        </w:rPr>
      </w:pPr>
      <w:r w:rsidRPr="0023637E">
        <w:rPr>
          <w:sz w:val="20"/>
          <w:szCs w:val="20"/>
        </w:rPr>
        <w:t>The State will provide access to 3,000 Housing Slots in accordance with the following</w:t>
      </w:r>
      <w:r>
        <w:rPr>
          <w:sz w:val="20"/>
          <w:szCs w:val="20"/>
        </w:rPr>
        <w:t xml:space="preserve"> s</w:t>
      </w:r>
      <w:r w:rsidRPr="0023637E">
        <w:rPr>
          <w:sz w:val="20"/>
          <w:szCs w:val="20"/>
        </w:rPr>
        <w:t xml:space="preserve">chedule: </w:t>
      </w:r>
    </w:p>
    <w:p w:rsidR="003D6621" w:rsidRPr="0023637E" w:rsidRDefault="003D6621" w:rsidP="000C1BF5">
      <w:pPr>
        <w:tabs>
          <w:tab w:val="left" w:pos="1260"/>
        </w:tabs>
        <w:ind w:left="1260" w:right="720" w:hanging="360"/>
        <w:jc w:val="both"/>
        <w:rPr>
          <w:sz w:val="20"/>
          <w:szCs w:val="20"/>
        </w:rPr>
      </w:pPr>
      <w:r w:rsidRPr="0023637E">
        <w:rPr>
          <w:sz w:val="20"/>
          <w:szCs w:val="20"/>
        </w:rPr>
        <w:t>a.</w:t>
      </w:r>
      <w:r w:rsidRPr="0023637E">
        <w:rPr>
          <w:sz w:val="20"/>
          <w:szCs w:val="20"/>
        </w:rPr>
        <w:tab/>
        <w:t>By July 1, 2013 the State will provide Housing Slots to at least 100 and up to 300 individuals.</w:t>
      </w:r>
    </w:p>
    <w:p w:rsidR="003D6621" w:rsidRPr="0023637E" w:rsidRDefault="003D6621" w:rsidP="000C1BF5">
      <w:pPr>
        <w:tabs>
          <w:tab w:val="left" w:pos="1260"/>
        </w:tabs>
        <w:ind w:left="1260" w:right="720" w:hanging="360"/>
        <w:jc w:val="both"/>
        <w:rPr>
          <w:sz w:val="20"/>
          <w:szCs w:val="20"/>
        </w:rPr>
      </w:pPr>
      <w:r w:rsidRPr="0023637E">
        <w:rPr>
          <w:sz w:val="20"/>
          <w:szCs w:val="20"/>
        </w:rPr>
        <w:t xml:space="preserve">b. </w:t>
      </w:r>
      <w:r w:rsidRPr="0023637E">
        <w:rPr>
          <w:sz w:val="20"/>
          <w:szCs w:val="20"/>
        </w:rPr>
        <w:tab/>
        <w:t>By July 1, 2014 the State will provide Housing Slots to at least 150 additional individuals.</w:t>
      </w:r>
    </w:p>
    <w:p w:rsidR="003D6621" w:rsidRPr="0023637E" w:rsidRDefault="003D6621" w:rsidP="000C1BF5">
      <w:pPr>
        <w:tabs>
          <w:tab w:val="left" w:pos="1260"/>
        </w:tabs>
        <w:ind w:left="1260" w:right="720" w:hanging="360"/>
        <w:jc w:val="both"/>
        <w:rPr>
          <w:sz w:val="20"/>
          <w:szCs w:val="20"/>
        </w:rPr>
      </w:pPr>
      <w:r w:rsidRPr="0023637E">
        <w:rPr>
          <w:sz w:val="20"/>
          <w:szCs w:val="20"/>
        </w:rPr>
        <w:t>c.</w:t>
      </w:r>
      <w:r w:rsidRPr="0023637E">
        <w:rPr>
          <w:sz w:val="20"/>
          <w:szCs w:val="20"/>
        </w:rPr>
        <w:tab/>
        <w:t>By July 1, 2015 the State will provide Housing Slots to at least 708 individuals.</w:t>
      </w:r>
    </w:p>
    <w:p w:rsidR="003D6621" w:rsidRPr="0023637E" w:rsidRDefault="003D6621" w:rsidP="000C1BF5">
      <w:pPr>
        <w:tabs>
          <w:tab w:val="left" w:pos="1260"/>
        </w:tabs>
        <w:ind w:left="1260" w:right="720" w:hanging="360"/>
        <w:jc w:val="both"/>
        <w:rPr>
          <w:sz w:val="20"/>
          <w:szCs w:val="20"/>
        </w:rPr>
      </w:pPr>
      <w:r w:rsidRPr="0023637E">
        <w:rPr>
          <w:sz w:val="20"/>
          <w:szCs w:val="20"/>
        </w:rPr>
        <w:t>d.</w:t>
      </w:r>
      <w:r w:rsidRPr="0023637E">
        <w:rPr>
          <w:sz w:val="20"/>
          <w:szCs w:val="20"/>
        </w:rPr>
        <w:tab/>
        <w:t xml:space="preserve">By July 1, 2016 the State will provide Housing Slots to at least 1,166 individuals.  </w:t>
      </w:r>
    </w:p>
    <w:p w:rsidR="003D6621" w:rsidRPr="0023637E" w:rsidRDefault="003D6621" w:rsidP="000C1BF5">
      <w:pPr>
        <w:tabs>
          <w:tab w:val="left" w:pos="1260"/>
        </w:tabs>
        <w:ind w:left="1260" w:right="720" w:hanging="360"/>
        <w:jc w:val="both"/>
        <w:rPr>
          <w:sz w:val="20"/>
          <w:szCs w:val="20"/>
        </w:rPr>
      </w:pPr>
      <w:r w:rsidRPr="0023637E">
        <w:rPr>
          <w:sz w:val="20"/>
          <w:szCs w:val="20"/>
        </w:rPr>
        <w:t>e.</w:t>
      </w:r>
      <w:r w:rsidRPr="0023637E">
        <w:rPr>
          <w:sz w:val="20"/>
          <w:szCs w:val="20"/>
        </w:rPr>
        <w:tab/>
        <w:t>By July 1, 2017 the State will provide Housing Slots to at least 1,624 individuals.</w:t>
      </w:r>
    </w:p>
    <w:p w:rsidR="003D6621" w:rsidRPr="0023637E" w:rsidRDefault="003D6621" w:rsidP="000C1BF5">
      <w:pPr>
        <w:tabs>
          <w:tab w:val="left" w:pos="1260"/>
        </w:tabs>
        <w:ind w:left="1260" w:right="720" w:hanging="360"/>
        <w:jc w:val="both"/>
        <w:rPr>
          <w:sz w:val="20"/>
          <w:szCs w:val="20"/>
        </w:rPr>
      </w:pPr>
      <w:r w:rsidRPr="0023637E">
        <w:rPr>
          <w:sz w:val="20"/>
          <w:szCs w:val="20"/>
        </w:rPr>
        <w:t xml:space="preserve">f. </w:t>
      </w:r>
      <w:r w:rsidRPr="0023637E">
        <w:rPr>
          <w:sz w:val="20"/>
          <w:szCs w:val="20"/>
        </w:rPr>
        <w:tab/>
        <w:t>By July 1, 2018 the State will provide Housing Slots to at least 2,082 individuals.</w:t>
      </w:r>
    </w:p>
    <w:p w:rsidR="003D6621" w:rsidRPr="0023637E" w:rsidRDefault="003D6621" w:rsidP="000C1BF5">
      <w:pPr>
        <w:tabs>
          <w:tab w:val="left" w:pos="1260"/>
        </w:tabs>
        <w:ind w:left="1260" w:right="720" w:hanging="360"/>
        <w:jc w:val="both"/>
        <w:rPr>
          <w:sz w:val="20"/>
          <w:szCs w:val="20"/>
        </w:rPr>
      </w:pPr>
      <w:r w:rsidRPr="0023637E">
        <w:rPr>
          <w:sz w:val="20"/>
          <w:szCs w:val="20"/>
        </w:rPr>
        <w:t xml:space="preserve">g. </w:t>
      </w:r>
      <w:r w:rsidRPr="0023637E">
        <w:rPr>
          <w:sz w:val="20"/>
          <w:szCs w:val="20"/>
        </w:rPr>
        <w:tab/>
        <w:t>By July 1, 2019 the State will provide Housing Slots to at least 2,541 individuals.</w:t>
      </w:r>
    </w:p>
    <w:p w:rsidR="003D6621" w:rsidRDefault="003D6621" w:rsidP="000C1BF5">
      <w:pPr>
        <w:tabs>
          <w:tab w:val="left" w:pos="1260"/>
        </w:tabs>
        <w:ind w:left="1260" w:right="720" w:hanging="360"/>
        <w:jc w:val="both"/>
        <w:rPr>
          <w:sz w:val="20"/>
          <w:szCs w:val="20"/>
        </w:rPr>
      </w:pPr>
      <w:r w:rsidRPr="0023637E">
        <w:rPr>
          <w:sz w:val="20"/>
          <w:szCs w:val="20"/>
        </w:rPr>
        <w:t>h.</w:t>
      </w:r>
      <w:r w:rsidRPr="0023637E">
        <w:rPr>
          <w:sz w:val="20"/>
          <w:szCs w:val="20"/>
        </w:rPr>
        <w:tab/>
        <w:t>By July 1, 2020 the State will provide Housing Slots to at least 3,000 individuals.</w:t>
      </w:r>
    </w:p>
    <w:p w:rsidR="003D6621" w:rsidRDefault="003D6621">
      <w:pPr>
        <w:pStyle w:val="FootnoteText"/>
      </w:pPr>
    </w:p>
  </w:footnote>
  <w:footnote w:id="4">
    <w:p w:rsidR="003D6621" w:rsidRDefault="003D6621" w:rsidP="000C442F">
      <w:pPr>
        <w:pStyle w:val="FootnoteText"/>
      </w:pPr>
      <w:r>
        <w:rPr>
          <w:rStyle w:val="FootnoteReference"/>
        </w:rPr>
        <w:footnoteRef/>
      </w:r>
      <w:r>
        <w:t xml:space="preserve"> </w:t>
      </w:r>
      <w:r w:rsidRPr="0023637E">
        <w:t>Section III(D)(3) provides that:</w:t>
      </w:r>
    </w:p>
    <w:p w:rsidR="003D6621" w:rsidRPr="0023637E" w:rsidRDefault="003D6621" w:rsidP="000C442F">
      <w:pPr>
        <w:pStyle w:val="FootnoteText"/>
      </w:pPr>
    </w:p>
    <w:p w:rsidR="003D6621" w:rsidRPr="0023637E" w:rsidRDefault="003D6621" w:rsidP="000C442F">
      <w:pPr>
        <w:pStyle w:val="FootnoteText"/>
        <w:ind w:firstLine="720"/>
      </w:pPr>
      <w:r w:rsidRPr="0023637E">
        <w:t>By July 1, 2013, the State will provide Supported Employment Services to a total of 100 individuals;</w:t>
      </w:r>
    </w:p>
    <w:p w:rsidR="003D6621" w:rsidRPr="0023637E" w:rsidRDefault="003D6621" w:rsidP="000C442F">
      <w:pPr>
        <w:pStyle w:val="FootnoteText"/>
        <w:ind w:firstLine="720"/>
      </w:pPr>
      <w:r w:rsidRPr="0023637E">
        <w:t>[B]y July 2, 2014, the State will provide Supported Employment Services to a total of 250 individuals;</w:t>
      </w:r>
    </w:p>
    <w:p w:rsidR="003D6621" w:rsidRPr="0023637E" w:rsidRDefault="003D6621" w:rsidP="000C442F">
      <w:pPr>
        <w:pStyle w:val="FootnoteText"/>
        <w:ind w:firstLine="720"/>
      </w:pPr>
      <w:r w:rsidRPr="0023637E">
        <w:t>[B]y July 1, 2015, the State will provide Supported Employment Services to a total of 708 individuals;</w:t>
      </w:r>
    </w:p>
    <w:p w:rsidR="003D6621" w:rsidRPr="0023637E" w:rsidRDefault="003D6621" w:rsidP="000C442F">
      <w:pPr>
        <w:pStyle w:val="FootnoteText"/>
        <w:ind w:firstLine="720"/>
      </w:pPr>
      <w:r w:rsidRPr="0023637E">
        <w:t>[B]y July 1, 2016, the State will provide Supported Employment Services to a total of 1,166 individuals;</w:t>
      </w:r>
    </w:p>
    <w:p w:rsidR="003D6621" w:rsidRPr="0023637E" w:rsidRDefault="003D6621" w:rsidP="000C442F">
      <w:pPr>
        <w:pStyle w:val="FootnoteText"/>
        <w:ind w:firstLine="720"/>
      </w:pPr>
      <w:r w:rsidRPr="0023637E">
        <w:t>[B]y July 1, 2017, the State will provide Supported Employment Services to a total of 1,624 individuals;</w:t>
      </w:r>
    </w:p>
    <w:p w:rsidR="003D6621" w:rsidRPr="0023637E" w:rsidRDefault="003D6621" w:rsidP="000C442F">
      <w:pPr>
        <w:pStyle w:val="FootnoteText"/>
        <w:ind w:left="720"/>
      </w:pPr>
      <w:r w:rsidRPr="0023637E">
        <w:t>[B]y July 1, 2018, the State will provide Supported Employment Services to a total of 2,082 individuals; and</w:t>
      </w:r>
    </w:p>
    <w:p w:rsidR="003D6621" w:rsidRPr="0023637E" w:rsidRDefault="003D6621" w:rsidP="000C442F">
      <w:pPr>
        <w:pStyle w:val="FootnoteText"/>
        <w:ind w:firstLine="720"/>
      </w:pPr>
      <w:r w:rsidRPr="0023637E">
        <w:t>[B]y July 1, 2019, the State will provide Supported Employment Services to a total of 2,500 individuals.</w:t>
      </w:r>
    </w:p>
    <w:p w:rsidR="003D6621" w:rsidRDefault="003D6621">
      <w:pPr>
        <w:pStyle w:val="FootnoteText"/>
      </w:pPr>
    </w:p>
  </w:footnote>
  <w:footnote w:id="5">
    <w:p w:rsidR="003D6621" w:rsidRDefault="003D6621">
      <w:pPr>
        <w:pStyle w:val="FootnoteText"/>
      </w:pPr>
      <w:r>
        <w:rPr>
          <w:rStyle w:val="FootnoteReference"/>
        </w:rPr>
        <w:footnoteRef/>
      </w:r>
      <w:r>
        <w:t xml:space="preserve"> </w:t>
      </w:r>
      <w:r w:rsidRPr="00674E21">
        <w:t xml:space="preserve">In April 2014, at the United States’ request, the State began </w:t>
      </w:r>
      <w:r>
        <w:t>providing monthly reports</w:t>
      </w:r>
      <w:r w:rsidRPr="00674E21">
        <w:t xml:space="preserve"> o</w:t>
      </w:r>
      <w:r>
        <w:t>n</w:t>
      </w:r>
      <w:r w:rsidRPr="00674E21">
        <w:t xml:space="preserve"> its </w:t>
      </w:r>
      <w:r>
        <w:t>progress toward</w:t>
      </w:r>
      <w:r w:rsidRPr="00674E21">
        <w:t xml:space="preserve"> compliance with the Agreement’s housing and employment </w:t>
      </w:r>
      <w:r w:rsidR="00470094">
        <w:t xml:space="preserve">services </w:t>
      </w:r>
      <w:r w:rsidRPr="00674E21">
        <w:t>requirements.</w:t>
      </w:r>
    </w:p>
    <w:p w:rsidR="003D6621" w:rsidRDefault="003D6621">
      <w:pPr>
        <w:pStyle w:val="FootnoteText"/>
      </w:pPr>
    </w:p>
  </w:footnote>
  <w:footnote w:id="6">
    <w:p w:rsidR="003D6621" w:rsidRPr="00F17F3C" w:rsidRDefault="003D6621" w:rsidP="00F17F3C">
      <w:pPr>
        <w:pStyle w:val="FootnoteText"/>
        <w:jc w:val="both"/>
      </w:pPr>
      <w:r>
        <w:rPr>
          <w:rStyle w:val="FootnoteReference"/>
        </w:rPr>
        <w:footnoteRef/>
      </w:r>
      <w:r>
        <w:t xml:space="preserve"> </w:t>
      </w:r>
      <w:r w:rsidRPr="00240DCA">
        <w:t>The term “vacant Housing Slot,” as used in this memorandum, indicates that a Housing Slot recipient has left his or her integrated, community-based housing placement, and the Housing Slot has not been reassigned to an individual on the wait list.</w:t>
      </w:r>
    </w:p>
    <w:p w:rsidR="003D6621" w:rsidRDefault="003D6621">
      <w:pPr>
        <w:pStyle w:val="FootnoteText"/>
      </w:pPr>
      <w:r>
        <w:t xml:space="preserve"> </w:t>
      </w:r>
    </w:p>
  </w:footnote>
  <w:footnote w:id="7">
    <w:p w:rsidR="003D6621" w:rsidRDefault="003D6621" w:rsidP="00CC5A47">
      <w:pPr>
        <w:pStyle w:val="FootnoteText"/>
        <w:jc w:val="both"/>
      </w:pPr>
      <w:r>
        <w:rPr>
          <w:rStyle w:val="FootnoteReference"/>
        </w:rPr>
        <w:footnoteRef/>
      </w:r>
      <w:r>
        <w:t xml:space="preserve"> The State has not identified to whom outside the target population it is providing Supported Employment Services.  Nevertheless, the State’s monthly reports reveal that it is providing Supported Employment Services to both target population and non-target population members.</w:t>
      </w:r>
    </w:p>
    <w:p w:rsidR="003D6621" w:rsidRDefault="003D6621">
      <w:pPr>
        <w:pStyle w:val="FootnoteText"/>
      </w:pPr>
      <w:r>
        <w:t xml:space="preserve"> </w:t>
      </w:r>
    </w:p>
  </w:footnote>
  <w:footnote w:id="8">
    <w:p w:rsidR="003D6621" w:rsidRDefault="003D6621" w:rsidP="001138C1">
      <w:pPr>
        <w:pStyle w:val="FootnoteText"/>
        <w:jc w:val="both"/>
        <w:rPr>
          <w:szCs w:val="24"/>
        </w:rPr>
      </w:pPr>
      <w:r>
        <w:rPr>
          <w:rStyle w:val="FootnoteReference"/>
        </w:rPr>
        <w:footnoteRef/>
      </w:r>
      <w:r>
        <w:t xml:space="preserve"> </w:t>
      </w:r>
      <w:r>
        <w:rPr>
          <w:szCs w:val="24"/>
        </w:rPr>
        <w:t xml:space="preserve">The State did not report on supported employment in its June 2015 </w:t>
      </w:r>
      <w:r w:rsidR="00470094">
        <w:rPr>
          <w:szCs w:val="24"/>
        </w:rPr>
        <w:t xml:space="preserve">Monthly </w:t>
      </w:r>
      <w:r>
        <w:rPr>
          <w:szCs w:val="24"/>
        </w:rPr>
        <w:t>Report because the State was in the process of “actively validating persons</w:t>
      </w:r>
      <w:r w:rsidRPr="002F1868">
        <w:rPr>
          <w:color w:val="000000"/>
          <w:sz w:val="23"/>
          <w:szCs w:val="23"/>
        </w:rPr>
        <w:t xml:space="preserve"> </w:t>
      </w:r>
      <w:r w:rsidRPr="002F1868">
        <w:rPr>
          <w:szCs w:val="24"/>
        </w:rPr>
        <w:t>served to assess if all individuals reported meet the in or at risk definition for supported employment</w:t>
      </w:r>
      <w:r>
        <w:rPr>
          <w:szCs w:val="24"/>
        </w:rPr>
        <w:t xml:space="preserve">.”  June 2015 Monthly Rep. Ex. K, at 2.  </w:t>
      </w:r>
    </w:p>
    <w:p w:rsidR="003D6621" w:rsidRDefault="003D6621" w:rsidP="001138C1">
      <w:pPr>
        <w:pStyle w:val="FootnoteText"/>
        <w:jc w:val="both"/>
      </w:pPr>
    </w:p>
  </w:footnote>
  <w:footnote w:id="9">
    <w:p w:rsidR="003D6621" w:rsidRDefault="003D6621">
      <w:pPr>
        <w:pStyle w:val="FootnoteText"/>
      </w:pPr>
      <w:r w:rsidRPr="000022D1">
        <w:rPr>
          <w:rStyle w:val="FootnoteReference"/>
        </w:rPr>
        <w:footnoteRef/>
      </w:r>
      <w:r w:rsidRPr="000022D1">
        <w:t xml:space="preserve"> As of the most recent monthly report, the State remains noncompliant with its July 2016 obligations.  </w:t>
      </w:r>
      <w:r>
        <w:t xml:space="preserve">November </w:t>
      </w:r>
      <w:r w:rsidRPr="000022D1">
        <w:t xml:space="preserve">2016 </w:t>
      </w:r>
      <w:r>
        <w:t xml:space="preserve">Monthly </w:t>
      </w:r>
      <w:r w:rsidRPr="000022D1">
        <w:t>Rep. (</w:t>
      </w:r>
      <w:r>
        <w:t>Dec. 29, 2016</w:t>
      </w:r>
      <w:r w:rsidRPr="000022D1">
        <w:t xml:space="preserve">) Ex. </w:t>
      </w:r>
      <w:r>
        <w:t>S</w:t>
      </w:r>
      <w:r w:rsidRPr="000022D1">
        <w:t xml:space="preserve">, at 2, 6 (reporting </w:t>
      </w:r>
      <w:r>
        <w:t>843</w:t>
      </w:r>
      <w:r w:rsidRPr="000022D1">
        <w:t xml:space="preserve"> individuals in </w:t>
      </w:r>
      <w:r w:rsidR="00470094">
        <w:t>Housing Slots</w:t>
      </w:r>
      <w:r w:rsidRPr="000022D1">
        <w:t xml:space="preserve"> and </w:t>
      </w:r>
      <w:r>
        <w:t>842</w:t>
      </w:r>
      <w:r w:rsidRPr="000022D1">
        <w:t xml:space="preserve"> individuals receiving Supported Employment Services).</w:t>
      </w:r>
      <w:r>
        <w:t xml:space="preserve">  </w:t>
      </w:r>
    </w:p>
  </w:footnote>
  <w:footnote w:id="10">
    <w:p w:rsidR="003D6621" w:rsidRPr="00D44F18" w:rsidRDefault="003D6621" w:rsidP="00A61636">
      <w:pPr>
        <w:pStyle w:val="FootnoteText"/>
        <w:jc w:val="both"/>
        <w:rPr>
          <w:i/>
        </w:rPr>
      </w:pPr>
      <w:r w:rsidRPr="00792513">
        <w:rPr>
          <w:rStyle w:val="FootnoteReference"/>
        </w:rPr>
        <w:footnoteRef/>
      </w:r>
      <w:r w:rsidRPr="00792513">
        <w:t xml:space="preserve"> </w:t>
      </w:r>
      <w:r w:rsidRPr="005E4045">
        <w:t>The Court has jurisdiction to enforce the Agreement.</w:t>
      </w:r>
      <w:r w:rsidRPr="00792513">
        <w:t xml:space="preserve"> </w:t>
      </w:r>
      <w:r>
        <w:t xml:space="preserve"> D.E.</w:t>
      </w:r>
      <w:r w:rsidRPr="00792513">
        <w:t xml:space="preserve"> 13;</w:t>
      </w:r>
      <w:r w:rsidRPr="00792513">
        <w:rPr>
          <w:i/>
        </w:rPr>
        <w:t xml:space="preserve"> </w:t>
      </w:r>
      <w:proofErr w:type="spellStart"/>
      <w:r w:rsidRPr="00792513">
        <w:rPr>
          <w:i/>
        </w:rPr>
        <w:t>Kokkonen</w:t>
      </w:r>
      <w:proofErr w:type="spellEnd"/>
      <w:r w:rsidRPr="00792513">
        <w:t>,</w:t>
      </w:r>
      <w:r w:rsidRPr="00792513">
        <w:rPr>
          <w:i/>
        </w:rPr>
        <w:t xml:space="preserve"> </w:t>
      </w:r>
      <w:r>
        <w:t>511 U.S. at 381</w:t>
      </w:r>
      <w:r w:rsidR="00B34D87">
        <w:fldChar w:fldCharType="begin"/>
      </w:r>
      <w:r>
        <w:instrText xml:space="preserve"> TA \s "Kokkonen v. Guardian Life Ins. Co. of Am., 511 U.S. 375 (1994)" </w:instrText>
      </w:r>
      <w:r w:rsidR="00B34D87">
        <w:fldChar w:fldCharType="end"/>
      </w:r>
      <w:r>
        <w:t xml:space="preserve"> </w:t>
      </w:r>
      <w:r w:rsidRPr="00792513">
        <w:t xml:space="preserve">(holding jurisdiction arises when settlement </w:t>
      </w:r>
      <w:r>
        <w:t xml:space="preserve">is made part of </w:t>
      </w:r>
      <w:r w:rsidRPr="00792513">
        <w:t>order “retaining jurisdiction”);</w:t>
      </w:r>
      <w:r w:rsidRPr="00792513">
        <w:rPr>
          <w:i/>
        </w:rPr>
        <w:t xml:space="preserve"> </w:t>
      </w:r>
      <w:r>
        <w:rPr>
          <w:i/>
        </w:rPr>
        <w:t xml:space="preserve">Columbus-Am. Discovery </w:t>
      </w:r>
      <w:proofErr w:type="spellStart"/>
      <w:r>
        <w:rPr>
          <w:i/>
        </w:rPr>
        <w:t>Grp</w:t>
      </w:r>
      <w:proofErr w:type="spellEnd"/>
      <w:r>
        <w:rPr>
          <w:i/>
        </w:rPr>
        <w:t xml:space="preserve">. v. Atl. </w:t>
      </w:r>
      <w:proofErr w:type="spellStart"/>
      <w:r>
        <w:rPr>
          <w:i/>
        </w:rPr>
        <w:t>Mut</w:t>
      </w:r>
      <w:proofErr w:type="spellEnd"/>
      <w:r>
        <w:rPr>
          <w:i/>
        </w:rPr>
        <w:t>. Ins. Co.</w:t>
      </w:r>
      <w:r w:rsidRPr="005A76A0">
        <w:t>,</w:t>
      </w:r>
      <w:r>
        <w:rPr>
          <w:i/>
        </w:rPr>
        <w:t xml:space="preserve"> </w:t>
      </w:r>
      <w:r>
        <w:t>203 F.3d 291, 299 (4th Cir. 2000)</w:t>
      </w:r>
      <w:r w:rsidR="00B34D87">
        <w:fldChar w:fldCharType="begin"/>
      </w:r>
      <w:r>
        <w:instrText xml:space="preserve"> TA \l "</w:instrText>
      </w:r>
      <w:r w:rsidRPr="00776780">
        <w:rPr>
          <w:i/>
        </w:rPr>
        <w:instrText>Columbus-Am. Discovery Grp. v. Atl. Mut. Ins. Co.</w:instrText>
      </w:r>
      <w:r w:rsidRPr="00776780">
        <w:instrText>,</w:instrText>
      </w:r>
      <w:r w:rsidRPr="00776780">
        <w:rPr>
          <w:i/>
        </w:rPr>
        <w:instrText xml:space="preserve"> </w:instrText>
      </w:r>
      <w:r w:rsidRPr="00776780">
        <w:instrText>203 F.3d 291 (4th Cir. 2000)</w:instrText>
      </w:r>
      <w:r>
        <w:instrText xml:space="preserve">" \s "Columbus-Am. Discovery Grp. v. Atl. Mut. Ins. Co., 203 F.3d 291, 299 (4th Cir. 2000)" \c 1 </w:instrText>
      </w:r>
      <w:r w:rsidR="00B34D87">
        <w:fldChar w:fldCharType="end"/>
      </w:r>
      <w:r>
        <w:t xml:space="preserve"> </w:t>
      </w:r>
      <w:r w:rsidRPr="00792513">
        <w:t>(</w:t>
      </w:r>
      <w:r>
        <w:t xml:space="preserve">holding </w:t>
      </w:r>
      <w:r w:rsidRPr="00792513">
        <w:t xml:space="preserve">order stating “[t]he Court retains jurisdiction to enforce the settlement of the parties” satisfies </w:t>
      </w:r>
      <w:proofErr w:type="spellStart"/>
      <w:r w:rsidRPr="00792513">
        <w:rPr>
          <w:i/>
        </w:rPr>
        <w:t>Kokkonen</w:t>
      </w:r>
      <w:proofErr w:type="spellEnd"/>
      <w:r w:rsidRPr="00792513">
        <w:t>).</w:t>
      </w:r>
      <w:r>
        <w:t xml:space="preserve">  Furthermore, summary enforcement of the Agreement is appropriate since the parties jointly filed a complete agreement with the Court, </w:t>
      </w:r>
      <w:r>
        <w:rPr>
          <w:i/>
        </w:rPr>
        <w:t xml:space="preserve">see </w:t>
      </w:r>
      <w:r>
        <w:t xml:space="preserve">D.E. 2 &amp; 2-2, and the Court is able to determine the Agreement’s terms, </w:t>
      </w:r>
      <w:r>
        <w:rPr>
          <w:i/>
        </w:rPr>
        <w:t xml:space="preserve">see </w:t>
      </w:r>
      <w:r w:rsidRPr="00D44F18">
        <w:rPr>
          <w:i/>
        </w:rPr>
        <w:t xml:space="preserve">Hensley, </w:t>
      </w:r>
      <w:r w:rsidRPr="00D44F18">
        <w:t>277 F.3d at 540–41</w:t>
      </w:r>
      <w:r w:rsidR="00B34D87">
        <w:fldChar w:fldCharType="begin"/>
      </w:r>
      <w:r>
        <w:instrText xml:space="preserve"> TA \s "Hensley v. Alcon Labs., Inc., 277 F.3d 535 (4th Cir. 2002)" </w:instrText>
      </w:r>
      <w:r w:rsidR="00B34D87">
        <w:fldChar w:fldCharType="end"/>
      </w:r>
      <w:r w:rsidRPr="00D44F18">
        <w:t>.</w:t>
      </w:r>
      <w:r w:rsidRPr="00D44F18">
        <w:rPr>
          <w:i/>
        </w:rPr>
        <w:t xml:space="preserve">  </w:t>
      </w:r>
    </w:p>
    <w:p w:rsidR="003D6621" w:rsidRDefault="003D6621" w:rsidP="00A61636">
      <w:pPr>
        <w:pStyle w:val="FootnoteText"/>
        <w:jc w:val="both"/>
      </w:pPr>
      <w:r>
        <w:rPr>
          <w:i/>
        </w:rPr>
        <w:t xml:space="preserve"> </w:t>
      </w:r>
      <w:r>
        <w:t xml:space="preserve">    </w:t>
      </w:r>
    </w:p>
  </w:footnote>
  <w:footnote w:id="11">
    <w:p w:rsidR="003D6621" w:rsidRPr="002277B8" w:rsidRDefault="003D6621" w:rsidP="002277B8">
      <w:pPr>
        <w:pStyle w:val="FootnoteText"/>
        <w:jc w:val="both"/>
        <w:rPr>
          <w:iCs/>
        </w:rPr>
      </w:pPr>
      <w:r>
        <w:rPr>
          <w:rStyle w:val="FootnoteReference"/>
        </w:rPr>
        <w:footnoteRef/>
      </w:r>
      <w:r>
        <w:t xml:space="preserve"> </w:t>
      </w:r>
      <w:r w:rsidRPr="002277B8">
        <w:t xml:space="preserve">The Agreement’s reference to </w:t>
      </w:r>
      <w:r>
        <w:t>“</w:t>
      </w:r>
      <w:r w:rsidRPr="002277B8">
        <w:t>housing vouchers” w</w:t>
      </w:r>
      <w:r>
        <w:t xml:space="preserve">hen defining Housing Slots </w:t>
      </w:r>
      <w:r w:rsidRPr="002277B8">
        <w:t xml:space="preserve">suggests that the parties intended to measure compliance by counting only occupied Housing Slots.  </w:t>
      </w:r>
      <w:r w:rsidRPr="002277B8">
        <w:rPr>
          <w:i/>
        </w:rPr>
        <w:t xml:space="preserve">See </w:t>
      </w:r>
      <w:r>
        <w:t>S.A. § II(A).  H</w:t>
      </w:r>
      <w:r w:rsidRPr="002277B8">
        <w:t>ousing vouchers represent an ongoing commitment to provide housing for eligible individuals, regardless of turnover.  If a housing voucher recipient becomes ineligible</w:t>
      </w:r>
      <w:r>
        <w:t xml:space="preserve"> for public housing</w:t>
      </w:r>
      <w:r w:rsidRPr="002277B8">
        <w:t>, the public housing authority typically provides that voucher to an</w:t>
      </w:r>
      <w:r>
        <w:t>other</w:t>
      </w:r>
      <w:r w:rsidRPr="002277B8">
        <w:t xml:space="preserve"> elig</w:t>
      </w:r>
      <w:r>
        <w:t>ible individual</w:t>
      </w:r>
      <w:r w:rsidRPr="002277B8">
        <w:t xml:space="preserve">.  </w:t>
      </w:r>
      <w:r w:rsidRPr="002277B8">
        <w:rPr>
          <w:i/>
          <w:iCs/>
        </w:rPr>
        <w:t>See</w:t>
      </w:r>
      <w:r w:rsidRPr="002277B8">
        <w:rPr>
          <w:iCs/>
        </w:rPr>
        <w:t xml:space="preserve"> U.S. Dep’t of Housing and Urban Dev., </w:t>
      </w:r>
      <w:r w:rsidRPr="002277B8">
        <w:rPr>
          <w:i/>
          <w:iCs/>
        </w:rPr>
        <w:t>Housing Choice Voucher Guidebook</w:t>
      </w:r>
      <w:r w:rsidRPr="002277B8">
        <w:rPr>
          <w:iCs/>
        </w:rPr>
        <w:t xml:space="preserve">, 24-2-3 (Apr. 2001), </w:t>
      </w:r>
      <w:r w:rsidRPr="002277B8">
        <w:rPr>
          <w:i/>
          <w:iCs/>
        </w:rPr>
        <w:t>available at</w:t>
      </w:r>
      <w:r w:rsidRPr="002277B8">
        <w:rPr>
          <w:iCs/>
        </w:rPr>
        <w:t xml:space="preserve"> http://</w:t>
      </w:r>
      <w:r>
        <w:rPr>
          <w:iCs/>
        </w:rPr>
        <w:t>portal.hud.gov/hudportal/</w:t>
      </w:r>
      <w:r w:rsidRPr="002277B8">
        <w:rPr>
          <w:iCs/>
        </w:rPr>
        <w:t>documents/huddoc?id=DOC_35634.pdf (recommending strategies to address low voucher utilization as a result of turnover and explaining that “</w:t>
      </w:r>
      <w:r w:rsidRPr="002277B8">
        <w:t>[i]f ten families leave the program every month, the [public housing authority] will need to issue enough vouchers to ensure that ten families will execute new leases each month”</w:t>
      </w:r>
      <w:r w:rsidRPr="002277B8">
        <w:rPr>
          <w:iCs/>
        </w:rPr>
        <w:t>).</w:t>
      </w:r>
      <w:r>
        <w:rPr>
          <w:iCs/>
        </w:rPr>
        <w:t xml:space="preserve">  That principle, as applied to the Agreement, means that </w:t>
      </w:r>
      <w:r w:rsidRPr="002277B8">
        <w:t xml:space="preserve">if an individual vacates his or her Housing Slot, </w:t>
      </w:r>
      <w:r w:rsidR="00470094">
        <w:t>that Housing Slot</w:t>
      </w:r>
      <w:r>
        <w:t xml:space="preserve"> does not count toward section III(B)(3)’s benchmarks unless the State </w:t>
      </w:r>
      <w:r w:rsidRPr="002277B8">
        <w:t>provide</w:t>
      </w:r>
      <w:r>
        <w:t>s</w:t>
      </w:r>
      <w:r w:rsidRPr="002277B8">
        <w:t xml:space="preserve"> that Housing Slot to an</w:t>
      </w:r>
      <w:r>
        <w:t>other</w:t>
      </w:r>
      <w:r w:rsidRPr="002277B8">
        <w:t xml:space="preserve"> individual.</w:t>
      </w:r>
    </w:p>
    <w:p w:rsidR="003D6621" w:rsidRPr="002277B8" w:rsidRDefault="003D6621">
      <w:pPr>
        <w:pStyle w:val="FootnoteText"/>
      </w:pPr>
    </w:p>
  </w:footnote>
  <w:footnote w:id="12">
    <w:p w:rsidR="003D6621" w:rsidRDefault="003D6621">
      <w:pPr>
        <w:pStyle w:val="FootnoteText"/>
      </w:pPr>
      <w:r>
        <w:rPr>
          <w:rStyle w:val="FootnoteReference"/>
        </w:rPr>
        <w:footnoteRef/>
      </w:r>
      <w:r>
        <w:t xml:space="preserve"> The Agreement </w:t>
      </w:r>
      <w:r w:rsidRPr="0023637E">
        <w:t>prioritizes receipt of Housing Slots for five categories of individuals.  S.A. § III(B)(2).</w:t>
      </w:r>
    </w:p>
    <w:p w:rsidR="003D6621" w:rsidRDefault="003D6621">
      <w:pPr>
        <w:pStyle w:val="FootnoteText"/>
      </w:pPr>
    </w:p>
  </w:footnote>
  <w:footnote w:id="13">
    <w:p w:rsidR="003D6621" w:rsidRDefault="003D6621" w:rsidP="000A6744">
      <w:pPr>
        <w:pStyle w:val="FootnoteText"/>
        <w:jc w:val="both"/>
      </w:pPr>
      <w:r>
        <w:rPr>
          <w:rStyle w:val="FootnoteReference"/>
        </w:rPr>
        <w:footnoteRef/>
      </w:r>
      <w:r>
        <w:t xml:space="preserve"> For example, </w:t>
      </w:r>
      <w:r w:rsidRPr="00B641F2">
        <w:t xml:space="preserve">the State reported that 17 </w:t>
      </w:r>
      <w:r>
        <w:t xml:space="preserve">Category Four individuals </w:t>
      </w:r>
      <w:r w:rsidRPr="00B641F2">
        <w:t xml:space="preserve">occupied Housing Slots as of April 30, 2014.  April 2014 </w:t>
      </w:r>
      <w:r>
        <w:t xml:space="preserve">Monthly </w:t>
      </w:r>
      <w:r w:rsidRPr="00B641F2">
        <w:t xml:space="preserve">Rep. </w:t>
      </w:r>
      <w:r>
        <w:t xml:space="preserve">Ex. E, </w:t>
      </w:r>
      <w:r w:rsidRPr="00B641F2">
        <w:t xml:space="preserve">at 1.  A month later, the State reported that only 16 </w:t>
      </w:r>
      <w:r>
        <w:t xml:space="preserve">Category Four individuals </w:t>
      </w:r>
      <w:r w:rsidRPr="00B641F2">
        <w:t>occupied Housing Slots</w:t>
      </w:r>
      <w:r>
        <w:t>.  May 2014 Monthly Rep. Ex. D, at 1</w:t>
      </w:r>
      <w:r w:rsidRPr="00B641F2">
        <w:t>.</w:t>
      </w:r>
    </w:p>
    <w:p w:rsidR="003D6621" w:rsidRDefault="003D6621" w:rsidP="000A6744">
      <w:pPr>
        <w:pStyle w:val="FootnoteText"/>
        <w:jc w:val="both"/>
      </w:pPr>
      <w:r w:rsidRPr="00B641F2">
        <w:t xml:space="preserve">  </w:t>
      </w:r>
    </w:p>
    <w:p w:rsidR="003D6621" w:rsidRPr="00B641F2" w:rsidRDefault="003D6621" w:rsidP="000A6744">
      <w:pPr>
        <w:pStyle w:val="FootnoteText"/>
        <w:jc w:val="both"/>
      </w:pPr>
      <w:r>
        <w:t>Similarly, the State reported</w:t>
      </w:r>
      <w:r w:rsidRPr="00510370">
        <w:t xml:space="preserve"> that 47 </w:t>
      </w:r>
      <w:r>
        <w:t xml:space="preserve">Category One </w:t>
      </w:r>
      <w:r w:rsidRPr="00510370">
        <w:t xml:space="preserve">individuals and 16 </w:t>
      </w:r>
      <w:r>
        <w:t xml:space="preserve">Category Four </w:t>
      </w:r>
      <w:r w:rsidRPr="00510370">
        <w:t xml:space="preserve">individuals </w:t>
      </w:r>
      <w:r>
        <w:t xml:space="preserve">occupied Housing Slots as of </w:t>
      </w:r>
      <w:r w:rsidRPr="00510370">
        <w:t xml:space="preserve">June </w:t>
      </w:r>
      <w:r>
        <w:t xml:space="preserve">30, </w:t>
      </w:r>
      <w:r w:rsidRPr="00510370">
        <w:t xml:space="preserve">2014.  June 2014 </w:t>
      </w:r>
      <w:r>
        <w:t xml:space="preserve">Monthly </w:t>
      </w:r>
      <w:r w:rsidRPr="00510370">
        <w:t xml:space="preserve">Rep. </w:t>
      </w:r>
      <w:r>
        <w:t xml:space="preserve">Ex. C, </w:t>
      </w:r>
      <w:r w:rsidRPr="00510370">
        <w:t>at 2.</w:t>
      </w:r>
      <w:r>
        <w:t xml:space="preserve">  A month later, the State reported that </w:t>
      </w:r>
      <w:r w:rsidRPr="00510370">
        <w:t xml:space="preserve">only 44 </w:t>
      </w:r>
      <w:r>
        <w:t xml:space="preserve">Category One </w:t>
      </w:r>
      <w:r w:rsidRPr="00510370">
        <w:t xml:space="preserve">individuals and 15 </w:t>
      </w:r>
      <w:r>
        <w:t xml:space="preserve">Category Four individuals </w:t>
      </w:r>
      <w:r w:rsidRPr="00510370">
        <w:t>occ</w:t>
      </w:r>
      <w:r>
        <w:t xml:space="preserve">upied Housing Slots. </w:t>
      </w:r>
      <w:r w:rsidRPr="00244D3E">
        <w:t xml:space="preserve"> </w:t>
      </w:r>
      <w:r w:rsidRPr="00510370">
        <w:t xml:space="preserve">July 2014 </w:t>
      </w:r>
      <w:r>
        <w:t xml:space="preserve">Monthly </w:t>
      </w:r>
      <w:r w:rsidRPr="00510370">
        <w:t xml:space="preserve">Rep. </w:t>
      </w:r>
      <w:r>
        <w:t xml:space="preserve">Ex. B, </w:t>
      </w:r>
      <w:r w:rsidRPr="00510370">
        <w:t xml:space="preserve">at 7.  </w:t>
      </w:r>
    </w:p>
    <w:p w:rsidR="003D6621" w:rsidRDefault="003D6621">
      <w:pPr>
        <w:pStyle w:val="FootnoteText"/>
      </w:pPr>
      <w:r>
        <w:t xml:space="preserve"> </w:t>
      </w:r>
    </w:p>
  </w:footnote>
  <w:footnote w:id="14">
    <w:p w:rsidR="003D6621" w:rsidRDefault="003D6621" w:rsidP="004F56FF">
      <w:pPr>
        <w:pStyle w:val="FootnoteText"/>
        <w:jc w:val="both"/>
      </w:pPr>
      <w:r>
        <w:rPr>
          <w:rStyle w:val="FootnoteReference"/>
        </w:rPr>
        <w:footnoteRef/>
      </w:r>
      <w:r>
        <w:t xml:space="preserve"> “An individual with ‘Serious Mental Illness’ (‘SMI’) is defined, consistent with North Carolina’s Local Management Entity (‘LME’) Operations Manual, as an individual who is 18 years of age or older with a mental illness or disorder (but not a primary diagnosis of Alzheimer’s disease or dementia) that is described in the Diagnostic and Statistical Manual of Mental Disorders, 4th Edition, that impairs or impedes functioning in one or more major areas of living and is unlikely to improve without treatment, services and/or supports.”  S.A. § II(C).</w:t>
      </w:r>
    </w:p>
  </w:footnote>
  <w:footnote w:id="15">
    <w:p w:rsidR="003D6621" w:rsidRDefault="003D6621" w:rsidP="00A61636">
      <w:pPr>
        <w:pStyle w:val="FootnoteText"/>
        <w:jc w:val="both"/>
      </w:pPr>
      <w:r>
        <w:rPr>
          <w:rStyle w:val="FootnoteReference"/>
        </w:rPr>
        <w:footnoteRef/>
      </w:r>
      <w:r>
        <w:t xml:space="preserve"> As noted, the Agreement’s overall target population is “individuals with SMI, who are in or at risk of entry to an adult care home[.]”  </w:t>
      </w:r>
      <w:r>
        <w:rPr>
          <w:i/>
        </w:rPr>
        <w:t xml:space="preserve">See </w:t>
      </w:r>
      <w:r>
        <w:t xml:space="preserve">S.A. § III(A).  Although some provisions concern subsets of the target population, no provision in the Agreement concerns individuals outside the overall target population.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8" w:rsidRDefault="002E0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8" w:rsidRDefault="002E0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A8" w:rsidRDefault="002E0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18D"/>
    <w:multiLevelType w:val="hybridMultilevel"/>
    <w:tmpl w:val="8B28EAE4"/>
    <w:lvl w:ilvl="0" w:tplc="203CE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05ADD"/>
    <w:multiLevelType w:val="hybridMultilevel"/>
    <w:tmpl w:val="FF4CCF26"/>
    <w:lvl w:ilvl="0" w:tplc="4F2224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3EB7D78"/>
    <w:multiLevelType w:val="hybridMultilevel"/>
    <w:tmpl w:val="AF2EFA6A"/>
    <w:lvl w:ilvl="0" w:tplc="203CE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E3A42"/>
    <w:multiLevelType w:val="hybridMultilevel"/>
    <w:tmpl w:val="54665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802F3"/>
    <w:multiLevelType w:val="hybridMultilevel"/>
    <w:tmpl w:val="D3EA2E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EA2C31"/>
    <w:multiLevelType w:val="hybridMultilevel"/>
    <w:tmpl w:val="971A68B4"/>
    <w:lvl w:ilvl="0" w:tplc="1896A3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C1E56"/>
    <w:multiLevelType w:val="hybridMultilevel"/>
    <w:tmpl w:val="12384338"/>
    <w:lvl w:ilvl="0" w:tplc="4D288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E63638"/>
    <w:multiLevelType w:val="hybridMultilevel"/>
    <w:tmpl w:val="20500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B7518"/>
    <w:multiLevelType w:val="hybridMultilevel"/>
    <w:tmpl w:val="DFF45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63FD2"/>
    <w:multiLevelType w:val="hybridMultilevel"/>
    <w:tmpl w:val="1550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547C2"/>
    <w:multiLevelType w:val="hybridMultilevel"/>
    <w:tmpl w:val="257C4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DCB16FE"/>
    <w:multiLevelType w:val="hybridMultilevel"/>
    <w:tmpl w:val="74A44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2"/>
  </w:num>
  <w:num w:numId="6">
    <w:abstractNumId w:val="9"/>
  </w:num>
  <w:num w:numId="7">
    <w:abstractNumId w:val="7"/>
  </w:num>
  <w:num w:numId="8">
    <w:abstractNumId w:val="3"/>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l, Eve L. (CRT)">
    <w15:presenceInfo w15:providerId="AD" w15:userId="S-1-5-21-671366142-1315730118-1538882281-378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7A246D"/>
    <w:rsid w:val="00000A44"/>
    <w:rsid w:val="000022D1"/>
    <w:rsid w:val="00004758"/>
    <w:rsid w:val="00005A49"/>
    <w:rsid w:val="00006B29"/>
    <w:rsid w:val="00010518"/>
    <w:rsid w:val="00010BE1"/>
    <w:rsid w:val="000133DC"/>
    <w:rsid w:val="000135ED"/>
    <w:rsid w:val="00013A9F"/>
    <w:rsid w:val="00015651"/>
    <w:rsid w:val="00016A3D"/>
    <w:rsid w:val="00017AF6"/>
    <w:rsid w:val="00017C7C"/>
    <w:rsid w:val="00020CB6"/>
    <w:rsid w:val="0002193A"/>
    <w:rsid w:val="00021EC4"/>
    <w:rsid w:val="00021F7A"/>
    <w:rsid w:val="00023A40"/>
    <w:rsid w:val="00024EF9"/>
    <w:rsid w:val="00025B03"/>
    <w:rsid w:val="0002603B"/>
    <w:rsid w:val="000267F6"/>
    <w:rsid w:val="000271FD"/>
    <w:rsid w:val="00027694"/>
    <w:rsid w:val="000311C6"/>
    <w:rsid w:val="00031F50"/>
    <w:rsid w:val="00033219"/>
    <w:rsid w:val="00033A99"/>
    <w:rsid w:val="00035C41"/>
    <w:rsid w:val="000361B0"/>
    <w:rsid w:val="000366E9"/>
    <w:rsid w:val="000374C0"/>
    <w:rsid w:val="00040A36"/>
    <w:rsid w:val="00040A6B"/>
    <w:rsid w:val="00041CB3"/>
    <w:rsid w:val="0004300F"/>
    <w:rsid w:val="00043B28"/>
    <w:rsid w:val="00043C53"/>
    <w:rsid w:val="0004451A"/>
    <w:rsid w:val="00045B15"/>
    <w:rsid w:val="0004600F"/>
    <w:rsid w:val="0005284E"/>
    <w:rsid w:val="000528E4"/>
    <w:rsid w:val="00052CDD"/>
    <w:rsid w:val="00053860"/>
    <w:rsid w:val="0005387D"/>
    <w:rsid w:val="000538A6"/>
    <w:rsid w:val="000543B3"/>
    <w:rsid w:val="00056186"/>
    <w:rsid w:val="00056E4A"/>
    <w:rsid w:val="0006069A"/>
    <w:rsid w:val="000631CB"/>
    <w:rsid w:val="00063799"/>
    <w:rsid w:val="0006437E"/>
    <w:rsid w:val="00064B09"/>
    <w:rsid w:val="00075A3F"/>
    <w:rsid w:val="000773F3"/>
    <w:rsid w:val="00080945"/>
    <w:rsid w:val="00081084"/>
    <w:rsid w:val="000810FD"/>
    <w:rsid w:val="00082740"/>
    <w:rsid w:val="00083750"/>
    <w:rsid w:val="00085E28"/>
    <w:rsid w:val="000871A3"/>
    <w:rsid w:val="000904B6"/>
    <w:rsid w:val="000904FB"/>
    <w:rsid w:val="00091147"/>
    <w:rsid w:val="0009149D"/>
    <w:rsid w:val="0009159F"/>
    <w:rsid w:val="00091A9F"/>
    <w:rsid w:val="0009266D"/>
    <w:rsid w:val="00093765"/>
    <w:rsid w:val="0009405E"/>
    <w:rsid w:val="00094719"/>
    <w:rsid w:val="00094775"/>
    <w:rsid w:val="00094939"/>
    <w:rsid w:val="00094FFE"/>
    <w:rsid w:val="00095019"/>
    <w:rsid w:val="00096F74"/>
    <w:rsid w:val="00097DC7"/>
    <w:rsid w:val="00097EC7"/>
    <w:rsid w:val="000A0AD6"/>
    <w:rsid w:val="000A10F5"/>
    <w:rsid w:val="000A19EA"/>
    <w:rsid w:val="000A1F1A"/>
    <w:rsid w:val="000A2A03"/>
    <w:rsid w:val="000A3214"/>
    <w:rsid w:val="000A32A3"/>
    <w:rsid w:val="000A33D5"/>
    <w:rsid w:val="000A3BB6"/>
    <w:rsid w:val="000A56FF"/>
    <w:rsid w:val="000A6427"/>
    <w:rsid w:val="000A6744"/>
    <w:rsid w:val="000A6CFE"/>
    <w:rsid w:val="000B0D00"/>
    <w:rsid w:val="000B2B06"/>
    <w:rsid w:val="000B2DF4"/>
    <w:rsid w:val="000B33D3"/>
    <w:rsid w:val="000B6E23"/>
    <w:rsid w:val="000B724D"/>
    <w:rsid w:val="000B775E"/>
    <w:rsid w:val="000B79C2"/>
    <w:rsid w:val="000C07AF"/>
    <w:rsid w:val="000C1BF5"/>
    <w:rsid w:val="000C1D60"/>
    <w:rsid w:val="000C2C5E"/>
    <w:rsid w:val="000C3284"/>
    <w:rsid w:val="000C4016"/>
    <w:rsid w:val="000C442F"/>
    <w:rsid w:val="000C473A"/>
    <w:rsid w:val="000C4AFF"/>
    <w:rsid w:val="000C5EC7"/>
    <w:rsid w:val="000C5F2A"/>
    <w:rsid w:val="000D1784"/>
    <w:rsid w:val="000D2475"/>
    <w:rsid w:val="000D2FC5"/>
    <w:rsid w:val="000D3E2B"/>
    <w:rsid w:val="000D4982"/>
    <w:rsid w:val="000D4ED8"/>
    <w:rsid w:val="000D5E0A"/>
    <w:rsid w:val="000D617B"/>
    <w:rsid w:val="000D673B"/>
    <w:rsid w:val="000D6DB9"/>
    <w:rsid w:val="000E089D"/>
    <w:rsid w:val="000E0FC5"/>
    <w:rsid w:val="000E122F"/>
    <w:rsid w:val="000E1DDF"/>
    <w:rsid w:val="000E2D72"/>
    <w:rsid w:val="000E5BCF"/>
    <w:rsid w:val="000E60D1"/>
    <w:rsid w:val="000E6140"/>
    <w:rsid w:val="000F040A"/>
    <w:rsid w:val="000F0663"/>
    <w:rsid w:val="000F1041"/>
    <w:rsid w:val="000F164F"/>
    <w:rsid w:val="000F1F97"/>
    <w:rsid w:val="000F26F9"/>
    <w:rsid w:val="000F291D"/>
    <w:rsid w:val="000F2DA5"/>
    <w:rsid w:val="000F310C"/>
    <w:rsid w:val="000F4470"/>
    <w:rsid w:val="000F4778"/>
    <w:rsid w:val="000F4C5C"/>
    <w:rsid w:val="001004F6"/>
    <w:rsid w:val="00101BAD"/>
    <w:rsid w:val="001027A9"/>
    <w:rsid w:val="00102900"/>
    <w:rsid w:val="00102F45"/>
    <w:rsid w:val="00103C8B"/>
    <w:rsid w:val="00103FE4"/>
    <w:rsid w:val="001047A6"/>
    <w:rsid w:val="0011011E"/>
    <w:rsid w:val="00110A0A"/>
    <w:rsid w:val="00111715"/>
    <w:rsid w:val="001125CD"/>
    <w:rsid w:val="0011344D"/>
    <w:rsid w:val="001138C1"/>
    <w:rsid w:val="00113F67"/>
    <w:rsid w:val="00114F1B"/>
    <w:rsid w:val="00115B37"/>
    <w:rsid w:val="00116B64"/>
    <w:rsid w:val="00117C1C"/>
    <w:rsid w:val="00120B49"/>
    <w:rsid w:val="001210EE"/>
    <w:rsid w:val="001225F3"/>
    <w:rsid w:val="001228AF"/>
    <w:rsid w:val="0012419D"/>
    <w:rsid w:val="00124748"/>
    <w:rsid w:val="00125F16"/>
    <w:rsid w:val="0012607E"/>
    <w:rsid w:val="00126AB3"/>
    <w:rsid w:val="001301FB"/>
    <w:rsid w:val="001306E1"/>
    <w:rsid w:val="001310D9"/>
    <w:rsid w:val="001320C5"/>
    <w:rsid w:val="00132E4E"/>
    <w:rsid w:val="00133285"/>
    <w:rsid w:val="001344A0"/>
    <w:rsid w:val="00135485"/>
    <w:rsid w:val="00135605"/>
    <w:rsid w:val="0013794A"/>
    <w:rsid w:val="001416A3"/>
    <w:rsid w:val="001426FC"/>
    <w:rsid w:val="0014307C"/>
    <w:rsid w:val="0014355C"/>
    <w:rsid w:val="00143ED4"/>
    <w:rsid w:val="00144C23"/>
    <w:rsid w:val="00145E63"/>
    <w:rsid w:val="0014691B"/>
    <w:rsid w:val="001469EB"/>
    <w:rsid w:val="00146CA5"/>
    <w:rsid w:val="00146DE7"/>
    <w:rsid w:val="00150CE6"/>
    <w:rsid w:val="00153648"/>
    <w:rsid w:val="00153A58"/>
    <w:rsid w:val="00155321"/>
    <w:rsid w:val="00155FF8"/>
    <w:rsid w:val="00156619"/>
    <w:rsid w:val="00156ED7"/>
    <w:rsid w:val="00157BFE"/>
    <w:rsid w:val="00160457"/>
    <w:rsid w:val="00161ABB"/>
    <w:rsid w:val="00162A0D"/>
    <w:rsid w:val="00162AFC"/>
    <w:rsid w:val="00162B77"/>
    <w:rsid w:val="00162FB9"/>
    <w:rsid w:val="001638B4"/>
    <w:rsid w:val="00163F0C"/>
    <w:rsid w:val="00166083"/>
    <w:rsid w:val="001709FE"/>
    <w:rsid w:val="00170A87"/>
    <w:rsid w:val="00170B3E"/>
    <w:rsid w:val="001726E1"/>
    <w:rsid w:val="00173B04"/>
    <w:rsid w:val="00176A82"/>
    <w:rsid w:val="00176C5F"/>
    <w:rsid w:val="00176CDB"/>
    <w:rsid w:val="0018090F"/>
    <w:rsid w:val="00181F91"/>
    <w:rsid w:val="0018285A"/>
    <w:rsid w:val="00182EDB"/>
    <w:rsid w:val="00184087"/>
    <w:rsid w:val="0018431D"/>
    <w:rsid w:val="00184A91"/>
    <w:rsid w:val="001855AE"/>
    <w:rsid w:val="001864C0"/>
    <w:rsid w:val="001869AA"/>
    <w:rsid w:val="00187387"/>
    <w:rsid w:val="00187D28"/>
    <w:rsid w:val="00190FD9"/>
    <w:rsid w:val="001918C8"/>
    <w:rsid w:val="0019203B"/>
    <w:rsid w:val="001924C1"/>
    <w:rsid w:val="0019278E"/>
    <w:rsid w:val="001939FA"/>
    <w:rsid w:val="00193A4C"/>
    <w:rsid w:val="001943A7"/>
    <w:rsid w:val="00194E9A"/>
    <w:rsid w:val="00195762"/>
    <w:rsid w:val="00196D67"/>
    <w:rsid w:val="001A0434"/>
    <w:rsid w:val="001A0612"/>
    <w:rsid w:val="001A181C"/>
    <w:rsid w:val="001A3235"/>
    <w:rsid w:val="001A35AA"/>
    <w:rsid w:val="001A391A"/>
    <w:rsid w:val="001A4812"/>
    <w:rsid w:val="001A58BA"/>
    <w:rsid w:val="001A6A5D"/>
    <w:rsid w:val="001B0E45"/>
    <w:rsid w:val="001B122C"/>
    <w:rsid w:val="001B24F5"/>
    <w:rsid w:val="001B36A2"/>
    <w:rsid w:val="001B550E"/>
    <w:rsid w:val="001B639A"/>
    <w:rsid w:val="001B689E"/>
    <w:rsid w:val="001B6E21"/>
    <w:rsid w:val="001C084F"/>
    <w:rsid w:val="001C090D"/>
    <w:rsid w:val="001C0D23"/>
    <w:rsid w:val="001C1976"/>
    <w:rsid w:val="001C211D"/>
    <w:rsid w:val="001C26E6"/>
    <w:rsid w:val="001C2B28"/>
    <w:rsid w:val="001C428D"/>
    <w:rsid w:val="001C5F54"/>
    <w:rsid w:val="001C6062"/>
    <w:rsid w:val="001C6AAD"/>
    <w:rsid w:val="001C7DAF"/>
    <w:rsid w:val="001D1826"/>
    <w:rsid w:val="001D1FE7"/>
    <w:rsid w:val="001D2BAA"/>
    <w:rsid w:val="001D2ED9"/>
    <w:rsid w:val="001D44AC"/>
    <w:rsid w:val="001D4772"/>
    <w:rsid w:val="001D54F0"/>
    <w:rsid w:val="001D59BC"/>
    <w:rsid w:val="001D5A24"/>
    <w:rsid w:val="001D5E4F"/>
    <w:rsid w:val="001D60AD"/>
    <w:rsid w:val="001D6696"/>
    <w:rsid w:val="001D737E"/>
    <w:rsid w:val="001D7489"/>
    <w:rsid w:val="001E0293"/>
    <w:rsid w:val="001E0925"/>
    <w:rsid w:val="001E2C2D"/>
    <w:rsid w:val="001E2FD1"/>
    <w:rsid w:val="001E45FE"/>
    <w:rsid w:val="001E4EE7"/>
    <w:rsid w:val="001E7709"/>
    <w:rsid w:val="001E77AF"/>
    <w:rsid w:val="001E78E0"/>
    <w:rsid w:val="001E7B3F"/>
    <w:rsid w:val="001E7E5F"/>
    <w:rsid w:val="001F17FB"/>
    <w:rsid w:val="001F25F8"/>
    <w:rsid w:val="001F36AB"/>
    <w:rsid w:val="001F37B6"/>
    <w:rsid w:val="001F3C5E"/>
    <w:rsid w:val="001F43C4"/>
    <w:rsid w:val="001F459C"/>
    <w:rsid w:val="001F4C41"/>
    <w:rsid w:val="001F70B4"/>
    <w:rsid w:val="002001BA"/>
    <w:rsid w:val="00200713"/>
    <w:rsid w:val="00200ED3"/>
    <w:rsid w:val="002012C8"/>
    <w:rsid w:val="0020130E"/>
    <w:rsid w:val="00201AA8"/>
    <w:rsid w:val="00201E76"/>
    <w:rsid w:val="00201EAF"/>
    <w:rsid w:val="00201F61"/>
    <w:rsid w:val="00205E25"/>
    <w:rsid w:val="00207546"/>
    <w:rsid w:val="00207560"/>
    <w:rsid w:val="002078F7"/>
    <w:rsid w:val="00207D26"/>
    <w:rsid w:val="00207EDB"/>
    <w:rsid w:val="00211513"/>
    <w:rsid w:val="00211E34"/>
    <w:rsid w:val="00211EEC"/>
    <w:rsid w:val="0021260A"/>
    <w:rsid w:val="00212A88"/>
    <w:rsid w:val="002132A4"/>
    <w:rsid w:val="002141D7"/>
    <w:rsid w:val="00215DE9"/>
    <w:rsid w:val="0021685D"/>
    <w:rsid w:val="00217D28"/>
    <w:rsid w:val="00220457"/>
    <w:rsid w:val="00220A40"/>
    <w:rsid w:val="00221273"/>
    <w:rsid w:val="00223131"/>
    <w:rsid w:val="002249FB"/>
    <w:rsid w:val="00225D59"/>
    <w:rsid w:val="002277B8"/>
    <w:rsid w:val="0023063E"/>
    <w:rsid w:val="00230C4B"/>
    <w:rsid w:val="00231115"/>
    <w:rsid w:val="00231F4E"/>
    <w:rsid w:val="002348D6"/>
    <w:rsid w:val="002357F9"/>
    <w:rsid w:val="0023589C"/>
    <w:rsid w:val="00235A07"/>
    <w:rsid w:val="00236017"/>
    <w:rsid w:val="0023637E"/>
    <w:rsid w:val="002367D6"/>
    <w:rsid w:val="00237A6D"/>
    <w:rsid w:val="00240DCA"/>
    <w:rsid w:val="002412E1"/>
    <w:rsid w:val="00241B12"/>
    <w:rsid w:val="00242B53"/>
    <w:rsid w:val="002440E2"/>
    <w:rsid w:val="002441AB"/>
    <w:rsid w:val="00244D3E"/>
    <w:rsid w:val="002455C5"/>
    <w:rsid w:val="00245CCC"/>
    <w:rsid w:val="00246AE6"/>
    <w:rsid w:val="00246BF8"/>
    <w:rsid w:val="00246F38"/>
    <w:rsid w:val="002470CB"/>
    <w:rsid w:val="002473A2"/>
    <w:rsid w:val="00247795"/>
    <w:rsid w:val="00247B60"/>
    <w:rsid w:val="002516D2"/>
    <w:rsid w:val="00252261"/>
    <w:rsid w:val="002524BC"/>
    <w:rsid w:val="00253DF0"/>
    <w:rsid w:val="00254C17"/>
    <w:rsid w:val="00255B7F"/>
    <w:rsid w:val="002570A1"/>
    <w:rsid w:val="00260460"/>
    <w:rsid w:val="00261387"/>
    <w:rsid w:val="002616B7"/>
    <w:rsid w:val="002624E6"/>
    <w:rsid w:val="002643EC"/>
    <w:rsid w:val="00265744"/>
    <w:rsid w:val="002668F0"/>
    <w:rsid w:val="002677D8"/>
    <w:rsid w:val="002716F1"/>
    <w:rsid w:val="00271F4F"/>
    <w:rsid w:val="00271F7D"/>
    <w:rsid w:val="00273E9F"/>
    <w:rsid w:val="00275870"/>
    <w:rsid w:val="0027623A"/>
    <w:rsid w:val="00277242"/>
    <w:rsid w:val="00277636"/>
    <w:rsid w:val="0028027B"/>
    <w:rsid w:val="00283F66"/>
    <w:rsid w:val="00284414"/>
    <w:rsid w:val="00284CA5"/>
    <w:rsid w:val="00285596"/>
    <w:rsid w:val="002869E4"/>
    <w:rsid w:val="00287BA3"/>
    <w:rsid w:val="00290F65"/>
    <w:rsid w:val="00290FA9"/>
    <w:rsid w:val="0029145E"/>
    <w:rsid w:val="00291A45"/>
    <w:rsid w:val="0029230B"/>
    <w:rsid w:val="00292446"/>
    <w:rsid w:val="00293E28"/>
    <w:rsid w:val="00294AA6"/>
    <w:rsid w:val="002954E5"/>
    <w:rsid w:val="0029637A"/>
    <w:rsid w:val="0029660E"/>
    <w:rsid w:val="002975F5"/>
    <w:rsid w:val="00297696"/>
    <w:rsid w:val="00297AFA"/>
    <w:rsid w:val="002A3567"/>
    <w:rsid w:val="002A4E91"/>
    <w:rsid w:val="002A5B51"/>
    <w:rsid w:val="002A662F"/>
    <w:rsid w:val="002A6E4C"/>
    <w:rsid w:val="002B010E"/>
    <w:rsid w:val="002B0A95"/>
    <w:rsid w:val="002B0CA3"/>
    <w:rsid w:val="002B2605"/>
    <w:rsid w:val="002B289A"/>
    <w:rsid w:val="002B3159"/>
    <w:rsid w:val="002B3A59"/>
    <w:rsid w:val="002B5388"/>
    <w:rsid w:val="002B5442"/>
    <w:rsid w:val="002B7549"/>
    <w:rsid w:val="002B7959"/>
    <w:rsid w:val="002B7CAC"/>
    <w:rsid w:val="002C2300"/>
    <w:rsid w:val="002C2C88"/>
    <w:rsid w:val="002C3C7D"/>
    <w:rsid w:val="002C464F"/>
    <w:rsid w:val="002C5C99"/>
    <w:rsid w:val="002C6520"/>
    <w:rsid w:val="002C76F3"/>
    <w:rsid w:val="002C7B45"/>
    <w:rsid w:val="002C7C47"/>
    <w:rsid w:val="002D0C44"/>
    <w:rsid w:val="002D1986"/>
    <w:rsid w:val="002D20A9"/>
    <w:rsid w:val="002D25E5"/>
    <w:rsid w:val="002D2B08"/>
    <w:rsid w:val="002D2B48"/>
    <w:rsid w:val="002D5043"/>
    <w:rsid w:val="002D55BE"/>
    <w:rsid w:val="002D5A45"/>
    <w:rsid w:val="002D5DD6"/>
    <w:rsid w:val="002D5F3C"/>
    <w:rsid w:val="002D645B"/>
    <w:rsid w:val="002E03D0"/>
    <w:rsid w:val="002E0676"/>
    <w:rsid w:val="002E0EA8"/>
    <w:rsid w:val="002E1803"/>
    <w:rsid w:val="002E3A50"/>
    <w:rsid w:val="002E3E38"/>
    <w:rsid w:val="002E437A"/>
    <w:rsid w:val="002E49C1"/>
    <w:rsid w:val="002E4AB5"/>
    <w:rsid w:val="002E596A"/>
    <w:rsid w:val="002F0211"/>
    <w:rsid w:val="002F05A5"/>
    <w:rsid w:val="002F10F5"/>
    <w:rsid w:val="002F1868"/>
    <w:rsid w:val="002F1AA8"/>
    <w:rsid w:val="002F2F36"/>
    <w:rsid w:val="002F3BB5"/>
    <w:rsid w:val="002F3BB7"/>
    <w:rsid w:val="002F3CFA"/>
    <w:rsid w:val="002F40ED"/>
    <w:rsid w:val="002F44E5"/>
    <w:rsid w:val="002F4A9F"/>
    <w:rsid w:val="002F592B"/>
    <w:rsid w:val="002F7762"/>
    <w:rsid w:val="003001B0"/>
    <w:rsid w:val="003013D6"/>
    <w:rsid w:val="00303131"/>
    <w:rsid w:val="00305965"/>
    <w:rsid w:val="00305D28"/>
    <w:rsid w:val="003110E9"/>
    <w:rsid w:val="00311760"/>
    <w:rsid w:val="0031226A"/>
    <w:rsid w:val="003146A0"/>
    <w:rsid w:val="00314F03"/>
    <w:rsid w:val="00315382"/>
    <w:rsid w:val="003215A5"/>
    <w:rsid w:val="0032320C"/>
    <w:rsid w:val="003264FF"/>
    <w:rsid w:val="003275A2"/>
    <w:rsid w:val="003279A2"/>
    <w:rsid w:val="003302CB"/>
    <w:rsid w:val="00330465"/>
    <w:rsid w:val="003310A1"/>
    <w:rsid w:val="00331E61"/>
    <w:rsid w:val="00332D8A"/>
    <w:rsid w:val="00335ADD"/>
    <w:rsid w:val="003376E4"/>
    <w:rsid w:val="003410AF"/>
    <w:rsid w:val="0034113B"/>
    <w:rsid w:val="0034127F"/>
    <w:rsid w:val="00342DA3"/>
    <w:rsid w:val="00343AEE"/>
    <w:rsid w:val="00343B44"/>
    <w:rsid w:val="00344319"/>
    <w:rsid w:val="00345308"/>
    <w:rsid w:val="00345AF8"/>
    <w:rsid w:val="00345E23"/>
    <w:rsid w:val="00346354"/>
    <w:rsid w:val="003464A1"/>
    <w:rsid w:val="003469D3"/>
    <w:rsid w:val="00347C07"/>
    <w:rsid w:val="00347D17"/>
    <w:rsid w:val="00347E5B"/>
    <w:rsid w:val="0035055E"/>
    <w:rsid w:val="003506CD"/>
    <w:rsid w:val="00353D63"/>
    <w:rsid w:val="00353F4C"/>
    <w:rsid w:val="00354F7C"/>
    <w:rsid w:val="003551E2"/>
    <w:rsid w:val="00356571"/>
    <w:rsid w:val="00357306"/>
    <w:rsid w:val="00357581"/>
    <w:rsid w:val="003611AE"/>
    <w:rsid w:val="003613CB"/>
    <w:rsid w:val="00361990"/>
    <w:rsid w:val="003624ED"/>
    <w:rsid w:val="0036251A"/>
    <w:rsid w:val="0036287A"/>
    <w:rsid w:val="00362BFF"/>
    <w:rsid w:val="00363092"/>
    <w:rsid w:val="00363166"/>
    <w:rsid w:val="00363984"/>
    <w:rsid w:val="003674CC"/>
    <w:rsid w:val="00367B72"/>
    <w:rsid w:val="003724F9"/>
    <w:rsid w:val="00372A46"/>
    <w:rsid w:val="0037386D"/>
    <w:rsid w:val="00375F67"/>
    <w:rsid w:val="003772E6"/>
    <w:rsid w:val="00377C30"/>
    <w:rsid w:val="00380DE5"/>
    <w:rsid w:val="00382CEC"/>
    <w:rsid w:val="00382F8D"/>
    <w:rsid w:val="00382FDC"/>
    <w:rsid w:val="0038460C"/>
    <w:rsid w:val="00384F24"/>
    <w:rsid w:val="00385340"/>
    <w:rsid w:val="0038549E"/>
    <w:rsid w:val="003866F6"/>
    <w:rsid w:val="00391B00"/>
    <w:rsid w:val="00392C34"/>
    <w:rsid w:val="00392C65"/>
    <w:rsid w:val="00393AF9"/>
    <w:rsid w:val="00393EC9"/>
    <w:rsid w:val="00395183"/>
    <w:rsid w:val="00396113"/>
    <w:rsid w:val="00396276"/>
    <w:rsid w:val="003A0799"/>
    <w:rsid w:val="003A17E0"/>
    <w:rsid w:val="003A3536"/>
    <w:rsid w:val="003A3697"/>
    <w:rsid w:val="003A5984"/>
    <w:rsid w:val="003A7501"/>
    <w:rsid w:val="003A794F"/>
    <w:rsid w:val="003B1994"/>
    <w:rsid w:val="003B19AC"/>
    <w:rsid w:val="003B1F51"/>
    <w:rsid w:val="003B2428"/>
    <w:rsid w:val="003B282F"/>
    <w:rsid w:val="003B30F7"/>
    <w:rsid w:val="003B5542"/>
    <w:rsid w:val="003B718F"/>
    <w:rsid w:val="003B73F6"/>
    <w:rsid w:val="003B7AE2"/>
    <w:rsid w:val="003C042D"/>
    <w:rsid w:val="003C05FB"/>
    <w:rsid w:val="003C1AF1"/>
    <w:rsid w:val="003C265D"/>
    <w:rsid w:val="003C2A7C"/>
    <w:rsid w:val="003C38F5"/>
    <w:rsid w:val="003C3B5B"/>
    <w:rsid w:val="003C4AB2"/>
    <w:rsid w:val="003C6423"/>
    <w:rsid w:val="003C7820"/>
    <w:rsid w:val="003C7920"/>
    <w:rsid w:val="003D0ACF"/>
    <w:rsid w:val="003D3795"/>
    <w:rsid w:val="003D504E"/>
    <w:rsid w:val="003D5FC6"/>
    <w:rsid w:val="003D6621"/>
    <w:rsid w:val="003D7002"/>
    <w:rsid w:val="003E0286"/>
    <w:rsid w:val="003E36DD"/>
    <w:rsid w:val="003E3CA5"/>
    <w:rsid w:val="003E56CB"/>
    <w:rsid w:val="003E67CA"/>
    <w:rsid w:val="003E6D32"/>
    <w:rsid w:val="003F06A2"/>
    <w:rsid w:val="003F0C82"/>
    <w:rsid w:val="003F0EFE"/>
    <w:rsid w:val="003F1612"/>
    <w:rsid w:val="003F24D7"/>
    <w:rsid w:val="003F283F"/>
    <w:rsid w:val="003F2B3D"/>
    <w:rsid w:val="003F31E0"/>
    <w:rsid w:val="003F40FC"/>
    <w:rsid w:val="003F4567"/>
    <w:rsid w:val="003F4DBD"/>
    <w:rsid w:val="003F4EF3"/>
    <w:rsid w:val="003F5136"/>
    <w:rsid w:val="003F5170"/>
    <w:rsid w:val="003F599E"/>
    <w:rsid w:val="003F5CD7"/>
    <w:rsid w:val="003F701E"/>
    <w:rsid w:val="003F749B"/>
    <w:rsid w:val="0040040D"/>
    <w:rsid w:val="0040205F"/>
    <w:rsid w:val="00402744"/>
    <w:rsid w:val="0040348C"/>
    <w:rsid w:val="00403898"/>
    <w:rsid w:val="00403E15"/>
    <w:rsid w:val="0040437E"/>
    <w:rsid w:val="00405860"/>
    <w:rsid w:val="00407B69"/>
    <w:rsid w:val="004104E2"/>
    <w:rsid w:val="00411890"/>
    <w:rsid w:val="00416282"/>
    <w:rsid w:val="00417024"/>
    <w:rsid w:val="004173C7"/>
    <w:rsid w:val="00420F17"/>
    <w:rsid w:val="00421E7C"/>
    <w:rsid w:val="00423D99"/>
    <w:rsid w:val="004276D2"/>
    <w:rsid w:val="00427B47"/>
    <w:rsid w:val="0043092E"/>
    <w:rsid w:val="00430C5B"/>
    <w:rsid w:val="0043128E"/>
    <w:rsid w:val="0043151D"/>
    <w:rsid w:val="0043151F"/>
    <w:rsid w:val="00431C9B"/>
    <w:rsid w:val="00432D39"/>
    <w:rsid w:val="00433A56"/>
    <w:rsid w:val="00433C70"/>
    <w:rsid w:val="00433EE6"/>
    <w:rsid w:val="004348D5"/>
    <w:rsid w:val="00437B51"/>
    <w:rsid w:val="004407A6"/>
    <w:rsid w:val="00440E1B"/>
    <w:rsid w:val="0044253F"/>
    <w:rsid w:val="00443A89"/>
    <w:rsid w:val="00443D1E"/>
    <w:rsid w:val="00445623"/>
    <w:rsid w:val="0044579E"/>
    <w:rsid w:val="0044627B"/>
    <w:rsid w:val="00446695"/>
    <w:rsid w:val="0044736D"/>
    <w:rsid w:val="004510E2"/>
    <w:rsid w:val="00452465"/>
    <w:rsid w:val="00452FD0"/>
    <w:rsid w:val="0045351F"/>
    <w:rsid w:val="00453BD4"/>
    <w:rsid w:val="00454922"/>
    <w:rsid w:val="00454DFB"/>
    <w:rsid w:val="00456DE6"/>
    <w:rsid w:val="00457A78"/>
    <w:rsid w:val="00457D23"/>
    <w:rsid w:val="00460603"/>
    <w:rsid w:val="00460E49"/>
    <w:rsid w:val="004618F5"/>
    <w:rsid w:val="00462DA1"/>
    <w:rsid w:val="00464320"/>
    <w:rsid w:val="004664B9"/>
    <w:rsid w:val="00466BE0"/>
    <w:rsid w:val="0046743A"/>
    <w:rsid w:val="00470094"/>
    <w:rsid w:val="0047015F"/>
    <w:rsid w:val="00470B49"/>
    <w:rsid w:val="0047161F"/>
    <w:rsid w:val="00471A45"/>
    <w:rsid w:val="00474D44"/>
    <w:rsid w:val="00476393"/>
    <w:rsid w:val="0047790B"/>
    <w:rsid w:val="0048199E"/>
    <w:rsid w:val="00481BA9"/>
    <w:rsid w:val="00482C16"/>
    <w:rsid w:val="004830B3"/>
    <w:rsid w:val="004833D3"/>
    <w:rsid w:val="0048414F"/>
    <w:rsid w:val="00484925"/>
    <w:rsid w:val="00486010"/>
    <w:rsid w:val="00486AAF"/>
    <w:rsid w:val="00487DEF"/>
    <w:rsid w:val="004913EA"/>
    <w:rsid w:val="00492204"/>
    <w:rsid w:val="00492C81"/>
    <w:rsid w:val="00492F67"/>
    <w:rsid w:val="0049447E"/>
    <w:rsid w:val="00494B0E"/>
    <w:rsid w:val="00495245"/>
    <w:rsid w:val="00495743"/>
    <w:rsid w:val="004957EC"/>
    <w:rsid w:val="00495FC4"/>
    <w:rsid w:val="004963B8"/>
    <w:rsid w:val="004975F5"/>
    <w:rsid w:val="004A32E5"/>
    <w:rsid w:val="004A358A"/>
    <w:rsid w:val="004A4AD4"/>
    <w:rsid w:val="004A5C0D"/>
    <w:rsid w:val="004A765E"/>
    <w:rsid w:val="004B1173"/>
    <w:rsid w:val="004B1992"/>
    <w:rsid w:val="004B27DA"/>
    <w:rsid w:val="004B2B49"/>
    <w:rsid w:val="004B49D0"/>
    <w:rsid w:val="004B4DA6"/>
    <w:rsid w:val="004B4DF9"/>
    <w:rsid w:val="004B66E9"/>
    <w:rsid w:val="004C13E5"/>
    <w:rsid w:val="004C263B"/>
    <w:rsid w:val="004C3DD7"/>
    <w:rsid w:val="004C3FBE"/>
    <w:rsid w:val="004C45C9"/>
    <w:rsid w:val="004C556B"/>
    <w:rsid w:val="004C655C"/>
    <w:rsid w:val="004D0B6B"/>
    <w:rsid w:val="004D17BF"/>
    <w:rsid w:val="004D1900"/>
    <w:rsid w:val="004D2CAE"/>
    <w:rsid w:val="004D33FC"/>
    <w:rsid w:val="004D3B31"/>
    <w:rsid w:val="004D40CE"/>
    <w:rsid w:val="004D4153"/>
    <w:rsid w:val="004D7BD5"/>
    <w:rsid w:val="004D7E0E"/>
    <w:rsid w:val="004E0013"/>
    <w:rsid w:val="004E0748"/>
    <w:rsid w:val="004E1A53"/>
    <w:rsid w:val="004E1E62"/>
    <w:rsid w:val="004E22A2"/>
    <w:rsid w:val="004E22CF"/>
    <w:rsid w:val="004E2964"/>
    <w:rsid w:val="004E39F0"/>
    <w:rsid w:val="004E3C27"/>
    <w:rsid w:val="004E5CF7"/>
    <w:rsid w:val="004E6557"/>
    <w:rsid w:val="004E65AF"/>
    <w:rsid w:val="004E6F85"/>
    <w:rsid w:val="004F073B"/>
    <w:rsid w:val="004F103E"/>
    <w:rsid w:val="004F1D85"/>
    <w:rsid w:val="004F496E"/>
    <w:rsid w:val="004F55D7"/>
    <w:rsid w:val="004F56FF"/>
    <w:rsid w:val="004F6174"/>
    <w:rsid w:val="004F6C5B"/>
    <w:rsid w:val="004F7E40"/>
    <w:rsid w:val="00500883"/>
    <w:rsid w:val="00501A0A"/>
    <w:rsid w:val="00502008"/>
    <w:rsid w:val="0050265B"/>
    <w:rsid w:val="00502681"/>
    <w:rsid w:val="00502804"/>
    <w:rsid w:val="00502F8D"/>
    <w:rsid w:val="0050452B"/>
    <w:rsid w:val="00504772"/>
    <w:rsid w:val="005048EF"/>
    <w:rsid w:val="00504BCB"/>
    <w:rsid w:val="005068F6"/>
    <w:rsid w:val="0050719B"/>
    <w:rsid w:val="00507A09"/>
    <w:rsid w:val="005103C3"/>
    <w:rsid w:val="005103FA"/>
    <w:rsid w:val="005104B0"/>
    <w:rsid w:val="005124FD"/>
    <w:rsid w:val="00512C46"/>
    <w:rsid w:val="00512DBF"/>
    <w:rsid w:val="00514113"/>
    <w:rsid w:val="005141CF"/>
    <w:rsid w:val="00514655"/>
    <w:rsid w:val="00515322"/>
    <w:rsid w:val="00515405"/>
    <w:rsid w:val="005155CA"/>
    <w:rsid w:val="00515B72"/>
    <w:rsid w:val="0051662C"/>
    <w:rsid w:val="005175AD"/>
    <w:rsid w:val="00520A7C"/>
    <w:rsid w:val="00521222"/>
    <w:rsid w:val="005217B4"/>
    <w:rsid w:val="0052292C"/>
    <w:rsid w:val="005231E7"/>
    <w:rsid w:val="00524D0C"/>
    <w:rsid w:val="0052523F"/>
    <w:rsid w:val="0052574C"/>
    <w:rsid w:val="00525E54"/>
    <w:rsid w:val="005271FF"/>
    <w:rsid w:val="00530B10"/>
    <w:rsid w:val="00531A19"/>
    <w:rsid w:val="005331AA"/>
    <w:rsid w:val="005340C7"/>
    <w:rsid w:val="00534674"/>
    <w:rsid w:val="005349BA"/>
    <w:rsid w:val="0053581A"/>
    <w:rsid w:val="00535879"/>
    <w:rsid w:val="005359C8"/>
    <w:rsid w:val="0053769B"/>
    <w:rsid w:val="00537B91"/>
    <w:rsid w:val="005407B6"/>
    <w:rsid w:val="005408C8"/>
    <w:rsid w:val="00541094"/>
    <w:rsid w:val="00541169"/>
    <w:rsid w:val="005416E4"/>
    <w:rsid w:val="00542E10"/>
    <w:rsid w:val="0054436B"/>
    <w:rsid w:val="00544829"/>
    <w:rsid w:val="00544C73"/>
    <w:rsid w:val="00545C69"/>
    <w:rsid w:val="00547647"/>
    <w:rsid w:val="005478AE"/>
    <w:rsid w:val="00547A83"/>
    <w:rsid w:val="0055107F"/>
    <w:rsid w:val="00551CB2"/>
    <w:rsid w:val="005521ED"/>
    <w:rsid w:val="00553F57"/>
    <w:rsid w:val="0055469E"/>
    <w:rsid w:val="00556AE3"/>
    <w:rsid w:val="0055702E"/>
    <w:rsid w:val="005570BE"/>
    <w:rsid w:val="00557738"/>
    <w:rsid w:val="0055798A"/>
    <w:rsid w:val="00557E36"/>
    <w:rsid w:val="00560252"/>
    <w:rsid w:val="00560306"/>
    <w:rsid w:val="005607EA"/>
    <w:rsid w:val="00561DE2"/>
    <w:rsid w:val="00562C1D"/>
    <w:rsid w:val="00562FFF"/>
    <w:rsid w:val="0056465E"/>
    <w:rsid w:val="005647EF"/>
    <w:rsid w:val="005672AF"/>
    <w:rsid w:val="0057206E"/>
    <w:rsid w:val="0057289F"/>
    <w:rsid w:val="00572929"/>
    <w:rsid w:val="00573077"/>
    <w:rsid w:val="00573267"/>
    <w:rsid w:val="00573450"/>
    <w:rsid w:val="00574EE4"/>
    <w:rsid w:val="00575937"/>
    <w:rsid w:val="005763B4"/>
    <w:rsid w:val="00580257"/>
    <w:rsid w:val="005802CE"/>
    <w:rsid w:val="005803E6"/>
    <w:rsid w:val="00580829"/>
    <w:rsid w:val="00581AC6"/>
    <w:rsid w:val="005821BE"/>
    <w:rsid w:val="00582DAB"/>
    <w:rsid w:val="00584281"/>
    <w:rsid w:val="005844FB"/>
    <w:rsid w:val="00584EAB"/>
    <w:rsid w:val="00585BC9"/>
    <w:rsid w:val="00586393"/>
    <w:rsid w:val="005865B8"/>
    <w:rsid w:val="00586CE6"/>
    <w:rsid w:val="00586F74"/>
    <w:rsid w:val="0059237D"/>
    <w:rsid w:val="00594108"/>
    <w:rsid w:val="00595C7F"/>
    <w:rsid w:val="005A1122"/>
    <w:rsid w:val="005A205C"/>
    <w:rsid w:val="005A2C57"/>
    <w:rsid w:val="005A2CAB"/>
    <w:rsid w:val="005A3024"/>
    <w:rsid w:val="005A3628"/>
    <w:rsid w:val="005A39BE"/>
    <w:rsid w:val="005A45BD"/>
    <w:rsid w:val="005A5E97"/>
    <w:rsid w:val="005A6FF7"/>
    <w:rsid w:val="005A76A0"/>
    <w:rsid w:val="005B05F0"/>
    <w:rsid w:val="005B1D8D"/>
    <w:rsid w:val="005B3B98"/>
    <w:rsid w:val="005B463A"/>
    <w:rsid w:val="005B4884"/>
    <w:rsid w:val="005B4E8F"/>
    <w:rsid w:val="005B549B"/>
    <w:rsid w:val="005B6CE4"/>
    <w:rsid w:val="005B79CC"/>
    <w:rsid w:val="005B7BB9"/>
    <w:rsid w:val="005C0BFE"/>
    <w:rsid w:val="005C19EA"/>
    <w:rsid w:val="005C2260"/>
    <w:rsid w:val="005C26F0"/>
    <w:rsid w:val="005C3E19"/>
    <w:rsid w:val="005C4CE6"/>
    <w:rsid w:val="005C5124"/>
    <w:rsid w:val="005C512D"/>
    <w:rsid w:val="005C5618"/>
    <w:rsid w:val="005C613C"/>
    <w:rsid w:val="005C66E3"/>
    <w:rsid w:val="005C6B0E"/>
    <w:rsid w:val="005C72D4"/>
    <w:rsid w:val="005C7C8C"/>
    <w:rsid w:val="005D0421"/>
    <w:rsid w:val="005D0F74"/>
    <w:rsid w:val="005D2FCF"/>
    <w:rsid w:val="005D3097"/>
    <w:rsid w:val="005D3984"/>
    <w:rsid w:val="005D4A18"/>
    <w:rsid w:val="005D4C34"/>
    <w:rsid w:val="005D5B2C"/>
    <w:rsid w:val="005D5BD7"/>
    <w:rsid w:val="005D644A"/>
    <w:rsid w:val="005D69BA"/>
    <w:rsid w:val="005D705D"/>
    <w:rsid w:val="005D730F"/>
    <w:rsid w:val="005E5594"/>
    <w:rsid w:val="005E57C4"/>
    <w:rsid w:val="005E5D0A"/>
    <w:rsid w:val="005E60BA"/>
    <w:rsid w:val="005E682E"/>
    <w:rsid w:val="005E6CEF"/>
    <w:rsid w:val="005E7024"/>
    <w:rsid w:val="005E7243"/>
    <w:rsid w:val="005F0792"/>
    <w:rsid w:val="005F082A"/>
    <w:rsid w:val="005F25A4"/>
    <w:rsid w:val="005F2678"/>
    <w:rsid w:val="005F2901"/>
    <w:rsid w:val="005F2FC5"/>
    <w:rsid w:val="005F4191"/>
    <w:rsid w:val="005F428B"/>
    <w:rsid w:val="005F4C12"/>
    <w:rsid w:val="005F50A1"/>
    <w:rsid w:val="005F78CA"/>
    <w:rsid w:val="005F7B09"/>
    <w:rsid w:val="005F7EA2"/>
    <w:rsid w:val="0060048B"/>
    <w:rsid w:val="006012E6"/>
    <w:rsid w:val="00601970"/>
    <w:rsid w:val="00602BA1"/>
    <w:rsid w:val="0060538D"/>
    <w:rsid w:val="00606441"/>
    <w:rsid w:val="006066CC"/>
    <w:rsid w:val="00606B48"/>
    <w:rsid w:val="006076A4"/>
    <w:rsid w:val="00610C08"/>
    <w:rsid w:val="006120DC"/>
    <w:rsid w:val="00613242"/>
    <w:rsid w:val="00614B97"/>
    <w:rsid w:val="00615537"/>
    <w:rsid w:val="006162CD"/>
    <w:rsid w:val="0061686C"/>
    <w:rsid w:val="00617044"/>
    <w:rsid w:val="006236CA"/>
    <w:rsid w:val="0062372C"/>
    <w:rsid w:val="00624907"/>
    <w:rsid w:val="00625219"/>
    <w:rsid w:val="00625A55"/>
    <w:rsid w:val="00626767"/>
    <w:rsid w:val="00627390"/>
    <w:rsid w:val="006302F6"/>
    <w:rsid w:val="00630364"/>
    <w:rsid w:val="006313DC"/>
    <w:rsid w:val="00634CEA"/>
    <w:rsid w:val="00637358"/>
    <w:rsid w:val="00637447"/>
    <w:rsid w:val="00640399"/>
    <w:rsid w:val="00640534"/>
    <w:rsid w:val="00640650"/>
    <w:rsid w:val="00640E5B"/>
    <w:rsid w:val="006411FF"/>
    <w:rsid w:val="00641240"/>
    <w:rsid w:val="00643DBE"/>
    <w:rsid w:val="00644FAE"/>
    <w:rsid w:val="006502C6"/>
    <w:rsid w:val="00650C9F"/>
    <w:rsid w:val="006511CA"/>
    <w:rsid w:val="00651802"/>
    <w:rsid w:val="00651DCE"/>
    <w:rsid w:val="00651E6A"/>
    <w:rsid w:val="00651FCF"/>
    <w:rsid w:val="006524F4"/>
    <w:rsid w:val="00652F63"/>
    <w:rsid w:val="00653A2D"/>
    <w:rsid w:val="00653F55"/>
    <w:rsid w:val="00654854"/>
    <w:rsid w:val="00656FA5"/>
    <w:rsid w:val="00657A7C"/>
    <w:rsid w:val="00660B9D"/>
    <w:rsid w:val="00661B39"/>
    <w:rsid w:val="00661DE0"/>
    <w:rsid w:val="0066290A"/>
    <w:rsid w:val="006639BA"/>
    <w:rsid w:val="00664695"/>
    <w:rsid w:val="00665309"/>
    <w:rsid w:val="006658CF"/>
    <w:rsid w:val="00666112"/>
    <w:rsid w:val="0066633D"/>
    <w:rsid w:val="00667957"/>
    <w:rsid w:val="00667F2F"/>
    <w:rsid w:val="00670F5B"/>
    <w:rsid w:val="00671400"/>
    <w:rsid w:val="006723D2"/>
    <w:rsid w:val="00672F13"/>
    <w:rsid w:val="0067382B"/>
    <w:rsid w:val="00674E21"/>
    <w:rsid w:val="00675E28"/>
    <w:rsid w:val="00675E51"/>
    <w:rsid w:val="00676178"/>
    <w:rsid w:val="0067755F"/>
    <w:rsid w:val="00677AE7"/>
    <w:rsid w:val="00677C8E"/>
    <w:rsid w:val="00681F5D"/>
    <w:rsid w:val="006821D8"/>
    <w:rsid w:val="006834E3"/>
    <w:rsid w:val="00683B39"/>
    <w:rsid w:val="006843B5"/>
    <w:rsid w:val="006853E2"/>
    <w:rsid w:val="00686B16"/>
    <w:rsid w:val="00686C57"/>
    <w:rsid w:val="00686C5A"/>
    <w:rsid w:val="00687645"/>
    <w:rsid w:val="00687C48"/>
    <w:rsid w:val="00687E85"/>
    <w:rsid w:val="006900ED"/>
    <w:rsid w:val="00690BC6"/>
    <w:rsid w:val="006912D8"/>
    <w:rsid w:val="006924C9"/>
    <w:rsid w:val="00692559"/>
    <w:rsid w:val="00692B77"/>
    <w:rsid w:val="0069338C"/>
    <w:rsid w:val="00694607"/>
    <w:rsid w:val="0069502C"/>
    <w:rsid w:val="00696015"/>
    <w:rsid w:val="00696E88"/>
    <w:rsid w:val="006A05FD"/>
    <w:rsid w:val="006A1780"/>
    <w:rsid w:val="006A1AE5"/>
    <w:rsid w:val="006A2F48"/>
    <w:rsid w:val="006A3A7C"/>
    <w:rsid w:val="006A4A28"/>
    <w:rsid w:val="006A52E8"/>
    <w:rsid w:val="006A6C7F"/>
    <w:rsid w:val="006A7506"/>
    <w:rsid w:val="006B0100"/>
    <w:rsid w:val="006B05E9"/>
    <w:rsid w:val="006B0C4F"/>
    <w:rsid w:val="006B1A56"/>
    <w:rsid w:val="006B1B06"/>
    <w:rsid w:val="006B2EA4"/>
    <w:rsid w:val="006B3A95"/>
    <w:rsid w:val="006B461C"/>
    <w:rsid w:val="006B46BB"/>
    <w:rsid w:val="006B493B"/>
    <w:rsid w:val="006B62E2"/>
    <w:rsid w:val="006B7F50"/>
    <w:rsid w:val="006C00A4"/>
    <w:rsid w:val="006C0F26"/>
    <w:rsid w:val="006C185C"/>
    <w:rsid w:val="006C1A4D"/>
    <w:rsid w:val="006C33CF"/>
    <w:rsid w:val="006C35C5"/>
    <w:rsid w:val="006C36AC"/>
    <w:rsid w:val="006C3A0E"/>
    <w:rsid w:val="006C3B32"/>
    <w:rsid w:val="006C44B5"/>
    <w:rsid w:val="006C4D43"/>
    <w:rsid w:val="006C537A"/>
    <w:rsid w:val="006C5CFE"/>
    <w:rsid w:val="006C679E"/>
    <w:rsid w:val="006C6FDF"/>
    <w:rsid w:val="006C7D0A"/>
    <w:rsid w:val="006D0214"/>
    <w:rsid w:val="006D08AB"/>
    <w:rsid w:val="006D0FF2"/>
    <w:rsid w:val="006D130A"/>
    <w:rsid w:val="006D34B7"/>
    <w:rsid w:val="006D3A40"/>
    <w:rsid w:val="006E0300"/>
    <w:rsid w:val="006E14E8"/>
    <w:rsid w:val="006E16BA"/>
    <w:rsid w:val="006E1BEA"/>
    <w:rsid w:val="006E2B70"/>
    <w:rsid w:val="006E30F6"/>
    <w:rsid w:val="006E3D83"/>
    <w:rsid w:val="006E3F14"/>
    <w:rsid w:val="006E3FEA"/>
    <w:rsid w:val="006E60F8"/>
    <w:rsid w:val="006E69B2"/>
    <w:rsid w:val="006E76CF"/>
    <w:rsid w:val="006F029A"/>
    <w:rsid w:val="006F1ED5"/>
    <w:rsid w:val="006F22B3"/>
    <w:rsid w:val="006F28E1"/>
    <w:rsid w:val="006F3266"/>
    <w:rsid w:val="006F350C"/>
    <w:rsid w:val="006F44B0"/>
    <w:rsid w:val="006F6059"/>
    <w:rsid w:val="00700935"/>
    <w:rsid w:val="00703A63"/>
    <w:rsid w:val="00703F20"/>
    <w:rsid w:val="007040A7"/>
    <w:rsid w:val="00704402"/>
    <w:rsid w:val="00704BA1"/>
    <w:rsid w:val="00704C64"/>
    <w:rsid w:val="0070596C"/>
    <w:rsid w:val="00706F3C"/>
    <w:rsid w:val="00707143"/>
    <w:rsid w:val="00707799"/>
    <w:rsid w:val="00711337"/>
    <w:rsid w:val="00713B51"/>
    <w:rsid w:val="0071470F"/>
    <w:rsid w:val="007150B8"/>
    <w:rsid w:val="00715C88"/>
    <w:rsid w:val="0071740B"/>
    <w:rsid w:val="00717D1D"/>
    <w:rsid w:val="00720706"/>
    <w:rsid w:val="007217D7"/>
    <w:rsid w:val="00722130"/>
    <w:rsid w:val="00723EB7"/>
    <w:rsid w:val="007243AE"/>
    <w:rsid w:val="007249A9"/>
    <w:rsid w:val="007255E1"/>
    <w:rsid w:val="00725665"/>
    <w:rsid w:val="00726CE5"/>
    <w:rsid w:val="00727C0F"/>
    <w:rsid w:val="00727D2E"/>
    <w:rsid w:val="00731C66"/>
    <w:rsid w:val="00731C7B"/>
    <w:rsid w:val="00731E7C"/>
    <w:rsid w:val="0073365A"/>
    <w:rsid w:val="007349E4"/>
    <w:rsid w:val="00735172"/>
    <w:rsid w:val="00735364"/>
    <w:rsid w:val="00735858"/>
    <w:rsid w:val="007367B4"/>
    <w:rsid w:val="007370F3"/>
    <w:rsid w:val="00740D61"/>
    <w:rsid w:val="00742F68"/>
    <w:rsid w:val="00744004"/>
    <w:rsid w:val="00745760"/>
    <w:rsid w:val="00745B42"/>
    <w:rsid w:val="00745C9F"/>
    <w:rsid w:val="00745EA0"/>
    <w:rsid w:val="00746D93"/>
    <w:rsid w:val="00750DF4"/>
    <w:rsid w:val="00751638"/>
    <w:rsid w:val="00751A01"/>
    <w:rsid w:val="00753415"/>
    <w:rsid w:val="00753737"/>
    <w:rsid w:val="00753CDA"/>
    <w:rsid w:val="00753E69"/>
    <w:rsid w:val="0075523C"/>
    <w:rsid w:val="00756D98"/>
    <w:rsid w:val="00757EBB"/>
    <w:rsid w:val="00760154"/>
    <w:rsid w:val="00760502"/>
    <w:rsid w:val="007605F5"/>
    <w:rsid w:val="00760E8D"/>
    <w:rsid w:val="00761336"/>
    <w:rsid w:val="007616AA"/>
    <w:rsid w:val="00761D93"/>
    <w:rsid w:val="00762185"/>
    <w:rsid w:val="00762866"/>
    <w:rsid w:val="00762C65"/>
    <w:rsid w:val="00766A46"/>
    <w:rsid w:val="00773595"/>
    <w:rsid w:val="0077383E"/>
    <w:rsid w:val="00773A74"/>
    <w:rsid w:val="00773B6F"/>
    <w:rsid w:val="00776B22"/>
    <w:rsid w:val="00776EED"/>
    <w:rsid w:val="007802A0"/>
    <w:rsid w:val="00780697"/>
    <w:rsid w:val="007812B6"/>
    <w:rsid w:val="00782811"/>
    <w:rsid w:val="00784D9D"/>
    <w:rsid w:val="00785AB7"/>
    <w:rsid w:val="00786BB8"/>
    <w:rsid w:val="00786DAE"/>
    <w:rsid w:val="00787752"/>
    <w:rsid w:val="00792244"/>
    <w:rsid w:val="007925BE"/>
    <w:rsid w:val="00792611"/>
    <w:rsid w:val="00792DD9"/>
    <w:rsid w:val="00793024"/>
    <w:rsid w:val="0079466E"/>
    <w:rsid w:val="007949BD"/>
    <w:rsid w:val="00794A1D"/>
    <w:rsid w:val="00795250"/>
    <w:rsid w:val="00795ABE"/>
    <w:rsid w:val="00795CBF"/>
    <w:rsid w:val="007A0864"/>
    <w:rsid w:val="007A246D"/>
    <w:rsid w:val="007A3087"/>
    <w:rsid w:val="007A627A"/>
    <w:rsid w:val="007A7056"/>
    <w:rsid w:val="007B0CA0"/>
    <w:rsid w:val="007B0D5F"/>
    <w:rsid w:val="007B148F"/>
    <w:rsid w:val="007B15AC"/>
    <w:rsid w:val="007B225E"/>
    <w:rsid w:val="007B46B7"/>
    <w:rsid w:val="007B5A8B"/>
    <w:rsid w:val="007B60B6"/>
    <w:rsid w:val="007B662D"/>
    <w:rsid w:val="007B75C4"/>
    <w:rsid w:val="007B767B"/>
    <w:rsid w:val="007B76E2"/>
    <w:rsid w:val="007C163C"/>
    <w:rsid w:val="007C20E7"/>
    <w:rsid w:val="007C2736"/>
    <w:rsid w:val="007C2740"/>
    <w:rsid w:val="007C2C61"/>
    <w:rsid w:val="007C351F"/>
    <w:rsid w:val="007C39D5"/>
    <w:rsid w:val="007C456A"/>
    <w:rsid w:val="007C5038"/>
    <w:rsid w:val="007C5242"/>
    <w:rsid w:val="007C5B2D"/>
    <w:rsid w:val="007C5DEF"/>
    <w:rsid w:val="007C5DF3"/>
    <w:rsid w:val="007C60FF"/>
    <w:rsid w:val="007D27B0"/>
    <w:rsid w:val="007D3B27"/>
    <w:rsid w:val="007D3F42"/>
    <w:rsid w:val="007D4199"/>
    <w:rsid w:val="007D45C3"/>
    <w:rsid w:val="007D4E6C"/>
    <w:rsid w:val="007D598F"/>
    <w:rsid w:val="007D69C8"/>
    <w:rsid w:val="007D76E6"/>
    <w:rsid w:val="007E0529"/>
    <w:rsid w:val="007E1170"/>
    <w:rsid w:val="007E1448"/>
    <w:rsid w:val="007E2372"/>
    <w:rsid w:val="007E2A71"/>
    <w:rsid w:val="007E342A"/>
    <w:rsid w:val="007E4C6C"/>
    <w:rsid w:val="007E4F4B"/>
    <w:rsid w:val="007E5325"/>
    <w:rsid w:val="007E65D5"/>
    <w:rsid w:val="007E681D"/>
    <w:rsid w:val="007E6A23"/>
    <w:rsid w:val="007E7360"/>
    <w:rsid w:val="007F2500"/>
    <w:rsid w:val="007F254C"/>
    <w:rsid w:val="007F3907"/>
    <w:rsid w:val="007F46E5"/>
    <w:rsid w:val="007F4FCB"/>
    <w:rsid w:val="007F5C67"/>
    <w:rsid w:val="007F5F08"/>
    <w:rsid w:val="007F5F0E"/>
    <w:rsid w:val="007F6B54"/>
    <w:rsid w:val="007F6F0D"/>
    <w:rsid w:val="007F73D8"/>
    <w:rsid w:val="007F787A"/>
    <w:rsid w:val="00800138"/>
    <w:rsid w:val="00801456"/>
    <w:rsid w:val="0080277D"/>
    <w:rsid w:val="0080395E"/>
    <w:rsid w:val="00803FEB"/>
    <w:rsid w:val="00804039"/>
    <w:rsid w:val="00804804"/>
    <w:rsid w:val="0080504B"/>
    <w:rsid w:val="00805149"/>
    <w:rsid w:val="008068E0"/>
    <w:rsid w:val="00810225"/>
    <w:rsid w:val="00812CB1"/>
    <w:rsid w:val="00814328"/>
    <w:rsid w:val="00815AA9"/>
    <w:rsid w:val="00815FF4"/>
    <w:rsid w:val="008167CE"/>
    <w:rsid w:val="008218D7"/>
    <w:rsid w:val="00822E45"/>
    <w:rsid w:val="00822FBB"/>
    <w:rsid w:val="00823A52"/>
    <w:rsid w:val="00823DA3"/>
    <w:rsid w:val="00824676"/>
    <w:rsid w:val="00824B97"/>
    <w:rsid w:val="00824F7E"/>
    <w:rsid w:val="00825ACE"/>
    <w:rsid w:val="0082614B"/>
    <w:rsid w:val="0083096C"/>
    <w:rsid w:val="0083101D"/>
    <w:rsid w:val="00831EF2"/>
    <w:rsid w:val="0083220B"/>
    <w:rsid w:val="00832299"/>
    <w:rsid w:val="008334EB"/>
    <w:rsid w:val="00833571"/>
    <w:rsid w:val="00837122"/>
    <w:rsid w:val="008407AC"/>
    <w:rsid w:val="0084295B"/>
    <w:rsid w:val="00843829"/>
    <w:rsid w:val="00843D28"/>
    <w:rsid w:val="00844F46"/>
    <w:rsid w:val="008455B2"/>
    <w:rsid w:val="00845AC8"/>
    <w:rsid w:val="00851953"/>
    <w:rsid w:val="008528DB"/>
    <w:rsid w:val="00852B17"/>
    <w:rsid w:val="00853761"/>
    <w:rsid w:val="00853BF5"/>
    <w:rsid w:val="008565E9"/>
    <w:rsid w:val="00857355"/>
    <w:rsid w:val="008578C6"/>
    <w:rsid w:val="00860051"/>
    <w:rsid w:val="00861A30"/>
    <w:rsid w:val="00861B42"/>
    <w:rsid w:val="00861E98"/>
    <w:rsid w:val="00862946"/>
    <w:rsid w:val="00863DCF"/>
    <w:rsid w:val="00864255"/>
    <w:rsid w:val="00864C9C"/>
    <w:rsid w:val="00865A8E"/>
    <w:rsid w:val="00870DED"/>
    <w:rsid w:val="00871336"/>
    <w:rsid w:val="008713F5"/>
    <w:rsid w:val="0087168D"/>
    <w:rsid w:val="0087171E"/>
    <w:rsid w:val="00872071"/>
    <w:rsid w:val="0087223D"/>
    <w:rsid w:val="00872D23"/>
    <w:rsid w:val="00872EFF"/>
    <w:rsid w:val="008734C9"/>
    <w:rsid w:val="00873A22"/>
    <w:rsid w:val="00874396"/>
    <w:rsid w:val="00876189"/>
    <w:rsid w:val="00876691"/>
    <w:rsid w:val="008805EE"/>
    <w:rsid w:val="008818BD"/>
    <w:rsid w:val="00881FE2"/>
    <w:rsid w:val="00883620"/>
    <w:rsid w:val="00884A7E"/>
    <w:rsid w:val="00885190"/>
    <w:rsid w:val="0088552C"/>
    <w:rsid w:val="0088591C"/>
    <w:rsid w:val="00885950"/>
    <w:rsid w:val="00885A0E"/>
    <w:rsid w:val="00887987"/>
    <w:rsid w:val="008879C1"/>
    <w:rsid w:val="008902EA"/>
    <w:rsid w:val="008907EF"/>
    <w:rsid w:val="00890A3B"/>
    <w:rsid w:val="008912E3"/>
    <w:rsid w:val="008918A7"/>
    <w:rsid w:val="00892E68"/>
    <w:rsid w:val="0089308F"/>
    <w:rsid w:val="008952B4"/>
    <w:rsid w:val="008968D7"/>
    <w:rsid w:val="008A0CE7"/>
    <w:rsid w:val="008A0DD2"/>
    <w:rsid w:val="008A19E7"/>
    <w:rsid w:val="008A1F7E"/>
    <w:rsid w:val="008A4312"/>
    <w:rsid w:val="008A45BA"/>
    <w:rsid w:val="008A5631"/>
    <w:rsid w:val="008A5F06"/>
    <w:rsid w:val="008A65B9"/>
    <w:rsid w:val="008A7816"/>
    <w:rsid w:val="008B0AE7"/>
    <w:rsid w:val="008B241B"/>
    <w:rsid w:val="008B285D"/>
    <w:rsid w:val="008B3D09"/>
    <w:rsid w:val="008B50CE"/>
    <w:rsid w:val="008C07B7"/>
    <w:rsid w:val="008C1538"/>
    <w:rsid w:val="008C178D"/>
    <w:rsid w:val="008C3042"/>
    <w:rsid w:val="008C3568"/>
    <w:rsid w:val="008C3998"/>
    <w:rsid w:val="008C427C"/>
    <w:rsid w:val="008C5455"/>
    <w:rsid w:val="008C57AB"/>
    <w:rsid w:val="008C58BF"/>
    <w:rsid w:val="008C728D"/>
    <w:rsid w:val="008D0016"/>
    <w:rsid w:val="008D1731"/>
    <w:rsid w:val="008D1B48"/>
    <w:rsid w:val="008D1CFD"/>
    <w:rsid w:val="008D212A"/>
    <w:rsid w:val="008D3376"/>
    <w:rsid w:val="008D363A"/>
    <w:rsid w:val="008D3E5C"/>
    <w:rsid w:val="008D3F3F"/>
    <w:rsid w:val="008D44F7"/>
    <w:rsid w:val="008D4829"/>
    <w:rsid w:val="008D540B"/>
    <w:rsid w:val="008D692F"/>
    <w:rsid w:val="008D7ABA"/>
    <w:rsid w:val="008D7B72"/>
    <w:rsid w:val="008E06C7"/>
    <w:rsid w:val="008E0C1A"/>
    <w:rsid w:val="008E1F97"/>
    <w:rsid w:val="008E3F49"/>
    <w:rsid w:val="008E45C8"/>
    <w:rsid w:val="008E7924"/>
    <w:rsid w:val="008E7ACD"/>
    <w:rsid w:val="008E7D58"/>
    <w:rsid w:val="008F0182"/>
    <w:rsid w:val="008F0547"/>
    <w:rsid w:val="008F222F"/>
    <w:rsid w:val="008F2490"/>
    <w:rsid w:val="008F25B2"/>
    <w:rsid w:val="008F2E1C"/>
    <w:rsid w:val="008F3598"/>
    <w:rsid w:val="008F57E1"/>
    <w:rsid w:val="008F62D9"/>
    <w:rsid w:val="008F70B8"/>
    <w:rsid w:val="008F77EF"/>
    <w:rsid w:val="009015EC"/>
    <w:rsid w:val="00901EAB"/>
    <w:rsid w:val="00902409"/>
    <w:rsid w:val="00902709"/>
    <w:rsid w:val="0090336A"/>
    <w:rsid w:val="009041BD"/>
    <w:rsid w:val="00905D5E"/>
    <w:rsid w:val="00906EC7"/>
    <w:rsid w:val="00911017"/>
    <w:rsid w:val="00912004"/>
    <w:rsid w:val="0091224C"/>
    <w:rsid w:val="0091271A"/>
    <w:rsid w:val="0091321F"/>
    <w:rsid w:val="00914AAD"/>
    <w:rsid w:val="0091544D"/>
    <w:rsid w:val="009169C8"/>
    <w:rsid w:val="009170DD"/>
    <w:rsid w:val="009173F1"/>
    <w:rsid w:val="00920D40"/>
    <w:rsid w:val="0092307F"/>
    <w:rsid w:val="0092369D"/>
    <w:rsid w:val="009256F2"/>
    <w:rsid w:val="00927BD0"/>
    <w:rsid w:val="00927E66"/>
    <w:rsid w:val="00930089"/>
    <w:rsid w:val="00930A52"/>
    <w:rsid w:val="009313DF"/>
    <w:rsid w:val="009324FF"/>
    <w:rsid w:val="009333F2"/>
    <w:rsid w:val="00934D36"/>
    <w:rsid w:val="00936592"/>
    <w:rsid w:val="00937443"/>
    <w:rsid w:val="00940B7B"/>
    <w:rsid w:val="009418F3"/>
    <w:rsid w:val="0094195B"/>
    <w:rsid w:val="00942438"/>
    <w:rsid w:val="00942514"/>
    <w:rsid w:val="00942614"/>
    <w:rsid w:val="00943E75"/>
    <w:rsid w:val="009447A8"/>
    <w:rsid w:val="009452C5"/>
    <w:rsid w:val="009462E9"/>
    <w:rsid w:val="0094754F"/>
    <w:rsid w:val="0095068F"/>
    <w:rsid w:val="00950B45"/>
    <w:rsid w:val="00951FCC"/>
    <w:rsid w:val="00953020"/>
    <w:rsid w:val="0095306C"/>
    <w:rsid w:val="009531DF"/>
    <w:rsid w:val="00953FDB"/>
    <w:rsid w:val="00954184"/>
    <w:rsid w:val="009543B1"/>
    <w:rsid w:val="00954B42"/>
    <w:rsid w:val="00955CCD"/>
    <w:rsid w:val="00961666"/>
    <w:rsid w:val="00961FFC"/>
    <w:rsid w:val="00962771"/>
    <w:rsid w:val="00963E42"/>
    <w:rsid w:val="00966134"/>
    <w:rsid w:val="00967433"/>
    <w:rsid w:val="00970357"/>
    <w:rsid w:val="00970899"/>
    <w:rsid w:val="009713C6"/>
    <w:rsid w:val="009735CA"/>
    <w:rsid w:val="0097375A"/>
    <w:rsid w:val="00973D92"/>
    <w:rsid w:val="00974585"/>
    <w:rsid w:val="009769B1"/>
    <w:rsid w:val="00977205"/>
    <w:rsid w:val="00980259"/>
    <w:rsid w:val="00980CD0"/>
    <w:rsid w:val="009816FA"/>
    <w:rsid w:val="00982BF0"/>
    <w:rsid w:val="00985172"/>
    <w:rsid w:val="00985200"/>
    <w:rsid w:val="00986716"/>
    <w:rsid w:val="00986F7F"/>
    <w:rsid w:val="0099055E"/>
    <w:rsid w:val="0099160E"/>
    <w:rsid w:val="009963AA"/>
    <w:rsid w:val="00997590"/>
    <w:rsid w:val="009978E1"/>
    <w:rsid w:val="009A15C8"/>
    <w:rsid w:val="009A2172"/>
    <w:rsid w:val="009A3537"/>
    <w:rsid w:val="009A355A"/>
    <w:rsid w:val="009A3A1F"/>
    <w:rsid w:val="009A421C"/>
    <w:rsid w:val="009A4745"/>
    <w:rsid w:val="009A4B8F"/>
    <w:rsid w:val="009A4BD3"/>
    <w:rsid w:val="009A6010"/>
    <w:rsid w:val="009A61FD"/>
    <w:rsid w:val="009B1432"/>
    <w:rsid w:val="009B309E"/>
    <w:rsid w:val="009B378C"/>
    <w:rsid w:val="009B4A5C"/>
    <w:rsid w:val="009B51B4"/>
    <w:rsid w:val="009B59CF"/>
    <w:rsid w:val="009B5B1B"/>
    <w:rsid w:val="009B653C"/>
    <w:rsid w:val="009B6708"/>
    <w:rsid w:val="009B7E17"/>
    <w:rsid w:val="009C030D"/>
    <w:rsid w:val="009C1D4F"/>
    <w:rsid w:val="009C1FC9"/>
    <w:rsid w:val="009C2445"/>
    <w:rsid w:val="009C2843"/>
    <w:rsid w:val="009C2A5E"/>
    <w:rsid w:val="009C54FE"/>
    <w:rsid w:val="009C7304"/>
    <w:rsid w:val="009C7B28"/>
    <w:rsid w:val="009D0D3C"/>
    <w:rsid w:val="009D0FA7"/>
    <w:rsid w:val="009D164C"/>
    <w:rsid w:val="009D3EA2"/>
    <w:rsid w:val="009D501D"/>
    <w:rsid w:val="009D535A"/>
    <w:rsid w:val="009D6350"/>
    <w:rsid w:val="009D7E1A"/>
    <w:rsid w:val="009E0ADE"/>
    <w:rsid w:val="009E13CC"/>
    <w:rsid w:val="009E28D2"/>
    <w:rsid w:val="009E2921"/>
    <w:rsid w:val="009E3955"/>
    <w:rsid w:val="009E3C19"/>
    <w:rsid w:val="009E449D"/>
    <w:rsid w:val="009E5DE8"/>
    <w:rsid w:val="009E63F2"/>
    <w:rsid w:val="009E675A"/>
    <w:rsid w:val="009E69F5"/>
    <w:rsid w:val="009E6C72"/>
    <w:rsid w:val="009E75E5"/>
    <w:rsid w:val="009F07B6"/>
    <w:rsid w:val="009F1803"/>
    <w:rsid w:val="009F1DC8"/>
    <w:rsid w:val="009F3130"/>
    <w:rsid w:val="009F3808"/>
    <w:rsid w:val="009F43E7"/>
    <w:rsid w:val="009F4B9A"/>
    <w:rsid w:val="009F4ED9"/>
    <w:rsid w:val="009F51C1"/>
    <w:rsid w:val="009F5494"/>
    <w:rsid w:val="009F7BE8"/>
    <w:rsid w:val="009F7F33"/>
    <w:rsid w:val="00A0010E"/>
    <w:rsid w:val="00A01FAF"/>
    <w:rsid w:val="00A02235"/>
    <w:rsid w:val="00A02AE7"/>
    <w:rsid w:val="00A068DB"/>
    <w:rsid w:val="00A06C84"/>
    <w:rsid w:val="00A072CB"/>
    <w:rsid w:val="00A1011C"/>
    <w:rsid w:val="00A124DE"/>
    <w:rsid w:val="00A12872"/>
    <w:rsid w:val="00A133E3"/>
    <w:rsid w:val="00A135E5"/>
    <w:rsid w:val="00A147C1"/>
    <w:rsid w:val="00A14C8C"/>
    <w:rsid w:val="00A1581C"/>
    <w:rsid w:val="00A15F81"/>
    <w:rsid w:val="00A21EC4"/>
    <w:rsid w:val="00A223A8"/>
    <w:rsid w:val="00A23601"/>
    <w:rsid w:val="00A246F4"/>
    <w:rsid w:val="00A2618C"/>
    <w:rsid w:val="00A26958"/>
    <w:rsid w:val="00A2772B"/>
    <w:rsid w:val="00A301C3"/>
    <w:rsid w:val="00A323A6"/>
    <w:rsid w:val="00A362E2"/>
    <w:rsid w:val="00A3681E"/>
    <w:rsid w:val="00A36D00"/>
    <w:rsid w:val="00A3759A"/>
    <w:rsid w:val="00A3794B"/>
    <w:rsid w:val="00A402BD"/>
    <w:rsid w:val="00A41CA3"/>
    <w:rsid w:val="00A442C5"/>
    <w:rsid w:val="00A44C50"/>
    <w:rsid w:val="00A451A5"/>
    <w:rsid w:val="00A45DDF"/>
    <w:rsid w:val="00A4702B"/>
    <w:rsid w:val="00A513A6"/>
    <w:rsid w:val="00A516EF"/>
    <w:rsid w:val="00A53818"/>
    <w:rsid w:val="00A53B90"/>
    <w:rsid w:val="00A545CE"/>
    <w:rsid w:val="00A55EC0"/>
    <w:rsid w:val="00A56CB1"/>
    <w:rsid w:val="00A56CED"/>
    <w:rsid w:val="00A61636"/>
    <w:rsid w:val="00A62E5D"/>
    <w:rsid w:val="00A637B1"/>
    <w:rsid w:val="00A642A7"/>
    <w:rsid w:val="00A6579A"/>
    <w:rsid w:val="00A65F45"/>
    <w:rsid w:val="00A66658"/>
    <w:rsid w:val="00A67902"/>
    <w:rsid w:val="00A70B7E"/>
    <w:rsid w:val="00A714D4"/>
    <w:rsid w:val="00A7210F"/>
    <w:rsid w:val="00A72521"/>
    <w:rsid w:val="00A72641"/>
    <w:rsid w:val="00A72A67"/>
    <w:rsid w:val="00A72B24"/>
    <w:rsid w:val="00A73582"/>
    <w:rsid w:val="00A74405"/>
    <w:rsid w:val="00A754DF"/>
    <w:rsid w:val="00A754E1"/>
    <w:rsid w:val="00A75756"/>
    <w:rsid w:val="00A7581D"/>
    <w:rsid w:val="00A75C1A"/>
    <w:rsid w:val="00A76BD9"/>
    <w:rsid w:val="00A77910"/>
    <w:rsid w:val="00A802AD"/>
    <w:rsid w:val="00A8125B"/>
    <w:rsid w:val="00A8149B"/>
    <w:rsid w:val="00A827B0"/>
    <w:rsid w:val="00A82981"/>
    <w:rsid w:val="00A83B74"/>
    <w:rsid w:val="00A8490A"/>
    <w:rsid w:val="00A84BD0"/>
    <w:rsid w:val="00A8500B"/>
    <w:rsid w:val="00A85560"/>
    <w:rsid w:val="00A872A1"/>
    <w:rsid w:val="00A876C6"/>
    <w:rsid w:val="00A904AC"/>
    <w:rsid w:val="00A9070B"/>
    <w:rsid w:val="00A91999"/>
    <w:rsid w:val="00A92000"/>
    <w:rsid w:val="00A94078"/>
    <w:rsid w:val="00A94820"/>
    <w:rsid w:val="00A94A77"/>
    <w:rsid w:val="00A94E84"/>
    <w:rsid w:val="00A955A6"/>
    <w:rsid w:val="00A959C2"/>
    <w:rsid w:val="00A95A04"/>
    <w:rsid w:val="00A95C2A"/>
    <w:rsid w:val="00A96F04"/>
    <w:rsid w:val="00AA0049"/>
    <w:rsid w:val="00AA0D0A"/>
    <w:rsid w:val="00AA18C2"/>
    <w:rsid w:val="00AA1BD5"/>
    <w:rsid w:val="00AA320E"/>
    <w:rsid w:val="00AA4537"/>
    <w:rsid w:val="00AA4DC5"/>
    <w:rsid w:val="00AA57B3"/>
    <w:rsid w:val="00AA6B01"/>
    <w:rsid w:val="00AA6C35"/>
    <w:rsid w:val="00AA7999"/>
    <w:rsid w:val="00AB0102"/>
    <w:rsid w:val="00AB041B"/>
    <w:rsid w:val="00AB204A"/>
    <w:rsid w:val="00AB3CF2"/>
    <w:rsid w:val="00AB5C58"/>
    <w:rsid w:val="00AB5D8E"/>
    <w:rsid w:val="00AB758E"/>
    <w:rsid w:val="00AB7C3C"/>
    <w:rsid w:val="00AB7E45"/>
    <w:rsid w:val="00AC0E96"/>
    <w:rsid w:val="00AC14A6"/>
    <w:rsid w:val="00AC1540"/>
    <w:rsid w:val="00AC2EBA"/>
    <w:rsid w:val="00AC33A0"/>
    <w:rsid w:val="00AC3E68"/>
    <w:rsid w:val="00AC438F"/>
    <w:rsid w:val="00AC43F5"/>
    <w:rsid w:val="00AC4CC1"/>
    <w:rsid w:val="00AC6562"/>
    <w:rsid w:val="00AC66BE"/>
    <w:rsid w:val="00AC6ACC"/>
    <w:rsid w:val="00AC6B87"/>
    <w:rsid w:val="00AD2C55"/>
    <w:rsid w:val="00AD44BF"/>
    <w:rsid w:val="00AD7A70"/>
    <w:rsid w:val="00AE1E39"/>
    <w:rsid w:val="00AE24FA"/>
    <w:rsid w:val="00AE419B"/>
    <w:rsid w:val="00AE44EC"/>
    <w:rsid w:val="00AE5555"/>
    <w:rsid w:val="00AE5919"/>
    <w:rsid w:val="00AE6340"/>
    <w:rsid w:val="00AE741C"/>
    <w:rsid w:val="00AE797E"/>
    <w:rsid w:val="00AF1B2C"/>
    <w:rsid w:val="00AF27DD"/>
    <w:rsid w:val="00AF3254"/>
    <w:rsid w:val="00AF48A2"/>
    <w:rsid w:val="00AF6593"/>
    <w:rsid w:val="00AF67CB"/>
    <w:rsid w:val="00AF7F8D"/>
    <w:rsid w:val="00B01977"/>
    <w:rsid w:val="00B01D86"/>
    <w:rsid w:val="00B040C6"/>
    <w:rsid w:val="00B04AED"/>
    <w:rsid w:val="00B0646D"/>
    <w:rsid w:val="00B07BF4"/>
    <w:rsid w:val="00B134E7"/>
    <w:rsid w:val="00B14A6B"/>
    <w:rsid w:val="00B15609"/>
    <w:rsid w:val="00B17E9B"/>
    <w:rsid w:val="00B2027E"/>
    <w:rsid w:val="00B20696"/>
    <w:rsid w:val="00B221AB"/>
    <w:rsid w:val="00B2504E"/>
    <w:rsid w:val="00B25961"/>
    <w:rsid w:val="00B25CAB"/>
    <w:rsid w:val="00B26896"/>
    <w:rsid w:val="00B3200D"/>
    <w:rsid w:val="00B3285C"/>
    <w:rsid w:val="00B34371"/>
    <w:rsid w:val="00B34896"/>
    <w:rsid w:val="00B34BE5"/>
    <w:rsid w:val="00B34D87"/>
    <w:rsid w:val="00B34E4B"/>
    <w:rsid w:val="00B3503A"/>
    <w:rsid w:val="00B3583C"/>
    <w:rsid w:val="00B35C56"/>
    <w:rsid w:val="00B35F1C"/>
    <w:rsid w:val="00B37954"/>
    <w:rsid w:val="00B40B64"/>
    <w:rsid w:val="00B421A4"/>
    <w:rsid w:val="00B42E78"/>
    <w:rsid w:val="00B43BC9"/>
    <w:rsid w:val="00B46429"/>
    <w:rsid w:val="00B46D6B"/>
    <w:rsid w:val="00B5007D"/>
    <w:rsid w:val="00B50E29"/>
    <w:rsid w:val="00B51515"/>
    <w:rsid w:val="00B51B01"/>
    <w:rsid w:val="00B51DC0"/>
    <w:rsid w:val="00B52089"/>
    <w:rsid w:val="00B5244D"/>
    <w:rsid w:val="00B5280F"/>
    <w:rsid w:val="00B53A6C"/>
    <w:rsid w:val="00B5447F"/>
    <w:rsid w:val="00B546AD"/>
    <w:rsid w:val="00B548CC"/>
    <w:rsid w:val="00B54CBE"/>
    <w:rsid w:val="00B54EF2"/>
    <w:rsid w:val="00B55734"/>
    <w:rsid w:val="00B558B7"/>
    <w:rsid w:val="00B56CB5"/>
    <w:rsid w:val="00B57642"/>
    <w:rsid w:val="00B578E1"/>
    <w:rsid w:val="00B60AF5"/>
    <w:rsid w:val="00B6159E"/>
    <w:rsid w:val="00B62F2A"/>
    <w:rsid w:val="00B63B25"/>
    <w:rsid w:val="00B641F2"/>
    <w:rsid w:val="00B6790F"/>
    <w:rsid w:val="00B70B7C"/>
    <w:rsid w:val="00B70FA4"/>
    <w:rsid w:val="00B7176A"/>
    <w:rsid w:val="00B72394"/>
    <w:rsid w:val="00B728AA"/>
    <w:rsid w:val="00B72BED"/>
    <w:rsid w:val="00B72DAE"/>
    <w:rsid w:val="00B7325F"/>
    <w:rsid w:val="00B73329"/>
    <w:rsid w:val="00B7391B"/>
    <w:rsid w:val="00B74C06"/>
    <w:rsid w:val="00B771FB"/>
    <w:rsid w:val="00B77C4F"/>
    <w:rsid w:val="00B80176"/>
    <w:rsid w:val="00B815D4"/>
    <w:rsid w:val="00B81729"/>
    <w:rsid w:val="00B837E1"/>
    <w:rsid w:val="00B85382"/>
    <w:rsid w:val="00B85674"/>
    <w:rsid w:val="00B85D07"/>
    <w:rsid w:val="00B85EE2"/>
    <w:rsid w:val="00B86EE2"/>
    <w:rsid w:val="00B875B6"/>
    <w:rsid w:val="00B90F18"/>
    <w:rsid w:val="00B91176"/>
    <w:rsid w:val="00B91BAB"/>
    <w:rsid w:val="00B92EF3"/>
    <w:rsid w:val="00B93434"/>
    <w:rsid w:val="00B93C83"/>
    <w:rsid w:val="00B944A5"/>
    <w:rsid w:val="00B94F65"/>
    <w:rsid w:val="00B95212"/>
    <w:rsid w:val="00B97CDD"/>
    <w:rsid w:val="00BA1F62"/>
    <w:rsid w:val="00BA2430"/>
    <w:rsid w:val="00BA396B"/>
    <w:rsid w:val="00BA44F1"/>
    <w:rsid w:val="00BA48FB"/>
    <w:rsid w:val="00BA5B06"/>
    <w:rsid w:val="00BA5FE7"/>
    <w:rsid w:val="00BA76AA"/>
    <w:rsid w:val="00BA7D39"/>
    <w:rsid w:val="00BB060F"/>
    <w:rsid w:val="00BB1013"/>
    <w:rsid w:val="00BB315A"/>
    <w:rsid w:val="00BB38EF"/>
    <w:rsid w:val="00BB3D7E"/>
    <w:rsid w:val="00BB54A6"/>
    <w:rsid w:val="00BB571A"/>
    <w:rsid w:val="00BB5CA8"/>
    <w:rsid w:val="00BC246E"/>
    <w:rsid w:val="00BC32ED"/>
    <w:rsid w:val="00BC3DDF"/>
    <w:rsid w:val="00BC64BA"/>
    <w:rsid w:val="00BC6FFB"/>
    <w:rsid w:val="00BC7E0F"/>
    <w:rsid w:val="00BC7F03"/>
    <w:rsid w:val="00BD04E0"/>
    <w:rsid w:val="00BD09C3"/>
    <w:rsid w:val="00BD1A67"/>
    <w:rsid w:val="00BD1FAA"/>
    <w:rsid w:val="00BD2A60"/>
    <w:rsid w:val="00BD304D"/>
    <w:rsid w:val="00BD426A"/>
    <w:rsid w:val="00BD494B"/>
    <w:rsid w:val="00BD49CF"/>
    <w:rsid w:val="00BD635C"/>
    <w:rsid w:val="00BD68B1"/>
    <w:rsid w:val="00BD69C0"/>
    <w:rsid w:val="00BD6A03"/>
    <w:rsid w:val="00BD6D4F"/>
    <w:rsid w:val="00BE158F"/>
    <w:rsid w:val="00BE1C87"/>
    <w:rsid w:val="00BE408D"/>
    <w:rsid w:val="00BE5D5E"/>
    <w:rsid w:val="00BE6C90"/>
    <w:rsid w:val="00BE73EA"/>
    <w:rsid w:val="00BF0653"/>
    <w:rsid w:val="00BF1310"/>
    <w:rsid w:val="00BF1CD4"/>
    <w:rsid w:val="00BF1E91"/>
    <w:rsid w:val="00BF1FB4"/>
    <w:rsid w:val="00BF3548"/>
    <w:rsid w:val="00BF3712"/>
    <w:rsid w:val="00BF3E5F"/>
    <w:rsid w:val="00BF46D3"/>
    <w:rsid w:val="00BF475D"/>
    <w:rsid w:val="00BF4D2E"/>
    <w:rsid w:val="00BF627C"/>
    <w:rsid w:val="00BF6380"/>
    <w:rsid w:val="00BF7D02"/>
    <w:rsid w:val="00C00267"/>
    <w:rsid w:val="00C00F0C"/>
    <w:rsid w:val="00C00F4B"/>
    <w:rsid w:val="00C014A2"/>
    <w:rsid w:val="00C0163A"/>
    <w:rsid w:val="00C02597"/>
    <w:rsid w:val="00C025A0"/>
    <w:rsid w:val="00C028C4"/>
    <w:rsid w:val="00C0360D"/>
    <w:rsid w:val="00C04D07"/>
    <w:rsid w:val="00C04EEA"/>
    <w:rsid w:val="00C04F1C"/>
    <w:rsid w:val="00C051C0"/>
    <w:rsid w:val="00C060EA"/>
    <w:rsid w:val="00C06779"/>
    <w:rsid w:val="00C06948"/>
    <w:rsid w:val="00C06CC8"/>
    <w:rsid w:val="00C0760A"/>
    <w:rsid w:val="00C1180D"/>
    <w:rsid w:val="00C12129"/>
    <w:rsid w:val="00C13B54"/>
    <w:rsid w:val="00C140D2"/>
    <w:rsid w:val="00C14556"/>
    <w:rsid w:val="00C148D8"/>
    <w:rsid w:val="00C151A8"/>
    <w:rsid w:val="00C15468"/>
    <w:rsid w:val="00C1621D"/>
    <w:rsid w:val="00C179A8"/>
    <w:rsid w:val="00C17B93"/>
    <w:rsid w:val="00C17DC3"/>
    <w:rsid w:val="00C2051E"/>
    <w:rsid w:val="00C20736"/>
    <w:rsid w:val="00C20827"/>
    <w:rsid w:val="00C21EF5"/>
    <w:rsid w:val="00C2211F"/>
    <w:rsid w:val="00C22384"/>
    <w:rsid w:val="00C22644"/>
    <w:rsid w:val="00C22C8B"/>
    <w:rsid w:val="00C252BE"/>
    <w:rsid w:val="00C25877"/>
    <w:rsid w:val="00C25A8B"/>
    <w:rsid w:val="00C25B17"/>
    <w:rsid w:val="00C25B6A"/>
    <w:rsid w:val="00C26617"/>
    <w:rsid w:val="00C26A88"/>
    <w:rsid w:val="00C30D61"/>
    <w:rsid w:val="00C310AB"/>
    <w:rsid w:val="00C311D2"/>
    <w:rsid w:val="00C325AD"/>
    <w:rsid w:val="00C325D7"/>
    <w:rsid w:val="00C331AD"/>
    <w:rsid w:val="00C332B6"/>
    <w:rsid w:val="00C356FC"/>
    <w:rsid w:val="00C36B9B"/>
    <w:rsid w:val="00C40194"/>
    <w:rsid w:val="00C421FE"/>
    <w:rsid w:val="00C42B0F"/>
    <w:rsid w:val="00C42B52"/>
    <w:rsid w:val="00C443D6"/>
    <w:rsid w:val="00C4466D"/>
    <w:rsid w:val="00C47177"/>
    <w:rsid w:val="00C50420"/>
    <w:rsid w:val="00C50E7A"/>
    <w:rsid w:val="00C51380"/>
    <w:rsid w:val="00C51C07"/>
    <w:rsid w:val="00C520C5"/>
    <w:rsid w:val="00C5210D"/>
    <w:rsid w:val="00C52822"/>
    <w:rsid w:val="00C52BC3"/>
    <w:rsid w:val="00C532B9"/>
    <w:rsid w:val="00C53375"/>
    <w:rsid w:val="00C536A0"/>
    <w:rsid w:val="00C54912"/>
    <w:rsid w:val="00C55287"/>
    <w:rsid w:val="00C552A9"/>
    <w:rsid w:val="00C557DA"/>
    <w:rsid w:val="00C55FBC"/>
    <w:rsid w:val="00C571CB"/>
    <w:rsid w:val="00C600F6"/>
    <w:rsid w:val="00C60167"/>
    <w:rsid w:val="00C60265"/>
    <w:rsid w:val="00C612E6"/>
    <w:rsid w:val="00C61928"/>
    <w:rsid w:val="00C61D54"/>
    <w:rsid w:val="00C624B8"/>
    <w:rsid w:val="00C63B3B"/>
    <w:rsid w:val="00C644A4"/>
    <w:rsid w:val="00C64916"/>
    <w:rsid w:val="00C6655A"/>
    <w:rsid w:val="00C665AE"/>
    <w:rsid w:val="00C6723E"/>
    <w:rsid w:val="00C672CA"/>
    <w:rsid w:val="00C679A3"/>
    <w:rsid w:val="00C67DE3"/>
    <w:rsid w:val="00C70A94"/>
    <w:rsid w:val="00C70B91"/>
    <w:rsid w:val="00C70E8A"/>
    <w:rsid w:val="00C7150B"/>
    <w:rsid w:val="00C7163A"/>
    <w:rsid w:val="00C72D46"/>
    <w:rsid w:val="00C765BF"/>
    <w:rsid w:val="00C76D25"/>
    <w:rsid w:val="00C7792D"/>
    <w:rsid w:val="00C8056B"/>
    <w:rsid w:val="00C81A22"/>
    <w:rsid w:val="00C8329D"/>
    <w:rsid w:val="00C833DD"/>
    <w:rsid w:val="00C844DE"/>
    <w:rsid w:val="00C85757"/>
    <w:rsid w:val="00C85B89"/>
    <w:rsid w:val="00C86D18"/>
    <w:rsid w:val="00C86FA7"/>
    <w:rsid w:val="00C877F9"/>
    <w:rsid w:val="00C90720"/>
    <w:rsid w:val="00C90C27"/>
    <w:rsid w:val="00C91446"/>
    <w:rsid w:val="00C918AD"/>
    <w:rsid w:val="00C91CAF"/>
    <w:rsid w:val="00C9304B"/>
    <w:rsid w:val="00C9313D"/>
    <w:rsid w:val="00C95B6C"/>
    <w:rsid w:val="00C95C16"/>
    <w:rsid w:val="00C9618B"/>
    <w:rsid w:val="00C96DE0"/>
    <w:rsid w:val="00C97E8C"/>
    <w:rsid w:val="00CA0AAB"/>
    <w:rsid w:val="00CA0F8E"/>
    <w:rsid w:val="00CA3F73"/>
    <w:rsid w:val="00CA42DC"/>
    <w:rsid w:val="00CA55FC"/>
    <w:rsid w:val="00CA61B3"/>
    <w:rsid w:val="00CA6962"/>
    <w:rsid w:val="00CB07B5"/>
    <w:rsid w:val="00CB0C48"/>
    <w:rsid w:val="00CB2398"/>
    <w:rsid w:val="00CB2AEC"/>
    <w:rsid w:val="00CB4161"/>
    <w:rsid w:val="00CB43F0"/>
    <w:rsid w:val="00CB4DC4"/>
    <w:rsid w:val="00CB5FA2"/>
    <w:rsid w:val="00CC1957"/>
    <w:rsid w:val="00CC1CEE"/>
    <w:rsid w:val="00CC2EE4"/>
    <w:rsid w:val="00CC3325"/>
    <w:rsid w:val="00CC3D08"/>
    <w:rsid w:val="00CC3D17"/>
    <w:rsid w:val="00CC4E41"/>
    <w:rsid w:val="00CC5A47"/>
    <w:rsid w:val="00CC6917"/>
    <w:rsid w:val="00CC69D5"/>
    <w:rsid w:val="00CC726C"/>
    <w:rsid w:val="00CD1E8C"/>
    <w:rsid w:val="00CD213E"/>
    <w:rsid w:val="00CD29B7"/>
    <w:rsid w:val="00CD2CD9"/>
    <w:rsid w:val="00CD37EB"/>
    <w:rsid w:val="00CD45D7"/>
    <w:rsid w:val="00CD476B"/>
    <w:rsid w:val="00CD47BA"/>
    <w:rsid w:val="00CD5DEC"/>
    <w:rsid w:val="00CD6E12"/>
    <w:rsid w:val="00CD701D"/>
    <w:rsid w:val="00CD75C1"/>
    <w:rsid w:val="00CE0D72"/>
    <w:rsid w:val="00CE323C"/>
    <w:rsid w:val="00CE3291"/>
    <w:rsid w:val="00CE32BA"/>
    <w:rsid w:val="00CE3BB0"/>
    <w:rsid w:val="00CE526D"/>
    <w:rsid w:val="00CE6AB1"/>
    <w:rsid w:val="00CE7F1F"/>
    <w:rsid w:val="00CE7F75"/>
    <w:rsid w:val="00CF0282"/>
    <w:rsid w:val="00CF0CA4"/>
    <w:rsid w:val="00CF16E7"/>
    <w:rsid w:val="00CF5DBF"/>
    <w:rsid w:val="00CF5F3F"/>
    <w:rsid w:val="00CF5FDC"/>
    <w:rsid w:val="00D01C2A"/>
    <w:rsid w:val="00D03AB1"/>
    <w:rsid w:val="00D040C7"/>
    <w:rsid w:val="00D0490E"/>
    <w:rsid w:val="00D04984"/>
    <w:rsid w:val="00D05E01"/>
    <w:rsid w:val="00D05F69"/>
    <w:rsid w:val="00D0635F"/>
    <w:rsid w:val="00D066AD"/>
    <w:rsid w:val="00D076DF"/>
    <w:rsid w:val="00D11F92"/>
    <w:rsid w:val="00D1285B"/>
    <w:rsid w:val="00D14D13"/>
    <w:rsid w:val="00D16984"/>
    <w:rsid w:val="00D17F07"/>
    <w:rsid w:val="00D204E7"/>
    <w:rsid w:val="00D22D9F"/>
    <w:rsid w:val="00D23330"/>
    <w:rsid w:val="00D233C0"/>
    <w:rsid w:val="00D236E5"/>
    <w:rsid w:val="00D26497"/>
    <w:rsid w:val="00D27029"/>
    <w:rsid w:val="00D2731B"/>
    <w:rsid w:val="00D30EB4"/>
    <w:rsid w:val="00D32360"/>
    <w:rsid w:val="00D33891"/>
    <w:rsid w:val="00D36992"/>
    <w:rsid w:val="00D40632"/>
    <w:rsid w:val="00D4175A"/>
    <w:rsid w:val="00D42341"/>
    <w:rsid w:val="00D42EDF"/>
    <w:rsid w:val="00D438B8"/>
    <w:rsid w:val="00D444B8"/>
    <w:rsid w:val="00D4495D"/>
    <w:rsid w:val="00D45108"/>
    <w:rsid w:val="00D46460"/>
    <w:rsid w:val="00D4704D"/>
    <w:rsid w:val="00D4727E"/>
    <w:rsid w:val="00D47FF3"/>
    <w:rsid w:val="00D50E99"/>
    <w:rsid w:val="00D515FA"/>
    <w:rsid w:val="00D52980"/>
    <w:rsid w:val="00D54F48"/>
    <w:rsid w:val="00D56140"/>
    <w:rsid w:val="00D56DB4"/>
    <w:rsid w:val="00D6172A"/>
    <w:rsid w:val="00D6221E"/>
    <w:rsid w:val="00D6222A"/>
    <w:rsid w:val="00D63BAB"/>
    <w:rsid w:val="00D642B1"/>
    <w:rsid w:val="00D645A3"/>
    <w:rsid w:val="00D649DE"/>
    <w:rsid w:val="00D6563B"/>
    <w:rsid w:val="00D65D88"/>
    <w:rsid w:val="00D663B0"/>
    <w:rsid w:val="00D664B4"/>
    <w:rsid w:val="00D66549"/>
    <w:rsid w:val="00D66874"/>
    <w:rsid w:val="00D66CC0"/>
    <w:rsid w:val="00D66E63"/>
    <w:rsid w:val="00D670CA"/>
    <w:rsid w:val="00D67329"/>
    <w:rsid w:val="00D67559"/>
    <w:rsid w:val="00D702D7"/>
    <w:rsid w:val="00D70B1E"/>
    <w:rsid w:val="00D729EA"/>
    <w:rsid w:val="00D73A09"/>
    <w:rsid w:val="00D74376"/>
    <w:rsid w:val="00D7470E"/>
    <w:rsid w:val="00D757C6"/>
    <w:rsid w:val="00D775A9"/>
    <w:rsid w:val="00D778CF"/>
    <w:rsid w:val="00D77943"/>
    <w:rsid w:val="00D816EF"/>
    <w:rsid w:val="00D8209C"/>
    <w:rsid w:val="00D833F2"/>
    <w:rsid w:val="00D83781"/>
    <w:rsid w:val="00D838EB"/>
    <w:rsid w:val="00D84033"/>
    <w:rsid w:val="00D852F5"/>
    <w:rsid w:val="00D85B8E"/>
    <w:rsid w:val="00D85E0F"/>
    <w:rsid w:val="00D907E1"/>
    <w:rsid w:val="00D90A8A"/>
    <w:rsid w:val="00D90BDF"/>
    <w:rsid w:val="00D925A7"/>
    <w:rsid w:val="00D937CF"/>
    <w:rsid w:val="00D93C80"/>
    <w:rsid w:val="00D9426D"/>
    <w:rsid w:val="00D9531A"/>
    <w:rsid w:val="00D9539F"/>
    <w:rsid w:val="00D95A57"/>
    <w:rsid w:val="00D95F6C"/>
    <w:rsid w:val="00D96A6B"/>
    <w:rsid w:val="00D9713E"/>
    <w:rsid w:val="00DA0504"/>
    <w:rsid w:val="00DA0CA9"/>
    <w:rsid w:val="00DA1F66"/>
    <w:rsid w:val="00DA4596"/>
    <w:rsid w:val="00DA4F2C"/>
    <w:rsid w:val="00DA4F3A"/>
    <w:rsid w:val="00DA59D9"/>
    <w:rsid w:val="00DA5E5A"/>
    <w:rsid w:val="00DA6F2C"/>
    <w:rsid w:val="00DA7367"/>
    <w:rsid w:val="00DB0903"/>
    <w:rsid w:val="00DB167C"/>
    <w:rsid w:val="00DB1699"/>
    <w:rsid w:val="00DB28CA"/>
    <w:rsid w:val="00DB2AF7"/>
    <w:rsid w:val="00DB2F75"/>
    <w:rsid w:val="00DB3719"/>
    <w:rsid w:val="00DB4200"/>
    <w:rsid w:val="00DB42A5"/>
    <w:rsid w:val="00DB5706"/>
    <w:rsid w:val="00DB584F"/>
    <w:rsid w:val="00DB5C1B"/>
    <w:rsid w:val="00DB5F0D"/>
    <w:rsid w:val="00DB617C"/>
    <w:rsid w:val="00DB6B6C"/>
    <w:rsid w:val="00DB72E1"/>
    <w:rsid w:val="00DC0CAA"/>
    <w:rsid w:val="00DC1E62"/>
    <w:rsid w:val="00DC2B60"/>
    <w:rsid w:val="00DC328E"/>
    <w:rsid w:val="00DC3324"/>
    <w:rsid w:val="00DC4882"/>
    <w:rsid w:val="00DC59A2"/>
    <w:rsid w:val="00DC61B6"/>
    <w:rsid w:val="00DC6A85"/>
    <w:rsid w:val="00DC7BE0"/>
    <w:rsid w:val="00DC7E02"/>
    <w:rsid w:val="00DD00AA"/>
    <w:rsid w:val="00DD042D"/>
    <w:rsid w:val="00DD0484"/>
    <w:rsid w:val="00DD06B8"/>
    <w:rsid w:val="00DD1C43"/>
    <w:rsid w:val="00DD323C"/>
    <w:rsid w:val="00DD326C"/>
    <w:rsid w:val="00DD68C6"/>
    <w:rsid w:val="00DE1517"/>
    <w:rsid w:val="00DE2E88"/>
    <w:rsid w:val="00DE300C"/>
    <w:rsid w:val="00DE4F72"/>
    <w:rsid w:val="00DE5615"/>
    <w:rsid w:val="00DE70E1"/>
    <w:rsid w:val="00DE7AC9"/>
    <w:rsid w:val="00DE7CC2"/>
    <w:rsid w:val="00DF08D3"/>
    <w:rsid w:val="00DF3223"/>
    <w:rsid w:val="00DF4948"/>
    <w:rsid w:val="00DF53B6"/>
    <w:rsid w:val="00DF7293"/>
    <w:rsid w:val="00DF7CF3"/>
    <w:rsid w:val="00E02302"/>
    <w:rsid w:val="00E02691"/>
    <w:rsid w:val="00E02E98"/>
    <w:rsid w:val="00E03214"/>
    <w:rsid w:val="00E03664"/>
    <w:rsid w:val="00E03992"/>
    <w:rsid w:val="00E05815"/>
    <w:rsid w:val="00E07227"/>
    <w:rsid w:val="00E07AE1"/>
    <w:rsid w:val="00E104CD"/>
    <w:rsid w:val="00E1065B"/>
    <w:rsid w:val="00E118A9"/>
    <w:rsid w:val="00E119D2"/>
    <w:rsid w:val="00E135EA"/>
    <w:rsid w:val="00E1403F"/>
    <w:rsid w:val="00E14418"/>
    <w:rsid w:val="00E17255"/>
    <w:rsid w:val="00E20E0F"/>
    <w:rsid w:val="00E21236"/>
    <w:rsid w:val="00E215EF"/>
    <w:rsid w:val="00E21B76"/>
    <w:rsid w:val="00E21E93"/>
    <w:rsid w:val="00E229FC"/>
    <w:rsid w:val="00E22BB1"/>
    <w:rsid w:val="00E231FA"/>
    <w:rsid w:val="00E232CD"/>
    <w:rsid w:val="00E24297"/>
    <w:rsid w:val="00E25104"/>
    <w:rsid w:val="00E253ED"/>
    <w:rsid w:val="00E260A3"/>
    <w:rsid w:val="00E26A9E"/>
    <w:rsid w:val="00E279DE"/>
    <w:rsid w:val="00E30C9C"/>
    <w:rsid w:val="00E30E63"/>
    <w:rsid w:val="00E328D3"/>
    <w:rsid w:val="00E35CCB"/>
    <w:rsid w:val="00E36FFF"/>
    <w:rsid w:val="00E37427"/>
    <w:rsid w:val="00E404BD"/>
    <w:rsid w:val="00E424C8"/>
    <w:rsid w:val="00E4345A"/>
    <w:rsid w:val="00E434A2"/>
    <w:rsid w:val="00E4469C"/>
    <w:rsid w:val="00E45B79"/>
    <w:rsid w:val="00E45C39"/>
    <w:rsid w:val="00E45E8F"/>
    <w:rsid w:val="00E46776"/>
    <w:rsid w:val="00E47492"/>
    <w:rsid w:val="00E47574"/>
    <w:rsid w:val="00E50216"/>
    <w:rsid w:val="00E50EE3"/>
    <w:rsid w:val="00E50EEE"/>
    <w:rsid w:val="00E51602"/>
    <w:rsid w:val="00E51A1D"/>
    <w:rsid w:val="00E51D14"/>
    <w:rsid w:val="00E51D77"/>
    <w:rsid w:val="00E533D7"/>
    <w:rsid w:val="00E5590C"/>
    <w:rsid w:val="00E56278"/>
    <w:rsid w:val="00E569DD"/>
    <w:rsid w:val="00E57448"/>
    <w:rsid w:val="00E60164"/>
    <w:rsid w:val="00E6028B"/>
    <w:rsid w:val="00E60C18"/>
    <w:rsid w:val="00E612F6"/>
    <w:rsid w:val="00E61850"/>
    <w:rsid w:val="00E6375F"/>
    <w:rsid w:val="00E63A32"/>
    <w:rsid w:val="00E64A73"/>
    <w:rsid w:val="00E64EA6"/>
    <w:rsid w:val="00E653E9"/>
    <w:rsid w:val="00E66370"/>
    <w:rsid w:val="00E66573"/>
    <w:rsid w:val="00E67649"/>
    <w:rsid w:val="00E67F15"/>
    <w:rsid w:val="00E72B80"/>
    <w:rsid w:val="00E73AFA"/>
    <w:rsid w:val="00E759EE"/>
    <w:rsid w:val="00E76196"/>
    <w:rsid w:val="00E805EE"/>
    <w:rsid w:val="00E80A14"/>
    <w:rsid w:val="00E8222F"/>
    <w:rsid w:val="00E8334C"/>
    <w:rsid w:val="00E84695"/>
    <w:rsid w:val="00E851B1"/>
    <w:rsid w:val="00E8539B"/>
    <w:rsid w:val="00E87C0B"/>
    <w:rsid w:val="00E9461F"/>
    <w:rsid w:val="00E95542"/>
    <w:rsid w:val="00E96251"/>
    <w:rsid w:val="00E96805"/>
    <w:rsid w:val="00E968F5"/>
    <w:rsid w:val="00E9752B"/>
    <w:rsid w:val="00E9781F"/>
    <w:rsid w:val="00EA1315"/>
    <w:rsid w:val="00EA1BD4"/>
    <w:rsid w:val="00EA23CB"/>
    <w:rsid w:val="00EA3F90"/>
    <w:rsid w:val="00EA4C8E"/>
    <w:rsid w:val="00EA5A00"/>
    <w:rsid w:val="00EA64F7"/>
    <w:rsid w:val="00EA6D0A"/>
    <w:rsid w:val="00EA71FC"/>
    <w:rsid w:val="00EA73A1"/>
    <w:rsid w:val="00EB2A1E"/>
    <w:rsid w:val="00EB47E8"/>
    <w:rsid w:val="00EB49EA"/>
    <w:rsid w:val="00EB49EB"/>
    <w:rsid w:val="00EB4A2E"/>
    <w:rsid w:val="00EB6DA0"/>
    <w:rsid w:val="00EC0B8C"/>
    <w:rsid w:val="00EC246F"/>
    <w:rsid w:val="00EC2547"/>
    <w:rsid w:val="00EC2A00"/>
    <w:rsid w:val="00EC31A8"/>
    <w:rsid w:val="00EC4756"/>
    <w:rsid w:val="00EC63C0"/>
    <w:rsid w:val="00EC7320"/>
    <w:rsid w:val="00EC7C45"/>
    <w:rsid w:val="00ED01EF"/>
    <w:rsid w:val="00ED238D"/>
    <w:rsid w:val="00ED2484"/>
    <w:rsid w:val="00ED27DC"/>
    <w:rsid w:val="00ED28D6"/>
    <w:rsid w:val="00ED4A1D"/>
    <w:rsid w:val="00ED5BEE"/>
    <w:rsid w:val="00ED6832"/>
    <w:rsid w:val="00ED6AE6"/>
    <w:rsid w:val="00EE053E"/>
    <w:rsid w:val="00EE0893"/>
    <w:rsid w:val="00EE0A03"/>
    <w:rsid w:val="00EE1352"/>
    <w:rsid w:val="00EE15B5"/>
    <w:rsid w:val="00EE19A7"/>
    <w:rsid w:val="00EE2B6D"/>
    <w:rsid w:val="00EE2E8C"/>
    <w:rsid w:val="00EE2F64"/>
    <w:rsid w:val="00EE306F"/>
    <w:rsid w:val="00EE3957"/>
    <w:rsid w:val="00EE587D"/>
    <w:rsid w:val="00EE633E"/>
    <w:rsid w:val="00EE64AD"/>
    <w:rsid w:val="00EE74CF"/>
    <w:rsid w:val="00EE76CD"/>
    <w:rsid w:val="00EF13C4"/>
    <w:rsid w:val="00EF1B6B"/>
    <w:rsid w:val="00EF1BC3"/>
    <w:rsid w:val="00EF20E2"/>
    <w:rsid w:val="00EF2B8F"/>
    <w:rsid w:val="00EF383A"/>
    <w:rsid w:val="00EF3962"/>
    <w:rsid w:val="00EF632D"/>
    <w:rsid w:val="00EF680F"/>
    <w:rsid w:val="00EF6EB9"/>
    <w:rsid w:val="00F0058E"/>
    <w:rsid w:val="00F00F54"/>
    <w:rsid w:val="00F01463"/>
    <w:rsid w:val="00F0219B"/>
    <w:rsid w:val="00F02524"/>
    <w:rsid w:val="00F03297"/>
    <w:rsid w:val="00F03326"/>
    <w:rsid w:val="00F03A78"/>
    <w:rsid w:val="00F0400D"/>
    <w:rsid w:val="00F052AC"/>
    <w:rsid w:val="00F05B88"/>
    <w:rsid w:val="00F05BA7"/>
    <w:rsid w:val="00F05EA8"/>
    <w:rsid w:val="00F07DA0"/>
    <w:rsid w:val="00F07F0A"/>
    <w:rsid w:val="00F11701"/>
    <w:rsid w:val="00F12216"/>
    <w:rsid w:val="00F128B2"/>
    <w:rsid w:val="00F12BE4"/>
    <w:rsid w:val="00F12F21"/>
    <w:rsid w:val="00F14AD0"/>
    <w:rsid w:val="00F14B6C"/>
    <w:rsid w:val="00F15AE0"/>
    <w:rsid w:val="00F17F3C"/>
    <w:rsid w:val="00F2054F"/>
    <w:rsid w:val="00F2078B"/>
    <w:rsid w:val="00F21626"/>
    <w:rsid w:val="00F24B21"/>
    <w:rsid w:val="00F25433"/>
    <w:rsid w:val="00F25C93"/>
    <w:rsid w:val="00F2780E"/>
    <w:rsid w:val="00F30BBF"/>
    <w:rsid w:val="00F312A1"/>
    <w:rsid w:val="00F3227A"/>
    <w:rsid w:val="00F32739"/>
    <w:rsid w:val="00F32819"/>
    <w:rsid w:val="00F352BE"/>
    <w:rsid w:val="00F36014"/>
    <w:rsid w:val="00F375F1"/>
    <w:rsid w:val="00F37B32"/>
    <w:rsid w:val="00F40F1A"/>
    <w:rsid w:val="00F4182F"/>
    <w:rsid w:val="00F419F8"/>
    <w:rsid w:val="00F423C8"/>
    <w:rsid w:val="00F42E75"/>
    <w:rsid w:val="00F4325F"/>
    <w:rsid w:val="00F4334F"/>
    <w:rsid w:val="00F4405C"/>
    <w:rsid w:val="00F44161"/>
    <w:rsid w:val="00F4491B"/>
    <w:rsid w:val="00F46A47"/>
    <w:rsid w:val="00F46CF4"/>
    <w:rsid w:val="00F47F24"/>
    <w:rsid w:val="00F50462"/>
    <w:rsid w:val="00F50588"/>
    <w:rsid w:val="00F50634"/>
    <w:rsid w:val="00F51697"/>
    <w:rsid w:val="00F51DB2"/>
    <w:rsid w:val="00F52920"/>
    <w:rsid w:val="00F5415F"/>
    <w:rsid w:val="00F54D9D"/>
    <w:rsid w:val="00F55698"/>
    <w:rsid w:val="00F556D8"/>
    <w:rsid w:val="00F55FCF"/>
    <w:rsid w:val="00F55FE4"/>
    <w:rsid w:val="00F5628E"/>
    <w:rsid w:val="00F56807"/>
    <w:rsid w:val="00F57316"/>
    <w:rsid w:val="00F6188E"/>
    <w:rsid w:val="00F62C75"/>
    <w:rsid w:val="00F635B7"/>
    <w:rsid w:val="00F63AB8"/>
    <w:rsid w:val="00F64108"/>
    <w:rsid w:val="00F643C9"/>
    <w:rsid w:val="00F64AEE"/>
    <w:rsid w:val="00F6764F"/>
    <w:rsid w:val="00F67DBC"/>
    <w:rsid w:val="00F71023"/>
    <w:rsid w:val="00F71D0D"/>
    <w:rsid w:val="00F727B9"/>
    <w:rsid w:val="00F74182"/>
    <w:rsid w:val="00F74A6A"/>
    <w:rsid w:val="00F74A99"/>
    <w:rsid w:val="00F74F9E"/>
    <w:rsid w:val="00F750F7"/>
    <w:rsid w:val="00F752AB"/>
    <w:rsid w:val="00F76324"/>
    <w:rsid w:val="00F77D4D"/>
    <w:rsid w:val="00F824E2"/>
    <w:rsid w:val="00F82E71"/>
    <w:rsid w:val="00F8361C"/>
    <w:rsid w:val="00F83F41"/>
    <w:rsid w:val="00F8406D"/>
    <w:rsid w:val="00F85290"/>
    <w:rsid w:val="00F8538F"/>
    <w:rsid w:val="00F8581D"/>
    <w:rsid w:val="00F858AD"/>
    <w:rsid w:val="00F85F61"/>
    <w:rsid w:val="00F86969"/>
    <w:rsid w:val="00F90A13"/>
    <w:rsid w:val="00F90C9F"/>
    <w:rsid w:val="00F90D5E"/>
    <w:rsid w:val="00F90F37"/>
    <w:rsid w:val="00F919AD"/>
    <w:rsid w:val="00F91EE7"/>
    <w:rsid w:val="00F91F95"/>
    <w:rsid w:val="00F9236E"/>
    <w:rsid w:val="00F92DFF"/>
    <w:rsid w:val="00F92F8D"/>
    <w:rsid w:val="00F93FDC"/>
    <w:rsid w:val="00F9498A"/>
    <w:rsid w:val="00F9772D"/>
    <w:rsid w:val="00F97E0E"/>
    <w:rsid w:val="00F97FA3"/>
    <w:rsid w:val="00FA0D73"/>
    <w:rsid w:val="00FA186B"/>
    <w:rsid w:val="00FA2ED0"/>
    <w:rsid w:val="00FA2EDE"/>
    <w:rsid w:val="00FA3DB0"/>
    <w:rsid w:val="00FA5158"/>
    <w:rsid w:val="00FA5AE8"/>
    <w:rsid w:val="00FA5AEA"/>
    <w:rsid w:val="00FA76E4"/>
    <w:rsid w:val="00FA774F"/>
    <w:rsid w:val="00FB13ED"/>
    <w:rsid w:val="00FB2E9D"/>
    <w:rsid w:val="00FB3B42"/>
    <w:rsid w:val="00FB3E8D"/>
    <w:rsid w:val="00FB40EC"/>
    <w:rsid w:val="00FB4842"/>
    <w:rsid w:val="00FB505C"/>
    <w:rsid w:val="00FB5148"/>
    <w:rsid w:val="00FB5FAD"/>
    <w:rsid w:val="00FB5FC2"/>
    <w:rsid w:val="00FB6363"/>
    <w:rsid w:val="00FB7424"/>
    <w:rsid w:val="00FB7972"/>
    <w:rsid w:val="00FC007D"/>
    <w:rsid w:val="00FC0A65"/>
    <w:rsid w:val="00FC15EC"/>
    <w:rsid w:val="00FC170E"/>
    <w:rsid w:val="00FC3231"/>
    <w:rsid w:val="00FC336C"/>
    <w:rsid w:val="00FC44C4"/>
    <w:rsid w:val="00FC467E"/>
    <w:rsid w:val="00FC467F"/>
    <w:rsid w:val="00FC53CD"/>
    <w:rsid w:val="00FC7F1A"/>
    <w:rsid w:val="00FD014F"/>
    <w:rsid w:val="00FD08F2"/>
    <w:rsid w:val="00FD1170"/>
    <w:rsid w:val="00FD1454"/>
    <w:rsid w:val="00FD2013"/>
    <w:rsid w:val="00FD2074"/>
    <w:rsid w:val="00FD20FB"/>
    <w:rsid w:val="00FD2557"/>
    <w:rsid w:val="00FD28E3"/>
    <w:rsid w:val="00FD2B85"/>
    <w:rsid w:val="00FD42B8"/>
    <w:rsid w:val="00FD56A5"/>
    <w:rsid w:val="00FD6448"/>
    <w:rsid w:val="00FD69E6"/>
    <w:rsid w:val="00FD71D7"/>
    <w:rsid w:val="00FD7D9D"/>
    <w:rsid w:val="00FE0B37"/>
    <w:rsid w:val="00FE0D49"/>
    <w:rsid w:val="00FE1E24"/>
    <w:rsid w:val="00FE2220"/>
    <w:rsid w:val="00FE2461"/>
    <w:rsid w:val="00FE3731"/>
    <w:rsid w:val="00FE5EA1"/>
    <w:rsid w:val="00FF1B84"/>
    <w:rsid w:val="00FF28D6"/>
    <w:rsid w:val="00FF311B"/>
    <w:rsid w:val="00FF4064"/>
    <w:rsid w:val="00FF4A1D"/>
    <w:rsid w:val="00FF4C85"/>
    <w:rsid w:val="00FF5333"/>
    <w:rsid w:val="00FF5C66"/>
    <w:rsid w:val="00FF5CA1"/>
    <w:rsid w:val="00FF5F1A"/>
    <w:rsid w:val="00FF63DB"/>
    <w:rsid w:val="00FF70A7"/>
    <w:rsid w:val="00FF74F9"/>
    <w:rsid w:val="00FF7513"/>
    <w:rsid w:val="00FF77F7"/>
    <w:rsid w:val="00FF7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5" type="connector" idref="#AutoShape 6"/>
        <o:r id="V:Rule6" type="connector" idref="#AutoShape 8"/>
        <o:r id="V:Rule7" type="connector" idref="#AutoShape 7"/>
        <o:r id="V:Rule8"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6D"/>
    <w:rPr>
      <w:sz w:val="24"/>
      <w:szCs w:val="22"/>
    </w:rPr>
  </w:style>
  <w:style w:type="paragraph" w:styleId="Heading1">
    <w:name w:val="heading 1"/>
    <w:basedOn w:val="Normal"/>
    <w:next w:val="Normal"/>
    <w:link w:val="Heading1Char"/>
    <w:uiPriority w:val="9"/>
    <w:qFormat/>
    <w:rsid w:val="000E089D"/>
    <w:pPr>
      <w:spacing w:line="480" w:lineRule="auto"/>
      <w:jc w:val="center"/>
      <w:outlineLvl w:val="0"/>
    </w:pPr>
    <w:rPr>
      <w:b/>
      <w:szCs w:val="24"/>
      <w:u w:val="single"/>
    </w:rPr>
  </w:style>
  <w:style w:type="paragraph" w:styleId="Heading2">
    <w:name w:val="heading 2"/>
    <w:basedOn w:val="Normal"/>
    <w:next w:val="Normal"/>
    <w:link w:val="Heading2Char"/>
    <w:uiPriority w:val="9"/>
    <w:unhideWhenUsed/>
    <w:qFormat/>
    <w:rsid w:val="00E51D77"/>
    <w:pPr>
      <w:tabs>
        <w:tab w:val="left" w:pos="720"/>
        <w:tab w:val="left" w:pos="1080"/>
      </w:tabs>
      <w:spacing w:after="240"/>
      <w:ind w:left="720" w:hanging="720"/>
      <w:jc w:val="both"/>
      <w:outlineLvl w:val="1"/>
    </w:pPr>
    <w:rPr>
      <w:b/>
      <w:caps/>
      <w:szCs w:val="24"/>
    </w:rPr>
  </w:style>
  <w:style w:type="paragraph" w:styleId="Heading3">
    <w:name w:val="heading 3"/>
    <w:basedOn w:val="Normal"/>
    <w:link w:val="Heading3Char"/>
    <w:uiPriority w:val="9"/>
    <w:qFormat/>
    <w:rsid w:val="00D663B0"/>
    <w:pPr>
      <w:spacing w:line="480" w:lineRule="auto"/>
      <w:ind w:left="1440" w:hanging="720"/>
      <w:jc w:val="both"/>
      <w:outlineLvl w:val="2"/>
    </w:pPr>
    <w:rPr>
      <w:b/>
      <w:szCs w:val="24"/>
    </w:rPr>
  </w:style>
  <w:style w:type="paragraph" w:styleId="Heading4">
    <w:name w:val="heading 4"/>
    <w:basedOn w:val="Normal"/>
    <w:next w:val="Normal"/>
    <w:link w:val="Heading4Char"/>
    <w:uiPriority w:val="9"/>
    <w:unhideWhenUsed/>
    <w:qFormat/>
    <w:rsid w:val="00C536A0"/>
    <w:pPr>
      <w:tabs>
        <w:tab w:val="left" w:pos="1440"/>
      </w:tabs>
      <w:ind w:left="1440" w:hanging="720"/>
      <w:jc w:val="both"/>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246D"/>
    <w:rPr>
      <w:sz w:val="20"/>
      <w:szCs w:val="20"/>
    </w:rPr>
  </w:style>
  <w:style w:type="character" w:customStyle="1" w:styleId="FootnoteTextChar">
    <w:name w:val="Footnote Text Char"/>
    <w:link w:val="FootnoteText"/>
    <w:uiPriority w:val="99"/>
    <w:rsid w:val="007A246D"/>
    <w:rPr>
      <w:rFonts w:eastAsia="Calibri"/>
      <w:sz w:val="20"/>
      <w:szCs w:val="20"/>
    </w:rPr>
  </w:style>
  <w:style w:type="character" w:styleId="FootnoteReference">
    <w:name w:val="footnote reference"/>
    <w:uiPriority w:val="99"/>
    <w:semiHidden/>
    <w:unhideWhenUsed/>
    <w:rsid w:val="007A246D"/>
    <w:rPr>
      <w:vertAlign w:val="superscript"/>
    </w:rPr>
  </w:style>
  <w:style w:type="character" w:styleId="CommentReference">
    <w:name w:val="annotation reference"/>
    <w:uiPriority w:val="99"/>
    <w:semiHidden/>
    <w:unhideWhenUsed/>
    <w:rsid w:val="007A246D"/>
    <w:rPr>
      <w:sz w:val="16"/>
      <w:szCs w:val="16"/>
    </w:rPr>
  </w:style>
  <w:style w:type="paragraph" w:styleId="CommentText">
    <w:name w:val="annotation text"/>
    <w:basedOn w:val="Normal"/>
    <w:link w:val="CommentTextChar"/>
    <w:uiPriority w:val="99"/>
    <w:unhideWhenUsed/>
    <w:rsid w:val="007A246D"/>
    <w:rPr>
      <w:sz w:val="20"/>
      <w:szCs w:val="20"/>
    </w:rPr>
  </w:style>
  <w:style w:type="character" w:customStyle="1" w:styleId="CommentTextChar">
    <w:name w:val="Comment Text Char"/>
    <w:link w:val="CommentText"/>
    <w:uiPriority w:val="99"/>
    <w:rsid w:val="007A246D"/>
    <w:rPr>
      <w:rFonts w:eastAsia="Calibri"/>
      <w:sz w:val="20"/>
      <w:szCs w:val="20"/>
    </w:rPr>
  </w:style>
  <w:style w:type="paragraph" w:styleId="BalloonText">
    <w:name w:val="Balloon Text"/>
    <w:basedOn w:val="Normal"/>
    <w:link w:val="BalloonTextChar"/>
    <w:uiPriority w:val="99"/>
    <w:semiHidden/>
    <w:unhideWhenUsed/>
    <w:rsid w:val="007A246D"/>
    <w:rPr>
      <w:rFonts w:ascii="Tahoma" w:hAnsi="Tahoma"/>
      <w:sz w:val="16"/>
      <w:szCs w:val="16"/>
    </w:rPr>
  </w:style>
  <w:style w:type="character" w:customStyle="1" w:styleId="BalloonTextChar">
    <w:name w:val="Balloon Text Char"/>
    <w:link w:val="BalloonText"/>
    <w:uiPriority w:val="99"/>
    <w:semiHidden/>
    <w:rsid w:val="007A246D"/>
    <w:rPr>
      <w:rFonts w:ascii="Tahoma" w:eastAsia="Calibri" w:hAnsi="Tahoma" w:cs="Tahoma"/>
      <w:sz w:val="16"/>
      <w:szCs w:val="16"/>
    </w:rPr>
  </w:style>
  <w:style w:type="paragraph" w:styleId="ListParagraph">
    <w:name w:val="List Paragraph"/>
    <w:basedOn w:val="Normal"/>
    <w:uiPriority w:val="34"/>
    <w:qFormat/>
    <w:rsid w:val="007A246D"/>
    <w:pPr>
      <w:spacing w:after="200" w:line="276" w:lineRule="auto"/>
      <w:ind w:left="720"/>
      <w:contextualSpacing/>
    </w:pPr>
    <w:rPr>
      <w:rFonts w:ascii="Calibri" w:hAnsi="Calibri"/>
      <w:sz w:val="22"/>
    </w:rPr>
  </w:style>
  <w:style w:type="paragraph" w:styleId="CommentSubject">
    <w:name w:val="annotation subject"/>
    <w:basedOn w:val="CommentText"/>
    <w:next w:val="CommentText"/>
    <w:link w:val="CommentSubjectChar"/>
    <w:uiPriority w:val="99"/>
    <w:semiHidden/>
    <w:unhideWhenUsed/>
    <w:rsid w:val="00C91CAF"/>
    <w:rPr>
      <w:b/>
      <w:bCs/>
    </w:rPr>
  </w:style>
  <w:style w:type="character" w:customStyle="1" w:styleId="CommentSubjectChar">
    <w:name w:val="Comment Subject Char"/>
    <w:link w:val="CommentSubject"/>
    <w:uiPriority w:val="99"/>
    <w:semiHidden/>
    <w:rsid w:val="00C91CAF"/>
    <w:rPr>
      <w:rFonts w:eastAsia="Calibri"/>
      <w:b/>
      <w:bCs/>
      <w:sz w:val="20"/>
      <w:szCs w:val="20"/>
    </w:rPr>
  </w:style>
  <w:style w:type="paragraph" w:styleId="Revision">
    <w:name w:val="Revision"/>
    <w:hidden/>
    <w:uiPriority w:val="99"/>
    <w:semiHidden/>
    <w:rsid w:val="006B7F50"/>
    <w:rPr>
      <w:sz w:val="24"/>
      <w:szCs w:val="22"/>
    </w:rPr>
  </w:style>
  <w:style w:type="character" w:styleId="Hyperlink">
    <w:name w:val="Hyperlink"/>
    <w:uiPriority w:val="99"/>
    <w:unhideWhenUsed/>
    <w:rsid w:val="005C3E19"/>
    <w:rPr>
      <w:color w:val="0000FF"/>
      <w:u w:val="single"/>
    </w:rPr>
  </w:style>
  <w:style w:type="paragraph" w:styleId="Header">
    <w:name w:val="header"/>
    <w:basedOn w:val="Normal"/>
    <w:link w:val="HeaderChar"/>
    <w:uiPriority w:val="99"/>
    <w:unhideWhenUsed/>
    <w:rsid w:val="00010518"/>
    <w:pPr>
      <w:tabs>
        <w:tab w:val="center" w:pos="4680"/>
        <w:tab w:val="right" w:pos="9360"/>
      </w:tabs>
    </w:pPr>
  </w:style>
  <w:style w:type="character" w:customStyle="1" w:styleId="HeaderChar">
    <w:name w:val="Header Char"/>
    <w:link w:val="Header"/>
    <w:uiPriority w:val="99"/>
    <w:rsid w:val="00010518"/>
    <w:rPr>
      <w:sz w:val="24"/>
      <w:szCs w:val="22"/>
    </w:rPr>
  </w:style>
  <w:style w:type="paragraph" w:styleId="Footer">
    <w:name w:val="footer"/>
    <w:basedOn w:val="Normal"/>
    <w:link w:val="FooterChar"/>
    <w:uiPriority w:val="99"/>
    <w:unhideWhenUsed/>
    <w:rsid w:val="00010518"/>
    <w:pPr>
      <w:tabs>
        <w:tab w:val="center" w:pos="4680"/>
        <w:tab w:val="right" w:pos="9360"/>
      </w:tabs>
    </w:pPr>
  </w:style>
  <w:style w:type="character" w:customStyle="1" w:styleId="FooterChar">
    <w:name w:val="Footer Char"/>
    <w:link w:val="Footer"/>
    <w:uiPriority w:val="99"/>
    <w:rsid w:val="00010518"/>
    <w:rPr>
      <w:sz w:val="24"/>
      <w:szCs w:val="22"/>
    </w:rPr>
  </w:style>
  <w:style w:type="character" w:customStyle="1" w:styleId="Heading3Char">
    <w:name w:val="Heading 3 Char"/>
    <w:link w:val="Heading3"/>
    <w:uiPriority w:val="9"/>
    <w:rsid w:val="00D663B0"/>
    <w:rPr>
      <w:b/>
      <w:sz w:val="24"/>
      <w:szCs w:val="24"/>
    </w:rPr>
  </w:style>
  <w:style w:type="character" w:styleId="Strong">
    <w:name w:val="Strong"/>
    <w:uiPriority w:val="22"/>
    <w:qFormat/>
    <w:rsid w:val="005103C3"/>
    <w:rPr>
      <w:b/>
      <w:bCs/>
    </w:rPr>
  </w:style>
  <w:style w:type="table" w:styleId="TableGrid">
    <w:name w:val="Table Grid"/>
    <w:basedOn w:val="TableNormal"/>
    <w:uiPriority w:val="59"/>
    <w:rsid w:val="002E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089D"/>
    <w:rPr>
      <w:b/>
      <w:sz w:val="24"/>
      <w:szCs w:val="24"/>
      <w:u w:val="single"/>
    </w:rPr>
  </w:style>
  <w:style w:type="paragraph" w:styleId="TOCHeading">
    <w:name w:val="TOC Heading"/>
    <w:basedOn w:val="Heading1"/>
    <w:next w:val="Normal"/>
    <w:uiPriority w:val="39"/>
    <w:unhideWhenUsed/>
    <w:qFormat/>
    <w:rsid w:val="000E089D"/>
    <w:pPr>
      <w:spacing w:line="276" w:lineRule="auto"/>
      <w:outlineLvl w:val="9"/>
    </w:pPr>
  </w:style>
  <w:style w:type="paragraph" w:styleId="TOC1">
    <w:name w:val="toc 1"/>
    <w:basedOn w:val="Normal"/>
    <w:next w:val="Normal"/>
    <w:autoRedefine/>
    <w:uiPriority w:val="39"/>
    <w:unhideWhenUsed/>
    <w:rsid w:val="00B15609"/>
    <w:pPr>
      <w:tabs>
        <w:tab w:val="right" w:leader="dot" w:pos="9350"/>
      </w:tabs>
      <w:spacing w:after="100"/>
    </w:pPr>
  </w:style>
  <w:style w:type="character" w:customStyle="1" w:styleId="Heading2Char">
    <w:name w:val="Heading 2 Char"/>
    <w:basedOn w:val="DefaultParagraphFont"/>
    <w:link w:val="Heading2"/>
    <w:uiPriority w:val="9"/>
    <w:rsid w:val="00E51D77"/>
    <w:rPr>
      <w:b/>
      <w:caps/>
      <w:sz w:val="24"/>
      <w:szCs w:val="24"/>
    </w:rPr>
  </w:style>
  <w:style w:type="paragraph" w:styleId="TOC2">
    <w:name w:val="toc 2"/>
    <w:basedOn w:val="Normal"/>
    <w:next w:val="Normal"/>
    <w:autoRedefine/>
    <w:uiPriority w:val="39"/>
    <w:unhideWhenUsed/>
    <w:rsid w:val="005A1122"/>
    <w:pPr>
      <w:tabs>
        <w:tab w:val="left" w:pos="660"/>
        <w:tab w:val="right" w:leader="dot" w:pos="9350"/>
      </w:tabs>
      <w:spacing w:after="100"/>
      <w:ind w:left="720" w:right="446" w:hanging="360"/>
    </w:pPr>
  </w:style>
  <w:style w:type="paragraph" w:styleId="TOC3">
    <w:name w:val="toc 3"/>
    <w:basedOn w:val="Normal"/>
    <w:next w:val="Normal"/>
    <w:autoRedefine/>
    <w:uiPriority w:val="39"/>
    <w:unhideWhenUsed/>
    <w:rsid w:val="00113F67"/>
    <w:pPr>
      <w:tabs>
        <w:tab w:val="left" w:pos="1100"/>
        <w:tab w:val="right" w:leader="dot" w:pos="9350"/>
      </w:tabs>
      <w:spacing w:after="120" w:line="276" w:lineRule="auto"/>
      <w:ind w:left="1080" w:right="446" w:hanging="360"/>
    </w:pPr>
  </w:style>
  <w:style w:type="character" w:customStyle="1" w:styleId="Heading4Char">
    <w:name w:val="Heading 4 Char"/>
    <w:basedOn w:val="DefaultParagraphFont"/>
    <w:link w:val="Heading4"/>
    <w:uiPriority w:val="9"/>
    <w:rsid w:val="00C536A0"/>
    <w:rPr>
      <w:b/>
      <w:i/>
      <w:sz w:val="24"/>
      <w:szCs w:val="22"/>
    </w:rPr>
  </w:style>
  <w:style w:type="paragraph" w:styleId="TOAHeading">
    <w:name w:val="toa heading"/>
    <w:basedOn w:val="Normal"/>
    <w:next w:val="Normal"/>
    <w:uiPriority w:val="99"/>
    <w:unhideWhenUsed/>
    <w:rsid w:val="003279A2"/>
    <w:pPr>
      <w:spacing w:before="240" w:after="120"/>
    </w:pPr>
    <w:rPr>
      <w:rFonts w:asciiTheme="minorHAnsi" w:hAnsiTheme="minorHAnsi" w:cs="Arial"/>
      <w:b/>
      <w:bCs/>
      <w:caps/>
      <w:sz w:val="20"/>
      <w:szCs w:val="20"/>
    </w:rPr>
  </w:style>
  <w:style w:type="paragraph" w:styleId="TableofAuthorities">
    <w:name w:val="table of authorities"/>
    <w:basedOn w:val="Normal"/>
    <w:next w:val="Normal"/>
    <w:uiPriority w:val="99"/>
    <w:unhideWhenUsed/>
    <w:rsid w:val="00572929"/>
    <w:pPr>
      <w:ind w:left="240" w:hanging="24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16215747">
      <w:bodyDiv w:val="1"/>
      <w:marLeft w:val="0"/>
      <w:marRight w:val="0"/>
      <w:marTop w:val="0"/>
      <w:marBottom w:val="0"/>
      <w:divBdr>
        <w:top w:val="none" w:sz="0" w:space="0" w:color="auto"/>
        <w:left w:val="none" w:sz="0" w:space="0" w:color="auto"/>
        <w:bottom w:val="none" w:sz="0" w:space="0" w:color="auto"/>
        <w:right w:val="none" w:sz="0" w:space="0" w:color="auto"/>
      </w:divBdr>
    </w:div>
    <w:div w:id="196548055">
      <w:bodyDiv w:val="1"/>
      <w:marLeft w:val="0"/>
      <w:marRight w:val="0"/>
      <w:marTop w:val="0"/>
      <w:marBottom w:val="0"/>
      <w:divBdr>
        <w:top w:val="none" w:sz="0" w:space="0" w:color="auto"/>
        <w:left w:val="none" w:sz="0" w:space="0" w:color="auto"/>
        <w:bottom w:val="none" w:sz="0" w:space="0" w:color="auto"/>
        <w:right w:val="none" w:sz="0" w:space="0" w:color="auto"/>
      </w:divBdr>
    </w:div>
    <w:div w:id="282008324">
      <w:bodyDiv w:val="1"/>
      <w:marLeft w:val="0"/>
      <w:marRight w:val="0"/>
      <w:marTop w:val="0"/>
      <w:marBottom w:val="0"/>
      <w:divBdr>
        <w:top w:val="none" w:sz="0" w:space="0" w:color="auto"/>
        <w:left w:val="none" w:sz="0" w:space="0" w:color="auto"/>
        <w:bottom w:val="none" w:sz="0" w:space="0" w:color="auto"/>
        <w:right w:val="none" w:sz="0" w:space="0" w:color="auto"/>
      </w:divBdr>
    </w:div>
    <w:div w:id="409083931">
      <w:bodyDiv w:val="1"/>
      <w:marLeft w:val="0"/>
      <w:marRight w:val="0"/>
      <w:marTop w:val="0"/>
      <w:marBottom w:val="0"/>
      <w:divBdr>
        <w:top w:val="none" w:sz="0" w:space="0" w:color="auto"/>
        <w:left w:val="none" w:sz="0" w:space="0" w:color="auto"/>
        <w:bottom w:val="none" w:sz="0" w:space="0" w:color="auto"/>
        <w:right w:val="none" w:sz="0" w:space="0" w:color="auto"/>
      </w:divBdr>
      <w:divsChild>
        <w:div w:id="149639418">
          <w:marLeft w:val="0"/>
          <w:marRight w:val="0"/>
          <w:marTop w:val="0"/>
          <w:marBottom w:val="0"/>
          <w:divBdr>
            <w:top w:val="none" w:sz="0" w:space="0" w:color="auto"/>
            <w:left w:val="none" w:sz="0" w:space="0" w:color="auto"/>
            <w:bottom w:val="none" w:sz="0" w:space="0" w:color="auto"/>
            <w:right w:val="none" w:sz="0" w:space="0" w:color="auto"/>
          </w:divBdr>
          <w:divsChild>
            <w:div w:id="19107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8755">
      <w:bodyDiv w:val="1"/>
      <w:marLeft w:val="0"/>
      <w:marRight w:val="0"/>
      <w:marTop w:val="0"/>
      <w:marBottom w:val="0"/>
      <w:divBdr>
        <w:top w:val="none" w:sz="0" w:space="0" w:color="auto"/>
        <w:left w:val="none" w:sz="0" w:space="0" w:color="auto"/>
        <w:bottom w:val="none" w:sz="0" w:space="0" w:color="auto"/>
        <w:right w:val="none" w:sz="0" w:space="0" w:color="auto"/>
      </w:divBdr>
    </w:div>
    <w:div w:id="724110814">
      <w:bodyDiv w:val="1"/>
      <w:marLeft w:val="0"/>
      <w:marRight w:val="0"/>
      <w:marTop w:val="0"/>
      <w:marBottom w:val="0"/>
      <w:divBdr>
        <w:top w:val="none" w:sz="0" w:space="0" w:color="auto"/>
        <w:left w:val="none" w:sz="0" w:space="0" w:color="auto"/>
        <w:bottom w:val="none" w:sz="0" w:space="0" w:color="auto"/>
        <w:right w:val="none" w:sz="0" w:space="0" w:color="auto"/>
      </w:divBdr>
    </w:div>
    <w:div w:id="765031454">
      <w:bodyDiv w:val="1"/>
      <w:marLeft w:val="0"/>
      <w:marRight w:val="0"/>
      <w:marTop w:val="0"/>
      <w:marBottom w:val="0"/>
      <w:divBdr>
        <w:top w:val="none" w:sz="0" w:space="0" w:color="auto"/>
        <w:left w:val="none" w:sz="0" w:space="0" w:color="auto"/>
        <w:bottom w:val="none" w:sz="0" w:space="0" w:color="auto"/>
        <w:right w:val="none" w:sz="0" w:space="0" w:color="auto"/>
      </w:divBdr>
    </w:div>
    <w:div w:id="1012609748">
      <w:bodyDiv w:val="1"/>
      <w:marLeft w:val="0"/>
      <w:marRight w:val="0"/>
      <w:marTop w:val="0"/>
      <w:marBottom w:val="0"/>
      <w:divBdr>
        <w:top w:val="none" w:sz="0" w:space="0" w:color="auto"/>
        <w:left w:val="none" w:sz="0" w:space="0" w:color="auto"/>
        <w:bottom w:val="none" w:sz="0" w:space="0" w:color="auto"/>
        <w:right w:val="none" w:sz="0" w:space="0" w:color="auto"/>
      </w:divBdr>
    </w:div>
    <w:div w:id="1069382047">
      <w:bodyDiv w:val="1"/>
      <w:marLeft w:val="0"/>
      <w:marRight w:val="0"/>
      <w:marTop w:val="0"/>
      <w:marBottom w:val="0"/>
      <w:divBdr>
        <w:top w:val="none" w:sz="0" w:space="0" w:color="auto"/>
        <w:left w:val="none" w:sz="0" w:space="0" w:color="auto"/>
        <w:bottom w:val="none" w:sz="0" w:space="0" w:color="auto"/>
        <w:right w:val="none" w:sz="0" w:space="0" w:color="auto"/>
      </w:divBdr>
    </w:div>
    <w:div w:id="1129397412">
      <w:bodyDiv w:val="1"/>
      <w:marLeft w:val="0"/>
      <w:marRight w:val="0"/>
      <w:marTop w:val="0"/>
      <w:marBottom w:val="0"/>
      <w:divBdr>
        <w:top w:val="none" w:sz="0" w:space="0" w:color="auto"/>
        <w:left w:val="none" w:sz="0" w:space="0" w:color="auto"/>
        <w:bottom w:val="none" w:sz="0" w:space="0" w:color="auto"/>
        <w:right w:val="none" w:sz="0" w:space="0" w:color="auto"/>
      </w:divBdr>
    </w:div>
    <w:div w:id="1310398291">
      <w:bodyDiv w:val="1"/>
      <w:marLeft w:val="0"/>
      <w:marRight w:val="0"/>
      <w:marTop w:val="0"/>
      <w:marBottom w:val="0"/>
      <w:divBdr>
        <w:top w:val="none" w:sz="0" w:space="0" w:color="auto"/>
        <w:left w:val="none" w:sz="0" w:space="0" w:color="auto"/>
        <w:bottom w:val="none" w:sz="0" w:space="0" w:color="auto"/>
        <w:right w:val="none" w:sz="0" w:space="0" w:color="auto"/>
      </w:divBdr>
    </w:div>
    <w:div w:id="1317765023">
      <w:bodyDiv w:val="1"/>
      <w:marLeft w:val="0"/>
      <w:marRight w:val="0"/>
      <w:marTop w:val="0"/>
      <w:marBottom w:val="0"/>
      <w:divBdr>
        <w:top w:val="none" w:sz="0" w:space="0" w:color="auto"/>
        <w:left w:val="none" w:sz="0" w:space="0" w:color="auto"/>
        <w:bottom w:val="none" w:sz="0" w:space="0" w:color="auto"/>
        <w:right w:val="none" w:sz="0" w:space="0" w:color="auto"/>
      </w:divBdr>
    </w:div>
    <w:div w:id="1318801554">
      <w:bodyDiv w:val="1"/>
      <w:marLeft w:val="0"/>
      <w:marRight w:val="0"/>
      <w:marTop w:val="0"/>
      <w:marBottom w:val="0"/>
      <w:divBdr>
        <w:top w:val="none" w:sz="0" w:space="0" w:color="auto"/>
        <w:left w:val="none" w:sz="0" w:space="0" w:color="auto"/>
        <w:bottom w:val="none" w:sz="0" w:space="0" w:color="auto"/>
        <w:right w:val="none" w:sz="0" w:space="0" w:color="auto"/>
      </w:divBdr>
    </w:div>
    <w:div w:id="1368140058">
      <w:bodyDiv w:val="1"/>
      <w:marLeft w:val="0"/>
      <w:marRight w:val="0"/>
      <w:marTop w:val="0"/>
      <w:marBottom w:val="0"/>
      <w:divBdr>
        <w:top w:val="none" w:sz="0" w:space="0" w:color="auto"/>
        <w:left w:val="none" w:sz="0" w:space="0" w:color="auto"/>
        <w:bottom w:val="none" w:sz="0" w:space="0" w:color="auto"/>
        <w:right w:val="none" w:sz="0" w:space="0" w:color="auto"/>
      </w:divBdr>
    </w:div>
    <w:div w:id="1502507755">
      <w:bodyDiv w:val="1"/>
      <w:marLeft w:val="0"/>
      <w:marRight w:val="0"/>
      <w:marTop w:val="0"/>
      <w:marBottom w:val="0"/>
      <w:divBdr>
        <w:top w:val="none" w:sz="0" w:space="0" w:color="auto"/>
        <w:left w:val="none" w:sz="0" w:space="0" w:color="auto"/>
        <w:bottom w:val="none" w:sz="0" w:space="0" w:color="auto"/>
        <w:right w:val="none" w:sz="0" w:space="0" w:color="auto"/>
      </w:divBdr>
    </w:div>
    <w:div w:id="1505781957">
      <w:bodyDiv w:val="1"/>
      <w:marLeft w:val="0"/>
      <w:marRight w:val="0"/>
      <w:marTop w:val="0"/>
      <w:marBottom w:val="0"/>
      <w:divBdr>
        <w:top w:val="none" w:sz="0" w:space="0" w:color="auto"/>
        <w:left w:val="none" w:sz="0" w:space="0" w:color="auto"/>
        <w:bottom w:val="none" w:sz="0" w:space="0" w:color="auto"/>
        <w:right w:val="none" w:sz="0" w:space="0" w:color="auto"/>
      </w:divBdr>
    </w:div>
    <w:div w:id="1631396585">
      <w:bodyDiv w:val="1"/>
      <w:marLeft w:val="0"/>
      <w:marRight w:val="0"/>
      <w:marTop w:val="0"/>
      <w:marBottom w:val="0"/>
      <w:divBdr>
        <w:top w:val="none" w:sz="0" w:space="0" w:color="auto"/>
        <w:left w:val="none" w:sz="0" w:space="0" w:color="auto"/>
        <w:bottom w:val="none" w:sz="0" w:space="0" w:color="auto"/>
        <w:right w:val="none" w:sz="0" w:space="0" w:color="auto"/>
      </w:divBdr>
      <w:divsChild>
        <w:div w:id="360134926">
          <w:marLeft w:val="0"/>
          <w:marRight w:val="0"/>
          <w:marTop w:val="0"/>
          <w:marBottom w:val="0"/>
          <w:divBdr>
            <w:top w:val="none" w:sz="0" w:space="0" w:color="auto"/>
            <w:left w:val="none" w:sz="0" w:space="0" w:color="auto"/>
            <w:bottom w:val="none" w:sz="0" w:space="0" w:color="auto"/>
            <w:right w:val="none" w:sz="0" w:space="0" w:color="auto"/>
          </w:divBdr>
          <w:divsChild>
            <w:div w:id="55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3675">
      <w:bodyDiv w:val="1"/>
      <w:marLeft w:val="0"/>
      <w:marRight w:val="0"/>
      <w:marTop w:val="0"/>
      <w:marBottom w:val="0"/>
      <w:divBdr>
        <w:top w:val="none" w:sz="0" w:space="0" w:color="auto"/>
        <w:left w:val="none" w:sz="0" w:space="0" w:color="auto"/>
        <w:bottom w:val="none" w:sz="0" w:space="0" w:color="auto"/>
        <w:right w:val="none" w:sz="0" w:space="0" w:color="auto"/>
      </w:divBdr>
    </w:div>
    <w:div w:id="1996448540">
      <w:bodyDiv w:val="1"/>
      <w:marLeft w:val="0"/>
      <w:marRight w:val="0"/>
      <w:marTop w:val="0"/>
      <w:marBottom w:val="0"/>
      <w:divBdr>
        <w:top w:val="none" w:sz="0" w:space="0" w:color="auto"/>
        <w:left w:val="none" w:sz="0" w:space="0" w:color="auto"/>
        <w:bottom w:val="none" w:sz="0" w:space="0" w:color="auto"/>
        <w:right w:val="none" w:sz="0" w:space="0" w:color="auto"/>
      </w:divBdr>
    </w:div>
    <w:div w:id="1999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orman.Acker@usdoj.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F63A2-5983-46E6-B83A-BA138002613A}">
  <ds:schemaRefs>
    <ds:schemaRef ds:uri="http://schemas.openxmlformats.org/officeDocument/2006/bibliography"/>
  </ds:schemaRefs>
</ds:datastoreItem>
</file>

<file path=customXml/itemProps2.xml><?xml version="1.0" encoding="utf-8"?>
<ds:datastoreItem xmlns:ds="http://schemas.openxmlformats.org/officeDocument/2006/customXml" ds:itemID="{2D614638-84AE-451C-8AEC-2EF985BECD2D}">
  <ds:schemaRefs>
    <ds:schemaRef ds:uri="http://schemas.openxmlformats.org/officeDocument/2006/bibliography"/>
  </ds:schemaRefs>
</ds:datastoreItem>
</file>

<file path=customXml/itemProps3.xml><?xml version="1.0" encoding="utf-8"?>
<ds:datastoreItem xmlns:ds="http://schemas.openxmlformats.org/officeDocument/2006/customXml" ds:itemID="{6C281842-EF49-4EE8-85D5-125DC33E94C3}">
  <ds:schemaRefs>
    <ds:schemaRef ds:uri="http://schemas.openxmlformats.org/officeDocument/2006/bibliography"/>
  </ds:schemaRefs>
</ds:datastoreItem>
</file>

<file path=customXml/itemProps4.xml><?xml version="1.0" encoding="utf-8"?>
<ds:datastoreItem xmlns:ds="http://schemas.openxmlformats.org/officeDocument/2006/customXml" ds:itemID="{6D09960B-7F63-4169-99FD-215E7610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9517</Words>
  <Characters>54247</Characters>
  <Application>Microsoft Office Word</Application>
  <DocSecurity>0</DocSecurity>
  <Lines>452</Lines>
  <Paragraphs>127</Paragraphs>
  <ScaleCrop>false</ScaleCrop>
  <Company/>
  <LinksUpToDate>false</LinksUpToDate>
  <CharactersWithSpaces>63637</CharactersWithSpaces>
  <SharedDoc>false</SharedDoc>
  <HLinks>
    <vt:vector size="6" baseType="variant">
      <vt:variant>
        <vt:i4>2752578</vt:i4>
      </vt:variant>
      <vt:variant>
        <vt:i4>0</vt:i4>
      </vt:variant>
      <vt:variant>
        <vt:i4>0</vt:i4>
      </vt:variant>
      <vt:variant>
        <vt:i4>5</vt:i4>
      </vt:variant>
      <vt:variant>
        <vt:lpwstr>mailto:Norman.Acker@usdoj.gov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2017-01-26T22:11:00Z</dcterms:created>
  <dcterms:modified xsi:type="dcterms:W3CDTF">2017-01-26T22:11:00Z</dcterms:modified>
</cp:coreProperties>
</file>