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95" w:rsidRDefault="00470895" w:rsidP="00B255E0">
      <w:pPr>
        <w:pStyle w:val="CourtName"/>
        <w:widowControl/>
        <w:jc w:val="right"/>
        <w:rPr>
          <w:sz w:val="20"/>
        </w:rPr>
      </w:pPr>
    </w:p>
    <w:p w:rsidR="00470895" w:rsidRDefault="00470895" w:rsidP="00B255E0">
      <w:pPr>
        <w:pStyle w:val="CourtName"/>
        <w:widowControl/>
        <w:jc w:val="right"/>
        <w:rPr>
          <w:sz w:val="20"/>
        </w:rPr>
      </w:pPr>
    </w:p>
    <w:p w:rsidR="00470895" w:rsidRDefault="00470895" w:rsidP="00B255E0">
      <w:pPr>
        <w:pStyle w:val="CourtName"/>
        <w:widowControl/>
        <w:jc w:val="right"/>
        <w:rPr>
          <w:sz w:val="20"/>
        </w:rPr>
      </w:pPr>
    </w:p>
    <w:p w:rsidR="00470895" w:rsidRDefault="00470895" w:rsidP="00B255E0">
      <w:pPr>
        <w:pStyle w:val="CourtName"/>
        <w:widowControl/>
        <w:jc w:val="right"/>
        <w:rPr>
          <w:sz w:val="20"/>
        </w:rPr>
      </w:pPr>
    </w:p>
    <w:p w:rsidR="00BB6C68" w:rsidRDefault="00BB6C68" w:rsidP="00B255E0">
      <w:pPr>
        <w:pStyle w:val="CourtName"/>
        <w:widowControl/>
        <w:jc w:val="right"/>
        <w:rPr>
          <w:sz w:val="20"/>
        </w:rPr>
      </w:pPr>
    </w:p>
    <w:p w:rsidR="00470895" w:rsidRDefault="00470895" w:rsidP="00B255E0">
      <w:pPr>
        <w:pStyle w:val="CourtName"/>
        <w:widowControl/>
        <w:jc w:val="right"/>
        <w:rPr>
          <w:sz w:val="20"/>
        </w:rPr>
      </w:pPr>
    </w:p>
    <w:p w:rsidR="00470895" w:rsidRDefault="00470895" w:rsidP="00B255E0">
      <w:pPr>
        <w:pStyle w:val="CourtName"/>
        <w:widowControl/>
        <w:jc w:val="right"/>
        <w:rPr>
          <w:sz w:val="20"/>
        </w:rPr>
      </w:pPr>
    </w:p>
    <w:p w:rsidR="002457E6" w:rsidRPr="00CB0102" w:rsidRDefault="00B255E0" w:rsidP="00B255E0">
      <w:pPr>
        <w:pStyle w:val="CourtName"/>
        <w:widowControl/>
        <w:jc w:val="right"/>
        <w:rPr>
          <w:szCs w:val="24"/>
        </w:rPr>
      </w:pPr>
      <w:r w:rsidRPr="00CB0102">
        <w:rPr>
          <w:szCs w:val="24"/>
        </w:rPr>
        <w:t>Hon. Thomas S. Zilly</w:t>
      </w:r>
    </w:p>
    <w:p w:rsidR="00AF3FBB" w:rsidRPr="00A6743C" w:rsidRDefault="00AF3FBB" w:rsidP="00454F54">
      <w:pPr>
        <w:pStyle w:val="CourtName"/>
        <w:widowControl/>
        <w:spacing w:line="240" w:lineRule="auto"/>
        <w:rPr>
          <w:szCs w:val="24"/>
        </w:rPr>
      </w:pPr>
      <w:r w:rsidRPr="00A6743C">
        <w:rPr>
          <w:szCs w:val="24"/>
        </w:rPr>
        <w:t>IN THE UNITED STATES DISTRICT COURT</w:t>
      </w:r>
    </w:p>
    <w:p w:rsidR="00AF3FBB" w:rsidRPr="00A6743C" w:rsidRDefault="005F0786" w:rsidP="00454F54">
      <w:pPr>
        <w:pStyle w:val="CourtName"/>
        <w:widowControl/>
        <w:spacing w:line="240" w:lineRule="auto"/>
        <w:rPr>
          <w:szCs w:val="24"/>
        </w:rPr>
      </w:pPr>
      <w:r w:rsidRPr="00A6743C">
        <w:rPr>
          <w:szCs w:val="24"/>
        </w:rPr>
        <w:t>WESTERN DISTRICT OF WASHINGTON AT SEATTLE</w:t>
      </w:r>
    </w:p>
    <w:p w:rsidR="00AF3FBB" w:rsidRPr="00A6743C" w:rsidRDefault="00AF3FBB" w:rsidP="00AB3BC1">
      <w:pPr>
        <w:pStyle w:val="CourtName"/>
        <w:widowControl/>
        <w:rPr>
          <w:szCs w:val="24"/>
        </w:rPr>
      </w:pPr>
    </w:p>
    <w:tbl>
      <w:tblPr>
        <w:tblW w:w="9557" w:type="dxa"/>
        <w:tblInd w:w="8" w:type="dxa"/>
        <w:tblLayout w:type="fixed"/>
        <w:tblCellMar>
          <w:left w:w="0" w:type="dxa"/>
          <w:right w:w="0" w:type="dxa"/>
        </w:tblCellMar>
        <w:tblLook w:val="0000"/>
      </w:tblPr>
      <w:tblGrid>
        <w:gridCol w:w="4677"/>
        <w:gridCol w:w="279"/>
        <w:gridCol w:w="4601"/>
      </w:tblGrid>
      <w:tr w:rsidR="00AF3FBB" w:rsidRPr="00A6743C" w:rsidTr="00826F73">
        <w:trPr>
          <w:trHeight w:val="3456"/>
        </w:trPr>
        <w:tc>
          <w:tcPr>
            <w:tcW w:w="4677" w:type="dxa"/>
            <w:tcBorders>
              <w:bottom w:val="single" w:sz="4" w:space="0" w:color="auto"/>
              <w:right w:val="single" w:sz="4" w:space="0" w:color="auto"/>
            </w:tcBorders>
          </w:tcPr>
          <w:p w:rsidR="00054C60" w:rsidRPr="00A6743C" w:rsidRDefault="00054C60" w:rsidP="00470895">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sidRPr="00A6743C">
              <w:rPr>
                <w:szCs w:val="24"/>
              </w:rPr>
              <w:t xml:space="preserve">M.R., </w:t>
            </w:r>
            <w:r w:rsidR="00470895">
              <w:rPr>
                <w:szCs w:val="24"/>
              </w:rPr>
              <w:t>et. al</w:t>
            </w:r>
            <w:r w:rsidRPr="00A6743C">
              <w:rPr>
                <w:szCs w:val="24"/>
              </w:rPr>
              <w:t>,</w:t>
            </w:r>
            <w:r w:rsidRPr="00A6743C">
              <w:rPr>
                <w:szCs w:val="24"/>
              </w:rPr>
              <w:tab/>
            </w:r>
            <w:r w:rsidRPr="00A6743C">
              <w:rPr>
                <w:szCs w:val="24"/>
              </w:rPr>
              <w:tab/>
            </w:r>
            <w:r w:rsidRPr="00A6743C">
              <w:rPr>
                <w:szCs w:val="24"/>
              </w:rPr>
              <w:tab/>
            </w:r>
          </w:p>
          <w:p w:rsidR="00054C60" w:rsidRPr="00A6743C" w:rsidRDefault="00054C60" w:rsidP="00726B78">
            <w:pPr>
              <w:tabs>
                <w:tab w:val="left" w:pos="720"/>
                <w:tab w:val="left" w:pos="1440"/>
              </w:tabs>
              <w:spacing w:line="240" w:lineRule="auto"/>
              <w:ind w:left="7200" w:hanging="7200"/>
              <w:rPr>
                <w:szCs w:val="24"/>
              </w:rPr>
            </w:pPr>
            <w:r w:rsidRPr="00A6743C">
              <w:rPr>
                <w:szCs w:val="24"/>
              </w:rPr>
              <w:tab/>
            </w:r>
            <w:r w:rsidRPr="00A6743C">
              <w:rPr>
                <w:szCs w:val="24"/>
              </w:rPr>
              <w:tab/>
              <w:t xml:space="preserve">           Plaintiffs,</w:t>
            </w:r>
            <w:r w:rsidRPr="00A6743C">
              <w:rPr>
                <w:szCs w:val="24"/>
              </w:rPr>
              <w:tab/>
            </w:r>
            <w:r w:rsidRPr="00A6743C">
              <w:rPr>
                <w:szCs w:val="24"/>
              </w:rPr>
              <w:tab/>
            </w:r>
            <w:r w:rsidRPr="00A6743C">
              <w:rPr>
                <w:szCs w:val="24"/>
              </w:rPr>
              <w:tab/>
              <w:t xml:space="preserve"> </w:t>
            </w:r>
            <w:r w:rsidRPr="00A6743C">
              <w:rPr>
                <w:szCs w:val="24"/>
              </w:rPr>
              <w:tab/>
              <w:t xml:space="preserve">Civil Action Number: </w:t>
            </w:r>
          </w:p>
          <w:p w:rsidR="00054C60" w:rsidRDefault="00470895" w:rsidP="00054C60">
            <w:pPr>
              <w:rPr>
                <w:szCs w:val="24"/>
              </w:rPr>
            </w:pPr>
            <w:r>
              <w:rPr>
                <w:szCs w:val="24"/>
              </w:rPr>
              <w:tab/>
            </w:r>
            <w:r>
              <w:rPr>
                <w:szCs w:val="24"/>
              </w:rPr>
              <w:tab/>
              <w:t xml:space="preserve">v. </w:t>
            </w:r>
            <w:r>
              <w:rPr>
                <w:szCs w:val="24"/>
              </w:rPr>
              <w:tab/>
            </w:r>
            <w:r>
              <w:rPr>
                <w:szCs w:val="24"/>
              </w:rPr>
              <w:tab/>
            </w:r>
            <w:r>
              <w:rPr>
                <w:szCs w:val="24"/>
              </w:rPr>
              <w:tab/>
            </w:r>
            <w:r>
              <w:rPr>
                <w:szCs w:val="24"/>
              </w:rPr>
              <w:tab/>
            </w:r>
          </w:p>
          <w:p w:rsidR="00470895" w:rsidRPr="00A6743C" w:rsidRDefault="00470895" w:rsidP="00054C60">
            <w:pPr>
              <w:rPr>
                <w:szCs w:val="24"/>
              </w:rPr>
            </w:pPr>
          </w:p>
          <w:p w:rsidR="00054C60" w:rsidRPr="00A6743C" w:rsidRDefault="00054C60" w:rsidP="00470895">
            <w:pPr>
              <w:spacing w:line="240" w:lineRule="auto"/>
              <w:rPr>
                <w:szCs w:val="24"/>
              </w:rPr>
            </w:pPr>
            <w:r w:rsidRPr="00A6743C">
              <w:rPr>
                <w:szCs w:val="24"/>
              </w:rPr>
              <w:t>SUSAN DREYFUS,</w:t>
            </w:r>
            <w:r w:rsidRPr="00A6743C">
              <w:rPr>
                <w:szCs w:val="24"/>
              </w:rPr>
              <w:tab/>
            </w:r>
            <w:r w:rsidR="00470895">
              <w:rPr>
                <w:szCs w:val="24"/>
              </w:rPr>
              <w:t>et al.</w:t>
            </w:r>
            <w:r w:rsidRPr="00A6743C">
              <w:rPr>
                <w:szCs w:val="24"/>
              </w:rPr>
              <w:t>,</w:t>
            </w:r>
            <w:r w:rsidRPr="00A6743C">
              <w:rPr>
                <w:szCs w:val="24"/>
              </w:rPr>
              <w:tab/>
            </w:r>
            <w:r w:rsidRPr="00A6743C">
              <w:rPr>
                <w:szCs w:val="24"/>
              </w:rPr>
              <w:tab/>
            </w:r>
          </w:p>
          <w:p w:rsidR="001E1B8B" w:rsidRPr="00A6743C" w:rsidRDefault="00054C60" w:rsidP="00BB6C68">
            <w:pPr>
              <w:tabs>
                <w:tab w:val="left" w:pos="720"/>
                <w:tab w:val="left" w:pos="1440"/>
                <w:tab w:val="left" w:pos="2160"/>
                <w:tab w:val="left" w:pos="2880"/>
                <w:tab w:val="left" w:pos="3600"/>
                <w:tab w:val="left" w:pos="4320"/>
                <w:tab w:val="left" w:pos="5040"/>
                <w:tab w:val="left" w:pos="5760"/>
                <w:tab w:val="left" w:pos="6480"/>
              </w:tabs>
              <w:spacing w:line="240" w:lineRule="auto"/>
              <w:ind w:left="6480" w:hanging="6480"/>
              <w:rPr>
                <w:szCs w:val="24"/>
              </w:rPr>
            </w:pPr>
            <w:r w:rsidRPr="00A6743C">
              <w:rPr>
                <w:szCs w:val="24"/>
              </w:rPr>
              <w:tab/>
            </w:r>
            <w:r w:rsidRPr="00A6743C">
              <w:rPr>
                <w:szCs w:val="24"/>
              </w:rPr>
              <w:tab/>
            </w:r>
            <w:r w:rsidRPr="00A6743C">
              <w:rPr>
                <w:szCs w:val="24"/>
              </w:rPr>
              <w:tab/>
            </w:r>
            <w:r w:rsidRPr="00A6743C">
              <w:rPr>
                <w:szCs w:val="24"/>
              </w:rPr>
              <w:tab/>
              <w:t>Defendants.</w:t>
            </w:r>
          </w:p>
        </w:tc>
        <w:tc>
          <w:tcPr>
            <w:tcW w:w="279" w:type="dxa"/>
            <w:tcBorders>
              <w:left w:val="single" w:sz="4" w:space="0" w:color="auto"/>
            </w:tcBorders>
          </w:tcPr>
          <w:p w:rsidR="00AF3FBB" w:rsidRPr="00A6743C" w:rsidRDefault="00AF3FBB" w:rsidP="00AB3BC1">
            <w:pPr>
              <w:widowControl/>
              <w:spacing w:line="240" w:lineRule="exact"/>
              <w:rPr>
                <w:szCs w:val="24"/>
              </w:rPr>
            </w:pPr>
          </w:p>
          <w:p w:rsidR="00AF3FBB" w:rsidRPr="00A6743C" w:rsidRDefault="00AF3FBB" w:rsidP="00AB3BC1">
            <w:pPr>
              <w:widowControl/>
              <w:spacing w:line="240" w:lineRule="exact"/>
              <w:rPr>
                <w:szCs w:val="24"/>
              </w:rPr>
            </w:pPr>
          </w:p>
        </w:tc>
        <w:tc>
          <w:tcPr>
            <w:tcW w:w="4601" w:type="dxa"/>
          </w:tcPr>
          <w:p w:rsidR="00054C60" w:rsidRPr="00A6743C" w:rsidRDefault="00AF3FBB" w:rsidP="00054C60">
            <w:pPr>
              <w:rPr>
                <w:szCs w:val="24"/>
              </w:rPr>
            </w:pPr>
            <w:r w:rsidRPr="00A6743C">
              <w:rPr>
                <w:szCs w:val="24"/>
              </w:rPr>
              <w:t xml:space="preserve">Case No.  </w:t>
            </w:r>
            <w:r w:rsidR="00054C60" w:rsidRPr="00A6743C">
              <w:rPr>
                <w:szCs w:val="24"/>
              </w:rPr>
              <w:t>2:10-cv-02052-</w:t>
            </w:r>
            <w:r w:rsidR="00B255E0" w:rsidRPr="00A6743C">
              <w:rPr>
                <w:szCs w:val="24"/>
              </w:rPr>
              <w:t>TS</w:t>
            </w:r>
            <w:r w:rsidR="00054C60" w:rsidRPr="00A6743C">
              <w:rPr>
                <w:szCs w:val="24"/>
              </w:rPr>
              <w:t>Z</w:t>
            </w:r>
          </w:p>
          <w:p w:rsidR="004C0561" w:rsidRPr="00A6743C" w:rsidRDefault="004C0561" w:rsidP="00AB3BC1">
            <w:pPr>
              <w:widowControl/>
              <w:spacing w:line="240" w:lineRule="exact"/>
              <w:rPr>
                <w:b/>
                <w:caps/>
                <w:szCs w:val="24"/>
              </w:rPr>
            </w:pPr>
          </w:p>
          <w:p w:rsidR="00AF3FBB" w:rsidRPr="00A6743C" w:rsidRDefault="004C0561" w:rsidP="00AB3BC1">
            <w:pPr>
              <w:widowControl/>
              <w:spacing w:line="240" w:lineRule="exact"/>
              <w:rPr>
                <w:b/>
                <w:caps/>
                <w:szCs w:val="24"/>
              </w:rPr>
            </w:pPr>
            <w:r w:rsidRPr="00A6743C">
              <w:rPr>
                <w:b/>
                <w:caps/>
                <w:szCs w:val="24"/>
              </w:rPr>
              <w:t>statement of interest of the united states</w:t>
            </w:r>
          </w:p>
          <w:p w:rsidR="00AF3FBB" w:rsidRPr="00A6743C" w:rsidRDefault="00AF3FBB" w:rsidP="00AB3BC1">
            <w:pPr>
              <w:widowControl/>
              <w:spacing w:line="240" w:lineRule="exact"/>
              <w:rPr>
                <w:b/>
                <w:szCs w:val="24"/>
              </w:rPr>
            </w:pPr>
          </w:p>
          <w:p w:rsidR="00AF3FBB" w:rsidRPr="00A6743C" w:rsidRDefault="00AF3FBB" w:rsidP="005F0786">
            <w:pPr>
              <w:widowControl/>
              <w:spacing w:line="240" w:lineRule="exact"/>
              <w:rPr>
                <w:szCs w:val="24"/>
              </w:rPr>
            </w:pPr>
          </w:p>
          <w:p w:rsidR="00B255E0" w:rsidRPr="00A6743C" w:rsidRDefault="00B255E0" w:rsidP="005F0786">
            <w:pPr>
              <w:widowControl/>
              <w:spacing w:line="240" w:lineRule="exact"/>
              <w:rPr>
                <w:szCs w:val="24"/>
              </w:rPr>
            </w:pPr>
          </w:p>
          <w:p w:rsidR="00B255E0" w:rsidRPr="00A6743C" w:rsidRDefault="00470895" w:rsidP="005F0786">
            <w:pPr>
              <w:widowControl/>
              <w:spacing w:line="240" w:lineRule="exact"/>
              <w:rPr>
                <w:szCs w:val="24"/>
              </w:rPr>
            </w:pPr>
            <w:r w:rsidRPr="00A6743C">
              <w:rPr>
                <w:szCs w:val="24"/>
              </w:rPr>
              <w:t>PARTICIPATION IN ORAL ARGUMENT REQUESTED</w:t>
            </w:r>
          </w:p>
          <w:p w:rsidR="00B255E0" w:rsidRPr="00A6743C" w:rsidRDefault="00B255E0" w:rsidP="005F0786">
            <w:pPr>
              <w:widowControl/>
              <w:spacing w:line="240" w:lineRule="exact"/>
              <w:rPr>
                <w:szCs w:val="24"/>
              </w:rPr>
            </w:pPr>
          </w:p>
          <w:p w:rsidR="00B255E0" w:rsidRDefault="00B255E0" w:rsidP="005F0786">
            <w:pPr>
              <w:widowControl/>
              <w:spacing w:line="240" w:lineRule="exact"/>
              <w:rPr>
                <w:szCs w:val="24"/>
              </w:rPr>
            </w:pPr>
          </w:p>
          <w:p w:rsidR="00264A47" w:rsidRDefault="00264A47" w:rsidP="005F0786">
            <w:pPr>
              <w:widowControl/>
              <w:spacing w:line="240" w:lineRule="exact"/>
              <w:rPr>
                <w:szCs w:val="24"/>
              </w:rPr>
            </w:pPr>
          </w:p>
          <w:p w:rsidR="00264A47" w:rsidRPr="00A6743C" w:rsidRDefault="00264A47" w:rsidP="005F0786">
            <w:pPr>
              <w:widowControl/>
              <w:spacing w:line="240" w:lineRule="exact"/>
              <w:rPr>
                <w:szCs w:val="24"/>
              </w:rPr>
            </w:pPr>
          </w:p>
        </w:tc>
      </w:tr>
    </w:tbl>
    <w:p w:rsidR="0090216A" w:rsidRPr="00A6743C" w:rsidRDefault="0090216A" w:rsidP="0090216A">
      <w:pPr>
        <w:pStyle w:val="Heading1"/>
      </w:pPr>
      <w:r w:rsidRPr="00A6743C">
        <w:rPr>
          <w:u w:val="none"/>
        </w:rPr>
        <w:t xml:space="preserve">   </w:t>
      </w:r>
      <w:bookmarkStart w:id="0" w:name="_Toc281926334"/>
      <w:bookmarkStart w:id="1" w:name="_Toc282175625"/>
      <w:r w:rsidRPr="00A6743C">
        <w:t>INTRODUCTION</w:t>
      </w:r>
      <w:bookmarkEnd w:id="0"/>
      <w:bookmarkEnd w:id="1"/>
      <w:r w:rsidRPr="00A6743C">
        <w:t xml:space="preserve"> </w:t>
      </w:r>
    </w:p>
    <w:p w:rsidR="002D473C" w:rsidRPr="00A6743C" w:rsidRDefault="002D473C" w:rsidP="002D473C">
      <w:pPr>
        <w:spacing w:line="240" w:lineRule="auto"/>
      </w:pPr>
    </w:p>
    <w:p w:rsidR="009E6F90" w:rsidRPr="00A6743C" w:rsidRDefault="0090216A" w:rsidP="009E6F90">
      <w:pPr>
        <w:spacing w:line="480" w:lineRule="auto"/>
        <w:ind w:firstLine="720"/>
        <w:rPr>
          <w:szCs w:val="24"/>
        </w:rPr>
      </w:pPr>
      <w:r w:rsidRPr="00A6743C">
        <w:rPr>
          <w:szCs w:val="24"/>
        </w:rPr>
        <w:t>The United States files this Statement of Interest, pursuant to 28 U.S.C. § 517, because this litigation implicates the proper interpretation and application of title II of the Americans with Disabil</w:t>
      </w:r>
      <w:r w:rsidR="00C815F3" w:rsidRPr="00A6743C">
        <w:rPr>
          <w:szCs w:val="24"/>
        </w:rPr>
        <w:t xml:space="preserve">ities Act, 42 U.S.C. § 12101 </w:t>
      </w:r>
      <w:r w:rsidR="00C815F3" w:rsidRPr="00A6743C">
        <w:rPr>
          <w:i/>
          <w:szCs w:val="24"/>
        </w:rPr>
        <w:t>et</w:t>
      </w:r>
      <w:r w:rsidRPr="00A6743C">
        <w:rPr>
          <w:i/>
          <w:szCs w:val="24"/>
        </w:rPr>
        <w:t xml:space="preserve"> seq.</w:t>
      </w:r>
      <w:r w:rsidRPr="00A6743C">
        <w:rPr>
          <w:szCs w:val="24"/>
        </w:rPr>
        <w:t xml:space="preserve">, (“ADA”).  In particular, this case involves title II’s integration mandate.  </w:t>
      </w:r>
      <w:r w:rsidRPr="00A6743C">
        <w:rPr>
          <w:i/>
          <w:szCs w:val="24"/>
        </w:rPr>
        <w:t>See</w:t>
      </w:r>
      <w:r w:rsidRPr="00A6743C">
        <w:rPr>
          <w:szCs w:val="24"/>
        </w:rPr>
        <w:t xml:space="preserve"> </w:t>
      </w:r>
      <w:r w:rsidRPr="00A6743C">
        <w:rPr>
          <w:i/>
          <w:iCs/>
          <w:szCs w:val="24"/>
        </w:rPr>
        <w:t>Olmstead v. L.C.</w:t>
      </w:r>
      <w:r w:rsidRPr="00A6743C">
        <w:rPr>
          <w:szCs w:val="24"/>
        </w:rPr>
        <w:t>, 527 U.S. 581</w:t>
      </w:r>
      <w:r w:rsidR="007704BD" w:rsidRPr="00A6743C">
        <w:rPr>
          <w:szCs w:val="24"/>
        </w:rPr>
        <w:t>, 607</w:t>
      </w:r>
      <w:r w:rsidRPr="00A6743C">
        <w:rPr>
          <w:szCs w:val="24"/>
        </w:rPr>
        <w:t xml:space="preserve"> (1999).  The Department of Justice has authority to enforce title II, and to issue regulations implementing the statute</w:t>
      </w:r>
      <w:r w:rsidR="00454F54" w:rsidRPr="00A6743C">
        <w:rPr>
          <w:szCs w:val="24"/>
        </w:rPr>
        <w:t xml:space="preserve">. </w:t>
      </w:r>
      <w:r w:rsidRPr="00A6743C">
        <w:rPr>
          <w:szCs w:val="24"/>
        </w:rPr>
        <w:t xml:space="preserve">§ </w:t>
      </w:r>
      <w:r w:rsidR="00454F54" w:rsidRPr="00A6743C">
        <w:rPr>
          <w:szCs w:val="24"/>
        </w:rPr>
        <w:t>42 U.S.C. § 12133-3</w:t>
      </w:r>
      <w:r w:rsidRPr="00A6743C">
        <w:rPr>
          <w:szCs w:val="24"/>
        </w:rPr>
        <w:t>4.  The United States has a strong interest in the resolution of this matter and</w:t>
      </w:r>
      <w:r w:rsidR="00762549" w:rsidRPr="00A6743C">
        <w:rPr>
          <w:szCs w:val="24"/>
        </w:rPr>
        <w:t xml:space="preserve"> </w:t>
      </w:r>
      <w:r w:rsidR="00762549" w:rsidRPr="00A6743C">
        <w:rPr>
          <w:szCs w:val="24"/>
        </w:rPr>
        <w:lastRenderedPageBreak/>
        <w:t>respectfully requests</w:t>
      </w:r>
      <w:r w:rsidRPr="00A6743C">
        <w:rPr>
          <w:szCs w:val="24"/>
        </w:rPr>
        <w:t xml:space="preserve"> this Court grant Plaintiffs’ Motion for Preliminary Injunction.  </w:t>
      </w:r>
    </w:p>
    <w:p w:rsidR="004F478F" w:rsidRPr="00A6743C" w:rsidRDefault="009E6F90" w:rsidP="009E6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1873FF" w:rsidRPr="00A6743C">
        <w:rPr>
          <w:szCs w:val="24"/>
        </w:rPr>
        <w:t xml:space="preserve">This suit alleges that </w:t>
      </w:r>
      <w:r w:rsidRPr="00A6743C">
        <w:rPr>
          <w:szCs w:val="24"/>
        </w:rPr>
        <w:t xml:space="preserve">the State of Washington’s planned reduction in personal care hours to individuals with disabilities who receive these services in the community places them at risk of institutionalization in violation of </w:t>
      </w:r>
      <w:r w:rsidR="00CD1016" w:rsidRPr="00A6743C">
        <w:rPr>
          <w:szCs w:val="24"/>
        </w:rPr>
        <w:t xml:space="preserve">the ADA. </w:t>
      </w:r>
      <w:r w:rsidR="00C815F3" w:rsidRPr="00A6743C">
        <w:rPr>
          <w:szCs w:val="24"/>
        </w:rPr>
        <w:t>P</w:t>
      </w:r>
      <w:r w:rsidR="002C189A" w:rsidRPr="00A6743C">
        <w:rPr>
          <w:szCs w:val="24"/>
        </w:rPr>
        <w:t>laintiffs all live in community</w:t>
      </w:r>
      <w:r w:rsidR="007D6BAD">
        <w:rPr>
          <w:szCs w:val="24"/>
        </w:rPr>
        <w:t xml:space="preserve"> </w:t>
      </w:r>
      <w:r w:rsidR="002C189A" w:rsidRPr="00A6743C">
        <w:rPr>
          <w:szCs w:val="24"/>
        </w:rPr>
        <w:t xml:space="preserve">settings, primarily in their own homes, </w:t>
      </w:r>
      <w:r w:rsidR="004F478F" w:rsidRPr="00A6743C">
        <w:rPr>
          <w:szCs w:val="24"/>
        </w:rPr>
        <w:t>and are able to enjoy community life such as attending church, volunteering, going to movie</w:t>
      </w:r>
      <w:r w:rsidR="00750D85" w:rsidRPr="00A6743C">
        <w:rPr>
          <w:szCs w:val="24"/>
        </w:rPr>
        <w:t>s</w:t>
      </w:r>
      <w:r w:rsidR="004F478F" w:rsidRPr="00A6743C">
        <w:rPr>
          <w:szCs w:val="24"/>
        </w:rPr>
        <w:t xml:space="preserve"> and visiting with family.  However, the independence and stability that Plaintiffs enjoy is threatened by the sudden reduction in personal care hours </w:t>
      </w:r>
      <w:r w:rsidR="00097735" w:rsidRPr="00A6743C">
        <w:rPr>
          <w:szCs w:val="24"/>
        </w:rPr>
        <w:t>on</w:t>
      </w:r>
      <w:r w:rsidR="004F478F" w:rsidRPr="00A6743C">
        <w:rPr>
          <w:szCs w:val="24"/>
        </w:rPr>
        <w:t xml:space="preserve"> which they depend. </w:t>
      </w:r>
    </w:p>
    <w:p w:rsidR="009E6F90" w:rsidRPr="00A6743C" w:rsidRDefault="004F478F" w:rsidP="0045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C815F3" w:rsidRPr="00A6743C">
        <w:rPr>
          <w:szCs w:val="24"/>
        </w:rPr>
        <w:t>P</w:t>
      </w:r>
      <w:r w:rsidR="005A1C50" w:rsidRPr="00A6743C">
        <w:rPr>
          <w:szCs w:val="24"/>
        </w:rPr>
        <w:t>laintiffs produce substantial evidence regarding the anticipated devastating effects of the service reductions including institutionalization, deteri</w:t>
      </w:r>
      <w:r w:rsidR="00CC6960" w:rsidRPr="00A6743C">
        <w:rPr>
          <w:szCs w:val="24"/>
        </w:rPr>
        <w:t xml:space="preserve">orating health and even death. </w:t>
      </w:r>
      <w:r w:rsidR="00856606" w:rsidRPr="00A6743C">
        <w:rPr>
          <w:szCs w:val="24"/>
        </w:rPr>
        <w:t xml:space="preserve"> </w:t>
      </w:r>
      <w:r w:rsidR="00CC6960" w:rsidRPr="00A6743C">
        <w:rPr>
          <w:szCs w:val="24"/>
        </w:rPr>
        <w:t>The</w:t>
      </w:r>
      <w:r w:rsidR="00856606" w:rsidRPr="00A6743C">
        <w:rPr>
          <w:szCs w:val="24"/>
        </w:rPr>
        <w:t xml:space="preserve"> </w:t>
      </w:r>
      <w:r w:rsidR="00641DE2" w:rsidRPr="00A6743C">
        <w:rPr>
          <w:szCs w:val="24"/>
        </w:rPr>
        <w:t xml:space="preserve">State’s </w:t>
      </w:r>
      <w:r w:rsidR="004C549C" w:rsidRPr="00A6743C">
        <w:rPr>
          <w:szCs w:val="24"/>
        </w:rPr>
        <w:t xml:space="preserve">swift implementation of the reduction </w:t>
      </w:r>
      <w:r w:rsidR="00856606" w:rsidRPr="00A6743C">
        <w:rPr>
          <w:szCs w:val="24"/>
        </w:rPr>
        <w:t>without advanced analy</w:t>
      </w:r>
      <w:r w:rsidR="004C549C" w:rsidRPr="00A6743C">
        <w:rPr>
          <w:szCs w:val="24"/>
        </w:rPr>
        <w:t xml:space="preserve">sis, </w:t>
      </w:r>
      <w:r w:rsidR="00856606" w:rsidRPr="00A6743C">
        <w:rPr>
          <w:szCs w:val="24"/>
        </w:rPr>
        <w:t>individual assessment</w:t>
      </w:r>
      <w:r w:rsidR="00546C8D" w:rsidRPr="00A6743C">
        <w:rPr>
          <w:szCs w:val="24"/>
        </w:rPr>
        <w:t>s, plans for alternative services</w:t>
      </w:r>
      <w:r w:rsidR="00641DE2" w:rsidRPr="00A6743C">
        <w:rPr>
          <w:szCs w:val="24"/>
        </w:rPr>
        <w:t xml:space="preserve"> or </w:t>
      </w:r>
      <w:r w:rsidR="00546C8D" w:rsidRPr="00A6743C">
        <w:rPr>
          <w:szCs w:val="24"/>
        </w:rPr>
        <w:t xml:space="preserve">other implementation </w:t>
      </w:r>
      <w:r w:rsidR="00641DE2" w:rsidRPr="00A6743C">
        <w:rPr>
          <w:szCs w:val="24"/>
        </w:rPr>
        <w:t>plan</w:t>
      </w:r>
      <w:r w:rsidR="00DA5FA1" w:rsidRPr="00A6743C">
        <w:rPr>
          <w:szCs w:val="24"/>
        </w:rPr>
        <w:t>s</w:t>
      </w:r>
      <w:r w:rsidR="00641DE2" w:rsidRPr="00A6743C">
        <w:rPr>
          <w:szCs w:val="24"/>
        </w:rPr>
        <w:t xml:space="preserve"> </w:t>
      </w:r>
      <w:r w:rsidR="004C549C" w:rsidRPr="00A6743C">
        <w:rPr>
          <w:szCs w:val="24"/>
        </w:rPr>
        <w:t xml:space="preserve">to ensure that individuals are not placed </w:t>
      </w:r>
      <w:r w:rsidR="00641DE2" w:rsidRPr="00A6743C">
        <w:rPr>
          <w:szCs w:val="24"/>
        </w:rPr>
        <w:t>at risk of institutionalization</w:t>
      </w:r>
      <w:r w:rsidR="00DA5FA1" w:rsidRPr="00A6743C">
        <w:rPr>
          <w:szCs w:val="24"/>
        </w:rPr>
        <w:t>,</w:t>
      </w:r>
      <w:r w:rsidR="00641DE2" w:rsidRPr="00A6743C">
        <w:rPr>
          <w:szCs w:val="24"/>
        </w:rPr>
        <w:t xml:space="preserve"> undermines the State’s contention that the reductions are harmless.</w:t>
      </w:r>
      <w:r w:rsidR="00856606" w:rsidRPr="00A6743C">
        <w:rPr>
          <w:szCs w:val="24"/>
        </w:rPr>
        <w:t xml:space="preserve">  </w:t>
      </w:r>
      <w:r w:rsidRPr="00A6743C">
        <w:rPr>
          <w:szCs w:val="24"/>
        </w:rPr>
        <w:t xml:space="preserve">The State asserts that the reduction is necessary in light of budget shortfalls; however, </w:t>
      </w:r>
      <w:r w:rsidR="00C815F3" w:rsidRPr="00A6743C">
        <w:rPr>
          <w:szCs w:val="24"/>
        </w:rPr>
        <w:t xml:space="preserve">it </w:t>
      </w:r>
      <w:r w:rsidRPr="00A6743C">
        <w:rPr>
          <w:szCs w:val="24"/>
        </w:rPr>
        <w:t>admits that institutional care is more costly than providing the same care in the community</w:t>
      </w:r>
      <w:r w:rsidR="00CC6960" w:rsidRPr="00A6743C">
        <w:rPr>
          <w:szCs w:val="24"/>
        </w:rPr>
        <w:t>.</w:t>
      </w:r>
    </w:p>
    <w:p w:rsidR="001873FF" w:rsidRPr="00A6743C" w:rsidRDefault="0090216A" w:rsidP="00454F54">
      <w:pPr>
        <w:pStyle w:val="Heading1"/>
        <w:spacing w:line="480" w:lineRule="auto"/>
      </w:pPr>
      <w:r w:rsidRPr="00A6743C">
        <w:rPr>
          <w:u w:val="none"/>
        </w:rPr>
        <w:t xml:space="preserve">   </w:t>
      </w:r>
      <w:bookmarkStart w:id="2" w:name="_Toc281926335"/>
      <w:bookmarkStart w:id="3" w:name="_Toc282175626"/>
      <w:r w:rsidRPr="00A6743C">
        <w:t>summary of facts</w:t>
      </w:r>
      <w:bookmarkEnd w:id="2"/>
      <w:bookmarkEnd w:id="3"/>
    </w:p>
    <w:p w:rsidR="0090216A" w:rsidRPr="00A6743C" w:rsidRDefault="000A071B" w:rsidP="00454F54">
      <w:pPr>
        <w:pStyle w:val="Heading2"/>
        <w:spacing w:line="480" w:lineRule="auto"/>
        <w:rPr>
          <w:u w:val="none"/>
        </w:rPr>
      </w:pPr>
      <w:bookmarkStart w:id="4" w:name="_Toc281926336"/>
      <w:bookmarkStart w:id="5" w:name="_Toc282175627"/>
      <w:r w:rsidRPr="00A6743C">
        <w:t xml:space="preserve">Washington Provides </w:t>
      </w:r>
      <w:r w:rsidR="0090216A" w:rsidRPr="00A6743C">
        <w:t>Personal Care Hours</w:t>
      </w:r>
      <w:bookmarkEnd w:id="4"/>
      <w:bookmarkEnd w:id="5"/>
      <w:r w:rsidR="00C815F3" w:rsidRPr="00A6743C">
        <w:t xml:space="preserve"> </w:t>
      </w:r>
      <w:proofErr w:type="gramStart"/>
      <w:r w:rsidR="00C815F3" w:rsidRPr="00A6743C">
        <w:t>T</w:t>
      </w:r>
      <w:r w:rsidRPr="00A6743C">
        <w:t>hrough</w:t>
      </w:r>
      <w:proofErr w:type="gramEnd"/>
      <w:r w:rsidRPr="00A6743C">
        <w:t xml:space="preserve"> Several Medicaid Programs</w:t>
      </w:r>
    </w:p>
    <w:p w:rsidR="00273324" w:rsidRPr="00A6743C" w:rsidRDefault="00951435" w:rsidP="0045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A6743C">
        <w:rPr>
          <w:szCs w:val="24"/>
        </w:rPr>
        <w:t xml:space="preserve">Approximately </w:t>
      </w:r>
      <w:r w:rsidR="00F93CF6" w:rsidRPr="00A6743C">
        <w:rPr>
          <w:szCs w:val="24"/>
        </w:rPr>
        <w:t xml:space="preserve">45,000 elderly and disabled Washington residents receive Medicaid in-home personal care services </w:t>
      </w:r>
      <w:r w:rsidR="008170B5" w:rsidRPr="00A6743C">
        <w:rPr>
          <w:szCs w:val="24"/>
        </w:rPr>
        <w:t xml:space="preserve">(Susan Dreyfus Decl., DKT 124, ¶ 5, Jan. 25, 2011) </w:t>
      </w:r>
      <w:r w:rsidR="00273324" w:rsidRPr="00A6743C">
        <w:rPr>
          <w:szCs w:val="24"/>
        </w:rPr>
        <w:t>that enable them</w:t>
      </w:r>
      <w:r w:rsidR="00C2384A" w:rsidRPr="00A6743C">
        <w:rPr>
          <w:szCs w:val="24"/>
        </w:rPr>
        <w:t xml:space="preserve"> to live independently and in </w:t>
      </w:r>
      <w:r w:rsidR="00273324" w:rsidRPr="00A6743C">
        <w:rPr>
          <w:szCs w:val="24"/>
        </w:rPr>
        <w:t>community-based setting</w:t>
      </w:r>
      <w:r w:rsidR="00C2384A" w:rsidRPr="00A6743C">
        <w:rPr>
          <w:szCs w:val="24"/>
        </w:rPr>
        <w:t>s</w:t>
      </w:r>
      <w:r w:rsidR="00273324" w:rsidRPr="00A6743C">
        <w:rPr>
          <w:szCs w:val="24"/>
        </w:rPr>
        <w:t xml:space="preserve">. </w:t>
      </w:r>
      <w:r w:rsidR="00E87B06" w:rsidRPr="00A6743C">
        <w:rPr>
          <w:szCs w:val="24"/>
        </w:rPr>
        <w:t xml:space="preserve"> </w:t>
      </w:r>
      <w:r w:rsidR="00714F8A" w:rsidRPr="00A6743C">
        <w:rPr>
          <w:szCs w:val="24"/>
        </w:rPr>
        <w:t>In</w:t>
      </w:r>
      <w:r w:rsidR="00273324" w:rsidRPr="00A6743C">
        <w:rPr>
          <w:szCs w:val="24"/>
        </w:rPr>
        <w:t xml:space="preserve">-home personal care </w:t>
      </w:r>
      <w:r w:rsidR="00714F8A" w:rsidRPr="00A6743C">
        <w:rPr>
          <w:szCs w:val="24"/>
        </w:rPr>
        <w:t>attendants</w:t>
      </w:r>
      <w:r w:rsidR="00C815F3" w:rsidRPr="00A6743C">
        <w:rPr>
          <w:szCs w:val="24"/>
        </w:rPr>
        <w:t xml:space="preserve"> assist P</w:t>
      </w:r>
      <w:r w:rsidR="00273324" w:rsidRPr="00A6743C">
        <w:rPr>
          <w:szCs w:val="24"/>
        </w:rPr>
        <w:t xml:space="preserve">laintiffs with essential daily tasks including eating, bathing, cooking, cleaning, bowel care (e.g. changing a </w:t>
      </w:r>
      <w:r w:rsidR="00546C8D" w:rsidRPr="00A6743C">
        <w:t xml:space="preserve">ileostomy </w:t>
      </w:r>
      <w:r w:rsidR="00273324" w:rsidRPr="00A6743C">
        <w:rPr>
          <w:szCs w:val="24"/>
        </w:rPr>
        <w:t xml:space="preserve">bag and incontinence briefs), shopping, transferring to and from the </w:t>
      </w:r>
      <w:r w:rsidR="00273324" w:rsidRPr="00A6743C">
        <w:rPr>
          <w:szCs w:val="24"/>
        </w:rPr>
        <w:lastRenderedPageBreak/>
        <w:t>toilet and changing body positions to avoid ulcers.</w:t>
      </w:r>
      <w:r w:rsidR="009A61A4" w:rsidRPr="00A6743C">
        <w:rPr>
          <w:rStyle w:val="FootnoteReference"/>
          <w:szCs w:val="24"/>
        </w:rPr>
        <w:footnoteReference w:id="1"/>
      </w:r>
      <w:r w:rsidR="00273324" w:rsidRPr="00A6743C">
        <w:rPr>
          <w:szCs w:val="24"/>
        </w:rPr>
        <w:t xml:space="preserve"> </w:t>
      </w:r>
      <w:r w:rsidR="00714F8A" w:rsidRPr="00A6743C">
        <w:rPr>
          <w:szCs w:val="24"/>
        </w:rPr>
        <w:t xml:space="preserve"> </w:t>
      </w:r>
    </w:p>
    <w:p w:rsidR="008D32C0" w:rsidRPr="00A6743C" w:rsidRDefault="00714F8A" w:rsidP="00C815F3">
      <w:pPr>
        <w:pStyle w:val="FootnoteText"/>
        <w:spacing w:after="0" w:line="480" w:lineRule="auto"/>
        <w:ind w:left="0" w:firstLine="720"/>
        <w:contextualSpacing/>
        <w:rPr>
          <w:szCs w:val="24"/>
        </w:rPr>
      </w:pPr>
      <w:r w:rsidRPr="00A6743C">
        <w:rPr>
          <w:szCs w:val="24"/>
        </w:rPr>
        <w:t>Of the 45,000 individuals who receive Medicaid in-home personal care services</w:t>
      </w:r>
      <w:r w:rsidR="008170B5" w:rsidRPr="00A6743C">
        <w:rPr>
          <w:szCs w:val="24"/>
        </w:rPr>
        <w:t xml:space="preserve"> (Dreyfus Decl. ¶ 5)</w:t>
      </w:r>
      <w:r w:rsidRPr="00A6743C">
        <w:rPr>
          <w:szCs w:val="24"/>
        </w:rPr>
        <w:t>, over 60% receive the services through one of Washin</w:t>
      </w:r>
      <w:r w:rsidR="008170B5" w:rsidRPr="00A6743C">
        <w:rPr>
          <w:szCs w:val="24"/>
        </w:rPr>
        <w:t>gton’s Medicaid waiver programs</w:t>
      </w:r>
      <w:r w:rsidRPr="00A6743C">
        <w:rPr>
          <w:szCs w:val="24"/>
        </w:rPr>
        <w:t xml:space="preserve"> </w:t>
      </w:r>
      <w:r w:rsidR="008170B5" w:rsidRPr="00A6743C">
        <w:rPr>
          <w:szCs w:val="24"/>
        </w:rPr>
        <w:t xml:space="preserve">(Charles Reed Decl., DKT 18, ¶¶ 19-20, Dec. 20, 2010). </w:t>
      </w:r>
      <w:r w:rsidRPr="00A6743C">
        <w:rPr>
          <w:szCs w:val="24"/>
        </w:rPr>
        <w:t xml:space="preserve"> The Medicaid </w:t>
      </w:r>
      <w:r w:rsidR="004D3125" w:rsidRPr="00A6743C">
        <w:t>w</w:t>
      </w:r>
      <w:r w:rsidRPr="00A6743C">
        <w:t>aiver</w:t>
      </w:r>
      <w:r w:rsidR="00123256" w:rsidRPr="00A6743C">
        <w:rPr>
          <w:rStyle w:val="FootnoteReference"/>
        </w:rPr>
        <w:footnoteReference w:id="2"/>
      </w:r>
      <w:r w:rsidR="00546C8D" w:rsidRPr="00A6743C">
        <w:t xml:space="preserve"> program</w:t>
      </w:r>
      <w:r w:rsidRPr="00A6743C">
        <w:t xml:space="preserve"> allow</w:t>
      </w:r>
      <w:r w:rsidR="00DA5FA1" w:rsidRPr="00A6743C">
        <w:t>s</w:t>
      </w:r>
      <w:r w:rsidRPr="00A6743C">
        <w:t xml:space="preserve"> state</w:t>
      </w:r>
      <w:r w:rsidR="00B239B9" w:rsidRPr="00A6743C">
        <w:t>s to provide home and community-</w:t>
      </w:r>
      <w:r w:rsidRPr="00A6743C">
        <w:t xml:space="preserve">based services to </w:t>
      </w:r>
      <w:r w:rsidR="007704BD" w:rsidRPr="00A6743C">
        <w:t xml:space="preserve">the </w:t>
      </w:r>
      <w:r w:rsidR="00AC685F" w:rsidRPr="00A6743C">
        <w:t xml:space="preserve">elderly and </w:t>
      </w:r>
      <w:r w:rsidRPr="00A6743C">
        <w:t>individuals</w:t>
      </w:r>
      <w:r w:rsidR="00AC685F" w:rsidRPr="00A6743C">
        <w:t xml:space="preserve"> with disabilities </w:t>
      </w:r>
      <w:r w:rsidR="00DA5FA1" w:rsidRPr="00A6743C">
        <w:t xml:space="preserve">for </w:t>
      </w:r>
      <w:r w:rsidR="00AC685F" w:rsidRPr="00A6743C">
        <w:t xml:space="preserve">whom “there has been a determination that but for the provision of such services the individuals would require the level of care provided in an hospital or a nursing facility or intermediate care facility for </w:t>
      </w:r>
      <w:r w:rsidR="009D2FAE" w:rsidRPr="00A6743C">
        <w:t>[individuals with intellectual disabilities</w:t>
      </w:r>
      <w:r w:rsidR="00146E14" w:rsidRPr="00A6743C">
        <w:rPr>
          <w:rStyle w:val="FootnoteReference"/>
        </w:rPr>
        <w:footnoteReference w:id="3"/>
      </w:r>
      <w:r w:rsidR="009D2FAE" w:rsidRPr="00A6743C">
        <w:t>]</w:t>
      </w:r>
      <w:r w:rsidR="007704BD" w:rsidRPr="00A6743C">
        <w:t>.</w:t>
      </w:r>
      <w:r w:rsidR="00AC685F" w:rsidRPr="00A6743C">
        <w:t xml:space="preserve">”  </w:t>
      </w:r>
      <w:r w:rsidRPr="00A6743C">
        <w:rPr>
          <w:szCs w:val="24"/>
        </w:rPr>
        <w:t>42 U.S.C. § 1396</w:t>
      </w:r>
      <w:r w:rsidR="00AC685F" w:rsidRPr="00A6743C">
        <w:rPr>
          <w:szCs w:val="24"/>
        </w:rPr>
        <w:t>n</w:t>
      </w:r>
      <w:r w:rsidRPr="00A6743C">
        <w:rPr>
          <w:szCs w:val="24"/>
        </w:rPr>
        <w:t>(c</w:t>
      </w:r>
      <w:proofErr w:type="gramStart"/>
      <w:r w:rsidRPr="00A6743C">
        <w:rPr>
          <w:szCs w:val="24"/>
        </w:rPr>
        <w:t>)</w:t>
      </w:r>
      <w:r w:rsidR="00CC538A" w:rsidRPr="00A6743C">
        <w:rPr>
          <w:szCs w:val="24"/>
        </w:rPr>
        <w:t>(</w:t>
      </w:r>
      <w:proofErr w:type="gramEnd"/>
      <w:r w:rsidR="00CC538A" w:rsidRPr="00A6743C">
        <w:rPr>
          <w:szCs w:val="24"/>
        </w:rPr>
        <w:t>1); 42 U.S.C. § 1396(d)(1)</w:t>
      </w:r>
      <w:r w:rsidR="00123256" w:rsidRPr="00A6743C">
        <w:rPr>
          <w:szCs w:val="24"/>
        </w:rPr>
        <w:t>.  States are required to perform an initial evaluation and at least annual evaluations to determine that “but for t</w:t>
      </w:r>
      <w:r w:rsidR="004D3125" w:rsidRPr="00A6743C">
        <w:rPr>
          <w:szCs w:val="24"/>
        </w:rPr>
        <w:t xml:space="preserve">he provision of waiver services” the individual would be institutionalized. </w:t>
      </w:r>
      <w:r w:rsidR="00123256" w:rsidRPr="00A6743C">
        <w:rPr>
          <w:szCs w:val="24"/>
        </w:rPr>
        <w:t xml:space="preserve"> </w:t>
      </w:r>
      <w:proofErr w:type="gramStart"/>
      <w:r w:rsidR="00123256" w:rsidRPr="00A6743C">
        <w:rPr>
          <w:szCs w:val="24"/>
        </w:rPr>
        <w:t>42 C.F.R. § 441.302(c).</w:t>
      </w:r>
      <w:proofErr w:type="gramEnd"/>
      <w:r w:rsidR="00123256" w:rsidRPr="00A6743C">
        <w:rPr>
          <w:szCs w:val="24"/>
        </w:rPr>
        <w:t xml:space="preserve">  Thus, for the approximately 30,000 class members who receive personal care services through one of Washington’s waiver programs, the State has already made the </w:t>
      </w:r>
      <w:r w:rsidR="004D3125" w:rsidRPr="00A6743C">
        <w:rPr>
          <w:szCs w:val="24"/>
        </w:rPr>
        <w:t>determination</w:t>
      </w:r>
      <w:r w:rsidR="00123256" w:rsidRPr="00A6743C">
        <w:rPr>
          <w:szCs w:val="24"/>
        </w:rPr>
        <w:t xml:space="preserve"> that </w:t>
      </w:r>
      <w:r w:rsidR="004D3125" w:rsidRPr="00A6743C">
        <w:rPr>
          <w:szCs w:val="24"/>
        </w:rPr>
        <w:t>these services are necessary to prevent their institutionalization</w:t>
      </w:r>
      <w:r w:rsidR="00DA5FA1" w:rsidRPr="00A6743C">
        <w:rPr>
          <w:szCs w:val="24"/>
        </w:rPr>
        <w:t xml:space="preserve">.  The State </w:t>
      </w:r>
      <w:r w:rsidR="00B239B9" w:rsidRPr="00A6743C">
        <w:rPr>
          <w:szCs w:val="24"/>
        </w:rPr>
        <w:t>must further provide</w:t>
      </w:r>
      <w:r w:rsidR="004D3125" w:rsidRPr="00A6743C">
        <w:rPr>
          <w:szCs w:val="24"/>
        </w:rPr>
        <w:t xml:space="preserve"> assurances to the Centers for </w:t>
      </w:r>
      <w:r w:rsidR="00381360" w:rsidRPr="00A6743C">
        <w:rPr>
          <w:szCs w:val="24"/>
        </w:rPr>
        <w:t xml:space="preserve">Medicare and </w:t>
      </w:r>
      <w:r w:rsidR="004D3125" w:rsidRPr="00A6743C">
        <w:rPr>
          <w:szCs w:val="24"/>
        </w:rPr>
        <w:t xml:space="preserve">Medicaid Services (“CMS”) of the same.  </w:t>
      </w:r>
      <w:r w:rsidR="00B239B9" w:rsidRPr="00A6743C">
        <w:rPr>
          <w:i/>
          <w:szCs w:val="24"/>
        </w:rPr>
        <w:t>Id</w:t>
      </w:r>
      <w:r w:rsidR="00B239B9" w:rsidRPr="00A6743C">
        <w:rPr>
          <w:szCs w:val="24"/>
        </w:rPr>
        <w:t>.</w:t>
      </w:r>
    </w:p>
    <w:p w:rsidR="00E00688" w:rsidRPr="00A6743C" w:rsidRDefault="004D3125" w:rsidP="008D3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A6743C">
        <w:rPr>
          <w:szCs w:val="24"/>
        </w:rPr>
        <w:t>The remaining class members receive</w:t>
      </w:r>
      <w:r w:rsidR="00C24A65" w:rsidRPr="00A6743C">
        <w:rPr>
          <w:szCs w:val="24"/>
        </w:rPr>
        <w:t xml:space="preserve"> personal care services through</w:t>
      </w:r>
      <w:r w:rsidR="00984084" w:rsidRPr="00A6743C">
        <w:rPr>
          <w:szCs w:val="24"/>
        </w:rPr>
        <w:t xml:space="preserve"> Washington’s Medicaid state plan. </w:t>
      </w:r>
      <w:r w:rsidRPr="00A6743C">
        <w:rPr>
          <w:szCs w:val="24"/>
        </w:rPr>
        <w:t xml:space="preserve"> (</w:t>
      </w:r>
      <w:r w:rsidR="00C815F3" w:rsidRPr="00A6743C">
        <w:rPr>
          <w:szCs w:val="24"/>
        </w:rPr>
        <w:t>Reed Decl.</w:t>
      </w:r>
      <w:r w:rsidR="00611845" w:rsidRPr="00A6743C">
        <w:rPr>
          <w:szCs w:val="24"/>
        </w:rPr>
        <w:t xml:space="preserve"> ¶¶</w:t>
      </w:r>
      <w:r w:rsidR="00E87B06" w:rsidRPr="00A6743C">
        <w:rPr>
          <w:szCs w:val="24"/>
        </w:rPr>
        <w:t xml:space="preserve"> </w:t>
      </w:r>
      <w:r w:rsidR="00611845" w:rsidRPr="00A6743C">
        <w:rPr>
          <w:szCs w:val="24"/>
        </w:rPr>
        <w:t xml:space="preserve">19-20.)  </w:t>
      </w:r>
      <w:r w:rsidR="00DC65E0" w:rsidRPr="00A6743C">
        <w:rPr>
          <w:szCs w:val="24"/>
        </w:rPr>
        <w:t xml:space="preserve">The </w:t>
      </w:r>
      <w:r w:rsidR="00456E37" w:rsidRPr="00A6743C">
        <w:rPr>
          <w:szCs w:val="24"/>
        </w:rPr>
        <w:t xml:space="preserve">Medicaid </w:t>
      </w:r>
      <w:r w:rsidR="008529F2" w:rsidRPr="00A6743C">
        <w:rPr>
          <w:szCs w:val="24"/>
        </w:rPr>
        <w:t>Personal C</w:t>
      </w:r>
      <w:r w:rsidR="00DC65E0" w:rsidRPr="00A6743C">
        <w:rPr>
          <w:szCs w:val="24"/>
        </w:rPr>
        <w:t xml:space="preserve">are program </w:t>
      </w:r>
      <w:r w:rsidR="00456E37" w:rsidRPr="00A6743C">
        <w:rPr>
          <w:szCs w:val="24"/>
        </w:rPr>
        <w:t xml:space="preserve">(“MPC”) </w:t>
      </w:r>
      <w:r w:rsidR="00DC65E0" w:rsidRPr="00A6743C">
        <w:rPr>
          <w:szCs w:val="24"/>
        </w:rPr>
        <w:t xml:space="preserve">is </w:t>
      </w:r>
      <w:r w:rsidR="00DC65E0" w:rsidRPr="00A6743C">
        <w:rPr>
          <w:szCs w:val="24"/>
        </w:rPr>
        <w:lastRenderedPageBreak/>
        <w:t>“designed to help [individuals] remain in the community</w:t>
      </w:r>
      <w:r w:rsidR="00456E37" w:rsidRPr="00A6743C">
        <w:rPr>
          <w:szCs w:val="24"/>
        </w:rPr>
        <w:t>” and “offers an alternative to nursing home care</w:t>
      </w:r>
      <w:r w:rsidR="00E22532" w:rsidRPr="00A6743C">
        <w:rPr>
          <w:szCs w:val="24"/>
        </w:rPr>
        <w:t>.</w:t>
      </w:r>
      <w:r w:rsidR="00456E37" w:rsidRPr="00A6743C">
        <w:rPr>
          <w:szCs w:val="24"/>
        </w:rPr>
        <w:t>”</w:t>
      </w:r>
      <w:r w:rsidR="00667B0C" w:rsidRPr="00A6743C">
        <w:rPr>
          <w:rStyle w:val="FootnoteReference"/>
          <w:szCs w:val="24"/>
        </w:rPr>
        <w:t xml:space="preserve"> </w:t>
      </w:r>
      <w:r w:rsidR="00667B0C" w:rsidRPr="00A6743C">
        <w:rPr>
          <w:rStyle w:val="FootnoteReference"/>
          <w:szCs w:val="24"/>
        </w:rPr>
        <w:footnoteReference w:id="4"/>
      </w:r>
      <w:r w:rsidR="00456E37" w:rsidRPr="00A6743C">
        <w:rPr>
          <w:szCs w:val="24"/>
        </w:rPr>
        <w:t xml:space="preserve">  W</w:t>
      </w:r>
      <w:r w:rsidR="007704BD" w:rsidRPr="00A6743C">
        <w:rPr>
          <w:szCs w:val="24"/>
        </w:rPr>
        <w:t xml:space="preserve">ash. </w:t>
      </w:r>
      <w:r w:rsidR="00456E37" w:rsidRPr="00A6743C">
        <w:rPr>
          <w:szCs w:val="24"/>
        </w:rPr>
        <w:t>A</w:t>
      </w:r>
      <w:r w:rsidR="007704BD" w:rsidRPr="00A6743C">
        <w:rPr>
          <w:szCs w:val="24"/>
        </w:rPr>
        <w:t xml:space="preserve">dmin. </w:t>
      </w:r>
      <w:proofErr w:type="gramStart"/>
      <w:r w:rsidR="00456E37" w:rsidRPr="00A6743C">
        <w:rPr>
          <w:szCs w:val="24"/>
        </w:rPr>
        <w:t>C</w:t>
      </w:r>
      <w:r w:rsidR="007704BD" w:rsidRPr="00A6743C">
        <w:rPr>
          <w:szCs w:val="24"/>
        </w:rPr>
        <w:t>ode</w:t>
      </w:r>
      <w:r w:rsidR="00456E37" w:rsidRPr="00A6743C">
        <w:rPr>
          <w:szCs w:val="24"/>
        </w:rPr>
        <w:t xml:space="preserve"> </w:t>
      </w:r>
      <w:r w:rsidR="00D7539D" w:rsidRPr="00A6743C">
        <w:rPr>
          <w:szCs w:val="24"/>
        </w:rPr>
        <w:t xml:space="preserve">§ </w:t>
      </w:r>
      <w:r w:rsidR="00456E37" w:rsidRPr="00A6743C">
        <w:rPr>
          <w:szCs w:val="24"/>
        </w:rPr>
        <w:t>388-106-0015</w:t>
      </w:r>
      <w:r w:rsidR="007704BD" w:rsidRPr="00A6743C">
        <w:rPr>
          <w:szCs w:val="24"/>
        </w:rPr>
        <w:t xml:space="preserve"> (2010)</w:t>
      </w:r>
      <w:r w:rsidR="00456E37" w:rsidRPr="00A6743C">
        <w:rPr>
          <w:szCs w:val="24"/>
        </w:rPr>
        <w:t>.</w:t>
      </w:r>
      <w:proofErr w:type="gramEnd"/>
      <w:r w:rsidR="00456E37" w:rsidRPr="00A6743C">
        <w:rPr>
          <w:szCs w:val="24"/>
        </w:rPr>
        <w:t xml:space="preserve"> </w:t>
      </w:r>
      <w:r w:rsidR="00DC65E0" w:rsidRPr="00A6743C">
        <w:rPr>
          <w:szCs w:val="24"/>
        </w:rPr>
        <w:t xml:space="preserve"> </w:t>
      </w:r>
      <w:r w:rsidR="00611845" w:rsidRPr="00A6743C">
        <w:rPr>
          <w:szCs w:val="24"/>
        </w:rPr>
        <w:t xml:space="preserve">In order to qualify for the </w:t>
      </w:r>
      <w:r w:rsidR="008529F2" w:rsidRPr="00A6743C">
        <w:rPr>
          <w:szCs w:val="24"/>
        </w:rPr>
        <w:t>MPC program</w:t>
      </w:r>
      <w:r w:rsidR="00611845" w:rsidRPr="00A6743C">
        <w:rPr>
          <w:szCs w:val="24"/>
        </w:rPr>
        <w:t xml:space="preserve">, </w:t>
      </w:r>
      <w:r w:rsidR="00E00688" w:rsidRPr="00A6743C">
        <w:rPr>
          <w:szCs w:val="24"/>
        </w:rPr>
        <w:t>the individual must have unmet or partially unmet needs in Activities of Daily Living (“ADL”) including, for example, eating, toileting, bathing, dressing, transfer</w:t>
      </w:r>
      <w:r w:rsidR="005F5D3A" w:rsidRPr="00A6743C">
        <w:rPr>
          <w:szCs w:val="24"/>
        </w:rPr>
        <w:t>ring</w:t>
      </w:r>
      <w:r w:rsidR="00E00688" w:rsidRPr="00A6743C">
        <w:rPr>
          <w:szCs w:val="24"/>
        </w:rPr>
        <w:t>, medication management, and personal hygiene.  W</w:t>
      </w:r>
      <w:r w:rsidR="007704BD" w:rsidRPr="00A6743C">
        <w:rPr>
          <w:szCs w:val="24"/>
        </w:rPr>
        <w:t xml:space="preserve">ash. </w:t>
      </w:r>
      <w:r w:rsidR="00E00688" w:rsidRPr="00A6743C">
        <w:rPr>
          <w:szCs w:val="24"/>
        </w:rPr>
        <w:t>A</w:t>
      </w:r>
      <w:r w:rsidR="007704BD" w:rsidRPr="00A6743C">
        <w:rPr>
          <w:szCs w:val="24"/>
        </w:rPr>
        <w:t xml:space="preserve">dmin. </w:t>
      </w:r>
      <w:proofErr w:type="gramStart"/>
      <w:r w:rsidR="00E00688" w:rsidRPr="00A6743C">
        <w:rPr>
          <w:szCs w:val="24"/>
        </w:rPr>
        <w:t>C</w:t>
      </w:r>
      <w:r w:rsidR="007704BD" w:rsidRPr="00A6743C">
        <w:rPr>
          <w:szCs w:val="24"/>
        </w:rPr>
        <w:t>ode</w:t>
      </w:r>
      <w:r w:rsidR="00E00688" w:rsidRPr="00A6743C">
        <w:rPr>
          <w:szCs w:val="24"/>
        </w:rPr>
        <w:t xml:space="preserve"> §</w:t>
      </w:r>
      <w:r w:rsidR="005F5D3A" w:rsidRPr="00A6743C">
        <w:rPr>
          <w:szCs w:val="24"/>
        </w:rPr>
        <w:t xml:space="preserve"> </w:t>
      </w:r>
      <w:r w:rsidR="00E00688" w:rsidRPr="00A6743C">
        <w:rPr>
          <w:szCs w:val="24"/>
        </w:rPr>
        <w:t>388-106-0210</w:t>
      </w:r>
      <w:r w:rsidR="007704BD" w:rsidRPr="00A6743C">
        <w:rPr>
          <w:szCs w:val="24"/>
        </w:rPr>
        <w:t xml:space="preserve"> (2010)</w:t>
      </w:r>
      <w:r w:rsidR="00E00688" w:rsidRPr="00A6743C">
        <w:rPr>
          <w:szCs w:val="24"/>
        </w:rPr>
        <w:t>.</w:t>
      </w:r>
      <w:proofErr w:type="gramEnd"/>
      <w:r w:rsidR="00E00688" w:rsidRPr="00A6743C">
        <w:rPr>
          <w:szCs w:val="24"/>
        </w:rPr>
        <w:t xml:space="preserve">  </w:t>
      </w:r>
      <w:r w:rsidR="009275AB" w:rsidRPr="00A6743C">
        <w:t>T</w:t>
      </w:r>
      <w:r w:rsidR="008529F2" w:rsidRPr="00A6743C">
        <w:t>he</w:t>
      </w:r>
      <w:r w:rsidR="00E00688" w:rsidRPr="00A6743C">
        <w:rPr>
          <w:szCs w:val="24"/>
        </w:rPr>
        <w:t xml:space="preserve"> vast majority of individuals receiving personal care services through the </w:t>
      </w:r>
      <w:r w:rsidR="008529F2" w:rsidRPr="00A6743C">
        <w:rPr>
          <w:szCs w:val="24"/>
        </w:rPr>
        <w:t>MPC program also</w:t>
      </w:r>
      <w:r w:rsidR="00E00688" w:rsidRPr="00A6743C">
        <w:rPr>
          <w:szCs w:val="24"/>
        </w:rPr>
        <w:t xml:space="preserve"> </w:t>
      </w:r>
      <w:r w:rsidR="008529F2" w:rsidRPr="00A6743C">
        <w:rPr>
          <w:szCs w:val="24"/>
        </w:rPr>
        <w:t xml:space="preserve">meet </w:t>
      </w:r>
      <w:r w:rsidR="00E00688" w:rsidRPr="00A6743C">
        <w:rPr>
          <w:szCs w:val="24"/>
        </w:rPr>
        <w:t xml:space="preserve">the eligibility criteria for institutional care.  </w:t>
      </w:r>
      <w:proofErr w:type="gramStart"/>
      <w:r w:rsidR="00E00688" w:rsidRPr="00A6743C">
        <w:rPr>
          <w:szCs w:val="24"/>
        </w:rPr>
        <w:t>(</w:t>
      </w:r>
      <w:r w:rsidR="00CC6960" w:rsidRPr="00A6743C">
        <w:rPr>
          <w:szCs w:val="24"/>
        </w:rPr>
        <w:t>Reed</w:t>
      </w:r>
      <w:r w:rsidR="00C815F3" w:rsidRPr="00A6743C">
        <w:rPr>
          <w:szCs w:val="24"/>
        </w:rPr>
        <w:t xml:space="preserve"> Decl. ¶ </w:t>
      </w:r>
      <w:r w:rsidR="00CC6960" w:rsidRPr="00A6743C">
        <w:rPr>
          <w:szCs w:val="24"/>
        </w:rPr>
        <w:t>19a.)</w:t>
      </w:r>
      <w:proofErr w:type="gramEnd"/>
    </w:p>
    <w:p w:rsidR="00B47D11" w:rsidRPr="00A6743C" w:rsidRDefault="009A61A4" w:rsidP="008D3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A6743C">
        <w:rPr>
          <w:szCs w:val="24"/>
        </w:rPr>
        <w:t>Finally,</w:t>
      </w:r>
      <w:r w:rsidR="00B47D11" w:rsidRPr="00A6743C">
        <w:rPr>
          <w:szCs w:val="24"/>
        </w:rPr>
        <w:t xml:space="preserve"> the State must also determine that the personal care services are medically necessary.   Wash. Admin. Code 388-501-0050 (4)</w:t>
      </w:r>
      <w:r w:rsidR="00B47D11" w:rsidRPr="00A6743C">
        <w:t xml:space="preserve">.  </w:t>
      </w:r>
      <w:r w:rsidR="00B47D11" w:rsidRPr="00A6743C">
        <w:rPr>
          <w:szCs w:val="24"/>
        </w:rPr>
        <w:t>A medically necessary service is one that is “reasonably</w:t>
      </w:r>
      <w:r w:rsidR="00B47D11" w:rsidRPr="00A6743C">
        <w:t xml:space="preserve"> calculated to prevent, diagnose, correct, cure, alleviate or prevent worsening of conditions in the client that endanger life, or cause suffering or pain, or result in an illness or infirmity, or threaten to cause or aggravate a handicap, or cause physical deformity or malfunction.”  Wash. Admin. Code 388-500-0005. </w:t>
      </w:r>
    </w:p>
    <w:p w:rsidR="0090216A" w:rsidRPr="00A6743C" w:rsidRDefault="0090216A" w:rsidP="002D4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Cs w:val="24"/>
        </w:rPr>
      </w:pPr>
      <w:r w:rsidRPr="00A6743C">
        <w:rPr>
          <w:szCs w:val="24"/>
        </w:rPr>
        <w:t>Since approximately 2003</w:t>
      </w:r>
      <w:r w:rsidR="00C24A65" w:rsidRPr="00A6743C">
        <w:rPr>
          <w:szCs w:val="24"/>
        </w:rPr>
        <w:t xml:space="preserve"> (Bea-</w:t>
      </w:r>
      <w:proofErr w:type="spellStart"/>
      <w:r w:rsidR="00C24A65" w:rsidRPr="00A6743C">
        <w:rPr>
          <w:szCs w:val="24"/>
        </w:rPr>
        <w:t>Alise</w:t>
      </w:r>
      <w:proofErr w:type="spellEnd"/>
      <w:r w:rsidR="00C24A65" w:rsidRPr="00A6743C">
        <w:rPr>
          <w:szCs w:val="24"/>
        </w:rPr>
        <w:t xml:space="preserve"> Rector Decl., DKT 125, ¶ 12, Jan. 12, 2011)</w:t>
      </w:r>
      <w:r w:rsidRPr="00A6743C">
        <w:rPr>
          <w:szCs w:val="24"/>
        </w:rPr>
        <w:t xml:space="preserve">, </w:t>
      </w:r>
      <w:r w:rsidR="00984084" w:rsidRPr="00A6743C">
        <w:rPr>
          <w:szCs w:val="24"/>
        </w:rPr>
        <w:t>the Department of Social and Health Services (</w:t>
      </w:r>
      <w:r w:rsidRPr="00A6743C">
        <w:rPr>
          <w:szCs w:val="24"/>
        </w:rPr>
        <w:t>DSHS</w:t>
      </w:r>
      <w:r w:rsidR="00984084" w:rsidRPr="00A6743C">
        <w:rPr>
          <w:szCs w:val="24"/>
        </w:rPr>
        <w:t>)</w:t>
      </w:r>
      <w:r w:rsidRPr="00A6743C">
        <w:rPr>
          <w:szCs w:val="24"/>
        </w:rPr>
        <w:t xml:space="preserve"> has utilized the Comprehensive Reporting Evaluation (CARE) system in order to assess individual needs and determine the number of in-home personal care hours that beneficiaries will receive.  </w:t>
      </w:r>
      <w:proofErr w:type="gramStart"/>
      <w:r w:rsidRPr="00A6743C">
        <w:rPr>
          <w:szCs w:val="24"/>
        </w:rPr>
        <w:t>(Penny Black</w:t>
      </w:r>
      <w:r w:rsidR="005F5D3A" w:rsidRPr="00A6743C">
        <w:rPr>
          <w:szCs w:val="24"/>
        </w:rPr>
        <w:t xml:space="preserve"> Decl.</w:t>
      </w:r>
      <w:r w:rsidRPr="00A6743C">
        <w:rPr>
          <w:szCs w:val="24"/>
        </w:rPr>
        <w:t>, DKT 19, ¶¶ 6-9</w:t>
      </w:r>
      <w:r w:rsidR="00FC4BF4" w:rsidRPr="00A6743C">
        <w:rPr>
          <w:szCs w:val="24"/>
        </w:rPr>
        <w:t>, Dec. 22, 2010</w:t>
      </w:r>
      <w:r w:rsidRPr="00A6743C">
        <w:rPr>
          <w:szCs w:val="24"/>
        </w:rPr>
        <w:t>; Reed Dec</w:t>
      </w:r>
      <w:r w:rsidR="00DE0349" w:rsidRPr="00A6743C">
        <w:rPr>
          <w:szCs w:val="24"/>
        </w:rPr>
        <w:t>l</w:t>
      </w:r>
      <w:r w:rsidRPr="00A6743C">
        <w:rPr>
          <w:szCs w:val="24"/>
        </w:rPr>
        <w:t>. ¶¶</w:t>
      </w:r>
      <w:r w:rsidR="00C815F3" w:rsidRPr="00A6743C">
        <w:rPr>
          <w:szCs w:val="24"/>
        </w:rPr>
        <w:t xml:space="preserve"> </w:t>
      </w:r>
      <w:r w:rsidRPr="00A6743C">
        <w:rPr>
          <w:szCs w:val="24"/>
        </w:rPr>
        <w:t>26-28, 32.)</w:t>
      </w:r>
      <w:proofErr w:type="gramEnd"/>
      <w:r w:rsidRPr="00A6743C">
        <w:rPr>
          <w:szCs w:val="24"/>
        </w:rPr>
        <w:t xml:space="preserve">  The CARE assessment relies upon in-person evaluations and is based upon standardized screening tools that have been proven to increase the </w:t>
      </w:r>
      <w:r w:rsidR="00763600" w:rsidRPr="00A6743C">
        <w:rPr>
          <w:szCs w:val="24"/>
        </w:rPr>
        <w:lastRenderedPageBreak/>
        <w:t>assessments’ reliability and accuracy</w:t>
      </w:r>
      <w:r w:rsidRPr="00A6743C">
        <w:rPr>
          <w:szCs w:val="24"/>
        </w:rPr>
        <w:t xml:space="preserve">.  </w:t>
      </w:r>
      <w:proofErr w:type="gramStart"/>
      <w:r w:rsidRPr="00A6743C">
        <w:rPr>
          <w:szCs w:val="24"/>
        </w:rPr>
        <w:t>(Black Dec</w:t>
      </w:r>
      <w:r w:rsidR="00DE0349" w:rsidRPr="00A6743C">
        <w:rPr>
          <w:szCs w:val="24"/>
        </w:rPr>
        <w:t>l</w:t>
      </w:r>
      <w:r w:rsidRPr="00A6743C">
        <w:rPr>
          <w:szCs w:val="24"/>
        </w:rPr>
        <w:t>. ¶¶</w:t>
      </w:r>
      <w:r w:rsidR="00FC4BF4" w:rsidRPr="00A6743C">
        <w:rPr>
          <w:szCs w:val="24"/>
        </w:rPr>
        <w:t xml:space="preserve"> </w:t>
      </w:r>
      <w:r w:rsidRPr="00A6743C">
        <w:rPr>
          <w:szCs w:val="24"/>
        </w:rPr>
        <w:t>8-12, 18, 20-21, 25</w:t>
      </w:r>
      <w:r w:rsidR="00FC4BF4" w:rsidRPr="00A6743C">
        <w:rPr>
          <w:szCs w:val="24"/>
        </w:rPr>
        <w:t>.</w:t>
      </w:r>
      <w:r w:rsidRPr="00A6743C">
        <w:rPr>
          <w:szCs w:val="24"/>
        </w:rPr>
        <w:t>)</w:t>
      </w:r>
      <w:proofErr w:type="gramEnd"/>
      <w:r w:rsidRPr="00A6743C">
        <w:rPr>
          <w:szCs w:val="24"/>
        </w:rPr>
        <w:t xml:space="preserve">  The CARE assessment occurs each year, or when there is a </w:t>
      </w:r>
      <w:r w:rsidR="009275AB" w:rsidRPr="00A6743C">
        <w:rPr>
          <w:szCs w:val="24"/>
        </w:rPr>
        <w:t xml:space="preserve">significant change to the individual’s </w:t>
      </w:r>
      <w:r w:rsidR="007704BD" w:rsidRPr="00A6743C">
        <w:rPr>
          <w:szCs w:val="24"/>
        </w:rPr>
        <w:t>ability to care for his/her self</w:t>
      </w:r>
      <w:r w:rsidR="00984084" w:rsidRPr="00A6743C">
        <w:rPr>
          <w:szCs w:val="24"/>
        </w:rPr>
        <w:t xml:space="preserve">.  </w:t>
      </w:r>
      <w:r w:rsidR="009275AB" w:rsidRPr="00A6743C">
        <w:rPr>
          <w:szCs w:val="24"/>
        </w:rPr>
        <w:t>W</w:t>
      </w:r>
      <w:r w:rsidR="007704BD" w:rsidRPr="00A6743C">
        <w:rPr>
          <w:szCs w:val="24"/>
        </w:rPr>
        <w:t xml:space="preserve">ash. </w:t>
      </w:r>
      <w:r w:rsidR="009275AB" w:rsidRPr="00A6743C">
        <w:rPr>
          <w:szCs w:val="24"/>
        </w:rPr>
        <w:t>A</w:t>
      </w:r>
      <w:r w:rsidR="007704BD" w:rsidRPr="00A6743C">
        <w:rPr>
          <w:szCs w:val="24"/>
        </w:rPr>
        <w:t xml:space="preserve">dmin. </w:t>
      </w:r>
      <w:proofErr w:type="gramStart"/>
      <w:r w:rsidR="009275AB" w:rsidRPr="00A6743C">
        <w:rPr>
          <w:szCs w:val="24"/>
        </w:rPr>
        <w:t>C</w:t>
      </w:r>
      <w:r w:rsidR="007704BD" w:rsidRPr="00A6743C">
        <w:rPr>
          <w:szCs w:val="24"/>
        </w:rPr>
        <w:t>ode</w:t>
      </w:r>
      <w:r w:rsidR="009275AB" w:rsidRPr="00A6743C">
        <w:rPr>
          <w:szCs w:val="24"/>
        </w:rPr>
        <w:t xml:space="preserve"> § 388-106-0050</w:t>
      </w:r>
      <w:r w:rsidR="007704BD" w:rsidRPr="00A6743C">
        <w:rPr>
          <w:szCs w:val="24"/>
        </w:rPr>
        <w:t xml:space="preserve"> (2010)</w:t>
      </w:r>
      <w:r w:rsidR="009275AB" w:rsidRPr="00A6743C">
        <w:rPr>
          <w:szCs w:val="24"/>
        </w:rPr>
        <w:t>.</w:t>
      </w:r>
      <w:proofErr w:type="gramEnd"/>
      <w:r w:rsidR="00984084" w:rsidRPr="00A6743C">
        <w:rPr>
          <w:szCs w:val="24"/>
        </w:rPr>
        <w:t xml:space="preserve">  The CARE tool is used to determine the number of personal care hours that individual</w:t>
      </w:r>
      <w:r w:rsidR="00B239B9" w:rsidRPr="00A6743C">
        <w:rPr>
          <w:szCs w:val="24"/>
        </w:rPr>
        <w:t>s</w:t>
      </w:r>
      <w:r w:rsidR="00984084" w:rsidRPr="00A6743C">
        <w:rPr>
          <w:szCs w:val="24"/>
        </w:rPr>
        <w:t xml:space="preserve"> will receive, </w:t>
      </w:r>
      <w:r w:rsidR="00AA5155" w:rsidRPr="00A6743C">
        <w:rPr>
          <w:szCs w:val="24"/>
        </w:rPr>
        <w:t xml:space="preserve">and </w:t>
      </w:r>
      <w:r w:rsidR="00984084" w:rsidRPr="00A6743C">
        <w:rPr>
          <w:szCs w:val="24"/>
        </w:rPr>
        <w:t xml:space="preserve">whether they receive services through a Medicaid waiver program or the Medicaid state plan.  </w:t>
      </w:r>
      <w:r w:rsidR="009275AB" w:rsidRPr="00A6743C">
        <w:rPr>
          <w:szCs w:val="24"/>
        </w:rPr>
        <w:t>W</w:t>
      </w:r>
      <w:r w:rsidR="007704BD" w:rsidRPr="00A6743C">
        <w:rPr>
          <w:szCs w:val="24"/>
        </w:rPr>
        <w:t xml:space="preserve">ash. </w:t>
      </w:r>
      <w:r w:rsidR="009275AB" w:rsidRPr="00A6743C">
        <w:rPr>
          <w:szCs w:val="24"/>
        </w:rPr>
        <w:t>A</w:t>
      </w:r>
      <w:r w:rsidR="007704BD" w:rsidRPr="00A6743C">
        <w:rPr>
          <w:szCs w:val="24"/>
        </w:rPr>
        <w:t xml:space="preserve">dmin. </w:t>
      </w:r>
      <w:proofErr w:type="gramStart"/>
      <w:r w:rsidR="009275AB" w:rsidRPr="00A6743C">
        <w:rPr>
          <w:szCs w:val="24"/>
        </w:rPr>
        <w:t>C</w:t>
      </w:r>
      <w:r w:rsidR="007704BD" w:rsidRPr="00A6743C">
        <w:rPr>
          <w:szCs w:val="24"/>
        </w:rPr>
        <w:t>ode</w:t>
      </w:r>
      <w:r w:rsidR="009275AB" w:rsidRPr="00A6743C">
        <w:rPr>
          <w:szCs w:val="24"/>
        </w:rPr>
        <w:t xml:space="preserve"> § 388-106-0070</w:t>
      </w:r>
      <w:r w:rsidR="007704BD" w:rsidRPr="00A6743C">
        <w:rPr>
          <w:szCs w:val="24"/>
        </w:rPr>
        <w:t xml:space="preserve"> (2010)</w:t>
      </w:r>
      <w:r w:rsidR="009275AB" w:rsidRPr="00A6743C">
        <w:rPr>
          <w:szCs w:val="24"/>
        </w:rPr>
        <w:t>.</w:t>
      </w:r>
      <w:proofErr w:type="gramEnd"/>
    </w:p>
    <w:p w:rsidR="0090216A" w:rsidRPr="00A6743C" w:rsidRDefault="0090216A" w:rsidP="002D473C">
      <w:pPr>
        <w:pStyle w:val="Heading2"/>
        <w:spacing w:line="240" w:lineRule="auto"/>
      </w:pPr>
      <w:bookmarkStart w:id="6" w:name="_Toc281926337"/>
      <w:bookmarkStart w:id="7" w:name="_Toc282175628"/>
      <w:r w:rsidRPr="00A6743C">
        <w:t>Plaintiffs</w:t>
      </w:r>
      <w:bookmarkEnd w:id="6"/>
      <w:bookmarkEnd w:id="7"/>
      <w:r w:rsidR="00546C8D" w:rsidRPr="00A6743C">
        <w:t xml:space="preserve"> Reside in the Community and Depend </w:t>
      </w:r>
      <w:r w:rsidR="00AA5155" w:rsidRPr="00A6743C">
        <w:t>u</w:t>
      </w:r>
      <w:r w:rsidR="00546C8D" w:rsidRPr="00A6743C">
        <w:t xml:space="preserve">pon Personal Care Services for </w:t>
      </w:r>
      <w:r w:rsidR="00AA5155" w:rsidRPr="00A6743C">
        <w:t>T</w:t>
      </w:r>
      <w:r w:rsidR="00546C8D" w:rsidRPr="00A6743C">
        <w:t>heir Essential Needs</w:t>
      </w:r>
    </w:p>
    <w:p w:rsidR="002D473C" w:rsidRPr="00A6743C" w:rsidRDefault="002D473C" w:rsidP="002D473C">
      <w:pPr>
        <w:spacing w:line="240" w:lineRule="auto"/>
        <w:ind w:firstLine="720"/>
      </w:pPr>
    </w:p>
    <w:p w:rsidR="009A61A4" w:rsidRPr="00A6743C" w:rsidRDefault="00B47D11" w:rsidP="00B47D11">
      <w:pPr>
        <w:spacing w:line="480" w:lineRule="auto"/>
        <w:ind w:firstLine="720"/>
      </w:pPr>
      <w:bookmarkStart w:id="8" w:name="_Toc281926338"/>
      <w:bookmarkStart w:id="9" w:name="_Toc282175629"/>
      <w:r w:rsidRPr="00A6743C">
        <w:t xml:space="preserve">Plaintiffs currently reside in the community.  They all have severe disabilities and rely heavily on their personal care attendants for their basic needs. </w:t>
      </w:r>
      <w:r w:rsidR="009A61A4" w:rsidRPr="00A6743C">
        <w:t xml:space="preserve"> For example, </w:t>
      </w:r>
      <w:r w:rsidRPr="00A6743C">
        <w:t xml:space="preserve">Z.J., who has quadriplegia, lives at home and is “able to be there as a parent for his children.”  (Glenda Faatoafe Decl., DKT 56, ¶ 15, Dec. 17, 2010.)  Along with emptying his catheter bag three times per day, Z.J.’s caretaker prepares and places formula into </w:t>
      </w:r>
      <w:r w:rsidR="00CB0102">
        <w:t>Z.J.’s</w:t>
      </w:r>
      <w:r w:rsidRPr="00A6743C">
        <w:t xml:space="preserve"> feeding machine. </w:t>
      </w:r>
      <w:proofErr w:type="gramStart"/>
      <w:r w:rsidRPr="00A6743C">
        <w:t>(</w:t>
      </w:r>
      <w:r w:rsidRPr="00A6743C">
        <w:rPr>
          <w:i/>
        </w:rPr>
        <w:t>Id</w:t>
      </w:r>
      <w:r w:rsidRPr="00A6743C">
        <w:t>. ¶ 12a-b.)</w:t>
      </w:r>
      <w:proofErr w:type="gramEnd"/>
      <w:r w:rsidRPr="00A6743C">
        <w:t xml:space="preserve">  </w:t>
      </w:r>
    </w:p>
    <w:p w:rsidR="009A61A4" w:rsidRPr="00A6743C" w:rsidRDefault="00B47D11" w:rsidP="00B47D11">
      <w:pPr>
        <w:spacing w:line="480" w:lineRule="auto"/>
        <w:ind w:firstLine="720"/>
      </w:pPr>
      <w:r w:rsidRPr="00A6743C">
        <w:t xml:space="preserve">A.R. “values independent living,” and, at 63, “is so young compared to the other people in facilities, so she really enjoys being able to spend more time with her family and people her own age.”  </w:t>
      </w:r>
      <w:proofErr w:type="gramStart"/>
      <w:r w:rsidRPr="00A6743C">
        <w:t>(Frederick Decl. ¶ 14.)</w:t>
      </w:r>
      <w:proofErr w:type="gramEnd"/>
      <w:r w:rsidRPr="00A6743C">
        <w:t xml:space="preserve">  A.R., however, is paralyzed on her right side, is blind in her right eye (</w:t>
      </w:r>
      <w:r w:rsidRPr="00A6743C">
        <w:rPr>
          <w:i/>
        </w:rPr>
        <w:t>id.</w:t>
      </w:r>
      <w:r w:rsidRPr="00A6743C">
        <w:t xml:space="preserve"> </w:t>
      </w:r>
      <w:r w:rsidR="00CB0102">
        <w:t>¶ 9)</w:t>
      </w:r>
      <w:r w:rsidRPr="00A6743C">
        <w:t xml:space="preserve"> and must use an ileostomy bag to relieve herself (</w:t>
      </w:r>
      <w:r w:rsidRPr="00A6743C">
        <w:rPr>
          <w:i/>
        </w:rPr>
        <w:t>id.</w:t>
      </w:r>
      <w:r w:rsidRPr="00A6743C">
        <w:t xml:space="preserve"> </w:t>
      </w:r>
      <w:proofErr w:type="gramStart"/>
      <w:r w:rsidRPr="00A6743C">
        <w:t>¶ 11c).</w:t>
      </w:r>
      <w:proofErr w:type="gramEnd"/>
      <w:r w:rsidRPr="00A6743C">
        <w:t xml:space="preserve">  She requires extensive assistance eating, with bathing and hygiene, being repositioned in bed, and dressing herself.  </w:t>
      </w:r>
      <w:proofErr w:type="gramStart"/>
      <w:r w:rsidRPr="00A6743C">
        <w:t>(</w:t>
      </w:r>
      <w:proofErr w:type="spellStart"/>
      <w:r w:rsidRPr="00A6743C">
        <w:t>Dockstader</w:t>
      </w:r>
      <w:proofErr w:type="spellEnd"/>
      <w:r w:rsidRPr="00A6743C">
        <w:t xml:space="preserve"> Decl. ¶ 10b-f.)</w:t>
      </w:r>
      <w:proofErr w:type="gramEnd"/>
      <w:r w:rsidRPr="00A6743C">
        <w:t xml:space="preserve">  Additionally, A.R.’s ileostomy bag requires cleaning every two hours, including during the nighttime.  </w:t>
      </w:r>
      <w:proofErr w:type="gramStart"/>
      <w:r w:rsidRPr="00A6743C">
        <w:t>(Frederick Decl. ¶ 11c.)</w:t>
      </w:r>
      <w:proofErr w:type="gramEnd"/>
      <w:r w:rsidR="009A61A4" w:rsidRPr="00A6743C">
        <w:t xml:space="preserve"> </w:t>
      </w:r>
    </w:p>
    <w:p w:rsidR="00B47D11" w:rsidRPr="00A6743C" w:rsidRDefault="00B47D11" w:rsidP="00B47D11">
      <w:pPr>
        <w:spacing w:line="480" w:lineRule="auto"/>
        <w:ind w:firstLine="720"/>
      </w:pPr>
      <w:r w:rsidRPr="00A6743C">
        <w:t xml:space="preserve">A.H., who has grey matter disease, glaucoma and neuropathy, enjoys living with family. (Donna Kay Guin Decl., DKT 55, ¶ 11, Dec. 18, 2010.)  She receives assistance with her oxygen machine, getting in and out of bed, bathing, toilet use, food preparation, mobility, and medication </w:t>
      </w:r>
      <w:r w:rsidRPr="00A6743C">
        <w:lastRenderedPageBreak/>
        <w:t>management.  (</w:t>
      </w:r>
      <w:r w:rsidRPr="00A6743C">
        <w:rPr>
          <w:i/>
        </w:rPr>
        <w:t>Id.</w:t>
      </w:r>
      <w:r w:rsidRPr="00A6743C">
        <w:t xml:space="preserve"> ¶ 13a-e; A.H. Decl. ¶¶ 5-6.)  Moreover, she has “never stayed in a nursing home and . . . would never want to go to one.”  </w:t>
      </w:r>
      <w:proofErr w:type="gramStart"/>
      <w:r w:rsidRPr="00A6743C">
        <w:t>(A.H. Decl. ¶ 8.)</w:t>
      </w:r>
      <w:proofErr w:type="gramEnd"/>
    </w:p>
    <w:p w:rsidR="00B47D11" w:rsidRPr="00A6743C" w:rsidRDefault="00B47D11" w:rsidP="00B47D11">
      <w:pPr>
        <w:spacing w:line="480" w:lineRule="auto"/>
        <w:ind w:firstLine="720"/>
      </w:pPr>
      <w:r w:rsidRPr="00A6743C">
        <w:t xml:space="preserve">M.R., who has  severe mental retardation, daily seizures, and cerebral palsy (Dorcas </w:t>
      </w:r>
      <w:proofErr w:type="spellStart"/>
      <w:r w:rsidRPr="00A6743C">
        <w:t>Maxson</w:t>
      </w:r>
      <w:proofErr w:type="spellEnd"/>
      <w:r w:rsidRPr="00A6743C">
        <w:t xml:space="preserve"> Decl., DKT 26, ¶ 3, Dec. 19, 2010), “loves the independence she is afforded by living at home to set her own schedule, do puzzles, color or trace letters, and spend time with [her personal care service provider] playing with beads or sorting coins” (</w:t>
      </w:r>
      <w:r w:rsidRPr="00A6743C">
        <w:rPr>
          <w:i/>
        </w:rPr>
        <w:t>id.</w:t>
      </w:r>
      <w:r w:rsidRPr="00A6743C">
        <w:t xml:space="preserve"> ¶ 10).  In addition to assisting M.R. with normal ADLs (</w:t>
      </w:r>
      <w:r w:rsidRPr="00A6743C">
        <w:rPr>
          <w:i/>
        </w:rPr>
        <w:t xml:space="preserve">id. </w:t>
      </w:r>
      <w:r w:rsidRPr="00A6743C">
        <w:t>¶ 8), M.R.’s caretaker assists M.R. with her feeding tube, which “requires extensive maintenance . . . and has a tendency to ooze and become infected, and because she has a tendency to grab and pull on it” (</w:t>
      </w:r>
      <w:r w:rsidRPr="00A6743C">
        <w:rPr>
          <w:i/>
        </w:rPr>
        <w:t>id.</w:t>
      </w:r>
      <w:r w:rsidRPr="00A6743C">
        <w:t xml:space="preserve"> ¶ 8b).  </w:t>
      </w:r>
    </w:p>
    <w:p w:rsidR="00B47D11" w:rsidRPr="00A6743C" w:rsidRDefault="00B47D11" w:rsidP="00B47D11">
      <w:pPr>
        <w:spacing w:line="480" w:lineRule="auto"/>
        <w:ind w:firstLine="720"/>
      </w:pPr>
      <w:r w:rsidRPr="00A6743C">
        <w:t xml:space="preserve">D.V.S., who is missing a portion of his skull as a result of brain surgery (D.V.S. Decl., DKT 59, ¶ 9, Dec. 18, 2010), receives assistance repositioning himself to avoid damage to the back of his head, and also receives assistance showering. </w:t>
      </w:r>
      <w:proofErr w:type="gramStart"/>
      <w:r w:rsidRPr="00A6743C">
        <w:t>(</w:t>
      </w:r>
      <w:r w:rsidRPr="00A6743C">
        <w:rPr>
          <w:i/>
        </w:rPr>
        <w:t>Id.</w:t>
      </w:r>
      <w:r w:rsidRPr="00A6743C">
        <w:t xml:space="preserve"> ¶ 7.)</w:t>
      </w:r>
      <w:proofErr w:type="gramEnd"/>
      <w:r w:rsidRPr="00A6743C">
        <w:t xml:space="preserve"> </w:t>
      </w:r>
    </w:p>
    <w:p w:rsidR="001873FF" w:rsidRPr="00A6743C" w:rsidRDefault="00546C8D" w:rsidP="001873FF">
      <w:pPr>
        <w:pStyle w:val="Heading2"/>
        <w:spacing w:line="480" w:lineRule="auto"/>
        <w:rPr>
          <w:u w:val="none"/>
        </w:rPr>
      </w:pPr>
      <w:r w:rsidRPr="00A6743C">
        <w:t>State of Washington’s</w:t>
      </w:r>
      <w:r w:rsidR="0090216A" w:rsidRPr="00A6743C">
        <w:t xml:space="preserve"> </w:t>
      </w:r>
      <w:bookmarkEnd w:id="8"/>
      <w:bookmarkEnd w:id="9"/>
      <w:r w:rsidRPr="00A6743C">
        <w:t>Reduction of Personal Care Hours</w:t>
      </w:r>
    </w:p>
    <w:p w:rsidR="0090216A" w:rsidRPr="00A6743C" w:rsidRDefault="008A6F94" w:rsidP="00B23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A6743C">
        <w:rPr>
          <w:szCs w:val="24"/>
        </w:rPr>
        <w:t>On September</w:t>
      </w:r>
      <w:r w:rsidR="00546C8D" w:rsidRPr="00A6743C">
        <w:rPr>
          <w:szCs w:val="24"/>
        </w:rPr>
        <w:t xml:space="preserve"> </w:t>
      </w:r>
      <w:r w:rsidRPr="00A6743C">
        <w:rPr>
          <w:szCs w:val="24"/>
        </w:rPr>
        <w:t>14,</w:t>
      </w:r>
      <w:r w:rsidR="0090216A" w:rsidRPr="00A6743C">
        <w:rPr>
          <w:szCs w:val="24"/>
        </w:rPr>
        <w:t xml:space="preserve"> 2010, Governor Christine O. Gregoire issued Executive Order 10-04, which ordered the reduction of general funds appropriations by 6.287</w:t>
      </w:r>
      <w:r w:rsidR="00763600" w:rsidRPr="00A6743C">
        <w:rPr>
          <w:szCs w:val="24"/>
        </w:rPr>
        <w:t xml:space="preserve">% </w:t>
      </w:r>
      <w:r w:rsidR="0090216A" w:rsidRPr="00A6743C">
        <w:rPr>
          <w:szCs w:val="24"/>
        </w:rPr>
        <w:t xml:space="preserve">to offset the </w:t>
      </w:r>
      <w:r w:rsidR="00E85CA7" w:rsidRPr="00A6743C">
        <w:rPr>
          <w:szCs w:val="24"/>
        </w:rPr>
        <w:t xml:space="preserve">State budget </w:t>
      </w:r>
      <w:r w:rsidR="0090216A" w:rsidRPr="00A6743C">
        <w:rPr>
          <w:szCs w:val="24"/>
        </w:rPr>
        <w:t>shortfall in the current fiscal period</w:t>
      </w:r>
      <w:r w:rsidR="00166F09" w:rsidRPr="00A6743C">
        <w:rPr>
          <w:szCs w:val="24"/>
        </w:rPr>
        <w:t xml:space="preserve"> and directed each agency to submit a plan to implement the reductions</w:t>
      </w:r>
      <w:r w:rsidR="0090216A" w:rsidRPr="00A6743C">
        <w:rPr>
          <w:szCs w:val="24"/>
        </w:rPr>
        <w:t>.  (Andrea Brenneke</w:t>
      </w:r>
      <w:r w:rsidR="00C83553" w:rsidRPr="00A6743C">
        <w:rPr>
          <w:szCs w:val="24"/>
        </w:rPr>
        <w:t xml:space="preserve"> Decl.</w:t>
      </w:r>
      <w:r w:rsidR="0090216A" w:rsidRPr="00A6743C">
        <w:rPr>
          <w:szCs w:val="24"/>
        </w:rPr>
        <w:t>, DKT 12, Exs. 2, 3</w:t>
      </w:r>
      <w:r w:rsidR="00C83553" w:rsidRPr="00A6743C">
        <w:rPr>
          <w:szCs w:val="24"/>
        </w:rPr>
        <w:t>, Dec. 23, 2010.</w:t>
      </w:r>
      <w:r w:rsidR="0090216A" w:rsidRPr="00A6743C">
        <w:rPr>
          <w:szCs w:val="24"/>
        </w:rPr>
        <w:t xml:space="preserve">) </w:t>
      </w:r>
      <w:r w:rsidRPr="00A6743C">
        <w:rPr>
          <w:szCs w:val="24"/>
        </w:rPr>
        <w:t xml:space="preserve"> </w:t>
      </w:r>
      <w:r w:rsidR="0090216A" w:rsidRPr="00A6743C">
        <w:rPr>
          <w:szCs w:val="24"/>
        </w:rPr>
        <w:t xml:space="preserve">In response, Defendants submitted a plan that called </w:t>
      </w:r>
      <w:proofErr w:type="gramStart"/>
      <w:r w:rsidR="0090216A" w:rsidRPr="00A6743C">
        <w:rPr>
          <w:szCs w:val="24"/>
        </w:rPr>
        <w:t>for</w:t>
      </w:r>
      <w:r w:rsidR="00166F09" w:rsidRPr="00A6743C">
        <w:rPr>
          <w:szCs w:val="24"/>
        </w:rPr>
        <w:t>,</w:t>
      </w:r>
      <w:proofErr w:type="gramEnd"/>
      <w:r w:rsidR="0090216A" w:rsidRPr="00A6743C">
        <w:rPr>
          <w:szCs w:val="24"/>
        </w:rPr>
        <w:t xml:space="preserve"> </w:t>
      </w:r>
      <w:r w:rsidR="00166F09" w:rsidRPr="00A6743C">
        <w:rPr>
          <w:i/>
          <w:szCs w:val="24"/>
        </w:rPr>
        <w:t>inter alia</w:t>
      </w:r>
      <w:r w:rsidR="00166F09" w:rsidRPr="00A6743C">
        <w:rPr>
          <w:szCs w:val="24"/>
        </w:rPr>
        <w:t xml:space="preserve">, </w:t>
      </w:r>
      <w:r w:rsidR="0090216A" w:rsidRPr="00A6743C">
        <w:rPr>
          <w:szCs w:val="24"/>
        </w:rPr>
        <w:t>the reduction of in-home benefici</w:t>
      </w:r>
      <w:r w:rsidR="00E85CA7" w:rsidRPr="00A6743C">
        <w:rPr>
          <w:szCs w:val="24"/>
        </w:rPr>
        <w:t xml:space="preserve">aries’ personal care hours by an average </w:t>
      </w:r>
      <w:r w:rsidR="0090216A" w:rsidRPr="00A6743C">
        <w:rPr>
          <w:szCs w:val="24"/>
        </w:rPr>
        <w:t xml:space="preserve">of </w:t>
      </w:r>
      <w:r w:rsidR="00763600" w:rsidRPr="00A6743C">
        <w:rPr>
          <w:szCs w:val="24"/>
        </w:rPr>
        <w:t>10%</w:t>
      </w:r>
      <w:r w:rsidR="0090216A" w:rsidRPr="00A6743C">
        <w:rPr>
          <w:szCs w:val="24"/>
        </w:rPr>
        <w:t xml:space="preserve">. </w:t>
      </w:r>
      <w:r w:rsidR="00B239B9" w:rsidRPr="00A6743C">
        <w:rPr>
          <w:szCs w:val="24"/>
        </w:rPr>
        <w:t>(</w:t>
      </w:r>
      <w:r w:rsidR="00C83553" w:rsidRPr="00A6743C">
        <w:rPr>
          <w:i/>
          <w:szCs w:val="24"/>
        </w:rPr>
        <w:t>Id.</w:t>
      </w:r>
      <w:r w:rsidR="00C83553" w:rsidRPr="00A6743C">
        <w:rPr>
          <w:szCs w:val="24"/>
        </w:rPr>
        <w:t xml:space="preserve"> </w:t>
      </w:r>
      <w:r w:rsidR="00B239B9" w:rsidRPr="00A6743C">
        <w:rPr>
          <w:szCs w:val="24"/>
        </w:rPr>
        <w:t xml:space="preserve">Ex. 4.) </w:t>
      </w:r>
      <w:r w:rsidR="002C189A" w:rsidRPr="00A6743C">
        <w:rPr>
          <w:szCs w:val="24"/>
        </w:rPr>
        <w:t xml:space="preserve"> In order to realize the anticipated budget savings from reducin</w:t>
      </w:r>
      <w:r w:rsidR="00A130A3" w:rsidRPr="00A6743C">
        <w:rPr>
          <w:szCs w:val="24"/>
        </w:rPr>
        <w:t>g the personal care hours, the P</w:t>
      </w:r>
      <w:r w:rsidR="002C189A" w:rsidRPr="00A6743C">
        <w:rPr>
          <w:szCs w:val="24"/>
        </w:rPr>
        <w:t xml:space="preserve">laintiffs must remain in the community because of the high cost of institutional care.  </w:t>
      </w:r>
      <w:proofErr w:type="gramStart"/>
      <w:r w:rsidR="002C189A" w:rsidRPr="00A6743C">
        <w:rPr>
          <w:szCs w:val="24"/>
        </w:rPr>
        <w:t>(</w:t>
      </w:r>
      <w:r w:rsidR="00C815F3" w:rsidRPr="00A6743C">
        <w:rPr>
          <w:szCs w:val="24"/>
        </w:rPr>
        <w:t xml:space="preserve">Reed Decl. </w:t>
      </w:r>
      <w:r w:rsidR="002C189A" w:rsidRPr="00A6743C">
        <w:rPr>
          <w:szCs w:val="24"/>
        </w:rPr>
        <w:t>¶</w:t>
      </w:r>
      <w:r w:rsidR="00C815F3" w:rsidRPr="00A6743C">
        <w:rPr>
          <w:szCs w:val="24"/>
        </w:rPr>
        <w:t xml:space="preserve"> </w:t>
      </w:r>
      <w:r w:rsidR="002C189A" w:rsidRPr="00A6743C">
        <w:rPr>
          <w:szCs w:val="24"/>
        </w:rPr>
        <w:t>20; Def</w:t>
      </w:r>
      <w:r w:rsidR="00C83553" w:rsidRPr="00A6743C">
        <w:rPr>
          <w:szCs w:val="24"/>
        </w:rPr>
        <w:t>s</w:t>
      </w:r>
      <w:r w:rsidR="002C189A" w:rsidRPr="00A6743C">
        <w:rPr>
          <w:szCs w:val="24"/>
        </w:rPr>
        <w:t>.</w:t>
      </w:r>
      <w:r w:rsidR="00C83553" w:rsidRPr="00A6743C">
        <w:rPr>
          <w:szCs w:val="24"/>
        </w:rPr>
        <w:t>’</w:t>
      </w:r>
      <w:proofErr w:type="gramEnd"/>
      <w:r w:rsidR="00C83553" w:rsidRPr="00A6743C">
        <w:rPr>
          <w:szCs w:val="24"/>
        </w:rPr>
        <w:t xml:space="preserve"> </w:t>
      </w:r>
      <w:proofErr w:type="gramStart"/>
      <w:r w:rsidR="00C83553" w:rsidRPr="00A6743C">
        <w:rPr>
          <w:szCs w:val="24"/>
        </w:rPr>
        <w:t>Resp. to Pls.’ Mot.</w:t>
      </w:r>
      <w:proofErr w:type="gramEnd"/>
      <w:r w:rsidR="00C83553" w:rsidRPr="00A6743C">
        <w:rPr>
          <w:szCs w:val="24"/>
        </w:rPr>
        <w:t xml:space="preserve"> </w:t>
      </w:r>
      <w:proofErr w:type="gramStart"/>
      <w:r w:rsidR="00C83553" w:rsidRPr="00A6743C">
        <w:rPr>
          <w:szCs w:val="24"/>
        </w:rPr>
        <w:t>for</w:t>
      </w:r>
      <w:proofErr w:type="gramEnd"/>
      <w:r w:rsidR="002C189A" w:rsidRPr="00A6743C">
        <w:rPr>
          <w:szCs w:val="24"/>
        </w:rPr>
        <w:t xml:space="preserve"> TRO</w:t>
      </w:r>
      <w:r w:rsidR="00C83553" w:rsidRPr="00A6743C">
        <w:rPr>
          <w:szCs w:val="24"/>
        </w:rPr>
        <w:t xml:space="preserve"> </w:t>
      </w:r>
      <w:r w:rsidR="002C189A" w:rsidRPr="00A6743C">
        <w:rPr>
          <w:szCs w:val="24"/>
        </w:rPr>
        <w:t>27.)</w:t>
      </w:r>
      <w:r w:rsidR="00B239B9" w:rsidRPr="00A6743C">
        <w:rPr>
          <w:szCs w:val="24"/>
        </w:rPr>
        <w:t xml:space="preserve"> </w:t>
      </w:r>
      <w:r w:rsidR="00166F09" w:rsidRPr="00A6743C">
        <w:rPr>
          <w:szCs w:val="24"/>
        </w:rPr>
        <w:t xml:space="preserve">Defendants issued </w:t>
      </w:r>
      <w:r w:rsidR="00127DEB" w:rsidRPr="00A6743C">
        <w:rPr>
          <w:szCs w:val="24"/>
        </w:rPr>
        <w:t xml:space="preserve">emergency regulations on November 17, 2010 and </w:t>
      </w:r>
      <w:r w:rsidR="00166F09" w:rsidRPr="00A6743C">
        <w:rPr>
          <w:szCs w:val="24"/>
        </w:rPr>
        <w:t xml:space="preserve">implementation </w:t>
      </w:r>
      <w:r w:rsidR="00166F09" w:rsidRPr="00A6743C">
        <w:rPr>
          <w:szCs w:val="24"/>
        </w:rPr>
        <w:lastRenderedPageBreak/>
        <w:t xml:space="preserve">instructions to </w:t>
      </w:r>
      <w:r w:rsidR="00C83553" w:rsidRPr="00A6743C">
        <w:rPr>
          <w:szCs w:val="24"/>
        </w:rPr>
        <w:t xml:space="preserve">their </w:t>
      </w:r>
      <w:r w:rsidR="00166F09" w:rsidRPr="00A6743C">
        <w:rPr>
          <w:szCs w:val="24"/>
        </w:rPr>
        <w:t xml:space="preserve">staff on December 2, 2010. </w:t>
      </w:r>
      <w:proofErr w:type="gramStart"/>
      <w:r w:rsidR="00750141" w:rsidRPr="00A6743C">
        <w:rPr>
          <w:rStyle w:val="documentbody"/>
        </w:rPr>
        <w:t>Wash. Reg. 242113 (Dec. 30, 2010)</w:t>
      </w:r>
      <w:r w:rsidR="0056619C" w:rsidRPr="00A6743C">
        <w:rPr>
          <w:rStyle w:val="documentbody"/>
        </w:rPr>
        <w:t xml:space="preserve"> (attached as Exhibit A)</w:t>
      </w:r>
      <w:r w:rsidR="00750141" w:rsidRPr="00A6743C">
        <w:rPr>
          <w:szCs w:val="24"/>
        </w:rPr>
        <w:t xml:space="preserve">; </w:t>
      </w:r>
      <w:r w:rsidR="00DE0349" w:rsidRPr="00A6743C">
        <w:rPr>
          <w:szCs w:val="24"/>
        </w:rPr>
        <w:t>(</w:t>
      </w:r>
      <w:r w:rsidR="00B239B9" w:rsidRPr="00A6743C">
        <w:rPr>
          <w:szCs w:val="24"/>
        </w:rPr>
        <w:t>Brenn</w:t>
      </w:r>
      <w:r w:rsidR="00C83553" w:rsidRPr="00A6743C">
        <w:rPr>
          <w:szCs w:val="24"/>
        </w:rPr>
        <w:t>e</w:t>
      </w:r>
      <w:r w:rsidR="00B239B9" w:rsidRPr="00A6743C">
        <w:rPr>
          <w:szCs w:val="24"/>
        </w:rPr>
        <w:t>ke</w:t>
      </w:r>
      <w:r w:rsidR="00C83553" w:rsidRPr="00A6743C">
        <w:rPr>
          <w:szCs w:val="24"/>
        </w:rPr>
        <w:t xml:space="preserve"> Decl. </w:t>
      </w:r>
      <w:r w:rsidR="00B239B9" w:rsidRPr="00A6743C">
        <w:rPr>
          <w:szCs w:val="24"/>
        </w:rPr>
        <w:t>Ex. 1)</w:t>
      </w:r>
      <w:r w:rsidR="00750141" w:rsidRPr="00A6743C">
        <w:rPr>
          <w:rStyle w:val="documentbody"/>
        </w:rPr>
        <w:t>.</w:t>
      </w:r>
      <w:proofErr w:type="gramEnd"/>
      <w:r w:rsidR="00166F09" w:rsidRPr="00A6743C">
        <w:rPr>
          <w:szCs w:val="24"/>
        </w:rPr>
        <w:t xml:space="preserve">  </w:t>
      </w:r>
      <w:r w:rsidR="0090216A" w:rsidRPr="00A6743C">
        <w:rPr>
          <w:szCs w:val="24"/>
        </w:rPr>
        <w:t xml:space="preserve">However, </w:t>
      </w:r>
      <w:r w:rsidR="00B073FD" w:rsidRPr="00A6743C">
        <w:rPr>
          <w:szCs w:val="24"/>
        </w:rPr>
        <w:t xml:space="preserve">the Defendants did not complete or plan </w:t>
      </w:r>
      <w:r w:rsidR="0090216A" w:rsidRPr="00A6743C">
        <w:rPr>
          <w:szCs w:val="24"/>
        </w:rPr>
        <w:t>new assessment</w:t>
      </w:r>
      <w:r w:rsidR="00127DEB" w:rsidRPr="00A6743C">
        <w:rPr>
          <w:szCs w:val="24"/>
        </w:rPr>
        <w:t>s</w:t>
      </w:r>
      <w:r w:rsidR="0090216A" w:rsidRPr="00A6743C">
        <w:rPr>
          <w:szCs w:val="24"/>
        </w:rPr>
        <w:t xml:space="preserve"> of Plaintiffs’ needs in order to determine if the reduced hours are sufficient to safely maintain Plaintiffs in their respective communities.  </w:t>
      </w:r>
      <w:proofErr w:type="gramStart"/>
      <w:r w:rsidR="00B239B9" w:rsidRPr="00A6743C">
        <w:rPr>
          <w:szCs w:val="24"/>
        </w:rPr>
        <w:t>(</w:t>
      </w:r>
      <w:r w:rsidR="00C815F3" w:rsidRPr="00A6743C">
        <w:rPr>
          <w:szCs w:val="24"/>
        </w:rPr>
        <w:t>Reed Decl.</w:t>
      </w:r>
      <w:r w:rsidR="00DE0349" w:rsidRPr="00A6743C">
        <w:rPr>
          <w:szCs w:val="24"/>
        </w:rPr>
        <w:t xml:space="preserve"> ¶</w:t>
      </w:r>
      <w:r w:rsidR="00C815F3" w:rsidRPr="00A6743C">
        <w:rPr>
          <w:szCs w:val="24"/>
        </w:rPr>
        <w:t xml:space="preserve"> </w:t>
      </w:r>
      <w:r w:rsidR="00DE0349" w:rsidRPr="00A6743C">
        <w:rPr>
          <w:szCs w:val="24"/>
        </w:rPr>
        <w:t>42</w:t>
      </w:r>
      <w:r w:rsidR="00C815F3" w:rsidRPr="00A6743C">
        <w:rPr>
          <w:szCs w:val="24"/>
        </w:rPr>
        <w:t>.)</w:t>
      </w:r>
      <w:proofErr w:type="gramEnd"/>
      <w:r w:rsidR="00DE0349" w:rsidRPr="00A6743C">
        <w:rPr>
          <w:szCs w:val="24"/>
        </w:rPr>
        <w:t xml:space="preserve">  </w:t>
      </w:r>
      <w:r w:rsidR="0090216A" w:rsidRPr="00A6743C">
        <w:rPr>
          <w:szCs w:val="24"/>
        </w:rPr>
        <w:t xml:space="preserve">Further, these cuts were on top of an average </w:t>
      </w:r>
      <w:r w:rsidR="00763600" w:rsidRPr="00A6743C">
        <w:rPr>
          <w:szCs w:val="24"/>
        </w:rPr>
        <w:t>4%</w:t>
      </w:r>
      <w:r w:rsidR="0090216A" w:rsidRPr="00A6743C">
        <w:rPr>
          <w:szCs w:val="24"/>
        </w:rPr>
        <w:t xml:space="preserve"> decrease that went into effect in FY 2010.  </w:t>
      </w:r>
      <w:proofErr w:type="gramStart"/>
      <w:r w:rsidR="00B239B9" w:rsidRPr="00A6743C">
        <w:rPr>
          <w:szCs w:val="24"/>
        </w:rPr>
        <w:t>(Black</w:t>
      </w:r>
      <w:r w:rsidR="00FC4BF4" w:rsidRPr="00A6743C">
        <w:rPr>
          <w:szCs w:val="24"/>
        </w:rPr>
        <w:t xml:space="preserve"> Decl.</w:t>
      </w:r>
      <w:r w:rsidR="00B239B9" w:rsidRPr="00A6743C">
        <w:rPr>
          <w:szCs w:val="24"/>
        </w:rPr>
        <w:t xml:space="preserve"> ¶</w:t>
      </w:r>
      <w:r w:rsidR="00FC4BF4" w:rsidRPr="00A6743C">
        <w:rPr>
          <w:szCs w:val="24"/>
        </w:rPr>
        <w:t xml:space="preserve"> </w:t>
      </w:r>
      <w:r w:rsidR="00B239B9" w:rsidRPr="00A6743C">
        <w:rPr>
          <w:szCs w:val="24"/>
        </w:rPr>
        <w:t>29</w:t>
      </w:r>
      <w:r w:rsidR="00AA5155" w:rsidRPr="00A6743C">
        <w:rPr>
          <w:szCs w:val="24"/>
        </w:rPr>
        <w:t>.</w:t>
      </w:r>
      <w:r w:rsidR="00B239B9" w:rsidRPr="00A6743C">
        <w:rPr>
          <w:szCs w:val="24"/>
        </w:rPr>
        <w:t>)</w:t>
      </w:r>
      <w:proofErr w:type="gramEnd"/>
      <w:r w:rsidR="00B239B9" w:rsidRPr="00A6743C">
        <w:rPr>
          <w:szCs w:val="24"/>
        </w:rPr>
        <w:t xml:space="preserve">  </w:t>
      </w:r>
      <w:r w:rsidR="00CB304F" w:rsidRPr="00A6743C">
        <w:rPr>
          <w:szCs w:val="24"/>
        </w:rPr>
        <w:t>Named P</w:t>
      </w:r>
      <w:r w:rsidR="0090216A" w:rsidRPr="00A6743C">
        <w:rPr>
          <w:szCs w:val="24"/>
        </w:rPr>
        <w:t xml:space="preserve">laintiffs, along with approximately 45,000 other beneficiaries of </w:t>
      </w:r>
      <w:r w:rsidR="00691AF8" w:rsidRPr="00A6743C">
        <w:rPr>
          <w:szCs w:val="24"/>
        </w:rPr>
        <w:t>p</w:t>
      </w:r>
      <w:r w:rsidR="0090216A" w:rsidRPr="00A6743C">
        <w:rPr>
          <w:szCs w:val="24"/>
        </w:rPr>
        <w:t>e</w:t>
      </w:r>
      <w:r w:rsidR="00691AF8" w:rsidRPr="00A6743C">
        <w:rPr>
          <w:szCs w:val="24"/>
        </w:rPr>
        <w:t>rsonal c</w:t>
      </w:r>
      <w:r w:rsidR="0090216A" w:rsidRPr="00A6743C">
        <w:rPr>
          <w:szCs w:val="24"/>
        </w:rPr>
        <w:t>are hours in Washington State, were notified via U</w:t>
      </w:r>
      <w:r w:rsidR="00750141" w:rsidRPr="00A6743C">
        <w:rPr>
          <w:szCs w:val="24"/>
        </w:rPr>
        <w:t>.</w:t>
      </w:r>
      <w:r w:rsidR="0090216A" w:rsidRPr="00A6743C">
        <w:rPr>
          <w:szCs w:val="24"/>
        </w:rPr>
        <w:t>S</w:t>
      </w:r>
      <w:r w:rsidR="00750141" w:rsidRPr="00A6743C">
        <w:rPr>
          <w:szCs w:val="24"/>
        </w:rPr>
        <w:t>.</w:t>
      </w:r>
      <w:r w:rsidR="0090216A" w:rsidRPr="00A6743C">
        <w:rPr>
          <w:szCs w:val="24"/>
        </w:rPr>
        <w:t xml:space="preserve"> Mail at the beginning of December</w:t>
      </w:r>
      <w:r w:rsidR="00763600" w:rsidRPr="00A6743C">
        <w:rPr>
          <w:szCs w:val="24"/>
        </w:rPr>
        <w:t>,</w:t>
      </w:r>
      <w:r w:rsidR="0090216A" w:rsidRPr="00A6743C">
        <w:rPr>
          <w:szCs w:val="24"/>
        </w:rPr>
        <w:t xml:space="preserve"> 2010 that their personal care hours were being reduced</w:t>
      </w:r>
      <w:r w:rsidR="00763600" w:rsidRPr="00A6743C">
        <w:rPr>
          <w:szCs w:val="24"/>
        </w:rPr>
        <w:t xml:space="preserve"> </w:t>
      </w:r>
      <w:r w:rsidR="0090216A" w:rsidRPr="00A6743C">
        <w:rPr>
          <w:szCs w:val="24"/>
        </w:rPr>
        <w:t>and that no appeals would be granted.  (C.B.</w:t>
      </w:r>
      <w:r w:rsidR="00750141" w:rsidRPr="00A6743C">
        <w:rPr>
          <w:szCs w:val="24"/>
        </w:rPr>
        <w:t xml:space="preserve"> Decl.</w:t>
      </w:r>
      <w:r w:rsidR="0090216A" w:rsidRPr="00A6743C">
        <w:rPr>
          <w:szCs w:val="24"/>
        </w:rPr>
        <w:t xml:space="preserve">, DKT </w:t>
      </w:r>
      <w:r w:rsidR="00160AEA" w:rsidRPr="00A6743C">
        <w:rPr>
          <w:szCs w:val="24"/>
        </w:rPr>
        <w:t>29</w:t>
      </w:r>
      <w:r w:rsidR="0090216A" w:rsidRPr="00A6743C">
        <w:rPr>
          <w:szCs w:val="24"/>
        </w:rPr>
        <w:t>, Ex.4 at 1</w:t>
      </w:r>
      <w:r w:rsidR="00750141" w:rsidRPr="00A6743C">
        <w:rPr>
          <w:szCs w:val="24"/>
        </w:rPr>
        <w:t>, Dec. 16, 2010.</w:t>
      </w:r>
      <w:r w:rsidR="0090216A" w:rsidRPr="00A6743C">
        <w:rPr>
          <w:szCs w:val="24"/>
        </w:rPr>
        <w:t xml:space="preserve">) </w:t>
      </w:r>
      <w:r w:rsidR="00DE3A1E" w:rsidRPr="00A6743C">
        <w:rPr>
          <w:szCs w:val="24"/>
        </w:rPr>
        <w:t>Defendant</w:t>
      </w:r>
      <w:r w:rsidR="009B4328" w:rsidRPr="00A6743C">
        <w:rPr>
          <w:szCs w:val="24"/>
        </w:rPr>
        <w:t xml:space="preserve">s </w:t>
      </w:r>
      <w:r w:rsidR="004845EF" w:rsidRPr="00A6743C">
        <w:rPr>
          <w:szCs w:val="24"/>
        </w:rPr>
        <w:t xml:space="preserve">were scheduled to </w:t>
      </w:r>
      <w:r w:rsidR="009B4328" w:rsidRPr="00A6743C">
        <w:rPr>
          <w:szCs w:val="24"/>
        </w:rPr>
        <w:t>implement the reductions on January 1, 2011</w:t>
      </w:r>
      <w:r w:rsidR="00DE0349" w:rsidRPr="00A6743C">
        <w:rPr>
          <w:szCs w:val="24"/>
        </w:rPr>
        <w:t>.</w:t>
      </w:r>
      <w:r w:rsidR="00691AF8" w:rsidRPr="00A6743C">
        <w:rPr>
          <w:szCs w:val="24"/>
        </w:rPr>
        <w:t xml:space="preserve"> (Jane B. Decl.</w:t>
      </w:r>
      <w:r w:rsidR="00254269">
        <w:rPr>
          <w:szCs w:val="24"/>
        </w:rPr>
        <w:t>, DKT 33,</w:t>
      </w:r>
      <w:r w:rsidR="00691AF8" w:rsidRPr="00A6743C">
        <w:rPr>
          <w:szCs w:val="24"/>
        </w:rPr>
        <w:t xml:space="preserve"> ¶¶ 4-5.</w:t>
      </w:r>
      <w:r w:rsidR="00254269">
        <w:rPr>
          <w:szCs w:val="24"/>
        </w:rPr>
        <w:t>, Dec. 22, 2010</w:t>
      </w:r>
      <w:r w:rsidR="00691AF8" w:rsidRPr="00A6743C">
        <w:rPr>
          <w:szCs w:val="24"/>
        </w:rPr>
        <w:t>)</w:t>
      </w:r>
      <w:r w:rsidR="009B4328" w:rsidRPr="00A6743C">
        <w:rPr>
          <w:rStyle w:val="FootnoteReference"/>
          <w:szCs w:val="24"/>
        </w:rPr>
        <w:footnoteReference w:id="5"/>
      </w:r>
    </w:p>
    <w:p w:rsidR="0090216A" w:rsidRPr="00A6743C" w:rsidRDefault="0090216A" w:rsidP="0090216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rPr>
          <w:b/>
          <w:szCs w:val="24"/>
          <w:u w:val="single"/>
        </w:rPr>
      </w:pPr>
      <w:bookmarkStart w:id="10" w:name="_Toc281926339"/>
      <w:bookmarkStart w:id="11" w:name="_Toc282175630"/>
      <w:r w:rsidRPr="00A6743C">
        <w:rPr>
          <w:b/>
          <w:szCs w:val="24"/>
          <w:u w:val="single"/>
        </w:rPr>
        <w:t>ARGUMENT</w:t>
      </w:r>
      <w:bookmarkEnd w:id="10"/>
      <w:bookmarkEnd w:id="11"/>
    </w:p>
    <w:p w:rsidR="0090216A" w:rsidRPr="00A6743C" w:rsidRDefault="0090216A" w:rsidP="0090216A">
      <w:pPr>
        <w:pStyle w:val="Heading2"/>
        <w:widowControl/>
        <w:numPr>
          <w:ilvl w:val="1"/>
          <w:numId w:val="18"/>
        </w:numPr>
        <w:spacing w:line="240" w:lineRule="auto"/>
        <w:rPr>
          <w:u w:val="none"/>
        </w:rPr>
      </w:pPr>
      <w:bookmarkStart w:id="12" w:name="_Toc266438954"/>
      <w:bookmarkStart w:id="13" w:name="_Toc282175631"/>
      <w:r w:rsidRPr="00A6743C">
        <w:rPr>
          <w:i/>
        </w:rPr>
        <w:t>Olmstead</w:t>
      </w:r>
      <w:r w:rsidRPr="00A6743C">
        <w:t xml:space="preserve"> and the Integration Mandate</w:t>
      </w:r>
      <w:bookmarkEnd w:id="12"/>
      <w:bookmarkEnd w:id="13"/>
    </w:p>
    <w:p w:rsidR="0090216A" w:rsidRPr="00A6743C" w:rsidRDefault="0090216A" w:rsidP="0090216A">
      <w:pPr>
        <w:spacing w:line="240" w:lineRule="auto"/>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t xml:space="preserve">Congress enacted the ADA in 1990 “to provide a clear and comprehensive national mandate for the elimination of discrimination against individuals with disabilities.”  </w:t>
      </w:r>
      <w:proofErr w:type="gramStart"/>
      <w:r w:rsidRPr="00A6743C">
        <w:rPr>
          <w:szCs w:val="24"/>
        </w:rPr>
        <w:t>42 U.S.C.</w:t>
      </w:r>
      <w:proofErr w:type="gramEnd"/>
      <w:r w:rsidRPr="00A6743C">
        <w:rPr>
          <w:szCs w:val="24"/>
        </w:rPr>
        <w:t xml:space="preserve"> </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 12101(b</w:t>
      </w:r>
      <w:proofErr w:type="gramStart"/>
      <w:r w:rsidRPr="00A6743C">
        <w:rPr>
          <w:szCs w:val="24"/>
        </w:rPr>
        <w:t>)(</w:t>
      </w:r>
      <w:proofErr w:type="gramEnd"/>
      <w:r w:rsidRPr="00A6743C">
        <w:rPr>
          <w:szCs w:val="24"/>
        </w:rPr>
        <w:t>1).  Congress found that “historically, society has tended to isolate and segregate individuals with disabilities, and, despite some improvements, such forms of discrimination against individuals with disabilities continue to be a serious and pervasive social problem.”  42 U.S.C. § 12101(a</w:t>
      </w:r>
      <w:proofErr w:type="gramStart"/>
      <w:r w:rsidRPr="00A6743C">
        <w:rPr>
          <w:szCs w:val="24"/>
        </w:rPr>
        <w:t>)(</w:t>
      </w:r>
      <w:proofErr w:type="gramEnd"/>
      <w:r w:rsidRPr="00A6743C">
        <w:rPr>
          <w:szCs w:val="24"/>
        </w:rPr>
        <w:t xml:space="preserve">2).  For those reasons, Congress prohibited discrimination against individuals with disabilities by public entities. </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szCs w:val="24"/>
        </w:rPr>
      </w:pPr>
      <w:r w:rsidRPr="00A6743C">
        <w:rPr>
          <w:szCs w:val="24"/>
        </w:rPr>
        <w:lastRenderedPageBreak/>
        <w:t>[N]o qualified individual with a disability shall, by reason of such disability, be excluded from participation in or be denied the benefits of the services, programs, or activities of a public entity, or be subjected to discrimination by any such entity.</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Cs w:val="24"/>
        </w:rPr>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szCs w:val="24"/>
        </w:rPr>
      </w:pPr>
      <w:proofErr w:type="gramStart"/>
      <w:r w:rsidRPr="00A6743C">
        <w:rPr>
          <w:szCs w:val="24"/>
        </w:rPr>
        <w:t>42 U.S.C. § 12132.</w:t>
      </w:r>
      <w:proofErr w:type="gramEnd"/>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t>As directed by Congress, the Attorney General issued regulations implementing title II, which are based on regulations issued under section 504 of the Rehabilitation Act.</w:t>
      </w:r>
      <w:r w:rsidRPr="00A6743C">
        <w:rPr>
          <w:rStyle w:val="FootnoteReference"/>
        </w:rPr>
        <w:footnoteReference w:id="6"/>
      </w:r>
      <w:r w:rsidRPr="00A6743C">
        <w:rPr>
          <w:szCs w:val="24"/>
        </w:rPr>
        <w:t xml:space="preserve">  </w:t>
      </w:r>
      <w:r w:rsidRPr="00A6743C">
        <w:rPr>
          <w:i/>
          <w:szCs w:val="24"/>
        </w:rPr>
        <w:t>See</w:t>
      </w:r>
      <w:r w:rsidRPr="00A6743C">
        <w:rPr>
          <w:szCs w:val="24"/>
        </w:rPr>
        <w:t xml:space="preserve"> 42 U.S.C. § 12134(a)</w:t>
      </w:r>
      <w:proofErr w:type="gramStart"/>
      <w:r w:rsidRPr="00A6743C">
        <w:rPr>
          <w:szCs w:val="24"/>
        </w:rPr>
        <w:t>;  28</w:t>
      </w:r>
      <w:proofErr w:type="gramEnd"/>
      <w:r w:rsidRPr="00A6743C">
        <w:rPr>
          <w:szCs w:val="24"/>
        </w:rPr>
        <w:t xml:space="preserve"> C.F.R. § 35.190(a); Executive Order 12250, 45 Fed. Reg. 72995 (1980), </w:t>
      </w:r>
      <w:r w:rsidRPr="00A6743C">
        <w:rPr>
          <w:i/>
          <w:szCs w:val="24"/>
        </w:rPr>
        <w:t>reprinted in</w:t>
      </w:r>
      <w:r w:rsidRPr="00A6743C">
        <w:rPr>
          <w:szCs w:val="24"/>
        </w:rPr>
        <w:t xml:space="preserve"> 42 U.S.C. § 2000d-1.  The title II regulations require public entities to “administer services, programs, and activities in the most integrated setting appropriate to the needs of qualified individuals with disabilities.”  </w:t>
      </w:r>
      <w:proofErr w:type="gramStart"/>
      <w:r w:rsidRPr="00A6743C">
        <w:rPr>
          <w:szCs w:val="24"/>
        </w:rPr>
        <w:t>28 C.F.R. § 35.130(d).</w:t>
      </w:r>
      <w:proofErr w:type="gramEnd"/>
      <w:r w:rsidRPr="00A6743C">
        <w:rPr>
          <w:szCs w:val="24"/>
        </w:rPr>
        <w:t xml:space="preserve">  The preamble discussion of the “integration regulation” explains that “the most integrated setting” is one that “enables individuals with disabilities to interact with nondisabled persons to the fullest extent possible</w:t>
      </w:r>
      <w:r w:rsidR="009D3C5D" w:rsidRPr="00A6743C">
        <w:rPr>
          <w:szCs w:val="24"/>
        </w:rPr>
        <w:t xml:space="preserve"> . . . .”  </w:t>
      </w:r>
      <w:proofErr w:type="gramStart"/>
      <w:r w:rsidRPr="00A6743C">
        <w:rPr>
          <w:szCs w:val="24"/>
        </w:rPr>
        <w:t xml:space="preserve">28 C.F.R. </w:t>
      </w:r>
      <w:r w:rsidR="004845EF" w:rsidRPr="00A6743C">
        <w:rPr>
          <w:szCs w:val="24"/>
        </w:rPr>
        <w:t>Pt. 35,</w:t>
      </w:r>
      <w:r w:rsidRPr="00A6743C">
        <w:rPr>
          <w:szCs w:val="24"/>
        </w:rPr>
        <w:t xml:space="preserve"> App.</w:t>
      </w:r>
      <w:proofErr w:type="gramEnd"/>
      <w:r w:rsidRPr="00A6743C">
        <w:rPr>
          <w:szCs w:val="24"/>
        </w:rPr>
        <w:t xml:space="preserve"> A</w:t>
      </w:r>
      <w:r w:rsidR="004845EF" w:rsidRPr="00A6743C">
        <w:rPr>
          <w:szCs w:val="24"/>
        </w:rPr>
        <w:t xml:space="preserve"> (2010)</w:t>
      </w:r>
      <w:r w:rsidR="007D5E45" w:rsidRPr="00A6743C">
        <w:rPr>
          <w:szCs w:val="24"/>
        </w:rPr>
        <w:t xml:space="preserve"> (addressing § 35.130)</w:t>
      </w:r>
      <w:r w:rsidR="004845EF" w:rsidRPr="00A6743C">
        <w:rPr>
          <w:szCs w:val="24"/>
        </w:rPr>
        <w:t xml:space="preserve">. </w:t>
      </w:r>
      <w:r w:rsidRPr="00A6743C">
        <w:rPr>
          <w:szCs w:val="24"/>
        </w:rPr>
        <w:t xml:space="preserve"> This mandate advances one of the </w:t>
      </w:r>
      <w:r w:rsidRPr="00A6743C">
        <w:rPr>
          <w:szCs w:val="24"/>
        </w:rPr>
        <w:lastRenderedPageBreak/>
        <w:t>principal purposes of title II of the ADA</w:t>
      </w:r>
      <w:r w:rsidR="007D5E45" w:rsidRPr="00A6743C">
        <w:rPr>
          <w:szCs w:val="24"/>
        </w:rPr>
        <w:t>—</w:t>
      </w:r>
      <w:r w:rsidRPr="00A6743C">
        <w:rPr>
          <w:szCs w:val="24"/>
        </w:rPr>
        <w:t xml:space="preserve">ending the isolation and segregation of people with disabilities.  </w:t>
      </w:r>
      <w:r w:rsidRPr="00A6743C">
        <w:rPr>
          <w:i/>
          <w:iCs/>
          <w:szCs w:val="24"/>
        </w:rPr>
        <w:t>See</w:t>
      </w:r>
      <w:r w:rsidRPr="00A6743C">
        <w:rPr>
          <w:szCs w:val="24"/>
        </w:rPr>
        <w:t xml:space="preserve"> </w:t>
      </w:r>
      <w:r w:rsidRPr="00A6743C">
        <w:rPr>
          <w:i/>
          <w:iCs/>
          <w:szCs w:val="24"/>
        </w:rPr>
        <w:t>Arc of Wash. State Inc. v. Braddock</w:t>
      </w:r>
      <w:r w:rsidRPr="00A6743C">
        <w:rPr>
          <w:szCs w:val="24"/>
        </w:rPr>
        <w:t xml:space="preserve">, </w:t>
      </w:r>
      <w:proofErr w:type="gramStart"/>
      <w:r w:rsidRPr="00A6743C">
        <w:rPr>
          <w:szCs w:val="24"/>
        </w:rPr>
        <w:t>427 F.3d 615, 618</w:t>
      </w:r>
      <w:proofErr w:type="gramEnd"/>
      <w:r w:rsidRPr="00A6743C">
        <w:rPr>
          <w:szCs w:val="24"/>
        </w:rPr>
        <w:t xml:space="preserve"> (9th Cir. 2005).</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pPr>
      <w:r w:rsidRPr="00A6743C">
        <w:rPr>
          <w:szCs w:val="24"/>
        </w:rPr>
        <w:tab/>
      </w:r>
      <w:r w:rsidR="007E7183" w:rsidRPr="00A6743C">
        <w:rPr>
          <w:szCs w:val="24"/>
        </w:rPr>
        <w:t xml:space="preserve">Twelve </w:t>
      </w:r>
      <w:r w:rsidRPr="00A6743C">
        <w:rPr>
          <w:szCs w:val="24"/>
        </w:rPr>
        <w:t xml:space="preserve">years ago, the Supreme Court applied these authorities and held that title II prohibits the unjustified segregation of individuals with disabilities.  </w:t>
      </w:r>
      <w:r w:rsidRPr="00A6743C">
        <w:rPr>
          <w:i/>
          <w:iCs/>
          <w:szCs w:val="24"/>
        </w:rPr>
        <w:t>Olmstead</w:t>
      </w:r>
      <w:r w:rsidRPr="00A6743C">
        <w:rPr>
          <w:szCs w:val="24"/>
        </w:rPr>
        <w:t xml:space="preserve">, 527 U.S. at 596.  </w:t>
      </w:r>
      <w:r w:rsidRPr="00A6743C">
        <w:rPr>
          <w:i/>
          <w:iCs/>
          <w:szCs w:val="24"/>
        </w:rPr>
        <w:t>Olmstead</w:t>
      </w:r>
      <w:r w:rsidRPr="00A6743C">
        <w:rPr>
          <w:szCs w:val="24"/>
        </w:rPr>
        <w:t xml:space="preserve"> held that public entities are required to provide community-based services for persons with disabilities who would otherwise be entitled to institutional services when </w:t>
      </w:r>
      <w:r w:rsidR="003A5024" w:rsidRPr="00A6743C">
        <w:rPr>
          <w:szCs w:val="24"/>
        </w:rPr>
        <w:t>(1)</w:t>
      </w:r>
      <w:r w:rsidR="001838C6" w:rsidRPr="00A6743C">
        <w:rPr>
          <w:szCs w:val="24"/>
        </w:rPr>
        <w:t xml:space="preserve"> individuals are appropriate for community placement; </w:t>
      </w:r>
      <w:r w:rsidR="003A5024" w:rsidRPr="00A6743C">
        <w:rPr>
          <w:szCs w:val="24"/>
        </w:rPr>
        <w:t>(2)</w:t>
      </w:r>
      <w:r w:rsidR="001838C6" w:rsidRPr="00A6743C">
        <w:rPr>
          <w:szCs w:val="24"/>
        </w:rPr>
        <w:t xml:space="preserve"> the affected persons do not oppose such treatment; </w:t>
      </w:r>
      <w:r w:rsidRPr="00A6743C">
        <w:rPr>
          <w:szCs w:val="24"/>
        </w:rPr>
        <w:t xml:space="preserve">and </w:t>
      </w:r>
      <w:r w:rsidR="003A5024" w:rsidRPr="00A6743C">
        <w:rPr>
          <w:szCs w:val="24"/>
        </w:rPr>
        <w:t>(3)</w:t>
      </w:r>
      <w:r w:rsidRPr="00A6743C">
        <w:rPr>
          <w:szCs w:val="24"/>
        </w:rPr>
        <w:t xml:space="preserve"> the placement can be reasonably accommodated, taking into account the resources available to the entity and the needs of others who are receiving disability services from the entity.  </w:t>
      </w:r>
      <w:r w:rsidRPr="00A6743C">
        <w:rPr>
          <w:i/>
          <w:iCs/>
          <w:szCs w:val="24"/>
        </w:rPr>
        <w:t>Olmstead</w:t>
      </w:r>
      <w:r w:rsidRPr="00A6743C">
        <w:rPr>
          <w:szCs w:val="24"/>
        </w:rPr>
        <w:t>, 527 U.S. at 607.</w:t>
      </w:r>
    </w:p>
    <w:p w:rsidR="0090216A" w:rsidRPr="00A6743C" w:rsidRDefault="0090216A" w:rsidP="00DE3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szCs w:val="24"/>
        </w:rPr>
      </w:pPr>
      <w:r w:rsidRPr="00A6743C">
        <w:rPr>
          <w:szCs w:val="24"/>
        </w:rPr>
        <w:tab/>
        <w:t xml:space="preserve">The Court explained that this holding “reflects two evident judgments.”  </w:t>
      </w:r>
      <w:proofErr w:type="gramStart"/>
      <w:r w:rsidRPr="00A6743C">
        <w:rPr>
          <w:i/>
          <w:szCs w:val="24"/>
        </w:rPr>
        <w:t>Id</w:t>
      </w:r>
      <w:r w:rsidRPr="00A6743C">
        <w:rPr>
          <w:szCs w:val="24"/>
        </w:rPr>
        <w:t>. at 600.</w:t>
      </w:r>
      <w:proofErr w:type="gramEnd"/>
      <w:r w:rsidRPr="00A6743C">
        <w:rPr>
          <w:szCs w:val="24"/>
        </w:rPr>
        <w:t xml:space="preserve">  “First, institutional placement of persons who can handle and benefit from community settings perpetuates unwarranted assumptions that persons so isolated are incapable or unworthy of participating in community life.”  </w:t>
      </w:r>
      <w:r w:rsidR="007704BD" w:rsidRPr="00A6743C">
        <w:rPr>
          <w:i/>
          <w:szCs w:val="24"/>
        </w:rPr>
        <w:t>Id</w:t>
      </w:r>
      <w:r w:rsidRPr="00A6743C">
        <w:rPr>
          <w:szCs w:val="24"/>
        </w:rPr>
        <w:t xml:space="preserve">.  “Second, confinement in an institution severely diminishes the everyday life activities of individuals, including family relations, social contacts, work options, economic independence, educational advancement, and cultural enrichment.”  </w:t>
      </w:r>
      <w:proofErr w:type="gramStart"/>
      <w:r w:rsidR="007704BD" w:rsidRPr="00A6743C">
        <w:rPr>
          <w:i/>
          <w:szCs w:val="24"/>
        </w:rPr>
        <w:t>Id</w:t>
      </w:r>
      <w:r w:rsidRPr="00A6743C">
        <w:rPr>
          <w:szCs w:val="24"/>
        </w:rPr>
        <w:t>. at 601.</w:t>
      </w:r>
      <w:proofErr w:type="gramEnd"/>
      <w:r w:rsidRPr="00A6743C">
        <w:rPr>
          <w:szCs w:val="24"/>
        </w:rPr>
        <w:t xml:space="preserve">  </w:t>
      </w:r>
      <w:r w:rsidRPr="00A6743C">
        <w:rPr>
          <w:i/>
          <w:szCs w:val="24"/>
        </w:rPr>
        <w:t>Olmstead</w:t>
      </w:r>
      <w:r w:rsidRPr="00A6743C">
        <w:rPr>
          <w:szCs w:val="24"/>
        </w:rPr>
        <w:t xml:space="preserve"> therefore makes clear that the aim of the integration mandate is to eliminate unnecessary institutionalization.  A state’s obligation to provide services in the most integrated setting may be excused only where a state can prove that the relief sought would result in a “fundamental alteration” of the state’s service system.  </w:t>
      </w:r>
      <w:proofErr w:type="gramStart"/>
      <w:r w:rsidR="007704BD" w:rsidRPr="00A6743C">
        <w:rPr>
          <w:i/>
          <w:iCs/>
          <w:szCs w:val="24"/>
        </w:rPr>
        <w:t>Id.</w:t>
      </w:r>
      <w:r w:rsidRPr="00A6743C">
        <w:rPr>
          <w:szCs w:val="24"/>
        </w:rPr>
        <w:t xml:space="preserve"> at 603-</w:t>
      </w:r>
      <w:r w:rsidR="00D97E14" w:rsidRPr="00A6743C">
        <w:rPr>
          <w:szCs w:val="24"/>
        </w:rPr>
        <w:t>0</w:t>
      </w:r>
      <w:r w:rsidRPr="00A6743C">
        <w:rPr>
          <w:szCs w:val="24"/>
        </w:rPr>
        <w:t>4.</w:t>
      </w:r>
      <w:proofErr w:type="gramEnd"/>
      <w:r w:rsidRPr="00A6743C">
        <w:rPr>
          <w:szCs w:val="24"/>
        </w:rPr>
        <w:t xml:space="preserve">  </w:t>
      </w:r>
      <w:bookmarkStart w:id="14" w:name="_Toc266438956"/>
    </w:p>
    <w:p w:rsidR="00C74033" w:rsidRPr="00A6743C" w:rsidRDefault="00D01B3E" w:rsidP="00C74033">
      <w:pPr>
        <w:pStyle w:val="Heading2"/>
        <w:spacing w:line="240" w:lineRule="auto"/>
      </w:pPr>
      <w:r w:rsidRPr="00A6743C">
        <w:t xml:space="preserve">A Budget </w:t>
      </w:r>
      <w:r w:rsidR="00CB0102">
        <w:t>Crisis d</w:t>
      </w:r>
      <w:r w:rsidRPr="00A6743C">
        <w:t xml:space="preserve">oes not </w:t>
      </w:r>
      <w:r w:rsidR="00720C4B" w:rsidRPr="00A6743C">
        <w:t xml:space="preserve">Automatically </w:t>
      </w:r>
      <w:r w:rsidR="00CB0102">
        <w:t>Relieve the State of it</w:t>
      </w:r>
      <w:r w:rsidR="00720C4B" w:rsidRPr="00A6743C">
        <w:t>s</w:t>
      </w:r>
      <w:r w:rsidRPr="00A6743C">
        <w:t xml:space="preserve"> Duty </w:t>
      </w:r>
      <w:proofErr w:type="gramStart"/>
      <w:r w:rsidRPr="00A6743C">
        <w:t>Under</w:t>
      </w:r>
      <w:proofErr w:type="gramEnd"/>
      <w:r w:rsidRPr="00A6743C">
        <w:t xml:space="preserve"> the ADA</w:t>
      </w:r>
    </w:p>
    <w:p w:rsidR="00B4112A" w:rsidRPr="00A6743C" w:rsidRDefault="00B4112A" w:rsidP="00B4112A">
      <w:pPr>
        <w:spacing w:line="240" w:lineRule="auto"/>
        <w:ind w:firstLine="720"/>
        <w:contextualSpacing/>
        <w:rPr>
          <w:szCs w:val="24"/>
        </w:rPr>
      </w:pPr>
    </w:p>
    <w:p w:rsidR="00C74033" w:rsidRPr="00A6743C" w:rsidRDefault="00C74033" w:rsidP="00C74033">
      <w:pPr>
        <w:spacing w:line="480" w:lineRule="auto"/>
        <w:ind w:firstLine="720"/>
        <w:contextualSpacing/>
        <w:rPr>
          <w:b/>
          <w:szCs w:val="24"/>
        </w:rPr>
      </w:pPr>
      <w:r w:rsidRPr="00A6743C">
        <w:rPr>
          <w:szCs w:val="24"/>
        </w:rPr>
        <w:t>A</w:t>
      </w:r>
      <w:r w:rsidRPr="00A6743C">
        <w:t xml:space="preserve"> public entity cannot simply point to a budgetary shortfall as an excuse for failure to </w:t>
      </w:r>
      <w:r w:rsidRPr="00A6743C">
        <w:lastRenderedPageBreak/>
        <w:t>comply</w:t>
      </w:r>
      <w:r w:rsidR="00C44002" w:rsidRPr="00A6743C">
        <w:t xml:space="preserve"> with</w:t>
      </w:r>
      <w:r w:rsidRPr="00A6743C">
        <w:t xml:space="preserve"> </w:t>
      </w:r>
      <w:r w:rsidRPr="00A6743C">
        <w:rPr>
          <w:i/>
        </w:rPr>
        <w:t xml:space="preserve">Olmstead.  </w:t>
      </w:r>
      <w:r w:rsidRPr="00A6743C">
        <w:rPr>
          <w:szCs w:val="24"/>
        </w:rPr>
        <w:t>“[T]hat [a state] has a fiscal problem, by itself, does not lead to an automatic conclusion” that providing the community services that</w:t>
      </w:r>
      <w:r w:rsidR="00C44002" w:rsidRPr="00A6743C">
        <w:rPr>
          <w:szCs w:val="24"/>
        </w:rPr>
        <w:t xml:space="preserve"> P</w:t>
      </w:r>
      <w:r w:rsidRPr="00A6743C">
        <w:rPr>
          <w:szCs w:val="24"/>
        </w:rPr>
        <w:t xml:space="preserve">laintiffs seek would be a fundamental alteration.  </w:t>
      </w:r>
      <w:proofErr w:type="gramStart"/>
      <w:r w:rsidR="007704BD" w:rsidRPr="00A6743C">
        <w:rPr>
          <w:i/>
          <w:iCs/>
          <w:szCs w:val="24"/>
        </w:rPr>
        <w:t>Fisher v. Oklahoma</w:t>
      </w:r>
      <w:r w:rsidR="007704BD" w:rsidRPr="00A6743C">
        <w:rPr>
          <w:szCs w:val="24"/>
        </w:rPr>
        <w:t>, 335 F.3d 1175, 1181 (10th Cir. 2003)</w:t>
      </w:r>
      <w:r w:rsidRPr="00A6743C">
        <w:rPr>
          <w:szCs w:val="24"/>
        </w:rPr>
        <w:t>.</w:t>
      </w:r>
      <w:proofErr w:type="gramEnd"/>
      <w:r w:rsidRPr="00A6743C">
        <w:rPr>
          <w:szCs w:val="24"/>
        </w:rPr>
        <w:t xml:space="preserve"> Indeed, “[i]f every alteration in a program or service that required the outlay of funds were tantamount to a fundamental alteration, the ADA’s integration mandate would be hollow indeed.”  </w:t>
      </w:r>
      <w:proofErr w:type="gramStart"/>
      <w:r w:rsidR="007704BD" w:rsidRPr="00A6743C">
        <w:rPr>
          <w:i/>
          <w:iCs/>
          <w:szCs w:val="24"/>
        </w:rPr>
        <w:t xml:space="preserve">Id. </w:t>
      </w:r>
      <w:r w:rsidR="007704BD" w:rsidRPr="00A6743C">
        <w:rPr>
          <w:iCs/>
          <w:szCs w:val="24"/>
        </w:rPr>
        <w:t>at</w:t>
      </w:r>
      <w:r w:rsidRPr="00A6743C">
        <w:rPr>
          <w:szCs w:val="24"/>
        </w:rPr>
        <w:t xml:space="preserve"> 1183.</w:t>
      </w:r>
      <w:proofErr w:type="gramEnd"/>
      <w:r w:rsidRPr="00A6743C">
        <w:rPr>
          <w:szCs w:val="24"/>
        </w:rPr>
        <w:t xml:space="preserve">  Congress was aware that integration “will sometimes involve substantial short-term burdens, both financial and administrative,” but the long-term effects of integration “will benefit society as a whole.”  </w:t>
      </w:r>
      <w:r w:rsidR="007704BD" w:rsidRPr="00A6743C">
        <w:rPr>
          <w:i/>
          <w:iCs/>
          <w:szCs w:val="24"/>
        </w:rPr>
        <w:t>Id</w:t>
      </w:r>
      <w:r w:rsidR="00C44002" w:rsidRPr="00A6743C">
        <w:rPr>
          <w:i/>
          <w:szCs w:val="24"/>
        </w:rPr>
        <w:t>.</w:t>
      </w:r>
      <w:r w:rsidRPr="00A6743C">
        <w:rPr>
          <w:b/>
          <w:szCs w:val="24"/>
        </w:rPr>
        <w:t xml:space="preserve">  </w:t>
      </w:r>
      <w:r w:rsidR="00720C4B" w:rsidRPr="00A6743C">
        <w:rPr>
          <w:szCs w:val="24"/>
        </w:rPr>
        <w:t xml:space="preserve">Similarly, </w:t>
      </w:r>
      <w:r w:rsidR="00097735" w:rsidRPr="00A6743C">
        <w:rPr>
          <w:szCs w:val="24"/>
        </w:rPr>
        <w:t xml:space="preserve">the Third Circuit Court of Appeals </w:t>
      </w:r>
      <w:r w:rsidR="00763600" w:rsidRPr="00A6743C">
        <w:rPr>
          <w:szCs w:val="24"/>
        </w:rPr>
        <w:t>held that</w:t>
      </w:r>
      <w:r w:rsidR="00720C4B" w:rsidRPr="00A6743C">
        <w:rPr>
          <w:szCs w:val="24"/>
        </w:rPr>
        <w:t xml:space="preserve"> </w:t>
      </w:r>
      <w:r w:rsidR="00763600" w:rsidRPr="00A6743C">
        <w:rPr>
          <w:szCs w:val="24"/>
        </w:rPr>
        <w:t xml:space="preserve">a fundamental alteration defense based solely on a budgetary shortfall analysis is insufficient. </w:t>
      </w:r>
      <w:proofErr w:type="gramStart"/>
      <w:r w:rsidR="00097735" w:rsidRPr="00A6743C">
        <w:rPr>
          <w:i/>
          <w:iCs/>
          <w:szCs w:val="24"/>
        </w:rPr>
        <w:t>Pa. Prot. &amp; Advocacy, Inc. v. Pa. Dep’t of Pub.</w:t>
      </w:r>
      <w:proofErr w:type="gramEnd"/>
      <w:r w:rsidR="00097735" w:rsidRPr="00A6743C">
        <w:rPr>
          <w:i/>
          <w:iCs/>
          <w:szCs w:val="24"/>
        </w:rPr>
        <w:t xml:space="preserve"> </w:t>
      </w:r>
      <w:proofErr w:type="gramStart"/>
      <w:r w:rsidR="00097735" w:rsidRPr="00A6743C">
        <w:rPr>
          <w:i/>
          <w:iCs/>
          <w:szCs w:val="24"/>
        </w:rPr>
        <w:t>Welfare</w:t>
      </w:r>
      <w:r w:rsidR="00097735" w:rsidRPr="00A6743C">
        <w:rPr>
          <w:szCs w:val="24"/>
        </w:rPr>
        <w:t>, 402 F.3d 374, 380 (3d Cir. 2005)</w:t>
      </w:r>
      <w:r w:rsidR="00763600" w:rsidRPr="00A6743C">
        <w:rPr>
          <w:szCs w:val="24"/>
        </w:rPr>
        <w:t>.</w:t>
      </w:r>
      <w:proofErr w:type="gramEnd"/>
      <w:r w:rsidR="00763600" w:rsidRPr="00A6743C">
        <w:rPr>
          <w:szCs w:val="24"/>
        </w:rPr>
        <w:t xml:space="preserve">  </w:t>
      </w:r>
      <w:r w:rsidR="00183601" w:rsidRPr="00A6743C">
        <w:rPr>
          <w:szCs w:val="24"/>
        </w:rPr>
        <w:t xml:space="preserve">In </w:t>
      </w:r>
      <w:proofErr w:type="spellStart"/>
      <w:r w:rsidR="00183601" w:rsidRPr="00A6743C">
        <w:rPr>
          <w:i/>
          <w:szCs w:val="24"/>
        </w:rPr>
        <w:t>Radaszewski</w:t>
      </w:r>
      <w:proofErr w:type="spellEnd"/>
      <w:r w:rsidR="00183601" w:rsidRPr="00A6743C">
        <w:rPr>
          <w:i/>
          <w:szCs w:val="24"/>
        </w:rPr>
        <w:t xml:space="preserve"> v. Maram</w:t>
      </w:r>
      <w:r w:rsidR="00183601" w:rsidRPr="00A6743C">
        <w:rPr>
          <w:szCs w:val="24"/>
        </w:rPr>
        <w:t xml:space="preserve">, </w:t>
      </w:r>
      <w:r w:rsidR="009B6DB4" w:rsidRPr="00A6743C">
        <w:rPr>
          <w:szCs w:val="24"/>
        </w:rPr>
        <w:t xml:space="preserve">383 F.3d 599, 614 (7th Cir. 2004), </w:t>
      </w:r>
      <w:r w:rsidR="00183601" w:rsidRPr="00A6743C">
        <w:rPr>
          <w:szCs w:val="24"/>
        </w:rPr>
        <w:t xml:space="preserve">the </w:t>
      </w:r>
      <w:r w:rsidR="00763600" w:rsidRPr="00A6743C">
        <w:rPr>
          <w:szCs w:val="24"/>
        </w:rPr>
        <w:t>Court</w:t>
      </w:r>
      <w:r w:rsidR="00183601" w:rsidRPr="00A6743C">
        <w:rPr>
          <w:szCs w:val="24"/>
        </w:rPr>
        <w:t xml:space="preserve"> similarly held that increased costs necessary to prevent institutionalization does not alone defeat a title II claim.</w:t>
      </w:r>
    </w:p>
    <w:p w:rsidR="00603C92" w:rsidRPr="00A6743C" w:rsidRDefault="00603C92" w:rsidP="00DE3A1E">
      <w:pPr>
        <w:pStyle w:val="Heading2"/>
        <w:spacing w:line="480" w:lineRule="auto"/>
      </w:pPr>
      <w:r w:rsidRPr="00A6743C">
        <w:t xml:space="preserve">Plaintiffs Need Not </w:t>
      </w:r>
      <w:r w:rsidR="002B397B" w:rsidRPr="00A6743C">
        <w:t>B</w:t>
      </w:r>
      <w:r w:rsidRPr="00A6743C">
        <w:t>e Instituti</w:t>
      </w:r>
      <w:r w:rsidR="009267AE" w:rsidRPr="00A6743C">
        <w:t xml:space="preserve">onalized </w:t>
      </w:r>
      <w:r w:rsidR="004D3490" w:rsidRPr="00A6743C">
        <w:t>T</w:t>
      </w:r>
      <w:r w:rsidR="009267AE" w:rsidRPr="00A6743C">
        <w:t>o Pursue an ADA Claim</w:t>
      </w:r>
    </w:p>
    <w:p w:rsidR="00603C92" w:rsidRPr="00A6743C" w:rsidRDefault="006C51A3" w:rsidP="006C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DE3A1E" w:rsidRPr="00A6743C">
        <w:rPr>
          <w:szCs w:val="24"/>
        </w:rPr>
        <w:t xml:space="preserve">The integration </w:t>
      </w:r>
      <w:r w:rsidR="001838C6" w:rsidRPr="00A6743C">
        <w:rPr>
          <w:szCs w:val="24"/>
        </w:rPr>
        <w:t xml:space="preserve">mandate prohibits public entities from pursing policies that place individuals at risk of unnecessary institutionalization.  </w:t>
      </w:r>
      <w:r w:rsidR="00DE0349" w:rsidRPr="00A6743C">
        <w:rPr>
          <w:i/>
          <w:iCs/>
          <w:szCs w:val="24"/>
        </w:rPr>
        <w:t>Fisher</w:t>
      </w:r>
      <w:r w:rsidR="00DE0349" w:rsidRPr="00A6743C">
        <w:rPr>
          <w:szCs w:val="24"/>
        </w:rPr>
        <w:t xml:space="preserve">, </w:t>
      </w:r>
      <w:proofErr w:type="gramStart"/>
      <w:r w:rsidR="00DE0349" w:rsidRPr="00A6743C">
        <w:rPr>
          <w:szCs w:val="24"/>
        </w:rPr>
        <w:t xml:space="preserve">335 F.3d </w:t>
      </w:r>
      <w:r w:rsidR="009B6DB4" w:rsidRPr="00A6743C">
        <w:rPr>
          <w:szCs w:val="24"/>
        </w:rPr>
        <w:t>at</w:t>
      </w:r>
      <w:r w:rsidR="00DE0349" w:rsidRPr="00A6743C">
        <w:rPr>
          <w:szCs w:val="24"/>
        </w:rPr>
        <w:t xml:space="preserve"> 1181</w:t>
      </w:r>
      <w:proofErr w:type="gramEnd"/>
      <w:r w:rsidR="00DE0349" w:rsidRPr="00A6743C">
        <w:rPr>
          <w:szCs w:val="24"/>
        </w:rPr>
        <w:t xml:space="preserve">.  </w:t>
      </w:r>
      <w:r w:rsidR="00DE3A1E" w:rsidRPr="00A6743C">
        <w:rPr>
          <w:szCs w:val="24"/>
        </w:rPr>
        <w:t>Plaintiffs need not wait until they are institutionalized to pursue a claim for violation of the ADA because the</w:t>
      </w:r>
      <w:r w:rsidR="00603C92" w:rsidRPr="00A6743C">
        <w:rPr>
          <w:szCs w:val="24"/>
        </w:rPr>
        <w:t xml:space="preserve"> goal of the integration mandate is to eliminate unnecessary instit</w:t>
      </w:r>
      <w:r w:rsidR="00DE3A1E" w:rsidRPr="00A6743C">
        <w:rPr>
          <w:szCs w:val="24"/>
        </w:rPr>
        <w:t xml:space="preserve">utionalization, and requiring </w:t>
      </w:r>
      <w:r w:rsidR="000B61B3" w:rsidRPr="00A6743C">
        <w:rPr>
          <w:szCs w:val="24"/>
        </w:rPr>
        <w:t>P</w:t>
      </w:r>
      <w:r w:rsidR="00603C92" w:rsidRPr="00A6743C">
        <w:rPr>
          <w:szCs w:val="24"/>
        </w:rPr>
        <w:t>laintiff</w:t>
      </w:r>
      <w:r w:rsidR="00DE3A1E" w:rsidRPr="00A6743C">
        <w:rPr>
          <w:szCs w:val="24"/>
        </w:rPr>
        <w:t>s</w:t>
      </w:r>
      <w:r w:rsidR="00603C92" w:rsidRPr="00A6743C">
        <w:rPr>
          <w:szCs w:val="24"/>
        </w:rPr>
        <w:t xml:space="preserve"> to enter an institution before </w:t>
      </w:r>
      <w:r w:rsidR="00DE3A1E" w:rsidRPr="00A6743C">
        <w:rPr>
          <w:szCs w:val="24"/>
        </w:rPr>
        <w:t>they</w:t>
      </w:r>
      <w:r w:rsidR="00603C92" w:rsidRPr="00A6743C">
        <w:rPr>
          <w:szCs w:val="24"/>
        </w:rPr>
        <w:t xml:space="preserve"> may bring a </w:t>
      </w:r>
      <w:r w:rsidR="00DE3A1E" w:rsidRPr="00A6743C">
        <w:rPr>
          <w:szCs w:val="24"/>
        </w:rPr>
        <w:t>t</w:t>
      </w:r>
      <w:r w:rsidR="00603C92" w:rsidRPr="00A6743C">
        <w:rPr>
          <w:szCs w:val="24"/>
        </w:rPr>
        <w:t>itle II claim would defeat this fundamental purpose</w:t>
      </w:r>
      <w:r w:rsidRPr="00A6743C">
        <w:rPr>
          <w:szCs w:val="24"/>
        </w:rPr>
        <w:t xml:space="preserve">.  In </w:t>
      </w:r>
      <w:r w:rsidRPr="00A6743C">
        <w:rPr>
          <w:i/>
          <w:iCs/>
          <w:szCs w:val="24"/>
        </w:rPr>
        <w:t>Fisher</w:t>
      </w:r>
      <w:r w:rsidRPr="00A6743C">
        <w:rPr>
          <w:szCs w:val="24"/>
        </w:rPr>
        <w:t xml:space="preserve">, the Tenth Circuit </w:t>
      </w:r>
      <w:r w:rsidR="008529F2" w:rsidRPr="00A6743C">
        <w:rPr>
          <w:szCs w:val="24"/>
        </w:rPr>
        <w:t xml:space="preserve">Court of Appeals </w:t>
      </w:r>
      <w:r w:rsidRPr="00A6743C">
        <w:rPr>
          <w:szCs w:val="24"/>
        </w:rPr>
        <w:t xml:space="preserve">rejected defendants’ argument that plaintiffs could not make an integration mandate challenge until they were placed in institutions.  </w:t>
      </w:r>
      <w:r w:rsidR="009B6DB4" w:rsidRPr="00A6743C">
        <w:rPr>
          <w:i/>
          <w:szCs w:val="24"/>
        </w:rPr>
        <w:t>Id.</w:t>
      </w:r>
      <w:r w:rsidR="001F7764" w:rsidRPr="00A6743C">
        <w:rPr>
          <w:szCs w:val="24"/>
        </w:rPr>
        <w:t xml:space="preserve"> </w:t>
      </w:r>
      <w:r w:rsidR="000B61B3" w:rsidRPr="00A6743C">
        <w:rPr>
          <w:szCs w:val="24"/>
        </w:rPr>
        <w:t xml:space="preserve"> </w:t>
      </w:r>
      <w:r w:rsidRPr="00A6743C">
        <w:rPr>
          <w:szCs w:val="24"/>
        </w:rPr>
        <w:t xml:space="preserve">The court reasoned that the protections of the integration mandate “would be meaningless if plaintiffs were required to segregate themselves by entering an institution before </w:t>
      </w:r>
      <w:r w:rsidRPr="00A6743C">
        <w:rPr>
          <w:szCs w:val="24"/>
        </w:rPr>
        <w:lastRenderedPageBreak/>
        <w:t xml:space="preserve">they could challenge an allegedly discriminatory law or policy that threatens to force them into segregated isolation.”  </w:t>
      </w:r>
      <w:r w:rsidRPr="00A6743C">
        <w:rPr>
          <w:i/>
          <w:iCs/>
          <w:szCs w:val="24"/>
        </w:rPr>
        <w:t>Id</w:t>
      </w:r>
      <w:r w:rsidRPr="00A6743C">
        <w:rPr>
          <w:szCs w:val="24"/>
        </w:rPr>
        <w:t>.</w:t>
      </w:r>
      <w:r w:rsidR="00B21C6E" w:rsidRPr="00A6743C">
        <w:rPr>
          <w:rStyle w:val="FootnoteReference"/>
          <w:szCs w:val="24"/>
        </w:rPr>
        <w:footnoteReference w:id="7"/>
      </w:r>
      <w:r w:rsidRPr="00A6743C">
        <w:rPr>
          <w:szCs w:val="24"/>
        </w:rPr>
        <w:t xml:space="preserve">  </w:t>
      </w:r>
    </w:p>
    <w:p w:rsidR="004B5B16" w:rsidRPr="00A6743C" w:rsidRDefault="00D36378" w:rsidP="00DE3A1E">
      <w:pPr>
        <w:pStyle w:val="Heading2"/>
        <w:spacing w:line="480" w:lineRule="auto"/>
      </w:pPr>
      <w:r w:rsidRPr="00A6743C">
        <w:t xml:space="preserve">Plaintiffs Satisfy the Requirements for a Preliminary Injunction.  </w:t>
      </w:r>
    </w:p>
    <w:p w:rsidR="00D36378" w:rsidRPr="00A6743C" w:rsidRDefault="00D36378" w:rsidP="00481D32">
      <w:pPr>
        <w:pStyle w:val="Heading2"/>
        <w:numPr>
          <w:ilvl w:val="0"/>
          <w:numId w:val="0"/>
        </w:numPr>
        <w:spacing w:line="480" w:lineRule="auto"/>
        <w:ind w:firstLine="720"/>
        <w:contextualSpacing/>
        <w:rPr>
          <w:bCs/>
          <w:szCs w:val="24"/>
        </w:rPr>
      </w:pPr>
      <w:r w:rsidRPr="00A6743C">
        <w:rPr>
          <w:b w:val="0"/>
          <w:bCs/>
          <w:szCs w:val="24"/>
          <w:u w:val="none"/>
        </w:rPr>
        <w:t xml:space="preserve">To obtain a preliminary injunction, plaintiffs must show (1) likelihood of success on the merits of their ADA Title II claim; (2) likelihood that the disruption in services will cause irreparable harm; (3) that </w:t>
      </w:r>
      <w:r w:rsidR="00A7666F" w:rsidRPr="00A6743C">
        <w:rPr>
          <w:b w:val="0"/>
          <w:bCs/>
          <w:szCs w:val="24"/>
          <w:u w:val="none"/>
        </w:rPr>
        <w:t xml:space="preserve">the </w:t>
      </w:r>
      <w:r w:rsidRPr="00A6743C">
        <w:rPr>
          <w:b w:val="0"/>
          <w:bCs/>
          <w:szCs w:val="24"/>
          <w:u w:val="none"/>
        </w:rPr>
        <w:t xml:space="preserve">balance of hardships weighs in favor of plaintiffs; and (4) that granting an injunction is in the public interest.  </w:t>
      </w:r>
      <w:proofErr w:type="gramStart"/>
      <w:r w:rsidRPr="00A6743C">
        <w:rPr>
          <w:b w:val="0"/>
          <w:bCs/>
          <w:i/>
          <w:szCs w:val="24"/>
          <w:u w:val="none"/>
        </w:rPr>
        <w:t>Winter v. Natural Res</w:t>
      </w:r>
      <w:r w:rsidR="00A7666F" w:rsidRPr="00A6743C">
        <w:rPr>
          <w:b w:val="0"/>
          <w:bCs/>
          <w:i/>
          <w:szCs w:val="24"/>
          <w:u w:val="none"/>
        </w:rPr>
        <w:t>.</w:t>
      </w:r>
      <w:r w:rsidRPr="00A6743C">
        <w:rPr>
          <w:b w:val="0"/>
          <w:bCs/>
          <w:i/>
          <w:szCs w:val="24"/>
          <w:u w:val="none"/>
        </w:rPr>
        <w:t xml:space="preserve"> Def</w:t>
      </w:r>
      <w:r w:rsidR="00A7666F" w:rsidRPr="00A6743C">
        <w:rPr>
          <w:b w:val="0"/>
          <w:bCs/>
          <w:i/>
          <w:szCs w:val="24"/>
          <w:u w:val="none"/>
        </w:rPr>
        <w:t>.</w:t>
      </w:r>
      <w:r w:rsidRPr="00A6743C">
        <w:rPr>
          <w:b w:val="0"/>
          <w:bCs/>
          <w:i/>
          <w:szCs w:val="24"/>
          <w:u w:val="none"/>
        </w:rPr>
        <w:t xml:space="preserve"> Council, Inc.,</w:t>
      </w:r>
      <w:r w:rsidRPr="00A6743C">
        <w:rPr>
          <w:b w:val="0"/>
          <w:bCs/>
          <w:szCs w:val="24"/>
          <w:u w:val="none"/>
        </w:rPr>
        <w:t xml:space="preserve"> 555 U.S. 7, 29 S. Ct. 365, 374-76 (2008).</w:t>
      </w:r>
      <w:proofErr w:type="gramEnd"/>
    </w:p>
    <w:p w:rsidR="00481D32" w:rsidRPr="00A6743C" w:rsidRDefault="00D36378" w:rsidP="00481D32">
      <w:pPr>
        <w:pStyle w:val="Heading3"/>
        <w:spacing w:line="480" w:lineRule="auto"/>
        <w:ind w:left="1440"/>
      </w:pPr>
      <w:bookmarkStart w:id="15" w:name="_Toc266438958"/>
      <w:r w:rsidRPr="00A6743C">
        <w:t xml:space="preserve">Plaintiffs Are Likely To Prevail </w:t>
      </w:r>
      <w:r w:rsidR="004D3490" w:rsidRPr="00A6743C">
        <w:t>o</w:t>
      </w:r>
      <w:r w:rsidRPr="00A6743C">
        <w:t xml:space="preserve">n Their </w:t>
      </w:r>
      <w:bookmarkEnd w:id="15"/>
      <w:r w:rsidR="00720C4B" w:rsidRPr="00A6743C">
        <w:t>ADA Claim</w:t>
      </w:r>
    </w:p>
    <w:p w:rsidR="00454CDB" w:rsidRPr="00A6743C" w:rsidRDefault="001838C6" w:rsidP="00481D32">
      <w:pPr>
        <w:spacing w:line="480" w:lineRule="auto"/>
        <w:ind w:firstLine="720"/>
        <w:contextualSpacing/>
        <w:rPr>
          <w:szCs w:val="24"/>
        </w:rPr>
      </w:pPr>
      <w:r w:rsidRPr="00A6743C">
        <w:rPr>
          <w:iCs/>
          <w:szCs w:val="24"/>
        </w:rPr>
        <w:t xml:space="preserve">Plaintiffs can establish the three key elements of an </w:t>
      </w:r>
      <w:r w:rsidRPr="00A6743C">
        <w:rPr>
          <w:i/>
          <w:iCs/>
          <w:szCs w:val="24"/>
        </w:rPr>
        <w:t>Olmstead</w:t>
      </w:r>
      <w:r w:rsidRPr="00A6743C">
        <w:rPr>
          <w:iCs/>
          <w:szCs w:val="24"/>
        </w:rPr>
        <w:t xml:space="preserve"> claim.  </w:t>
      </w:r>
      <w:r w:rsidRPr="00A6743C">
        <w:rPr>
          <w:szCs w:val="24"/>
        </w:rPr>
        <w:t>The first two elements</w:t>
      </w:r>
      <w:r w:rsidR="00E811BD" w:rsidRPr="00A6743C">
        <w:rPr>
          <w:szCs w:val="24"/>
        </w:rPr>
        <w:t>—</w:t>
      </w:r>
      <w:r w:rsidRPr="00A6743C">
        <w:rPr>
          <w:szCs w:val="24"/>
        </w:rPr>
        <w:t>that Plaintiffs are appropriate for and do not oppose community placement</w:t>
      </w:r>
      <w:r w:rsidR="00E811BD" w:rsidRPr="00A6743C">
        <w:rPr>
          <w:szCs w:val="24"/>
        </w:rPr>
        <w:t>—</w:t>
      </w:r>
      <w:r w:rsidRPr="00A6743C">
        <w:rPr>
          <w:szCs w:val="24"/>
        </w:rPr>
        <w:t xml:space="preserve">do not appear to be in dispute.  </w:t>
      </w:r>
      <w:r w:rsidR="00EC14CB" w:rsidRPr="00A6743C">
        <w:rPr>
          <w:szCs w:val="24"/>
        </w:rPr>
        <w:t xml:space="preserve">This case turns on whether the Defendants’ reduction in personal care services places the Plaintiffs at risk of institutionalization.  </w:t>
      </w:r>
      <w:r w:rsidR="004C537C" w:rsidRPr="00A6743C">
        <w:rPr>
          <w:szCs w:val="24"/>
        </w:rPr>
        <w:t xml:space="preserve">Both parties agree that if the </w:t>
      </w:r>
      <w:r w:rsidR="00EC14CB" w:rsidRPr="00A6743C">
        <w:rPr>
          <w:szCs w:val="24"/>
        </w:rPr>
        <w:lastRenderedPageBreak/>
        <w:t>Plaintiffs</w:t>
      </w:r>
      <w:r w:rsidR="004C537C" w:rsidRPr="00A6743C">
        <w:rPr>
          <w:szCs w:val="24"/>
        </w:rPr>
        <w:t xml:space="preserve">’ </w:t>
      </w:r>
      <w:r w:rsidR="00EC14CB" w:rsidRPr="00A6743C">
        <w:rPr>
          <w:szCs w:val="24"/>
        </w:rPr>
        <w:t>prediction</w:t>
      </w:r>
      <w:r w:rsidR="004C537C" w:rsidRPr="00A6743C">
        <w:rPr>
          <w:szCs w:val="24"/>
        </w:rPr>
        <w:t xml:space="preserve"> that the </w:t>
      </w:r>
      <w:r w:rsidR="00EC14CB" w:rsidRPr="00A6743C">
        <w:rPr>
          <w:szCs w:val="24"/>
        </w:rPr>
        <w:t>reduction in personal care hours</w:t>
      </w:r>
      <w:r w:rsidR="004C537C" w:rsidRPr="00A6743C">
        <w:rPr>
          <w:szCs w:val="24"/>
        </w:rPr>
        <w:t xml:space="preserve"> will place them at</w:t>
      </w:r>
      <w:r w:rsidR="00EC14CB" w:rsidRPr="00A6743C">
        <w:rPr>
          <w:szCs w:val="24"/>
        </w:rPr>
        <w:t xml:space="preserve"> risk of institutionalization comes true, then the State will not realize its anticipated budget savings from the reductions.  </w:t>
      </w:r>
      <w:proofErr w:type="gramStart"/>
      <w:r w:rsidR="005A1C50" w:rsidRPr="00A6743C">
        <w:rPr>
          <w:szCs w:val="24"/>
        </w:rPr>
        <w:t>(</w:t>
      </w:r>
      <w:r w:rsidR="004E7C89" w:rsidRPr="00A6743C">
        <w:rPr>
          <w:szCs w:val="24"/>
        </w:rPr>
        <w:t>Def</w:t>
      </w:r>
      <w:r w:rsidR="00E811BD" w:rsidRPr="00A6743C">
        <w:rPr>
          <w:szCs w:val="24"/>
        </w:rPr>
        <w:t>s</w:t>
      </w:r>
      <w:r w:rsidR="004E7C89" w:rsidRPr="00A6743C">
        <w:rPr>
          <w:szCs w:val="24"/>
        </w:rPr>
        <w:t>.</w:t>
      </w:r>
      <w:r w:rsidR="00E811BD" w:rsidRPr="00A6743C">
        <w:rPr>
          <w:szCs w:val="24"/>
        </w:rPr>
        <w:t>’</w:t>
      </w:r>
      <w:proofErr w:type="gramEnd"/>
      <w:r w:rsidR="00E811BD" w:rsidRPr="00A6743C">
        <w:rPr>
          <w:szCs w:val="24"/>
        </w:rPr>
        <w:t xml:space="preserve"> </w:t>
      </w:r>
      <w:proofErr w:type="gramStart"/>
      <w:r w:rsidR="00E811BD" w:rsidRPr="00A6743C">
        <w:rPr>
          <w:szCs w:val="24"/>
        </w:rPr>
        <w:t>Resp. to Pls.’ Mot.</w:t>
      </w:r>
      <w:proofErr w:type="gramEnd"/>
      <w:r w:rsidR="00E811BD" w:rsidRPr="00A6743C">
        <w:rPr>
          <w:szCs w:val="24"/>
        </w:rPr>
        <w:t xml:space="preserve"> </w:t>
      </w:r>
      <w:proofErr w:type="gramStart"/>
      <w:r w:rsidR="00E811BD" w:rsidRPr="00A6743C">
        <w:rPr>
          <w:szCs w:val="24"/>
        </w:rPr>
        <w:t>for</w:t>
      </w:r>
      <w:proofErr w:type="gramEnd"/>
      <w:r w:rsidR="004E7C89" w:rsidRPr="00A6743C">
        <w:rPr>
          <w:szCs w:val="24"/>
        </w:rPr>
        <w:t xml:space="preserve"> TRO</w:t>
      </w:r>
      <w:r w:rsidR="00E811BD" w:rsidRPr="00A6743C">
        <w:rPr>
          <w:szCs w:val="24"/>
        </w:rPr>
        <w:t xml:space="preserve"> </w:t>
      </w:r>
      <w:r w:rsidR="004E7C89" w:rsidRPr="00A6743C">
        <w:rPr>
          <w:szCs w:val="24"/>
        </w:rPr>
        <w:t>at 27</w:t>
      </w:r>
      <w:r w:rsidR="00C815F3" w:rsidRPr="00A6743C">
        <w:rPr>
          <w:szCs w:val="24"/>
        </w:rPr>
        <w:t>; Reed Decl.</w:t>
      </w:r>
      <w:r w:rsidR="00EC14CB" w:rsidRPr="00A6743C">
        <w:rPr>
          <w:szCs w:val="24"/>
        </w:rPr>
        <w:t xml:space="preserve"> ¶</w:t>
      </w:r>
      <w:r w:rsidR="00C815F3" w:rsidRPr="00A6743C">
        <w:rPr>
          <w:szCs w:val="24"/>
        </w:rPr>
        <w:t xml:space="preserve"> </w:t>
      </w:r>
      <w:r w:rsidR="00EC14CB" w:rsidRPr="00A6743C">
        <w:rPr>
          <w:szCs w:val="24"/>
        </w:rPr>
        <w:t>20.</w:t>
      </w:r>
      <w:r w:rsidR="005A1C50" w:rsidRPr="00A6743C">
        <w:rPr>
          <w:szCs w:val="24"/>
        </w:rPr>
        <w:t>)</w:t>
      </w:r>
      <w:r w:rsidR="00720C4B" w:rsidRPr="00A6743C">
        <w:rPr>
          <w:szCs w:val="24"/>
        </w:rPr>
        <w:t xml:space="preserve">  </w:t>
      </w:r>
      <w:r w:rsidR="00EC14CB" w:rsidRPr="00A6743C">
        <w:rPr>
          <w:szCs w:val="24"/>
        </w:rPr>
        <w:t xml:space="preserve">Thus, while the State’s budgetary shortfall drove the Defendants’ decision to reduce the services in the first place, this not a case where the State’s compliance with </w:t>
      </w:r>
      <w:r w:rsidR="00EC14CB" w:rsidRPr="00A6743C">
        <w:rPr>
          <w:i/>
          <w:szCs w:val="24"/>
        </w:rPr>
        <w:t>Olmstead</w:t>
      </w:r>
      <w:r w:rsidR="00EC14CB" w:rsidRPr="00A6743C">
        <w:rPr>
          <w:szCs w:val="24"/>
        </w:rPr>
        <w:t xml:space="preserve"> is at odds with the State’s financial interests.  </w:t>
      </w:r>
      <w:r w:rsidR="00454CDB" w:rsidRPr="00A6743C">
        <w:rPr>
          <w:szCs w:val="24"/>
        </w:rPr>
        <w:t xml:space="preserve">The Plaintiffs have established that the sudden </w:t>
      </w:r>
      <w:proofErr w:type="gramStart"/>
      <w:r w:rsidR="00454CDB" w:rsidRPr="00A6743C">
        <w:rPr>
          <w:szCs w:val="24"/>
        </w:rPr>
        <w:t>reductions in personal care services places</w:t>
      </w:r>
      <w:proofErr w:type="gramEnd"/>
      <w:r w:rsidR="00454CDB" w:rsidRPr="00A6743C">
        <w:rPr>
          <w:szCs w:val="24"/>
        </w:rPr>
        <w:t xml:space="preserve"> them at risk of institutionalization.   </w:t>
      </w:r>
    </w:p>
    <w:p w:rsidR="00C94065" w:rsidRPr="00A6743C" w:rsidRDefault="00E85CA7" w:rsidP="00C94065">
      <w:pPr>
        <w:pStyle w:val="Heading4"/>
        <w:spacing w:line="240" w:lineRule="auto"/>
      </w:pPr>
      <w:r w:rsidRPr="00A6743C">
        <w:t xml:space="preserve">Imminent Risk of Institutionalization </w:t>
      </w:r>
      <w:r w:rsidR="00D02B6F" w:rsidRPr="00A6743C">
        <w:t>I</w:t>
      </w:r>
      <w:r w:rsidRPr="00A6743C">
        <w:t>s Not Required Under the ADA Integration Mandate</w:t>
      </w:r>
    </w:p>
    <w:p w:rsidR="007F3239" w:rsidRPr="00A6743C" w:rsidRDefault="007F3239" w:rsidP="007F3239">
      <w:pPr>
        <w:spacing w:line="240" w:lineRule="auto"/>
        <w:ind w:firstLine="720"/>
        <w:contextualSpacing/>
        <w:rPr>
          <w:szCs w:val="24"/>
        </w:rPr>
      </w:pPr>
    </w:p>
    <w:p w:rsidR="00466FB8" w:rsidRPr="00A6743C" w:rsidRDefault="00466FB8" w:rsidP="00C94065">
      <w:pPr>
        <w:spacing w:line="480" w:lineRule="auto"/>
        <w:ind w:firstLine="720"/>
        <w:contextualSpacing/>
      </w:pPr>
      <w:r w:rsidRPr="00A6743C">
        <w:t xml:space="preserve">The elimination of services that have enabled </w:t>
      </w:r>
      <w:r w:rsidR="009F287B" w:rsidRPr="00A6743C">
        <w:t>P</w:t>
      </w:r>
      <w:r w:rsidRPr="00A6743C">
        <w:t xml:space="preserve">laintiffs to remain </w:t>
      </w:r>
      <w:r w:rsidR="00736BD1" w:rsidRPr="00A6743C">
        <w:t xml:space="preserve">in the community </w:t>
      </w:r>
      <w:r w:rsidRPr="00A6743C">
        <w:t xml:space="preserve">violates the ADA, regardless of whether </w:t>
      </w:r>
      <w:r w:rsidR="00A035D7" w:rsidRPr="00A6743C">
        <w:t>it causes them to enter an institution immediately</w:t>
      </w:r>
      <w:r w:rsidRPr="00A6743C">
        <w:t>, or whether it causes them to decline in health o</w:t>
      </w:r>
      <w:r w:rsidR="00E85CA7" w:rsidRPr="00A6743C">
        <w:t xml:space="preserve">ver time and eventually enter an institution </w:t>
      </w:r>
      <w:r w:rsidRPr="00A6743C">
        <w:t>to seek necessary care</w:t>
      </w:r>
      <w:r w:rsidR="008529F2" w:rsidRPr="00A6743C">
        <w:t xml:space="preserve">.  In </w:t>
      </w:r>
      <w:r w:rsidR="008529F2" w:rsidRPr="00A6743C">
        <w:rPr>
          <w:i/>
          <w:iCs/>
        </w:rPr>
        <w:t>Fisher</w:t>
      </w:r>
      <w:r w:rsidR="008529F2" w:rsidRPr="00A6743C">
        <w:t xml:space="preserve">, there was no allegation that the defendants’ actions threatened any of the plaintiffs with immediate institutionalization.  </w:t>
      </w:r>
      <w:proofErr w:type="gramStart"/>
      <w:r w:rsidR="008529F2" w:rsidRPr="00A6743C">
        <w:t>335 F.3d at 1185.</w:t>
      </w:r>
      <w:proofErr w:type="gramEnd"/>
      <w:r w:rsidR="008529F2" w:rsidRPr="00A6743C">
        <w:t>  Rather, the evidence showed that many of the plaintiffs would remain in their homes “until their health ha[d] deteriorated” and would “</w:t>
      </w:r>
      <w:r w:rsidR="008529F2" w:rsidRPr="00A6743C">
        <w:rPr>
          <w:i/>
          <w:iCs/>
        </w:rPr>
        <w:t>eventually</w:t>
      </w:r>
      <w:r w:rsidR="008529F2" w:rsidRPr="00A6743C">
        <w:t xml:space="preserve"> end up in a nursing home.”  </w:t>
      </w:r>
      <w:r w:rsidR="008529F2" w:rsidRPr="00A6743C">
        <w:rPr>
          <w:i/>
          <w:iCs/>
        </w:rPr>
        <w:t>Id.</w:t>
      </w:r>
      <w:r w:rsidR="008529F2" w:rsidRPr="00A6743C">
        <w:t xml:space="preserve"> (emphasis added).  Indeed, </w:t>
      </w:r>
      <w:r w:rsidRPr="00A6743C">
        <w:t xml:space="preserve">in </w:t>
      </w:r>
      <w:r w:rsidRPr="00A6743C">
        <w:rPr>
          <w:i/>
        </w:rPr>
        <w:t>Brantley</w:t>
      </w:r>
      <w:r w:rsidR="00992F24" w:rsidRPr="00A6743C">
        <w:t xml:space="preserve"> </w:t>
      </w:r>
      <w:r w:rsidR="00992F24" w:rsidRPr="00A6743C">
        <w:rPr>
          <w:i/>
        </w:rPr>
        <w:t>v. Maxwell-Jolly</w:t>
      </w:r>
      <w:r w:rsidR="00F61C2C" w:rsidRPr="00A6743C">
        <w:t xml:space="preserve">, </w:t>
      </w:r>
      <w:r w:rsidRPr="00A6743C">
        <w:t xml:space="preserve">the court </w:t>
      </w:r>
      <w:r w:rsidR="008529F2" w:rsidRPr="00A6743C">
        <w:t xml:space="preserve">explicitly </w:t>
      </w:r>
      <w:r w:rsidRPr="00A6743C">
        <w:t>rejected the defendants’ assertion that “in order to state a Title II violation, Plaintiffs must show that the [State’s reduction in community-based services] leaves no choice other than to be institutionalized . . .”</w:t>
      </w:r>
      <w:r w:rsidR="00992F24" w:rsidRPr="00A6743C">
        <w:t xml:space="preserve"> but rather concluded that “the </w:t>
      </w:r>
      <w:r w:rsidR="00992F24" w:rsidRPr="00A6743C">
        <w:rPr>
          <w:i/>
        </w:rPr>
        <w:t>risk</w:t>
      </w:r>
      <w:r w:rsidR="00992F24" w:rsidRPr="00A6743C">
        <w:t xml:space="preserve"> of institutionalization is </w:t>
      </w:r>
      <w:proofErr w:type="gramStart"/>
      <w:r w:rsidR="00992F24" w:rsidRPr="00A6743C">
        <w:t>sufficient</w:t>
      </w:r>
      <w:r w:rsidR="00605A62" w:rsidRPr="00A6743C">
        <w:t>[</w:t>
      </w:r>
      <w:proofErr w:type="gramEnd"/>
      <w:r w:rsidR="00605A62" w:rsidRPr="00A6743C">
        <w:t>,]</w:t>
      </w:r>
      <w:r w:rsidR="00992F24" w:rsidRPr="00A6743C">
        <w:t xml:space="preserve">” and thus granted the plaintiffs’ motion for a preliminary injunction.  </w:t>
      </w:r>
      <w:proofErr w:type="gramStart"/>
      <w:r w:rsidR="00992F24" w:rsidRPr="00A6743C">
        <w:t>656 F. Supp. 2d at 1170.</w:t>
      </w:r>
      <w:proofErr w:type="gramEnd"/>
      <w:r w:rsidR="008529F2" w:rsidRPr="00A6743C">
        <w:t xml:space="preserve"> (quotation marks omitted); </w:t>
      </w:r>
      <w:r w:rsidRPr="00A6743C">
        <w:rPr>
          <w:i/>
          <w:iCs/>
        </w:rPr>
        <w:t>see also</w:t>
      </w:r>
      <w:r w:rsidRPr="00A6743C">
        <w:t xml:space="preserve"> </w:t>
      </w:r>
      <w:r w:rsidRPr="00A6743C">
        <w:rPr>
          <w:i/>
          <w:iCs/>
        </w:rPr>
        <w:t>V.L</w:t>
      </w:r>
      <w:r w:rsidRPr="00A6743C">
        <w:t xml:space="preserve">., 669 F. Supp. 2d at 1120 (concluding that plaintiffs may establish a violation of the integration mandate by showing that the denial of services could lead to an eventual “decline in health” that puts </w:t>
      </w:r>
      <w:r w:rsidRPr="00A6743C">
        <w:lastRenderedPageBreak/>
        <w:t xml:space="preserve">them at “risk [of] being placed in a nursing home.”). </w:t>
      </w:r>
    </w:p>
    <w:p w:rsidR="00466FB8" w:rsidRPr="00A6743C" w:rsidRDefault="00992F24" w:rsidP="008529F2">
      <w:pPr>
        <w:autoSpaceDE w:val="0"/>
        <w:autoSpaceDN w:val="0"/>
        <w:adjustRightInd w:val="0"/>
        <w:spacing w:line="480" w:lineRule="auto"/>
        <w:ind w:firstLine="720"/>
      </w:pPr>
      <w:r w:rsidRPr="00A6743C">
        <w:t xml:space="preserve">Recently, a district court </w:t>
      </w:r>
      <w:r w:rsidR="007F3239" w:rsidRPr="00A6743C">
        <w:t>consider</w:t>
      </w:r>
      <w:r w:rsidR="00F61C2C" w:rsidRPr="00A6743C">
        <w:t>ed</w:t>
      </w:r>
      <w:r w:rsidR="007F3239" w:rsidRPr="00A6743C">
        <w:t xml:space="preserve"> whether the state of Missouri violated the integration mandate of the ADA when it refused</w:t>
      </w:r>
      <w:r w:rsidR="001B5FB8" w:rsidRPr="00A6743C">
        <w:t>, as a matter of statewide policy,</w:t>
      </w:r>
      <w:r w:rsidR="007F3239" w:rsidRPr="00A6743C">
        <w:t xml:space="preserve"> to provide incontin</w:t>
      </w:r>
      <w:r w:rsidR="00C24A65" w:rsidRPr="00A6743C">
        <w:t>ence briefs under its Medicaid s</w:t>
      </w:r>
      <w:r w:rsidR="007F3239" w:rsidRPr="00A6743C">
        <w:t xml:space="preserve">tate plan to </w:t>
      </w:r>
      <w:r w:rsidRPr="00A6743C">
        <w:t>adults residing</w:t>
      </w:r>
      <w:r w:rsidR="007F3239" w:rsidRPr="00A6743C">
        <w:t xml:space="preserve"> in the community.   </w:t>
      </w:r>
      <w:r w:rsidR="009267AE" w:rsidRPr="00A6743C">
        <w:rPr>
          <w:i/>
        </w:rPr>
        <w:t>Hiltibran v. Levy</w:t>
      </w:r>
      <w:r w:rsidR="009267AE" w:rsidRPr="00A6743C">
        <w:t xml:space="preserve">, No. 10-4185 (D. Mo. Dec. 24, 2010) (attached as Exhibit </w:t>
      </w:r>
      <w:r w:rsidR="00605A62" w:rsidRPr="00A6743C">
        <w:t>C</w:t>
      </w:r>
      <w:r w:rsidR="009267AE" w:rsidRPr="00A6743C">
        <w:t>)</w:t>
      </w:r>
      <w:r w:rsidR="008529F2" w:rsidRPr="00A6743C">
        <w:t>.</w:t>
      </w:r>
      <w:r w:rsidRPr="00A6743C">
        <w:t xml:space="preserve"> </w:t>
      </w:r>
      <w:r w:rsidR="007F3239" w:rsidRPr="00A6743C">
        <w:t>The c</w:t>
      </w:r>
      <w:r w:rsidR="00466FB8" w:rsidRPr="00A6743C">
        <w:t xml:space="preserve">ourt held that despite </w:t>
      </w:r>
      <w:r w:rsidR="007F3239" w:rsidRPr="00A6743C">
        <w:t>the plaintiffs</w:t>
      </w:r>
      <w:r w:rsidR="001B5FB8" w:rsidRPr="00A6743C">
        <w:t xml:space="preserve">’ ability thus far </w:t>
      </w:r>
      <w:r w:rsidR="007F3239" w:rsidRPr="00A6743C">
        <w:t xml:space="preserve">to </w:t>
      </w:r>
      <w:r w:rsidRPr="00A6743C">
        <w:t xml:space="preserve">pay for the </w:t>
      </w:r>
      <w:r w:rsidR="007F3239" w:rsidRPr="00A6743C">
        <w:t>briefs themselves to avoid institutional placement</w:t>
      </w:r>
      <w:r w:rsidR="00F61C2C" w:rsidRPr="00A6743C">
        <w:t>,</w:t>
      </w:r>
      <w:r w:rsidR="001B5FB8" w:rsidRPr="00A6743C">
        <w:t xml:space="preserve"> </w:t>
      </w:r>
      <w:r w:rsidR="007F3239" w:rsidRPr="00A6743C">
        <w:t>the</w:t>
      </w:r>
      <w:r w:rsidR="00466FB8" w:rsidRPr="00A6743C">
        <w:t xml:space="preserve"> plaintiffs were nonetheless </w:t>
      </w:r>
      <w:r w:rsidR="00234DAC" w:rsidRPr="00A6743C">
        <w:t xml:space="preserve">likely </w:t>
      </w:r>
      <w:r w:rsidR="00466FB8" w:rsidRPr="00A6743C">
        <w:t xml:space="preserve">at risk of institutionalization because the cost of </w:t>
      </w:r>
      <w:r w:rsidR="00F61C2C" w:rsidRPr="00A6743C">
        <w:t>the</w:t>
      </w:r>
      <w:r w:rsidR="00466FB8" w:rsidRPr="00A6743C">
        <w:t xml:space="preserve"> briefs strained the plaintiffs’ already precarious financial situations. </w:t>
      </w:r>
      <w:r w:rsidR="001B5FB8" w:rsidRPr="00A6743C">
        <w:t xml:space="preserve"> </w:t>
      </w:r>
      <w:proofErr w:type="gramStart"/>
      <w:r w:rsidR="00466FB8" w:rsidRPr="00A6743C">
        <w:rPr>
          <w:i/>
        </w:rPr>
        <w:t>Id.</w:t>
      </w:r>
      <w:r w:rsidR="00466FB8" w:rsidRPr="00A6743C">
        <w:t xml:space="preserve"> at 11, 14</w:t>
      </w:r>
      <w:r w:rsidR="001B5FB8" w:rsidRPr="00A6743C">
        <w:t>.</w:t>
      </w:r>
      <w:proofErr w:type="gramEnd"/>
      <w:r w:rsidR="001B5FB8" w:rsidRPr="00A6743C">
        <w:t xml:space="preserve">  </w:t>
      </w:r>
      <w:r w:rsidR="00466FB8" w:rsidRPr="00A6743C">
        <w:t>Th</w:t>
      </w:r>
      <w:r w:rsidR="00454F54" w:rsidRPr="00A6743C">
        <w:t>e district court</w:t>
      </w:r>
      <w:r w:rsidR="00466FB8" w:rsidRPr="00A6743C">
        <w:t xml:space="preserve"> </w:t>
      </w:r>
      <w:r w:rsidR="001B5FB8" w:rsidRPr="00A6743C">
        <w:t xml:space="preserve">recognized that </w:t>
      </w:r>
      <w:r w:rsidR="00466FB8" w:rsidRPr="00A6743C">
        <w:t xml:space="preserve">the risk of institutionalization does not need to be imminent; indeed, </w:t>
      </w:r>
      <w:r w:rsidRPr="00A6743C">
        <w:t>many</w:t>
      </w:r>
      <w:r w:rsidR="00466FB8" w:rsidRPr="00A6743C">
        <w:t xml:space="preserve"> individuals go to great lengths to stave off institutionalization. </w:t>
      </w:r>
      <w:r w:rsidR="001B5FB8" w:rsidRPr="00A6743C">
        <w:t xml:space="preserve"> </w:t>
      </w:r>
      <w:proofErr w:type="gramStart"/>
      <w:r w:rsidR="001B5FB8" w:rsidRPr="00A6743C">
        <w:rPr>
          <w:i/>
        </w:rPr>
        <w:t>Id</w:t>
      </w:r>
      <w:r w:rsidR="001B5FB8" w:rsidRPr="00A6743C">
        <w:t>. at 11.</w:t>
      </w:r>
      <w:proofErr w:type="gramEnd"/>
      <w:r w:rsidR="001B5FB8" w:rsidRPr="00A6743C">
        <w:t xml:space="preserve"> </w:t>
      </w:r>
      <w:r w:rsidR="008529F2" w:rsidRPr="00A6743C">
        <w:t xml:space="preserve"> </w:t>
      </w:r>
      <w:r w:rsidR="00466FB8" w:rsidRPr="00A6743C">
        <w:t xml:space="preserve">Similarly, in </w:t>
      </w:r>
      <w:r w:rsidR="00466FB8" w:rsidRPr="00A6743C">
        <w:rPr>
          <w:i/>
        </w:rPr>
        <w:t>Cruz v. Dudek</w:t>
      </w:r>
      <w:r w:rsidR="00466FB8" w:rsidRPr="00A6743C">
        <w:t xml:space="preserve">, No. 10-23048 (S.D. Fla. </w:t>
      </w:r>
      <w:r w:rsidR="007609D2" w:rsidRPr="00A6743C">
        <w:t xml:space="preserve">filed </w:t>
      </w:r>
      <w:r w:rsidR="004D33D3" w:rsidRPr="00A6743C">
        <w:t xml:space="preserve">Aug. 18, </w:t>
      </w:r>
      <w:r w:rsidR="00466FB8" w:rsidRPr="00A6743C">
        <w:t xml:space="preserve"> 2010), the district court </w:t>
      </w:r>
      <w:r w:rsidR="00234DAC" w:rsidRPr="00A6743C">
        <w:t xml:space="preserve">found that </w:t>
      </w:r>
      <w:r w:rsidR="001F7764" w:rsidRPr="00A6743C">
        <w:t>al</w:t>
      </w:r>
      <w:r w:rsidR="00234DAC" w:rsidRPr="00A6743C">
        <w:t>though the</w:t>
      </w:r>
      <w:r w:rsidR="00A66FF2" w:rsidRPr="00A6743C">
        <w:t xml:space="preserve"> plaintiffs</w:t>
      </w:r>
      <w:r w:rsidR="00466FB8" w:rsidRPr="00A6743C">
        <w:t xml:space="preserve"> resid</w:t>
      </w:r>
      <w:r w:rsidR="00234DAC" w:rsidRPr="00A6743C">
        <w:t>ed</w:t>
      </w:r>
      <w:r w:rsidR="00466FB8" w:rsidRPr="00A6743C">
        <w:t xml:space="preserve"> in the community for multiple years without </w:t>
      </w:r>
      <w:r w:rsidR="00A66FF2" w:rsidRPr="00A6743C">
        <w:t>the services they sought</w:t>
      </w:r>
      <w:r w:rsidR="00234DAC" w:rsidRPr="00A6743C">
        <w:t>, they were likely at risk of institutionalization due to the lack of sufficient community services</w:t>
      </w:r>
      <w:r w:rsidR="00A66FF2" w:rsidRPr="00A6743C">
        <w:t>.</w:t>
      </w:r>
      <w:r w:rsidR="00466FB8" w:rsidRPr="00A6743C">
        <w:t xml:space="preserve"> </w:t>
      </w:r>
      <w:proofErr w:type="gramStart"/>
      <w:r w:rsidR="00466FB8" w:rsidRPr="00A6743C">
        <w:rPr>
          <w:i/>
        </w:rPr>
        <w:t>Cruz v. Dudek</w:t>
      </w:r>
      <w:r w:rsidR="00466FB8" w:rsidRPr="00A6743C">
        <w:t>, No. 10-23048, 2010 WL 4284955, at *3-7</w:t>
      </w:r>
      <w:r w:rsidR="00234DAC" w:rsidRPr="00A6743C">
        <w:t>, 13</w:t>
      </w:r>
      <w:r w:rsidR="00466FB8" w:rsidRPr="00A6743C">
        <w:t xml:space="preserve"> (S.D. Fla. 2010 Oct. 12, 2010) (</w:t>
      </w:r>
      <w:r w:rsidR="004D33D3" w:rsidRPr="00A6743C">
        <w:t xml:space="preserve">See Exhibit </w:t>
      </w:r>
      <w:r w:rsidR="00D521B3">
        <w:t>B</w:t>
      </w:r>
      <w:r w:rsidR="004D33D3" w:rsidRPr="00A6743C">
        <w:t xml:space="preserve">, Court’s Order Adopting </w:t>
      </w:r>
      <w:r w:rsidR="00466FB8" w:rsidRPr="00A6743C">
        <w:t>Magistrate Judge’s Report and Recommendation).</w:t>
      </w:r>
      <w:proofErr w:type="gramEnd"/>
      <w:r w:rsidR="00466FB8" w:rsidRPr="00A6743C">
        <w:t xml:space="preserve">  </w:t>
      </w:r>
    </w:p>
    <w:p w:rsidR="00A035D7" w:rsidRPr="00A6743C" w:rsidRDefault="00A035D7" w:rsidP="00A035D7">
      <w:pPr>
        <w:pStyle w:val="Heading4"/>
        <w:spacing w:line="240" w:lineRule="auto"/>
      </w:pPr>
      <w:r w:rsidRPr="00A6743C">
        <w:t xml:space="preserve">Plaintiffs Demonstrate That They Are </w:t>
      </w:r>
      <w:r w:rsidR="007609D2" w:rsidRPr="00A6743C">
        <w:t>A</w:t>
      </w:r>
      <w:r w:rsidRPr="00A6743C">
        <w:t>t Risk of Institutionalization as a Result of the Reduction in Personal Care Services</w:t>
      </w:r>
    </w:p>
    <w:p w:rsidR="00A035D7" w:rsidRPr="00A6743C" w:rsidRDefault="00A035D7" w:rsidP="00A035D7">
      <w:pPr>
        <w:autoSpaceDE w:val="0"/>
        <w:autoSpaceDN w:val="0"/>
        <w:adjustRightInd w:val="0"/>
        <w:spacing w:line="240" w:lineRule="auto"/>
        <w:ind w:firstLine="720"/>
        <w:rPr>
          <w:szCs w:val="24"/>
        </w:rPr>
      </w:pPr>
    </w:p>
    <w:p w:rsidR="00A66FF2" w:rsidRPr="00A6743C" w:rsidRDefault="00A073C8" w:rsidP="00E6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C94065" w:rsidRPr="00A6743C">
        <w:rPr>
          <w:szCs w:val="24"/>
        </w:rPr>
        <w:t xml:space="preserve">The Plaintiffs here are </w:t>
      </w:r>
      <w:r w:rsidR="00234DAC" w:rsidRPr="00A6743C">
        <w:rPr>
          <w:szCs w:val="24"/>
        </w:rPr>
        <w:t xml:space="preserve">similarly </w:t>
      </w:r>
      <w:r w:rsidR="00C94065" w:rsidRPr="00A6743C">
        <w:rPr>
          <w:szCs w:val="24"/>
        </w:rPr>
        <w:t>at risk of institutionalization</w:t>
      </w:r>
      <w:r w:rsidR="00234DAC" w:rsidRPr="00A6743C">
        <w:rPr>
          <w:szCs w:val="24"/>
        </w:rPr>
        <w:t xml:space="preserve"> (</w:t>
      </w:r>
      <w:r w:rsidR="00A66FF2" w:rsidRPr="00A6743C">
        <w:rPr>
          <w:szCs w:val="24"/>
        </w:rPr>
        <w:t>some are</w:t>
      </w:r>
      <w:r w:rsidR="00234DAC" w:rsidRPr="00A6743C">
        <w:rPr>
          <w:szCs w:val="24"/>
        </w:rPr>
        <w:t xml:space="preserve"> at immediate risk while others face a risk that</w:t>
      </w:r>
      <w:r w:rsidR="00A66FF2" w:rsidRPr="00A6743C">
        <w:rPr>
          <w:szCs w:val="24"/>
        </w:rPr>
        <w:t xml:space="preserve"> </w:t>
      </w:r>
      <w:r w:rsidR="00234DAC" w:rsidRPr="00A6743C">
        <w:rPr>
          <w:szCs w:val="24"/>
        </w:rPr>
        <w:t>increases over time)</w:t>
      </w:r>
      <w:r w:rsidR="00C94065" w:rsidRPr="00A6743C">
        <w:rPr>
          <w:szCs w:val="24"/>
        </w:rPr>
        <w:t xml:space="preserve"> due to the State’s reduction of </w:t>
      </w:r>
      <w:r w:rsidR="005A1C50" w:rsidRPr="00A6743C">
        <w:rPr>
          <w:szCs w:val="24"/>
        </w:rPr>
        <w:t xml:space="preserve">their </w:t>
      </w:r>
      <w:r w:rsidR="00C94065" w:rsidRPr="00A6743C">
        <w:rPr>
          <w:szCs w:val="24"/>
        </w:rPr>
        <w:t xml:space="preserve">personal care hours.  </w:t>
      </w:r>
      <w:r w:rsidR="00234DAC" w:rsidRPr="00A6743C">
        <w:rPr>
          <w:szCs w:val="24"/>
        </w:rPr>
        <w:t xml:space="preserve">Jennifer </w:t>
      </w:r>
      <w:proofErr w:type="spellStart"/>
      <w:r w:rsidR="00234DAC" w:rsidRPr="00A6743C">
        <w:rPr>
          <w:szCs w:val="24"/>
        </w:rPr>
        <w:t>Wujick</w:t>
      </w:r>
      <w:proofErr w:type="spellEnd"/>
      <w:r w:rsidR="00234DAC" w:rsidRPr="00A6743C">
        <w:rPr>
          <w:szCs w:val="24"/>
        </w:rPr>
        <w:t xml:space="preserve">, a certified nursing assistant </w:t>
      </w:r>
      <w:r w:rsidR="00A035D7" w:rsidRPr="00A6743C">
        <w:rPr>
          <w:szCs w:val="24"/>
        </w:rPr>
        <w:t>who</w:t>
      </w:r>
      <w:r w:rsidR="00234DAC" w:rsidRPr="00A6743C">
        <w:rPr>
          <w:szCs w:val="24"/>
        </w:rPr>
        <w:t xml:space="preserve"> works with new admissions at a nursing facility in Spokane, Washington, </w:t>
      </w:r>
      <w:r w:rsidR="0096671C" w:rsidRPr="00A6743C">
        <w:rPr>
          <w:szCs w:val="24"/>
        </w:rPr>
        <w:t>observed</w:t>
      </w:r>
      <w:r w:rsidR="00234DAC" w:rsidRPr="00A6743C">
        <w:rPr>
          <w:szCs w:val="24"/>
        </w:rPr>
        <w:t xml:space="preserve"> that two individuals were admitted to her facility in the first two weeks of January, 2011 </w:t>
      </w:r>
      <w:r w:rsidR="008529F2" w:rsidRPr="00A6743C">
        <w:rPr>
          <w:szCs w:val="24"/>
        </w:rPr>
        <w:t>because of</w:t>
      </w:r>
      <w:r w:rsidR="00234DAC" w:rsidRPr="00A6743C">
        <w:rPr>
          <w:szCs w:val="24"/>
        </w:rPr>
        <w:t xml:space="preserve"> deteriorating health </w:t>
      </w:r>
      <w:r w:rsidR="008529F2" w:rsidRPr="00A6743C">
        <w:rPr>
          <w:szCs w:val="24"/>
        </w:rPr>
        <w:t>due to</w:t>
      </w:r>
      <w:r w:rsidR="00234DAC" w:rsidRPr="00A6743C">
        <w:rPr>
          <w:szCs w:val="24"/>
        </w:rPr>
        <w:t xml:space="preserve"> reduced personal care hours.  (Jennifer </w:t>
      </w:r>
      <w:proofErr w:type="spellStart"/>
      <w:r w:rsidR="00234DAC" w:rsidRPr="00A6743C">
        <w:rPr>
          <w:szCs w:val="24"/>
        </w:rPr>
        <w:t>Wujick</w:t>
      </w:r>
      <w:proofErr w:type="spellEnd"/>
      <w:r w:rsidR="00176CA3" w:rsidRPr="00A6743C">
        <w:rPr>
          <w:szCs w:val="24"/>
        </w:rPr>
        <w:t xml:space="preserve"> Decl.</w:t>
      </w:r>
      <w:r w:rsidR="00234DAC" w:rsidRPr="00A6743C">
        <w:rPr>
          <w:szCs w:val="24"/>
        </w:rPr>
        <w:t>, DKT 119, ¶¶</w:t>
      </w:r>
      <w:r w:rsidR="00176CA3" w:rsidRPr="00A6743C">
        <w:rPr>
          <w:szCs w:val="24"/>
        </w:rPr>
        <w:t xml:space="preserve"> </w:t>
      </w:r>
      <w:r w:rsidR="00234DAC" w:rsidRPr="00A6743C">
        <w:rPr>
          <w:szCs w:val="24"/>
        </w:rPr>
        <w:t>3-6</w:t>
      </w:r>
      <w:r w:rsidR="00176CA3" w:rsidRPr="00A6743C">
        <w:rPr>
          <w:szCs w:val="24"/>
        </w:rPr>
        <w:t>, Jan. 21, 2011</w:t>
      </w:r>
      <w:r w:rsidR="00234DAC" w:rsidRPr="00A6743C">
        <w:rPr>
          <w:szCs w:val="24"/>
        </w:rPr>
        <w:t xml:space="preserve">.) </w:t>
      </w:r>
      <w:r w:rsidR="00587BBD" w:rsidRPr="00A6743C">
        <w:rPr>
          <w:szCs w:val="24"/>
        </w:rPr>
        <w:t xml:space="preserve"> </w:t>
      </w:r>
      <w:r w:rsidR="008529F2" w:rsidRPr="00A6743C">
        <w:rPr>
          <w:szCs w:val="24"/>
        </w:rPr>
        <w:t>Sean Walsh, a</w:t>
      </w:r>
      <w:r w:rsidR="0096671C" w:rsidRPr="00A6743C">
        <w:rPr>
          <w:szCs w:val="24"/>
        </w:rPr>
        <w:t xml:space="preserve"> </w:t>
      </w:r>
      <w:r w:rsidR="0096671C" w:rsidRPr="00A6743C">
        <w:rPr>
          <w:szCs w:val="24"/>
        </w:rPr>
        <w:lastRenderedPageBreak/>
        <w:t>community service</w:t>
      </w:r>
      <w:r w:rsidR="00A02EDE" w:rsidRPr="00A6743C">
        <w:rPr>
          <w:szCs w:val="24"/>
        </w:rPr>
        <w:t xml:space="preserve"> provider</w:t>
      </w:r>
      <w:r w:rsidR="00AF2819" w:rsidRPr="00A6743C">
        <w:rPr>
          <w:szCs w:val="24"/>
        </w:rPr>
        <w:t>,</w:t>
      </w:r>
      <w:r w:rsidR="0096671C" w:rsidRPr="00A6743C">
        <w:rPr>
          <w:szCs w:val="24"/>
        </w:rPr>
        <w:t xml:space="preserve"> </w:t>
      </w:r>
      <w:r w:rsidR="00A02EDE" w:rsidRPr="00A6743C">
        <w:rPr>
          <w:szCs w:val="24"/>
        </w:rPr>
        <w:t xml:space="preserve">estimates that 5% of his clients will require immediate </w:t>
      </w:r>
      <w:r w:rsidR="00587BBD" w:rsidRPr="00A6743C">
        <w:rPr>
          <w:szCs w:val="24"/>
        </w:rPr>
        <w:t>“hospitalization, emergency room visits,</w:t>
      </w:r>
      <w:r w:rsidR="00AF2819" w:rsidRPr="00A6743C">
        <w:rPr>
          <w:szCs w:val="24"/>
        </w:rPr>
        <w:t xml:space="preserve"> and imminent </w:t>
      </w:r>
      <w:r w:rsidR="00A02EDE" w:rsidRPr="00A6743C">
        <w:rPr>
          <w:szCs w:val="24"/>
        </w:rPr>
        <w:t>institutionalization</w:t>
      </w:r>
      <w:r w:rsidR="00AF2819" w:rsidRPr="00A6743C">
        <w:rPr>
          <w:szCs w:val="24"/>
        </w:rPr>
        <w:t>”</w:t>
      </w:r>
      <w:r w:rsidR="00A02EDE" w:rsidRPr="00A6743C">
        <w:rPr>
          <w:szCs w:val="24"/>
        </w:rPr>
        <w:t xml:space="preserve"> as a result of the reductions in services.  (</w:t>
      </w:r>
      <w:r w:rsidR="00234DAC" w:rsidRPr="00A6743C">
        <w:rPr>
          <w:szCs w:val="24"/>
        </w:rPr>
        <w:t>Sean Walsh</w:t>
      </w:r>
      <w:r w:rsidR="00587BBD" w:rsidRPr="00A6743C">
        <w:rPr>
          <w:szCs w:val="24"/>
        </w:rPr>
        <w:t xml:space="preserve"> Decl.</w:t>
      </w:r>
      <w:r w:rsidR="00234DAC" w:rsidRPr="00A6743C">
        <w:rPr>
          <w:szCs w:val="24"/>
        </w:rPr>
        <w:t xml:space="preserve">, DKT </w:t>
      </w:r>
      <w:r w:rsidR="00AF2819" w:rsidRPr="00A6743C">
        <w:rPr>
          <w:szCs w:val="24"/>
        </w:rPr>
        <w:t>25</w:t>
      </w:r>
      <w:r w:rsidR="00234DAC" w:rsidRPr="00A6743C">
        <w:rPr>
          <w:szCs w:val="24"/>
        </w:rPr>
        <w:t>, ¶</w:t>
      </w:r>
      <w:r w:rsidR="00587BBD" w:rsidRPr="00A6743C">
        <w:rPr>
          <w:szCs w:val="24"/>
        </w:rPr>
        <w:t xml:space="preserve"> </w:t>
      </w:r>
      <w:r w:rsidR="00234DAC" w:rsidRPr="00A6743C">
        <w:rPr>
          <w:szCs w:val="24"/>
        </w:rPr>
        <w:t>13</w:t>
      </w:r>
      <w:r w:rsidR="00587BBD" w:rsidRPr="00A6743C">
        <w:rPr>
          <w:szCs w:val="24"/>
        </w:rPr>
        <w:t xml:space="preserve">, </w:t>
      </w:r>
      <w:r w:rsidR="00AF2819" w:rsidRPr="00A6743C">
        <w:rPr>
          <w:szCs w:val="24"/>
        </w:rPr>
        <w:t>Dec. 20, 2010</w:t>
      </w:r>
      <w:r w:rsidR="00234DAC" w:rsidRPr="00A6743C">
        <w:rPr>
          <w:szCs w:val="24"/>
        </w:rPr>
        <w:t>.)</w:t>
      </w:r>
      <w:r w:rsidR="0096671C" w:rsidRPr="00A6743C">
        <w:rPr>
          <w:szCs w:val="24"/>
        </w:rPr>
        <w:t xml:space="preserve">  </w:t>
      </w:r>
    </w:p>
    <w:p w:rsidR="0096671C" w:rsidRPr="00A6743C" w:rsidRDefault="00A66FF2" w:rsidP="00E6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A02EDE" w:rsidRPr="00A6743C">
        <w:rPr>
          <w:szCs w:val="24"/>
        </w:rPr>
        <w:t xml:space="preserve">For </w:t>
      </w:r>
      <w:r w:rsidR="0096671C" w:rsidRPr="00A6743C">
        <w:rPr>
          <w:szCs w:val="24"/>
        </w:rPr>
        <w:t>other P</w:t>
      </w:r>
      <w:r w:rsidR="00A02EDE" w:rsidRPr="00A6743C">
        <w:rPr>
          <w:szCs w:val="24"/>
        </w:rPr>
        <w:t xml:space="preserve">laintiffs, </w:t>
      </w:r>
      <w:r w:rsidR="00A12141" w:rsidRPr="00A6743C">
        <w:rPr>
          <w:szCs w:val="24"/>
        </w:rPr>
        <w:t xml:space="preserve">like the plaintiffs in </w:t>
      </w:r>
      <w:r w:rsidR="00A12141" w:rsidRPr="00A6743C">
        <w:rPr>
          <w:i/>
          <w:szCs w:val="24"/>
        </w:rPr>
        <w:t>Fisher</w:t>
      </w:r>
      <w:r w:rsidR="00A12141" w:rsidRPr="00A6743C">
        <w:rPr>
          <w:szCs w:val="24"/>
        </w:rPr>
        <w:t xml:space="preserve">, </w:t>
      </w:r>
      <w:r w:rsidR="00A12141" w:rsidRPr="00A6743C">
        <w:rPr>
          <w:i/>
          <w:szCs w:val="24"/>
        </w:rPr>
        <w:t>Hiltibran</w:t>
      </w:r>
      <w:r w:rsidR="00A12141" w:rsidRPr="00A6743C">
        <w:rPr>
          <w:szCs w:val="24"/>
        </w:rPr>
        <w:t xml:space="preserve">, </w:t>
      </w:r>
      <w:r w:rsidR="00A12141" w:rsidRPr="00A6743C">
        <w:rPr>
          <w:i/>
          <w:szCs w:val="24"/>
        </w:rPr>
        <w:t>V.L</w:t>
      </w:r>
      <w:r w:rsidR="00587BBD" w:rsidRPr="00A6743C">
        <w:rPr>
          <w:i/>
          <w:szCs w:val="24"/>
        </w:rPr>
        <w:t>.</w:t>
      </w:r>
      <w:r w:rsidR="00A12141" w:rsidRPr="00A6743C">
        <w:rPr>
          <w:szCs w:val="24"/>
        </w:rPr>
        <w:t xml:space="preserve">, </w:t>
      </w:r>
      <w:r w:rsidR="00A12141" w:rsidRPr="00A6743C">
        <w:rPr>
          <w:i/>
          <w:szCs w:val="24"/>
        </w:rPr>
        <w:t>Brantley</w:t>
      </w:r>
      <w:r w:rsidR="00A12141" w:rsidRPr="00A6743C">
        <w:rPr>
          <w:szCs w:val="24"/>
        </w:rPr>
        <w:t xml:space="preserve"> and </w:t>
      </w:r>
      <w:r w:rsidR="00A12141" w:rsidRPr="00A6743C">
        <w:rPr>
          <w:i/>
          <w:szCs w:val="24"/>
        </w:rPr>
        <w:t>Cruz</w:t>
      </w:r>
      <w:r w:rsidR="00A12141" w:rsidRPr="00A6743C">
        <w:rPr>
          <w:szCs w:val="24"/>
        </w:rPr>
        <w:t xml:space="preserve">, the </w:t>
      </w:r>
      <w:r w:rsidR="00A02EDE" w:rsidRPr="00A6743C">
        <w:rPr>
          <w:szCs w:val="24"/>
        </w:rPr>
        <w:t>reduction in hours place</w:t>
      </w:r>
      <w:r w:rsidR="0096671C" w:rsidRPr="00A6743C">
        <w:rPr>
          <w:szCs w:val="24"/>
        </w:rPr>
        <w:t>s</w:t>
      </w:r>
      <w:r w:rsidR="00A02EDE" w:rsidRPr="00A6743C">
        <w:rPr>
          <w:szCs w:val="24"/>
        </w:rPr>
        <w:t xml:space="preserve"> them at risk of institutionalization</w:t>
      </w:r>
      <w:r w:rsidR="008529F2" w:rsidRPr="00A6743C">
        <w:rPr>
          <w:szCs w:val="24"/>
        </w:rPr>
        <w:t>, but not necessarily imminent</w:t>
      </w:r>
      <w:r w:rsidR="00A035D7" w:rsidRPr="00A6743C">
        <w:rPr>
          <w:szCs w:val="24"/>
        </w:rPr>
        <w:t>ly</w:t>
      </w:r>
      <w:r w:rsidR="00A02EDE" w:rsidRPr="00A6743C">
        <w:rPr>
          <w:szCs w:val="24"/>
        </w:rPr>
        <w:t>.   For example, the S</w:t>
      </w:r>
      <w:r w:rsidR="00E01642" w:rsidRPr="00A6743C">
        <w:rPr>
          <w:szCs w:val="24"/>
        </w:rPr>
        <w:t xml:space="preserve">tate’s reduction of J.P.’s hours </w:t>
      </w:r>
      <w:r w:rsidR="005A1C50" w:rsidRPr="00A6743C">
        <w:rPr>
          <w:szCs w:val="24"/>
        </w:rPr>
        <w:t>resulting in 30 minutes less personal care provider per day</w:t>
      </w:r>
      <w:r w:rsidR="00E01642" w:rsidRPr="00A6743C">
        <w:rPr>
          <w:szCs w:val="24"/>
        </w:rPr>
        <w:t xml:space="preserve"> mean</w:t>
      </w:r>
      <w:r w:rsidR="005A1C50" w:rsidRPr="00A6743C">
        <w:rPr>
          <w:szCs w:val="24"/>
        </w:rPr>
        <w:t>s</w:t>
      </w:r>
      <w:r w:rsidR="00E01642" w:rsidRPr="00A6743C">
        <w:rPr>
          <w:szCs w:val="24"/>
        </w:rPr>
        <w:t xml:space="preserve"> that </w:t>
      </w:r>
      <w:r w:rsidR="0096671C" w:rsidRPr="00A6743C">
        <w:rPr>
          <w:szCs w:val="24"/>
        </w:rPr>
        <w:t>her</w:t>
      </w:r>
      <w:r w:rsidR="00E01642" w:rsidRPr="00A6743C">
        <w:rPr>
          <w:szCs w:val="24"/>
        </w:rPr>
        <w:t xml:space="preserve"> provider no longer </w:t>
      </w:r>
      <w:r w:rsidR="005A1C50" w:rsidRPr="00A6743C">
        <w:rPr>
          <w:szCs w:val="24"/>
        </w:rPr>
        <w:t xml:space="preserve">always </w:t>
      </w:r>
      <w:r w:rsidR="00E01642" w:rsidRPr="00A6743C">
        <w:rPr>
          <w:szCs w:val="24"/>
        </w:rPr>
        <w:t>has enough time to clean</w:t>
      </w:r>
      <w:r w:rsidR="00AD0BD9" w:rsidRPr="00A6743C">
        <w:rPr>
          <w:szCs w:val="24"/>
        </w:rPr>
        <w:t xml:space="preserve"> adequately</w:t>
      </w:r>
      <w:r w:rsidR="00E01642" w:rsidRPr="00A6743C">
        <w:rPr>
          <w:szCs w:val="24"/>
        </w:rPr>
        <w:t xml:space="preserve"> </w:t>
      </w:r>
      <w:r w:rsidR="0096671C" w:rsidRPr="00A6743C">
        <w:rPr>
          <w:szCs w:val="24"/>
        </w:rPr>
        <w:t xml:space="preserve">between </w:t>
      </w:r>
      <w:r w:rsidR="00E01642" w:rsidRPr="00A6743C">
        <w:rPr>
          <w:szCs w:val="24"/>
        </w:rPr>
        <w:t>J.P.</w:t>
      </w:r>
      <w:r w:rsidR="0096671C" w:rsidRPr="00A6743C">
        <w:rPr>
          <w:szCs w:val="24"/>
        </w:rPr>
        <w:t>’s legs</w:t>
      </w:r>
      <w:r w:rsidR="00E01642" w:rsidRPr="00A6743C">
        <w:rPr>
          <w:szCs w:val="24"/>
        </w:rPr>
        <w:t xml:space="preserve"> and clean and replace her catheter daily, which </w:t>
      </w:r>
      <w:r w:rsidR="005A1C50" w:rsidRPr="00A6743C">
        <w:rPr>
          <w:szCs w:val="24"/>
        </w:rPr>
        <w:t>is causing</w:t>
      </w:r>
      <w:r w:rsidR="00E01642" w:rsidRPr="00A6743C">
        <w:rPr>
          <w:szCs w:val="24"/>
        </w:rPr>
        <w:t xml:space="preserve"> skin breakdowns and infections necessitating hospitalization.  (Val Anderson-Webb</w:t>
      </w:r>
      <w:r w:rsidR="00AD0BD9" w:rsidRPr="00A6743C">
        <w:rPr>
          <w:szCs w:val="24"/>
        </w:rPr>
        <w:t xml:space="preserve"> Decl.</w:t>
      </w:r>
      <w:r w:rsidR="00303862" w:rsidRPr="00A6743C">
        <w:rPr>
          <w:szCs w:val="24"/>
        </w:rPr>
        <w:t xml:space="preserve">, DKT </w:t>
      </w:r>
      <w:r w:rsidR="005A1C50" w:rsidRPr="00A6743C">
        <w:rPr>
          <w:szCs w:val="24"/>
        </w:rPr>
        <w:t>105</w:t>
      </w:r>
      <w:r w:rsidR="00303862" w:rsidRPr="00A6743C">
        <w:rPr>
          <w:szCs w:val="24"/>
        </w:rPr>
        <w:t>, ¶</w:t>
      </w:r>
      <w:r w:rsidR="00AD0BD9" w:rsidRPr="00A6743C">
        <w:rPr>
          <w:szCs w:val="24"/>
        </w:rPr>
        <w:t xml:space="preserve"> </w:t>
      </w:r>
      <w:r w:rsidR="00303862" w:rsidRPr="00A6743C">
        <w:rPr>
          <w:szCs w:val="24"/>
        </w:rPr>
        <w:t>25b</w:t>
      </w:r>
      <w:r w:rsidR="00AD0BD9" w:rsidRPr="00A6743C">
        <w:rPr>
          <w:szCs w:val="24"/>
        </w:rPr>
        <w:t>-c, Jan.</w:t>
      </w:r>
      <w:r w:rsidR="001A627F">
        <w:rPr>
          <w:szCs w:val="24"/>
        </w:rPr>
        <w:t xml:space="preserve"> </w:t>
      </w:r>
      <w:r w:rsidR="00AD0BD9" w:rsidRPr="00A6743C">
        <w:rPr>
          <w:szCs w:val="24"/>
        </w:rPr>
        <w:t>21, 2011</w:t>
      </w:r>
      <w:r w:rsidR="00303862" w:rsidRPr="00A6743C">
        <w:rPr>
          <w:szCs w:val="24"/>
        </w:rPr>
        <w:t>.)</w:t>
      </w:r>
      <w:r w:rsidR="00AD0BD9" w:rsidRPr="00A6743C">
        <w:rPr>
          <w:szCs w:val="24"/>
        </w:rPr>
        <w:t xml:space="preserve"> </w:t>
      </w:r>
      <w:r w:rsidR="00303862" w:rsidRPr="00A6743C">
        <w:rPr>
          <w:szCs w:val="24"/>
        </w:rPr>
        <w:t xml:space="preserve"> </w:t>
      </w:r>
      <w:r w:rsidR="0096671C" w:rsidRPr="00A6743C">
        <w:rPr>
          <w:szCs w:val="24"/>
        </w:rPr>
        <w:t xml:space="preserve">Z.J., who has </w:t>
      </w:r>
      <w:r w:rsidR="00AD0BD9" w:rsidRPr="00A6743C">
        <w:rPr>
          <w:szCs w:val="24"/>
        </w:rPr>
        <w:t>quadriplegia</w:t>
      </w:r>
      <w:r w:rsidR="0096671C" w:rsidRPr="00A6743C">
        <w:rPr>
          <w:szCs w:val="24"/>
        </w:rPr>
        <w:t xml:space="preserve"> and requires total assistance for bathing, toileting and eating through a feeding tube</w:t>
      </w:r>
      <w:r w:rsidR="0089386A" w:rsidRPr="00A6743C">
        <w:rPr>
          <w:szCs w:val="24"/>
        </w:rPr>
        <w:t xml:space="preserve"> (Faatoafe Decl. ¶ 9)</w:t>
      </w:r>
      <w:r w:rsidR="0096671C" w:rsidRPr="00A6743C">
        <w:rPr>
          <w:szCs w:val="24"/>
        </w:rPr>
        <w:t xml:space="preserve">, will not be able to take a shower as a result of </w:t>
      </w:r>
      <w:r w:rsidR="00A12141" w:rsidRPr="00A6743C">
        <w:rPr>
          <w:szCs w:val="24"/>
        </w:rPr>
        <w:t>his</w:t>
      </w:r>
      <w:r w:rsidR="0096671C" w:rsidRPr="00A6743C">
        <w:rPr>
          <w:szCs w:val="24"/>
        </w:rPr>
        <w:t xml:space="preserve"> reduction in hours (Faatoafe</w:t>
      </w:r>
      <w:r w:rsidR="0089386A" w:rsidRPr="00A6743C">
        <w:rPr>
          <w:szCs w:val="24"/>
        </w:rPr>
        <w:t xml:space="preserve"> Decl.</w:t>
      </w:r>
      <w:r w:rsidR="0096671C" w:rsidRPr="00A6743C">
        <w:rPr>
          <w:szCs w:val="24"/>
        </w:rPr>
        <w:t xml:space="preserve"> </w:t>
      </w:r>
      <w:r w:rsidR="00A12141" w:rsidRPr="00A6743C">
        <w:rPr>
          <w:szCs w:val="24"/>
        </w:rPr>
        <w:t>¶</w:t>
      </w:r>
      <w:r w:rsidR="0089386A" w:rsidRPr="00A6743C">
        <w:rPr>
          <w:szCs w:val="24"/>
        </w:rPr>
        <w:t xml:space="preserve"> 19</w:t>
      </w:r>
      <w:r w:rsidR="00A12141" w:rsidRPr="00A6743C">
        <w:rPr>
          <w:szCs w:val="24"/>
        </w:rPr>
        <w:t>)</w:t>
      </w:r>
      <w:r w:rsidR="0089386A" w:rsidRPr="00A6743C">
        <w:rPr>
          <w:szCs w:val="24"/>
        </w:rPr>
        <w:t>.</w:t>
      </w:r>
      <w:r w:rsidR="00A12141" w:rsidRPr="00A6743C">
        <w:rPr>
          <w:szCs w:val="24"/>
        </w:rPr>
        <w:t xml:space="preserve"> Instead, he will</w:t>
      </w:r>
      <w:r w:rsidR="0096671C" w:rsidRPr="00A6743C">
        <w:rPr>
          <w:szCs w:val="24"/>
        </w:rPr>
        <w:t xml:space="preserve"> </w:t>
      </w:r>
      <w:r w:rsidR="00DE0349" w:rsidRPr="00A6743C">
        <w:rPr>
          <w:szCs w:val="24"/>
        </w:rPr>
        <w:t xml:space="preserve">likely </w:t>
      </w:r>
      <w:r w:rsidR="0096671C" w:rsidRPr="00A6743C">
        <w:rPr>
          <w:szCs w:val="24"/>
        </w:rPr>
        <w:t>have to resort to the inferior “bed bath</w:t>
      </w:r>
      <w:r w:rsidR="007473DA" w:rsidRPr="00A6743C">
        <w:rPr>
          <w:szCs w:val="24"/>
        </w:rPr>
        <w:t>,</w:t>
      </w:r>
      <w:r w:rsidR="0096671C" w:rsidRPr="00A6743C">
        <w:rPr>
          <w:szCs w:val="24"/>
        </w:rPr>
        <w:t>” which creates a high risk of infection. (</w:t>
      </w:r>
      <w:r w:rsidR="0089386A" w:rsidRPr="00A6743C">
        <w:rPr>
          <w:i/>
          <w:szCs w:val="24"/>
        </w:rPr>
        <w:t>Id.</w:t>
      </w:r>
      <w:r w:rsidR="0096671C" w:rsidRPr="00A6743C">
        <w:rPr>
          <w:szCs w:val="24"/>
        </w:rPr>
        <w:t xml:space="preserve">)  Further, Z.J.’s bowel program </w:t>
      </w:r>
      <w:r w:rsidR="009258C0" w:rsidRPr="00A6743C">
        <w:rPr>
          <w:szCs w:val="24"/>
        </w:rPr>
        <w:t xml:space="preserve">(inducing his bowels with a suppository, </w:t>
      </w:r>
      <w:proofErr w:type="gramStart"/>
      <w:r w:rsidR="009258C0" w:rsidRPr="00A6743C">
        <w:rPr>
          <w:szCs w:val="24"/>
        </w:rPr>
        <w:t>then</w:t>
      </w:r>
      <w:proofErr w:type="gramEnd"/>
      <w:r w:rsidR="009258C0" w:rsidRPr="00A6743C">
        <w:rPr>
          <w:szCs w:val="24"/>
        </w:rPr>
        <w:t xml:space="preserve"> cleansing Z.J. following the bowel movement) </w:t>
      </w:r>
      <w:r w:rsidR="0096671C" w:rsidRPr="00A6743C">
        <w:rPr>
          <w:szCs w:val="24"/>
        </w:rPr>
        <w:t xml:space="preserve">will be delayed every morning </w:t>
      </w:r>
      <w:r w:rsidR="009258C0" w:rsidRPr="00A6743C">
        <w:rPr>
          <w:szCs w:val="24"/>
        </w:rPr>
        <w:t xml:space="preserve">because the personal care attendants cannot arrive as early due to the reductions. </w:t>
      </w:r>
      <w:proofErr w:type="gramStart"/>
      <w:r w:rsidR="009258C0" w:rsidRPr="00A6743C">
        <w:rPr>
          <w:szCs w:val="24"/>
        </w:rPr>
        <w:t>(</w:t>
      </w:r>
      <w:r w:rsidR="007473DA" w:rsidRPr="00A6743C">
        <w:rPr>
          <w:i/>
          <w:szCs w:val="24"/>
        </w:rPr>
        <w:t>Id.</w:t>
      </w:r>
      <w:r w:rsidR="009258C0" w:rsidRPr="00A6743C">
        <w:rPr>
          <w:szCs w:val="24"/>
        </w:rPr>
        <w:t xml:space="preserve"> ¶¶</w:t>
      </w:r>
      <w:r w:rsidR="007473DA" w:rsidRPr="00A6743C">
        <w:rPr>
          <w:szCs w:val="24"/>
        </w:rPr>
        <w:t xml:space="preserve"> </w:t>
      </w:r>
      <w:r w:rsidR="009258C0" w:rsidRPr="00A6743C">
        <w:rPr>
          <w:szCs w:val="24"/>
        </w:rPr>
        <w:t>12b</w:t>
      </w:r>
      <w:r w:rsidR="007473DA" w:rsidRPr="00A6743C">
        <w:rPr>
          <w:szCs w:val="24"/>
        </w:rPr>
        <w:t xml:space="preserve">, </w:t>
      </w:r>
      <w:r w:rsidR="009258C0" w:rsidRPr="00A6743C">
        <w:rPr>
          <w:szCs w:val="24"/>
        </w:rPr>
        <w:t>20.)</w:t>
      </w:r>
      <w:proofErr w:type="gramEnd"/>
      <w:r w:rsidR="009258C0" w:rsidRPr="00A6743C">
        <w:rPr>
          <w:szCs w:val="24"/>
        </w:rPr>
        <w:t xml:space="preserve">  This change in his care routine places Z.J. at risk of </w:t>
      </w:r>
      <w:r w:rsidR="0096671C" w:rsidRPr="00A6743C">
        <w:rPr>
          <w:szCs w:val="24"/>
        </w:rPr>
        <w:t xml:space="preserve">infection, hospitalization and even death.  </w:t>
      </w:r>
      <w:proofErr w:type="gramStart"/>
      <w:r w:rsidR="0096671C" w:rsidRPr="00A6743C">
        <w:rPr>
          <w:szCs w:val="24"/>
        </w:rPr>
        <w:t>(</w:t>
      </w:r>
      <w:r w:rsidR="0096671C" w:rsidRPr="00A6743C">
        <w:rPr>
          <w:i/>
          <w:szCs w:val="24"/>
        </w:rPr>
        <w:t>I</w:t>
      </w:r>
      <w:r w:rsidR="009258C0" w:rsidRPr="00A6743C">
        <w:rPr>
          <w:i/>
          <w:szCs w:val="24"/>
        </w:rPr>
        <w:t>d.</w:t>
      </w:r>
      <w:r w:rsidR="007473DA" w:rsidRPr="00A6743C">
        <w:rPr>
          <w:i/>
          <w:szCs w:val="24"/>
        </w:rPr>
        <w:t xml:space="preserve"> </w:t>
      </w:r>
      <w:r w:rsidR="007473DA" w:rsidRPr="00A6743C">
        <w:rPr>
          <w:szCs w:val="24"/>
        </w:rPr>
        <w:t>¶ 20.)</w:t>
      </w:r>
      <w:proofErr w:type="gramEnd"/>
      <w:r w:rsidR="0096671C" w:rsidRPr="00A6743C">
        <w:rPr>
          <w:szCs w:val="24"/>
        </w:rPr>
        <w:t xml:space="preserve">  Z.J.’s personal care attendant, Glenda Faatoafe, has been providing Z.J.’s care for five years </w:t>
      </w:r>
      <w:r w:rsidR="007473DA" w:rsidRPr="00A6743C">
        <w:rPr>
          <w:szCs w:val="24"/>
        </w:rPr>
        <w:t>(</w:t>
      </w:r>
      <w:r w:rsidR="007473DA" w:rsidRPr="00A6743C">
        <w:rPr>
          <w:i/>
          <w:szCs w:val="24"/>
        </w:rPr>
        <w:t xml:space="preserve">id. </w:t>
      </w:r>
      <w:r w:rsidR="007473DA" w:rsidRPr="00A6743C">
        <w:rPr>
          <w:szCs w:val="24"/>
        </w:rPr>
        <w:t xml:space="preserve">¶ 2), </w:t>
      </w:r>
      <w:r w:rsidR="0096671C" w:rsidRPr="00A6743C">
        <w:rPr>
          <w:szCs w:val="24"/>
        </w:rPr>
        <w:t xml:space="preserve">and </w:t>
      </w:r>
      <w:r w:rsidR="007473DA" w:rsidRPr="00A6743C">
        <w:rPr>
          <w:szCs w:val="24"/>
        </w:rPr>
        <w:t xml:space="preserve">she </w:t>
      </w:r>
      <w:r w:rsidR="0096671C" w:rsidRPr="00A6743C">
        <w:rPr>
          <w:szCs w:val="24"/>
        </w:rPr>
        <w:t>believes the reduced hours will result in a “concerning gap of care”</w:t>
      </w:r>
      <w:r w:rsidR="007473DA" w:rsidRPr="00A6743C">
        <w:rPr>
          <w:szCs w:val="24"/>
        </w:rPr>
        <w:t xml:space="preserve"> and a “serious risk of deteriorating [health]” (</w:t>
      </w:r>
      <w:r w:rsidR="007473DA" w:rsidRPr="00A6743C">
        <w:rPr>
          <w:i/>
          <w:szCs w:val="24"/>
        </w:rPr>
        <w:t>id.</w:t>
      </w:r>
      <w:r w:rsidR="007473DA" w:rsidRPr="00A6743C">
        <w:rPr>
          <w:szCs w:val="24"/>
        </w:rPr>
        <w:t xml:space="preserve"> </w:t>
      </w:r>
      <w:proofErr w:type="gramStart"/>
      <w:r w:rsidR="007473DA" w:rsidRPr="00A6743C">
        <w:rPr>
          <w:szCs w:val="24"/>
        </w:rPr>
        <w:t>¶ 16).</w:t>
      </w:r>
      <w:proofErr w:type="gramEnd"/>
      <w:r w:rsidR="0096671C" w:rsidRPr="00A6743C">
        <w:rPr>
          <w:szCs w:val="24"/>
        </w:rPr>
        <w:t xml:space="preserve">  </w:t>
      </w:r>
      <w:r w:rsidR="003D5A92" w:rsidRPr="00A6743C">
        <w:rPr>
          <w:szCs w:val="24"/>
        </w:rPr>
        <w:t xml:space="preserve">Victoria </w:t>
      </w:r>
      <w:r w:rsidR="00300440" w:rsidRPr="00A6743C">
        <w:rPr>
          <w:szCs w:val="24"/>
        </w:rPr>
        <w:t>Partridge</w:t>
      </w:r>
      <w:r w:rsidR="003D5A92" w:rsidRPr="00A6743C">
        <w:rPr>
          <w:szCs w:val="24"/>
        </w:rPr>
        <w:t xml:space="preserve">, who has provided </w:t>
      </w:r>
      <w:r w:rsidR="00F27F7D" w:rsidRPr="00A6743C">
        <w:rPr>
          <w:szCs w:val="24"/>
        </w:rPr>
        <w:t>personal care assistance for A.B</w:t>
      </w:r>
      <w:r w:rsidR="003D5A92" w:rsidRPr="00A6743C">
        <w:rPr>
          <w:szCs w:val="24"/>
        </w:rPr>
        <w:t xml:space="preserve">., </w:t>
      </w:r>
      <w:proofErr w:type="gramStart"/>
      <w:r w:rsidR="003D5A92" w:rsidRPr="00A6743C">
        <w:rPr>
          <w:szCs w:val="24"/>
        </w:rPr>
        <w:t>An.B.,</w:t>
      </w:r>
      <w:proofErr w:type="gramEnd"/>
      <w:r w:rsidR="003D5A92" w:rsidRPr="00A6743C">
        <w:rPr>
          <w:szCs w:val="24"/>
        </w:rPr>
        <w:t xml:space="preserve"> J.B. and M.B. over the past eight years, will have to make impossible choices betwe</w:t>
      </w:r>
      <w:r w:rsidR="00F27F7D" w:rsidRPr="00A6743C">
        <w:rPr>
          <w:szCs w:val="24"/>
        </w:rPr>
        <w:t>en tasks such as taking A.B</w:t>
      </w:r>
      <w:r w:rsidR="003D5A92" w:rsidRPr="00A6743C">
        <w:rPr>
          <w:szCs w:val="24"/>
        </w:rPr>
        <w:t xml:space="preserve">., M.B. and J.B. to medical appointments, doing laundry after toileting incidents, cooking and bathing.  </w:t>
      </w:r>
      <w:proofErr w:type="gramStart"/>
      <w:r w:rsidR="003D5A92" w:rsidRPr="00A6743C">
        <w:rPr>
          <w:szCs w:val="24"/>
        </w:rPr>
        <w:lastRenderedPageBreak/>
        <w:t>(Partridge</w:t>
      </w:r>
      <w:r w:rsidR="00F27F7D" w:rsidRPr="00A6743C">
        <w:rPr>
          <w:szCs w:val="24"/>
        </w:rPr>
        <w:t xml:space="preserve"> Decl. </w:t>
      </w:r>
      <w:r w:rsidR="003A57FC" w:rsidRPr="00A6743C">
        <w:rPr>
          <w:szCs w:val="24"/>
        </w:rPr>
        <w:t>¶ 13</w:t>
      </w:r>
      <w:r w:rsidR="003D5A92" w:rsidRPr="00A6743C">
        <w:rPr>
          <w:szCs w:val="24"/>
        </w:rPr>
        <w:t>.)</w:t>
      </w:r>
      <w:proofErr w:type="gramEnd"/>
      <w:r w:rsidR="003D5A92" w:rsidRPr="00A6743C">
        <w:rPr>
          <w:szCs w:val="24"/>
        </w:rPr>
        <w:t xml:space="preserve">  Ms. Pa</w:t>
      </w:r>
      <w:r w:rsidR="003A57FC" w:rsidRPr="00A6743C">
        <w:rPr>
          <w:szCs w:val="24"/>
        </w:rPr>
        <w:t>r</w:t>
      </w:r>
      <w:r w:rsidR="003D5A92" w:rsidRPr="00A6743C">
        <w:rPr>
          <w:szCs w:val="24"/>
        </w:rPr>
        <w:t xml:space="preserve">tridge fears that </w:t>
      </w:r>
      <w:r w:rsidR="00493F04" w:rsidRPr="00A6743C">
        <w:rPr>
          <w:szCs w:val="24"/>
        </w:rPr>
        <w:t>the reduced hours will force A.</w:t>
      </w:r>
      <w:r w:rsidR="003A57FC" w:rsidRPr="00A6743C">
        <w:rPr>
          <w:szCs w:val="24"/>
        </w:rPr>
        <w:t>B</w:t>
      </w:r>
      <w:r w:rsidR="00493F04" w:rsidRPr="00A6743C">
        <w:rPr>
          <w:szCs w:val="24"/>
        </w:rPr>
        <w:t xml:space="preserve">., </w:t>
      </w:r>
      <w:proofErr w:type="gramStart"/>
      <w:r w:rsidR="00493F04" w:rsidRPr="00A6743C">
        <w:rPr>
          <w:szCs w:val="24"/>
        </w:rPr>
        <w:t>An.B.,</w:t>
      </w:r>
      <w:proofErr w:type="gramEnd"/>
      <w:r w:rsidR="00493F04" w:rsidRPr="00A6743C">
        <w:rPr>
          <w:szCs w:val="24"/>
        </w:rPr>
        <w:t xml:space="preserve"> J.B. and M.B. into nursing homes.  </w:t>
      </w:r>
      <w:proofErr w:type="gramStart"/>
      <w:r w:rsidR="00493F04" w:rsidRPr="00A6743C">
        <w:rPr>
          <w:szCs w:val="24"/>
        </w:rPr>
        <w:t>(</w:t>
      </w:r>
      <w:r w:rsidR="00493F04" w:rsidRPr="00A6743C">
        <w:rPr>
          <w:i/>
          <w:szCs w:val="24"/>
        </w:rPr>
        <w:t>Id.</w:t>
      </w:r>
      <w:r w:rsidR="00493F04" w:rsidRPr="00A6743C">
        <w:rPr>
          <w:szCs w:val="24"/>
        </w:rPr>
        <w:t xml:space="preserve"> ¶</w:t>
      </w:r>
      <w:r w:rsidR="003A57FC" w:rsidRPr="00A6743C">
        <w:rPr>
          <w:szCs w:val="24"/>
        </w:rPr>
        <w:t>¶ 5, 27</w:t>
      </w:r>
      <w:r w:rsidR="00493F04" w:rsidRPr="00A6743C">
        <w:rPr>
          <w:szCs w:val="24"/>
        </w:rPr>
        <w:t>.)</w:t>
      </w:r>
      <w:proofErr w:type="gramEnd"/>
      <w:r w:rsidR="00493F04" w:rsidRPr="00A6743C">
        <w:rPr>
          <w:szCs w:val="24"/>
        </w:rPr>
        <w:t xml:space="preserve">  </w:t>
      </w:r>
      <w:r w:rsidR="00F90663" w:rsidRPr="00A6743C">
        <w:rPr>
          <w:szCs w:val="24"/>
        </w:rPr>
        <w:tab/>
      </w:r>
    </w:p>
    <w:p w:rsidR="00D80D92" w:rsidRPr="00A6743C" w:rsidRDefault="00D80D92" w:rsidP="00D80D92">
      <w:pPr>
        <w:spacing w:line="480" w:lineRule="auto"/>
        <w:ind w:firstLine="720"/>
        <w:rPr>
          <w:szCs w:val="24"/>
        </w:rPr>
      </w:pPr>
      <w:r w:rsidRPr="00A6743C">
        <w:rPr>
          <w:szCs w:val="24"/>
        </w:rPr>
        <w:t xml:space="preserve">For those receiving additional hours through the Exception to the Rule (ETR) process, the harm associated with </w:t>
      </w:r>
      <w:r w:rsidR="005F6445" w:rsidRPr="00A6743C">
        <w:rPr>
          <w:szCs w:val="24"/>
        </w:rPr>
        <w:t>reducing</w:t>
      </w:r>
      <w:r w:rsidRPr="00A6743C">
        <w:rPr>
          <w:szCs w:val="24"/>
        </w:rPr>
        <w:t xml:space="preserve"> their services is undeniable.  The State has already made a specific determination that they require more hours than those generated by CARE for “the client’s welfare” and were thus approved for additional hours. W</w:t>
      </w:r>
      <w:r w:rsidR="004D33D3" w:rsidRPr="00A6743C">
        <w:rPr>
          <w:szCs w:val="24"/>
        </w:rPr>
        <w:t xml:space="preserve">ash. </w:t>
      </w:r>
      <w:r w:rsidRPr="00A6743C">
        <w:rPr>
          <w:szCs w:val="24"/>
        </w:rPr>
        <w:t>A</w:t>
      </w:r>
      <w:r w:rsidR="004D33D3" w:rsidRPr="00A6743C">
        <w:rPr>
          <w:szCs w:val="24"/>
        </w:rPr>
        <w:t xml:space="preserve">dmin. </w:t>
      </w:r>
      <w:proofErr w:type="gramStart"/>
      <w:r w:rsidRPr="00A6743C">
        <w:rPr>
          <w:szCs w:val="24"/>
        </w:rPr>
        <w:t>C</w:t>
      </w:r>
      <w:r w:rsidR="004D33D3" w:rsidRPr="00A6743C">
        <w:rPr>
          <w:szCs w:val="24"/>
        </w:rPr>
        <w:t>ode</w:t>
      </w:r>
      <w:r w:rsidRPr="00A6743C">
        <w:rPr>
          <w:szCs w:val="24"/>
        </w:rPr>
        <w:t xml:space="preserve"> § 388-440-0001.</w:t>
      </w:r>
      <w:proofErr w:type="gramEnd"/>
      <w:r w:rsidR="00BF2B33" w:rsidRPr="00A6743C">
        <w:rPr>
          <w:szCs w:val="24"/>
        </w:rPr>
        <w:t xml:space="preserve"> </w:t>
      </w:r>
      <w:r w:rsidRPr="00A6743C">
        <w:rPr>
          <w:szCs w:val="24"/>
        </w:rPr>
        <w:t xml:space="preserve"> Irrespective of the determination that the additional hours were needed for the individuals</w:t>
      </w:r>
      <w:r w:rsidR="00BF2B33" w:rsidRPr="00A6743C">
        <w:rPr>
          <w:szCs w:val="24"/>
        </w:rPr>
        <w:t>’</w:t>
      </w:r>
      <w:r w:rsidRPr="00A6743C">
        <w:rPr>
          <w:szCs w:val="24"/>
        </w:rPr>
        <w:t xml:space="preserve"> welfare, the State has nevertheless reduced the total hours of in-home personal care to individuals with ETRs.</w:t>
      </w:r>
      <w:r w:rsidRPr="00A6743C">
        <w:rPr>
          <w:rStyle w:val="FootnoteReference"/>
          <w:szCs w:val="24"/>
        </w:rPr>
        <w:footnoteReference w:id="8"/>
      </w:r>
      <w:r w:rsidRPr="00A6743C">
        <w:rPr>
          <w:szCs w:val="24"/>
        </w:rPr>
        <w:t xml:space="preserve">  </w:t>
      </w:r>
      <w:r w:rsidR="00350ABA" w:rsidRPr="00A6743C">
        <w:rPr>
          <w:szCs w:val="24"/>
        </w:rPr>
        <w:t>(</w:t>
      </w:r>
      <w:r w:rsidRPr="00A6743C">
        <w:t xml:space="preserve">HCS Management Bulletin, </w:t>
      </w:r>
      <w:r w:rsidR="005231B1" w:rsidRPr="00A6743C">
        <w:t xml:space="preserve">DKT </w:t>
      </w:r>
      <w:r w:rsidRPr="00A6743C">
        <w:t>6</w:t>
      </w:r>
      <w:r w:rsidR="00350ABA" w:rsidRPr="00A6743C">
        <w:t>6</w:t>
      </w:r>
      <w:r w:rsidR="001A627F">
        <w:t>,</w:t>
      </w:r>
      <w:r w:rsidRPr="00A6743C">
        <w:t xml:space="preserve"> Ex</w:t>
      </w:r>
      <w:r w:rsidR="005231B1" w:rsidRPr="00A6743C">
        <w:t>.</w:t>
      </w:r>
      <w:r w:rsidRPr="00A6743C">
        <w:t xml:space="preserve"> 10, at 2</w:t>
      </w:r>
      <w:r w:rsidR="00350ABA" w:rsidRPr="00A6743C">
        <w:t>, Dec. 2, 2010</w:t>
      </w:r>
      <w:r w:rsidRPr="00A6743C">
        <w:t xml:space="preserve"> (“Clients who have ETRs in place for personal care will have the reduction applied to their CARE generated hours, but not the additional hours approved by ETR.”)</w:t>
      </w:r>
      <w:r w:rsidR="00350ABA" w:rsidRPr="00A6743C">
        <w:t>.)</w:t>
      </w:r>
      <w:r w:rsidRPr="00A6743C">
        <w:t xml:space="preserve">  </w:t>
      </w:r>
      <w:r w:rsidRPr="00A6743C">
        <w:rPr>
          <w:szCs w:val="24"/>
        </w:rPr>
        <w:t xml:space="preserve">As a result, the reduction will push </w:t>
      </w:r>
      <w:r w:rsidR="00350ABA" w:rsidRPr="00A6743C">
        <w:rPr>
          <w:szCs w:val="24"/>
        </w:rPr>
        <w:t>the individuals</w:t>
      </w:r>
      <w:r w:rsidR="00481D32" w:rsidRPr="00A6743C">
        <w:rPr>
          <w:szCs w:val="24"/>
        </w:rPr>
        <w:t>’</w:t>
      </w:r>
      <w:r w:rsidRPr="00A6743C">
        <w:rPr>
          <w:szCs w:val="24"/>
        </w:rPr>
        <w:t xml:space="preserve"> total personal care hours well below what the ETR process</w:t>
      </w:r>
      <w:r w:rsidR="00454F54" w:rsidRPr="00A6743C">
        <w:rPr>
          <w:szCs w:val="24"/>
        </w:rPr>
        <w:t xml:space="preserve"> </w:t>
      </w:r>
      <w:r w:rsidRPr="00A6743C">
        <w:rPr>
          <w:szCs w:val="24"/>
        </w:rPr>
        <w:t>determined to be necessary to maintain their welfare.</w:t>
      </w:r>
      <w:r w:rsidR="00481D32" w:rsidRPr="00A6743C">
        <w:rPr>
          <w:rStyle w:val="FootnoteReference"/>
          <w:szCs w:val="24"/>
        </w:rPr>
        <w:footnoteReference w:id="9"/>
      </w:r>
      <w:r w:rsidRPr="00A6743C">
        <w:rPr>
          <w:szCs w:val="24"/>
        </w:rPr>
        <w:t xml:space="preserve">  </w:t>
      </w:r>
    </w:p>
    <w:p w:rsidR="00A035D7" w:rsidRPr="00A6743C" w:rsidRDefault="00A035D7" w:rsidP="00A035D7">
      <w:pPr>
        <w:pStyle w:val="Heading4"/>
        <w:spacing w:line="240" w:lineRule="auto"/>
      </w:pPr>
      <w:r w:rsidRPr="00A6743C">
        <w:t xml:space="preserve">Experts Agree that Cuts in Services Place Plaintiffs </w:t>
      </w:r>
      <w:proofErr w:type="gramStart"/>
      <w:r w:rsidRPr="00A6743C">
        <w:t>At</w:t>
      </w:r>
      <w:proofErr w:type="gramEnd"/>
      <w:r w:rsidRPr="00A6743C">
        <w:t xml:space="preserve"> Risk of Institutionalization </w:t>
      </w:r>
    </w:p>
    <w:p w:rsidR="00097735" w:rsidRPr="00A6743C" w:rsidRDefault="00097735" w:rsidP="00097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p>
    <w:p w:rsidR="00493F04" w:rsidRPr="00A6743C" w:rsidRDefault="00097735" w:rsidP="00E6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F90663" w:rsidRPr="00A6743C">
        <w:rPr>
          <w:szCs w:val="24"/>
        </w:rPr>
        <w:t xml:space="preserve">The risk of institutionalization associated with </w:t>
      </w:r>
      <w:r w:rsidR="00B1154B" w:rsidRPr="00A6743C">
        <w:rPr>
          <w:szCs w:val="24"/>
        </w:rPr>
        <w:t xml:space="preserve">going </w:t>
      </w:r>
      <w:proofErr w:type="spellStart"/>
      <w:r w:rsidR="00B1154B" w:rsidRPr="00A6743C">
        <w:rPr>
          <w:szCs w:val="24"/>
        </w:rPr>
        <w:t>unbathed</w:t>
      </w:r>
      <w:proofErr w:type="spellEnd"/>
      <w:r w:rsidR="00B1154B" w:rsidRPr="00A6743C">
        <w:rPr>
          <w:szCs w:val="24"/>
        </w:rPr>
        <w:t xml:space="preserve">, remaining in the same </w:t>
      </w:r>
      <w:r w:rsidR="00B1154B" w:rsidRPr="00A6743C">
        <w:rPr>
          <w:szCs w:val="24"/>
        </w:rPr>
        <w:lastRenderedPageBreak/>
        <w:t>clothing, being left in a bed or chair longer than is acceptable, or being unassisted when needing to go to the bathroom</w:t>
      </w:r>
      <w:r w:rsidR="0003093C" w:rsidRPr="00A6743C">
        <w:rPr>
          <w:szCs w:val="24"/>
        </w:rPr>
        <w:t xml:space="preserve"> or eat is not mere conjecture or unfounded fear, but is the subject of</w:t>
      </w:r>
      <w:r w:rsidR="00A035D7" w:rsidRPr="00A6743C">
        <w:rPr>
          <w:szCs w:val="24"/>
        </w:rPr>
        <w:t xml:space="preserve"> an </w:t>
      </w:r>
      <w:r w:rsidR="0003093C" w:rsidRPr="00A6743C">
        <w:rPr>
          <w:szCs w:val="24"/>
        </w:rPr>
        <w:t xml:space="preserve">academic </w:t>
      </w:r>
      <w:r w:rsidR="00A035D7" w:rsidRPr="00A6743C">
        <w:rPr>
          <w:szCs w:val="24"/>
        </w:rPr>
        <w:t xml:space="preserve">study </w:t>
      </w:r>
      <w:r w:rsidR="0003093C" w:rsidRPr="00A6743C">
        <w:rPr>
          <w:szCs w:val="24"/>
        </w:rPr>
        <w:t>that link</w:t>
      </w:r>
      <w:r w:rsidR="00BC2AD4" w:rsidRPr="00A6743C">
        <w:rPr>
          <w:szCs w:val="24"/>
        </w:rPr>
        <w:t>s</w:t>
      </w:r>
      <w:r w:rsidR="0003093C" w:rsidRPr="00A6743C">
        <w:rPr>
          <w:szCs w:val="24"/>
        </w:rPr>
        <w:t xml:space="preserve"> unmet or partially met </w:t>
      </w:r>
      <w:r w:rsidR="00BC2AD4" w:rsidRPr="00A6743C">
        <w:rPr>
          <w:szCs w:val="24"/>
        </w:rPr>
        <w:t xml:space="preserve">ADL </w:t>
      </w:r>
      <w:r w:rsidR="0003093C" w:rsidRPr="00A6743C">
        <w:rPr>
          <w:szCs w:val="24"/>
        </w:rPr>
        <w:t xml:space="preserve">needs </w:t>
      </w:r>
      <w:r w:rsidR="00BC2AD4" w:rsidRPr="00A6743C">
        <w:rPr>
          <w:szCs w:val="24"/>
        </w:rPr>
        <w:t>with</w:t>
      </w:r>
      <w:r w:rsidR="0003093C" w:rsidRPr="00A6743C">
        <w:rPr>
          <w:szCs w:val="24"/>
        </w:rPr>
        <w:t xml:space="preserve"> institutionalization.  </w:t>
      </w:r>
      <w:proofErr w:type="gramStart"/>
      <w:r w:rsidR="0003093C" w:rsidRPr="00A6743C">
        <w:rPr>
          <w:szCs w:val="24"/>
        </w:rPr>
        <w:t>Mitchell  LaPlante</w:t>
      </w:r>
      <w:proofErr w:type="gramEnd"/>
      <w:r w:rsidR="0003093C" w:rsidRPr="00A6743C">
        <w:rPr>
          <w:szCs w:val="24"/>
        </w:rPr>
        <w:t xml:space="preserve"> is a professor at the University of California.  (Mitchell LaPlante</w:t>
      </w:r>
      <w:r w:rsidR="006220C3" w:rsidRPr="00A6743C">
        <w:rPr>
          <w:szCs w:val="24"/>
        </w:rPr>
        <w:t xml:space="preserve"> Decl.</w:t>
      </w:r>
      <w:r w:rsidR="0003093C" w:rsidRPr="00A6743C">
        <w:rPr>
          <w:szCs w:val="24"/>
        </w:rPr>
        <w:t>, DKT 68, ¶</w:t>
      </w:r>
      <w:r w:rsidR="006220C3" w:rsidRPr="00A6743C">
        <w:rPr>
          <w:szCs w:val="24"/>
        </w:rPr>
        <w:t xml:space="preserve"> </w:t>
      </w:r>
      <w:r w:rsidR="0003093C" w:rsidRPr="00A6743C">
        <w:rPr>
          <w:szCs w:val="24"/>
        </w:rPr>
        <w:t>1</w:t>
      </w:r>
      <w:r w:rsidR="006220C3" w:rsidRPr="00A6743C">
        <w:rPr>
          <w:szCs w:val="24"/>
        </w:rPr>
        <w:t>, Dec. 14, 2010</w:t>
      </w:r>
      <w:r w:rsidR="0003093C" w:rsidRPr="00A6743C">
        <w:rPr>
          <w:szCs w:val="24"/>
        </w:rPr>
        <w:t>.)  He recently published a study on the unmet needs of individuals who receive personal assistant services.  (</w:t>
      </w:r>
      <w:r w:rsidR="0003093C" w:rsidRPr="00A6743C">
        <w:rPr>
          <w:i/>
          <w:szCs w:val="24"/>
        </w:rPr>
        <w:t>Id.</w:t>
      </w:r>
      <w:r w:rsidR="0003093C" w:rsidRPr="00A6743C">
        <w:rPr>
          <w:szCs w:val="24"/>
        </w:rPr>
        <w:t xml:space="preserve"> ¶</w:t>
      </w:r>
      <w:r w:rsidR="006220C3" w:rsidRPr="00A6743C">
        <w:rPr>
          <w:szCs w:val="24"/>
        </w:rPr>
        <w:t xml:space="preserve">¶ </w:t>
      </w:r>
      <w:r w:rsidR="0003093C" w:rsidRPr="00A6743C">
        <w:rPr>
          <w:szCs w:val="24"/>
        </w:rPr>
        <w:t>7</w:t>
      </w:r>
      <w:r w:rsidR="006220C3" w:rsidRPr="00A6743C">
        <w:rPr>
          <w:szCs w:val="24"/>
        </w:rPr>
        <w:t>-9</w:t>
      </w:r>
      <w:r w:rsidR="0003093C" w:rsidRPr="00A6743C">
        <w:rPr>
          <w:szCs w:val="24"/>
        </w:rPr>
        <w:t>.)  He found that “</w:t>
      </w:r>
      <w:r w:rsidR="006220C3" w:rsidRPr="00A6743C">
        <w:rPr>
          <w:szCs w:val="24"/>
        </w:rPr>
        <w:t>[</w:t>
      </w:r>
      <w:r w:rsidR="0003093C" w:rsidRPr="00A6743C">
        <w:rPr>
          <w:szCs w:val="24"/>
        </w:rPr>
        <w:t>b</w:t>
      </w:r>
      <w:r w:rsidR="006220C3" w:rsidRPr="00A6743C">
        <w:rPr>
          <w:szCs w:val="24"/>
        </w:rPr>
        <w:t>]</w:t>
      </w:r>
      <w:r w:rsidR="0003093C" w:rsidRPr="00A6743C">
        <w:rPr>
          <w:szCs w:val="24"/>
        </w:rPr>
        <w:t xml:space="preserve">ecause [ADLs] involve satisfying primary biological functions </w:t>
      </w:r>
      <w:r w:rsidR="000A4408" w:rsidRPr="00A6743C">
        <w:rPr>
          <w:szCs w:val="24"/>
        </w:rPr>
        <w:t>unmet</w:t>
      </w:r>
      <w:r w:rsidR="006220C3" w:rsidRPr="00A6743C">
        <w:rPr>
          <w:szCs w:val="24"/>
        </w:rPr>
        <w:t>[sic]</w:t>
      </w:r>
      <w:r w:rsidR="0003093C" w:rsidRPr="00A6743C">
        <w:rPr>
          <w:szCs w:val="24"/>
        </w:rPr>
        <w:t xml:space="preserve"> need cannot be tolerated for long and has immediate and serious consequences leading to death, </w:t>
      </w:r>
      <w:r w:rsidR="009B048D" w:rsidRPr="00A6743C">
        <w:rPr>
          <w:szCs w:val="24"/>
        </w:rPr>
        <w:t>institutionalization</w:t>
      </w:r>
      <w:r w:rsidR="0003093C" w:rsidRPr="00A6743C">
        <w:rPr>
          <w:szCs w:val="24"/>
        </w:rPr>
        <w:t>, injury or worsening health</w:t>
      </w:r>
      <w:r w:rsidR="006220C3" w:rsidRPr="00A6743C">
        <w:rPr>
          <w:szCs w:val="24"/>
        </w:rPr>
        <w:t xml:space="preserve"> . . . .</w:t>
      </w:r>
      <w:r w:rsidR="0003093C" w:rsidRPr="00A6743C">
        <w:rPr>
          <w:szCs w:val="24"/>
        </w:rPr>
        <w:t xml:space="preserve">”  </w:t>
      </w:r>
      <w:proofErr w:type="gramStart"/>
      <w:r w:rsidR="0003093C" w:rsidRPr="00A6743C">
        <w:rPr>
          <w:szCs w:val="24"/>
        </w:rPr>
        <w:t>(</w:t>
      </w:r>
      <w:r w:rsidR="006220C3" w:rsidRPr="00A6743C">
        <w:rPr>
          <w:i/>
          <w:szCs w:val="24"/>
        </w:rPr>
        <w:t>Id.</w:t>
      </w:r>
      <w:r w:rsidR="0003093C" w:rsidRPr="00A6743C">
        <w:rPr>
          <w:szCs w:val="24"/>
        </w:rPr>
        <w:t xml:space="preserve"> ¶</w:t>
      </w:r>
      <w:r w:rsidR="006220C3" w:rsidRPr="00A6743C">
        <w:rPr>
          <w:szCs w:val="24"/>
        </w:rPr>
        <w:t xml:space="preserve"> </w:t>
      </w:r>
      <w:r w:rsidR="0003093C" w:rsidRPr="00A6743C">
        <w:rPr>
          <w:szCs w:val="24"/>
        </w:rPr>
        <w:t>10.)</w:t>
      </w:r>
      <w:proofErr w:type="gramEnd"/>
      <w:r w:rsidR="0003093C" w:rsidRPr="00A6743C">
        <w:rPr>
          <w:szCs w:val="24"/>
        </w:rPr>
        <w:t xml:space="preserve">   Further, persons with two or more unmet or partially met ADL needs are </w:t>
      </w:r>
      <w:r w:rsidR="009B048D" w:rsidRPr="00A6743C">
        <w:rPr>
          <w:szCs w:val="24"/>
        </w:rPr>
        <w:t>1.8 times more likely to enter a nursing home than those with met needs</w:t>
      </w:r>
      <w:r w:rsidR="0003093C" w:rsidRPr="00A6743C">
        <w:rPr>
          <w:szCs w:val="24"/>
        </w:rPr>
        <w:t xml:space="preserve">.  </w:t>
      </w:r>
      <w:proofErr w:type="gramStart"/>
      <w:r w:rsidR="0003093C" w:rsidRPr="00A6743C">
        <w:rPr>
          <w:szCs w:val="24"/>
        </w:rPr>
        <w:t>(</w:t>
      </w:r>
      <w:r w:rsidR="0003093C" w:rsidRPr="00A6743C">
        <w:rPr>
          <w:i/>
          <w:szCs w:val="24"/>
        </w:rPr>
        <w:t>Id.</w:t>
      </w:r>
      <w:r w:rsidR="0003093C" w:rsidRPr="00A6743C">
        <w:rPr>
          <w:szCs w:val="24"/>
        </w:rPr>
        <w:t xml:space="preserve"> ¶</w:t>
      </w:r>
      <w:r w:rsidR="00F930CD" w:rsidRPr="00A6743C">
        <w:rPr>
          <w:szCs w:val="24"/>
        </w:rPr>
        <w:t xml:space="preserve"> </w:t>
      </w:r>
      <w:r w:rsidR="009B048D" w:rsidRPr="00A6743C">
        <w:rPr>
          <w:szCs w:val="24"/>
        </w:rPr>
        <w:t>12</w:t>
      </w:r>
      <w:r w:rsidR="0003093C" w:rsidRPr="00A6743C">
        <w:rPr>
          <w:szCs w:val="24"/>
        </w:rPr>
        <w:t>.)</w:t>
      </w:r>
      <w:proofErr w:type="gramEnd"/>
      <w:r w:rsidR="0003093C" w:rsidRPr="00A6743C">
        <w:rPr>
          <w:szCs w:val="24"/>
        </w:rPr>
        <w:t xml:space="preserve">  </w:t>
      </w:r>
      <w:r w:rsidR="00EF6882" w:rsidRPr="00A6743C">
        <w:rPr>
          <w:szCs w:val="24"/>
        </w:rPr>
        <w:t xml:space="preserve">Even temporary unmet needs can threaten individuals’ ability to live safely in their own homes, but the risk increases as the needs go unmet over time.  </w:t>
      </w:r>
      <w:proofErr w:type="gramStart"/>
      <w:r w:rsidR="00EF6882" w:rsidRPr="00A6743C">
        <w:rPr>
          <w:szCs w:val="24"/>
        </w:rPr>
        <w:t>(</w:t>
      </w:r>
      <w:r w:rsidR="00EF6882" w:rsidRPr="00A6743C">
        <w:rPr>
          <w:i/>
          <w:szCs w:val="24"/>
        </w:rPr>
        <w:t>Id.</w:t>
      </w:r>
      <w:r w:rsidR="00EF6882" w:rsidRPr="00A6743C">
        <w:rPr>
          <w:szCs w:val="24"/>
        </w:rPr>
        <w:t xml:space="preserve"> ¶</w:t>
      </w:r>
      <w:r w:rsidR="00786DA8" w:rsidRPr="00A6743C">
        <w:rPr>
          <w:szCs w:val="24"/>
        </w:rPr>
        <w:t xml:space="preserve"> </w:t>
      </w:r>
      <w:r w:rsidR="00EF6882" w:rsidRPr="00A6743C">
        <w:rPr>
          <w:szCs w:val="24"/>
        </w:rPr>
        <w:t>17.)</w:t>
      </w:r>
      <w:proofErr w:type="gramEnd"/>
      <w:r w:rsidR="00EF6882" w:rsidRPr="00A6743C">
        <w:rPr>
          <w:szCs w:val="24"/>
        </w:rPr>
        <w:t xml:space="preserve">   </w:t>
      </w:r>
    </w:p>
    <w:p w:rsidR="00E60336" w:rsidRPr="00A6743C" w:rsidRDefault="00EF6882" w:rsidP="00EA6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t xml:space="preserve">Those intimately familiar with Washington’s personal care system agree that the current reduction in services places individuals at risk of </w:t>
      </w:r>
      <w:r w:rsidR="009B048D" w:rsidRPr="00A6743C">
        <w:rPr>
          <w:szCs w:val="24"/>
        </w:rPr>
        <w:t>institutionalization</w:t>
      </w:r>
      <w:r w:rsidRPr="00A6743C">
        <w:rPr>
          <w:szCs w:val="24"/>
        </w:rPr>
        <w:t>.  Charles Reed, who has been dubbed the “architect of the long-term care system in Washington state</w:t>
      </w:r>
      <w:r w:rsidR="00EA65A1" w:rsidRPr="00A6743C">
        <w:rPr>
          <w:szCs w:val="24"/>
        </w:rPr>
        <w:t>,</w:t>
      </w:r>
      <w:r w:rsidRPr="00A6743C">
        <w:rPr>
          <w:szCs w:val="24"/>
        </w:rPr>
        <w:t xml:space="preserve">” served for ten years as the Director of </w:t>
      </w:r>
      <w:r w:rsidR="00DE3B3F" w:rsidRPr="00A6743C">
        <w:rPr>
          <w:szCs w:val="24"/>
        </w:rPr>
        <w:t xml:space="preserve">the </w:t>
      </w:r>
      <w:r w:rsidRPr="00A6743C">
        <w:rPr>
          <w:szCs w:val="24"/>
        </w:rPr>
        <w:t>Washington State Bureau of Aging and Adult Services and was appointed by the Governor to serve as a Chair on the Washington State Home Care Quality Authority, states that “ba</w:t>
      </w:r>
      <w:r w:rsidR="00A035D7" w:rsidRPr="00A6743C">
        <w:rPr>
          <w:szCs w:val="24"/>
        </w:rPr>
        <w:t xml:space="preserve">sed on my professional opinion [and] </w:t>
      </w:r>
      <w:r w:rsidRPr="00A6743C">
        <w:rPr>
          <w:szCs w:val="24"/>
        </w:rPr>
        <w:t xml:space="preserve">based upon my education, training and experience, the magnitude of these cuts will place many people receiving in-home personal care services at immediate risk of serious health deterioration and even death, and will force many </w:t>
      </w:r>
      <w:r w:rsidR="002A23C4" w:rsidRPr="00A6743C">
        <w:rPr>
          <w:szCs w:val="24"/>
        </w:rPr>
        <w:t>individuals</w:t>
      </w:r>
      <w:r w:rsidRPr="00A6743C">
        <w:rPr>
          <w:szCs w:val="24"/>
        </w:rPr>
        <w:t xml:space="preserve"> into institutional care.”  </w:t>
      </w:r>
      <w:proofErr w:type="gramStart"/>
      <w:r w:rsidRPr="00A6743C">
        <w:rPr>
          <w:szCs w:val="24"/>
        </w:rPr>
        <w:t>(</w:t>
      </w:r>
      <w:r w:rsidR="00C815F3" w:rsidRPr="00A6743C">
        <w:rPr>
          <w:szCs w:val="24"/>
        </w:rPr>
        <w:t>Reed Decl.</w:t>
      </w:r>
      <w:r w:rsidRPr="00A6743C">
        <w:rPr>
          <w:szCs w:val="24"/>
        </w:rPr>
        <w:t xml:space="preserve"> ¶</w:t>
      </w:r>
      <w:r w:rsidR="00C815F3" w:rsidRPr="00A6743C">
        <w:rPr>
          <w:szCs w:val="24"/>
        </w:rPr>
        <w:t xml:space="preserve"> </w:t>
      </w:r>
      <w:r w:rsidR="002A23C4" w:rsidRPr="00A6743C">
        <w:rPr>
          <w:szCs w:val="24"/>
        </w:rPr>
        <w:t>44.)</w:t>
      </w:r>
      <w:proofErr w:type="gramEnd"/>
      <w:r w:rsidR="002A23C4" w:rsidRPr="00A6743C">
        <w:rPr>
          <w:szCs w:val="24"/>
        </w:rPr>
        <w:t xml:space="preserve">  Similarly, Penny Black, the Director of the Washington Home and Community Services Administration until 2005, states </w:t>
      </w:r>
      <w:r w:rsidR="002A23C4" w:rsidRPr="00A6743C">
        <w:rPr>
          <w:szCs w:val="24"/>
        </w:rPr>
        <w:lastRenderedPageBreak/>
        <w:t xml:space="preserve">that “it is reasonably likely that many consumers will experience immediate and substantial harm from these hour cuts, are likely to have more medical emergencies and hospitalizations, and will experience serious and irreparable harm to their physical and mental health condition.”  </w:t>
      </w:r>
      <w:proofErr w:type="gramStart"/>
      <w:r w:rsidR="002A23C4" w:rsidRPr="00A6743C">
        <w:rPr>
          <w:szCs w:val="24"/>
        </w:rPr>
        <w:t>(Black</w:t>
      </w:r>
      <w:r w:rsidR="00AA5155" w:rsidRPr="00A6743C">
        <w:rPr>
          <w:szCs w:val="24"/>
        </w:rPr>
        <w:t xml:space="preserve"> Decl.</w:t>
      </w:r>
      <w:r w:rsidR="002A23C4" w:rsidRPr="00A6743C">
        <w:rPr>
          <w:szCs w:val="24"/>
        </w:rPr>
        <w:t xml:space="preserve"> ¶</w:t>
      </w:r>
      <w:r w:rsidR="00AA5155" w:rsidRPr="00A6743C">
        <w:rPr>
          <w:szCs w:val="24"/>
        </w:rPr>
        <w:t xml:space="preserve"> </w:t>
      </w:r>
      <w:r w:rsidR="002A23C4" w:rsidRPr="00A6743C">
        <w:rPr>
          <w:szCs w:val="24"/>
        </w:rPr>
        <w:t>33.)</w:t>
      </w:r>
      <w:proofErr w:type="gramEnd"/>
      <w:r w:rsidR="002A23C4" w:rsidRPr="00A6743C">
        <w:rPr>
          <w:szCs w:val="24"/>
        </w:rPr>
        <w:t xml:space="preserve">  Sean Walsh, the director of a community provider agency, opines that the reduction in personal care hours “will result in hundreds or thousands of cases of additional Skilled Nursing Home placements and hospitalizations, as well as increases in preventable injury and death for low income, older and disabled adults.”  </w:t>
      </w:r>
      <w:proofErr w:type="gramStart"/>
      <w:r w:rsidR="002A23C4" w:rsidRPr="00A6743C">
        <w:rPr>
          <w:szCs w:val="24"/>
        </w:rPr>
        <w:t>(Walsh</w:t>
      </w:r>
      <w:r w:rsidR="002F456A" w:rsidRPr="00A6743C">
        <w:rPr>
          <w:szCs w:val="24"/>
        </w:rPr>
        <w:t xml:space="preserve"> Decl. </w:t>
      </w:r>
      <w:r w:rsidR="002A23C4" w:rsidRPr="00A6743C">
        <w:rPr>
          <w:szCs w:val="24"/>
        </w:rPr>
        <w:t>¶</w:t>
      </w:r>
      <w:r w:rsidR="002F456A" w:rsidRPr="00A6743C">
        <w:rPr>
          <w:szCs w:val="24"/>
        </w:rPr>
        <w:t xml:space="preserve"> </w:t>
      </w:r>
      <w:r w:rsidR="002A23C4" w:rsidRPr="00A6743C">
        <w:rPr>
          <w:szCs w:val="24"/>
        </w:rPr>
        <w:t>12.)</w:t>
      </w:r>
      <w:proofErr w:type="gramEnd"/>
      <w:r w:rsidR="002A23C4" w:rsidRPr="00A6743C">
        <w:rPr>
          <w:szCs w:val="24"/>
        </w:rPr>
        <w:t xml:space="preserve">   </w:t>
      </w:r>
      <w:r w:rsidR="00EA0201" w:rsidRPr="00A6743C">
        <w:rPr>
          <w:szCs w:val="24"/>
        </w:rPr>
        <w:t xml:space="preserve">Nancy Dapper, former Centers for </w:t>
      </w:r>
      <w:r w:rsidR="00DE3B3F" w:rsidRPr="00A6743C">
        <w:rPr>
          <w:szCs w:val="24"/>
        </w:rPr>
        <w:t xml:space="preserve">Medicare and </w:t>
      </w:r>
      <w:r w:rsidR="00EA0201" w:rsidRPr="00A6743C">
        <w:rPr>
          <w:szCs w:val="24"/>
        </w:rPr>
        <w:t xml:space="preserve">Medicaid Services (CMS) administrator </w:t>
      </w:r>
      <w:r w:rsidR="00516AB4" w:rsidRPr="00A6743C">
        <w:rPr>
          <w:szCs w:val="24"/>
        </w:rPr>
        <w:t>states</w:t>
      </w:r>
      <w:r w:rsidR="00EA0201" w:rsidRPr="00A6743C">
        <w:rPr>
          <w:szCs w:val="24"/>
        </w:rPr>
        <w:t xml:space="preserve"> that the reductions “put lives at risk” and </w:t>
      </w:r>
      <w:r w:rsidR="00B62A3A" w:rsidRPr="00A6743C">
        <w:rPr>
          <w:szCs w:val="24"/>
        </w:rPr>
        <w:t xml:space="preserve">are </w:t>
      </w:r>
      <w:r w:rsidR="00EA0201" w:rsidRPr="00A6743C">
        <w:rPr>
          <w:szCs w:val="24"/>
        </w:rPr>
        <w:t>“likely to cause increased danger to [individuals with dementia] and medical emergencies.”  (Nancy Dapper</w:t>
      </w:r>
      <w:r w:rsidR="00B62A3A" w:rsidRPr="00A6743C">
        <w:rPr>
          <w:szCs w:val="24"/>
        </w:rPr>
        <w:t xml:space="preserve"> Decl.</w:t>
      </w:r>
      <w:r w:rsidR="00EA0201" w:rsidRPr="00A6743C">
        <w:rPr>
          <w:szCs w:val="24"/>
        </w:rPr>
        <w:t>, DKT 20, ¶¶</w:t>
      </w:r>
      <w:r w:rsidR="00B62A3A" w:rsidRPr="00A6743C">
        <w:rPr>
          <w:szCs w:val="24"/>
        </w:rPr>
        <w:t xml:space="preserve"> 8</w:t>
      </w:r>
      <w:r w:rsidR="00EA0201" w:rsidRPr="00A6743C">
        <w:rPr>
          <w:szCs w:val="24"/>
        </w:rPr>
        <w:t>, 17</w:t>
      </w:r>
      <w:r w:rsidR="00B62A3A" w:rsidRPr="00A6743C">
        <w:rPr>
          <w:szCs w:val="24"/>
        </w:rPr>
        <w:t>, Dec. 22, 2010</w:t>
      </w:r>
      <w:r w:rsidR="00EA0201" w:rsidRPr="00A6743C">
        <w:rPr>
          <w:szCs w:val="24"/>
        </w:rPr>
        <w:t>.)</w:t>
      </w:r>
    </w:p>
    <w:p w:rsidR="00EA65A1" w:rsidRPr="00A6743C" w:rsidRDefault="00EA65A1" w:rsidP="00EA65A1">
      <w:pPr>
        <w:pStyle w:val="Heading4"/>
        <w:spacing w:line="240" w:lineRule="auto"/>
      </w:pPr>
      <w:r w:rsidRPr="00A6743C">
        <w:t xml:space="preserve">The State Cannot Defend the Cuts </w:t>
      </w:r>
      <w:r w:rsidR="00A34BD3" w:rsidRPr="00A6743C">
        <w:t>Based on Vague Promises of Its Compliance with the Integration Mandate</w:t>
      </w:r>
    </w:p>
    <w:p w:rsidR="00EA65A1" w:rsidRPr="00A6743C" w:rsidRDefault="00EA65A1" w:rsidP="00EA65A1">
      <w:pPr>
        <w:spacing w:line="240" w:lineRule="auto"/>
      </w:pPr>
    </w:p>
    <w:p w:rsidR="0033751A" w:rsidRPr="00A6743C" w:rsidRDefault="00E90F08" w:rsidP="009B0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511D20" w:rsidRPr="00A6743C">
        <w:rPr>
          <w:szCs w:val="24"/>
        </w:rPr>
        <w:t xml:space="preserve">The State contends that the reductions in services will not place individuals at risk of institutionalization.  </w:t>
      </w:r>
      <w:proofErr w:type="gramStart"/>
      <w:r w:rsidR="00511D20" w:rsidRPr="00A6743C">
        <w:rPr>
          <w:szCs w:val="24"/>
        </w:rPr>
        <w:t>(Defs.’</w:t>
      </w:r>
      <w:proofErr w:type="gramEnd"/>
      <w:r w:rsidR="00511D20" w:rsidRPr="00A6743C">
        <w:rPr>
          <w:szCs w:val="24"/>
        </w:rPr>
        <w:t xml:space="preserve"> </w:t>
      </w:r>
      <w:proofErr w:type="gramStart"/>
      <w:r w:rsidR="00511D20" w:rsidRPr="00A6743C">
        <w:rPr>
          <w:szCs w:val="24"/>
        </w:rPr>
        <w:t>Resp. to Pls.’ Mot.</w:t>
      </w:r>
      <w:proofErr w:type="gramEnd"/>
      <w:r w:rsidR="00511D20" w:rsidRPr="00A6743C">
        <w:rPr>
          <w:szCs w:val="24"/>
        </w:rPr>
        <w:t xml:space="preserve"> </w:t>
      </w:r>
      <w:proofErr w:type="gramStart"/>
      <w:r w:rsidR="00511D20" w:rsidRPr="00A6743C">
        <w:rPr>
          <w:szCs w:val="24"/>
        </w:rPr>
        <w:t>for</w:t>
      </w:r>
      <w:proofErr w:type="gramEnd"/>
      <w:r w:rsidR="00511D20" w:rsidRPr="00A6743C">
        <w:rPr>
          <w:szCs w:val="24"/>
        </w:rPr>
        <w:t xml:space="preserve"> TRO 22-23.)  In support, the State argues that the CARE assessment is not a measure of minimum need (</w:t>
      </w:r>
      <w:r w:rsidR="00511D20" w:rsidRPr="00A6743C">
        <w:rPr>
          <w:i/>
          <w:szCs w:val="24"/>
        </w:rPr>
        <w:t xml:space="preserve">id. </w:t>
      </w:r>
      <w:r w:rsidR="00511D20" w:rsidRPr="00A6743C">
        <w:rPr>
          <w:szCs w:val="24"/>
        </w:rPr>
        <w:t>25-26) thus reducing services below that level is unproblematic, that the significantly smaller 2009 cuts did not cause widespread institutionalization (Moss Decl. ¶ 8), and that the ETR process functions as a safety net to ensure individuals are not institutionalized (</w:t>
      </w:r>
      <w:r w:rsidR="00511D20" w:rsidRPr="00A6743C">
        <w:rPr>
          <w:i/>
          <w:szCs w:val="24"/>
        </w:rPr>
        <w:t>id.</w:t>
      </w:r>
      <w:r w:rsidR="00511D20" w:rsidRPr="00A6743C">
        <w:rPr>
          <w:szCs w:val="24"/>
        </w:rPr>
        <w:t xml:space="preserve">; Defs.’ </w:t>
      </w:r>
      <w:proofErr w:type="gramStart"/>
      <w:r w:rsidR="00511D20" w:rsidRPr="00A6743C">
        <w:rPr>
          <w:szCs w:val="24"/>
        </w:rPr>
        <w:t>Resp. to Pls.’ Mot.</w:t>
      </w:r>
      <w:proofErr w:type="gramEnd"/>
      <w:r w:rsidR="00511D20" w:rsidRPr="00A6743C">
        <w:rPr>
          <w:szCs w:val="24"/>
        </w:rPr>
        <w:t xml:space="preserve"> </w:t>
      </w:r>
      <w:proofErr w:type="gramStart"/>
      <w:r w:rsidR="00511D20" w:rsidRPr="00A6743C">
        <w:rPr>
          <w:szCs w:val="24"/>
        </w:rPr>
        <w:t>for</w:t>
      </w:r>
      <w:proofErr w:type="gramEnd"/>
      <w:r w:rsidR="00511D20" w:rsidRPr="00A6743C">
        <w:rPr>
          <w:szCs w:val="24"/>
        </w:rPr>
        <w:t xml:space="preserve"> TRO 3, n. 1).  Plaintiffs rebut each of these arguments in detail and in total (Pls.’ Mot. for Prelim. Inj. 16-24, DKT 95, Jan. 21, 2011), and thus the United States will not respond to them point-for-point, but will address the overall implication of the State’s arguments.</w:t>
      </w:r>
    </w:p>
    <w:p w:rsidR="00152010" w:rsidRPr="00A6743C" w:rsidRDefault="0033751A" w:rsidP="009B0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481D32" w:rsidRPr="00A6743C">
        <w:rPr>
          <w:szCs w:val="24"/>
        </w:rPr>
        <w:t xml:space="preserve">Assuming, </w:t>
      </w:r>
      <w:r w:rsidR="00481D32" w:rsidRPr="00A6743C">
        <w:rPr>
          <w:i/>
          <w:szCs w:val="24"/>
        </w:rPr>
        <w:t>arguendo</w:t>
      </w:r>
      <w:r w:rsidR="00481D32" w:rsidRPr="00A6743C">
        <w:rPr>
          <w:szCs w:val="24"/>
        </w:rPr>
        <w:t xml:space="preserve">, </w:t>
      </w:r>
      <w:r w:rsidR="00750D85" w:rsidRPr="00A6743C">
        <w:rPr>
          <w:szCs w:val="24"/>
        </w:rPr>
        <w:t>the CARE assessment is not a measure of minimum need</w:t>
      </w:r>
      <w:r w:rsidR="00F75096" w:rsidRPr="00A6743C">
        <w:rPr>
          <w:szCs w:val="24"/>
        </w:rPr>
        <w:t xml:space="preserve">, </w:t>
      </w:r>
      <w:proofErr w:type="gramStart"/>
      <w:r w:rsidR="00F75096" w:rsidRPr="00A6743C">
        <w:rPr>
          <w:szCs w:val="24"/>
        </w:rPr>
        <w:t>th</w:t>
      </w:r>
      <w:r w:rsidR="001A627F">
        <w:rPr>
          <w:szCs w:val="24"/>
        </w:rPr>
        <w:t>e</w:t>
      </w:r>
      <w:r w:rsidR="00F75096" w:rsidRPr="00A6743C">
        <w:rPr>
          <w:szCs w:val="24"/>
        </w:rPr>
        <w:t>n</w:t>
      </w:r>
      <w:proofErr w:type="gramEnd"/>
      <w:r w:rsidR="00F75096" w:rsidRPr="00A6743C">
        <w:rPr>
          <w:szCs w:val="24"/>
        </w:rPr>
        <w:t xml:space="preserve"> the State must admit, which it does, that it does not know</w:t>
      </w:r>
      <w:r w:rsidR="002439B9" w:rsidRPr="00A6743C">
        <w:rPr>
          <w:szCs w:val="24"/>
        </w:rPr>
        <w:t xml:space="preserve"> </w:t>
      </w:r>
      <w:r w:rsidR="00E2533B" w:rsidRPr="00A6743C">
        <w:rPr>
          <w:szCs w:val="24"/>
        </w:rPr>
        <w:t xml:space="preserve">what level of services </w:t>
      </w:r>
      <w:r w:rsidR="000706AB" w:rsidRPr="00A6743C">
        <w:rPr>
          <w:szCs w:val="24"/>
        </w:rPr>
        <w:t xml:space="preserve">Plaintiffs </w:t>
      </w:r>
      <w:r w:rsidR="00EA0201" w:rsidRPr="00A6743C">
        <w:rPr>
          <w:szCs w:val="24"/>
        </w:rPr>
        <w:t xml:space="preserve">need to </w:t>
      </w:r>
      <w:r w:rsidR="00EA0201" w:rsidRPr="00A6743C">
        <w:rPr>
          <w:szCs w:val="24"/>
        </w:rPr>
        <w:lastRenderedPageBreak/>
        <w:t xml:space="preserve">remain safe in the community. </w:t>
      </w:r>
      <w:r w:rsidR="00094713" w:rsidRPr="00A6743C">
        <w:rPr>
          <w:szCs w:val="24"/>
        </w:rPr>
        <w:t xml:space="preserve"> </w:t>
      </w:r>
      <w:proofErr w:type="gramStart"/>
      <w:r w:rsidR="00094713" w:rsidRPr="00A6743C">
        <w:rPr>
          <w:szCs w:val="24"/>
        </w:rPr>
        <w:t>(Def</w:t>
      </w:r>
      <w:r w:rsidR="000706AB" w:rsidRPr="00A6743C">
        <w:rPr>
          <w:szCs w:val="24"/>
        </w:rPr>
        <w:t>s</w:t>
      </w:r>
      <w:r w:rsidR="00094713" w:rsidRPr="00A6743C">
        <w:rPr>
          <w:szCs w:val="24"/>
        </w:rPr>
        <w:t>.</w:t>
      </w:r>
      <w:r w:rsidR="000706AB" w:rsidRPr="00A6743C">
        <w:rPr>
          <w:szCs w:val="24"/>
        </w:rPr>
        <w:t>’</w:t>
      </w:r>
      <w:proofErr w:type="gramEnd"/>
      <w:r w:rsidR="000706AB" w:rsidRPr="00A6743C">
        <w:rPr>
          <w:szCs w:val="24"/>
        </w:rPr>
        <w:t xml:space="preserve"> </w:t>
      </w:r>
      <w:proofErr w:type="gramStart"/>
      <w:r w:rsidR="000706AB" w:rsidRPr="00A6743C">
        <w:rPr>
          <w:szCs w:val="24"/>
        </w:rPr>
        <w:t>Resp. to Pls.’ Mot.</w:t>
      </w:r>
      <w:proofErr w:type="gramEnd"/>
      <w:r w:rsidR="000706AB" w:rsidRPr="00A6743C">
        <w:rPr>
          <w:szCs w:val="24"/>
        </w:rPr>
        <w:t xml:space="preserve"> </w:t>
      </w:r>
      <w:proofErr w:type="gramStart"/>
      <w:r w:rsidR="000706AB" w:rsidRPr="00A6743C">
        <w:rPr>
          <w:szCs w:val="24"/>
        </w:rPr>
        <w:t>for</w:t>
      </w:r>
      <w:proofErr w:type="gramEnd"/>
      <w:r w:rsidR="00094713" w:rsidRPr="00A6743C">
        <w:rPr>
          <w:szCs w:val="24"/>
        </w:rPr>
        <w:t xml:space="preserve"> TRO 25</w:t>
      </w:r>
      <w:r w:rsidR="007008AD" w:rsidRPr="00A6743C">
        <w:rPr>
          <w:szCs w:val="24"/>
        </w:rPr>
        <w:t>-26</w:t>
      </w:r>
      <w:r w:rsidR="00094713" w:rsidRPr="00A6743C">
        <w:rPr>
          <w:szCs w:val="24"/>
        </w:rPr>
        <w:t>.)</w:t>
      </w:r>
      <w:r w:rsidR="00F75096" w:rsidRPr="00A6743C">
        <w:rPr>
          <w:szCs w:val="24"/>
        </w:rPr>
        <w:t xml:space="preserve"> </w:t>
      </w:r>
      <w:r w:rsidR="007008AD" w:rsidRPr="00A6743C">
        <w:rPr>
          <w:szCs w:val="24"/>
        </w:rPr>
        <w:t xml:space="preserve"> </w:t>
      </w:r>
      <w:r w:rsidR="00097735" w:rsidRPr="00A6743C">
        <w:rPr>
          <w:szCs w:val="24"/>
        </w:rPr>
        <w:t>Thus the</w:t>
      </w:r>
      <w:r w:rsidR="00786987" w:rsidRPr="00A6743C">
        <w:rPr>
          <w:szCs w:val="24"/>
        </w:rPr>
        <w:t xml:space="preserve"> State is</w:t>
      </w:r>
      <w:r w:rsidR="005D6F73" w:rsidRPr="00A6743C">
        <w:rPr>
          <w:szCs w:val="24"/>
        </w:rPr>
        <w:t xml:space="preserve"> embark</w:t>
      </w:r>
      <w:r w:rsidR="00786987" w:rsidRPr="00A6743C">
        <w:rPr>
          <w:szCs w:val="24"/>
        </w:rPr>
        <w:t xml:space="preserve">ing upon an experiment </w:t>
      </w:r>
      <w:r w:rsidR="009C32E3" w:rsidRPr="00A6743C">
        <w:rPr>
          <w:szCs w:val="24"/>
        </w:rPr>
        <w:t>whereupon it hopes that it will not cross an unknown (and according to the State, unidentifiable</w:t>
      </w:r>
      <w:r w:rsidR="001A627F">
        <w:rPr>
          <w:szCs w:val="24"/>
        </w:rPr>
        <w:t xml:space="preserve"> </w:t>
      </w:r>
      <w:r w:rsidR="009C32E3" w:rsidRPr="00A6743C">
        <w:rPr>
          <w:szCs w:val="24"/>
        </w:rPr>
        <w:t xml:space="preserve">threshold that places individuals at risk of institutionalization.  However, the State has an </w:t>
      </w:r>
      <w:r w:rsidR="00786987" w:rsidRPr="00A6743C">
        <w:rPr>
          <w:szCs w:val="24"/>
        </w:rPr>
        <w:t>affirmative obligation to ensure its compliance with title II of the ADA and the integration mandate</w:t>
      </w:r>
      <w:r w:rsidR="00BA7F15" w:rsidRPr="00A6743C">
        <w:rPr>
          <w:szCs w:val="24"/>
        </w:rPr>
        <w:t xml:space="preserve"> and take necessary steps to e</w:t>
      </w:r>
      <w:r w:rsidR="00786987" w:rsidRPr="00A6743C">
        <w:rPr>
          <w:szCs w:val="24"/>
        </w:rPr>
        <w:t>nsure its p</w:t>
      </w:r>
      <w:r w:rsidR="00023A23" w:rsidRPr="00A6743C">
        <w:rPr>
          <w:szCs w:val="24"/>
        </w:rPr>
        <w:t>olicies do</w:t>
      </w:r>
      <w:r w:rsidR="00786987" w:rsidRPr="00A6743C">
        <w:rPr>
          <w:szCs w:val="24"/>
        </w:rPr>
        <w:t xml:space="preserve"> not place individuals at </w:t>
      </w:r>
      <w:r w:rsidR="00C47913" w:rsidRPr="00A6743C">
        <w:rPr>
          <w:szCs w:val="24"/>
        </w:rPr>
        <w:t xml:space="preserve">risk of institutionalization.  </w:t>
      </w:r>
      <w:r w:rsidR="000A4524" w:rsidRPr="00A6743C">
        <w:rPr>
          <w:i/>
          <w:szCs w:val="24"/>
        </w:rPr>
        <w:t>See e.g</w:t>
      </w:r>
      <w:r w:rsidR="000A4524" w:rsidRPr="00A6743C">
        <w:rPr>
          <w:szCs w:val="24"/>
        </w:rPr>
        <w:t xml:space="preserve">., </w:t>
      </w:r>
      <w:r w:rsidR="000A4524" w:rsidRPr="00A6743C">
        <w:rPr>
          <w:i/>
          <w:szCs w:val="24"/>
        </w:rPr>
        <w:t xml:space="preserve">Fisher, </w:t>
      </w:r>
      <w:r w:rsidR="000A4524" w:rsidRPr="00A6743C">
        <w:rPr>
          <w:szCs w:val="24"/>
        </w:rPr>
        <w:t>335 F.3d</w:t>
      </w:r>
      <w:r w:rsidR="000A4524" w:rsidRPr="00A6743C">
        <w:rPr>
          <w:i/>
          <w:szCs w:val="24"/>
        </w:rPr>
        <w:t xml:space="preserve"> </w:t>
      </w:r>
      <w:r w:rsidR="00E22ED3" w:rsidRPr="00A6743C">
        <w:rPr>
          <w:szCs w:val="24"/>
        </w:rPr>
        <w:t>at</w:t>
      </w:r>
      <w:r w:rsidR="007008AD" w:rsidRPr="00A6743C">
        <w:rPr>
          <w:szCs w:val="24"/>
        </w:rPr>
        <w:t xml:space="preserve"> </w:t>
      </w:r>
      <w:r w:rsidR="000A4524" w:rsidRPr="00A6743C">
        <w:rPr>
          <w:szCs w:val="24"/>
        </w:rPr>
        <w:t xml:space="preserve">1181-84; </w:t>
      </w:r>
      <w:r w:rsidR="000A4524" w:rsidRPr="00A6743C">
        <w:rPr>
          <w:i/>
          <w:szCs w:val="24"/>
        </w:rPr>
        <w:t>F</w:t>
      </w:r>
      <w:r w:rsidR="00E22ED3" w:rsidRPr="00A6743C">
        <w:rPr>
          <w:i/>
          <w:szCs w:val="24"/>
        </w:rPr>
        <w:t>r</w:t>
      </w:r>
      <w:r w:rsidR="000A4524" w:rsidRPr="00A6743C">
        <w:rPr>
          <w:i/>
          <w:szCs w:val="24"/>
        </w:rPr>
        <w:t>ederick L</w:t>
      </w:r>
      <w:r w:rsidR="007008AD" w:rsidRPr="00A6743C">
        <w:rPr>
          <w:i/>
          <w:szCs w:val="24"/>
        </w:rPr>
        <w:t>.</w:t>
      </w:r>
      <w:r w:rsidR="00152010" w:rsidRPr="00A6743C">
        <w:rPr>
          <w:i/>
          <w:szCs w:val="24"/>
        </w:rPr>
        <w:t xml:space="preserve"> v. Dep</w:t>
      </w:r>
      <w:r w:rsidR="007008AD" w:rsidRPr="00A6743C">
        <w:rPr>
          <w:i/>
          <w:szCs w:val="24"/>
        </w:rPr>
        <w:t>’</w:t>
      </w:r>
      <w:r w:rsidR="00152010" w:rsidRPr="00A6743C">
        <w:rPr>
          <w:i/>
          <w:szCs w:val="24"/>
        </w:rPr>
        <w:t>t of Pub</w:t>
      </w:r>
      <w:r w:rsidR="007008AD" w:rsidRPr="00A6743C">
        <w:rPr>
          <w:i/>
          <w:szCs w:val="24"/>
        </w:rPr>
        <w:t>.</w:t>
      </w:r>
      <w:r w:rsidR="00152010" w:rsidRPr="00A6743C">
        <w:rPr>
          <w:i/>
          <w:szCs w:val="24"/>
        </w:rPr>
        <w:t xml:space="preserve"> Welf</w:t>
      </w:r>
      <w:r w:rsidR="007008AD" w:rsidRPr="00A6743C">
        <w:rPr>
          <w:i/>
          <w:szCs w:val="24"/>
        </w:rPr>
        <w:t>are</w:t>
      </w:r>
      <w:r w:rsidR="00152010" w:rsidRPr="00A6743C">
        <w:rPr>
          <w:i/>
          <w:szCs w:val="24"/>
        </w:rPr>
        <w:t xml:space="preserve"> </w:t>
      </w:r>
      <w:r w:rsidR="007008AD" w:rsidRPr="00A6743C">
        <w:rPr>
          <w:i/>
          <w:szCs w:val="24"/>
        </w:rPr>
        <w:t>o</w:t>
      </w:r>
      <w:r w:rsidR="00152010" w:rsidRPr="00A6743C">
        <w:rPr>
          <w:i/>
          <w:szCs w:val="24"/>
        </w:rPr>
        <w:t>f P</w:t>
      </w:r>
      <w:r w:rsidR="007008AD" w:rsidRPr="00A6743C">
        <w:rPr>
          <w:i/>
          <w:szCs w:val="24"/>
        </w:rPr>
        <w:t>a.</w:t>
      </w:r>
      <w:r w:rsidR="00152010" w:rsidRPr="00A6743C">
        <w:rPr>
          <w:szCs w:val="24"/>
        </w:rPr>
        <w:t>, 364 F.3d 487, 500 (</w:t>
      </w:r>
      <w:r w:rsidR="007008AD" w:rsidRPr="00A6743C">
        <w:rPr>
          <w:szCs w:val="24"/>
        </w:rPr>
        <w:t xml:space="preserve">3d </w:t>
      </w:r>
      <w:r w:rsidR="00152010" w:rsidRPr="00A6743C">
        <w:rPr>
          <w:szCs w:val="24"/>
        </w:rPr>
        <w:t>Cir. 2004)</w:t>
      </w:r>
      <w:r w:rsidR="007008AD" w:rsidRPr="00A6743C">
        <w:rPr>
          <w:szCs w:val="24"/>
        </w:rPr>
        <w:t xml:space="preserve"> </w:t>
      </w:r>
      <w:r w:rsidR="00152010" w:rsidRPr="00A6743C">
        <w:rPr>
          <w:szCs w:val="24"/>
        </w:rPr>
        <w:t xml:space="preserve">(“[The State] must be prepared to make </w:t>
      </w:r>
      <w:r w:rsidR="007008AD" w:rsidRPr="00A6743C">
        <w:rPr>
          <w:szCs w:val="24"/>
        </w:rPr>
        <w:t xml:space="preserve">a </w:t>
      </w:r>
      <w:r w:rsidR="00152010" w:rsidRPr="00A6743C">
        <w:rPr>
          <w:szCs w:val="24"/>
        </w:rPr>
        <w:t>commitment to action in a manner for which it can be held accountable by the courts</w:t>
      </w:r>
      <w:r w:rsidR="005B4907" w:rsidRPr="00A6743C">
        <w:rPr>
          <w:szCs w:val="24"/>
        </w:rPr>
        <w:t>.</w:t>
      </w:r>
      <w:r w:rsidR="00152010" w:rsidRPr="00A6743C">
        <w:rPr>
          <w:szCs w:val="24"/>
        </w:rPr>
        <w:t xml:space="preserve">”); </w:t>
      </w:r>
      <w:r w:rsidR="00152010" w:rsidRPr="00A6743C">
        <w:rPr>
          <w:i/>
          <w:szCs w:val="24"/>
        </w:rPr>
        <w:t xml:space="preserve">Brantley, </w:t>
      </w:r>
      <w:r w:rsidR="00152010" w:rsidRPr="00A6743C">
        <w:rPr>
          <w:szCs w:val="24"/>
        </w:rPr>
        <w:t xml:space="preserve">656 F. Supp. 2d </w:t>
      </w:r>
      <w:r w:rsidR="00567BBA" w:rsidRPr="00A6743C">
        <w:rPr>
          <w:szCs w:val="24"/>
        </w:rPr>
        <w:t>at</w:t>
      </w:r>
      <w:r w:rsidR="00152010" w:rsidRPr="00A6743C">
        <w:rPr>
          <w:szCs w:val="24"/>
        </w:rPr>
        <w:t xml:space="preserve"> 1174.</w:t>
      </w:r>
    </w:p>
    <w:p w:rsidR="0010704A" w:rsidRPr="00A6743C" w:rsidRDefault="00152010" w:rsidP="009B0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C362B2" w:rsidRPr="00A6743C">
        <w:rPr>
          <w:szCs w:val="24"/>
        </w:rPr>
        <w:t xml:space="preserve">Instead of identifying the precise steps that it will undertake to ensure its compliance with </w:t>
      </w:r>
      <w:r w:rsidR="00C362B2" w:rsidRPr="00A6743C">
        <w:rPr>
          <w:i/>
          <w:szCs w:val="24"/>
        </w:rPr>
        <w:t>Olmstead</w:t>
      </w:r>
      <w:r w:rsidR="00C362B2" w:rsidRPr="00A6743C">
        <w:rPr>
          <w:szCs w:val="24"/>
        </w:rPr>
        <w:t>, t</w:t>
      </w:r>
      <w:r w:rsidR="005F748B" w:rsidRPr="00A6743C">
        <w:rPr>
          <w:szCs w:val="24"/>
        </w:rPr>
        <w:t>he State</w:t>
      </w:r>
      <w:r w:rsidR="002439B9" w:rsidRPr="00A6743C">
        <w:rPr>
          <w:szCs w:val="24"/>
        </w:rPr>
        <w:t xml:space="preserve"> </w:t>
      </w:r>
      <w:r w:rsidR="00FF0CDA" w:rsidRPr="00A6743C">
        <w:rPr>
          <w:szCs w:val="24"/>
        </w:rPr>
        <w:t>relies</w:t>
      </w:r>
      <w:r w:rsidR="00E14AAC" w:rsidRPr="00A6743C">
        <w:rPr>
          <w:szCs w:val="24"/>
        </w:rPr>
        <w:t xml:space="preserve"> (Defs.’ </w:t>
      </w:r>
      <w:proofErr w:type="gramStart"/>
      <w:r w:rsidR="00E14AAC" w:rsidRPr="00A6743C">
        <w:rPr>
          <w:szCs w:val="24"/>
        </w:rPr>
        <w:t>Resp. to Pls.’ Mot.</w:t>
      </w:r>
      <w:proofErr w:type="gramEnd"/>
      <w:r w:rsidR="00E14AAC" w:rsidRPr="00A6743C">
        <w:rPr>
          <w:szCs w:val="24"/>
        </w:rPr>
        <w:t xml:space="preserve"> </w:t>
      </w:r>
      <w:proofErr w:type="gramStart"/>
      <w:r w:rsidR="00E14AAC" w:rsidRPr="00A6743C">
        <w:rPr>
          <w:szCs w:val="24"/>
        </w:rPr>
        <w:t>for</w:t>
      </w:r>
      <w:proofErr w:type="gramEnd"/>
      <w:r w:rsidR="00E14AAC" w:rsidRPr="00A6743C">
        <w:rPr>
          <w:szCs w:val="24"/>
        </w:rPr>
        <w:t xml:space="preserve"> TRO</w:t>
      </w:r>
      <w:r w:rsidR="00E14AAC" w:rsidRPr="00A6743C" w:rsidDel="005B4907">
        <w:t xml:space="preserve"> </w:t>
      </w:r>
      <w:r w:rsidR="00E14AAC" w:rsidRPr="00A6743C">
        <w:t>11)</w:t>
      </w:r>
      <w:r w:rsidR="00FF0CDA" w:rsidRPr="00A6743C">
        <w:rPr>
          <w:szCs w:val="24"/>
        </w:rPr>
        <w:t xml:space="preserve"> </w:t>
      </w:r>
      <w:r w:rsidR="00211B3A" w:rsidRPr="00A6743C">
        <w:rPr>
          <w:szCs w:val="24"/>
        </w:rPr>
        <w:t>on vague assurances</w:t>
      </w:r>
      <w:r w:rsidR="00F84663" w:rsidRPr="00A6743C">
        <w:rPr>
          <w:szCs w:val="24"/>
        </w:rPr>
        <w:t xml:space="preserve"> </w:t>
      </w:r>
      <w:r w:rsidR="00211B3A" w:rsidRPr="00A6743C">
        <w:rPr>
          <w:szCs w:val="24"/>
        </w:rPr>
        <w:t xml:space="preserve">and references to unidentified </w:t>
      </w:r>
      <w:r w:rsidR="005B4907" w:rsidRPr="00A6743C">
        <w:rPr>
          <w:szCs w:val="24"/>
        </w:rPr>
        <w:t>“</w:t>
      </w:r>
      <w:r w:rsidR="00211B3A" w:rsidRPr="00A6743C">
        <w:rPr>
          <w:szCs w:val="24"/>
        </w:rPr>
        <w:t xml:space="preserve">mitigation </w:t>
      </w:r>
      <w:r w:rsidR="005B4907" w:rsidRPr="00A6743C">
        <w:rPr>
          <w:szCs w:val="24"/>
        </w:rPr>
        <w:t xml:space="preserve">efforts” </w:t>
      </w:r>
      <w:r w:rsidR="005F748B" w:rsidRPr="00A6743C">
        <w:rPr>
          <w:szCs w:val="24"/>
        </w:rPr>
        <w:t xml:space="preserve">and ill-defined </w:t>
      </w:r>
      <w:r w:rsidR="005B4907" w:rsidRPr="00A6743C">
        <w:rPr>
          <w:szCs w:val="24"/>
        </w:rPr>
        <w:t>“</w:t>
      </w:r>
      <w:r w:rsidR="005F748B" w:rsidRPr="00A6743C">
        <w:rPr>
          <w:szCs w:val="24"/>
        </w:rPr>
        <w:t>appropriate steps</w:t>
      </w:r>
      <w:r w:rsidR="005B4907" w:rsidRPr="00A6743C">
        <w:rPr>
          <w:szCs w:val="24"/>
        </w:rPr>
        <w:t>”</w:t>
      </w:r>
      <w:r w:rsidR="00F84663" w:rsidRPr="00A6743C">
        <w:rPr>
          <w:szCs w:val="24"/>
        </w:rPr>
        <w:t xml:space="preserve"> by department officials </w:t>
      </w:r>
      <w:r w:rsidR="002439B9" w:rsidRPr="00A6743C">
        <w:rPr>
          <w:szCs w:val="24"/>
        </w:rPr>
        <w:t>that its actions do no</w:t>
      </w:r>
      <w:r w:rsidR="007629D2" w:rsidRPr="00A6743C">
        <w:rPr>
          <w:szCs w:val="24"/>
        </w:rPr>
        <w:t>t</w:t>
      </w:r>
      <w:r w:rsidR="002439B9" w:rsidRPr="00A6743C">
        <w:rPr>
          <w:szCs w:val="24"/>
        </w:rPr>
        <w:t xml:space="preserve"> place individuals at</w:t>
      </w:r>
      <w:r w:rsidR="00FF0CDA" w:rsidRPr="00A6743C">
        <w:rPr>
          <w:szCs w:val="24"/>
        </w:rPr>
        <w:t xml:space="preserve"> risk of institutionalization:</w:t>
      </w:r>
      <w:r w:rsidR="00211B3A" w:rsidRPr="00A6743C">
        <w:rPr>
          <w:szCs w:val="24"/>
        </w:rPr>
        <w:t xml:space="preserve">  “I believe the department’s mitigation efforts will readily avoid this worst case scenario</w:t>
      </w:r>
      <w:r w:rsidR="00BF2B33" w:rsidRPr="00A6743C">
        <w:rPr>
          <w:szCs w:val="24"/>
        </w:rPr>
        <w:t xml:space="preserve"> </w:t>
      </w:r>
      <w:r w:rsidR="00211B3A" w:rsidRPr="00A6743C">
        <w:rPr>
          <w:szCs w:val="24"/>
        </w:rPr>
        <w:t>.</w:t>
      </w:r>
      <w:r w:rsidR="00BF2B33" w:rsidRPr="00A6743C">
        <w:rPr>
          <w:szCs w:val="24"/>
        </w:rPr>
        <w:t xml:space="preserve"> . . .</w:t>
      </w:r>
      <w:r w:rsidR="00211B3A" w:rsidRPr="00A6743C">
        <w:rPr>
          <w:szCs w:val="24"/>
        </w:rPr>
        <w:t xml:space="preserve">” </w:t>
      </w:r>
      <w:r w:rsidR="00BF2B33" w:rsidRPr="00A6743C">
        <w:rPr>
          <w:szCs w:val="24"/>
        </w:rPr>
        <w:t xml:space="preserve"> </w:t>
      </w:r>
      <w:r w:rsidR="00211B3A" w:rsidRPr="00A6743C">
        <w:rPr>
          <w:szCs w:val="24"/>
        </w:rPr>
        <w:t>(Moss</w:t>
      </w:r>
      <w:r w:rsidR="00BF2B33" w:rsidRPr="00A6743C">
        <w:rPr>
          <w:szCs w:val="24"/>
        </w:rPr>
        <w:t xml:space="preserve"> Decl. </w:t>
      </w:r>
      <w:r w:rsidR="00211B3A" w:rsidRPr="00A6743C">
        <w:rPr>
          <w:szCs w:val="24"/>
        </w:rPr>
        <w:t>¶</w:t>
      </w:r>
      <w:r w:rsidR="00BF2B33" w:rsidRPr="00A6743C">
        <w:rPr>
          <w:szCs w:val="24"/>
        </w:rPr>
        <w:t xml:space="preserve"> </w:t>
      </w:r>
      <w:r w:rsidR="00211B3A" w:rsidRPr="00A6743C">
        <w:rPr>
          <w:szCs w:val="24"/>
        </w:rPr>
        <w:t>8</w:t>
      </w:r>
      <w:r w:rsidR="00BF2B33" w:rsidRPr="00A6743C">
        <w:rPr>
          <w:szCs w:val="24"/>
        </w:rPr>
        <w:t>;</w:t>
      </w:r>
      <w:r w:rsidR="005F748B" w:rsidRPr="00A6743C">
        <w:rPr>
          <w:szCs w:val="24"/>
        </w:rPr>
        <w:t xml:space="preserve"> </w:t>
      </w:r>
      <w:r w:rsidR="00BF2B33" w:rsidRPr="00A6743C">
        <w:rPr>
          <w:i/>
          <w:szCs w:val="24"/>
        </w:rPr>
        <w:t>s</w:t>
      </w:r>
      <w:r w:rsidR="005F748B" w:rsidRPr="00A6743C">
        <w:rPr>
          <w:i/>
          <w:szCs w:val="24"/>
        </w:rPr>
        <w:t>ee also</w:t>
      </w:r>
      <w:r w:rsidR="005F748B" w:rsidRPr="00A6743C">
        <w:rPr>
          <w:szCs w:val="24"/>
        </w:rPr>
        <w:t xml:space="preserve"> Kathy </w:t>
      </w:r>
      <w:proofErr w:type="spellStart"/>
      <w:r w:rsidR="005F748B" w:rsidRPr="00A6743C">
        <w:rPr>
          <w:szCs w:val="24"/>
        </w:rPr>
        <w:t>Lei</w:t>
      </w:r>
      <w:r w:rsidR="00A4607D" w:rsidRPr="00A6743C">
        <w:rPr>
          <w:szCs w:val="24"/>
        </w:rPr>
        <w:t>tch</w:t>
      </w:r>
      <w:proofErr w:type="spellEnd"/>
      <w:r w:rsidR="00BF2B33" w:rsidRPr="00A6743C">
        <w:rPr>
          <w:szCs w:val="24"/>
        </w:rPr>
        <w:t xml:space="preserve"> Decl.</w:t>
      </w:r>
      <w:r w:rsidR="00A4607D" w:rsidRPr="00A6743C">
        <w:rPr>
          <w:szCs w:val="24"/>
        </w:rPr>
        <w:t>, DKT 67, ¶</w:t>
      </w:r>
      <w:r w:rsidR="00BF5C5D" w:rsidRPr="00A6743C">
        <w:rPr>
          <w:szCs w:val="24"/>
        </w:rPr>
        <w:t xml:space="preserve"> </w:t>
      </w:r>
      <w:r w:rsidR="00A4607D" w:rsidRPr="00A6743C">
        <w:rPr>
          <w:szCs w:val="24"/>
        </w:rPr>
        <w:t>4 (</w:t>
      </w:r>
      <w:r w:rsidR="00FF0CDA" w:rsidRPr="00A6743C">
        <w:rPr>
          <w:szCs w:val="24"/>
        </w:rPr>
        <w:t>“In [cases of health and safety and where the out of home placement is jeopardized</w:t>
      </w:r>
      <w:r w:rsidR="00BF5C5D" w:rsidRPr="00A6743C">
        <w:rPr>
          <w:szCs w:val="24"/>
        </w:rPr>
        <w:t>,</w:t>
      </w:r>
      <w:r w:rsidR="00FF0CDA" w:rsidRPr="00A6743C">
        <w:rPr>
          <w:szCs w:val="24"/>
        </w:rPr>
        <w:t xml:space="preserve">] clients are </w:t>
      </w:r>
      <w:r w:rsidR="00FF0CDA" w:rsidRPr="00A6743C">
        <w:rPr>
          <w:i/>
          <w:szCs w:val="24"/>
        </w:rPr>
        <w:t>encouraged</w:t>
      </w:r>
      <w:r w:rsidR="00FF0CDA" w:rsidRPr="00A6743C">
        <w:rPr>
          <w:szCs w:val="24"/>
        </w:rPr>
        <w:t xml:space="preserve"> to contact their case manager to communicate concerns and look for ways to address them</w:t>
      </w:r>
      <w:r w:rsidR="005F748B" w:rsidRPr="00A6743C">
        <w:rPr>
          <w:szCs w:val="24"/>
        </w:rPr>
        <w:t>.</w:t>
      </w:r>
      <w:r w:rsidR="00FF0CDA" w:rsidRPr="00A6743C">
        <w:rPr>
          <w:szCs w:val="24"/>
        </w:rPr>
        <w:t>”</w:t>
      </w:r>
      <w:r w:rsidR="00A4607D" w:rsidRPr="00A6743C">
        <w:rPr>
          <w:szCs w:val="24"/>
        </w:rPr>
        <w:t>)</w:t>
      </w:r>
      <w:r w:rsidR="00667B0C" w:rsidRPr="00A6743C">
        <w:rPr>
          <w:rStyle w:val="FootnoteReference"/>
          <w:szCs w:val="24"/>
        </w:rPr>
        <w:footnoteReference w:id="10"/>
      </w:r>
      <w:r w:rsidR="005F748B" w:rsidRPr="00A6743C">
        <w:rPr>
          <w:szCs w:val="24"/>
        </w:rPr>
        <w:t xml:space="preserve"> (</w:t>
      </w:r>
      <w:proofErr w:type="gramStart"/>
      <w:r w:rsidR="005F748B" w:rsidRPr="00A6743C">
        <w:rPr>
          <w:szCs w:val="24"/>
        </w:rPr>
        <w:t>emphasis</w:t>
      </w:r>
      <w:proofErr w:type="gramEnd"/>
      <w:r w:rsidR="00667B0C" w:rsidRPr="00A6743C">
        <w:rPr>
          <w:szCs w:val="24"/>
        </w:rPr>
        <w:t xml:space="preserve"> added)</w:t>
      </w:r>
      <w:r w:rsidR="00BF2B33" w:rsidRPr="00A6743C">
        <w:rPr>
          <w:szCs w:val="24"/>
        </w:rPr>
        <w:t xml:space="preserve">.) </w:t>
      </w:r>
      <w:r w:rsidR="00667B0C" w:rsidRPr="00A6743C">
        <w:rPr>
          <w:szCs w:val="24"/>
        </w:rPr>
        <w:t xml:space="preserve"> </w:t>
      </w:r>
      <w:r w:rsidR="00AD5ABB" w:rsidRPr="00A6743C">
        <w:rPr>
          <w:szCs w:val="24"/>
        </w:rPr>
        <w:t>D</w:t>
      </w:r>
      <w:r w:rsidR="007629D2" w:rsidRPr="00A6743C">
        <w:rPr>
          <w:szCs w:val="24"/>
        </w:rPr>
        <w:t>efendants</w:t>
      </w:r>
      <w:r w:rsidR="00667B0C" w:rsidRPr="00A6743C">
        <w:rPr>
          <w:szCs w:val="24"/>
        </w:rPr>
        <w:t xml:space="preserve">’ </w:t>
      </w:r>
      <w:r w:rsidR="00A4607D" w:rsidRPr="00A6743C">
        <w:rPr>
          <w:szCs w:val="24"/>
        </w:rPr>
        <w:lastRenderedPageBreak/>
        <w:t xml:space="preserve">vague </w:t>
      </w:r>
      <w:r w:rsidR="007629D2" w:rsidRPr="00A6743C">
        <w:rPr>
          <w:szCs w:val="24"/>
        </w:rPr>
        <w:t xml:space="preserve">assurances in this case are similar to those unsuccessfully proffered by the </w:t>
      </w:r>
      <w:r w:rsidR="001F7764" w:rsidRPr="00A6743C">
        <w:rPr>
          <w:szCs w:val="24"/>
        </w:rPr>
        <w:t>S</w:t>
      </w:r>
      <w:r w:rsidR="007629D2" w:rsidRPr="00A6743C">
        <w:rPr>
          <w:szCs w:val="24"/>
        </w:rPr>
        <w:t xml:space="preserve">tate of </w:t>
      </w:r>
      <w:r w:rsidR="002439B9" w:rsidRPr="00A6743C">
        <w:rPr>
          <w:szCs w:val="24"/>
        </w:rPr>
        <w:t xml:space="preserve">California </w:t>
      </w:r>
      <w:r w:rsidR="0010704A" w:rsidRPr="00A6743C">
        <w:rPr>
          <w:szCs w:val="24"/>
        </w:rPr>
        <w:t xml:space="preserve">in </w:t>
      </w:r>
      <w:r w:rsidR="0010704A" w:rsidRPr="00A6743C">
        <w:rPr>
          <w:i/>
          <w:szCs w:val="24"/>
        </w:rPr>
        <w:t>Brantley</w:t>
      </w:r>
      <w:r w:rsidR="007629D2" w:rsidRPr="00A6743C">
        <w:rPr>
          <w:i/>
          <w:szCs w:val="24"/>
        </w:rPr>
        <w:t xml:space="preserve">, </w:t>
      </w:r>
      <w:r w:rsidR="007629D2" w:rsidRPr="00A6743C">
        <w:rPr>
          <w:szCs w:val="24"/>
        </w:rPr>
        <w:t xml:space="preserve">where the State </w:t>
      </w:r>
      <w:r w:rsidR="002439B9" w:rsidRPr="00A6743C">
        <w:rPr>
          <w:szCs w:val="24"/>
        </w:rPr>
        <w:t>failed to rebut the plaintiffs</w:t>
      </w:r>
      <w:r w:rsidR="007629D2" w:rsidRPr="00A6743C">
        <w:rPr>
          <w:szCs w:val="24"/>
        </w:rPr>
        <w:t>’</w:t>
      </w:r>
      <w:r w:rsidR="002439B9" w:rsidRPr="00A6743C">
        <w:rPr>
          <w:szCs w:val="24"/>
        </w:rPr>
        <w:t xml:space="preserve"> evidence that a reduction in adult day services would place individuals at risk of institutionalization</w:t>
      </w:r>
      <w:r w:rsidR="0010704A" w:rsidRPr="00A6743C">
        <w:rPr>
          <w:szCs w:val="24"/>
        </w:rPr>
        <w:t>:</w:t>
      </w:r>
      <w:r w:rsidR="002439B9" w:rsidRPr="00A6743C">
        <w:rPr>
          <w:szCs w:val="24"/>
        </w:rPr>
        <w:t xml:space="preserve">  </w:t>
      </w:r>
    </w:p>
    <w:p w:rsidR="00AD5ABB" w:rsidRPr="00A6743C" w:rsidRDefault="00AD5ABB" w:rsidP="005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jc w:val="both"/>
        <w:rPr>
          <w:szCs w:val="24"/>
        </w:rPr>
      </w:pPr>
      <w:r w:rsidRPr="00A6743C">
        <w:rPr>
          <w:szCs w:val="24"/>
        </w:rPr>
        <w:t>[T]</w:t>
      </w:r>
      <w:r w:rsidR="0010704A" w:rsidRPr="00A6743C">
        <w:rPr>
          <w:szCs w:val="24"/>
        </w:rPr>
        <w:t>he Court is persuaded by Plaintiffs’ concern that Defendants have failed to implement any means of ensuring that, if and when the cuts take effect, the necessary alternative services will be identified and in place</w:t>
      </w:r>
      <w:r w:rsidRPr="00A6743C">
        <w:rPr>
          <w:szCs w:val="24"/>
        </w:rPr>
        <w:t xml:space="preserve"> . . . . </w:t>
      </w:r>
    </w:p>
    <w:p w:rsidR="00AD5ABB" w:rsidRPr="00A6743C" w:rsidRDefault="00AD5ABB" w:rsidP="005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jc w:val="both"/>
        <w:rPr>
          <w:szCs w:val="24"/>
        </w:rPr>
      </w:pPr>
      <w:r w:rsidRPr="00A6743C">
        <w:rPr>
          <w:szCs w:val="24"/>
        </w:rPr>
        <w:t>. . .</w:t>
      </w:r>
    </w:p>
    <w:p w:rsidR="0010704A" w:rsidRPr="00A6743C" w:rsidRDefault="0010704A" w:rsidP="005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jc w:val="both"/>
        <w:rPr>
          <w:szCs w:val="24"/>
        </w:rPr>
      </w:pPr>
      <w:r w:rsidRPr="00A6743C">
        <w:rPr>
          <w:szCs w:val="24"/>
        </w:rPr>
        <w:t>[</w:t>
      </w:r>
      <w:r w:rsidR="00AD5ABB" w:rsidRPr="00A6743C">
        <w:rPr>
          <w:szCs w:val="24"/>
        </w:rPr>
        <w:t>D</w:t>
      </w:r>
      <w:r w:rsidRPr="00A6743C">
        <w:rPr>
          <w:szCs w:val="24"/>
        </w:rPr>
        <w:t>efendants] have taken an arguably cavalier approach to ensuring their continuing compliance with the ADA</w:t>
      </w:r>
      <w:r w:rsidR="00AD5ABB" w:rsidRPr="00A6743C">
        <w:rPr>
          <w:szCs w:val="24"/>
        </w:rPr>
        <w:t xml:space="preserve"> . . . . D</w:t>
      </w:r>
      <w:r w:rsidRPr="00A6743C">
        <w:rPr>
          <w:szCs w:val="24"/>
        </w:rPr>
        <w:t xml:space="preserve">efendants refuse to specify how they will ensure their continuing compliance with the ADA </w:t>
      </w:r>
      <w:r w:rsidR="00AD5ABB" w:rsidRPr="00A6743C">
        <w:rPr>
          <w:szCs w:val="24"/>
        </w:rPr>
        <w:t>. . .</w:t>
      </w:r>
      <w:r w:rsidRPr="00A6743C">
        <w:rPr>
          <w:szCs w:val="24"/>
        </w:rPr>
        <w:t xml:space="preserve"> in the event that the ADHC programs fail to comply with their “expectation” to secure alternative services for their participants</w:t>
      </w:r>
      <w:r w:rsidR="00AD5ABB" w:rsidRPr="00A6743C">
        <w:rPr>
          <w:szCs w:val="24"/>
        </w:rPr>
        <w:t>. . . . D</w:t>
      </w:r>
      <w:r w:rsidRPr="00A6743C">
        <w:rPr>
          <w:szCs w:val="24"/>
        </w:rPr>
        <w:t>efendants certainly bear the burden of ensuring more than a “theoretical” availability of services.</w:t>
      </w:r>
    </w:p>
    <w:p w:rsidR="0010704A" w:rsidRPr="00A6743C" w:rsidRDefault="0010704A" w:rsidP="00107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szCs w:val="24"/>
        </w:rPr>
      </w:pPr>
    </w:p>
    <w:p w:rsidR="00B47D11" w:rsidRPr="00A6743C" w:rsidRDefault="0010704A" w:rsidP="00B47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szCs w:val="24"/>
        </w:rPr>
      </w:pPr>
      <w:r w:rsidRPr="00A6743C">
        <w:rPr>
          <w:szCs w:val="24"/>
        </w:rPr>
        <w:t xml:space="preserve">656 F. Supp. 2d </w:t>
      </w:r>
      <w:r w:rsidR="00567BBA" w:rsidRPr="00A6743C">
        <w:rPr>
          <w:szCs w:val="24"/>
        </w:rPr>
        <w:t>at</w:t>
      </w:r>
      <w:r w:rsidR="00AD5ABB" w:rsidRPr="00A6743C">
        <w:rPr>
          <w:szCs w:val="24"/>
        </w:rPr>
        <w:t xml:space="preserve"> </w:t>
      </w:r>
      <w:r w:rsidR="00B07C20" w:rsidRPr="00A6743C">
        <w:rPr>
          <w:szCs w:val="24"/>
        </w:rPr>
        <w:t xml:space="preserve">1174; </w:t>
      </w:r>
      <w:r w:rsidR="00B07C20" w:rsidRPr="00A6743C">
        <w:rPr>
          <w:i/>
          <w:szCs w:val="24"/>
        </w:rPr>
        <w:t>s</w:t>
      </w:r>
      <w:r w:rsidRPr="00A6743C">
        <w:rPr>
          <w:i/>
          <w:szCs w:val="24"/>
        </w:rPr>
        <w:t>ee also,</w:t>
      </w:r>
      <w:r w:rsidRPr="00A6743C">
        <w:rPr>
          <w:szCs w:val="24"/>
        </w:rPr>
        <w:t xml:space="preserve"> </w:t>
      </w:r>
      <w:r w:rsidR="005B59FB" w:rsidRPr="00A6743C">
        <w:rPr>
          <w:i/>
          <w:szCs w:val="24"/>
        </w:rPr>
        <w:t>Ball v. Rodgers</w:t>
      </w:r>
      <w:r w:rsidR="005B59FB" w:rsidRPr="00A6743C">
        <w:rPr>
          <w:szCs w:val="24"/>
        </w:rPr>
        <w:t xml:space="preserve">, No. 00-cv-67, 2009 WL 1395423, at *5 (D. Ariz. April 24, 2009) (holding that defendants violated title II’s integration mandate </w:t>
      </w:r>
      <w:r w:rsidR="00AD5ABB" w:rsidRPr="00A6743C">
        <w:rPr>
          <w:szCs w:val="24"/>
        </w:rPr>
        <w:t>by</w:t>
      </w:r>
      <w:r w:rsidR="005B59FB" w:rsidRPr="00A6743C">
        <w:rPr>
          <w:szCs w:val="24"/>
        </w:rPr>
        <w:t xml:space="preserve"> “fail</w:t>
      </w:r>
      <w:r w:rsidR="00AD5ABB" w:rsidRPr="00A6743C">
        <w:rPr>
          <w:szCs w:val="24"/>
        </w:rPr>
        <w:t>[</w:t>
      </w:r>
      <w:proofErr w:type="spellStart"/>
      <w:r w:rsidR="00AD5ABB" w:rsidRPr="00A6743C">
        <w:rPr>
          <w:szCs w:val="24"/>
        </w:rPr>
        <w:t>ing</w:t>
      </w:r>
      <w:proofErr w:type="spellEnd"/>
      <w:r w:rsidR="00AD5ABB" w:rsidRPr="00A6743C">
        <w:rPr>
          <w:szCs w:val="24"/>
        </w:rPr>
        <w:t>]</w:t>
      </w:r>
      <w:r w:rsidR="005B59FB" w:rsidRPr="00A6743C">
        <w:rPr>
          <w:szCs w:val="24"/>
        </w:rPr>
        <w:t xml:space="preserve"> to provide adequate services to avoid unnecessary gaps in service and </w:t>
      </w:r>
      <w:r w:rsidR="00AD5ABB" w:rsidRPr="00A6743C">
        <w:rPr>
          <w:szCs w:val="24"/>
        </w:rPr>
        <w:t xml:space="preserve">[because the] </w:t>
      </w:r>
      <w:r w:rsidR="005B59FB" w:rsidRPr="00A6743C">
        <w:rPr>
          <w:szCs w:val="24"/>
        </w:rPr>
        <w:t>institution</w:t>
      </w:r>
      <w:r w:rsidRPr="00A6743C">
        <w:rPr>
          <w:szCs w:val="24"/>
        </w:rPr>
        <w:t xml:space="preserve">alization was discriminatory.”).  </w:t>
      </w:r>
      <w:r w:rsidR="007629D2" w:rsidRPr="00A6743C">
        <w:rPr>
          <w:szCs w:val="24"/>
        </w:rPr>
        <w:t xml:space="preserve"> </w:t>
      </w:r>
    </w:p>
    <w:p w:rsidR="00B47D11" w:rsidRPr="00A6743C" w:rsidRDefault="00B47D11" w:rsidP="00B47D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pPr>
      <w:r w:rsidRPr="00A6743C">
        <w:t xml:space="preserve">The State half-heartedly raises an affirmative defense that even if Plaintiffs establish that the reductions in personal care services places them at risk of institutionalization, a modification of the State’s programs to prevent that risk would affect a fundamental alteration of the State’s program.  </w:t>
      </w:r>
      <w:proofErr w:type="gramStart"/>
      <w:r w:rsidR="001A627F">
        <w:t>(</w:t>
      </w:r>
      <w:r w:rsidRPr="00A6743C">
        <w:t>Def</w:t>
      </w:r>
      <w:r w:rsidR="001A627F">
        <w:t>s</w:t>
      </w:r>
      <w:r w:rsidRPr="00A6743C">
        <w:t>.</w:t>
      </w:r>
      <w:r w:rsidR="001A627F">
        <w:t>’</w:t>
      </w:r>
      <w:proofErr w:type="gramEnd"/>
      <w:r w:rsidR="001A627F">
        <w:t xml:space="preserve"> </w:t>
      </w:r>
      <w:proofErr w:type="gramStart"/>
      <w:r w:rsidR="001A627F">
        <w:t>Resp. to Pls.’ Mot.</w:t>
      </w:r>
      <w:proofErr w:type="gramEnd"/>
      <w:r w:rsidR="001A627F">
        <w:t xml:space="preserve"> </w:t>
      </w:r>
      <w:proofErr w:type="gramStart"/>
      <w:r w:rsidR="001A627F">
        <w:t>for</w:t>
      </w:r>
      <w:proofErr w:type="gramEnd"/>
      <w:r w:rsidR="001A627F">
        <w:t xml:space="preserve"> Prelim. Inj. 19, DKT 123, Jan. 25, 2011.) </w:t>
      </w:r>
      <w:r w:rsidRPr="00A6743C">
        <w:t xml:space="preserve"> The </w:t>
      </w:r>
      <w:r w:rsidRPr="00A6743C">
        <w:lastRenderedPageBreak/>
        <w:t xml:space="preserve">Defendants have the burden of proving their fundamental alteration defense.  </w:t>
      </w:r>
      <w:proofErr w:type="gramStart"/>
      <w:r w:rsidRPr="00A6743C">
        <w:rPr>
          <w:i/>
        </w:rPr>
        <w:t>Olmstead v. L.C.,</w:t>
      </w:r>
      <w:r w:rsidRPr="00A6743C">
        <w:t xml:space="preserve"> 527 U.S. 581, </w:t>
      </w:r>
      <w:r w:rsidRPr="00A6743C">
        <w:rPr>
          <w:szCs w:val="24"/>
        </w:rPr>
        <w:t>603-04</w:t>
      </w:r>
      <w:r w:rsidRPr="00A6743C">
        <w:t xml:space="preserve"> (1999).</w:t>
      </w:r>
      <w:proofErr w:type="gramEnd"/>
      <w:r w:rsidRPr="00A6743C">
        <w:t xml:space="preserve"> The State’s argument lacks merit. </w:t>
      </w:r>
    </w:p>
    <w:p w:rsidR="00B47D11" w:rsidRPr="00A6743C" w:rsidRDefault="003906DE" w:rsidP="001836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szCs w:val="24"/>
        </w:rPr>
      </w:pPr>
      <w:r>
        <w:t>T</w:t>
      </w:r>
      <w:r w:rsidR="00B47D11" w:rsidRPr="00A6743C">
        <w:t xml:space="preserve">he State, up until December 31, 2010, provided personal care services at a sufficient level to maintain individuals in the community.  </w:t>
      </w:r>
      <w:r>
        <w:t>Further, the</w:t>
      </w:r>
      <w:r w:rsidR="00B47D11" w:rsidRPr="00A6743C">
        <w:t xml:space="preserve"> entire purpose of the Medicaid Waiver programs and Medicaid State plan service is to provide an alternative to institutionalization.  Thus, the State cannot now argue that a modification to prevent individuals from being at risk of institutionalization is a fundamental alteration of the State’s programs.  </w:t>
      </w:r>
      <w:r w:rsidR="00B47D11" w:rsidRPr="00A6743C">
        <w:rPr>
          <w:i/>
        </w:rPr>
        <w:t>See</w:t>
      </w:r>
      <w:r w:rsidR="00B47D11" w:rsidRPr="00A6743C">
        <w:t xml:space="preserve"> </w:t>
      </w:r>
      <w:proofErr w:type="spellStart"/>
      <w:r w:rsidR="00B47D11" w:rsidRPr="00A6743C">
        <w:rPr>
          <w:i/>
        </w:rPr>
        <w:t>Radaszewski</w:t>
      </w:r>
      <w:proofErr w:type="spellEnd"/>
      <w:r w:rsidR="00B47D11" w:rsidRPr="00A6743C">
        <w:t xml:space="preserve"> </w:t>
      </w:r>
      <w:r w:rsidR="00B47D11" w:rsidRPr="00A6743C">
        <w:rPr>
          <w:i/>
        </w:rPr>
        <w:t>v. Maram</w:t>
      </w:r>
      <w:r w:rsidR="00B47D11" w:rsidRPr="00A6743C">
        <w:t xml:space="preserve">, 383 F.3d 599, 612 (7th Cir. 2004); </w:t>
      </w:r>
      <w:r w:rsidR="00B47D11" w:rsidRPr="00A6743C">
        <w:rPr>
          <w:i/>
        </w:rPr>
        <w:t>Fisher</w:t>
      </w:r>
      <w:r w:rsidR="00B47D11" w:rsidRPr="00A6743C">
        <w:t xml:space="preserve">, 335 F.3d 1175, 1183.  </w:t>
      </w:r>
    </w:p>
    <w:p w:rsidR="00C74033" w:rsidRPr="00A6743C" w:rsidRDefault="00E11C14" w:rsidP="001836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szCs w:val="24"/>
        </w:rPr>
      </w:pPr>
      <w:r w:rsidRPr="00A6743C">
        <w:rPr>
          <w:szCs w:val="24"/>
        </w:rPr>
        <w:t>P</w:t>
      </w:r>
      <w:r w:rsidR="00B63F84" w:rsidRPr="00A6743C">
        <w:rPr>
          <w:szCs w:val="24"/>
        </w:rPr>
        <w:t xml:space="preserve">laintiffs </w:t>
      </w:r>
      <w:r w:rsidR="00152010" w:rsidRPr="00A6743C">
        <w:rPr>
          <w:szCs w:val="24"/>
        </w:rPr>
        <w:t>offer</w:t>
      </w:r>
      <w:r w:rsidR="00AD0594" w:rsidRPr="00A6743C">
        <w:rPr>
          <w:szCs w:val="24"/>
        </w:rPr>
        <w:t xml:space="preserve"> </w:t>
      </w:r>
      <w:r w:rsidR="00B63F84" w:rsidRPr="00A6743C">
        <w:rPr>
          <w:szCs w:val="24"/>
        </w:rPr>
        <w:t xml:space="preserve">substantial </w:t>
      </w:r>
      <w:r w:rsidR="00AD0594" w:rsidRPr="00A6743C">
        <w:rPr>
          <w:szCs w:val="24"/>
        </w:rPr>
        <w:t xml:space="preserve">evidence from experts, individual </w:t>
      </w:r>
      <w:r w:rsidRPr="00A6743C">
        <w:rPr>
          <w:szCs w:val="24"/>
        </w:rPr>
        <w:t>P</w:t>
      </w:r>
      <w:r w:rsidR="00AD0594" w:rsidRPr="00A6743C">
        <w:rPr>
          <w:szCs w:val="24"/>
        </w:rPr>
        <w:t xml:space="preserve">laintiffs, </w:t>
      </w:r>
      <w:r w:rsidR="00F92826" w:rsidRPr="00A6743C">
        <w:rPr>
          <w:szCs w:val="24"/>
        </w:rPr>
        <w:t xml:space="preserve">doctors, personal care </w:t>
      </w:r>
      <w:r w:rsidR="00AD0594" w:rsidRPr="00A6743C">
        <w:rPr>
          <w:szCs w:val="24"/>
        </w:rPr>
        <w:t xml:space="preserve">providers and </w:t>
      </w:r>
      <w:proofErr w:type="spellStart"/>
      <w:r w:rsidRPr="00A6743C">
        <w:rPr>
          <w:szCs w:val="24"/>
        </w:rPr>
        <w:t>D</w:t>
      </w:r>
      <w:r w:rsidR="00AD0594" w:rsidRPr="00A6743C">
        <w:rPr>
          <w:szCs w:val="24"/>
        </w:rPr>
        <w:t>efendants</w:t>
      </w:r>
      <w:r w:rsidR="00152010" w:rsidRPr="00A6743C">
        <w:rPr>
          <w:szCs w:val="24"/>
        </w:rPr>
        <w:t>’</w:t>
      </w:r>
      <w:r w:rsidR="00F92826" w:rsidRPr="00A6743C">
        <w:rPr>
          <w:szCs w:val="24"/>
        </w:rPr>
        <w:t>policies</w:t>
      </w:r>
      <w:proofErr w:type="spellEnd"/>
      <w:r w:rsidR="00F92826" w:rsidRPr="00A6743C">
        <w:rPr>
          <w:szCs w:val="24"/>
        </w:rPr>
        <w:t xml:space="preserve"> and regulations</w:t>
      </w:r>
      <w:r w:rsidR="00AD0594" w:rsidRPr="00A6743C">
        <w:rPr>
          <w:szCs w:val="24"/>
        </w:rPr>
        <w:t xml:space="preserve"> that these re</w:t>
      </w:r>
      <w:r w:rsidR="000449E8" w:rsidRPr="00A6743C">
        <w:rPr>
          <w:szCs w:val="24"/>
        </w:rPr>
        <w:t>ductions in services will place</w:t>
      </w:r>
      <w:r w:rsidR="00AD0594" w:rsidRPr="00A6743C">
        <w:rPr>
          <w:szCs w:val="24"/>
        </w:rPr>
        <w:t xml:space="preserve"> </w:t>
      </w:r>
      <w:r w:rsidRPr="00A6743C">
        <w:rPr>
          <w:szCs w:val="24"/>
        </w:rPr>
        <w:t>P</w:t>
      </w:r>
      <w:r w:rsidR="00AD0594" w:rsidRPr="00A6743C">
        <w:rPr>
          <w:szCs w:val="24"/>
        </w:rPr>
        <w:t xml:space="preserve">laintiffs at risk of institutionalization.  </w:t>
      </w:r>
      <w:r w:rsidR="00B63F84" w:rsidRPr="00A6743C">
        <w:rPr>
          <w:szCs w:val="24"/>
        </w:rPr>
        <w:t xml:space="preserve"> </w:t>
      </w:r>
      <w:r w:rsidR="003F5F63" w:rsidRPr="00A6743C">
        <w:rPr>
          <w:szCs w:val="24"/>
        </w:rPr>
        <w:t xml:space="preserve">Defendants </w:t>
      </w:r>
      <w:r w:rsidR="00DE0349" w:rsidRPr="00A6743C">
        <w:rPr>
          <w:szCs w:val="24"/>
        </w:rPr>
        <w:t xml:space="preserve">attempt to </w:t>
      </w:r>
      <w:r w:rsidR="003F5F63" w:rsidRPr="00A6743C">
        <w:rPr>
          <w:szCs w:val="24"/>
        </w:rPr>
        <w:t>rebut Pl</w:t>
      </w:r>
      <w:r w:rsidR="00152010" w:rsidRPr="00A6743C">
        <w:rPr>
          <w:szCs w:val="24"/>
        </w:rPr>
        <w:t>aintiffs</w:t>
      </w:r>
      <w:r w:rsidR="00B07C20" w:rsidRPr="00A6743C">
        <w:rPr>
          <w:szCs w:val="24"/>
        </w:rPr>
        <w:t>’</w:t>
      </w:r>
      <w:r w:rsidR="00152010" w:rsidRPr="00A6743C">
        <w:rPr>
          <w:szCs w:val="24"/>
        </w:rPr>
        <w:t xml:space="preserve"> evidence </w:t>
      </w:r>
      <w:r w:rsidR="00DE0349" w:rsidRPr="00A6743C">
        <w:rPr>
          <w:szCs w:val="24"/>
        </w:rPr>
        <w:t>with no</w:t>
      </w:r>
      <w:r w:rsidR="00763600" w:rsidRPr="00A6743C">
        <w:rPr>
          <w:szCs w:val="24"/>
        </w:rPr>
        <w:t>thing</w:t>
      </w:r>
      <w:r w:rsidR="00DE0349" w:rsidRPr="00A6743C">
        <w:rPr>
          <w:szCs w:val="24"/>
        </w:rPr>
        <w:t xml:space="preserve"> more than </w:t>
      </w:r>
      <w:r w:rsidR="003F5F63" w:rsidRPr="00A6743C">
        <w:rPr>
          <w:szCs w:val="24"/>
        </w:rPr>
        <w:t xml:space="preserve">vague assurances and non-specific plans to ensure that Plaintiffs are not placed at risk of institutionalization as a result of the reductions.  </w:t>
      </w:r>
      <w:r w:rsidR="00B63F84" w:rsidRPr="00A6743C">
        <w:rPr>
          <w:szCs w:val="24"/>
        </w:rPr>
        <w:t>Thus</w:t>
      </w:r>
      <w:r w:rsidR="00F92826" w:rsidRPr="00A6743C">
        <w:rPr>
          <w:szCs w:val="24"/>
        </w:rPr>
        <w:t>,</w:t>
      </w:r>
      <w:r w:rsidR="00B63F84" w:rsidRPr="00A6743C">
        <w:rPr>
          <w:szCs w:val="24"/>
        </w:rPr>
        <w:t xml:space="preserve"> </w:t>
      </w:r>
      <w:r w:rsidRPr="00A6743C">
        <w:rPr>
          <w:szCs w:val="24"/>
        </w:rPr>
        <w:t>P</w:t>
      </w:r>
      <w:r w:rsidR="00B63F84" w:rsidRPr="00A6743C">
        <w:rPr>
          <w:szCs w:val="24"/>
        </w:rPr>
        <w:t>laintiffs have demonstrated</w:t>
      </w:r>
      <w:r w:rsidR="00F92826" w:rsidRPr="00A6743C">
        <w:rPr>
          <w:szCs w:val="24"/>
        </w:rPr>
        <w:t xml:space="preserve"> the third element of </w:t>
      </w:r>
      <w:r w:rsidR="00F92826" w:rsidRPr="00A6743C">
        <w:rPr>
          <w:i/>
          <w:szCs w:val="24"/>
        </w:rPr>
        <w:t>Olmstead</w:t>
      </w:r>
      <w:r w:rsidRPr="00A6743C">
        <w:rPr>
          <w:szCs w:val="24"/>
        </w:rPr>
        <w:t>—</w:t>
      </w:r>
      <w:r w:rsidR="00B63F84" w:rsidRPr="00A6743C">
        <w:rPr>
          <w:szCs w:val="24"/>
        </w:rPr>
        <w:t xml:space="preserve">that community placement </w:t>
      </w:r>
      <w:r w:rsidR="00F92826" w:rsidRPr="00A6743C">
        <w:rPr>
          <w:szCs w:val="24"/>
        </w:rPr>
        <w:t>can be</w:t>
      </w:r>
      <w:r w:rsidR="00B63F84" w:rsidRPr="00A6743C">
        <w:rPr>
          <w:szCs w:val="24"/>
        </w:rPr>
        <w:t xml:space="preserve"> reasonably accommodated</w:t>
      </w:r>
      <w:r w:rsidRPr="00A6743C">
        <w:rPr>
          <w:szCs w:val="24"/>
        </w:rPr>
        <w:t>—</w:t>
      </w:r>
      <w:r w:rsidR="00F92826" w:rsidRPr="00A6743C">
        <w:rPr>
          <w:szCs w:val="24"/>
        </w:rPr>
        <w:t xml:space="preserve">and have proved a </w:t>
      </w:r>
      <w:r w:rsidR="00B63F84" w:rsidRPr="00A6743C">
        <w:rPr>
          <w:szCs w:val="24"/>
        </w:rPr>
        <w:t>substantial likelihood of success on their ADA and Rehabilitation Act claims.</w:t>
      </w:r>
    </w:p>
    <w:p w:rsidR="00863CA7" w:rsidRPr="00A6743C" w:rsidRDefault="00C5228B" w:rsidP="008328F8">
      <w:pPr>
        <w:pStyle w:val="Heading3"/>
        <w:spacing w:line="480" w:lineRule="auto"/>
        <w:ind w:left="1440"/>
      </w:pPr>
      <w:r w:rsidRPr="00A6743C">
        <w:t xml:space="preserve">The Defendants’ Reduction in Services Will Result in </w:t>
      </w:r>
      <w:r w:rsidR="00863CA7" w:rsidRPr="00A6743C">
        <w:t>Irreparable</w:t>
      </w:r>
      <w:r w:rsidRPr="00A6743C">
        <w:t xml:space="preserve"> Harm</w:t>
      </w:r>
    </w:p>
    <w:p w:rsidR="00863CA7" w:rsidRPr="00A6743C" w:rsidRDefault="00863CA7"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A6743C">
        <w:rPr>
          <w:szCs w:val="24"/>
        </w:rPr>
        <w:tab/>
      </w:r>
      <w:r w:rsidR="00C336AC" w:rsidRPr="00A6743C">
        <w:rPr>
          <w:szCs w:val="24"/>
        </w:rPr>
        <w:t>D</w:t>
      </w:r>
      <w:r w:rsidR="008328F8" w:rsidRPr="00A6743C">
        <w:rPr>
          <w:szCs w:val="24"/>
        </w:rPr>
        <w:t>eteriorating health and institutionalization</w:t>
      </w:r>
      <w:r w:rsidR="00C336AC" w:rsidRPr="00A6743C">
        <w:rPr>
          <w:szCs w:val="24"/>
        </w:rPr>
        <w:t xml:space="preserve"> is an irreparable harm</w:t>
      </w:r>
      <w:r w:rsidR="008328F8" w:rsidRPr="00A6743C">
        <w:rPr>
          <w:szCs w:val="24"/>
        </w:rPr>
        <w:t xml:space="preserve">.  </w:t>
      </w:r>
      <w:proofErr w:type="spellStart"/>
      <w:proofErr w:type="gramStart"/>
      <w:r w:rsidR="00256841" w:rsidRPr="00A6743C">
        <w:rPr>
          <w:i/>
          <w:szCs w:val="24"/>
        </w:rPr>
        <w:t>Rodde</w:t>
      </w:r>
      <w:proofErr w:type="spellEnd"/>
      <w:r w:rsidR="00256841" w:rsidRPr="00A6743C">
        <w:rPr>
          <w:i/>
          <w:szCs w:val="24"/>
        </w:rPr>
        <w:t xml:space="preserve"> v. </w:t>
      </w:r>
      <w:proofErr w:type="spellStart"/>
      <w:r w:rsidR="00256841" w:rsidRPr="00A6743C">
        <w:rPr>
          <w:i/>
          <w:szCs w:val="24"/>
        </w:rPr>
        <w:t>Bonta</w:t>
      </w:r>
      <w:proofErr w:type="spellEnd"/>
      <w:r w:rsidR="00256841" w:rsidRPr="00A6743C">
        <w:rPr>
          <w:szCs w:val="24"/>
        </w:rPr>
        <w:t>, 357 F.3d 988, 999 (9th Cir. 2004);</w:t>
      </w:r>
      <w:r w:rsidR="00251705" w:rsidRPr="00A6743C">
        <w:rPr>
          <w:szCs w:val="24"/>
        </w:rPr>
        <w:t xml:space="preserve"> </w:t>
      </w:r>
      <w:r w:rsidR="00251705" w:rsidRPr="00A6743C">
        <w:rPr>
          <w:i/>
          <w:szCs w:val="24"/>
        </w:rPr>
        <w:t>V.L.</w:t>
      </w:r>
      <w:r w:rsidR="00251705" w:rsidRPr="00A6743C">
        <w:rPr>
          <w:szCs w:val="24"/>
        </w:rPr>
        <w:t>,</w:t>
      </w:r>
      <w:r w:rsidR="00251705" w:rsidRPr="00A6743C">
        <w:rPr>
          <w:i/>
        </w:rPr>
        <w:t xml:space="preserve"> </w:t>
      </w:r>
      <w:r w:rsidR="00251705" w:rsidRPr="00A6743C">
        <w:t xml:space="preserve">669 F. Supp. 2d </w:t>
      </w:r>
      <w:r w:rsidR="00567BBA" w:rsidRPr="00A6743C">
        <w:t>at</w:t>
      </w:r>
      <w:r w:rsidR="00251705" w:rsidRPr="00A6743C">
        <w:t xml:space="preserve"> 1122.</w:t>
      </w:r>
      <w:proofErr w:type="gramEnd"/>
      <w:r w:rsidR="00251705" w:rsidRPr="00A6743C">
        <w:rPr>
          <w:szCs w:val="24"/>
        </w:rPr>
        <w:t xml:space="preserve"> </w:t>
      </w:r>
      <w:r w:rsidR="00256841" w:rsidRPr="00A6743C">
        <w:rPr>
          <w:szCs w:val="24"/>
        </w:rPr>
        <w:t xml:space="preserve">  </w:t>
      </w:r>
      <w:r w:rsidRPr="00A6743C">
        <w:t xml:space="preserve">Several Plaintiffs </w:t>
      </w:r>
      <w:r w:rsidR="008328F8" w:rsidRPr="00A6743C">
        <w:t>referred to</w:t>
      </w:r>
      <w:r w:rsidRPr="00A6743C">
        <w:t xml:space="preserve"> the loss of unfettered socialization, privacy, and pursuit of hobbies and interests and freedoms that they would lose upon admission to a</w:t>
      </w:r>
      <w:r w:rsidR="00B17482" w:rsidRPr="00A6743C">
        <w:t xml:space="preserve"> nursing home</w:t>
      </w:r>
      <w:r w:rsidRPr="00A6743C">
        <w:t xml:space="preserve"> as reasons for refusing an assisted living placement. </w:t>
      </w:r>
      <w:r w:rsidR="008328F8" w:rsidRPr="00A6743C">
        <w:t xml:space="preserve"> </w:t>
      </w:r>
      <w:proofErr w:type="gramStart"/>
      <w:r w:rsidR="001F7764" w:rsidRPr="00A6743C">
        <w:t>(S.J.</w:t>
      </w:r>
      <w:r w:rsidR="007A3E13" w:rsidRPr="00A6743C">
        <w:t xml:space="preserve"> Decl. </w:t>
      </w:r>
      <w:r w:rsidR="001F7764" w:rsidRPr="00A6743C">
        <w:t>¶</w:t>
      </w:r>
      <w:r w:rsidR="007A3E13" w:rsidRPr="00A6743C">
        <w:t xml:space="preserve"> </w:t>
      </w:r>
      <w:r w:rsidR="001F7764" w:rsidRPr="00A6743C">
        <w:t>34; C.B.</w:t>
      </w:r>
      <w:r w:rsidR="00750141" w:rsidRPr="00A6743C">
        <w:t xml:space="preserve"> Decl. </w:t>
      </w:r>
      <w:r w:rsidR="001F7764" w:rsidRPr="00A6743C">
        <w:t>¶</w:t>
      </w:r>
      <w:r w:rsidR="00750141" w:rsidRPr="00A6743C">
        <w:t xml:space="preserve"> </w:t>
      </w:r>
      <w:r w:rsidR="001F7764" w:rsidRPr="00A6743C">
        <w:t>12; D.W.</w:t>
      </w:r>
      <w:r w:rsidR="00E83CDC" w:rsidRPr="00A6743C">
        <w:t xml:space="preserve"> Decl.</w:t>
      </w:r>
      <w:r w:rsidR="001F7764" w:rsidRPr="00A6743C">
        <w:t xml:space="preserve"> ¶</w:t>
      </w:r>
      <w:r w:rsidR="00E83CDC" w:rsidRPr="00A6743C">
        <w:t xml:space="preserve"> </w:t>
      </w:r>
      <w:r w:rsidR="001F7764" w:rsidRPr="00A6743C">
        <w:t>28b.)</w:t>
      </w:r>
      <w:proofErr w:type="gramEnd"/>
      <w:r w:rsidR="001F7764" w:rsidRPr="00A6743C">
        <w:t xml:space="preserve"> </w:t>
      </w:r>
      <w:r w:rsidR="00E11C14" w:rsidRPr="00A6743C">
        <w:t xml:space="preserve"> </w:t>
      </w:r>
      <w:r w:rsidRPr="00A6743C">
        <w:t xml:space="preserve">For D.V.S., who sustained </w:t>
      </w:r>
      <w:r w:rsidRPr="00A6743C">
        <w:lastRenderedPageBreak/>
        <w:t xml:space="preserve">severe burns from a gasoline explosion </w:t>
      </w:r>
      <w:r w:rsidR="00C027B2" w:rsidRPr="00A6743C">
        <w:t>when he was a child (D.V.S. Decl. ¶ 2)</w:t>
      </w:r>
      <w:r w:rsidRPr="00A6743C">
        <w:t>, several of his wounds “are in private areas” and “</w:t>
      </w:r>
      <w:r w:rsidR="00C027B2" w:rsidRPr="00A6743C">
        <w:t>[</w:t>
      </w:r>
      <w:r w:rsidRPr="00A6743C">
        <w:t>he is</w:t>
      </w:r>
      <w:r w:rsidR="00C027B2" w:rsidRPr="00A6743C">
        <w:t>]</w:t>
      </w:r>
      <w:r w:rsidRPr="00A6743C">
        <w:t xml:space="preserve"> unwilling t</w:t>
      </w:r>
      <w:r w:rsidR="008328F8" w:rsidRPr="00A6743C">
        <w:t>o expose [him</w:t>
      </w:r>
      <w:proofErr w:type="gramStart"/>
      <w:r w:rsidR="008328F8" w:rsidRPr="00A6743C">
        <w:t>]self</w:t>
      </w:r>
      <w:proofErr w:type="gramEnd"/>
      <w:r w:rsidR="008328F8" w:rsidRPr="00A6743C">
        <w:t xml:space="preserve"> to strangers</w:t>
      </w:r>
      <w:r w:rsidRPr="00A6743C">
        <w:t>”</w:t>
      </w:r>
      <w:r w:rsidR="00F75096" w:rsidRPr="00A6743C">
        <w:t xml:space="preserve"> (</w:t>
      </w:r>
      <w:r w:rsidR="00C027B2" w:rsidRPr="00A6743C">
        <w:rPr>
          <w:i/>
        </w:rPr>
        <w:t>id.</w:t>
      </w:r>
      <w:r w:rsidR="00C027B2" w:rsidRPr="00A6743C">
        <w:t xml:space="preserve"> </w:t>
      </w:r>
      <w:r w:rsidR="00F75096" w:rsidRPr="00A6743C">
        <w:t>¶</w:t>
      </w:r>
      <w:r w:rsidR="00C027B2" w:rsidRPr="00A6743C">
        <w:t xml:space="preserve"> </w:t>
      </w:r>
      <w:r w:rsidR="00F75096" w:rsidRPr="00A6743C">
        <w:t>21)</w:t>
      </w:r>
      <w:r w:rsidR="00C027B2" w:rsidRPr="00A6743C">
        <w:t>.</w:t>
      </w:r>
      <w:r w:rsidR="00F75096" w:rsidRPr="00A6743C">
        <w:t xml:space="preserve">  </w:t>
      </w:r>
      <w:r w:rsidR="008328F8" w:rsidRPr="00A6743C">
        <w:t>For C.B.</w:t>
      </w:r>
      <w:r w:rsidRPr="00A6743C">
        <w:t xml:space="preserve">, who </w:t>
      </w:r>
      <w:r w:rsidR="008328F8" w:rsidRPr="00A6743C">
        <w:t>has increasing difficulties with mental health, n</w:t>
      </w:r>
      <w:r w:rsidRPr="00A6743C">
        <w:t xml:space="preserve">ursing home care </w:t>
      </w:r>
      <w:r w:rsidR="008328F8" w:rsidRPr="00A6743C">
        <w:t>is likely to cause</w:t>
      </w:r>
      <w:r w:rsidRPr="00A6743C">
        <w:t xml:space="preserve"> “her depression and anxiety </w:t>
      </w:r>
      <w:r w:rsidR="00E11C14" w:rsidRPr="00A6743C">
        <w:t>[</w:t>
      </w:r>
      <w:r w:rsidRPr="00A6743C">
        <w:t>to</w:t>
      </w:r>
      <w:r w:rsidR="00E11C14" w:rsidRPr="00A6743C">
        <w:t>]</w:t>
      </w:r>
      <w:r w:rsidRPr="00A6743C">
        <w:t xml:space="preserve"> spiral out of control</w:t>
      </w:r>
      <w:r w:rsidR="00E11C14" w:rsidRPr="00A6743C">
        <w:t>.</w:t>
      </w:r>
      <w:r w:rsidR="008328F8" w:rsidRPr="00A6743C">
        <w:t>”</w:t>
      </w:r>
      <w:r w:rsidRPr="00A6743C">
        <w:t xml:space="preserve">  </w:t>
      </w:r>
      <w:r w:rsidR="001F7764" w:rsidRPr="00A6743C">
        <w:t>(Tia Davis</w:t>
      </w:r>
      <w:r w:rsidR="00E11C14" w:rsidRPr="00A6743C">
        <w:t xml:space="preserve"> Decl.,</w:t>
      </w:r>
      <w:r w:rsidR="001F7764" w:rsidRPr="00A6743C">
        <w:t xml:space="preserve"> DKT 30, ¶</w:t>
      </w:r>
      <w:r w:rsidR="00E11C14" w:rsidRPr="00A6743C">
        <w:t xml:space="preserve"> </w:t>
      </w:r>
      <w:r w:rsidR="001F7764" w:rsidRPr="00A6743C">
        <w:t>35</w:t>
      </w:r>
      <w:r w:rsidR="00E11C14" w:rsidRPr="00A6743C">
        <w:t>, Dec. 16, 2010</w:t>
      </w:r>
      <w:r w:rsidR="001F7764" w:rsidRPr="00A6743C">
        <w:t xml:space="preserve">.) </w:t>
      </w:r>
      <w:r w:rsidR="00E11C14" w:rsidRPr="00A6743C">
        <w:t xml:space="preserve"> </w:t>
      </w:r>
      <w:r w:rsidR="00405C14" w:rsidRPr="00A6743C">
        <w:t xml:space="preserve"> </w:t>
      </w:r>
      <w:r w:rsidR="008328F8" w:rsidRPr="00A6743C">
        <w:t>For the two individuals who were recently admitted to the nursing facility, M.J. is already “severely depressed” because he cannot return to his home</w:t>
      </w:r>
      <w:r w:rsidR="00E11C14" w:rsidRPr="00A6743C">
        <w:t>,</w:t>
      </w:r>
      <w:r w:rsidR="008328F8" w:rsidRPr="00A6743C">
        <w:t xml:space="preserve"> and </w:t>
      </w:r>
      <w:r w:rsidR="004829F1" w:rsidRPr="00A6743C">
        <w:t xml:space="preserve">C.E. </w:t>
      </w:r>
      <w:r w:rsidR="008328F8" w:rsidRPr="00A6743C">
        <w:t>cried upon his arrival to the nursing facility.  (</w:t>
      </w:r>
      <w:proofErr w:type="spellStart"/>
      <w:r w:rsidR="008328F8" w:rsidRPr="00A6743C">
        <w:t>Wujick</w:t>
      </w:r>
      <w:proofErr w:type="spellEnd"/>
      <w:r w:rsidR="00E11C14" w:rsidRPr="00A6743C">
        <w:t xml:space="preserve"> Decl. </w:t>
      </w:r>
      <w:r w:rsidR="008328F8" w:rsidRPr="00A6743C">
        <w:t>¶¶ 5-6.)</w:t>
      </w:r>
    </w:p>
    <w:p w:rsidR="00863CA7" w:rsidRPr="00A6743C" w:rsidRDefault="00863CA7"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A6743C">
        <w:tab/>
        <w:t xml:space="preserve">Furthermore, several Plaintiffs harbor painful memories from past instances of </w:t>
      </w:r>
      <w:r w:rsidR="004829F1" w:rsidRPr="00A6743C">
        <w:t>institutional</w:t>
      </w:r>
      <w:r w:rsidRPr="00A6743C">
        <w:t xml:space="preserve"> confinement and abhor the thought of being subjected to it again.  Z.J. was recently admitted to a nursing home for a short period with an infection requiring </w:t>
      </w:r>
      <w:r w:rsidR="000A2325" w:rsidRPr="00A6743C">
        <w:t xml:space="preserve">intravenous </w:t>
      </w:r>
      <w:r w:rsidRPr="00A6743C">
        <w:t>antibiotics, as his providers were not qualified to administer that medication</w:t>
      </w:r>
      <w:r w:rsidR="000A2325" w:rsidRPr="00A6743C">
        <w:t xml:space="preserve">.  </w:t>
      </w:r>
      <w:proofErr w:type="gramStart"/>
      <w:r w:rsidR="000A2325" w:rsidRPr="00A6743C">
        <w:t>(Faatoafe Decl. ¶ 26.)</w:t>
      </w:r>
      <w:proofErr w:type="gramEnd"/>
      <w:r w:rsidRPr="00A6743C">
        <w:t xml:space="preserve">  During </w:t>
      </w:r>
      <w:r w:rsidR="000A2325" w:rsidRPr="00A6743C">
        <w:t xml:space="preserve">a previous hospital </w:t>
      </w:r>
      <w:r w:rsidRPr="00A6743C">
        <w:t xml:space="preserve">stay, Z.J. suffered bed sores.  </w:t>
      </w:r>
      <w:r w:rsidR="001F7764" w:rsidRPr="00A6743C">
        <w:t>(</w:t>
      </w:r>
      <w:r w:rsidR="000A2325" w:rsidRPr="00A6743C">
        <w:rPr>
          <w:i/>
        </w:rPr>
        <w:t>Id.</w:t>
      </w:r>
      <w:r w:rsidR="001F7764" w:rsidRPr="00A6743C">
        <w:t xml:space="preserve">)  D.V.S. has “been hospitalized for half of [his] life” and does “not want to spend any more time in a facility.”  </w:t>
      </w:r>
      <w:proofErr w:type="gramStart"/>
      <w:r w:rsidR="001F7764" w:rsidRPr="00A6743C">
        <w:t>(D.V.S. Decl. ¶</w:t>
      </w:r>
      <w:r w:rsidR="00C027B2" w:rsidRPr="00A6743C">
        <w:t xml:space="preserve"> </w:t>
      </w:r>
      <w:r w:rsidR="001F7764" w:rsidRPr="00A6743C">
        <w:t>9</w:t>
      </w:r>
      <w:r w:rsidR="00C027B2" w:rsidRPr="00A6743C">
        <w:t>.</w:t>
      </w:r>
      <w:r w:rsidR="001F7764" w:rsidRPr="00A6743C">
        <w:t>)</w:t>
      </w:r>
      <w:proofErr w:type="gramEnd"/>
      <w:r w:rsidR="001F7764" w:rsidRPr="00A6743C">
        <w:t xml:space="preserve">  The mere thought of doing so makes him physically ill.  </w:t>
      </w:r>
      <w:proofErr w:type="gramStart"/>
      <w:r w:rsidR="006A0F30" w:rsidRPr="00A6743C">
        <w:t>(Guin Decl. ¶ 23.)</w:t>
      </w:r>
      <w:proofErr w:type="gramEnd"/>
    </w:p>
    <w:p w:rsidR="00863CA7" w:rsidRPr="00A6743C" w:rsidRDefault="00097735" w:rsidP="00454F54">
      <w:pPr>
        <w:spacing w:line="480" w:lineRule="auto"/>
        <w:ind w:firstLine="720"/>
        <w:rPr>
          <w:szCs w:val="24"/>
        </w:rPr>
      </w:pPr>
      <w:r w:rsidRPr="00A6743C">
        <w:rPr>
          <w:szCs w:val="24"/>
        </w:rPr>
        <w:t xml:space="preserve">The Court in </w:t>
      </w:r>
      <w:proofErr w:type="gramStart"/>
      <w:r w:rsidRPr="00A6743C">
        <w:rPr>
          <w:i/>
          <w:iCs/>
          <w:szCs w:val="24"/>
        </w:rPr>
        <w:t>Olmstead</w:t>
      </w:r>
      <w:r w:rsidRPr="00A6743C">
        <w:rPr>
          <w:iCs/>
          <w:szCs w:val="24"/>
        </w:rPr>
        <w:t>,</w:t>
      </w:r>
      <w:proofErr w:type="gramEnd"/>
      <w:r w:rsidRPr="00A6743C">
        <w:rPr>
          <w:iCs/>
          <w:szCs w:val="24"/>
        </w:rPr>
        <w:t xml:space="preserve"> </w:t>
      </w:r>
      <w:r w:rsidRPr="00A6743C">
        <w:rPr>
          <w:szCs w:val="24"/>
        </w:rPr>
        <w:t>recognized the adverse effects that occur with unnec</w:t>
      </w:r>
      <w:r w:rsidR="00454F54" w:rsidRPr="00A6743C">
        <w:rPr>
          <w:szCs w:val="24"/>
        </w:rPr>
        <w:t xml:space="preserve">essary institutional placements. </w:t>
      </w:r>
      <w:r w:rsidR="00454F54" w:rsidRPr="00A6743C">
        <w:rPr>
          <w:i/>
          <w:iCs/>
          <w:szCs w:val="24"/>
        </w:rPr>
        <w:t>Olmstead</w:t>
      </w:r>
      <w:r w:rsidR="00454F54" w:rsidRPr="00A6743C">
        <w:rPr>
          <w:szCs w:val="24"/>
        </w:rPr>
        <w:t xml:space="preserve">, 527 U.S. at 600-01.  </w:t>
      </w:r>
      <w:r w:rsidRPr="00A6743C">
        <w:rPr>
          <w:szCs w:val="24"/>
        </w:rPr>
        <w:t xml:space="preserve">Other </w:t>
      </w:r>
      <w:r w:rsidR="00863CA7" w:rsidRPr="00A6743C">
        <w:rPr>
          <w:szCs w:val="24"/>
        </w:rPr>
        <w:t>Courts have routinely recognized that the harm associated with institutionalization</w:t>
      </w:r>
      <w:r w:rsidR="00C72A5D" w:rsidRPr="00A6743C">
        <w:rPr>
          <w:szCs w:val="24"/>
        </w:rPr>
        <w:t>—</w:t>
      </w:r>
      <w:r w:rsidR="00863CA7" w:rsidRPr="00A6743C">
        <w:rPr>
          <w:szCs w:val="24"/>
        </w:rPr>
        <w:t>even on a short term basis</w:t>
      </w:r>
      <w:r w:rsidR="00C72A5D" w:rsidRPr="00A6743C">
        <w:rPr>
          <w:szCs w:val="24"/>
        </w:rPr>
        <w:t>—</w:t>
      </w:r>
      <w:r w:rsidR="00863CA7" w:rsidRPr="00A6743C">
        <w:rPr>
          <w:szCs w:val="24"/>
        </w:rPr>
        <w:t xml:space="preserve">is severe.  In </w:t>
      </w:r>
      <w:r w:rsidR="00863CA7" w:rsidRPr="00A6743C">
        <w:rPr>
          <w:i/>
          <w:iCs/>
          <w:szCs w:val="24"/>
        </w:rPr>
        <w:t>Long v. Benson</w:t>
      </w:r>
      <w:r w:rsidR="00863CA7" w:rsidRPr="00A6743C">
        <w:rPr>
          <w:szCs w:val="24"/>
        </w:rPr>
        <w:t xml:space="preserve">, No. 08cv26, 2008 WL 4571903, at *2 (N.D. Fla. Oct. 14, 2008), a Florida court granted a preliminary injunction in an </w:t>
      </w:r>
      <w:r w:rsidR="00863CA7" w:rsidRPr="00A6743C">
        <w:rPr>
          <w:i/>
          <w:szCs w:val="24"/>
        </w:rPr>
        <w:t>Olmstead</w:t>
      </w:r>
      <w:r w:rsidR="00863CA7" w:rsidRPr="00A6743C">
        <w:rPr>
          <w:szCs w:val="24"/>
        </w:rPr>
        <w:t xml:space="preserve"> case and explained that forcing the individual to leave his community placement and enter a nursing home “will inflict an enormous psychological blow.”  The court further explained that “because of the very substantial difference in [plaintiff’s] perceived quality of life in the apartment as compared to the nursing home, each </w:t>
      </w:r>
      <w:r w:rsidR="00863CA7" w:rsidRPr="00A6743C">
        <w:rPr>
          <w:szCs w:val="24"/>
        </w:rPr>
        <w:lastRenderedPageBreak/>
        <w:t xml:space="preserve">day he is required to live in the nursing home will be an irreparable harm.”  </w:t>
      </w:r>
      <w:r w:rsidR="003A5B3B" w:rsidRPr="00A6743C">
        <w:rPr>
          <w:i/>
          <w:szCs w:val="24"/>
        </w:rPr>
        <w:t>Id.</w:t>
      </w:r>
      <w:r w:rsidR="003A5B3B" w:rsidRPr="00A6743C">
        <w:rPr>
          <w:szCs w:val="24"/>
        </w:rPr>
        <w:t xml:space="preserve">  </w:t>
      </w:r>
      <w:r w:rsidRPr="00A6743C">
        <w:rPr>
          <w:i/>
          <w:szCs w:val="24"/>
        </w:rPr>
        <w:t>See also</w:t>
      </w:r>
      <w:r w:rsidRPr="00A6743C">
        <w:rPr>
          <w:szCs w:val="24"/>
        </w:rPr>
        <w:t xml:space="preserve">, </w:t>
      </w:r>
      <w:r w:rsidR="00863CA7" w:rsidRPr="00A6743C">
        <w:rPr>
          <w:i/>
          <w:iCs/>
          <w:szCs w:val="24"/>
        </w:rPr>
        <w:t>Marlo M.</w:t>
      </w:r>
      <w:r w:rsidRPr="00A6743C">
        <w:rPr>
          <w:szCs w:val="24"/>
        </w:rPr>
        <w:t>, 679 F. Supp. 2d at 638)(granting</w:t>
      </w:r>
      <w:r w:rsidR="00863CA7" w:rsidRPr="00A6743C">
        <w:rPr>
          <w:szCs w:val="24"/>
        </w:rPr>
        <w:t xml:space="preserve"> a preliminary injunction because the plaintiffs had “lived successfully in their community based apartments,” and, if they lost community services they would “suffer regressive consequences if moved [to a nursing home], even temporarily.”</w:t>
      </w:r>
      <w:r w:rsidRPr="00A6743C">
        <w:rPr>
          <w:szCs w:val="24"/>
        </w:rPr>
        <w:t xml:space="preserve">);  </w:t>
      </w:r>
      <w:r w:rsidR="00863CA7" w:rsidRPr="00A6743C">
        <w:rPr>
          <w:i/>
          <w:iCs/>
          <w:szCs w:val="24"/>
        </w:rPr>
        <w:t>Crabtree v. Goetz</w:t>
      </w:r>
      <w:r w:rsidR="00863CA7" w:rsidRPr="00A6743C">
        <w:rPr>
          <w:szCs w:val="24"/>
        </w:rPr>
        <w:t>, No. 08-0939, 2008 WL 5330506</w:t>
      </w:r>
      <w:r w:rsidR="00567BBA" w:rsidRPr="00A6743C">
        <w:rPr>
          <w:szCs w:val="24"/>
        </w:rPr>
        <w:t>, at</w:t>
      </w:r>
      <w:r w:rsidR="00863CA7" w:rsidRPr="00A6743C">
        <w:rPr>
          <w:szCs w:val="24"/>
        </w:rPr>
        <w:t xml:space="preserve"> *25 (M.D. Tenn. Dec. 19,</w:t>
      </w:r>
      <w:r w:rsidRPr="00A6743C">
        <w:rPr>
          <w:szCs w:val="24"/>
        </w:rPr>
        <w:t xml:space="preserve"> 2008) (unpublished)(granting a </w:t>
      </w:r>
      <w:r w:rsidR="00863CA7" w:rsidRPr="00A6743C">
        <w:rPr>
          <w:szCs w:val="24"/>
        </w:rPr>
        <w:t xml:space="preserve"> preliminary injunction enjoining defendants from cutting home health care services</w:t>
      </w:r>
      <w:r w:rsidRPr="00A6743C">
        <w:rPr>
          <w:szCs w:val="24"/>
        </w:rPr>
        <w:t xml:space="preserve"> because </w:t>
      </w:r>
      <w:r w:rsidR="00863CA7" w:rsidRPr="00A6743C">
        <w:rPr>
          <w:szCs w:val="24"/>
        </w:rPr>
        <w:t xml:space="preserve">institutionalization “would be detrimental to [plaintiffs’] care, causing, </w:t>
      </w:r>
      <w:r w:rsidR="00863CA7" w:rsidRPr="00A6743C">
        <w:rPr>
          <w:i/>
          <w:szCs w:val="24"/>
        </w:rPr>
        <w:t>inter alia</w:t>
      </w:r>
      <w:r w:rsidR="00863CA7" w:rsidRPr="00A6743C">
        <w:rPr>
          <w:szCs w:val="24"/>
        </w:rPr>
        <w:t>, mental depression, and for some Plaintiffs, a shorter life expectancy or death.”</w:t>
      </w:r>
      <w:r w:rsidRPr="00A6743C">
        <w:rPr>
          <w:szCs w:val="24"/>
        </w:rPr>
        <w:t>)</w:t>
      </w:r>
      <w:r w:rsidR="00863CA7" w:rsidRPr="00A6743C">
        <w:rPr>
          <w:rStyle w:val="FootnoteReference"/>
        </w:rPr>
        <w:footnoteReference w:id="11"/>
      </w:r>
      <w:r w:rsidR="00863CA7" w:rsidRPr="00A6743C">
        <w:rPr>
          <w:szCs w:val="24"/>
        </w:rPr>
        <w:t xml:space="preserve">    </w:t>
      </w:r>
    </w:p>
    <w:p w:rsidR="00992F24" w:rsidRPr="00A6743C" w:rsidRDefault="00C5228B" w:rsidP="004829F1">
      <w:pPr>
        <w:pStyle w:val="Heading3"/>
        <w:spacing w:line="480" w:lineRule="auto"/>
        <w:ind w:left="1440"/>
      </w:pPr>
      <w:r w:rsidRPr="00A6743C">
        <w:t>Balancing the Hardships Weighs in Favor of the Plaintiffs</w:t>
      </w:r>
    </w:p>
    <w:p w:rsidR="00097735" w:rsidRPr="00A6743C" w:rsidRDefault="004829F1" w:rsidP="00607988">
      <w:pPr>
        <w:spacing w:line="480" w:lineRule="auto"/>
        <w:ind w:firstLine="720"/>
        <w:contextualSpacing/>
        <w:rPr>
          <w:szCs w:val="24"/>
        </w:rPr>
      </w:pPr>
      <w:r w:rsidRPr="00A6743C">
        <w:rPr>
          <w:szCs w:val="24"/>
        </w:rPr>
        <w:t>The hardships that</w:t>
      </w:r>
      <w:r w:rsidR="00940A16" w:rsidRPr="00A6743C">
        <w:rPr>
          <w:szCs w:val="24"/>
        </w:rPr>
        <w:t xml:space="preserve"> P</w:t>
      </w:r>
      <w:r w:rsidRPr="00A6743C">
        <w:rPr>
          <w:szCs w:val="24"/>
        </w:rPr>
        <w:t>laintiffs will endure absent an injunction</w:t>
      </w:r>
      <w:r w:rsidR="00940A16" w:rsidRPr="00A6743C">
        <w:rPr>
          <w:szCs w:val="24"/>
        </w:rPr>
        <w:t>—</w:t>
      </w:r>
      <w:r w:rsidRPr="00A6743C">
        <w:rPr>
          <w:szCs w:val="24"/>
        </w:rPr>
        <w:t>including the risk of institutionalization, deteriorating health and even death</w:t>
      </w:r>
      <w:r w:rsidR="00940A16" w:rsidRPr="00A6743C">
        <w:rPr>
          <w:szCs w:val="24"/>
        </w:rPr>
        <w:t>—</w:t>
      </w:r>
      <w:r w:rsidRPr="00A6743C">
        <w:rPr>
          <w:szCs w:val="24"/>
        </w:rPr>
        <w:t xml:space="preserve">far outweigh any potential hardship to the State.  </w:t>
      </w:r>
      <w:bookmarkStart w:id="16" w:name="_Toc282175637"/>
    </w:p>
    <w:p w:rsidR="00607988" w:rsidRPr="00A6743C" w:rsidRDefault="00454CDB" w:rsidP="00607988">
      <w:pPr>
        <w:spacing w:line="480" w:lineRule="auto"/>
        <w:ind w:firstLine="720"/>
        <w:contextualSpacing/>
        <w:rPr>
          <w:szCs w:val="24"/>
        </w:rPr>
      </w:pPr>
      <w:r w:rsidRPr="00A6743C">
        <w:rPr>
          <w:szCs w:val="24"/>
        </w:rPr>
        <w:t xml:space="preserve">The State argues that the hardship </w:t>
      </w:r>
      <w:r w:rsidR="00940A16" w:rsidRPr="00A6743C">
        <w:rPr>
          <w:szCs w:val="24"/>
        </w:rPr>
        <w:t xml:space="preserve">weighs </w:t>
      </w:r>
      <w:r w:rsidRPr="00A6743C">
        <w:rPr>
          <w:szCs w:val="24"/>
        </w:rPr>
        <w:t>in its favor due to budgetary considerations</w:t>
      </w:r>
      <w:r w:rsidR="00607988" w:rsidRPr="00A6743C">
        <w:rPr>
          <w:szCs w:val="24"/>
        </w:rPr>
        <w:t xml:space="preserve"> and </w:t>
      </w:r>
      <w:r w:rsidR="00CB2D6F" w:rsidRPr="00A6743C">
        <w:rPr>
          <w:szCs w:val="24"/>
        </w:rPr>
        <w:t xml:space="preserve">the effect </w:t>
      </w:r>
      <w:r w:rsidR="00607988" w:rsidRPr="00A6743C">
        <w:rPr>
          <w:szCs w:val="24"/>
        </w:rPr>
        <w:t xml:space="preserve">an injunction </w:t>
      </w:r>
      <w:r w:rsidR="00CB2D6F" w:rsidRPr="00A6743C">
        <w:rPr>
          <w:szCs w:val="24"/>
        </w:rPr>
        <w:t>would have on</w:t>
      </w:r>
      <w:r w:rsidR="00607988" w:rsidRPr="00A6743C">
        <w:rPr>
          <w:szCs w:val="24"/>
        </w:rPr>
        <w:t xml:space="preserve"> other social services</w:t>
      </w:r>
      <w:r w:rsidRPr="00A6743C">
        <w:rPr>
          <w:szCs w:val="24"/>
        </w:rPr>
        <w:t xml:space="preserve">, </w:t>
      </w:r>
      <w:r w:rsidR="00CB2D6F" w:rsidRPr="00A6743C">
        <w:rPr>
          <w:szCs w:val="24"/>
        </w:rPr>
        <w:t>yet</w:t>
      </w:r>
      <w:r w:rsidRPr="00A6743C">
        <w:rPr>
          <w:szCs w:val="24"/>
        </w:rPr>
        <w:t xml:space="preserve"> </w:t>
      </w:r>
      <w:r w:rsidR="000673B8" w:rsidRPr="00A6743C">
        <w:rPr>
          <w:szCs w:val="24"/>
        </w:rPr>
        <w:t>“agrees with Plaintiffs that institutionalization is more costly than serving people in their homes</w:t>
      </w:r>
      <w:r w:rsidR="005F5BB7" w:rsidRPr="00A6743C">
        <w:rPr>
          <w:szCs w:val="24"/>
        </w:rPr>
        <w:t xml:space="preserve"> . . . .</w:t>
      </w:r>
      <w:r w:rsidR="000673B8" w:rsidRPr="00A6743C">
        <w:rPr>
          <w:szCs w:val="24"/>
        </w:rPr>
        <w:t>”</w:t>
      </w:r>
      <w:r w:rsidRPr="00A6743C">
        <w:rPr>
          <w:szCs w:val="24"/>
        </w:rPr>
        <w:t xml:space="preserve"> </w:t>
      </w:r>
      <w:proofErr w:type="gramStart"/>
      <w:r w:rsidRPr="00A6743C">
        <w:rPr>
          <w:szCs w:val="24"/>
        </w:rPr>
        <w:t>(Def</w:t>
      </w:r>
      <w:r w:rsidR="00940A16" w:rsidRPr="00A6743C">
        <w:rPr>
          <w:szCs w:val="24"/>
        </w:rPr>
        <w:t>s</w:t>
      </w:r>
      <w:r w:rsidRPr="00A6743C">
        <w:rPr>
          <w:szCs w:val="24"/>
        </w:rPr>
        <w:t>.</w:t>
      </w:r>
      <w:r w:rsidR="00940A16" w:rsidRPr="00A6743C">
        <w:rPr>
          <w:szCs w:val="24"/>
        </w:rPr>
        <w:t>’</w:t>
      </w:r>
      <w:proofErr w:type="gramEnd"/>
      <w:r w:rsidR="00940A16" w:rsidRPr="00A6743C">
        <w:rPr>
          <w:szCs w:val="24"/>
        </w:rPr>
        <w:t xml:space="preserve"> </w:t>
      </w:r>
      <w:proofErr w:type="gramStart"/>
      <w:r w:rsidR="00940A16" w:rsidRPr="00A6743C">
        <w:rPr>
          <w:szCs w:val="24"/>
        </w:rPr>
        <w:t>Resp. to Pls.’ Mot.</w:t>
      </w:r>
      <w:proofErr w:type="gramEnd"/>
      <w:r w:rsidR="00940A16" w:rsidRPr="00A6743C">
        <w:rPr>
          <w:szCs w:val="24"/>
        </w:rPr>
        <w:t xml:space="preserve"> </w:t>
      </w:r>
      <w:proofErr w:type="gramStart"/>
      <w:r w:rsidR="00940A16" w:rsidRPr="00A6743C">
        <w:rPr>
          <w:szCs w:val="24"/>
        </w:rPr>
        <w:t>for</w:t>
      </w:r>
      <w:proofErr w:type="gramEnd"/>
      <w:r w:rsidRPr="00A6743C">
        <w:rPr>
          <w:szCs w:val="24"/>
        </w:rPr>
        <w:t xml:space="preserve"> TRO 27.)  </w:t>
      </w:r>
      <w:r w:rsidR="00E3253B" w:rsidRPr="00A6743C">
        <w:rPr>
          <w:szCs w:val="24"/>
        </w:rPr>
        <w:t xml:space="preserve">Former State official </w:t>
      </w:r>
      <w:r w:rsidR="000673B8" w:rsidRPr="00A6743C">
        <w:rPr>
          <w:szCs w:val="24"/>
        </w:rPr>
        <w:t>Charles Reed opines that “</w:t>
      </w:r>
      <w:r w:rsidR="00A130A3" w:rsidRPr="00A6743C">
        <w:rPr>
          <w:szCs w:val="24"/>
        </w:rPr>
        <w:t>[</w:t>
      </w:r>
      <w:r w:rsidR="000673B8" w:rsidRPr="00A6743C">
        <w:rPr>
          <w:szCs w:val="24"/>
        </w:rPr>
        <w:t>w</w:t>
      </w:r>
      <w:r w:rsidR="00A130A3" w:rsidRPr="00A6743C">
        <w:rPr>
          <w:szCs w:val="24"/>
        </w:rPr>
        <w:t>]</w:t>
      </w:r>
      <w:proofErr w:type="spellStart"/>
      <w:r w:rsidR="000673B8" w:rsidRPr="00A6743C">
        <w:rPr>
          <w:szCs w:val="24"/>
        </w:rPr>
        <w:t>ith</w:t>
      </w:r>
      <w:proofErr w:type="spellEnd"/>
      <w:r w:rsidR="000673B8" w:rsidRPr="00A6743C">
        <w:rPr>
          <w:szCs w:val="24"/>
        </w:rPr>
        <w:t xml:space="preserve"> these cuts, the State of Washington will lose prior budget savings, experience increased costs due to migration of nursing home eligible long term care customers from their homes to residential and institutional facilities, and reverse well-considered, long-standing policy of reducing reliance </w:t>
      </w:r>
      <w:r w:rsidR="00C815F3" w:rsidRPr="00A6743C">
        <w:rPr>
          <w:szCs w:val="24"/>
        </w:rPr>
        <w:t xml:space="preserve">on nursing homes.”  </w:t>
      </w:r>
      <w:proofErr w:type="gramStart"/>
      <w:r w:rsidR="00C815F3" w:rsidRPr="00A6743C">
        <w:rPr>
          <w:szCs w:val="24"/>
        </w:rPr>
        <w:t>(Reed Decl.</w:t>
      </w:r>
      <w:r w:rsidR="000673B8" w:rsidRPr="00A6743C">
        <w:rPr>
          <w:szCs w:val="24"/>
        </w:rPr>
        <w:t xml:space="preserve"> ¶</w:t>
      </w:r>
      <w:r w:rsidR="00C815F3" w:rsidRPr="00A6743C">
        <w:rPr>
          <w:szCs w:val="24"/>
        </w:rPr>
        <w:t xml:space="preserve"> </w:t>
      </w:r>
      <w:r w:rsidR="000673B8" w:rsidRPr="00A6743C">
        <w:rPr>
          <w:szCs w:val="24"/>
        </w:rPr>
        <w:t>20.)</w:t>
      </w:r>
      <w:proofErr w:type="gramEnd"/>
      <w:r w:rsidR="000673B8" w:rsidRPr="00A6743C">
        <w:rPr>
          <w:szCs w:val="24"/>
        </w:rPr>
        <w:t xml:space="preserve">  Penny Black, another former State official, agrees that the reduction </w:t>
      </w:r>
      <w:r w:rsidR="000673B8" w:rsidRPr="00A6743C">
        <w:rPr>
          <w:szCs w:val="24"/>
        </w:rPr>
        <w:lastRenderedPageBreak/>
        <w:t xml:space="preserve">in personal care services will have the opposite effect on the State’s budget.  </w:t>
      </w:r>
      <w:proofErr w:type="gramStart"/>
      <w:r w:rsidR="000673B8" w:rsidRPr="00A6743C">
        <w:rPr>
          <w:szCs w:val="24"/>
        </w:rPr>
        <w:t>(Black Decl. ¶</w:t>
      </w:r>
      <w:r w:rsidR="00AA5155" w:rsidRPr="00A6743C">
        <w:rPr>
          <w:szCs w:val="24"/>
        </w:rPr>
        <w:t xml:space="preserve"> </w:t>
      </w:r>
      <w:r w:rsidR="000673B8" w:rsidRPr="00A6743C">
        <w:rPr>
          <w:szCs w:val="24"/>
        </w:rPr>
        <w:t>34.)</w:t>
      </w:r>
      <w:proofErr w:type="gramEnd"/>
      <w:r w:rsidR="000673B8" w:rsidRPr="00A6743C">
        <w:rPr>
          <w:szCs w:val="24"/>
        </w:rPr>
        <w:t xml:space="preserve">   Laurel Lucia, </w:t>
      </w:r>
      <w:r w:rsidR="00B4112A" w:rsidRPr="00A6743C">
        <w:rPr>
          <w:szCs w:val="24"/>
        </w:rPr>
        <w:t>who holds a master</w:t>
      </w:r>
      <w:r w:rsidR="009F438C" w:rsidRPr="00A6743C">
        <w:rPr>
          <w:szCs w:val="24"/>
        </w:rPr>
        <w:t>’</w:t>
      </w:r>
      <w:r w:rsidR="00B4112A" w:rsidRPr="00A6743C">
        <w:rPr>
          <w:szCs w:val="24"/>
        </w:rPr>
        <w:t>s degree in public policy from the University of California at Berkley</w:t>
      </w:r>
      <w:r w:rsidR="000673B8" w:rsidRPr="00A6743C">
        <w:rPr>
          <w:szCs w:val="24"/>
        </w:rPr>
        <w:t>, notes that with the reductions in services, the State will lose $26.1 million in Federal Medicaid matching dollars, with a corresponding decline of local state and tax revenue.  (Laurel Lucia</w:t>
      </w:r>
      <w:r w:rsidR="005F5BB7" w:rsidRPr="00A6743C">
        <w:rPr>
          <w:szCs w:val="24"/>
        </w:rPr>
        <w:t xml:space="preserve"> Decl.</w:t>
      </w:r>
      <w:r w:rsidR="000673B8" w:rsidRPr="00A6743C">
        <w:rPr>
          <w:szCs w:val="24"/>
        </w:rPr>
        <w:t>, DKT 23, ¶¶</w:t>
      </w:r>
      <w:r w:rsidR="005F5BB7" w:rsidRPr="00A6743C">
        <w:rPr>
          <w:szCs w:val="24"/>
        </w:rPr>
        <w:t xml:space="preserve"> </w:t>
      </w:r>
      <w:r w:rsidR="000673B8" w:rsidRPr="00A6743C">
        <w:rPr>
          <w:szCs w:val="24"/>
        </w:rPr>
        <w:t>10-11</w:t>
      </w:r>
      <w:r w:rsidR="005F5BB7" w:rsidRPr="00A6743C">
        <w:rPr>
          <w:szCs w:val="24"/>
        </w:rPr>
        <w:t>, Dec. 17, 2010</w:t>
      </w:r>
      <w:r w:rsidR="000673B8" w:rsidRPr="00A6743C">
        <w:rPr>
          <w:szCs w:val="24"/>
        </w:rPr>
        <w:t>.</w:t>
      </w:r>
      <w:r w:rsidR="00B4112A" w:rsidRPr="00A6743C">
        <w:rPr>
          <w:szCs w:val="24"/>
        </w:rPr>
        <w:t xml:space="preserve">)  </w:t>
      </w:r>
      <w:r w:rsidR="00607988" w:rsidRPr="00A6743C">
        <w:rPr>
          <w:szCs w:val="24"/>
        </w:rPr>
        <w:t xml:space="preserve"> </w:t>
      </w:r>
      <w:r w:rsidR="005F5BB7" w:rsidRPr="00A6743C">
        <w:rPr>
          <w:szCs w:val="24"/>
        </w:rPr>
        <w:t>C</w:t>
      </w:r>
      <w:r w:rsidR="007A48C2" w:rsidRPr="00A6743C">
        <w:rPr>
          <w:szCs w:val="24"/>
        </w:rPr>
        <w:t>ontrary</w:t>
      </w:r>
      <w:r w:rsidR="00607988" w:rsidRPr="00A6743C">
        <w:rPr>
          <w:szCs w:val="24"/>
        </w:rPr>
        <w:t xml:space="preserve"> to the State’s assertion</w:t>
      </w:r>
      <w:r w:rsidR="007A48C2" w:rsidRPr="00A6743C">
        <w:rPr>
          <w:szCs w:val="24"/>
        </w:rPr>
        <w:t>, the injunction will not force it to cut other social services.</w:t>
      </w:r>
    </w:p>
    <w:p w:rsidR="00B4112A" w:rsidRPr="00A6743C" w:rsidRDefault="00454CDB" w:rsidP="00B4112A">
      <w:pPr>
        <w:spacing w:line="480" w:lineRule="auto"/>
        <w:ind w:firstLine="720"/>
        <w:contextualSpacing/>
        <w:rPr>
          <w:b/>
          <w:szCs w:val="24"/>
        </w:rPr>
      </w:pPr>
      <w:r w:rsidRPr="00A6743C">
        <w:t>When faced with similar reductions in social services, other courts have determined that the harm to the plaintiffs outweigh the defendants</w:t>
      </w:r>
      <w:r w:rsidR="008D6EDC" w:rsidRPr="00A6743C">
        <w:t>’</w:t>
      </w:r>
      <w:r w:rsidRPr="00A6743C">
        <w:t xml:space="preserve"> budget considerations.  </w:t>
      </w:r>
      <w:proofErr w:type="gramStart"/>
      <w:r w:rsidR="007E2C5E" w:rsidRPr="00A6743C">
        <w:rPr>
          <w:bCs/>
          <w:szCs w:val="24"/>
        </w:rPr>
        <w:t>In</w:t>
      </w:r>
      <w:r w:rsidR="007E2C5E" w:rsidRPr="00A6743C">
        <w:rPr>
          <w:bCs/>
          <w:i/>
          <w:szCs w:val="24"/>
        </w:rPr>
        <w:t xml:space="preserve"> Indep</w:t>
      </w:r>
      <w:r w:rsidR="008D6EDC" w:rsidRPr="00A6743C">
        <w:rPr>
          <w:bCs/>
          <w:i/>
          <w:szCs w:val="24"/>
        </w:rPr>
        <w:t>.</w:t>
      </w:r>
      <w:proofErr w:type="gramEnd"/>
      <w:r w:rsidR="007E2C5E" w:rsidRPr="00A6743C">
        <w:rPr>
          <w:bCs/>
          <w:i/>
          <w:szCs w:val="24"/>
        </w:rPr>
        <w:t xml:space="preserve"> Living Ctr</w:t>
      </w:r>
      <w:r w:rsidR="008D6EDC" w:rsidRPr="00A6743C">
        <w:rPr>
          <w:bCs/>
          <w:i/>
          <w:szCs w:val="24"/>
        </w:rPr>
        <w:t>.</w:t>
      </w:r>
      <w:r w:rsidR="007E2C5E" w:rsidRPr="00A6743C">
        <w:rPr>
          <w:i/>
          <w:szCs w:val="24"/>
        </w:rPr>
        <w:t xml:space="preserve"> v. Maxwell-Jolly</w:t>
      </w:r>
      <w:r w:rsidR="007E2C5E" w:rsidRPr="00A6743C">
        <w:t xml:space="preserve">, the Ninth Circuit Court of Appeals found that California’s fiscal crisis was outweighed by the “robust public interest in safeguarding access to healthcare for those eligible for Medicaid, whom Congress </w:t>
      </w:r>
      <w:r w:rsidR="007E2C5E" w:rsidRPr="00A6743C">
        <w:rPr>
          <w:szCs w:val="24"/>
        </w:rPr>
        <w:t xml:space="preserve">has recognized as the </w:t>
      </w:r>
      <w:proofErr w:type="gramStart"/>
      <w:r w:rsidR="007E2C5E" w:rsidRPr="00A6743C">
        <w:rPr>
          <w:szCs w:val="24"/>
        </w:rPr>
        <w:t>most needy</w:t>
      </w:r>
      <w:proofErr w:type="gramEnd"/>
      <w:r w:rsidR="007E2C5E" w:rsidRPr="00A6743C">
        <w:rPr>
          <w:szCs w:val="24"/>
        </w:rPr>
        <w:t xml:space="preserve"> in the country.” 572 F.3d 644, 659 (9</w:t>
      </w:r>
      <w:r w:rsidR="00820474" w:rsidRPr="00A6743C">
        <w:rPr>
          <w:szCs w:val="24"/>
        </w:rPr>
        <w:t xml:space="preserve">th </w:t>
      </w:r>
      <w:r w:rsidR="007E2C5E" w:rsidRPr="00A6743C">
        <w:rPr>
          <w:szCs w:val="24"/>
        </w:rPr>
        <w:t>Cir. 2009)</w:t>
      </w:r>
      <w:r w:rsidR="00567BBA" w:rsidRPr="00A6743C">
        <w:rPr>
          <w:szCs w:val="24"/>
        </w:rPr>
        <w:t xml:space="preserve">, </w:t>
      </w:r>
      <w:r w:rsidR="00567BBA" w:rsidRPr="00A6743C">
        <w:rPr>
          <w:i/>
          <w:szCs w:val="24"/>
        </w:rPr>
        <w:t>cert. granted</w:t>
      </w:r>
      <w:r w:rsidR="00567BBA" w:rsidRPr="00A6743C">
        <w:rPr>
          <w:szCs w:val="24"/>
        </w:rPr>
        <w:t xml:space="preserve"> No. 09-958 (Jan. 18, 2011)</w:t>
      </w:r>
      <w:r w:rsidR="007E2C5E" w:rsidRPr="00A6743C">
        <w:rPr>
          <w:szCs w:val="24"/>
        </w:rPr>
        <w:t xml:space="preserve">. </w:t>
      </w:r>
      <w:r w:rsidRPr="00A6743C">
        <w:t xml:space="preserve">The </w:t>
      </w:r>
      <w:r w:rsidR="007E2C5E" w:rsidRPr="00A6743C">
        <w:t xml:space="preserve">district </w:t>
      </w:r>
      <w:r w:rsidRPr="00A6743C">
        <w:t xml:space="preserve">court in </w:t>
      </w:r>
      <w:r w:rsidRPr="00A6743C">
        <w:rPr>
          <w:i/>
        </w:rPr>
        <w:t xml:space="preserve">V.L. </w:t>
      </w:r>
      <w:r w:rsidR="007E2C5E" w:rsidRPr="00A6743C">
        <w:t xml:space="preserve">similarly </w:t>
      </w:r>
      <w:r w:rsidRPr="00A6743C">
        <w:t xml:space="preserve">found that the risk of institutionalization and inability to access necessary medical care as a result of reductions to </w:t>
      </w:r>
      <w:r w:rsidRPr="00A6743C">
        <w:rPr>
          <w:szCs w:val="24"/>
        </w:rPr>
        <w:t xml:space="preserve">personal care services outweighed the financial burden of the state during a fiscal crisis.   </w:t>
      </w:r>
      <w:r w:rsidR="00567BBA" w:rsidRPr="00A6743C">
        <w:rPr>
          <w:i/>
          <w:szCs w:val="24"/>
        </w:rPr>
        <w:t>V.L.</w:t>
      </w:r>
      <w:r w:rsidRPr="00A6743C">
        <w:rPr>
          <w:i/>
          <w:szCs w:val="24"/>
        </w:rPr>
        <w:t xml:space="preserve">, </w:t>
      </w:r>
      <w:r w:rsidRPr="00A6743C">
        <w:rPr>
          <w:bCs/>
          <w:szCs w:val="24"/>
        </w:rPr>
        <w:t>669 F. Supp. 2d at 1122</w:t>
      </w:r>
      <w:r w:rsidR="00820474" w:rsidRPr="00A6743C">
        <w:rPr>
          <w:bCs/>
          <w:sz w:val="20"/>
        </w:rPr>
        <w:t xml:space="preserve">; </w:t>
      </w:r>
      <w:r w:rsidR="00820474" w:rsidRPr="00A6743C">
        <w:rPr>
          <w:i/>
          <w:szCs w:val="24"/>
        </w:rPr>
        <w:t>s</w:t>
      </w:r>
      <w:r w:rsidR="00B4112A" w:rsidRPr="00A6743C">
        <w:rPr>
          <w:i/>
          <w:szCs w:val="24"/>
        </w:rPr>
        <w:t>ee also</w:t>
      </w:r>
      <w:r w:rsidR="00820474" w:rsidRPr="00A6743C">
        <w:rPr>
          <w:szCs w:val="24"/>
        </w:rPr>
        <w:t>,</w:t>
      </w:r>
      <w:r w:rsidR="00B4112A" w:rsidRPr="00A6743C">
        <w:rPr>
          <w:szCs w:val="24"/>
        </w:rPr>
        <w:t xml:space="preserve"> </w:t>
      </w:r>
      <w:r w:rsidR="00B4112A" w:rsidRPr="00A6743C">
        <w:rPr>
          <w:bCs/>
        </w:rPr>
        <w:t xml:space="preserve">656 F. Supp. 2d </w:t>
      </w:r>
      <w:r w:rsidR="00567BBA" w:rsidRPr="00A6743C">
        <w:rPr>
          <w:bCs/>
        </w:rPr>
        <w:t>at</w:t>
      </w:r>
      <w:r w:rsidR="007F3B7B" w:rsidRPr="00A6743C">
        <w:rPr>
          <w:bCs/>
        </w:rPr>
        <w:t xml:space="preserve"> </w:t>
      </w:r>
      <w:r w:rsidR="00B4112A" w:rsidRPr="00A6743C">
        <w:rPr>
          <w:bCs/>
        </w:rPr>
        <w:t>1177</w:t>
      </w:r>
      <w:r w:rsidR="007E2C5E" w:rsidRPr="00A6743C">
        <w:rPr>
          <w:bCs/>
        </w:rPr>
        <w:t xml:space="preserve">.  </w:t>
      </w:r>
      <w:r w:rsidR="00B4112A" w:rsidRPr="00A6743C">
        <w:rPr>
          <w:szCs w:val="24"/>
        </w:rPr>
        <w:t xml:space="preserve">Congress was aware that integration “will sometimes involve substantial short-term burdens, both financial and administrative,” but the long-term effects of integration “will benefit society as a whole.”  </w:t>
      </w:r>
      <w:r w:rsidR="00B4112A" w:rsidRPr="00A6743C">
        <w:rPr>
          <w:i/>
          <w:iCs/>
          <w:szCs w:val="24"/>
        </w:rPr>
        <w:t>Fisher</w:t>
      </w:r>
      <w:r w:rsidR="00B4112A" w:rsidRPr="00A6743C">
        <w:rPr>
          <w:szCs w:val="24"/>
        </w:rPr>
        <w:t xml:space="preserve">, </w:t>
      </w:r>
      <w:proofErr w:type="gramStart"/>
      <w:r w:rsidR="00B4112A" w:rsidRPr="00A6743C">
        <w:rPr>
          <w:szCs w:val="24"/>
        </w:rPr>
        <w:t>335 F.3d at 1183</w:t>
      </w:r>
      <w:proofErr w:type="gramEnd"/>
      <w:r w:rsidR="00B4112A" w:rsidRPr="00A6743C">
        <w:rPr>
          <w:szCs w:val="24"/>
        </w:rPr>
        <w:t>.</w:t>
      </w:r>
      <w:r w:rsidR="00B4112A" w:rsidRPr="00A6743C">
        <w:rPr>
          <w:b/>
          <w:szCs w:val="24"/>
        </w:rPr>
        <w:t xml:space="preserve"> </w:t>
      </w:r>
    </w:p>
    <w:bookmarkEnd w:id="16"/>
    <w:p w:rsidR="00C5228B" w:rsidRPr="00A6743C" w:rsidRDefault="00C5228B" w:rsidP="009C0C45">
      <w:pPr>
        <w:pStyle w:val="Heading3"/>
        <w:spacing w:line="480" w:lineRule="auto"/>
        <w:ind w:left="1440"/>
      </w:pPr>
      <w:r w:rsidRPr="00A6743C">
        <w:t xml:space="preserve">Granting the Injunction </w:t>
      </w:r>
      <w:r w:rsidR="00820474" w:rsidRPr="00A6743C">
        <w:t>I</w:t>
      </w:r>
      <w:r w:rsidRPr="00A6743C">
        <w:t>s in the Public Interest</w:t>
      </w:r>
    </w:p>
    <w:p w:rsidR="00863CA7" w:rsidRPr="00A6743C" w:rsidRDefault="00D36378" w:rsidP="009C0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00863CA7" w:rsidRPr="00A6743C">
        <w:rPr>
          <w:szCs w:val="24"/>
        </w:rPr>
        <w:t xml:space="preserve"> The public interest weighs heavily in favor of granting relief.  “It would be tragic, not only from the standpoint of the individuals involved but also from the standpoint of society, were poor, elderly, disabled people to be wrongfully deprived of essential benefits for any period of </w:t>
      </w:r>
      <w:r w:rsidR="00863CA7" w:rsidRPr="00A6743C">
        <w:rPr>
          <w:szCs w:val="24"/>
        </w:rPr>
        <w:lastRenderedPageBreak/>
        <w:t xml:space="preserve">time.”   </w:t>
      </w:r>
      <w:proofErr w:type="gramStart"/>
      <w:r w:rsidR="00863CA7" w:rsidRPr="00A6743C">
        <w:rPr>
          <w:i/>
          <w:szCs w:val="24"/>
        </w:rPr>
        <w:t>Lopez v. Heckler</w:t>
      </w:r>
      <w:r w:rsidR="00863CA7" w:rsidRPr="00A6743C">
        <w:rPr>
          <w:szCs w:val="24"/>
        </w:rPr>
        <w:t>, 713 F.2d 1432, 1437 (9th Cir. 1983).</w:t>
      </w:r>
      <w:proofErr w:type="gramEnd"/>
    </w:p>
    <w:p w:rsidR="00863CA7" w:rsidRPr="00A6743C" w:rsidRDefault="00863CA7"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480" w:lineRule="auto"/>
        <w:contextualSpacing/>
        <w:rPr>
          <w:szCs w:val="24"/>
        </w:rPr>
      </w:pPr>
      <w:r w:rsidRPr="00A6743C">
        <w:rPr>
          <w:szCs w:val="24"/>
        </w:rPr>
        <w:tab/>
        <w:t xml:space="preserve">There is a strong public interest in granting a preliminary injunction to allow </w:t>
      </w:r>
      <w:r w:rsidR="00820474" w:rsidRPr="00A6743C">
        <w:rPr>
          <w:szCs w:val="24"/>
        </w:rPr>
        <w:t>P</w:t>
      </w:r>
      <w:r w:rsidRPr="00A6743C">
        <w:rPr>
          <w:szCs w:val="24"/>
        </w:rPr>
        <w:t xml:space="preserve">laintiffs to remain in community settings.  There is </w:t>
      </w:r>
      <w:r w:rsidR="00820474" w:rsidRPr="00A6743C">
        <w:rPr>
          <w:szCs w:val="24"/>
        </w:rPr>
        <w:t xml:space="preserve">also </w:t>
      </w:r>
      <w:r w:rsidRPr="00A6743C">
        <w:rPr>
          <w:szCs w:val="24"/>
        </w:rPr>
        <w:t xml:space="preserve">a public interest in eliminating the discriminatory effects that arise from segregating persons with disabilities in institutions when they can be appropriately placed in community settings.  As </w:t>
      </w:r>
      <w:r w:rsidRPr="00A6743C">
        <w:rPr>
          <w:i/>
          <w:iCs/>
          <w:szCs w:val="24"/>
        </w:rPr>
        <w:t>Olmstead</w:t>
      </w:r>
      <w:r w:rsidRPr="00A6743C">
        <w:rPr>
          <w:iCs/>
          <w:szCs w:val="24"/>
        </w:rPr>
        <w:t xml:space="preserve"> explained</w:t>
      </w:r>
      <w:r w:rsidRPr="00A6743C">
        <w:rPr>
          <w:szCs w:val="24"/>
        </w:rPr>
        <w:t>, the unjustified segregation of persons with disabilities can stigmatize them as incapable or unworthy of participating in community life.</w:t>
      </w:r>
      <w:r w:rsidRPr="00A6743C">
        <w:rPr>
          <w:rStyle w:val="FootnoteReference"/>
        </w:rPr>
        <w:footnoteReference w:id="12"/>
      </w:r>
      <w:r w:rsidRPr="00A6743C">
        <w:rPr>
          <w:szCs w:val="24"/>
        </w:rPr>
        <w:t xml:space="preserve">  </w:t>
      </w:r>
      <w:r w:rsidRPr="00A6743C">
        <w:rPr>
          <w:i/>
          <w:iCs/>
          <w:szCs w:val="24"/>
        </w:rPr>
        <w:t xml:space="preserve">Olmstead, </w:t>
      </w:r>
      <w:r w:rsidRPr="00A6743C">
        <w:rPr>
          <w:szCs w:val="24"/>
        </w:rPr>
        <w:t xml:space="preserve">527 U.S. at 600.  In </w:t>
      </w:r>
      <w:r w:rsidRPr="00A6743C">
        <w:rPr>
          <w:i/>
          <w:iCs/>
          <w:szCs w:val="24"/>
        </w:rPr>
        <w:t>Long</w:t>
      </w:r>
      <w:r w:rsidRPr="00A6743C">
        <w:rPr>
          <w:szCs w:val="24"/>
        </w:rPr>
        <w:t>, the court relied on this reasoning to hold that the public interest favored allowing the plaintiff to “remain in the community rather than be isolated in the nursing home”:</w:t>
      </w:r>
    </w:p>
    <w:p w:rsidR="00863CA7" w:rsidRPr="00A6743C" w:rsidRDefault="00863CA7" w:rsidP="00567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ind w:left="720" w:right="720"/>
        <w:contextualSpacing/>
        <w:jc w:val="both"/>
        <w:rPr>
          <w:szCs w:val="24"/>
        </w:rPr>
      </w:pPr>
      <w:r w:rsidRPr="00A6743C">
        <w:rPr>
          <w:szCs w:val="24"/>
        </w:rPr>
        <w:t xml:space="preserve">If, as it ultimately turns out, treating individuals like </w:t>
      </w:r>
      <w:r w:rsidR="007F3B7B" w:rsidRPr="00A6743C">
        <w:rPr>
          <w:szCs w:val="24"/>
        </w:rPr>
        <w:t>[plaintiff]</w:t>
      </w:r>
      <w:r w:rsidRPr="00A6743C">
        <w:rPr>
          <w:szCs w:val="24"/>
        </w:rPr>
        <w:t xml:space="preserve"> in the community would require a fundamental alteration of the Medicaid program, so that the Secretary prevails in this litigation, little harm will have been done. To the contrary, [plaintiff</w:t>
      </w:r>
      <w:r w:rsidR="00820474" w:rsidRPr="00A6743C">
        <w:rPr>
          <w:szCs w:val="24"/>
        </w:rPr>
        <w:t>’</w:t>
      </w:r>
      <w:r w:rsidRPr="00A6743C">
        <w:rPr>
          <w:szCs w:val="24"/>
        </w:rPr>
        <w:t>s] life will have been better, at least for a time</w:t>
      </w:r>
      <w:r w:rsidR="00820474" w:rsidRPr="00A6743C">
        <w:rPr>
          <w:szCs w:val="24"/>
        </w:rPr>
        <w:t xml:space="preserve"> . . . .</w:t>
      </w:r>
    </w:p>
    <w:p w:rsidR="00863CA7" w:rsidRPr="00A6743C" w:rsidRDefault="00863CA7"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40" w:lineRule="auto"/>
        <w:ind w:left="720"/>
        <w:contextualSpacing/>
        <w:rPr>
          <w:szCs w:val="24"/>
        </w:rPr>
      </w:pPr>
    </w:p>
    <w:p w:rsidR="00863CA7" w:rsidRPr="00A6743C" w:rsidRDefault="00863CA7"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roofErr w:type="gramStart"/>
      <w:r w:rsidRPr="00A6743C">
        <w:rPr>
          <w:i/>
          <w:iCs/>
          <w:szCs w:val="24"/>
        </w:rPr>
        <w:t>Long</w:t>
      </w:r>
      <w:r w:rsidRPr="00A6743C">
        <w:rPr>
          <w:szCs w:val="24"/>
        </w:rPr>
        <w:t>, 2008 WL 4571903, at *3.</w:t>
      </w:r>
      <w:proofErr w:type="gramEnd"/>
      <w:r w:rsidRPr="00A6743C">
        <w:rPr>
          <w:szCs w:val="24"/>
        </w:rPr>
        <w:t xml:space="preserve">  </w:t>
      </w:r>
      <w:r w:rsidRPr="00A6743C">
        <w:rPr>
          <w:sz w:val="22"/>
          <w:szCs w:val="22"/>
        </w:rPr>
        <w:tab/>
      </w:r>
    </w:p>
    <w:p w:rsidR="0090216A" w:rsidRPr="00A6743C" w:rsidRDefault="0090216A" w:rsidP="002D473C">
      <w:pPr>
        <w:pStyle w:val="Heading1"/>
        <w:numPr>
          <w:ilvl w:val="0"/>
          <w:numId w:val="17"/>
        </w:numPr>
        <w:jc w:val="left"/>
      </w:pPr>
      <w:bookmarkStart w:id="17" w:name="_Toc266438962"/>
      <w:bookmarkStart w:id="18" w:name="_Toc282175638"/>
      <w:r w:rsidRPr="00A6743C">
        <w:rPr>
          <w:u w:val="none"/>
        </w:rPr>
        <w:t xml:space="preserve"> </w:t>
      </w:r>
      <w:r w:rsidRPr="00A6743C">
        <w:t>CONCLUSION</w:t>
      </w:r>
      <w:bookmarkEnd w:id="17"/>
      <w:bookmarkEnd w:id="18"/>
    </w:p>
    <w:p w:rsidR="00264A47" w:rsidRDefault="0090216A" w:rsidP="00264A47">
      <w:pPr>
        <w:widowControl/>
        <w:ind w:firstLine="720"/>
        <w:rPr>
          <w:szCs w:val="24"/>
        </w:rPr>
      </w:pPr>
      <w:r w:rsidRPr="00A6743C">
        <w:rPr>
          <w:szCs w:val="24"/>
        </w:rPr>
        <w:t xml:space="preserve">For the reasons stated above, the </w:t>
      </w:r>
      <w:r w:rsidR="005B4AC9" w:rsidRPr="00A6743C">
        <w:rPr>
          <w:szCs w:val="24"/>
        </w:rPr>
        <w:t xml:space="preserve">United States respectfully submits that this </w:t>
      </w:r>
      <w:r w:rsidRPr="00A6743C">
        <w:rPr>
          <w:szCs w:val="24"/>
        </w:rPr>
        <w:t xml:space="preserve">Court should grant Plaintiffs’ Motion for Preliminary Injunction.  </w:t>
      </w:r>
      <w:r w:rsidR="005B4AC9" w:rsidRPr="00A6743C">
        <w:rPr>
          <w:szCs w:val="24"/>
        </w:rPr>
        <w:t>Should it be helpful to the Court</w:t>
      </w:r>
      <w:r w:rsidRPr="00A6743C">
        <w:rPr>
          <w:szCs w:val="24"/>
        </w:rPr>
        <w:t xml:space="preserve">, counsel for the United States will be present </w:t>
      </w:r>
      <w:r w:rsidR="005B4AC9" w:rsidRPr="00A6743C">
        <w:rPr>
          <w:szCs w:val="24"/>
        </w:rPr>
        <w:t xml:space="preserve">and prepared to argue the present Statement </w:t>
      </w:r>
      <w:r w:rsidRPr="00A6743C">
        <w:rPr>
          <w:szCs w:val="24"/>
        </w:rPr>
        <w:t>at any upcoming hearings.</w:t>
      </w: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264A47" w:rsidRDefault="00264A47" w:rsidP="00264A47">
      <w:pPr>
        <w:widowControl/>
        <w:ind w:firstLine="720"/>
        <w:rPr>
          <w:szCs w:val="24"/>
        </w:rPr>
      </w:pPr>
    </w:p>
    <w:p w:rsidR="0090216A" w:rsidRPr="00A6743C" w:rsidRDefault="0090216A" w:rsidP="00264A47">
      <w:pPr>
        <w:widowControl/>
        <w:ind w:firstLine="720"/>
        <w:rPr>
          <w:b/>
          <w:i/>
          <w:szCs w:val="24"/>
        </w:rPr>
      </w:pPr>
      <w:r w:rsidRPr="00A6743C">
        <w:rPr>
          <w:b/>
          <w:szCs w:val="24"/>
        </w:rPr>
        <w:t xml:space="preserve"> </w:t>
      </w:r>
      <w:r w:rsidRPr="00A6743C">
        <w:rPr>
          <w:b/>
          <w:i/>
        </w:rPr>
        <w:t xml:space="preserve">                                                                                                                                                                                                                                                                                                                                                                                                                                                                                                                                                                                                                                                                                                                                                                                                                                                                                                                                                                                                                                                                                                                                                                                                                                                                                                                                                                                                                                                                                                                                                                                                                                                                                                                                                     </w:t>
      </w:r>
    </w:p>
    <w:bookmarkEnd w:id="14"/>
    <w:p w:rsidR="0090216A" w:rsidRPr="00A6743C" w:rsidRDefault="0090216A" w:rsidP="0090216A">
      <w:pPr>
        <w:widowControl/>
        <w:tabs>
          <w:tab w:val="left" w:pos="1080"/>
          <w:tab w:val="left" w:pos="4320"/>
          <w:tab w:val="left" w:pos="5040"/>
          <w:tab w:val="left" w:pos="5310"/>
        </w:tabs>
        <w:spacing w:before="240" w:line="240" w:lineRule="auto"/>
        <w:rPr>
          <w:szCs w:val="24"/>
        </w:rPr>
      </w:pPr>
      <w:r w:rsidRPr="00A6743C">
        <w:rPr>
          <w:szCs w:val="24"/>
        </w:rPr>
        <w:tab/>
      </w:r>
      <w:r w:rsidRPr="00A6743C">
        <w:rPr>
          <w:szCs w:val="24"/>
        </w:rPr>
        <w:tab/>
        <w:t>Respectfully submitted,</w:t>
      </w:r>
    </w:p>
    <w:p w:rsidR="0090216A" w:rsidRPr="00A6743C" w:rsidRDefault="0090216A" w:rsidP="0090216A">
      <w:pPr>
        <w:widowControl/>
        <w:tabs>
          <w:tab w:val="left" w:pos="1080"/>
          <w:tab w:val="left" w:pos="4395"/>
          <w:tab w:val="left" w:pos="5040"/>
          <w:tab w:val="left" w:pos="5310"/>
        </w:tabs>
        <w:spacing w:before="240"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t xml:space="preserve">                                                      </w:t>
      </w:r>
      <w:r w:rsidRPr="00A6743C">
        <w:rPr>
          <w:szCs w:val="24"/>
        </w:rPr>
        <w:tab/>
        <w:t>ERIC H. HOLDER, JR.</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Attorney General of the United States</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rPr>
          <w:szCs w:val="24"/>
        </w:rPr>
      </w:pPr>
      <w:r w:rsidRPr="00A6743C">
        <w:rPr>
          <w:szCs w:val="24"/>
        </w:rPr>
        <w:tab/>
        <w:t>THOMAS E. PEREZ</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Assistant Attorney General</w:t>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3600"/>
        <w:rPr>
          <w:szCs w:val="24"/>
        </w:rPr>
      </w:pP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360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SAMUEL R. BAGENSTOS</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Principal Deputy Assistant Attorney General</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Civil Rights Division</w:t>
      </w:r>
      <w:r w:rsidRPr="00A6743C">
        <w:rPr>
          <w:szCs w:val="24"/>
        </w:rPr>
        <w:tab/>
      </w: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u w:val="single"/>
        </w:rPr>
        <w:t xml:space="preserve">/s/ Regan Rush            </w:t>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00863CA7" w:rsidRPr="00A6743C">
        <w:rPr>
          <w:szCs w:val="24"/>
        </w:rPr>
        <w:t xml:space="preserve">RENEE M. WOHLENHAUS, Acting Chief </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PHILIP L. BREEN, Special Legal Counsel</w:t>
      </w:r>
    </w:p>
    <w:p w:rsidR="00B17482" w:rsidRPr="00A6743C" w:rsidRDefault="0090216A"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00B17482" w:rsidRPr="00A6743C">
        <w:rPr>
          <w:szCs w:val="24"/>
        </w:rPr>
        <w:t>ALISON N. BARKOFF, Special Counsel</w:t>
      </w:r>
    </w:p>
    <w:p w:rsidR="0090216A" w:rsidRPr="00A6743C" w:rsidRDefault="00B17482"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0090216A" w:rsidRPr="00A6743C">
        <w:rPr>
          <w:szCs w:val="24"/>
          <w:lang w:val="en-CA"/>
        </w:rPr>
        <w:t>REGAN RUSH</w:t>
      </w:r>
      <w:r w:rsidR="0090216A" w:rsidRPr="00A6743C">
        <w:rPr>
          <w:szCs w:val="24"/>
        </w:rPr>
        <w:t>, Trial Attorney</w:t>
      </w:r>
      <w:r w:rsidR="005B4AC9" w:rsidRPr="00A6743C">
        <w:rPr>
          <w:szCs w:val="24"/>
        </w:rPr>
        <w:t>*</w:t>
      </w:r>
    </w:p>
    <w:p w:rsidR="005B4AC9" w:rsidRPr="00A6743C" w:rsidRDefault="005B4AC9" w:rsidP="00863C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D.C. Bar No. 980252</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920" w:hanging="792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Disability Rights Section</w:t>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Civil Rights Division</w:t>
      </w:r>
      <w:r w:rsidRPr="00A6743C">
        <w:rPr>
          <w:szCs w:val="24"/>
        </w:rPr>
        <w:tab/>
        <w:t xml:space="preserve">          </w:t>
      </w: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360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U.S. Department of Justice</w:t>
      </w:r>
      <w:r w:rsidRPr="00A6743C">
        <w:rPr>
          <w:szCs w:val="24"/>
        </w:rPr>
        <w:tab/>
      </w:r>
      <w:r w:rsidRPr="00A6743C">
        <w:rPr>
          <w:szCs w:val="24"/>
        </w:rPr>
        <w:tab/>
      </w:r>
      <w:r w:rsidRPr="00A6743C">
        <w:rPr>
          <w:szCs w:val="24"/>
        </w:rPr>
        <w:tab/>
        <w:t xml:space="preserve">          </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80" w:hanging="288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950 Pennsylvania Avenue, N.W. - NYA</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Washington, D.C. 20530</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Telephone:</w:t>
      </w:r>
      <w:r w:rsidRPr="00A6743C">
        <w:rPr>
          <w:szCs w:val="24"/>
        </w:rPr>
        <w:tab/>
        <w:t xml:space="preserve">(202) </w:t>
      </w:r>
      <w:r w:rsidR="00863CA7" w:rsidRPr="00A6743C">
        <w:rPr>
          <w:szCs w:val="24"/>
        </w:rPr>
        <w:t>307-0663</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Facsimile:</w:t>
      </w:r>
      <w:r w:rsidRPr="00A6743C">
        <w:rPr>
          <w:szCs w:val="24"/>
        </w:rPr>
        <w:tab/>
        <w:t>(202) 307-1197</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hyperlink r:id="rId8" w:history="1">
        <w:r w:rsidRPr="00A6743C">
          <w:rPr>
            <w:rStyle w:val="Hyperlink"/>
            <w:color w:val="auto"/>
            <w:szCs w:val="24"/>
            <w:lang w:val="en-CA"/>
          </w:rPr>
          <w:t>regan.rush</w:t>
        </w:r>
        <w:r w:rsidRPr="00A6743C">
          <w:rPr>
            <w:rStyle w:val="Hyperlink"/>
            <w:color w:val="auto"/>
            <w:szCs w:val="24"/>
          </w:rPr>
          <w:t>@usdoj.gov</w:t>
        </w:r>
      </w:hyperlink>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hanging="5040"/>
        <w:rPr>
          <w:szCs w:val="24"/>
        </w:rPr>
      </w:pPr>
    </w:p>
    <w:p w:rsidR="005B4AC9" w:rsidRPr="00A6743C" w:rsidRDefault="005B4AC9" w:rsidP="005B4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sectPr w:rsidR="005B4AC9" w:rsidRPr="00A6743C" w:rsidSect="00EC5E75">
          <w:headerReference w:type="default" r:id="rId9"/>
          <w:footerReference w:type="default" r:id="rId10"/>
          <w:pgSz w:w="12240" w:h="15840"/>
          <w:pgMar w:top="1440" w:right="1440" w:bottom="1440" w:left="1440" w:header="720" w:footer="288" w:gutter="0"/>
          <w:pgNumType w:start="1"/>
          <w:cols w:space="720"/>
          <w:docGrid w:linePitch="360"/>
        </w:sect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 xml:space="preserve">* Conditionally admitted to W.D. Wash. </w:t>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A6743C">
        <w:rPr>
          <w:szCs w:val="24"/>
          <w:u w:val="single"/>
        </w:rPr>
        <w:lastRenderedPageBreak/>
        <w:t>CERTIFICATE OF SERVICE</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rPr>
      </w:pPr>
      <w:r w:rsidRPr="00A6743C">
        <w:rPr>
          <w:szCs w:val="24"/>
        </w:rPr>
        <w:tab/>
        <w:t xml:space="preserve">I hereby certify that on </w:t>
      </w:r>
      <w:r w:rsidR="00820474" w:rsidRPr="00A6743C">
        <w:rPr>
          <w:szCs w:val="24"/>
        </w:rPr>
        <w:t>January 26, 2011</w:t>
      </w:r>
      <w:r w:rsidRPr="00A6743C">
        <w:rPr>
          <w:szCs w:val="24"/>
        </w:rPr>
        <w:t xml:space="preserve">, a copy of </w:t>
      </w:r>
      <w:r w:rsidR="00820474" w:rsidRPr="00A6743C">
        <w:rPr>
          <w:szCs w:val="24"/>
        </w:rPr>
        <w:t xml:space="preserve">the </w:t>
      </w:r>
      <w:r w:rsidRPr="00A6743C">
        <w:rPr>
          <w:szCs w:val="24"/>
        </w:rPr>
        <w:t>foregoing was filed electronically.  Notice of this filing will be sent by e-mail to all parties by operation of the Court’s electronic filing system.  Parties may access this filing through the Court’s CM/ECF System.</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0" w:hanging="720"/>
        <w:rPr>
          <w:szCs w:val="24"/>
        </w:rPr>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highlight w:val="white"/>
          <w:u w:val="single"/>
        </w:rPr>
        <w:t xml:space="preserve">/s/ Regan Rush                              </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t>REGAN RUSH</w:t>
      </w:r>
    </w:p>
    <w:p w:rsidR="00F22AEB"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t>Trial Attorney</w:t>
      </w:r>
      <w:r w:rsidR="00F22AEB" w:rsidRPr="00A6743C">
        <w:rPr>
          <w:szCs w:val="24"/>
          <w:highlight w:val="white"/>
        </w:rPr>
        <w:t>*</w:t>
      </w:r>
    </w:p>
    <w:p w:rsidR="0090216A" w:rsidRPr="00A6743C" w:rsidRDefault="00F22AEB"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t>D.C. Bar No. 980252</w:t>
      </w:r>
      <w:r w:rsidR="0090216A" w:rsidRPr="00A6743C">
        <w:rPr>
          <w:szCs w:val="24"/>
          <w:highlight w:val="white"/>
        </w:rPr>
        <w:tab/>
      </w:r>
      <w:r w:rsidR="0090216A" w:rsidRPr="00A6743C">
        <w:rPr>
          <w:szCs w:val="24"/>
          <w:highlight w:val="white"/>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Cs w:val="24"/>
          <w:highlight w:val="white"/>
        </w:rPr>
      </w:pP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r>
      <w:r w:rsidRPr="00A6743C">
        <w:rPr>
          <w:szCs w:val="24"/>
          <w:highlight w:val="white"/>
        </w:rPr>
        <w:tab/>
        <w:t>Disability Rights Section</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A6743C">
        <w:rPr>
          <w:szCs w:val="24"/>
          <w:highlight w:val="white"/>
        </w:rPr>
        <w:t>Civil Rights Division</w:t>
      </w:r>
      <w:r w:rsidRPr="00A6743C">
        <w:rPr>
          <w:szCs w:val="24"/>
          <w:highlight w:val="white"/>
        </w:rPr>
        <w:tab/>
        <w:t xml:space="preserve">          </w:t>
      </w:r>
      <w:r w:rsidRPr="00A6743C">
        <w:rPr>
          <w:szCs w:val="24"/>
          <w:highlight w:val="white"/>
        </w:rPr>
        <w:tab/>
      </w:r>
      <w:r w:rsidRPr="00A6743C">
        <w:rPr>
          <w:szCs w:val="24"/>
          <w:highlight w:val="white"/>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A6743C">
        <w:rPr>
          <w:szCs w:val="24"/>
          <w:highlight w:val="white"/>
        </w:rPr>
        <w:t>U.S. Department of Justice</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A6743C">
        <w:rPr>
          <w:szCs w:val="24"/>
          <w:highlight w:val="white"/>
        </w:rPr>
        <w:t>950 Pennsylvania Avenue, N.W. - NYA</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A6743C">
        <w:rPr>
          <w:szCs w:val="24"/>
          <w:highlight w:val="white"/>
        </w:rPr>
        <w:t>Washington, D.C. 20530</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white"/>
        </w:rPr>
      </w:pPr>
      <w:r w:rsidRPr="00A6743C">
        <w:rPr>
          <w:szCs w:val="24"/>
          <w:highlight w:val="white"/>
        </w:rPr>
        <w:t xml:space="preserve">Telephone:  (202) </w:t>
      </w:r>
      <w:r w:rsidRPr="00A6743C">
        <w:rPr>
          <w:szCs w:val="24"/>
        </w:rPr>
        <w:t>616-2726</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highlight w:val="cyan"/>
        </w:rPr>
      </w:pPr>
      <w:r w:rsidRPr="00A6743C">
        <w:rPr>
          <w:szCs w:val="24"/>
          <w:highlight w:val="white"/>
        </w:rPr>
        <w:t xml:space="preserve">Facsimile:  (202) </w:t>
      </w:r>
      <w:r w:rsidRPr="00A6743C">
        <w:rPr>
          <w:szCs w:val="24"/>
        </w:rPr>
        <w:t>307-1197</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0"/>
        <w:rPr>
          <w:szCs w:val="24"/>
        </w:rPr>
      </w:pPr>
      <w:r w:rsidRPr="00A6743C">
        <w:rPr>
          <w:szCs w:val="24"/>
          <w:highlight w:val="white"/>
        </w:rPr>
        <w:t>regan.rush@</w:t>
      </w:r>
      <w:r w:rsidRPr="00A6743C">
        <w:rPr>
          <w:szCs w:val="24"/>
        </w:rPr>
        <w:t>usdoj.gov</w:t>
      </w:r>
      <w:r w:rsidRPr="00A6743C">
        <w:rPr>
          <w:szCs w:val="24"/>
        </w:rPr>
        <w:tab/>
      </w:r>
      <w:r w:rsidRPr="00A6743C">
        <w:rPr>
          <w:szCs w:val="24"/>
        </w:rPr>
        <w:tab/>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040"/>
        <w:rPr>
          <w:szCs w:val="24"/>
        </w:rPr>
      </w:pP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i/>
          <w:szCs w:val="24"/>
        </w:rPr>
        <w:t>Counsel for United States</w:t>
      </w:r>
    </w:p>
    <w:p w:rsidR="0090216A" w:rsidRPr="00A6743C" w:rsidRDefault="0090216A"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rsidR="00F22AEB" w:rsidRPr="00A6743C" w:rsidRDefault="00F22AEB" w:rsidP="00902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A6743C">
        <w:rPr>
          <w:szCs w:val="24"/>
        </w:rPr>
        <w:tab/>
      </w:r>
      <w:r w:rsidRPr="00A6743C">
        <w:rPr>
          <w:szCs w:val="24"/>
        </w:rPr>
        <w:tab/>
      </w:r>
      <w:r w:rsidRPr="00A6743C">
        <w:rPr>
          <w:szCs w:val="24"/>
        </w:rPr>
        <w:tab/>
      </w:r>
      <w:r w:rsidRPr="00A6743C">
        <w:rPr>
          <w:szCs w:val="24"/>
        </w:rPr>
        <w:tab/>
      </w:r>
      <w:r w:rsidRPr="00A6743C">
        <w:rPr>
          <w:szCs w:val="24"/>
        </w:rPr>
        <w:tab/>
      </w:r>
      <w:r w:rsidRPr="00A6743C">
        <w:rPr>
          <w:szCs w:val="24"/>
        </w:rPr>
        <w:tab/>
        <w:t>* Conditionally admitted to W.D. Wash.</w:t>
      </w:r>
    </w:p>
    <w:p w:rsidR="0090216A" w:rsidRPr="00A6743C" w:rsidRDefault="0090216A" w:rsidP="0090216A"/>
    <w:p w:rsidR="00840FEC" w:rsidRPr="00A6743C" w:rsidRDefault="00840FEC" w:rsidP="0090216A">
      <w:pPr>
        <w:pStyle w:val="Heading1"/>
        <w:numPr>
          <w:ilvl w:val="0"/>
          <w:numId w:val="0"/>
        </w:numPr>
        <w:jc w:val="left"/>
        <w:rPr>
          <w:szCs w:val="24"/>
        </w:rPr>
      </w:pPr>
    </w:p>
    <w:sectPr w:rsidR="00840FEC" w:rsidRPr="00A6743C" w:rsidSect="00964944">
      <w:pgSz w:w="12240" w:h="15840"/>
      <w:pgMar w:top="1440" w:right="1440" w:bottom="1440" w:left="1440" w:header="720"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73" w:rsidRDefault="00826F73">
      <w:r>
        <w:separator/>
      </w:r>
    </w:p>
  </w:endnote>
  <w:endnote w:type="continuationSeparator" w:id="0">
    <w:p w:rsidR="00826F73" w:rsidRDefault="00826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73" w:rsidRDefault="00826F73" w:rsidP="00AD14EA">
    <w:pPr>
      <w:pStyle w:val="CourtName"/>
      <w:tabs>
        <w:tab w:val="center" w:pos="5112"/>
      </w:tabs>
      <w:spacing w:line="240" w:lineRule="auto"/>
      <w:jc w:val="left"/>
      <w:rPr>
        <w:noProof/>
        <w:sz w:val="20"/>
      </w:rPr>
    </w:pPr>
    <w:r>
      <w:rPr>
        <w:noProof/>
        <w:sz w:val="20"/>
      </w:rPr>
      <w:t>Statement of Interest</w:t>
    </w:r>
    <w:r>
      <w:rPr>
        <w:noProof/>
        <w:sz w:val="20"/>
      </w:rPr>
      <w:tab/>
      <w:t xml:space="preserve">                                                                        UNITED STATES DEPARTMENT OF JUSTICE</w:t>
    </w:r>
    <w:r>
      <w:rPr>
        <w:noProof/>
        <w:sz w:val="20"/>
      </w:rPr>
      <w:br/>
      <w:t>No. 10-cv-2052</w:t>
    </w:r>
    <w:r>
      <w:rPr>
        <w:noProof/>
        <w:sz w:val="20"/>
      </w:rPr>
      <w:tab/>
      <w:t xml:space="preserve">                                                    CIVIL RIGHTS DIVISION</w:t>
    </w:r>
  </w:p>
  <w:p w:rsidR="00826F73" w:rsidRDefault="00826F73" w:rsidP="00AD14EA">
    <w:pPr>
      <w:pStyle w:val="CourtName"/>
      <w:tabs>
        <w:tab w:val="center" w:pos="5112"/>
      </w:tabs>
      <w:spacing w:line="240" w:lineRule="auto"/>
      <w:jc w:val="left"/>
      <w:rPr>
        <w:noProof/>
        <w:sz w:val="20"/>
      </w:rPr>
    </w:pPr>
    <w:r>
      <w:rPr>
        <w:noProof/>
        <w:sz w:val="20"/>
      </w:rPr>
      <w:tab/>
      <w:t xml:space="preserve">                                                 </w:t>
    </w:r>
    <w:r w:rsidRPr="005E6352">
      <w:rPr>
        <w:noProof/>
        <w:sz w:val="20"/>
      </w:rPr>
      <w:fldChar w:fldCharType="begin"/>
    </w:r>
    <w:r w:rsidRPr="005E6352">
      <w:rPr>
        <w:noProof/>
        <w:sz w:val="20"/>
      </w:rPr>
      <w:instrText xml:space="preserve"> PAGE   \* MERGEFORMAT </w:instrText>
    </w:r>
    <w:r w:rsidRPr="005E6352">
      <w:rPr>
        <w:noProof/>
        <w:sz w:val="20"/>
      </w:rPr>
      <w:fldChar w:fldCharType="separate"/>
    </w:r>
    <w:r w:rsidR="001A627F">
      <w:rPr>
        <w:noProof/>
        <w:sz w:val="20"/>
      </w:rPr>
      <w:t>22</w:t>
    </w:r>
    <w:r w:rsidRPr="005E6352">
      <w:rPr>
        <w:noProof/>
        <w:sz w:val="20"/>
      </w:rPr>
      <w:fldChar w:fldCharType="end"/>
    </w:r>
    <w:r>
      <w:rPr>
        <w:noProof/>
        <w:sz w:val="20"/>
      </w:rPr>
      <w:t xml:space="preserve">                   </w:t>
    </w:r>
    <w:r w:rsidR="00254269">
      <w:rPr>
        <w:noProof/>
        <w:sz w:val="20"/>
      </w:rPr>
      <w:t xml:space="preserve"> </w:t>
    </w:r>
    <w:r>
      <w:rPr>
        <w:noProof/>
        <w:sz w:val="20"/>
      </w:rPr>
      <w:t>950 Pennsylvania Avenue, N.W. – NYA</w:t>
    </w:r>
  </w:p>
  <w:p w:rsidR="00826F73" w:rsidRDefault="00826F73" w:rsidP="00AD14EA">
    <w:pPr>
      <w:pStyle w:val="CourtName"/>
      <w:tabs>
        <w:tab w:val="center" w:pos="5112"/>
      </w:tabs>
      <w:spacing w:line="240" w:lineRule="auto"/>
      <w:jc w:val="left"/>
      <w:rPr>
        <w:noProof/>
        <w:sz w:val="20"/>
      </w:rPr>
    </w:pPr>
    <w:r>
      <w:rPr>
        <w:noProof/>
        <w:sz w:val="20"/>
      </w:rPr>
      <w:tab/>
      <w:t xml:space="preserve">                                              Washington, D.C. 20530</w:t>
    </w:r>
  </w:p>
  <w:p w:rsidR="00826F73" w:rsidRDefault="00826F73" w:rsidP="00AD14EA">
    <w:pPr>
      <w:pStyle w:val="CourtName"/>
      <w:tabs>
        <w:tab w:val="center" w:pos="5112"/>
      </w:tabs>
      <w:spacing w:line="240" w:lineRule="auto"/>
      <w:jc w:val="left"/>
      <w:rPr>
        <w:noProof/>
        <w:sz w:val="20"/>
      </w:rPr>
    </w:pPr>
    <w:r>
      <w:rPr>
        <w:noProof/>
        <w:sz w:val="20"/>
      </w:rPr>
      <w:tab/>
      <w:t xml:space="preserve">                                                  Telephone: (202) 307-0663</w:t>
    </w:r>
  </w:p>
  <w:p w:rsidR="00826F73" w:rsidRDefault="00826F73">
    <w:pPr>
      <w:pStyle w:val="Footer"/>
    </w:pPr>
  </w:p>
  <w:p w:rsidR="00826F73" w:rsidRPr="00E43418" w:rsidRDefault="00826F73" w:rsidP="00E43418">
    <w:pPr>
      <w:pStyle w:val="CourtName"/>
      <w:tabs>
        <w:tab w:val="center" w:pos="5112"/>
      </w:tabs>
      <w:spacing w:line="240" w:lineRule="auto"/>
      <w:jc w:val="left"/>
      <w:rPr>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73" w:rsidRDefault="00826F73">
      <w:r>
        <w:separator/>
      </w:r>
    </w:p>
  </w:footnote>
  <w:footnote w:type="continuationSeparator" w:id="0">
    <w:p w:rsidR="00826F73" w:rsidRDefault="00826F73">
      <w:r>
        <w:continuationSeparator/>
      </w:r>
    </w:p>
  </w:footnote>
  <w:footnote w:id="1">
    <w:p w:rsidR="00826F73" w:rsidRPr="00454F54" w:rsidRDefault="00826F73" w:rsidP="0045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20"/>
        <w:rPr>
          <w:sz w:val="20"/>
        </w:rPr>
      </w:pPr>
      <w:r w:rsidRPr="009A61A4">
        <w:rPr>
          <w:rStyle w:val="FootnoteReference"/>
          <w:sz w:val="20"/>
        </w:rPr>
        <w:footnoteRef/>
      </w:r>
      <w:r w:rsidRPr="009A61A4">
        <w:rPr>
          <w:sz w:val="20"/>
        </w:rPr>
        <w:t xml:space="preserve"> (Vickie Partridge Decl., DKT 35, ¶¶ 2, 5, 9</w:t>
      </w:r>
      <w:r w:rsidR="00254269">
        <w:rPr>
          <w:sz w:val="20"/>
        </w:rPr>
        <w:t>,</w:t>
      </w:r>
      <w:r w:rsidRPr="009A61A4">
        <w:rPr>
          <w:sz w:val="20"/>
        </w:rPr>
        <w:t xml:space="preserve"> Dec. 22, 2010; Donna </w:t>
      </w:r>
      <w:proofErr w:type="spellStart"/>
      <w:r w:rsidRPr="009A61A4">
        <w:rPr>
          <w:sz w:val="20"/>
        </w:rPr>
        <w:t>Albott</w:t>
      </w:r>
      <w:proofErr w:type="spellEnd"/>
      <w:r w:rsidRPr="009A61A4">
        <w:rPr>
          <w:sz w:val="20"/>
        </w:rPr>
        <w:t xml:space="preserve"> Decl., DKT 37, ¶¶ 9-10, Dec. 14, 2010; Donna Hays Decl., DKT 39, ¶ 15, Dec. 19, 2010; Lucille Frederick Decl., DKT 40, ¶ 11, Dec. 15, 2010; Debra </w:t>
      </w:r>
      <w:proofErr w:type="spellStart"/>
      <w:r w:rsidRPr="009A61A4">
        <w:rPr>
          <w:sz w:val="20"/>
        </w:rPr>
        <w:t>Dockstader</w:t>
      </w:r>
      <w:proofErr w:type="spellEnd"/>
      <w:r w:rsidRPr="009A61A4">
        <w:rPr>
          <w:sz w:val="20"/>
        </w:rPr>
        <w:t xml:space="preserve"> Decl., DKT 42, ¶ 10, Dec. 15, 2010; Karen Paolino Decl., DKT 45, ¶ 14, Dec. 16, 2010; Maria Allington Decl., DKT 52, ¶ 13, Dec. 18, 2010.)  </w:t>
      </w:r>
    </w:p>
  </w:footnote>
  <w:footnote w:id="2">
    <w:p w:rsidR="00826F73" w:rsidRPr="00E3253B" w:rsidRDefault="00826F73" w:rsidP="00546C8D">
      <w:pPr>
        <w:pStyle w:val="FootnoteText"/>
        <w:spacing w:line="240" w:lineRule="auto"/>
        <w:ind w:left="0" w:firstLine="720"/>
        <w:rPr>
          <w:sz w:val="20"/>
        </w:rPr>
      </w:pPr>
      <w:r w:rsidRPr="00E3253B">
        <w:rPr>
          <w:rStyle w:val="FootnoteReference"/>
          <w:sz w:val="20"/>
        </w:rPr>
        <w:footnoteRef/>
      </w:r>
      <w:r w:rsidRPr="00E3253B">
        <w:rPr>
          <w:sz w:val="20"/>
        </w:rPr>
        <w:t xml:space="preserve"> The “waiver” authority permits the Secretary of Health and Human Services to waive certain Medicaid requirements in order for the State to offer the services.  </w:t>
      </w:r>
      <w:r w:rsidRPr="00E3253B">
        <w:rPr>
          <w:i/>
          <w:sz w:val="20"/>
        </w:rPr>
        <w:t>See</w:t>
      </w:r>
      <w:r w:rsidRPr="00E3253B">
        <w:rPr>
          <w:sz w:val="20"/>
        </w:rPr>
        <w:t xml:space="preserve"> 42 U.S.C. § 1396n(c</w:t>
      </w:r>
      <w:proofErr w:type="gramStart"/>
      <w:r w:rsidRPr="00E3253B">
        <w:rPr>
          <w:sz w:val="20"/>
        </w:rPr>
        <w:t>)(</w:t>
      </w:r>
      <w:proofErr w:type="gramEnd"/>
      <w:r w:rsidRPr="00E3253B">
        <w:rPr>
          <w:sz w:val="20"/>
        </w:rPr>
        <w:t xml:space="preserve">3); 42 U.S.C. § 1396n(d)(3).  </w:t>
      </w:r>
    </w:p>
  </w:footnote>
  <w:footnote w:id="3">
    <w:p w:rsidR="00826F73" w:rsidRPr="00E3253B" w:rsidRDefault="00826F73" w:rsidP="00146E14">
      <w:pPr>
        <w:pStyle w:val="FootnoteText"/>
        <w:ind w:left="0" w:firstLine="720"/>
        <w:rPr>
          <w:sz w:val="20"/>
        </w:rPr>
      </w:pPr>
      <w:r w:rsidRPr="00E3253B">
        <w:rPr>
          <w:rStyle w:val="FootnoteReference"/>
          <w:sz w:val="20"/>
        </w:rPr>
        <w:footnoteRef/>
      </w:r>
      <w:r w:rsidRPr="00E3253B">
        <w:rPr>
          <w:sz w:val="20"/>
        </w:rPr>
        <w:t xml:space="preserve"> The term “mental retardation” is replaced by “intellectual disability” throughout this brief as is consistent with current usage.  </w:t>
      </w:r>
      <w:r w:rsidRPr="00E3253B">
        <w:rPr>
          <w:i/>
          <w:sz w:val="20"/>
        </w:rPr>
        <w:t>See</w:t>
      </w:r>
      <w:r w:rsidRPr="00E3253B">
        <w:rPr>
          <w:sz w:val="20"/>
        </w:rPr>
        <w:t xml:space="preserve"> Rosa’s Law, Pub. </w:t>
      </w:r>
      <w:proofErr w:type="gramStart"/>
      <w:r w:rsidRPr="00E3253B">
        <w:rPr>
          <w:sz w:val="20"/>
        </w:rPr>
        <w:t>L. No. 111-256, 124 Stat. 2643 (2010).</w:t>
      </w:r>
      <w:proofErr w:type="gramEnd"/>
    </w:p>
  </w:footnote>
  <w:footnote w:id="4">
    <w:p w:rsidR="00826F73" w:rsidRPr="00E3253B" w:rsidRDefault="00826F73" w:rsidP="00667B0C">
      <w:pPr>
        <w:pStyle w:val="FootnoteText"/>
        <w:ind w:left="0" w:firstLine="720"/>
        <w:rPr>
          <w:sz w:val="20"/>
        </w:rPr>
      </w:pPr>
      <w:r w:rsidRPr="00E3253B">
        <w:rPr>
          <w:rStyle w:val="FootnoteReference"/>
          <w:sz w:val="20"/>
        </w:rPr>
        <w:footnoteRef/>
      </w:r>
      <w:r w:rsidRPr="00E3253B">
        <w:rPr>
          <w:sz w:val="20"/>
        </w:rPr>
        <w:t xml:space="preserve"> The State asserts that the “essential purpose” of personal care services is to assist individuals with ADLs, and not to allow them to remain in a community-based setting. </w:t>
      </w:r>
      <w:proofErr w:type="gramStart"/>
      <w:r w:rsidRPr="00E3253B">
        <w:rPr>
          <w:sz w:val="20"/>
        </w:rPr>
        <w:t>(Defs.’</w:t>
      </w:r>
      <w:proofErr w:type="gramEnd"/>
      <w:r w:rsidRPr="00E3253B">
        <w:rPr>
          <w:sz w:val="20"/>
        </w:rPr>
        <w:t xml:space="preserve"> </w:t>
      </w:r>
      <w:proofErr w:type="gramStart"/>
      <w:r w:rsidRPr="00E3253B">
        <w:rPr>
          <w:sz w:val="20"/>
        </w:rPr>
        <w:t>Resp. to Pls.’ Mot.</w:t>
      </w:r>
      <w:proofErr w:type="gramEnd"/>
      <w:r w:rsidRPr="00E3253B">
        <w:rPr>
          <w:sz w:val="20"/>
        </w:rPr>
        <w:t xml:space="preserve"> </w:t>
      </w:r>
      <w:proofErr w:type="gramStart"/>
      <w:r w:rsidRPr="00E3253B">
        <w:rPr>
          <w:sz w:val="20"/>
        </w:rPr>
        <w:t>for</w:t>
      </w:r>
      <w:proofErr w:type="gramEnd"/>
      <w:r w:rsidRPr="00E3253B">
        <w:rPr>
          <w:sz w:val="20"/>
        </w:rPr>
        <w:t xml:space="preserve"> TRO, DKT 66, 14-15.)  This argument is misguided because it ignores the entire purpose of the Medicaid Waiver program, discussed above, and the express purpose of the MPC program under the Washington Medicaid state plan.   </w:t>
      </w:r>
    </w:p>
  </w:footnote>
  <w:footnote w:id="5">
    <w:p w:rsidR="00826F73" w:rsidRPr="00E3253B" w:rsidRDefault="00826F73" w:rsidP="001F7764">
      <w:pPr>
        <w:pStyle w:val="FootnoteText"/>
        <w:ind w:left="0" w:firstLine="720"/>
        <w:rPr>
          <w:sz w:val="20"/>
        </w:rPr>
      </w:pPr>
      <w:r w:rsidRPr="00E3253B">
        <w:rPr>
          <w:rStyle w:val="FootnoteReference"/>
          <w:sz w:val="20"/>
        </w:rPr>
        <w:footnoteRef/>
      </w:r>
      <w:r w:rsidRPr="00E3253B">
        <w:rPr>
          <w:sz w:val="20"/>
        </w:rPr>
        <w:t xml:space="preserve"> At the time of this filing, the State’s implementation of these reductions is unknown given the injunction ordered by the Ninth Circuit Court of Appeals on January 14, 2011 and the State’s representation to the Ninth Circuit that it was not possible to reverse the implementation before the first week of February.  </w:t>
      </w:r>
      <w:proofErr w:type="gramStart"/>
      <w:r w:rsidRPr="00E3253B">
        <w:rPr>
          <w:sz w:val="20"/>
        </w:rPr>
        <w:t>(Order, DKT 92, filed Jan. 20, 2011; Defs.’</w:t>
      </w:r>
      <w:proofErr w:type="gramEnd"/>
      <w:r w:rsidRPr="00E3253B">
        <w:rPr>
          <w:sz w:val="20"/>
        </w:rPr>
        <w:t xml:space="preserve"> </w:t>
      </w:r>
      <w:proofErr w:type="gramStart"/>
      <w:r w:rsidRPr="00E3253B">
        <w:rPr>
          <w:sz w:val="20"/>
        </w:rPr>
        <w:t>Mot.</w:t>
      </w:r>
      <w:proofErr w:type="gramEnd"/>
      <w:r w:rsidRPr="00E3253B">
        <w:rPr>
          <w:sz w:val="20"/>
        </w:rPr>
        <w:t xml:space="preserve"> </w:t>
      </w:r>
      <w:proofErr w:type="gramStart"/>
      <w:r w:rsidRPr="00E3253B">
        <w:rPr>
          <w:sz w:val="20"/>
        </w:rPr>
        <w:t>for</w:t>
      </w:r>
      <w:proofErr w:type="gramEnd"/>
      <w:r w:rsidRPr="00E3253B">
        <w:rPr>
          <w:sz w:val="20"/>
        </w:rPr>
        <w:t xml:space="preserve"> Recons., 9th Cir. DKT 30-1 (No. 11-35026).)  </w:t>
      </w:r>
    </w:p>
  </w:footnote>
  <w:footnote w:id="6">
    <w:p w:rsidR="00826F73" w:rsidRPr="00E3253B" w:rsidRDefault="00826F73" w:rsidP="009267AE">
      <w:pPr>
        <w:pStyle w:val="FootnoteText"/>
        <w:ind w:left="0" w:firstLine="720"/>
        <w:jc w:val="both"/>
        <w:rPr>
          <w:sz w:val="18"/>
          <w:szCs w:val="18"/>
        </w:rPr>
      </w:pPr>
      <w:r w:rsidRPr="00E3253B">
        <w:rPr>
          <w:rStyle w:val="FootnoteReference"/>
          <w:sz w:val="20"/>
        </w:rPr>
        <w:footnoteRef/>
      </w:r>
      <w:r w:rsidRPr="00E3253B">
        <w:rPr>
          <w:sz w:val="20"/>
        </w:rPr>
        <w:t xml:space="preserve"> Title II was modeled closely on section 504 of the Rehabilitation Act of 1973, 29 U.S.C. § 794, which prohibits discrimination on the basis of disability in federally conducted programs and in all of the operations of certain entities, including public entities, that receive federal financial assistance.  Title II provides that “[t]he remedies, procedures, and rights” applicable to section 504 shall be available to any person alleging discrimination in violation of title II.  42 U.S.C. § 12133; </w:t>
      </w:r>
      <w:r w:rsidRPr="00E3253B">
        <w:rPr>
          <w:i/>
          <w:sz w:val="20"/>
        </w:rPr>
        <w:t>see also</w:t>
      </w:r>
      <w:r w:rsidRPr="00E3253B">
        <w:rPr>
          <w:sz w:val="20"/>
        </w:rPr>
        <w:t xml:space="preserve"> 42 U.S.C. § 12201(a) (ADA must not be construed more narrowly than Rehabilitation Act).  The ADA directs the Attorney General to promulgate regulations to implement title II, and requires those regulations to be consistent with preexisting federal regulations that coordinated federal agencies’ application of section 504 to recipients of federal financial assistance, and interpreted certain aspects of section 504 as applied to the federal government itself.  </w:t>
      </w:r>
      <w:proofErr w:type="gramStart"/>
      <w:r w:rsidRPr="00E3253B">
        <w:rPr>
          <w:sz w:val="20"/>
        </w:rPr>
        <w:t>42 U.S.C. § 12134(a)-(b).</w:t>
      </w:r>
      <w:proofErr w:type="gramEnd"/>
      <w:r w:rsidRPr="00E3253B">
        <w:rPr>
          <w:sz w:val="20"/>
        </w:rPr>
        <w:t xml:space="preserve">  Title II thus extended section 504’s pre-existing prohibition against disability-based discrimination in programs and activities (including state and local programs and activities) receiving federal financial assistance or conducted by the federal government itself to all operations of state and local governments, whether or not they receive federal assistance.  The ADA and the Rehabilitation Act are generally construed to impose the same requirements.  </w:t>
      </w:r>
      <w:r w:rsidRPr="00E3253B">
        <w:rPr>
          <w:i/>
          <w:sz w:val="20"/>
        </w:rPr>
        <w:t xml:space="preserve">See Sanchez v. Johnson, </w:t>
      </w:r>
      <w:r w:rsidRPr="00E3253B">
        <w:rPr>
          <w:sz w:val="20"/>
        </w:rPr>
        <w:t>416 F.3d 1051, 1062</w:t>
      </w:r>
      <w:r w:rsidRPr="00E3253B">
        <w:rPr>
          <w:i/>
          <w:sz w:val="20"/>
        </w:rPr>
        <w:t xml:space="preserve"> </w:t>
      </w:r>
      <w:r w:rsidRPr="00E3253B">
        <w:rPr>
          <w:sz w:val="20"/>
        </w:rPr>
        <w:t>(9th Cir. 2005);</w:t>
      </w:r>
      <w:r w:rsidRPr="00E3253B">
        <w:rPr>
          <w:i/>
          <w:sz w:val="20"/>
        </w:rPr>
        <w:t xml:space="preserve"> Zukle v. Regents of Univ. of California, </w:t>
      </w:r>
      <w:r w:rsidRPr="00E3253B">
        <w:rPr>
          <w:sz w:val="20"/>
        </w:rPr>
        <w:t>166 F.3d 1041,</w:t>
      </w:r>
      <w:r w:rsidRPr="00E3253B">
        <w:rPr>
          <w:i/>
          <w:sz w:val="20"/>
        </w:rPr>
        <w:t xml:space="preserve"> </w:t>
      </w:r>
      <w:r w:rsidRPr="00E3253B">
        <w:rPr>
          <w:sz w:val="20"/>
        </w:rPr>
        <w:t>1045 n. 11</w:t>
      </w:r>
      <w:r w:rsidRPr="00E3253B">
        <w:rPr>
          <w:i/>
          <w:sz w:val="20"/>
        </w:rPr>
        <w:t xml:space="preserve"> </w:t>
      </w:r>
      <w:r w:rsidRPr="00E3253B">
        <w:rPr>
          <w:sz w:val="20"/>
        </w:rPr>
        <w:t>(9th Cir. 1999)</w:t>
      </w:r>
      <w:r w:rsidRPr="00E3253B">
        <w:rPr>
          <w:i/>
          <w:sz w:val="20"/>
        </w:rPr>
        <w:t xml:space="preserve">. </w:t>
      </w:r>
      <w:r w:rsidRPr="00E3253B">
        <w:rPr>
          <w:sz w:val="20"/>
        </w:rPr>
        <w:t xml:space="preserve">This principle follows from the similar language employed in the two acts. It also derives from the Congressional directive that implementation and interpretation of the two acts “be coordinated to </w:t>
      </w:r>
      <w:proofErr w:type="gramStart"/>
      <w:r w:rsidRPr="00E3253B">
        <w:rPr>
          <w:sz w:val="20"/>
        </w:rPr>
        <w:t>prevent[</w:t>
      </w:r>
      <w:proofErr w:type="gramEnd"/>
      <w:r w:rsidRPr="00E3253B">
        <w:rPr>
          <w:sz w:val="20"/>
        </w:rPr>
        <w:t xml:space="preserve"> ] imposition of inconsistent or conflicting standards for the same requirements under the two statutes.”  </w:t>
      </w:r>
      <w:r w:rsidRPr="00E3253B">
        <w:rPr>
          <w:i/>
          <w:sz w:val="20"/>
        </w:rPr>
        <w:t>Baird ex rel. Baird v. Rose</w:t>
      </w:r>
      <w:r w:rsidRPr="00E3253B">
        <w:rPr>
          <w:sz w:val="20"/>
        </w:rPr>
        <w:t xml:space="preserve">, 192 F.3d 462, 468-69 (4th Cir. 1999) (citing 42 U.S.C. § 12117(b)).  </w:t>
      </w:r>
      <w:r w:rsidRPr="00E3253B">
        <w:rPr>
          <w:i/>
          <w:sz w:val="20"/>
        </w:rPr>
        <w:t>See also</w:t>
      </w:r>
      <w:r w:rsidRPr="00E3253B">
        <w:rPr>
          <w:sz w:val="20"/>
        </w:rPr>
        <w:t xml:space="preserve"> </w:t>
      </w:r>
      <w:r w:rsidRPr="00E3253B">
        <w:rPr>
          <w:i/>
          <w:iCs/>
          <w:sz w:val="20"/>
        </w:rPr>
        <w:t>Yeskey v. Com. of Pa. Dep’t of Corr.</w:t>
      </w:r>
      <w:r w:rsidRPr="00E3253B">
        <w:rPr>
          <w:sz w:val="20"/>
        </w:rPr>
        <w:t xml:space="preserve">, 118 F.3d 168, 170 (3d Cir. 1997) (“[A]ll the leading cases take up the statutes together, as we will.”), </w:t>
      </w:r>
      <w:r w:rsidRPr="00E3253B">
        <w:rPr>
          <w:i/>
          <w:sz w:val="20"/>
        </w:rPr>
        <w:t>aff’d</w:t>
      </w:r>
      <w:r w:rsidRPr="00E3253B">
        <w:rPr>
          <w:sz w:val="20"/>
        </w:rPr>
        <w:t>, 524 U.S. 206 (1998).</w:t>
      </w:r>
    </w:p>
  </w:footnote>
  <w:footnote w:id="7">
    <w:p w:rsidR="00826F73" w:rsidRPr="00E3253B" w:rsidRDefault="00826F73" w:rsidP="00B21C6E">
      <w:pPr>
        <w:pStyle w:val="FootnoteText"/>
        <w:ind w:left="0" w:firstLine="720"/>
        <w:rPr>
          <w:sz w:val="20"/>
        </w:rPr>
      </w:pPr>
      <w:r w:rsidRPr="00E3253B">
        <w:rPr>
          <w:rStyle w:val="FootnoteReference"/>
          <w:sz w:val="20"/>
        </w:rPr>
        <w:footnoteRef/>
      </w:r>
      <w:r w:rsidRPr="00E3253B">
        <w:rPr>
          <w:sz w:val="20"/>
        </w:rPr>
        <w:t xml:space="preserve"> </w:t>
      </w:r>
      <w:r w:rsidRPr="00E3253B">
        <w:rPr>
          <w:i/>
          <w:sz w:val="20"/>
        </w:rPr>
        <w:t>See also</w:t>
      </w:r>
      <w:r w:rsidRPr="00E3253B">
        <w:rPr>
          <w:sz w:val="20"/>
        </w:rPr>
        <w:t xml:space="preserve"> </w:t>
      </w:r>
      <w:r w:rsidRPr="00E3253B">
        <w:rPr>
          <w:i/>
          <w:iCs/>
          <w:sz w:val="20"/>
        </w:rPr>
        <w:t>Marlo M. v. Cansler</w:t>
      </w:r>
      <w:r w:rsidRPr="00E3253B">
        <w:rPr>
          <w:sz w:val="20"/>
        </w:rPr>
        <w:t xml:space="preserve">, 679 F. Supp. 2d 635, 637 (E.D.N.C. 2010); </w:t>
      </w:r>
      <w:proofErr w:type="spellStart"/>
      <w:r w:rsidRPr="00E3253B">
        <w:rPr>
          <w:i/>
          <w:sz w:val="20"/>
        </w:rPr>
        <w:t>Cota</w:t>
      </w:r>
      <w:proofErr w:type="spellEnd"/>
      <w:r w:rsidRPr="00E3253B">
        <w:rPr>
          <w:i/>
          <w:sz w:val="20"/>
        </w:rPr>
        <w:t xml:space="preserve"> v. Maxwell-Jolly</w:t>
      </w:r>
      <w:r w:rsidRPr="00E3253B">
        <w:rPr>
          <w:sz w:val="20"/>
        </w:rPr>
        <w:t xml:space="preserve">, 688 F. Supp. 2d 980, 985 (N.D. Cal. 2010) </w:t>
      </w:r>
      <w:r w:rsidRPr="00E3253B">
        <w:rPr>
          <w:i/>
          <w:sz w:val="20"/>
        </w:rPr>
        <w:t xml:space="preserve">appeal docketed, </w:t>
      </w:r>
      <w:r w:rsidRPr="00E3253B">
        <w:rPr>
          <w:sz w:val="20"/>
        </w:rPr>
        <w:t xml:space="preserve">No. 10-15635 (9th Cir. Mar. 24, 2010); </w:t>
      </w:r>
      <w:r w:rsidRPr="00E3253B">
        <w:rPr>
          <w:i/>
          <w:sz w:val="20"/>
        </w:rPr>
        <w:t>Brantley v. Maxwell-Jolly</w:t>
      </w:r>
      <w:r w:rsidRPr="00E3253B">
        <w:rPr>
          <w:sz w:val="20"/>
        </w:rPr>
        <w:t>, 656 F. Supp. 2d 1161, 1164 (N.D. Cal. 2009)</w:t>
      </w:r>
      <w:r w:rsidRPr="00E3253B">
        <w:rPr>
          <w:sz w:val="20"/>
        </w:rPr>
        <w:fldChar w:fldCharType="begin"/>
      </w:r>
      <w:r w:rsidRPr="00E3253B">
        <w:rPr>
          <w:sz w:val="20"/>
        </w:rPr>
        <w:instrText xml:space="preserve"> TA \l "</w:instrText>
      </w:r>
      <w:r w:rsidRPr="00E3253B">
        <w:rPr>
          <w:i/>
          <w:sz w:val="20"/>
        </w:rPr>
        <w:instrText>Brantley v. Maxwell-Jolly</w:instrText>
      </w:r>
      <w:r w:rsidRPr="00E3253B">
        <w:rPr>
          <w:sz w:val="20"/>
        </w:rPr>
        <w:instrText xml:space="preserve">, 656 F. Supp. 2d 1161 (N.D. Cal. 2009)" \s "Brantley v. Maxwell-Jolly, 656 F. Supp. 2d 1161 (N.D. Cal. 2009)" \c 1 </w:instrText>
      </w:r>
      <w:r w:rsidRPr="00E3253B">
        <w:rPr>
          <w:sz w:val="20"/>
        </w:rPr>
        <w:fldChar w:fldCharType="end"/>
      </w:r>
      <w:r w:rsidRPr="00E3253B">
        <w:rPr>
          <w:sz w:val="20"/>
        </w:rPr>
        <w:t xml:space="preserve">; and </w:t>
      </w:r>
      <w:r w:rsidRPr="00E3253B">
        <w:rPr>
          <w:i/>
          <w:sz w:val="20"/>
        </w:rPr>
        <w:t>V.L. v. Wagner</w:t>
      </w:r>
      <w:r w:rsidRPr="00E3253B">
        <w:rPr>
          <w:sz w:val="20"/>
        </w:rPr>
        <w:t xml:space="preserve">, 669 F. Supp. 2d 1106, 1109 (N.D. Cal. 2009), </w:t>
      </w:r>
      <w:r w:rsidRPr="00E3253B">
        <w:rPr>
          <w:i/>
          <w:sz w:val="20"/>
        </w:rPr>
        <w:t>appeal docketed</w:t>
      </w:r>
      <w:r w:rsidRPr="00E3253B">
        <w:rPr>
          <w:sz w:val="20"/>
        </w:rPr>
        <w:t xml:space="preserve"> No. 09-17581 (9th Cir. Nov. 18, 2009)</w:t>
      </w:r>
      <w:r w:rsidRPr="00E3253B">
        <w:rPr>
          <w:sz w:val="20"/>
        </w:rPr>
        <w:fldChar w:fldCharType="begin"/>
      </w:r>
      <w:r w:rsidRPr="00E3253B">
        <w:rPr>
          <w:sz w:val="20"/>
        </w:rPr>
        <w:instrText xml:space="preserve"> TA \l "</w:instrText>
      </w:r>
      <w:r w:rsidRPr="00E3253B">
        <w:rPr>
          <w:i/>
          <w:sz w:val="20"/>
        </w:rPr>
        <w:instrText>V.L. v. Wagner</w:instrText>
      </w:r>
      <w:r w:rsidRPr="00E3253B">
        <w:rPr>
          <w:sz w:val="20"/>
        </w:rPr>
        <w:instrText xml:space="preserve">, 669 F. Supp. 2d 1106 (N.D. Cal. 2009)" \s "V.L. v. Wagner, 669 F. Supp. 2d 1106 (N.D. Cal. 2009)" \c 1 </w:instrText>
      </w:r>
      <w:r w:rsidRPr="00E3253B">
        <w:rPr>
          <w:sz w:val="20"/>
        </w:rPr>
        <w:fldChar w:fldCharType="end"/>
      </w:r>
      <w:r w:rsidRPr="00E3253B">
        <w:rPr>
          <w:sz w:val="20"/>
        </w:rPr>
        <w:t xml:space="preserve"> (all granting preliminary injunctions where plaintiffs were at risk of institutionalization due to cuts in community-based services);</w:t>
      </w:r>
      <w:r w:rsidRPr="00E3253B">
        <w:rPr>
          <w:i/>
          <w:sz w:val="20"/>
        </w:rPr>
        <w:t xml:space="preserve"> M.A.C. v. </w:t>
      </w:r>
      <w:proofErr w:type="spellStart"/>
      <w:r w:rsidRPr="00E3253B">
        <w:rPr>
          <w:i/>
          <w:sz w:val="20"/>
        </w:rPr>
        <w:t>Betit</w:t>
      </w:r>
      <w:proofErr w:type="spellEnd"/>
      <w:r w:rsidRPr="00E3253B">
        <w:rPr>
          <w:sz w:val="20"/>
        </w:rPr>
        <w:t>, 284 F. Supp. 2d 1298, 1309 (D. Utah 2003)</w:t>
      </w:r>
      <w:r w:rsidRPr="00E3253B">
        <w:rPr>
          <w:sz w:val="20"/>
        </w:rPr>
        <w:fldChar w:fldCharType="begin"/>
      </w:r>
      <w:r w:rsidRPr="00E3253B">
        <w:rPr>
          <w:sz w:val="20"/>
        </w:rPr>
        <w:instrText xml:space="preserve"> TA \l "</w:instrText>
      </w:r>
      <w:r w:rsidRPr="00E3253B">
        <w:rPr>
          <w:i/>
          <w:sz w:val="20"/>
        </w:rPr>
        <w:instrText>M.A.C. v. Betit</w:instrText>
      </w:r>
      <w:r w:rsidRPr="00E3253B">
        <w:rPr>
          <w:sz w:val="20"/>
        </w:rPr>
        <w:instrText xml:space="preserve">, 284 F. Supp. 2d 1298 (D. Utah 2003)" \s "M.A.C. v. Betit, 284 F. Supp. 2d 1298 (D. Utah 2003)" \c 1 </w:instrText>
      </w:r>
      <w:r w:rsidRPr="00E3253B">
        <w:rPr>
          <w:sz w:val="20"/>
        </w:rPr>
        <w:fldChar w:fldCharType="end"/>
      </w:r>
      <w:r w:rsidRPr="00E3253B">
        <w:rPr>
          <w:sz w:val="20"/>
        </w:rPr>
        <w:t xml:space="preserve"> (ADA’s integration mandate applies</w:t>
      </w:r>
      <w:r w:rsidRPr="00E3253B">
        <w:t xml:space="preserve"> </w:t>
      </w:r>
      <w:r w:rsidRPr="00E3253B">
        <w:rPr>
          <w:sz w:val="20"/>
        </w:rPr>
        <w:t xml:space="preserve">equally to those individuals already institutionalized and to those at risk of institutionalization); </w:t>
      </w:r>
      <w:r w:rsidRPr="00E3253B">
        <w:rPr>
          <w:i/>
          <w:sz w:val="20"/>
        </w:rPr>
        <w:t>Makin v. Hawaii</w:t>
      </w:r>
      <w:r w:rsidRPr="00E3253B">
        <w:rPr>
          <w:sz w:val="20"/>
        </w:rPr>
        <w:t xml:space="preserve">, 114 F. Supp. 2d 1017, 1034 (D. Haw. 1999) (individuals in the community on the waiting list for community-based services offered through the State’s Medicaid program could challenge administration of the program as violating title II’s integration mandate because it “could potentially force Plaintiffs into institutions”); </w:t>
      </w:r>
      <w:r w:rsidRPr="00E3253B">
        <w:rPr>
          <w:i/>
          <w:iCs/>
          <w:sz w:val="20"/>
        </w:rPr>
        <w:t>Ball v. Rogers</w:t>
      </w:r>
      <w:r w:rsidRPr="00E3253B">
        <w:rPr>
          <w:sz w:val="20"/>
        </w:rPr>
        <w:t>, 2009 WL 1395423, at *5 (D. Ariz. April 24, 2009)</w:t>
      </w:r>
      <w:r w:rsidRPr="00E3253B">
        <w:rPr>
          <w:sz w:val="20"/>
        </w:rPr>
        <w:fldChar w:fldCharType="begin"/>
      </w:r>
      <w:r w:rsidRPr="00E3253B">
        <w:rPr>
          <w:sz w:val="20"/>
        </w:rPr>
        <w:instrText xml:space="preserve"> TA \l "</w:instrText>
      </w:r>
      <w:r w:rsidRPr="00E3253B">
        <w:rPr>
          <w:i/>
          <w:iCs/>
          <w:sz w:val="20"/>
        </w:rPr>
        <w:instrText>Ball v. Rogers</w:instrText>
      </w:r>
      <w:r w:rsidRPr="00E3253B">
        <w:rPr>
          <w:sz w:val="20"/>
        </w:rPr>
        <w:instrText xml:space="preserve">, 2009 WL 13954235 (D. Ariz. April 24, 2009)" \s "Ball v. Rogers, 2009 WL 13954235 (D. Ariz. April 24, 2009)" \c 1 </w:instrText>
      </w:r>
      <w:r w:rsidRPr="00E3253B">
        <w:rPr>
          <w:sz w:val="20"/>
        </w:rPr>
        <w:fldChar w:fldCharType="end"/>
      </w:r>
      <w:r w:rsidRPr="00E3253B">
        <w:rPr>
          <w:sz w:val="20"/>
        </w:rPr>
        <w:t xml:space="preserve"> (holding that defendants’ failure to provide adequate services to avoid unnecessary institutionalization was discriminatory); </w:t>
      </w:r>
      <w:r w:rsidRPr="00E3253B">
        <w:rPr>
          <w:i/>
          <w:sz w:val="20"/>
        </w:rPr>
        <w:t xml:space="preserve">Cruz v. </w:t>
      </w:r>
      <w:r>
        <w:rPr>
          <w:i/>
          <w:sz w:val="20"/>
        </w:rPr>
        <w:t>Dudek</w:t>
      </w:r>
      <w:r w:rsidRPr="00E3253B">
        <w:rPr>
          <w:sz w:val="20"/>
        </w:rPr>
        <w:t>, No. 10-23048, 2010 WL 4284955, at *3-7 (S.D. Fla. Oct 12, 2010) (Magistrate’s Report and Recommendation Adopted by Court Nov. 24, 2010, attached as Exhibit B) (granting preliminary injunction where state’s denial of community-based services placed plaintiffs at risk of institutionalization);</w:t>
      </w:r>
      <w:r w:rsidRPr="00E3253B">
        <w:rPr>
          <w:i/>
          <w:sz w:val="20"/>
        </w:rPr>
        <w:t xml:space="preserve"> Crabtree v. Goetz</w:t>
      </w:r>
      <w:r w:rsidRPr="00E3253B">
        <w:rPr>
          <w:sz w:val="20"/>
        </w:rPr>
        <w:t>, 2008 WL 5330506, at *30 (M.D. Tenn. Dec. 19, 2008)</w:t>
      </w:r>
      <w:r w:rsidRPr="00E3253B">
        <w:rPr>
          <w:sz w:val="20"/>
        </w:rPr>
        <w:fldChar w:fldCharType="begin"/>
      </w:r>
      <w:r w:rsidRPr="00E3253B">
        <w:rPr>
          <w:sz w:val="20"/>
        </w:rPr>
        <w:instrText xml:space="preserve"> TA \l "</w:instrText>
      </w:r>
      <w:r w:rsidRPr="00E3253B">
        <w:rPr>
          <w:i/>
          <w:sz w:val="20"/>
        </w:rPr>
        <w:instrText>Crabtree v. Goetz</w:instrText>
      </w:r>
      <w:r w:rsidRPr="00E3253B">
        <w:rPr>
          <w:sz w:val="20"/>
        </w:rPr>
        <w:instrText xml:space="preserve">, 2008 WL 5330506 (M.D. Tenn. Dec. 19, 2008)" \s "Crabtree v. Goetz, 2008 WL 5330506 (M.D. Tenn. Dec. 19, 2008)" \c 1 </w:instrText>
      </w:r>
      <w:r w:rsidRPr="00E3253B">
        <w:rPr>
          <w:sz w:val="20"/>
        </w:rPr>
        <w:fldChar w:fldCharType="end"/>
      </w:r>
      <w:r w:rsidRPr="00E3253B">
        <w:rPr>
          <w:sz w:val="20"/>
        </w:rPr>
        <w:t xml:space="preserve"> (unpublished decision) (“Plaintiffs have demonstrated a strong likelihood of success on the merits of their [ADA] claims that the Defendants’ drastic cuts of their home health care services will force their institutionalization in nursing homes.”).  The State even argues that informing recipients of the ETR process in the State’s notice creates a substantial burden on the State. </w:t>
      </w:r>
      <w:proofErr w:type="gramStart"/>
      <w:r w:rsidRPr="00E3253B">
        <w:rPr>
          <w:sz w:val="20"/>
        </w:rPr>
        <w:t>(Defs.’</w:t>
      </w:r>
      <w:proofErr w:type="gramEnd"/>
      <w:r w:rsidRPr="00E3253B">
        <w:rPr>
          <w:sz w:val="20"/>
        </w:rPr>
        <w:t xml:space="preserve"> </w:t>
      </w:r>
      <w:proofErr w:type="gramStart"/>
      <w:r w:rsidRPr="00E3253B">
        <w:rPr>
          <w:sz w:val="20"/>
        </w:rPr>
        <w:t>Resp. to Pls.’ Mot.</w:t>
      </w:r>
      <w:proofErr w:type="gramEnd"/>
      <w:r w:rsidRPr="00E3253B">
        <w:rPr>
          <w:sz w:val="20"/>
        </w:rPr>
        <w:t xml:space="preserve"> </w:t>
      </w:r>
      <w:proofErr w:type="gramStart"/>
      <w:r w:rsidRPr="00E3253B">
        <w:rPr>
          <w:sz w:val="20"/>
        </w:rPr>
        <w:t>for</w:t>
      </w:r>
      <w:proofErr w:type="gramEnd"/>
      <w:r w:rsidRPr="00E3253B">
        <w:rPr>
          <w:sz w:val="20"/>
        </w:rPr>
        <w:t xml:space="preserve"> Prelim. Inj., DKT 123, ¶ 14, Jan. 25, 2011.) </w:t>
      </w:r>
    </w:p>
  </w:footnote>
  <w:footnote w:id="8">
    <w:p w:rsidR="00826F73" w:rsidRPr="00E3253B" w:rsidRDefault="00826F73" w:rsidP="00D80D92">
      <w:pPr>
        <w:pStyle w:val="FootnoteText"/>
        <w:spacing w:line="240" w:lineRule="auto"/>
        <w:ind w:left="0" w:firstLine="720"/>
        <w:rPr>
          <w:sz w:val="20"/>
        </w:rPr>
      </w:pPr>
      <w:r w:rsidRPr="00E3253B">
        <w:rPr>
          <w:rStyle w:val="FootnoteReference"/>
          <w:sz w:val="20"/>
        </w:rPr>
        <w:footnoteRef/>
      </w:r>
      <w:r w:rsidRPr="00E3253B">
        <w:rPr>
          <w:sz w:val="20"/>
        </w:rPr>
        <w:t xml:space="preserve"> Defendants point out that the additional hours authorized through the ETR process are not subject to the January 1, 2011 reductions, presumably to preserve the “health and safety” of individuals.  (Bill Moss Decl., DKT 68, ¶ 9, Dec. 28, 2010.)  Taken alone, this can be misleading because it inaccurately suggests that individuals who receive additional hours through the ETR process will not experience any change in overall hours.    </w:t>
      </w:r>
    </w:p>
  </w:footnote>
  <w:footnote w:id="9">
    <w:p w:rsidR="00826F73" w:rsidRDefault="00826F73" w:rsidP="00481D32">
      <w:pPr>
        <w:pStyle w:val="FootnoteText"/>
        <w:ind w:left="0" w:firstLine="720"/>
      </w:pPr>
      <w:r>
        <w:rPr>
          <w:rStyle w:val="FootnoteReference"/>
        </w:rPr>
        <w:footnoteRef/>
      </w:r>
      <w:r>
        <w:t xml:space="preserve"> </w:t>
      </w:r>
      <w:r w:rsidRPr="00481D32">
        <w:rPr>
          <w:sz w:val="20"/>
        </w:rPr>
        <w:t xml:space="preserve">As a hypothetical example, an individual who is classified through CARE as D High (279 base hours pre-cut), and who pursuant to the ETR process was determined to need 300 hours to maintain health and safety in the community, the total hours will </w:t>
      </w:r>
      <w:r w:rsidRPr="00481D32">
        <w:rPr>
          <w:i/>
          <w:sz w:val="20"/>
        </w:rPr>
        <w:t>automatically</w:t>
      </w:r>
      <w:r w:rsidRPr="00481D32">
        <w:rPr>
          <w:sz w:val="20"/>
        </w:rPr>
        <w:t xml:space="preserve"> be cut to 280 hours per month after Defendants’ cuts take effect (reflecting a decrease of his or her “base” hours to 260), well below what had previously been determined to meet “safely” the person’s needs in the community. </w:t>
      </w:r>
      <w:proofErr w:type="gramStart"/>
      <w:r w:rsidRPr="00481D32">
        <w:rPr>
          <w:rStyle w:val="documentbody"/>
          <w:sz w:val="20"/>
        </w:rPr>
        <w:t>Wash. Reg. 242113 (Dec. 30, 2010) (attached as Exhibit A).</w:t>
      </w:r>
      <w:proofErr w:type="gramEnd"/>
      <w:r w:rsidRPr="00481D32">
        <w:rPr>
          <w:rStyle w:val="documentbody"/>
          <w:sz w:val="20"/>
        </w:rPr>
        <w:t xml:space="preserve"> </w:t>
      </w:r>
      <w:r w:rsidRPr="00481D32">
        <w:rPr>
          <w:sz w:val="20"/>
        </w:rPr>
        <w:t>Indeed, this is exactly how the cuts have played out in the cases of at least two putative Plaintiffs:  L.T. (cut of 22 hours from ETR-enhanced level of 561 hours per month) and R.B. (cut of 27 hours from ETR-enhanced level of 420 hours per month).  (Walsh Decl. ¶¶ 14-15.)</w:t>
      </w:r>
    </w:p>
  </w:footnote>
  <w:footnote w:id="10">
    <w:p w:rsidR="00826F73" w:rsidRPr="00E3253B" w:rsidRDefault="00826F73" w:rsidP="00C00D33">
      <w:pPr>
        <w:pStyle w:val="FootnoteText"/>
        <w:ind w:left="0" w:firstLine="0"/>
        <w:rPr>
          <w:sz w:val="20"/>
        </w:rPr>
      </w:pPr>
      <w:r w:rsidRPr="00E3253B">
        <w:rPr>
          <w:rStyle w:val="FootnoteReference"/>
          <w:sz w:val="20"/>
        </w:rPr>
        <w:footnoteRef/>
      </w:r>
      <w:r w:rsidRPr="00E3253B">
        <w:rPr>
          <w:sz w:val="20"/>
        </w:rPr>
        <w:t xml:space="preserve"> </w:t>
      </w:r>
      <w:r w:rsidR="001A5E98">
        <w:rPr>
          <w:sz w:val="20"/>
        </w:rPr>
        <w:t>T</w:t>
      </w:r>
      <w:r w:rsidRPr="00E3253B">
        <w:rPr>
          <w:sz w:val="20"/>
        </w:rPr>
        <w:t>he State has discouraged individuals from calling their case managers for help, even if the reductions pose a serious threat to the individuals’ health and safety.  The State sent notices to all 45,000 recipients informing them the State “knows that these changes may be difficult to you,” but that the reductions are program-wide and were directed by the Governor. (Brenneke Decl. Ex. 1A.) The State further failed to inform recipients of the ETR process.  (</w:t>
      </w:r>
      <w:r w:rsidRPr="00E3253B">
        <w:rPr>
          <w:i/>
          <w:sz w:val="20"/>
        </w:rPr>
        <w:t>Id.</w:t>
      </w:r>
      <w:r w:rsidRPr="00E3253B">
        <w:rPr>
          <w:sz w:val="20"/>
        </w:rPr>
        <w:t xml:space="preserve">) The logical inference from the notice is that calling a case manager is futile, as some plaintiffs have already discovered.  (Patricia Bergstrom Decl., DKT 109, ¶  8, Jan. 14, 2011 (T.W.’s care provider’s declaration states that caseworker did not mention ETR process during conversations regarding T.W.’s needs in light of service cuts, but caseworker did suggest placing T.W. in group home); Galen Ages Decl., DKT 107, ¶ 4, Jan. 14, 2011 (Andy Chen, caseworker for M.F., allegedly stated that he will not file any ETR requests for clients in relation to January 1st cuts “because his understanding is that the Department will not approve such requests”); Rosa Perkins Decl., DKT 111, ¶ , Jan. 14, 2011 (J.W.’s care provider wanted to file ETR in December 2010 in light of </w:t>
      </w:r>
      <w:proofErr w:type="spellStart"/>
      <w:r w:rsidRPr="00E3253B">
        <w:rPr>
          <w:sz w:val="20"/>
        </w:rPr>
        <w:t>pending</w:t>
      </w:r>
      <w:proofErr w:type="spellEnd"/>
      <w:r w:rsidRPr="00E3253B">
        <w:rPr>
          <w:sz w:val="20"/>
        </w:rPr>
        <w:t xml:space="preserve"> cuts, but J.W.’s caseworker “said that the State had passed a law and [clients] just had to live with the reductions”); Anderson-Webb Decl. ¶ 29 (J.P.’s care provider had not heard of ETR until Plaintiffs’ firm informed her of it)</w:t>
      </w:r>
      <w:r w:rsidR="001A627F">
        <w:rPr>
          <w:sz w:val="20"/>
        </w:rPr>
        <w:t>).</w:t>
      </w:r>
      <w:r w:rsidRPr="00E3253B">
        <w:rPr>
          <w:sz w:val="20"/>
        </w:rPr>
        <w:t xml:space="preserve"> When M.A.B.’s care provider called M.A.B.’s caseworker upon receiving notice of the pending cuts, the caseworker did not inform her of the availability of an ETR and stated that “there was nothing she could do.” (Sandra </w:t>
      </w:r>
      <w:proofErr w:type="spellStart"/>
      <w:r w:rsidRPr="00E3253B">
        <w:rPr>
          <w:sz w:val="20"/>
        </w:rPr>
        <w:t>Josephsen</w:t>
      </w:r>
      <w:proofErr w:type="spellEnd"/>
      <w:r w:rsidRPr="00E3253B">
        <w:rPr>
          <w:sz w:val="20"/>
        </w:rPr>
        <w:t xml:space="preserve"> Decl., DKT 112, ¶ 8, Jan. 21, 2011; </w:t>
      </w:r>
      <w:r w:rsidRPr="00E3253B">
        <w:rPr>
          <w:i/>
          <w:sz w:val="20"/>
        </w:rPr>
        <w:t>accord</w:t>
      </w:r>
      <w:r w:rsidRPr="00E3253B">
        <w:rPr>
          <w:sz w:val="20"/>
        </w:rPr>
        <w:t xml:space="preserve"> C.B. 2d Decl., DKT 114, ¶ 5, Jan. 21, 2011 (At C.B.’s annual assessment on January 14, 2011, she asked her caseworker about obtaining an ETR in light of </w:t>
      </w:r>
      <w:proofErr w:type="spellStart"/>
      <w:r w:rsidRPr="00E3253B">
        <w:rPr>
          <w:sz w:val="20"/>
        </w:rPr>
        <w:t>pending</w:t>
      </w:r>
      <w:proofErr w:type="spellEnd"/>
      <w:r w:rsidRPr="00E3253B">
        <w:rPr>
          <w:sz w:val="20"/>
        </w:rPr>
        <w:t xml:space="preserve"> cuts, but caseworker responded that ETR “did not apply” to C.B.’s case).)</w:t>
      </w:r>
    </w:p>
  </w:footnote>
  <w:footnote w:id="11">
    <w:p w:rsidR="00826F73" w:rsidRPr="00E3253B" w:rsidRDefault="00826F73" w:rsidP="00920AAB">
      <w:pPr>
        <w:pStyle w:val="FootnoteText"/>
        <w:ind w:left="0" w:firstLine="720"/>
        <w:rPr>
          <w:sz w:val="20"/>
        </w:rPr>
      </w:pPr>
      <w:r w:rsidRPr="00E3253B">
        <w:rPr>
          <w:rStyle w:val="FootnoteReference"/>
          <w:sz w:val="20"/>
        </w:rPr>
        <w:footnoteRef/>
      </w:r>
      <w:r w:rsidRPr="00E3253B">
        <w:rPr>
          <w:sz w:val="20"/>
        </w:rPr>
        <w:t xml:space="preserve"> </w:t>
      </w:r>
      <w:r w:rsidRPr="00E3253B">
        <w:rPr>
          <w:i/>
          <w:sz w:val="20"/>
        </w:rPr>
        <w:t>See also</w:t>
      </w:r>
      <w:r w:rsidRPr="00E3253B">
        <w:rPr>
          <w:sz w:val="20"/>
        </w:rPr>
        <w:t xml:space="preserve"> </w:t>
      </w:r>
      <w:r w:rsidRPr="00E3253B">
        <w:rPr>
          <w:i/>
          <w:sz w:val="20"/>
        </w:rPr>
        <w:t>Haddad v. Arnold</w:t>
      </w:r>
      <w:r w:rsidRPr="00E3253B">
        <w:rPr>
          <w:sz w:val="20"/>
        </w:rPr>
        <w:t xml:space="preserve">, No. 3:10-00414 (M.D. Fla. July 9, 2010) (Opinion granting preliminary injunction in </w:t>
      </w:r>
      <w:r w:rsidRPr="00E3253B">
        <w:rPr>
          <w:i/>
          <w:sz w:val="20"/>
        </w:rPr>
        <w:t>Olmstead</w:t>
      </w:r>
      <w:r w:rsidRPr="00E3253B">
        <w:rPr>
          <w:sz w:val="20"/>
        </w:rPr>
        <w:t xml:space="preserve"> case after finding that the plaintiff would suffer irreparable injury if forced to enter a nursing home) (Attached as Exhibit D).</w:t>
      </w:r>
    </w:p>
  </w:footnote>
  <w:footnote w:id="12">
    <w:p w:rsidR="00826F73" w:rsidRPr="00E3253B" w:rsidRDefault="00826F73" w:rsidP="00C336AC">
      <w:pPr>
        <w:pStyle w:val="FootnoteText"/>
        <w:ind w:left="0" w:firstLine="720"/>
        <w:rPr>
          <w:sz w:val="20"/>
        </w:rPr>
      </w:pPr>
      <w:r w:rsidRPr="00E3253B">
        <w:rPr>
          <w:rStyle w:val="FootnoteReference"/>
          <w:sz w:val="20"/>
        </w:rPr>
        <w:footnoteRef/>
      </w:r>
      <w:r w:rsidRPr="00E3253B">
        <w:rPr>
          <w:i/>
          <w:sz w:val="20"/>
        </w:rPr>
        <w:t>See also</w:t>
      </w:r>
      <w:r w:rsidRPr="00E3253B">
        <w:rPr>
          <w:sz w:val="20"/>
        </w:rPr>
        <w:t xml:space="preserve"> U.S. Amicus Brief in </w:t>
      </w:r>
      <w:r w:rsidRPr="00E3253B">
        <w:rPr>
          <w:i/>
          <w:sz w:val="20"/>
        </w:rPr>
        <w:t>Olmstead</w:t>
      </w:r>
      <w:r w:rsidRPr="00E3253B">
        <w:rPr>
          <w:sz w:val="20"/>
        </w:rPr>
        <w:t xml:space="preserve"> at 16-17, citing to 136 Cong. Rec. H2603 (daily ed. May 22, 1990) (statement of Rep. Collins) (“To be segregated is to be misunderstood, even feared,” and “only by breaking down barriers between people can we dispel the negative attitudes and myths that are the main currency of oppression.”).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73" w:rsidRDefault="00826F73" w:rsidP="00644CB9">
    <w:r>
      <w:rPr>
        <w:noProof/>
      </w:rPr>
      <w:pict>
        <v:line id="_x0000_s2060" style="position:absolute;z-index:251661312" from="512.2pt,-36pt" to="512.25pt,756.05pt" o:allowincell="f" strokeweight="1pt">
          <v:stroke startarrowwidth="narrow" startarrowlength="short" endarrowwidth="narrow" endarrowlength="short"/>
        </v:line>
      </w:pict>
    </w:r>
    <w:r>
      <w:rPr>
        <w:noProof/>
      </w:rPr>
      <w:pict>
        <v:line id="_x0000_s2059" style="position:absolute;z-index:251660288;mso-position-horizontal-relative:margin;mso-position-vertical-relative:page" from="-7.2pt,0" to="-7.15pt,792.05pt" o:allowincell="f" strokeweight="1pt">
          <v:stroke startarrowwidth="narrow" startarrowlength="short" endarrowwidth="narrow" endarrowlength="short"/>
          <w10:wrap anchorx="margin" anchory="page"/>
        </v:line>
      </w:pict>
    </w:r>
    <w:r>
      <w:rPr>
        <w:noProof/>
      </w:rPr>
      <w:pict>
        <v:line id="_x0000_s2058" style="position:absolute;z-index:251659264;mso-position-horizontal-relative:margin;mso-position-vertical-relative:page" from="-10.1pt,0" to="-10.05pt,792.05pt" o:allowincell="f">
          <v:stroke startarrowwidth="narrow" startarrowlength="short" endarrowwidth="narrow" endarrowlength="short"/>
          <w10:wrap anchorx="margin" anchory="page"/>
        </v:line>
      </w:pict>
    </w:r>
    <w:r>
      <w:rPr>
        <w:noProof/>
      </w:rPr>
      <w:pict>
        <v:rect id="_x0000_s2057" style="position:absolute;margin-left:-50.4pt;margin-top:0;width:36pt;height:681.4pt;z-index:251658240;mso-position-horizontal-relative:margin;mso-position-vertical-relative:margin" o:allowincell="f" filled="f" stroked="f">
          <v:textbox style="mso-next-textbox:#_x0000_s2057" inset="1pt,1pt,1pt,1pt">
            <w:txbxContent>
              <w:p w:rsidR="00826F73" w:rsidRPr="00C6616B" w:rsidRDefault="00826F73">
                <w:pPr>
                  <w:pStyle w:val="LineNumbers"/>
                  <w:spacing w:line="480" w:lineRule="exact"/>
                </w:pPr>
                <w:r w:rsidRPr="00C6616B">
                  <w:t>1</w:t>
                </w:r>
              </w:p>
              <w:p w:rsidR="00826F73" w:rsidRPr="00C6616B" w:rsidRDefault="00826F73">
                <w:pPr>
                  <w:pStyle w:val="LineNumbers"/>
                  <w:spacing w:line="480" w:lineRule="exact"/>
                </w:pPr>
                <w:r w:rsidRPr="00C6616B">
                  <w:t>2</w:t>
                </w:r>
              </w:p>
              <w:p w:rsidR="00826F73" w:rsidRPr="00C6616B" w:rsidRDefault="00826F73">
                <w:pPr>
                  <w:pStyle w:val="LineNumbers"/>
                  <w:spacing w:line="480" w:lineRule="exact"/>
                </w:pPr>
                <w:r w:rsidRPr="00C6616B">
                  <w:t>3</w:t>
                </w:r>
              </w:p>
              <w:p w:rsidR="00826F73" w:rsidRPr="00C6616B" w:rsidRDefault="00826F73">
                <w:pPr>
                  <w:pStyle w:val="LineNumbers"/>
                  <w:spacing w:line="480" w:lineRule="exact"/>
                </w:pPr>
                <w:r w:rsidRPr="00C6616B">
                  <w:t>4</w:t>
                </w:r>
              </w:p>
              <w:p w:rsidR="00826F73" w:rsidRPr="00C6616B" w:rsidRDefault="00826F73">
                <w:pPr>
                  <w:pStyle w:val="LineNumbers"/>
                  <w:spacing w:line="480" w:lineRule="exact"/>
                </w:pPr>
                <w:r w:rsidRPr="00C6616B">
                  <w:t>5</w:t>
                </w:r>
              </w:p>
              <w:p w:rsidR="00826F73" w:rsidRPr="00C6616B" w:rsidRDefault="00826F73">
                <w:pPr>
                  <w:pStyle w:val="LineNumbers"/>
                  <w:spacing w:line="480" w:lineRule="exact"/>
                </w:pPr>
                <w:r w:rsidRPr="00C6616B">
                  <w:t>6</w:t>
                </w:r>
              </w:p>
              <w:p w:rsidR="00826F73" w:rsidRPr="00C6616B" w:rsidRDefault="00826F73">
                <w:pPr>
                  <w:pStyle w:val="LineNumbers"/>
                  <w:spacing w:line="480" w:lineRule="exact"/>
                </w:pPr>
                <w:r w:rsidRPr="00C6616B">
                  <w:t>7</w:t>
                </w:r>
              </w:p>
              <w:p w:rsidR="00826F73" w:rsidRPr="00C6616B" w:rsidRDefault="00826F73">
                <w:pPr>
                  <w:pStyle w:val="LineNumbers"/>
                  <w:spacing w:line="480" w:lineRule="exact"/>
                  <w:rPr>
                    <w:sz w:val="28"/>
                  </w:rPr>
                </w:pPr>
                <w:r w:rsidRPr="00C6616B">
                  <w:rPr>
                    <w:sz w:val="28"/>
                  </w:rPr>
                  <w:t>8</w:t>
                </w:r>
              </w:p>
              <w:p w:rsidR="00826F73" w:rsidRPr="00C6616B" w:rsidRDefault="00826F73">
                <w:pPr>
                  <w:pStyle w:val="LineNumbers"/>
                  <w:spacing w:line="480" w:lineRule="exact"/>
                </w:pPr>
                <w:r w:rsidRPr="00C6616B">
                  <w:t>9</w:t>
                </w:r>
              </w:p>
              <w:p w:rsidR="00826F73" w:rsidRPr="00C6616B" w:rsidRDefault="00826F73">
                <w:pPr>
                  <w:pStyle w:val="LineNumbers"/>
                  <w:spacing w:line="480" w:lineRule="exact"/>
                </w:pPr>
                <w:r w:rsidRPr="00C6616B">
                  <w:t>10</w:t>
                </w:r>
              </w:p>
              <w:p w:rsidR="00826F73" w:rsidRPr="00C6616B" w:rsidRDefault="00826F73">
                <w:pPr>
                  <w:pStyle w:val="LineNumbers"/>
                  <w:spacing w:line="480" w:lineRule="exact"/>
                </w:pPr>
                <w:r w:rsidRPr="00C6616B">
                  <w:t>11</w:t>
                </w:r>
              </w:p>
              <w:p w:rsidR="00826F73" w:rsidRPr="00C6616B" w:rsidRDefault="00826F73">
                <w:pPr>
                  <w:pStyle w:val="LineNumbers"/>
                  <w:spacing w:line="480" w:lineRule="exact"/>
                </w:pPr>
                <w:r w:rsidRPr="00C6616B">
                  <w:t>12</w:t>
                </w:r>
              </w:p>
              <w:p w:rsidR="00826F73" w:rsidRPr="00C6616B" w:rsidRDefault="00826F73">
                <w:pPr>
                  <w:pStyle w:val="LineNumbers"/>
                  <w:spacing w:line="480" w:lineRule="exact"/>
                </w:pPr>
                <w:r w:rsidRPr="00C6616B">
                  <w:t>13</w:t>
                </w:r>
              </w:p>
              <w:p w:rsidR="00826F73" w:rsidRPr="00C6616B" w:rsidRDefault="00826F73">
                <w:pPr>
                  <w:pStyle w:val="LineNumbers"/>
                  <w:spacing w:line="480" w:lineRule="exact"/>
                </w:pPr>
                <w:r w:rsidRPr="00C6616B">
                  <w:t>14</w:t>
                </w:r>
              </w:p>
              <w:p w:rsidR="00826F73" w:rsidRPr="00C6616B" w:rsidRDefault="00826F73">
                <w:pPr>
                  <w:pStyle w:val="LineNumbers"/>
                  <w:spacing w:line="480" w:lineRule="exact"/>
                </w:pPr>
                <w:r w:rsidRPr="00C6616B">
                  <w:t>15</w:t>
                </w:r>
              </w:p>
              <w:p w:rsidR="00826F73" w:rsidRPr="00C6616B" w:rsidRDefault="00826F73">
                <w:pPr>
                  <w:pStyle w:val="LineNumbers"/>
                  <w:spacing w:line="480" w:lineRule="exact"/>
                </w:pPr>
                <w:r w:rsidRPr="00C6616B">
                  <w:t>16</w:t>
                </w:r>
              </w:p>
              <w:p w:rsidR="00826F73" w:rsidRPr="00C6616B" w:rsidRDefault="00826F73">
                <w:pPr>
                  <w:pStyle w:val="LineNumbers"/>
                  <w:spacing w:line="480" w:lineRule="exact"/>
                </w:pPr>
                <w:r w:rsidRPr="00C6616B">
                  <w:t>17</w:t>
                </w:r>
              </w:p>
              <w:p w:rsidR="00826F73" w:rsidRPr="00C6616B" w:rsidRDefault="00826F73">
                <w:pPr>
                  <w:pStyle w:val="LineNumbers"/>
                  <w:spacing w:line="480" w:lineRule="exact"/>
                </w:pPr>
                <w:r w:rsidRPr="00C6616B">
                  <w:t>18</w:t>
                </w:r>
              </w:p>
              <w:p w:rsidR="00826F73" w:rsidRPr="00C6616B" w:rsidRDefault="00826F73">
                <w:pPr>
                  <w:pStyle w:val="LineNumbers"/>
                  <w:spacing w:line="480" w:lineRule="exact"/>
                </w:pPr>
                <w:r w:rsidRPr="00C6616B">
                  <w:t>19</w:t>
                </w:r>
              </w:p>
              <w:p w:rsidR="00826F73" w:rsidRPr="00C6616B" w:rsidRDefault="00826F73">
                <w:pPr>
                  <w:pStyle w:val="LineNumbers"/>
                  <w:spacing w:line="480" w:lineRule="exact"/>
                </w:pPr>
                <w:r w:rsidRPr="00C6616B">
                  <w:t>20</w:t>
                </w:r>
              </w:p>
              <w:p w:rsidR="00826F73" w:rsidRPr="00C6616B" w:rsidRDefault="00826F73">
                <w:pPr>
                  <w:pStyle w:val="LineNumbers"/>
                  <w:spacing w:line="480" w:lineRule="exact"/>
                </w:pPr>
                <w:r w:rsidRPr="00C6616B">
                  <w:t>21</w:t>
                </w:r>
              </w:p>
              <w:p w:rsidR="00826F73" w:rsidRPr="00C6616B" w:rsidRDefault="00826F73">
                <w:pPr>
                  <w:pStyle w:val="LineNumbers"/>
                  <w:spacing w:line="480" w:lineRule="exact"/>
                </w:pPr>
                <w:r w:rsidRPr="00C6616B">
                  <w:t>22</w:t>
                </w:r>
              </w:p>
              <w:p w:rsidR="00826F73" w:rsidRPr="00C6616B" w:rsidRDefault="00826F73">
                <w:pPr>
                  <w:pStyle w:val="LineNumbers"/>
                  <w:spacing w:line="480" w:lineRule="exact"/>
                </w:pPr>
                <w:r w:rsidRPr="00C6616B">
                  <w:t>23</w:t>
                </w:r>
              </w:p>
              <w:p w:rsidR="00826F73" w:rsidRPr="00C6616B" w:rsidRDefault="00826F73">
                <w:pPr>
                  <w:pStyle w:val="LineNumbers"/>
                  <w:spacing w:line="480" w:lineRule="exact"/>
                </w:pPr>
                <w:r w:rsidRPr="00C6616B">
                  <w:t>24</w:t>
                </w:r>
              </w:p>
              <w:p w:rsidR="00826F73" w:rsidRPr="00C6616B" w:rsidRDefault="00826F73">
                <w:pPr>
                  <w:pStyle w:val="LineNumbers"/>
                  <w:spacing w:line="480" w:lineRule="exact"/>
                </w:pPr>
                <w:r w:rsidRPr="00C6616B">
                  <w:t>25</w:t>
                </w:r>
              </w:p>
              <w:p w:rsidR="00826F73" w:rsidRPr="00C6616B" w:rsidRDefault="00826F73">
                <w:pPr>
                  <w:pStyle w:val="LineNumbers"/>
                  <w:spacing w:line="480" w:lineRule="exact"/>
                </w:pPr>
                <w:r w:rsidRPr="00C6616B">
                  <w:t>26</w:t>
                </w:r>
              </w:p>
              <w:p w:rsidR="00826F73" w:rsidRPr="00C6616B" w:rsidRDefault="00826F73">
                <w:pPr>
                  <w:pStyle w:val="LineNumbers"/>
                  <w:spacing w:line="480" w:lineRule="exact"/>
                </w:pPr>
                <w:r w:rsidRPr="00C6616B">
                  <w:t>27</w:t>
                </w:r>
              </w:p>
              <w:p w:rsidR="00826F73" w:rsidRPr="00C6616B" w:rsidRDefault="00826F73">
                <w:pPr>
                  <w:pStyle w:val="LineNumbers"/>
                  <w:spacing w:line="480" w:lineRule="exact"/>
                </w:pPr>
                <w:r w:rsidRPr="00C6616B">
                  <w:t>28</w:t>
                </w:r>
              </w:p>
              <w:p w:rsidR="00826F73" w:rsidRPr="00C6616B" w:rsidRDefault="00826F73">
                <w:pPr>
                  <w:pStyle w:val="LineNumbers"/>
                  <w:spacing w:line="480" w:lineRule="exact"/>
                </w:pPr>
                <w:r w:rsidRPr="00C6616B">
                  <w:t>29</w:t>
                </w:r>
              </w:p>
              <w:p w:rsidR="00826F73" w:rsidRPr="00C6616B" w:rsidRDefault="00826F73">
                <w:pPr>
                  <w:pStyle w:val="LineNumbers"/>
                  <w:spacing w:line="480" w:lineRule="exact"/>
                </w:pPr>
                <w:r w:rsidRPr="00C6616B">
                  <w:t>30</w:t>
                </w:r>
              </w:p>
              <w:p w:rsidR="00826F73" w:rsidRPr="00C6616B" w:rsidRDefault="00826F73">
                <w:pPr>
                  <w:pStyle w:val="LineNumbers"/>
                  <w:spacing w:line="480" w:lineRule="exact"/>
                </w:pPr>
                <w:r w:rsidRPr="00C6616B">
                  <w:t>31</w:t>
                </w:r>
              </w:p>
              <w:p w:rsidR="00826F73" w:rsidRPr="00C6616B" w:rsidRDefault="00826F73">
                <w:pPr>
                  <w:pStyle w:val="LineNumbers"/>
                  <w:spacing w:line="480" w:lineRule="exact"/>
                </w:pPr>
                <w:r w:rsidRPr="00C6616B">
                  <w:t>32</w:t>
                </w:r>
              </w:p>
              <w:p w:rsidR="00826F73" w:rsidRPr="00C6616B" w:rsidRDefault="00826F73">
                <w:pPr>
                  <w:pStyle w:val="LineNumbers"/>
                  <w:spacing w:line="480" w:lineRule="exact"/>
                </w:pPr>
                <w:r w:rsidRPr="00C6616B">
                  <w:t>33</w:t>
                </w:r>
              </w:p>
              <w:p w:rsidR="00826F73" w:rsidRPr="00C6616B" w:rsidRDefault="00826F73">
                <w:pPr>
                  <w:pStyle w:val="LineNumbers"/>
                  <w:spacing w:line="480" w:lineRule="exact"/>
                </w:pPr>
                <w:r w:rsidRPr="00C6616B">
                  <w:t>34</w:t>
                </w:r>
              </w:p>
              <w:p w:rsidR="00826F73" w:rsidRPr="00C6616B" w:rsidRDefault="00826F73">
                <w:pPr>
                  <w:pStyle w:val="LineNumbers"/>
                  <w:spacing w:line="480" w:lineRule="exact"/>
                </w:pPr>
                <w:r w:rsidRPr="00C6616B">
                  <w:t>35</w:t>
                </w:r>
              </w:p>
              <w:p w:rsidR="00826F73" w:rsidRPr="00C6616B" w:rsidRDefault="00826F73">
                <w:pPr>
                  <w:pStyle w:val="LineNumbers"/>
                  <w:spacing w:line="480" w:lineRule="exact"/>
                </w:pPr>
                <w:r w:rsidRPr="00C6616B">
                  <w:t>36</w:t>
                </w:r>
              </w:p>
              <w:p w:rsidR="00826F73" w:rsidRPr="00C6616B" w:rsidRDefault="00826F73">
                <w:pPr>
                  <w:pStyle w:val="LineNumbers"/>
                  <w:spacing w:line="480" w:lineRule="exact"/>
                </w:pPr>
                <w:r w:rsidRPr="00C6616B">
                  <w:t>37</w:t>
                </w:r>
              </w:p>
              <w:p w:rsidR="00826F73" w:rsidRPr="00C6616B" w:rsidRDefault="00826F73">
                <w:pPr>
                  <w:pStyle w:val="LineNumbers"/>
                  <w:spacing w:line="480" w:lineRule="exact"/>
                </w:pPr>
                <w:r w:rsidRPr="00C6616B">
                  <w:t>38</w:t>
                </w:r>
              </w:p>
              <w:p w:rsidR="00826F73" w:rsidRPr="00C6616B" w:rsidRDefault="00826F73">
                <w:pPr>
                  <w:pStyle w:val="LineNumbers"/>
                  <w:spacing w:line="480" w:lineRule="exact"/>
                </w:pPr>
                <w:r w:rsidRPr="00C6616B">
                  <w:t>39</w:t>
                </w:r>
              </w:p>
              <w:p w:rsidR="00826F73" w:rsidRPr="00C6616B" w:rsidRDefault="00826F73">
                <w:pPr>
                  <w:pStyle w:val="LineNumbers"/>
                  <w:spacing w:line="480" w:lineRule="exact"/>
                </w:pPr>
                <w:r w:rsidRPr="00C6616B">
                  <w:t>40</w:t>
                </w:r>
              </w:p>
              <w:p w:rsidR="00826F73" w:rsidRPr="00C6616B" w:rsidRDefault="00826F73">
                <w:pPr>
                  <w:pStyle w:val="LineNumbers"/>
                  <w:spacing w:line="480" w:lineRule="exact"/>
                </w:pPr>
                <w:r w:rsidRPr="00C6616B">
                  <w:t>41</w:t>
                </w:r>
              </w:p>
              <w:p w:rsidR="00826F73" w:rsidRPr="00C6616B" w:rsidRDefault="00826F73">
                <w:pPr>
                  <w:pStyle w:val="LineNumbers"/>
                  <w:spacing w:line="480" w:lineRule="exact"/>
                </w:pPr>
                <w:r w:rsidRPr="00C6616B">
                  <w:t>42</w:t>
                </w:r>
              </w:p>
              <w:p w:rsidR="00826F73" w:rsidRPr="00C6616B" w:rsidRDefault="00826F73">
                <w:pPr>
                  <w:pStyle w:val="LineNumbers"/>
                  <w:spacing w:line="480" w:lineRule="exact"/>
                </w:pPr>
                <w:r w:rsidRPr="00C6616B">
                  <w:t>43</w:t>
                </w:r>
              </w:p>
              <w:p w:rsidR="00826F73" w:rsidRPr="00C6616B" w:rsidRDefault="00826F73">
                <w:pPr>
                  <w:pStyle w:val="LineNumbers"/>
                  <w:spacing w:line="480" w:lineRule="exact"/>
                </w:pPr>
                <w:r w:rsidRPr="00C6616B">
                  <w:t>44</w:t>
                </w:r>
              </w:p>
              <w:p w:rsidR="00826F73" w:rsidRPr="00C6616B" w:rsidRDefault="00826F73">
                <w:pPr>
                  <w:pStyle w:val="LineNumbers"/>
                  <w:spacing w:line="480" w:lineRule="exact"/>
                </w:pPr>
                <w:r w:rsidRPr="00C6616B">
                  <w:t>45</w:t>
                </w:r>
              </w:p>
              <w:p w:rsidR="00826F73" w:rsidRPr="00C6616B" w:rsidRDefault="00826F73">
                <w:pPr>
                  <w:pStyle w:val="LineNumbers"/>
                  <w:spacing w:line="480" w:lineRule="exact"/>
                </w:pPr>
                <w:r w:rsidRPr="00C6616B">
                  <w:t>46</w:t>
                </w:r>
              </w:p>
              <w:p w:rsidR="00826F73" w:rsidRPr="00C6616B" w:rsidRDefault="00826F73">
                <w:pPr>
                  <w:pStyle w:val="LineNumbers"/>
                  <w:spacing w:line="480" w:lineRule="exact"/>
                </w:pPr>
                <w:r w:rsidRPr="00C6616B">
                  <w:t>47</w:t>
                </w:r>
              </w:p>
              <w:p w:rsidR="00826F73" w:rsidRPr="00C6616B" w:rsidRDefault="00826F73">
                <w:pPr>
                  <w:pStyle w:val="LineNumbers"/>
                  <w:spacing w:line="480" w:lineRule="exact"/>
                </w:pPr>
                <w:r w:rsidRPr="00C6616B">
                  <w:t>48</w:t>
                </w:r>
              </w:p>
              <w:p w:rsidR="00826F73" w:rsidRPr="00C6616B" w:rsidRDefault="00826F73">
                <w:pPr>
                  <w:pStyle w:val="LineNumbers"/>
                  <w:spacing w:line="480" w:lineRule="exact"/>
                </w:pPr>
                <w:r w:rsidRPr="00C6616B">
                  <w:t>49</w:t>
                </w:r>
              </w:p>
              <w:p w:rsidR="00826F73" w:rsidRPr="00C6616B" w:rsidRDefault="00826F73">
                <w:pPr>
                  <w:pStyle w:val="LineNumbers"/>
                  <w:spacing w:line="480" w:lineRule="exact"/>
                </w:pPr>
                <w:r w:rsidRPr="00C6616B">
                  <w:t>50</w:t>
                </w:r>
              </w:p>
              <w:p w:rsidR="00826F73" w:rsidRPr="00C6616B" w:rsidRDefault="00826F73">
                <w:pPr>
                  <w:pStyle w:val="LineNumbers"/>
                  <w:spacing w:line="480" w:lineRule="exact"/>
                </w:pPr>
                <w:r w:rsidRPr="00C6616B">
                  <w:t>51</w:t>
                </w:r>
              </w:p>
              <w:p w:rsidR="00826F73" w:rsidRPr="00C6616B" w:rsidRDefault="00826F73">
                <w:pPr>
                  <w:pStyle w:val="LineNumbers"/>
                  <w:spacing w:line="480" w:lineRule="exact"/>
                </w:pPr>
                <w:r w:rsidRPr="00C6616B">
                  <w:t>52</w:t>
                </w:r>
              </w:p>
              <w:p w:rsidR="00826F73" w:rsidRPr="00C6616B" w:rsidRDefault="00826F73">
                <w:pPr>
                  <w:pStyle w:val="LineNumbers"/>
                  <w:spacing w:line="480" w:lineRule="exact"/>
                </w:pPr>
              </w:p>
            </w:txbxContent>
          </v:textbox>
          <w10:wrap anchorx="margin" anchory="margin"/>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2EC56AE"/>
    <w:lvl w:ilvl="0">
      <w:start w:val="1"/>
      <w:numFmt w:val="upperRoman"/>
      <w:pStyle w:val="Heading1"/>
      <w:lvlText w:val="%1"/>
      <w:legacy w:legacy="1" w:legacySpace="0" w:legacyIndent="0"/>
      <w:lvlJc w:val="center"/>
      <w:rPr>
        <w:rFonts w:cs="Times New Roman"/>
        <w:b/>
        <w:i w:val="0"/>
      </w:rPr>
    </w:lvl>
    <w:lvl w:ilvl="1">
      <w:start w:val="1"/>
      <w:numFmt w:val="upperLetter"/>
      <w:pStyle w:val="Heading2"/>
      <w:lvlText w:val="%2."/>
      <w:legacy w:legacy="1" w:legacySpace="0" w:legacyIndent="720"/>
      <w:lvlJc w:val="left"/>
      <w:pPr>
        <w:ind w:left="720" w:hanging="720"/>
      </w:pPr>
      <w:rPr>
        <w:rFonts w:cs="Times New Roman"/>
        <w:b/>
        <w:i w:val="0"/>
      </w:rPr>
    </w:lvl>
    <w:lvl w:ilvl="2">
      <w:start w:val="1"/>
      <w:numFmt w:val="decimal"/>
      <w:pStyle w:val="Heading3"/>
      <w:lvlText w:val="%3."/>
      <w:legacy w:legacy="1" w:legacySpace="0" w:legacyIndent="720"/>
      <w:lvlJc w:val="left"/>
      <w:pPr>
        <w:ind w:left="1440" w:hanging="720"/>
      </w:pPr>
      <w:rPr>
        <w:rFonts w:cs="Times New Roman"/>
        <w:b/>
        <w:i w:val="0"/>
        <w:u w:val="single"/>
      </w:rPr>
    </w:lvl>
    <w:lvl w:ilvl="3">
      <w:start w:val="1"/>
      <w:numFmt w:val="lowerLetter"/>
      <w:pStyle w:val="Heading4"/>
      <w:lvlText w:val="%4)"/>
      <w:legacy w:legacy="1" w:legacySpace="0" w:legacyIndent="720"/>
      <w:lvlJc w:val="left"/>
      <w:pPr>
        <w:ind w:left="2160" w:hanging="720"/>
      </w:pPr>
      <w:rPr>
        <w:rFonts w:cs="Times New Roman"/>
        <w:b/>
        <w:i w:val="0"/>
      </w:rPr>
    </w:lvl>
    <w:lvl w:ilvl="4">
      <w:start w:val="1"/>
      <w:numFmt w:val="decimal"/>
      <w:pStyle w:val="Heading5"/>
      <w:lvlText w:val="(%5)"/>
      <w:legacy w:legacy="1" w:legacySpace="0" w:legacyIndent="720"/>
      <w:lvlJc w:val="left"/>
      <w:pPr>
        <w:ind w:left="2880" w:hanging="720"/>
      </w:pPr>
      <w:rPr>
        <w:rFonts w:cs="Times New Roman"/>
        <w:b/>
        <w:i w:val="0"/>
      </w:rPr>
    </w:lvl>
    <w:lvl w:ilvl="5">
      <w:start w:val="1"/>
      <w:numFmt w:val="lowerLetter"/>
      <w:pStyle w:val="Heading6"/>
      <w:lvlText w:val="(%6)"/>
      <w:legacy w:legacy="1" w:legacySpace="0" w:legacyIndent="720"/>
      <w:lvlJc w:val="left"/>
      <w:pPr>
        <w:ind w:left="3600" w:hanging="720"/>
      </w:pPr>
      <w:rPr>
        <w:rFonts w:cs="Times New Roman"/>
        <w:b/>
        <w:i w:val="0"/>
      </w:rPr>
    </w:lvl>
    <w:lvl w:ilvl="6">
      <w:start w:val="1"/>
      <w:numFmt w:val="lowerRoman"/>
      <w:pStyle w:val="Heading7"/>
      <w:lvlText w:val="(%7)"/>
      <w:legacy w:legacy="1" w:legacySpace="0" w:legacyIndent="720"/>
      <w:lvlJc w:val="left"/>
      <w:pPr>
        <w:ind w:left="4320" w:hanging="720"/>
      </w:pPr>
      <w:rPr>
        <w:rFonts w:cs="Times New Roman"/>
        <w:b/>
        <w:i w:val="0"/>
      </w:rPr>
    </w:lvl>
    <w:lvl w:ilvl="7">
      <w:start w:val="1"/>
      <w:numFmt w:val="lowerLetter"/>
      <w:pStyle w:val="Heading8"/>
      <w:lvlText w:val="(%8)"/>
      <w:legacy w:legacy="1" w:legacySpace="0" w:legacyIndent="720"/>
      <w:lvlJc w:val="left"/>
      <w:pPr>
        <w:ind w:left="5040" w:hanging="720"/>
      </w:pPr>
      <w:rPr>
        <w:rFonts w:cs="Times New Roman"/>
        <w:b/>
        <w:i w:val="0"/>
      </w:rPr>
    </w:lvl>
    <w:lvl w:ilvl="8">
      <w:start w:val="1"/>
      <w:numFmt w:val="lowerRoman"/>
      <w:pStyle w:val="Heading9"/>
      <w:lvlText w:val="(%9)"/>
      <w:legacy w:legacy="1" w:legacySpace="0" w:legacyIndent="720"/>
      <w:lvlJc w:val="left"/>
      <w:pPr>
        <w:ind w:left="5760" w:hanging="720"/>
      </w:pPr>
      <w:rPr>
        <w:rFonts w:cs="Times New Roman"/>
        <w:b/>
        <w:i w:val="0"/>
      </w:rPr>
    </w:lvl>
  </w:abstractNum>
  <w:abstractNum w:abstractNumId="1">
    <w:nsid w:val="10345C3F"/>
    <w:multiLevelType w:val="hybridMultilevel"/>
    <w:tmpl w:val="2F984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481E9A"/>
    <w:multiLevelType w:val="hybridMultilevel"/>
    <w:tmpl w:val="43FC7A00"/>
    <w:lvl w:ilvl="0" w:tplc="AD6A60F0">
      <w:start w:val="2"/>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8B3B2C"/>
    <w:multiLevelType w:val="hybridMultilevel"/>
    <w:tmpl w:val="7806FB54"/>
    <w:lvl w:ilvl="0" w:tplc="79C26996">
      <w:start w:val="1"/>
      <w:numFmt w:val="lowerLetter"/>
      <w:lvlText w:val="%1."/>
      <w:lvlJc w:val="left"/>
      <w:pPr>
        <w:ind w:left="27616" w:hanging="360"/>
      </w:pPr>
      <w:rPr>
        <w:rFonts w:hint="default"/>
        <w:b/>
      </w:rPr>
    </w:lvl>
    <w:lvl w:ilvl="1" w:tplc="04090019">
      <w:start w:val="1"/>
      <w:numFmt w:val="lowerLetter"/>
      <w:lvlText w:val="%2."/>
      <w:lvlJc w:val="left"/>
      <w:pPr>
        <w:ind w:left="28336" w:hanging="360"/>
      </w:pPr>
    </w:lvl>
    <w:lvl w:ilvl="2" w:tplc="0409001B" w:tentative="1">
      <w:start w:val="1"/>
      <w:numFmt w:val="lowerRoman"/>
      <w:lvlText w:val="%3."/>
      <w:lvlJc w:val="right"/>
      <w:pPr>
        <w:ind w:left="29056" w:hanging="180"/>
      </w:pPr>
    </w:lvl>
    <w:lvl w:ilvl="3" w:tplc="0409000F" w:tentative="1">
      <w:start w:val="1"/>
      <w:numFmt w:val="decimal"/>
      <w:lvlText w:val="%4."/>
      <w:lvlJc w:val="left"/>
      <w:pPr>
        <w:ind w:left="29776" w:hanging="360"/>
      </w:pPr>
    </w:lvl>
    <w:lvl w:ilvl="4" w:tplc="04090019" w:tentative="1">
      <w:start w:val="1"/>
      <w:numFmt w:val="lowerLetter"/>
      <w:lvlText w:val="%5."/>
      <w:lvlJc w:val="left"/>
      <w:pPr>
        <w:ind w:left="30496" w:hanging="360"/>
      </w:pPr>
    </w:lvl>
    <w:lvl w:ilvl="5" w:tplc="0409001B" w:tentative="1">
      <w:start w:val="1"/>
      <w:numFmt w:val="lowerRoman"/>
      <w:lvlText w:val="%6."/>
      <w:lvlJc w:val="right"/>
      <w:pPr>
        <w:ind w:left="31216" w:hanging="180"/>
      </w:pPr>
    </w:lvl>
    <w:lvl w:ilvl="6" w:tplc="0409000F" w:tentative="1">
      <w:start w:val="1"/>
      <w:numFmt w:val="decimal"/>
      <w:lvlText w:val="%7."/>
      <w:lvlJc w:val="left"/>
      <w:pPr>
        <w:ind w:left="31936" w:hanging="360"/>
      </w:pPr>
    </w:lvl>
    <w:lvl w:ilvl="7" w:tplc="04090019" w:tentative="1">
      <w:start w:val="1"/>
      <w:numFmt w:val="lowerLetter"/>
      <w:lvlText w:val="%8."/>
      <w:lvlJc w:val="left"/>
      <w:pPr>
        <w:ind w:left="32656" w:hanging="360"/>
      </w:pPr>
    </w:lvl>
    <w:lvl w:ilvl="8" w:tplc="0409001B" w:tentative="1">
      <w:start w:val="1"/>
      <w:numFmt w:val="lowerRoman"/>
      <w:lvlText w:val="%9."/>
      <w:lvlJc w:val="right"/>
      <w:pPr>
        <w:ind w:left="-32160" w:hanging="180"/>
      </w:pPr>
    </w:lvl>
  </w:abstractNum>
  <w:abstractNum w:abstractNumId="4">
    <w:nsid w:val="19E47C62"/>
    <w:multiLevelType w:val="hybridMultilevel"/>
    <w:tmpl w:val="0494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F6264B"/>
    <w:multiLevelType w:val="hybridMultilevel"/>
    <w:tmpl w:val="7C16E06A"/>
    <w:lvl w:ilvl="0" w:tplc="057A597E">
      <w:start w:val="1"/>
      <w:numFmt w:val="decimal"/>
      <w:pStyle w:val="TOC3"/>
      <w:lvlText w:val="%1."/>
      <w:lvlJc w:val="left"/>
      <w:pPr>
        <w:ind w:left="1710" w:hanging="360"/>
      </w:pPr>
      <w:rPr>
        <w:rFonts w:ascii="Times New Roman" w:hAnsi="Times New Roman" w:hint="default"/>
        <w:color w:val="auto"/>
        <w:sz w:val="24"/>
        <w:u w:val="none"/>
      </w:rPr>
    </w:lvl>
    <w:lvl w:ilvl="1" w:tplc="77AC853E">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03D4336"/>
    <w:multiLevelType w:val="hybridMultilevel"/>
    <w:tmpl w:val="64BE3D6A"/>
    <w:lvl w:ilvl="0" w:tplc="79C26996">
      <w:start w:val="1"/>
      <w:numFmt w:val="lowerLetter"/>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3FC12FC"/>
    <w:multiLevelType w:val="hybridMultilevel"/>
    <w:tmpl w:val="7D6889FC"/>
    <w:lvl w:ilvl="0" w:tplc="4B92740C">
      <w:start w:val="4"/>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34073760"/>
    <w:multiLevelType w:val="hybridMultilevel"/>
    <w:tmpl w:val="E30A8242"/>
    <w:lvl w:ilvl="0" w:tplc="29D2DA30">
      <w:start w:val="4"/>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364B1B12"/>
    <w:multiLevelType w:val="hybridMultilevel"/>
    <w:tmpl w:val="929C0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3910"/>
    <w:multiLevelType w:val="hybridMultilevel"/>
    <w:tmpl w:val="CE24B16E"/>
    <w:lvl w:ilvl="0" w:tplc="109E02B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4685317B"/>
    <w:multiLevelType w:val="hybridMultilevel"/>
    <w:tmpl w:val="EC809878"/>
    <w:lvl w:ilvl="0" w:tplc="79C2699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531068"/>
    <w:multiLevelType w:val="hybridMultilevel"/>
    <w:tmpl w:val="D90E9E56"/>
    <w:lvl w:ilvl="0" w:tplc="1E5062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22171A3"/>
    <w:multiLevelType w:val="hybridMultilevel"/>
    <w:tmpl w:val="7C321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E189A"/>
    <w:multiLevelType w:val="hybridMultilevel"/>
    <w:tmpl w:val="AE8220F2"/>
    <w:lvl w:ilvl="0" w:tplc="570CF5A2">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B8E2729"/>
    <w:multiLevelType w:val="hybridMultilevel"/>
    <w:tmpl w:val="23B88B64"/>
    <w:lvl w:ilvl="0" w:tplc="577246E2">
      <w:start w:val="3"/>
      <w:numFmt w:val="upp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0268A"/>
    <w:multiLevelType w:val="hybridMultilevel"/>
    <w:tmpl w:val="4740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12570A"/>
    <w:multiLevelType w:val="hybridMultilevel"/>
    <w:tmpl w:val="02782690"/>
    <w:lvl w:ilvl="0" w:tplc="A3127A52">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9E96362"/>
    <w:multiLevelType w:val="hybridMultilevel"/>
    <w:tmpl w:val="30C2FD90"/>
    <w:lvl w:ilvl="0" w:tplc="388A8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8BC"/>
    <w:multiLevelType w:val="hybridMultilevel"/>
    <w:tmpl w:val="EB5CB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A69648E"/>
    <w:multiLevelType w:val="hybridMultilevel"/>
    <w:tmpl w:val="F3C6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16"/>
  </w:num>
  <w:num w:numId="5">
    <w:abstractNumId w:val="0"/>
  </w:num>
  <w:num w:numId="6">
    <w:abstractNumId w:val="5"/>
  </w:num>
  <w:num w:numId="7">
    <w:abstractNumId w:val="0"/>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0">
    <w:abstractNumId w:val="2"/>
  </w:num>
  <w:num w:numId="11">
    <w:abstractNumId w:val="6"/>
  </w:num>
  <w:num w:numId="12">
    <w:abstractNumId w:val="10"/>
  </w:num>
  <w:num w:numId="13">
    <w:abstractNumId w:val="20"/>
  </w:num>
  <w:num w:numId="14">
    <w:abstractNumId w:val="0"/>
  </w:num>
  <w:num w:numId="15">
    <w:abstractNumId w:val="17"/>
  </w:num>
  <w:num w:numId="16">
    <w:abstractNumId w:val="9"/>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1"/>
  </w:num>
  <w:num w:numId="23">
    <w:abstractNumId w:val="19"/>
  </w:num>
  <w:num w:numId="24">
    <w:abstractNumId w:val="18"/>
  </w:num>
  <w:num w:numId="25">
    <w:abstractNumId w:val="12"/>
  </w:num>
  <w:num w:numId="26">
    <w:abstractNumId w:val="13"/>
  </w:num>
  <w:num w:numId="27">
    <w:abstractNumId w:val="0"/>
  </w:num>
  <w:num w:numId="28">
    <w:abstractNumId w:val="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7B76EA"/>
    <w:rsid w:val="00002A8C"/>
    <w:rsid w:val="00002EC4"/>
    <w:rsid w:val="00003E80"/>
    <w:rsid w:val="00005D2A"/>
    <w:rsid w:val="00007952"/>
    <w:rsid w:val="00007CB2"/>
    <w:rsid w:val="00007F70"/>
    <w:rsid w:val="00010084"/>
    <w:rsid w:val="00010D6E"/>
    <w:rsid w:val="000114E2"/>
    <w:rsid w:val="0001218E"/>
    <w:rsid w:val="00012375"/>
    <w:rsid w:val="000135A1"/>
    <w:rsid w:val="00013A26"/>
    <w:rsid w:val="00013DFB"/>
    <w:rsid w:val="0001450D"/>
    <w:rsid w:val="000200CF"/>
    <w:rsid w:val="000202D3"/>
    <w:rsid w:val="0002074B"/>
    <w:rsid w:val="00020A83"/>
    <w:rsid w:val="00021B1C"/>
    <w:rsid w:val="00022113"/>
    <w:rsid w:val="0002264F"/>
    <w:rsid w:val="00023A23"/>
    <w:rsid w:val="00024C6B"/>
    <w:rsid w:val="0002507B"/>
    <w:rsid w:val="00025CC9"/>
    <w:rsid w:val="00026846"/>
    <w:rsid w:val="000277BC"/>
    <w:rsid w:val="0003093C"/>
    <w:rsid w:val="00032B89"/>
    <w:rsid w:val="000331E7"/>
    <w:rsid w:val="00034720"/>
    <w:rsid w:val="00036508"/>
    <w:rsid w:val="000378DF"/>
    <w:rsid w:val="00037F69"/>
    <w:rsid w:val="0004058B"/>
    <w:rsid w:val="00041936"/>
    <w:rsid w:val="0004225B"/>
    <w:rsid w:val="000432EC"/>
    <w:rsid w:val="000448DE"/>
    <w:rsid w:val="000449E8"/>
    <w:rsid w:val="0004523B"/>
    <w:rsid w:val="00050C0D"/>
    <w:rsid w:val="000514E6"/>
    <w:rsid w:val="0005177F"/>
    <w:rsid w:val="00052FFA"/>
    <w:rsid w:val="00053BCB"/>
    <w:rsid w:val="00053F00"/>
    <w:rsid w:val="00054C60"/>
    <w:rsid w:val="000563B2"/>
    <w:rsid w:val="00057621"/>
    <w:rsid w:val="00057800"/>
    <w:rsid w:val="00060430"/>
    <w:rsid w:val="0006083A"/>
    <w:rsid w:val="000632F4"/>
    <w:rsid w:val="0006426C"/>
    <w:rsid w:val="00064367"/>
    <w:rsid w:val="00064EAE"/>
    <w:rsid w:val="000650BC"/>
    <w:rsid w:val="00066E92"/>
    <w:rsid w:val="000673B8"/>
    <w:rsid w:val="000706AB"/>
    <w:rsid w:val="00070C61"/>
    <w:rsid w:val="00074951"/>
    <w:rsid w:val="00075170"/>
    <w:rsid w:val="000768C5"/>
    <w:rsid w:val="000817E7"/>
    <w:rsid w:val="00081FBE"/>
    <w:rsid w:val="000834FB"/>
    <w:rsid w:val="00083B6F"/>
    <w:rsid w:val="0008491F"/>
    <w:rsid w:val="00086774"/>
    <w:rsid w:val="000872C6"/>
    <w:rsid w:val="00090309"/>
    <w:rsid w:val="00091A37"/>
    <w:rsid w:val="00092555"/>
    <w:rsid w:val="00093189"/>
    <w:rsid w:val="00094713"/>
    <w:rsid w:val="00096675"/>
    <w:rsid w:val="00096780"/>
    <w:rsid w:val="00096B13"/>
    <w:rsid w:val="00097256"/>
    <w:rsid w:val="00097735"/>
    <w:rsid w:val="000A071B"/>
    <w:rsid w:val="000A0BA2"/>
    <w:rsid w:val="000A2325"/>
    <w:rsid w:val="000A4408"/>
    <w:rsid w:val="000A4524"/>
    <w:rsid w:val="000A47E2"/>
    <w:rsid w:val="000A4C5A"/>
    <w:rsid w:val="000A6D53"/>
    <w:rsid w:val="000A718A"/>
    <w:rsid w:val="000A7D47"/>
    <w:rsid w:val="000B02F2"/>
    <w:rsid w:val="000B1D16"/>
    <w:rsid w:val="000B3149"/>
    <w:rsid w:val="000B37CC"/>
    <w:rsid w:val="000B61B3"/>
    <w:rsid w:val="000B6BCB"/>
    <w:rsid w:val="000B7F74"/>
    <w:rsid w:val="000C0631"/>
    <w:rsid w:val="000C1183"/>
    <w:rsid w:val="000C4176"/>
    <w:rsid w:val="000C71EE"/>
    <w:rsid w:val="000C7217"/>
    <w:rsid w:val="000C7732"/>
    <w:rsid w:val="000D1247"/>
    <w:rsid w:val="000D25D8"/>
    <w:rsid w:val="000D3225"/>
    <w:rsid w:val="000D39E4"/>
    <w:rsid w:val="000D4B4F"/>
    <w:rsid w:val="000D4DB9"/>
    <w:rsid w:val="000D59BB"/>
    <w:rsid w:val="000D6975"/>
    <w:rsid w:val="000E133D"/>
    <w:rsid w:val="000E1442"/>
    <w:rsid w:val="000E176A"/>
    <w:rsid w:val="000E1EA0"/>
    <w:rsid w:val="000E2033"/>
    <w:rsid w:val="000E2E82"/>
    <w:rsid w:val="000F134D"/>
    <w:rsid w:val="000F189A"/>
    <w:rsid w:val="000F20D2"/>
    <w:rsid w:val="000F31DB"/>
    <w:rsid w:val="000F45D9"/>
    <w:rsid w:val="000F4AD4"/>
    <w:rsid w:val="000F5EAF"/>
    <w:rsid w:val="000F69FA"/>
    <w:rsid w:val="000F6BD1"/>
    <w:rsid w:val="001001B1"/>
    <w:rsid w:val="00100318"/>
    <w:rsid w:val="00104B85"/>
    <w:rsid w:val="00104D94"/>
    <w:rsid w:val="0010587D"/>
    <w:rsid w:val="00105FDA"/>
    <w:rsid w:val="0010704A"/>
    <w:rsid w:val="00107AD6"/>
    <w:rsid w:val="0011033C"/>
    <w:rsid w:val="0011189A"/>
    <w:rsid w:val="001129CD"/>
    <w:rsid w:val="00112EC1"/>
    <w:rsid w:val="00117EC1"/>
    <w:rsid w:val="001215F0"/>
    <w:rsid w:val="00123256"/>
    <w:rsid w:val="00127DEB"/>
    <w:rsid w:val="00130223"/>
    <w:rsid w:val="00133D94"/>
    <w:rsid w:val="00133F32"/>
    <w:rsid w:val="0013407D"/>
    <w:rsid w:val="00134F0D"/>
    <w:rsid w:val="00135BAE"/>
    <w:rsid w:val="00136F67"/>
    <w:rsid w:val="00137291"/>
    <w:rsid w:val="001372C2"/>
    <w:rsid w:val="00137A88"/>
    <w:rsid w:val="00137BE1"/>
    <w:rsid w:val="00137C2E"/>
    <w:rsid w:val="00140592"/>
    <w:rsid w:val="00142871"/>
    <w:rsid w:val="00142F90"/>
    <w:rsid w:val="00143EA5"/>
    <w:rsid w:val="00143EF6"/>
    <w:rsid w:val="00146197"/>
    <w:rsid w:val="00146229"/>
    <w:rsid w:val="00146A30"/>
    <w:rsid w:val="00146E14"/>
    <w:rsid w:val="00147122"/>
    <w:rsid w:val="00147C5C"/>
    <w:rsid w:val="001517ED"/>
    <w:rsid w:val="00151B9A"/>
    <w:rsid w:val="00152010"/>
    <w:rsid w:val="001521C2"/>
    <w:rsid w:val="00152F50"/>
    <w:rsid w:val="00153DED"/>
    <w:rsid w:val="0015451C"/>
    <w:rsid w:val="001549E7"/>
    <w:rsid w:val="00155B0D"/>
    <w:rsid w:val="00156D76"/>
    <w:rsid w:val="001605F5"/>
    <w:rsid w:val="00160AEA"/>
    <w:rsid w:val="001612E2"/>
    <w:rsid w:val="00161730"/>
    <w:rsid w:val="00162203"/>
    <w:rsid w:val="00162B41"/>
    <w:rsid w:val="00164279"/>
    <w:rsid w:val="00166F09"/>
    <w:rsid w:val="001679CB"/>
    <w:rsid w:val="0017192E"/>
    <w:rsid w:val="00172D60"/>
    <w:rsid w:val="00174001"/>
    <w:rsid w:val="0017499F"/>
    <w:rsid w:val="00176CA3"/>
    <w:rsid w:val="00177658"/>
    <w:rsid w:val="00177CB2"/>
    <w:rsid w:val="0018022A"/>
    <w:rsid w:val="001802AE"/>
    <w:rsid w:val="001821FE"/>
    <w:rsid w:val="00183601"/>
    <w:rsid w:val="001838C6"/>
    <w:rsid w:val="001841A9"/>
    <w:rsid w:val="0018488D"/>
    <w:rsid w:val="001849C9"/>
    <w:rsid w:val="00185084"/>
    <w:rsid w:val="001873FF"/>
    <w:rsid w:val="0019008F"/>
    <w:rsid w:val="00190CD3"/>
    <w:rsid w:val="0019281E"/>
    <w:rsid w:val="0019408E"/>
    <w:rsid w:val="00194208"/>
    <w:rsid w:val="001946AA"/>
    <w:rsid w:val="00194EC7"/>
    <w:rsid w:val="001958E2"/>
    <w:rsid w:val="00195916"/>
    <w:rsid w:val="00196D4E"/>
    <w:rsid w:val="001A0A30"/>
    <w:rsid w:val="001A2223"/>
    <w:rsid w:val="001A34B1"/>
    <w:rsid w:val="001A5E98"/>
    <w:rsid w:val="001A6163"/>
    <w:rsid w:val="001A627F"/>
    <w:rsid w:val="001B02E7"/>
    <w:rsid w:val="001B0BEA"/>
    <w:rsid w:val="001B1D2C"/>
    <w:rsid w:val="001B23E1"/>
    <w:rsid w:val="001B262A"/>
    <w:rsid w:val="001B3386"/>
    <w:rsid w:val="001B3587"/>
    <w:rsid w:val="001B4ED5"/>
    <w:rsid w:val="001B4F22"/>
    <w:rsid w:val="001B5FB8"/>
    <w:rsid w:val="001B6308"/>
    <w:rsid w:val="001B77FB"/>
    <w:rsid w:val="001C1E24"/>
    <w:rsid w:val="001C4510"/>
    <w:rsid w:val="001C4A95"/>
    <w:rsid w:val="001C64C5"/>
    <w:rsid w:val="001C688A"/>
    <w:rsid w:val="001C7925"/>
    <w:rsid w:val="001D0017"/>
    <w:rsid w:val="001D1645"/>
    <w:rsid w:val="001D3FCB"/>
    <w:rsid w:val="001D49E2"/>
    <w:rsid w:val="001D4E9A"/>
    <w:rsid w:val="001D5382"/>
    <w:rsid w:val="001D66E2"/>
    <w:rsid w:val="001D6AD8"/>
    <w:rsid w:val="001D70B9"/>
    <w:rsid w:val="001D79AE"/>
    <w:rsid w:val="001E038E"/>
    <w:rsid w:val="001E0C6F"/>
    <w:rsid w:val="001E0D07"/>
    <w:rsid w:val="001E1B8B"/>
    <w:rsid w:val="001E27AD"/>
    <w:rsid w:val="001E3DA1"/>
    <w:rsid w:val="001E45BA"/>
    <w:rsid w:val="001E601A"/>
    <w:rsid w:val="001E70C2"/>
    <w:rsid w:val="001E7129"/>
    <w:rsid w:val="001F0C0A"/>
    <w:rsid w:val="001F1CF8"/>
    <w:rsid w:val="001F2328"/>
    <w:rsid w:val="001F48B3"/>
    <w:rsid w:val="001F5A90"/>
    <w:rsid w:val="001F5BC9"/>
    <w:rsid w:val="001F7541"/>
    <w:rsid w:val="001F759E"/>
    <w:rsid w:val="001F7764"/>
    <w:rsid w:val="002019C2"/>
    <w:rsid w:val="00201C3C"/>
    <w:rsid w:val="00202661"/>
    <w:rsid w:val="00203173"/>
    <w:rsid w:val="00203B3D"/>
    <w:rsid w:val="00205C2C"/>
    <w:rsid w:val="00206B42"/>
    <w:rsid w:val="00207957"/>
    <w:rsid w:val="00210F46"/>
    <w:rsid w:val="00211B3A"/>
    <w:rsid w:val="00212867"/>
    <w:rsid w:val="00212C06"/>
    <w:rsid w:val="002145EE"/>
    <w:rsid w:val="00216C13"/>
    <w:rsid w:val="002208F9"/>
    <w:rsid w:val="0022187A"/>
    <w:rsid w:val="00221A7C"/>
    <w:rsid w:val="002261D9"/>
    <w:rsid w:val="00230F64"/>
    <w:rsid w:val="00232E41"/>
    <w:rsid w:val="00234DAC"/>
    <w:rsid w:val="00235461"/>
    <w:rsid w:val="002369F5"/>
    <w:rsid w:val="00236EAF"/>
    <w:rsid w:val="00240608"/>
    <w:rsid w:val="00240A07"/>
    <w:rsid w:val="00241651"/>
    <w:rsid w:val="00242F1A"/>
    <w:rsid w:val="0024334A"/>
    <w:rsid w:val="002439B9"/>
    <w:rsid w:val="00244900"/>
    <w:rsid w:val="00244E11"/>
    <w:rsid w:val="002457E6"/>
    <w:rsid w:val="0024653E"/>
    <w:rsid w:val="00251705"/>
    <w:rsid w:val="002534C6"/>
    <w:rsid w:val="002537C5"/>
    <w:rsid w:val="00254269"/>
    <w:rsid w:val="00254B08"/>
    <w:rsid w:val="00255163"/>
    <w:rsid w:val="00255796"/>
    <w:rsid w:val="00255FBB"/>
    <w:rsid w:val="00256500"/>
    <w:rsid w:val="00256841"/>
    <w:rsid w:val="00261E9C"/>
    <w:rsid w:val="00262A7B"/>
    <w:rsid w:val="00262DA1"/>
    <w:rsid w:val="0026426D"/>
    <w:rsid w:val="00264A47"/>
    <w:rsid w:val="00272144"/>
    <w:rsid w:val="00273324"/>
    <w:rsid w:val="00273551"/>
    <w:rsid w:val="0027397B"/>
    <w:rsid w:val="0027499C"/>
    <w:rsid w:val="00274F0E"/>
    <w:rsid w:val="0027516D"/>
    <w:rsid w:val="00276221"/>
    <w:rsid w:val="00276C9E"/>
    <w:rsid w:val="00276ED6"/>
    <w:rsid w:val="0028020E"/>
    <w:rsid w:val="00280637"/>
    <w:rsid w:val="00280A5C"/>
    <w:rsid w:val="00280BF4"/>
    <w:rsid w:val="00283146"/>
    <w:rsid w:val="00283A57"/>
    <w:rsid w:val="00283BC3"/>
    <w:rsid w:val="00284322"/>
    <w:rsid w:val="00284BC2"/>
    <w:rsid w:val="00284BD5"/>
    <w:rsid w:val="00286B94"/>
    <w:rsid w:val="002873DF"/>
    <w:rsid w:val="00290C6E"/>
    <w:rsid w:val="00290C97"/>
    <w:rsid w:val="0029100B"/>
    <w:rsid w:val="00291935"/>
    <w:rsid w:val="0029271B"/>
    <w:rsid w:val="00293065"/>
    <w:rsid w:val="0029329A"/>
    <w:rsid w:val="00293E85"/>
    <w:rsid w:val="0029453B"/>
    <w:rsid w:val="00294596"/>
    <w:rsid w:val="00294FFE"/>
    <w:rsid w:val="0029711A"/>
    <w:rsid w:val="002975AD"/>
    <w:rsid w:val="00297713"/>
    <w:rsid w:val="00297AD8"/>
    <w:rsid w:val="00297B69"/>
    <w:rsid w:val="00297F52"/>
    <w:rsid w:val="002A1F46"/>
    <w:rsid w:val="002A20EA"/>
    <w:rsid w:val="002A23C4"/>
    <w:rsid w:val="002A329B"/>
    <w:rsid w:val="002A525A"/>
    <w:rsid w:val="002A7CE0"/>
    <w:rsid w:val="002B0DFF"/>
    <w:rsid w:val="002B135A"/>
    <w:rsid w:val="002B1ABD"/>
    <w:rsid w:val="002B2742"/>
    <w:rsid w:val="002B397B"/>
    <w:rsid w:val="002B5BB2"/>
    <w:rsid w:val="002B78C0"/>
    <w:rsid w:val="002B78C3"/>
    <w:rsid w:val="002B799D"/>
    <w:rsid w:val="002C189A"/>
    <w:rsid w:val="002C54B2"/>
    <w:rsid w:val="002C5D5D"/>
    <w:rsid w:val="002C6F83"/>
    <w:rsid w:val="002C7339"/>
    <w:rsid w:val="002C75D6"/>
    <w:rsid w:val="002C7B23"/>
    <w:rsid w:val="002C7B7A"/>
    <w:rsid w:val="002C7F14"/>
    <w:rsid w:val="002D0B71"/>
    <w:rsid w:val="002D1165"/>
    <w:rsid w:val="002D473C"/>
    <w:rsid w:val="002D6E03"/>
    <w:rsid w:val="002E138F"/>
    <w:rsid w:val="002E1506"/>
    <w:rsid w:val="002E5E1C"/>
    <w:rsid w:val="002E605B"/>
    <w:rsid w:val="002E667F"/>
    <w:rsid w:val="002F184A"/>
    <w:rsid w:val="002F1EFA"/>
    <w:rsid w:val="002F2E31"/>
    <w:rsid w:val="002F2E92"/>
    <w:rsid w:val="002F3C9A"/>
    <w:rsid w:val="002F456A"/>
    <w:rsid w:val="002F51C0"/>
    <w:rsid w:val="002F701D"/>
    <w:rsid w:val="00300440"/>
    <w:rsid w:val="00300EAD"/>
    <w:rsid w:val="00301FC5"/>
    <w:rsid w:val="00303862"/>
    <w:rsid w:val="00303CC3"/>
    <w:rsid w:val="00304CB4"/>
    <w:rsid w:val="00304F73"/>
    <w:rsid w:val="003071F0"/>
    <w:rsid w:val="00310188"/>
    <w:rsid w:val="003104F1"/>
    <w:rsid w:val="00311576"/>
    <w:rsid w:val="003124D6"/>
    <w:rsid w:val="003126EB"/>
    <w:rsid w:val="00313A7B"/>
    <w:rsid w:val="00314810"/>
    <w:rsid w:val="0031643C"/>
    <w:rsid w:val="003172B1"/>
    <w:rsid w:val="00320830"/>
    <w:rsid w:val="003218DE"/>
    <w:rsid w:val="00327E34"/>
    <w:rsid w:val="00333C48"/>
    <w:rsid w:val="00335C74"/>
    <w:rsid w:val="0033699E"/>
    <w:rsid w:val="00336B55"/>
    <w:rsid w:val="0033751A"/>
    <w:rsid w:val="0034076D"/>
    <w:rsid w:val="00340B5A"/>
    <w:rsid w:val="003424AA"/>
    <w:rsid w:val="00343E6C"/>
    <w:rsid w:val="00344045"/>
    <w:rsid w:val="00344E30"/>
    <w:rsid w:val="00345A2B"/>
    <w:rsid w:val="00345E38"/>
    <w:rsid w:val="00346407"/>
    <w:rsid w:val="00346FF1"/>
    <w:rsid w:val="00350ABA"/>
    <w:rsid w:val="00352715"/>
    <w:rsid w:val="003539B7"/>
    <w:rsid w:val="00360649"/>
    <w:rsid w:val="00361C6E"/>
    <w:rsid w:val="0036210F"/>
    <w:rsid w:val="0036343D"/>
    <w:rsid w:val="00363A05"/>
    <w:rsid w:val="003644A2"/>
    <w:rsid w:val="00365AA4"/>
    <w:rsid w:val="00366057"/>
    <w:rsid w:val="00366839"/>
    <w:rsid w:val="003675D7"/>
    <w:rsid w:val="00367BD5"/>
    <w:rsid w:val="00371128"/>
    <w:rsid w:val="00374707"/>
    <w:rsid w:val="00376547"/>
    <w:rsid w:val="00376CA0"/>
    <w:rsid w:val="00380E37"/>
    <w:rsid w:val="00381360"/>
    <w:rsid w:val="00381F39"/>
    <w:rsid w:val="00382608"/>
    <w:rsid w:val="0038466B"/>
    <w:rsid w:val="00386286"/>
    <w:rsid w:val="00386C3E"/>
    <w:rsid w:val="00386C99"/>
    <w:rsid w:val="0038789C"/>
    <w:rsid w:val="0038794D"/>
    <w:rsid w:val="003906DE"/>
    <w:rsid w:val="003909CB"/>
    <w:rsid w:val="0039295B"/>
    <w:rsid w:val="003935A5"/>
    <w:rsid w:val="0039396D"/>
    <w:rsid w:val="00393E28"/>
    <w:rsid w:val="003A0035"/>
    <w:rsid w:val="003A009A"/>
    <w:rsid w:val="003A0496"/>
    <w:rsid w:val="003A12DB"/>
    <w:rsid w:val="003A1E86"/>
    <w:rsid w:val="003A24E7"/>
    <w:rsid w:val="003A42F0"/>
    <w:rsid w:val="003A5024"/>
    <w:rsid w:val="003A5082"/>
    <w:rsid w:val="003A57FC"/>
    <w:rsid w:val="003A5B3B"/>
    <w:rsid w:val="003A677C"/>
    <w:rsid w:val="003A712A"/>
    <w:rsid w:val="003B1072"/>
    <w:rsid w:val="003B111B"/>
    <w:rsid w:val="003B14F7"/>
    <w:rsid w:val="003B23B1"/>
    <w:rsid w:val="003B2925"/>
    <w:rsid w:val="003B2970"/>
    <w:rsid w:val="003B38F5"/>
    <w:rsid w:val="003B4BCA"/>
    <w:rsid w:val="003B5779"/>
    <w:rsid w:val="003B582E"/>
    <w:rsid w:val="003B7201"/>
    <w:rsid w:val="003B7538"/>
    <w:rsid w:val="003B7E21"/>
    <w:rsid w:val="003C0FFF"/>
    <w:rsid w:val="003C2C5B"/>
    <w:rsid w:val="003C2F82"/>
    <w:rsid w:val="003C3DF1"/>
    <w:rsid w:val="003C4F06"/>
    <w:rsid w:val="003C6D6B"/>
    <w:rsid w:val="003C74CE"/>
    <w:rsid w:val="003C7EA8"/>
    <w:rsid w:val="003D1B9F"/>
    <w:rsid w:val="003D29B1"/>
    <w:rsid w:val="003D3C30"/>
    <w:rsid w:val="003D3CF2"/>
    <w:rsid w:val="003D4E07"/>
    <w:rsid w:val="003D512A"/>
    <w:rsid w:val="003D5A92"/>
    <w:rsid w:val="003D5D2E"/>
    <w:rsid w:val="003D61E0"/>
    <w:rsid w:val="003D6A4E"/>
    <w:rsid w:val="003E0092"/>
    <w:rsid w:val="003E1C9D"/>
    <w:rsid w:val="003E3138"/>
    <w:rsid w:val="003E5670"/>
    <w:rsid w:val="003E7925"/>
    <w:rsid w:val="003E7E25"/>
    <w:rsid w:val="003F26C8"/>
    <w:rsid w:val="003F35B1"/>
    <w:rsid w:val="003F5F63"/>
    <w:rsid w:val="00400058"/>
    <w:rsid w:val="00400B46"/>
    <w:rsid w:val="0040120D"/>
    <w:rsid w:val="00401344"/>
    <w:rsid w:val="00401590"/>
    <w:rsid w:val="0040395A"/>
    <w:rsid w:val="00403EBB"/>
    <w:rsid w:val="00404273"/>
    <w:rsid w:val="00404473"/>
    <w:rsid w:val="00404C0C"/>
    <w:rsid w:val="00405C14"/>
    <w:rsid w:val="00406BD4"/>
    <w:rsid w:val="004074C6"/>
    <w:rsid w:val="00407BAE"/>
    <w:rsid w:val="0041043A"/>
    <w:rsid w:val="00411232"/>
    <w:rsid w:val="00411633"/>
    <w:rsid w:val="00413860"/>
    <w:rsid w:val="0041664B"/>
    <w:rsid w:val="00416965"/>
    <w:rsid w:val="00417129"/>
    <w:rsid w:val="00421907"/>
    <w:rsid w:val="00421CAC"/>
    <w:rsid w:val="00422363"/>
    <w:rsid w:val="004235ED"/>
    <w:rsid w:val="004238EF"/>
    <w:rsid w:val="00423AE1"/>
    <w:rsid w:val="00424826"/>
    <w:rsid w:val="0043103B"/>
    <w:rsid w:val="00431842"/>
    <w:rsid w:val="00431D87"/>
    <w:rsid w:val="00434352"/>
    <w:rsid w:val="00435088"/>
    <w:rsid w:val="00440E8D"/>
    <w:rsid w:val="00441844"/>
    <w:rsid w:val="004419A5"/>
    <w:rsid w:val="00441A30"/>
    <w:rsid w:val="00441F7D"/>
    <w:rsid w:val="004443FC"/>
    <w:rsid w:val="004477FC"/>
    <w:rsid w:val="004479F0"/>
    <w:rsid w:val="00447C9A"/>
    <w:rsid w:val="004510E3"/>
    <w:rsid w:val="004519EE"/>
    <w:rsid w:val="0045233A"/>
    <w:rsid w:val="00453A22"/>
    <w:rsid w:val="00454CDB"/>
    <w:rsid w:val="00454F39"/>
    <w:rsid w:val="00454F54"/>
    <w:rsid w:val="00455982"/>
    <w:rsid w:val="004563E8"/>
    <w:rsid w:val="00456E37"/>
    <w:rsid w:val="00461286"/>
    <w:rsid w:val="00465E42"/>
    <w:rsid w:val="00466FB8"/>
    <w:rsid w:val="0046787C"/>
    <w:rsid w:val="004679C7"/>
    <w:rsid w:val="00470895"/>
    <w:rsid w:val="004713F3"/>
    <w:rsid w:val="0047223A"/>
    <w:rsid w:val="00473B59"/>
    <w:rsid w:val="00473B64"/>
    <w:rsid w:val="00474186"/>
    <w:rsid w:val="004741BA"/>
    <w:rsid w:val="0047527F"/>
    <w:rsid w:val="0047664F"/>
    <w:rsid w:val="00476690"/>
    <w:rsid w:val="004772EC"/>
    <w:rsid w:val="00481D32"/>
    <w:rsid w:val="004820D9"/>
    <w:rsid w:val="0048245A"/>
    <w:rsid w:val="004827C6"/>
    <w:rsid w:val="004829F1"/>
    <w:rsid w:val="00483937"/>
    <w:rsid w:val="004845EF"/>
    <w:rsid w:val="00484B2E"/>
    <w:rsid w:val="00484DB6"/>
    <w:rsid w:val="00490A0A"/>
    <w:rsid w:val="004910B6"/>
    <w:rsid w:val="004915B8"/>
    <w:rsid w:val="00491A27"/>
    <w:rsid w:val="00491D7A"/>
    <w:rsid w:val="00491DA4"/>
    <w:rsid w:val="00492FC3"/>
    <w:rsid w:val="00493F04"/>
    <w:rsid w:val="00494B0F"/>
    <w:rsid w:val="00495205"/>
    <w:rsid w:val="004963F3"/>
    <w:rsid w:val="0049644B"/>
    <w:rsid w:val="00497431"/>
    <w:rsid w:val="004A10BE"/>
    <w:rsid w:val="004A43EF"/>
    <w:rsid w:val="004A4EF4"/>
    <w:rsid w:val="004A6C78"/>
    <w:rsid w:val="004A7D3A"/>
    <w:rsid w:val="004B0DE6"/>
    <w:rsid w:val="004B133D"/>
    <w:rsid w:val="004B2C9D"/>
    <w:rsid w:val="004B2F0A"/>
    <w:rsid w:val="004B54A4"/>
    <w:rsid w:val="004B5B16"/>
    <w:rsid w:val="004B7C0B"/>
    <w:rsid w:val="004C0158"/>
    <w:rsid w:val="004C0561"/>
    <w:rsid w:val="004C167B"/>
    <w:rsid w:val="004C208E"/>
    <w:rsid w:val="004C2FF6"/>
    <w:rsid w:val="004C3345"/>
    <w:rsid w:val="004C45C4"/>
    <w:rsid w:val="004C537C"/>
    <w:rsid w:val="004C549C"/>
    <w:rsid w:val="004C5647"/>
    <w:rsid w:val="004C6291"/>
    <w:rsid w:val="004D0B83"/>
    <w:rsid w:val="004D0CD5"/>
    <w:rsid w:val="004D2AA8"/>
    <w:rsid w:val="004D3125"/>
    <w:rsid w:val="004D33D3"/>
    <w:rsid w:val="004D3490"/>
    <w:rsid w:val="004D3592"/>
    <w:rsid w:val="004D4106"/>
    <w:rsid w:val="004D51BD"/>
    <w:rsid w:val="004D6160"/>
    <w:rsid w:val="004D64AD"/>
    <w:rsid w:val="004D6AD3"/>
    <w:rsid w:val="004D7241"/>
    <w:rsid w:val="004E437D"/>
    <w:rsid w:val="004E6AB5"/>
    <w:rsid w:val="004E74AD"/>
    <w:rsid w:val="004E7C89"/>
    <w:rsid w:val="004F0298"/>
    <w:rsid w:val="004F04B6"/>
    <w:rsid w:val="004F0CB5"/>
    <w:rsid w:val="004F2613"/>
    <w:rsid w:val="004F478F"/>
    <w:rsid w:val="004F57FD"/>
    <w:rsid w:val="004F67E9"/>
    <w:rsid w:val="004F7072"/>
    <w:rsid w:val="004F79C9"/>
    <w:rsid w:val="00500900"/>
    <w:rsid w:val="00500937"/>
    <w:rsid w:val="00501667"/>
    <w:rsid w:val="00501B66"/>
    <w:rsid w:val="00503591"/>
    <w:rsid w:val="00503C77"/>
    <w:rsid w:val="0050591E"/>
    <w:rsid w:val="0050611E"/>
    <w:rsid w:val="00506B41"/>
    <w:rsid w:val="00506D18"/>
    <w:rsid w:val="005104D2"/>
    <w:rsid w:val="0051062F"/>
    <w:rsid w:val="0051098E"/>
    <w:rsid w:val="00511D20"/>
    <w:rsid w:val="00512C41"/>
    <w:rsid w:val="00513CB2"/>
    <w:rsid w:val="00514010"/>
    <w:rsid w:val="005140CD"/>
    <w:rsid w:val="00515664"/>
    <w:rsid w:val="00516AB4"/>
    <w:rsid w:val="00517E42"/>
    <w:rsid w:val="005214C6"/>
    <w:rsid w:val="00522D97"/>
    <w:rsid w:val="005231B1"/>
    <w:rsid w:val="00523441"/>
    <w:rsid w:val="005248A0"/>
    <w:rsid w:val="00524F77"/>
    <w:rsid w:val="0052595C"/>
    <w:rsid w:val="0053100F"/>
    <w:rsid w:val="005317C6"/>
    <w:rsid w:val="00532C0D"/>
    <w:rsid w:val="0053358E"/>
    <w:rsid w:val="00533DC3"/>
    <w:rsid w:val="00533E33"/>
    <w:rsid w:val="00534556"/>
    <w:rsid w:val="00535A0F"/>
    <w:rsid w:val="005368C0"/>
    <w:rsid w:val="00540E41"/>
    <w:rsid w:val="00541257"/>
    <w:rsid w:val="005415BD"/>
    <w:rsid w:val="005415CA"/>
    <w:rsid w:val="00542C41"/>
    <w:rsid w:val="00542D6D"/>
    <w:rsid w:val="00545EFF"/>
    <w:rsid w:val="00546C8D"/>
    <w:rsid w:val="0054708D"/>
    <w:rsid w:val="00547D34"/>
    <w:rsid w:val="00550A57"/>
    <w:rsid w:val="00551114"/>
    <w:rsid w:val="005513F4"/>
    <w:rsid w:val="00551407"/>
    <w:rsid w:val="0055291D"/>
    <w:rsid w:val="00553ED9"/>
    <w:rsid w:val="00554B73"/>
    <w:rsid w:val="005550ED"/>
    <w:rsid w:val="005607DE"/>
    <w:rsid w:val="00560E4C"/>
    <w:rsid w:val="00561103"/>
    <w:rsid w:val="00561BF7"/>
    <w:rsid w:val="00563D6D"/>
    <w:rsid w:val="00564813"/>
    <w:rsid w:val="0056619C"/>
    <w:rsid w:val="0056669E"/>
    <w:rsid w:val="005676E9"/>
    <w:rsid w:val="00567BBA"/>
    <w:rsid w:val="00570A39"/>
    <w:rsid w:val="005733A2"/>
    <w:rsid w:val="00573AFF"/>
    <w:rsid w:val="00574BD0"/>
    <w:rsid w:val="00574F0F"/>
    <w:rsid w:val="0057518C"/>
    <w:rsid w:val="005769B0"/>
    <w:rsid w:val="00577996"/>
    <w:rsid w:val="0058196E"/>
    <w:rsid w:val="00582A0E"/>
    <w:rsid w:val="00587BBD"/>
    <w:rsid w:val="005920BF"/>
    <w:rsid w:val="00593BFF"/>
    <w:rsid w:val="00595143"/>
    <w:rsid w:val="0059654B"/>
    <w:rsid w:val="00597308"/>
    <w:rsid w:val="00597AE3"/>
    <w:rsid w:val="00597BAA"/>
    <w:rsid w:val="00597DF6"/>
    <w:rsid w:val="005A0272"/>
    <w:rsid w:val="005A109D"/>
    <w:rsid w:val="005A1C50"/>
    <w:rsid w:val="005A47A8"/>
    <w:rsid w:val="005A64DF"/>
    <w:rsid w:val="005A6F1A"/>
    <w:rsid w:val="005A72B8"/>
    <w:rsid w:val="005B3AAE"/>
    <w:rsid w:val="005B4907"/>
    <w:rsid w:val="005B4AC9"/>
    <w:rsid w:val="005B59FB"/>
    <w:rsid w:val="005B668F"/>
    <w:rsid w:val="005C0352"/>
    <w:rsid w:val="005C0F83"/>
    <w:rsid w:val="005C116E"/>
    <w:rsid w:val="005C1CE5"/>
    <w:rsid w:val="005C204D"/>
    <w:rsid w:val="005C4B39"/>
    <w:rsid w:val="005C5607"/>
    <w:rsid w:val="005C5857"/>
    <w:rsid w:val="005C793C"/>
    <w:rsid w:val="005D1203"/>
    <w:rsid w:val="005D1E6B"/>
    <w:rsid w:val="005D21A8"/>
    <w:rsid w:val="005D270E"/>
    <w:rsid w:val="005D609E"/>
    <w:rsid w:val="005D614C"/>
    <w:rsid w:val="005D6A8E"/>
    <w:rsid w:val="005D6F73"/>
    <w:rsid w:val="005D7844"/>
    <w:rsid w:val="005D79F6"/>
    <w:rsid w:val="005E1256"/>
    <w:rsid w:val="005E4605"/>
    <w:rsid w:val="005E4BAC"/>
    <w:rsid w:val="005E4CE7"/>
    <w:rsid w:val="005E56BE"/>
    <w:rsid w:val="005E5E1C"/>
    <w:rsid w:val="005E6352"/>
    <w:rsid w:val="005E686A"/>
    <w:rsid w:val="005E7A07"/>
    <w:rsid w:val="005E7B63"/>
    <w:rsid w:val="005F0786"/>
    <w:rsid w:val="005F1C13"/>
    <w:rsid w:val="005F33AB"/>
    <w:rsid w:val="005F3F59"/>
    <w:rsid w:val="005F5BB7"/>
    <w:rsid w:val="005F5D3A"/>
    <w:rsid w:val="005F6445"/>
    <w:rsid w:val="005F6775"/>
    <w:rsid w:val="005F6DEC"/>
    <w:rsid w:val="005F71C5"/>
    <w:rsid w:val="005F748B"/>
    <w:rsid w:val="005F762D"/>
    <w:rsid w:val="005F7DA0"/>
    <w:rsid w:val="00600227"/>
    <w:rsid w:val="0060060C"/>
    <w:rsid w:val="0060254B"/>
    <w:rsid w:val="006039C8"/>
    <w:rsid w:val="00603C92"/>
    <w:rsid w:val="00603E40"/>
    <w:rsid w:val="006049A9"/>
    <w:rsid w:val="00604BFC"/>
    <w:rsid w:val="00605A62"/>
    <w:rsid w:val="00606646"/>
    <w:rsid w:val="006073D4"/>
    <w:rsid w:val="00607988"/>
    <w:rsid w:val="00607D52"/>
    <w:rsid w:val="006107F7"/>
    <w:rsid w:val="00611845"/>
    <w:rsid w:val="006119EC"/>
    <w:rsid w:val="00614346"/>
    <w:rsid w:val="006149A9"/>
    <w:rsid w:val="006156B8"/>
    <w:rsid w:val="00615EF3"/>
    <w:rsid w:val="00616122"/>
    <w:rsid w:val="0061656C"/>
    <w:rsid w:val="0061687B"/>
    <w:rsid w:val="00616B91"/>
    <w:rsid w:val="00616E3A"/>
    <w:rsid w:val="00616FCF"/>
    <w:rsid w:val="006176CE"/>
    <w:rsid w:val="006212C9"/>
    <w:rsid w:val="006220C3"/>
    <w:rsid w:val="006230DE"/>
    <w:rsid w:val="00623EA7"/>
    <w:rsid w:val="00623EF2"/>
    <w:rsid w:val="00624737"/>
    <w:rsid w:val="00625EE0"/>
    <w:rsid w:val="006271A4"/>
    <w:rsid w:val="0062792A"/>
    <w:rsid w:val="00631A9F"/>
    <w:rsid w:val="006325A8"/>
    <w:rsid w:val="006327D2"/>
    <w:rsid w:val="006355C7"/>
    <w:rsid w:val="00635620"/>
    <w:rsid w:val="00636A69"/>
    <w:rsid w:val="00637064"/>
    <w:rsid w:val="00637B4D"/>
    <w:rsid w:val="00641190"/>
    <w:rsid w:val="00641DE2"/>
    <w:rsid w:val="00642082"/>
    <w:rsid w:val="00644CB9"/>
    <w:rsid w:val="00645FBE"/>
    <w:rsid w:val="0064699F"/>
    <w:rsid w:val="006510F6"/>
    <w:rsid w:val="00653808"/>
    <w:rsid w:val="00653974"/>
    <w:rsid w:val="006560FF"/>
    <w:rsid w:val="0065638C"/>
    <w:rsid w:val="00657697"/>
    <w:rsid w:val="00657AE4"/>
    <w:rsid w:val="00657DB0"/>
    <w:rsid w:val="00657E96"/>
    <w:rsid w:val="00662468"/>
    <w:rsid w:val="00662ECC"/>
    <w:rsid w:val="006633D2"/>
    <w:rsid w:val="0066395F"/>
    <w:rsid w:val="006648D4"/>
    <w:rsid w:val="0066709E"/>
    <w:rsid w:val="006671DD"/>
    <w:rsid w:val="00667B0C"/>
    <w:rsid w:val="006704EE"/>
    <w:rsid w:val="00670EC1"/>
    <w:rsid w:val="006710F2"/>
    <w:rsid w:val="00671875"/>
    <w:rsid w:val="00673C80"/>
    <w:rsid w:val="00675BEC"/>
    <w:rsid w:val="00675FA6"/>
    <w:rsid w:val="00676580"/>
    <w:rsid w:val="0068083E"/>
    <w:rsid w:val="00681064"/>
    <w:rsid w:val="00681800"/>
    <w:rsid w:val="00681840"/>
    <w:rsid w:val="00684C71"/>
    <w:rsid w:val="00685999"/>
    <w:rsid w:val="00686CF3"/>
    <w:rsid w:val="00687C29"/>
    <w:rsid w:val="00690BD7"/>
    <w:rsid w:val="00691162"/>
    <w:rsid w:val="006912C9"/>
    <w:rsid w:val="00691728"/>
    <w:rsid w:val="00691817"/>
    <w:rsid w:val="00691AF8"/>
    <w:rsid w:val="00693682"/>
    <w:rsid w:val="00693925"/>
    <w:rsid w:val="006943DB"/>
    <w:rsid w:val="00695A01"/>
    <w:rsid w:val="006A0182"/>
    <w:rsid w:val="006A0F30"/>
    <w:rsid w:val="006A2F04"/>
    <w:rsid w:val="006A3123"/>
    <w:rsid w:val="006A38C1"/>
    <w:rsid w:val="006A482D"/>
    <w:rsid w:val="006A6538"/>
    <w:rsid w:val="006A6D7F"/>
    <w:rsid w:val="006B0514"/>
    <w:rsid w:val="006B0BC0"/>
    <w:rsid w:val="006B107E"/>
    <w:rsid w:val="006B117D"/>
    <w:rsid w:val="006B1B81"/>
    <w:rsid w:val="006B3C5D"/>
    <w:rsid w:val="006B3D80"/>
    <w:rsid w:val="006B4252"/>
    <w:rsid w:val="006B4E03"/>
    <w:rsid w:val="006B4E29"/>
    <w:rsid w:val="006B6177"/>
    <w:rsid w:val="006B706F"/>
    <w:rsid w:val="006C0C0E"/>
    <w:rsid w:val="006C32F6"/>
    <w:rsid w:val="006C392C"/>
    <w:rsid w:val="006C4850"/>
    <w:rsid w:val="006C51A3"/>
    <w:rsid w:val="006C6710"/>
    <w:rsid w:val="006C779D"/>
    <w:rsid w:val="006C7F2F"/>
    <w:rsid w:val="006D0236"/>
    <w:rsid w:val="006D22D2"/>
    <w:rsid w:val="006D3EFC"/>
    <w:rsid w:val="006E06EA"/>
    <w:rsid w:val="006E094B"/>
    <w:rsid w:val="006E45A9"/>
    <w:rsid w:val="006E5DAB"/>
    <w:rsid w:val="006E5F34"/>
    <w:rsid w:val="006F021A"/>
    <w:rsid w:val="006F085C"/>
    <w:rsid w:val="006F2484"/>
    <w:rsid w:val="006F2842"/>
    <w:rsid w:val="006F33D6"/>
    <w:rsid w:val="006F3883"/>
    <w:rsid w:val="006F3C6B"/>
    <w:rsid w:val="006F48C9"/>
    <w:rsid w:val="006F5123"/>
    <w:rsid w:val="006F618A"/>
    <w:rsid w:val="006F70EF"/>
    <w:rsid w:val="007008AD"/>
    <w:rsid w:val="00700A7C"/>
    <w:rsid w:val="00703493"/>
    <w:rsid w:val="00703B65"/>
    <w:rsid w:val="00704D9F"/>
    <w:rsid w:val="00704DCE"/>
    <w:rsid w:val="0070556D"/>
    <w:rsid w:val="00707737"/>
    <w:rsid w:val="00707B7A"/>
    <w:rsid w:val="007103BB"/>
    <w:rsid w:val="00710D25"/>
    <w:rsid w:val="00711F6B"/>
    <w:rsid w:val="00713A47"/>
    <w:rsid w:val="00713B6C"/>
    <w:rsid w:val="00713C25"/>
    <w:rsid w:val="00713D77"/>
    <w:rsid w:val="00714C3D"/>
    <w:rsid w:val="00714F8A"/>
    <w:rsid w:val="00715D50"/>
    <w:rsid w:val="00717EAB"/>
    <w:rsid w:val="00720389"/>
    <w:rsid w:val="00720929"/>
    <w:rsid w:val="00720C4B"/>
    <w:rsid w:val="00723BE1"/>
    <w:rsid w:val="00726B78"/>
    <w:rsid w:val="00727AD2"/>
    <w:rsid w:val="007314CC"/>
    <w:rsid w:val="007318A6"/>
    <w:rsid w:val="00732708"/>
    <w:rsid w:val="00736BD1"/>
    <w:rsid w:val="00737B6C"/>
    <w:rsid w:val="00740E67"/>
    <w:rsid w:val="00745FB1"/>
    <w:rsid w:val="00746336"/>
    <w:rsid w:val="00747094"/>
    <w:rsid w:val="007473DA"/>
    <w:rsid w:val="00747C0B"/>
    <w:rsid w:val="00750141"/>
    <w:rsid w:val="0075034D"/>
    <w:rsid w:val="00750665"/>
    <w:rsid w:val="00750D85"/>
    <w:rsid w:val="0075221C"/>
    <w:rsid w:val="00752595"/>
    <w:rsid w:val="00752AE4"/>
    <w:rsid w:val="007531EF"/>
    <w:rsid w:val="00755784"/>
    <w:rsid w:val="00755C2A"/>
    <w:rsid w:val="007609D2"/>
    <w:rsid w:val="00760DCF"/>
    <w:rsid w:val="00761F12"/>
    <w:rsid w:val="00762349"/>
    <w:rsid w:val="00762549"/>
    <w:rsid w:val="00762871"/>
    <w:rsid w:val="007629D2"/>
    <w:rsid w:val="00762B13"/>
    <w:rsid w:val="00763600"/>
    <w:rsid w:val="00763DC6"/>
    <w:rsid w:val="00764564"/>
    <w:rsid w:val="00767BBB"/>
    <w:rsid w:val="00767BE3"/>
    <w:rsid w:val="00767C96"/>
    <w:rsid w:val="007704BD"/>
    <w:rsid w:val="00771D19"/>
    <w:rsid w:val="007753C8"/>
    <w:rsid w:val="00777279"/>
    <w:rsid w:val="00780824"/>
    <w:rsid w:val="00781C88"/>
    <w:rsid w:val="00783864"/>
    <w:rsid w:val="00783BBF"/>
    <w:rsid w:val="00784F91"/>
    <w:rsid w:val="00786450"/>
    <w:rsid w:val="00786987"/>
    <w:rsid w:val="00786DA8"/>
    <w:rsid w:val="00787C4A"/>
    <w:rsid w:val="00791195"/>
    <w:rsid w:val="00793C51"/>
    <w:rsid w:val="00794728"/>
    <w:rsid w:val="007A1959"/>
    <w:rsid w:val="007A27B6"/>
    <w:rsid w:val="007A3874"/>
    <w:rsid w:val="007A3E13"/>
    <w:rsid w:val="007A48C2"/>
    <w:rsid w:val="007A789D"/>
    <w:rsid w:val="007B0773"/>
    <w:rsid w:val="007B13A0"/>
    <w:rsid w:val="007B1E9B"/>
    <w:rsid w:val="007B3C65"/>
    <w:rsid w:val="007B4464"/>
    <w:rsid w:val="007B76EA"/>
    <w:rsid w:val="007C00A8"/>
    <w:rsid w:val="007C1D59"/>
    <w:rsid w:val="007C56A2"/>
    <w:rsid w:val="007C5869"/>
    <w:rsid w:val="007C672C"/>
    <w:rsid w:val="007D09C9"/>
    <w:rsid w:val="007D0CD9"/>
    <w:rsid w:val="007D112D"/>
    <w:rsid w:val="007D277B"/>
    <w:rsid w:val="007D5662"/>
    <w:rsid w:val="007D5A2D"/>
    <w:rsid w:val="007D5A6E"/>
    <w:rsid w:val="007D5E45"/>
    <w:rsid w:val="007D6BAD"/>
    <w:rsid w:val="007E2C5E"/>
    <w:rsid w:val="007E39A5"/>
    <w:rsid w:val="007E4DBA"/>
    <w:rsid w:val="007E6399"/>
    <w:rsid w:val="007E6DB1"/>
    <w:rsid w:val="007E7183"/>
    <w:rsid w:val="007E7236"/>
    <w:rsid w:val="007E76AC"/>
    <w:rsid w:val="007E7BC0"/>
    <w:rsid w:val="007F179A"/>
    <w:rsid w:val="007F17A2"/>
    <w:rsid w:val="007F2F53"/>
    <w:rsid w:val="007F3239"/>
    <w:rsid w:val="007F3B7B"/>
    <w:rsid w:val="007F55D1"/>
    <w:rsid w:val="007F55FC"/>
    <w:rsid w:val="007F6B4D"/>
    <w:rsid w:val="007F6C53"/>
    <w:rsid w:val="0080062D"/>
    <w:rsid w:val="0080451D"/>
    <w:rsid w:val="00806452"/>
    <w:rsid w:val="00807CE2"/>
    <w:rsid w:val="008114EC"/>
    <w:rsid w:val="00811829"/>
    <w:rsid w:val="00811E0A"/>
    <w:rsid w:val="00811EF4"/>
    <w:rsid w:val="00813429"/>
    <w:rsid w:val="008139DC"/>
    <w:rsid w:val="0081447C"/>
    <w:rsid w:val="00814BF7"/>
    <w:rsid w:val="0081500D"/>
    <w:rsid w:val="0081521E"/>
    <w:rsid w:val="00815969"/>
    <w:rsid w:val="00815AA7"/>
    <w:rsid w:val="00816E11"/>
    <w:rsid w:val="008170B5"/>
    <w:rsid w:val="00820474"/>
    <w:rsid w:val="00824488"/>
    <w:rsid w:val="00826C40"/>
    <w:rsid w:val="00826F73"/>
    <w:rsid w:val="008325A2"/>
    <w:rsid w:val="008328F8"/>
    <w:rsid w:val="008329B1"/>
    <w:rsid w:val="00834648"/>
    <w:rsid w:val="00834850"/>
    <w:rsid w:val="008361DE"/>
    <w:rsid w:val="0083679A"/>
    <w:rsid w:val="00840FEC"/>
    <w:rsid w:val="00841652"/>
    <w:rsid w:val="008419D3"/>
    <w:rsid w:val="00843951"/>
    <w:rsid w:val="0084441A"/>
    <w:rsid w:val="00844950"/>
    <w:rsid w:val="008458C1"/>
    <w:rsid w:val="00846C1E"/>
    <w:rsid w:val="00846EDF"/>
    <w:rsid w:val="00850E4A"/>
    <w:rsid w:val="008522E2"/>
    <w:rsid w:val="008529F2"/>
    <w:rsid w:val="00853969"/>
    <w:rsid w:val="00854132"/>
    <w:rsid w:val="00854F81"/>
    <w:rsid w:val="00856425"/>
    <w:rsid w:val="00856606"/>
    <w:rsid w:val="0085708E"/>
    <w:rsid w:val="0085757F"/>
    <w:rsid w:val="00861572"/>
    <w:rsid w:val="00862A5C"/>
    <w:rsid w:val="00862B00"/>
    <w:rsid w:val="0086387D"/>
    <w:rsid w:val="00863CA7"/>
    <w:rsid w:val="0086515C"/>
    <w:rsid w:val="008655F1"/>
    <w:rsid w:val="00865C33"/>
    <w:rsid w:val="008700E9"/>
    <w:rsid w:val="00870384"/>
    <w:rsid w:val="008705A4"/>
    <w:rsid w:val="00870BFC"/>
    <w:rsid w:val="00871E3B"/>
    <w:rsid w:val="00871FC7"/>
    <w:rsid w:val="00872F15"/>
    <w:rsid w:val="008760F0"/>
    <w:rsid w:val="00877992"/>
    <w:rsid w:val="00877AE2"/>
    <w:rsid w:val="008805B8"/>
    <w:rsid w:val="00884198"/>
    <w:rsid w:val="00885D87"/>
    <w:rsid w:val="008865F3"/>
    <w:rsid w:val="00887B86"/>
    <w:rsid w:val="00891DB2"/>
    <w:rsid w:val="00891DC8"/>
    <w:rsid w:val="0089386A"/>
    <w:rsid w:val="00893960"/>
    <w:rsid w:val="00893B70"/>
    <w:rsid w:val="00893D93"/>
    <w:rsid w:val="008974FC"/>
    <w:rsid w:val="00897B4C"/>
    <w:rsid w:val="00897D27"/>
    <w:rsid w:val="00897FE3"/>
    <w:rsid w:val="008A0359"/>
    <w:rsid w:val="008A5512"/>
    <w:rsid w:val="008A6F94"/>
    <w:rsid w:val="008A761F"/>
    <w:rsid w:val="008A780B"/>
    <w:rsid w:val="008A7C21"/>
    <w:rsid w:val="008B14C8"/>
    <w:rsid w:val="008B1C95"/>
    <w:rsid w:val="008B3C17"/>
    <w:rsid w:val="008B5854"/>
    <w:rsid w:val="008B599B"/>
    <w:rsid w:val="008B5E7D"/>
    <w:rsid w:val="008B6DA7"/>
    <w:rsid w:val="008C063C"/>
    <w:rsid w:val="008C1E68"/>
    <w:rsid w:val="008C2B79"/>
    <w:rsid w:val="008C384F"/>
    <w:rsid w:val="008C7CE8"/>
    <w:rsid w:val="008C7CFB"/>
    <w:rsid w:val="008D04E4"/>
    <w:rsid w:val="008D091E"/>
    <w:rsid w:val="008D1477"/>
    <w:rsid w:val="008D2814"/>
    <w:rsid w:val="008D32C0"/>
    <w:rsid w:val="008D3D18"/>
    <w:rsid w:val="008D4F1E"/>
    <w:rsid w:val="008D6EDC"/>
    <w:rsid w:val="008E48F1"/>
    <w:rsid w:val="008E7A8D"/>
    <w:rsid w:val="008F292D"/>
    <w:rsid w:val="008F29BB"/>
    <w:rsid w:val="008F2A2D"/>
    <w:rsid w:val="008F2FB8"/>
    <w:rsid w:val="008F4E7D"/>
    <w:rsid w:val="008F6866"/>
    <w:rsid w:val="008F77A1"/>
    <w:rsid w:val="009013E2"/>
    <w:rsid w:val="009017B3"/>
    <w:rsid w:val="0090216A"/>
    <w:rsid w:val="00902278"/>
    <w:rsid w:val="00903F2F"/>
    <w:rsid w:val="00904201"/>
    <w:rsid w:val="0090456C"/>
    <w:rsid w:val="00904A5A"/>
    <w:rsid w:val="00904DD7"/>
    <w:rsid w:val="00907F13"/>
    <w:rsid w:val="00912117"/>
    <w:rsid w:val="00913478"/>
    <w:rsid w:val="0091390C"/>
    <w:rsid w:val="0091644E"/>
    <w:rsid w:val="00916ACD"/>
    <w:rsid w:val="00920454"/>
    <w:rsid w:val="0092063F"/>
    <w:rsid w:val="00920AAB"/>
    <w:rsid w:val="00922271"/>
    <w:rsid w:val="00923B12"/>
    <w:rsid w:val="00924175"/>
    <w:rsid w:val="00925418"/>
    <w:rsid w:val="009258C0"/>
    <w:rsid w:val="009267AE"/>
    <w:rsid w:val="00926978"/>
    <w:rsid w:val="009275AB"/>
    <w:rsid w:val="00927B30"/>
    <w:rsid w:val="0093119B"/>
    <w:rsid w:val="009323F8"/>
    <w:rsid w:val="009329D1"/>
    <w:rsid w:val="00932BD3"/>
    <w:rsid w:val="00933F5A"/>
    <w:rsid w:val="00934038"/>
    <w:rsid w:val="00934DB3"/>
    <w:rsid w:val="0093577C"/>
    <w:rsid w:val="009373C7"/>
    <w:rsid w:val="00937EE8"/>
    <w:rsid w:val="00940308"/>
    <w:rsid w:val="00940A16"/>
    <w:rsid w:val="0094109D"/>
    <w:rsid w:val="00943008"/>
    <w:rsid w:val="00950404"/>
    <w:rsid w:val="00950C5F"/>
    <w:rsid w:val="00951435"/>
    <w:rsid w:val="00951BC8"/>
    <w:rsid w:val="009559B4"/>
    <w:rsid w:val="009562A5"/>
    <w:rsid w:val="00956379"/>
    <w:rsid w:val="00956927"/>
    <w:rsid w:val="00956D25"/>
    <w:rsid w:val="009603C0"/>
    <w:rsid w:val="00960B6B"/>
    <w:rsid w:val="00961240"/>
    <w:rsid w:val="00964382"/>
    <w:rsid w:val="00964944"/>
    <w:rsid w:val="0096671C"/>
    <w:rsid w:val="009702F6"/>
    <w:rsid w:val="009731F6"/>
    <w:rsid w:val="00973B3D"/>
    <w:rsid w:val="009749B4"/>
    <w:rsid w:val="00974B20"/>
    <w:rsid w:val="00975179"/>
    <w:rsid w:val="00976245"/>
    <w:rsid w:val="00976F3E"/>
    <w:rsid w:val="009806C4"/>
    <w:rsid w:val="00981764"/>
    <w:rsid w:val="00982766"/>
    <w:rsid w:val="00984084"/>
    <w:rsid w:val="0098418E"/>
    <w:rsid w:val="00984A66"/>
    <w:rsid w:val="00984B00"/>
    <w:rsid w:val="00984BD5"/>
    <w:rsid w:val="00984EAE"/>
    <w:rsid w:val="00985EBD"/>
    <w:rsid w:val="00987608"/>
    <w:rsid w:val="00990269"/>
    <w:rsid w:val="009902D4"/>
    <w:rsid w:val="00991B6D"/>
    <w:rsid w:val="00992380"/>
    <w:rsid w:val="00992F24"/>
    <w:rsid w:val="00993762"/>
    <w:rsid w:val="00995833"/>
    <w:rsid w:val="0099606A"/>
    <w:rsid w:val="009972A4"/>
    <w:rsid w:val="009A4344"/>
    <w:rsid w:val="009A48B1"/>
    <w:rsid w:val="009A537B"/>
    <w:rsid w:val="009A5996"/>
    <w:rsid w:val="009A61A4"/>
    <w:rsid w:val="009A6E0E"/>
    <w:rsid w:val="009B0470"/>
    <w:rsid w:val="009B048D"/>
    <w:rsid w:val="009B2ECA"/>
    <w:rsid w:val="009B383C"/>
    <w:rsid w:val="009B38F7"/>
    <w:rsid w:val="009B3F50"/>
    <w:rsid w:val="009B4081"/>
    <w:rsid w:val="009B4179"/>
    <w:rsid w:val="009B4328"/>
    <w:rsid w:val="009B6537"/>
    <w:rsid w:val="009B6DB4"/>
    <w:rsid w:val="009B6E4A"/>
    <w:rsid w:val="009B6F52"/>
    <w:rsid w:val="009C05C1"/>
    <w:rsid w:val="009C0C45"/>
    <w:rsid w:val="009C0D94"/>
    <w:rsid w:val="009C0F78"/>
    <w:rsid w:val="009C1B01"/>
    <w:rsid w:val="009C2C42"/>
    <w:rsid w:val="009C32E3"/>
    <w:rsid w:val="009C360E"/>
    <w:rsid w:val="009C4935"/>
    <w:rsid w:val="009C6B4F"/>
    <w:rsid w:val="009D2250"/>
    <w:rsid w:val="009D2775"/>
    <w:rsid w:val="009D27A9"/>
    <w:rsid w:val="009D2C6C"/>
    <w:rsid w:val="009D2FAE"/>
    <w:rsid w:val="009D3756"/>
    <w:rsid w:val="009D3C5D"/>
    <w:rsid w:val="009D6B3D"/>
    <w:rsid w:val="009D6C7C"/>
    <w:rsid w:val="009D7689"/>
    <w:rsid w:val="009E19A2"/>
    <w:rsid w:val="009E1B8E"/>
    <w:rsid w:val="009E1C45"/>
    <w:rsid w:val="009E209E"/>
    <w:rsid w:val="009E2361"/>
    <w:rsid w:val="009E3324"/>
    <w:rsid w:val="009E4A84"/>
    <w:rsid w:val="009E4E72"/>
    <w:rsid w:val="009E6F90"/>
    <w:rsid w:val="009F0A9D"/>
    <w:rsid w:val="009F15C9"/>
    <w:rsid w:val="009F161F"/>
    <w:rsid w:val="009F287B"/>
    <w:rsid w:val="009F2A7F"/>
    <w:rsid w:val="009F3471"/>
    <w:rsid w:val="009F34C5"/>
    <w:rsid w:val="009F3B80"/>
    <w:rsid w:val="009F438C"/>
    <w:rsid w:val="009F4B4F"/>
    <w:rsid w:val="009F684C"/>
    <w:rsid w:val="009F76CB"/>
    <w:rsid w:val="009F7B42"/>
    <w:rsid w:val="00A008D7"/>
    <w:rsid w:val="00A00DF6"/>
    <w:rsid w:val="00A01F52"/>
    <w:rsid w:val="00A02EDE"/>
    <w:rsid w:val="00A03288"/>
    <w:rsid w:val="00A035D7"/>
    <w:rsid w:val="00A04170"/>
    <w:rsid w:val="00A04A75"/>
    <w:rsid w:val="00A04E09"/>
    <w:rsid w:val="00A05F88"/>
    <w:rsid w:val="00A06B52"/>
    <w:rsid w:val="00A06CBF"/>
    <w:rsid w:val="00A073C8"/>
    <w:rsid w:val="00A10F7C"/>
    <w:rsid w:val="00A120AB"/>
    <w:rsid w:val="00A12141"/>
    <w:rsid w:val="00A130A3"/>
    <w:rsid w:val="00A14527"/>
    <w:rsid w:val="00A15702"/>
    <w:rsid w:val="00A15CAC"/>
    <w:rsid w:val="00A16042"/>
    <w:rsid w:val="00A163D6"/>
    <w:rsid w:val="00A1664B"/>
    <w:rsid w:val="00A16B07"/>
    <w:rsid w:val="00A20993"/>
    <w:rsid w:val="00A218DD"/>
    <w:rsid w:val="00A2385A"/>
    <w:rsid w:val="00A23ACF"/>
    <w:rsid w:val="00A2432D"/>
    <w:rsid w:val="00A24E49"/>
    <w:rsid w:val="00A255C6"/>
    <w:rsid w:val="00A256F7"/>
    <w:rsid w:val="00A25C22"/>
    <w:rsid w:val="00A263AB"/>
    <w:rsid w:val="00A27605"/>
    <w:rsid w:val="00A27803"/>
    <w:rsid w:val="00A3223D"/>
    <w:rsid w:val="00A33C15"/>
    <w:rsid w:val="00A341B8"/>
    <w:rsid w:val="00A34BD3"/>
    <w:rsid w:val="00A3509C"/>
    <w:rsid w:val="00A358FB"/>
    <w:rsid w:val="00A37524"/>
    <w:rsid w:val="00A40203"/>
    <w:rsid w:val="00A41BC1"/>
    <w:rsid w:val="00A4372D"/>
    <w:rsid w:val="00A446D8"/>
    <w:rsid w:val="00A44E7B"/>
    <w:rsid w:val="00A45D28"/>
    <w:rsid w:val="00A4607D"/>
    <w:rsid w:val="00A479E9"/>
    <w:rsid w:val="00A47B7B"/>
    <w:rsid w:val="00A5131E"/>
    <w:rsid w:val="00A518DF"/>
    <w:rsid w:val="00A519FE"/>
    <w:rsid w:val="00A51C2B"/>
    <w:rsid w:val="00A51F75"/>
    <w:rsid w:val="00A5279A"/>
    <w:rsid w:val="00A54120"/>
    <w:rsid w:val="00A57D7E"/>
    <w:rsid w:val="00A61879"/>
    <w:rsid w:val="00A629C8"/>
    <w:rsid w:val="00A6440B"/>
    <w:rsid w:val="00A64E0A"/>
    <w:rsid w:val="00A66FF2"/>
    <w:rsid w:val="00A6743C"/>
    <w:rsid w:val="00A67AB5"/>
    <w:rsid w:val="00A718C3"/>
    <w:rsid w:val="00A71A93"/>
    <w:rsid w:val="00A7666F"/>
    <w:rsid w:val="00A76CC3"/>
    <w:rsid w:val="00A77832"/>
    <w:rsid w:val="00A809DE"/>
    <w:rsid w:val="00A827A2"/>
    <w:rsid w:val="00A83B43"/>
    <w:rsid w:val="00A83C3C"/>
    <w:rsid w:val="00A83F02"/>
    <w:rsid w:val="00A83FAC"/>
    <w:rsid w:val="00A84003"/>
    <w:rsid w:val="00A8573B"/>
    <w:rsid w:val="00A85CA9"/>
    <w:rsid w:val="00A9046F"/>
    <w:rsid w:val="00A9171B"/>
    <w:rsid w:val="00A91C81"/>
    <w:rsid w:val="00A91C85"/>
    <w:rsid w:val="00A924F0"/>
    <w:rsid w:val="00A92FAE"/>
    <w:rsid w:val="00A935DF"/>
    <w:rsid w:val="00A937BF"/>
    <w:rsid w:val="00A964DA"/>
    <w:rsid w:val="00A97246"/>
    <w:rsid w:val="00AA0101"/>
    <w:rsid w:val="00AA0965"/>
    <w:rsid w:val="00AA10D8"/>
    <w:rsid w:val="00AA1BDE"/>
    <w:rsid w:val="00AA2A2F"/>
    <w:rsid w:val="00AA42E9"/>
    <w:rsid w:val="00AA49BB"/>
    <w:rsid w:val="00AA50E0"/>
    <w:rsid w:val="00AA5155"/>
    <w:rsid w:val="00AA546D"/>
    <w:rsid w:val="00AA58FB"/>
    <w:rsid w:val="00AA636F"/>
    <w:rsid w:val="00AA6B51"/>
    <w:rsid w:val="00AA6C70"/>
    <w:rsid w:val="00AA7312"/>
    <w:rsid w:val="00AB3BC1"/>
    <w:rsid w:val="00AB3C54"/>
    <w:rsid w:val="00AB43DA"/>
    <w:rsid w:val="00AB5CE7"/>
    <w:rsid w:val="00AB689F"/>
    <w:rsid w:val="00AB71F0"/>
    <w:rsid w:val="00AC064F"/>
    <w:rsid w:val="00AC0AB5"/>
    <w:rsid w:val="00AC1AB4"/>
    <w:rsid w:val="00AC1B60"/>
    <w:rsid w:val="00AC1F71"/>
    <w:rsid w:val="00AC2EB7"/>
    <w:rsid w:val="00AC353A"/>
    <w:rsid w:val="00AC3E6A"/>
    <w:rsid w:val="00AC4778"/>
    <w:rsid w:val="00AC4786"/>
    <w:rsid w:val="00AC64DB"/>
    <w:rsid w:val="00AC6857"/>
    <w:rsid w:val="00AC685F"/>
    <w:rsid w:val="00AC6DB4"/>
    <w:rsid w:val="00AC713C"/>
    <w:rsid w:val="00AD0594"/>
    <w:rsid w:val="00AD0BD9"/>
    <w:rsid w:val="00AD0F9D"/>
    <w:rsid w:val="00AD124F"/>
    <w:rsid w:val="00AD1295"/>
    <w:rsid w:val="00AD12C3"/>
    <w:rsid w:val="00AD12DA"/>
    <w:rsid w:val="00AD1332"/>
    <w:rsid w:val="00AD14EA"/>
    <w:rsid w:val="00AD499A"/>
    <w:rsid w:val="00AD4B07"/>
    <w:rsid w:val="00AD5412"/>
    <w:rsid w:val="00AD54B2"/>
    <w:rsid w:val="00AD5ABB"/>
    <w:rsid w:val="00AD694B"/>
    <w:rsid w:val="00AD7C86"/>
    <w:rsid w:val="00AE0313"/>
    <w:rsid w:val="00AE0DC8"/>
    <w:rsid w:val="00AE3E11"/>
    <w:rsid w:val="00AE4987"/>
    <w:rsid w:val="00AE6A73"/>
    <w:rsid w:val="00AF1849"/>
    <w:rsid w:val="00AF2819"/>
    <w:rsid w:val="00AF2D42"/>
    <w:rsid w:val="00AF2F07"/>
    <w:rsid w:val="00AF3FBB"/>
    <w:rsid w:val="00AF4D77"/>
    <w:rsid w:val="00AF6092"/>
    <w:rsid w:val="00AF64A5"/>
    <w:rsid w:val="00AF6A59"/>
    <w:rsid w:val="00AF6D0A"/>
    <w:rsid w:val="00AF7042"/>
    <w:rsid w:val="00B01680"/>
    <w:rsid w:val="00B02A6D"/>
    <w:rsid w:val="00B060D1"/>
    <w:rsid w:val="00B06FE2"/>
    <w:rsid w:val="00B073FD"/>
    <w:rsid w:val="00B07917"/>
    <w:rsid w:val="00B07C20"/>
    <w:rsid w:val="00B1034E"/>
    <w:rsid w:val="00B1154B"/>
    <w:rsid w:val="00B11657"/>
    <w:rsid w:val="00B116D8"/>
    <w:rsid w:val="00B11E41"/>
    <w:rsid w:val="00B1218F"/>
    <w:rsid w:val="00B125EE"/>
    <w:rsid w:val="00B12785"/>
    <w:rsid w:val="00B14714"/>
    <w:rsid w:val="00B152F0"/>
    <w:rsid w:val="00B153E5"/>
    <w:rsid w:val="00B1595A"/>
    <w:rsid w:val="00B16C1E"/>
    <w:rsid w:val="00B17482"/>
    <w:rsid w:val="00B17D48"/>
    <w:rsid w:val="00B2012E"/>
    <w:rsid w:val="00B21C6E"/>
    <w:rsid w:val="00B2229C"/>
    <w:rsid w:val="00B231BC"/>
    <w:rsid w:val="00B239B9"/>
    <w:rsid w:val="00B245F0"/>
    <w:rsid w:val="00B25253"/>
    <w:rsid w:val="00B255E0"/>
    <w:rsid w:val="00B2635D"/>
    <w:rsid w:val="00B26625"/>
    <w:rsid w:val="00B26F52"/>
    <w:rsid w:val="00B276B4"/>
    <w:rsid w:val="00B27C9B"/>
    <w:rsid w:val="00B325C1"/>
    <w:rsid w:val="00B33894"/>
    <w:rsid w:val="00B36E71"/>
    <w:rsid w:val="00B4112A"/>
    <w:rsid w:val="00B422CE"/>
    <w:rsid w:val="00B43487"/>
    <w:rsid w:val="00B45B93"/>
    <w:rsid w:val="00B47C7B"/>
    <w:rsid w:val="00B47C7D"/>
    <w:rsid w:val="00B47D11"/>
    <w:rsid w:val="00B5073B"/>
    <w:rsid w:val="00B5257A"/>
    <w:rsid w:val="00B53AD8"/>
    <w:rsid w:val="00B54171"/>
    <w:rsid w:val="00B5696B"/>
    <w:rsid w:val="00B56BAA"/>
    <w:rsid w:val="00B579D8"/>
    <w:rsid w:val="00B57B1C"/>
    <w:rsid w:val="00B609EC"/>
    <w:rsid w:val="00B6241E"/>
    <w:rsid w:val="00B62A3A"/>
    <w:rsid w:val="00B637CC"/>
    <w:rsid w:val="00B63F84"/>
    <w:rsid w:val="00B65A61"/>
    <w:rsid w:val="00B66189"/>
    <w:rsid w:val="00B6660C"/>
    <w:rsid w:val="00B67772"/>
    <w:rsid w:val="00B67BED"/>
    <w:rsid w:val="00B7150A"/>
    <w:rsid w:val="00B73244"/>
    <w:rsid w:val="00B743BB"/>
    <w:rsid w:val="00B757D9"/>
    <w:rsid w:val="00B778FB"/>
    <w:rsid w:val="00B81A72"/>
    <w:rsid w:val="00B8207F"/>
    <w:rsid w:val="00B8261D"/>
    <w:rsid w:val="00B82878"/>
    <w:rsid w:val="00B82D74"/>
    <w:rsid w:val="00B82DE1"/>
    <w:rsid w:val="00B82E52"/>
    <w:rsid w:val="00B848B5"/>
    <w:rsid w:val="00B84D9C"/>
    <w:rsid w:val="00B85001"/>
    <w:rsid w:val="00B85A94"/>
    <w:rsid w:val="00B85E0B"/>
    <w:rsid w:val="00B87B63"/>
    <w:rsid w:val="00B900EE"/>
    <w:rsid w:val="00B913C0"/>
    <w:rsid w:val="00B92055"/>
    <w:rsid w:val="00B94721"/>
    <w:rsid w:val="00B97B3C"/>
    <w:rsid w:val="00BA0E52"/>
    <w:rsid w:val="00BA128D"/>
    <w:rsid w:val="00BA236F"/>
    <w:rsid w:val="00BA3030"/>
    <w:rsid w:val="00BA3449"/>
    <w:rsid w:val="00BA3887"/>
    <w:rsid w:val="00BA40B6"/>
    <w:rsid w:val="00BA40F2"/>
    <w:rsid w:val="00BA417E"/>
    <w:rsid w:val="00BA5D3C"/>
    <w:rsid w:val="00BA6282"/>
    <w:rsid w:val="00BA683A"/>
    <w:rsid w:val="00BA6D36"/>
    <w:rsid w:val="00BA7CF0"/>
    <w:rsid w:val="00BA7F15"/>
    <w:rsid w:val="00BB1AFA"/>
    <w:rsid w:val="00BB4573"/>
    <w:rsid w:val="00BB4638"/>
    <w:rsid w:val="00BB4C58"/>
    <w:rsid w:val="00BB500D"/>
    <w:rsid w:val="00BB57A0"/>
    <w:rsid w:val="00BB5E2A"/>
    <w:rsid w:val="00BB60A6"/>
    <w:rsid w:val="00BB6C68"/>
    <w:rsid w:val="00BB6DCA"/>
    <w:rsid w:val="00BC13F5"/>
    <w:rsid w:val="00BC2019"/>
    <w:rsid w:val="00BC22E8"/>
    <w:rsid w:val="00BC2AD4"/>
    <w:rsid w:val="00BC3090"/>
    <w:rsid w:val="00BC39F0"/>
    <w:rsid w:val="00BC48A7"/>
    <w:rsid w:val="00BC5F09"/>
    <w:rsid w:val="00BC6DE6"/>
    <w:rsid w:val="00BC6FA4"/>
    <w:rsid w:val="00BC719E"/>
    <w:rsid w:val="00BD0280"/>
    <w:rsid w:val="00BD0996"/>
    <w:rsid w:val="00BD2D9D"/>
    <w:rsid w:val="00BD38E7"/>
    <w:rsid w:val="00BD563A"/>
    <w:rsid w:val="00BD605A"/>
    <w:rsid w:val="00BD7694"/>
    <w:rsid w:val="00BE0D01"/>
    <w:rsid w:val="00BE0E28"/>
    <w:rsid w:val="00BE10EE"/>
    <w:rsid w:val="00BE42E1"/>
    <w:rsid w:val="00BE4D35"/>
    <w:rsid w:val="00BE5945"/>
    <w:rsid w:val="00BF02F9"/>
    <w:rsid w:val="00BF2B33"/>
    <w:rsid w:val="00BF4921"/>
    <w:rsid w:val="00BF49B5"/>
    <w:rsid w:val="00BF50D7"/>
    <w:rsid w:val="00BF5C5D"/>
    <w:rsid w:val="00BF6761"/>
    <w:rsid w:val="00BF7E82"/>
    <w:rsid w:val="00C00D33"/>
    <w:rsid w:val="00C027B2"/>
    <w:rsid w:val="00C02AC9"/>
    <w:rsid w:val="00C0513D"/>
    <w:rsid w:val="00C0521A"/>
    <w:rsid w:val="00C05BC3"/>
    <w:rsid w:val="00C06519"/>
    <w:rsid w:val="00C12105"/>
    <w:rsid w:val="00C12BC9"/>
    <w:rsid w:val="00C138CF"/>
    <w:rsid w:val="00C15455"/>
    <w:rsid w:val="00C160F2"/>
    <w:rsid w:val="00C16329"/>
    <w:rsid w:val="00C177BF"/>
    <w:rsid w:val="00C224E7"/>
    <w:rsid w:val="00C22D3D"/>
    <w:rsid w:val="00C236E1"/>
    <w:rsid w:val="00C2384A"/>
    <w:rsid w:val="00C24A65"/>
    <w:rsid w:val="00C24EBF"/>
    <w:rsid w:val="00C274E2"/>
    <w:rsid w:val="00C27979"/>
    <w:rsid w:val="00C27C72"/>
    <w:rsid w:val="00C30867"/>
    <w:rsid w:val="00C325E9"/>
    <w:rsid w:val="00C336AC"/>
    <w:rsid w:val="00C347EB"/>
    <w:rsid w:val="00C362B2"/>
    <w:rsid w:val="00C364BE"/>
    <w:rsid w:val="00C409EF"/>
    <w:rsid w:val="00C416EE"/>
    <w:rsid w:val="00C44002"/>
    <w:rsid w:val="00C44E76"/>
    <w:rsid w:val="00C45A22"/>
    <w:rsid w:val="00C4658B"/>
    <w:rsid w:val="00C47913"/>
    <w:rsid w:val="00C504EF"/>
    <w:rsid w:val="00C50692"/>
    <w:rsid w:val="00C5228B"/>
    <w:rsid w:val="00C52F1C"/>
    <w:rsid w:val="00C563DD"/>
    <w:rsid w:val="00C60266"/>
    <w:rsid w:val="00C63CAF"/>
    <w:rsid w:val="00C64766"/>
    <w:rsid w:val="00C65E12"/>
    <w:rsid w:val="00C6616B"/>
    <w:rsid w:val="00C66563"/>
    <w:rsid w:val="00C668E0"/>
    <w:rsid w:val="00C669B4"/>
    <w:rsid w:val="00C66C01"/>
    <w:rsid w:val="00C67F31"/>
    <w:rsid w:val="00C72A5D"/>
    <w:rsid w:val="00C74033"/>
    <w:rsid w:val="00C74BF9"/>
    <w:rsid w:val="00C754A5"/>
    <w:rsid w:val="00C758F1"/>
    <w:rsid w:val="00C764A0"/>
    <w:rsid w:val="00C779C3"/>
    <w:rsid w:val="00C77B70"/>
    <w:rsid w:val="00C8080E"/>
    <w:rsid w:val="00C8096E"/>
    <w:rsid w:val="00C80A54"/>
    <w:rsid w:val="00C80C28"/>
    <w:rsid w:val="00C815F3"/>
    <w:rsid w:val="00C81BAA"/>
    <w:rsid w:val="00C8212F"/>
    <w:rsid w:val="00C83466"/>
    <w:rsid w:val="00C83553"/>
    <w:rsid w:val="00C841C3"/>
    <w:rsid w:val="00C8555F"/>
    <w:rsid w:val="00C90956"/>
    <w:rsid w:val="00C932F3"/>
    <w:rsid w:val="00C94065"/>
    <w:rsid w:val="00C96120"/>
    <w:rsid w:val="00CA03F0"/>
    <w:rsid w:val="00CA1913"/>
    <w:rsid w:val="00CA1E80"/>
    <w:rsid w:val="00CA1F96"/>
    <w:rsid w:val="00CA22BA"/>
    <w:rsid w:val="00CA323C"/>
    <w:rsid w:val="00CA3A63"/>
    <w:rsid w:val="00CA5D34"/>
    <w:rsid w:val="00CB0102"/>
    <w:rsid w:val="00CB086E"/>
    <w:rsid w:val="00CB1077"/>
    <w:rsid w:val="00CB152B"/>
    <w:rsid w:val="00CB156F"/>
    <w:rsid w:val="00CB20FD"/>
    <w:rsid w:val="00CB28A7"/>
    <w:rsid w:val="00CB2982"/>
    <w:rsid w:val="00CB2D6F"/>
    <w:rsid w:val="00CB2FB3"/>
    <w:rsid w:val="00CB304F"/>
    <w:rsid w:val="00CB5ACB"/>
    <w:rsid w:val="00CC39DE"/>
    <w:rsid w:val="00CC3CD0"/>
    <w:rsid w:val="00CC4D00"/>
    <w:rsid w:val="00CC51B9"/>
    <w:rsid w:val="00CC538A"/>
    <w:rsid w:val="00CC5AA5"/>
    <w:rsid w:val="00CC6105"/>
    <w:rsid w:val="00CC68E7"/>
    <w:rsid w:val="00CC6960"/>
    <w:rsid w:val="00CD0365"/>
    <w:rsid w:val="00CD0B7E"/>
    <w:rsid w:val="00CD1016"/>
    <w:rsid w:val="00CD155D"/>
    <w:rsid w:val="00CD2008"/>
    <w:rsid w:val="00CD516D"/>
    <w:rsid w:val="00CD54AA"/>
    <w:rsid w:val="00CD5985"/>
    <w:rsid w:val="00CD6554"/>
    <w:rsid w:val="00CE0B77"/>
    <w:rsid w:val="00CE1E3F"/>
    <w:rsid w:val="00CE1E94"/>
    <w:rsid w:val="00CE2CF0"/>
    <w:rsid w:val="00CE3247"/>
    <w:rsid w:val="00CE3568"/>
    <w:rsid w:val="00CE6207"/>
    <w:rsid w:val="00CE7112"/>
    <w:rsid w:val="00CE779E"/>
    <w:rsid w:val="00CF12E2"/>
    <w:rsid w:val="00CF12E7"/>
    <w:rsid w:val="00CF2429"/>
    <w:rsid w:val="00CF27CF"/>
    <w:rsid w:val="00CF2E1C"/>
    <w:rsid w:val="00CF787E"/>
    <w:rsid w:val="00CF7EA7"/>
    <w:rsid w:val="00D01351"/>
    <w:rsid w:val="00D01B3E"/>
    <w:rsid w:val="00D024FA"/>
    <w:rsid w:val="00D02A40"/>
    <w:rsid w:val="00D02B6F"/>
    <w:rsid w:val="00D02DB9"/>
    <w:rsid w:val="00D038D4"/>
    <w:rsid w:val="00D064F8"/>
    <w:rsid w:val="00D06515"/>
    <w:rsid w:val="00D073BA"/>
    <w:rsid w:val="00D102D6"/>
    <w:rsid w:val="00D12634"/>
    <w:rsid w:val="00D14B65"/>
    <w:rsid w:val="00D14BC6"/>
    <w:rsid w:val="00D14E6B"/>
    <w:rsid w:val="00D15437"/>
    <w:rsid w:val="00D16638"/>
    <w:rsid w:val="00D17B58"/>
    <w:rsid w:val="00D20D85"/>
    <w:rsid w:val="00D21B88"/>
    <w:rsid w:val="00D24688"/>
    <w:rsid w:val="00D25533"/>
    <w:rsid w:val="00D25A5E"/>
    <w:rsid w:val="00D26F96"/>
    <w:rsid w:val="00D30EB5"/>
    <w:rsid w:val="00D31330"/>
    <w:rsid w:val="00D3160C"/>
    <w:rsid w:val="00D3168D"/>
    <w:rsid w:val="00D321DC"/>
    <w:rsid w:val="00D328F7"/>
    <w:rsid w:val="00D32F56"/>
    <w:rsid w:val="00D34127"/>
    <w:rsid w:val="00D346B3"/>
    <w:rsid w:val="00D36378"/>
    <w:rsid w:val="00D36D8B"/>
    <w:rsid w:val="00D43E5D"/>
    <w:rsid w:val="00D444B6"/>
    <w:rsid w:val="00D44C3A"/>
    <w:rsid w:val="00D4532B"/>
    <w:rsid w:val="00D45E5A"/>
    <w:rsid w:val="00D46283"/>
    <w:rsid w:val="00D505FF"/>
    <w:rsid w:val="00D517C9"/>
    <w:rsid w:val="00D51B44"/>
    <w:rsid w:val="00D521B3"/>
    <w:rsid w:val="00D54E6B"/>
    <w:rsid w:val="00D608EC"/>
    <w:rsid w:val="00D6125C"/>
    <w:rsid w:val="00D61DAB"/>
    <w:rsid w:val="00D62EE7"/>
    <w:rsid w:val="00D6389C"/>
    <w:rsid w:val="00D63D01"/>
    <w:rsid w:val="00D6446A"/>
    <w:rsid w:val="00D649A1"/>
    <w:rsid w:val="00D651CF"/>
    <w:rsid w:val="00D65587"/>
    <w:rsid w:val="00D669C2"/>
    <w:rsid w:val="00D67216"/>
    <w:rsid w:val="00D6722A"/>
    <w:rsid w:val="00D70D50"/>
    <w:rsid w:val="00D71B7C"/>
    <w:rsid w:val="00D721B1"/>
    <w:rsid w:val="00D724A2"/>
    <w:rsid w:val="00D73E66"/>
    <w:rsid w:val="00D74999"/>
    <w:rsid w:val="00D7539D"/>
    <w:rsid w:val="00D75989"/>
    <w:rsid w:val="00D75CEC"/>
    <w:rsid w:val="00D80D92"/>
    <w:rsid w:val="00D814D2"/>
    <w:rsid w:val="00D814FA"/>
    <w:rsid w:val="00D81605"/>
    <w:rsid w:val="00D82C57"/>
    <w:rsid w:val="00D836D1"/>
    <w:rsid w:val="00D84FB2"/>
    <w:rsid w:val="00D864AC"/>
    <w:rsid w:val="00D86C81"/>
    <w:rsid w:val="00D87658"/>
    <w:rsid w:val="00D91C3B"/>
    <w:rsid w:val="00D942BC"/>
    <w:rsid w:val="00D9487B"/>
    <w:rsid w:val="00D952C5"/>
    <w:rsid w:val="00D95393"/>
    <w:rsid w:val="00D95A98"/>
    <w:rsid w:val="00D96816"/>
    <w:rsid w:val="00D97E14"/>
    <w:rsid w:val="00DA1515"/>
    <w:rsid w:val="00DA1D90"/>
    <w:rsid w:val="00DA3691"/>
    <w:rsid w:val="00DA3B97"/>
    <w:rsid w:val="00DA4084"/>
    <w:rsid w:val="00DA5FA1"/>
    <w:rsid w:val="00DA6480"/>
    <w:rsid w:val="00DA7022"/>
    <w:rsid w:val="00DB0DF6"/>
    <w:rsid w:val="00DB369C"/>
    <w:rsid w:val="00DB6FFD"/>
    <w:rsid w:val="00DC102A"/>
    <w:rsid w:val="00DC2237"/>
    <w:rsid w:val="00DC28E8"/>
    <w:rsid w:val="00DC2E82"/>
    <w:rsid w:val="00DC476B"/>
    <w:rsid w:val="00DC503A"/>
    <w:rsid w:val="00DC547C"/>
    <w:rsid w:val="00DC65E0"/>
    <w:rsid w:val="00DC673D"/>
    <w:rsid w:val="00DC7A48"/>
    <w:rsid w:val="00DD0B51"/>
    <w:rsid w:val="00DD1667"/>
    <w:rsid w:val="00DD2247"/>
    <w:rsid w:val="00DD7BFF"/>
    <w:rsid w:val="00DE006B"/>
    <w:rsid w:val="00DE0349"/>
    <w:rsid w:val="00DE0432"/>
    <w:rsid w:val="00DE1C76"/>
    <w:rsid w:val="00DE3A1E"/>
    <w:rsid w:val="00DE3B3F"/>
    <w:rsid w:val="00DE3D01"/>
    <w:rsid w:val="00DE42AC"/>
    <w:rsid w:val="00DE5F6A"/>
    <w:rsid w:val="00DE69A6"/>
    <w:rsid w:val="00DF01DB"/>
    <w:rsid w:val="00DF323C"/>
    <w:rsid w:val="00DF69E4"/>
    <w:rsid w:val="00DF6BD4"/>
    <w:rsid w:val="00E00688"/>
    <w:rsid w:val="00E0073E"/>
    <w:rsid w:val="00E014F2"/>
    <w:rsid w:val="00E01642"/>
    <w:rsid w:val="00E02447"/>
    <w:rsid w:val="00E038F0"/>
    <w:rsid w:val="00E05F5B"/>
    <w:rsid w:val="00E06B1B"/>
    <w:rsid w:val="00E06B5A"/>
    <w:rsid w:val="00E07C76"/>
    <w:rsid w:val="00E1079D"/>
    <w:rsid w:val="00E11C14"/>
    <w:rsid w:val="00E11CF6"/>
    <w:rsid w:val="00E11EFD"/>
    <w:rsid w:val="00E14AAC"/>
    <w:rsid w:val="00E14E5B"/>
    <w:rsid w:val="00E155B6"/>
    <w:rsid w:val="00E16A2B"/>
    <w:rsid w:val="00E17270"/>
    <w:rsid w:val="00E20790"/>
    <w:rsid w:val="00E20AC3"/>
    <w:rsid w:val="00E21CA1"/>
    <w:rsid w:val="00E2216D"/>
    <w:rsid w:val="00E22532"/>
    <w:rsid w:val="00E22ED3"/>
    <w:rsid w:val="00E23631"/>
    <w:rsid w:val="00E239BB"/>
    <w:rsid w:val="00E242C0"/>
    <w:rsid w:val="00E251FD"/>
    <w:rsid w:val="00E2533B"/>
    <w:rsid w:val="00E31FBE"/>
    <w:rsid w:val="00E3253B"/>
    <w:rsid w:val="00E33D0D"/>
    <w:rsid w:val="00E3459E"/>
    <w:rsid w:val="00E35976"/>
    <w:rsid w:val="00E36CEA"/>
    <w:rsid w:val="00E37421"/>
    <w:rsid w:val="00E40013"/>
    <w:rsid w:val="00E43418"/>
    <w:rsid w:val="00E43D83"/>
    <w:rsid w:val="00E43E74"/>
    <w:rsid w:val="00E43FBC"/>
    <w:rsid w:val="00E4515B"/>
    <w:rsid w:val="00E47D97"/>
    <w:rsid w:val="00E47DA9"/>
    <w:rsid w:val="00E508A5"/>
    <w:rsid w:val="00E51705"/>
    <w:rsid w:val="00E52297"/>
    <w:rsid w:val="00E53DFE"/>
    <w:rsid w:val="00E545CA"/>
    <w:rsid w:val="00E54D05"/>
    <w:rsid w:val="00E54E97"/>
    <w:rsid w:val="00E553B4"/>
    <w:rsid w:val="00E56DAE"/>
    <w:rsid w:val="00E5778B"/>
    <w:rsid w:val="00E60336"/>
    <w:rsid w:val="00E623DC"/>
    <w:rsid w:val="00E62D09"/>
    <w:rsid w:val="00E64C87"/>
    <w:rsid w:val="00E655A3"/>
    <w:rsid w:val="00E674D2"/>
    <w:rsid w:val="00E67B48"/>
    <w:rsid w:val="00E67C4B"/>
    <w:rsid w:val="00E67CBC"/>
    <w:rsid w:val="00E70BFC"/>
    <w:rsid w:val="00E71487"/>
    <w:rsid w:val="00E71791"/>
    <w:rsid w:val="00E743A8"/>
    <w:rsid w:val="00E77575"/>
    <w:rsid w:val="00E8033A"/>
    <w:rsid w:val="00E811BD"/>
    <w:rsid w:val="00E82C86"/>
    <w:rsid w:val="00E83CDC"/>
    <w:rsid w:val="00E85CA7"/>
    <w:rsid w:val="00E86218"/>
    <w:rsid w:val="00E87248"/>
    <w:rsid w:val="00E87AA2"/>
    <w:rsid w:val="00E87B06"/>
    <w:rsid w:val="00E90C44"/>
    <w:rsid w:val="00E90D6A"/>
    <w:rsid w:val="00E90F08"/>
    <w:rsid w:val="00E91758"/>
    <w:rsid w:val="00E91EB3"/>
    <w:rsid w:val="00E927EF"/>
    <w:rsid w:val="00E941CF"/>
    <w:rsid w:val="00E9450C"/>
    <w:rsid w:val="00E96D3C"/>
    <w:rsid w:val="00EA0201"/>
    <w:rsid w:val="00EA0A24"/>
    <w:rsid w:val="00EA0F7C"/>
    <w:rsid w:val="00EA65A1"/>
    <w:rsid w:val="00EA7837"/>
    <w:rsid w:val="00EB06AC"/>
    <w:rsid w:val="00EB0CA0"/>
    <w:rsid w:val="00EB0FE9"/>
    <w:rsid w:val="00EB1D58"/>
    <w:rsid w:val="00EB2437"/>
    <w:rsid w:val="00EB288C"/>
    <w:rsid w:val="00EB40B2"/>
    <w:rsid w:val="00EB4B36"/>
    <w:rsid w:val="00EB4D15"/>
    <w:rsid w:val="00EB7538"/>
    <w:rsid w:val="00EB7E2F"/>
    <w:rsid w:val="00EC14CB"/>
    <w:rsid w:val="00EC1531"/>
    <w:rsid w:val="00EC2049"/>
    <w:rsid w:val="00EC429C"/>
    <w:rsid w:val="00EC5580"/>
    <w:rsid w:val="00EC5867"/>
    <w:rsid w:val="00EC5E75"/>
    <w:rsid w:val="00EC66A2"/>
    <w:rsid w:val="00EC7221"/>
    <w:rsid w:val="00ED0889"/>
    <w:rsid w:val="00ED1BB3"/>
    <w:rsid w:val="00ED3602"/>
    <w:rsid w:val="00ED5E10"/>
    <w:rsid w:val="00ED6055"/>
    <w:rsid w:val="00ED6EC2"/>
    <w:rsid w:val="00ED7913"/>
    <w:rsid w:val="00EE04DA"/>
    <w:rsid w:val="00EE07D9"/>
    <w:rsid w:val="00EE094B"/>
    <w:rsid w:val="00EE2D1D"/>
    <w:rsid w:val="00EE2EC1"/>
    <w:rsid w:val="00EE5358"/>
    <w:rsid w:val="00EE5D22"/>
    <w:rsid w:val="00EE6899"/>
    <w:rsid w:val="00EE6E97"/>
    <w:rsid w:val="00EE7193"/>
    <w:rsid w:val="00EF0053"/>
    <w:rsid w:val="00EF02E2"/>
    <w:rsid w:val="00EF057E"/>
    <w:rsid w:val="00EF154D"/>
    <w:rsid w:val="00EF235F"/>
    <w:rsid w:val="00EF264E"/>
    <w:rsid w:val="00EF5822"/>
    <w:rsid w:val="00EF6882"/>
    <w:rsid w:val="00EF728A"/>
    <w:rsid w:val="00EF7878"/>
    <w:rsid w:val="00F021C8"/>
    <w:rsid w:val="00F03601"/>
    <w:rsid w:val="00F03CF0"/>
    <w:rsid w:val="00F04C20"/>
    <w:rsid w:val="00F04CC2"/>
    <w:rsid w:val="00F051F4"/>
    <w:rsid w:val="00F12043"/>
    <w:rsid w:val="00F120AE"/>
    <w:rsid w:val="00F12F0C"/>
    <w:rsid w:val="00F148FB"/>
    <w:rsid w:val="00F15492"/>
    <w:rsid w:val="00F15EF5"/>
    <w:rsid w:val="00F17104"/>
    <w:rsid w:val="00F206AE"/>
    <w:rsid w:val="00F208FA"/>
    <w:rsid w:val="00F22322"/>
    <w:rsid w:val="00F22611"/>
    <w:rsid w:val="00F22AEB"/>
    <w:rsid w:val="00F2488B"/>
    <w:rsid w:val="00F24F51"/>
    <w:rsid w:val="00F2661E"/>
    <w:rsid w:val="00F26932"/>
    <w:rsid w:val="00F27F7D"/>
    <w:rsid w:val="00F32B1A"/>
    <w:rsid w:val="00F335C9"/>
    <w:rsid w:val="00F33D55"/>
    <w:rsid w:val="00F36FCA"/>
    <w:rsid w:val="00F37E75"/>
    <w:rsid w:val="00F40452"/>
    <w:rsid w:val="00F40D86"/>
    <w:rsid w:val="00F41A4A"/>
    <w:rsid w:val="00F43305"/>
    <w:rsid w:val="00F4539E"/>
    <w:rsid w:val="00F47265"/>
    <w:rsid w:val="00F52C04"/>
    <w:rsid w:val="00F53C1F"/>
    <w:rsid w:val="00F569D6"/>
    <w:rsid w:val="00F56DBA"/>
    <w:rsid w:val="00F57C89"/>
    <w:rsid w:val="00F613E3"/>
    <w:rsid w:val="00F61C2C"/>
    <w:rsid w:val="00F64BC7"/>
    <w:rsid w:val="00F709C5"/>
    <w:rsid w:val="00F71F21"/>
    <w:rsid w:val="00F73E1B"/>
    <w:rsid w:val="00F743AD"/>
    <w:rsid w:val="00F74FEC"/>
    <w:rsid w:val="00F75096"/>
    <w:rsid w:val="00F7587A"/>
    <w:rsid w:val="00F76D12"/>
    <w:rsid w:val="00F803A5"/>
    <w:rsid w:val="00F80D4A"/>
    <w:rsid w:val="00F81625"/>
    <w:rsid w:val="00F83533"/>
    <w:rsid w:val="00F83AE1"/>
    <w:rsid w:val="00F83F4E"/>
    <w:rsid w:val="00F84663"/>
    <w:rsid w:val="00F85802"/>
    <w:rsid w:val="00F85842"/>
    <w:rsid w:val="00F85895"/>
    <w:rsid w:val="00F872AC"/>
    <w:rsid w:val="00F905FE"/>
    <w:rsid w:val="00F90663"/>
    <w:rsid w:val="00F907A5"/>
    <w:rsid w:val="00F91728"/>
    <w:rsid w:val="00F92826"/>
    <w:rsid w:val="00F92D44"/>
    <w:rsid w:val="00F930CD"/>
    <w:rsid w:val="00F93CF6"/>
    <w:rsid w:val="00F946D9"/>
    <w:rsid w:val="00F94966"/>
    <w:rsid w:val="00F951D5"/>
    <w:rsid w:val="00F95654"/>
    <w:rsid w:val="00F95CA9"/>
    <w:rsid w:val="00F961BF"/>
    <w:rsid w:val="00F96F82"/>
    <w:rsid w:val="00F97049"/>
    <w:rsid w:val="00F97E67"/>
    <w:rsid w:val="00FA1A96"/>
    <w:rsid w:val="00FA2043"/>
    <w:rsid w:val="00FA26CA"/>
    <w:rsid w:val="00FA2FAF"/>
    <w:rsid w:val="00FA4A6A"/>
    <w:rsid w:val="00FA4E52"/>
    <w:rsid w:val="00FA6D4D"/>
    <w:rsid w:val="00FA6E7E"/>
    <w:rsid w:val="00FA771C"/>
    <w:rsid w:val="00FA7964"/>
    <w:rsid w:val="00FB0B50"/>
    <w:rsid w:val="00FB6051"/>
    <w:rsid w:val="00FB63EB"/>
    <w:rsid w:val="00FB690E"/>
    <w:rsid w:val="00FB76B2"/>
    <w:rsid w:val="00FB7DDD"/>
    <w:rsid w:val="00FC129A"/>
    <w:rsid w:val="00FC2A5D"/>
    <w:rsid w:val="00FC37BC"/>
    <w:rsid w:val="00FC4BF4"/>
    <w:rsid w:val="00FC5A3A"/>
    <w:rsid w:val="00FC6760"/>
    <w:rsid w:val="00FC7152"/>
    <w:rsid w:val="00FD0F53"/>
    <w:rsid w:val="00FD13FE"/>
    <w:rsid w:val="00FD2501"/>
    <w:rsid w:val="00FD2B7A"/>
    <w:rsid w:val="00FD79D5"/>
    <w:rsid w:val="00FE001E"/>
    <w:rsid w:val="00FE015E"/>
    <w:rsid w:val="00FE09DC"/>
    <w:rsid w:val="00FE2B38"/>
    <w:rsid w:val="00FE2E2C"/>
    <w:rsid w:val="00FE2FB7"/>
    <w:rsid w:val="00FE392B"/>
    <w:rsid w:val="00FE3B10"/>
    <w:rsid w:val="00FE3CE6"/>
    <w:rsid w:val="00FE683F"/>
    <w:rsid w:val="00FE7E33"/>
    <w:rsid w:val="00FF0CDA"/>
    <w:rsid w:val="00FF217A"/>
    <w:rsid w:val="00FF2BC1"/>
    <w:rsid w:val="00FF2C33"/>
    <w:rsid w:val="00FF3B76"/>
    <w:rsid w:val="00FF4C8E"/>
    <w:rsid w:val="00FF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81FBE"/>
    <w:pPr>
      <w:widowControl w:val="0"/>
      <w:spacing w:line="480" w:lineRule="exact"/>
    </w:pPr>
    <w:rPr>
      <w:sz w:val="24"/>
    </w:rPr>
  </w:style>
  <w:style w:type="paragraph" w:styleId="Heading1">
    <w:name w:val="heading 1"/>
    <w:basedOn w:val="Normal"/>
    <w:next w:val="Normal"/>
    <w:link w:val="Heading1Char"/>
    <w:uiPriority w:val="99"/>
    <w:qFormat/>
    <w:rsid w:val="009F15C9"/>
    <w:pPr>
      <w:keepNext/>
      <w:widowControl/>
      <w:numPr>
        <w:numId w:val="1"/>
      </w:numPr>
      <w:jc w:val="center"/>
      <w:outlineLvl w:val="0"/>
    </w:pPr>
    <w:rPr>
      <w:b/>
      <w:caps/>
      <w:kern w:val="28"/>
      <w:u w:val="single"/>
    </w:rPr>
  </w:style>
  <w:style w:type="paragraph" w:styleId="Heading2">
    <w:name w:val="heading 2"/>
    <w:basedOn w:val="Normal"/>
    <w:next w:val="Normal"/>
    <w:link w:val="Heading2Char"/>
    <w:uiPriority w:val="99"/>
    <w:qFormat/>
    <w:rsid w:val="008F2A2D"/>
    <w:pPr>
      <w:keepNext/>
      <w:numPr>
        <w:ilvl w:val="1"/>
        <w:numId w:val="1"/>
      </w:numPr>
      <w:outlineLvl w:val="1"/>
    </w:pPr>
    <w:rPr>
      <w:b/>
      <w:u w:val="single"/>
    </w:rPr>
  </w:style>
  <w:style w:type="paragraph" w:styleId="Heading3">
    <w:name w:val="heading 3"/>
    <w:basedOn w:val="Normal"/>
    <w:next w:val="Normal"/>
    <w:link w:val="Heading3Char"/>
    <w:uiPriority w:val="99"/>
    <w:qFormat/>
    <w:rsid w:val="00C02AC9"/>
    <w:pPr>
      <w:keepNext/>
      <w:numPr>
        <w:ilvl w:val="2"/>
        <w:numId w:val="1"/>
      </w:numPr>
      <w:ind w:left="2340"/>
      <w:outlineLvl w:val="2"/>
    </w:pPr>
    <w:rPr>
      <w:b/>
      <w:u w:val="single"/>
    </w:rPr>
  </w:style>
  <w:style w:type="paragraph" w:styleId="Heading4">
    <w:name w:val="heading 4"/>
    <w:basedOn w:val="Normal"/>
    <w:next w:val="Normal"/>
    <w:link w:val="Heading4Char"/>
    <w:uiPriority w:val="99"/>
    <w:qFormat/>
    <w:rsid w:val="00081FBE"/>
    <w:pPr>
      <w:keepNext/>
      <w:numPr>
        <w:ilvl w:val="3"/>
        <w:numId w:val="1"/>
      </w:numPr>
      <w:outlineLvl w:val="3"/>
    </w:pPr>
    <w:rPr>
      <w:b/>
    </w:rPr>
  </w:style>
  <w:style w:type="paragraph" w:styleId="Heading5">
    <w:name w:val="heading 5"/>
    <w:basedOn w:val="Normal"/>
    <w:next w:val="Normal"/>
    <w:link w:val="Heading5Char"/>
    <w:uiPriority w:val="99"/>
    <w:qFormat/>
    <w:rsid w:val="00081FBE"/>
    <w:pPr>
      <w:numPr>
        <w:ilvl w:val="4"/>
        <w:numId w:val="1"/>
      </w:numPr>
      <w:outlineLvl w:val="4"/>
    </w:pPr>
    <w:rPr>
      <w:b/>
    </w:rPr>
  </w:style>
  <w:style w:type="paragraph" w:styleId="Heading6">
    <w:name w:val="heading 6"/>
    <w:basedOn w:val="Normal"/>
    <w:next w:val="Normal"/>
    <w:link w:val="Heading6Char"/>
    <w:uiPriority w:val="99"/>
    <w:qFormat/>
    <w:rsid w:val="00081FBE"/>
    <w:pPr>
      <w:numPr>
        <w:ilvl w:val="5"/>
        <w:numId w:val="1"/>
      </w:numPr>
      <w:outlineLvl w:val="5"/>
    </w:pPr>
    <w:rPr>
      <w:b/>
    </w:rPr>
  </w:style>
  <w:style w:type="paragraph" w:styleId="Heading7">
    <w:name w:val="heading 7"/>
    <w:basedOn w:val="Normal"/>
    <w:next w:val="Normal"/>
    <w:link w:val="Heading7Char"/>
    <w:uiPriority w:val="99"/>
    <w:qFormat/>
    <w:rsid w:val="00081FBE"/>
    <w:pPr>
      <w:numPr>
        <w:ilvl w:val="6"/>
        <w:numId w:val="1"/>
      </w:numPr>
      <w:spacing w:before="240" w:line="240" w:lineRule="exact"/>
      <w:outlineLvl w:val="6"/>
    </w:pPr>
    <w:rPr>
      <w:b/>
    </w:rPr>
  </w:style>
  <w:style w:type="paragraph" w:styleId="Heading8">
    <w:name w:val="heading 8"/>
    <w:basedOn w:val="Normal"/>
    <w:next w:val="Normal"/>
    <w:link w:val="Heading8Char"/>
    <w:uiPriority w:val="99"/>
    <w:qFormat/>
    <w:rsid w:val="00081FBE"/>
    <w:pPr>
      <w:numPr>
        <w:ilvl w:val="7"/>
        <w:numId w:val="1"/>
      </w:numPr>
      <w:spacing w:before="240" w:line="240" w:lineRule="auto"/>
      <w:outlineLvl w:val="7"/>
    </w:pPr>
    <w:rPr>
      <w:rFonts w:ascii="Arial" w:hAnsi="Arial"/>
      <w:i/>
      <w:sz w:val="20"/>
    </w:rPr>
  </w:style>
  <w:style w:type="paragraph" w:styleId="Heading9">
    <w:name w:val="heading 9"/>
    <w:basedOn w:val="Normal"/>
    <w:next w:val="Normal"/>
    <w:link w:val="Heading9Char"/>
    <w:uiPriority w:val="99"/>
    <w:qFormat/>
    <w:rsid w:val="00081FBE"/>
    <w:pPr>
      <w:numPr>
        <w:ilvl w:val="8"/>
        <w:numId w:val="1"/>
      </w:numPr>
      <w:spacing w:before="240" w:after="60" w:line="240" w:lineRule="auto"/>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5C9"/>
    <w:rPr>
      <w:b/>
      <w:caps/>
      <w:kern w:val="28"/>
      <w:sz w:val="24"/>
      <w:u w:val="single"/>
    </w:rPr>
  </w:style>
  <w:style w:type="character" w:customStyle="1" w:styleId="Heading2Char">
    <w:name w:val="Heading 2 Char"/>
    <w:basedOn w:val="DefaultParagraphFont"/>
    <w:link w:val="Heading2"/>
    <w:uiPriority w:val="99"/>
    <w:locked/>
    <w:rsid w:val="000A0BA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A0BA2"/>
    <w:rPr>
      <w:b/>
      <w:sz w:val="24"/>
      <w:u w:val="single"/>
    </w:rPr>
  </w:style>
  <w:style w:type="character" w:customStyle="1" w:styleId="Heading4Char">
    <w:name w:val="Heading 4 Char"/>
    <w:basedOn w:val="DefaultParagraphFont"/>
    <w:link w:val="Heading4"/>
    <w:uiPriority w:val="99"/>
    <w:semiHidden/>
    <w:locked/>
    <w:rsid w:val="000A0BA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0BA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0BA2"/>
    <w:rPr>
      <w:rFonts w:ascii="Calibri" w:hAnsi="Calibri" w:cs="Times New Roman"/>
      <w:b/>
      <w:bCs/>
    </w:rPr>
  </w:style>
  <w:style w:type="character" w:customStyle="1" w:styleId="Heading7Char">
    <w:name w:val="Heading 7 Char"/>
    <w:basedOn w:val="DefaultParagraphFont"/>
    <w:link w:val="Heading7"/>
    <w:uiPriority w:val="99"/>
    <w:semiHidden/>
    <w:locked/>
    <w:rsid w:val="000A0BA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0BA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0BA2"/>
    <w:rPr>
      <w:rFonts w:ascii="Cambria" w:hAnsi="Cambria" w:cs="Times New Roman"/>
    </w:rPr>
  </w:style>
  <w:style w:type="paragraph" w:styleId="BalloonText">
    <w:name w:val="Balloon Text"/>
    <w:basedOn w:val="Normal"/>
    <w:link w:val="BalloonTextChar"/>
    <w:uiPriority w:val="99"/>
    <w:semiHidden/>
    <w:rsid w:val="009F3B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BA2"/>
    <w:rPr>
      <w:rFonts w:cs="Times New Roman"/>
      <w:sz w:val="2"/>
    </w:rPr>
  </w:style>
  <w:style w:type="paragraph" w:customStyle="1" w:styleId="LineNumbers">
    <w:name w:val="LineNumbers"/>
    <w:basedOn w:val="Normal"/>
    <w:uiPriority w:val="99"/>
    <w:rsid w:val="00081FBE"/>
    <w:pPr>
      <w:spacing w:line="483" w:lineRule="exact"/>
      <w:jc w:val="right"/>
    </w:pPr>
    <w:rPr>
      <w:rFonts w:ascii="CG Times (WN)" w:hAnsi="CG Times (WN)"/>
    </w:rPr>
  </w:style>
  <w:style w:type="paragraph" w:customStyle="1" w:styleId="Address">
    <w:name w:val="Address"/>
    <w:basedOn w:val="Normal"/>
    <w:uiPriority w:val="99"/>
    <w:rsid w:val="00081FBE"/>
    <w:pPr>
      <w:spacing w:line="240" w:lineRule="exact"/>
    </w:pPr>
  </w:style>
  <w:style w:type="character" w:styleId="PageNumber">
    <w:name w:val="page number"/>
    <w:basedOn w:val="DefaultParagraphFont"/>
    <w:uiPriority w:val="99"/>
    <w:rsid w:val="00081FBE"/>
    <w:rPr>
      <w:rFonts w:cs="Times New Roman"/>
    </w:rPr>
  </w:style>
  <w:style w:type="paragraph" w:customStyle="1" w:styleId="CourtName">
    <w:name w:val="CourtName"/>
    <w:basedOn w:val="Normal"/>
    <w:uiPriority w:val="99"/>
    <w:rsid w:val="00081FBE"/>
    <w:pPr>
      <w:jc w:val="center"/>
    </w:pPr>
  </w:style>
  <w:style w:type="paragraph" w:styleId="FootnoteText">
    <w:name w:val="footnote text"/>
    <w:basedOn w:val="Normal"/>
    <w:link w:val="FootnoteTextChar"/>
    <w:uiPriority w:val="99"/>
    <w:rsid w:val="00081FBE"/>
    <w:pPr>
      <w:spacing w:after="240" w:line="240" w:lineRule="exact"/>
      <w:ind w:left="720" w:hanging="720"/>
    </w:pPr>
  </w:style>
  <w:style w:type="character" w:customStyle="1" w:styleId="FootnoteTextChar">
    <w:name w:val="Footnote Text Char"/>
    <w:basedOn w:val="DefaultParagraphFont"/>
    <w:link w:val="FootnoteText"/>
    <w:uiPriority w:val="99"/>
    <w:locked/>
    <w:rsid w:val="000A0BA2"/>
    <w:rPr>
      <w:rFonts w:cs="Times New Roman"/>
      <w:sz w:val="20"/>
      <w:szCs w:val="20"/>
    </w:rPr>
  </w:style>
  <w:style w:type="paragraph" w:styleId="Header">
    <w:name w:val="header"/>
    <w:basedOn w:val="Normal"/>
    <w:link w:val="HeaderChar"/>
    <w:uiPriority w:val="99"/>
    <w:rsid w:val="00081FBE"/>
    <w:pPr>
      <w:tabs>
        <w:tab w:val="center" w:pos="4320"/>
        <w:tab w:val="right" w:pos="8640"/>
      </w:tabs>
    </w:pPr>
  </w:style>
  <w:style w:type="character" w:customStyle="1" w:styleId="HeaderChar">
    <w:name w:val="Header Char"/>
    <w:basedOn w:val="DefaultParagraphFont"/>
    <w:link w:val="Header"/>
    <w:uiPriority w:val="99"/>
    <w:semiHidden/>
    <w:locked/>
    <w:rsid w:val="000A0BA2"/>
    <w:rPr>
      <w:rFonts w:cs="Times New Roman"/>
      <w:sz w:val="20"/>
      <w:szCs w:val="20"/>
    </w:rPr>
  </w:style>
  <w:style w:type="paragraph" w:styleId="Footer">
    <w:name w:val="footer"/>
    <w:basedOn w:val="Normal"/>
    <w:link w:val="FooterChar"/>
    <w:uiPriority w:val="99"/>
    <w:rsid w:val="00081FBE"/>
    <w:pPr>
      <w:tabs>
        <w:tab w:val="center" w:pos="4320"/>
        <w:tab w:val="right" w:pos="8640"/>
      </w:tabs>
    </w:pPr>
  </w:style>
  <w:style w:type="character" w:customStyle="1" w:styleId="FooterChar">
    <w:name w:val="Footer Char"/>
    <w:basedOn w:val="DefaultParagraphFont"/>
    <w:link w:val="Footer"/>
    <w:uiPriority w:val="99"/>
    <w:locked/>
    <w:rsid w:val="000A0BA2"/>
    <w:rPr>
      <w:rFonts w:cs="Times New Roman"/>
      <w:sz w:val="20"/>
      <w:szCs w:val="20"/>
    </w:rPr>
  </w:style>
  <w:style w:type="paragraph" w:customStyle="1" w:styleId="quote-pld">
    <w:name w:val="quote-pld"/>
    <w:basedOn w:val="Normal"/>
    <w:uiPriority w:val="99"/>
    <w:rsid w:val="00081FBE"/>
    <w:pPr>
      <w:spacing w:line="240" w:lineRule="exact"/>
      <w:ind w:left="1440" w:right="1440"/>
    </w:pPr>
  </w:style>
  <w:style w:type="character" w:styleId="FootnoteReference">
    <w:name w:val="footnote reference"/>
    <w:basedOn w:val="DefaultParagraphFont"/>
    <w:uiPriority w:val="99"/>
    <w:semiHidden/>
    <w:rsid w:val="00081FBE"/>
    <w:rPr>
      <w:rFonts w:cs="Times New Roman"/>
      <w:vertAlign w:val="superscript"/>
    </w:rPr>
  </w:style>
  <w:style w:type="paragraph" w:customStyle="1" w:styleId="Normal2">
    <w:name w:val="Normal2"/>
    <w:basedOn w:val="Normal"/>
    <w:autoRedefine/>
    <w:uiPriority w:val="99"/>
    <w:rsid w:val="00081FBE"/>
    <w:pPr>
      <w:widowControl/>
      <w:ind w:firstLine="720"/>
    </w:pPr>
    <w:rPr>
      <w:szCs w:val="24"/>
    </w:rPr>
  </w:style>
  <w:style w:type="character" w:styleId="CommentReference">
    <w:name w:val="annotation reference"/>
    <w:basedOn w:val="DefaultParagraphFont"/>
    <w:uiPriority w:val="99"/>
    <w:semiHidden/>
    <w:rsid w:val="009F3B80"/>
    <w:rPr>
      <w:rFonts w:cs="Times New Roman"/>
      <w:sz w:val="16"/>
      <w:szCs w:val="16"/>
    </w:rPr>
  </w:style>
  <w:style w:type="paragraph" w:styleId="CommentText">
    <w:name w:val="annotation text"/>
    <w:basedOn w:val="Normal"/>
    <w:link w:val="CommentTextChar"/>
    <w:uiPriority w:val="99"/>
    <w:semiHidden/>
    <w:rsid w:val="009F3B80"/>
    <w:rPr>
      <w:sz w:val="20"/>
    </w:rPr>
  </w:style>
  <w:style w:type="character" w:customStyle="1" w:styleId="CommentTextChar">
    <w:name w:val="Comment Text Char"/>
    <w:basedOn w:val="DefaultParagraphFont"/>
    <w:link w:val="CommentText"/>
    <w:uiPriority w:val="99"/>
    <w:semiHidden/>
    <w:locked/>
    <w:rsid w:val="000A0BA2"/>
    <w:rPr>
      <w:rFonts w:cs="Times New Roman"/>
      <w:sz w:val="20"/>
      <w:szCs w:val="20"/>
    </w:rPr>
  </w:style>
  <w:style w:type="paragraph" w:styleId="CommentSubject">
    <w:name w:val="annotation subject"/>
    <w:basedOn w:val="CommentText"/>
    <w:next w:val="CommentText"/>
    <w:link w:val="CommentSubjectChar"/>
    <w:uiPriority w:val="99"/>
    <w:semiHidden/>
    <w:rsid w:val="009F3B80"/>
    <w:rPr>
      <w:b/>
      <w:bCs/>
    </w:rPr>
  </w:style>
  <w:style w:type="character" w:customStyle="1" w:styleId="CommentSubjectChar">
    <w:name w:val="Comment Subject Char"/>
    <w:basedOn w:val="CommentTextChar"/>
    <w:link w:val="CommentSubject"/>
    <w:uiPriority w:val="99"/>
    <w:semiHidden/>
    <w:locked/>
    <w:rsid w:val="000A0BA2"/>
    <w:rPr>
      <w:b/>
      <w:bCs/>
    </w:rPr>
  </w:style>
  <w:style w:type="paragraph" w:styleId="Quote">
    <w:name w:val="Quote"/>
    <w:basedOn w:val="Normal"/>
    <w:next w:val="Normal"/>
    <w:link w:val="QuoteChar"/>
    <w:uiPriority w:val="99"/>
    <w:qFormat/>
    <w:rsid w:val="00C236E1"/>
    <w:pPr>
      <w:spacing w:before="240" w:after="240" w:line="240" w:lineRule="exact"/>
      <w:ind w:left="1440" w:right="1440"/>
    </w:pPr>
    <w:rPr>
      <w:iCs/>
      <w:color w:val="000000"/>
    </w:rPr>
  </w:style>
  <w:style w:type="character" w:customStyle="1" w:styleId="QuoteChar">
    <w:name w:val="Quote Char"/>
    <w:basedOn w:val="DefaultParagraphFont"/>
    <w:link w:val="Quote"/>
    <w:uiPriority w:val="99"/>
    <w:locked/>
    <w:rsid w:val="00C236E1"/>
    <w:rPr>
      <w:rFonts w:cs="Times New Roman"/>
      <w:iCs/>
      <w:color w:val="000000"/>
      <w:sz w:val="24"/>
    </w:rPr>
  </w:style>
  <w:style w:type="paragraph" w:styleId="TOCHeading">
    <w:name w:val="TOC Heading"/>
    <w:basedOn w:val="Heading1"/>
    <w:next w:val="Normal"/>
    <w:uiPriority w:val="39"/>
    <w:qFormat/>
    <w:rsid w:val="00B848B5"/>
    <w:pPr>
      <w:keepLines/>
      <w:numPr>
        <w:numId w:val="0"/>
      </w:numPr>
      <w:spacing w:before="480" w:line="276" w:lineRule="auto"/>
      <w:jc w:val="left"/>
      <w:outlineLvl w:val="9"/>
    </w:pPr>
    <w:rPr>
      <w:rFonts w:ascii="Cambria" w:hAnsi="Cambria"/>
      <w:bCs/>
      <w:caps w:val="0"/>
      <w:color w:val="365F91"/>
      <w:kern w:val="0"/>
      <w:sz w:val="28"/>
      <w:szCs w:val="28"/>
      <w:u w:val="none"/>
    </w:rPr>
  </w:style>
  <w:style w:type="paragraph" w:styleId="TOC1">
    <w:name w:val="toc 1"/>
    <w:basedOn w:val="Normal"/>
    <w:next w:val="Normal"/>
    <w:autoRedefine/>
    <w:uiPriority w:val="39"/>
    <w:rsid w:val="00A935DF"/>
    <w:pPr>
      <w:tabs>
        <w:tab w:val="left" w:pos="720"/>
        <w:tab w:val="left" w:pos="1440"/>
        <w:tab w:val="left" w:pos="2160"/>
        <w:tab w:val="right" w:leader="dot" w:pos="10214"/>
      </w:tabs>
      <w:spacing w:before="240" w:line="240" w:lineRule="exact"/>
      <w:ind w:left="2160" w:hanging="2160"/>
    </w:pPr>
    <w:rPr>
      <w:b/>
      <w:noProof/>
    </w:rPr>
  </w:style>
  <w:style w:type="paragraph" w:styleId="TOC2">
    <w:name w:val="toc 2"/>
    <w:basedOn w:val="Normal"/>
    <w:next w:val="Normal"/>
    <w:autoRedefine/>
    <w:uiPriority w:val="39"/>
    <w:rsid w:val="008458C1"/>
    <w:pPr>
      <w:tabs>
        <w:tab w:val="left" w:pos="720"/>
        <w:tab w:val="left" w:pos="1440"/>
        <w:tab w:val="left" w:pos="2160"/>
        <w:tab w:val="left" w:pos="3600"/>
        <w:tab w:val="right" w:leader="dot" w:pos="9990"/>
      </w:tabs>
      <w:spacing w:before="240" w:line="240" w:lineRule="exact"/>
      <w:ind w:left="1440" w:hanging="720"/>
    </w:pPr>
  </w:style>
  <w:style w:type="paragraph" w:styleId="TOC3">
    <w:name w:val="toc 3"/>
    <w:basedOn w:val="Normal"/>
    <w:next w:val="Normal"/>
    <w:autoRedefine/>
    <w:uiPriority w:val="39"/>
    <w:rsid w:val="00870384"/>
    <w:pPr>
      <w:numPr>
        <w:numId w:val="6"/>
      </w:numPr>
      <w:tabs>
        <w:tab w:val="left" w:pos="1440"/>
        <w:tab w:val="right" w:leader="dot" w:pos="9990"/>
      </w:tabs>
    </w:pPr>
  </w:style>
  <w:style w:type="character" w:styleId="Hyperlink">
    <w:name w:val="Hyperlink"/>
    <w:basedOn w:val="DefaultParagraphFont"/>
    <w:uiPriority w:val="99"/>
    <w:rsid w:val="00B848B5"/>
    <w:rPr>
      <w:rFonts w:cs="Times New Roman"/>
      <w:color w:val="0000FF"/>
      <w:u w:val="single"/>
    </w:rPr>
  </w:style>
  <w:style w:type="paragraph" w:styleId="EndnoteText">
    <w:name w:val="endnote text"/>
    <w:basedOn w:val="Normal"/>
    <w:link w:val="EndnoteTextChar"/>
    <w:uiPriority w:val="99"/>
    <w:semiHidden/>
    <w:unhideWhenUsed/>
    <w:rsid w:val="00B245F0"/>
    <w:rPr>
      <w:sz w:val="20"/>
    </w:rPr>
  </w:style>
  <w:style w:type="character" w:customStyle="1" w:styleId="EndnoteTextChar">
    <w:name w:val="Endnote Text Char"/>
    <w:basedOn w:val="DefaultParagraphFont"/>
    <w:link w:val="EndnoteText"/>
    <w:uiPriority w:val="99"/>
    <w:semiHidden/>
    <w:rsid w:val="00B245F0"/>
  </w:style>
  <w:style w:type="character" w:styleId="EndnoteReference">
    <w:name w:val="endnote reference"/>
    <w:basedOn w:val="DefaultParagraphFont"/>
    <w:uiPriority w:val="99"/>
    <w:semiHidden/>
    <w:unhideWhenUsed/>
    <w:rsid w:val="00B245F0"/>
    <w:rPr>
      <w:vertAlign w:val="superscript"/>
    </w:rPr>
  </w:style>
  <w:style w:type="paragraph" w:styleId="TOC4">
    <w:name w:val="toc 4"/>
    <w:basedOn w:val="Normal"/>
    <w:next w:val="Normal"/>
    <w:autoRedefine/>
    <w:uiPriority w:val="39"/>
    <w:locked/>
    <w:rsid w:val="00280637"/>
    <w:pPr>
      <w:ind w:left="720"/>
    </w:pPr>
  </w:style>
  <w:style w:type="paragraph" w:styleId="DocumentMap">
    <w:name w:val="Document Map"/>
    <w:basedOn w:val="Normal"/>
    <w:link w:val="DocumentMapChar"/>
    <w:uiPriority w:val="99"/>
    <w:semiHidden/>
    <w:unhideWhenUsed/>
    <w:rsid w:val="00B5696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696B"/>
    <w:rPr>
      <w:rFonts w:ascii="Tahoma" w:hAnsi="Tahoma" w:cs="Tahoma"/>
      <w:sz w:val="16"/>
      <w:szCs w:val="16"/>
    </w:rPr>
  </w:style>
  <w:style w:type="paragraph" w:styleId="Revision">
    <w:name w:val="Revision"/>
    <w:hidden/>
    <w:uiPriority w:val="99"/>
    <w:semiHidden/>
    <w:rsid w:val="003124D6"/>
    <w:rPr>
      <w:sz w:val="24"/>
    </w:rPr>
  </w:style>
  <w:style w:type="paragraph" w:styleId="ListParagraph">
    <w:name w:val="List Paragraph"/>
    <w:basedOn w:val="Normal"/>
    <w:uiPriority w:val="34"/>
    <w:qFormat/>
    <w:rsid w:val="00C81BAA"/>
    <w:pPr>
      <w:ind w:left="720"/>
      <w:contextualSpacing/>
    </w:pPr>
  </w:style>
  <w:style w:type="character" w:customStyle="1" w:styleId="documentbody">
    <w:name w:val="documentbody"/>
    <w:basedOn w:val="DefaultParagraphFont"/>
    <w:rsid w:val="00123256"/>
  </w:style>
  <w:style w:type="character" w:styleId="LineNumber">
    <w:name w:val="line number"/>
    <w:basedOn w:val="DefaultParagraphFont"/>
    <w:uiPriority w:val="99"/>
    <w:semiHidden/>
    <w:unhideWhenUsed/>
    <w:rsid w:val="003C6D6B"/>
  </w:style>
</w:styles>
</file>

<file path=word/webSettings.xml><?xml version="1.0" encoding="utf-8"?>
<w:webSettings xmlns:r="http://schemas.openxmlformats.org/officeDocument/2006/relationships" xmlns:w="http://schemas.openxmlformats.org/wordprocessingml/2006/main">
  <w:divs>
    <w:div w:id="184952155">
      <w:bodyDiv w:val="1"/>
      <w:marLeft w:val="0"/>
      <w:marRight w:val="0"/>
      <w:marTop w:val="0"/>
      <w:marBottom w:val="0"/>
      <w:divBdr>
        <w:top w:val="none" w:sz="0" w:space="0" w:color="auto"/>
        <w:left w:val="none" w:sz="0" w:space="0" w:color="auto"/>
        <w:bottom w:val="none" w:sz="0" w:space="0" w:color="auto"/>
        <w:right w:val="none" w:sz="0" w:space="0" w:color="auto"/>
      </w:divBdr>
    </w:div>
    <w:div w:id="522792885">
      <w:bodyDiv w:val="1"/>
      <w:marLeft w:val="0"/>
      <w:marRight w:val="0"/>
      <w:marTop w:val="0"/>
      <w:marBottom w:val="0"/>
      <w:divBdr>
        <w:top w:val="none" w:sz="0" w:space="0" w:color="auto"/>
        <w:left w:val="none" w:sz="0" w:space="0" w:color="auto"/>
        <w:bottom w:val="none" w:sz="0" w:space="0" w:color="auto"/>
        <w:right w:val="none" w:sz="0" w:space="0" w:color="auto"/>
      </w:divBdr>
    </w:div>
    <w:div w:id="1452897033">
      <w:bodyDiv w:val="1"/>
      <w:marLeft w:val="0"/>
      <w:marRight w:val="0"/>
      <w:marTop w:val="0"/>
      <w:marBottom w:val="0"/>
      <w:divBdr>
        <w:top w:val="none" w:sz="0" w:space="0" w:color="auto"/>
        <w:left w:val="none" w:sz="0" w:space="0" w:color="auto"/>
        <w:bottom w:val="none" w:sz="0" w:space="0" w:color="auto"/>
        <w:right w:val="none" w:sz="0" w:space="0" w:color="auto"/>
      </w:divBdr>
    </w:div>
    <w:div w:id="1920872143">
      <w:marLeft w:val="24"/>
      <w:marRight w:val="24"/>
      <w:marTop w:val="24"/>
      <w:marBottom w:val="24"/>
      <w:divBdr>
        <w:top w:val="none" w:sz="0" w:space="0" w:color="auto"/>
        <w:left w:val="none" w:sz="0" w:space="0" w:color="auto"/>
        <w:bottom w:val="none" w:sz="0" w:space="0" w:color="auto"/>
        <w:right w:val="none" w:sz="0" w:space="0" w:color="auto"/>
      </w:divBdr>
      <w:divsChild>
        <w:div w:id="1920872139">
          <w:marLeft w:val="0"/>
          <w:marRight w:val="0"/>
          <w:marTop w:val="0"/>
          <w:marBottom w:val="0"/>
          <w:divBdr>
            <w:top w:val="none" w:sz="0" w:space="0" w:color="auto"/>
            <w:left w:val="none" w:sz="0" w:space="0" w:color="auto"/>
            <w:bottom w:val="none" w:sz="0" w:space="0" w:color="auto"/>
            <w:right w:val="none" w:sz="0" w:space="0" w:color="auto"/>
          </w:divBdr>
          <w:divsChild>
            <w:div w:id="1920872147">
              <w:marLeft w:val="36"/>
              <w:marRight w:val="36"/>
              <w:marTop w:val="36"/>
              <w:marBottom w:val="36"/>
              <w:divBdr>
                <w:top w:val="none" w:sz="0" w:space="0" w:color="auto"/>
                <w:left w:val="none" w:sz="0" w:space="0" w:color="auto"/>
                <w:bottom w:val="none" w:sz="0" w:space="0" w:color="auto"/>
                <w:right w:val="none" w:sz="0" w:space="0" w:color="auto"/>
              </w:divBdr>
              <w:divsChild>
                <w:div w:id="1920872144">
                  <w:marLeft w:val="0"/>
                  <w:marRight w:val="0"/>
                  <w:marTop w:val="0"/>
                  <w:marBottom w:val="0"/>
                  <w:divBdr>
                    <w:top w:val="none" w:sz="0" w:space="0" w:color="auto"/>
                    <w:left w:val="none" w:sz="0" w:space="0" w:color="auto"/>
                    <w:bottom w:val="none" w:sz="0" w:space="0" w:color="auto"/>
                    <w:right w:val="none" w:sz="0" w:space="0" w:color="auto"/>
                  </w:divBdr>
                  <w:divsChild>
                    <w:div w:id="1920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2148">
      <w:marLeft w:val="24"/>
      <w:marRight w:val="24"/>
      <w:marTop w:val="24"/>
      <w:marBottom w:val="24"/>
      <w:divBdr>
        <w:top w:val="none" w:sz="0" w:space="0" w:color="auto"/>
        <w:left w:val="none" w:sz="0" w:space="0" w:color="auto"/>
        <w:bottom w:val="none" w:sz="0" w:space="0" w:color="auto"/>
        <w:right w:val="none" w:sz="0" w:space="0" w:color="auto"/>
      </w:divBdr>
      <w:divsChild>
        <w:div w:id="1920872146">
          <w:marLeft w:val="0"/>
          <w:marRight w:val="0"/>
          <w:marTop w:val="0"/>
          <w:marBottom w:val="0"/>
          <w:divBdr>
            <w:top w:val="none" w:sz="0" w:space="0" w:color="auto"/>
            <w:left w:val="none" w:sz="0" w:space="0" w:color="auto"/>
            <w:bottom w:val="none" w:sz="0" w:space="0" w:color="auto"/>
            <w:right w:val="none" w:sz="0" w:space="0" w:color="auto"/>
          </w:divBdr>
          <w:divsChild>
            <w:div w:id="1920872140">
              <w:marLeft w:val="36"/>
              <w:marRight w:val="36"/>
              <w:marTop w:val="36"/>
              <w:marBottom w:val="36"/>
              <w:divBdr>
                <w:top w:val="none" w:sz="0" w:space="0" w:color="auto"/>
                <w:left w:val="none" w:sz="0" w:space="0" w:color="auto"/>
                <w:bottom w:val="none" w:sz="0" w:space="0" w:color="auto"/>
                <w:right w:val="none" w:sz="0" w:space="0" w:color="auto"/>
              </w:divBdr>
              <w:divsChild>
                <w:div w:id="1920872142">
                  <w:marLeft w:val="0"/>
                  <w:marRight w:val="0"/>
                  <w:marTop w:val="0"/>
                  <w:marBottom w:val="0"/>
                  <w:divBdr>
                    <w:top w:val="none" w:sz="0" w:space="0" w:color="auto"/>
                    <w:left w:val="none" w:sz="0" w:space="0" w:color="auto"/>
                    <w:bottom w:val="none" w:sz="0" w:space="0" w:color="auto"/>
                    <w:right w:val="none" w:sz="0" w:space="0" w:color="auto"/>
                  </w:divBdr>
                  <w:divsChild>
                    <w:div w:id="1920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an.rush@usdo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7317-8222-4F94-A6F0-F35EE1E8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6646</Words>
  <Characters>38301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44858</CharactersWithSpaces>
  <SharedDoc>false</SharedDoc>
  <HLinks>
    <vt:vector size="90" baseType="variant">
      <vt:variant>
        <vt:i4>327777</vt:i4>
      </vt:variant>
      <vt:variant>
        <vt:i4>66</vt:i4>
      </vt:variant>
      <vt:variant>
        <vt:i4>0</vt:i4>
      </vt:variant>
      <vt:variant>
        <vt:i4>5</vt:i4>
      </vt:variant>
      <vt:variant>
        <vt:lpwstr>mailto:regan.rush@usdoj.gov</vt:lpwstr>
      </vt:variant>
      <vt:variant>
        <vt:lpwstr/>
      </vt:variant>
      <vt:variant>
        <vt:i4>4259934</vt:i4>
      </vt:variant>
      <vt:variant>
        <vt:i4>63</vt:i4>
      </vt:variant>
      <vt:variant>
        <vt:i4>0</vt:i4>
      </vt:variant>
      <vt:variant>
        <vt:i4>5</vt:i4>
      </vt:variant>
      <vt:variant>
        <vt:lpwstr>http://www.lexis.com/research/xlink?app=00075&amp;view=full&amp;searchtype=get&amp;search=21+Am.+Disabilities+Cas.+%2528BNA%2529+459</vt:lpwstr>
      </vt:variant>
      <vt:variant>
        <vt:lpwstr/>
      </vt:variant>
      <vt:variant>
        <vt:i4>1769534</vt:i4>
      </vt:variant>
      <vt:variant>
        <vt:i4>56</vt:i4>
      </vt:variant>
      <vt:variant>
        <vt:i4>0</vt:i4>
      </vt:variant>
      <vt:variant>
        <vt:i4>5</vt:i4>
      </vt:variant>
      <vt:variant>
        <vt:lpwstr/>
      </vt:variant>
      <vt:variant>
        <vt:lpwstr>_Toc266438962</vt:lpwstr>
      </vt:variant>
      <vt:variant>
        <vt:i4>1572926</vt:i4>
      </vt:variant>
      <vt:variant>
        <vt:i4>53</vt:i4>
      </vt:variant>
      <vt:variant>
        <vt:i4>0</vt:i4>
      </vt:variant>
      <vt:variant>
        <vt:i4>5</vt:i4>
      </vt:variant>
      <vt:variant>
        <vt:lpwstr/>
      </vt:variant>
      <vt:variant>
        <vt:lpwstr>_Toc266438956</vt:lpwstr>
      </vt:variant>
      <vt:variant>
        <vt:i4>1769534</vt:i4>
      </vt:variant>
      <vt:variant>
        <vt:i4>47</vt:i4>
      </vt:variant>
      <vt:variant>
        <vt:i4>0</vt:i4>
      </vt:variant>
      <vt:variant>
        <vt:i4>5</vt:i4>
      </vt:variant>
      <vt:variant>
        <vt:lpwstr/>
      </vt:variant>
      <vt:variant>
        <vt:lpwstr>_Toc266438961</vt:lpwstr>
      </vt:variant>
      <vt:variant>
        <vt:i4>1769534</vt:i4>
      </vt:variant>
      <vt:variant>
        <vt:i4>41</vt:i4>
      </vt:variant>
      <vt:variant>
        <vt:i4>0</vt:i4>
      </vt:variant>
      <vt:variant>
        <vt:i4>5</vt:i4>
      </vt:variant>
      <vt:variant>
        <vt:lpwstr/>
      </vt:variant>
      <vt:variant>
        <vt:lpwstr>_Toc266438960</vt:lpwstr>
      </vt:variant>
      <vt:variant>
        <vt:i4>1572926</vt:i4>
      </vt:variant>
      <vt:variant>
        <vt:i4>38</vt:i4>
      </vt:variant>
      <vt:variant>
        <vt:i4>0</vt:i4>
      </vt:variant>
      <vt:variant>
        <vt:i4>5</vt:i4>
      </vt:variant>
      <vt:variant>
        <vt:lpwstr/>
      </vt:variant>
      <vt:variant>
        <vt:lpwstr>_Toc266438959</vt:lpwstr>
      </vt:variant>
      <vt:variant>
        <vt:i4>1572926</vt:i4>
      </vt:variant>
      <vt:variant>
        <vt:i4>35</vt:i4>
      </vt:variant>
      <vt:variant>
        <vt:i4>0</vt:i4>
      </vt:variant>
      <vt:variant>
        <vt:i4>5</vt:i4>
      </vt:variant>
      <vt:variant>
        <vt:lpwstr/>
      </vt:variant>
      <vt:variant>
        <vt:lpwstr>_Toc266438958</vt:lpwstr>
      </vt:variant>
      <vt:variant>
        <vt:i4>1572926</vt:i4>
      </vt:variant>
      <vt:variant>
        <vt:i4>32</vt:i4>
      </vt:variant>
      <vt:variant>
        <vt:i4>0</vt:i4>
      </vt:variant>
      <vt:variant>
        <vt:i4>5</vt:i4>
      </vt:variant>
      <vt:variant>
        <vt:lpwstr/>
      </vt:variant>
      <vt:variant>
        <vt:lpwstr>_Toc266438954</vt:lpwstr>
      </vt:variant>
      <vt:variant>
        <vt:i4>1572926</vt:i4>
      </vt:variant>
      <vt:variant>
        <vt:i4>26</vt:i4>
      </vt:variant>
      <vt:variant>
        <vt:i4>0</vt:i4>
      </vt:variant>
      <vt:variant>
        <vt:i4>5</vt:i4>
      </vt:variant>
      <vt:variant>
        <vt:lpwstr/>
      </vt:variant>
      <vt:variant>
        <vt:lpwstr>_Toc266438954</vt:lpwstr>
      </vt:variant>
      <vt:variant>
        <vt:i4>1572926</vt:i4>
      </vt:variant>
      <vt:variant>
        <vt:i4>23</vt:i4>
      </vt:variant>
      <vt:variant>
        <vt:i4>0</vt:i4>
      </vt:variant>
      <vt:variant>
        <vt:i4>5</vt:i4>
      </vt:variant>
      <vt:variant>
        <vt:lpwstr/>
      </vt:variant>
      <vt:variant>
        <vt:lpwstr>_Toc266438953</vt:lpwstr>
      </vt:variant>
      <vt:variant>
        <vt:i4>1572926</vt:i4>
      </vt:variant>
      <vt:variant>
        <vt:i4>20</vt:i4>
      </vt:variant>
      <vt:variant>
        <vt:i4>0</vt:i4>
      </vt:variant>
      <vt:variant>
        <vt:i4>5</vt:i4>
      </vt:variant>
      <vt:variant>
        <vt:lpwstr/>
      </vt:variant>
      <vt:variant>
        <vt:lpwstr>_Toc266438952</vt:lpwstr>
      </vt:variant>
      <vt:variant>
        <vt:i4>1572926</vt:i4>
      </vt:variant>
      <vt:variant>
        <vt:i4>14</vt:i4>
      </vt:variant>
      <vt:variant>
        <vt:i4>0</vt:i4>
      </vt:variant>
      <vt:variant>
        <vt:i4>5</vt:i4>
      </vt:variant>
      <vt:variant>
        <vt:lpwstr/>
      </vt:variant>
      <vt:variant>
        <vt:lpwstr>_Toc266438951</vt:lpwstr>
      </vt:variant>
      <vt:variant>
        <vt:i4>1572926</vt:i4>
      </vt:variant>
      <vt:variant>
        <vt:i4>8</vt:i4>
      </vt:variant>
      <vt:variant>
        <vt:i4>0</vt:i4>
      </vt:variant>
      <vt:variant>
        <vt:i4>5</vt:i4>
      </vt:variant>
      <vt:variant>
        <vt:lpwstr/>
      </vt:variant>
      <vt:variant>
        <vt:lpwstr>_Toc266438950</vt:lpwstr>
      </vt:variant>
      <vt:variant>
        <vt:i4>1638462</vt:i4>
      </vt:variant>
      <vt:variant>
        <vt:i4>2</vt:i4>
      </vt:variant>
      <vt:variant>
        <vt:i4>0</vt:i4>
      </vt:variant>
      <vt:variant>
        <vt:i4>5</vt:i4>
      </vt:variant>
      <vt:variant>
        <vt:lpwstr/>
      </vt:variant>
      <vt:variant>
        <vt:lpwstr>_Toc266438947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2011-01-26T17:58:00Z</dcterms:created>
  <dcterms:modified xsi:type="dcterms:W3CDTF">2011-01-26T19:59:00Z</dcterms:modified>
</cp:coreProperties>
</file>