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7E" w:rsidRPr="009178E0" w:rsidRDefault="0065157E" w:rsidP="00F123F9">
      <w:pPr>
        <w:pStyle w:val="Default"/>
      </w:pPr>
    </w:p>
    <w:p w:rsidR="008F3AC1" w:rsidRPr="009178E0" w:rsidRDefault="008F3AC1" w:rsidP="00F123F9">
      <w:pPr>
        <w:widowControl w:val="0"/>
        <w:autoSpaceDE w:val="0"/>
        <w:autoSpaceDN w:val="0"/>
        <w:adjustRightInd w:val="0"/>
        <w:jc w:val="center"/>
        <w:rPr>
          <w:rFonts w:ascii="Times New Roman" w:hAnsi="Times New Roman"/>
          <w:sz w:val="24"/>
          <w:szCs w:val="24"/>
        </w:rPr>
      </w:pPr>
      <w:r w:rsidRPr="009178E0">
        <w:rPr>
          <w:rFonts w:ascii="Times New Roman" w:hAnsi="Times New Roman"/>
          <w:sz w:val="24"/>
          <w:szCs w:val="24"/>
        </w:rPr>
        <w:t>UNITED</w:t>
      </w:r>
      <w:r w:rsidR="00096982">
        <w:rPr>
          <w:rFonts w:ascii="Times New Roman" w:hAnsi="Times New Roman"/>
          <w:sz w:val="24"/>
          <w:szCs w:val="24"/>
        </w:rPr>
        <w:t xml:space="preserve"> </w:t>
      </w:r>
      <w:r w:rsidRPr="009178E0">
        <w:rPr>
          <w:rFonts w:ascii="Times New Roman" w:hAnsi="Times New Roman"/>
          <w:sz w:val="24"/>
          <w:szCs w:val="24"/>
        </w:rPr>
        <w:t>STATES DISTRICT COURT</w:t>
      </w:r>
    </w:p>
    <w:p w:rsidR="008F3AC1" w:rsidRPr="009178E0" w:rsidRDefault="008F3AC1" w:rsidP="00F123F9">
      <w:pPr>
        <w:widowControl w:val="0"/>
        <w:autoSpaceDE w:val="0"/>
        <w:autoSpaceDN w:val="0"/>
        <w:adjustRightInd w:val="0"/>
        <w:jc w:val="center"/>
        <w:rPr>
          <w:rFonts w:ascii="Times New Roman" w:hAnsi="Times New Roman"/>
          <w:sz w:val="24"/>
          <w:szCs w:val="24"/>
        </w:rPr>
      </w:pPr>
      <w:r w:rsidRPr="009178E0">
        <w:rPr>
          <w:rFonts w:ascii="Times New Roman" w:hAnsi="Times New Roman"/>
          <w:sz w:val="24"/>
          <w:szCs w:val="24"/>
        </w:rPr>
        <w:t>SOUTHERN DISTRICT OF INDIANA</w:t>
      </w:r>
    </w:p>
    <w:p w:rsidR="008F3AC1" w:rsidRPr="009178E0" w:rsidRDefault="008F3AC1" w:rsidP="00F123F9">
      <w:pPr>
        <w:widowControl w:val="0"/>
        <w:autoSpaceDE w:val="0"/>
        <w:autoSpaceDN w:val="0"/>
        <w:adjustRightInd w:val="0"/>
        <w:jc w:val="center"/>
        <w:rPr>
          <w:rFonts w:ascii="Times New Roman" w:hAnsi="Times New Roman"/>
          <w:sz w:val="24"/>
          <w:szCs w:val="24"/>
        </w:rPr>
      </w:pPr>
      <w:r w:rsidRPr="009178E0">
        <w:rPr>
          <w:rFonts w:ascii="Times New Roman" w:hAnsi="Times New Roman"/>
          <w:sz w:val="24"/>
          <w:szCs w:val="24"/>
        </w:rPr>
        <w:t>INDIANAPOLIS DIVISION</w:t>
      </w:r>
    </w:p>
    <w:p w:rsidR="00744B6D" w:rsidRPr="009178E0" w:rsidRDefault="00744B6D" w:rsidP="00F123F9">
      <w:pPr>
        <w:widowControl w:val="0"/>
        <w:autoSpaceDE w:val="0"/>
        <w:autoSpaceDN w:val="0"/>
        <w:adjustRightInd w:val="0"/>
        <w:rPr>
          <w:rFonts w:ascii="Times New Roman" w:hAnsi="Times New Roman"/>
          <w:sz w:val="24"/>
          <w:szCs w:val="24"/>
        </w:rPr>
      </w:pPr>
    </w:p>
    <w:p w:rsidR="008F3AC1" w:rsidRPr="009178E0" w:rsidRDefault="008F3AC1" w:rsidP="00F123F9">
      <w:pPr>
        <w:widowControl w:val="0"/>
        <w:autoSpaceDE w:val="0"/>
        <w:autoSpaceDN w:val="0"/>
        <w:adjustRightInd w:val="0"/>
        <w:rPr>
          <w:rFonts w:ascii="Times New Roman" w:hAnsi="Times New Roman"/>
          <w:sz w:val="24"/>
          <w:szCs w:val="24"/>
        </w:rPr>
      </w:pPr>
      <w:r w:rsidRPr="009178E0">
        <w:rPr>
          <w:rFonts w:ascii="Times New Roman" w:hAnsi="Times New Roman"/>
          <w:sz w:val="24"/>
          <w:szCs w:val="24"/>
        </w:rPr>
        <w:t xml:space="preserve">THOMAS MAERTZ, by his sister </w:t>
      </w:r>
      <w:r w:rsidR="0065157E" w:rsidRPr="009178E0">
        <w:rPr>
          <w:rFonts w:ascii="Times New Roman" w:hAnsi="Times New Roman"/>
          <w:sz w:val="24"/>
          <w:szCs w:val="24"/>
        </w:rPr>
        <w:tab/>
      </w:r>
      <w:r w:rsidR="0065157E" w:rsidRPr="009178E0">
        <w:rPr>
          <w:rFonts w:ascii="Times New Roman" w:hAnsi="Times New Roman"/>
          <w:sz w:val="24"/>
          <w:szCs w:val="24"/>
        </w:rPr>
        <w:tab/>
      </w:r>
      <w:r w:rsidRPr="009178E0">
        <w:rPr>
          <w:rFonts w:ascii="Times New Roman" w:hAnsi="Times New Roman"/>
          <w:sz w:val="24"/>
          <w:szCs w:val="24"/>
        </w:rPr>
        <w:t>)</w:t>
      </w:r>
    </w:p>
    <w:p w:rsidR="00E573E2" w:rsidRPr="009178E0" w:rsidRDefault="00E573E2" w:rsidP="00F123F9">
      <w:pPr>
        <w:widowControl w:val="0"/>
        <w:autoSpaceDE w:val="0"/>
        <w:autoSpaceDN w:val="0"/>
        <w:adjustRightInd w:val="0"/>
        <w:rPr>
          <w:rFonts w:ascii="Times New Roman" w:hAnsi="Times New Roman"/>
          <w:sz w:val="24"/>
          <w:szCs w:val="24"/>
        </w:rPr>
      </w:pPr>
      <w:proofErr w:type="gramStart"/>
      <w:r w:rsidRPr="009178E0">
        <w:rPr>
          <w:rFonts w:ascii="Times New Roman" w:hAnsi="Times New Roman"/>
          <w:sz w:val="24"/>
          <w:szCs w:val="24"/>
        </w:rPr>
        <w:t>and</w:t>
      </w:r>
      <w:proofErr w:type="gramEnd"/>
      <w:r w:rsidRPr="009178E0">
        <w:rPr>
          <w:rFonts w:ascii="Times New Roman" w:hAnsi="Times New Roman"/>
          <w:sz w:val="24"/>
          <w:szCs w:val="24"/>
        </w:rPr>
        <w:t xml:space="preserve"> next </w:t>
      </w:r>
      <w:r w:rsidR="008F3AC1" w:rsidRPr="009178E0">
        <w:rPr>
          <w:rFonts w:ascii="Times New Roman" w:hAnsi="Times New Roman"/>
          <w:sz w:val="24"/>
          <w:szCs w:val="24"/>
        </w:rPr>
        <w:t xml:space="preserve">friend Francesca Kemp; </w:t>
      </w:r>
      <w:r w:rsidRPr="009178E0">
        <w:rPr>
          <w:rFonts w:ascii="Times New Roman" w:hAnsi="Times New Roman"/>
          <w:sz w:val="24"/>
          <w:szCs w:val="24"/>
        </w:rPr>
        <w:tab/>
      </w:r>
      <w:r w:rsidRPr="009178E0">
        <w:rPr>
          <w:rFonts w:ascii="Times New Roman" w:hAnsi="Times New Roman"/>
          <w:sz w:val="24"/>
          <w:szCs w:val="24"/>
        </w:rPr>
        <w:tab/>
        <w:t>)</w:t>
      </w:r>
    </w:p>
    <w:p w:rsidR="00E573E2" w:rsidRPr="009178E0" w:rsidRDefault="008F3AC1" w:rsidP="00F123F9">
      <w:pPr>
        <w:widowControl w:val="0"/>
        <w:autoSpaceDE w:val="0"/>
        <w:autoSpaceDN w:val="0"/>
        <w:adjustRightInd w:val="0"/>
        <w:rPr>
          <w:rFonts w:ascii="Times New Roman" w:hAnsi="Times New Roman"/>
          <w:sz w:val="24"/>
          <w:szCs w:val="24"/>
        </w:rPr>
      </w:pPr>
      <w:r w:rsidRPr="009178E0">
        <w:rPr>
          <w:rFonts w:ascii="Times New Roman" w:hAnsi="Times New Roman"/>
          <w:sz w:val="24"/>
          <w:szCs w:val="24"/>
        </w:rPr>
        <w:t>COLTON and CODY</w:t>
      </w:r>
      <w:r w:rsidR="00E573E2" w:rsidRPr="009178E0">
        <w:rPr>
          <w:rFonts w:ascii="Times New Roman" w:hAnsi="Times New Roman"/>
          <w:sz w:val="24"/>
          <w:szCs w:val="24"/>
        </w:rPr>
        <w:t xml:space="preserve"> </w:t>
      </w:r>
      <w:r w:rsidRPr="009178E0">
        <w:rPr>
          <w:rFonts w:ascii="Times New Roman" w:hAnsi="Times New Roman"/>
          <w:sz w:val="24"/>
          <w:szCs w:val="24"/>
        </w:rPr>
        <w:t xml:space="preserve">COLE, by </w:t>
      </w:r>
      <w:r w:rsidR="00E573E2" w:rsidRPr="009178E0">
        <w:rPr>
          <w:rFonts w:ascii="Times New Roman" w:hAnsi="Times New Roman"/>
          <w:sz w:val="24"/>
          <w:szCs w:val="24"/>
        </w:rPr>
        <w:tab/>
      </w:r>
      <w:r w:rsidR="00E573E2" w:rsidRPr="009178E0">
        <w:rPr>
          <w:rFonts w:ascii="Times New Roman" w:hAnsi="Times New Roman"/>
          <w:sz w:val="24"/>
          <w:szCs w:val="24"/>
        </w:rPr>
        <w:tab/>
        <w:t>)</w:t>
      </w:r>
    </w:p>
    <w:p w:rsidR="008F3AC1" w:rsidRPr="009178E0" w:rsidRDefault="008F3AC1" w:rsidP="00F123F9">
      <w:pPr>
        <w:widowControl w:val="0"/>
        <w:autoSpaceDE w:val="0"/>
        <w:autoSpaceDN w:val="0"/>
        <w:adjustRightInd w:val="0"/>
        <w:rPr>
          <w:rFonts w:ascii="Times New Roman" w:hAnsi="Times New Roman"/>
          <w:sz w:val="24"/>
          <w:szCs w:val="24"/>
        </w:rPr>
      </w:pPr>
      <w:proofErr w:type="gramStart"/>
      <w:r w:rsidRPr="009178E0">
        <w:rPr>
          <w:rFonts w:ascii="Times New Roman" w:hAnsi="Times New Roman"/>
          <w:sz w:val="24"/>
          <w:szCs w:val="24"/>
        </w:rPr>
        <w:t>their</w:t>
      </w:r>
      <w:proofErr w:type="gramEnd"/>
      <w:r w:rsidRPr="009178E0">
        <w:rPr>
          <w:rFonts w:ascii="Times New Roman" w:hAnsi="Times New Roman"/>
          <w:sz w:val="24"/>
          <w:szCs w:val="24"/>
        </w:rPr>
        <w:t xml:space="preserve"> mother and next friend Tamara </w:t>
      </w:r>
      <w:r w:rsidR="0065157E" w:rsidRPr="009178E0">
        <w:rPr>
          <w:rFonts w:ascii="Times New Roman" w:hAnsi="Times New Roman"/>
          <w:sz w:val="24"/>
          <w:szCs w:val="24"/>
        </w:rPr>
        <w:tab/>
      </w:r>
      <w:r w:rsidR="00E573E2" w:rsidRPr="009178E0">
        <w:rPr>
          <w:rFonts w:ascii="Times New Roman" w:hAnsi="Times New Roman"/>
          <w:sz w:val="24"/>
          <w:szCs w:val="24"/>
        </w:rPr>
        <w:tab/>
      </w:r>
      <w:r w:rsidRPr="009178E0">
        <w:rPr>
          <w:rFonts w:ascii="Times New Roman" w:hAnsi="Times New Roman"/>
          <w:sz w:val="24"/>
          <w:szCs w:val="24"/>
        </w:rPr>
        <w:t>)</w:t>
      </w:r>
    </w:p>
    <w:p w:rsidR="00E573E2" w:rsidRPr="009178E0" w:rsidRDefault="008F3AC1" w:rsidP="00F123F9">
      <w:pPr>
        <w:widowControl w:val="0"/>
        <w:autoSpaceDE w:val="0"/>
        <w:autoSpaceDN w:val="0"/>
        <w:adjustRightInd w:val="0"/>
        <w:rPr>
          <w:rFonts w:ascii="Times New Roman" w:hAnsi="Times New Roman"/>
          <w:sz w:val="24"/>
          <w:szCs w:val="24"/>
        </w:rPr>
      </w:pPr>
      <w:proofErr w:type="spellStart"/>
      <w:r w:rsidRPr="009178E0">
        <w:rPr>
          <w:rFonts w:ascii="Times New Roman" w:hAnsi="Times New Roman"/>
          <w:sz w:val="24"/>
          <w:szCs w:val="24"/>
        </w:rPr>
        <w:t>Awald</w:t>
      </w:r>
      <w:proofErr w:type="spellEnd"/>
      <w:r w:rsidRPr="009178E0">
        <w:rPr>
          <w:rFonts w:ascii="Times New Roman" w:hAnsi="Times New Roman"/>
          <w:sz w:val="24"/>
          <w:szCs w:val="24"/>
        </w:rPr>
        <w:t xml:space="preserve">; and TIMOTHY KEISTER, </w:t>
      </w:r>
      <w:r w:rsidR="00E573E2" w:rsidRPr="009178E0">
        <w:rPr>
          <w:rFonts w:ascii="Times New Roman" w:hAnsi="Times New Roman"/>
          <w:sz w:val="24"/>
          <w:szCs w:val="24"/>
        </w:rPr>
        <w:tab/>
      </w:r>
      <w:r w:rsidR="00E573E2" w:rsidRPr="009178E0">
        <w:rPr>
          <w:rFonts w:ascii="Times New Roman" w:hAnsi="Times New Roman"/>
          <w:sz w:val="24"/>
          <w:szCs w:val="24"/>
        </w:rPr>
        <w:tab/>
        <w:t>)</w:t>
      </w:r>
    </w:p>
    <w:p w:rsidR="008F3AC1" w:rsidRPr="009178E0" w:rsidRDefault="008F3AC1" w:rsidP="00F123F9">
      <w:pPr>
        <w:widowControl w:val="0"/>
        <w:autoSpaceDE w:val="0"/>
        <w:autoSpaceDN w:val="0"/>
        <w:adjustRightInd w:val="0"/>
        <w:rPr>
          <w:rFonts w:ascii="Times New Roman" w:hAnsi="Times New Roman"/>
          <w:sz w:val="24"/>
          <w:szCs w:val="24"/>
        </w:rPr>
      </w:pPr>
      <w:proofErr w:type="gramStart"/>
      <w:r w:rsidRPr="009178E0">
        <w:rPr>
          <w:rFonts w:ascii="Times New Roman" w:hAnsi="Times New Roman"/>
          <w:sz w:val="24"/>
          <w:szCs w:val="24"/>
        </w:rPr>
        <w:t>by</w:t>
      </w:r>
      <w:proofErr w:type="gramEnd"/>
      <w:r w:rsidRPr="009178E0">
        <w:rPr>
          <w:rFonts w:ascii="Times New Roman" w:hAnsi="Times New Roman"/>
          <w:sz w:val="24"/>
          <w:szCs w:val="24"/>
        </w:rPr>
        <w:t xml:space="preserve"> his sister </w:t>
      </w:r>
      <w:r w:rsidR="0065157E" w:rsidRPr="009178E0">
        <w:rPr>
          <w:rFonts w:ascii="Times New Roman" w:hAnsi="Times New Roman"/>
          <w:sz w:val="24"/>
          <w:szCs w:val="24"/>
        </w:rPr>
        <w:tab/>
      </w:r>
      <w:r w:rsidR="00E573E2" w:rsidRPr="009178E0">
        <w:rPr>
          <w:rFonts w:ascii="Times New Roman" w:hAnsi="Times New Roman"/>
          <w:sz w:val="24"/>
          <w:szCs w:val="24"/>
        </w:rPr>
        <w:tab/>
      </w:r>
      <w:r w:rsidR="00E573E2" w:rsidRPr="009178E0">
        <w:rPr>
          <w:rFonts w:ascii="Times New Roman" w:hAnsi="Times New Roman"/>
          <w:sz w:val="24"/>
          <w:szCs w:val="24"/>
        </w:rPr>
        <w:tab/>
      </w:r>
      <w:r w:rsidR="00E573E2" w:rsidRPr="009178E0">
        <w:rPr>
          <w:rFonts w:ascii="Times New Roman" w:hAnsi="Times New Roman"/>
          <w:sz w:val="24"/>
          <w:szCs w:val="24"/>
        </w:rPr>
        <w:tab/>
      </w:r>
      <w:r w:rsidR="00E573E2" w:rsidRPr="009178E0">
        <w:rPr>
          <w:rFonts w:ascii="Times New Roman" w:hAnsi="Times New Roman"/>
          <w:sz w:val="24"/>
          <w:szCs w:val="24"/>
        </w:rPr>
        <w:tab/>
      </w:r>
      <w:r w:rsidRPr="009178E0">
        <w:rPr>
          <w:rFonts w:ascii="Times New Roman" w:hAnsi="Times New Roman"/>
          <w:sz w:val="24"/>
          <w:szCs w:val="24"/>
        </w:rPr>
        <w:t>)</w:t>
      </w:r>
    </w:p>
    <w:p w:rsidR="008F3AC1" w:rsidRPr="009178E0" w:rsidRDefault="008F3AC1" w:rsidP="00F123F9">
      <w:pPr>
        <w:widowControl w:val="0"/>
        <w:autoSpaceDE w:val="0"/>
        <w:autoSpaceDN w:val="0"/>
        <w:adjustRightInd w:val="0"/>
        <w:rPr>
          <w:rFonts w:ascii="Times New Roman" w:hAnsi="Times New Roman"/>
          <w:sz w:val="24"/>
          <w:szCs w:val="24"/>
        </w:rPr>
      </w:pPr>
      <w:proofErr w:type="gramStart"/>
      <w:r w:rsidRPr="009178E0">
        <w:rPr>
          <w:rFonts w:ascii="Times New Roman" w:hAnsi="Times New Roman"/>
          <w:sz w:val="24"/>
          <w:szCs w:val="24"/>
        </w:rPr>
        <w:t>and</w:t>
      </w:r>
      <w:proofErr w:type="gramEnd"/>
      <w:r w:rsidRPr="009178E0">
        <w:rPr>
          <w:rFonts w:ascii="Times New Roman" w:hAnsi="Times New Roman"/>
          <w:sz w:val="24"/>
          <w:szCs w:val="24"/>
        </w:rPr>
        <w:t xml:space="preserve"> next friend Kristie Wright, </w:t>
      </w:r>
      <w:r w:rsidR="00E573E2" w:rsidRPr="009178E0">
        <w:rPr>
          <w:rFonts w:ascii="Times New Roman" w:hAnsi="Times New Roman"/>
          <w:sz w:val="24"/>
          <w:szCs w:val="24"/>
        </w:rPr>
        <w:tab/>
      </w:r>
      <w:r w:rsidR="00E573E2" w:rsidRPr="009178E0">
        <w:rPr>
          <w:rFonts w:ascii="Times New Roman" w:hAnsi="Times New Roman"/>
          <w:sz w:val="24"/>
          <w:szCs w:val="24"/>
        </w:rPr>
        <w:tab/>
      </w:r>
      <w:r w:rsidRPr="009178E0">
        <w:rPr>
          <w:rFonts w:ascii="Times New Roman" w:hAnsi="Times New Roman"/>
          <w:sz w:val="24"/>
          <w:szCs w:val="24"/>
        </w:rPr>
        <w:t>)</w:t>
      </w:r>
    </w:p>
    <w:p w:rsidR="008F3AC1" w:rsidRPr="009178E0" w:rsidRDefault="008F3AC1" w:rsidP="00F123F9">
      <w:pPr>
        <w:widowControl w:val="0"/>
        <w:autoSpaceDE w:val="0"/>
        <w:autoSpaceDN w:val="0"/>
        <w:adjustRightInd w:val="0"/>
        <w:ind w:left="3600" w:firstLine="720"/>
        <w:rPr>
          <w:rFonts w:ascii="Times New Roman" w:hAnsi="Times New Roman"/>
          <w:sz w:val="24"/>
          <w:szCs w:val="24"/>
        </w:rPr>
      </w:pPr>
      <w:r w:rsidRPr="009178E0">
        <w:rPr>
          <w:rFonts w:ascii="Times New Roman" w:hAnsi="Times New Roman"/>
          <w:sz w:val="24"/>
          <w:szCs w:val="24"/>
        </w:rPr>
        <w:t>)</w:t>
      </w:r>
    </w:p>
    <w:p w:rsidR="008F3AC1" w:rsidRPr="009178E0" w:rsidRDefault="00E573E2" w:rsidP="00F123F9">
      <w:pPr>
        <w:widowControl w:val="0"/>
        <w:autoSpaceDE w:val="0"/>
        <w:autoSpaceDN w:val="0"/>
        <w:adjustRightInd w:val="0"/>
        <w:ind w:firstLine="720"/>
        <w:rPr>
          <w:rFonts w:ascii="Times New Roman" w:hAnsi="Times New Roman"/>
          <w:sz w:val="24"/>
          <w:szCs w:val="24"/>
        </w:rPr>
      </w:pPr>
      <w:r w:rsidRPr="009178E0">
        <w:rPr>
          <w:rFonts w:ascii="Times New Roman" w:hAnsi="Times New Roman"/>
          <w:sz w:val="24"/>
          <w:szCs w:val="24"/>
        </w:rPr>
        <w:t>Plaintiffs</w:t>
      </w:r>
      <w:r w:rsidR="008F3AC1" w:rsidRPr="009178E0">
        <w:rPr>
          <w:rFonts w:ascii="Times New Roman" w:hAnsi="Times New Roman"/>
          <w:sz w:val="24"/>
          <w:szCs w:val="24"/>
        </w:rPr>
        <w:t xml:space="preserve">, </w:t>
      </w:r>
      <w:r w:rsidR="0065157E" w:rsidRPr="009178E0">
        <w:rPr>
          <w:rFonts w:ascii="Times New Roman" w:hAnsi="Times New Roman"/>
          <w:sz w:val="24"/>
          <w:szCs w:val="24"/>
        </w:rPr>
        <w:tab/>
      </w:r>
      <w:r w:rsidR="0065157E" w:rsidRPr="009178E0">
        <w:rPr>
          <w:rFonts w:ascii="Times New Roman" w:hAnsi="Times New Roman"/>
          <w:sz w:val="24"/>
          <w:szCs w:val="24"/>
        </w:rPr>
        <w:tab/>
      </w:r>
      <w:r w:rsidR="0065157E" w:rsidRPr="009178E0">
        <w:rPr>
          <w:rFonts w:ascii="Times New Roman" w:hAnsi="Times New Roman"/>
          <w:sz w:val="24"/>
          <w:szCs w:val="24"/>
        </w:rPr>
        <w:tab/>
      </w:r>
      <w:r w:rsidR="0065157E" w:rsidRPr="009178E0">
        <w:rPr>
          <w:rFonts w:ascii="Times New Roman" w:hAnsi="Times New Roman"/>
          <w:sz w:val="24"/>
          <w:szCs w:val="24"/>
        </w:rPr>
        <w:tab/>
      </w:r>
      <w:r w:rsidR="008F3AC1" w:rsidRPr="009178E0">
        <w:rPr>
          <w:rFonts w:ascii="Times New Roman" w:hAnsi="Times New Roman"/>
          <w:sz w:val="24"/>
          <w:szCs w:val="24"/>
        </w:rPr>
        <w:t>)</w:t>
      </w:r>
      <w:r w:rsidRPr="009178E0">
        <w:rPr>
          <w:rFonts w:ascii="Times New Roman" w:hAnsi="Times New Roman"/>
          <w:sz w:val="24"/>
          <w:szCs w:val="24"/>
        </w:rPr>
        <w:tab/>
      </w:r>
      <w:r w:rsidRPr="009178E0">
        <w:rPr>
          <w:rFonts w:ascii="Times New Roman" w:hAnsi="Times New Roman"/>
          <w:sz w:val="24"/>
          <w:szCs w:val="24"/>
        </w:rPr>
        <w:tab/>
        <w:t>CIVIL ACTION</w:t>
      </w:r>
    </w:p>
    <w:p w:rsidR="00E573E2" w:rsidRPr="009178E0" w:rsidRDefault="00374E93" w:rsidP="00F123F9">
      <w:pPr>
        <w:widowControl w:val="0"/>
        <w:autoSpaceDE w:val="0"/>
        <w:autoSpaceDN w:val="0"/>
        <w:adjustRightInd w:val="0"/>
        <w:ind w:firstLine="720"/>
        <w:rPr>
          <w:rFonts w:ascii="Times New Roman" w:hAnsi="Times New Roman"/>
          <w:sz w:val="24"/>
          <w:szCs w:val="24"/>
        </w:rPr>
      </w:pPr>
      <w:r w:rsidRPr="009178E0">
        <w:rPr>
          <w:rFonts w:ascii="Times New Roman" w:hAnsi="Times New Roman"/>
          <w:sz w:val="24"/>
          <w:szCs w:val="24"/>
        </w:rPr>
        <w:tab/>
      </w:r>
      <w:r w:rsidRPr="009178E0">
        <w:rPr>
          <w:rFonts w:ascii="Times New Roman" w:hAnsi="Times New Roman"/>
          <w:sz w:val="24"/>
          <w:szCs w:val="24"/>
        </w:rPr>
        <w:tab/>
      </w:r>
      <w:r w:rsidRPr="009178E0">
        <w:rPr>
          <w:rFonts w:ascii="Times New Roman" w:hAnsi="Times New Roman"/>
          <w:sz w:val="24"/>
          <w:szCs w:val="24"/>
        </w:rPr>
        <w:tab/>
      </w:r>
      <w:r w:rsidRPr="009178E0">
        <w:rPr>
          <w:rFonts w:ascii="Times New Roman" w:hAnsi="Times New Roman"/>
          <w:sz w:val="24"/>
          <w:szCs w:val="24"/>
        </w:rPr>
        <w:tab/>
      </w:r>
      <w:r w:rsidRPr="009178E0">
        <w:rPr>
          <w:rFonts w:ascii="Times New Roman" w:hAnsi="Times New Roman"/>
          <w:sz w:val="24"/>
          <w:szCs w:val="24"/>
        </w:rPr>
        <w:tab/>
        <w:t>)</w:t>
      </w:r>
      <w:r w:rsidRPr="009178E0">
        <w:rPr>
          <w:rFonts w:ascii="Times New Roman" w:hAnsi="Times New Roman"/>
          <w:sz w:val="24"/>
          <w:szCs w:val="24"/>
        </w:rPr>
        <w:tab/>
      </w:r>
      <w:r w:rsidRPr="009178E0">
        <w:rPr>
          <w:rFonts w:ascii="Times New Roman" w:hAnsi="Times New Roman"/>
          <w:sz w:val="24"/>
          <w:szCs w:val="24"/>
        </w:rPr>
        <w:tab/>
        <w:t>No. 1:13-cv-</w:t>
      </w:r>
      <w:r w:rsidR="00E573E2" w:rsidRPr="009178E0">
        <w:rPr>
          <w:rFonts w:ascii="Times New Roman" w:hAnsi="Times New Roman"/>
          <w:sz w:val="24"/>
          <w:szCs w:val="24"/>
        </w:rPr>
        <w:t>957-JMS-MJ</w:t>
      </w:r>
      <w:r w:rsidR="00096982">
        <w:rPr>
          <w:rFonts w:ascii="Times New Roman" w:hAnsi="Times New Roman"/>
          <w:sz w:val="24"/>
          <w:szCs w:val="24"/>
        </w:rPr>
        <w:t>D</w:t>
      </w:r>
    </w:p>
    <w:p w:rsidR="0065157E" w:rsidRPr="009178E0" w:rsidRDefault="008F3AC1" w:rsidP="00F123F9">
      <w:pPr>
        <w:widowControl w:val="0"/>
        <w:autoSpaceDE w:val="0"/>
        <w:autoSpaceDN w:val="0"/>
        <w:adjustRightInd w:val="0"/>
        <w:rPr>
          <w:rFonts w:ascii="Times New Roman" w:hAnsi="Times New Roman"/>
          <w:sz w:val="24"/>
          <w:szCs w:val="24"/>
        </w:rPr>
      </w:pPr>
      <w:proofErr w:type="gramStart"/>
      <w:r w:rsidRPr="009178E0">
        <w:rPr>
          <w:rFonts w:ascii="Times New Roman" w:hAnsi="Times New Roman"/>
          <w:sz w:val="24"/>
          <w:szCs w:val="24"/>
        </w:rPr>
        <w:t>v</w:t>
      </w:r>
      <w:proofErr w:type="gramEnd"/>
      <w:r w:rsidRPr="009178E0">
        <w:rPr>
          <w:rFonts w:ascii="Times New Roman" w:hAnsi="Times New Roman"/>
          <w:sz w:val="24"/>
          <w:szCs w:val="24"/>
        </w:rPr>
        <w:t xml:space="preserve">. </w:t>
      </w:r>
      <w:r w:rsidR="00E573E2" w:rsidRPr="009178E0">
        <w:rPr>
          <w:rFonts w:ascii="Times New Roman" w:hAnsi="Times New Roman"/>
          <w:sz w:val="24"/>
          <w:szCs w:val="24"/>
        </w:rPr>
        <w:tab/>
      </w:r>
      <w:r w:rsidR="00E573E2" w:rsidRPr="009178E0">
        <w:rPr>
          <w:rFonts w:ascii="Times New Roman" w:hAnsi="Times New Roman"/>
          <w:sz w:val="24"/>
          <w:szCs w:val="24"/>
        </w:rPr>
        <w:tab/>
      </w:r>
      <w:r w:rsidR="00E573E2" w:rsidRPr="009178E0">
        <w:rPr>
          <w:rFonts w:ascii="Times New Roman" w:hAnsi="Times New Roman"/>
          <w:sz w:val="24"/>
          <w:szCs w:val="24"/>
        </w:rPr>
        <w:tab/>
      </w:r>
      <w:r w:rsidR="00E573E2" w:rsidRPr="009178E0">
        <w:rPr>
          <w:rFonts w:ascii="Times New Roman" w:hAnsi="Times New Roman"/>
          <w:sz w:val="24"/>
          <w:szCs w:val="24"/>
        </w:rPr>
        <w:tab/>
      </w:r>
      <w:r w:rsidR="00E573E2" w:rsidRPr="009178E0">
        <w:rPr>
          <w:rFonts w:ascii="Times New Roman" w:hAnsi="Times New Roman"/>
          <w:sz w:val="24"/>
          <w:szCs w:val="24"/>
        </w:rPr>
        <w:tab/>
      </w:r>
      <w:r w:rsidR="00E573E2" w:rsidRPr="009178E0">
        <w:rPr>
          <w:rFonts w:ascii="Times New Roman" w:hAnsi="Times New Roman"/>
          <w:sz w:val="24"/>
          <w:szCs w:val="24"/>
        </w:rPr>
        <w:tab/>
      </w:r>
      <w:r w:rsidRPr="009178E0">
        <w:rPr>
          <w:rFonts w:ascii="Times New Roman" w:hAnsi="Times New Roman"/>
          <w:sz w:val="24"/>
          <w:szCs w:val="24"/>
        </w:rPr>
        <w:t xml:space="preserve">) </w:t>
      </w:r>
    </w:p>
    <w:p w:rsidR="0065157E" w:rsidRPr="009178E0" w:rsidRDefault="00E573E2" w:rsidP="00F123F9">
      <w:pPr>
        <w:widowControl w:val="0"/>
        <w:autoSpaceDE w:val="0"/>
        <w:autoSpaceDN w:val="0"/>
        <w:adjustRightInd w:val="0"/>
        <w:rPr>
          <w:rFonts w:ascii="Times New Roman" w:hAnsi="Times New Roman"/>
          <w:sz w:val="24"/>
          <w:szCs w:val="24"/>
        </w:rPr>
      </w:pPr>
      <w:r w:rsidRPr="009178E0">
        <w:rPr>
          <w:rFonts w:ascii="Times New Roman" w:hAnsi="Times New Roman"/>
          <w:sz w:val="24"/>
          <w:szCs w:val="24"/>
        </w:rPr>
        <w:tab/>
      </w:r>
      <w:r w:rsidRPr="009178E0">
        <w:rPr>
          <w:rFonts w:ascii="Times New Roman" w:hAnsi="Times New Roman"/>
          <w:sz w:val="24"/>
          <w:szCs w:val="24"/>
        </w:rPr>
        <w:tab/>
      </w:r>
      <w:r w:rsidRPr="009178E0">
        <w:rPr>
          <w:rFonts w:ascii="Times New Roman" w:hAnsi="Times New Roman"/>
          <w:sz w:val="24"/>
          <w:szCs w:val="24"/>
        </w:rPr>
        <w:tab/>
      </w:r>
      <w:r w:rsidRPr="009178E0">
        <w:rPr>
          <w:rFonts w:ascii="Times New Roman" w:hAnsi="Times New Roman"/>
          <w:sz w:val="24"/>
          <w:szCs w:val="24"/>
        </w:rPr>
        <w:tab/>
      </w:r>
      <w:r w:rsidRPr="009178E0">
        <w:rPr>
          <w:rFonts w:ascii="Times New Roman" w:hAnsi="Times New Roman"/>
          <w:sz w:val="24"/>
          <w:szCs w:val="24"/>
        </w:rPr>
        <w:tab/>
      </w:r>
      <w:r w:rsidRPr="009178E0">
        <w:rPr>
          <w:rFonts w:ascii="Times New Roman" w:hAnsi="Times New Roman"/>
          <w:sz w:val="24"/>
          <w:szCs w:val="24"/>
        </w:rPr>
        <w:tab/>
      </w:r>
      <w:r w:rsidR="0065157E" w:rsidRPr="009178E0">
        <w:rPr>
          <w:rFonts w:ascii="Times New Roman" w:hAnsi="Times New Roman"/>
          <w:sz w:val="24"/>
          <w:szCs w:val="24"/>
        </w:rPr>
        <w:t>)</w:t>
      </w:r>
    </w:p>
    <w:p w:rsidR="008F3AC1" w:rsidRPr="009178E0" w:rsidRDefault="0065157E" w:rsidP="00F123F9">
      <w:pPr>
        <w:widowControl w:val="0"/>
        <w:autoSpaceDE w:val="0"/>
        <w:autoSpaceDN w:val="0"/>
        <w:adjustRightInd w:val="0"/>
        <w:rPr>
          <w:rFonts w:ascii="Times New Roman" w:hAnsi="Times New Roman"/>
          <w:sz w:val="24"/>
          <w:szCs w:val="24"/>
        </w:rPr>
      </w:pPr>
      <w:r w:rsidRPr="009178E0">
        <w:rPr>
          <w:rFonts w:ascii="Times New Roman" w:hAnsi="Times New Roman"/>
          <w:sz w:val="24"/>
          <w:szCs w:val="24"/>
        </w:rPr>
        <w:tab/>
      </w:r>
      <w:r w:rsidRPr="009178E0">
        <w:rPr>
          <w:rFonts w:ascii="Times New Roman" w:hAnsi="Times New Roman"/>
          <w:sz w:val="24"/>
          <w:szCs w:val="24"/>
        </w:rPr>
        <w:tab/>
      </w:r>
      <w:r w:rsidRPr="009178E0">
        <w:rPr>
          <w:rFonts w:ascii="Times New Roman" w:hAnsi="Times New Roman"/>
          <w:sz w:val="24"/>
          <w:szCs w:val="24"/>
        </w:rPr>
        <w:tab/>
      </w:r>
      <w:r w:rsidRPr="009178E0">
        <w:rPr>
          <w:rFonts w:ascii="Times New Roman" w:hAnsi="Times New Roman"/>
          <w:sz w:val="24"/>
          <w:szCs w:val="24"/>
        </w:rPr>
        <w:tab/>
      </w:r>
      <w:r w:rsidR="00E573E2" w:rsidRPr="009178E0">
        <w:rPr>
          <w:rFonts w:ascii="Times New Roman" w:hAnsi="Times New Roman"/>
          <w:sz w:val="24"/>
          <w:szCs w:val="24"/>
        </w:rPr>
        <w:tab/>
      </w:r>
      <w:r w:rsidR="00E573E2" w:rsidRPr="009178E0">
        <w:rPr>
          <w:rFonts w:ascii="Times New Roman" w:hAnsi="Times New Roman"/>
          <w:sz w:val="24"/>
          <w:szCs w:val="24"/>
        </w:rPr>
        <w:tab/>
      </w:r>
      <w:r w:rsidR="008F3AC1" w:rsidRPr="009178E0">
        <w:rPr>
          <w:rFonts w:ascii="Times New Roman" w:hAnsi="Times New Roman"/>
          <w:sz w:val="24"/>
          <w:szCs w:val="24"/>
        </w:rPr>
        <w:t>)</w:t>
      </w:r>
    </w:p>
    <w:p w:rsidR="00E573E2" w:rsidRPr="009178E0" w:rsidRDefault="008F3AC1" w:rsidP="00F123F9">
      <w:pPr>
        <w:widowControl w:val="0"/>
        <w:autoSpaceDE w:val="0"/>
        <w:autoSpaceDN w:val="0"/>
        <w:adjustRightInd w:val="0"/>
        <w:rPr>
          <w:rFonts w:ascii="Times New Roman" w:hAnsi="Times New Roman"/>
          <w:sz w:val="24"/>
          <w:szCs w:val="24"/>
        </w:rPr>
      </w:pPr>
      <w:r w:rsidRPr="009178E0">
        <w:rPr>
          <w:rFonts w:ascii="Times New Roman" w:hAnsi="Times New Roman"/>
          <w:sz w:val="24"/>
          <w:szCs w:val="24"/>
        </w:rPr>
        <w:t xml:space="preserve">DEBRA MINOTT, in her official </w:t>
      </w:r>
      <w:r w:rsidR="00E573E2" w:rsidRPr="009178E0">
        <w:rPr>
          <w:rFonts w:ascii="Times New Roman" w:hAnsi="Times New Roman"/>
          <w:sz w:val="24"/>
          <w:szCs w:val="24"/>
        </w:rPr>
        <w:tab/>
      </w:r>
      <w:r w:rsidR="00E573E2" w:rsidRPr="009178E0">
        <w:rPr>
          <w:rFonts w:ascii="Times New Roman" w:hAnsi="Times New Roman"/>
          <w:sz w:val="24"/>
          <w:szCs w:val="24"/>
        </w:rPr>
        <w:tab/>
        <w:t>)</w:t>
      </w:r>
    </w:p>
    <w:p w:rsidR="00E573E2" w:rsidRPr="009178E0" w:rsidRDefault="008F3AC1" w:rsidP="00F123F9">
      <w:pPr>
        <w:widowControl w:val="0"/>
        <w:autoSpaceDE w:val="0"/>
        <w:autoSpaceDN w:val="0"/>
        <w:adjustRightInd w:val="0"/>
        <w:rPr>
          <w:rFonts w:ascii="Times New Roman" w:hAnsi="Times New Roman"/>
          <w:sz w:val="24"/>
          <w:szCs w:val="24"/>
        </w:rPr>
      </w:pPr>
      <w:proofErr w:type="gramStart"/>
      <w:r w:rsidRPr="009178E0">
        <w:rPr>
          <w:rFonts w:ascii="Times New Roman" w:hAnsi="Times New Roman"/>
          <w:sz w:val="24"/>
          <w:szCs w:val="24"/>
        </w:rPr>
        <w:t>capacity</w:t>
      </w:r>
      <w:proofErr w:type="gramEnd"/>
      <w:r w:rsidRPr="009178E0">
        <w:rPr>
          <w:rFonts w:ascii="Times New Roman" w:hAnsi="Times New Roman"/>
          <w:sz w:val="24"/>
          <w:szCs w:val="24"/>
        </w:rPr>
        <w:t xml:space="preserve"> as</w:t>
      </w:r>
      <w:r w:rsidR="00E573E2" w:rsidRPr="009178E0">
        <w:rPr>
          <w:rFonts w:ascii="Times New Roman" w:hAnsi="Times New Roman"/>
          <w:sz w:val="24"/>
          <w:szCs w:val="24"/>
        </w:rPr>
        <w:t xml:space="preserve"> </w:t>
      </w:r>
      <w:r w:rsidRPr="009178E0">
        <w:rPr>
          <w:rFonts w:ascii="Times New Roman" w:hAnsi="Times New Roman"/>
          <w:sz w:val="24"/>
          <w:szCs w:val="24"/>
        </w:rPr>
        <w:t xml:space="preserve">Secretary of the Indiana </w:t>
      </w:r>
      <w:r w:rsidR="00E573E2" w:rsidRPr="009178E0">
        <w:rPr>
          <w:rFonts w:ascii="Times New Roman" w:hAnsi="Times New Roman"/>
          <w:sz w:val="24"/>
          <w:szCs w:val="24"/>
        </w:rPr>
        <w:tab/>
      </w:r>
      <w:r w:rsidR="00E573E2" w:rsidRPr="009178E0">
        <w:rPr>
          <w:rFonts w:ascii="Times New Roman" w:hAnsi="Times New Roman"/>
          <w:sz w:val="24"/>
          <w:szCs w:val="24"/>
        </w:rPr>
        <w:tab/>
        <w:t>)</w:t>
      </w:r>
    </w:p>
    <w:p w:rsidR="00E573E2" w:rsidRPr="009178E0" w:rsidRDefault="008F3AC1" w:rsidP="00F123F9">
      <w:pPr>
        <w:widowControl w:val="0"/>
        <w:autoSpaceDE w:val="0"/>
        <w:autoSpaceDN w:val="0"/>
        <w:adjustRightInd w:val="0"/>
        <w:rPr>
          <w:rFonts w:ascii="Times New Roman" w:hAnsi="Times New Roman"/>
          <w:sz w:val="24"/>
          <w:szCs w:val="24"/>
        </w:rPr>
      </w:pPr>
      <w:r w:rsidRPr="009178E0">
        <w:rPr>
          <w:rFonts w:ascii="Times New Roman" w:hAnsi="Times New Roman"/>
          <w:sz w:val="24"/>
          <w:szCs w:val="24"/>
        </w:rPr>
        <w:t>Family and Social</w:t>
      </w:r>
      <w:r w:rsidR="00E573E2" w:rsidRPr="009178E0">
        <w:rPr>
          <w:rFonts w:ascii="Times New Roman" w:hAnsi="Times New Roman"/>
          <w:sz w:val="24"/>
          <w:szCs w:val="24"/>
        </w:rPr>
        <w:t xml:space="preserve"> Services </w:t>
      </w:r>
      <w:r w:rsidR="00E573E2" w:rsidRPr="009178E0">
        <w:rPr>
          <w:rFonts w:ascii="Times New Roman" w:hAnsi="Times New Roman"/>
          <w:sz w:val="24"/>
          <w:szCs w:val="24"/>
        </w:rPr>
        <w:tab/>
      </w:r>
      <w:r w:rsidR="00E573E2" w:rsidRPr="009178E0">
        <w:rPr>
          <w:rFonts w:ascii="Times New Roman" w:hAnsi="Times New Roman"/>
          <w:sz w:val="24"/>
          <w:szCs w:val="24"/>
        </w:rPr>
        <w:tab/>
      </w:r>
      <w:r w:rsidR="00E573E2" w:rsidRPr="009178E0">
        <w:rPr>
          <w:rFonts w:ascii="Times New Roman" w:hAnsi="Times New Roman"/>
          <w:sz w:val="24"/>
          <w:szCs w:val="24"/>
        </w:rPr>
        <w:tab/>
        <w:t>)</w:t>
      </w:r>
      <w:r w:rsidR="00E573E2" w:rsidRPr="009178E0">
        <w:rPr>
          <w:rFonts w:ascii="Times New Roman" w:hAnsi="Times New Roman"/>
          <w:sz w:val="24"/>
          <w:szCs w:val="24"/>
        </w:rPr>
        <w:tab/>
      </w:r>
    </w:p>
    <w:p w:rsidR="00E573E2" w:rsidRPr="009178E0" w:rsidRDefault="00E573E2" w:rsidP="00F123F9">
      <w:pPr>
        <w:widowControl w:val="0"/>
        <w:autoSpaceDE w:val="0"/>
        <w:autoSpaceDN w:val="0"/>
        <w:adjustRightInd w:val="0"/>
        <w:rPr>
          <w:rFonts w:ascii="Times New Roman" w:hAnsi="Times New Roman"/>
          <w:sz w:val="24"/>
          <w:szCs w:val="24"/>
        </w:rPr>
      </w:pPr>
      <w:r w:rsidRPr="009178E0">
        <w:rPr>
          <w:rFonts w:ascii="Times New Roman" w:hAnsi="Times New Roman"/>
          <w:sz w:val="24"/>
          <w:szCs w:val="24"/>
        </w:rPr>
        <w:t>Administration;</w:t>
      </w:r>
      <w:r w:rsidRPr="009178E0">
        <w:rPr>
          <w:rFonts w:ascii="Times New Roman" w:hAnsi="Times New Roman"/>
          <w:sz w:val="24"/>
          <w:szCs w:val="24"/>
        </w:rPr>
        <w:tab/>
      </w:r>
      <w:r w:rsidRPr="009178E0">
        <w:rPr>
          <w:rFonts w:ascii="Times New Roman" w:hAnsi="Times New Roman"/>
          <w:sz w:val="24"/>
          <w:szCs w:val="24"/>
        </w:rPr>
        <w:tab/>
      </w:r>
      <w:r w:rsidRPr="009178E0">
        <w:rPr>
          <w:rFonts w:ascii="Times New Roman" w:hAnsi="Times New Roman"/>
          <w:sz w:val="24"/>
          <w:szCs w:val="24"/>
        </w:rPr>
        <w:tab/>
      </w:r>
      <w:r w:rsidRPr="009178E0">
        <w:rPr>
          <w:rFonts w:ascii="Times New Roman" w:hAnsi="Times New Roman"/>
          <w:sz w:val="24"/>
          <w:szCs w:val="24"/>
        </w:rPr>
        <w:tab/>
        <w:t>)</w:t>
      </w:r>
    </w:p>
    <w:p w:rsidR="00E573E2" w:rsidRPr="009178E0" w:rsidRDefault="008F3AC1" w:rsidP="00F123F9">
      <w:pPr>
        <w:widowControl w:val="0"/>
        <w:autoSpaceDE w:val="0"/>
        <w:autoSpaceDN w:val="0"/>
        <w:adjustRightInd w:val="0"/>
        <w:rPr>
          <w:rFonts w:ascii="Times New Roman" w:hAnsi="Times New Roman"/>
          <w:sz w:val="24"/>
          <w:szCs w:val="24"/>
        </w:rPr>
      </w:pPr>
      <w:r w:rsidRPr="009178E0">
        <w:rPr>
          <w:rFonts w:ascii="Times New Roman" w:hAnsi="Times New Roman"/>
          <w:sz w:val="24"/>
          <w:szCs w:val="24"/>
        </w:rPr>
        <w:t>NICOLE NORVELL,</w:t>
      </w:r>
      <w:r w:rsidR="00E573E2" w:rsidRPr="009178E0">
        <w:rPr>
          <w:rFonts w:ascii="Times New Roman" w:hAnsi="Times New Roman"/>
          <w:sz w:val="24"/>
          <w:szCs w:val="24"/>
        </w:rPr>
        <w:t xml:space="preserve"> </w:t>
      </w:r>
      <w:r w:rsidRPr="009178E0">
        <w:rPr>
          <w:rFonts w:ascii="Times New Roman" w:hAnsi="Times New Roman"/>
          <w:sz w:val="24"/>
          <w:szCs w:val="24"/>
        </w:rPr>
        <w:t xml:space="preserve">in her official </w:t>
      </w:r>
      <w:r w:rsidR="00E573E2" w:rsidRPr="009178E0">
        <w:rPr>
          <w:rFonts w:ascii="Times New Roman" w:hAnsi="Times New Roman"/>
          <w:sz w:val="24"/>
          <w:szCs w:val="24"/>
        </w:rPr>
        <w:tab/>
      </w:r>
      <w:r w:rsidR="00E573E2" w:rsidRPr="009178E0">
        <w:rPr>
          <w:rFonts w:ascii="Times New Roman" w:hAnsi="Times New Roman"/>
          <w:sz w:val="24"/>
          <w:szCs w:val="24"/>
        </w:rPr>
        <w:tab/>
        <w:t>)</w:t>
      </w:r>
    </w:p>
    <w:p w:rsidR="00E573E2" w:rsidRPr="009178E0" w:rsidRDefault="008F3AC1" w:rsidP="00F123F9">
      <w:pPr>
        <w:widowControl w:val="0"/>
        <w:autoSpaceDE w:val="0"/>
        <w:autoSpaceDN w:val="0"/>
        <w:adjustRightInd w:val="0"/>
        <w:rPr>
          <w:rFonts w:ascii="Times New Roman" w:hAnsi="Times New Roman"/>
          <w:sz w:val="24"/>
          <w:szCs w:val="24"/>
        </w:rPr>
      </w:pPr>
      <w:proofErr w:type="gramStart"/>
      <w:r w:rsidRPr="009178E0">
        <w:rPr>
          <w:rFonts w:ascii="Times New Roman" w:hAnsi="Times New Roman"/>
          <w:sz w:val="24"/>
          <w:szCs w:val="24"/>
        </w:rPr>
        <w:t>capacity</w:t>
      </w:r>
      <w:proofErr w:type="gramEnd"/>
      <w:r w:rsidRPr="009178E0">
        <w:rPr>
          <w:rFonts w:ascii="Times New Roman" w:hAnsi="Times New Roman"/>
          <w:sz w:val="24"/>
          <w:szCs w:val="24"/>
        </w:rPr>
        <w:t xml:space="preserve"> as Director of the Div</w:t>
      </w:r>
      <w:r w:rsidR="000724D4">
        <w:rPr>
          <w:rFonts w:ascii="Times New Roman" w:hAnsi="Times New Roman"/>
          <w:sz w:val="24"/>
          <w:szCs w:val="24"/>
        </w:rPr>
        <w:t>ision</w:t>
      </w:r>
      <w:r w:rsidR="00E573E2" w:rsidRPr="009178E0">
        <w:rPr>
          <w:rFonts w:ascii="Times New Roman" w:hAnsi="Times New Roman"/>
          <w:sz w:val="24"/>
          <w:szCs w:val="24"/>
        </w:rPr>
        <w:t xml:space="preserve"> </w:t>
      </w:r>
      <w:r w:rsidRPr="009178E0">
        <w:rPr>
          <w:rFonts w:ascii="Times New Roman" w:hAnsi="Times New Roman"/>
          <w:sz w:val="24"/>
          <w:szCs w:val="24"/>
        </w:rPr>
        <w:t xml:space="preserve">of </w:t>
      </w:r>
      <w:r w:rsidR="00E573E2" w:rsidRPr="009178E0">
        <w:rPr>
          <w:rFonts w:ascii="Times New Roman" w:hAnsi="Times New Roman"/>
          <w:sz w:val="24"/>
          <w:szCs w:val="24"/>
        </w:rPr>
        <w:tab/>
        <w:t>)</w:t>
      </w:r>
    </w:p>
    <w:p w:rsidR="00E573E2" w:rsidRPr="009178E0" w:rsidRDefault="008F3AC1" w:rsidP="00F123F9">
      <w:pPr>
        <w:widowControl w:val="0"/>
        <w:autoSpaceDE w:val="0"/>
        <w:autoSpaceDN w:val="0"/>
        <w:adjustRightInd w:val="0"/>
        <w:rPr>
          <w:rFonts w:ascii="Times New Roman" w:hAnsi="Times New Roman"/>
          <w:sz w:val="24"/>
          <w:szCs w:val="24"/>
        </w:rPr>
      </w:pPr>
      <w:r w:rsidRPr="009178E0">
        <w:rPr>
          <w:rFonts w:ascii="Times New Roman" w:hAnsi="Times New Roman"/>
          <w:sz w:val="24"/>
          <w:szCs w:val="24"/>
        </w:rPr>
        <w:t xml:space="preserve">Disability and Rehabilitative Services; </w:t>
      </w:r>
      <w:r w:rsidR="00E573E2" w:rsidRPr="009178E0">
        <w:rPr>
          <w:rFonts w:ascii="Times New Roman" w:hAnsi="Times New Roman"/>
          <w:sz w:val="24"/>
          <w:szCs w:val="24"/>
        </w:rPr>
        <w:tab/>
        <w:t>)</w:t>
      </w:r>
    </w:p>
    <w:p w:rsidR="00E573E2" w:rsidRPr="009178E0" w:rsidRDefault="00BF34FA" w:rsidP="00F123F9">
      <w:pPr>
        <w:widowControl w:val="0"/>
        <w:autoSpaceDE w:val="0"/>
        <w:autoSpaceDN w:val="0"/>
        <w:adjustRightInd w:val="0"/>
        <w:rPr>
          <w:rFonts w:ascii="Times New Roman" w:hAnsi="Times New Roman"/>
          <w:sz w:val="24"/>
          <w:szCs w:val="24"/>
        </w:rPr>
      </w:pPr>
      <w:proofErr w:type="gramStart"/>
      <w:r>
        <w:rPr>
          <w:rFonts w:ascii="Times New Roman" w:hAnsi="Times New Roman"/>
          <w:sz w:val="24"/>
          <w:szCs w:val="24"/>
        </w:rPr>
        <w:t>a</w:t>
      </w:r>
      <w:r w:rsidR="008F3AC1" w:rsidRPr="009178E0">
        <w:rPr>
          <w:rFonts w:ascii="Times New Roman" w:hAnsi="Times New Roman"/>
          <w:sz w:val="24"/>
          <w:szCs w:val="24"/>
        </w:rPr>
        <w:t>nd</w:t>
      </w:r>
      <w:proofErr w:type="gramEnd"/>
      <w:r w:rsidR="00E573E2" w:rsidRPr="009178E0">
        <w:rPr>
          <w:rFonts w:ascii="Times New Roman" w:hAnsi="Times New Roman"/>
          <w:sz w:val="24"/>
          <w:szCs w:val="24"/>
        </w:rPr>
        <w:t xml:space="preserve"> </w:t>
      </w:r>
      <w:r w:rsidR="008F3AC1" w:rsidRPr="009178E0">
        <w:rPr>
          <w:rFonts w:ascii="Times New Roman" w:hAnsi="Times New Roman"/>
          <w:sz w:val="24"/>
          <w:szCs w:val="24"/>
        </w:rPr>
        <w:t xml:space="preserve">YONDA SNYDER, in her official </w:t>
      </w:r>
      <w:r w:rsidR="00E573E2" w:rsidRPr="009178E0">
        <w:rPr>
          <w:rFonts w:ascii="Times New Roman" w:hAnsi="Times New Roman"/>
          <w:sz w:val="24"/>
          <w:szCs w:val="24"/>
        </w:rPr>
        <w:tab/>
        <w:t>)</w:t>
      </w:r>
    </w:p>
    <w:p w:rsidR="00E573E2" w:rsidRPr="009178E0" w:rsidRDefault="008F3AC1" w:rsidP="00F123F9">
      <w:pPr>
        <w:widowControl w:val="0"/>
        <w:autoSpaceDE w:val="0"/>
        <w:autoSpaceDN w:val="0"/>
        <w:adjustRightInd w:val="0"/>
        <w:rPr>
          <w:rFonts w:ascii="Times New Roman" w:hAnsi="Times New Roman"/>
          <w:sz w:val="24"/>
          <w:szCs w:val="24"/>
        </w:rPr>
      </w:pPr>
      <w:proofErr w:type="gramStart"/>
      <w:r w:rsidRPr="009178E0">
        <w:rPr>
          <w:rFonts w:ascii="Times New Roman" w:hAnsi="Times New Roman"/>
          <w:sz w:val="24"/>
          <w:szCs w:val="24"/>
        </w:rPr>
        <w:t>capacity</w:t>
      </w:r>
      <w:proofErr w:type="gramEnd"/>
      <w:r w:rsidRPr="009178E0">
        <w:rPr>
          <w:rFonts w:ascii="Times New Roman" w:hAnsi="Times New Roman"/>
          <w:sz w:val="24"/>
          <w:szCs w:val="24"/>
        </w:rPr>
        <w:t xml:space="preserve"> as</w:t>
      </w:r>
      <w:r w:rsidR="00E573E2" w:rsidRPr="009178E0">
        <w:rPr>
          <w:rFonts w:ascii="Times New Roman" w:hAnsi="Times New Roman"/>
          <w:sz w:val="24"/>
          <w:szCs w:val="24"/>
        </w:rPr>
        <w:t xml:space="preserve"> </w:t>
      </w:r>
      <w:r w:rsidRPr="009178E0">
        <w:rPr>
          <w:rFonts w:ascii="Times New Roman" w:hAnsi="Times New Roman"/>
          <w:sz w:val="24"/>
          <w:szCs w:val="24"/>
        </w:rPr>
        <w:t xml:space="preserve">Director of the Division </w:t>
      </w:r>
      <w:r w:rsidR="00E573E2" w:rsidRPr="009178E0">
        <w:rPr>
          <w:rFonts w:ascii="Times New Roman" w:hAnsi="Times New Roman"/>
          <w:sz w:val="24"/>
          <w:szCs w:val="24"/>
        </w:rPr>
        <w:tab/>
      </w:r>
      <w:r w:rsidR="00E573E2" w:rsidRPr="009178E0">
        <w:rPr>
          <w:rFonts w:ascii="Times New Roman" w:hAnsi="Times New Roman"/>
          <w:sz w:val="24"/>
          <w:szCs w:val="24"/>
        </w:rPr>
        <w:tab/>
        <w:t>)</w:t>
      </w:r>
    </w:p>
    <w:p w:rsidR="008F3AC1" w:rsidRPr="009178E0" w:rsidRDefault="008F3AC1" w:rsidP="00F123F9">
      <w:pPr>
        <w:widowControl w:val="0"/>
        <w:autoSpaceDE w:val="0"/>
        <w:autoSpaceDN w:val="0"/>
        <w:adjustRightInd w:val="0"/>
        <w:rPr>
          <w:rFonts w:ascii="Times New Roman" w:hAnsi="Times New Roman"/>
          <w:sz w:val="24"/>
          <w:szCs w:val="24"/>
        </w:rPr>
      </w:pPr>
      <w:proofErr w:type="gramStart"/>
      <w:r w:rsidRPr="009178E0">
        <w:rPr>
          <w:rFonts w:ascii="Times New Roman" w:hAnsi="Times New Roman"/>
          <w:sz w:val="24"/>
          <w:szCs w:val="24"/>
        </w:rPr>
        <w:t>of</w:t>
      </w:r>
      <w:proofErr w:type="gramEnd"/>
      <w:r w:rsidRPr="009178E0">
        <w:rPr>
          <w:rFonts w:ascii="Times New Roman" w:hAnsi="Times New Roman"/>
          <w:sz w:val="24"/>
          <w:szCs w:val="24"/>
        </w:rPr>
        <w:t xml:space="preserve"> Aging, </w:t>
      </w:r>
      <w:r w:rsidR="0065157E" w:rsidRPr="009178E0">
        <w:rPr>
          <w:rFonts w:ascii="Times New Roman" w:hAnsi="Times New Roman"/>
          <w:sz w:val="24"/>
          <w:szCs w:val="24"/>
        </w:rPr>
        <w:tab/>
      </w:r>
      <w:r w:rsidR="0065157E" w:rsidRPr="009178E0">
        <w:rPr>
          <w:rFonts w:ascii="Times New Roman" w:hAnsi="Times New Roman"/>
          <w:sz w:val="24"/>
          <w:szCs w:val="24"/>
        </w:rPr>
        <w:tab/>
      </w:r>
      <w:r w:rsidR="0065157E" w:rsidRPr="009178E0">
        <w:rPr>
          <w:rFonts w:ascii="Times New Roman" w:hAnsi="Times New Roman"/>
          <w:sz w:val="24"/>
          <w:szCs w:val="24"/>
        </w:rPr>
        <w:tab/>
      </w:r>
      <w:r w:rsidR="00E573E2" w:rsidRPr="009178E0">
        <w:rPr>
          <w:rFonts w:ascii="Times New Roman" w:hAnsi="Times New Roman"/>
          <w:sz w:val="24"/>
          <w:szCs w:val="24"/>
        </w:rPr>
        <w:tab/>
      </w:r>
      <w:r w:rsidR="00E573E2" w:rsidRPr="009178E0">
        <w:rPr>
          <w:rFonts w:ascii="Times New Roman" w:hAnsi="Times New Roman"/>
          <w:sz w:val="24"/>
          <w:szCs w:val="24"/>
        </w:rPr>
        <w:tab/>
      </w:r>
      <w:r w:rsidRPr="009178E0">
        <w:rPr>
          <w:rFonts w:ascii="Times New Roman" w:hAnsi="Times New Roman"/>
          <w:sz w:val="24"/>
          <w:szCs w:val="24"/>
        </w:rPr>
        <w:t>)</w:t>
      </w:r>
    </w:p>
    <w:p w:rsidR="008F3AC1" w:rsidRPr="009178E0" w:rsidRDefault="008F3AC1" w:rsidP="00F123F9">
      <w:pPr>
        <w:widowControl w:val="0"/>
        <w:autoSpaceDE w:val="0"/>
        <w:autoSpaceDN w:val="0"/>
        <w:adjustRightInd w:val="0"/>
        <w:ind w:left="3600" w:right="663" w:firstLine="720"/>
        <w:rPr>
          <w:rFonts w:ascii="Times New Roman" w:hAnsi="Times New Roman"/>
          <w:sz w:val="24"/>
          <w:szCs w:val="24"/>
        </w:rPr>
      </w:pPr>
      <w:r w:rsidRPr="009178E0">
        <w:rPr>
          <w:rFonts w:ascii="Times New Roman" w:hAnsi="Times New Roman"/>
          <w:sz w:val="24"/>
          <w:szCs w:val="24"/>
        </w:rPr>
        <w:t>)</w:t>
      </w:r>
    </w:p>
    <w:p w:rsidR="008F3AC1" w:rsidRPr="009178E0" w:rsidRDefault="008F3AC1" w:rsidP="00BF34FA">
      <w:pPr>
        <w:widowControl w:val="0"/>
        <w:autoSpaceDE w:val="0"/>
        <w:autoSpaceDN w:val="0"/>
        <w:adjustRightInd w:val="0"/>
        <w:ind w:firstLine="720"/>
        <w:rPr>
          <w:rFonts w:ascii="Times New Roman" w:hAnsi="Times New Roman"/>
          <w:sz w:val="24"/>
          <w:szCs w:val="24"/>
        </w:rPr>
      </w:pPr>
      <w:proofErr w:type="gramStart"/>
      <w:r w:rsidRPr="009178E0">
        <w:rPr>
          <w:rFonts w:ascii="Times New Roman" w:hAnsi="Times New Roman"/>
          <w:sz w:val="24"/>
          <w:szCs w:val="24"/>
        </w:rPr>
        <w:t>Defendants.</w:t>
      </w:r>
      <w:proofErr w:type="gramEnd"/>
      <w:r w:rsidRPr="009178E0">
        <w:rPr>
          <w:rFonts w:ascii="Times New Roman" w:hAnsi="Times New Roman"/>
          <w:sz w:val="24"/>
          <w:szCs w:val="24"/>
        </w:rPr>
        <w:t xml:space="preserve"> </w:t>
      </w:r>
      <w:r w:rsidR="00E573E2" w:rsidRPr="009178E0">
        <w:rPr>
          <w:rFonts w:ascii="Times New Roman" w:hAnsi="Times New Roman"/>
          <w:sz w:val="24"/>
          <w:szCs w:val="24"/>
        </w:rPr>
        <w:tab/>
      </w:r>
      <w:r w:rsidR="00E573E2" w:rsidRPr="009178E0">
        <w:rPr>
          <w:rFonts w:ascii="Times New Roman" w:hAnsi="Times New Roman"/>
          <w:sz w:val="24"/>
          <w:szCs w:val="24"/>
        </w:rPr>
        <w:tab/>
      </w:r>
      <w:r w:rsidR="00E573E2" w:rsidRPr="009178E0">
        <w:rPr>
          <w:rFonts w:ascii="Times New Roman" w:hAnsi="Times New Roman"/>
          <w:sz w:val="24"/>
          <w:szCs w:val="24"/>
        </w:rPr>
        <w:tab/>
      </w:r>
      <w:r w:rsidR="00E573E2" w:rsidRPr="009178E0">
        <w:rPr>
          <w:rFonts w:ascii="Times New Roman" w:hAnsi="Times New Roman"/>
          <w:sz w:val="24"/>
          <w:szCs w:val="24"/>
        </w:rPr>
        <w:tab/>
      </w:r>
      <w:r w:rsidRPr="009178E0">
        <w:rPr>
          <w:rFonts w:ascii="Times New Roman" w:hAnsi="Times New Roman"/>
          <w:sz w:val="24"/>
          <w:szCs w:val="24"/>
        </w:rPr>
        <w:t>)</w:t>
      </w:r>
    </w:p>
    <w:p w:rsidR="0065157E" w:rsidRDefault="0065157E" w:rsidP="00F123F9">
      <w:pPr>
        <w:widowControl w:val="0"/>
        <w:autoSpaceDE w:val="0"/>
        <w:autoSpaceDN w:val="0"/>
        <w:adjustRightInd w:val="0"/>
        <w:rPr>
          <w:rFonts w:ascii="Times New Roman" w:hAnsi="Times New Roman"/>
          <w:b/>
          <w:bCs/>
          <w:sz w:val="24"/>
          <w:szCs w:val="24"/>
        </w:rPr>
      </w:pPr>
    </w:p>
    <w:p w:rsidR="00963753" w:rsidRDefault="00963753" w:rsidP="00F123F9">
      <w:pPr>
        <w:widowControl w:val="0"/>
        <w:autoSpaceDE w:val="0"/>
        <w:autoSpaceDN w:val="0"/>
        <w:adjustRightInd w:val="0"/>
        <w:rPr>
          <w:rFonts w:ascii="Times New Roman" w:hAnsi="Times New Roman"/>
          <w:b/>
          <w:bCs/>
          <w:sz w:val="24"/>
          <w:szCs w:val="24"/>
        </w:rPr>
      </w:pPr>
    </w:p>
    <w:p w:rsidR="00963753" w:rsidRDefault="00963753" w:rsidP="00F123F9">
      <w:pPr>
        <w:widowControl w:val="0"/>
        <w:autoSpaceDE w:val="0"/>
        <w:autoSpaceDN w:val="0"/>
        <w:adjustRightInd w:val="0"/>
        <w:rPr>
          <w:rFonts w:ascii="Times New Roman" w:hAnsi="Times New Roman"/>
          <w:b/>
          <w:bCs/>
          <w:sz w:val="24"/>
          <w:szCs w:val="24"/>
        </w:rPr>
      </w:pPr>
    </w:p>
    <w:p w:rsidR="00963753" w:rsidRPr="009178E0" w:rsidRDefault="00963753" w:rsidP="00F123F9">
      <w:pPr>
        <w:widowControl w:val="0"/>
        <w:autoSpaceDE w:val="0"/>
        <w:autoSpaceDN w:val="0"/>
        <w:adjustRightInd w:val="0"/>
        <w:rPr>
          <w:rFonts w:ascii="Times New Roman" w:hAnsi="Times New Roman"/>
          <w:b/>
          <w:bCs/>
          <w:sz w:val="24"/>
          <w:szCs w:val="24"/>
        </w:rPr>
      </w:pPr>
    </w:p>
    <w:p w:rsidR="0065157E" w:rsidRPr="00697BD8" w:rsidRDefault="00744B6D" w:rsidP="00697BD8">
      <w:pPr>
        <w:pStyle w:val="Title"/>
      </w:pPr>
      <w:r w:rsidRPr="00697BD8">
        <w:t>STATEMENT OF INTEREST OF THE UNITED STATES OF AMERICA</w:t>
      </w:r>
    </w:p>
    <w:p w:rsidR="00237FC5" w:rsidRPr="009178E0" w:rsidRDefault="00237FC5" w:rsidP="00237FC5">
      <w:pPr>
        <w:pStyle w:val="Default"/>
        <w:jc w:val="center"/>
        <w:rPr>
          <w:b/>
          <w:color w:val="auto"/>
        </w:rPr>
      </w:pPr>
    </w:p>
    <w:p w:rsidR="00237FC5" w:rsidRPr="009178E0" w:rsidRDefault="00237FC5" w:rsidP="00237FC5">
      <w:pPr>
        <w:pStyle w:val="Default"/>
        <w:jc w:val="center"/>
        <w:rPr>
          <w:b/>
          <w:color w:val="auto"/>
        </w:rPr>
      </w:pPr>
    </w:p>
    <w:p w:rsidR="00237FC5" w:rsidRPr="009178E0" w:rsidRDefault="00237FC5" w:rsidP="00237FC5">
      <w:pPr>
        <w:pStyle w:val="Default"/>
        <w:jc w:val="center"/>
        <w:rPr>
          <w:b/>
          <w:color w:val="auto"/>
        </w:rPr>
      </w:pPr>
    </w:p>
    <w:p w:rsidR="00237FC5" w:rsidRPr="009178E0" w:rsidRDefault="00237FC5" w:rsidP="00237FC5">
      <w:pPr>
        <w:pStyle w:val="Default"/>
        <w:jc w:val="center"/>
        <w:rPr>
          <w:b/>
          <w:color w:val="auto"/>
        </w:rPr>
      </w:pPr>
    </w:p>
    <w:p w:rsidR="00237FC5" w:rsidRPr="009178E0" w:rsidRDefault="00237FC5" w:rsidP="00237FC5">
      <w:pPr>
        <w:pStyle w:val="Default"/>
        <w:jc w:val="center"/>
        <w:rPr>
          <w:b/>
          <w:color w:val="auto"/>
        </w:rPr>
      </w:pPr>
    </w:p>
    <w:p w:rsidR="00237FC5" w:rsidRPr="009178E0" w:rsidRDefault="00237FC5" w:rsidP="00237FC5">
      <w:pPr>
        <w:pStyle w:val="Default"/>
        <w:jc w:val="center"/>
        <w:rPr>
          <w:b/>
          <w:color w:val="auto"/>
        </w:rPr>
      </w:pPr>
    </w:p>
    <w:p w:rsidR="00237FC5" w:rsidRDefault="00237FC5" w:rsidP="00237FC5">
      <w:pPr>
        <w:pStyle w:val="Default"/>
        <w:jc w:val="center"/>
        <w:rPr>
          <w:b/>
          <w:color w:val="auto"/>
        </w:rPr>
      </w:pPr>
    </w:p>
    <w:p w:rsidR="004C4E33" w:rsidRDefault="004C4E33" w:rsidP="00237FC5">
      <w:pPr>
        <w:pStyle w:val="Default"/>
        <w:jc w:val="center"/>
        <w:rPr>
          <w:b/>
          <w:color w:val="auto"/>
        </w:rPr>
      </w:pPr>
    </w:p>
    <w:p w:rsidR="004C4E33" w:rsidRPr="009178E0" w:rsidRDefault="004C4E33" w:rsidP="00237FC5">
      <w:pPr>
        <w:pStyle w:val="Default"/>
        <w:jc w:val="center"/>
        <w:rPr>
          <w:b/>
          <w:color w:val="auto"/>
        </w:rPr>
      </w:pPr>
    </w:p>
    <w:p w:rsidR="00237FC5" w:rsidRPr="009178E0" w:rsidRDefault="00237FC5" w:rsidP="00237FC5">
      <w:pPr>
        <w:pStyle w:val="Default"/>
        <w:jc w:val="center"/>
        <w:rPr>
          <w:b/>
          <w:color w:val="auto"/>
        </w:rPr>
      </w:pPr>
    </w:p>
    <w:p w:rsidR="00237FC5" w:rsidRPr="009178E0" w:rsidRDefault="00237FC5" w:rsidP="00237FC5">
      <w:pPr>
        <w:pStyle w:val="Default"/>
        <w:jc w:val="center"/>
        <w:rPr>
          <w:b/>
          <w:color w:val="auto"/>
        </w:rPr>
      </w:pPr>
    </w:p>
    <w:p w:rsidR="00237FC5" w:rsidRPr="009178E0" w:rsidRDefault="00237FC5" w:rsidP="00237FC5">
      <w:pPr>
        <w:pStyle w:val="Default"/>
        <w:jc w:val="center"/>
        <w:rPr>
          <w:b/>
          <w:color w:val="auto"/>
        </w:rPr>
      </w:pPr>
    </w:p>
    <w:p w:rsidR="00467106" w:rsidRDefault="00467106" w:rsidP="00040161">
      <w:pPr>
        <w:pStyle w:val="Default"/>
        <w:rPr>
          <w:b/>
          <w:bCs/>
          <w:color w:val="auto"/>
        </w:rPr>
      </w:pPr>
    </w:p>
    <w:p w:rsidR="00467106" w:rsidRPr="00697BD8" w:rsidRDefault="00467106" w:rsidP="00697BD8">
      <w:pPr>
        <w:pStyle w:val="TOCHeading"/>
      </w:pPr>
      <w:r w:rsidRPr="00697BD8">
        <w:lastRenderedPageBreak/>
        <w:t>TABLE OF CONTENTS</w:t>
      </w:r>
    </w:p>
    <w:p w:rsidR="00467106" w:rsidRPr="00467106" w:rsidRDefault="00467106" w:rsidP="00467106">
      <w:pPr>
        <w:autoSpaceDE w:val="0"/>
        <w:autoSpaceDN w:val="0"/>
        <w:adjustRightInd w:val="0"/>
        <w:ind w:left="7920" w:firstLine="720"/>
        <w:rPr>
          <w:rFonts w:ascii="Times New Roman" w:hAnsi="Times New Roman"/>
          <w:color w:val="000000"/>
          <w:sz w:val="24"/>
          <w:szCs w:val="24"/>
        </w:rPr>
      </w:pPr>
      <w:r w:rsidRPr="00467106">
        <w:rPr>
          <w:rFonts w:ascii="Times New Roman" w:hAnsi="Times New Roman"/>
          <w:b/>
          <w:bCs/>
          <w:color w:val="000000"/>
          <w:sz w:val="24"/>
          <w:szCs w:val="24"/>
        </w:rPr>
        <w:t xml:space="preserve">PAGE </w:t>
      </w:r>
    </w:p>
    <w:p w:rsidR="00467106" w:rsidRDefault="00467106" w:rsidP="00467106">
      <w:pPr>
        <w:autoSpaceDE w:val="0"/>
        <w:autoSpaceDN w:val="0"/>
        <w:adjustRightInd w:val="0"/>
        <w:rPr>
          <w:rFonts w:ascii="Times New Roman" w:hAnsi="Times New Roman"/>
          <w:color w:val="000000"/>
          <w:sz w:val="24"/>
          <w:szCs w:val="24"/>
        </w:rPr>
      </w:pPr>
    </w:p>
    <w:p w:rsidR="00467106" w:rsidRDefault="00467106" w:rsidP="00CF1E36">
      <w:pPr>
        <w:numPr>
          <w:ilvl w:val="0"/>
          <w:numId w:val="11"/>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INTRODUCTION</w:t>
      </w:r>
      <w:r w:rsidR="00CF1E36">
        <w:rPr>
          <w:sz w:val="23"/>
          <w:szCs w:val="23"/>
        </w:rPr>
        <w:t>....................................................................................................................</w:t>
      </w:r>
      <w:r w:rsidR="00C91B4E">
        <w:rPr>
          <w:rFonts w:ascii="Times New Roman" w:hAnsi="Times New Roman"/>
          <w:color w:val="000000"/>
          <w:sz w:val="24"/>
          <w:szCs w:val="24"/>
        </w:rPr>
        <w:t>5</w:t>
      </w:r>
      <w:r w:rsidRPr="00467106">
        <w:rPr>
          <w:rFonts w:ascii="Times New Roman" w:hAnsi="Times New Roman"/>
          <w:color w:val="000000"/>
          <w:sz w:val="24"/>
          <w:szCs w:val="24"/>
        </w:rPr>
        <w:t xml:space="preserve"> </w:t>
      </w:r>
    </w:p>
    <w:p w:rsidR="00467106" w:rsidRDefault="00467106" w:rsidP="00467106">
      <w:pPr>
        <w:autoSpaceDE w:val="0"/>
        <w:autoSpaceDN w:val="0"/>
        <w:adjustRightInd w:val="0"/>
        <w:ind w:left="720"/>
        <w:rPr>
          <w:rFonts w:ascii="Times New Roman" w:hAnsi="Times New Roman"/>
          <w:color w:val="000000"/>
          <w:sz w:val="24"/>
          <w:szCs w:val="24"/>
        </w:rPr>
      </w:pPr>
    </w:p>
    <w:p w:rsidR="00EC3563" w:rsidRDefault="00EC3563" w:rsidP="00467106">
      <w:pPr>
        <w:numPr>
          <w:ilvl w:val="0"/>
          <w:numId w:val="11"/>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INTEREST OF THE UNITED STATES</w:t>
      </w:r>
      <w:r w:rsidR="00CF1E36">
        <w:rPr>
          <w:sz w:val="23"/>
          <w:szCs w:val="23"/>
        </w:rPr>
        <w:t>...............................................................................</w:t>
      </w:r>
      <w:r w:rsidR="00C91B4E">
        <w:rPr>
          <w:rFonts w:ascii="Times New Roman" w:hAnsi="Times New Roman"/>
          <w:color w:val="000000"/>
          <w:sz w:val="24"/>
          <w:szCs w:val="24"/>
        </w:rPr>
        <w:t>6</w:t>
      </w:r>
    </w:p>
    <w:p w:rsidR="00EC3563" w:rsidRDefault="00EC3563" w:rsidP="00EC3563">
      <w:pPr>
        <w:autoSpaceDE w:val="0"/>
        <w:autoSpaceDN w:val="0"/>
        <w:adjustRightInd w:val="0"/>
        <w:ind w:left="720"/>
        <w:rPr>
          <w:rFonts w:ascii="Times New Roman" w:hAnsi="Times New Roman"/>
          <w:color w:val="000000"/>
          <w:sz w:val="24"/>
          <w:szCs w:val="24"/>
        </w:rPr>
      </w:pPr>
    </w:p>
    <w:p w:rsidR="00467106" w:rsidRPr="00467106" w:rsidRDefault="00EC3563" w:rsidP="00467106">
      <w:pPr>
        <w:numPr>
          <w:ilvl w:val="0"/>
          <w:numId w:val="11"/>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STATEMENT OF THE CASE</w:t>
      </w:r>
      <w:r w:rsidR="00CF1E36">
        <w:rPr>
          <w:sz w:val="23"/>
          <w:szCs w:val="23"/>
        </w:rPr>
        <w:t>……..........................................................................................</w:t>
      </w:r>
      <w:r w:rsidR="00C91B4E">
        <w:rPr>
          <w:rFonts w:ascii="Times New Roman" w:hAnsi="Times New Roman"/>
          <w:color w:val="000000"/>
          <w:sz w:val="24"/>
          <w:szCs w:val="24"/>
        </w:rPr>
        <w:t>7</w:t>
      </w:r>
    </w:p>
    <w:p w:rsidR="00467106" w:rsidRDefault="00467106" w:rsidP="00467106">
      <w:pPr>
        <w:autoSpaceDE w:val="0"/>
        <w:autoSpaceDN w:val="0"/>
        <w:adjustRightInd w:val="0"/>
        <w:rPr>
          <w:rFonts w:ascii="Times New Roman" w:hAnsi="Times New Roman"/>
          <w:i/>
          <w:iCs/>
          <w:color w:val="000000"/>
          <w:sz w:val="24"/>
          <w:szCs w:val="24"/>
        </w:rPr>
      </w:pPr>
    </w:p>
    <w:p w:rsidR="00467106" w:rsidRDefault="00EC3563" w:rsidP="00EC3563">
      <w:pPr>
        <w:autoSpaceDE w:val="0"/>
        <w:autoSpaceDN w:val="0"/>
        <w:adjustRightInd w:val="0"/>
        <w:ind w:firstLine="360"/>
        <w:rPr>
          <w:rFonts w:ascii="Times New Roman" w:hAnsi="Times New Roman"/>
          <w:color w:val="000000"/>
          <w:sz w:val="24"/>
          <w:szCs w:val="24"/>
        </w:rPr>
      </w:pPr>
      <w:r w:rsidRPr="00EC3563">
        <w:rPr>
          <w:rFonts w:ascii="Times New Roman" w:hAnsi="Times New Roman"/>
          <w:iCs/>
          <w:color w:val="000000"/>
          <w:sz w:val="24"/>
          <w:szCs w:val="24"/>
        </w:rPr>
        <w:t xml:space="preserve">A. </w:t>
      </w:r>
      <w:r>
        <w:rPr>
          <w:rFonts w:ascii="Times New Roman" w:hAnsi="Times New Roman"/>
          <w:iCs/>
          <w:color w:val="000000"/>
          <w:sz w:val="24"/>
          <w:szCs w:val="24"/>
        </w:rPr>
        <w:tab/>
      </w:r>
      <w:r>
        <w:rPr>
          <w:rFonts w:ascii="Times New Roman" w:hAnsi="Times New Roman"/>
          <w:iCs/>
          <w:color w:val="000000"/>
          <w:sz w:val="24"/>
          <w:szCs w:val="24"/>
          <w:u w:val="single"/>
        </w:rPr>
        <w:t>Statutory a</w:t>
      </w:r>
      <w:r w:rsidR="00467106" w:rsidRPr="00467106">
        <w:rPr>
          <w:rFonts w:ascii="Times New Roman" w:hAnsi="Times New Roman"/>
          <w:iCs/>
          <w:color w:val="000000"/>
          <w:sz w:val="24"/>
          <w:szCs w:val="24"/>
          <w:u w:val="single"/>
        </w:rPr>
        <w:t>nd Regulatory Background</w:t>
      </w:r>
      <w:r w:rsidR="00467106" w:rsidRPr="00467106">
        <w:rPr>
          <w:rFonts w:ascii="Times New Roman" w:hAnsi="Times New Roman"/>
          <w:iCs/>
          <w:color w:val="000000"/>
          <w:sz w:val="24"/>
          <w:szCs w:val="24"/>
        </w:rPr>
        <w:t xml:space="preserve"> </w:t>
      </w:r>
      <w:r w:rsidR="00467106" w:rsidRPr="00467106">
        <w:rPr>
          <w:rFonts w:ascii="Times New Roman" w:hAnsi="Times New Roman"/>
          <w:color w:val="000000"/>
          <w:sz w:val="24"/>
          <w:szCs w:val="24"/>
        </w:rPr>
        <w:t>................................................</w:t>
      </w:r>
      <w:r w:rsidR="008219CE">
        <w:rPr>
          <w:rFonts w:ascii="Times New Roman" w:hAnsi="Times New Roman"/>
          <w:color w:val="000000"/>
          <w:sz w:val="24"/>
          <w:szCs w:val="24"/>
        </w:rPr>
        <w:t>..............................</w:t>
      </w:r>
      <w:r w:rsidR="00CF1E36">
        <w:rPr>
          <w:rFonts w:ascii="Times New Roman" w:hAnsi="Times New Roman"/>
          <w:color w:val="000000"/>
          <w:sz w:val="24"/>
          <w:szCs w:val="24"/>
        </w:rPr>
        <w:t>.</w:t>
      </w:r>
      <w:r w:rsidR="00C91B4E">
        <w:rPr>
          <w:rFonts w:ascii="Times New Roman" w:hAnsi="Times New Roman"/>
          <w:color w:val="000000"/>
          <w:sz w:val="24"/>
          <w:szCs w:val="24"/>
        </w:rPr>
        <w:t>7</w:t>
      </w:r>
      <w:r w:rsidR="00467106" w:rsidRPr="00467106">
        <w:rPr>
          <w:rFonts w:ascii="Times New Roman" w:hAnsi="Times New Roman"/>
          <w:color w:val="000000"/>
          <w:sz w:val="24"/>
          <w:szCs w:val="24"/>
        </w:rPr>
        <w:t xml:space="preserve"> </w:t>
      </w:r>
    </w:p>
    <w:p w:rsidR="00EC3563" w:rsidRDefault="00EC3563" w:rsidP="00EC3563">
      <w:pPr>
        <w:autoSpaceDE w:val="0"/>
        <w:autoSpaceDN w:val="0"/>
        <w:adjustRightInd w:val="0"/>
        <w:ind w:firstLine="360"/>
        <w:rPr>
          <w:rFonts w:ascii="Times New Roman" w:hAnsi="Times New Roman"/>
          <w:color w:val="000000"/>
          <w:sz w:val="24"/>
          <w:szCs w:val="24"/>
        </w:rPr>
      </w:pPr>
    </w:p>
    <w:p w:rsidR="00EC3563" w:rsidRPr="00467106" w:rsidRDefault="00EC3563" w:rsidP="00EC3563">
      <w:pPr>
        <w:autoSpaceDE w:val="0"/>
        <w:autoSpaceDN w:val="0"/>
        <w:adjustRightInd w:val="0"/>
        <w:ind w:firstLine="36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Pr>
          <w:rFonts w:ascii="Times New Roman" w:hAnsi="Times New Roman"/>
          <w:color w:val="000000"/>
          <w:sz w:val="24"/>
          <w:szCs w:val="24"/>
          <w:u w:val="single"/>
        </w:rPr>
        <w:t>Statement of the Facts</w:t>
      </w:r>
      <w:r w:rsidR="00CF1E36">
        <w:rPr>
          <w:sz w:val="23"/>
          <w:szCs w:val="23"/>
        </w:rPr>
        <w:t>…………...................................................................................................</w:t>
      </w:r>
      <w:r w:rsidR="00C91B4E">
        <w:rPr>
          <w:rFonts w:ascii="Times New Roman" w:hAnsi="Times New Roman"/>
          <w:color w:val="000000"/>
          <w:sz w:val="24"/>
          <w:szCs w:val="24"/>
        </w:rPr>
        <w:t>8</w:t>
      </w:r>
    </w:p>
    <w:p w:rsidR="00467106" w:rsidRDefault="00467106" w:rsidP="00467106">
      <w:pPr>
        <w:autoSpaceDE w:val="0"/>
        <w:autoSpaceDN w:val="0"/>
        <w:adjustRightInd w:val="0"/>
        <w:rPr>
          <w:rFonts w:ascii="Times New Roman" w:hAnsi="Times New Roman"/>
          <w:i/>
          <w:iCs/>
          <w:color w:val="000000"/>
          <w:sz w:val="24"/>
          <w:szCs w:val="24"/>
        </w:rPr>
      </w:pPr>
    </w:p>
    <w:p w:rsidR="00467106" w:rsidRDefault="00467106" w:rsidP="00467106">
      <w:pPr>
        <w:autoSpaceDE w:val="0"/>
        <w:autoSpaceDN w:val="0"/>
        <w:adjustRightInd w:val="0"/>
        <w:rPr>
          <w:rFonts w:ascii="Times New Roman" w:hAnsi="Times New Roman"/>
          <w:color w:val="000000"/>
          <w:sz w:val="24"/>
          <w:szCs w:val="24"/>
        </w:rPr>
      </w:pPr>
    </w:p>
    <w:p w:rsidR="00467106" w:rsidRPr="00467106" w:rsidRDefault="00467106" w:rsidP="00EC3563">
      <w:pPr>
        <w:numPr>
          <w:ilvl w:val="0"/>
          <w:numId w:val="11"/>
        </w:numPr>
        <w:autoSpaceDE w:val="0"/>
        <w:autoSpaceDN w:val="0"/>
        <w:adjustRightInd w:val="0"/>
        <w:rPr>
          <w:rFonts w:ascii="Times New Roman" w:hAnsi="Times New Roman"/>
          <w:color w:val="000000"/>
          <w:sz w:val="24"/>
          <w:szCs w:val="24"/>
        </w:rPr>
      </w:pPr>
      <w:r w:rsidRPr="00467106">
        <w:rPr>
          <w:rFonts w:ascii="Times New Roman" w:hAnsi="Times New Roman"/>
          <w:color w:val="000000"/>
          <w:sz w:val="24"/>
          <w:szCs w:val="24"/>
        </w:rPr>
        <w:t>ARGUMEN</w:t>
      </w:r>
      <w:r w:rsidR="00CF1E36">
        <w:rPr>
          <w:rFonts w:ascii="Times New Roman" w:hAnsi="Times New Roman"/>
          <w:color w:val="000000"/>
          <w:sz w:val="24"/>
          <w:szCs w:val="24"/>
        </w:rPr>
        <w:t>T</w:t>
      </w:r>
      <w:r w:rsidR="00CF1E36">
        <w:rPr>
          <w:sz w:val="23"/>
          <w:szCs w:val="23"/>
        </w:rPr>
        <w:t>.........................................................................................................................</w:t>
      </w:r>
      <w:r w:rsidR="00C91B4E">
        <w:rPr>
          <w:rFonts w:ascii="Times New Roman" w:hAnsi="Times New Roman"/>
          <w:color w:val="000000"/>
          <w:sz w:val="24"/>
          <w:szCs w:val="24"/>
        </w:rPr>
        <w:t>11</w:t>
      </w:r>
      <w:r w:rsidRPr="00467106">
        <w:rPr>
          <w:rFonts w:ascii="Times New Roman" w:hAnsi="Times New Roman"/>
          <w:color w:val="000000"/>
          <w:sz w:val="24"/>
          <w:szCs w:val="24"/>
        </w:rPr>
        <w:t xml:space="preserve"> </w:t>
      </w:r>
    </w:p>
    <w:p w:rsidR="00467106" w:rsidRDefault="00467106" w:rsidP="00467106">
      <w:pPr>
        <w:autoSpaceDE w:val="0"/>
        <w:autoSpaceDN w:val="0"/>
        <w:adjustRightInd w:val="0"/>
        <w:rPr>
          <w:rFonts w:ascii="Times New Roman" w:hAnsi="Times New Roman"/>
          <w:color w:val="000000"/>
          <w:sz w:val="24"/>
          <w:szCs w:val="24"/>
        </w:rPr>
      </w:pPr>
    </w:p>
    <w:p w:rsidR="00EC3563" w:rsidRPr="00EC3563" w:rsidRDefault="00EC3563" w:rsidP="00467106">
      <w:pPr>
        <w:numPr>
          <w:ilvl w:val="0"/>
          <w:numId w:val="14"/>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u w:val="single"/>
        </w:rPr>
        <w:t xml:space="preserve">A Serious Risk of Institutionalization or </w:t>
      </w:r>
    </w:p>
    <w:p w:rsidR="00EC3563" w:rsidRDefault="00EC3563" w:rsidP="00EC3563">
      <w:pPr>
        <w:autoSpaceDE w:val="0"/>
        <w:autoSpaceDN w:val="0"/>
        <w:adjustRightInd w:val="0"/>
        <w:ind w:left="720"/>
        <w:rPr>
          <w:rFonts w:ascii="Times New Roman" w:hAnsi="Times New Roman"/>
          <w:color w:val="000000"/>
          <w:sz w:val="24"/>
          <w:szCs w:val="24"/>
        </w:rPr>
      </w:pPr>
      <w:r>
        <w:rPr>
          <w:rFonts w:ascii="Times New Roman" w:hAnsi="Times New Roman"/>
          <w:color w:val="000000"/>
          <w:sz w:val="24"/>
          <w:szCs w:val="24"/>
          <w:u w:val="single"/>
        </w:rPr>
        <w:t>Segregation State</w:t>
      </w:r>
      <w:r w:rsidR="00CF1E36">
        <w:rPr>
          <w:rFonts w:ascii="Times New Roman" w:hAnsi="Times New Roman"/>
          <w:color w:val="000000"/>
          <w:sz w:val="24"/>
          <w:szCs w:val="24"/>
          <w:u w:val="single"/>
        </w:rPr>
        <w:t xml:space="preserve">s a Claim </w:t>
      </w:r>
      <w:proofErr w:type="gramStart"/>
      <w:r w:rsidR="00CF1E36">
        <w:rPr>
          <w:rFonts w:ascii="Times New Roman" w:hAnsi="Times New Roman"/>
          <w:color w:val="000000"/>
          <w:sz w:val="24"/>
          <w:szCs w:val="24"/>
          <w:u w:val="single"/>
        </w:rPr>
        <w:t>Under</w:t>
      </w:r>
      <w:proofErr w:type="gramEnd"/>
      <w:r w:rsidR="00CF1E36">
        <w:rPr>
          <w:rFonts w:ascii="Times New Roman" w:hAnsi="Times New Roman"/>
          <w:color w:val="000000"/>
          <w:sz w:val="24"/>
          <w:szCs w:val="24"/>
          <w:u w:val="single"/>
        </w:rPr>
        <w:t xml:space="preserve"> the Integration </w:t>
      </w:r>
      <w:r>
        <w:rPr>
          <w:rFonts w:ascii="Times New Roman" w:hAnsi="Times New Roman"/>
          <w:color w:val="000000"/>
          <w:sz w:val="24"/>
          <w:szCs w:val="24"/>
          <w:u w:val="single"/>
        </w:rPr>
        <w:t>Mandate</w:t>
      </w:r>
      <w:r w:rsidR="00CF1E36">
        <w:rPr>
          <w:sz w:val="23"/>
          <w:szCs w:val="23"/>
        </w:rPr>
        <w:t>..................................................................................................................................</w:t>
      </w:r>
      <w:r w:rsidR="00C91B4E">
        <w:rPr>
          <w:rFonts w:ascii="Times New Roman" w:hAnsi="Times New Roman"/>
          <w:color w:val="000000"/>
          <w:sz w:val="24"/>
          <w:szCs w:val="24"/>
        </w:rPr>
        <w:t>11</w:t>
      </w:r>
    </w:p>
    <w:p w:rsidR="00EC3563" w:rsidRDefault="00EC3563" w:rsidP="00EC3563">
      <w:pPr>
        <w:autoSpaceDE w:val="0"/>
        <w:autoSpaceDN w:val="0"/>
        <w:adjustRightInd w:val="0"/>
        <w:ind w:left="720"/>
        <w:rPr>
          <w:rFonts w:ascii="Times New Roman" w:hAnsi="Times New Roman"/>
          <w:color w:val="000000"/>
          <w:sz w:val="24"/>
          <w:szCs w:val="24"/>
        </w:rPr>
      </w:pPr>
    </w:p>
    <w:p w:rsidR="00467106" w:rsidRDefault="00EC3563" w:rsidP="00467106">
      <w:pPr>
        <w:numPr>
          <w:ilvl w:val="0"/>
          <w:numId w:val="14"/>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u w:val="single"/>
        </w:rPr>
        <w:t>Three Circuits Agree “At-Risk” Claims Are Cognizable</w:t>
      </w:r>
      <w:r w:rsidR="00467106" w:rsidRPr="00467106">
        <w:rPr>
          <w:rFonts w:ascii="Times New Roman" w:hAnsi="Times New Roman"/>
          <w:color w:val="000000"/>
          <w:sz w:val="24"/>
          <w:szCs w:val="24"/>
        </w:rPr>
        <w:t>..........................</w:t>
      </w:r>
      <w:r w:rsidR="008219CE">
        <w:rPr>
          <w:rFonts w:ascii="Times New Roman" w:hAnsi="Times New Roman"/>
          <w:color w:val="000000"/>
          <w:sz w:val="24"/>
          <w:szCs w:val="24"/>
        </w:rPr>
        <w:t>.......................</w:t>
      </w:r>
      <w:r w:rsidR="00C91B4E">
        <w:rPr>
          <w:rFonts w:ascii="Times New Roman" w:hAnsi="Times New Roman"/>
          <w:color w:val="000000"/>
          <w:sz w:val="24"/>
          <w:szCs w:val="24"/>
        </w:rPr>
        <w:t>12</w:t>
      </w:r>
      <w:r w:rsidR="00467106" w:rsidRPr="00467106">
        <w:rPr>
          <w:rFonts w:ascii="Times New Roman" w:hAnsi="Times New Roman"/>
          <w:color w:val="000000"/>
          <w:sz w:val="24"/>
          <w:szCs w:val="24"/>
        </w:rPr>
        <w:t xml:space="preserve"> </w:t>
      </w:r>
    </w:p>
    <w:p w:rsidR="00EC3563" w:rsidRDefault="00EC3563" w:rsidP="00EC3563">
      <w:pPr>
        <w:autoSpaceDE w:val="0"/>
        <w:autoSpaceDN w:val="0"/>
        <w:adjustRightInd w:val="0"/>
        <w:ind w:left="720"/>
        <w:rPr>
          <w:rFonts w:ascii="Times New Roman" w:hAnsi="Times New Roman"/>
          <w:color w:val="000000"/>
          <w:sz w:val="24"/>
          <w:szCs w:val="24"/>
        </w:rPr>
      </w:pPr>
    </w:p>
    <w:p w:rsidR="00A37117" w:rsidRPr="00A37117" w:rsidRDefault="00A37117" w:rsidP="00A37117">
      <w:pPr>
        <w:numPr>
          <w:ilvl w:val="0"/>
          <w:numId w:val="14"/>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u w:val="single"/>
        </w:rPr>
        <w:t>The Department of Justice’s Interpretation</w:t>
      </w:r>
    </w:p>
    <w:p w:rsidR="00A37117" w:rsidRPr="00A37117" w:rsidRDefault="00A37117" w:rsidP="00A37117">
      <w:pPr>
        <w:autoSpaceDE w:val="0"/>
        <w:autoSpaceDN w:val="0"/>
        <w:adjustRightInd w:val="0"/>
        <w:ind w:left="720"/>
        <w:rPr>
          <w:rFonts w:ascii="Times New Roman" w:hAnsi="Times New Roman"/>
          <w:color w:val="000000"/>
          <w:sz w:val="24"/>
          <w:szCs w:val="24"/>
        </w:rPr>
      </w:pPr>
      <w:proofErr w:type="gramStart"/>
      <w:r w:rsidRPr="00A37117">
        <w:rPr>
          <w:rFonts w:ascii="Times New Roman" w:hAnsi="Times New Roman"/>
          <w:color w:val="000000"/>
          <w:sz w:val="24"/>
          <w:szCs w:val="24"/>
          <w:u w:val="single"/>
        </w:rPr>
        <w:t>of</w:t>
      </w:r>
      <w:proofErr w:type="gramEnd"/>
      <w:r w:rsidRPr="00A37117">
        <w:rPr>
          <w:rFonts w:ascii="Times New Roman" w:hAnsi="Times New Roman"/>
          <w:color w:val="000000"/>
          <w:sz w:val="24"/>
          <w:szCs w:val="24"/>
          <w:u w:val="single"/>
        </w:rPr>
        <w:t xml:space="preserve"> the Integration Mandate Warrants Deferenc</w:t>
      </w:r>
      <w:r w:rsidR="00CF1E36">
        <w:rPr>
          <w:rFonts w:ascii="Times New Roman" w:hAnsi="Times New Roman"/>
          <w:color w:val="000000"/>
          <w:sz w:val="24"/>
          <w:szCs w:val="24"/>
          <w:u w:val="single"/>
        </w:rPr>
        <w:t>e</w:t>
      </w:r>
      <w:r w:rsidR="00CF1E36">
        <w:rPr>
          <w:sz w:val="23"/>
          <w:szCs w:val="23"/>
        </w:rPr>
        <w:t>..................................................................1</w:t>
      </w:r>
      <w:r w:rsidR="00C91B4E">
        <w:rPr>
          <w:rFonts w:ascii="Times New Roman" w:hAnsi="Times New Roman"/>
          <w:color w:val="000000"/>
          <w:sz w:val="24"/>
          <w:szCs w:val="24"/>
        </w:rPr>
        <w:t>5</w:t>
      </w:r>
    </w:p>
    <w:p w:rsidR="00A37117" w:rsidRPr="00A37117" w:rsidRDefault="00A37117" w:rsidP="00A37117">
      <w:pPr>
        <w:autoSpaceDE w:val="0"/>
        <w:autoSpaceDN w:val="0"/>
        <w:adjustRightInd w:val="0"/>
        <w:rPr>
          <w:rFonts w:ascii="Times New Roman" w:hAnsi="Times New Roman"/>
          <w:color w:val="000000"/>
          <w:sz w:val="24"/>
          <w:szCs w:val="24"/>
        </w:rPr>
      </w:pPr>
    </w:p>
    <w:p w:rsidR="00A37117" w:rsidRDefault="00A37117" w:rsidP="00A37117">
      <w:pPr>
        <w:numPr>
          <w:ilvl w:val="0"/>
          <w:numId w:val="14"/>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u w:val="single"/>
        </w:rPr>
        <w:t>Plaintiffs’ Evidence Shows They Are at Serious Risk of Unnecessary Segregation</w:t>
      </w:r>
      <w:r>
        <w:rPr>
          <w:rFonts w:ascii="Times New Roman" w:hAnsi="Times New Roman"/>
          <w:color w:val="000000"/>
          <w:sz w:val="24"/>
          <w:szCs w:val="24"/>
        </w:rPr>
        <w:t>........</w:t>
      </w:r>
      <w:r w:rsidR="00C91B4E">
        <w:rPr>
          <w:rFonts w:ascii="Times New Roman" w:hAnsi="Times New Roman"/>
          <w:color w:val="000000"/>
          <w:sz w:val="24"/>
          <w:szCs w:val="24"/>
        </w:rPr>
        <w:t>16</w:t>
      </w:r>
    </w:p>
    <w:p w:rsidR="00A37117" w:rsidRDefault="00A37117" w:rsidP="00A37117">
      <w:pPr>
        <w:autoSpaceDE w:val="0"/>
        <w:autoSpaceDN w:val="0"/>
        <w:adjustRightInd w:val="0"/>
        <w:ind w:left="720"/>
        <w:rPr>
          <w:rFonts w:ascii="Times New Roman" w:hAnsi="Times New Roman"/>
          <w:color w:val="000000"/>
          <w:sz w:val="24"/>
          <w:szCs w:val="24"/>
        </w:rPr>
      </w:pPr>
    </w:p>
    <w:p w:rsidR="00A37117" w:rsidRPr="00A37117" w:rsidRDefault="00A37117" w:rsidP="00A37117">
      <w:pPr>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V. </w:t>
      </w:r>
      <w:r>
        <w:rPr>
          <w:rFonts w:ascii="Times New Roman" w:hAnsi="Times New Roman"/>
          <w:color w:val="000000"/>
          <w:sz w:val="24"/>
          <w:szCs w:val="24"/>
        </w:rPr>
        <w:tab/>
      </w:r>
      <w:r w:rsidRPr="00A37117">
        <w:rPr>
          <w:rFonts w:ascii="Times New Roman" w:hAnsi="Times New Roman"/>
          <w:color w:val="000000"/>
          <w:sz w:val="24"/>
          <w:szCs w:val="24"/>
        </w:rPr>
        <w:t>CONCLUSIO</w:t>
      </w:r>
      <w:r w:rsidR="00CF1E36">
        <w:rPr>
          <w:rFonts w:ascii="Times New Roman" w:hAnsi="Times New Roman"/>
          <w:color w:val="000000"/>
          <w:sz w:val="24"/>
          <w:szCs w:val="24"/>
        </w:rPr>
        <w:t>N</w:t>
      </w:r>
      <w:r w:rsidR="00CF1E36">
        <w:rPr>
          <w:sz w:val="23"/>
          <w:szCs w:val="23"/>
        </w:rPr>
        <w:t>......................................................................................................................</w:t>
      </w:r>
      <w:r w:rsidR="000020AD">
        <w:rPr>
          <w:rFonts w:ascii="Times New Roman" w:hAnsi="Times New Roman"/>
          <w:color w:val="000000"/>
          <w:sz w:val="24"/>
          <w:szCs w:val="24"/>
        </w:rPr>
        <w:t>1</w:t>
      </w:r>
      <w:r w:rsidR="00C91B4E">
        <w:rPr>
          <w:rFonts w:ascii="Times New Roman" w:hAnsi="Times New Roman"/>
          <w:color w:val="000000"/>
          <w:sz w:val="24"/>
          <w:szCs w:val="24"/>
        </w:rPr>
        <w:t>8</w:t>
      </w:r>
    </w:p>
    <w:p w:rsidR="00467106" w:rsidRDefault="00467106" w:rsidP="00467106">
      <w:pPr>
        <w:autoSpaceDE w:val="0"/>
        <w:autoSpaceDN w:val="0"/>
        <w:adjustRightInd w:val="0"/>
        <w:rPr>
          <w:rFonts w:ascii="Times New Roman" w:hAnsi="Times New Roman"/>
          <w:color w:val="000000"/>
          <w:sz w:val="24"/>
          <w:szCs w:val="24"/>
        </w:rPr>
      </w:pPr>
    </w:p>
    <w:p w:rsidR="00467106" w:rsidRPr="00467106" w:rsidRDefault="00467106" w:rsidP="00A37117">
      <w:pPr>
        <w:pStyle w:val="Default"/>
        <w:ind w:firstLine="720"/>
        <w:rPr>
          <w:b/>
          <w:bCs/>
          <w:color w:val="auto"/>
        </w:rPr>
      </w:pPr>
      <w:r w:rsidRPr="00467106">
        <w:t>CERTIFICATE OF SERVICE</w:t>
      </w:r>
      <w:r w:rsidR="00CF1E36">
        <w:rPr>
          <w:rFonts w:asciiTheme="minorHAnsi" w:hAnsiTheme="minorHAnsi"/>
          <w:sz w:val="23"/>
          <w:szCs w:val="23"/>
        </w:rPr>
        <w:t>…………………………….</w:t>
      </w:r>
      <w:r w:rsidR="00CF1E36" w:rsidRPr="00CF1E36">
        <w:rPr>
          <w:rFonts w:asciiTheme="minorHAnsi" w:hAnsiTheme="minorHAnsi"/>
          <w:sz w:val="23"/>
          <w:szCs w:val="23"/>
        </w:rPr>
        <w:t>...............................................................</w:t>
      </w:r>
      <w:r w:rsidR="00C91B4E">
        <w:t>19</w:t>
      </w:r>
    </w:p>
    <w:p w:rsidR="00467106" w:rsidRP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58517A">
      <w:pPr>
        <w:pStyle w:val="Default"/>
        <w:jc w:val="center"/>
        <w:rPr>
          <w:b/>
          <w:bCs/>
          <w:color w:val="auto"/>
        </w:rPr>
      </w:pPr>
    </w:p>
    <w:p w:rsidR="00467106" w:rsidRDefault="00467106" w:rsidP="00046401">
      <w:pPr>
        <w:pStyle w:val="Default"/>
        <w:rPr>
          <w:b/>
          <w:bCs/>
          <w:color w:val="auto"/>
        </w:rPr>
      </w:pPr>
    </w:p>
    <w:p w:rsidR="00237FC5" w:rsidRPr="00697BD8" w:rsidRDefault="00237FC5" w:rsidP="00697BD8">
      <w:pPr>
        <w:pStyle w:val="TableofAuthorities"/>
      </w:pPr>
      <w:r w:rsidRPr="00697BD8">
        <w:t>TABLE OF AUTHORITIES</w:t>
      </w:r>
    </w:p>
    <w:p w:rsidR="00237FC5" w:rsidRPr="009178E0" w:rsidRDefault="00237FC5" w:rsidP="00237FC5">
      <w:pPr>
        <w:pStyle w:val="Default"/>
        <w:rPr>
          <w:color w:val="auto"/>
        </w:rPr>
      </w:pPr>
      <w:r w:rsidRPr="009178E0">
        <w:rPr>
          <w:color w:val="auto"/>
        </w:rPr>
        <w:t xml:space="preserve"> </w:t>
      </w:r>
    </w:p>
    <w:p w:rsidR="00237FC5" w:rsidRPr="009178E0" w:rsidRDefault="00237FC5" w:rsidP="00237FC5">
      <w:pPr>
        <w:pStyle w:val="Default"/>
        <w:rPr>
          <w:color w:val="auto"/>
        </w:rPr>
      </w:pPr>
      <w:r w:rsidRPr="009178E0">
        <w:rPr>
          <w:b/>
          <w:bCs/>
          <w:color w:val="auto"/>
        </w:rPr>
        <w:t xml:space="preserve">CASES:               </w:t>
      </w:r>
      <w:r w:rsidR="005B5EC5" w:rsidRPr="009178E0">
        <w:rPr>
          <w:b/>
          <w:bCs/>
          <w:color w:val="auto"/>
        </w:rPr>
        <w:tab/>
      </w:r>
      <w:r w:rsidR="005B5EC5" w:rsidRPr="009178E0">
        <w:rPr>
          <w:b/>
          <w:bCs/>
          <w:color w:val="auto"/>
        </w:rPr>
        <w:tab/>
      </w:r>
      <w:r w:rsidR="005B5EC5" w:rsidRPr="009178E0">
        <w:rPr>
          <w:b/>
          <w:bCs/>
          <w:color w:val="auto"/>
        </w:rPr>
        <w:tab/>
      </w:r>
      <w:r w:rsidR="005B5EC5" w:rsidRPr="009178E0">
        <w:rPr>
          <w:b/>
          <w:bCs/>
          <w:color w:val="auto"/>
        </w:rPr>
        <w:tab/>
      </w:r>
      <w:r w:rsidR="005B5EC5" w:rsidRPr="009178E0">
        <w:rPr>
          <w:b/>
          <w:bCs/>
          <w:color w:val="auto"/>
        </w:rPr>
        <w:tab/>
      </w:r>
      <w:r w:rsidR="005B5EC5" w:rsidRPr="009178E0">
        <w:rPr>
          <w:b/>
          <w:bCs/>
          <w:color w:val="auto"/>
        </w:rPr>
        <w:tab/>
      </w:r>
      <w:r w:rsidR="005B5EC5" w:rsidRPr="009178E0">
        <w:rPr>
          <w:b/>
          <w:bCs/>
          <w:color w:val="auto"/>
        </w:rPr>
        <w:tab/>
      </w:r>
      <w:r w:rsidR="005B5EC5" w:rsidRPr="009178E0">
        <w:rPr>
          <w:b/>
          <w:bCs/>
          <w:color w:val="auto"/>
        </w:rPr>
        <w:tab/>
      </w:r>
      <w:r w:rsidR="005B5EC5" w:rsidRPr="009178E0">
        <w:rPr>
          <w:b/>
          <w:bCs/>
          <w:color w:val="auto"/>
        </w:rPr>
        <w:tab/>
      </w:r>
      <w:r w:rsidRPr="009178E0">
        <w:rPr>
          <w:b/>
          <w:bCs/>
          <w:color w:val="auto"/>
        </w:rPr>
        <w:t>PAGE</w:t>
      </w:r>
      <w:r w:rsidRPr="009178E0">
        <w:rPr>
          <w:color w:val="auto"/>
        </w:rPr>
        <w:t xml:space="preserve"> </w:t>
      </w:r>
    </w:p>
    <w:p w:rsidR="00851691" w:rsidRPr="009178E0" w:rsidRDefault="00237FC5" w:rsidP="00237FC5">
      <w:pPr>
        <w:pStyle w:val="Default"/>
        <w:rPr>
          <w:color w:val="auto"/>
        </w:rPr>
      </w:pPr>
      <w:r w:rsidRPr="009178E0">
        <w:rPr>
          <w:color w:val="auto"/>
        </w:rPr>
        <w:t xml:space="preserve"> </w:t>
      </w:r>
    </w:p>
    <w:p w:rsidR="00237FC5" w:rsidRPr="000E1118" w:rsidRDefault="00237FC5" w:rsidP="00237FC5">
      <w:pPr>
        <w:pStyle w:val="Default"/>
        <w:rPr>
          <w:color w:val="auto"/>
        </w:rPr>
      </w:pPr>
      <w:proofErr w:type="spellStart"/>
      <w:r w:rsidRPr="000E1118">
        <w:rPr>
          <w:i/>
          <w:iCs/>
          <w:color w:val="auto"/>
        </w:rPr>
        <w:t>Amundson</w:t>
      </w:r>
      <w:proofErr w:type="spellEnd"/>
      <w:r w:rsidRPr="000E1118">
        <w:rPr>
          <w:color w:val="auto"/>
        </w:rPr>
        <w:t xml:space="preserve"> v. </w:t>
      </w:r>
      <w:r w:rsidRPr="000E1118">
        <w:rPr>
          <w:i/>
          <w:iCs/>
          <w:color w:val="auto"/>
        </w:rPr>
        <w:t xml:space="preserve">Wisconsin Dep’t of Health </w:t>
      </w:r>
      <w:proofErr w:type="spellStart"/>
      <w:proofErr w:type="gramStart"/>
      <w:r w:rsidRPr="000E1118">
        <w:rPr>
          <w:i/>
          <w:iCs/>
          <w:color w:val="auto"/>
        </w:rPr>
        <w:t>Servs</w:t>
      </w:r>
      <w:proofErr w:type="spellEnd"/>
      <w:r w:rsidRPr="000E1118">
        <w:rPr>
          <w:i/>
          <w:iCs/>
          <w:color w:val="auto"/>
        </w:rPr>
        <w:t>.</w:t>
      </w:r>
      <w:r w:rsidRPr="000E1118">
        <w:rPr>
          <w:color w:val="auto"/>
        </w:rPr>
        <w:t>,</w:t>
      </w:r>
      <w:proofErr w:type="gramEnd"/>
      <w:r w:rsidRPr="000E1118">
        <w:rPr>
          <w:color w:val="auto"/>
        </w:rPr>
        <w:t xml:space="preserve"> </w:t>
      </w:r>
    </w:p>
    <w:p w:rsidR="00237FC5" w:rsidRPr="000E1118" w:rsidRDefault="00237FC5" w:rsidP="00237FC5">
      <w:pPr>
        <w:pStyle w:val="Default"/>
        <w:rPr>
          <w:color w:val="auto"/>
        </w:rPr>
      </w:pPr>
      <w:r w:rsidRPr="000E1118">
        <w:rPr>
          <w:i/>
          <w:iCs/>
          <w:color w:val="auto"/>
        </w:rPr>
        <w:t xml:space="preserve"> </w:t>
      </w:r>
      <w:r w:rsidRPr="000E1118">
        <w:rPr>
          <w:color w:val="auto"/>
        </w:rPr>
        <w:t>721 F.3d 871 (7th Cir. 2013) ...................................................................</w:t>
      </w:r>
      <w:r w:rsidR="00263136">
        <w:rPr>
          <w:color w:val="auto"/>
        </w:rPr>
        <w:t>.........................1</w:t>
      </w:r>
      <w:r w:rsidR="00C91B4E">
        <w:rPr>
          <w:color w:val="auto"/>
        </w:rPr>
        <w:t>1, 14, 15</w:t>
      </w:r>
      <w:r w:rsidRPr="000E1118">
        <w:rPr>
          <w:color w:val="auto"/>
        </w:rPr>
        <w:t xml:space="preserve"> </w:t>
      </w:r>
    </w:p>
    <w:p w:rsidR="00237FC5" w:rsidRPr="000E1118" w:rsidRDefault="00237FC5" w:rsidP="00237FC5">
      <w:pPr>
        <w:pStyle w:val="Default"/>
        <w:rPr>
          <w:color w:val="auto"/>
        </w:rPr>
      </w:pPr>
      <w:r w:rsidRPr="000E1118">
        <w:rPr>
          <w:color w:val="auto"/>
        </w:rPr>
        <w:t xml:space="preserve"> </w:t>
      </w:r>
    </w:p>
    <w:p w:rsidR="00851691" w:rsidRPr="000E1118" w:rsidRDefault="00237FC5" w:rsidP="00237FC5">
      <w:pPr>
        <w:pStyle w:val="Default"/>
        <w:rPr>
          <w:color w:val="auto"/>
        </w:rPr>
      </w:pPr>
      <w:r w:rsidRPr="000E1118">
        <w:rPr>
          <w:i/>
          <w:iCs/>
          <w:color w:val="auto"/>
        </w:rPr>
        <w:t>Auer</w:t>
      </w:r>
      <w:r w:rsidRPr="000E1118">
        <w:rPr>
          <w:color w:val="auto"/>
        </w:rPr>
        <w:t xml:space="preserve"> v. </w:t>
      </w:r>
      <w:r w:rsidRPr="000E1118">
        <w:rPr>
          <w:i/>
          <w:iCs/>
          <w:color w:val="auto"/>
        </w:rPr>
        <w:t>Robbins</w:t>
      </w:r>
      <w:r w:rsidRPr="000E1118">
        <w:rPr>
          <w:color w:val="auto"/>
        </w:rPr>
        <w:t>, 519 U.S. 452 (1997) ...............................................................</w:t>
      </w:r>
      <w:r w:rsidR="00263136">
        <w:rPr>
          <w:color w:val="auto"/>
        </w:rPr>
        <w:t>.....................</w:t>
      </w:r>
      <w:r w:rsidR="00C91B4E">
        <w:rPr>
          <w:color w:val="auto"/>
        </w:rPr>
        <w:t>15, 16</w:t>
      </w:r>
      <w:r w:rsidRPr="000E1118">
        <w:rPr>
          <w:color w:val="auto"/>
        </w:rPr>
        <w:t xml:space="preserve"> </w:t>
      </w:r>
    </w:p>
    <w:p w:rsidR="00396EDF" w:rsidRPr="00263136" w:rsidRDefault="00396EDF" w:rsidP="00237FC5">
      <w:pPr>
        <w:pStyle w:val="Default"/>
        <w:rPr>
          <w:color w:val="auto"/>
        </w:rPr>
      </w:pPr>
    </w:p>
    <w:p w:rsidR="00396EDF" w:rsidRPr="00263136" w:rsidRDefault="00396EDF" w:rsidP="00396EDF">
      <w:pPr>
        <w:rPr>
          <w:rFonts w:ascii="Times New Roman" w:hAnsi="Times New Roman"/>
          <w:sz w:val="24"/>
          <w:szCs w:val="24"/>
        </w:rPr>
      </w:pPr>
      <w:r w:rsidRPr="00263136">
        <w:rPr>
          <w:rFonts w:ascii="Times New Roman" w:hAnsi="Times New Roman"/>
          <w:i/>
          <w:iCs/>
          <w:sz w:val="24"/>
          <w:szCs w:val="24"/>
        </w:rPr>
        <w:t>Ball v. Rogers</w:t>
      </w:r>
      <w:r w:rsidR="00680982" w:rsidRPr="00263136">
        <w:rPr>
          <w:rFonts w:ascii="Times New Roman" w:hAnsi="Times New Roman"/>
          <w:sz w:val="24"/>
          <w:szCs w:val="24"/>
        </w:rPr>
        <w:t>, No. 00-67, 2009 WL 1395423</w:t>
      </w:r>
      <w:r w:rsidRPr="00263136">
        <w:rPr>
          <w:rFonts w:ascii="Times New Roman" w:hAnsi="Times New Roman"/>
          <w:sz w:val="24"/>
          <w:szCs w:val="24"/>
        </w:rPr>
        <w:t xml:space="preserve"> (D. Ariz. April 24, 2009)</w:t>
      </w:r>
      <w:r w:rsidR="00680982" w:rsidRPr="00263136">
        <w:rPr>
          <w:rFonts w:ascii="Times New Roman" w:hAnsi="Times New Roman"/>
          <w:sz w:val="24"/>
          <w:szCs w:val="24"/>
        </w:rPr>
        <w:t>…………</w:t>
      </w:r>
      <w:r w:rsidR="00263136" w:rsidRPr="00263136">
        <w:rPr>
          <w:rFonts w:ascii="Times New Roman" w:hAnsi="Times New Roman"/>
          <w:sz w:val="24"/>
          <w:szCs w:val="24"/>
        </w:rPr>
        <w:t>………</w:t>
      </w:r>
      <w:r w:rsidR="00263136">
        <w:rPr>
          <w:rFonts w:ascii="Times New Roman" w:hAnsi="Times New Roman"/>
          <w:sz w:val="24"/>
          <w:szCs w:val="24"/>
        </w:rPr>
        <w:t>……..</w:t>
      </w:r>
      <w:r w:rsidR="00C91B4E">
        <w:rPr>
          <w:rFonts w:ascii="Times New Roman" w:hAnsi="Times New Roman"/>
          <w:sz w:val="24"/>
          <w:szCs w:val="24"/>
        </w:rPr>
        <w:t>13</w:t>
      </w:r>
    </w:p>
    <w:p w:rsidR="001E3B37" w:rsidRPr="00263136" w:rsidRDefault="001E3B37" w:rsidP="00396EDF">
      <w:pPr>
        <w:rPr>
          <w:rFonts w:ascii="Times New Roman" w:hAnsi="Times New Roman"/>
          <w:sz w:val="24"/>
          <w:szCs w:val="24"/>
        </w:rPr>
      </w:pPr>
    </w:p>
    <w:p w:rsidR="001E3B37" w:rsidRPr="00263136" w:rsidRDefault="001E3B37" w:rsidP="00396EDF">
      <w:pPr>
        <w:rPr>
          <w:rFonts w:ascii="Times New Roman" w:hAnsi="Times New Roman"/>
          <w:sz w:val="24"/>
          <w:szCs w:val="24"/>
        </w:rPr>
      </w:pPr>
      <w:r w:rsidRPr="00263136">
        <w:rPr>
          <w:rFonts w:ascii="Times New Roman" w:hAnsi="Times New Roman"/>
          <w:i/>
          <w:sz w:val="24"/>
          <w:szCs w:val="24"/>
        </w:rPr>
        <w:t>B.N. ex rel. A.N. v. Murphy</w:t>
      </w:r>
      <w:r w:rsidRPr="00263136">
        <w:rPr>
          <w:rFonts w:ascii="Times New Roman" w:hAnsi="Times New Roman"/>
          <w:sz w:val="24"/>
          <w:szCs w:val="24"/>
        </w:rPr>
        <w:t>, 2011 WL 5838976 (</w:t>
      </w:r>
      <w:proofErr w:type="spellStart"/>
      <w:r w:rsidRPr="00263136">
        <w:rPr>
          <w:rFonts w:ascii="Times New Roman" w:hAnsi="Times New Roman"/>
          <w:sz w:val="24"/>
          <w:szCs w:val="24"/>
        </w:rPr>
        <w:t>N.D.Ind</w:t>
      </w:r>
      <w:proofErr w:type="spellEnd"/>
      <w:r w:rsidRPr="00263136">
        <w:rPr>
          <w:rFonts w:ascii="Times New Roman" w:hAnsi="Times New Roman"/>
          <w:sz w:val="24"/>
          <w:szCs w:val="24"/>
        </w:rPr>
        <w:t>., 2011)</w:t>
      </w:r>
      <w:r w:rsidR="00263136">
        <w:rPr>
          <w:rFonts w:ascii="Times New Roman" w:hAnsi="Times New Roman"/>
          <w:sz w:val="24"/>
          <w:szCs w:val="24"/>
        </w:rPr>
        <w:t>………………………………</w:t>
      </w:r>
      <w:r w:rsidR="00C91B4E">
        <w:rPr>
          <w:rFonts w:ascii="Times New Roman" w:hAnsi="Times New Roman"/>
          <w:sz w:val="24"/>
          <w:szCs w:val="24"/>
        </w:rPr>
        <w:t>12</w:t>
      </w:r>
    </w:p>
    <w:p w:rsidR="00396EDF" w:rsidRPr="00263136" w:rsidRDefault="00396EDF" w:rsidP="00396EDF">
      <w:pPr>
        <w:rPr>
          <w:rFonts w:ascii="Times New Roman" w:hAnsi="Times New Roman"/>
          <w:sz w:val="24"/>
          <w:szCs w:val="24"/>
        </w:rPr>
      </w:pPr>
    </w:p>
    <w:p w:rsidR="00396EDF" w:rsidRPr="00263136" w:rsidRDefault="00396EDF" w:rsidP="00396EDF">
      <w:pPr>
        <w:rPr>
          <w:rFonts w:ascii="Times New Roman" w:hAnsi="Times New Roman"/>
          <w:sz w:val="24"/>
          <w:szCs w:val="24"/>
        </w:rPr>
      </w:pPr>
      <w:r w:rsidRPr="00263136">
        <w:rPr>
          <w:rFonts w:ascii="Times New Roman" w:hAnsi="Times New Roman"/>
          <w:i/>
          <w:iCs/>
          <w:sz w:val="24"/>
          <w:szCs w:val="24"/>
        </w:rPr>
        <w:t>Brantley v. Maxwell-Jolly</w:t>
      </w:r>
      <w:r w:rsidR="00680982" w:rsidRPr="00263136">
        <w:rPr>
          <w:rFonts w:ascii="Times New Roman" w:hAnsi="Times New Roman"/>
          <w:sz w:val="24"/>
          <w:szCs w:val="24"/>
        </w:rPr>
        <w:t>, 656 F. Supp. 2d 116</w:t>
      </w:r>
      <w:r w:rsidRPr="00263136">
        <w:rPr>
          <w:rFonts w:ascii="Times New Roman" w:hAnsi="Times New Roman"/>
          <w:sz w:val="24"/>
          <w:szCs w:val="24"/>
        </w:rPr>
        <w:t xml:space="preserve"> (N.D. Cal. 2009) </w:t>
      </w:r>
      <w:r w:rsidR="00680982" w:rsidRPr="00263136">
        <w:rPr>
          <w:rFonts w:ascii="Times New Roman" w:hAnsi="Times New Roman"/>
          <w:sz w:val="24"/>
          <w:szCs w:val="24"/>
        </w:rPr>
        <w:t>………………</w:t>
      </w:r>
      <w:r w:rsidR="00263136">
        <w:rPr>
          <w:rFonts w:ascii="Times New Roman" w:hAnsi="Times New Roman"/>
          <w:sz w:val="24"/>
          <w:szCs w:val="24"/>
        </w:rPr>
        <w:t>……………...</w:t>
      </w:r>
      <w:r w:rsidR="00C91B4E">
        <w:rPr>
          <w:rFonts w:ascii="Times New Roman" w:hAnsi="Times New Roman"/>
          <w:sz w:val="24"/>
          <w:szCs w:val="24"/>
        </w:rPr>
        <w:t>13</w:t>
      </w:r>
    </w:p>
    <w:p w:rsidR="00396EDF" w:rsidRPr="00263136" w:rsidRDefault="00396EDF" w:rsidP="00396EDF">
      <w:pPr>
        <w:rPr>
          <w:rFonts w:ascii="Times New Roman" w:hAnsi="Times New Roman"/>
          <w:i/>
          <w:iCs/>
          <w:sz w:val="24"/>
          <w:szCs w:val="24"/>
        </w:rPr>
      </w:pPr>
    </w:p>
    <w:p w:rsidR="00396EDF" w:rsidRPr="00263136" w:rsidRDefault="00396EDF" w:rsidP="00396EDF">
      <w:pPr>
        <w:rPr>
          <w:rFonts w:ascii="Times New Roman" w:hAnsi="Times New Roman"/>
          <w:sz w:val="24"/>
          <w:szCs w:val="24"/>
        </w:rPr>
      </w:pPr>
      <w:proofErr w:type="spellStart"/>
      <w:r w:rsidRPr="00263136">
        <w:rPr>
          <w:rFonts w:ascii="Times New Roman" w:hAnsi="Times New Roman"/>
          <w:i/>
          <w:iCs/>
          <w:sz w:val="24"/>
          <w:szCs w:val="24"/>
        </w:rPr>
        <w:t>Cota</w:t>
      </w:r>
      <w:proofErr w:type="spellEnd"/>
      <w:r w:rsidRPr="00263136">
        <w:rPr>
          <w:rFonts w:ascii="Times New Roman" w:hAnsi="Times New Roman"/>
          <w:i/>
          <w:iCs/>
          <w:sz w:val="24"/>
          <w:szCs w:val="24"/>
        </w:rPr>
        <w:t xml:space="preserve"> v. Maxwell-Jolly</w:t>
      </w:r>
      <w:r w:rsidR="00680982" w:rsidRPr="00263136">
        <w:rPr>
          <w:rFonts w:ascii="Times New Roman" w:hAnsi="Times New Roman"/>
          <w:sz w:val="24"/>
          <w:szCs w:val="24"/>
        </w:rPr>
        <w:t xml:space="preserve">, 688 F. Supp. 2d 980 </w:t>
      </w:r>
      <w:r w:rsidRPr="00263136">
        <w:rPr>
          <w:rFonts w:ascii="Times New Roman" w:hAnsi="Times New Roman"/>
          <w:sz w:val="24"/>
          <w:szCs w:val="24"/>
        </w:rPr>
        <w:t xml:space="preserve">(N.D. Cal. 2010) </w:t>
      </w:r>
      <w:r w:rsidR="00680982" w:rsidRPr="00263136">
        <w:rPr>
          <w:rFonts w:ascii="Times New Roman" w:hAnsi="Times New Roman"/>
          <w:sz w:val="24"/>
          <w:szCs w:val="24"/>
        </w:rPr>
        <w:t>………………</w:t>
      </w:r>
      <w:r w:rsidR="00263136">
        <w:rPr>
          <w:rFonts w:ascii="Times New Roman" w:hAnsi="Times New Roman"/>
          <w:sz w:val="24"/>
          <w:szCs w:val="24"/>
        </w:rPr>
        <w:t>………………….</w:t>
      </w:r>
      <w:r w:rsidR="00C91B4E">
        <w:rPr>
          <w:rFonts w:ascii="Times New Roman" w:hAnsi="Times New Roman"/>
          <w:sz w:val="24"/>
          <w:szCs w:val="24"/>
        </w:rPr>
        <w:t>13</w:t>
      </w:r>
    </w:p>
    <w:p w:rsidR="00396EDF" w:rsidRPr="00263136" w:rsidRDefault="00396EDF" w:rsidP="00396EDF">
      <w:pPr>
        <w:rPr>
          <w:rFonts w:ascii="Times New Roman" w:hAnsi="Times New Roman"/>
          <w:i/>
          <w:iCs/>
          <w:sz w:val="24"/>
          <w:szCs w:val="24"/>
        </w:rPr>
      </w:pPr>
    </w:p>
    <w:p w:rsidR="00680982" w:rsidRPr="000E1118" w:rsidRDefault="00396EDF" w:rsidP="00396EDF">
      <w:pPr>
        <w:rPr>
          <w:rFonts w:ascii="Times New Roman" w:hAnsi="Times New Roman"/>
          <w:sz w:val="24"/>
          <w:szCs w:val="24"/>
        </w:rPr>
      </w:pPr>
      <w:r w:rsidRPr="000E1118">
        <w:rPr>
          <w:rFonts w:ascii="Times New Roman" w:hAnsi="Times New Roman"/>
          <w:i/>
          <w:iCs/>
          <w:sz w:val="24"/>
          <w:szCs w:val="24"/>
        </w:rPr>
        <w:t>Crabtree v. Goetz</w:t>
      </w:r>
      <w:r w:rsidRPr="000E1118">
        <w:rPr>
          <w:rFonts w:ascii="Times New Roman" w:hAnsi="Times New Roman"/>
          <w:sz w:val="24"/>
          <w:szCs w:val="24"/>
        </w:rPr>
        <w:t>, No. 3:0</w:t>
      </w:r>
      <w:r w:rsidR="00680982" w:rsidRPr="000E1118">
        <w:rPr>
          <w:rFonts w:ascii="Times New Roman" w:hAnsi="Times New Roman"/>
          <w:sz w:val="24"/>
          <w:szCs w:val="24"/>
        </w:rPr>
        <w:t xml:space="preserve">8-0939, 2008 WL 5330506 </w:t>
      </w:r>
    </w:p>
    <w:p w:rsidR="00396EDF" w:rsidRPr="000E1118" w:rsidRDefault="00396EDF" w:rsidP="00396EDF">
      <w:pPr>
        <w:rPr>
          <w:rFonts w:ascii="Times New Roman" w:hAnsi="Times New Roman"/>
          <w:sz w:val="24"/>
          <w:szCs w:val="24"/>
        </w:rPr>
      </w:pPr>
      <w:r w:rsidRPr="000E1118">
        <w:rPr>
          <w:rFonts w:ascii="Times New Roman" w:hAnsi="Times New Roman"/>
          <w:sz w:val="24"/>
          <w:szCs w:val="24"/>
        </w:rPr>
        <w:t>(M.D. Tenn. Dec. 19, 2008)</w:t>
      </w:r>
      <w:r w:rsidR="00680982" w:rsidRPr="000E1118">
        <w:rPr>
          <w:rFonts w:ascii="Times New Roman" w:hAnsi="Times New Roman"/>
          <w:sz w:val="24"/>
          <w:szCs w:val="24"/>
        </w:rPr>
        <w:t>…………………………………………………</w:t>
      </w:r>
      <w:r w:rsidR="00263136">
        <w:rPr>
          <w:rFonts w:ascii="Times New Roman" w:hAnsi="Times New Roman"/>
          <w:sz w:val="24"/>
          <w:szCs w:val="24"/>
        </w:rPr>
        <w:t>…………………...</w:t>
      </w:r>
      <w:r w:rsidR="00C91B4E">
        <w:rPr>
          <w:rFonts w:ascii="Times New Roman" w:hAnsi="Times New Roman"/>
          <w:sz w:val="24"/>
          <w:szCs w:val="24"/>
        </w:rPr>
        <w:t>13</w:t>
      </w:r>
    </w:p>
    <w:p w:rsidR="00396EDF" w:rsidRPr="000E1118" w:rsidRDefault="00396EDF" w:rsidP="00396EDF">
      <w:pPr>
        <w:rPr>
          <w:rFonts w:ascii="Times New Roman" w:hAnsi="Times New Roman"/>
          <w:i/>
          <w:iCs/>
          <w:sz w:val="24"/>
          <w:szCs w:val="24"/>
        </w:rPr>
      </w:pPr>
    </w:p>
    <w:p w:rsidR="00680982" w:rsidRPr="000E1118" w:rsidRDefault="00396EDF" w:rsidP="00396EDF">
      <w:pPr>
        <w:rPr>
          <w:rFonts w:ascii="Times New Roman" w:hAnsi="Times New Roman"/>
          <w:sz w:val="24"/>
          <w:szCs w:val="24"/>
        </w:rPr>
      </w:pPr>
      <w:r w:rsidRPr="000E1118">
        <w:rPr>
          <w:rFonts w:ascii="Times New Roman" w:hAnsi="Times New Roman"/>
          <w:i/>
          <w:iCs/>
          <w:sz w:val="24"/>
          <w:szCs w:val="24"/>
        </w:rPr>
        <w:t xml:space="preserve">Cruz v. </w:t>
      </w:r>
      <w:proofErr w:type="spellStart"/>
      <w:r w:rsidRPr="000E1118">
        <w:rPr>
          <w:rFonts w:ascii="Times New Roman" w:hAnsi="Times New Roman"/>
          <w:i/>
          <w:iCs/>
          <w:sz w:val="24"/>
          <w:szCs w:val="24"/>
        </w:rPr>
        <w:t>Dudek</w:t>
      </w:r>
      <w:proofErr w:type="spellEnd"/>
      <w:r w:rsidRPr="000E1118">
        <w:rPr>
          <w:rFonts w:ascii="Times New Roman" w:hAnsi="Times New Roman"/>
          <w:sz w:val="24"/>
          <w:szCs w:val="24"/>
        </w:rPr>
        <w:t>, No</w:t>
      </w:r>
      <w:r w:rsidR="00680982" w:rsidRPr="000E1118">
        <w:rPr>
          <w:rFonts w:ascii="Times New Roman" w:hAnsi="Times New Roman"/>
          <w:sz w:val="24"/>
          <w:szCs w:val="24"/>
        </w:rPr>
        <w:t>. 10-23048-CIV, 2010 WL 4284955</w:t>
      </w:r>
      <w:r w:rsidRPr="000E1118">
        <w:rPr>
          <w:rFonts w:ascii="Times New Roman" w:hAnsi="Times New Roman"/>
          <w:sz w:val="24"/>
          <w:szCs w:val="24"/>
        </w:rPr>
        <w:t xml:space="preserve"> </w:t>
      </w:r>
    </w:p>
    <w:p w:rsidR="00680982" w:rsidRPr="004C4E33" w:rsidRDefault="00396EDF" w:rsidP="00396EDF">
      <w:pPr>
        <w:rPr>
          <w:rFonts w:ascii="Times New Roman" w:hAnsi="Times New Roman"/>
          <w:sz w:val="24"/>
          <w:szCs w:val="24"/>
        </w:rPr>
      </w:pPr>
      <w:r w:rsidRPr="000E1118">
        <w:rPr>
          <w:rFonts w:ascii="Times New Roman" w:hAnsi="Times New Roman"/>
          <w:sz w:val="24"/>
          <w:szCs w:val="24"/>
        </w:rPr>
        <w:t xml:space="preserve">(S.D. Fla. Oct. 12, 2010) </w:t>
      </w:r>
      <w:r w:rsidR="00680982" w:rsidRPr="000E1118">
        <w:rPr>
          <w:rFonts w:ascii="Times New Roman" w:hAnsi="Times New Roman"/>
          <w:sz w:val="24"/>
          <w:szCs w:val="24"/>
        </w:rPr>
        <w:t>………………………………………………………</w:t>
      </w:r>
      <w:r w:rsidR="00263136">
        <w:rPr>
          <w:rFonts w:ascii="Times New Roman" w:hAnsi="Times New Roman"/>
          <w:sz w:val="24"/>
          <w:szCs w:val="24"/>
        </w:rPr>
        <w:t>……………..</w:t>
      </w:r>
      <w:r w:rsidR="00C91B4E">
        <w:rPr>
          <w:rFonts w:ascii="Times New Roman" w:hAnsi="Times New Roman"/>
          <w:sz w:val="24"/>
          <w:szCs w:val="24"/>
        </w:rPr>
        <w:t>12</w:t>
      </w:r>
      <w:proofErr w:type="gramStart"/>
      <w:r w:rsidR="00C91B4E">
        <w:rPr>
          <w:rFonts w:ascii="Times New Roman" w:hAnsi="Times New Roman"/>
          <w:sz w:val="24"/>
          <w:szCs w:val="24"/>
        </w:rPr>
        <w:t>,16</w:t>
      </w:r>
      <w:proofErr w:type="gramEnd"/>
    </w:p>
    <w:p w:rsidR="00396EDF" w:rsidRPr="000E1118" w:rsidRDefault="00396EDF" w:rsidP="00396EDF">
      <w:pPr>
        <w:pStyle w:val="Default"/>
        <w:rPr>
          <w:color w:val="auto"/>
        </w:rPr>
      </w:pPr>
      <w:r w:rsidRPr="000E1118">
        <w:rPr>
          <w:color w:val="auto"/>
        </w:rPr>
        <w:t xml:space="preserve">  </w:t>
      </w:r>
    </w:p>
    <w:p w:rsidR="00396EDF" w:rsidRPr="000E1118" w:rsidRDefault="00396EDF" w:rsidP="00396EDF">
      <w:pPr>
        <w:pStyle w:val="Default"/>
        <w:rPr>
          <w:color w:val="auto"/>
        </w:rPr>
      </w:pPr>
      <w:proofErr w:type="gramStart"/>
      <w:r w:rsidRPr="000E1118">
        <w:rPr>
          <w:i/>
          <w:iCs/>
          <w:color w:val="auto"/>
        </w:rPr>
        <w:t>Fisher</w:t>
      </w:r>
      <w:r w:rsidRPr="000E1118">
        <w:rPr>
          <w:color w:val="auto"/>
        </w:rPr>
        <w:t xml:space="preserve"> </w:t>
      </w:r>
      <w:r w:rsidRPr="000E1118">
        <w:rPr>
          <w:i/>
          <w:color w:val="auto"/>
        </w:rPr>
        <w:t>v.</w:t>
      </w:r>
      <w:r w:rsidRPr="000E1118">
        <w:rPr>
          <w:color w:val="auto"/>
        </w:rPr>
        <w:t xml:space="preserve"> </w:t>
      </w:r>
      <w:r w:rsidRPr="000E1118">
        <w:rPr>
          <w:i/>
          <w:iCs/>
          <w:color w:val="auto"/>
        </w:rPr>
        <w:t>Oklahoma Health Care Auth.</w:t>
      </w:r>
      <w:r w:rsidRPr="000E1118">
        <w:rPr>
          <w:color w:val="auto"/>
        </w:rPr>
        <w:t>,</w:t>
      </w:r>
      <w:proofErr w:type="gramEnd"/>
      <w:r w:rsidRPr="000E1118">
        <w:rPr>
          <w:color w:val="auto"/>
        </w:rPr>
        <w:t xml:space="preserve"> </w:t>
      </w:r>
    </w:p>
    <w:p w:rsidR="00396EDF" w:rsidRPr="00E63EF7" w:rsidRDefault="00396EDF" w:rsidP="00396EDF">
      <w:pPr>
        <w:pStyle w:val="Default"/>
        <w:rPr>
          <w:color w:val="auto"/>
        </w:rPr>
      </w:pPr>
      <w:r w:rsidRPr="000E1118">
        <w:rPr>
          <w:i/>
          <w:iCs/>
          <w:color w:val="auto"/>
        </w:rPr>
        <w:t xml:space="preserve"> </w:t>
      </w:r>
      <w:r w:rsidRPr="000E1118">
        <w:rPr>
          <w:color w:val="auto"/>
        </w:rPr>
        <w:t>335 F.</w:t>
      </w:r>
      <w:r w:rsidRPr="00E63EF7">
        <w:rPr>
          <w:color w:val="auto"/>
        </w:rPr>
        <w:t>3d 1175 (10th Cir. 2003) .........................................................</w:t>
      </w:r>
      <w:r w:rsidR="00263136">
        <w:rPr>
          <w:color w:val="auto"/>
        </w:rPr>
        <w:t>....................................</w:t>
      </w:r>
      <w:r w:rsidR="00263136">
        <w:rPr>
          <w:i/>
          <w:color w:val="auto"/>
        </w:rPr>
        <w:t>passim</w:t>
      </w:r>
      <w:r w:rsidRPr="00E63EF7">
        <w:rPr>
          <w:color w:val="auto"/>
        </w:rPr>
        <w:t xml:space="preserve">  </w:t>
      </w:r>
    </w:p>
    <w:p w:rsidR="001E3B37" w:rsidRPr="00E63EF7" w:rsidRDefault="00396EDF" w:rsidP="001E3B37">
      <w:pPr>
        <w:pStyle w:val="Default"/>
        <w:rPr>
          <w:color w:val="auto"/>
        </w:rPr>
      </w:pPr>
      <w:r w:rsidRPr="00E63EF7">
        <w:rPr>
          <w:color w:val="auto"/>
        </w:rPr>
        <w:t xml:space="preserve"> </w:t>
      </w:r>
    </w:p>
    <w:p w:rsidR="000E1118" w:rsidRPr="00E63EF7" w:rsidRDefault="001E3B37" w:rsidP="00396EDF">
      <w:pPr>
        <w:rPr>
          <w:rFonts w:ascii="Times New Roman" w:hAnsi="Times New Roman"/>
          <w:color w:val="000000"/>
          <w:kern w:val="36"/>
          <w:sz w:val="24"/>
          <w:szCs w:val="24"/>
        </w:rPr>
      </w:pPr>
      <w:r w:rsidRPr="00E63EF7">
        <w:rPr>
          <w:rFonts w:ascii="Times New Roman" w:hAnsi="Times New Roman"/>
          <w:i/>
          <w:sz w:val="24"/>
          <w:szCs w:val="24"/>
        </w:rPr>
        <w:t xml:space="preserve">Grooms v. </w:t>
      </w:r>
      <w:proofErr w:type="spellStart"/>
      <w:r w:rsidRPr="00E63EF7">
        <w:rPr>
          <w:rFonts w:ascii="Times New Roman" w:hAnsi="Times New Roman"/>
          <w:i/>
          <w:sz w:val="24"/>
          <w:szCs w:val="24"/>
        </w:rPr>
        <w:t>Maram</w:t>
      </w:r>
      <w:proofErr w:type="spellEnd"/>
      <w:r w:rsidRPr="00E63EF7">
        <w:rPr>
          <w:rFonts w:ascii="Times New Roman" w:hAnsi="Times New Roman"/>
          <w:sz w:val="24"/>
          <w:szCs w:val="24"/>
        </w:rPr>
        <w:t xml:space="preserve">, </w:t>
      </w:r>
      <w:r w:rsidRPr="00E63EF7">
        <w:rPr>
          <w:rFonts w:ascii="Times New Roman" w:hAnsi="Times New Roman"/>
          <w:color w:val="000000"/>
          <w:kern w:val="36"/>
          <w:sz w:val="24"/>
          <w:szCs w:val="24"/>
        </w:rPr>
        <w:t xml:space="preserve">563 F.Supp.2d 840, </w:t>
      </w:r>
      <w:r w:rsidRPr="00E63EF7">
        <w:rPr>
          <w:rFonts w:ascii="Times New Roman" w:hAnsi="Times New Roman"/>
          <w:sz w:val="24"/>
          <w:szCs w:val="24"/>
        </w:rPr>
        <w:t>857-58</w:t>
      </w:r>
      <w:r w:rsidRPr="00E63EF7">
        <w:rPr>
          <w:rFonts w:ascii="Times New Roman" w:hAnsi="Times New Roman"/>
          <w:color w:val="000000"/>
          <w:kern w:val="36"/>
          <w:sz w:val="24"/>
          <w:szCs w:val="24"/>
        </w:rPr>
        <w:t xml:space="preserve"> (N.D. Ill. 2008)…………………………</w:t>
      </w:r>
      <w:r w:rsidR="00263136">
        <w:rPr>
          <w:rFonts w:ascii="Times New Roman" w:hAnsi="Times New Roman"/>
          <w:color w:val="000000"/>
          <w:kern w:val="36"/>
          <w:sz w:val="24"/>
          <w:szCs w:val="24"/>
        </w:rPr>
        <w:t>……...</w:t>
      </w:r>
      <w:r w:rsidR="00C91B4E">
        <w:rPr>
          <w:rFonts w:ascii="Times New Roman" w:hAnsi="Times New Roman"/>
          <w:color w:val="000000"/>
          <w:kern w:val="36"/>
          <w:sz w:val="24"/>
          <w:szCs w:val="24"/>
        </w:rPr>
        <w:t>12</w:t>
      </w:r>
    </w:p>
    <w:p w:rsidR="001E3B37" w:rsidRPr="00E63EF7" w:rsidRDefault="001E3B37" w:rsidP="00396EDF">
      <w:pPr>
        <w:rPr>
          <w:rFonts w:ascii="Times New Roman" w:hAnsi="Times New Roman"/>
          <w:sz w:val="24"/>
          <w:szCs w:val="24"/>
        </w:rPr>
      </w:pPr>
    </w:p>
    <w:p w:rsidR="00396EDF" w:rsidRPr="00E63EF7" w:rsidRDefault="00396EDF" w:rsidP="00396EDF">
      <w:pPr>
        <w:rPr>
          <w:rFonts w:ascii="Times New Roman" w:hAnsi="Times New Roman"/>
          <w:sz w:val="24"/>
          <w:szCs w:val="24"/>
        </w:rPr>
      </w:pPr>
      <w:r w:rsidRPr="00E63EF7">
        <w:rPr>
          <w:rFonts w:ascii="Times New Roman" w:hAnsi="Times New Roman"/>
          <w:i/>
          <w:iCs/>
          <w:sz w:val="24"/>
          <w:szCs w:val="24"/>
        </w:rPr>
        <w:t>Haddad v. Arnold</w:t>
      </w:r>
      <w:r w:rsidRPr="00E63EF7">
        <w:rPr>
          <w:rFonts w:ascii="Times New Roman" w:hAnsi="Times New Roman"/>
          <w:sz w:val="24"/>
          <w:szCs w:val="24"/>
        </w:rPr>
        <w:t xml:space="preserve">, 784 F. Supp. 2d 1284, 1308 (M.D. Fla. 2011) </w:t>
      </w:r>
      <w:r w:rsidR="00680982" w:rsidRPr="00E63EF7">
        <w:rPr>
          <w:rFonts w:ascii="Times New Roman" w:hAnsi="Times New Roman"/>
          <w:sz w:val="24"/>
          <w:szCs w:val="24"/>
        </w:rPr>
        <w:t>………………</w:t>
      </w:r>
      <w:r w:rsidR="00263136">
        <w:rPr>
          <w:rFonts w:ascii="Times New Roman" w:hAnsi="Times New Roman"/>
          <w:sz w:val="24"/>
          <w:szCs w:val="24"/>
        </w:rPr>
        <w:t>………………</w:t>
      </w:r>
      <w:r w:rsidR="00C91B4E">
        <w:rPr>
          <w:rFonts w:ascii="Times New Roman" w:hAnsi="Times New Roman"/>
          <w:sz w:val="24"/>
          <w:szCs w:val="24"/>
        </w:rPr>
        <w:t>13</w:t>
      </w:r>
    </w:p>
    <w:p w:rsidR="00396EDF" w:rsidRPr="00E63EF7" w:rsidRDefault="00396EDF" w:rsidP="00396EDF">
      <w:pPr>
        <w:rPr>
          <w:rFonts w:ascii="Times New Roman" w:hAnsi="Times New Roman"/>
          <w:sz w:val="24"/>
          <w:szCs w:val="24"/>
        </w:rPr>
      </w:pPr>
    </w:p>
    <w:p w:rsidR="00680982" w:rsidRPr="00E63EF7" w:rsidRDefault="00396EDF" w:rsidP="00396EDF">
      <w:pPr>
        <w:rPr>
          <w:rFonts w:ascii="Times New Roman" w:hAnsi="Times New Roman"/>
          <w:sz w:val="24"/>
          <w:szCs w:val="24"/>
        </w:rPr>
      </w:pPr>
      <w:r w:rsidRPr="00E63EF7">
        <w:rPr>
          <w:rFonts w:ascii="Times New Roman" w:hAnsi="Times New Roman"/>
          <w:i/>
          <w:iCs/>
          <w:sz w:val="24"/>
          <w:szCs w:val="24"/>
        </w:rPr>
        <w:t>Long v. Benson</w:t>
      </w:r>
      <w:r w:rsidRPr="00E63EF7">
        <w:rPr>
          <w:rFonts w:ascii="Times New Roman" w:hAnsi="Times New Roman"/>
          <w:sz w:val="24"/>
          <w:szCs w:val="24"/>
        </w:rPr>
        <w:t xml:space="preserve">, No. 4:08cv26-RH/WCS, </w:t>
      </w:r>
    </w:p>
    <w:p w:rsidR="00680982" w:rsidRPr="000E1118" w:rsidRDefault="00396EDF" w:rsidP="00396EDF">
      <w:pPr>
        <w:rPr>
          <w:rFonts w:ascii="Times New Roman" w:hAnsi="Times New Roman"/>
          <w:sz w:val="24"/>
          <w:szCs w:val="24"/>
        </w:rPr>
      </w:pPr>
      <w:r w:rsidRPr="00E63EF7">
        <w:rPr>
          <w:rFonts w:ascii="Times New Roman" w:hAnsi="Times New Roman"/>
          <w:sz w:val="24"/>
          <w:szCs w:val="24"/>
        </w:rPr>
        <w:t>2008 WL 4571903, at *2 (N.D. Fla. Oct. 14</w:t>
      </w:r>
      <w:r w:rsidRPr="000E1118">
        <w:rPr>
          <w:rFonts w:ascii="Times New Roman" w:hAnsi="Times New Roman"/>
          <w:sz w:val="24"/>
          <w:szCs w:val="24"/>
        </w:rPr>
        <w:t xml:space="preserve">, 2008), </w:t>
      </w:r>
    </w:p>
    <w:p w:rsidR="00396EDF" w:rsidRPr="000E1118" w:rsidRDefault="00396EDF" w:rsidP="00396EDF">
      <w:pPr>
        <w:rPr>
          <w:rFonts w:ascii="Times New Roman" w:hAnsi="Times New Roman"/>
          <w:sz w:val="24"/>
          <w:szCs w:val="24"/>
        </w:rPr>
      </w:pPr>
      <w:proofErr w:type="spellStart"/>
      <w:proofErr w:type="gramStart"/>
      <w:r w:rsidRPr="000E1118">
        <w:rPr>
          <w:rFonts w:ascii="Times New Roman" w:hAnsi="Times New Roman"/>
          <w:i/>
          <w:iCs/>
          <w:sz w:val="24"/>
          <w:szCs w:val="24"/>
        </w:rPr>
        <w:t>aff’d</w:t>
      </w:r>
      <w:proofErr w:type="spellEnd"/>
      <w:proofErr w:type="gramEnd"/>
      <w:r w:rsidRPr="000E1118">
        <w:rPr>
          <w:rFonts w:ascii="Times New Roman" w:hAnsi="Times New Roman"/>
          <w:sz w:val="24"/>
          <w:szCs w:val="24"/>
        </w:rPr>
        <w:t xml:space="preserve">, 383 Fed. </w:t>
      </w:r>
      <w:proofErr w:type="spellStart"/>
      <w:proofErr w:type="gramStart"/>
      <w:r w:rsidRPr="000E1118">
        <w:rPr>
          <w:rFonts w:ascii="Times New Roman" w:hAnsi="Times New Roman"/>
          <w:sz w:val="24"/>
          <w:szCs w:val="24"/>
        </w:rPr>
        <w:t>Appx</w:t>
      </w:r>
      <w:proofErr w:type="spellEnd"/>
      <w:r w:rsidRPr="000E1118">
        <w:rPr>
          <w:rFonts w:ascii="Times New Roman" w:hAnsi="Times New Roman"/>
          <w:sz w:val="24"/>
          <w:szCs w:val="24"/>
        </w:rPr>
        <w:t>.</w:t>
      </w:r>
      <w:proofErr w:type="gramEnd"/>
      <w:r w:rsidRPr="000E1118">
        <w:rPr>
          <w:rFonts w:ascii="Times New Roman" w:hAnsi="Times New Roman"/>
          <w:sz w:val="24"/>
          <w:szCs w:val="24"/>
        </w:rPr>
        <w:t xml:space="preserve"> 930 (11th Cir. 2010) </w:t>
      </w:r>
      <w:r w:rsidR="00680982" w:rsidRPr="000E1118">
        <w:rPr>
          <w:rFonts w:ascii="Times New Roman" w:hAnsi="Times New Roman"/>
          <w:sz w:val="24"/>
          <w:szCs w:val="24"/>
        </w:rPr>
        <w:t>……………………………………</w:t>
      </w:r>
      <w:r w:rsidR="00263136">
        <w:rPr>
          <w:rFonts w:ascii="Times New Roman" w:hAnsi="Times New Roman"/>
          <w:sz w:val="24"/>
          <w:szCs w:val="24"/>
        </w:rPr>
        <w:t>………………...</w:t>
      </w:r>
      <w:r w:rsidR="00C91B4E">
        <w:rPr>
          <w:rFonts w:ascii="Times New Roman" w:hAnsi="Times New Roman"/>
          <w:sz w:val="24"/>
          <w:szCs w:val="24"/>
        </w:rPr>
        <w:t>13</w:t>
      </w:r>
    </w:p>
    <w:p w:rsidR="00AA6064" w:rsidRPr="000E1118" w:rsidRDefault="00AA6064" w:rsidP="00396EDF">
      <w:pPr>
        <w:pStyle w:val="Default"/>
        <w:rPr>
          <w:color w:val="auto"/>
        </w:rPr>
      </w:pPr>
    </w:p>
    <w:p w:rsidR="00396EDF" w:rsidRPr="00E63EF7" w:rsidRDefault="00AA6064" w:rsidP="00E63EF7">
      <w:pPr>
        <w:rPr>
          <w:rFonts w:ascii="Times New Roman" w:hAnsi="Times New Roman"/>
          <w:sz w:val="24"/>
          <w:szCs w:val="24"/>
        </w:rPr>
      </w:pPr>
      <w:r w:rsidRPr="000E1118">
        <w:rPr>
          <w:rFonts w:ascii="Times New Roman" w:hAnsi="Times New Roman"/>
          <w:i/>
          <w:iCs/>
          <w:sz w:val="24"/>
          <w:szCs w:val="24"/>
        </w:rPr>
        <w:t xml:space="preserve">M.A.C. v. </w:t>
      </w:r>
      <w:proofErr w:type="spellStart"/>
      <w:r w:rsidRPr="000E1118">
        <w:rPr>
          <w:rFonts w:ascii="Times New Roman" w:hAnsi="Times New Roman"/>
          <w:i/>
          <w:iCs/>
          <w:sz w:val="24"/>
          <w:szCs w:val="24"/>
        </w:rPr>
        <w:t>Betit</w:t>
      </w:r>
      <w:proofErr w:type="spellEnd"/>
      <w:r w:rsidRPr="000E1118">
        <w:rPr>
          <w:rFonts w:ascii="Times New Roman" w:hAnsi="Times New Roman"/>
          <w:sz w:val="24"/>
          <w:szCs w:val="24"/>
        </w:rPr>
        <w:t>, 284 F. Supp. 2d 1298</w:t>
      </w:r>
      <w:proofErr w:type="gramStart"/>
      <w:r w:rsidRPr="000E1118">
        <w:rPr>
          <w:rFonts w:ascii="Times New Roman" w:hAnsi="Times New Roman"/>
          <w:sz w:val="24"/>
          <w:szCs w:val="24"/>
        </w:rPr>
        <w:t>,1309</w:t>
      </w:r>
      <w:proofErr w:type="gramEnd"/>
      <w:r w:rsidRPr="000E1118">
        <w:rPr>
          <w:rFonts w:ascii="Times New Roman" w:hAnsi="Times New Roman"/>
          <w:sz w:val="24"/>
          <w:szCs w:val="24"/>
        </w:rPr>
        <w:t xml:space="preserve"> (D. Utah 2003)……………………</w:t>
      </w:r>
      <w:r w:rsidR="00263136">
        <w:rPr>
          <w:rFonts w:ascii="Times New Roman" w:hAnsi="Times New Roman"/>
          <w:sz w:val="24"/>
          <w:szCs w:val="24"/>
        </w:rPr>
        <w:t>………………..1</w:t>
      </w:r>
      <w:r w:rsidR="00C91B4E">
        <w:rPr>
          <w:rFonts w:ascii="Times New Roman" w:hAnsi="Times New Roman"/>
          <w:sz w:val="24"/>
          <w:szCs w:val="24"/>
        </w:rPr>
        <w:t>3</w:t>
      </w:r>
      <w:r w:rsidRPr="000E1118">
        <w:rPr>
          <w:rFonts w:ascii="Times New Roman" w:hAnsi="Times New Roman"/>
          <w:sz w:val="24"/>
          <w:szCs w:val="24"/>
        </w:rPr>
        <w:t xml:space="preserve"> </w:t>
      </w:r>
    </w:p>
    <w:p w:rsidR="00396EDF" w:rsidRPr="000E1118" w:rsidRDefault="00396EDF" w:rsidP="00396EDF">
      <w:pPr>
        <w:pStyle w:val="Default"/>
        <w:rPr>
          <w:color w:val="auto"/>
        </w:rPr>
      </w:pPr>
      <w:r w:rsidRPr="000E1118">
        <w:rPr>
          <w:color w:val="auto"/>
        </w:rPr>
        <w:t xml:space="preserve"> </w:t>
      </w:r>
    </w:p>
    <w:p w:rsidR="00396EDF" w:rsidRPr="000E1118" w:rsidRDefault="00396EDF" w:rsidP="00396EDF">
      <w:pPr>
        <w:pStyle w:val="Default"/>
        <w:rPr>
          <w:color w:val="auto"/>
        </w:rPr>
      </w:pPr>
      <w:r w:rsidRPr="000E1118">
        <w:rPr>
          <w:i/>
          <w:iCs/>
          <w:color w:val="auto"/>
        </w:rPr>
        <w:t>M.R.</w:t>
      </w:r>
      <w:r w:rsidRPr="000E1118">
        <w:rPr>
          <w:color w:val="auto"/>
        </w:rPr>
        <w:t xml:space="preserve"> </w:t>
      </w:r>
      <w:r w:rsidRPr="000E1118">
        <w:rPr>
          <w:i/>
          <w:color w:val="auto"/>
        </w:rPr>
        <w:t>v.</w:t>
      </w:r>
      <w:r w:rsidRPr="000E1118">
        <w:rPr>
          <w:color w:val="auto"/>
        </w:rPr>
        <w:t xml:space="preserve"> </w:t>
      </w:r>
      <w:r w:rsidRPr="000E1118">
        <w:rPr>
          <w:i/>
          <w:iCs/>
          <w:color w:val="auto"/>
        </w:rPr>
        <w:t>Dreyfus</w:t>
      </w:r>
      <w:r w:rsidRPr="000E1118">
        <w:rPr>
          <w:color w:val="auto"/>
        </w:rPr>
        <w:t xml:space="preserve">, 663 F.3d 1100 (9th Cir. 2011), </w:t>
      </w:r>
    </w:p>
    <w:p w:rsidR="00396EDF" w:rsidRPr="000E1118" w:rsidRDefault="00396EDF" w:rsidP="00396EDF">
      <w:pPr>
        <w:pStyle w:val="Default"/>
        <w:rPr>
          <w:color w:val="auto"/>
        </w:rPr>
      </w:pPr>
      <w:proofErr w:type="gramStart"/>
      <w:r w:rsidRPr="00E63EF7">
        <w:rPr>
          <w:i/>
          <w:color w:val="auto"/>
        </w:rPr>
        <w:t>amended</w:t>
      </w:r>
      <w:proofErr w:type="gramEnd"/>
      <w:r w:rsidRPr="00E63EF7">
        <w:rPr>
          <w:i/>
          <w:color w:val="auto"/>
        </w:rPr>
        <w:t xml:space="preserve"> by</w:t>
      </w:r>
      <w:r w:rsidRPr="000E1118">
        <w:rPr>
          <w:color w:val="auto"/>
        </w:rPr>
        <w:t xml:space="preserve"> 697 F.3d 706 (2012) ................................................</w:t>
      </w:r>
      <w:r w:rsidR="00263136">
        <w:rPr>
          <w:color w:val="auto"/>
        </w:rPr>
        <w:t>......................................</w:t>
      </w:r>
      <w:r w:rsidR="00C91B4E">
        <w:rPr>
          <w:color w:val="auto"/>
        </w:rPr>
        <w:t>13, 16, 17</w:t>
      </w:r>
      <w:r w:rsidRPr="000E1118">
        <w:rPr>
          <w:color w:val="auto"/>
        </w:rPr>
        <w:t xml:space="preserve"> </w:t>
      </w:r>
    </w:p>
    <w:p w:rsidR="00396EDF" w:rsidRPr="00E63EF7" w:rsidRDefault="00396EDF" w:rsidP="00E63EF7">
      <w:pPr>
        <w:pStyle w:val="Default"/>
        <w:rPr>
          <w:color w:val="auto"/>
        </w:rPr>
      </w:pPr>
      <w:r w:rsidRPr="000E1118">
        <w:rPr>
          <w:color w:val="auto"/>
        </w:rPr>
        <w:t xml:space="preserve"> </w:t>
      </w:r>
    </w:p>
    <w:p w:rsidR="00396EDF" w:rsidRPr="000E1118" w:rsidRDefault="00396EDF" w:rsidP="00396EDF">
      <w:pPr>
        <w:rPr>
          <w:rFonts w:ascii="Times New Roman" w:hAnsi="Times New Roman"/>
          <w:i/>
          <w:iCs/>
          <w:sz w:val="24"/>
          <w:szCs w:val="24"/>
        </w:rPr>
      </w:pPr>
      <w:r w:rsidRPr="000E1118">
        <w:rPr>
          <w:rFonts w:ascii="Times New Roman" w:hAnsi="Times New Roman"/>
          <w:i/>
          <w:iCs/>
          <w:sz w:val="24"/>
          <w:szCs w:val="24"/>
        </w:rPr>
        <w:t>Makin v. Hawaii</w:t>
      </w:r>
      <w:r w:rsidRPr="000E1118">
        <w:rPr>
          <w:rFonts w:ascii="Times New Roman" w:hAnsi="Times New Roman"/>
          <w:sz w:val="24"/>
          <w:szCs w:val="24"/>
        </w:rPr>
        <w:t>, 114 F. Supp. 2d 1017, 1034 (D. Haw. 1999) …………………………</w:t>
      </w:r>
      <w:r w:rsidR="00263136">
        <w:rPr>
          <w:rFonts w:ascii="Times New Roman" w:hAnsi="Times New Roman"/>
          <w:sz w:val="24"/>
          <w:szCs w:val="24"/>
        </w:rPr>
        <w:t>………1</w:t>
      </w:r>
      <w:r w:rsidR="00C91B4E">
        <w:rPr>
          <w:rFonts w:ascii="Times New Roman" w:hAnsi="Times New Roman"/>
          <w:sz w:val="24"/>
          <w:szCs w:val="24"/>
        </w:rPr>
        <w:t>3</w:t>
      </w:r>
    </w:p>
    <w:p w:rsidR="00396EDF" w:rsidRPr="000E1118" w:rsidRDefault="00396EDF" w:rsidP="00396EDF">
      <w:pPr>
        <w:rPr>
          <w:rFonts w:ascii="Times New Roman" w:hAnsi="Times New Roman"/>
          <w:i/>
          <w:iCs/>
          <w:sz w:val="24"/>
          <w:szCs w:val="24"/>
        </w:rPr>
      </w:pPr>
    </w:p>
    <w:p w:rsidR="00396EDF" w:rsidRDefault="00396EDF" w:rsidP="00396EDF">
      <w:pPr>
        <w:rPr>
          <w:rFonts w:ascii="Times New Roman" w:hAnsi="Times New Roman"/>
          <w:sz w:val="24"/>
          <w:szCs w:val="24"/>
        </w:rPr>
      </w:pPr>
      <w:proofErr w:type="spellStart"/>
      <w:r w:rsidRPr="000E1118">
        <w:rPr>
          <w:rFonts w:ascii="Times New Roman" w:hAnsi="Times New Roman"/>
          <w:i/>
          <w:iCs/>
          <w:sz w:val="24"/>
          <w:szCs w:val="24"/>
        </w:rPr>
        <w:t>Marlo</w:t>
      </w:r>
      <w:proofErr w:type="spellEnd"/>
      <w:r w:rsidRPr="000E1118">
        <w:rPr>
          <w:rFonts w:ascii="Times New Roman" w:hAnsi="Times New Roman"/>
          <w:i/>
          <w:iCs/>
          <w:sz w:val="24"/>
          <w:szCs w:val="24"/>
        </w:rPr>
        <w:t xml:space="preserve"> M. v. </w:t>
      </w:r>
      <w:proofErr w:type="spellStart"/>
      <w:r w:rsidRPr="000E1118">
        <w:rPr>
          <w:rFonts w:ascii="Times New Roman" w:hAnsi="Times New Roman"/>
          <w:i/>
          <w:iCs/>
          <w:sz w:val="24"/>
          <w:szCs w:val="24"/>
        </w:rPr>
        <w:t>Cansler</w:t>
      </w:r>
      <w:proofErr w:type="spellEnd"/>
      <w:r w:rsidRPr="000E1118">
        <w:rPr>
          <w:rFonts w:ascii="Times New Roman" w:hAnsi="Times New Roman"/>
          <w:sz w:val="24"/>
          <w:szCs w:val="24"/>
        </w:rPr>
        <w:t>, 679 F. Supp. 2d 635, 637 (E.D.N.C. 2010) ………………</w:t>
      </w:r>
      <w:r w:rsidR="00263136">
        <w:rPr>
          <w:rFonts w:ascii="Times New Roman" w:hAnsi="Times New Roman"/>
          <w:sz w:val="24"/>
          <w:szCs w:val="24"/>
        </w:rPr>
        <w:t>………………</w:t>
      </w:r>
      <w:r w:rsidR="00C91B4E">
        <w:rPr>
          <w:rFonts w:ascii="Times New Roman" w:hAnsi="Times New Roman"/>
          <w:sz w:val="24"/>
          <w:szCs w:val="24"/>
        </w:rPr>
        <w:t>13</w:t>
      </w:r>
    </w:p>
    <w:p w:rsidR="00372895" w:rsidRPr="000E1118" w:rsidRDefault="00372895" w:rsidP="00396EDF">
      <w:pPr>
        <w:rPr>
          <w:rFonts w:ascii="Times New Roman" w:hAnsi="Times New Roman"/>
          <w:sz w:val="24"/>
          <w:szCs w:val="24"/>
        </w:rPr>
      </w:pPr>
    </w:p>
    <w:p w:rsidR="00372895" w:rsidRPr="000E1118" w:rsidRDefault="00372895" w:rsidP="00372895">
      <w:pPr>
        <w:pStyle w:val="Default"/>
        <w:rPr>
          <w:color w:val="auto"/>
        </w:rPr>
      </w:pPr>
      <w:r w:rsidRPr="000E1118">
        <w:rPr>
          <w:i/>
          <w:iCs/>
          <w:color w:val="auto"/>
        </w:rPr>
        <w:t>Olmstead</w:t>
      </w:r>
      <w:r w:rsidRPr="000E1118">
        <w:rPr>
          <w:color w:val="auto"/>
        </w:rPr>
        <w:t xml:space="preserve"> </w:t>
      </w:r>
      <w:r w:rsidRPr="000E1118">
        <w:rPr>
          <w:i/>
          <w:color w:val="auto"/>
        </w:rPr>
        <w:t>v.</w:t>
      </w:r>
      <w:r w:rsidRPr="000E1118">
        <w:rPr>
          <w:color w:val="auto"/>
        </w:rPr>
        <w:t xml:space="preserve"> </w:t>
      </w:r>
      <w:r w:rsidRPr="000E1118">
        <w:rPr>
          <w:i/>
          <w:iCs/>
          <w:color w:val="auto"/>
        </w:rPr>
        <w:t>L.C.</w:t>
      </w:r>
      <w:r w:rsidRPr="000E1118">
        <w:rPr>
          <w:color w:val="auto"/>
        </w:rPr>
        <w:t>, 527 U.S. 581 (1999) ............................................................</w:t>
      </w:r>
      <w:r>
        <w:rPr>
          <w:color w:val="auto"/>
        </w:rPr>
        <w:t>......................</w:t>
      </w:r>
      <w:r w:rsidRPr="000E1118">
        <w:rPr>
          <w:i/>
          <w:iCs/>
          <w:color w:val="auto"/>
        </w:rPr>
        <w:t>passim</w:t>
      </w:r>
      <w:r w:rsidRPr="000E1118">
        <w:rPr>
          <w:color w:val="auto"/>
        </w:rPr>
        <w:t xml:space="preserve"> </w:t>
      </w:r>
    </w:p>
    <w:p w:rsidR="000E1118" w:rsidRPr="000E1118" w:rsidRDefault="000E1118" w:rsidP="00396EDF">
      <w:pPr>
        <w:rPr>
          <w:rFonts w:ascii="Times New Roman" w:hAnsi="Times New Roman"/>
          <w:sz w:val="24"/>
          <w:szCs w:val="24"/>
        </w:rPr>
      </w:pPr>
    </w:p>
    <w:p w:rsidR="00E63EF7" w:rsidRPr="000E1118" w:rsidRDefault="00E63EF7" w:rsidP="00E63EF7">
      <w:pPr>
        <w:pStyle w:val="Default"/>
        <w:rPr>
          <w:color w:val="auto"/>
        </w:rPr>
      </w:pPr>
      <w:proofErr w:type="spellStart"/>
      <w:r w:rsidRPr="000E1118">
        <w:rPr>
          <w:i/>
          <w:iCs/>
          <w:color w:val="auto"/>
        </w:rPr>
        <w:t>Pashby</w:t>
      </w:r>
      <w:proofErr w:type="spellEnd"/>
      <w:r w:rsidRPr="000E1118">
        <w:rPr>
          <w:color w:val="auto"/>
        </w:rPr>
        <w:t xml:space="preserve"> </w:t>
      </w:r>
      <w:r w:rsidRPr="000E1118">
        <w:rPr>
          <w:i/>
          <w:color w:val="auto"/>
        </w:rPr>
        <w:t>v.</w:t>
      </w:r>
      <w:r w:rsidRPr="000E1118">
        <w:rPr>
          <w:color w:val="auto"/>
        </w:rPr>
        <w:t xml:space="preserve"> </w:t>
      </w:r>
      <w:r w:rsidRPr="000E1118">
        <w:rPr>
          <w:i/>
          <w:iCs/>
          <w:color w:val="auto"/>
        </w:rPr>
        <w:t>Delia</w:t>
      </w:r>
      <w:r w:rsidRPr="000E1118">
        <w:rPr>
          <w:color w:val="auto"/>
        </w:rPr>
        <w:t>, 709 F.3d 307 (4th Cir. 2013) ............................................</w:t>
      </w:r>
      <w:r w:rsidR="00263136">
        <w:rPr>
          <w:color w:val="auto"/>
        </w:rPr>
        <w:t>.....................</w:t>
      </w:r>
      <w:r w:rsidRPr="000E1118">
        <w:rPr>
          <w:color w:val="auto"/>
        </w:rPr>
        <w:t>..</w:t>
      </w:r>
      <w:r w:rsidR="00263136">
        <w:rPr>
          <w:color w:val="auto"/>
        </w:rPr>
        <w:t>.</w:t>
      </w:r>
      <w:r w:rsidRPr="000E1118">
        <w:rPr>
          <w:color w:val="auto"/>
        </w:rPr>
        <w:t>...</w:t>
      </w:r>
      <w:r w:rsidR="00263136" w:rsidRPr="00263136">
        <w:rPr>
          <w:iCs/>
          <w:color w:val="auto"/>
        </w:rPr>
        <w:t>1</w:t>
      </w:r>
      <w:r w:rsidR="00C91B4E">
        <w:rPr>
          <w:iCs/>
          <w:color w:val="auto"/>
        </w:rPr>
        <w:t>4</w:t>
      </w:r>
      <w:r w:rsidR="00263136" w:rsidRPr="00263136">
        <w:rPr>
          <w:iCs/>
          <w:color w:val="auto"/>
        </w:rPr>
        <w:t>, 1</w:t>
      </w:r>
      <w:r w:rsidR="00C91B4E">
        <w:rPr>
          <w:iCs/>
          <w:color w:val="auto"/>
        </w:rPr>
        <w:t>6</w:t>
      </w:r>
      <w:r w:rsidRPr="000E1118">
        <w:rPr>
          <w:i/>
          <w:iCs/>
          <w:color w:val="auto"/>
        </w:rPr>
        <w:t xml:space="preserve"> </w:t>
      </w:r>
    </w:p>
    <w:p w:rsidR="00396EDF" w:rsidRPr="000E1118" w:rsidRDefault="00396EDF" w:rsidP="00396EDF">
      <w:pPr>
        <w:rPr>
          <w:rFonts w:ascii="Times New Roman" w:hAnsi="Times New Roman"/>
          <w:sz w:val="24"/>
          <w:szCs w:val="24"/>
        </w:rPr>
      </w:pPr>
    </w:p>
    <w:p w:rsidR="00396EDF" w:rsidRPr="000E1118" w:rsidRDefault="00396EDF" w:rsidP="00396EDF">
      <w:pPr>
        <w:rPr>
          <w:rFonts w:ascii="Times New Roman" w:hAnsi="Times New Roman"/>
          <w:sz w:val="24"/>
          <w:szCs w:val="24"/>
        </w:rPr>
      </w:pPr>
      <w:r w:rsidRPr="000E1118">
        <w:rPr>
          <w:rFonts w:ascii="Times New Roman" w:hAnsi="Times New Roman"/>
          <w:i/>
          <w:iCs/>
          <w:sz w:val="24"/>
          <w:szCs w:val="24"/>
        </w:rPr>
        <w:t>Pitts v. Greenstein</w:t>
      </w:r>
      <w:r w:rsidRPr="000E1118">
        <w:rPr>
          <w:rFonts w:ascii="Times New Roman" w:hAnsi="Times New Roman"/>
          <w:sz w:val="24"/>
          <w:szCs w:val="24"/>
        </w:rPr>
        <w:t xml:space="preserve">, No. 10-635-CIV, 2011 WL 1897552, at *4 </w:t>
      </w:r>
    </w:p>
    <w:p w:rsidR="00396EDF" w:rsidRPr="000E1118" w:rsidRDefault="00396EDF" w:rsidP="00396EDF">
      <w:pPr>
        <w:rPr>
          <w:rFonts w:ascii="Times New Roman" w:hAnsi="Times New Roman"/>
          <w:sz w:val="24"/>
          <w:szCs w:val="24"/>
        </w:rPr>
      </w:pPr>
      <w:r w:rsidRPr="000E1118">
        <w:rPr>
          <w:rFonts w:ascii="Times New Roman" w:hAnsi="Times New Roman"/>
          <w:sz w:val="24"/>
          <w:szCs w:val="24"/>
        </w:rPr>
        <w:t>(M.D. La. May 18, 2011)…………………………………………………………………</w:t>
      </w:r>
      <w:r w:rsidR="00C91B4E">
        <w:rPr>
          <w:rFonts w:ascii="Times New Roman" w:hAnsi="Times New Roman"/>
          <w:sz w:val="24"/>
          <w:szCs w:val="24"/>
        </w:rPr>
        <w:t>……...13</w:t>
      </w:r>
    </w:p>
    <w:p w:rsidR="00396EDF" w:rsidRPr="000E1118" w:rsidRDefault="00396EDF" w:rsidP="00396EDF">
      <w:pPr>
        <w:rPr>
          <w:rFonts w:ascii="Times New Roman" w:hAnsi="Times New Roman"/>
          <w:sz w:val="24"/>
          <w:szCs w:val="24"/>
        </w:rPr>
      </w:pPr>
    </w:p>
    <w:p w:rsidR="00396EDF" w:rsidRPr="000E1118" w:rsidRDefault="00396EDF" w:rsidP="00396EDF">
      <w:pPr>
        <w:rPr>
          <w:rFonts w:ascii="Times New Roman" w:hAnsi="Times New Roman"/>
          <w:sz w:val="24"/>
          <w:szCs w:val="24"/>
        </w:rPr>
      </w:pPr>
      <w:r w:rsidRPr="000E1118">
        <w:rPr>
          <w:rFonts w:ascii="Times New Roman" w:hAnsi="Times New Roman"/>
          <w:i/>
          <w:iCs/>
          <w:sz w:val="24"/>
          <w:szCs w:val="24"/>
        </w:rPr>
        <w:t>V.L. v. Wagner</w:t>
      </w:r>
      <w:r w:rsidRPr="000E1118">
        <w:rPr>
          <w:rFonts w:ascii="Times New Roman" w:hAnsi="Times New Roman"/>
          <w:sz w:val="24"/>
          <w:szCs w:val="24"/>
        </w:rPr>
        <w:t xml:space="preserve">, 669 F. Supp. 2d 1106, 1109 (N.D. Cal. 2009), </w:t>
      </w:r>
    </w:p>
    <w:p w:rsidR="00396EDF" w:rsidRPr="000E1118" w:rsidRDefault="00396EDF" w:rsidP="00396EDF">
      <w:pPr>
        <w:rPr>
          <w:rFonts w:ascii="Times New Roman" w:hAnsi="Times New Roman"/>
          <w:sz w:val="24"/>
          <w:szCs w:val="24"/>
        </w:rPr>
      </w:pPr>
      <w:proofErr w:type="gramStart"/>
      <w:r w:rsidRPr="00E63EF7">
        <w:rPr>
          <w:rFonts w:ascii="Times New Roman" w:hAnsi="Times New Roman"/>
          <w:i/>
          <w:iCs/>
          <w:sz w:val="24"/>
          <w:szCs w:val="24"/>
        </w:rPr>
        <w:t>dismissed</w:t>
      </w:r>
      <w:proofErr w:type="gramEnd"/>
      <w:r w:rsidRPr="00E63EF7">
        <w:rPr>
          <w:rFonts w:ascii="Times New Roman" w:hAnsi="Times New Roman"/>
          <w:i/>
          <w:iCs/>
          <w:sz w:val="24"/>
          <w:szCs w:val="24"/>
        </w:rPr>
        <w:t xml:space="preserve"> as moot</w:t>
      </w:r>
      <w:r w:rsidRPr="000E1118">
        <w:rPr>
          <w:rFonts w:ascii="Times New Roman" w:hAnsi="Times New Roman"/>
          <w:i/>
          <w:iCs/>
          <w:sz w:val="24"/>
          <w:szCs w:val="24"/>
        </w:rPr>
        <w:t xml:space="preserve">, </w:t>
      </w:r>
      <w:proofErr w:type="spellStart"/>
      <w:r w:rsidRPr="000E1118">
        <w:rPr>
          <w:rFonts w:ascii="Times New Roman" w:hAnsi="Times New Roman"/>
          <w:i/>
          <w:iCs/>
          <w:sz w:val="24"/>
          <w:szCs w:val="24"/>
        </w:rPr>
        <w:t>Oster</w:t>
      </w:r>
      <w:proofErr w:type="spellEnd"/>
      <w:r w:rsidRPr="000E1118">
        <w:rPr>
          <w:rFonts w:ascii="Times New Roman" w:hAnsi="Times New Roman"/>
          <w:i/>
          <w:iCs/>
          <w:sz w:val="24"/>
          <w:szCs w:val="24"/>
        </w:rPr>
        <w:t xml:space="preserve"> v. Wagner, </w:t>
      </w:r>
      <w:r w:rsidRPr="000E1118">
        <w:rPr>
          <w:rFonts w:ascii="Times New Roman" w:hAnsi="Times New Roman"/>
          <w:sz w:val="24"/>
          <w:szCs w:val="24"/>
        </w:rPr>
        <w:t xml:space="preserve">No. 09-17581, </w:t>
      </w:r>
      <w:proofErr w:type="spellStart"/>
      <w:r w:rsidRPr="000E1118">
        <w:rPr>
          <w:rFonts w:ascii="Times New Roman" w:hAnsi="Times New Roman"/>
          <w:sz w:val="24"/>
          <w:szCs w:val="24"/>
        </w:rPr>
        <w:t>Dkt</w:t>
      </w:r>
      <w:proofErr w:type="spellEnd"/>
      <w:r w:rsidRPr="000E1118">
        <w:rPr>
          <w:rFonts w:ascii="Times New Roman" w:hAnsi="Times New Roman"/>
          <w:sz w:val="24"/>
          <w:szCs w:val="24"/>
        </w:rPr>
        <w:t xml:space="preserve">. No. 106-1 </w:t>
      </w:r>
    </w:p>
    <w:p w:rsidR="00237FC5" w:rsidRPr="00467106" w:rsidRDefault="00396EDF" w:rsidP="00467106">
      <w:pPr>
        <w:rPr>
          <w:rFonts w:ascii="Times New Roman" w:hAnsi="Times New Roman"/>
          <w:sz w:val="24"/>
          <w:szCs w:val="24"/>
        </w:rPr>
      </w:pPr>
      <w:r w:rsidRPr="000E1118">
        <w:rPr>
          <w:rFonts w:ascii="Times New Roman" w:hAnsi="Times New Roman"/>
          <w:sz w:val="24"/>
          <w:szCs w:val="24"/>
        </w:rPr>
        <w:t>(9th Cir. Jan. 7, 2013)………………………………………………………………………</w:t>
      </w:r>
      <w:r w:rsidR="00C91B4E">
        <w:rPr>
          <w:rFonts w:ascii="Times New Roman" w:hAnsi="Times New Roman"/>
          <w:sz w:val="24"/>
          <w:szCs w:val="24"/>
        </w:rPr>
        <w:t>……13</w:t>
      </w:r>
    </w:p>
    <w:p w:rsidR="00237FC5" w:rsidRPr="009178E0" w:rsidRDefault="00237FC5" w:rsidP="00237FC5">
      <w:pPr>
        <w:pStyle w:val="Default"/>
        <w:rPr>
          <w:color w:val="auto"/>
        </w:rPr>
      </w:pPr>
    </w:p>
    <w:p w:rsidR="00237FC5" w:rsidRPr="009178E0" w:rsidRDefault="00237FC5" w:rsidP="00237FC5">
      <w:pPr>
        <w:pStyle w:val="Default"/>
        <w:rPr>
          <w:color w:val="auto"/>
        </w:rPr>
      </w:pPr>
      <w:r w:rsidRPr="009178E0">
        <w:rPr>
          <w:b/>
          <w:bCs/>
          <w:color w:val="auto"/>
        </w:rPr>
        <w:t>STATUTES:</w:t>
      </w:r>
      <w:r w:rsidRPr="009178E0">
        <w:rPr>
          <w:color w:val="auto"/>
        </w:rPr>
        <w:t xml:space="preserve"> </w:t>
      </w:r>
    </w:p>
    <w:p w:rsidR="00237FC5" w:rsidRPr="009178E0" w:rsidRDefault="00237FC5" w:rsidP="00237FC5">
      <w:pPr>
        <w:pStyle w:val="Default"/>
        <w:rPr>
          <w:color w:val="auto"/>
        </w:rPr>
      </w:pPr>
      <w:r w:rsidRPr="009178E0">
        <w:rPr>
          <w:color w:val="auto"/>
        </w:rPr>
        <w:t xml:space="preserve"> </w:t>
      </w:r>
    </w:p>
    <w:p w:rsidR="00E63EF7" w:rsidRDefault="00E63EF7" w:rsidP="00851691">
      <w:pPr>
        <w:pStyle w:val="Default"/>
        <w:spacing w:line="480" w:lineRule="auto"/>
        <w:rPr>
          <w:color w:val="auto"/>
        </w:rPr>
      </w:pPr>
      <w:r w:rsidRPr="00EB69A0">
        <w:t>28 U.S.C. § 517</w:t>
      </w:r>
      <w:r w:rsidR="00C91B4E">
        <w:t>……………………………………………………………………………………6</w:t>
      </w:r>
      <w:r w:rsidR="00851691" w:rsidRPr="009178E0">
        <w:rPr>
          <w:color w:val="auto"/>
        </w:rPr>
        <w:t xml:space="preserve"> </w:t>
      </w:r>
    </w:p>
    <w:p w:rsidR="00237FC5" w:rsidRPr="009178E0" w:rsidRDefault="00237FC5" w:rsidP="00851691">
      <w:pPr>
        <w:pStyle w:val="Default"/>
        <w:spacing w:line="480" w:lineRule="auto"/>
        <w:rPr>
          <w:color w:val="auto"/>
        </w:rPr>
      </w:pPr>
      <w:r w:rsidRPr="009178E0">
        <w:rPr>
          <w:color w:val="auto"/>
        </w:rPr>
        <w:t>American</w:t>
      </w:r>
      <w:r w:rsidR="00851691" w:rsidRPr="009178E0">
        <w:rPr>
          <w:color w:val="auto"/>
        </w:rPr>
        <w:t>s</w:t>
      </w:r>
      <w:r w:rsidRPr="009178E0">
        <w:rPr>
          <w:color w:val="auto"/>
        </w:rPr>
        <w:t xml:space="preserve"> with Disabilities Act (ADA), </w:t>
      </w:r>
    </w:p>
    <w:p w:rsidR="00237FC5" w:rsidRPr="009178E0" w:rsidRDefault="00237FC5" w:rsidP="00851691">
      <w:pPr>
        <w:pStyle w:val="Default"/>
        <w:spacing w:line="480" w:lineRule="auto"/>
        <w:rPr>
          <w:color w:val="auto"/>
        </w:rPr>
      </w:pPr>
      <w:r w:rsidRPr="009178E0">
        <w:rPr>
          <w:color w:val="auto"/>
        </w:rPr>
        <w:t xml:space="preserve"> </w:t>
      </w:r>
      <w:r w:rsidR="00C91B4E">
        <w:rPr>
          <w:color w:val="auto"/>
        </w:rPr>
        <w:tab/>
      </w:r>
      <w:r w:rsidRPr="009178E0">
        <w:rPr>
          <w:color w:val="auto"/>
        </w:rPr>
        <w:t>42 U.S.C.</w:t>
      </w:r>
      <w:r w:rsidR="00096982">
        <w:rPr>
          <w:color w:val="auto"/>
        </w:rPr>
        <w:t xml:space="preserve"> § </w:t>
      </w:r>
      <w:r w:rsidRPr="009178E0">
        <w:rPr>
          <w:color w:val="auto"/>
        </w:rPr>
        <w:t>12101(a</w:t>
      </w:r>
      <w:proofErr w:type="gramStart"/>
      <w:r w:rsidRPr="009178E0">
        <w:rPr>
          <w:color w:val="auto"/>
        </w:rPr>
        <w:t>)(</w:t>
      </w:r>
      <w:proofErr w:type="gramEnd"/>
      <w:r w:rsidRPr="009178E0">
        <w:rPr>
          <w:color w:val="auto"/>
        </w:rPr>
        <w:t>2) ...............................................................................</w:t>
      </w:r>
      <w:r w:rsidR="00C91B4E">
        <w:rPr>
          <w:color w:val="auto"/>
        </w:rPr>
        <w:t>.................7, 12</w:t>
      </w:r>
    </w:p>
    <w:p w:rsidR="00237FC5" w:rsidRPr="009178E0" w:rsidRDefault="00237FC5" w:rsidP="00851691">
      <w:pPr>
        <w:pStyle w:val="Default"/>
        <w:spacing w:line="480" w:lineRule="auto"/>
        <w:rPr>
          <w:color w:val="auto"/>
        </w:rPr>
      </w:pPr>
      <w:r w:rsidRPr="009178E0">
        <w:rPr>
          <w:color w:val="auto"/>
        </w:rPr>
        <w:t xml:space="preserve"> </w:t>
      </w:r>
      <w:r w:rsidR="00C91B4E">
        <w:rPr>
          <w:color w:val="auto"/>
        </w:rPr>
        <w:tab/>
      </w:r>
      <w:r w:rsidRPr="009178E0">
        <w:rPr>
          <w:color w:val="auto"/>
        </w:rPr>
        <w:t xml:space="preserve">42 U.S.C. </w:t>
      </w:r>
      <w:r w:rsidR="00096982">
        <w:rPr>
          <w:color w:val="auto"/>
        </w:rPr>
        <w:t>§ </w:t>
      </w:r>
      <w:r w:rsidRPr="009178E0">
        <w:rPr>
          <w:color w:val="auto"/>
        </w:rPr>
        <w:t>12101(a</w:t>
      </w:r>
      <w:proofErr w:type="gramStart"/>
      <w:r w:rsidRPr="009178E0">
        <w:rPr>
          <w:color w:val="auto"/>
        </w:rPr>
        <w:t>)(</w:t>
      </w:r>
      <w:proofErr w:type="gramEnd"/>
      <w:r w:rsidRPr="009178E0">
        <w:rPr>
          <w:color w:val="auto"/>
        </w:rPr>
        <w:t>5) ...............................................................................</w:t>
      </w:r>
      <w:r w:rsidR="00C91B4E">
        <w:rPr>
          <w:color w:val="auto"/>
        </w:rPr>
        <w:t>....................12</w:t>
      </w:r>
      <w:r w:rsidRPr="009178E0">
        <w:rPr>
          <w:color w:val="auto"/>
        </w:rPr>
        <w:t xml:space="preserve"> </w:t>
      </w:r>
    </w:p>
    <w:p w:rsidR="00237FC5" w:rsidRDefault="00237FC5" w:rsidP="00851691">
      <w:pPr>
        <w:pStyle w:val="Default"/>
        <w:spacing w:line="480" w:lineRule="auto"/>
        <w:rPr>
          <w:color w:val="auto"/>
        </w:rPr>
      </w:pPr>
      <w:r w:rsidRPr="009178E0">
        <w:rPr>
          <w:color w:val="auto"/>
        </w:rPr>
        <w:t xml:space="preserve"> </w:t>
      </w:r>
      <w:r w:rsidR="00C91B4E">
        <w:rPr>
          <w:color w:val="auto"/>
        </w:rPr>
        <w:tab/>
      </w:r>
      <w:r w:rsidRPr="009178E0">
        <w:rPr>
          <w:color w:val="auto"/>
        </w:rPr>
        <w:t xml:space="preserve">42 U.S.C. </w:t>
      </w:r>
      <w:r w:rsidR="00096982">
        <w:rPr>
          <w:color w:val="auto"/>
        </w:rPr>
        <w:t>§ </w:t>
      </w:r>
      <w:r w:rsidRPr="009178E0">
        <w:rPr>
          <w:color w:val="auto"/>
        </w:rPr>
        <w:t>12101(a</w:t>
      </w:r>
      <w:proofErr w:type="gramStart"/>
      <w:r w:rsidRPr="009178E0">
        <w:rPr>
          <w:color w:val="auto"/>
        </w:rPr>
        <w:t>)(</w:t>
      </w:r>
      <w:proofErr w:type="gramEnd"/>
      <w:r w:rsidRPr="009178E0">
        <w:rPr>
          <w:color w:val="auto"/>
        </w:rPr>
        <w:t>7) ...............................................................................</w:t>
      </w:r>
      <w:r w:rsidR="00C91B4E">
        <w:rPr>
          <w:color w:val="auto"/>
        </w:rPr>
        <w:t>.................7, 12</w:t>
      </w:r>
      <w:r w:rsidRPr="009178E0">
        <w:rPr>
          <w:color w:val="auto"/>
        </w:rPr>
        <w:t xml:space="preserve"> </w:t>
      </w:r>
    </w:p>
    <w:p w:rsidR="00E63EF7" w:rsidRPr="009178E0" w:rsidRDefault="00E63EF7" w:rsidP="00C91B4E">
      <w:pPr>
        <w:pStyle w:val="Default"/>
        <w:spacing w:line="480" w:lineRule="auto"/>
        <w:ind w:firstLine="720"/>
        <w:rPr>
          <w:color w:val="auto"/>
        </w:rPr>
      </w:pPr>
      <w:r>
        <w:rPr>
          <w:color w:val="auto"/>
        </w:rPr>
        <w:t>42 U.S.C. § 12101(b)</w:t>
      </w:r>
      <w:r w:rsidR="00C91B4E">
        <w:rPr>
          <w:color w:val="auto"/>
        </w:rPr>
        <w:t>………………………………………………………………………6</w:t>
      </w:r>
    </w:p>
    <w:p w:rsidR="00237FC5" w:rsidRPr="009178E0" w:rsidRDefault="00237FC5" w:rsidP="00C91B4E">
      <w:pPr>
        <w:pStyle w:val="Default"/>
        <w:spacing w:line="480" w:lineRule="auto"/>
        <w:ind w:firstLine="720"/>
        <w:rPr>
          <w:color w:val="auto"/>
        </w:rPr>
      </w:pPr>
      <w:r w:rsidRPr="009178E0">
        <w:rPr>
          <w:color w:val="auto"/>
        </w:rPr>
        <w:t xml:space="preserve">42 U.S.C. </w:t>
      </w:r>
      <w:r w:rsidR="00096982">
        <w:rPr>
          <w:color w:val="auto"/>
        </w:rPr>
        <w:t>§ </w:t>
      </w:r>
      <w:r w:rsidRPr="009178E0">
        <w:rPr>
          <w:color w:val="auto"/>
        </w:rPr>
        <w:t>12101(b</w:t>
      </w:r>
      <w:proofErr w:type="gramStart"/>
      <w:r w:rsidRPr="009178E0">
        <w:rPr>
          <w:color w:val="auto"/>
        </w:rPr>
        <w:t>)(</w:t>
      </w:r>
      <w:proofErr w:type="gramEnd"/>
      <w:r w:rsidRPr="009178E0">
        <w:rPr>
          <w:color w:val="auto"/>
        </w:rPr>
        <w:t xml:space="preserve">1) ............................................................................... </w:t>
      </w:r>
      <w:r w:rsidR="00C91B4E">
        <w:rPr>
          <w:color w:val="auto"/>
        </w:rPr>
        <w:t>……………..7</w:t>
      </w:r>
    </w:p>
    <w:p w:rsidR="00237FC5" w:rsidRPr="009178E0" w:rsidRDefault="00237FC5" w:rsidP="00C91B4E">
      <w:pPr>
        <w:pStyle w:val="Default"/>
        <w:spacing w:line="480" w:lineRule="auto"/>
        <w:ind w:firstLine="720"/>
        <w:rPr>
          <w:color w:val="auto"/>
        </w:rPr>
      </w:pPr>
      <w:r w:rsidRPr="009178E0">
        <w:rPr>
          <w:color w:val="auto"/>
        </w:rPr>
        <w:t xml:space="preserve">42 U.S.C. </w:t>
      </w:r>
      <w:r w:rsidR="00096982">
        <w:rPr>
          <w:color w:val="auto"/>
        </w:rPr>
        <w:t>§ </w:t>
      </w:r>
      <w:r w:rsidRPr="009178E0">
        <w:rPr>
          <w:color w:val="auto"/>
        </w:rPr>
        <w:t>12131 .......................................................................................</w:t>
      </w:r>
      <w:r w:rsidR="00C91B4E">
        <w:rPr>
          <w:color w:val="auto"/>
        </w:rPr>
        <w:t>..................5, 10</w:t>
      </w:r>
    </w:p>
    <w:p w:rsidR="00237FC5" w:rsidRPr="009178E0" w:rsidRDefault="00237FC5" w:rsidP="00851691">
      <w:pPr>
        <w:pStyle w:val="Default"/>
        <w:spacing w:line="480" w:lineRule="auto"/>
        <w:rPr>
          <w:color w:val="auto"/>
        </w:rPr>
      </w:pPr>
      <w:r w:rsidRPr="009178E0">
        <w:rPr>
          <w:color w:val="auto"/>
        </w:rPr>
        <w:t xml:space="preserve"> </w:t>
      </w:r>
      <w:r w:rsidR="00C91B4E">
        <w:rPr>
          <w:color w:val="auto"/>
        </w:rPr>
        <w:tab/>
      </w:r>
      <w:r w:rsidRPr="009178E0">
        <w:rPr>
          <w:color w:val="auto"/>
        </w:rPr>
        <w:t xml:space="preserve">42 U.S.C. </w:t>
      </w:r>
      <w:r w:rsidR="00096982">
        <w:rPr>
          <w:color w:val="auto"/>
        </w:rPr>
        <w:t>§ </w:t>
      </w:r>
      <w:r w:rsidRPr="009178E0">
        <w:rPr>
          <w:color w:val="auto"/>
        </w:rPr>
        <w:t>12132 .................................................................................</w:t>
      </w:r>
      <w:r w:rsidR="00C91B4E">
        <w:rPr>
          <w:color w:val="auto"/>
        </w:rPr>
        <w:t>................</w:t>
      </w:r>
      <w:r w:rsidRPr="009178E0">
        <w:rPr>
          <w:color w:val="auto"/>
        </w:rPr>
        <w:t>.....</w:t>
      </w:r>
      <w:r w:rsidRPr="009178E0">
        <w:rPr>
          <w:i/>
          <w:iCs/>
          <w:color w:val="auto"/>
        </w:rPr>
        <w:t xml:space="preserve">passim </w:t>
      </w:r>
    </w:p>
    <w:p w:rsidR="00237FC5" w:rsidRPr="009178E0" w:rsidRDefault="00237FC5" w:rsidP="00C91B4E">
      <w:pPr>
        <w:pStyle w:val="Default"/>
        <w:spacing w:line="480" w:lineRule="auto"/>
        <w:ind w:firstLine="720"/>
        <w:rPr>
          <w:color w:val="auto"/>
        </w:rPr>
      </w:pPr>
      <w:r w:rsidRPr="009178E0">
        <w:rPr>
          <w:color w:val="auto"/>
        </w:rPr>
        <w:t xml:space="preserve">42 U.S.C. </w:t>
      </w:r>
      <w:r w:rsidR="00096982">
        <w:rPr>
          <w:color w:val="auto"/>
        </w:rPr>
        <w:t>§ </w:t>
      </w:r>
      <w:r w:rsidRPr="009178E0">
        <w:rPr>
          <w:color w:val="auto"/>
        </w:rPr>
        <w:t>12134 .................................................................</w:t>
      </w:r>
      <w:r w:rsidR="00EF3F1E" w:rsidRPr="009178E0">
        <w:rPr>
          <w:color w:val="auto"/>
        </w:rPr>
        <w:t>..........................</w:t>
      </w:r>
      <w:r w:rsidR="00C91B4E">
        <w:rPr>
          <w:color w:val="auto"/>
        </w:rPr>
        <w:t>....................7</w:t>
      </w:r>
      <w:r w:rsidR="00EF3F1E" w:rsidRPr="009178E0">
        <w:rPr>
          <w:color w:val="auto"/>
        </w:rPr>
        <w:t xml:space="preserve"> </w:t>
      </w:r>
    </w:p>
    <w:p w:rsidR="00237FC5" w:rsidRPr="009178E0" w:rsidRDefault="00237FC5" w:rsidP="00237FC5">
      <w:pPr>
        <w:pStyle w:val="Default"/>
        <w:rPr>
          <w:color w:val="auto"/>
        </w:rPr>
      </w:pPr>
      <w:r w:rsidRPr="009178E0">
        <w:rPr>
          <w:color w:val="auto"/>
        </w:rPr>
        <w:t xml:space="preserve"> Section 504 of the Rehabilitation Act of 1973, 29 U.S.C. </w:t>
      </w:r>
      <w:r w:rsidR="00096982">
        <w:rPr>
          <w:color w:val="auto"/>
        </w:rPr>
        <w:t>§ </w:t>
      </w:r>
      <w:r w:rsidRPr="009178E0">
        <w:rPr>
          <w:color w:val="auto"/>
        </w:rPr>
        <w:t>794 ...</w:t>
      </w:r>
      <w:r w:rsidR="00EF3F1E" w:rsidRPr="009178E0">
        <w:rPr>
          <w:color w:val="auto"/>
        </w:rPr>
        <w:t>..............................</w:t>
      </w:r>
      <w:r w:rsidR="00C91B4E">
        <w:rPr>
          <w:color w:val="auto"/>
        </w:rPr>
        <w:t>............5, 10</w:t>
      </w:r>
      <w:r w:rsidR="00EF3F1E" w:rsidRPr="009178E0">
        <w:rPr>
          <w:color w:val="auto"/>
        </w:rPr>
        <w:t xml:space="preserve"> </w:t>
      </w:r>
      <w:r w:rsidRPr="009178E0">
        <w:rPr>
          <w:color w:val="auto"/>
        </w:rPr>
        <w:t xml:space="preserve"> </w:t>
      </w:r>
    </w:p>
    <w:p w:rsidR="00C56EA7" w:rsidRPr="00467106" w:rsidRDefault="00237FC5" w:rsidP="00237FC5">
      <w:pPr>
        <w:pStyle w:val="Default"/>
        <w:rPr>
          <w:color w:val="auto"/>
        </w:rPr>
      </w:pPr>
      <w:r w:rsidRPr="009178E0">
        <w:rPr>
          <w:color w:val="auto"/>
        </w:rPr>
        <w:t xml:space="preserve"> </w:t>
      </w:r>
    </w:p>
    <w:p w:rsidR="00237FC5" w:rsidRPr="009178E0" w:rsidRDefault="00237FC5" w:rsidP="00237FC5">
      <w:pPr>
        <w:pStyle w:val="Default"/>
        <w:rPr>
          <w:color w:val="auto"/>
        </w:rPr>
      </w:pPr>
      <w:r w:rsidRPr="009178E0">
        <w:rPr>
          <w:b/>
          <w:bCs/>
          <w:color w:val="auto"/>
        </w:rPr>
        <w:t xml:space="preserve">REGULATIONS:  </w:t>
      </w:r>
    </w:p>
    <w:p w:rsidR="003B7EF7" w:rsidRPr="009178E0" w:rsidRDefault="00237FC5" w:rsidP="00851691">
      <w:pPr>
        <w:pStyle w:val="Default"/>
        <w:rPr>
          <w:color w:val="auto"/>
        </w:rPr>
      </w:pPr>
      <w:r w:rsidRPr="009178E0">
        <w:rPr>
          <w:color w:val="auto"/>
        </w:rPr>
        <w:t xml:space="preserve"> </w:t>
      </w:r>
    </w:p>
    <w:p w:rsidR="00237FC5" w:rsidRPr="009178E0" w:rsidRDefault="00237FC5" w:rsidP="00851691">
      <w:pPr>
        <w:pStyle w:val="Default"/>
        <w:rPr>
          <w:color w:val="auto"/>
        </w:rPr>
      </w:pPr>
      <w:r w:rsidRPr="009178E0">
        <w:rPr>
          <w:color w:val="auto"/>
        </w:rPr>
        <w:t xml:space="preserve">28 C.F.R. </w:t>
      </w:r>
      <w:r w:rsidR="00096982">
        <w:rPr>
          <w:color w:val="auto"/>
        </w:rPr>
        <w:t>§ </w:t>
      </w:r>
      <w:r w:rsidRPr="009178E0">
        <w:rPr>
          <w:color w:val="auto"/>
        </w:rPr>
        <w:t>35.130(b</w:t>
      </w:r>
      <w:proofErr w:type="gramStart"/>
      <w:r w:rsidRPr="009178E0">
        <w:rPr>
          <w:color w:val="auto"/>
        </w:rPr>
        <w:t>)(</w:t>
      </w:r>
      <w:proofErr w:type="gramEnd"/>
      <w:r w:rsidRPr="009178E0">
        <w:rPr>
          <w:color w:val="auto"/>
        </w:rPr>
        <w:t>7) ..............................................................................</w:t>
      </w:r>
      <w:r w:rsidR="00EF3F1E" w:rsidRPr="009178E0">
        <w:rPr>
          <w:color w:val="auto"/>
        </w:rPr>
        <w:t>.......</w:t>
      </w:r>
      <w:r w:rsidR="00C91B4E">
        <w:rPr>
          <w:color w:val="auto"/>
        </w:rPr>
        <w:t>............................</w:t>
      </w:r>
      <w:r w:rsidR="0018516A">
        <w:rPr>
          <w:color w:val="auto"/>
        </w:rPr>
        <w:t>7</w:t>
      </w:r>
      <w:r w:rsidR="00EF3F1E" w:rsidRPr="009178E0">
        <w:rPr>
          <w:color w:val="auto"/>
        </w:rPr>
        <w:t xml:space="preserve"> </w:t>
      </w:r>
    </w:p>
    <w:p w:rsidR="00237FC5" w:rsidRPr="009178E0" w:rsidRDefault="00237FC5" w:rsidP="00851691">
      <w:pPr>
        <w:pStyle w:val="Default"/>
        <w:rPr>
          <w:color w:val="auto"/>
        </w:rPr>
      </w:pPr>
      <w:r w:rsidRPr="009178E0">
        <w:rPr>
          <w:color w:val="auto"/>
        </w:rPr>
        <w:t xml:space="preserve"> </w:t>
      </w:r>
    </w:p>
    <w:p w:rsidR="00237FC5" w:rsidRPr="009178E0" w:rsidRDefault="00237FC5" w:rsidP="00851691">
      <w:pPr>
        <w:pStyle w:val="Default"/>
        <w:rPr>
          <w:color w:val="auto"/>
        </w:rPr>
      </w:pPr>
      <w:r w:rsidRPr="009178E0">
        <w:rPr>
          <w:color w:val="auto"/>
        </w:rPr>
        <w:t xml:space="preserve">28 C.F.R. </w:t>
      </w:r>
      <w:r w:rsidR="00096982">
        <w:rPr>
          <w:color w:val="auto"/>
        </w:rPr>
        <w:t>§ </w:t>
      </w:r>
      <w:r w:rsidRPr="009178E0">
        <w:rPr>
          <w:color w:val="auto"/>
        </w:rPr>
        <w:t>35.130(d) ..........................................................................................</w:t>
      </w:r>
      <w:r w:rsidR="00C91B4E">
        <w:rPr>
          <w:color w:val="auto"/>
        </w:rPr>
        <w:t>......................</w:t>
      </w:r>
      <w:r w:rsidR="0018516A">
        <w:rPr>
          <w:iCs/>
          <w:color w:val="auto"/>
        </w:rPr>
        <w:t>7</w:t>
      </w:r>
      <w:r w:rsidR="00C91B4E">
        <w:rPr>
          <w:iCs/>
          <w:color w:val="auto"/>
        </w:rPr>
        <w:t>, 1</w:t>
      </w:r>
      <w:r w:rsidR="0018516A">
        <w:rPr>
          <w:iCs/>
          <w:color w:val="auto"/>
        </w:rPr>
        <w:t>1</w:t>
      </w:r>
      <w:r w:rsidRPr="009178E0">
        <w:rPr>
          <w:i/>
          <w:iCs/>
          <w:color w:val="auto"/>
        </w:rPr>
        <w:t xml:space="preserve"> </w:t>
      </w:r>
    </w:p>
    <w:p w:rsidR="00237FC5" w:rsidRPr="009178E0" w:rsidRDefault="00237FC5" w:rsidP="00851691">
      <w:pPr>
        <w:pStyle w:val="Default"/>
        <w:rPr>
          <w:color w:val="auto"/>
        </w:rPr>
      </w:pPr>
      <w:r w:rsidRPr="009178E0">
        <w:rPr>
          <w:i/>
          <w:iCs/>
          <w:color w:val="auto"/>
        </w:rPr>
        <w:t xml:space="preserve"> </w:t>
      </w:r>
    </w:p>
    <w:p w:rsidR="00237FC5" w:rsidRPr="009178E0" w:rsidRDefault="00237FC5" w:rsidP="00851691">
      <w:pPr>
        <w:pStyle w:val="Default"/>
        <w:rPr>
          <w:color w:val="auto"/>
        </w:rPr>
      </w:pPr>
      <w:proofErr w:type="gramStart"/>
      <w:r w:rsidRPr="009178E0">
        <w:rPr>
          <w:color w:val="auto"/>
        </w:rPr>
        <w:t>28 C.F.R. Pt. 35</w:t>
      </w:r>
      <w:proofErr w:type="gramEnd"/>
      <w:r w:rsidRPr="009178E0">
        <w:rPr>
          <w:color w:val="auto"/>
        </w:rPr>
        <w:t>, App. B ............................................................</w:t>
      </w:r>
      <w:r w:rsidR="00EF3F1E" w:rsidRPr="009178E0">
        <w:rPr>
          <w:color w:val="auto"/>
        </w:rPr>
        <w:t>..........................</w:t>
      </w:r>
      <w:r w:rsidR="0018516A">
        <w:rPr>
          <w:color w:val="auto"/>
        </w:rPr>
        <w:t>............................7</w:t>
      </w:r>
      <w:r w:rsidR="00EF3F1E" w:rsidRPr="009178E0">
        <w:rPr>
          <w:color w:val="auto"/>
        </w:rPr>
        <w:t xml:space="preserve"> </w:t>
      </w:r>
    </w:p>
    <w:p w:rsidR="00C91B4E" w:rsidRDefault="00C91B4E" w:rsidP="00237FC5">
      <w:pPr>
        <w:pStyle w:val="Default"/>
        <w:rPr>
          <w:color w:val="auto"/>
        </w:rPr>
      </w:pPr>
    </w:p>
    <w:p w:rsidR="00C91B4E" w:rsidRDefault="00C91B4E" w:rsidP="00237FC5">
      <w:pPr>
        <w:pStyle w:val="Default"/>
        <w:rPr>
          <w:color w:val="auto"/>
        </w:rPr>
      </w:pPr>
    </w:p>
    <w:p w:rsidR="00237FC5" w:rsidRPr="009178E0" w:rsidRDefault="00237FC5" w:rsidP="00237FC5">
      <w:pPr>
        <w:pStyle w:val="Default"/>
        <w:rPr>
          <w:color w:val="auto"/>
        </w:rPr>
      </w:pPr>
      <w:r w:rsidRPr="009178E0">
        <w:rPr>
          <w:b/>
          <w:bCs/>
          <w:color w:val="auto"/>
        </w:rPr>
        <w:t xml:space="preserve">MISCELLANEOUS: </w:t>
      </w:r>
    </w:p>
    <w:p w:rsidR="00237FC5" w:rsidRPr="009178E0" w:rsidRDefault="00237FC5" w:rsidP="00237FC5">
      <w:pPr>
        <w:pStyle w:val="Default"/>
        <w:rPr>
          <w:color w:val="auto"/>
        </w:rPr>
      </w:pPr>
      <w:r w:rsidRPr="009178E0">
        <w:rPr>
          <w:b/>
          <w:bCs/>
          <w:color w:val="auto"/>
        </w:rPr>
        <w:t xml:space="preserve"> </w:t>
      </w:r>
    </w:p>
    <w:p w:rsidR="00237FC5" w:rsidRPr="009178E0" w:rsidRDefault="00237FC5" w:rsidP="00237FC5">
      <w:pPr>
        <w:pStyle w:val="Default"/>
        <w:rPr>
          <w:color w:val="auto"/>
        </w:rPr>
      </w:pPr>
      <w:r w:rsidRPr="009178E0">
        <w:rPr>
          <w:color w:val="auto"/>
        </w:rPr>
        <w:t xml:space="preserve">U.S. Department of Justice (DOJ </w:t>
      </w:r>
      <w:r w:rsidRPr="009178E0">
        <w:rPr>
          <w:i/>
          <w:iCs/>
          <w:color w:val="auto"/>
        </w:rPr>
        <w:t>Olmstead</w:t>
      </w:r>
      <w:r w:rsidRPr="009178E0">
        <w:rPr>
          <w:color w:val="auto"/>
        </w:rPr>
        <w:t xml:space="preserve"> Statement), </w:t>
      </w:r>
    </w:p>
    <w:p w:rsidR="00237FC5" w:rsidRPr="009178E0" w:rsidRDefault="00237FC5" w:rsidP="00237FC5">
      <w:pPr>
        <w:pStyle w:val="Default"/>
        <w:rPr>
          <w:color w:val="auto"/>
        </w:rPr>
      </w:pPr>
      <w:r w:rsidRPr="009178E0">
        <w:rPr>
          <w:color w:val="auto"/>
        </w:rPr>
        <w:t xml:space="preserve"> </w:t>
      </w:r>
      <w:r w:rsidRPr="009178E0">
        <w:rPr>
          <w:i/>
          <w:iCs/>
          <w:color w:val="auto"/>
        </w:rPr>
        <w:t xml:space="preserve">Statement of the Department of Justice on Enforcement  </w:t>
      </w:r>
    </w:p>
    <w:p w:rsidR="00237FC5" w:rsidRPr="009178E0" w:rsidRDefault="00237FC5" w:rsidP="00237FC5">
      <w:pPr>
        <w:pStyle w:val="Default"/>
        <w:rPr>
          <w:color w:val="auto"/>
        </w:rPr>
      </w:pPr>
      <w:r w:rsidRPr="009178E0">
        <w:rPr>
          <w:i/>
          <w:iCs/>
          <w:color w:val="auto"/>
        </w:rPr>
        <w:t xml:space="preserve"> </w:t>
      </w:r>
      <w:proofErr w:type="gramStart"/>
      <w:r w:rsidRPr="009178E0">
        <w:rPr>
          <w:i/>
          <w:iCs/>
          <w:color w:val="auto"/>
        </w:rPr>
        <w:t>of</w:t>
      </w:r>
      <w:proofErr w:type="gramEnd"/>
      <w:r w:rsidRPr="009178E0">
        <w:rPr>
          <w:i/>
          <w:iCs/>
          <w:color w:val="auto"/>
        </w:rPr>
        <w:t xml:space="preserve"> the Integration Mandate of Title II of the Americans with </w:t>
      </w:r>
    </w:p>
    <w:p w:rsidR="00237FC5" w:rsidRPr="009178E0" w:rsidRDefault="00237FC5" w:rsidP="00237FC5">
      <w:pPr>
        <w:pStyle w:val="Default"/>
        <w:rPr>
          <w:color w:val="auto"/>
        </w:rPr>
      </w:pPr>
      <w:r w:rsidRPr="009178E0">
        <w:rPr>
          <w:i/>
          <w:iCs/>
          <w:color w:val="auto"/>
        </w:rPr>
        <w:t xml:space="preserve"> Disabilities Act and</w:t>
      </w:r>
      <w:r w:rsidRPr="009178E0">
        <w:rPr>
          <w:color w:val="auto"/>
        </w:rPr>
        <w:t xml:space="preserve"> </w:t>
      </w:r>
      <w:r w:rsidRPr="009178E0">
        <w:rPr>
          <w:i/>
          <w:iCs/>
          <w:color w:val="auto"/>
        </w:rPr>
        <w:t>Olmstead v. L.C.</w:t>
      </w:r>
      <w:r w:rsidRPr="009178E0">
        <w:rPr>
          <w:color w:val="auto"/>
        </w:rPr>
        <w:t xml:space="preserve"> (June 22, 2011), </w:t>
      </w:r>
    </w:p>
    <w:p w:rsidR="00263136" w:rsidRPr="00C91B4E" w:rsidRDefault="00237FC5" w:rsidP="00C91B4E">
      <w:pPr>
        <w:pStyle w:val="Default"/>
        <w:rPr>
          <w:color w:val="auto"/>
        </w:rPr>
      </w:pPr>
      <w:r w:rsidRPr="009178E0">
        <w:rPr>
          <w:color w:val="auto"/>
        </w:rPr>
        <w:lastRenderedPageBreak/>
        <w:t xml:space="preserve"> http://www.ada.gov/olmstead/q&amp;a_olmstead.htm ...............................</w:t>
      </w:r>
      <w:r w:rsidR="0018516A">
        <w:rPr>
          <w:color w:val="auto"/>
        </w:rPr>
        <w:t>...........................</w:t>
      </w:r>
      <w:r w:rsidRPr="009178E0">
        <w:rPr>
          <w:color w:val="auto"/>
        </w:rPr>
        <w:t>.</w:t>
      </w:r>
      <w:r w:rsidR="00A94ED5">
        <w:rPr>
          <w:color w:val="auto"/>
        </w:rPr>
        <w:t>....</w:t>
      </w:r>
      <w:r w:rsidRPr="009178E0">
        <w:rPr>
          <w:color w:val="auto"/>
        </w:rPr>
        <w:t>.</w:t>
      </w:r>
      <w:r w:rsidRPr="009178E0">
        <w:rPr>
          <w:i/>
          <w:iCs/>
          <w:color w:val="auto"/>
        </w:rPr>
        <w:t>passim</w:t>
      </w:r>
      <w:r w:rsidRPr="009178E0">
        <w:rPr>
          <w:color w:val="auto"/>
        </w:rPr>
        <w:t xml:space="preserve"> </w:t>
      </w:r>
    </w:p>
    <w:p w:rsidR="00234C1B" w:rsidRPr="009178E0" w:rsidRDefault="00234C1B" w:rsidP="008E0BF2">
      <w:pPr>
        <w:pStyle w:val="Heading1"/>
      </w:pPr>
      <w:r w:rsidRPr="008E0BF2">
        <w:t>INTRODUCTION</w:t>
      </w:r>
    </w:p>
    <w:p w:rsidR="007C14D8" w:rsidRDefault="007C14D8" w:rsidP="007C14D8">
      <w:pPr>
        <w:pStyle w:val="Default"/>
        <w:spacing w:line="480" w:lineRule="auto"/>
        <w:ind w:firstLine="720"/>
      </w:pPr>
      <w:r w:rsidRPr="009178E0">
        <w:rPr>
          <w:color w:val="auto"/>
        </w:rPr>
        <w:t xml:space="preserve">The United States submits this Statement of Interest </w:t>
      </w:r>
      <w:r w:rsidRPr="009178E0">
        <w:t xml:space="preserve">in opposition to Defendants’ motion for summary judgment, Filing Nos. 143 and 144. </w:t>
      </w:r>
      <w:r w:rsidRPr="009178E0">
        <w:rPr>
          <w:color w:val="auto"/>
        </w:rPr>
        <w:t xml:space="preserve"> </w:t>
      </w:r>
      <w:r w:rsidRPr="009178E0">
        <w:t xml:space="preserve">In their motion for summary judgment, Defendants </w:t>
      </w:r>
      <w:r w:rsidR="00C13885">
        <w:t>premise their argument on the incorrect contention that</w:t>
      </w:r>
      <w:r w:rsidRPr="009178E0">
        <w:t xml:space="preserve"> Plaintiffs must subject themselves to institutionalization in order to bring an integration mandate claim</w:t>
      </w:r>
      <w:r w:rsidR="00C13885">
        <w:t xml:space="preserve">.  </w:t>
      </w:r>
      <w:r w:rsidRPr="009178E0">
        <w:t xml:space="preserve">Because there is no such legal requirement and because Plaintiffs have provided evidence that they are </w:t>
      </w:r>
      <w:r w:rsidR="00C13885">
        <w:t xml:space="preserve">indeed </w:t>
      </w:r>
      <w:r w:rsidRPr="009178E0">
        <w:t>at serious risk of institutionalization or segregation due to Defendants’ policies and practices, this Court should deny Defendants</w:t>
      </w:r>
      <w:r w:rsidR="00C8161C">
        <w:t>’</w:t>
      </w:r>
      <w:r w:rsidRPr="009178E0">
        <w:t xml:space="preserve"> motion.  </w:t>
      </w:r>
    </w:p>
    <w:p w:rsidR="003D376F" w:rsidRPr="009178E0" w:rsidRDefault="003D376F" w:rsidP="007C14D8">
      <w:pPr>
        <w:pStyle w:val="Default"/>
        <w:spacing w:line="480" w:lineRule="auto"/>
        <w:ind w:firstLine="720"/>
        <w:rPr>
          <w:color w:val="auto"/>
        </w:rPr>
      </w:pPr>
      <w:r>
        <w:rPr>
          <w:color w:val="auto"/>
        </w:rPr>
        <w:t>In t</w:t>
      </w:r>
      <w:r w:rsidRPr="009178E0">
        <w:rPr>
          <w:color w:val="auto"/>
        </w:rPr>
        <w:t>his case</w:t>
      </w:r>
      <w:r>
        <w:rPr>
          <w:color w:val="auto"/>
        </w:rPr>
        <w:t>, Plaintiffs are</w:t>
      </w:r>
      <w:r w:rsidRPr="009178E0">
        <w:rPr>
          <w:color w:val="auto"/>
        </w:rPr>
        <w:t xml:space="preserve"> individuals with developmental disabilities such as cerebral palsy. </w:t>
      </w:r>
      <w:r>
        <w:rPr>
          <w:color w:val="auto"/>
        </w:rPr>
        <w:t>To</w:t>
      </w:r>
      <w:r w:rsidRPr="009178E0">
        <w:rPr>
          <w:color w:val="auto"/>
        </w:rPr>
        <w:t xml:space="preserve"> live in the community, Plaintiffs require services such as an aide during the day to assist with </w:t>
      </w:r>
      <w:r>
        <w:rPr>
          <w:color w:val="auto"/>
        </w:rPr>
        <w:t xml:space="preserve">daily activities such as getting </w:t>
      </w:r>
      <w:r w:rsidRPr="009178E0">
        <w:rPr>
          <w:color w:val="auto"/>
        </w:rPr>
        <w:t xml:space="preserve">out of bed and into a wheelchair. </w:t>
      </w:r>
      <w:r w:rsidR="00A14D4D">
        <w:rPr>
          <w:color w:val="auto"/>
        </w:rPr>
        <w:t>W</w:t>
      </w:r>
      <w:r>
        <w:rPr>
          <w:color w:val="auto"/>
        </w:rPr>
        <w:t xml:space="preserve">ithout these services, </w:t>
      </w:r>
      <w:r w:rsidR="00A14D4D">
        <w:rPr>
          <w:color w:val="auto"/>
        </w:rPr>
        <w:t xml:space="preserve">Plaintiffs </w:t>
      </w:r>
      <w:r>
        <w:rPr>
          <w:color w:val="auto"/>
        </w:rPr>
        <w:t>are at serious risk of institutionalization. U</w:t>
      </w:r>
      <w:r w:rsidRPr="009178E0">
        <w:rPr>
          <w:color w:val="auto"/>
        </w:rPr>
        <w:t>ntil recently, Plaintiffs received services through a Medicaid program enabl</w:t>
      </w:r>
      <w:r>
        <w:rPr>
          <w:color w:val="auto"/>
        </w:rPr>
        <w:t>ing</w:t>
      </w:r>
      <w:r w:rsidRPr="009178E0">
        <w:rPr>
          <w:color w:val="auto"/>
        </w:rPr>
        <w:t xml:space="preserve"> them to live in their own homes and participate in their communities. Defendants’ changes to the administration of two Indiana Medicaid Waiver programs </w:t>
      </w:r>
      <w:r w:rsidR="00170B8C">
        <w:rPr>
          <w:color w:val="auto"/>
        </w:rPr>
        <w:t>reduce</w:t>
      </w:r>
      <w:r w:rsidR="00510BD4">
        <w:rPr>
          <w:color w:val="auto"/>
        </w:rPr>
        <w:t>d</w:t>
      </w:r>
      <w:r w:rsidR="00170B8C">
        <w:rPr>
          <w:color w:val="auto"/>
        </w:rPr>
        <w:t xml:space="preserve"> their services, </w:t>
      </w:r>
      <w:r w:rsidRPr="009178E0">
        <w:rPr>
          <w:color w:val="auto"/>
        </w:rPr>
        <w:t>plac</w:t>
      </w:r>
      <w:r w:rsidR="00170B8C">
        <w:rPr>
          <w:color w:val="auto"/>
        </w:rPr>
        <w:t>ing</w:t>
      </w:r>
      <w:r w:rsidRPr="009178E0">
        <w:rPr>
          <w:color w:val="auto"/>
        </w:rPr>
        <w:t xml:space="preserve"> </w:t>
      </w:r>
      <w:r w:rsidR="00A14D4D">
        <w:rPr>
          <w:color w:val="auto"/>
        </w:rPr>
        <w:t>Plaintiffs</w:t>
      </w:r>
      <w:r w:rsidR="00A14D4D" w:rsidRPr="009178E0">
        <w:rPr>
          <w:color w:val="auto"/>
        </w:rPr>
        <w:t xml:space="preserve"> </w:t>
      </w:r>
      <w:r w:rsidRPr="009178E0">
        <w:rPr>
          <w:color w:val="auto"/>
        </w:rPr>
        <w:t>at risk of institutionalization or segregation</w:t>
      </w:r>
      <w:r>
        <w:rPr>
          <w:color w:val="auto"/>
        </w:rPr>
        <w:t xml:space="preserve"> </w:t>
      </w:r>
      <w:r w:rsidR="00A818CB">
        <w:rPr>
          <w:color w:val="auto"/>
        </w:rPr>
        <w:t xml:space="preserve"> in </w:t>
      </w:r>
      <w:r>
        <w:rPr>
          <w:color w:val="auto"/>
        </w:rPr>
        <w:t>violat</w:t>
      </w:r>
      <w:r w:rsidR="00A818CB">
        <w:rPr>
          <w:color w:val="auto"/>
        </w:rPr>
        <w:t>ion of</w:t>
      </w:r>
      <w:r w:rsidRPr="009178E0">
        <w:rPr>
          <w:color w:val="auto"/>
        </w:rPr>
        <w:t xml:space="preserve"> Title II of the Americans with Disabilities Act (ADA), 42 U.S.C.</w:t>
      </w:r>
      <w:r>
        <w:rPr>
          <w:color w:val="auto"/>
        </w:rPr>
        <w:t xml:space="preserve"> § </w:t>
      </w:r>
      <w:r w:rsidRPr="009178E0">
        <w:rPr>
          <w:color w:val="auto"/>
        </w:rPr>
        <w:t xml:space="preserve">12131 </w:t>
      </w:r>
      <w:r w:rsidRPr="009178E0">
        <w:rPr>
          <w:i/>
          <w:iCs/>
          <w:color w:val="auto"/>
        </w:rPr>
        <w:t>et seq.</w:t>
      </w:r>
      <w:r w:rsidRPr="009178E0">
        <w:rPr>
          <w:color w:val="auto"/>
        </w:rPr>
        <w:t xml:space="preserve"> </w:t>
      </w:r>
      <w:r w:rsidRPr="009178E0">
        <w:t>and Section 504 of the Rehabilitation Act of 1973 ("Rehabilitation Act"), 29 U.S.C. § 794.</w:t>
      </w:r>
      <w:r>
        <w:t xml:space="preserve">   Defendants counter that, as a matter of law, an individual must be institutionalized to claim a cognizable injury under the integration mandate of the ADA.  This is not so.     </w:t>
      </w:r>
    </w:p>
    <w:p w:rsidR="003D376F" w:rsidRDefault="000F4664" w:rsidP="002253B9">
      <w:pPr>
        <w:pStyle w:val="Default"/>
        <w:spacing w:line="480" w:lineRule="auto"/>
        <w:ind w:firstLine="720"/>
        <w:rPr>
          <w:color w:val="auto"/>
        </w:rPr>
      </w:pPr>
      <w:r>
        <w:rPr>
          <w:color w:val="auto"/>
        </w:rPr>
        <w:t>The threshold question raised in Defendants</w:t>
      </w:r>
      <w:r w:rsidR="009204C9">
        <w:rPr>
          <w:color w:val="auto"/>
        </w:rPr>
        <w:t>’ motion</w:t>
      </w:r>
      <w:r w:rsidR="00E72202" w:rsidRPr="009178E0">
        <w:rPr>
          <w:color w:val="auto"/>
        </w:rPr>
        <w:t xml:space="preserve"> </w:t>
      </w:r>
      <w:r>
        <w:rPr>
          <w:color w:val="auto"/>
        </w:rPr>
        <w:t xml:space="preserve">is </w:t>
      </w:r>
      <w:r w:rsidR="00E72202" w:rsidRPr="009178E0">
        <w:rPr>
          <w:color w:val="auto"/>
        </w:rPr>
        <w:t xml:space="preserve">the proper interpretation of the prohibition against unnecessary segregation of individuals with disabilities under Title II </w:t>
      </w:r>
      <w:r w:rsidR="000D6D58" w:rsidRPr="009178E0">
        <w:rPr>
          <w:color w:val="auto"/>
        </w:rPr>
        <w:t xml:space="preserve">of the Americans with Disabilities Act (ADA) </w:t>
      </w:r>
      <w:r w:rsidR="00E72202" w:rsidRPr="009178E0">
        <w:rPr>
          <w:color w:val="auto"/>
        </w:rPr>
        <w:t>and its implementing regulations</w:t>
      </w:r>
      <w:r w:rsidR="007C14D8">
        <w:rPr>
          <w:color w:val="auto"/>
        </w:rPr>
        <w:t>, which</w:t>
      </w:r>
      <w:r w:rsidR="00E72202" w:rsidRPr="009178E0">
        <w:rPr>
          <w:color w:val="auto"/>
        </w:rPr>
        <w:t xml:space="preserve"> prohibit discrimination against individuals with disabilities in the provision of public services.  </w:t>
      </w:r>
      <w:proofErr w:type="gramStart"/>
      <w:r w:rsidR="00E72202" w:rsidRPr="009178E0">
        <w:rPr>
          <w:color w:val="auto"/>
        </w:rPr>
        <w:t xml:space="preserve">42 U.S.C. </w:t>
      </w:r>
      <w:r w:rsidR="00096982">
        <w:rPr>
          <w:color w:val="auto"/>
        </w:rPr>
        <w:lastRenderedPageBreak/>
        <w:t>§ </w:t>
      </w:r>
      <w:r w:rsidR="00E72202" w:rsidRPr="009178E0">
        <w:rPr>
          <w:color w:val="auto"/>
        </w:rPr>
        <w:t>12132.</w:t>
      </w:r>
      <w:proofErr w:type="gramEnd"/>
      <w:r w:rsidR="00E72202" w:rsidRPr="009178E0">
        <w:rPr>
          <w:color w:val="auto"/>
        </w:rPr>
        <w:t xml:space="preserve">  </w:t>
      </w:r>
    </w:p>
    <w:p w:rsidR="00A818CB" w:rsidRDefault="003D376F" w:rsidP="00510BD4">
      <w:pPr>
        <w:pStyle w:val="Default"/>
        <w:spacing w:line="480" w:lineRule="auto"/>
        <w:ind w:firstLine="720"/>
        <w:rPr>
          <w:color w:val="auto"/>
        </w:rPr>
      </w:pPr>
      <w:r>
        <w:rPr>
          <w:color w:val="auto"/>
        </w:rPr>
        <w:t xml:space="preserve">The Department of Justice (Department) has consistently interpreted the </w:t>
      </w:r>
      <w:r w:rsidR="00C13885">
        <w:rPr>
          <w:color w:val="auto"/>
        </w:rPr>
        <w:t>ADA</w:t>
      </w:r>
      <w:r>
        <w:rPr>
          <w:color w:val="auto"/>
        </w:rPr>
        <w:t xml:space="preserve"> and </w:t>
      </w:r>
      <w:r w:rsidR="00C13885">
        <w:rPr>
          <w:color w:val="auto"/>
        </w:rPr>
        <w:t xml:space="preserve">the </w:t>
      </w:r>
      <w:r>
        <w:rPr>
          <w:color w:val="auto"/>
        </w:rPr>
        <w:t xml:space="preserve">regulatory integration mandate to protect not only those who are institutionalized but also those who are at serious risk of institutionalization.  In fact, </w:t>
      </w:r>
      <w:r w:rsidR="00320A20">
        <w:rPr>
          <w:color w:val="auto"/>
        </w:rPr>
        <w:t>t</w:t>
      </w:r>
      <w:r w:rsidR="00320A20" w:rsidRPr="009178E0">
        <w:rPr>
          <w:color w:val="auto"/>
        </w:rPr>
        <w:t xml:space="preserve">he Department issued </w:t>
      </w:r>
      <w:r w:rsidR="00320A20">
        <w:rPr>
          <w:color w:val="auto"/>
        </w:rPr>
        <w:t>technical assistance regarding</w:t>
      </w:r>
      <w:r w:rsidR="00320A20" w:rsidRPr="009178E0">
        <w:rPr>
          <w:color w:val="auto"/>
        </w:rPr>
        <w:t xml:space="preserve"> the proper legal standard under the integration mandate</w:t>
      </w:r>
      <w:r w:rsidR="00320A20">
        <w:rPr>
          <w:color w:val="auto"/>
        </w:rPr>
        <w:t xml:space="preserve"> and clarified that</w:t>
      </w:r>
      <w:r w:rsidR="005364B5">
        <w:rPr>
          <w:color w:val="auto"/>
        </w:rPr>
        <w:t xml:space="preserve"> </w:t>
      </w:r>
      <w:r w:rsidR="00510BD4" w:rsidRPr="009178E0">
        <w:rPr>
          <w:color w:val="auto"/>
        </w:rPr>
        <w:t xml:space="preserve">“the ADA and the </w:t>
      </w:r>
      <w:r w:rsidR="00510BD4" w:rsidRPr="009178E0">
        <w:rPr>
          <w:i/>
          <w:iCs/>
          <w:color w:val="auto"/>
        </w:rPr>
        <w:t>Olmstead</w:t>
      </w:r>
      <w:r w:rsidR="00510BD4" w:rsidRPr="009178E0">
        <w:rPr>
          <w:color w:val="auto"/>
        </w:rPr>
        <w:t xml:space="preserve"> decision extend to persons at serious risk of institutionalization or segregation and are not limited to individuals currently in institutional or</w:t>
      </w:r>
      <w:r w:rsidR="005364B5">
        <w:rPr>
          <w:color w:val="auto"/>
        </w:rPr>
        <w:t xml:space="preserve"> other segregated settings.”</w:t>
      </w:r>
      <w:r w:rsidR="00320A20" w:rsidRPr="009178E0">
        <w:rPr>
          <w:color w:val="auto"/>
        </w:rPr>
        <w:t xml:space="preserve">  U.S. Department of Justice, </w:t>
      </w:r>
      <w:r w:rsidR="00320A20" w:rsidRPr="009178E0">
        <w:rPr>
          <w:i/>
          <w:iCs/>
          <w:color w:val="auto"/>
        </w:rPr>
        <w:t>Statement of the Department of Justice on Enforcement of the Integration Mandate of Title II of the Americans with Disabilities Act and</w:t>
      </w:r>
      <w:r w:rsidR="00320A20" w:rsidRPr="009178E0">
        <w:rPr>
          <w:color w:val="auto"/>
        </w:rPr>
        <w:t xml:space="preserve"> </w:t>
      </w:r>
      <w:r w:rsidR="00320A20" w:rsidRPr="009178E0">
        <w:rPr>
          <w:i/>
          <w:iCs/>
          <w:color w:val="auto"/>
        </w:rPr>
        <w:t xml:space="preserve">Olmstead v. L.C. </w:t>
      </w:r>
      <w:r w:rsidR="00320A20" w:rsidRPr="009178E0">
        <w:rPr>
          <w:color w:val="auto"/>
        </w:rPr>
        <w:t>(June 22, 2011), http://www.ada.gov/olmstead/q&amp;a_olmstead.htm (</w:t>
      </w:r>
      <w:r w:rsidR="00320A20">
        <w:rPr>
          <w:color w:val="auto"/>
        </w:rPr>
        <w:t>hereinafter “</w:t>
      </w:r>
      <w:r w:rsidR="00320A20" w:rsidRPr="009178E0">
        <w:rPr>
          <w:i/>
          <w:iCs/>
          <w:color w:val="auto"/>
        </w:rPr>
        <w:t>Olmstead</w:t>
      </w:r>
      <w:r w:rsidR="00320A20" w:rsidRPr="009178E0">
        <w:rPr>
          <w:color w:val="auto"/>
        </w:rPr>
        <w:t xml:space="preserve"> Statement</w:t>
      </w:r>
      <w:r w:rsidR="00320A20">
        <w:rPr>
          <w:color w:val="auto"/>
        </w:rPr>
        <w:t>”</w:t>
      </w:r>
      <w:r w:rsidR="00320A20" w:rsidRPr="009178E0">
        <w:rPr>
          <w:color w:val="auto"/>
        </w:rPr>
        <w:t xml:space="preserve">); Filing No. </w:t>
      </w:r>
      <w:r w:rsidR="00320A20">
        <w:rPr>
          <w:color w:val="auto"/>
        </w:rPr>
        <w:t>1</w:t>
      </w:r>
      <w:r w:rsidR="00320A20" w:rsidRPr="009178E0">
        <w:rPr>
          <w:color w:val="auto"/>
        </w:rPr>
        <w:t xml:space="preserve">45-7.  </w:t>
      </w:r>
    </w:p>
    <w:p w:rsidR="003D376F" w:rsidRDefault="003D376F" w:rsidP="00320A20">
      <w:pPr>
        <w:pStyle w:val="Default"/>
        <w:spacing w:line="480" w:lineRule="auto"/>
        <w:ind w:firstLine="720"/>
        <w:rPr>
          <w:color w:val="auto"/>
        </w:rPr>
      </w:pPr>
      <w:r>
        <w:rPr>
          <w:color w:val="auto"/>
        </w:rPr>
        <w:t xml:space="preserve">Because Plaintiffs have </w:t>
      </w:r>
      <w:r w:rsidR="000F4664">
        <w:rPr>
          <w:color w:val="auto"/>
        </w:rPr>
        <w:t>provided evidence</w:t>
      </w:r>
      <w:r>
        <w:rPr>
          <w:color w:val="auto"/>
        </w:rPr>
        <w:t xml:space="preserve"> that Defendants’ </w:t>
      </w:r>
      <w:r w:rsidRPr="009178E0">
        <w:rPr>
          <w:color w:val="auto"/>
        </w:rPr>
        <w:t xml:space="preserve">changes to the administration of </w:t>
      </w:r>
      <w:r w:rsidR="00173EF2">
        <w:rPr>
          <w:color w:val="auto"/>
        </w:rPr>
        <w:t>the</w:t>
      </w:r>
      <w:r w:rsidRPr="009178E0">
        <w:rPr>
          <w:color w:val="auto"/>
        </w:rPr>
        <w:t xml:space="preserve"> Medicaid Waiver programs place the</w:t>
      </w:r>
      <w:r>
        <w:rPr>
          <w:color w:val="auto"/>
        </w:rPr>
        <w:t>m</w:t>
      </w:r>
      <w:r w:rsidRPr="009178E0">
        <w:rPr>
          <w:color w:val="auto"/>
        </w:rPr>
        <w:t xml:space="preserve"> at risk of institutionalization or segregation</w:t>
      </w:r>
      <w:r>
        <w:rPr>
          <w:color w:val="auto"/>
        </w:rPr>
        <w:t xml:space="preserve">, Defendants’ motion should be denied. </w:t>
      </w:r>
    </w:p>
    <w:p w:rsidR="00C13885" w:rsidRPr="00467106" w:rsidRDefault="00467106" w:rsidP="008E0BF2">
      <w:pPr>
        <w:pStyle w:val="Heading1"/>
      </w:pPr>
      <w:r w:rsidRPr="009178E0">
        <w:t>I</w:t>
      </w:r>
      <w:bookmarkStart w:id="0" w:name="_Toc409557157"/>
      <w:r w:rsidR="00C13885" w:rsidRPr="00467106">
        <w:t>NTEREST OF THE UNITED STATES</w:t>
      </w:r>
      <w:bookmarkEnd w:id="0"/>
    </w:p>
    <w:p w:rsidR="00C13885" w:rsidRDefault="00C13885" w:rsidP="00C13885">
      <w:pPr>
        <w:pStyle w:val="BriefText"/>
      </w:pPr>
      <w:r w:rsidRPr="00EB69A0">
        <w:t>Under 28 U.S.C. § 517, the Attorney General may send any officer of the United States Department of Justice</w:t>
      </w:r>
      <w:r>
        <w:t xml:space="preserve"> “to attend to the interests of the United States in a suit pending in a court of the United States . . . .”  The Department is the federal agency charged with primary responsibility for enforcing Title II of the ADA and its implementing regulation.  </w:t>
      </w:r>
      <w:r>
        <w:rPr>
          <w:i/>
        </w:rPr>
        <w:t xml:space="preserve">See </w:t>
      </w:r>
      <w:r>
        <w:t xml:space="preserve">42 U.S.C. § 12188(b).  Consistent with this statutory charge, the Department has an interest in, </w:t>
      </w:r>
      <w:r>
        <w:rPr>
          <w:i/>
        </w:rPr>
        <w:t>inter alia</w:t>
      </w:r>
      <w:r>
        <w:t xml:space="preserve">: (1) supporting the ADA’s proper interpretation and application; (2) furthering the statute’s explicit Congressional intent to provide clear, strong, consistent, and enforceable standards addressing discrimination against individuals with disabilities; and (3) ensuring that the United States plays a central role in enforcing the standards established in the ADA.  </w:t>
      </w:r>
      <w:r>
        <w:rPr>
          <w:i/>
        </w:rPr>
        <w:t>See id.</w:t>
      </w:r>
      <w:r>
        <w:t xml:space="preserve"> § 12101(b).</w:t>
      </w:r>
    </w:p>
    <w:p w:rsidR="00631FBB" w:rsidRDefault="00C13885">
      <w:pPr>
        <w:pStyle w:val="BriefText"/>
      </w:pPr>
      <w:r>
        <w:lastRenderedPageBreak/>
        <w:t xml:space="preserve">These interests are particularly strong here, where Defendants suggest an interpretation of the Department’s regulations that is inconsistent with the Department’s interpretation of its own regulations.   </w:t>
      </w:r>
    </w:p>
    <w:p w:rsidR="00E05AB7" w:rsidRPr="00467106" w:rsidRDefault="0065157E" w:rsidP="008E0BF2">
      <w:pPr>
        <w:pStyle w:val="Heading1"/>
      </w:pPr>
      <w:r w:rsidRPr="00467106">
        <w:t>STATEMENT OF THE CASE</w:t>
      </w:r>
    </w:p>
    <w:p w:rsidR="0065157E" w:rsidRPr="008E0BF2" w:rsidRDefault="00FA22C6" w:rsidP="008E0BF2">
      <w:pPr>
        <w:pStyle w:val="Heading2"/>
      </w:pPr>
      <w:r w:rsidRPr="008E0BF2">
        <w:t>Statutory a</w:t>
      </w:r>
      <w:r w:rsidR="0065157E" w:rsidRPr="008E0BF2">
        <w:t xml:space="preserve">nd Regulatory Background </w:t>
      </w:r>
    </w:p>
    <w:p w:rsidR="0065157E" w:rsidRPr="009178E0" w:rsidRDefault="0065157E" w:rsidP="00286E36">
      <w:pPr>
        <w:pStyle w:val="Default"/>
        <w:spacing w:line="480" w:lineRule="auto"/>
        <w:ind w:firstLine="720"/>
        <w:rPr>
          <w:color w:val="auto"/>
        </w:rPr>
      </w:pPr>
      <w:r w:rsidRPr="009178E0">
        <w:rPr>
          <w:color w:val="auto"/>
        </w:rPr>
        <w:t xml:space="preserve">Congress enacted the ADA in 1990 “to provide a clear and comprehensive national mandate for the elimination of discrimination against individuals with disabilities.”  42 U.S.C. </w:t>
      </w:r>
      <w:r w:rsidR="00096982">
        <w:rPr>
          <w:color w:val="auto"/>
        </w:rPr>
        <w:t>§ </w:t>
      </w:r>
      <w:r w:rsidRPr="009178E0">
        <w:rPr>
          <w:color w:val="auto"/>
        </w:rPr>
        <w:t>12101(b</w:t>
      </w:r>
      <w:proofErr w:type="gramStart"/>
      <w:r w:rsidRPr="009178E0">
        <w:rPr>
          <w:color w:val="auto"/>
        </w:rPr>
        <w:t>)(</w:t>
      </w:r>
      <w:proofErr w:type="gramEnd"/>
      <w:r w:rsidRPr="009178E0">
        <w:rPr>
          <w:color w:val="auto"/>
        </w:rPr>
        <w:t>1).  Congress found that, “historically, society has tended to isolate and segregate individuals with disabilities” and that “individuals with disabilities continually encounter various forms of discri</w:t>
      </w:r>
      <w:r w:rsidR="00A45598" w:rsidRPr="009178E0">
        <w:rPr>
          <w:color w:val="auto"/>
        </w:rPr>
        <w:t xml:space="preserve">mination, including </w:t>
      </w:r>
      <w:proofErr w:type="gramStart"/>
      <w:r w:rsidR="00A45598" w:rsidRPr="009178E0">
        <w:rPr>
          <w:color w:val="auto"/>
        </w:rPr>
        <w:t>*  *</w:t>
      </w:r>
      <w:proofErr w:type="gramEnd"/>
      <w:r w:rsidR="00A45598" w:rsidRPr="009178E0">
        <w:rPr>
          <w:color w:val="auto"/>
        </w:rPr>
        <w:t xml:space="preserve">  *</w:t>
      </w:r>
      <w:r w:rsidRPr="009178E0">
        <w:rPr>
          <w:color w:val="auto"/>
        </w:rPr>
        <w:t xml:space="preserve"> segregation.”  42 U.S.C. </w:t>
      </w:r>
      <w:r w:rsidR="00096982">
        <w:rPr>
          <w:color w:val="auto"/>
        </w:rPr>
        <w:t>§ </w:t>
      </w:r>
      <w:r w:rsidRPr="009178E0">
        <w:rPr>
          <w:color w:val="auto"/>
        </w:rPr>
        <w:t>12101(a</w:t>
      </w:r>
      <w:proofErr w:type="gramStart"/>
      <w:r w:rsidRPr="009178E0">
        <w:rPr>
          <w:color w:val="auto"/>
        </w:rPr>
        <w:t>)(</w:t>
      </w:r>
      <w:proofErr w:type="gramEnd"/>
      <w:r w:rsidRPr="009178E0">
        <w:rPr>
          <w:color w:val="auto"/>
        </w:rPr>
        <w:t xml:space="preserve">2) and (5).  Congress determined that “the Nation’s proper goals regarding individuals with disabilities are to assure equality of opportunity, full participation, </w:t>
      </w:r>
      <w:r w:rsidRPr="009178E0">
        <w:rPr>
          <w:i/>
          <w:iCs/>
          <w:color w:val="auto"/>
        </w:rPr>
        <w:t>independent living</w:t>
      </w:r>
      <w:r w:rsidRPr="009178E0">
        <w:rPr>
          <w:color w:val="auto"/>
        </w:rPr>
        <w:t xml:space="preserve">, and economic self-sufficiency for such individuals.”  42 U.S.C. </w:t>
      </w:r>
      <w:r w:rsidR="00096982">
        <w:rPr>
          <w:color w:val="auto"/>
        </w:rPr>
        <w:t>§ </w:t>
      </w:r>
      <w:r w:rsidRPr="009178E0">
        <w:rPr>
          <w:color w:val="auto"/>
        </w:rPr>
        <w:t>12101(a</w:t>
      </w:r>
      <w:proofErr w:type="gramStart"/>
      <w:r w:rsidRPr="009178E0">
        <w:rPr>
          <w:color w:val="auto"/>
        </w:rPr>
        <w:t>)(</w:t>
      </w:r>
      <w:proofErr w:type="gramEnd"/>
      <w:r w:rsidRPr="009178E0">
        <w:rPr>
          <w:color w:val="auto"/>
        </w:rPr>
        <w:t xml:space="preserve">7) (emphasis added). </w:t>
      </w:r>
    </w:p>
    <w:p w:rsidR="0065157E" w:rsidRPr="009178E0" w:rsidRDefault="0065157E" w:rsidP="00061035">
      <w:pPr>
        <w:pStyle w:val="Default"/>
        <w:spacing w:line="480" w:lineRule="auto"/>
        <w:ind w:firstLine="720"/>
        <w:rPr>
          <w:color w:val="auto"/>
        </w:rPr>
      </w:pPr>
      <w:r w:rsidRPr="009178E0">
        <w:rPr>
          <w:color w:val="auto"/>
        </w:rPr>
        <w:t xml:space="preserve">Title II of the ADA prohibits disability discrimination in public services:  “[N]o qualified individual with a disability shall, by reason of such disability, be excluded from participation in or be denied the benefits of the services, programs, or activities of a public entity, or be subjected to discrimination by any such entity.”  </w:t>
      </w:r>
      <w:proofErr w:type="gramStart"/>
      <w:r w:rsidRPr="009178E0">
        <w:rPr>
          <w:color w:val="auto"/>
        </w:rPr>
        <w:t xml:space="preserve">42 U.S.C. </w:t>
      </w:r>
      <w:r w:rsidR="00096982">
        <w:rPr>
          <w:color w:val="auto"/>
        </w:rPr>
        <w:t>§ </w:t>
      </w:r>
      <w:r w:rsidRPr="009178E0">
        <w:rPr>
          <w:color w:val="auto"/>
        </w:rPr>
        <w:t>12132.</w:t>
      </w:r>
      <w:proofErr w:type="gramEnd"/>
      <w:r w:rsidRPr="009178E0">
        <w:rPr>
          <w:color w:val="auto"/>
        </w:rPr>
        <w:t xml:space="preserve">  Congress directed the Attorney General to promulgate regulations to implement Title II.  </w:t>
      </w:r>
      <w:proofErr w:type="gramStart"/>
      <w:r w:rsidRPr="009178E0">
        <w:rPr>
          <w:color w:val="auto"/>
        </w:rPr>
        <w:t xml:space="preserve">42 U.S.C. </w:t>
      </w:r>
      <w:r w:rsidR="00096982">
        <w:rPr>
          <w:color w:val="auto"/>
        </w:rPr>
        <w:t>§ </w:t>
      </w:r>
      <w:r w:rsidRPr="009178E0">
        <w:rPr>
          <w:color w:val="auto"/>
        </w:rPr>
        <w:t>12134.</w:t>
      </w:r>
      <w:proofErr w:type="gramEnd"/>
      <w:r w:rsidRPr="009178E0">
        <w:rPr>
          <w:color w:val="auto"/>
        </w:rPr>
        <w:t xml:space="preserve"> Pursuant to this authority, the Attorney General issued the integration mandate:  “A public entity shall administer services, programs, and activities in the most integrated setting appropriate to the needs of qualified individuals with disabilities.”  </w:t>
      </w:r>
      <w:proofErr w:type="gramStart"/>
      <w:r w:rsidRPr="009178E0">
        <w:rPr>
          <w:color w:val="auto"/>
        </w:rPr>
        <w:t xml:space="preserve">28 C.F.R. </w:t>
      </w:r>
      <w:r w:rsidR="00096982">
        <w:rPr>
          <w:color w:val="auto"/>
        </w:rPr>
        <w:t>§ </w:t>
      </w:r>
      <w:r w:rsidRPr="009178E0">
        <w:rPr>
          <w:color w:val="auto"/>
        </w:rPr>
        <w:t>35.130(d).</w:t>
      </w:r>
      <w:proofErr w:type="gramEnd"/>
      <w:r w:rsidRPr="009178E0">
        <w:rPr>
          <w:color w:val="auto"/>
        </w:rPr>
        <w:t xml:space="preserve">  The most integrated setting is “a setting that enables individuals with disabilities to interact with nondisabled persons to the fullest extent possible.”  </w:t>
      </w:r>
      <w:proofErr w:type="gramStart"/>
      <w:r w:rsidRPr="009178E0">
        <w:rPr>
          <w:color w:val="auto"/>
        </w:rPr>
        <w:t>28 C.F.R. Pt. 35</w:t>
      </w:r>
      <w:proofErr w:type="gramEnd"/>
      <w:r w:rsidRPr="009178E0">
        <w:rPr>
          <w:color w:val="auto"/>
        </w:rPr>
        <w:t xml:space="preserve">, App. B at 685.  The Attorney General also required that a public entity “make reasonable modifications in policies, practices, or procedures when the modifications are necessary to avoid discrimination on the basis of disability, unless the public entity can demonstrate that making the modifications would fundamentally alter the nature of the service, program, or activity.”  28 C.F.R. </w:t>
      </w:r>
      <w:r w:rsidR="00096982">
        <w:rPr>
          <w:color w:val="auto"/>
        </w:rPr>
        <w:t>§ </w:t>
      </w:r>
      <w:r w:rsidRPr="009178E0">
        <w:rPr>
          <w:color w:val="auto"/>
        </w:rPr>
        <w:t>35.130(b</w:t>
      </w:r>
      <w:proofErr w:type="gramStart"/>
      <w:r w:rsidRPr="009178E0">
        <w:rPr>
          <w:color w:val="auto"/>
        </w:rPr>
        <w:t>)(</w:t>
      </w:r>
      <w:proofErr w:type="gramEnd"/>
      <w:r w:rsidRPr="009178E0">
        <w:rPr>
          <w:color w:val="auto"/>
        </w:rPr>
        <w:t xml:space="preserve">7). </w:t>
      </w:r>
    </w:p>
    <w:p w:rsidR="00061035" w:rsidRPr="009178E0" w:rsidRDefault="0065157E" w:rsidP="004E21FA">
      <w:pPr>
        <w:pStyle w:val="Default"/>
        <w:spacing w:line="480" w:lineRule="auto"/>
        <w:ind w:firstLine="720"/>
        <w:rPr>
          <w:color w:val="auto"/>
        </w:rPr>
      </w:pPr>
      <w:r w:rsidRPr="009178E0">
        <w:rPr>
          <w:color w:val="auto"/>
        </w:rPr>
        <w:t xml:space="preserve">In </w:t>
      </w:r>
      <w:r w:rsidRPr="009178E0">
        <w:rPr>
          <w:i/>
          <w:iCs/>
          <w:color w:val="auto"/>
        </w:rPr>
        <w:t>Olmstead</w:t>
      </w:r>
      <w:r w:rsidRPr="009178E0">
        <w:rPr>
          <w:color w:val="auto"/>
        </w:rPr>
        <w:t xml:space="preserve">, the Supreme Court held that, under the ADA and its regulations, “unjustified institutional isolation of persons with disabilities is a form of discrimination.”  </w:t>
      </w:r>
      <w:proofErr w:type="gramStart"/>
      <w:r w:rsidRPr="009178E0">
        <w:rPr>
          <w:i/>
          <w:iCs/>
          <w:color w:val="auto"/>
        </w:rPr>
        <w:t>Olmstead</w:t>
      </w:r>
      <w:r w:rsidRPr="009178E0">
        <w:rPr>
          <w:i/>
          <w:color w:val="auto"/>
        </w:rPr>
        <w:t xml:space="preserve"> v.</w:t>
      </w:r>
      <w:r w:rsidRPr="009178E0">
        <w:rPr>
          <w:color w:val="auto"/>
        </w:rPr>
        <w:t xml:space="preserve"> </w:t>
      </w:r>
      <w:r w:rsidRPr="009178E0">
        <w:rPr>
          <w:i/>
          <w:iCs/>
          <w:color w:val="auto"/>
        </w:rPr>
        <w:t>L.C.</w:t>
      </w:r>
      <w:r w:rsidRPr="009178E0">
        <w:rPr>
          <w:color w:val="auto"/>
        </w:rPr>
        <w:t>, 527 U.S. 581, 600 (1999).</w:t>
      </w:r>
      <w:proofErr w:type="gramEnd"/>
      <w:r w:rsidRPr="009178E0">
        <w:rPr>
          <w:color w:val="auto"/>
        </w:rPr>
        <w:t xml:space="preserve">  </w:t>
      </w:r>
    </w:p>
    <w:p w:rsidR="0065157E" w:rsidRPr="009178E0" w:rsidRDefault="00061035" w:rsidP="008E0BF2">
      <w:pPr>
        <w:pStyle w:val="Heading2"/>
      </w:pPr>
      <w:r w:rsidRPr="009178E0">
        <w:t>Statement o</w:t>
      </w:r>
      <w:r w:rsidR="007B0ACF" w:rsidRPr="009178E0">
        <w:t>f t</w:t>
      </w:r>
      <w:r w:rsidR="005F3164" w:rsidRPr="009178E0">
        <w:t>he Facts</w:t>
      </w:r>
    </w:p>
    <w:p w:rsidR="006B64EE" w:rsidRPr="009178E0" w:rsidRDefault="0065157E" w:rsidP="006B64EE">
      <w:pPr>
        <w:pStyle w:val="Default"/>
        <w:spacing w:line="480" w:lineRule="auto"/>
        <w:ind w:firstLine="720"/>
        <w:rPr>
          <w:color w:val="auto"/>
        </w:rPr>
      </w:pPr>
      <w:r w:rsidRPr="009178E0">
        <w:rPr>
          <w:color w:val="auto"/>
        </w:rPr>
        <w:t xml:space="preserve">Plaintiffs are adult Medicaid recipients with </w:t>
      </w:r>
      <w:r w:rsidR="00274632" w:rsidRPr="009178E0">
        <w:rPr>
          <w:color w:val="auto"/>
        </w:rPr>
        <w:t>developmental disabilities</w:t>
      </w:r>
      <w:r w:rsidR="004D07EB" w:rsidRPr="009178E0">
        <w:rPr>
          <w:color w:val="auto"/>
        </w:rPr>
        <w:t xml:space="preserve">. </w:t>
      </w:r>
      <w:r w:rsidR="00FF2429" w:rsidRPr="009178E0">
        <w:rPr>
          <w:color w:val="auto"/>
        </w:rPr>
        <w:t xml:space="preserve">Thomas </w:t>
      </w:r>
      <w:proofErr w:type="spellStart"/>
      <w:r w:rsidR="00FF2429" w:rsidRPr="009178E0">
        <w:rPr>
          <w:color w:val="auto"/>
        </w:rPr>
        <w:t>Maertz</w:t>
      </w:r>
      <w:proofErr w:type="spellEnd"/>
      <w:r w:rsidR="00FF2429" w:rsidRPr="009178E0">
        <w:rPr>
          <w:color w:val="auto"/>
        </w:rPr>
        <w:t xml:space="preserve"> has an intellectua</w:t>
      </w:r>
      <w:r w:rsidR="007B2A70" w:rsidRPr="009178E0">
        <w:rPr>
          <w:color w:val="auto"/>
        </w:rPr>
        <w:t>l disability and cerebral palsy.</w:t>
      </w:r>
      <w:r w:rsidR="007C4539" w:rsidRPr="007C4539">
        <w:rPr>
          <w:color w:val="auto"/>
        </w:rPr>
        <w:t xml:space="preserve"> </w:t>
      </w:r>
      <w:r w:rsidR="007C4539">
        <w:rPr>
          <w:color w:val="auto"/>
        </w:rPr>
        <w:t>Pls.’ Answers to Interrog.</w:t>
      </w:r>
      <w:r w:rsidR="007B2A70" w:rsidRPr="009178E0">
        <w:rPr>
          <w:color w:val="auto"/>
        </w:rPr>
        <w:t xml:space="preserve"> </w:t>
      </w:r>
      <w:r w:rsidR="00FB65BA" w:rsidRPr="009178E0">
        <w:t>Filing</w:t>
      </w:r>
      <w:r w:rsidR="00CD421D" w:rsidRPr="009178E0">
        <w:t xml:space="preserve"> No. </w:t>
      </w:r>
      <w:r w:rsidR="00CD421D" w:rsidRPr="009178E0">
        <w:rPr>
          <w:color w:val="auto"/>
        </w:rPr>
        <w:t>143-8</w:t>
      </w:r>
      <w:r w:rsidR="00FB65BA" w:rsidRPr="009178E0">
        <w:rPr>
          <w:color w:val="auto"/>
        </w:rPr>
        <w:t>,</w:t>
      </w:r>
      <w:r w:rsidR="00CD421D" w:rsidRPr="009178E0">
        <w:rPr>
          <w:color w:val="auto"/>
        </w:rPr>
        <w:t xml:space="preserve"> at</w:t>
      </w:r>
      <w:r w:rsidR="00FB65BA" w:rsidRPr="009178E0">
        <w:rPr>
          <w:color w:val="auto"/>
        </w:rPr>
        <w:t xml:space="preserve"> </w:t>
      </w:r>
      <w:r w:rsidR="007B2A70" w:rsidRPr="009178E0">
        <w:rPr>
          <w:color w:val="auto"/>
        </w:rPr>
        <w:t>15.</w:t>
      </w:r>
      <w:r w:rsidR="004D07EB" w:rsidRPr="009178E0">
        <w:rPr>
          <w:color w:val="auto"/>
        </w:rPr>
        <w:t xml:space="preserve"> </w:t>
      </w:r>
      <w:r w:rsidR="004E43D7" w:rsidRPr="009178E0">
        <w:rPr>
          <w:color w:val="auto"/>
        </w:rPr>
        <w:t xml:space="preserve">Cody Cole has spastic </w:t>
      </w:r>
      <w:proofErr w:type="spellStart"/>
      <w:r w:rsidR="004E43D7" w:rsidRPr="009178E0">
        <w:rPr>
          <w:color w:val="auto"/>
        </w:rPr>
        <w:t>hemiplegia</w:t>
      </w:r>
      <w:proofErr w:type="spellEnd"/>
      <w:r w:rsidR="004E43D7" w:rsidRPr="009178E0">
        <w:rPr>
          <w:color w:val="auto"/>
        </w:rPr>
        <w:t xml:space="preserve"> cerebral palsy and uses a power wheelchair for mobility. He has upper body spasticity and difficulty swallowing. </w:t>
      </w:r>
      <w:proofErr w:type="gramStart"/>
      <w:r w:rsidR="00F40D40" w:rsidRPr="009178E0">
        <w:rPr>
          <w:color w:val="auto"/>
        </w:rPr>
        <w:t xml:space="preserve">Filing No. </w:t>
      </w:r>
      <w:r w:rsidR="004E43D7" w:rsidRPr="009178E0">
        <w:rPr>
          <w:color w:val="auto"/>
        </w:rPr>
        <w:t>143-8</w:t>
      </w:r>
      <w:r w:rsidR="00F40D40" w:rsidRPr="009178E0">
        <w:rPr>
          <w:color w:val="auto"/>
        </w:rPr>
        <w:t>,</w:t>
      </w:r>
      <w:r w:rsidR="004E43D7" w:rsidRPr="009178E0">
        <w:rPr>
          <w:color w:val="auto"/>
        </w:rPr>
        <w:t xml:space="preserve"> at</w:t>
      </w:r>
      <w:r w:rsidR="00F40D40" w:rsidRPr="009178E0">
        <w:rPr>
          <w:color w:val="auto"/>
        </w:rPr>
        <w:t xml:space="preserve"> </w:t>
      </w:r>
      <w:r w:rsidR="004E43D7" w:rsidRPr="009178E0">
        <w:rPr>
          <w:color w:val="auto"/>
        </w:rPr>
        <w:t>16.</w:t>
      </w:r>
      <w:proofErr w:type="gramEnd"/>
      <w:r w:rsidR="004E43D7" w:rsidRPr="009178E0">
        <w:rPr>
          <w:color w:val="auto"/>
        </w:rPr>
        <w:t xml:space="preserve">  Colton Cole has spastic </w:t>
      </w:r>
      <w:proofErr w:type="spellStart"/>
      <w:r w:rsidR="004E43D7" w:rsidRPr="009178E0">
        <w:rPr>
          <w:color w:val="auto"/>
        </w:rPr>
        <w:t>hemiplegia</w:t>
      </w:r>
      <w:proofErr w:type="spellEnd"/>
      <w:r w:rsidR="004E43D7" w:rsidRPr="009178E0">
        <w:rPr>
          <w:color w:val="auto"/>
        </w:rPr>
        <w:t xml:space="preserve"> cerebral palsy and uses a power wheelchair for mobility.  He also has severe lower body spasticity and hip </w:t>
      </w:r>
      <w:proofErr w:type="spellStart"/>
      <w:r w:rsidR="004E43D7" w:rsidRPr="009178E0">
        <w:rPr>
          <w:color w:val="auto"/>
        </w:rPr>
        <w:t>subluxation</w:t>
      </w:r>
      <w:proofErr w:type="spellEnd"/>
      <w:r w:rsidR="004E43D7" w:rsidRPr="009178E0">
        <w:rPr>
          <w:color w:val="auto"/>
        </w:rPr>
        <w:t xml:space="preserve">. </w:t>
      </w:r>
      <w:proofErr w:type="gramStart"/>
      <w:r w:rsidR="00F40D40" w:rsidRPr="009178E0">
        <w:t>Filing</w:t>
      </w:r>
      <w:r w:rsidR="004E43D7" w:rsidRPr="009178E0">
        <w:t xml:space="preserve"> No. </w:t>
      </w:r>
      <w:r w:rsidR="004E43D7" w:rsidRPr="009178E0">
        <w:rPr>
          <w:color w:val="auto"/>
        </w:rPr>
        <w:t>143-8</w:t>
      </w:r>
      <w:r w:rsidR="006B64EE" w:rsidRPr="009178E0">
        <w:rPr>
          <w:color w:val="auto"/>
        </w:rPr>
        <w:t>,</w:t>
      </w:r>
      <w:r w:rsidR="004E43D7" w:rsidRPr="009178E0">
        <w:rPr>
          <w:color w:val="auto"/>
        </w:rPr>
        <w:t xml:space="preserve"> at</w:t>
      </w:r>
      <w:r w:rsidR="006B64EE" w:rsidRPr="009178E0">
        <w:rPr>
          <w:color w:val="auto"/>
        </w:rPr>
        <w:t xml:space="preserve"> </w:t>
      </w:r>
      <w:r w:rsidR="004E43D7" w:rsidRPr="009178E0">
        <w:rPr>
          <w:color w:val="auto"/>
        </w:rPr>
        <w:t>17.</w:t>
      </w:r>
      <w:proofErr w:type="gramEnd"/>
      <w:r w:rsidR="004E43D7" w:rsidRPr="009178E0">
        <w:rPr>
          <w:color w:val="auto"/>
        </w:rPr>
        <w:t xml:space="preserve"> </w:t>
      </w:r>
      <w:r w:rsidR="00877405" w:rsidRPr="009178E0">
        <w:rPr>
          <w:color w:val="auto"/>
        </w:rPr>
        <w:t>As a result,</w:t>
      </w:r>
      <w:r w:rsidR="000A48FB" w:rsidRPr="009178E0">
        <w:rPr>
          <w:color w:val="auto"/>
        </w:rPr>
        <w:t xml:space="preserve"> Plaintiffs re</w:t>
      </w:r>
      <w:r w:rsidR="00393AE1">
        <w:rPr>
          <w:color w:val="auto"/>
        </w:rPr>
        <w:t>quire assistance</w:t>
      </w:r>
      <w:r w:rsidR="00836D75" w:rsidRPr="009178E0">
        <w:rPr>
          <w:color w:val="auto"/>
        </w:rPr>
        <w:t xml:space="preserve"> with activities of daily living such a</w:t>
      </w:r>
      <w:r w:rsidR="00E92907" w:rsidRPr="009178E0">
        <w:rPr>
          <w:color w:val="auto"/>
        </w:rPr>
        <w:t>s</w:t>
      </w:r>
      <w:r w:rsidR="00836D75" w:rsidRPr="009178E0">
        <w:rPr>
          <w:color w:val="auto"/>
        </w:rPr>
        <w:t xml:space="preserve"> dressing, bathing, and mobility</w:t>
      </w:r>
      <w:r w:rsidR="000A48FB" w:rsidRPr="009178E0">
        <w:rPr>
          <w:color w:val="auto"/>
        </w:rPr>
        <w:t>.</w:t>
      </w:r>
      <w:r w:rsidR="00C13885" w:rsidRPr="00C13885">
        <w:rPr>
          <w:rStyle w:val="FootnoteReference"/>
          <w:color w:val="auto"/>
        </w:rPr>
        <w:t xml:space="preserve"> </w:t>
      </w:r>
      <w:r w:rsidR="00C13885" w:rsidRPr="009178E0">
        <w:rPr>
          <w:rStyle w:val="FootnoteReference"/>
          <w:color w:val="auto"/>
        </w:rPr>
        <w:footnoteReference w:id="1"/>
      </w:r>
      <w:r w:rsidR="00430072" w:rsidRPr="009178E0">
        <w:rPr>
          <w:color w:val="auto"/>
        </w:rPr>
        <w:t xml:space="preserve">  </w:t>
      </w:r>
      <w:r w:rsidR="007C4539">
        <w:rPr>
          <w:color w:val="auto"/>
        </w:rPr>
        <w:t>Notice of</w:t>
      </w:r>
      <w:r w:rsidR="007C4539" w:rsidRPr="009178E0">
        <w:rPr>
          <w:color w:val="auto"/>
        </w:rPr>
        <w:t xml:space="preserve"> </w:t>
      </w:r>
      <w:r w:rsidR="007C4539">
        <w:rPr>
          <w:color w:val="auto"/>
        </w:rPr>
        <w:t>Action</w:t>
      </w:r>
      <w:r w:rsidR="0096025A">
        <w:rPr>
          <w:color w:val="auto"/>
        </w:rPr>
        <w:t xml:space="preserve"> to Cody Cole</w:t>
      </w:r>
      <w:r w:rsidR="007C4539">
        <w:rPr>
          <w:color w:val="auto"/>
        </w:rPr>
        <w:t xml:space="preserve">, Family Supports Waiver, </w:t>
      </w:r>
      <w:r w:rsidR="00430072" w:rsidRPr="009178E0">
        <w:rPr>
          <w:color w:val="auto"/>
        </w:rPr>
        <w:t xml:space="preserve">Filing No. 145-4, </w:t>
      </w:r>
      <w:r w:rsidR="00224FE3">
        <w:rPr>
          <w:color w:val="auto"/>
        </w:rPr>
        <w:t xml:space="preserve">at </w:t>
      </w:r>
      <w:r w:rsidR="00430072" w:rsidRPr="009178E0">
        <w:rPr>
          <w:color w:val="auto"/>
        </w:rPr>
        <w:t xml:space="preserve">29; </w:t>
      </w:r>
      <w:r w:rsidR="007C4539">
        <w:rPr>
          <w:color w:val="auto"/>
        </w:rPr>
        <w:t>Notice of</w:t>
      </w:r>
      <w:r w:rsidR="007C4539" w:rsidRPr="009178E0">
        <w:rPr>
          <w:color w:val="auto"/>
        </w:rPr>
        <w:t xml:space="preserve"> </w:t>
      </w:r>
      <w:r w:rsidR="007C4539">
        <w:rPr>
          <w:color w:val="auto"/>
        </w:rPr>
        <w:t>Action</w:t>
      </w:r>
      <w:r w:rsidR="0096025A">
        <w:rPr>
          <w:color w:val="auto"/>
        </w:rPr>
        <w:t xml:space="preserve"> to Colton Cole</w:t>
      </w:r>
      <w:r w:rsidR="007C4539">
        <w:rPr>
          <w:color w:val="auto"/>
        </w:rPr>
        <w:t>, Family Supports Waiver</w:t>
      </w:r>
      <w:r w:rsidR="0096025A">
        <w:rPr>
          <w:color w:val="auto"/>
        </w:rPr>
        <w:t>,</w:t>
      </w:r>
      <w:r w:rsidR="007C4539">
        <w:rPr>
          <w:color w:val="auto"/>
        </w:rPr>
        <w:t xml:space="preserve"> </w:t>
      </w:r>
      <w:r w:rsidR="00430072" w:rsidRPr="009178E0">
        <w:rPr>
          <w:color w:val="auto"/>
        </w:rPr>
        <w:t xml:space="preserve">Filing No. 145-5, </w:t>
      </w:r>
      <w:r w:rsidR="00224FE3">
        <w:rPr>
          <w:color w:val="auto"/>
        </w:rPr>
        <w:t xml:space="preserve">at </w:t>
      </w:r>
      <w:r w:rsidR="00430072" w:rsidRPr="009178E0">
        <w:rPr>
          <w:color w:val="auto"/>
        </w:rPr>
        <w:t xml:space="preserve">35; </w:t>
      </w:r>
      <w:r w:rsidR="007C4539">
        <w:rPr>
          <w:color w:val="auto"/>
        </w:rPr>
        <w:t>Notice of</w:t>
      </w:r>
      <w:r w:rsidR="007C4539" w:rsidRPr="009178E0">
        <w:rPr>
          <w:color w:val="auto"/>
        </w:rPr>
        <w:t xml:space="preserve"> </w:t>
      </w:r>
      <w:r w:rsidR="007C4539">
        <w:rPr>
          <w:color w:val="auto"/>
        </w:rPr>
        <w:t>Action</w:t>
      </w:r>
      <w:r w:rsidR="0096025A">
        <w:rPr>
          <w:color w:val="auto"/>
        </w:rPr>
        <w:t xml:space="preserve"> to Thomas </w:t>
      </w:r>
      <w:proofErr w:type="spellStart"/>
      <w:r w:rsidR="0096025A">
        <w:rPr>
          <w:color w:val="auto"/>
        </w:rPr>
        <w:t>Maertz</w:t>
      </w:r>
      <w:proofErr w:type="spellEnd"/>
      <w:r w:rsidR="007C4539">
        <w:rPr>
          <w:color w:val="auto"/>
        </w:rPr>
        <w:t xml:space="preserve">, Family Supports Waiver, </w:t>
      </w:r>
      <w:r w:rsidR="00430072" w:rsidRPr="009178E0">
        <w:rPr>
          <w:color w:val="auto"/>
        </w:rPr>
        <w:t xml:space="preserve">Filing No. 145-6, </w:t>
      </w:r>
      <w:r w:rsidR="00224FE3">
        <w:rPr>
          <w:color w:val="auto"/>
        </w:rPr>
        <w:t xml:space="preserve">at </w:t>
      </w:r>
      <w:r w:rsidR="00430072" w:rsidRPr="009178E0">
        <w:rPr>
          <w:color w:val="auto"/>
        </w:rPr>
        <w:t xml:space="preserve">7. </w:t>
      </w:r>
    </w:p>
    <w:p w:rsidR="002515CD" w:rsidRDefault="00836D75" w:rsidP="006B64EE">
      <w:pPr>
        <w:pStyle w:val="Default"/>
        <w:spacing w:line="480" w:lineRule="auto"/>
        <w:ind w:firstLine="720"/>
        <w:rPr>
          <w:color w:val="auto"/>
        </w:rPr>
      </w:pPr>
      <w:r w:rsidRPr="009178E0">
        <w:rPr>
          <w:color w:val="auto"/>
        </w:rPr>
        <w:t>Plaintiffs previously received assistance and supervision through Indiana’s Aged and Disabled Medicaid Waiver Program</w:t>
      </w:r>
      <w:r w:rsidR="003209F8" w:rsidRPr="009178E0">
        <w:rPr>
          <w:color w:val="auto"/>
        </w:rPr>
        <w:t xml:space="preserve"> (“A&amp;D Waiver”)</w:t>
      </w:r>
      <w:r w:rsidR="00C13885">
        <w:rPr>
          <w:color w:val="auto"/>
        </w:rPr>
        <w:t>,</w:t>
      </w:r>
      <w:r w:rsidR="00E9325F" w:rsidRPr="009178E0">
        <w:rPr>
          <w:color w:val="auto"/>
        </w:rPr>
        <w:t xml:space="preserve"> which enabled them to live in their own homes and participate in their communities</w:t>
      </w:r>
      <w:r w:rsidR="003209F8" w:rsidRPr="009178E0">
        <w:rPr>
          <w:color w:val="auto"/>
        </w:rPr>
        <w:t>.</w:t>
      </w:r>
      <w:r w:rsidR="00E9325F" w:rsidRPr="009178E0">
        <w:rPr>
          <w:color w:val="auto"/>
        </w:rPr>
        <w:t xml:space="preserve"> </w:t>
      </w:r>
      <w:r w:rsidR="003209F8" w:rsidRPr="009178E0">
        <w:rPr>
          <w:color w:val="auto"/>
        </w:rPr>
        <w:t xml:space="preserve"> </w:t>
      </w:r>
      <w:r w:rsidR="005D6F3E" w:rsidRPr="009178E0">
        <w:rPr>
          <w:color w:val="auto"/>
        </w:rPr>
        <w:t>Medicaid Waivers</w:t>
      </w:r>
      <w:r w:rsidR="006B64EE" w:rsidRPr="009178E0">
        <w:rPr>
          <w:color w:val="auto"/>
        </w:rPr>
        <w:t xml:space="preserve"> </w:t>
      </w:r>
      <w:r w:rsidR="006B64EE" w:rsidRPr="009178E0">
        <w:rPr>
          <w:color w:val="231F20"/>
        </w:rPr>
        <w:t>“</w:t>
      </w:r>
      <w:proofErr w:type="gramStart"/>
      <w:r w:rsidR="006B64EE" w:rsidRPr="009178E0">
        <w:rPr>
          <w:color w:val="231F20"/>
        </w:rPr>
        <w:t>permit[</w:t>
      </w:r>
      <w:proofErr w:type="gramEnd"/>
      <w:r w:rsidR="006B64EE" w:rsidRPr="009178E0">
        <w:rPr>
          <w:color w:val="231F20"/>
        </w:rPr>
        <w:t>] a State to furnish an array of home and community-based services that assist Medicaid</w:t>
      </w:r>
      <w:r w:rsidR="006B64EE" w:rsidRPr="009178E0">
        <w:rPr>
          <w:color w:val="auto"/>
        </w:rPr>
        <w:t xml:space="preserve"> </w:t>
      </w:r>
      <w:r w:rsidR="006B64EE" w:rsidRPr="009178E0">
        <w:rPr>
          <w:color w:val="231F20"/>
        </w:rPr>
        <w:t>beneficiaries to live in the community and avoid institutionalization.”</w:t>
      </w:r>
      <w:r w:rsidR="006B64EE" w:rsidRPr="009178E0">
        <w:t xml:space="preserve">  </w:t>
      </w:r>
      <w:proofErr w:type="gramStart"/>
      <w:r w:rsidR="00D83B1F">
        <w:t xml:space="preserve">Appl. for § 1915(c) Home and Community-Based </w:t>
      </w:r>
      <w:proofErr w:type="spellStart"/>
      <w:r w:rsidR="00D83B1F">
        <w:t>Servs</w:t>
      </w:r>
      <w:proofErr w:type="spellEnd"/>
      <w:r w:rsidR="00D83B1F">
        <w:t>.</w:t>
      </w:r>
      <w:proofErr w:type="gramEnd"/>
      <w:r w:rsidR="00D83B1F">
        <w:t xml:space="preserve"> </w:t>
      </w:r>
      <w:proofErr w:type="gramStart"/>
      <w:r w:rsidR="00D83B1F">
        <w:t xml:space="preserve">Waiver, </w:t>
      </w:r>
      <w:r w:rsidR="00F40D40" w:rsidRPr="009178E0">
        <w:t xml:space="preserve">Filing No. </w:t>
      </w:r>
      <w:r w:rsidR="006B64EE" w:rsidRPr="009178E0">
        <w:t xml:space="preserve">143-1, at </w:t>
      </w:r>
      <w:r w:rsidR="00F40D40" w:rsidRPr="009178E0">
        <w:t>1.</w:t>
      </w:r>
      <w:proofErr w:type="gramEnd"/>
      <w:r w:rsidR="00F40D40" w:rsidRPr="009178E0">
        <w:t xml:space="preserve"> </w:t>
      </w:r>
      <w:r w:rsidR="00751619" w:rsidRPr="009178E0">
        <w:t xml:space="preserve"> These home and community-based services can include, f</w:t>
      </w:r>
      <w:r w:rsidR="005D6F3E" w:rsidRPr="009178E0">
        <w:t>or exampl</w:t>
      </w:r>
      <w:r w:rsidR="00751619" w:rsidRPr="009178E0">
        <w:t>e, home health aides who come to the individual’s private apartment or house</w:t>
      </w:r>
      <w:r w:rsidR="00F07133" w:rsidRPr="009178E0">
        <w:t xml:space="preserve"> to assist</w:t>
      </w:r>
      <w:r w:rsidR="00CD0DC9" w:rsidRPr="009178E0">
        <w:t xml:space="preserve"> with ac</w:t>
      </w:r>
      <w:r w:rsidR="009E3774" w:rsidRPr="009178E0">
        <w:t xml:space="preserve">tivities </w:t>
      </w:r>
      <w:r w:rsidR="00F07133" w:rsidRPr="009178E0">
        <w:t xml:space="preserve">of daily living </w:t>
      </w:r>
      <w:r w:rsidR="009E3774" w:rsidRPr="009178E0">
        <w:t>like transferring out of bed and into a wheelchair</w:t>
      </w:r>
      <w:r w:rsidR="005D6F3E" w:rsidRPr="009178E0">
        <w:t>.   </w:t>
      </w:r>
      <w:r w:rsidR="003209F8" w:rsidRPr="009178E0">
        <w:rPr>
          <w:color w:val="auto"/>
        </w:rPr>
        <w:t>However</w:t>
      </w:r>
      <w:r w:rsidRPr="009178E0">
        <w:rPr>
          <w:color w:val="auto"/>
        </w:rPr>
        <w:t xml:space="preserve">, the State of Indiana (“State”) </w:t>
      </w:r>
      <w:r w:rsidR="00396C21" w:rsidRPr="009178E0">
        <w:rPr>
          <w:color w:val="auto"/>
        </w:rPr>
        <w:t xml:space="preserve">Family and Social Services Administration (“FSSA”) changed its policy regarding the A&amp;D Waiver and as a result </w:t>
      </w:r>
      <w:r w:rsidRPr="009178E0">
        <w:rPr>
          <w:color w:val="auto"/>
        </w:rPr>
        <w:t>transferred Plaintiffs to the Family Supports Medicaid</w:t>
      </w:r>
      <w:r w:rsidR="00877405" w:rsidRPr="009178E0">
        <w:rPr>
          <w:color w:val="auto"/>
        </w:rPr>
        <w:t xml:space="preserve"> Waiver Program (“FS Waiver”). </w:t>
      </w:r>
      <w:proofErr w:type="gramStart"/>
      <w:r w:rsidR="008116CC">
        <w:rPr>
          <w:color w:val="auto"/>
        </w:rPr>
        <w:t>Pl</w:t>
      </w:r>
      <w:r w:rsidR="004D4962">
        <w:rPr>
          <w:color w:val="auto"/>
        </w:rPr>
        <w:t>s.’</w:t>
      </w:r>
      <w:r w:rsidR="008116CC">
        <w:rPr>
          <w:color w:val="auto"/>
        </w:rPr>
        <w:t xml:space="preserve"> Cross-Mot.</w:t>
      </w:r>
      <w:proofErr w:type="gramEnd"/>
      <w:r w:rsidR="008116CC">
        <w:rPr>
          <w:color w:val="auto"/>
        </w:rPr>
        <w:t xml:space="preserve"> </w:t>
      </w:r>
      <w:proofErr w:type="gramStart"/>
      <w:r w:rsidR="008116CC">
        <w:rPr>
          <w:color w:val="auto"/>
        </w:rPr>
        <w:t>for</w:t>
      </w:r>
      <w:proofErr w:type="gramEnd"/>
      <w:r w:rsidR="008116CC">
        <w:rPr>
          <w:color w:val="auto"/>
        </w:rPr>
        <w:t xml:space="preserve"> </w:t>
      </w:r>
      <w:proofErr w:type="spellStart"/>
      <w:r w:rsidR="008116CC">
        <w:rPr>
          <w:color w:val="auto"/>
        </w:rPr>
        <w:t>Summ</w:t>
      </w:r>
      <w:proofErr w:type="spellEnd"/>
      <w:r w:rsidR="008116CC">
        <w:rPr>
          <w:color w:val="auto"/>
        </w:rPr>
        <w:t xml:space="preserve">. </w:t>
      </w:r>
      <w:proofErr w:type="gramStart"/>
      <w:r w:rsidR="008116CC">
        <w:rPr>
          <w:color w:val="auto"/>
        </w:rPr>
        <w:t>J.</w:t>
      </w:r>
      <w:r w:rsidR="00CC125A">
        <w:rPr>
          <w:color w:val="auto"/>
        </w:rPr>
        <w:t xml:space="preserve">, </w:t>
      </w:r>
      <w:r w:rsidR="00B61FA9" w:rsidRPr="009178E0">
        <w:rPr>
          <w:color w:val="auto"/>
        </w:rPr>
        <w:t>Filing</w:t>
      </w:r>
      <w:r w:rsidR="00E9325F" w:rsidRPr="009178E0">
        <w:rPr>
          <w:color w:val="auto"/>
        </w:rPr>
        <w:t xml:space="preserve"> 146</w:t>
      </w:r>
      <w:r w:rsidR="00B61FA9" w:rsidRPr="009178E0">
        <w:rPr>
          <w:color w:val="auto"/>
        </w:rPr>
        <w:t>,</w:t>
      </w:r>
      <w:r w:rsidRPr="009178E0">
        <w:rPr>
          <w:color w:val="auto"/>
        </w:rPr>
        <w:t xml:space="preserve"> at </w:t>
      </w:r>
      <w:r w:rsidR="00E9325F" w:rsidRPr="009178E0">
        <w:rPr>
          <w:color w:val="auto"/>
        </w:rPr>
        <w:t>1</w:t>
      </w:r>
      <w:r w:rsidRPr="009178E0">
        <w:rPr>
          <w:color w:val="auto"/>
        </w:rPr>
        <w:t>.</w:t>
      </w:r>
      <w:proofErr w:type="gramEnd"/>
      <w:r w:rsidRPr="009178E0">
        <w:rPr>
          <w:color w:val="auto"/>
        </w:rPr>
        <w:t xml:space="preserve"> </w:t>
      </w:r>
      <w:r w:rsidR="00D60929" w:rsidRPr="009178E0">
        <w:rPr>
          <w:color w:val="auto"/>
        </w:rPr>
        <w:t>T</w:t>
      </w:r>
      <w:r w:rsidR="00444F60" w:rsidRPr="009178E0">
        <w:rPr>
          <w:color w:val="auto"/>
        </w:rPr>
        <w:t>he FS Waiver services</w:t>
      </w:r>
      <w:r w:rsidR="00A072DF" w:rsidRPr="009178E0">
        <w:rPr>
          <w:color w:val="auto"/>
        </w:rPr>
        <w:t>, alone,</w:t>
      </w:r>
      <w:r w:rsidR="00444F60" w:rsidRPr="009178E0">
        <w:rPr>
          <w:color w:val="auto"/>
        </w:rPr>
        <w:t xml:space="preserve"> </w:t>
      </w:r>
      <w:r w:rsidR="00B15CA2" w:rsidRPr="009178E0">
        <w:rPr>
          <w:color w:val="auto"/>
        </w:rPr>
        <w:t>are insufficient</w:t>
      </w:r>
      <w:r w:rsidR="00444F60" w:rsidRPr="009178E0">
        <w:rPr>
          <w:color w:val="auto"/>
        </w:rPr>
        <w:t xml:space="preserve"> to enable </w:t>
      </w:r>
      <w:r w:rsidR="00D60929" w:rsidRPr="009178E0">
        <w:rPr>
          <w:color w:val="auto"/>
        </w:rPr>
        <w:t>Plaintiffs</w:t>
      </w:r>
      <w:r w:rsidR="00444F60" w:rsidRPr="009178E0">
        <w:rPr>
          <w:color w:val="auto"/>
        </w:rPr>
        <w:t xml:space="preserve"> to live at home and participate in their communities</w:t>
      </w:r>
      <w:r w:rsidR="005F4008" w:rsidRPr="009178E0">
        <w:rPr>
          <w:color w:val="auto"/>
        </w:rPr>
        <w:t>.</w:t>
      </w:r>
      <w:r w:rsidR="00224FE3">
        <w:rPr>
          <w:color w:val="auto"/>
        </w:rPr>
        <w:t xml:space="preserve">  </w:t>
      </w:r>
      <w:r w:rsidR="00224FE3" w:rsidRPr="009178E0">
        <w:rPr>
          <w:color w:val="auto"/>
        </w:rPr>
        <w:t xml:space="preserve">Filing 146, at </w:t>
      </w:r>
      <w:r w:rsidR="00224FE3">
        <w:rPr>
          <w:color w:val="auto"/>
        </w:rPr>
        <w:t>13-15.</w:t>
      </w:r>
      <w:r w:rsidR="005F4008" w:rsidRPr="009178E0">
        <w:rPr>
          <w:color w:val="auto"/>
        </w:rPr>
        <w:t xml:space="preserve">  </w:t>
      </w:r>
      <w:r w:rsidR="00444F60" w:rsidRPr="009178E0">
        <w:rPr>
          <w:color w:val="auto"/>
        </w:rPr>
        <w:t xml:space="preserve">  </w:t>
      </w:r>
    </w:p>
    <w:p w:rsidR="000669A1" w:rsidRPr="009178E0" w:rsidRDefault="00224FE3" w:rsidP="000669A1">
      <w:pPr>
        <w:pStyle w:val="Default"/>
        <w:spacing w:line="480" w:lineRule="auto"/>
        <w:ind w:firstLine="720"/>
        <w:rPr>
          <w:color w:val="auto"/>
        </w:rPr>
      </w:pPr>
      <w:r>
        <w:rPr>
          <w:color w:val="auto"/>
        </w:rPr>
        <w:t>T</w:t>
      </w:r>
      <w:r w:rsidR="000669A1" w:rsidRPr="009178E0">
        <w:rPr>
          <w:color w:val="auto"/>
        </w:rPr>
        <w:t xml:space="preserve">he </w:t>
      </w:r>
      <w:r w:rsidR="00DD1F5E">
        <w:rPr>
          <w:color w:val="auto"/>
        </w:rPr>
        <w:t xml:space="preserve">State’s </w:t>
      </w:r>
      <w:r w:rsidR="000669A1" w:rsidRPr="009178E0">
        <w:rPr>
          <w:color w:val="auto"/>
        </w:rPr>
        <w:t>reduc</w:t>
      </w:r>
      <w:r w:rsidR="00DD1F5E">
        <w:rPr>
          <w:color w:val="auto"/>
        </w:rPr>
        <w:t xml:space="preserve">tion of </w:t>
      </w:r>
      <w:r>
        <w:rPr>
          <w:color w:val="auto"/>
        </w:rPr>
        <w:t>Plaintiffs’</w:t>
      </w:r>
      <w:r w:rsidRPr="009178E0">
        <w:rPr>
          <w:color w:val="auto"/>
        </w:rPr>
        <w:t xml:space="preserve"> </w:t>
      </w:r>
      <w:r w:rsidR="000669A1" w:rsidRPr="009178E0">
        <w:rPr>
          <w:color w:val="auto"/>
        </w:rPr>
        <w:t xml:space="preserve">services </w:t>
      </w:r>
      <w:r w:rsidR="00DD1F5E">
        <w:rPr>
          <w:color w:val="auto"/>
        </w:rPr>
        <w:t>is</w:t>
      </w:r>
      <w:r w:rsidR="000669A1" w:rsidRPr="009178E0">
        <w:rPr>
          <w:color w:val="auto"/>
        </w:rPr>
        <w:t xml:space="preserve"> already harming their health.  Under the FS Waiver, </w:t>
      </w:r>
      <w:r w:rsidR="000669A1">
        <w:rPr>
          <w:color w:val="auto"/>
        </w:rPr>
        <w:t xml:space="preserve">Plaintiffs </w:t>
      </w:r>
      <w:r w:rsidR="000669A1" w:rsidRPr="009178E0">
        <w:rPr>
          <w:color w:val="auto"/>
        </w:rPr>
        <w:t>Colton and Cody Cole</w:t>
      </w:r>
      <w:r w:rsidR="009B7745">
        <w:rPr>
          <w:color w:val="auto"/>
        </w:rPr>
        <w:t>’s hours were drastically reduced, so that they</w:t>
      </w:r>
      <w:r w:rsidR="000669A1" w:rsidRPr="009178E0">
        <w:rPr>
          <w:color w:val="auto"/>
        </w:rPr>
        <w:t xml:space="preserve"> are</w:t>
      </w:r>
      <w:r w:rsidR="009B7745">
        <w:rPr>
          <w:color w:val="auto"/>
        </w:rPr>
        <w:t xml:space="preserve"> now</w:t>
      </w:r>
      <w:r w:rsidR="000669A1" w:rsidRPr="009178E0">
        <w:rPr>
          <w:color w:val="auto"/>
        </w:rPr>
        <w:t xml:space="preserve"> served by a single aide for an extended period each week although they live in separate residences and require frequent assistance.  </w:t>
      </w:r>
      <w:proofErr w:type="gramStart"/>
      <w:r w:rsidR="00A12154">
        <w:rPr>
          <w:color w:val="auto"/>
        </w:rPr>
        <w:t>Tamara Wald</w:t>
      </w:r>
      <w:r w:rsidR="003920C1">
        <w:rPr>
          <w:color w:val="auto"/>
        </w:rPr>
        <w:t xml:space="preserve"> </w:t>
      </w:r>
      <w:proofErr w:type="spellStart"/>
      <w:r w:rsidR="003920C1">
        <w:rPr>
          <w:color w:val="auto"/>
        </w:rPr>
        <w:t>Aff</w:t>
      </w:r>
      <w:proofErr w:type="spellEnd"/>
      <w:r w:rsidR="003920C1">
        <w:rPr>
          <w:color w:val="auto"/>
        </w:rPr>
        <w:t>.</w:t>
      </w:r>
      <w:r w:rsidR="00A12154">
        <w:rPr>
          <w:color w:val="auto"/>
        </w:rPr>
        <w:t>,</w:t>
      </w:r>
      <w:r w:rsidR="00A12154" w:rsidRPr="009178E0">
        <w:rPr>
          <w:color w:val="auto"/>
        </w:rPr>
        <w:t xml:space="preserve"> </w:t>
      </w:r>
      <w:r w:rsidR="000669A1" w:rsidRPr="009178E0">
        <w:rPr>
          <w:color w:val="auto"/>
        </w:rPr>
        <w:t xml:space="preserve">Filing No. 145-2, </w:t>
      </w:r>
      <w:r>
        <w:rPr>
          <w:color w:val="auto"/>
        </w:rPr>
        <w:t xml:space="preserve">at </w:t>
      </w:r>
      <w:r w:rsidR="000669A1" w:rsidRPr="009178E0">
        <w:rPr>
          <w:color w:val="auto"/>
        </w:rPr>
        <w:t>3-5.</w:t>
      </w:r>
      <w:proofErr w:type="gramEnd"/>
      <w:r w:rsidR="000669A1" w:rsidRPr="009178E0">
        <w:rPr>
          <w:color w:val="auto"/>
        </w:rPr>
        <w:t xml:space="preserve">  At times when the aide was shuttling back and forth, each man fell and had to call for emergency assistance</w:t>
      </w:r>
      <w:r w:rsidR="00A12154">
        <w:rPr>
          <w:color w:val="auto"/>
        </w:rPr>
        <w:t xml:space="preserve">. </w:t>
      </w:r>
      <w:proofErr w:type="gramStart"/>
      <w:r w:rsidR="000669A1" w:rsidRPr="009178E0">
        <w:rPr>
          <w:color w:val="auto"/>
        </w:rPr>
        <w:t xml:space="preserve">Filing No. 145-2, </w:t>
      </w:r>
      <w:r>
        <w:rPr>
          <w:color w:val="auto"/>
        </w:rPr>
        <w:t xml:space="preserve">at </w:t>
      </w:r>
      <w:r w:rsidR="000669A1" w:rsidRPr="009178E0">
        <w:rPr>
          <w:color w:val="auto"/>
        </w:rPr>
        <w:t>5.</w:t>
      </w:r>
      <w:proofErr w:type="gramEnd"/>
      <w:r w:rsidR="000669A1" w:rsidRPr="009178E0">
        <w:rPr>
          <w:color w:val="auto"/>
        </w:rPr>
        <w:t xml:space="preserve"> Similarly, </w:t>
      </w:r>
      <w:r w:rsidR="009B7745">
        <w:rPr>
          <w:color w:val="auto"/>
        </w:rPr>
        <w:t>under the A&amp;D Waiver</w:t>
      </w:r>
      <w:r w:rsidR="00DD1F5E">
        <w:rPr>
          <w:color w:val="auto"/>
        </w:rPr>
        <w:t xml:space="preserve"> Plaintiff Thomas </w:t>
      </w:r>
      <w:proofErr w:type="spellStart"/>
      <w:r w:rsidR="00DD1F5E">
        <w:rPr>
          <w:color w:val="auto"/>
        </w:rPr>
        <w:t>Maertz</w:t>
      </w:r>
      <w:proofErr w:type="spellEnd"/>
      <w:r w:rsidR="00DD1F5E">
        <w:rPr>
          <w:color w:val="auto"/>
        </w:rPr>
        <w:t xml:space="preserve"> received approximately forty hours of services per week, but </w:t>
      </w:r>
      <w:r w:rsidR="000669A1" w:rsidRPr="009178E0">
        <w:rPr>
          <w:color w:val="auto"/>
        </w:rPr>
        <w:t>under the FS Waiver,</w:t>
      </w:r>
      <w:r w:rsidR="00DD1F5E">
        <w:rPr>
          <w:color w:val="auto"/>
        </w:rPr>
        <w:t xml:space="preserve"> </w:t>
      </w:r>
      <w:r w:rsidR="00F56D32">
        <w:rPr>
          <w:color w:val="auto"/>
        </w:rPr>
        <w:t>he only receives</w:t>
      </w:r>
      <w:r w:rsidR="00DD1F5E">
        <w:rPr>
          <w:color w:val="auto"/>
        </w:rPr>
        <w:t xml:space="preserve"> twelve hours of services per week.</w:t>
      </w:r>
      <w:r w:rsidR="000669A1" w:rsidRPr="009178E0">
        <w:rPr>
          <w:color w:val="auto"/>
        </w:rPr>
        <w:t xml:space="preserve"> </w:t>
      </w:r>
      <w:proofErr w:type="gramStart"/>
      <w:r w:rsidR="008116CC">
        <w:rPr>
          <w:color w:val="auto"/>
        </w:rPr>
        <w:t>Francesca Kemp</w:t>
      </w:r>
      <w:r w:rsidR="003920C1">
        <w:rPr>
          <w:color w:val="auto"/>
        </w:rPr>
        <w:t xml:space="preserve"> </w:t>
      </w:r>
      <w:proofErr w:type="spellStart"/>
      <w:r w:rsidR="003920C1">
        <w:rPr>
          <w:color w:val="auto"/>
        </w:rPr>
        <w:t>Aff</w:t>
      </w:r>
      <w:proofErr w:type="spellEnd"/>
      <w:r w:rsidR="003920C1">
        <w:rPr>
          <w:color w:val="auto"/>
        </w:rPr>
        <w:t>.</w:t>
      </w:r>
      <w:r w:rsidR="008116CC">
        <w:rPr>
          <w:color w:val="auto"/>
        </w:rPr>
        <w:t xml:space="preserve">, </w:t>
      </w:r>
      <w:r w:rsidR="00DD1F5E">
        <w:rPr>
          <w:color w:val="auto"/>
        </w:rPr>
        <w:t xml:space="preserve">Filing No. 145-3, </w:t>
      </w:r>
      <w:r>
        <w:rPr>
          <w:color w:val="auto"/>
        </w:rPr>
        <w:t xml:space="preserve">at </w:t>
      </w:r>
      <w:r w:rsidR="00DD1F5E">
        <w:rPr>
          <w:color w:val="auto"/>
        </w:rPr>
        <w:t>2-3.</w:t>
      </w:r>
      <w:proofErr w:type="gramEnd"/>
      <w:r w:rsidR="00DD1F5E">
        <w:rPr>
          <w:color w:val="auto"/>
        </w:rPr>
        <w:t xml:space="preserve">  With this lower level of services, </w:t>
      </w:r>
      <w:r w:rsidR="000669A1">
        <w:rPr>
          <w:color w:val="auto"/>
        </w:rPr>
        <w:t xml:space="preserve">Plaintiff </w:t>
      </w:r>
      <w:r w:rsidR="000669A1" w:rsidRPr="009178E0">
        <w:rPr>
          <w:color w:val="auto"/>
        </w:rPr>
        <w:t xml:space="preserve">Thomas </w:t>
      </w:r>
      <w:proofErr w:type="spellStart"/>
      <w:r w:rsidR="000669A1" w:rsidRPr="009178E0">
        <w:rPr>
          <w:color w:val="auto"/>
        </w:rPr>
        <w:t>Maertz</w:t>
      </w:r>
      <w:proofErr w:type="spellEnd"/>
      <w:r w:rsidR="000669A1" w:rsidRPr="009178E0">
        <w:rPr>
          <w:color w:val="auto"/>
        </w:rPr>
        <w:t xml:space="preserve"> became increasingly lethargic and depressed.  </w:t>
      </w:r>
      <w:proofErr w:type="gramStart"/>
      <w:r w:rsidR="000669A1" w:rsidRPr="009178E0">
        <w:rPr>
          <w:color w:val="auto"/>
        </w:rPr>
        <w:t xml:space="preserve">Filing No. 145-3, </w:t>
      </w:r>
      <w:r>
        <w:rPr>
          <w:color w:val="auto"/>
        </w:rPr>
        <w:t xml:space="preserve">at </w:t>
      </w:r>
      <w:r w:rsidR="000669A1" w:rsidRPr="009178E0">
        <w:rPr>
          <w:color w:val="auto"/>
        </w:rPr>
        <w:t>4-5.</w:t>
      </w:r>
      <w:proofErr w:type="gramEnd"/>
      <w:r w:rsidR="000669A1" w:rsidRPr="009178E0">
        <w:rPr>
          <w:color w:val="auto"/>
        </w:rPr>
        <w:t xml:space="preserve"> </w:t>
      </w:r>
    </w:p>
    <w:p w:rsidR="00833DDF" w:rsidRPr="009178E0" w:rsidRDefault="00444F60" w:rsidP="002515CD">
      <w:pPr>
        <w:pStyle w:val="Default"/>
        <w:spacing w:line="480" w:lineRule="auto"/>
        <w:ind w:firstLine="720"/>
        <w:rPr>
          <w:color w:val="auto"/>
        </w:rPr>
      </w:pPr>
      <w:r w:rsidRPr="009178E0">
        <w:rPr>
          <w:color w:val="auto"/>
        </w:rPr>
        <w:t>But for the willingness of Plaintiffs’ family members to provide care, Plaintiffs would</w:t>
      </w:r>
      <w:r w:rsidR="00F34525">
        <w:rPr>
          <w:color w:val="auto"/>
        </w:rPr>
        <w:t xml:space="preserve"> immediately</w:t>
      </w:r>
      <w:r w:rsidRPr="009178E0">
        <w:rPr>
          <w:color w:val="auto"/>
        </w:rPr>
        <w:t xml:space="preserve"> be </w:t>
      </w:r>
      <w:r w:rsidR="00A61D81" w:rsidRPr="009178E0">
        <w:rPr>
          <w:color w:val="auto"/>
        </w:rPr>
        <w:t xml:space="preserve">forced to move out of their own homes and into institutions </w:t>
      </w:r>
      <w:r w:rsidR="0016275E" w:rsidRPr="009178E0">
        <w:rPr>
          <w:color w:val="auto"/>
        </w:rPr>
        <w:t>for people with disabilities</w:t>
      </w:r>
      <w:r w:rsidR="00A61D81" w:rsidRPr="009178E0">
        <w:rPr>
          <w:color w:val="auto"/>
        </w:rPr>
        <w:t xml:space="preserve">.  </w:t>
      </w:r>
      <w:proofErr w:type="gramStart"/>
      <w:r w:rsidR="00A61D81" w:rsidRPr="009178E0">
        <w:rPr>
          <w:color w:val="auto"/>
        </w:rPr>
        <w:t xml:space="preserve">Filing No. 146, </w:t>
      </w:r>
      <w:r w:rsidR="00224FE3">
        <w:rPr>
          <w:color w:val="auto"/>
        </w:rPr>
        <w:t xml:space="preserve">at </w:t>
      </w:r>
      <w:r w:rsidR="00A61D81" w:rsidRPr="009178E0">
        <w:rPr>
          <w:color w:val="auto"/>
        </w:rPr>
        <w:t>3.</w:t>
      </w:r>
      <w:proofErr w:type="gramEnd"/>
      <w:r w:rsidR="00C8198C" w:rsidRPr="009178E0">
        <w:rPr>
          <w:color w:val="auto"/>
        </w:rPr>
        <w:t xml:space="preserve">  For example, </w:t>
      </w:r>
      <w:r w:rsidR="00033739" w:rsidRPr="009178E0">
        <w:t xml:space="preserve">Ms. </w:t>
      </w:r>
      <w:r w:rsidR="00C8198C" w:rsidRPr="009178E0">
        <w:t xml:space="preserve">Francesca </w:t>
      </w:r>
      <w:r w:rsidR="0036211C" w:rsidRPr="009178E0">
        <w:t xml:space="preserve">Kemp, </w:t>
      </w:r>
      <w:r w:rsidR="00033739" w:rsidRPr="009178E0">
        <w:t>sister to</w:t>
      </w:r>
      <w:r w:rsidR="00C8198C" w:rsidRPr="009178E0">
        <w:t xml:space="preserve"> Plaintiff Thomas</w:t>
      </w:r>
      <w:r w:rsidR="0036211C" w:rsidRPr="009178E0">
        <w:t xml:space="preserve"> </w:t>
      </w:r>
      <w:proofErr w:type="spellStart"/>
      <w:r w:rsidR="0036211C" w:rsidRPr="009178E0">
        <w:t>Maertz</w:t>
      </w:r>
      <w:proofErr w:type="spellEnd"/>
      <w:r w:rsidR="0036211C" w:rsidRPr="009178E0">
        <w:t>,</w:t>
      </w:r>
      <w:r w:rsidR="00033739" w:rsidRPr="009178E0">
        <w:t xml:space="preserve"> </w:t>
      </w:r>
      <w:r w:rsidR="00C8198C" w:rsidRPr="009178E0">
        <w:t>previously worked</w:t>
      </w:r>
      <w:r w:rsidR="00033739" w:rsidRPr="009178E0">
        <w:t xml:space="preserve"> 52 hours per week</w:t>
      </w:r>
      <w:r w:rsidR="0036211C" w:rsidRPr="009178E0">
        <w:t xml:space="preserve"> while Plaintiff </w:t>
      </w:r>
      <w:proofErr w:type="spellStart"/>
      <w:r w:rsidR="0036211C" w:rsidRPr="009178E0">
        <w:t>Maertz</w:t>
      </w:r>
      <w:proofErr w:type="spellEnd"/>
      <w:r w:rsidR="0036211C" w:rsidRPr="009178E0">
        <w:t xml:space="preserve"> received A&amp;D Waiver services</w:t>
      </w:r>
      <w:r w:rsidRPr="009178E0">
        <w:t xml:space="preserve">. In order for him to remain in their home now that Mr. </w:t>
      </w:r>
      <w:proofErr w:type="spellStart"/>
      <w:r w:rsidRPr="009178E0">
        <w:t>Maertz</w:t>
      </w:r>
      <w:proofErr w:type="spellEnd"/>
      <w:r w:rsidRPr="009178E0">
        <w:t xml:space="preserve"> is receiving FS Waiver services, Ms. Kemp</w:t>
      </w:r>
      <w:r w:rsidR="008C56C3" w:rsidRPr="009178E0">
        <w:t xml:space="preserve"> </w:t>
      </w:r>
      <w:r w:rsidRPr="009178E0">
        <w:t xml:space="preserve">cut her work </w:t>
      </w:r>
      <w:r w:rsidR="008C56C3" w:rsidRPr="009178E0">
        <w:t>hours</w:t>
      </w:r>
      <w:r w:rsidR="00791199" w:rsidRPr="009178E0">
        <w:t xml:space="preserve"> </w:t>
      </w:r>
      <w:r w:rsidR="0038252D" w:rsidRPr="009178E0">
        <w:t>to stay</w:t>
      </w:r>
      <w:r w:rsidR="00033739" w:rsidRPr="009178E0">
        <w:t xml:space="preserve"> home with </w:t>
      </w:r>
      <w:r w:rsidR="00C8198C" w:rsidRPr="009178E0">
        <w:t xml:space="preserve">Mr. </w:t>
      </w:r>
      <w:proofErr w:type="spellStart"/>
      <w:r w:rsidR="00C8198C" w:rsidRPr="009178E0">
        <w:t>Maertz</w:t>
      </w:r>
      <w:proofErr w:type="spellEnd"/>
      <w:r w:rsidR="00C8198C" w:rsidRPr="009178E0">
        <w:t xml:space="preserve"> and assist him during </w:t>
      </w:r>
      <w:r w:rsidR="001759CA" w:rsidRPr="009178E0">
        <w:t>days and times</w:t>
      </w:r>
      <w:r w:rsidR="00C8198C" w:rsidRPr="009178E0">
        <w:t xml:space="preserve"> that the FS Waiver does not provide services</w:t>
      </w:r>
      <w:r w:rsidR="00033739" w:rsidRPr="009178E0">
        <w:t xml:space="preserve">. </w:t>
      </w:r>
      <w:proofErr w:type="gramStart"/>
      <w:r w:rsidR="00C8198C" w:rsidRPr="009178E0">
        <w:t xml:space="preserve">Filing No. </w:t>
      </w:r>
      <w:r w:rsidR="00033739" w:rsidRPr="009178E0">
        <w:t>143-8</w:t>
      </w:r>
      <w:r w:rsidR="00C8198C" w:rsidRPr="009178E0">
        <w:t xml:space="preserve">, </w:t>
      </w:r>
      <w:r w:rsidR="00224FE3">
        <w:t xml:space="preserve">at </w:t>
      </w:r>
      <w:r w:rsidR="00033739" w:rsidRPr="009178E0">
        <w:t>6.</w:t>
      </w:r>
      <w:proofErr w:type="gramEnd"/>
      <w:r w:rsidR="00033739" w:rsidRPr="009178E0">
        <w:t xml:space="preserve">  </w:t>
      </w:r>
      <w:r w:rsidR="0002038A" w:rsidRPr="009178E0">
        <w:t>Similarly</w:t>
      </w:r>
      <w:proofErr w:type="gramStart"/>
      <w:r w:rsidR="0002038A" w:rsidRPr="009178E0">
        <w:t xml:space="preserve">, </w:t>
      </w:r>
      <w:r w:rsidR="00A14D4D">
        <w:t xml:space="preserve"> </w:t>
      </w:r>
      <w:r w:rsidRPr="009178E0">
        <w:t>the</w:t>
      </w:r>
      <w:proofErr w:type="gramEnd"/>
      <w:r w:rsidRPr="009178E0">
        <w:t xml:space="preserve"> FS Waiver does not provide sufficient services to Colton and Cody Cole, and so </w:t>
      </w:r>
      <w:r w:rsidR="00303DDF" w:rsidRPr="009178E0">
        <w:t xml:space="preserve">Ms. Tamara </w:t>
      </w:r>
      <w:proofErr w:type="spellStart"/>
      <w:r w:rsidR="00303DDF" w:rsidRPr="009178E0">
        <w:t>Awald</w:t>
      </w:r>
      <w:proofErr w:type="spellEnd"/>
      <w:r w:rsidR="00303DDF" w:rsidRPr="009178E0">
        <w:t xml:space="preserve"> (Plaintiff Colton and Cody Cole’s parent)</w:t>
      </w:r>
      <w:r w:rsidR="00652AB4" w:rsidRPr="009178E0">
        <w:t xml:space="preserve"> provides </w:t>
      </w:r>
      <w:r w:rsidRPr="009178E0">
        <w:t>additional care to them herself</w:t>
      </w:r>
      <w:r w:rsidR="00652AB4" w:rsidRPr="009178E0">
        <w:t xml:space="preserve"> and</w:t>
      </w:r>
      <w:r w:rsidR="00033739" w:rsidRPr="009178E0">
        <w:t xml:space="preserve"> has paid $2,000 out of pocket for services previously provided through </w:t>
      </w:r>
      <w:r w:rsidR="00D03B15" w:rsidRPr="009178E0">
        <w:t xml:space="preserve">the </w:t>
      </w:r>
      <w:r w:rsidR="00033739" w:rsidRPr="009178E0">
        <w:t xml:space="preserve">A&amp;D waiver. </w:t>
      </w:r>
      <w:proofErr w:type="gramStart"/>
      <w:r w:rsidR="00652AB4" w:rsidRPr="009178E0">
        <w:t xml:space="preserve">Filing No. </w:t>
      </w:r>
      <w:r w:rsidR="00033739" w:rsidRPr="009178E0">
        <w:t>143-8</w:t>
      </w:r>
      <w:r w:rsidR="00652AB4" w:rsidRPr="009178E0">
        <w:t xml:space="preserve">, </w:t>
      </w:r>
      <w:r w:rsidR="00224FE3">
        <w:t xml:space="preserve">at </w:t>
      </w:r>
      <w:r w:rsidR="00033739" w:rsidRPr="009178E0">
        <w:t>8.</w:t>
      </w:r>
      <w:proofErr w:type="gramEnd"/>
      <w:r w:rsidR="00033739" w:rsidRPr="009178E0">
        <w:t xml:space="preserve"> </w:t>
      </w:r>
    </w:p>
    <w:p w:rsidR="00071AA2" w:rsidRPr="009178E0" w:rsidRDefault="00510BD4" w:rsidP="008E6EDE">
      <w:pPr>
        <w:pStyle w:val="Default"/>
        <w:spacing w:line="480" w:lineRule="auto"/>
        <w:ind w:firstLine="720"/>
        <w:rPr>
          <w:color w:val="auto"/>
        </w:rPr>
      </w:pPr>
      <w:r>
        <w:t>Plaintiffs have put forth evidence that t</w:t>
      </w:r>
      <w:r w:rsidR="00185AD4" w:rsidRPr="009178E0">
        <w:t>he</w:t>
      </w:r>
      <w:r w:rsidR="00F6645F">
        <w:t xml:space="preserve"> State’s cuts to </w:t>
      </w:r>
      <w:r>
        <w:t>their</w:t>
      </w:r>
      <w:r w:rsidR="00A14D4D">
        <w:t xml:space="preserve"> </w:t>
      </w:r>
      <w:r w:rsidR="00F6645F">
        <w:t>services will likely force them into institutions</w:t>
      </w:r>
      <w:r w:rsidR="00185AD4" w:rsidRPr="009178E0">
        <w:t xml:space="preserve">. Ms. </w:t>
      </w:r>
      <w:proofErr w:type="spellStart"/>
      <w:r w:rsidR="00D03B15" w:rsidRPr="009178E0">
        <w:t>Awald</w:t>
      </w:r>
      <w:proofErr w:type="spellEnd"/>
      <w:r w:rsidR="00185AD4" w:rsidRPr="009178E0">
        <w:t xml:space="preserve"> will be “</w:t>
      </w:r>
      <w:r w:rsidR="00033739" w:rsidRPr="009178E0">
        <w:t>forced to seriously contemplate institutionalization for both Colton and Cody as the FS Waiver does not offer sufficient services to ensure their care and supervision</w:t>
      </w:r>
      <w:r w:rsidR="00185AD4" w:rsidRPr="009178E0">
        <w:t>.”</w:t>
      </w:r>
      <w:r w:rsidR="00033739" w:rsidRPr="009178E0">
        <w:t xml:space="preserve"> </w:t>
      </w:r>
      <w:proofErr w:type="gramStart"/>
      <w:r w:rsidR="00185AD4" w:rsidRPr="009178E0">
        <w:t>Filing No.</w:t>
      </w:r>
      <w:r w:rsidR="00033739" w:rsidRPr="009178E0">
        <w:t xml:space="preserve"> 143-8</w:t>
      </w:r>
      <w:r w:rsidR="00185AD4" w:rsidRPr="009178E0">
        <w:t xml:space="preserve">, </w:t>
      </w:r>
      <w:r w:rsidR="00224FE3">
        <w:t xml:space="preserve">at </w:t>
      </w:r>
      <w:r w:rsidR="00033739" w:rsidRPr="009178E0">
        <w:t>8-9.</w:t>
      </w:r>
      <w:proofErr w:type="gramEnd"/>
      <w:r w:rsidR="00033739" w:rsidRPr="009178E0">
        <w:t xml:space="preserve"> </w:t>
      </w:r>
      <w:r w:rsidR="00F06AB2" w:rsidRPr="009178E0">
        <w:t>Likewise</w:t>
      </w:r>
      <w:r w:rsidR="00185AD4" w:rsidRPr="009178E0">
        <w:t>, “[</w:t>
      </w:r>
      <w:proofErr w:type="spellStart"/>
      <w:r w:rsidR="00185AD4" w:rsidRPr="009178E0">
        <w:t>i</w:t>
      </w:r>
      <w:proofErr w:type="spellEnd"/>
      <w:r w:rsidR="00185AD4" w:rsidRPr="009178E0">
        <w:t>]</w:t>
      </w:r>
      <w:r w:rsidR="00033739" w:rsidRPr="009178E0">
        <w:t>f</w:t>
      </w:r>
      <w:r w:rsidR="00A56B65" w:rsidRPr="009178E0">
        <w:t xml:space="preserve"> it were not for [Ms. Kemp’s] care and assistance, there is absolutely no doubt that Thomas [</w:t>
      </w:r>
      <w:proofErr w:type="spellStart"/>
      <w:r w:rsidR="00A56B65" w:rsidRPr="009178E0">
        <w:t>Maertz</w:t>
      </w:r>
      <w:proofErr w:type="spellEnd"/>
      <w:r w:rsidR="00A56B65" w:rsidRPr="009178E0">
        <w:t>] would require institutio</w:t>
      </w:r>
      <w:r w:rsidR="00DD1F5E">
        <w:t xml:space="preserve">nalization.” </w:t>
      </w:r>
      <w:proofErr w:type="gramStart"/>
      <w:r w:rsidR="00DD1F5E">
        <w:t xml:space="preserve">Filing No. 145-3, </w:t>
      </w:r>
      <w:r w:rsidR="00224FE3">
        <w:t xml:space="preserve">at </w:t>
      </w:r>
      <w:r w:rsidR="00A56B65" w:rsidRPr="009178E0">
        <w:t>4.</w:t>
      </w:r>
      <w:proofErr w:type="gramEnd"/>
      <w:r w:rsidR="00A56B65" w:rsidRPr="009178E0">
        <w:t xml:space="preserve">  Ms. Kemp</w:t>
      </w:r>
      <w:r w:rsidR="00FA4F57" w:rsidRPr="009178E0">
        <w:t xml:space="preserve"> </w:t>
      </w:r>
      <w:r w:rsidR="00F06AB2" w:rsidRPr="009178E0">
        <w:t>is</w:t>
      </w:r>
      <w:r w:rsidR="00A56B65" w:rsidRPr="009178E0">
        <w:t xml:space="preserve"> “expecting a child in or around September of 2015” and “it will be exceedingly difficult to provide constant care and supervision to Thomas [</w:t>
      </w:r>
      <w:proofErr w:type="spellStart"/>
      <w:r w:rsidR="00A56B65" w:rsidRPr="009178E0">
        <w:t>Maertz</w:t>
      </w:r>
      <w:proofErr w:type="spellEnd"/>
      <w:r w:rsidR="00A56B65" w:rsidRPr="009178E0">
        <w:t>] while at the same time caring for an infant</w:t>
      </w:r>
      <w:r w:rsidR="008F22F5" w:rsidRPr="009178E0">
        <w:t>.</w:t>
      </w:r>
      <w:r w:rsidR="00A56B65" w:rsidRPr="009178E0">
        <w:t xml:space="preserve">” </w:t>
      </w:r>
      <w:proofErr w:type="gramStart"/>
      <w:r w:rsidR="00A56B65" w:rsidRPr="009178E0">
        <w:t xml:space="preserve">Filing No. 145-3, </w:t>
      </w:r>
      <w:r w:rsidR="00224FE3">
        <w:t xml:space="preserve">at </w:t>
      </w:r>
      <w:r w:rsidR="00A56B65" w:rsidRPr="009178E0">
        <w:t>4.</w:t>
      </w:r>
      <w:proofErr w:type="gramEnd"/>
      <w:r w:rsidR="00EA1270" w:rsidRPr="009178E0">
        <w:t xml:space="preserve"> </w:t>
      </w:r>
      <w:r w:rsidR="00877405" w:rsidRPr="009178E0">
        <w:rPr>
          <w:color w:val="auto"/>
        </w:rPr>
        <w:t xml:space="preserve"> </w:t>
      </w:r>
    </w:p>
    <w:p w:rsidR="0016275E" w:rsidRPr="009178E0" w:rsidRDefault="0016275E" w:rsidP="00004B90">
      <w:pPr>
        <w:pStyle w:val="Default"/>
        <w:spacing w:line="480" w:lineRule="auto"/>
        <w:ind w:firstLine="720"/>
        <w:rPr>
          <w:color w:val="auto"/>
        </w:rPr>
      </w:pPr>
      <w:r w:rsidRPr="009178E0">
        <w:rPr>
          <w:color w:val="auto"/>
        </w:rPr>
        <w:t xml:space="preserve">Plaintiffs applied for the Community Integration and Habilitation Medicaid Waiver Program (“CIH Waiver”), which may offer more sufficient coverage, but the State found them ineligible. </w:t>
      </w:r>
      <w:proofErr w:type="gramStart"/>
      <w:r w:rsidR="008116CC">
        <w:rPr>
          <w:color w:val="auto"/>
        </w:rPr>
        <w:t>Julie Reynolds</w:t>
      </w:r>
      <w:r w:rsidR="003920C1">
        <w:rPr>
          <w:color w:val="auto"/>
        </w:rPr>
        <w:t xml:space="preserve"> Decl.</w:t>
      </w:r>
      <w:r w:rsidR="008116CC">
        <w:rPr>
          <w:color w:val="auto"/>
        </w:rPr>
        <w:t>,</w:t>
      </w:r>
      <w:r w:rsidRPr="009178E0">
        <w:rPr>
          <w:color w:val="auto"/>
        </w:rPr>
        <w:t xml:space="preserve"> Filing No. 143-7, </w:t>
      </w:r>
      <w:r w:rsidR="00224FE3">
        <w:rPr>
          <w:color w:val="auto"/>
        </w:rPr>
        <w:t xml:space="preserve">at </w:t>
      </w:r>
      <w:r w:rsidRPr="009178E0">
        <w:rPr>
          <w:color w:val="auto"/>
        </w:rPr>
        <w:t>2-3.</w:t>
      </w:r>
      <w:proofErr w:type="gramEnd"/>
      <w:r w:rsidRPr="009178E0">
        <w:rPr>
          <w:color w:val="auto"/>
        </w:rPr>
        <w:t xml:space="preserve">  </w:t>
      </w:r>
    </w:p>
    <w:p w:rsidR="00746456" w:rsidRPr="009178E0" w:rsidRDefault="0065157E" w:rsidP="00933368">
      <w:pPr>
        <w:tabs>
          <w:tab w:val="left" w:pos="3870"/>
        </w:tabs>
        <w:autoSpaceDE w:val="0"/>
        <w:autoSpaceDN w:val="0"/>
        <w:adjustRightInd w:val="0"/>
        <w:spacing w:line="480" w:lineRule="auto"/>
        <w:ind w:firstLine="720"/>
        <w:rPr>
          <w:rFonts w:ascii="Times New Roman" w:hAnsi="Times New Roman"/>
          <w:sz w:val="24"/>
          <w:szCs w:val="24"/>
        </w:rPr>
      </w:pPr>
      <w:r w:rsidRPr="009178E0">
        <w:rPr>
          <w:rFonts w:ascii="Times New Roman" w:hAnsi="Times New Roman"/>
          <w:sz w:val="24"/>
          <w:szCs w:val="24"/>
        </w:rPr>
        <w:t xml:space="preserve">Plaintiffs sued the </w:t>
      </w:r>
      <w:r w:rsidR="00CD2767" w:rsidRPr="009178E0">
        <w:rPr>
          <w:rFonts w:ascii="Times New Roman" w:hAnsi="Times New Roman"/>
          <w:sz w:val="24"/>
          <w:szCs w:val="24"/>
        </w:rPr>
        <w:t>Secretary of the Indiana Family and Social Services Administration; Director of the Division of Disability and Rehabilitative Services; and Director of the Division of Aging</w:t>
      </w:r>
      <w:r w:rsidR="00C87230" w:rsidRPr="009178E0">
        <w:rPr>
          <w:rFonts w:ascii="Times New Roman" w:hAnsi="Times New Roman"/>
          <w:sz w:val="24"/>
          <w:szCs w:val="24"/>
        </w:rPr>
        <w:t>, arguing that:</w:t>
      </w:r>
      <w:r w:rsidRPr="009178E0">
        <w:rPr>
          <w:rFonts w:ascii="Times New Roman" w:hAnsi="Times New Roman"/>
          <w:sz w:val="24"/>
          <w:szCs w:val="24"/>
        </w:rPr>
        <w:t xml:space="preserve"> </w:t>
      </w:r>
      <w:r w:rsidR="00C87230" w:rsidRPr="009178E0">
        <w:rPr>
          <w:rFonts w:ascii="Times New Roman" w:hAnsi="Times New Roman"/>
          <w:sz w:val="24"/>
          <w:szCs w:val="24"/>
        </w:rPr>
        <w:t>“</w:t>
      </w:r>
      <w:r w:rsidR="008E6EDE" w:rsidRPr="009178E0">
        <w:rPr>
          <w:rFonts w:ascii="Times New Roman" w:hAnsi="Times New Roman"/>
          <w:sz w:val="24"/>
          <w:szCs w:val="24"/>
        </w:rPr>
        <w:t>The level of services offered, provided, and/or available to the plaintiffs-</w:t>
      </w:r>
      <w:proofErr w:type="spellStart"/>
      <w:r w:rsidR="008E6EDE" w:rsidRPr="009178E0">
        <w:rPr>
          <w:rFonts w:ascii="Times New Roman" w:hAnsi="Times New Roman"/>
          <w:sz w:val="24"/>
          <w:szCs w:val="24"/>
        </w:rPr>
        <w:t>intervenors</w:t>
      </w:r>
      <w:proofErr w:type="spellEnd"/>
      <w:r w:rsidR="008E6EDE" w:rsidRPr="009178E0">
        <w:rPr>
          <w:rFonts w:ascii="Times New Roman" w:hAnsi="Times New Roman"/>
          <w:sz w:val="24"/>
          <w:szCs w:val="24"/>
        </w:rPr>
        <w:t xml:space="preserve"> as a result of their termination from the Aged and Disabled Medicaid Waiver Program</w:t>
      </w:r>
      <w:r w:rsidR="0001291A" w:rsidRPr="009178E0">
        <w:rPr>
          <w:rFonts w:ascii="Times New Roman" w:hAnsi="Times New Roman"/>
          <w:sz w:val="24"/>
          <w:szCs w:val="24"/>
        </w:rPr>
        <w:t xml:space="preserve"> </w:t>
      </w:r>
      <w:r w:rsidR="00C87230" w:rsidRPr="009178E0">
        <w:rPr>
          <w:rFonts w:ascii="Times New Roman" w:hAnsi="Times New Roman"/>
          <w:sz w:val="24"/>
          <w:szCs w:val="24"/>
        </w:rPr>
        <w:t>violates the ‘</w:t>
      </w:r>
      <w:r w:rsidR="008E6EDE" w:rsidRPr="009178E0">
        <w:rPr>
          <w:rFonts w:ascii="Times New Roman" w:hAnsi="Times New Roman"/>
          <w:sz w:val="24"/>
          <w:szCs w:val="24"/>
        </w:rPr>
        <w:t>integration mand</w:t>
      </w:r>
      <w:r w:rsidR="00C87230" w:rsidRPr="009178E0">
        <w:rPr>
          <w:rFonts w:ascii="Times New Roman" w:hAnsi="Times New Roman"/>
          <w:sz w:val="24"/>
          <w:szCs w:val="24"/>
        </w:rPr>
        <w:t>ate’</w:t>
      </w:r>
      <w:r w:rsidR="008E6EDE" w:rsidRPr="009178E0">
        <w:rPr>
          <w:rFonts w:ascii="Times New Roman" w:hAnsi="Times New Roman"/>
          <w:sz w:val="24"/>
          <w:szCs w:val="24"/>
        </w:rPr>
        <w:t xml:space="preserve"> of the Americans with Disabilities Act of 1990 and the</w:t>
      </w:r>
      <w:r w:rsidR="0001291A" w:rsidRPr="009178E0">
        <w:rPr>
          <w:rFonts w:ascii="Times New Roman" w:hAnsi="Times New Roman"/>
          <w:sz w:val="24"/>
          <w:szCs w:val="24"/>
        </w:rPr>
        <w:t xml:space="preserve"> </w:t>
      </w:r>
      <w:r w:rsidR="00C87230" w:rsidRPr="009178E0">
        <w:rPr>
          <w:rFonts w:ascii="Times New Roman" w:hAnsi="Times New Roman"/>
          <w:sz w:val="24"/>
          <w:szCs w:val="24"/>
        </w:rPr>
        <w:t>Rehabilitation Act of 1973</w:t>
      </w:r>
      <w:r w:rsidRPr="009178E0">
        <w:rPr>
          <w:rFonts w:ascii="Times New Roman" w:hAnsi="Times New Roman"/>
          <w:sz w:val="24"/>
          <w:szCs w:val="24"/>
        </w:rPr>
        <w:t>.”</w:t>
      </w:r>
      <w:r w:rsidR="00C87230" w:rsidRPr="009178E0">
        <w:rPr>
          <w:rFonts w:ascii="Times New Roman" w:hAnsi="Times New Roman"/>
          <w:sz w:val="24"/>
          <w:szCs w:val="24"/>
        </w:rPr>
        <w:t xml:space="preserve">  </w:t>
      </w:r>
      <w:proofErr w:type="gramStart"/>
      <w:r w:rsidR="00D26B6A">
        <w:rPr>
          <w:rFonts w:ascii="Times New Roman" w:hAnsi="Times New Roman"/>
          <w:sz w:val="24"/>
          <w:szCs w:val="24"/>
        </w:rPr>
        <w:t>Pl</w:t>
      </w:r>
      <w:r w:rsidR="004D4962">
        <w:rPr>
          <w:rFonts w:ascii="Times New Roman" w:hAnsi="Times New Roman"/>
          <w:sz w:val="24"/>
          <w:szCs w:val="24"/>
        </w:rPr>
        <w:t>s.’</w:t>
      </w:r>
      <w:r w:rsidR="00D26B6A">
        <w:rPr>
          <w:rFonts w:ascii="Times New Roman" w:hAnsi="Times New Roman"/>
          <w:sz w:val="24"/>
          <w:szCs w:val="24"/>
        </w:rPr>
        <w:t xml:space="preserve"> Statement of Claims, </w:t>
      </w:r>
      <w:r w:rsidR="00C87230" w:rsidRPr="009178E0">
        <w:rPr>
          <w:rFonts w:ascii="Times New Roman" w:hAnsi="Times New Roman"/>
          <w:sz w:val="24"/>
          <w:szCs w:val="24"/>
        </w:rPr>
        <w:t xml:space="preserve">Filing </w:t>
      </w:r>
      <w:r w:rsidR="00933368" w:rsidRPr="009178E0">
        <w:rPr>
          <w:rFonts w:ascii="Times New Roman" w:hAnsi="Times New Roman"/>
          <w:sz w:val="24"/>
          <w:szCs w:val="24"/>
        </w:rPr>
        <w:t xml:space="preserve">No. </w:t>
      </w:r>
      <w:r w:rsidR="00C87230" w:rsidRPr="009178E0">
        <w:rPr>
          <w:rFonts w:ascii="Times New Roman" w:hAnsi="Times New Roman"/>
          <w:sz w:val="24"/>
          <w:szCs w:val="24"/>
        </w:rPr>
        <w:t xml:space="preserve">141, </w:t>
      </w:r>
      <w:r w:rsidR="00224FE3">
        <w:rPr>
          <w:rFonts w:ascii="Times New Roman" w:hAnsi="Times New Roman"/>
          <w:sz w:val="24"/>
          <w:szCs w:val="24"/>
        </w:rPr>
        <w:t xml:space="preserve">at </w:t>
      </w:r>
      <w:r w:rsidR="00C87230" w:rsidRPr="009178E0">
        <w:rPr>
          <w:rFonts w:ascii="Times New Roman" w:hAnsi="Times New Roman"/>
          <w:sz w:val="24"/>
          <w:szCs w:val="24"/>
        </w:rPr>
        <w:t>1.</w:t>
      </w:r>
      <w:proofErr w:type="gramEnd"/>
      <w:r w:rsidRPr="009178E0">
        <w:rPr>
          <w:rFonts w:ascii="Times New Roman" w:hAnsi="Times New Roman"/>
          <w:sz w:val="24"/>
          <w:szCs w:val="24"/>
        </w:rPr>
        <w:t xml:space="preserve"> They alleged violations of Title II of the ADA, 42 U.S.C. </w:t>
      </w:r>
      <w:r w:rsidR="00096982">
        <w:rPr>
          <w:rFonts w:ascii="Times New Roman" w:hAnsi="Times New Roman"/>
          <w:sz w:val="24"/>
          <w:szCs w:val="24"/>
        </w:rPr>
        <w:t>§ </w:t>
      </w:r>
      <w:r w:rsidRPr="009178E0">
        <w:rPr>
          <w:rFonts w:ascii="Times New Roman" w:hAnsi="Times New Roman"/>
          <w:sz w:val="24"/>
          <w:szCs w:val="24"/>
        </w:rPr>
        <w:t xml:space="preserve">12131 </w:t>
      </w:r>
      <w:r w:rsidRPr="009178E0">
        <w:rPr>
          <w:rFonts w:ascii="Times New Roman" w:hAnsi="Times New Roman"/>
          <w:i/>
          <w:iCs/>
          <w:sz w:val="24"/>
          <w:szCs w:val="24"/>
        </w:rPr>
        <w:t>et seq.</w:t>
      </w:r>
      <w:r w:rsidRPr="009178E0">
        <w:rPr>
          <w:rFonts w:ascii="Times New Roman" w:hAnsi="Times New Roman"/>
          <w:sz w:val="24"/>
          <w:szCs w:val="24"/>
        </w:rPr>
        <w:t xml:space="preserve">; and Section 504 of the Rehabilitation Act of 1973, 29 U.S.C. </w:t>
      </w:r>
      <w:r w:rsidR="00096982">
        <w:rPr>
          <w:rFonts w:ascii="Times New Roman" w:hAnsi="Times New Roman"/>
          <w:sz w:val="24"/>
          <w:szCs w:val="24"/>
        </w:rPr>
        <w:t>§ </w:t>
      </w:r>
      <w:r w:rsidRPr="009178E0">
        <w:rPr>
          <w:rFonts w:ascii="Times New Roman" w:hAnsi="Times New Roman"/>
          <w:sz w:val="24"/>
          <w:szCs w:val="24"/>
        </w:rPr>
        <w:t>794</w:t>
      </w:r>
      <w:r w:rsidR="00746456" w:rsidRPr="009178E0">
        <w:rPr>
          <w:rFonts w:ascii="Times New Roman" w:hAnsi="Times New Roman"/>
          <w:sz w:val="24"/>
          <w:szCs w:val="24"/>
        </w:rPr>
        <w:t>.</w:t>
      </w:r>
    </w:p>
    <w:p w:rsidR="0065157E" w:rsidRPr="009178E0" w:rsidRDefault="00EF45F3" w:rsidP="00E05AB7">
      <w:pPr>
        <w:pStyle w:val="Default"/>
        <w:spacing w:line="480" w:lineRule="auto"/>
        <w:rPr>
          <w:color w:val="auto"/>
        </w:rPr>
      </w:pPr>
      <w:r w:rsidRPr="009178E0">
        <w:rPr>
          <w:b/>
          <w:bCs/>
          <w:color w:val="auto"/>
        </w:rPr>
        <w:t>I</w:t>
      </w:r>
      <w:r w:rsidR="008E0BF2">
        <w:rPr>
          <w:b/>
          <w:bCs/>
          <w:color w:val="auto"/>
        </w:rPr>
        <w:t>V</w:t>
      </w:r>
      <w:r w:rsidR="00234C1B" w:rsidRPr="009178E0">
        <w:rPr>
          <w:b/>
          <w:bCs/>
          <w:color w:val="auto"/>
        </w:rPr>
        <w:t>.</w:t>
      </w:r>
      <w:r w:rsidR="00234C1B" w:rsidRPr="009178E0">
        <w:rPr>
          <w:b/>
          <w:bCs/>
          <w:color w:val="auto"/>
        </w:rPr>
        <w:tab/>
      </w:r>
      <w:r w:rsidR="0065157E" w:rsidRPr="009178E0">
        <w:rPr>
          <w:b/>
          <w:bCs/>
          <w:color w:val="auto"/>
        </w:rPr>
        <w:t xml:space="preserve">ARGUMENT </w:t>
      </w:r>
    </w:p>
    <w:p w:rsidR="00C36E57" w:rsidRDefault="006B41A3" w:rsidP="00620111">
      <w:pPr>
        <w:pStyle w:val="Default"/>
        <w:spacing w:line="480" w:lineRule="auto"/>
        <w:ind w:firstLine="720"/>
        <w:rPr>
          <w:color w:val="auto"/>
        </w:rPr>
      </w:pPr>
      <w:r w:rsidRPr="009178E0">
        <w:rPr>
          <w:color w:val="auto"/>
        </w:rPr>
        <w:t>As n</w:t>
      </w:r>
      <w:r w:rsidR="0065157E" w:rsidRPr="009178E0">
        <w:rPr>
          <w:color w:val="auto"/>
        </w:rPr>
        <w:t>on-institutionalized individual</w:t>
      </w:r>
      <w:r w:rsidRPr="009178E0">
        <w:rPr>
          <w:color w:val="auto"/>
        </w:rPr>
        <w:t>s</w:t>
      </w:r>
      <w:r w:rsidR="00641787" w:rsidRPr="009178E0">
        <w:rPr>
          <w:color w:val="auto"/>
        </w:rPr>
        <w:t xml:space="preserve"> with</w:t>
      </w:r>
      <w:r w:rsidRPr="009178E0">
        <w:rPr>
          <w:color w:val="auto"/>
        </w:rPr>
        <w:t xml:space="preserve"> disabilities, Plaintiffs have</w:t>
      </w:r>
      <w:r w:rsidR="0065157E" w:rsidRPr="009178E0">
        <w:rPr>
          <w:color w:val="auto"/>
        </w:rPr>
        <w:t xml:space="preserve"> standing to claim, under Title II and</w:t>
      </w:r>
      <w:r w:rsidR="00695C0F" w:rsidRPr="009178E0">
        <w:rPr>
          <w:color w:val="auto"/>
        </w:rPr>
        <w:t xml:space="preserve"> the integration mandate, that by reducing their Medicaid services, the State</w:t>
      </w:r>
      <w:r w:rsidR="0065157E" w:rsidRPr="009178E0">
        <w:rPr>
          <w:color w:val="auto"/>
        </w:rPr>
        <w:t xml:space="preserve">’s actions </w:t>
      </w:r>
      <w:r w:rsidR="000547CF" w:rsidRPr="009178E0">
        <w:rPr>
          <w:color w:val="auto"/>
        </w:rPr>
        <w:t>put them at</w:t>
      </w:r>
      <w:r w:rsidR="0065157E" w:rsidRPr="009178E0">
        <w:rPr>
          <w:color w:val="auto"/>
        </w:rPr>
        <w:t xml:space="preserve"> serious risk of institutionalization</w:t>
      </w:r>
      <w:r w:rsidR="00F00380" w:rsidRPr="009178E0">
        <w:rPr>
          <w:color w:val="auto"/>
        </w:rPr>
        <w:t xml:space="preserve"> or segregation</w:t>
      </w:r>
      <w:r w:rsidR="00574B13" w:rsidRPr="009178E0">
        <w:rPr>
          <w:color w:val="auto"/>
        </w:rPr>
        <w:t xml:space="preserve">. </w:t>
      </w:r>
      <w:r w:rsidR="008645B7">
        <w:rPr>
          <w:color w:val="auto"/>
        </w:rPr>
        <w:t xml:space="preserve"> </w:t>
      </w:r>
      <w:r w:rsidR="0013607D">
        <w:rPr>
          <w:color w:val="auto"/>
        </w:rPr>
        <w:t>T</w:t>
      </w:r>
      <w:r w:rsidR="0015264F">
        <w:rPr>
          <w:color w:val="auto"/>
        </w:rPr>
        <w:t>he</w:t>
      </w:r>
      <w:r w:rsidR="0015264F" w:rsidRPr="009178E0">
        <w:rPr>
          <w:color w:val="auto"/>
        </w:rPr>
        <w:t xml:space="preserve"> standard for “at-risk” claims</w:t>
      </w:r>
      <w:r w:rsidR="00E36F4A">
        <w:rPr>
          <w:color w:val="auto"/>
        </w:rPr>
        <w:t xml:space="preserve"> </w:t>
      </w:r>
      <w:r w:rsidR="0015264F" w:rsidRPr="009178E0">
        <w:rPr>
          <w:color w:val="auto"/>
        </w:rPr>
        <w:t xml:space="preserve">is dictated by the plain text and intent of the ADA and its regulations; by the Supreme Court’s reasoning in </w:t>
      </w:r>
      <w:r w:rsidR="0015264F" w:rsidRPr="009178E0">
        <w:rPr>
          <w:i/>
          <w:iCs/>
          <w:color w:val="auto"/>
        </w:rPr>
        <w:t>Olmstead</w:t>
      </w:r>
      <w:r w:rsidR="0015264F" w:rsidRPr="009178E0">
        <w:rPr>
          <w:color w:val="auto"/>
        </w:rPr>
        <w:t xml:space="preserve"> </w:t>
      </w:r>
      <w:r w:rsidR="0015264F" w:rsidRPr="004B200C">
        <w:rPr>
          <w:i/>
          <w:color w:val="auto"/>
        </w:rPr>
        <w:t>v.</w:t>
      </w:r>
      <w:r w:rsidR="0015264F" w:rsidRPr="009178E0">
        <w:rPr>
          <w:color w:val="auto"/>
        </w:rPr>
        <w:t xml:space="preserve"> </w:t>
      </w:r>
      <w:r w:rsidR="0015264F" w:rsidRPr="009178E0">
        <w:rPr>
          <w:i/>
          <w:iCs/>
          <w:color w:val="auto"/>
        </w:rPr>
        <w:t>L.C.</w:t>
      </w:r>
      <w:r w:rsidR="0015264F" w:rsidRPr="009178E0">
        <w:rPr>
          <w:color w:val="auto"/>
        </w:rPr>
        <w:t>, 527 U.S. 581 (1999); by three recent Court of Appeals decisions; and by the Department’s guidance on the issue, which warrants deference.</w:t>
      </w:r>
      <w:r w:rsidR="0015264F">
        <w:rPr>
          <w:color w:val="auto"/>
        </w:rPr>
        <w:t xml:space="preserve">  </w:t>
      </w:r>
      <w:r w:rsidR="0013607D">
        <w:rPr>
          <w:color w:val="auto"/>
        </w:rPr>
        <w:t xml:space="preserve">Plaintiffs </w:t>
      </w:r>
      <w:r w:rsidR="00C36E57">
        <w:rPr>
          <w:color w:val="auto"/>
        </w:rPr>
        <w:t xml:space="preserve">provided </w:t>
      </w:r>
      <w:r w:rsidR="00EA4B81">
        <w:rPr>
          <w:color w:val="auto"/>
        </w:rPr>
        <w:t>sufficient</w:t>
      </w:r>
      <w:r w:rsidR="0013607D">
        <w:rPr>
          <w:color w:val="auto"/>
        </w:rPr>
        <w:t xml:space="preserve"> evidence of this serious risk, including evidence that their health is declining due to the reductions, and so they have a cognizable “at-risk” claim.  </w:t>
      </w:r>
    </w:p>
    <w:p w:rsidR="0015264F" w:rsidRPr="009178E0" w:rsidRDefault="008645B7" w:rsidP="005364B5">
      <w:pPr>
        <w:pStyle w:val="Default"/>
        <w:spacing w:line="480" w:lineRule="auto"/>
        <w:ind w:firstLine="720"/>
        <w:rPr>
          <w:color w:val="auto"/>
        </w:rPr>
      </w:pPr>
      <w:r>
        <w:rPr>
          <w:color w:val="auto"/>
        </w:rPr>
        <w:t xml:space="preserve">In seeking summary judgment, </w:t>
      </w:r>
      <w:r w:rsidR="000F4664">
        <w:rPr>
          <w:color w:val="auto"/>
        </w:rPr>
        <w:t xml:space="preserve">Defendants rely on </w:t>
      </w:r>
      <w:r w:rsidR="0015264F">
        <w:rPr>
          <w:color w:val="auto"/>
        </w:rPr>
        <w:t xml:space="preserve">a misinterpretation of </w:t>
      </w:r>
      <w:r w:rsidR="005364B5">
        <w:rPr>
          <w:color w:val="auto"/>
        </w:rPr>
        <w:t>the Seventh</w:t>
      </w:r>
      <w:r w:rsidR="000F4664">
        <w:rPr>
          <w:color w:val="auto"/>
        </w:rPr>
        <w:t xml:space="preserve"> Circuit</w:t>
      </w:r>
      <w:r w:rsidR="005364B5">
        <w:rPr>
          <w:color w:val="auto"/>
        </w:rPr>
        <w:t>’s</w:t>
      </w:r>
      <w:r w:rsidR="000F4664">
        <w:rPr>
          <w:color w:val="auto"/>
        </w:rPr>
        <w:t xml:space="preserve"> holding in </w:t>
      </w:r>
      <w:proofErr w:type="spellStart"/>
      <w:r w:rsidR="000F4664" w:rsidRPr="000F4664">
        <w:rPr>
          <w:i/>
          <w:color w:val="auto"/>
        </w:rPr>
        <w:t>Amundson</w:t>
      </w:r>
      <w:proofErr w:type="spellEnd"/>
      <w:r w:rsidR="00605CAD" w:rsidRPr="00605CAD">
        <w:rPr>
          <w:i/>
          <w:iCs/>
        </w:rPr>
        <w:t xml:space="preserve"> </w:t>
      </w:r>
      <w:r w:rsidR="00605CAD" w:rsidRPr="009178E0">
        <w:rPr>
          <w:i/>
          <w:iCs/>
        </w:rPr>
        <w:t xml:space="preserve">ex rel. </w:t>
      </w:r>
      <w:proofErr w:type="spellStart"/>
      <w:r w:rsidR="00605CAD" w:rsidRPr="009178E0">
        <w:rPr>
          <w:i/>
          <w:iCs/>
        </w:rPr>
        <w:t>Amundson</w:t>
      </w:r>
      <w:proofErr w:type="spellEnd"/>
      <w:r w:rsidR="00605CAD" w:rsidRPr="009178E0">
        <w:rPr>
          <w:i/>
          <w:iCs/>
        </w:rPr>
        <w:t xml:space="preserve"> v. Wis</w:t>
      </w:r>
      <w:r w:rsidR="00605CAD">
        <w:rPr>
          <w:i/>
          <w:iCs/>
        </w:rPr>
        <w:t>consin Departmen</w:t>
      </w:r>
      <w:r w:rsidR="00605CAD" w:rsidRPr="009178E0">
        <w:rPr>
          <w:i/>
          <w:iCs/>
        </w:rPr>
        <w:t>t of Health Serv</w:t>
      </w:r>
      <w:r w:rsidR="00605CAD">
        <w:rPr>
          <w:i/>
          <w:iCs/>
        </w:rPr>
        <w:t>ice</w:t>
      </w:r>
      <w:r w:rsidR="00605CAD" w:rsidRPr="009178E0">
        <w:rPr>
          <w:i/>
          <w:iCs/>
        </w:rPr>
        <w:t>s</w:t>
      </w:r>
      <w:r w:rsidR="000F4664">
        <w:rPr>
          <w:color w:val="auto"/>
        </w:rPr>
        <w:t>, which states</w:t>
      </w:r>
      <w:r w:rsidR="00AC1585">
        <w:rPr>
          <w:color w:val="auto"/>
        </w:rPr>
        <w:t xml:space="preserve"> </w:t>
      </w:r>
      <w:r w:rsidR="00510BD4">
        <w:rPr>
          <w:color w:val="auto"/>
        </w:rPr>
        <w:t xml:space="preserve">that </w:t>
      </w:r>
      <w:r w:rsidR="00DE42CF">
        <w:rPr>
          <w:color w:val="auto"/>
        </w:rPr>
        <w:t>where a plaintiff claims</w:t>
      </w:r>
      <w:r w:rsidR="00605CAD">
        <w:rPr>
          <w:color w:val="auto"/>
        </w:rPr>
        <w:t xml:space="preserve"> a state’s actions violate the integration mandate, </w:t>
      </w:r>
      <w:r w:rsidR="00DE42CF">
        <w:rPr>
          <w:color w:val="auto"/>
        </w:rPr>
        <w:t>but fails to</w:t>
      </w:r>
      <w:r w:rsidR="00605CAD">
        <w:rPr>
          <w:color w:val="auto"/>
        </w:rPr>
        <w:t xml:space="preserve"> connect the state’s actions to a cognizable harm such as institutionalization, the claim is unripe. </w:t>
      </w:r>
      <w:proofErr w:type="gramStart"/>
      <w:r w:rsidR="00605CAD" w:rsidRPr="009178E0">
        <w:t>721 F.3d 871</w:t>
      </w:r>
      <w:r w:rsidR="00605CAD">
        <w:t>, 874</w:t>
      </w:r>
      <w:r w:rsidR="00605CAD" w:rsidRPr="009178E0">
        <w:t xml:space="preserve"> (7th Cir. 2013)</w:t>
      </w:r>
      <w:r w:rsidR="00605CAD">
        <w:t>.</w:t>
      </w:r>
      <w:proofErr w:type="gramEnd"/>
      <w:r w:rsidR="00605CAD">
        <w:rPr>
          <w:color w:val="auto"/>
        </w:rPr>
        <w:t xml:space="preserve"> </w:t>
      </w:r>
      <w:r w:rsidR="000F4664">
        <w:rPr>
          <w:color w:val="auto"/>
        </w:rPr>
        <w:t xml:space="preserve">   </w:t>
      </w:r>
      <w:r w:rsidR="0015264F">
        <w:rPr>
          <w:color w:val="auto"/>
        </w:rPr>
        <w:t>Contrary to Defendants’ argument, t</w:t>
      </w:r>
      <w:r w:rsidR="009F402E" w:rsidRPr="000F4664">
        <w:rPr>
          <w:color w:val="auto"/>
        </w:rPr>
        <w:t>he</w:t>
      </w:r>
      <w:r w:rsidR="009F402E" w:rsidRPr="009178E0">
        <w:rPr>
          <w:color w:val="auto"/>
        </w:rPr>
        <w:t xml:space="preserve"> Seventh Circuit’s </w:t>
      </w:r>
      <w:r w:rsidR="00F00380" w:rsidRPr="009178E0">
        <w:rPr>
          <w:color w:val="auto"/>
        </w:rPr>
        <w:t>holding</w:t>
      </w:r>
      <w:r w:rsidR="009F402E" w:rsidRPr="009178E0">
        <w:rPr>
          <w:color w:val="auto"/>
        </w:rPr>
        <w:t xml:space="preserve"> in </w:t>
      </w:r>
      <w:proofErr w:type="spellStart"/>
      <w:r w:rsidR="009F402E" w:rsidRPr="009178E0">
        <w:rPr>
          <w:i/>
          <w:color w:val="auto"/>
        </w:rPr>
        <w:t>Amundson</w:t>
      </w:r>
      <w:proofErr w:type="spellEnd"/>
      <w:r w:rsidR="009F402E" w:rsidRPr="009178E0">
        <w:rPr>
          <w:i/>
          <w:color w:val="auto"/>
        </w:rPr>
        <w:t xml:space="preserve"> </w:t>
      </w:r>
      <w:r w:rsidR="007451DB">
        <w:rPr>
          <w:color w:val="auto"/>
        </w:rPr>
        <w:t xml:space="preserve">is not inconsistent with the </w:t>
      </w:r>
      <w:r w:rsidR="005364B5">
        <w:rPr>
          <w:color w:val="auto"/>
        </w:rPr>
        <w:t>three other Circuits that hold</w:t>
      </w:r>
      <w:r w:rsidR="003D7EBC">
        <w:rPr>
          <w:color w:val="auto"/>
        </w:rPr>
        <w:t xml:space="preserve"> </w:t>
      </w:r>
      <w:r w:rsidR="007451DB">
        <w:rPr>
          <w:color w:val="auto"/>
        </w:rPr>
        <w:t xml:space="preserve">that at-risk claims are cognizable. </w:t>
      </w:r>
      <w:r w:rsidR="00E36F4A">
        <w:rPr>
          <w:color w:val="auto"/>
        </w:rPr>
        <w:t>R</w:t>
      </w:r>
      <w:r w:rsidR="009E539D" w:rsidRPr="009178E0">
        <w:rPr>
          <w:color w:val="auto"/>
        </w:rPr>
        <w:t>ather, the</w:t>
      </w:r>
      <w:r w:rsidR="003D7EBC">
        <w:rPr>
          <w:color w:val="auto"/>
        </w:rPr>
        <w:t xml:space="preserve"> </w:t>
      </w:r>
      <w:proofErr w:type="spellStart"/>
      <w:r w:rsidR="003D7EBC">
        <w:rPr>
          <w:i/>
          <w:color w:val="auto"/>
        </w:rPr>
        <w:t>Amundson</w:t>
      </w:r>
      <w:proofErr w:type="spellEnd"/>
      <w:r w:rsidR="009E539D" w:rsidRPr="009178E0">
        <w:rPr>
          <w:color w:val="auto"/>
        </w:rPr>
        <w:t xml:space="preserve"> decision includes language that </w:t>
      </w:r>
      <w:r w:rsidR="00791873" w:rsidRPr="009178E0">
        <w:rPr>
          <w:color w:val="auto"/>
        </w:rPr>
        <w:t>a</w:t>
      </w:r>
      <w:r w:rsidR="009F402E" w:rsidRPr="009178E0">
        <w:rPr>
          <w:color w:val="auto"/>
        </w:rPr>
        <w:t>n individual must sufficiently allege risk of institutionalization or segregation</w:t>
      </w:r>
      <w:r w:rsidR="00E90C88" w:rsidRPr="009178E0">
        <w:rPr>
          <w:color w:val="auto"/>
        </w:rPr>
        <w:t xml:space="preserve">, which Plaintiffs </w:t>
      </w:r>
      <w:r w:rsidR="00650FC5">
        <w:rPr>
          <w:color w:val="auto"/>
        </w:rPr>
        <w:t xml:space="preserve">here </w:t>
      </w:r>
      <w:proofErr w:type="gramStart"/>
      <w:r w:rsidR="00267EF9" w:rsidRPr="009178E0">
        <w:rPr>
          <w:color w:val="auto"/>
        </w:rPr>
        <w:t>have</w:t>
      </w:r>
      <w:proofErr w:type="gramEnd"/>
      <w:r w:rsidR="00267EF9" w:rsidRPr="009178E0">
        <w:rPr>
          <w:color w:val="auto"/>
        </w:rPr>
        <w:t xml:space="preserve"> amply </w:t>
      </w:r>
      <w:r w:rsidR="005E2891" w:rsidRPr="009178E0">
        <w:rPr>
          <w:color w:val="auto"/>
        </w:rPr>
        <w:t>shown</w:t>
      </w:r>
      <w:r w:rsidR="00FE5F25" w:rsidRPr="009178E0">
        <w:rPr>
          <w:color w:val="auto"/>
        </w:rPr>
        <w:t>.</w:t>
      </w:r>
      <w:r w:rsidR="002661A1" w:rsidRPr="009178E0">
        <w:rPr>
          <w:color w:val="auto"/>
        </w:rPr>
        <w:t xml:space="preserve">  </w:t>
      </w:r>
      <w:r w:rsidR="00486C87" w:rsidRPr="009178E0">
        <w:rPr>
          <w:color w:val="auto"/>
        </w:rPr>
        <w:t xml:space="preserve">  </w:t>
      </w:r>
    </w:p>
    <w:p w:rsidR="0065157E" w:rsidRPr="009178E0" w:rsidRDefault="00234C1B" w:rsidP="00234C1B">
      <w:pPr>
        <w:pStyle w:val="Default"/>
        <w:keepLines/>
        <w:numPr>
          <w:ilvl w:val="0"/>
          <w:numId w:val="10"/>
        </w:numPr>
        <w:rPr>
          <w:color w:val="auto"/>
          <w:u w:val="single"/>
        </w:rPr>
      </w:pPr>
      <w:r w:rsidRPr="009178E0">
        <w:rPr>
          <w:bCs/>
          <w:color w:val="auto"/>
          <w:u w:val="single"/>
        </w:rPr>
        <w:t xml:space="preserve">A Serious Risk of Institutionalization or Segregation States a Claim Under the Integration Mandate </w:t>
      </w:r>
    </w:p>
    <w:p w:rsidR="00813A86" w:rsidRPr="009178E0" w:rsidRDefault="00813A86" w:rsidP="00813A86">
      <w:pPr>
        <w:pStyle w:val="Default"/>
        <w:keepLines/>
        <w:ind w:left="720"/>
        <w:rPr>
          <w:color w:val="auto"/>
        </w:rPr>
      </w:pPr>
    </w:p>
    <w:p w:rsidR="00631FBB" w:rsidRDefault="0065157E">
      <w:pPr>
        <w:pStyle w:val="Default"/>
        <w:spacing w:line="480" w:lineRule="auto"/>
        <w:ind w:firstLine="720"/>
        <w:rPr>
          <w:color w:val="auto"/>
        </w:rPr>
      </w:pPr>
      <w:r w:rsidRPr="009178E0">
        <w:rPr>
          <w:color w:val="auto"/>
        </w:rPr>
        <w:t xml:space="preserve">Individuals with disabilities need not wait until they are institutionalized to assert an integration claim under Title II of the ADA, 42 U.S.C. </w:t>
      </w:r>
      <w:r w:rsidR="00096982">
        <w:rPr>
          <w:color w:val="auto"/>
        </w:rPr>
        <w:t>§ </w:t>
      </w:r>
      <w:r w:rsidRPr="009178E0">
        <w:rPr>
          <w:color w:val="auto"/>
        </w:rPr>
        <w:t xml:space="preserve">12132, and its integration mandate, 28 C.F.R. </w:t>
      </w:r>
      <w:r w:rsidR="00096982">
        <w:rPr>
          <w:color w:val="auto"/>
        </w:rPr>
        <w:t>§ </w:t>
      </w:r>
      <w:r w:rsidRPr="009178E0">
        <w:rPr>
          <w:color w:val="auto"/>
        </w:rPr>
        <w:t xml:space="preserve">35.130(d).  Neither the statute nor the integration mandate regulation by its own terms applies only to institutionalized individuals.  Instead, the plain text of each protects the rights of all “qualified individuals with disabilities.”  28 C.F.R. </w:t>
      </w:r>
      <w:r w:rsidR="00096982">
        <w:rPr>
          <w:color w:val="auto"/>
        </w:rPr>
        <w:t>§ </w:t>
      </w:r>
      <w:r w:rsidRPr="009178E0">
        <w:rPr>
          <w:color w:val="auto"/>
        </w:rPr>
        <w:t xml:space="preserve">35.130(d); accord 42 U.S.C. </w:t>
      </w:r>
      <w:r w:rsidR="00096982">
        <w:rPr>
          <w:color w:val="auto"/>
        </w:rPr>
        <w:t>§ </w:t>
      </w:r>
      <w:r w:rsidRPr="009178E0">
        <w:rPr>
          <w:color w:val="auto"/>
        </w:rPr>
        <w:t xml:space="preserve">12132.  Indeed, protecting individuals with disabilities from the harm of unnecessary </w:t>
      </w:r>
      <w:r w:rsidR="00813A86" w:rsidRPr="009178E0">
        <w:rPr>
          <w:color w:val="auto"/>
        </w:rPr>
        <w:t>segregation</w:t>
      </w:r>
      <w:r w:rsidRPr="009178E0">
        <w:rPr>
          <w:color w:val="auto"/>
        </w:rPr>
        <w:t xml:space="preserve"> was one of Congress’s intents in passing the ADA.  Congress found that, “historically, society has tended to isolate and segregate individuals with disabilities.”  42 U.S.C. </w:t>
      </w:r>
      <w:r w:rsidR="00096982">
        <w:rPr>
          <w:color w:val="auto"/>
        </w:rPr>
        <w:t>§ </w:t>
      </w:r>
      <w:r w:rsidRPr="009178E0">
        <w:rPr>
          <w:color w:val="auto"/>
        </w:rPr>
        <w:t>12101(a</w:t>
      </w:r>
      <w:proofErr w:type="gramStart"/>
      <w:r w:rsidRPr="009178E0">
        <w:rPr>
          <w:color w:val="auto"/>
        </w:rPr>
        <w:t>)(</w:t>
      </w:r>
      <w:proofErr w:type="gramEnd"/>
      <w:r w:rsidRPr="009178E0">
        <w:rPr>
          <w:color w:val="auto"/>
        </w:rPr>
        <w:t xml:space="preserve">2).  Congress further found that such discriminatory segregation continues.  42 U.S.C. </w:t>
      </w:r>
      <w:r w:rsidR="00096982">
        <w:rPr>
          <w:color w:val="auto"/>
        </w:rPr>
        <w:t>§ </w:t>
      </w:r>
      <w:r w:rsidRPr="009178E0">
        <w:rPr>
          <w:color w:val="auto"/>
        </w:rPr>
        <w:t>12101(a</w:t>
      </w:r>
      <w:proofErr w:type="gramStart"/>
      <w:r w:rsidRPr="009178E0">
        <w:rPr>
          <w:color w:val="auto"/>
        </w:rPr>
        <w:t>)(</w:t>
      </w:r>
      <w:proofErr w:type="gramEnd"/>
      <w:r w:rsidRPr="009178E0">
        <w:rPr>
          <w:color w:val="auto"/>
        </w:rPr>
        <w:t xml:space="preserve">5).  Congress thus stated that one of “the Nation’s proper goals” is to ensure “independent living” for individuals with disabilities.  42 U.S.C. </w:t>
      </w:r>
      <w:r w:rsidR="00096982">
        <w:rPr>
          <w:color w:val="auto"/>
        </w:rPr>
        <w:t>§ </w:t>
      </w:r>
      <w:r w:rsidRPr="009178E0">
        <w:rPr>
          <w:color w:val="auto"/>
        </w:rPr>
        <w:t>12101(a</w:t>
      </w:r>
      <w:proofErr w:type="gramStart"/>
      <w:r w:rsidRPr="009178E0">
        <w:rPr>
          <w:color w:val="auto"/>
        </w:rPr>
        <w:t>)(</w:t>
      </w:r>
      <w:proofErr w:type="gramEnd"/>
      <w:r w:rsidRPr="009178E0">
        <w:rPr>
          <w:color w:val="auto"/>
        </w:rPr>
        <w:t xml:space="preserve">7).  </w:t>
      </w:r>
    </w:p>
    <w:p w:rsidR="0065157E" w:rsidRPr="009178E0" w:rsidRDefault="0065157E" w:rsidP="00C2548A">
      <w:pPr>
        <w:pStyle w:val="Default"/>
        <w:spacing w:line="480" w:lineRule="auto"/>
        <w:ind w:firstLine="360"/>
        <w:rPr>
          <w:color w:val="auto"/>
        </w:rPr>
      </w:pPr>
      <w:r w:rsidRPr="009178E0">
        <w:rPr>
          <w:color w:val="auto"/>
        </w:rPr>
        <w:t xml:space="preserve">In </w:t>
      </w:r>
      <w:r w:rsidRPr="009178E0">
        <w:rPr>
          <w:i/>
          <w:iCs/>
          <w:color w:val="auto"/>
        </w:rPr>
        <w:t>Olmstead</w:t>
      </w:r>
      <w:r w:rsidRPr="009178E0">
        <w:rPr>
          <w:color w:val="auto"/>
        </w:rPr>
        <w:t xml:space="preserve"> </w:t>
      </w:r>
      <w:r w:rsidRPr="002701FC">
        <w:rPr>
          <w:i/>
          <w:color w:val="auto"/>
        </w:rPr>
        <w:t>v.</w:t>
      </w:r>
      <w:r w:rsidRPr="009178E0">
        <w:rPr>
          <w:color w:val="auto"/>
        </w:rPr>
        <w:t xml:space="preserve"> </w:t>
      </w:r>
      <w:r w:rsidRPr="009178E0">
        <w:rPr>
          <w:i/>
          <w:iCs/>
          <w:color w:val="auto"/>
        </w:rPr>
        <w:t>L.C.</w:t>
      </w:r>
      <w:r w:rsidRPr="009178E0">
        <w:rPr>
          <w:color w:val="auto"/>
        </w:rPr>
        <w:t>, 527 U.S. 581 (1999), the Supreme Court recognized that</w:t>
      </w:r>
      <w:r w:rsidR="00C2548A" w:rsidRPr="009178E0">
        <w:rPr>
          <w:color w:val="auto"/>
        </w:rPr>
        <w:t xml:space="preserve"> the</w:t>
      </w:r>
      <w:r w:rsidRPr="009178E0">
        <w:rPr>
          <w:color w:val="auto"/>
        </w:rPr>
        <w:t xml:space="preserve"> unnecessary </w:t>
      </w:r>
      <w:r w:rsidR="001B612E" w:rsidRPr="009178E0">
        <w:rPr>
          <w:color w:val="auto"/>
        </w:rPr>
        <w:t>segregation</w:t>
      </w:r>
      <w:r w:rsidR="00C2548A" w:rsidRPr="009178E0">
        <w:rPr>
          <w:color w:val="auto"/>
        </w:rPr>
        <w:t xml:space="preserve"> of an individual with a disability </w:t>
      </w:r>
      <w:r w:rsidRPr="009178E0">
        <w:rPr>
          <w:color w:val="auto"/>
        </w:rPr>
        <w:t>is discrimination prohibited by Title II and the integration mandate.  The Court held that “[u]</w:t>
      </w:r>
      <w:proofErr w:type="spellStart"/>
      <w:r w:rsidRPr="009178E0">
        <w:rPr>
          <w:color w:val="auto"/>
        </w:rPr>
        <w:t>njustified</w:t>
      </w:r>
      <w:proofErr w:type="spellEnd"/>
      <w:r w:rsidRPr="009178E0">
        <w:rPr>
          <w:color w:val="auto"/>
        </w:rPr>
        <w:t xml:space="preserve"> </w:t>
      </w:r>
      <w:proofErr w:type="gramStart"/>
      <w:r w:rsidRPr="009178E0">
        <w:rPr>
          <w:color w:val="auto"/>
        </w:rPr>
        <w:t>isolation  *</w:t>
      </w:r>
      <w:proofErr w:type="gramEnd"/>
      <w:r w:rsidRPr="009178E0">
        <w:rPr>
          <w:color w:val="auto"/>
        </w:rPr>
        <w:t xml:space="preserve">  *  *  is properly regarded as discrimination based on disability” because it “perpetuates unwarranted assumptions that persons so isolated are incapable or unworthy of participating in community life</w:t>
      </w:r>
      <w:r w:rsidR="001B612E" w:rsidRPr="009178E0">
        <w:rPr>
          <w:color w:val="auto"/>
        </w:rPr>
        <w:t>.</w:t>
      </w:r>
      <w:r w:rsidRPr="009178E0">
        <w:rPr>
          <w:color w:val="auto"/>
        </w:rPr>
        <w:t xml:space="preserve">” </w:t>
      </w:r>
      <w:proofErr w:type="gramStart"/>
      <w:r w:rsidR="001B612E" w:rsidRPr="009178E0">
        <w:rPr>
          <w:i/>
          <w:iCs/>
          <w:color w:val="auto"/>
        </w:rPr>
        <w:t>Id</w:t>
      </w:r>
      <w:r w:rsidR="001B612E" w:rsidRPr="009178E0">
        <w:rPr>
          <w:color w:val="auto"/>
        </w:rPr>
        <w:t>. at 597</w:t>
      </w:r>
      <w:r w:rsidR="00197C7E" w:rsidRPr="009178E0">
        <w:rPr>
          <w:color w:val="auto"/>
        </w:rPr>
        <w:t>, 600</w:t>
      </w:r>
      <w:r w:rsidR="001B612E" w:rsidRPr="009178E0">
        <w:rPr>
          <w:color w:val="auto"/>
        </w:rPr>
        <w:t>.</w:t>
      </w:r>
      <w:proofErr w:type="gramEnd"/>
      <w:r w:rsidR="001B612E" w:rsidRPr="009178E0">
        <w:rPr>
          <w:color w:val="auto"/>
        </w:rPr>
        <w:t xml:space="preserve">  The Court reasoned that</w:t>
      </w:r>
      <w:r w:rsidRPr="009178E0">
        <w:rPr>
          <w:color w:val="auto"/>
        </w:rPr>
        <w:t xml:space="preserve"> “confinement in an institution severely diminishes the everyday life activities of individuals, including family relations, social contacts, work options, economic independence, educational advancement, and cultural enrichment.”  </w:t>
      </w:r>
      <w:proofErr w:type="gramStart"/>
      <w:r w:rsidRPr="009178E0">
        <w:rPr>
          <w:i/>
          <w:iCs/>
          <w:color w:val="auto"/>
        </w:rPr>
        <w:t>Id</w:t>
      </w:r>
      <w:r w:rsidR="001B612E" w:rsidRPr="009178E0">
        <w:rPr>
          <w:color w:val="auto"/>
        </w:rPr>
        <w:t xml:space="preserve">. at </w:t>
      </w:r>
      <w:r w:rsidRPr="009178E0">
        <w:rPr>
          <w:color w:val="auto"/>
        </w:rPr>
        <w:t>601.</w:t>
      </w:r>
      <w:proofErr w:type="gramEnd"/>
      <w:r w:rsidRPr="009178E0">
        <w:rPr>
          <w:color w:val="auto"/>
        </w:rPr>
        <w:t xml:space="preserve">  These concerns and the potential for harm exist both where individuals unnecessarily institutionalized seek to return to their communities and where those with disabilities seek to avoid unnecessary, discriminatory institutionalization </w:t>
      </w:r>
      <w:r w:rsidR="00C2548A" w:rsidRPr="009178E0">
        <w:rPr>
          <w:color w:val="auto"/>
        </w:rPr>
        <w:t xml:space="preserve">or segregation </w:t>
      </w:r>
      <w:r w:rsidRPr="009178E0">
        <w:rPr>
          <w:color w:val="auto"/>
        </w:rPr>
        <w:t xml:space="preserve">in the first place. </w:t>
      </w:r>
    </w:p>
    <w:p w:rsidR="00A201B8" w:rsidRPr="009178E0" w:rsidRDefault="00C85B36" w:rsidP="00A201B8">
      <w:pPr>
        <w:pStyle w:val="Default"/>
        <w:numPr>
          <w:ilvl w:val="0"/>
          <w:numId w:val="10"/>
        </w:numPr>
        <w:spacing w:line="480" w:lineRule="auto"/>
        <w:rPr>
          <w:color w:val="auto"/>
        </w:rPr>
      </w:pPr>
      <w:r w:rsidRPr="009178E0">
        <w:rPr>
          <w:color w:val="auto"/>
          <w:u w:val="single"/>
        </w:rPr>
        <w:t>Th</w:t>
      </w:r>
      <w:r w:rsidR="004C0D3F" w:rsidRPr="009178E0">
        <w:rPr>
          <w:color w:val="auto"/>
          <w:u w:val="single"/>
        </w:rPr>
        <w:t>re</w:t>
      </w:r>
      <w:r w:rsidRPr="009178E0">
        <w:rPr>
          <w:color w:val="auto"/>
          <w:u w:val="single"/>
        </w:rPr>
        <w:t xml:space="preserve">e Circuits </w:t>
      </w:r>
      <w:r w:rsidR="004C0D3F" w:rsidRPr="009178E0">
        <w:rPr>
          <w:color w:val="auto"/>
          <w:u w:val="single"/>
        </w:rPr>
        <w:t>Agree</w:t>
      </w:r>
      <w:r w:rsidRPr="009178E0">
        <w:rPr>
          <w:color w:val="auto"/>
          <w:u w:val="single"/>
        </w:rPr>
        <w:t xml:space="preserve"> “At-Risk” Claims Are Cognizable</w:t>
      </w:r>
    </w:p>
    <w:p w:rsidR="00A201B8" w:rsidRPr="009178E0" w:rsidRDefault="00EB3EAD" w:rsidP="00A201B8">
      <w:pPr>
        <w:pStyle w:val="Default"/>
        <w:spacing w:line="480" w:lineRule="auto"/>
        <w:ind w:firstLine="360"/>
        <w:rPr>
          <w:color w:val="auto"/>
        </w:rPr>
      </w:pPr>
      <w:r>
        <w:rPr>
          <w:color w:val="auto"/>
        </w:rPr>
        <w:t>T</w:t>
      </w:r>
      <w:r w:rsidR="00EF5124" w:rsidRPr="009178E0">
        <w:rPr>
          <w:color w:val="auto"/>
        </w:rPr>
        <w:t xml:space="preserve">he Fourth, Ninth and Tenth Circuits </w:t>
      </w:r>
      <w:r w:rsidR="005364B5">
        <w:rPr>
          <w:color w:val="auto"/>
        </w:rPr>
        <w:t xml:space="preserve">have </w:t>
      </w:r>
      <w:r w:rsidR="00EF5124" w:rsidRPr="009178E0">
        <w:rPr>
          <w:color w:val="auto"/>
        </w:rPr>
        <w:t>each held that an individual who is at serious risk of institutionalization has a claim under the integration mandate; no court to squarely address the issue has held otherwise.</w:t>
      </w:r>
      <w:r w:rsidR="00B6124B" w:rsidRPr="009178E0">
        <w:rPr>
          <w:rStyle w:val="FootnoteReference"/>
          <w:color w:val="auto"/>
        </w:rPr>
        <w:footnoteReference w:id="2"/>
      </w:r>
      <w:r w:rsidR="00EF5124" w:rsidRPr="009178E0">
        <w:rPr>
          <w:color w:val="auto"/>
        </w:rPr>
        <w:t xml:space="preserve">  </w:t>
      </w:r>
      <w:r w:rsidR="00A201B8" w:rsidRPr="009178E0">
        <w:rPr>
          <w:color w:val="auto"/>
        </w:rPr>
        <w:t xml:space="preserve">In </w:t>
      </w:r>
      <w:r w:rsidR="00A201B8" w:rsidRPr="009178E0">
        <w:rPr>
          <w:i/>
          <w:iCs/>
          <w:color w:val="auto"/>
        </w:rPr>
        <w:t>Fisher</w:t>
      </w:r>
      <w:r w:rsidR="00A201B8" w:rsidRPr="009178E0">
        <w:rPr>
          <w:color w:val="auto"/>
        </w:rPr>
        <w:t xml:space="preserve"> </w:t>
      </w:r>
      <w:r w:rsidR="00A201B8" w:rsidRPr="009178E0">
        <w:rPr>
          <w:i/>
          <w:color w:val="auto"/>
        </w:rPr>
        <w:t>v.</w:t>
      </w:r>
      <w:r w:rsidR="00A201B8" w:rsidRPr="009178E0">
        <w:rPr>
          <w:color w:val="auto"/>
        </w:rPr>
        <w:t xml:space="preserve"> </w:t>
      </w:r>
      <w:r w:rsidR="00A201B8" w:rsidRPr="009178E0">
        <w:rPr>
          <w:i/>
          <w:iCs/>
          <w:color w:val="auto"/>
        </w:rPr>
        <w:t>Oklahoma Health Care Authority</w:t>
      </w:r>
      <w:r w:rsidR="00A201B8" w:rsidRPr="009178E0">
        <w:rPr>
          <w:color w:val="auto"/>
        </w:rPr>
        <w:t>, 335 F.3d 1175 (</w:t>
      </w:r>
      <w:r w:rsidR="009C2080" w:rsidRPr="009178E0">
        <w:rPr>
          <w:color w:val="auto"/>
        </w:rPr>
        <w:t>10</w:t>
      </w:r>
      <w:r w:rsidR="009C2080" w:rsidRPr="009178E0">
        <w:rPr>
          <w:color w:val="auto"/>
          <w:vertAlign w:val="superscript"/>
        </w:rPr>
        <w:t>th</w:t>
      </w:r>
      <w:r w:rsidR="009C2080" w:rsidRPr="009178E0">
        <w:rPr>
          <w:color w:val="auto"/>
        </w:rPr>
        <w:t xml:space="preserve"> Cir. </w:t>
      </w:r>
      <w:r w:rsidR="00A201B8" w:rsidRPr="009178E0">
        <w:rPr>
          <w:color w:val="auto"/>
        </w:rPr>
        <w:t xml:space="preserve">2003), the Tenth Circuit held that “disabled persons </w:t>
      </w:r>
      <w:proofErr w:type="gramStart"/>
      <w:r w:rsidR="00A201B8" w:rsidRPr="009178E0">
        <w:rPr>
          <w:color w:val="auto"/>
        </w:rPr>
        <w:t>who  *</w:t>
      </w:r>
      <w:proofErr w:type="gramEnd"/>
      <w:r w:rsidR="00A201B8" w:rsidRPr="009178E0">
        <w:rPr>
          <w:color w:val="auto"/>
        </w:rPr>
        <w:t xml:space="preserve">  *  *  stand imperiled with segregation” have standing to bring a claim “under the ADA’s integration regulation without first submitting to institutionalization.”  </w:t>
      </w:r>
      <w:proofErr w:type="gramStart"/>
      <w:r w:rsidR="00A201B8" w:rsidRPr="009178E0">
        <w:rPr>
          <w:i/>
          <w:iCs/>
          <w:color w:val="auto"/>
        </w:rPr>
        <w:t>Id.</w:t>
      </w:r>
      <w:r w:rsidR="00A201B8" w:rsidRPr="009178E0">
        <w:rPr>
          <w:color w:val="auto"/>
        </w:rPr>
        <w:t xml:space="preserve"> at 1182.</w:t>
      </w:r>
      <w:proofErr w:type="gramEnd"/>
      <w:r w:rsidR="00A201B8" w:rsidRPr="009178E0">
        <w:rPr>
          <w:color w:val="auto"/>
        </w:rPr>
        <w:t xml:space="preserve">  The court reasoned that “there is nothing in the plain language of the regulations that limits protection to persons who are currently institutionalized.”  </w:t>
      </w:r>
      <w:proofErr w:type="gramStart"/>
      <w:r w:rsidR="00A201B8" w:rsidRPr="009178E0">
        <w:rPr>
          <w:i/>
          <w:iCs/>
          <w:color w:val="auto"/>
        </w:rPr>
        <w:t>Id.</w:t>
      </w:r>
      <w:r w:rsidR="00A201B8" w:rsidRPr="009178E0">
        <w:rPr>
          <w:color w:val="auto"/>
        </w:rPr>
        <w:t xml:space="preserve"> at 1181.</w:t>
      </w:r>
      <w:proofErr w:type="gramEnd"/>
      <w:r w:rsidR="00A201B8" w:rsidRPr="009178E0">
        <w:rPr>
          <w:color w:val="auto"/>
        </w:rPr>
        <w:t xml:space="preserve">  The court concluded that the integration mandate “would be meaningless if plaintiffs were required to segregate themselves by entering an institution before they could challenge an allegedly discriminatory law or policy that threatens to force them into segregated isolation.”  </w:t>
      </w:r>
      <w:r w:rsidR="00FB0B71">
        <w:rPr>
          <w:i/>
          <w:iCs/>
          <w:color w:val="auto"/>
        </w:rPr>
        <w:t>I</w:t>
      </w:r>
      <w:r w:rsidR="00A201B8" w:rsidRPr="009178E0">
        <w:rPr>
          <w:i/>
          <w:iCs/>
          <w:color w:val="auto"/>
        </w:rPr>
        <w:t>d.</w:t>
      </w:r>
      <w:r w:rsidR="00A201B8" w:rsidRPr="009178E0">
        <w:rPr>
          <w:color w:val="auto"/>
        </w:rPr>
        <w:t xml:space="preserve">  The plaintiffs in </w:t>
      </w:r>
      <w:r w:rsidR="00A201B8" w:rsidRPr="009178E0">
        <w:rPr>
          <w:i/>
          <w:iCs/>
          <w:color w:val="auto"/>
        </w:rPr>
        <w:t>Fisher</w:t>
      </w:r>
      <w:r w:rsidR="00A201B8" w:rsidRPr="009178E0">
        <w:rPr>
          <w:color w:val="auto"/>
        </w:rPr>
        <w:t xml:space="preserve"> “face[d] a substantial risk of harm” because they were “at high risk for premature entry” to an institution due to the state policy at issue in the case.  </w:t>
      </w:r>
      <w:proofErr w:type="gramStart"/>
      <w:r w:rsidR="00A201B8" w:rsidRPr="009178E0">
        <w:rPr>
          <w:i/>
          <w:iCs/>
          <w:color w:val="auto"/>
        </w:rPr>
        <w:t>Id.</w:t>
      </w:r>
      <w:r w:rsidR="00A201B8" w:rsidRPr="009178E0">
        <w:rPr>
          <w:color w:val="auto"/>
        </w:rPr>
        <w:t xml:space="preserve"> at 1184 (internal quotation marks omitted).</w:t>
      </w:r>
      <w:proofErr w:type="gramEnd"/>
      <w:r w:rsidR="00A201B8" w:rsidRPr="009178E0">
        <w:rPr>
          <w:color w:val="auto"/>
        </w:rPr>
        <w:t xml:space="preserve"> </w:t>
      </w:r>
    </w:p>
    <w:p w:rsidR="00A201B8" w:rsidRPr="009178E0" w:rsidRDefault="00A201B8" w:rsidP="00A201B8">
      <w:pPr>
        <w:pStyle w:val="Default"/>
        <w:spacing w:line="480" w:lineRule="auto"/>
        <w:ind w:firstLine="720"/>
        <w:rPr>
          <w:color w:val="auto"/>
        </w:rPr>
      </w:pPr>
      <w:r w:rsidRPr="009178E0">
        <w:rPr>
          <w:color w:val="auto"/>
        </w:rPr>
        <w:t xml:space="preserve">In </w:t>
      </w:r>
      <w:r w:rsidRPr="009178E0">
        <w:rPr>
          <w:i/>
          <w:iCs/>
          <w:color w:val="auto"/>
        </w:rPr>
        <w:t>M.R.</w:t>
      </w:r>
      <w:r w:rsidRPr="009178E0">
        <w:rPr>
          <w:color w:val="auto"/>
        </w:rPr>
        <w:t xml:space="preserve"> </w:t>
      </w:r>
      <w:r w:rsidRPr="009178E0">
        <w:rPr>
          <w:i/>
          <w:color w:val="auto"/>
        </w:rPr>
        <w:t xml:space="preserve">v. </w:t>
      </w:r>
      <w:r w:rsidRPr="009178E0">
        <w:rPr>
          <w:i/>
          <w:iCs/>
          <w:color w:val="auto"/>
        </w:rPr>
        <w:t>Dreyfus</w:t>
      </w:r>
      <w:r w:rsidRPr="009178E0">
        <w:rPr>
          <w:color w:val="auto"/>
        </w:rPr>
        <w:t>, 663 F.3d 1100 (</w:t>
      </w:r>
      <w:r w:rsidR="004A3681" w:rsidRPr="009178E0">
        <w:rPr>
          <w:color w:val="auto"/>
        </w:rPr>
        <w:t>9</w:t>
      </w:r>
      <w:r w:rsidR="004A3681" w:rsidRPr="009178E0">
        <w:rPr>
          <w:color w:val="auto"/>
          <w:vertAlign w:val="superscript"/>
        </w:rPr>
        <w:t>th</w:t>
      </w:r>
      <w:r w:rsidR="004A3681" w:rsidRPr="009178E0">
        <w:rPr>
          <w:color w:val="auto"/>
        </w:rPr>
        <w:t xml:space="preserve"> Cir. </w:t>
      </w:r>
      <w:r w:rsidRPr="009178E0">
        <w:rPr>
          <w:color w:val="auto"/>
        </w:rPr>
        <w:t xml:space="preserve">2011), amended by 697 F.3d 706 (2012), the Ninth Circuit held that “[a]n ADA plaintiff need not show that institutionalization is ‘inevitable’ or that she has ‘no choice’ but to submit to institutional care in order to state a violation of the integration mandate.  Rather, a plaintiff need only show that the challenged state action creates a serious risk of institutionalization.”  </w:t>
      </w:r>
      <w:proofErr w:type="gramStart"/>
      <w:r w:rsidRPr="009178E0">
        <w:rPr>
          <w:i/>
          <w:iCs/>
          <w:color w:val="auto"/>
        </w:rPr>
        <w:t>Id.</w:t>
      </w:r>
      <w:r w:rsidRPr="009178E0">
        <w:rPr>
          <w:color w:val="auto"/>
        </w:rPr>
        <w:t xml:space="preserve"> at 1116.</w:t>
      </w:r>
      <w:proofErr w:type="gramEnd"/>
      <w:r w:rsidRPr="009178E0">
        <w:rPr>
          <w:color w:val="auto"/>
        </w:rPr>
        <w:t xml:space="preserve">  </w:t>
      </w:r>
    </w:p>
    <w:p w:rsidR="00A201B8" w:rsidRDefault="00A201B8" w:rsidP="00CD6058">
      <w:pPr>
        <w:pStyle w:val="Default"/>
        <w:spacing w:line="480" w:lineRule="auto"/>
        <w:ind w:firstLine="360"/>
        <w:rPr>
          <w:color w:val="auto"/>
        </w:rPr>
      </w:pPr>
      <w:r w:rsidRPr="009178E0">
        <w:rPr>
          <w:color w:val="auto"/>
        </w:rPr>
        <w:t xml:space="preserve">In </w:t>
      </w:r>
      <w:proofErr w:type="spellStart"/>
      <w:r w:rsidRPr="009178E0">
        <w:rPr>
          <w:i/>
          <w:iCs/>
          <w:color w:val="auto"/>
        </w:rPr>
        <w:t>Pashby</w:t>
      </w:r>
      <w:proofErr w:type="spellEnd"/>
      <w:r w:rsidRPr="009178E0">
        <w:rPr>
          <w:color w:val="auto"/>
        </w:rPr>
        <w:t xml:space="preserve"> </w:t>
      </w:r>
      <w:r w:rsidRPr="009178E0">
        <w:rPr>
          <w:i/>
          <w:color w:val="auto"/>
        </w:rPr>
        <w:t>v.</w:t>
      </w:r>
      <w:r w:rsidRPr="009178E0">
        <w:rPr>
          <w:color w:val="auto"/>
        </w:rPr>
        <w:t xml:space="preserve"> </w:t>
      </w:r>
      <w:r w:rsidRPr="009178E0">
        <w:rPr>
          <w:i/>
          <w:iCs/>
          <w:color w:val="auto"/>
        </w:rPr>
        <w:t>Delia</w:t>
      </w:r>
      <w:r w:rsidRPr="009178E0">
        <w:rPr>
          <w:color w:val="auto"/>
        </w:rPr>
        <w:t>, 709 F.3d 307 (</w:t>
      </w:r>
      <w:r w:rsidR="004A3681" w:rsidRPr="009178E0">
        <w:rPr>
          <w:color w:val="auto"/>
        </w:rPr>
        <w:t>4</w:t>
      </w:r>
      <w:r w:rsidR="004A3681" w:rsidRPr="009178E0">
        <w:rPr>
          <w:color w:val="auto"/>
          <w:vertAlign w:val="superscript"/>
        </w:rPr>
        <w:t>th</w:t>
      </w:r>
      <w:r w:rsidR="004A3681" w:rsidRPr="009178E0">
        <w:rPr>
          <w:color w:val="auto"/>
        </w:rPr>
        <w:t xml:space="preserve"> Cir. </w:t>
      </w:r>
      <w:r w:rsidRPr="009178E0">
        <w:rPr>
          <w:color w:val="auto"/>
        </w:rPr>
        <w:t xml:space="preserve">2013), the Fourth Circuit held that individuals who “face a risk of institutionalization” and “must enter institutions to </w:t>
      </w:r>
      <w:proofErr w:type="gramStart"/>
      <w:r w:rsidRPr="009178E0">
        <w:rPr>
          <w:color w:val="auto"/>
        </w:rPr>
        <w:t>obtain  *</w:t>
      </w:r>
      <w:proofErr w:type="gramEnd"/>
      <w:r w:rsidRPr="009178E0">
        <w:rPr>
          <w:color w:val="auto"/>
        </w:rPr>
        <w:t xml:space="preserve">  *  *  services for which they qualify” have standing to bring an ADA claim.  </w:t>
      </w:r>
      <w:proofErr w:type="gramStart"/>
      <w:r w:rsidRPr="009178E0">
        <w:rPr>
          <w:i/>
          <w:iCs/>
          <w:color w:val="auto"/>
        </w:rPr>
        <w:t>Id.</w:t>
      </w:r>
      <w:r w:rsidRPr="009178E0">
        <w:rPr>
          <w:color w:val="auto"/>
        </w:rPr>
        <w:t xml:space="preserve"> at 322.</w:t>
      </w:r>
      <w:proofErr w:type="gramEnd"/>
      <w:r w:rsidRPr="009178E0">
        <w:rPr>
          <w:color w:val="auto"/>
        </w:rPr>
        <w:t xml:space="preserve">  The court reasoned that “nothing in the plain language of the </w:t>
      </w:r>
      <w:proofErr w:type="gramStart"/>
      <w:r w:rsidRPr="009178E0">
        <w:rPr>
          <w:color w:val="auto"/>
        </w:rPr>
        <w:t>regulations  *</w:t>
      </w:r>
      <w:proofErr w:type="gramEnd"/>
      <w:r w:rsidRPr="009178E0">
        <w:rPr>
          <w:color w:val="auto"/>
        </w:rPr>
        <w:t xml:space="preserve">  *  *  limits protection to persons who are currently institutionalized.”  </w:t>
      </w:r>
      <w:proofErr w:type="gramStart"/>
      <w:r w:rsidR="00393AE1">
        <w:rPr>
          <w:i/>
          <w:iCs/>
          <w:color w:val="auto"/>
        </w:rPr>
        <w:t>I</w:t>
      </w:r>
      <w:r w:rsidRPr="009178E0">
        <w:rPr>
          <w:i/>
          <w:iCs/>
          <w:color w:val="auto"/>
        </w:rPr>
        <w:t>d.</w:t>
      </w:r>
      <w:r w:rsidRPr="009178E0">
        <w:rPr>
          <w:color w:val="auto"/>
        </w:rPr>
        <w:t xml:space="preserve"> (quoting </w:t>
      </w:r>
      <w:r w:rsidRPr="009178E0">
        <w:rPr>
          <w:i/>
          <w:iCs/>
          <w:color w:val="auto"/>
        </w:rPr>
        <w:t>Fisher</w:t>
      </w:r>
      <w:r w:rsidRPr="009178E0">
        <w:rPr>
          <w:color w:val="auto"/>
        </w:rPr>
        <w:t>, 335 F.3d at 1181).</w:t>
      </w:r>
      <w:proofErr w:type="gramEnd"/>
      <w:r w:rsidRPr="009178E0">
        <w:rPr>
          <w:color w:val="auto"/>
        </w:rPr>
        <w:t xml:space="preserve">  </w:t>
      </w:r>
    </w:p>
    <w:p w:rsidR="00631FBB" w:rsidRDefault="00D4297F">
      <w:pPr>
        <w:pStyle w:val="Default"/>
        <w:spacing w:line="480" w:lineRule="auto"/>
        <w:ind w:firstLine="720"/>
        <w:rPr>
          <w:color w:val="auto"/>
        </w:rPr>
      </w:pPr>
      <w:proofErr w:type="gramStart"/>
      <w:r w:rsidRPr="009178E0">
        <w:rPr>
          <w:color w:val="auto"/>
        </w:rPr>
        <w:t xml:space="preserve">Defendants’ proffered interpretation of the integration mandate conflicts with </w:t>
      </w:r>
      <w:r>
        <w:rPr>
          <w:color w:val="auto"/>
        </w:rPr>
        <w:t xml:space="preserve">these </w:t>
      </w:r>
      <w:r w:rsidRPr="009178E0">
        <w:rPr>
          <w:color w:val="auto"/>
        </w:rPr>
        <w:t>decisions of the Fourth, Ninth, and Tenth Circuits.</w:t>
      </w:r>
      <w:proofErr w:type="gramEnd"/>
      <w:r w:rsidRPr="009178E0">
        <w:rPr>
          <w:color w:val="auto"/>
        </w:rPr>
        <w:t xml:space="preserve"> Defendants argue that the integration mandate first requires institutionalization in order to state a claim.  </w:t>
      </w:r>
      <w:proofErr w:type="spellStart"/>
      <w:proofErr w:type="gramStart"/>
      <w:r w:rsidR="00F84FA2">
        <w:rPr>
          <w:color w:val="auto"/>
        </w:rPr>
        <w:t>Def</w:t>
      </w:r>
      <w:r w:rsidR="00E76DBA">
        <w:rPr>
          <w:color w:val="auto"/>
        </w:rPr>
        <w:t>s</w:t>
      </w:r>
      <w:proofErr w:type="spellEnd"/>
      <w:r w:rsidR="00F84FA2">
        <w:rPr>
          <w:color w:val="auto"/>
        </w:rPr>
        <w:t>.’</w:t>
      </w:r>
      <w:proofErr w:type="gramEnd"/>
      <w:r w:rsidR="00203E10">
        <w:rPr>
          <w:color w:val="auto"/>
        </w:rPr>
        <w:t xml:space="preserve"> Br.</w:t>
      </w:r>
      <w:r w:rsidR="00E76DBA">
        <w:rPr>
          <w:color w:val="auto"/>
        </w:rPr>
        <w:t xml:space="preserve"> Supp.</w:t>
      </w:r>
      <w:r w:rsidR="0021104E">
        <w:rPr>
          <w:color w:val="auto"/>
        </w:rPr>
        <w:t xml:space="preserve"> </w:t>
      </w:r>
      <w:proofErr w:type="spellStart"/>
      <w:r w:rsidR="00E76DBA">
        <w:rPr>
          <w:color w:val="auto"/>
        </w:rPr>
        <w:t>Summ</w:t>
      </w:r>
      <w:proofErr w:type="spellEnd"/>
      <w:r w:rsidR="00E76DBA">
        <w:rPr>
          <w:color w:val="auto"/>
        </w:rPr>
        <w:t xml:space="preserve">. </w:t>
      </w:r>
      <w:proofErr w:type="gramStart"/>
      <w:r w:rsidR="00E76DBA">
        <w:rPr>
          <w:color w:val="auto"/>
        </w:rPr>
        <w:t>J.</w:t>
      </w:r>
      <w:r w:rsidR="00F84FA2">
        <w:rPr>
          <w:color w:val="auto"/>
        </w:rPr>
        <w:t xml:space="preserve">, </w:t>
      </w:r>
      <w:r w:rsidRPr="009178E0">
        <w:rPr>
          <w:color w:val="auto"/>
        </w:rPr>
        <w:t>Filing No. 144, at 8-10.</w:t>
      </w:r>
      <w:proofErr w:type="gramEnd"/>
      <w:r w:rsidRPr="009178E0">
        <w:rPr>
          <w:color w:val="auto"/>
        </w:rPr>
        <w:t xml:space="preserve">   Defendant misconstrues Seventh Circuit precedent in arguing otherwise.  In </w:t>
      </w:r>
      <w:proofErr w:type="spellStart"/>
      <w:r w:rsidRPr="009178E0">
        <w:rPr>
          <w:i/>
          <w:iCs/>
          <w:color w:val="auto"/>
        </w:rPr>
        <w:t>Amundson</w:t>
      </w:r>
      <w:proofErr w:type="spellEnd"/>
      <w:r w:rsidR="00E63C76">
        <w:rPr>
          <w:iCs/>
          <w:color w:val="auto"/>
        </w:rPr>
        <w:t>,</w:t>
      </w:r>
      <w:r w:rsidRPr="009178E0">
        <w:rPr>
          <w:color w:val="auto"/>
        </w:rPr>
        <w:t xml:space="preserve"> the Seventh Circuit never reached the question of the proper legal standard under the integration mandate because the integration claim in that case was “unripe.”   </w:t>
      </w:r>
      <w:proofErr w:type="gramStart"/>
      <w:r w:rsidR="00E63C76" w:rsidRPr="009178E0">
        <w:rPr>
          <w:color w:val="auto"/>
        </w:rPr>
        <w:t>721 F.3d</w:t>
      </w:r>
      <w:r w:rsidRPr="009178E0">
        <w:rPr>
          <w:color w:val="auto"/>
        </w:rPr>
        <w:t xml:space="preserve"> at 874.</w:t>
      </w:r>
      <w:proofErr w:type="gramEnd"/>
      <w:r w:rsidRPr="009178E0">
        <w:rPr>
          <w:color w:val="auto"/>
        </w:rPr>
        <w:t xml:space="preserve">  The plaintiffs in </w:t>
      </w:r>
      <w:proofErr w:type="spellStart"/>
      <w:r w:rsidRPr="009178E0">
        <w:rPr>
          <w:i/>
          <w:color w:val="auto"/>
        </w:rPr>
        <w:t>Amundson</w:t>
      </w:r>
      <w:proofErr w:type="spellEnd"/>
      <w:r w:rsidRPr="009178E0">
        <w:rPr>
          <w:color w:val="auto"/>
        </w:rPr>
        <w:t xml:space="preserve"> challenged the </w:t>
      </w:r>
      <w:r w:rsidR="00E63C76">
        <w:rPr>
          <w:color w:val="auto"/>
        </w:rPr>
        <w:t>s</w:t>
      </w:r>
      <w:r w:rsidRPr="009178E0">
        <w:rPr>
          <w:color w:val="auto"/>
        </w:rPr>
        <w:t xml:space="preserve">tate’s Medicaid service rates regarding community placements but did not allege that community providers would not accept the rates.  </w:t>
      </w:r>
      <w:r w:rsidRPr="009178E0">
        <w:rPr>
          <w:i/>
          <w:iCs/>
          <w:color w:val="auto"/>
        </w:rPr>
        <w:t>Id.</w:t>
      </w:r>
      <w:r w:rsidRPr="009178E0">
        <w:rPr>
          <w:color w:val="auto"/>
        </w:rPr>
        <w:t xml:space="preserve"> at 873-874.  The court credited the </w:t>
      </w:r>
      <w:r w:rsidR="00E63C76">
        <w:rPr>
          <w:color w:val="auto"/>
        </w:rPr>
        <w:t>s</w:t>
      </w:r>
      <w:r w:rsidRPr="009178E0">
        <w:rPr>
          <w:color w:val="auto"/>
        </w:rPr>
        <w:t xml:space="preserve">tate’s assertion that “it has safeguards in place that will prevent any plaintiff from being transferred to an institution.”  </w:t>
      </w:r>
      <w:proofErr w:type="gramStart"/>
      <w:r w:rsidRPr="009178E0">
        <w:rPr>
          <w:i/>
          <w:color w:val="auto"/>
        </w:rPr>
        <w:t xml:space="preserve">Id. </w:t>
      </w:r>
      <w:r w:rsidRPr="009178E0">
        <w:rPr>
          <w:color w:val="auto"/>
        </w:rPr>
        <w:t>at 874.</w:t>
      </w:r>
      <w:proofErr w:type="gramEnd"/>
      <w:r w:rsidRPr="009178E0">
        <w:rPr>
          <w:color w:val="auto"/>
        </w:rPr>
        <w:t xml:space="preserve"> Crucially, the court found that the “complaint does not give a sufficient reason to think that these [safeguards] will fail.” </w:t>
      </w:r>
      <w:r w:rsidRPr="009178E0">
        <w:rPr>
          <w:i/>
          <w:color w:val="auto"/>
        </w:rPr>
        <w:t xml:space="preserve">Id. </w:t>
      </w:r>
      <w:r w:rsidRPr="009178E0">
        <w:rPr>
          <w:color w:val="auto"/>
        </w:rPr>
        <w:t xml:space="preserve">This language makes clear that the Seventh Circuit did not foreclose at-risk claims.  Rather, in order to make out a claim under the integration mandate, an individual need not necessarily be institutionalized, but must give the fact-finder “sufficient reason to think” that the state’s actions could result in institutionalization.  </w:t>
      </w:r>
      <w:r w:rsidRPr="009178E0">
        <w:rPr>
          <w:i/>
          <w:color w:val="auto"/>
        </w:rPr>
        <w:t xml:space="preserve">Id. </w:t>
      </w:r>
      <w:r w:rsidR="007451DB">
        <w:rPr>
          <w:color w:val="auto"/>
        </w:rPr>
        <w:t xml:space="preserve"> </w:t>
      </w:r>
      <w:r w:rsidRPr="009178E0">
        <w:rPr>
          <w:color w:val="auto"/>
        </w:rPr>
        <w:t>Because</w:t>
      </w:r>
      <w:r w:rsidRPr="009178E0">
        <w:rPr>
          <w:i/>
          <w:color w:val="auto"/>
        </w:rPr>
        <w:t xml:space="preserve"> </w:t>
      </w:r>
      <w:r w:rsidRPr="009178E0">
        <w:rPr>
          <w:color w:val="auto"/>
        </w:rPr>
        <w:t xml:space="preserve">the </w:t>
      </w:r>
      <w:proofErr w:type="spellStart"/>
      <w:r w:rsidRPr="009178E0">
        <w:rPr>
          <w:i/>
          <w:color w:val="auto"/>
        </w:rPr>
        <w:t>Amundson</w:t>
      </w:r>
      <w:proofErr w:type="spellEnd"/>
      <w:r w:rsidRPr="009178E0">
        <w:rPr>
          <w:i/>
          <w:color w:val="auto"/>
        </w:rPr>
        <w:t xml:space="preserve"> </w:t>
      </w:r>
      <w:r w:rsidRPr="009178E0">
        <w:rPr>
          <w:color w:val="auto"/>
        </w:rPr>
        <w:t xml:space="preserve">plaintiffs did not connect the </w:t>
      </w:r>
      <w:r w:rsidR="00E63C76">
        <w:rPr>
          <w:color w:val="auto"/>
        </w:rPr>
        <w:t>s</w:t>
      </w:r>
      <w:r w:rsidRPr="009178E0">
        <w:rPr>
          <w:color w:val="auto"/>
        </w:rPr>
        <w:t xml:space="preserve">tate’s actions to a cognizable harm (risk of institutionalization), the court </w:t>
      </w:r>
      <w:r w:rsidR="00510BD4">
        <w:rPr>
          <w:color w:val="auto"/>
        </w:rPr>
        <w:t>dismissed their claims</w:t>
      </w:r>
      <w:r w:rsidRPr="009178E0">
        <w:rPr>
          <w:color w:val="auto"/>
        </w:rPr>
        <w:t>.</w:t>
      </w:r>
      <w:r w:rsidR="008476A7" w:rsidRPr="008476A7">
        <w:rPr>
          <w:color w:val="auto"/>
        </w:rPr>
        <w:t xml:space="preserve"> </w:t>
      </w:r>
      <w:r w:rsidR="008476A7">
        <w:rPr>
          <w:color w:val="auto"/>
        </w:rPr>
        <w:t xml:space="preserve">So, the Seventh Circuit’s holding in </w:t>
      </w:r>
      <w:proofErr w:type="spellStart"/>
      <w:r w:rsidR="008476A7">
        <w:rPr>
          <w:i/>
          <w:color w:val="auto"/>
        </w:rPr>
        <w:t>Amundson</w:t>
      </w:r>
      <w:proofErr w:type="spellEnd"/>
      <w:r w:rsidR="008476A7">
        <w:rPr>
          <w:i/>
          <w:color w:val="auto"/>
        </w:rPr>
        <w:t xml:space="preserve"> </w:t>
      </w:r>
      <w:r w:rsidR="008476A7">
        <w:rPr>
          <w:color w:val="auto"/>
        </w:rPr>
        <w:t>is not inconsistent with the</w:t>
      </w:r>
      <w:r w:rsidR="001706A3">
        <w:rPr>
          <w:color w:val="auto"/>
        </w:rPr>
        <w:t xml:space="preserve"> decisions of the</w:t>
      </w:r>
      <w:r w:rsidR="008476A7">
        <w:rPr>
          <w:color w:val="auto"/>
        </w:rPr>
        <w:t xml:space="preserve"> Fourth, Ninth, and Tenth Circuits</w:t>
      </w:r>
      <w:r w:rsidR="001706A3">
        <w:rPr>
          <w:color w:val="auto"/>
        </w:rPr>
        <w:t xml:space="preserve"> </w:t>
      </w:r>
      <w:r w:rsidR="008476A7">
        <w:rPr>
          <w:color w:val="auto"/>
        </w:rPr>
        <w:t xml:space="preserve">that at-risk claims are cognizable under the integration mandate.  </w:t>
      </w:r>
    </w:p>
    <w:p w:rsidR="008C7E7C" w:rsidRPr="009178E0" w:rsidRDefault="007D74A8" w:rsidP="001E3638">
      <w:pPr>
        <w:pStyle w:val="Default"/>
        <w:spacing w:line="480" w:lineRule="auto"/>
        <w:ind w:firstLine="360"/>
        <w:rPr>
          <w:color w:val="auto"/>
          <w:u w:val="single"/>
        </w:rPr>
      </w:pPr>
      <w:r w:rsidRPr="009178E0">
        <w:rPr>
          <w:color w:val="auto"/>
        </w:rPr>
        <w:t>C</w:t>
      </w:r>
      <w:r w:rsidR="008C7E7C" w:rsidRPr="009178E0">
        <w:rPr>
          <w:color w:val="auto"/>
        </w:rPr>
        <w:t xml:space="preserve">. </w:t>
      </w:r>
      <w:r w:rsidR="003D25F5" w:rsidRPr="009178E0">
        <w:rPr>
          <w:color w:val="auto"/>
          <w:u w:val="single"/>
        </w:rPr>
        <w:t>The Department of Justice’s Interpretation of the Integration Mandate Warrants Deference</w:t>
      </w:r>
    </w:p>
    <w:p w:rsidR="007155EF" w:rsidRDefault="001706A3" w:rsidP="007155EF">
      <w:pPr>
        <w:pStyle w:val="Default"/>
        <w:spacing w:line="480" w:lineRule="auto"/>
        <w:ind w:firstLine="720"/>
        <w:rPr>
          <w:color w:val="auto"/>
        </w:rPr>
      </w:pPr>
      <w:r w:rsidRPr="009178E0">
        <w:rPr>
          <w:color w:val="auto"/>
        </w:rPr>
        <w:t xml:space="preserve">The Department’s views on Title II of the ADA “warrant respect,” </w:t>
      </w:r>
      <w:r w:rsidRPr="009178E0">
        <w:rPr>
          <w:i/>
          <w:iCs/>
          <w:color w:val="auto"/>
        </w:rPr>
        <w:t>Olmstead</w:t>
      </w:r>
      <w:r w:rsidRPr="009178E0">
        <w:rPr>
          <w:color w:val="auto"/>
        </w:rPr>
        <w:t>, 527 U.S. at 597-598</w:t>
      </w:r>
      <w:r w:rsidR="00E714BC">
        <w:rPr>
          <w:color w:val="auto"/>
        </w:rPr>
        <w:t>.</w:t>
      </w:r>
      <w:r w:rsidR="008F61BF">
        <w:rPr>
          <w:color w:val="auto"/>
        </w:rPr>
        <w:t xml:space="preserve">  Further, its interpretation of its own regulation</w:t>
      </w:r>
      <w:r w:rsidR="009B6034">
        <w:rPr>
          <w:color w:val="auto"/>
        </w:rPr>
        <w:t xml:space="preserve"> is</w:t>
      </w:r>
      <w:r w:rsidR="00E714BC" w:rsidRPr="009178E0">
        <w:rPr>
          <w:color w:val="auto"/>
        </w:rPr>
        <w:t xml:space="preserve"> “controlling unless plainly erroneous or inconsistent with the regulation,” </w:t>
      </w:r>
      <w:r w:rsidR="00E714BC" w:rsidRPr="009178E0">
        <w:rPr>
          <w:i/>
          <w:iCs/>
          <w:color w:val="auto"/>
        </w:rPr>
        <w:t>Auer</w:t>
      </w:r>
      <w:r w:rsidR="00E714BC" w:rsidRPr="009178E0">
        <w:rPr>
          <w:color w:val="auto"/>
        </w:rPr>
        <w:t xml:space="preserve"> </w:t>
      </w:r>
      <w:r w:rsidR="00F86DC2" w:rsidRPr="00F86DC2">
        <w:rPr>
          <w:i/>
          <w:color w:val="auto"/>
        </w:rPr>
        <w:t>v.</w:t>
      </w:r>
      <w:r w:rsidR="00E714BC" w:rsidRPr="009178E0">
        <w:rPr>
          <w:color w:val="auto"/>
        </w:rPr>
        <w:t xml:space="preserve"> </w:t>
      </w:r>
      <w:r w:rsidR="00E714BC" w:rsidRPr="009178E0">
        <w:rPr>
          <w:i/>
          <w:iCs/>
          <w:color w:val="auto"/>
        </w:rPr>
        <w:t>Robbins</w:t>
      </w:r>
      <w:r w:rsidR="00E714BC" w:rsidRPr="009178E0">
        <w:rPr>
          <w:color w:val="auto"/>
        </w:rPr>
        <w:t>, 519 U.S. 452, 461 (1997) (citation and internal quotation marks omitted)</w:t>
      </w:r>
      <w:r w:rsidR="00510BD4">
        <w:rPr>
          <w:color w:val="auto"/>
        </w:rPr>
        <w:t xml:space="preserve">; </w:t>
      </w:r>
      <w:r w:rsidR="00510BD4" w:rsidRPr="00F86DC2">
        <w:rPr>
          <w:i/>
        </w:rPr>
        <w:t>Perez v. Mortgage Bankers Association</w:t>
      </w:r>
      <w:r w:rsidR="00510BD4">
        <w:t xml:space="preserve">, </w:t>
      </w:r>
      <w:r w:rsidR="00510BD4" w:rsidRPr="00F86DC2">
        <w:t xml:space="preserve">135 S. Ct. 1199, </w:t>
      </w:r>
      <w:r w:rsidR="00F126A9">
        <w:t>n. 4</w:t>
      </w:r>
      <w:r w:rsidR="00510BD4" w:rsidRPr="00F86DC2">
        <w:t xml:space="preserve"> (2015)</w:t>
      </w:r>
      <w:r w:rsidR="00510BD4">
        <w:rPr>
          <w:color w:val="auto"/>
        </w:rPr>
        <w:t xml:space="preserve"> (</w:t>
      </w:r>
      <w:r w:rsidR="009102F1">
        <w:rPr>
          <w:i/>
          <w:color w:val="auto"/>
        </w:rPr>
        <w:t>Auer</w:t>
      </w:r>
      <w:r w:rsidR="009102F1">
        <w:rPr>
          <w:color w:val="auto"/>
        </w:rPr>
        <w:t xml:space="preserve"> deference</w:t>
      </w:r>
      <w:r w:rsidR="001461EB">
        <w:rPr>
          <w:color w:val="auto"/>
        </w:rPr>
        <w:t xml:space="preserve"> applies</w:t>
      </w:r>
      <w:r w:rsidR="009102F1">
        <w:rPr>
          <w:color w:val="auto"/>
        </w:rPr>
        <w:t xml:space="preserve"> to agencies’ interpretations of their own regulations</w:t>
      </w:r>
      <w:r w:rsidR="00F126A9">
        <w:rPr>
          <w:color w:val="auto"/>
        </w:rPr>
        <w:t xml:space="preserve"> unless “the agency’s interpretation is plainly erroneous or inconsistent with the regulation” or “does not reflect the agency’s fair and considered judgment” (citations omitted)</w:t>
      </w:r>
      <w:r w:rsidR="009102F1">
        <w:rPr>
          <w:color w:val="auto"/>
        </w:rPr>
        <w:t>)</w:t>
      </w:r>
      <w:r w:rsidR="00F1525C">
        <w:rPr>
          <w:color w:val="auto"/>
        </w:rPr>
        <w:t>.</w:t>
      </w:r>
      <w:r w:rsidR="009B6034">
        <w:rPr>
          <w:color w:val="auto"/>
        </w:rPr>
        <w:t xml:space="preserve">  </w:t>
      </w:r>
    </w:p>
    <w:p w:rsidR="007155EF" w:rsidRDefault="007155EF" w:rsidP="007155EF">
      <w:pPr>
        <w:pStyle w:val="Default"/>
        <w:spacing w:line="480" w:lineRule="auto"/>
        <w:ind w:firstLine="720"/>
        <w:rPr>
          <w:color w:val="auto"/>
        </w:rPr>
      </w:pPr>
      <w:r w:rsidRPr="009178E0">
        <w:rPr>
          <w:color w:val="auto"/>
        </w:rPr>
        <w:t xml:space="preserve">The Department’s </w:t>
      </w:r>
      <w:r>
        <w:rPr>
          <w:i/>
          <w:color w:val="auto"/>
        </w:rPr>
        <w:t xml:space="preserve">Olmstead </w:t>
      </w:r>
      <w:r>
        <w:rPr>
          <w:color w:val="auto"/>
        </w:rPr>
        <w:t>Statement provides</w:t>
      </w:r>
      <w:r w:rsidRPr="009178E0">
        <w:rPr>
          <w:color w:val="auto"/>
        </w:rPr>
        <w:t xml:space="preserve"> that suing to </w:t>
      </w:r>
      <w:r w:rsidRPr="009178E0">
        <w:rPr>
          <w:iCs/>
          <w:color w:val="auto"/>
        </w:rPr>
        <w:t>prevent</w:t>
      </w:r>
      <w:r w:rsidRPr="009178E0">
        <w:rPr>
          <w:color w:val="auto"/>
        </w:rPr>
        <w:t xml:space="preserve"> the harm of unnecessary institutionalization or segregation is a cognizable claim under Title II, the integration mandate, and </w:t>
      </w:r>
      <w:r w:rsidRPr="009178E0">
        <w:rPr>
          <w:i/>
          <w:iCs/>
          <w:color w:val="auto"/>
        </w:rPr>
        <w:t>Olmstead</w:t>
      </w:r>
      <w:r w:rsidRPr="009178E0">
        <w:rPr>
          <w:color w:val="auto"/>
        </w:rPr>
        <w:t xml:space="preserve">.  See DOJ </w:t>
      </w:r>
      <w:r w:rsidRPr="009178E0">
        <w:rPr>
          <w:i/>
          <w:iCs/>
          <w:color w:val="auto"/>
        </w:rPr>
        <w:t>Olmstead</w:t>
      </w:r>
      <w:r w:rsidRPr="009178E0">
        <w:rPr>
          <w:color w:val="auto"/>
        </w:rPr>
        <w:t xml:space="preserve"> Statement</w:t>
      </w:r>
      <w:r>
        <w:rPr>
          <w:color w:val="auto"/>
        </w:rPr>
        <w:t>, Filing No. 145-7</w:t>
      </w:r>
      <w:r w:rsidRPr="009178E0">
        <w:rPr>
          <w:color w:val="auto"/>
        </w:rPr>
        <w:t xml:space="preserve">.  Defendants </w:t>
      </w:r>
      <w:r>
        <w:rPr>
          <w:color w:val="auto"/>
        </w:rPr>
        <w:t>turn</w:t>
      </w:r>
      <w:r w:rsidRPr="009178E0">
        <w:rPr>
          <w:color w:val="auto"/>
        </w:rPr>
        <w:t xml:space="preserve"> the Department’s </w:t>
      </w:r>
      <w:r w:rsidRPr="009178E0">
        <w:rPr>
          <w:i/>
          <w:color w:val="auto"/>
        </w:rPr>
        <w:t>Olmstead</w:t>
      </w:r>
      <w:r w:rsidRPr="009178E0">
        <w:rPr>
          <w:color w:val="auto"/>
        </w:rPr>
        <w:t xml:space="preserve"> </w:t>
      </w:r>
      <w:r>
        <w:rPr>
          <w:color w:val="auto"/>
        </w:rPr>
        <w:t>Statement</w:t>
      </w:r>
      <w:r w:rsidRPr="009178E0">
        <w:rPr>
          <w:color w:val="auto"/>
        </w:rPr>
        <w:t xml:space="preserve"> </w:t>
      </w:r>
      <w:r>
        <w:rPr>
          <w:color w:val="auto"/>
        </w:rPr>
        <w:t>on its head by</w:t>
      </w:r>
      <w:r w:rsidRPr="009178E0">
        <w:rPr>
          <w:color w:val="auto"/>
        </w:rPr>
        <w:t xml:space="preserve"> claim</w:t>
      </w:r>
      <w:r>
        <w:rPr>
          <w:color w:val="auto"/>
        </w:rPr>
        <w:t>ing</w:t>
      </w:r>
      <w:r w:rsidRPr="009178E0">
        <w:rPr>
          <w:color w:val="auto"/>
        </w:rPr>
        <w:t xml:space="preserve"> that it supports their position that Plaintiffs’ claims must fail because they have not been institutionalized.  </w:t>
      </w:r>
      <w:proofErr w:type="spellStart"/>
      <w:proofErr w:type="gramStart"/>
      <w:r w:rsidR="00E63C76">
        <w:rPr>
          <w:color w:val="auto"/>
        </w:rPr>
        <w:t>Def</w:t>
      </w:r>
      <w:r w:rsidR="00E76DBA">
        <w:rPr>
          <w:color w:val="auto"/>
        </w:rPr>
        <w:t>s</w:t>
      </w:r>
      <w:proofErr w:type="spellEnd"/>
      <w:r w:rsidR="00E76DBA">
        <w:rPr>
          <w:color w:val="auto"/>
        </w:rPr>
        <w:t>.’</w:t>
      </w:r>
      <w:proofErr w:type="gramEnd"/>
      <w:r w:rsidR="00790EC3">
        <w:rPr>
          <w:color w:val="auto"/>
        </w:rPr>
        <w:t xml:space="preserve"> Reply Supp.</w:t>
      </w:r>
      <w:r w:rsidR="00E63C76">
        <w:rPr>
          <w:color w:val="auto"/>
        </w:rPr>
        <w:t xml:space="preserve"> </w:t>
      </w:r>
      <w:proofErr w:type="spellStart"/>
      <w:r w:rsidR="00E63C76">
        <w:rPr>
          <w:color w:val="auto"/>
        </w:rPr>
        <w:t>Summ</w:t>
      </w:r>
      <w:proofErr w:type="spellEnd"/>
      <w:r w:rsidR="00E63C76">
        <w:rPr>
          <w:color w:val="auto"/>
        </w:rPr>
        <w:t xml:space="preserve">. </w:t>
      </w:r>
      <w:proofErr w:type="gramStart"/>
      <w:r w:rsidR="00E63C76">
        <w:rPr>
          <w:color w:val="auto"/>
        </w:rPr>
        <w:t xml:space="preserve">J., </w:t>
      </w:r>
      <w:r w:rsidRPr="009178E0">
        <w:rPr>
          <w:color w:val="auto"/>
        </w:rPr>
        <w:t xml:space="preserve">Filing No. 148, </w:t>
      </w:r>
      <w:r>
        <w:rPr>
          <w:color w:val="auto"/>
        </w:rPr>
        <w:t xml:space="preserve">at </w:t>
      </w:r>
      <w:r w:rsidRPr="009178E0">
        <w:rPr>
          <w:color w:val="auto"/>
        </w:rPr>
        <w:t>14.</w:t>
      </w:r>
      <w:proofErr w:type="gramEnd"/>
      <w:r>
        <w:rPr>
          <w:color w:val="auto"/>
        </w:rPr>
        <w:t xml:space="preserve">  In its </w:t>
      </w:r>
      <w:r>
        <w:rPr>
          <w:i/>
          <w:color w:val="auto"/>
        </w:rPr>
        <w:t>Olmstead</w:t>
      </w:r>
      <w:r>
        <w:rPr>
          <w:color w:val="auto"/>
        </w:rPr>
        <w:t xml:space="preserve"> Statement, t</w:t>
      </w:r>
      <w:r w:rsidRPr="009178E0">
        <w:rPr>
          <w:color w:val="auto"/>
        </w:rPr>
        <w:t xml:space="preserve">he Department answered the very question presented in this case:  “Do the ADA and </w:t>
      </w:r>
      <w:r w:rsidRPr="009178E0">
        <w:rPr>
          <w:i/>
          <w:iCs/>
          <w:color w:val="auto"/>
        </w:rPr>
        <w:t>Olmstead</w:t>
      </w:r>
      <w:r w:rsidRPr="009178E0">
        <w:rPr>
          <w:color w:val="auto"/>
        </w:rPr>
        <w:t xml:space="preserve"> apply to persons at serious risk of institutionalization or segregation?”  </w:t>
      </w:r>
      <w:proofErr w:type="gramStart"/>
      <w:r w:rsidRPr="009178E0">
        <w:rPr>
          <w:i/>
          <w:iCs/>
          <w:color w:val="auto"/>
        </w:rPr>
        <w:t>Id.</w:t>
      </w:r>
      <w:r w:rsidRPr="009178E0">
        <w:rPr>
          <w:color w:val="auto"/>
        </w:rPr>
        <w:t xml:space="preserve"> at </w:t>
      </w:r>
      <w:r>
        <w:rPr>
          <w:color w:val="auto"/>
        </w:rPr>
        <w:t>3 (</w:t>
      </w:r>
      <w:r w:rsidRPr="009178E0">
        <w:rPr>
          <w:color w:val="auto"/>
        </w:rPr>
        <w:t>Question &amp; Answer 6</w:t>
      </w:r>
      <w:r>
        <w:rPr>
          <w:color w:val="auto"/>
        </w:rPr>
        <w:t>)</w:t>
      </w:r>
      <w:r w:rsidRPr="009178E0">
        <w:rPr>
          <w:color w:val="auto"/>
        </w:rPr>
        <w:t>.</w:t>
      </w:r>
      <w:proofErr w:type="gramEnd"/>
      <w:r w:rsidRPr="009178E0">
        <w:rPr>
          <w:color w:val="auto"/>
        </w:rPr>
        <w:t xml:space="preserve">  The answer, unequivocally, is “[y]</w:t>
      </w:r>
      <w:proofErr w:type="spellStart"/>
      <w:r w:rsidRPr="009178E0">
        <w:rPr>
          <w:color w:val="auto"/>
        </w:rPr>
        <w:t>es</w:t>
      </w:r>
      <w:proofErr w:type="spellEnd"/>
      <w:r w:rsidRPr="009178E0">
        <w:rPr>
          <w:color w:val="auto"/>
        </w:rPr>
        <w:t xml:space="preserve">, the ADA and the </w:t>
      </w:r>
      <w:r w:rsidRPr="009178E0">
        <w:rPr>
          <w:i/>
          <w:iCs/>
          <w:color w:val="auto"/>
        </w:rPr>
        <w:t>Olmstead</w:t>
      </w:r>
      <w:r w:rsidRPr="009178E0">
        <w:rPr>
          <w:color w:val="auto"/>
        </w:rPr>
        <w:t xml:space="preserve"> decision extend to persons at serious risk of institutionalization or segregation.”  </w:t>
      </w:r>
      <w:r w:rsidRPr="009178E0">
        <w:rPr>
          <w:i/>
          <w:iCs/>
          <w:color w:val="auto"/>
        </w:rPr>
        <w:t>Id.</w:t>
      </w:r>
      <w:r w:rsidRPr="009178E0">
        <w:rPr>
          <w:color w:val="auto"/>
        </w:rPr>
        <w:t xml:space="preserve">  Protection against the harm of unnecessary institutionalization or segregation is “not limited to individuals currently in institutional or other segregated settings.  Individuals need not wait until the harm of institutionalization or segregation occurs or is imminent.”  </w:t>
      </w:r>
      <w:r w:rsidRPr="009178E0">
        <w:rPr>
          <w:i/>
          <w:iCs/>
          <w:color w:val="auto"/>
        </w:rPr>
        <w:t>Id.</w:t>
      </w:r>
      <w:r w:rsidRPr="009178E0">
        <w:rPr>
          <w:color w:val="auto"/>
        </w:rPr>
        <w:t xml:space="preserve">  </w:t>
      </w:r>
    </w:p>
    <w:p w:rsidR="00631FBB" w:rsidRDefault="007155EF" w:rsidP="009102F1">
      <w:pPr>
        <w:pStyle w:val="Default"/>
        <w:spacing w:line="480" w:lineRule="auto"/>
        <w:ind w:firstLine="720"/>
        <w:rPr>
          <w:color w:val="auto"/>
        </w:rPr>
      </w:pPr>
      <w:r>
        <w:rPr>
          <w:color w:val="auto"/>
        </w:rPr>
        <w:t>T</w:t>
      </w:r>
      <w:r w:rsidR="001706A3" w:rsidRPr="007155EF">
        <w:rPr>
          <w:color w:val="auto"/>
        </w:rPr>
        <w:t>he</w:t>
      </w:r>
      <w:r w:rsidR="001706A3" w:rsidRPr="009178E0">
        <w:rPr>
          <w:color w:val="auto"/>
        </w:rPr>
        <w:t xml:space="preserve"> </w:t>
      </w:r>
      <w:r w:rsidR="001706A3">
        <w:rPr>
          <w:color w:val="auto"/>
        </w:rPr>
        <w:t xml:space="preserve">Department’s </w:t>
      </w:r>
      <w:r w:rsidR="001706A3" w:rsidRPr="009178E0">
        <w:rPr>
          <w:i/>
          <w:iCs/>
          <w:color w:val="auto"/>
        </w:rPr>
        <w:t>Olmstead</w:t>
      </w:r>
      <w:r w:rsidR="001706A3">
        <w:rPr>
          <w:color w:val="auto"/>
        </w:rPr>
        <w:t xml:space="preserve"> Statement</w:t>
      </w:r>
      <w:r w:rsidR="001706A3" w:rsidRPr="009178E0">
        <w:rPr>
          <w:color w:val="auto"/>
        </w:rPr>
        <w:t xml:space="preserve"> </w:t>
      </w:r>
      <w:r>
        <w:rPr>
          <w:color w:val="auto"/>
        </w:rPr>
        <w:t xml:space="preserve">meets </w:t>
      </w:r>
      <w:r>
        <w:rPr>
          <w:i/>
          <w:color w:val="auto"/>
        </w:rPr>
        <w:t>Auer</w:t>
      </w:r>
      <w:r>
        <w:rPr>
          <w:color w:val="auto"/>
        </w:rPr>
        <w:t>’s requirements for deference</w:t>
      </w:r>
      <w:r w:rsidR="001706A3" w:rsidRPr="009178E0">
        <w:rPr>
          <w:color w:val="auto"/>
        </w:rPr>
        <w:t xml:space="preserve"> </w:t>
      </w:r>
      <w:r>
        <w:rPr>
          <w:color w:val="auto"/>
        </w:rPr>
        <w:t xml:space="preserve">because it is </w:t>
      </w:r>
      <w:r w:rsidR="001706A3" w:rsidRPr="009178E0">
        <w:rPr>
          <w:color w:val="auto"/>
        </w:rPr>
        <w:t xml:space="preserve">a consistent implementation of Title II’s prohibition on unnecessary institutionalization or segregation of individuals with disabilities, the integration mandate, and </w:t>
      </w:r>
      <w:r w:rsidR="001706A3" w:rsidRPr="009178E0">
        <w:rPr>
          <w:i/>
          <w:iCs/>
          <w:color w:val="auto"/>
        </w:rPr>
        <w:t>Olmstead</w:t>
      </w:r>
      <w:r w:rsidR="001706A3" w:rsidRPr="009178E0">
        <w:rPr>
          <w:color w:val="auto"/>
        </w:rPr>
        <w:t xml:space="preserve">.  </w:t>
      </w:r>
      <w:proofErr w:type="gramStart"/>
      <w:r w:rsidR="00372895">
        <w:rPr>
          <w:color w:val="auto"/>
        </w:rPr>
        <w:t>519 U.S. at 461.</w:t>
      </w:r>
      <w:proofErr w:type="gramEnd"/>
      <w:r w:rsidR="00372895">
        <w:rPr>
          <w:color w:val="auto"/>
        </w:rPr>
        <w:t xml:space="preserve"> </w:t>
      </w:r>
      <w:r w:rsidR="009102F1">
        <w:rPr>
          <w:color w:val="auto"/>
        </w:rPr>
        <w:t>It is also</w:t>
      </w:r>
      <w:r>
        <w:rPr>
          <w:color w:val="auto"/>
        </w:rPr>
        <w:t xml:space="preserve"> consistent with the </w:t>
      </w:r>
      <w:r w:rsidRPr="009178E0">
        <w:rPr>
          <w:color w:val="auto"/>
        </w:rPr>
        <w:t xml:space="preserve">Fourth, Ninth, and Tenth Circuits’ </w:t>
      </w:r>
      <w:r>
        <w:rPr>
          <w:color w:val="auto"/>
        </w:rPr>
        <w:t>interpretation that at-risk claims can be brought under the integration mandate.</w:t>
      </w:r>
      <w:r w:rsidRPr="009178E0">
        <w:rPr>
          <w:color w:val="auto"/>
        </w:rPr>
        <w:t xml:space="preserve"> </w:t>
      </w:r>
      <w:proofErr w:type="gramStart"/>
      <w:r w:rsidRPr="009178E0">
        <w:rPr>
          <w:i/>
          <w:color w:val="auto"/>
        </w:rPr>
        <w:t xml:space="preserve">See generally </w:t>
      </w:r>
      <w:proofErr w:type="spellStart"/>
      <w:r w:rsidRPr="009178E0">
        <w:rPr>
          <w:i/>
          <w:iCs/>
          <w:color w:val="auto"/>
        </w:rPr>
        <w:t>Pashby</w:t>
      </w:r>
      <w:proofErr w:type="spellEnd"/>
      <w:r w:rsidRPr="009178E0">
        <w:rPr>
          <w:color w:val="auto"/>
        </w:rPr>
        <w:t>, 709 F.3d 307 (4</w:t>
      </w:r>
      <w:r w:rsidRPr="009178E0">
        <w:rPr>
          <w:color w:val="auto"/>
          <w:vertAlign w:val="superscript"/>
        </w:rPr>
        <w:t>th</w:t>
      </w:r>
      <w:r w:rsidRPr="009178E0">
        <w:rPr>
          <w:color w:val="auto"/>
        </w:rPr>
        <w:t xml:space="preserve"> Cir. 2013); </w:t>
      </w:r>
      <w:r w:rsidRPr="009178E0">
        <w:rPr>
          <w:i/>
          <w:color w:val="auto"/>
        </w:rPr>
        <w:t>M.R.</w:t>
      </w:r>
      <w:r w:rsidRPr="009178E0">
        <w:rPr>
          <w:color w:val="auto"/>
        </w:rPr>
        <w:t>, 663 F.3d 1100 (9</w:t>
      </w:r>
      <w:r w:rsidRPr="009178E0">
        <w:rPr>
          <w:color w:val="auto"/>
          <w:vertAlign w:val="superscript"/>
        </w:rPr>
        <w:t>th</w:t>
      </w:r>
      <w:r w:rsidRPr="009178E0">
        <w:rPr>
          <w:color w:val="auto"/>
        </w:rPr>
        <w:t xml:space="preserve"> Cir. 2011); </w:t>
      </w:r>
      <w:r w:rsidRPr="009178E0">
        <w:rPr>
          <w:i/>
          <w:iCs/>
          <w:color w:val="auto"/>
        </w:rPr>
        <w:t>Fisher</w:t>
      </w:r>
      <w:r w:rsidRPr="009178E0">
        <w:rPr>
          <w:color w:val="auto"/>
        </w:rPr>
        <w:t>, 335 F.3d 1175 (10</w:t>
      </w:r>
      <w:r w:rsidRPr="009178E0">
        <w:rPr>
          <w:color w:val="auto"/>
          <w:vertAlign w:val="superscript"/>
        </w:rPr>
        <w:t>th</w:t>
      </w:r>
      <w:r w:rsidRPr="009178E0">
        <w:rPr>
          <w:color w:val="auto"/>
        </w:rPr>
        <w:t xml:space="preserve"> Cir. 2003).</w:t>
      </w:r>
      <w:proofErr w:type="gramEnd"/>
      <w:r w:rsidRPr="009178E0">
        <w:rPr>
          <w:color w:val="auto"/>
        </w:rPr>
        <w:t xml:space="preserve">  </w:t>
      </w:r>
      <w:r>
        <w:rPr>
          <w:color w:val="auto"/>
        </w:rPr>
        <w:t>So finding,</w:t>
      </w:r>
      <w:r w:rsidRPr="009178E0">
        <w:rPr>
          <w:color w:val="auto"/>
        </w:rPr>
        <w:t xml:space="preserve"> the </w:t>
      </w:r>
      <w:r>
        <w:rPr>
          <w:color w:val="auto"/>
        </w:rPr>
        <w:t>Fourth and Nint</w:t>
      </w:r>
      <w:r w:rsidRPr="009178E0">
        <w:rPr>
          <w:color w:val="auto"/>
        </w:rPr>
        <w:t>h Circuits explicitly deferred to the Department’s view.</w:t>
      </w:r>
      <w:r w:rsidRPr="000879B8">
        <w:rPr>
          <w:i/>
          <w:iCs/>
          <w:color w:val="auto"/>
        </w:rPr>
        <w:t xml:space="preserve"> </w:t>
      </w:r>
      <w:proofErr w:type="spellStart"/>
      <w:proofErr w:type="gramStart"/>
      <w:r w:rsidRPr="009178E0">
        <w:rPr>
          <w:i/>
          <w:iCs/>
          <w:color w:val="auto"/>
        </w:rPr>
        <w:t>Pashby</w:t>
      </w:r>
      <w:proofErr w:type="spellEnd"/>
      <w:r w:rsidRPr="009178E0">
        <w:rPr>
          <w:color w:val="auto"/>
        </w:rPr>
        <w:t>, 709 F.3d 307 (4</w:t>
      </w:r>
      <w:r w:rsidRPr="009178E0">
        <w:rPr>
          <w:color w:val="auto"/>
          <w:vertAlign w:val="superscript"/>
        </w:rPr>
        <w:t>th</w:t>
      </w:r>
      <w:r w:rsidRPr="009178E0">
        <w:rPr>
          <w:color w:val="auto"/>
        </w:rPr>
        <w:t xml:space="preserve"> Cir. 2013); </w:t>
      </w:r>
      <w:r w:rsidRPr="009178E0">
        <w:rPr>
          <w:i/>
          <w:color w:val="auto"/>
        </w:rPr>
        <w:t>M.R.</w:t>
      </w:r>
      <w:r w:rsidRPr="009178E0">
        <w:rPr>
          <w:color w:val="auto"/>
        </w:rPr>
        <w:t>, 663 F.3d 1100 (9</w:t>
      </w:r>
      <w:r w:rsidRPr="009178E0">
        <w:rPr>
          <w:color w:val="auto"/>
          <w:vertAlign w:val="superscript"/>
        </w:rPr>
        <w:t>th</w:t>
      </w:r>
      <w:r w:rsidRPr="009178E0">
        <w:rPr>
          <w:color w:val="auto"/>
        </w:rPr>
        <w:t xml:space="preserve"> Cir. 2011); </w:t>
      </w:r>
      <w:r w:rsidRPr="009178E0">
        <w:rPr>
          <w:i/>
          <w:iCs/>
          <w:color w:val="auto"/>
        </w:rPr>
        <w:t>Fisher</w:t>
      </w:r>
      <w:r w:rsidRPr="009178E0">
        <w:rPr>
          <w:color w:val="auto"/>
        </w:rPr>
        <w:t>, 335 F.3d 1175 (10</w:t>
      </w:r>
      <w:r w:rsidRPr="009178E0">
        <w:rPr>
          <w:color w:val="auto"/>
          <w:vertAlign w:val="superscript"/>
        </w:rPr>
        <w:t>th</w:t>
      </w:r>
      <w:r w:rsidRPr="009178E0">
        <w:rPr>
          <w:color w:val="auto"/>
        </w:rPr>
        <w:t xml:space="preserve"> Cir. 2003)</w:t>
      </w:r>
      <w:r>
        <w:rPr>
          <w:color w:val="auto"/>
        </w:rPr>
        <w:t>.</w:t>
      </w:r>
      <w:proofErr w:type="gramEnd"/>
    </w:p>
    <w:p w:rsidR="00EC60C6" w:rsidRPr="009178E0" w:rsidRDefault="0065157E" w:rsidP="00EC60C6">
      <w:pPr>
        <w:pStyle w:val="Default"/>
        <w:spacing w:line="480" w:lineRule="auto"/>
        <w:ind w:firstLine="360"/>
        <w:rPr>
          <w:color w:val="auto"/>
        </w:rPr>
      </w:pPr>
      <w:r w:rsidRPr="009178E0">
        <w:rPr>
          <w:color w:val="auto"/>
        </w:rPr>
        <w:t xml:space="preserve">In short, </w:t>
      </w:r>
      <w:r w:rsidR="005A2D95" w:rsidRPr="009178E0">
        <w:rPr>
          <w:color w:val="auto"/>
        </w:rPr>
        <w:t>Plaintiffs</w:t>
      </w:r>
      <w:r w:rsidRPr="009178E0">
        <w:rPr>
          <w:color w:val="auto"/>
        </w:rPr>
        <w:t xml:space="preserve"> here may sue for relief under the ADA if the State’s actions place them at a serious risk of institutionalization</w:t>
      </w:r>
      <w:r w:rsidR="005A2D95" w:rsidRPr="009178E0">
        <w:rPr>
          <w:color w:val="auto"/>
        </w:rPr>
        <w:t xml:space="preserve"> or segregation.  </w:t>
      </w:r>
      <w:r w:rsidRPr="009178E0">
        <w:rPr>
          <w:color w:val="auto"/>
        </w:rPr>
        <w:t xml:space="preserve">This standard best effectuates the broad prohibition of discrimination against individuals with disabilities in public services under Title II, the integration mandate, and </w:t>
      </w:r>
      <w:r w:rsidRPr="009178E0">
        <w:rPr>
          <w:i/>
          <w:iCs/>
          <w:color w:val="auto"/>
        </w:rPr>
        <w:t>Olmstead</w:t>
      </w:r>
      <w:r w:rsidRPr="009178E0">
        <w:rPr>
          <w:color w:val="auto"/>
        </w:rPr>
        <w:t xml:space="preserve">.  The standard also implements the Department’s reasonable interpretation of its own regulation and comports with every court of appeals decision that has squarely addressed the issue. </w:t>
      </w:r>
    </w:p>
    <w:p w:rsidR="00AE43A5" w:rsidRPr="009178E0" w:rsidRDefault="003B48E6" w:rsidP="00A676E2">
      <w:pPr>
        <w:pStyle w:val="Default"/>
        <w:ind w:left="360"/>
        <w:rPr>
          <w:color w:val="auto"/>
        </w:rPr>
      </w:pPr>
      <w:r>
        <w:rPr>
          <w:color w:val="auto"/>
        </w:rPr>
        <w:t>D</w:t>
      </w:r>
      <w:r w:rsidR="00A676E2" w:rsidRPr="009178E0">
        <w:rPr>
          <w:color w:val="auto"/>
        </w:rPr>
        <w:t xml:space="preserve">.  </w:t>
      </w:r>
      <w:r w:rsidR="00C22383" w:rsidRPr="009178E0">
        <w:rPr>
          <w:color w:val="auto"/>
          <w:u w:val="single"/>
        </w:rPr>
        <w:t>Plaintiffs</w:t>
      </w:r>
      <w:r w:rsidR="00852CF8">
        <w:rPr>
          <w:color w:val="auto"/>
          <w:u w:val="single"/>
        </w:rPr>
        <w:t xml:space="preserve">’ Evidence Shows </w:t>
      </w:r>
      <w:r w:rsidR="00E63C76">
        <w:rPr>
          <w:color w:val="auto"/>
          <w:u w:val="single"/>
        </w:rPr>
        <w:t>T</w:t>
      </w:r>
      <w:r w:rsidR="00852CF8">
        <w:rPr>
          <w:color w:val="auto"/>
          <w:u w:val="single"/>
        </w:rPr>
        <w:t xml:space="preserve">hey </w:t>
      </w:r>
      <w:r w:rsidR="00E63C76">
        <w:rPr>
          <w:color w:val="auto"/>
          <w:u w:val="single"/>
        </w:rPr>
        <w:t>A</w:t>
      </w:r>
      <w:r w:rsidR="00852CF8">
        <w:rPr>
          <w:color w:val="auto"/>
          <w:u w:val="single"/>
        </w:rPr>
        <w:t>re at Serious Risk of Unnecessary Segregation</w:t>
      </w:r>
      <w:r w:rsidR="00C22383" w:rsidRPr="009178E0">
        <w:rPr>
          <w:color w:val="auto"/>
          <w:u w:val="single"/>
        </w:rPr>
        <w:t xml:space="preserve"> </w:t>
      </w:r>
    </w:p>
    <w:p w:rsidR="00833DDF" w:rsidRPr="009178E0" w:rsidRDefault="00833DDF" w:rsidP="00833DDF">
      <w:pPr>
        <w:pStyle w:val="Default"/>
        <w:ind w:left="720"/>
        <w:rPr>
          <w:color w:val="auto"/>
        </w:rPr>
      </w:pPr>
    </w:p>
    <w:p w:rsidR="00A77F99" w:rsidRPr="009178E0" w:rsidRDefault="00986592" w:rsidP="00063C4A">
      <w:pPr>
        <w:pStyle w:val="Default"/>
        <w:spacing w:line="480" w:lineRule="auto"/>
        <w:ind w:firstLine="720"/>
        <w:rPr>
          <w:color w:val="auto"/>
        </w:rPr>
      </w:pPr>
      <w:r w:rsidRPr="009178E0">
        <w:rPr>
          <w:color w:val="auto"/>
        </w:rPr>
        <w:t xml:space="preserve">Plaintiffs in this case showed that the State’s changes to its Medicaid program place them at serious risk of institutionalization or segregation in </w:t>
      </w:r>
      <w:r w:rsidR="00063C4A">
        <w:rPr>
          <w:color w:val="auto"/>
        </w:rPr>
        <w:t>two</w:t>
      </w:r>
      <w:r w:rsidRPr="009178E0">
        <w:rPr>
          <w:color w:val="auto"/>
        </w:rPr>
        <w:t xml:space="preserve"> ways: 1) </w:t>
      </w:r>
      <w:r w:rsidR="000D5ED3">
        <w:rPr>
          <w:color w:val="auto"/>
        </w:rPr>
        <w:t xml:space="preserve">the State reduced their </w:t>
      </w:r>
      <w:r w:rsidR="00BD2A03">
        <w:rPr>
          <w:color w:val="auto"/>
        </w:rPr>
        <w:t xml:space="preserve">community </w:t>
      </w:r>
      <w:r w:rsidR="000D5ED3">
        <w:rPr>
          <w:color w:val="auto"/>
        </w:rPr>
        <w:t xml:space="preserve">Medicaid services to a level which </w:t>
      </w:r>
      <w:r w:rsidR="005635FD">
        <w:rPr>
          <w:color w:val="auto"/>
        </w:rPr>
        <w:t>does not meet their needs</w:t>
      </w:r>
      <w:r w:rsidRPr="009178E0">
        <w:rPr>
          <w:color w:val="auto"/>
        </w:rPr>
        <w:t>;</w:t>
      </w:r>
      <w:r w:rsidR="00063C4A">
        <w:rPr>
          <w:color w:val="auto"/>
        </w:rPr>
        <w:t xml:space="preserve"> and</w:t>
      </w:r>
      <w:r w:rsidRPr="009178E0">
        <w:rPr>
          <w:color w:val="auto"/>
        </w:rPr>
        <w:t xml:space="preserve"> 2) </w:t>
      </w:r>
      <w:r w:rsidR="000D5ED3">
        <w:rPr>
          <w:color w:val="auto"/>
        </w:rPr>
        <w:t>due to the service cuts,</w:t>
      </w:r>
      <w:r w:rsidRPr="009178E0">
        <w:rPr>
          <w:color w:val="auto"/>
        </w:rPr>
        <w:t xml:space="preserve"> their health is declining and </w:t>
      </w:r>
      <w:r w:rsidR="00973579">
        <w:rPr>
          <w:color w:val="auto"/>
        </w:rPr>
        <w:t xml:space="preserve">they </w:t>
      </w:r>
      <w:r w:rsidRPr="009178E0">
        <w:rPr>
          <w:color w:val="auto"/>
        </w:rPr>
        <w:t>ma</w:t>
      </w:r>
      <w:r w:rsidR="00063C4A">
        <w:rPr>
          <w:color w:val="auto"/>
        </w:rPr>
        <w:t xml:space="preserve">y require institutionalization.  </w:t>
      </w:r>
      <w:r w:rsidR="00A77F99" w:rsidRPr="009178E0">
        <w:rPr>
          <w:color w:val="auto"/>
        </w:rPr>
        <w:t>Under the ADA, a state may be required to provide the</w:t>
      </w:r>
      <w:r w:rsidRPr="009178E0">
        <w:rPr>
          <w:color w:val="auto"/>
        </w:rPr>
        <w:t xml:space="preserve"> relief Plaintiffs are requesting</w:t>
      </w:r>
      <w:r w:rsidR="00A77F99" w:rsidRPr="009178E0">
        <w:rPr>
          <w:color w:val="auto"/>
        </w:rPr>
        <w:t>:</w:t>
      </w:r>
      <w:r w:rsidRPr="009178E0">
        <w:rPr>
          <w:color w:val="auto"/>
        </w:rPr>
        <w:t xml:space="preserve"> change</w:t>
      </w:r>
      <w:r w:rsidR="00E43D27" w:rsidRPr="009178E0">
        <w:rPr>
          <w:color w:val="auto"/>
        </w:rPr>
        <w:t>s</w:t>
      </w:r>
      <w:r w:rsidRPr="009178E0">
        <w:rPr>
          <w:color w:val="auto"/>
        </w:rPr>
        <w:t xml:space="preserve"> to the State’</w:t>
      </w:r>
      <w:r w:rsidR="00A77F99" w:rsidRPr="009178E0">
        <w:rPr>
          <w:color w:val="auto"/>
        </w:rPr>
        <w:t>s Medicaid program</w:t>
      </w:r>
      <w:r w:rsidRPr="009178E0">
        <w:rPr>
          <w:color w:val="auto"/>
        </w:rPr>
        <w:t xml:space="preserve"> to </w:t>
      </w:r>
      <w:r w:rsidR="00AB44C9">
        <w:rPr>
          <w:color w:val="auto"/>
        </w:rPr>
        <w:t>prevent institutionalization</w:t>
      </w:r>
      <w:r w:rsidR="00C654A6" w:rsidRPr="009178E0">
        <w:rPr>
          <w:color w:val="auto"/>
        </w:rPr>
        <w:t>.</w:t>
      </w:r>
    </w:p>
    <w:p w:rsidR="00BF3FEA" w:rsidRPr="009178E0" w:rsidRDefault="001B6B96" w:rsidP="00852CF8">
      <w:pPr>
        <w:pStyle w:val="Default"/>
        <w:spacing w:line="480" w:lineRule="auto"/>
        <w:ind w:firstLine="720"/>
        <w:rPr>
          <w:color w:val="auto"/>
        </w:rPr>
      </w:pPr>
      <w:r w:rsidRPr="009178E0">
        <w:rPr>
          <w:color w:val="auto"/>
        </w:rPr>
        <w:t>A</w:t>
      </w:r>
      <w:r w:rsidR="00394943" w:rsidRPr="009178E0">
        <w:rPr>
          <w:color w:val="auto"/>
        </w:rPr>
        <w:t>s the Fourth</w:t>
      </w:r>
      <w:r w:rsidR="00852CF8">
        <w:rPr>
          <w:color w:val="auto"/>
        </w:rPr>
        <w:t xml:space="preserve">, </w:t>
      </w:r>
      <w:r w:rsidR="00394943" w:rsidRPr="009178E0">
        <w:rPr>
          <w:color w:val="auto"/>
        </w:rPr>
        <w:t>Ninth</w:t>
      </w:r>
      <w:r w:rsidR="00852CF8">
        <w:rPr>
          <w:color w:val="auto"/>
        </w:rPr>
        <w:t xml:space="preserve"> and Tenth</w:t>
      </w:r>
      <w:r w:rsidR="00394943" w:rsidRPr="009178E0">
        <w:rPr>
          <w:color w:val="auto"/>
        </w:rPr>
        <w:t xml:space="preserve"> Circuits have </w:t>
      </w:r>
      <w:r w:rsidR="00531898">
        <w:rPr>
          <w:color w:val="auto"/>
        </w:rPr>
        <w:t>held,</w:t>
      </w:r>
      <w:r w:rsidR="00FE4A4A" w:rsidRPr="009178E0">
        <w:rPr>
          <w:color w:val="auto"/>
        </w:rPr>
        <w:t xml:space="preserve"> </w:t>
      </w:r>
      <w:r w:rsidR="00852CF8">
        <w:rPr>
          <w:color w:val="auto"/>
        </w:rPr>
        <w:t>plaintiffs are at risk of unnecessary institutionalization where a state’s failure to provide services will likely cause a decline in health that will lead to an individual’s eventual placement in an institution</w:t>
      </w:r>
      <w:r w:rsidR="00FE4A4A" w:rsidRPr="009178E0">
        <w:rPr>
          <w:color w:val="auto"/>
        </w:rPr>
        <w:t xml:space="preserve">.  </w:t>
      </w:r>
      <w:r w:rsidR="00FE4A4A" w:rsidRPr="009178E0">
        <w:rPr>
          <w:i/>
          <w:color w:val="auto"/>
        </w:rPr>
        <w:t>See</w:t>
      </w:r>
      <w:r w:rsidR="00FE4A4A" w:rsidRPr="009178E0">
        <w:rPr>
          <w:color w:val="auto"/>
        </w:rPr>
        <w:t xml:space="preserve"> </w:t>
      </w:r>
      <w:proofErr w:type="spellStart"/>
      <w:r w:rsidR="00FE4A4A" w:rsidRPr="009178E0">
        <w:rPr>
          <w:i/>
          <w:iCs/>
          <w:color w:val="auto"/>
        </w:rPr>
        <w:t>Pashby</w:t>
      </w:r>
      <w:proofErr w:type="spellEnd"/>
      <w:r w:rsidR="00FE4A4A" w:rsidRPr="009178E0">
        <w:rPr>
          <w:color w:val="auto"/>
        </w:rPr>
        <w:t xml:space="preserve">, </w:t>
      </w:r>
      <w:proofErr w:type="gramStart"/>
      <w:r w:rsidR="00FE4A4A" w:rsidRPr="009178E0">
        <w:rPr>
          <w:color w:val="auto"/>
        </w:rPr>
        <w:t>709 F.3d at 322</w:t>
      </w:r>
      <w:proofErr w:type="gramEnd"/>
      <w:r w:rsidR="003D44D4" w:rsidRPr="009178E0">
        <w:rPr>
          <w:color w:val="auto"/>
        </w:rPr>
        <w:t xml:space="preserve">; </w:t>
      </w:r>
      <w:r w:rsidR="003D44D4" w:rsidRPr="009178E0">
        <w:rPr>
          <w:i/>
          <w:iCs/>
          <w:color w:val="auto"/>
        </w:rPr>
        <w:t>M.R.</w:t>
      </w:r>
      <w:r w:rsidR="003D44D4" w:rsidRPr="009178E0">
        <w:rPr>
          <w:color w:val="auto"/>
        </w:rPr>
        <w:t>, 663 F.3d at 111</w:t>
      </w:r>
      <w:r w:rsidR="00EF1916">
        <w:rPr>
          <w:color w:val="auto"/>
        </w:rPr>
        <w:t>5</w:t>
      </w:r>
      <w:r w:rsidR="000D5ED3">
        <w:rPr>
          <w:color w:val="auto"/>
        </w:rPr>
        <w:t xml:space="preserve">; </w:t>
      </w:r>
      <w:r w:rsidR="000D5ED3" w:rsidRPr="000D5ED3">
        <w:rPr>
          <w:i/>
          <w:color w:val="auto"/>
        </w:rPr>
        <w:t>Fisher</w:t>
      </w:r>
      <w:r w:rsidR="000D5ED3">
        <w:rPr>
          <w:color w:val="auto"/>
        </w:rPr>
        <w:t xml:space="preserve">, </w:t>
      </w:r>
      <w:r w:rsidR="000D5ED3" w:rsidRPr="000D5ED3">
        <w:t>335</w:t>
      </w:r>
      <w:r w:rsidR="000D5ED3" w:rsidRPr="005150FF">
        <w:t xml:space="preserve"> F.3d </w:t>
      </w:r>
      <w:r w:rsidR="000D5ED3">
        <w:t xml:space="preserve">at </w:t>
      </w:r>
      <w:r w:rsidR="00A138B8">
        <w:t>1184</w:t>
      </w:r>
      <w:r w:rsidR="000D5ED3">
        <w:t>-118</w:t>
      </w:r>
      <w:r w:rsidR="00A138B8">
        <w:t>5</w:t>
      </w:r>
      <w:r w:rsidR="00FE4A4A" w:rsidRPr="009178E0">
        <w:rPr>
          <w:color w:val="auto"/>
        </w:rPr>
        <w:t xml:space="preserve">.  This was the situation </w:t>
      </w:r>
      <w:r w:rsidR="00973579">
        <w:rPr>
          <w:color w:val="auto"/>
        </w:rPr>
        <w:t xml:space="preserve">in </w:t>
      </w:r>
      <w:r w:rsidR="00973579">
        <w:rPr>
          <w:i/>
          <w:color w:val="auto"/>
        </w:rPr>
        <w:t xml:space="preserve">Cruz v. </w:t>
      </w:r>
      <w:proofErr w:type="spellStart"/>
      <w:r w:rsidR="00973579">
        <w:rPr>
          <w:i/>
          <w:color w:val="auto"/>
        </w:rPr>
        <w:t>Dudek</w:t>
      </w:r>
      <w:proofErr w:type="spellEnd"/>
      <w:r w:rsidR="00973579">
        <w:rPr>
          <w:color w:val="auto"/>
        </w:rPr>
        <w:t xml:space="preserve">, </w:t>
      </w:r>
      <w:r w:rsidR="00FE4A4A" w:rsidRPr="009178E0">
        <w:rPr>
          <w:color w:val="auto"/>
        </w:rPr>
        <w:t>where plaintiffs alleged that</w:t>
      </w:r>
      <w:r w:rsidR="00973579">
        <w:rPr>
          <w:color w:val="auto"/>
        </w:rPr>
        <w:t xml:space="preserve"> the </w:t>
      </w:r>
      <w:r w:rsidR="00E63C76">
        <w:rPr>
          <w:color w:val="auto"/>
        </w:rPr>
        <w:t>s</w:t>
      </w:r>
      <w:r w:rsidR="00035DA9">
        <w:rPr>
          <w:color w:val="auto"/>
        </w:rPr>
        <w:t>tate’s restrictions on</w:t>
      </w:r>
      <w:r w:rsidR="00973579">
        <w:rPr>
          <w:color w:val="auto"/>
        </w:rPr>
        <w:t xml:space="preserve"> </w:t>
      </w:r>
      <w:r w:rsidR="00035DA9">
        <w:rPr>
          <w:color w:val="auto"/>
        </w:rPr>
        <w:t xml:space="preserve">the number of hours of </w:t>
      </w:r>
      <w:r w:rsidR="00973579">
        <w:rPr>
          <w:color w:val="auto"/>
        </w:rPr>
        <w:t>Medicaid</w:t>
      </w:r>
      <w:r w:rsidR="00FE4A4A" w:rsidRPr="009178E0">
        <w:rPr>
          <w:color w:val="auto"/>
        </w:rPr>
        <w:t xml:space="preserve"> community services </w:t>
      </w:r>
      <w:r w:rsidR="00973579">
        <w:rPr>
          <w:color w:val="auto"/>
        </w:rPr>
        <w:t xml:space="preserve">placed them at serious risk of institutionalization.  </w:t>
      </w:r>
      <w:r w:rsidR="00E544C7">
        <w:rPr>
          <w:color w:val="auto"/>
        </w:rPr>
        <w:t>No. 10-23048-CIV, 2010 WL 4284955, *1 (S.D. Fla. Oct. 12, 2010)</w:t>
      </w:r>
      <w:r w:rsidR="00973579">
        <w:rPr>
          <w:color w:val="auto"/>
        </w:rPr>
        <w:t xml:space="preserve">.   The </w:t>
      </w:r>
      <w:r w:rsidR="00FB2860">
        <w:rPr>
          <w:color w:val="auto"/>
        </w:rPr>
        <w:t>magistrate judge recommended that preliminary relief be granted, find</w:t>
      </w:r>
      <w:r w:rsidR="00FC61BE">
        <w:rPr>
          <w:color w:val="auto"/>
        </w:rPr>
        <w:t>ing</w:t>
      </w:r>
      <w:r w:rsidR="00FB2860">
        <w:rPr>
          <w:color w:val="auto"/>
        </w:rPr>
        <w:t xml:space="preserve"> that</w:t>
      </w:r>
      <w:r w:rsidR="00973579" w:rsidRPr="00371A3A">
        <w:t xml:space="preserve"> plaintiffs stated </w:t>
      </w:r>
      <w:r w:rsidR="00E544C7">
        <w:t>a cognizable at-risk claim</w:t>
      </w:r>
      <w:r w:rsidR="00035DA9">
        <w:t xml:space="preserve">, </w:t>
      </w:r>
      <w:r w:rsidR="00973579" w:rsidRPr="00371A3A">
        <w:t>demonstrated</w:t>
      </w:r>
      <w:r w:rsidR="00371A3A">
        <w:t>, for example, by one plaintiff’s “</w:t>
      </w:r>
      <w:r w:rsidR="00973579" w:rsidRPr="00371A3A">
        <w:t>repeated hospitalizations in recent months due to the fact that he does not receive adequate services from Florida's Medicaid plan</w:t>
      </w:r>
      <w:r w:rsidR="00035DA9">
        <w:t>.</w:t>
      </w:r>
      <w:r w:rsidR="00371A3A">
        <w:t>”</w:t>
      </w:r>
      <w:r w:rsidR="00035DA9">
        <w:t xml:space="preserve">  </w:t>
      </w:r>
      <w:proofErr w:type="gramStart"/>
      <w:r w:rsidR="00035DA9">
        <w:rPr>
          <w:i/>
        </w:rPr>
        <w:t>Id.</w:t>
      </w:r>
      <w:r w:rsidR="00035DA9">
        <w:t xml:space="preserve"> at *13.</w:t>
      </w:r>
      <w:proofErr w:type="gramEnd"/>
      <w:r w:rsidR="00035DA9">
        <w:t xml:space="preserve"> </w:t>
      </w:r>
      <w:r w:rsidRPr="009178E0">
        <w:rPr>
          <w:color w:val="auto"/>
        </w:rPr>
        <w:t xml:space="preserve"> Similarly to the plaintiffs in </w:t>
      </w:r>
      <w:r w:rsidR="00035DA9">
        <w:rPr>
          <w:i/>
          <w:color w:val="auto"/>
        </w:rPr>
        <w:t>Cruz</w:t>
      </w:r>
      <w:r w:rsidRPr="009178E0">
        <w:rPr>
          <w:color w:val="auto"/>
        </w:rPr>
        <w:t xml:space="preserve">, both the Coles and Mr. </w:t>
      </w:r>
      <w:proofErr w:type="spellStart"/>
      <w:r w:rsidRPr="009178E0">
        <w:rPr>
          <w:color w:val="auto"/>
        </w:rPr>
        <w:t>Maertz</w:t>
      </w:r>
      <w:proofErr w:type="spellEnd"/>
      <w:r w:rsidRPr="009178E0">
        <w:rPr>
          <w:color w:val="auto"/>
        </w:rPr>
        <w:t xml:space="preserve"> are already experiencing health risks such as falls due to gaps in service.  </w:t>
      </w:r>
      <w:r w:rsidRPr="00392126">
        <w:rPr>
          <w:i/>
          <w:color w:val="auto"/>
        </w:rPr>
        <w:t xml:space="preserve">See supra </w:t>
      </w:r>
      <w:r w:rsidR="00392126">
        <w:rPr>
          <w:color w:val="auto"/>
        </w:rPr>
        <w:t xml:space="preserve">at p. </w:t>
      </w:r>
      <w:r w:rsidR="0088367A">
        <w:rPr>
          <w:color w:val="auto"/>
        </w:rPr>
        <w:t>9</w:t>
      </w:r>
      <w:r w:rsidRPr="00392126">
        <w:rPr>
          <w:color w:val="auto"/>
        </w:rPr>
        <w:t>.</w:t>
      </w:r>
      <w:r w:rsidRPr="009178E0">
        <w:rPr>
          <w:color w:val="auto"/>
        </w:rPr>
        <w:t xml:space="preserve">  </w:t>
      </w:r>
    </w:p>
    <w:p w:rsidR="00DF46C9" w:rsidRPr="009178E0" w:rsidRDefault="00E90504" w:rsidP="00BF3FEA">
      <w:pPr>
        <w:pStyle w:val="Default"/>
        <w:spacing w:line="480" w:lineRule="auto"/>
        <w:ind w:firstLine="720"/>
      </w:pPr>
      <w:r w:rsidRPr="009178E0">
        <w:rPr>
          <w:color w:val="auto"/>
        </w:rPr>
        <w:t xml:space="preserve">Here, the State claims that the Plaintiffs are not at risk of institutionalization because the Plaintiffs’ families provide free services and hope to keep their loved ones out of institutions.  </w:t>
      </w:r>
      <w:r w:rsidRPr="009178E0">
        <w:rPr>
          <w:i/>
          <w:color w:val="auto"/>
        </w:rPr>
        <w:t>See</w:t>
      </w:r>
      <w:r w:rsidRPr="009178E0">
        <w:rPr>
          <w:color w:val="auto"/>
        </w:rPr>
        <w:t xml:space="preserve"> Filing 144,</w:t>
      </w:r>
      <w:r w:rsidR="00096982">
        <w:rPr>
          <w:color w:val="auto"/>
        </w:rPr>
        <w:t xml:space="preserve"> at</w:t>
      </w:r>
      <w:r w:rsidRPr="009178E0">
        <w:rPr>
          <w:color w:val="auto"/>
        </w:rPr>
        <w:t xml:space="preserve"> 5, 7, </w:t>
      </w:r>
      <w:proofErr w:type="gramStart"/>
      <w:r w:rsidRPr="009178E0">
        <w:rPr>
          <w:color w:val="auto"/>
        </w:rPr>
        <w:t>10</w:t>
      </w:r>
      <w:proofErr w:type="gramEnd"/>
      <w:r w:rsidRPr="009178E0">
        <w:rPr>
          <w:color w:val="auto"/>
        </w:rPr>
        <w:t xml:space="preserve">. </w:t>
      </w:r>
      <w:r w:rsidRPr="009178E0">
        <w:t>The</w:t>
      </w:r>
      <w:r w:rsidRPr="009178E0">
        <w:rPr>
          <w:color w:val="auto"/>
        </w:rPr>
        <w:t xml:space="preserve"> State cannot rely on the goodwill of the Plaintiffs’ family members as a defense here.  The Plaintiffs are at serious risk of institutionalization because if and when their family members become unable to supplement their services, they will be forced to enter institutions in order to get the services they need. Defendants’ response to Plaintiffs’ evidence of risk of institutionalization is a </w:t>
      </w:r>
      <w:proofErr w:type="spellStart"/>
      <w:r w:rsidRPr="009178E0">
        <w:rPr>
          <w:color w:val="auto"/>
        </w:rPr>
        <w:t>conclusory</w:t>
      </w:r>
      <w:proofErr w:type="spellEnd"/>
      <w:r w:rsidRPr="009178E0">
        <w:rPr>
          <w:color w:val="auto"/>
        </w:rPr>
        <w:t xml:space="preserve"> statement by the Director of Bureau of Developmental Disabilities Services that Plaintiffs’ service</w:t>
      </w:r>
      <w:r w:rsidR="00EE0309">
        <w:rPr>
          <w:color w:val="auto"/>
        </w:rPr>
        <w:t xml:space="preserve">s are sufficient.  Filing 148, </w:t>
      </w:r>
      <w:r w:rsidRPr="009178E0">
        <w:rPr>
          <w:color w:val="auto"/>
        </w:rPr>
        <w:t>at 4 (</w:t>
      </w:r>
      <w:r w:rsidRPr="009178E0">
        <w:rPr>
          <w:i/>
          <w:color w:val="auto"/>
        </w:rPr>
        <w:t>citing</w:t>
      </w:r>
      <w:r w:rsidRPr="009178E0">
        <w:rPr>
          <w:color w:val="auto"/>
        </w:rPr>
        <w:t xml:space="preserve"> </w:t>
      </w:r>
      <w:r w:rsidR="00E63C76">
        <w:rPr>
          <w:color w:val="auto"/>
        </w:rPr>
        <w:t xml:space="preserve">Second Julie Reynolds Decl., </w:t>
      </w:r>
      <w:r w:rsidRPr="009178E0">
        <w:rPr>
          <w:color w:val="auto"/>
        </w:rPr>
        <w:t>Filing No. 147-1, at 3).</w:t>
      </w:r>
      <w:r w:rsidRPr="009178E0">
        <w:t xml:space="preserve">  </w:t>
      </w:r>
      <w:r w:rsidR="00063C4A" w:rsidRPr="009178E0">
        <w:rPr>
          <w:color w:val="auto"/>
        </w:rPr>
        <w:t>Defendants’ insistence that Plaintiffs have no integration mandate claim so long as they continue to reside in their homes, Filing</w:t>
      </w:r>
      <w:r w:rsidR="00063C4A">
        <w:rPr>
          <w:color w:val="auto"/>
        </w:rPr>
        <w:t xml:space="preserve"> No. 148</w:t>
      </w:r>
      <w:r w:rsidR="006E0555">
        <w:rPr>
          <w:color w:val="auto"/>
        </w:rPr>
        <w:t xml:space="preserve">, </w:t>
      </w:r>
      <w:r w:rsidR="00063C4A">
        <w:rPr>
          <w:color w:val="auto"/>
        </w:rPr>
        <w:t>at 3-4, 10-18</w:t>
      </w:r>
      <w:r w:rsidR="00063C4A" w:rsidRPr="009178E0">
        <w:rPr>
          <w:color w:val="auto"/>
        </w:rPr>
        <w:t>, is an impermissibly black and white formulatio</w:t>
      </w:r>
      <w:r w:rsidR="00FC61BE">
        <w:rPr>
          <w:color w:val="auto"/>
        </w:rPr>
        <w:t xml:space="preserve">n of the integration mandate. </w:t>
      </w:r>
      <w:r w:rsidR="00063C4A" w:rsidRPr="009178E0">
        <w:rPr>
          <w:color w:val="auto"/>
        </w:rPr>
        <w:t xml:space="preserve"> </w:t>
      </w:r>
      <w:r w:rsidR="00BF3FEA" w:rsidRPr="009178E0">
        <w:t xml:space="preserve">The State does not dispute that even with the efforts of family members, Plaintiffs experienced falls, depression, and other threats to their health due to the change in services. </w:t>
      </w:r>
      <w:r w:rsidR="001B6B96" w:rsidRPr="009178E0">
        <w:rPr>
          <w:color w:val="auto"/>
        </w:rPr>
        <w:t>Plaintiffs thus have a cognizable at-risk claim under the integration mandate.</w:t>
      </w:r>
    </w:p>
    <w:p w:rsidR="0065157E" w:rsidRPr="009178E0" w:rsidRDefault="006E0555" w:rsidP="008219CE">
      <w:pPr>
        <w:pStyle w:val="Default"/>
        <w:keepNext/>
        <w:spacing w:line="480" w:lineRule="auto"/>
        <w:rPr>
          <w:color w:val="auto"/>
        </w:rPr>
      </w:pPr>
      <w:bookmarkStart w:id="1" w:name="SR;5136"/>
      <w:bookmarkStart w:id="2" w:name="SR;5192"/>
      <w:bookmarkEnd w:id="1"/>
      <w:bookmarkEnd w:id="2"/>
      <w:r>
        <w:rPr>
          <w:b/>
          <w:bCs/>
          <w:color w:val="auto"/>
        </w:rPr>
        <w:t>IV</w:t>
      </w:r>
      <w:proofErr w:type="gramStart"/>
      <w:r>
        <w:rPr>
          <w:b/>
          <w:bCs/>
          <w:color w:val="auto"/>
        </w:rPr>
        <w:t xml:space="preserve">.  </w:t>
      </w:r>
      <w:r w:rsidR="0065157E" w:rsidRPr="009178E0">
        <w:rPr>
          <w:b/>
          <w:bCs/>
          <w:color w:val="auto"/>
        </w:rPr>
        <w:t>CONCLUSION</w:t>
      </w:r>
      <w:proofErr w:type="gramEnd"/>
      <w:r w:rsidR="0065157E" w:rsidRPr="009178E0">
        <w:rPr>
          <w:b/>
          <w:bCs/>
          <w:color w:val="auto"/>
        </w:rPr>
        <w:t xml:space="preserve"> </w:t>
      </w:r>
    </w:p>
    <w:p w:rsidR="00CE0E93" w:rsidRPr="009178E0" w:rsidRDefault="00AC5F3F" w:rsidP="008219CE">
      <w:pPr>
        <w:keepNext/>
        <w:widowControl w:val="0"/>
        <w:autoSpaceDE w:val="0"/>
        <w:autoSpaceDN w:val="0"/>
        <w:adjustRightInd w:val="0"/>
        <w:spacing w:line="480" w:lineRule="auto"/>
        <w:ind w:firstLine="720"/>
        <w:jc w:val="both"/>
        <w:rPr>
          <w:rFonts w:ascii="Times New Roman" w:hAnsi="Times New Roman"/>
          <w:color w:val="000000"/>
          <w:sz w:val="24"/>
          <w:szCs w:val="24"/>
        </w:rPr>
      </w:pPr>
      <w:r>
        <w:rPr>
          <w:rFonts w:ascii="Times New Roman" w:hAnsi="Times New Roman"/>
          <w:sz w:val="24"/>
          <w:szCs w:val="24"/>
        </w:rPr>
        <w:t>For the reasons stated</w:t>
      </w:r>
      <w:r w:rsidR="00CE0E93" w:rsidRPr="009178E0">
        <w:rPr>
          <w:rFonts w:ascii="Times New Roman" w:hAnsi="Times New Roman"/>
          <w:sz w:val="24"/>
          <w:szCs w:val="24"/>
        </w:rPr>
        <w:t xml:space="preserve"> above, the United States </w:t>
      </w:r>
      <w:r w:rsidR="00CE0E93" w:rsidRPr="009178E0">
        <w:rPr>
          <w:rFonts w:ascii="Times New Roman" w:hAnsi="Times New Roman"/>
          <w:color w:val="000000"/>
          <w:sz w:val="24"/>
          <w:szCs w:val="24"/>
        </w:rPr>
        <w:t>respectfully requests that this Court</w:t>
      </w:r>
      <w:r w:rsidR="00B53CAE" w:rsidRPr="009178E0">
        <w:rPr>
          <w:rFonts w:ascii="Times New Roman" w:hAnsi="Times New Roman"/>
          <w:color w:val="000000"/>
          <w:sz w:val="24"/>
          <w:szCs w:val="24"/>
        </w:rPr>
        <w:t xml:space="preserve"> h</w:t>
      </w:r>
      <w:r w:rsidR="00CE0E93" w:rsidRPr="009178E0">
        <w:rPr>
          <w:rFonts w:ascii="Times New Roman" w:hAnsi="Times New Roman"/>
          <w:color w:val="000000"/>
          <w:sz w:val="24"/>
          <w:szCs w:val="24"/>
        </w:rPr>
        <w:t xml:space="preserve">old </w:t>
      </w:r>
      <w:r w:rsidR="00CE0E93" w:rsidRPr="009178E0">
        <w:rPr>
          <w:rFonts w:ascii="Times New Roman" w:hAnsi="Times New Roman"/>
          <w:sz w:val="24"/>
          <w:szCs w:val="24"/>
        </w:rPr>
        <w:t xml:space="preserve">that a non-institutionalized individual with a disability can bring a claim under Title II, its integration mandate, and </w:t>
      </w:r>
      <w:r w:rsidR="00CE0E93" w:rsidRPr="009178E0">
        <w:rPr>
          <w:rFonts w:ascii="Times New Roman" w:hAnsi="Times New Roman"/>
          <w:i/>
          <w:iCs/>
          <w:sz w:val="24"/>
          <w:szCs w:val="24"/>
        </w:rPr>
        <w:t>Olmstead</w:t>
      </w:r>
      <w:r w:rsidR="00CE0E93" w:rsidRPr="009178E0">
        <w:rPr>
          <w:rFonts w:ascii="Times New Roman" w:hAnsi="Times New Roman"/>
          <w:sz w:val="24"/>
          <w:szCs w:val="24"/>
        </w:rPr>
        <w:t xml:space="preserve"> for a State or local government’s actions that put an individual at serious risk of institutionalization or segregatio</w:t>
      </w:r>
      <w:r w:rsidR="00203C1C" w:rsidRPr="009178E0">
        <w:rPr>
          <w:rFonts w:ascii="Times New Roman" w:hAnsi="Times New Roman"/>
          <w:sz w:val="24"/>
          <w:szCs w:val="24"/>
        </w:rPr>
        <w:t>n</w:t>
      </w:r>
      <w:r w:rsidR="00B53CAE" w:rsidRPr="009178E0">
        <w:rPr>
          <w:rFonts w:ascii="Times New Roman" w:hAnsi="Times New Roman"/>
          <w:sz w:val="24"/>
          <w:szCs w:val="24"/>
        </w:rPr>
        <w:t xml:space="preserve">; deny Defendants’ motion for summary judgment; </w:t>
      </w:r>
      <w:r w:rsidR="00216913" w:rsidRPr="009178E0">
        <w:rPr>
          <w:rFonts w:ascii="Times New Roman" w:hAnsi="Times New Roman"/>
          <w:color w:val="000000"/>
          <w:sz w:val="24"/>
          <w:szCs w:val="24"/>
        </w:rPr>
        <w:t>and allow the United States to participate in any argument that the Court may hear on either motion</w:t>
      </w:r>
      <w:r w:rsidR="00CE0E93" w:rsidRPr="009178E0">
        <w:rPr>
          <w:rFonts w:ascii="Times New Roman" w:hAnsi="Times New Roman"/>
          <w:color w:val="000000"/>
          <w:sz w:val="24"/>
          <w:szCs w:val="24"/>
        </w:rPr>
        <w:t>.</w:t>
      </w:r>
    </w:p>
    <w:p w:rsidR="0065157E" w:rsidRPr="009178E0" w:rsidRDefault="009B72B9" w:rsidP="00F123F9">
      <w:pPr>
        <w:pStyle w:val="Default"/>
        <w:rPr>
          <w:color w:val="auto"/>
        </w:rPr>
      </w:pPr>
      <w:r>
        <w:t>Dated: March 27, 2015</w:t>
      </w:r>
      <w:r w:rsidR="00683E89">
        <w:rPr>
          <w:color w:val="auto"/>
        </w:rPr>
        <w:tab/>
      </w:r>
      <w:r w:rsidR="00683E89">
        <w:rPr>
          <w:color w:val="auto"/>
        </w:rPr>
        <w:tab/>
      </w:r>
      <w:r w:rsidR="00683E89">
        <w:rPr>
          <w:color w:val="auto"/>
        </w:rPr>
        <w:tab/>
      </w:r>
      <w:r w:rsidR="00D657E2">
        <w:rPr>
          <w:color w:val="auto"/>
        </w:rPr>
        <w:tab/>
      </w:r>
      <w:r w:rsidR="00D657E2">
        <w:rPr>
          <w:color w:val="auto"/>
        </w:rPr>
        <w:tab/>
      </w:r>
      <w:r w:rsidR="0065157E" w:rsidRPr="009178E0">
        <w:rPr>
          <w:color w:val="auto"/>
        </w:rPr>
        <w:t xml:space="preserve">Respectfully submitted, </w:t>
      </w:r>
    </w:p>
    <w:p w:rsidR="009234BD" w:rsidRPr="009178E0" w:rsidRDefault="0065157E" w:rsidP="009234BD">
      <w:pPr>
        <w:pStyle w:val="Default"/>
        <w:rPr>
          <w:color w:val="auto"/>
        </w:rPr>
      </w:pPr>
      <w:r w:rsidRPr="009178E0">
        <w:rPr>
          <w:color w:val="auto"/>
        </w:rPr>
        <w:t xml:space="preserve">       </w:t>
      </w:r>
    </w:p>
    <w:p w:rsidR="00683E89" w:rsidRDefault="00683E89" w:rsidP="00F123F9">
      <w:pPr>
        <w:pStyle w:val="Default"/>
        <w:rPr>
          <w:color w:val="auto"/>
        </w:rPr>
        <w:sectPr w:rsidR="00683E89" w:rsidSect="00040161">
          <w:headerReference w:type="even" r:id="rId7"/>
          <w:headerReference w:type="default" r:id="rId8"/>
          <w:footerReference w:type="even" r:id="rId9"/>
          <w:footerReference w:type="default" r:id="rId10"/>
          <w:headerReference w:type="first" r:id="rId11"/>
          <w:footerReference w:type="first" r:id="rId12"/>
          <w:pgSz w:w="12240" w:h="15840" w:code="1"/>
          <w:pgMar w:top="1080" w:right="1530" w:bottom="1440" w:left="1317" w:header="720" w:footer="720" w:gutter="0"/>
          <w:cols w:space="720"/>
          <w:noEndnote/>
          <w:titlePg/>
          <w:docGrid w:linePitch="299"/>
        </w:sectPr>
      </w:pPr>
    </w:p>
    <w:p w:rsidR="00683E89" w:rsidRDefault="00CC0EA6" w:rsidP="00F123F9">
      <w:pPr>
        <w:pStyle w:val="Default"/>
        <w:rPr>
          <w:color w:val="auto"/>
        </w:rPr>
      </w:pPr>
      <w:r>
        <w:rPr>
          <w:sz w:val="23"/>
          <w:szCs w:val="23"/>
        </w:rPr>
        <w:t>JOSH J. MINKLER</w:t>
      </w:r>
      <w:r>
        <w:rPr>
          <w:sz w:val="23"/>
          <w:szCs w:val="23"/>
        </w:rPr>
        <w:tab/>
      </w:r>
      <w:r>
        <w:rPr>
          <w:sz w:val="23"/>
          <w:szCs w:val="23"/>
        </w:rPr>
        <w:tab/>
      </w:r>
      <w:r>
        <w:rPr>
          <w:sz w:val="23"/>
          <w:szCs w:val="23"/>
        </w:rPr>
        <w:tab/>
      </w:r>
      <w:r w:rsidR="00683E89">
        <w:rPr>
          <w:color w:val="auto"/>
        </w:rPr>
        <w:tab/>
      </w:r>
      <w:r w:rsidR="00683E89">
        <w:rPr>
          <w:color w:val="auto"/>
        </w:rPr>
        <w:tab/>
      </w:r>
      <w:r w:rsidR="00683E89">
        <w:rPr>
          <w:color w:val="auto"/>
        </w:rPr>
        <w:tab/>
        <w:t>VANITA GUPTA</w:t>
      </w:r>
    </w:p>
    <w:p w:rsidR="00683E89" w:rsidRDefault="00CC0EA6" w:rsidP="00F123F9">
      <w:pPr>
        <w:pStyle w:val="Default"/>
        <w:rPr>
          <w:color w:val="auto"/>
        </w:rPr>
      </w:pPr>
      <w:r>
        <w:rPr>
          <w:color w:val="auto"/>
        </w:rPr>
        <w:t>United States Attorney</w:t>
      </w:r>
      <w:r>
        <w:rPr>
          <w:color w:val="auto"/>
        </w:rPr>
        <w:tab/>
      </w:r>
      <w:r>
        <w:rPr>
          <w:color w:val="auto"/>
        </w:rPr>
        <w:tab/>
      </w:r>
      <w:r>
        <w:rPr>
          <w:color w:val="auto"/>
        </w:rPr>
        <w:tab/>
      </w:r>
      <w:r>
        <w:rPr>
          <w:color w:val="auto"/>
        </w:rPr>
        <w:tab/>
      </w:r>
      <w:r w:rsidR="00683E89">
        <w:rPr>
          <w:color w:val="auto"/>
        </w:rPr>
        <w:tab/>
      </w:r>
      <w:r w:rsidR="001D4BAE">
        <w:rPr>
          <w:color w:val="auto"/>
        </w:rPr>
        <w:t xml:space="preserve">Acting </w:t>
      </w:r>
      <w:r w:rsidR="00683E89">
        <w:rPr>
          <w:color w:val="auto"/>
        </w:rPr>
        <w:t>Assistant Attorney General</w:t>
      </w:r>
    </w:p>
    <w:p w:rsidR="00A202F3" w:rsidRDefault="00A202F3" w:rsidP="00F123F9">
      <w:pPr>
        <w:pStyle w:val="Default"/>
        <w:rPr>
          <w:color w:val="auto"/>
        </w:rPr>
      </w:pPr>
    </w:p>
    <w:p w:rsidR="00A202F3" w:rsidRDefault="00CC0EA6" w:rsidP="00F123F9">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A202F3">
        <w:rPr>
          <w:color w:val="auto"/>
        </w:rPr>
        <w:t>EVE HILL</w:t>
      </w:r>
    </w:p>
    <w:p w:rsidR="00A202F3" w:rsidRDefault="001D4BAE" w:rsidP="00A202F3">
      <w:pPr>
        <w:pStyle w:val="Default"/>
        <w:ind w:left="5760"/>
        <w:rPr>
          <w:color w:val="auto"/>
        </w:rPr>
      </w:pPr>
      <w:r>
        <w:rPr>
          <w:color w:val="auto"/>
        </w:rPr>
        <w:t>Deputy Assistant</w:t>
      </w:r>
      <w:r w:rsidR="00A202F3">
        <w:rPr>
          <w:color w:val="auto"/>
        </w:rPr>
        <w:t xml:space="preserve"> Attorney General</w:t>
      </w:r>
    </w:p>
    <w:p w:rsidR="00CC0EA6" w:rsidRDefault="00CC0EA6" w:rsidP="00A202F3">
      <w:pPr>
        <w:pStyle w:val="Default"/>
        <w:ind w:left="5760"/>
        <w:rPr>
          <w:color w:val="auto"/>
          <w:u w:val="single"/>
        </w:rPr>
      </w:pPr>
    </w:p>
    <w:p w:rsidR="00CC0EA6" w:rsidRDefault="00CC0EA6" w:rsidP="00CC0EA6">
      <w:pPr>
        <w:pStyle w:val="Default"/>
        <w:rPr>
          <w:i/>
          <w:color w:val="auto"/>
          <w:u w:val="single"/>
        </w:rPr>
      </w:pPr>
      <w:r>
        <w:rPr>
          <w:color w:val="auto"/>
          <w:u w:val="single"/>
        </w:rPr>
        <w:t xml:space="preserve"> /s/ </w:t>
      </w:r>
      <w:r>
        <w:rPr>
          <w:i/>
          <w:color w:val="auto"/>
          <w:u w:val="single"/>
        </w:rPr>
        <w:t>Debra G. Richards</w:t>
      </w:r>
      <w:r>
        <w:rPr>
          <w:color w:val="auto"/>
          <w:u w:val="single"/>
        </w:rPr>
        <w:t xml:space="preserve">      </w:t>
      </w:r>
      <w:r w:rsidRPr="00CC0EA6">
        <w:rPr>
          <w:color w:val="auto"/>
        </w:rPr>
        <w:t xml:space="preserve"> </w:t>
      </w:r>
      <w:r>
        <w:rPr>
          <w:color w:val="auto"/>
        </w:rPr>
        <w:tab/>
      </w:r>
      <w:r>
        <w:rPr>
          <w:color w:val="auto"/>
        </w:rPr>
        <w:tab/>
      </w:r>
      <w:r>
        <w:rPr>
          <w:color w:val="auto"/>
        </w:rPr>
        <w:tab/>
      </w:r>
      <w:r>
        <w:rPr>
          <w:color w:val="auto"/>
        </w:rPr>
        <w:tab/>
      </w:r>
      <w:r>
        <w:rPr>
          <w:color w:val="auto"/>
        </w:rPr>
        <w:tab/>
      </w:r>
      <w:r w:rsidRPr="00CC0EA6">
        <w:rPr>
          <w:color w:val="auto"/>
        </w:rPr>
        <w:t xml:space="preserve"> </w:t>
      </w:r>
      <w:r w:rsidR="00A202F3">
        <w:rPr>
          <w:color w:val="auto"/>
          <w:u w:val="single"/>
        </w:rPr>
        <w:t xml:space="preserve">/s/ </w:t>
      </w:r>
      <w:r w:rsidR="00A202F3">
        <w:rPr>
          <w:i/>
          <w:color w:val="auto"/>
          <w:u w:val="single"/>
        </w:rPr>
        <w:t xml:space="preserve">Victoria L. Thomas                 </w:t>
      </w:r>
    </w:p>
    <w:p w:rsidR="00CC0EA6" w:rsidRDefault="00CC0EA6" w:rsidP="00CC0EA6">
      <w:pPr>
        <w:pStyle w:val="Default"/>
        <w:rPr>
          <w:color w:val="auto"/>
        </w:rPr>
      </w:pPr>
      <w:r>
        <w:rPr>
          <w:color w:val="auto"/>
        </w:rPr>
        <w:t>Debra G. Richards</w:t>
      </w:r>
    </w:p>
    <w:p w:rsidR="00A202F3" w:rsidRDefault="00CC0EA6" w:rsidP="00CC0EA6">
      <w:pPr>
        <w:pStyle w:val="Default"/>
        <w:rPr>
          <w:color w:val="auto"/>
        </w:rPr>
      </w:pPr>
      <w:r>
        <w:rPr>
          <w:color w:val="auto"/>
        </w:rPr>
        <w:t>Assistant United States Attorney</w:t>
      </w:r>
      <w:r>
        <w:rPr>
          <w:color w:val="auto"/>
        </w:rPr>
        <w:tab/>
      </w:r>
      <w:r>
        <w:rPr>
          <w:color w:val="auto"/>
        </w:rPr>
        <w:tab/>
      </w:r>
      <w:r>
        <w:rPr>
          <w:color w:val="auto"/>
        </w:rPr>
        <w:tab/>
      </w:r>
      <w:r>
        <w:rPr>
          <w:color w:val="auto"/>
        </w:rPr>
        <w:tab/>
      </w:r>
      <w:r w:rsidR="00A202F3">
        <w:rPr>
          <w:color w:val="auto"/>
        </w:rPr>
        <w:t>REBECCA BOND</w:t>
      </w:r>
    </w:p>
    <w:p w:rsidR="00A202F3" w:rsidRDefault="00A202F3" w:rsidP="00A202F3">
      <w:pPr>
        <w:pStyle w:val="Default"/>
        <w:ind w:left="5760"/>
        <w:rPr>
          <w:color w:val="auto"/>
        </w:rPr>
      </w:pPr>
      <w:r>
        <w:rPr>
          <w:color w:val="auto"/>
        </w:rPr>
        <w:t>Chief</w:t>
      </w:r>
    </w:p>
    <w:p w:rsidR="00A202F3" w:rsidRDefault="00A202F3" w:rsidP="00A202F3">
      <w:pPr>
        <w:pStyle w:val="Default"/>
        <w:ind w:left="5760"/>
        <w:rPr>
          <w:color w:val="auto"/>
        </w:rPr>
      </w:pPr>
    </w:p>
    <w:p w:rsidR="00A202F3" w:rsidRDefault="00A202F3" w:rsidP="00A202F3">
      <w:pPr>
        <w:pStyle w:val="Default"/>
        <w:ind w:left="5760"/>
        <w:rPr>
          <w:color w:val="auto"/>
        </w:rPr>
      </w:pPr>
      <w:r>
        <w:rPr>
          <w:color w:val="auto"/>
        </w:rPr>
        <w:t>SHEILA S. FORAN</w:t>
      </w:r>
    </w:p>
    <w:p w:rsidR="00A202F3" w:rsidRDefault="00A202F3" w:rsidP="00A202F3">
      <w:pPr>
        <w:pStyle w:val="Default"/>
        <w:ind w:left="5760"/>
        <w:rPr>
          <w:color w:val="auto"/>
        </w:rPr>
      </w:pPr>
      <w:r>
        <w:rPr>
          <w:color w:val="auto"/>
        </w:rPr>
        <w:t>Special Legal Counsel</w:t>
      </w:r>
    </w:p>
    <w:p w:rsidR="001D4BAE" w:rsidRDefault="001D4BAE" w:rsidP="00A202F3">
      <w:pPr>
        <w:pStyle w:val="Default"/>
        <w:ind w:left="5760"/>
        <w:rPr>
          <w:color w:val="auto"/>
        </w:rPr>
      </w:pPr>
    </w:p>
    <w:p w:rsidR="00A202F3" w:rsidRDefault="00A202F3" w:rsidP="00A202F3">
      <w:pPr>
        <w:pStyle w:val="Default"/>
        <w:ind w:left="5760"/>
        <w:rPr>
          <w:color w:val="auto"/>
        </w:rPr>
      </w:pPr>
      <w:r>
        <w:rPr>
          <w:color w:val="auto"/>
        </w:rPr>
        <w:t>ANNE S. RAISH</w:t>
      </w:r>
    </w:p>
    <w:p w:rsidR="00A202F3" w:rsidRDefault="00A202F3" w:rsidP="00A202F3">
      <w:pPr>
        <w:pStyle w:val="Default"/>
        <w:ind w:left="5760"/>
        <w:rPr>
          <w:color w:val="auto"/>
        </w:rPr>
      </w:pPr>
      <w:r>
        <w:rPr>
          <w:color w:val="auto"/>
        </w:rPr>
        <w:t>Deputy Chief</w:t>
      </w:r>
      <w:r w:rsidR="00A76F59">
        <w:rPr>
          <w:color w:val="auto"/>
        </w:rPr>
        <w:t xml:space="preserve"> of Enforcement</w:t>
      </w:r>
    </w:p>
    <w:p w:rsidR="005C7DE2" w:rsidRDefault="005C7DE2" w:rsidP="00A202F3">
      <w:pPr>
        <w:pStyle w:val="Default"/>
        <w:ind w:left="5760"/>
        <w:rPr>
          <w:color w:val="auto"/>
        </w:rPr>
      </w:pPr>
    </w:p>
    <w:p w:rsidR="005C7DE2" w:rsidRDefault="005C7DE2" w:rsidP="00A202F3">
      <w:pPr>
        <w:pStyle w:val="Default"/>
        <w:ind w:left="5760"/>
        <w:rPr>
          <w:color w:val="auto"/>
        </w:rPr>
      </w:pPr>
      <w:r>
        <w:rPr>
          <w:color w:val="auto"/>
        </w:rPr>
        <w:t>JENNIFER K. MCDANNELL</w:t>
      </w:r>
    </w:p>
    <w:p w:rsidR="005C7DE2" w:rsidRDefault="005C7DE2" w:rsidP="00A202F3">
      <w:pPr>
        <w:pStyle w:val="Default"/>
        <w:ind w:left="5760"/>
        <w:rPr>
          <w:color w:val="auto"/>
        </w:rPr>
      </w:pPr>
      <w:r>
        <w:rPr>
          <w:color w:val="auto"/>
        </w:rPr>
        <w:t>Supervisory Trial Attorney</w:t>
      </w:r>
    </w:p>
    <w:p w:rsidR="00A202F3" w:rsidRPr="00A202F3" w:rsidRDefault="00A202F3" w:rsidP="00A202F3">
      <w:pPr>
        <w:pStyle w:val="Default"/>
        <w:ind w:left="5760"/>
        <w:rPr>
          <w:color w:val="auto"/>
        </w:rPr>
      </w:pPr>
    </w:p>
    <w:p w:rsidR="00A202F3" w:rsidRDefault="00A202F3" w:rsidP="00A202F3">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VICTORIA L. THOMAS</w:t>
      </w:r>
    </w:p>
    <w:p w:rsidR="00A202F3" w:rsidRDefault="00A202F3" w:rsidP="00A202F3">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Trial Attorney</w:t>
      </w:r>
      <w:r>
        <w:rPr>
          <w:color w:val="auto"/>
        </w:rPr>
        <w:tab/>
      </w:r>
    </w:p>
    <w:p w:rsidR="00A202F3" w:rsidRDefault="00A202F3" w:rsidP="00A202F3">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Disability Rights Section</w:t>
      </w:r>
    </w:p>
    <w:p w:rsidR="00A202F3" w:rsidRDefault="00A202F3" w:rsidP="00A202F3">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Civil Rights Division</w:t>
      </w:r>
    </w:p>
    <w:p w:rsidR="00A202F3" w:rsidRDefault="00A202F3" w:rsidP="00A202F3">
      <w:pPr>
        <w:pStyle w:val="Default"/>
        <w:rPr>
          <w:color w:val="auto"/>
        </w:rPr>
      </w:pPr>
    </w:p>
    <w:p w:rsidR="00A202F3" w:rsidRDefault="00A202F3" w:rsidP="00A202F3">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U.S. Department of Justice</w:t>
      </w:r>
    </w:p>
    <w:p w:rsidR="00A202F3" w:rsidRDefault="00A202F3" w:rsidP="00A202F3">
      <w:pPr>
        <w:pStyle w:val="Default"/>
        <w:ind w:left="5760"/>
        <w:rPr>
          <w:color w:val="auto"/>
        </w:rPr>
      </w:pPr>
      <w:r>
        <w:rPr>
          <w:color w:val="auto"/>
        </w:rPr>
        <w:t xml:space="preserve">950 Pennsylvania Avenue, N.W.  </w:t>
      </w:r>
    </w:p>
    <w:p w:rsidR="00A202F3" w:rsidRDefault="00A202F3" w:rsidP="00A202F3">
      <w:pPr>
        <w:pStyle w:val="Default"/>
        <w:ind w:left="5760"/>
        <w:rPr>
          <w:color w:val="auto"/>
        </w:rPr>
      </w:pPr>
      <w:r>
        <w:rPr>
          <w:color w:val="auto"/>
        </w:rPr>
        <w:t>Washington, DC 20530</w:t>
      </w:r>
    </w:p>
    <w:p w:rsidR="00A202F3" w:rsidRDefault="009B72B9" w:rsidP="002A0F02">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A0F02">
        <w:rPr>
          <w:rFonts w:ascii="Times New Roman" w:hAnsi="Times New Roman"/>
          <w:sz w:val="24"/>
          <w:szCs w:val="24"/>
        </w:rPr>
        <w:tab/>
      </w:r>
      <w:r w:rsidR="002A0F02">
        <w:rPr>
          <w:rFonts w:ascii="Times New Roman" w:hAnsi="Times New Roman"/>
          <w:sz w:val="24"/>
          <w:szCs w:val="24"/>
        </w:rPr>
        <w:tab/>
      </w:r>
      <w:r w:rsidR="002A0F02">
        <w:rPr>
          <w:rFonts w:ascii="Times New Roman" w:hAnsi="Times New Roman"/>
          <w:sz w:val="24"/>
          <w:szCs w:val="24"/>
        </w:rPr>
        <w:tab/>
      </w:r>
      <w:r w:rsidR="002A0F02">
        <w:rPr>
          <w:rFonts w:ascii="Times New Roman" w:hAnsi="Times New Roman"/>
          <w:sz w:val="24"/>
          <w:szCs w:val="24"/>
        </w:rPr>
        <w:tab/>
      </w:r>
      <w:r w:rsidR="002A0F02">
        <w:rPr>
          <w:rFonts w:ascii="Times New Roman" w:hAnsi="Times New Roman"/>
          <w:sz w:val="24"/>
          <w:szCs w:val="24"/>
        </w:rPr>
        <w:tab/>
      </w:r>
      <w:r w:rsidR="00A202F3">
        <w:rPr>
          <w:rFonts w:ascii="Times New Roman" w:hAnsi="Times New Roman"/>
          <w:sz w:val="24"/>
          <w:szCs w:val="24"/>
        </w:rPr>
        <w:t>Tel: (202) 616-2925</w:t>
      </w:r>
    </w:p>
    <w:p w:rsidR="00D657E2" w:rsidRDefault="00A202F3" w:rsidP="00D657E2">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Fax: (202) 514-7821</w:t>
      </w:r>
    </w:p>
    <w:p w:rsidR="00A202F3" w:rsidRPr="001459DA" w:rsidRDefault="00D657E2" w:rsidP="00D657E2">
      <w:pPr>
        <w:autoSpaceDE w:val="0"/>
        <w:autoSpaceDN w:val="0"/>
        <w:adjustRightInd w:val="0"/>
        <w:rPr>
          <w:rFonts w:ascii="Times New Roman" w:hAnsi="Times New Roman"/>
          <w:sz w:val="24"/>
          <w:szCs w:val="24"/>
        </w:rPr>
        <w:sectPr w:rsidR="00A202F3" w:rsidRPr="001459DA" w:rsidSect="00683E89">
          <w:type w:val="continuous"/>
          <w:pgSz w:w="12240" w:h="15840" w:code="1"/>
          <w:pgMar w:top="698" w:right="1530" w:bottom="1440" w:left="1317" w:header="720" w:footer="720" w:gutter="0"/>
          <w:cols w:space="720"/>
          <w:noEndnote/>
          <w:titlePg/>
          <w:docGrid w:linePitch="299"/>
        </w:sectPr>
      </w:pPr>
      <w:r w:rsidRPr="001459DA">
        <w:rPr>
          <w:rFonts w:ascii="Times New Roman" w:hAnsi="Times New Roman"/>
          <w:bCs/>
          <w:i/>
        </w:rPr>
        <w:t>Counsel for the United States</w:t>
      </w:r>
      <w:r w:rsidRPr="001459DA">
        <w:rPr>
          <w:rFonts w:ascii="Times New Roman" w:hAnsi="Times New Roman"/>
        </w:rPr>
        <w:t xml:space="preserve"> </w:t>
      </w:r>
      <w:r w:rsidRPr="001459DA">
        <w:rPr>
          <w:rFonts w:ascii="Times New Roman" w:hAnsi="Times New Roman"/>
        </w:rPr>
        <w:tab/>
      </w:r>
      <w:r w:rsidRPr="001459DA">
        <w:rPr>
          <w:rFonts w:ascii="Times New Roman" w:hAnsi="Times New Roman"/>
        </w:rPr>
        <w:tab/>
      </w:r>
      <w:r w:rsidRPr="001459DA">
        <w:rPr>
          <w:rFonts w:ascii="Times New Roman" w:hAnsi="Times New Roman"/>
        </w:rPr>
        <w:tab/>
      </w:r>
      <w:r w:rsidRPr="001459DA">
        <w:rPr>
          <w:rFonts w:ascii="Times New Roman" w:hAnsi="Times New Roman"/>
        </w:rPr>
        <w:tab/>
      </w:r>
      <w:r w:rsidRPr="001459DA">
        <w:rPr>
          <w:rFonts w:ascii="Times New Roman" w:hAnsi="Times New Roman"/>
        </w:rPr>
        <w:tab/>
      </w:r>
      <w:r w:rsidR="00A202F3" w:rsidRPr="001459DA">
        <w:rPr>
          <w:rFonts w:ascii="Times New Roman" w:hAnsi="Times New Roman"/>
          <w:sz w:val="24"/>
          <w:szCs w:val="24"/>
        </w:rPr>
        <w:t>E-</w:t>
      </w:r>
      <w:r w:rsidRPr="001459DA">
        <w:rPr>
          <w:rFonts w:ascii="Times New Roman" w:hAnsi="Times New Roman"/>
          <w:sz w:val="24"/>
          <w:szCs w:val="24"/>
        </w:rPr>
        <w:t>mail: victoria.thomas2@usdoj.gov</w:t>
      </w:r>
    </w:p>
    <w:p w:rsidR="00683E89" w:rsidRPr="00A202F3" w:rsidRDefault="00683E89" w:rsidP="00F123F9">
      <w:pPr>
        <w:pStyle w:val="Default"/>
        <w:rPr>
          <w:bCs/>
          <w:i/>
          <w:color w:val="auto"/>
        </w:rPr>
        <w:sectPr w:rsidR="00683E89" w:rsidRPr="00A202F3" w:rsidSect="00683E89">
          <w:type w:val="continuous"/>
          <w:pgSz w:w="12240" w:h="15840" w:code="1"/>
          <w:pgMar w:top="698" w:right="1530" w:bottom="1440" w:left="1317" w:header="720" w:footer="720" w:gutter="0"/>
          <w:cols w:space="720"/>
          <w:noEndnote/>
          <w:titlePg/>
          <w:docGrid w:linePitch="299"/>
        </w:sectPr>
      </w:pPr>
    </w:p>
    <w:p w:rsidR="00683E89" w:rsidRDefault="00683E89" w:rsidP="00F123F9">
      <w:pPr>
        <w:pStyle w:val="Default"/>
        <w:rPr>
          <w:b/>
          <w:bCs/>
          <w:color w:val="auto"/>
        </w:rPr>
        <w:sectPr w:rsidR="00683E89" w:rsidSect="00683E89">
          <w:type w:val="continuous"/>
          <w:pgSz w:w="12240" w:h="15840" w:code="1"/>
          <w:pgMar w:top="698" w:right="1530" w:bottom="1440" w:left="1317" w:header="720" w:footer="720" w:gutter="0"/>
          <w:cols w:space="720"/>
          <w:noEndnote/>
          <w:titlePg/>
          <w:docGrid w:linePitch="299"/>
        </w:sectPr>
      </w:pPr>
    </w:p>
    <w:p w:rsidR="009234BD" w:rsidRPr="009178E0" w:rsidRDefault="00683E89" w:rsidP="00E47575">
      <w:pPr>
        <w:pStyle w:val="Default"/>
        <w:rPr>
          <w:b/>
          <w:bCs/>
          <w:color w:val="auto"/>
        </w:rPr>
      </w:pPr>
      <w:r>
        <w:rPr>
          <w:b/>
          <w:bCs/>
          <w:color w:val="auto"/>
        </w:rPr>
        <w:tab/>
      </w:r>
      <w:r>
        <w:rPr>
          <w:b/>
          <w:bCs/>
          <w:color w:val="auto"/>
        </w:rPr>
        <w:tab/>
      </w:r>
    </w:p>
    <w:p w:rsidR="0065157E" w:rsidRPr="009178E0" w:rsidRDefault="0065157E" w:rsidP="00E47575">
      <w:pPr>
        <w:pStyle w:val="Default"/>
        <w:jc w:val="center"/>
        <w:rPr>
          <w:color w:val="auto"/>
        </w:rPr>
      </w:pPr>
      <w:r w:rsidRPr="009178E0">
        <w:rPr>
          <w:b/>
          <w:bCs/>
          <w:color w:val="auto"/>
        </w:rPr>
        <w:t xml:space="preserve">CERTIFICATE OF </w:t>
      </w:r>
      <w:r w:rsidR="009234BD" w:rsidRPr="009178E0">
        <w:rPr>
          <w:b/>
          <w:bCs/>
          <w:color w:val="auto"/>
        </w:rPr>
        <w:t>SERVICE</w:t>
      </w:r>
    </w:p>
    <w:p w:rsidR="0065157E" w:rsidRPr="009178E0" w:rsidRDefault="0065157E" w:rsidP="009234BD">
      <w:pPr>
        <w:pStyle w:val="Default"/>
        <w:jc w:val="center"/>
        <w:rPr>
          <w:color w:val="auto"/>
        </w:rPr>
      </w:pPr>
    </w:p>
    <w:p w:rsidR="0065157E" w:rsidRPr="009178E0" w:rsidRDefault="0065157E" w:rsidP="00F123F9">
      <w:pPr>
        <w:pStyle w:val="Default"/>
        <w:rPr>
          <w:color w:val="auto"/>
        </w:rPr>
      </w:pPr>
    </w:p>
    <w:p w:rsidR="004875E4" w:rsidRPr="009178E0" w:rsidRDefault="002C3EB1" w:rsidP="004302F5">
      <w:pPr>
        <w:widowControl w:val="0"/>
        <w:autoSpaceDE w:val="0"/>
        <w:autoSpaceDN w:val="0"/>
        <w:adjustRightInd w:val="0"/>
        <w:spacing w:line="288" w:lineRule="auto"/>
        <w:ind w:firstLine="720"/>
        <w:jc w:val="both"/>
        <w:rPr>
          <w:rFonts w:ascii="Times New Roman" w:hAnsi="Times New Roman"/>
          <w:color w:val="000000"/>
          <w:sz w:val="24"/>
          <w:szCs w:val="24"/>
        </w:rPr>
      </w:pPr>
      <w:r w:rsidRPr="009178E0">
        <w:rPr>
          <w:rFonts w:ascii="Times New Roman" w:hAnsi="Times New Roman"/>
          <w:color w:val="000000"/>
          <w:sz w:val="24"/>
          <w:szCs w:val="24"/>
        </w:rPr>
        <w:t>I hereby certify that on March 27</w:t>
      </w:r>
      <w:r w:rsidR="004875E4" w:rsidRPr="009178E0">
        <w:rPr>
          <w:rFonts w:ascii="Times New Roman" w:hAnsi="Times New Roman"/>
          <w:color w:val="000000"/>
          <w:sz w:val="24"/>
          <w:szCs w:val="24"/>
        </w:rPr>
        <w:t xml:space="preserve">, 2015, I electronically filed the foregoing document with the Clerk of Court using CM/ECF. I also certify that the a true and correct copy of the foregoing document was served on </w:t>
      </w:r>
      <w:r w:rsidRPr="009178E0">
        <w:rPr>
          <w:rFonts w:ascii="Times New Roman" w:hAnsi="Times New Roman"/>
          <w:color w:val="000000"/>
          <w:sz w:val="24"/>
          <w:szCs w:val="24"/>
        </w:rPr>
        <w:t>March 27</w:t>
      </w:r>
      <w:r w:rsidR="004875E4" w:rsidRPr="009178E0">
        <w:rPr>
          <w:rFonts w:ascii="Times New Roman" w:hAnsi="Times New Roman"/>
          <w:color w:val="000000"/>
          <w:sz w:val="24"/>
          <w:szCs w:val="24"/>
        </w:rPr>
        <w:t>, 2015 on all counsel of record or parties identified on the Service List below via transmission of Notices of Electronic Filing generated by CM/ECF.</w:t>
      </w:r>
    </w:p>
    <w:p w:rsidR="0065157E" w:rsidRPr="009178E0" w:rsidRDefault="0065157E" w:rsidP="00F123F9">
      <w:pPr>
        <w:pStyle w:val="Default"/>
        <w:rPr>
          <w:color w:val="auto"/>
        </w:rPr>
      </w:pPr>
      <w:r w:rsidRPr="009178E0">
        <w:rPr>
          <w:color w:val="auto"/>
        </w:rPr>
        <w:t xml:space="preserve">  </w:t>
      </w:r>
    </w:p>
    <w:p w:rsidR="0065157E" w:rsidRPr="009178E0" w:rsidRDefault="0065157E" w:rsidP="004875E4">
      <w:pPr>
        <w:pStyle w:val="Default"/>
        <w:rPr>
          <w:color w:val="auto"/>
        </w:rPr>
      </w:pPr>
      <w:r w:rsidRPr="009178E0">
        <w:rPr>
          <w:color w:val="auto"/>
        </w:rPr>
        <w:t xml:space="preserve">       </w:t>
      </w:r>
    </w:p>
    <w:p w:rsidR="004875E4" w:rsidRPr="009178E0" w:rsidRDefault="004875E4" w:rsidP="004875E4">
      <w:pPr>
        <w:autoSpaceDE w:val="0"/>
        <w:autoSpaceDN w:val="0"/>
        <w:adjustRightInd w:val="0"/>
        <w:rPr>
          <w:rFonts w:ascii="Times New Roman" w:hAnsi="Times New Roman"/>
          <w:sz w:val="24"/>
          <w:szCs w:val="24"/>
        </w:rPr>
      </w:pPr>
      <w:r w:rsidRPr="009178E0">
        <w:rPr>
          <w:rFonts w:ascii="Times New Roman" w:hAnsi="Times New Roman"/>
          <w:sz w:val="24"/>
          <w:szCs w:val="24"/>
        </w:rPr>
        <w:t>Ryan Hurley</w:t>
      </w:r>
    </w:p>
    <w:p w:rsidR="004875E4" w:rsidRPr="009178E0" w:rsidRDefault="004875E4" w:rsidP="004875E4">
      <w:pPr>
        <w:autoSpaceDE w:val="0"/>
        <w:autoSpaceDN w:val="0"/>
        <w:adjustRightInd w:val="0"/>
        <w:rPr>
          <w:rFonts w:ascii="Times New Roman" w:hAnsi="Times New Roman"/>
          <w:sz w:val="24"/>
          <w:szCs w:val="24"/>
        </w:rPr>
      </w:pPr>
      <w:r w:rsidRPr="009178E0">
        <w:rPr>
          <w:rFonts w:ascii="Times New Roman" w:hAnsi="Times New Roman"/>
          <w:sz w:val="24"/>
          <w:szCs w:val="24"/>
        </w:rPr>
        <w:t xml:space="preserve">Harmony </w:t>
      </w:r>
      <w:proofErr w:type="spellStart"/>
      <w:r w:rsidRPr="009178E0">
        <w:rPr>
          <w:rFonts w:ascii="Times New Roman" w:hAnsi="Times New Roman"/>
          <w:sz w:val="24"/>
          <w:szCs w:val="24"/>
        </w:rPr>
        <w:t>Mappes</w:t>
      </w:r>
      <w:proofErr w:type="spellEnd"/>
    </w:p>
    <w:p w:rsidR="004875E4" w:rsidRPr="009178E0" w:rsidRDefault="00B76B02" w:rsidP="004875E4">
      <w:pPr>
        <w:autoSpaceDE w:val="0"/>
        <w:autoSpaceDN w:val="0"/>
        <w:adjustRightInd w:val="0"/>
        <w:rPr>
          <w:rFonts w:ascii="Times New Roman" w:hAnsi="Times New Roman"/>
          <w:sz w:val="24"/>
          <w:szCs w:val="24"/>
        </w:rPr>
      </w:pPr>
      <w:proofErr w:type="spellStart"/>
      <w:r w:rsidRPr="009178E0">
        <w:rPr>
          <w:rFonts w:ascii="Times New Roman" w:hAnsi="Times New Roman"/>
          <w:sz w:val="24"/>
          <w:szCs w:val="24"/>
        </w:rPr>
        <w:t>Faegre</w:t>
      </w:r>
      <w:proofErr w:type="spellEnd"/>
      <w:r w:rsidRPr="009178E0">
        <w:rPr>
          <w:rFonts w:ascii="Times New Roman" w:hAnsi="Times New Roman"/>
          <w:sz w:val="24"/>
          <w:szCs w:val="24"/>
        </w:rPr>
        <w:t xml:space="preserve"> Baker Daniels LLP</w:t>
      </w:r>
    </w:p>
    <w:p w:rsidR="004875E4" w:rsidRPr="009178E0" w:rsidRDefault="004875E4" w:rsidP="004875E4">
      <w:pPr>
        <w:autoSpaceDE w:val="0"/>
        <w:autoSpaceDN w:val="0"/>
        <w:adjustRightInd w:val="0"/>
        <w:rPr>
          <w:rFonts w:ascii="Times New Roman" w:hAnsi="Times New Roman"/>
          <w:sz w:val="24"/>
          <w:szCs w:val="24"/>
        </w:rPr>
      </w:pPr>
      <w:r w:rsidRPr="009178E0">
        <w:rPr>
          <w:rFonts w:ascii="Times New Roman" w:hAnsi="Times New Roman"/>
          <w:sz w:val="24"/>
          <w:szCs w:val="24"/>
        </w:rPr>
        <w:t>300 N. Meridian St., Ste. 2700</w:t>
      </w:r>
    </w:p>
    <w:p w:rsidR="0065157E" w:rsidRPr="009178E0" w:rsidRDefault="004875E4" w:rsidP="004875E4">
      <w:pPr>
        <w:pStyle w:val="Default"/>
      </w:pPr>
      <w:r w:rsidRPr="009178E0">
        <w:t>Indianapolis, IN 46204</w:t>
      </w:r>
    </w:p>
    <w:p w:rsidR="00B76B02" w:rsidRPr="009178E0" w:rsidRDefault="00B76B02" w:rsidP="004875E4">
      <w:pPr>
        <w:pStyle w:val="Default"/>
      </w:pPr>
      <w:r w:rsidRPr="009178E0">
        <w:t>ryan.hurley@faegrebd.com</w:t>
      </w:r>
    </w:p>
    <w:p w:rsidR="00B76B02" w:rsidRPr="009178E0" w:rsidRDefault="00B76B02" w:rsidP="004875E4">
      <w:pPr>
        <w:pStyle w:val="Default"/>
      </w:pPr>
      <w:r w:rsidRPr="009178E0">
        <w:t>harmony.mappes@faegrebd.com</w:t>
      </w:r>
    </w:p>
    <w:p w:rsidR="00B76B02" w:rsidRPr="009178E0" w:rsidRDefault="00B76B02" w:rsidP="004875E4">
      <w:pPr>
        <w:pStyle w:val="Default"/>
      </w:pPr>
    </w:p>
    <w:p w:rsidR="00B76B02" w:rsidRPr="009178E0" w:rsidRDefault="00B76B02" w:rsidP="004875E4">
      <w:pPr>
        <w:pStyle w:val="Default"/>
      </w:pPr>
    </w:p>
    <w:p w:rsidR="00B76B02" w:rsidRPr="009178E0" w:rsidRDefault="00B76B02" w:rsidP="004875E4">
      <w:pPr>
        <w:pStyle w:val="Default"/>
      </w:pPr>
      <w:r w:rsidRPr="009178E0">
        <w:t>Gavin M. Rose</w:t>
      </w:r>
    </w:p>
    <w:p w:rsidR="00B76B02" w:rsidRPr="009178E0" w:rsidRDefault="00B76B02" w:rsidP="004875E4">
      <w:pPr>
        <w:pStyle w:val="Default"/>
      </w:pPr>
      <w:r w:rsidRPr="009178E0">
        <w:t xml:space="preserve">ACLU of Indiana </w:t>
      </w:r>
    </w:p>
    <w:p w:rsidR="00B76B02" w:rsidRPr="009178E0" w:rsidRDefault="00B76B02" w:rsidP="004875E4">
      <w:pPr>
        <w:pStyle w:val="Default"/>
      </w:pPr>
      <w:r w:rsidRPr="009178E0">
        <w:t xml:space="preserve">1031 E. Washington ST. </w:t>
      </w:r>
    </w:p>
    <w:p w:rsidR="00B76B02" w:rsidRPr="009178E0" w:rsidRDefault="00B76B02" w:rsidP="004875E4">
      <w:pPr>
        <w:pStyle w:val="Default"/>
      </w:pPr>
      <w:r w:rsidRPr="009178E0">
        <w:t>Indianapolis, IN 46202</w:t>
      </w:r>
    </w:p>
    <w:p w:rsidR="00B76B02" w:rsidRPr="009178E0" w:rsidRDefault="00B76B02" w:rsidP="004875E4">
      <w:pPr>
        <w:pStyle w:val="Default"/>
        <w:rPr>
          <w:color w:val="auto"/>
        </w:rPr>
      </w:pPr>
      <w:r w:rsidRPr="009178E0">
        <w:t>grose@aclu-in.org</w:t>
      </w:r>
    </w:p>
    <w:p w:rsidR="0065157E" w:rsidRPr="009178E0" w:rsidRDefault="0065157E" w:rsidP="00F123F9">
      <w:pPr>
        <w:pStyle w:val="Default"/>
        <w:rPr>
          <w:color w:val="auto"/>
        </w:rPr>
      </w:pPr>
      <w:r w:rsidRPr="009178E0">
        <w:rPr>
          <w:color w:val="auto"/>
        </w:rPr>
        <w:t xml:space="preserve"> </w:t>
      </w:r>
    </w:p>
    <w:p w:rsidR="0065157E" w:rsidRPr="009178E0" w:rsidRDefault="0065157E" w:rsidP="00237FC5">
      <w:pPr>
        <w:pStyle w:val="Default"/>
        <w:rPr>
          <w:color w:val="auto"/>
        </w:rPr>
      </w:pPr>
      <w:r w:rsidRPr="009178E0">
        <w:rPr>
          <w:color w:val="auto"/>
        </w:rPr>
        <w:t xml:space="preserve"> </w:t>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r>
      <w:r w:rsidR="001232AD" w:rsidRPr="009178E0">
        <w:rPr>
          <w:color w:val="auto"/>
        </w:rPr>
        <w:tab/>
        <w:t>______________________________________</w:t>
      </w:r>
    </w:p>
    <w:sectPr w:rsidR="0065157E" w:rsidRPr="009178E0" w:rsidSect="00683E89">
      <w:type w:val="continuous"/>
      <w:pgSz w:w="12240" w:h="15840" w:code="1"/>
      <w:pgMar w:top="698" w:right="1530" w:bottom="1440" w:left="1317"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E89" w:rsidRDefault="00683E89" w:rsidP="008F3AC1">
      <w:r>
        <w:separator/>
      </w:r>
    </w:p>
  </w:endnote>
  <w:endnote w:type="continuationSeparator" w:id="0">
    <w:p w:rsidR="00683E89" w:rsidRDefault="00683E89" w:rsidP="008F3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A4" w:rsidRDefault="008D1F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89" w:rsidRPr="004C4E33" w:rsidRDefault="003D60D7" w:rsidP="004C4E33">
    <w:pPr>
      <w:pStyle w:val="Footer"/>
      <w:jc w:val="center"/>
      <w:rPr>
        <w:rFonts w:ascii="Times New Roman" w:hAnsi="Times New Roman"/>
        <w:sz w:val="24"/>
        <w:szCs w:val="24"/>
      </w:rPr>
    </w:pPr>
    <w:r w:rsidRPr="004C4E33">
      <w:rPr>
        <w:rFonts w:ascii="Times New Roman" w:hAnsi="Times New Roman"/>
        <w:sz w:val="24"/>
        <w:szCs w:val="24"/>
      </w:rPr>
      <w:fldChar w:fldCharType="begin"/>
    </w:r>
    <w:r w:rsidR="00683E89" w:rsidRPr="004C4E33">
      <w:rPr>
        <w:rFonts w:ascii="Times New Roman" w:hAnsi="Times New Roman"/>
        <w:sz w:val="24"/>
        <w:szCs w:val="24"/>
      </w:rPr>
      <w:instrText xml:space="preserve"> PAGE   \* MERGEFORMAT </w:instrText>
    </w:r>
    <w:r w:rsidRPr="004C4E33">
      <w:rPr>
        <w:rFonts w:ascii="Times New Roman" w:hAnsi="Times New Roman"/>
        <w:sz w:val="24"/>
        <w:szCs w:val="24"/>
      </w:rPr>
      <w:fldChar w:fldCharType="separate"/>
    </w:r>
    <w:r w:rsidR="008E0BF2">
      <w:rPr>
        <w:rFonts w:ascii="Times New Roman" w:hAnsi="Times New Roman"/>
        <w:noProof/>
        <w:sz w:val="24"/>
        <w:szCs w:val="24"/>
      </w:rPr>
      <w:t>11</w:t>
    </w:r>
    <w:r w:rsidRPr="004C4E33">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A4" w:rsidRDefault="008D1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E89" w:rsidRDefault="00683E89" w:rsidP="008F3AC1">
      <w:r>
        <w:separator/>
      </w:r>
    </w:p>
  </w:footnote>
  <w:footnote w:type="continuationSeparator" w:id="0">
    <w:p w:rsidR="00683E89" w:rsidRDefault="00683E89" w:rsidP="008F3AC1">
      <w:r>
        <w:continuationSeparator/>
      </w:r>
    </w:p>
  </w:footnote>
  <w:footnote w:id="1">
    <w:p w:rsidR="00683E89" w:rsidRDefault="00683E89" w:rsidP="00C13885">
      <w:pPr>
        <w:pStyle w:val="FootnoteText"/>
      </w:pPr>
      <w:r w:rsidRPr="00BF601C">
        <w:rPr>
          <w:rStyle w:val="FootnoteReference"/>
          <w:rFonts w:ascii="Times New Roman" w:hAnsi="Times New Roman"/>
        </w:rPr>
        <w:footnoteRef/>
      </w:r>
      <w:r w:rsidRPr="00BF601C">
        <w:rPr>
          <w:rFonts w:ascii="Times New Roman" w:hAnsi="Times New Roman"/>
        </w:rPr>
        <w:t xml:space="preserve"> Plaintiffs did not address Plaintiff Timothy </w:t>
      </w:r>
      <w:proofErr w:type="spellStart"/>
      <w:r w:rsidRPr="00BF601C">
        <w:rPr>
          <w:rFonts w:ascii="Times New Roman" w:hAnsi="Times New Roman"/>
        </w:rPr>
        <w:t>Keister’s</w:t>
      </w:r>
      <w:proofErr w:type="spellEnd"/>
      <w:r w:rsidRPr="00BF601C">
        <w:rPr>
          <w:rFonts w:ascii="Times New Roman" w:hAnsi="Times New Roman"/>
        </w:rPr>
        <w:t xml:space="preserve"> claims in their Cross-Motion for Summary Judgment, acknowledging that they “are likely to become moot.” </w:t>
      </w:r>
      <w:proofErr w:type="gramStart"/>
      <w:r w:rsidRPr="00BF601C">
        <w:rPr>
          <w:rFonts w:ascii="Times New Roman" w:hAnsi="Times New Roman"/>
        </w:rPr>
        <w:t>Filing No. 146, 1.</w:t>
      </w:r>
      <w:proofErr w:type="gramEnd"/>
      <w:r w:rsidRPr="00BF601C">
        <w:rPr>
          <w:rFonts w:ascii="Times New Roman" w:hAnsi="Times New Roman"/>
        </w:rPr>
        <w:t xml:space="preserve"> As a result, the Department similarly omits Mr. </w:t>
      </w:r>
      <w:proofErr w:type="spellStart"/>
      <w:r w:rsidRPr="00BF601C">
        <w:rPr>
          <w:rFonts w:ascii="Times New Roman" w:hAnsi="Times New Roman"/>
        </w:rPr>
        <w:t>Keister</w:t>
      </w:r>
      <w:proofErr w:type="spellEnd"/>
      <w:r w:rsidRPr="00BF601C">
        <w:rPr>
          <w:rFonts w:ascii="Times New Roman" w:hAnsi="Times New Roman"/>
        </w:rPr>
        <w:t>.</w:t>
      </w:r>
    </w:p>
  </w:footnote>
  <w:footnote w:id="2">
    <w:p w:rsidR="00683E89" w:rsidRDefault="00683E89" w:rsidP="00B6124B">
      <w:pPr>
        <w:autoSpaceDE w:val="0"/>
        <w:autoSpaceDN w:val="0"/>
        <w:adjustRightInd w:val="0"/>
      </w:pPr>
      <w:r w:rsidRPr="00BF601C">
        <w:rPr>
          <w:rStyle w:val="FootnoteReference"/>
          <w:sz w:val="20"/>
          <w:szCs w:val="20"/>
        </w:rPr>
        <w:footnoteRef/>
      </w:r>
      <w:r w:rsidRPr="00BF601C">
        <w:rPr>
          <w:rFonts w:ascii="Times New Roman" w:hAnsi="Times New Roman"/>
          <w:sz w:val="20"/>
          <w:szCs w:val="20"/>
        </w:rPr>
        <w:t xml:space="preserve"> </w:t>
      </w:r>
      <w:r w:rsidRPr="00BF601C">
        <w:rPr>
          <w:rFonts w:ascii="Times New Roman" w:hAnsi="Times New Roman"/>
          <w:i/>
          <w:iCs/>
          <w:sz w:val="20"/>
          <w:szCs w:val="20"/>
        </w:rPr>
        <w:t>See</w:t>
      </w:r>
      <w:r>
        <w:rPr>
          <w:rFonts w:ascii="Times New Roman" w:hAnsi="Times New Roman"/>
          <w:i/>
          <w:iCs/>
          <w:sz w:val="20"/>
          <w:szCs w:val="20"/>
        </w:rPr>
        <w:t xml:space="preserve"> </w:t>
      </w:r>
      <w:r w:rsidRPr="00B87BF1">
        <w:rPr>
          <w:rFonts w:ascii="Times New Roman" w:hAnsi="Times New Roman"/>
          <w:i/>
          <w:sz w:val="20"/>
          <w:szCs w:val="20"/>
        </w:rPr>
        <w:t>B.N. ex rel. A.N. v. Murphy</w:t>
      </w:r>
      <w:r w:rsidRPr="00B87BF1">
        <w:rPr>
          <w:rFonts w:ascii="Times New Roman" w:hAnsi="Times New Roman"/>
          <w:sz w:val="20"/>
          <w:szCs w:val="20"/>
        </w:rPr>
        <w:t>, 2011 WL 5838976 (</w:t>
      </w:r>
      <w:proofErr w:type="spellStart"/>
      <w:r w:rsidRPr="00B87BF1">
        <w:rPr>
          <w:rFonts w:ascii="Times New Roman" w:hAnsi="Times New Roman"/>
          <w:sz w:val="20"/>
          <w:szCs w:val="20"/>
        </w:rPr>
        <w:t>N.D.Ind</w:t>
      </w:r>
      <w:proofErr w:type="spellEnd"/>
      <w:r w:rsidRPr="00B87BF1">
        <w:rPr>
          <w:rFonts w:ascii="Times New Roman" w:hAnsi="Times New Roman"/>
          <w:sz w:val="20"/>
          <w:szCs w:val="20"/>
        </w:rPr>
        <w:t xml:space="preserve">., </w:t>
      </w:r>
      <w:r w:rsidRPr="0004792E">
        <w:rPr>
          <w:rFonts w:ascii="Times New Roman" w:hAnsi="Times New Roman"/>
          <w:sz w:val="20"/>
          <w:szCs w:val="20"/>
        </w:rPr>
        <w:t xml:space="preserve">2011) (granting </w:t>
      </w:r>
      <w:r>
        <w:rPr>
          <w:rFonts w:ascii="Times New Roman" w:hAnsi="Times New Roman"/>
          <w:sz w:val="20"/>
          <w:szCs w:val="20"/>
        </w:rPr>
        <w:t>summary judgment</w:t>
      </w:r>
      <w:r w:rsidRPr="0004792E">
        <w:rPr>
          <w:rFonts w:ascii="Times New Roman" w:hAnsi="Times New Roman"/>
          <w:sz w:val="20"/>
          <w:szCs w:val="20"/>
        </w:rPr>
        <w:t xml:space="preserve"> to the plaintiff </w:t>
      </w:r>
      <w:r>
        <w:rPr>
          <w:rFonts w:ascii="Times New Roman" w:hAnsi="Times New Roman"/>
          <w:color w:val="000000"/>
          <w:sz w:val="20"/>
          <w:szCs w:val="20"/>
        </w:rPr>
        <w:t xml:space="preserve">because a cap on certain </w:t>
      </w:r>
      <w:r w:rsidRPr="0004792E">
        <w:rPr>
          <w:rFonts w:ascii="Times New Roman" w:hAnsi="Times New Roman"/>
          <w:color w:val="000000"/>
          <w:sz w:val="20"/>
          <w:szCs w:val="20"/>
        </w:rPr>
        <w:t xml:space="preserve">A&amp;D Waiver </w:t>
      </w:r>
      <w:r>
        <w:rPr>
          <w:rFonts w:ascii="Times New Roman" w:hAnsi="Times New Roman"/>
          <w:color w:val="000000"/>
          <w:sz w:val="20"/>
          <w:szCs w:val="20"/>
        </w:rPr>
        <w:t>services put him at risk of institutionalization)</w:t>
      </w:r>
      <w:r w:rsidRPr="0004792E">
        <w:rPr>
          <w:rFonts w:ascii="Times New Roman" w:hAnsi="Times New Roman"/>
          <w:sz w:val="20"/>
          <w:szCs w:val="20"/>
        </w:rPr>
        <w:t xml:space="preserve">; </w:t>
      </w:r>
      <w:r w:rsidRPr="0004792E">
        <w:rPr>
          <w:rFonts w:ascii="Times New Roman" w:hAnsi="Times New Roman"/>
          <w:i/>
          <w:sz w:val="20"/>
          <w:szCs w:val="20"/>
        </w:rPr>
        <w:t xml:space="preserve">Grooms v. </w:t>
      </w:r>
      <w:proofErr w:type="spellStart"/>
      <w:r w:rsidRPr="0004792E">
        <w:rPr>
          <w:rFonts w:ascii="Times New Roman" w:hAnsi="Times New Roman"/>
          <w:i/>
          <w:sz w:val="20"/>
          <w:szCs w:val="20"/>
        </w:rPr>
        <w:t>Maram</w:t>
      </w:r>
      <w:proofErr w:type="spellEnd"/>
      <w:r w:rsidRPr="0004792E">
        <w:rPr>
          <w:rFonts w:ascii="Times New Roman" w:hAnsi="Times New Roman"/>
          <w:sz w:val="20"/>
          <w:szCs w:val="20"/>
        </w:rPr>
        <w:t xml:space="preserve">, </w:t>
      </w:r>
      <w:r w:rsidRPr="0004792E">
        <w:rPr>
          <w:rFonts w:ascii="Times New Roman" w:hAnsi="Times New Roman"/>
          <w:color w:val="000000"/>
          <w:kern w:val="36"/>
          <w:sz w:val="20"/>
          <w:szCs w:val="20"/>
        </w:rPr>
        <w:t>563 F.Supp.2d 840,</w:t>
      </w:r>
      <w:r w:rsidRPr="00B87BF1">
        <w:rPr>
          <w:rFonts w:ascii="Times New Roman" w:hAnsi="Times New Roman"/>
          <w:color w:val="000000"/>
          <w:kern w:val="36"/>
          <w:sz w:val="20"/>
          <w:szCs w:val="20"/>
        </w:rPr>
        <w:t xml:space="preserve"> </w:t>
      </w:r>
      <w:r w:rsidRPr="00B87BF1">
        <w:rPr>
          <w:rFonts w:ascii="Times New Roman" w:hAnsi="Times New Roman"/>
          <w:sz w:val="20"/>
          <w:szCs w:val="20"/>
        </w:rPr>
        <w:t>857-58</w:t>
      </w:r>
      <w:r w:rsidRPr="00B87BF1">
        <w:rPr>
          <w:rFonts w:ascii="Times New Roman" w:hAnsi="Times New Roman"/>
          <w:color w:val="000000"/>
          <w:kern w:val="36"/>
          <w:sz w:val="20"/>
          <w:szCs w:val="20"/>
        </w:rPr>
        <w:t xml:space="preserve"> (N.D. Ill. 2008)</w:t>
      </w:r>
      <w:r w:rsidRPr="00B87BF1">
        <w:rPr>
          <w:rFonts w:ascii="Times New Roman" w:hAnsi="Times New Roman"/>
          <w:sz w:val="20"/>
          <w:szCs w:val="20"/>
        </w:rPr>
        <w:t xml:space="preserve"> (</w:t>
      </w:r>
      <w:r>
        <w:rPr>
          <w:rFonts w:ascii="Times New Roman" w:hAnsi="Times New Roman"/>
          <w:sz w:val="20"/>
          <w:szCs w:val="20"/>
        </w:rPr>
        <w:t>denying summary judgment to state where limits on Medicaid Waiver services put the plaintiff at risk of institutionalization</w:t>
      </w:r>
      <w:r w:rsidRPr="00B87BF1">
        <w:rPr>
          <w:rFonts w:ascii="Times New Roman" w:hAnsi="Times New Roman"/>
          <w:sz w:val="20"/>
          <w:szCs w:val="20"/>
        </w:rPr>
        <w:t>)</w:t>
      </w:r>
      <w:r>
        <w:rPr>
          <w:rFonts w:ascii="Times New Roman" w:hAnsi="Times New Roman"/>
          <w:sz w:val="20"/>
          <w:szCs w:val="20"/>
        </w:rPr>
        <w:t>;</w:t>
      </w:r>
      <w:r w:rsidRPr="00BF601C">
        <w:rPr>
          <w:rFonts w:ascii="Times New Roman" w:hAnsi="Times New Roman"/>
          <w:i/>
          <w:iCs/>
          <w:sz w:val="20"/>
          <w:szCs w:val="20"/>
        </w:rPr>
        <w:t xml:space="preserve"> Pitts v. Greenstein</w:t>
      </w:r>
      <w:r w:rsidRPr="00BF601C">
        <w:rPr>
          <w:rFonts w:ascii="Times New Roman" w:hAnsi="Times New Roman"/>
          <w:sz w:val="20"/>
          <w:szCs w:val="20"/>
        </w:rPr>
        <w:t xml:space="preserve">, No. 10-635-CIV, 2011 WL 1897552, at *4 (M.D. La. May 18, 2011) (finding that the state’s plan for providing services violates the ADA by creating a greater risk for institutionalization); </w:t>
      </w:r>
      <w:r w:rsidRPr="00BF601C">
        <w:rPr>
          <w:rFonts w:ascii="Times New Roman" w:hAnsi="Times New Roman"/>
          <w:i/>
          <w:iCs/>
          <w:sz w:val="20"/>
          <w:szCs w:val="20"/>
        </w:rPr>
        <w:t>Haddad v. Arnold</w:t>
      </w:r>
      <w:r w:rsidRPr="00BF601C">
        <w:rPr>
          <w:rFonts w:ascii="Times New Roman" w:hAnsi="Times New Roman"/>
          <w:sz w:val="20"/>
          <w:szCs w:val="20"/>
        </w:rPr>
        <w:t>, 784 F. Supp. 2d 1284, 1308 (M.D. Fla. 2011) (issuing preliminary injunction requiring defendants to provide community-based</w:t>
      </w:r>
      <w:r w:rsidRPr="00BF601C">
        <w:rPr>
          <w:rStyle w:val="CommentReference"/>
          <w:rFonts w:ascii="Times New Roman" w:hAnsi="Times New Roman"/>
          <w:sz w:val="20"/>
          <w:szCs w:val="20"/>
        </w:rPr>
        <w:t xml:space="preserve"> s</w:t>
      </w:r>
      <w:r w:rsidRPr="00BF601C">
        <w:rPr>
          <w:rFonts w:ascii="Times New Roman" w:hAnsi="Times New Roman"/>
          <w:sz w:val="20"/>
          <w:szCs w:val="20"/>
        </w:rPr>
        <w:t xml:space="preserve">ervices to plaintiff to prevent unnecessary placement in a nursing home); </w:t>
      </w:r>
      <w:r w:rsidRPr="00BF601C">
        <w:rPr>
          <w:rFonts w:ascii="Times New Roman" w:hAnsi="Times New Roman"/>
          <w:i/>
          <w:iCs/>
          <w:sz w:val="20"/>
          <w:szCs w:val="20"/>
        </w:rPr>
        <w:t>Long v. Benson</w:t>
      </w:r>
      <w:r w:rsidRPr="00BF601C">
        <w:rPr>
          <w:rFonts w:ascii="Times New Roman" w:hAnsi="Times New Roman"/>
          <w:sz w:val="20"/>
          <w:szCs w:val="20"/>
        </w:rPr>
        <w:t xml:space="preserve">, No. 4:08cv26-RH/WCS, 2008 WL 4571903, at *2 (N.D. Fla. Oct. 14, 2008), </w:t>
      </w:r>
      <w:proofErr w:type="spellStart"/>
      <w:r w:rsidRPr="00BF601C">
        <w:rPr>
          <w:rFonts w:ascii="Times New Roman" w:hAnsi="Times New Roman"/>
          <w:i/>
          <w:iCs/>
          <w:sz w:val="20"/>
          <w:szCs w:val="20"/>
        </w:rPr>
        <w:t>aff’d</w:t>
      </w:r>
      <w:proofErr w:type="spellEnd"/>
      <w:r w:rsidRPr="00BF601C">
        <w:rPr>
          <w:rFonts w:ascii="Times New Roman" w:hAnsi="Times New Roman"/>
          <w:sz w:val="20"/>
          <w:szCs w:val="20"/>
        </w:rPr>
        <w:t xml:space="preserve">, 383 Fed. </w:t>
      </w:r>
      <w:proofErr w:type="spellStart"/>
      <w:proofErr w:type="gramStart"/>
      <w:r w:rsidRPr="00BF601C">
        <w:rPr>
          <w:rFonts w:ascii="Times New Roman" w:hAnsi="Times New Roman"/>
          <w:sz w:val="20"/>
          <w:szCs w:val="20"/>
        </w:rPr>
        <w:t>Appx</w:t>
      </w:r>
      <w:proofErr w:type="spellEnd"/>
      <w:r w:rsidRPr="00BF601C">
        <w:rPr>
          <w:rFonts w:ascii="Times New Roman" w:hAnsi="Times New Roman"/>
          <w:sz w:val="20"/>
          <w:szCs w:val="20"/>
        </w:rPr>
        <w:t>.</w:t>
      </w:r>
      <w:proofErr w:type="gramEnd"/>
      <w:r w:rsidRPr="00BF601C">
        <w:rPr>
          <w:rFonts w:ascii="Times New Roman" w:hAnsi="Times New Roman"/>
          <w:sz w:val="20"/>
          <w:szCs w:val="20"/>
        </w:rPr>
        <w:t xml:space="preserve"> 930 (11th Cir. 2010) (granting preliminary injunction requiring Medicaid coverage to prevent plaintiff from entering a nursing home); </w:t>
      </w:r>
      <w:r w:rsidRPr="00BF601C">
        <w:rPr>
          <w:rFonts w:ascii="Times New Roman" w:hAnsi="Times New Roman"/>
          <w:i/>
          <w:iCs/>
          <w:sz w:val="20"/>
          <w:szCs w:val="20"/>
        </w:rPr>
        <w:t xml:space="preserve">Cruz v. </w:t>
      </w:r>
      <w:proofErr w:type="spellStart"/>
      <w:r w:rsidRPr="00BF601C">
        <w:rPr>
          <w:rFonts w:ascii="Times New Roman" w:hAnsi="Times New Roman"/>
          <w:i/>
          <w:iCs/>
          <w:sz w:val="20"/>
          <w:szCs w:val="20"/>
        </w:rPr>
        <w:t>Dudek</w:t>
      </w:r>
      <w:proofErr w:type="spellEnd"/>
      <w:r w:rsidRPr="00BF601C">
        <w:rPr>
          <w:rFonts w:ascii="Times New Roman" w:hAnsi="Times New Roman"/>
          <w:sz w:val="20"/>
          <w:szCs w:val="20"/>
        </w:rPr>
        <w:t xml:space="preserve">, No. 10-23048-CIV, 2010 WL 4284955, at *13 (S.D. Fla. Oct. 12, 2010) (granting preliminary injunction that required the state agency to provide Medicaid recipients home-based services to prevent their institutionalization); </w:t>
      </w:r>
      <w:proofErr w:type="spellStart"/>
      <w:r w:rsidRPr="00BF601C">
        <w:rPr>
          <w:rFonts w:ascii="Times New Roman" w:hAnsi="Times New Roman"/>
          <w:i/>
          <w:iCs/>
          <w:sz w:val="20"/>
          <w:szCs w:val="20"/>
        </w:rPr>
        <w:t>Marlo</w:t>
      </w:r>
      <w:proofErr w:type="spellEnd"/>
      <w:r w:rsidRPr="00BF601C">
        <w:rPr>
          <w:rFonts w:ascii="Times New Roman" w:hAnsi="Times New Roman"/>
          <w:i/>
          <w:iCs/>
          <w:sz w:val="20"/>
          <w:szCs w:val="20"/>
        </w:rPr>
        <w:t xml:space="preserve"> M. v. </w:t>
      </w:r>
      <w:proofErr w:type="spellStart"/>
      <w:r w:rsidRPr="00BF601C">
        <w:rPr>
          <w:rFonts w:ascii="Times New Roman" w:hAnsi="Times New Roman"/>
          <w:i/>
          <w:iCs/>
          <w:sz w:val="20"/>
          <w:szCs w:val="20"/>
        </w:rPr>
        <w:t>Cansler</w:t>
      </w:r>
      <w:proofErr w:type="spellEnd"/>
      <w:r w:rsidRPr="00BF601C">
        <w:rPr>
          <w:rFonts w:ascii="Times New Roman" w:hAnsi="Times New Roman"/>
          <w:sz w:val="20"/>
          <w:szCs w:val="20"/>
        </w:rPr>
        <w:t xml:space="preserve">, 679 F. Supp. 2d 635, 637 (E.D.N.C. 2010) (granting preliminary injunction in case where plaintiffs were at risk of institutionalization); </w:t>
      </w:r>
      <w:proofErr w:type="spellStart"/>
      <w:r w:rsidRPr="00BF601C">
        <w:rPr>
          <w:rFonts w:ascii="Times New Roman" w:hAnsi="Times New Roman"/>
          <w:i/>
          <w:iCs/>
          <w:sz w:val="20"/>
          <w:szCs w:val="20"/>
        </w:rPr>
        <w:t>Cota</w:t>
      </w:r>
      <w:proofErr w:type="spellEnd"/>
      <w:r w:rsidRPr="00BF601C">
        <w:rPr>
          <w:rFonts w:ascii="Times New Roman" w:hAnsi="Times New Roman"/>
          <w:i/>
          <w:iCs/>
          <w:sz w:val="20"/>
          <w:szCs w:val="20"/>
        </w:rPr>
        <w:t xml:space="preserve"> v. Maxwell-Jolly</w:t>
      </w:r>
      <w:r w:rsidRPr="00BF601C">
        <w:rPr>
          <w:rFonts w:ascii="Times New Roman" w:hAnsi="Times New Roman"/>
          <w:sz w:val="20"/>
          <w:szCs w:val="20"/>
        </w:rPr>
        <w:t>, 688 F. Supp. 2d 980, 985 (N.D. Cal.</w:t>
      </w:r>
      <w:r>
        <w:rPr>
          <w:rFonts w:ascii="Times New Roman" w:hAnsi="Times New Roman"/>
          <w:sz w:val="20"/>
          <w:szCs w:val="20"/>
        </w:rPr>
        <w:t xml:space="preserve"> </w:t>
      </w:r>
      <w:r w:rsidRPr="00BF601C">
        <w:rPr>
          <w:rFonts w:ascii="Times New Roman" w:hAnsi="Times New Roman"/>
          <w:sz w:val="20"/>
          <w:szCs w:val="20"/>
        </w:rPr>
        <w:t xml:space="preserve">2010) (granting preliminary injunction where cuts to community-based services placed plaintiffs at risk of institutionalization); </w:t>
      </w:r>
      <w:r w:rsidRPr="00BF601C">
        <w:rPr>
          <w:rFonts w:ascii="Times New Roman" w:hAnsi="Times New Roman"/>
          <w:i/>
          <w:iCs/>
          <w:sz w:val="20"/>
          <w:szCs w:val="20"/>
        </w:rPr>
        <w:t>Ball v. Rogers</w:t>
      </w:r>
      <w:r w:rsidRPr="00BF601C">
        <w:rPr>
          <w:rFonts w:ascii="Times New Roman" w:hAnsi="Times New Roman"/>
          <w:sz w:val="20"/>
          <w:szCs w:val="20"/>
        </w:rPr>
        <w:t xml:space="preserve">, No. 00-67, 2009 WL 1395423, at *6 (D. Ariz. April 24, 2009) (holding that defendants’ failure to provide adequate services to avoid unnecessary institutionalization was discriminatory); </w:t>
      </w:r>
      <w:r w:rsidRPr="00BF601C">
        <w:rPr>
          <w:rFonts w:ascii="Times New Roman" w:hAnsi="Times New Roman"/>
          <w:i/>
          <w:iCs/>
          <w:sz w:val="20"/>
          <w:szCs w:val="20"/>
        </w:rPr>
        <w:t>Brantley v. Maxwell-Jolly</w:t>
      </w:r>
      <w:r w:rsidRPr="00BF601C">
        <w:rPr>
          <w:rFonts w:ascii="Times New Roman" w:hAnsi="Times New Roman"/>
          <w:sz w:val="20"/>
          <w:szCs w:val="20"/>
        </w:rPr>
        <w:t xml:space="preserve">, 656 F. Supp. 2d 1161,1164 (N.D. Cal. 2009) (granting preliminary injunction where plaintiffs were at risk of institutionalization due to cuts in community-based services); </w:t>
      </w:r>
      <w:r w:rsidRPr="00BF601C">
        <w:rPr>
          <w:rFonts w:ascii="Times New Roman" w:hAnsi="Times New Roman"/>
          <w:i/>
          <w:iCs/>
          <w:sz w:val="20"/>
          <w:szCs w:val="20"/>
        </w:rPr>
        <w:t>V.L. v. Wagner</w:t>
      </w:r>
      <w:r>
        <w:rPr>
          <w:rFonts w:ascii="Times New Roman" w:hAnsi="Times New Roman"/>
          <w:sz w:val="20"/>
          <w:szCs w:val="20"/>
        </w:rPr>
        <w:t xml:space="preserve">, 669 </w:t>
      </w:r>
      <w:r w:rsidRPr="00BF601C">
        <w:rPr>
          <w:rFonts w:ascii="Times New Roman" w:hAnsi="Times New Roman"/>
          <w:sz w:val="20"/>
          <w:szCs w:val="20"/>
        </w:rPr>
        <w:t xml:space="preserve">F. Supp. 2d 1106, 1109 (N.D. Cal. 2009) (preliminarily enjoining cuts to community-based services where plaintiffs demonstrated risk of institutionalization), </w:t>
      </w:r>
      <w:r w:rsidRPr="00BF601C">
        <w:rPr>
          <w:rFonts w:ascii="Times New Roman" w:hAnsi="Times New Roman"/>
          <w:i/>
          <w:iCs/>
          <w:sz w:val="20"/>
          <w:szCs w:val="20"/>
        </w:rPr>
        <w:t xml:space="preserve">dismissed as moot, </w:t>
      </w:r>
      <w:proofErr w:type="spellStart"/>
      <w:r w:rsidRPr="00BF601C">
        <w:rPr>
          <w:rFonts w:ascii="Times New Roman" w:hAnsi="Times New Roman"/>
          <w:i/>
          <w:iCs/>
          <w:sz w:val="20"/>
          <w:szCs w:val="20"/>
        </w:rPr>
        <w:t>Oster</w:t>
      </w:r>
      <w:proofErr w:type="spellEnd"/>
      <w:r w:rsidRPr="00BF601C">
        <w:rPr>
          <w:rFonts w:ascii="Times New Roman" w:hAnsi="Times New Roman"/>
          <w:i/>
          <w:iCs/>
          <w:sz w:val="20"/>
          <w:szCs w:val="20"/>
        </w:rPr>
        <w:t xml:space="preserve"> v. Wagner, </w:t>
      </w:r>
      <w:r w:rsidRPr="00BF601C">
        <w:rPr>
          <w:rFonts w:ascii="Times New Roman" w:hAnsi="Times New Roman"/>
          <w:sz w:val="20"/>
          <w:szCs w:val="20"/>
        </w:rPr>
        <w:t xml:space="preserve">No. 09-17581, </w:t>
      </w:r>
      <w:proofErr w:type="spellStart"/>
      <w:r w:rsidRPr="00BF601C">
        <w:rPr>
          <w:rFonts w:ascii="Times New Roman" w:hAnsi="Times New Roman"/>
          <w:sz w:val="20"/>
          <w:szCs w:val="20"/>
        </w:rPr>
        <w:t>Dkt</w:t>
      </w:r>
      <w:proofErr w:type="spellEnd"/>
      <w:r w:rsidRPr="00BF601C">
        <w:rPr>
          <w:rFonts w:ascii="Times New Roman" w:hAnsi="Times New Roman"/>
          <w:sz w:val="20"/>
          <w:szCs w:val="20"/>
        </w:rPr>
        <w:t xml:space="preserve">. No. 106-1 (9th Cir. Jan. 7, 2013); </w:t>
      </w:r>
      <w:r w:rsidRPr="00BF601C">
        <w:rPr>
          <w:rFonts w:ascii="Times New Roman" w:hAnsi="Times New Roman"/>
          <w:i/>
          <w:iCs/>
          <w:sz w:val="20"/>
          <w:szCs w:val="20"/>
        </w:rPr>
        <w:t>Crabtree v. Goetz</w:t>
      </w:r>
      <w:r w:rsidRPr="00BF601C">
        <w:rPr>
          <w:rFonts w:ascii="Times New Roman" w:hAnsi="Times New Roman"/>
          <w:sz w:val="20"/>
          <w:szCs w:val="20"/>
        </w:rPr>
        <w:t xml:space="preserve">, No. 3:08-0939, 2008 WL 5330506, at *30 (M.D. Tenn. Dec. 19, 2008) (“Plaintiffs have demonstrated a strong likelihood of success on the merits of their [ADA] claims that the Defendants’ drastic cuts of their home health care services will force their institutionalization in nursing homes.”); </w:t>
      </w:r>
      <w:r w:rsidRPr="00BF601C">
        <w:rPr>
          <w:rFonts w:ascii="Times New Roman" w:hAnsi="Times New Roman"/>
          <w:i/>
          <w:iCs/>
          <w:sz w:val="20"/>
          <w:szCs w:val="20"/>
        </w:rPr>
        <w:t xml:space="preserve">M.A.C. v. </w:t>
      </w:r>
      <w:proofErr w:type="spellStart"/>
      <w:r w:rsidRPr="00BF601C">
        <w:rPr>
          <w:rFonts w:ascii="Times New Roman" w:hAnsi="Times New Roman"/>
          <w:i/>
          <w:iCs/>
          <w:sz w:val="20"/>
          <w:szCs w:val="20"/>
        </w:rPr>
        <w:t>Betit</w:t>
      </w:r>
      <w:proofErr w:type="spellEnd"/>
      <w:r w:rsidRPr="00BF601C">
        <w:rPr>
          <w:rFonts w:ascii="Times New Roman" w:hAnsi="Times New Roman"/>
          <w:sz w:val="20"/>
          <w:szCs w:val="20"/>
        </w:rPr>
        <w:t xml:space="preserve">, 284 F. Supp. 2d 1298,1309 (D. Utah 2003) (ADA’s integration mandate applies equally to those individuals already institutionalized and to those at risk of institutionalization); </w:t>
      </w:r>
      <w:r w:rsidRPr="00BF601C">
        <w:rPr>
          <w:rFonts w:ascii="Times New Roman" w:hAnsi="Times New Roman"/>
          <w:i/>
          <w:iCs/>
          <w:sz w:val="20"/>
          <w:szCs w:val="20"/>
        </w:rPr>
        <w:t>Makin v. Hawaii</w:t>
      </w:r>
      <w:r w:rsidRPr="00BF601C">
        <w:rPr>
          <w:rFonts w:ascii="Times New Roman" w:hAnsi="Times New Roman"/>
          <w:sz w:val="20"/>
          <w:szCs w:val="20"/>
        </w:rPr>
        <w:t>, 114 F. Supp. 2d 1017, 1034 (D. Haw. 1999) (holding that individuals in the community on the waiting list for community-based services offered throu</w:t>
      </w:r>
      <w:r>
        <w:rPr>
          <w:rFonts w:ascii="Times New Roman" w:hAnsi="Times New Roman"/>
          <w:sz w:val="20"/>
          <w:szCs w:val="20"/>
        </w:rPr>
        <w:t>gh the state’s Medicaid program</w:t>
      </w:r>
      <w:r w:rsidRPr="00BF601C">
        <w:rPr>
          <w:rFonts w:ascii="Times New Roman" w:hAnsi="Times New Roman"/>
          <w:sz w:val="20"/>
          <w:szCs w:val="20"/>
        </w:rPr>
        <w:t xml:space="preserve"> could challenge administration of the program as violating Title II’s integration mandate because it “could potentially force P</w:t>
      </w:r>
      <w:r>
        <w:rPr>
          <w:rFonts w:ascii="Times New Roman" w:hAnsi="Times New Roman"/>
          <w:sz w:val="20"/>
          <w:szCs w:val="20"/>
        </w:rPr>
        <w:t xml:space="preserve">laintiffs into institutions”).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A4" w:rsidRDefault="008D1F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1" w:rsidRDefault="00040161">
    <w:pPr>
      <w:pStyle w:val="Header"/>
    </w:pPr>
  </w:p>
  <w:p w:rsidR="00040161" w:rsidRDefault="000401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A4" w:rsidRDefault="008D1F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4E1F1A"/>
    <w:lvl w:ilvl="0">
      <w:start w:val="1"/>
      <w:numFmt w:val="decimal"/>
      <w:lvlText w:val="%1."/>
      <w:lvlJc w:val="left"/>
      <w:pPr>
        <w:tabs>
          <w:tab w:val="num" w:pos="1800"/>
        </w:tabs>
        <w:ind w:left="1800" w:hanging="360"/>
      </w:pPr>
    </w:lvl>
  </w:abstractNum>
  <w:abstractNum w:abstractNumId="1">
    <w:nsid w:val="FFFFFF7D"/>
    <w:multiLevelType w:val="singleLevel"/>
    <w:tmpl w:val="832A5DD2"/>
    <w:lvl w:ilvl="0">
      <w:start w:val="1"/>
      <w:numFmt w:val="decimal"/>
      <w:lvlText w:val="%1."/>
      <w:lvlJc w:val="left"/>
      <w:pPr>
        <w:tabs>
          <w:tab w:val="num" w:pos="1440"/>
        </w:tabs>
        <w:ind w:left="1440" w:hanging="360"/>
      </w:pPr>
    </w:lvl>
  </w:abstractNum>
  <w:abstractNum w:abstractNumId="2">
    <w:nsid w:val="FFFFFF7E"/>
    <w:multiLevelType w:val="singleLevel"/>
    <w:tmpl w:val="2C9EFF8C"/>
    <w:lvl w:ilvl="0">
      <w:start w:val="1"/>
      <w:numFmt w:val="decimal"/>
      <w:lvlText w:val="%1."/>
      <w:lvlJc w:val="left"/>
      <w:pPr>
        <w:tabs>
          <w:tab w:val="num" w:pos="1080"/>
        </w:tabs>
        <w:ind w:left="1080" w:hanging="360"/>
      </w:pPr>
    </w:lvl>
  </w:abstractNum>
  <w:abstractNum w:abstractNumId="3">
    <w:nsid w:val="FFFFFF7F"/>
    <w:multiLevelType w:val="singleLevel"/>
    <w:tmpl w:val="B2609806"/>
    <w:lvl w:ilvl="0">
      <w:start w:val="1"/>
      <w:numFmt w:val="decimal"/>
      <w:lvlText w:val="%1."/>
      <w:lvlJc w:val="left"/>
      <w:pPr>
        <w:tabs>
          <w:tab w:val="num" w:pos="720"/>
        </w:tabs>
        <w:ind w:left="720" w:hanging="360"/>
      </w:pPr>
    </w:lvl>
  </w:abstractNum>
  <w:abstractNum w:abstractNumId="4">
    <w:nsid w:val="FFFFFF80"/>
    <w:multiLevelType w:val="singleLevel"/>
    <w:tmpl w:val="0CDA81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7CCA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725C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2AC3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6E8558"/>
    <w:lvl w:ilvl="0">
      <w:start w:val="1"/>
      <w:numFmt w:val="decimal"/>
      <w:lvlText w:val="%1."/>
      <w:lvlJc w:val="left"/>
      <w:pPr>
        <w:tabs>
          <w:tab w:val="num" w:pos="360"/>
        </w:tabs>
        <w:ind w:left="360" w:hanging="360"/>
      </w:pPr>
    </w:lvl>
  </w:abstractNum>
  <w:abstractNum w:abstractNumId="9">
    <w:nsid w:val="FFFFFF89"/>
    <w:multiLevelType w:val="singleLevel"/>
    <w:tmpl w:val="DF5E9D2C"/>
    <w:lvl w:ilvl="0">
      <w:start w:val="1"/>
      <w:numFmt w:val="bullet"/>
      <w:lvlText w:val=""/>
      <w:lvlJc w:val="left"/>
      <w:pPr>
        <w:tabs>
          <w:tab w:val="num" w:pos="360"/>
        </w:tabs>
        <w:ind w:left="360" w:hanging="360"/>
      </w:pPr>
      <w:rPr>
        <w:rFonts w:ascii="Symbol" w:hAnsi="Symbol" w:hint="default"/>
      </w:rPr>
    </w:lvl>
  </w:abstractNum>
  <w:abstractNum w:abstractNumId="10">
    <w:nsid w:val="0004516C"/>
    <w:multiLevelType w:val="hybridMultilevel"/>
    <w:tmpl w:val="AE765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41C25"/>
    <w:multiLevelType w:val="hybridMultilevel"/>
    <w:tmpl w:val="33D86462"/>
    <w:lvl w:ilvl="0" w:tplc="98404560">
      <w:start w:val="1"/>
      <w:numFmt w:val="upperRoman"/>
      <w:pStyle w:val="Heading1"/>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F9B3772"/>
    <w:multiLevelType w:val="hybridMultilevel"/>
    <w:tmpl w:val="C4E0386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FE77D6"/>
    <w:multiLevelType w:val="hybridMultilevel"/>
    <w:tmpl w:val="E93BDE4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4405D7B"/>
    <w:multiLevelType w:val="hybridMultilevel"/>
    <w:tmpl w:val="9D2AE184"/>
    <w:lvl w:ilvl="0" w:tplc="04090013">
      <w:start w:val="1"/>
      <w:numFmt w:val="upperRoman"/>
      <w:lvlText w:val="%1."/>
      <w:lvlJc w:val="right"/>
      <w:pPr>
        <w:ind w:left="720" w:hanging="360"/>
      </w:pPr>
    </w:lvl>
    <w:lvl w:ilvl="1" w:tplc="10DC491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8DFAC"/>
    <w:multiLevelType w:val="hybridMultilevel"/>
    <w:tmpl w:val="6B9FB3C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73A6836"/>
    <w:multiLevelType w:val="hybridMultilevel"/>
    <w:tmpl w:val="7FDEF16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3A1E62"/>
    <w:multiLevelType w:val="hybridMultilevel"/>
    <w:tmpl w:val="A0C060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03FFA"/>
    <w:multiLevelType w:val="hybridMultilevel"/>
    <w:tmpl w:val="3EAE1170"/>
    <w:lvl w:ilvl="0" w:tplc="04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nsid w:val="540B64B2"/>
    <w:multiLevelType w:val="hybridMultilevel"/>
    <w:tmpl w:val="65FC086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91C45DD"/>
    <w:multiLevelType w:val="hybridMultilevel"/>
    <w:tmpl w:val="F11A36F2"/>
    <w:lvl w:ilvl="0" w:tplc="3A66A434">
      <w:start w:val="1"/>
      <w:numFmt w:val="upperLetter"/>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5AF1271"/>
    <w:multiLevelType w:val="hybridMultilevel"/>
    <w:tmpl w:val="343C308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DA2456"/>
    <w:multiLevelType w:val="hybridMultilevel"/>
    <w:tmpl w:val="493275E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E751EDD"/>
    <w:multiLevelType w:val="hybridMultilevel"/>
    <w:tmpl w:val="1C007FC0"/>
    <w:lvl w:ilvl="0" w:tplc="91C0FF0C">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23"/>
  </w:num>
  <w:num w:numId="4">
    <w:abstractNumId w:val="16"/>
  </w:num>
  <w:num w:numId="5">
    <w:abstractNumId w:val="22"/>
  </w:num>
  <w:num w:numId="6">
    <w:abstractNumId w:val="12"/>
  </w:num>
  <w:num w:numId="7">
    <w:abstractNumId w:val="11"/>
  </w:num>
  <w:num w:numId="8">
    <w:abstractNumId w:val="21"/>
  </w:num>
  <w:num w:numId="9">
    <w:abstractNumId w:val="20"/>
  </w:num>
  <w:num w:numId="10">
    <w:abstractNumId w:val="19"/>
  </w:num>
  <w:num w:numId="11">
    <w:abstractNumId w:val="14"/>
  </w:num>
  <w:num w:numId="12">
    <w:abstractNumId w:val="18"/>
  </w:num>
  <w:num w:numId="13">
    <w:abstractNumId w:val="17"/>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stylePaneFormatFilter w:val="1024"/>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F3AC1"/>
    <w:rsid w:val="000020AD"/>
    <w:rsid w:val="00002491"/>
    <w:rsid w:val="00004B90"/>
    <w:rsid w:val="0001291A"/>
    <w:rsid w:val="00013BF9"/>
    <w:rsid w:val="00017B18"/>
    <w:rsid w:val="0002038A"/>
    <w:rsid w:val="00030900"/>
    <w:rsid w:val="00033739"/>
    <w:rsid w:val="00034C07"/>
    <w:rsid w:val="00035350"/>
    <w:rsid w:val="00035DA9"/>
    <w:rsid w:val="00036B48"/>
    <w:rsid w:val="00040161"/>
    <w:rsid w:val="00040C85"/>
    <w:rsid w:val="000458CD"/>
    <w:rsid w:val="00045B2E"/>
    <w:rsid w:val="00046401"/>
    <w:rsid w:val="0004792E"/>
    <w:rsid w:val="00051596"/>
    <w:rsid w:val="000539F4"/>
    <w:rsid w:val="00054349"/>
    <w:rsid w:val="000547CF"/>
    <w:rsid w:val="00054E74"/>
    <w:rsid w:val="00061035"/>
    <w:rsid w:val="000613D9"/>
    <w:rsid w:val="00063C4A"/>
    <w:rsid w:val="000669A1"/>
    <w:rsid w:val="0007008A"/>
    <w:rsid w:val="00071AA2"/>
    <w:rsid w:val="000722FF"/>
    <w:rsid w:val="000724D4"/>
    <w:rsid w:val="0007522D"/>
    <w:rsid w:val="00075CB5"/>
    <w:rsid w:val="00084B80"/>
    <w:rsid w:val="0008700E"/>
    <w:rsid w:val="000879B8"/>
    <w:rsid w:val="00096982"/>
    <w:rsid w:val="0009715C"/>
    <w:rsid w:val="000A05E0"/>
    <w:rsid w:val="000A1425"/>
    <w:rsid w:val="000A42B5"/>
    <w:rsid w:val="000A48FB"/>
    <w:rsid w:val="000A6F24"/>
    <w:rsid w:val="000A7BA2"/>
    <w:rsid w:val="000B2144"/>
    <w:rsid w:val="000B5741"/>
    <w:rsid w:val="000B5EA7"/>
    <w:rsid w:val="000C03CD"/>
    <w:rsid w:val="000C1479"/>
    <w:rsid w:val="000C1C86"/>
    <w:rsid w:val="000C3045"/>
    <w:rsid w:val="000C30BF"/>
    <w:rsid w:val="000D0A53"/>
    <w:rsid w:val="000D104B"/>
    <w:rsid w:val="000D262C"/>
    <w:rsid w:val="000D5ED3"/>
    <w:rsid w:val="000D6D58"/>
    <w:rsid w:val="000D6F9D"/>
    <w:rsid w:val="000E02C6"/>
    <w:rsid w:val="000E1118"/>
    <w:rsid w:val="000E1FC9"/>
    <w:rsid w:val="000E5219"/>
    <w:rsid w:val="000F4664"/>
    <w:rsid w:val="0010150B"/>
    <w:rsid w:val="001033D9"/>
    <w:rsid w:val="001048BB"/>
    <w:rsid w:val="00111667"/>
    <w:rsid w:val="00117487"/>
    <w:rsid w:val="00117664"/>
    <w:rsid w:val="001232AD"/>
    <w:rsid w:val="00124586"/>
    <w:rsid w:val="001253B9"/>
    <w:rsid w:val="0012608A"/>
    <w:rsid w:val="00132E70"/>
    <w:rsid w:val="0013607D"/>
    <w:rsid w:val="00136463"/>
    <w:rsid w:val="00136E75"/>
    <w:rsid w:val="00143247"/>
    <w:rsid w:val="001459DA"/>
    <w:rsid w:val="001461EB"/>
    <w:rsid w:val="001464FC"/>
    <w:rsid w:val="0015264F"/>
    <w:rsid w:val="0015420D"/>
    <w:rsid w:val="00157439"/>
    <w:rsid w:val="0016275E"/>
    <w:rsid w:val="001628E5"/>
    <w:rsid w:val="0016362E"/>
    <w:rsid w:val="001678D6"/>
    <w:rsid w:val="001706A3"/>
    <w:rsid w:val="00170B8C"/>
    <w:rsid w:val="00170DAB"/>
    <w:rsid w:val="0017105B"/>
    <w:rsid w:val="00173EF2"/>
    <w:rsid w:val="00175190"/>
    <w:rsid w:val="001759CA"/>
    <w:rsid w:val="00177FE3"/>
    <w:rsid w:val="0018516A"/>
    <w:rsid w:val="00185AD4"/>
    <w:rsid w:val="00186046"/>
    <w:rsid w:val="00186B79"/>
    <w:rsid w:val="0019004D"/>
    <w:rsid w:val="00191CFC"/>
    <w:rsid w:val="00191D94"/>
    <w:rsid w:val="00197C7E"/>
    <w:rsid w:val="001A1767"/>
    <w:rsid w:val="001A52D4"/>
    <w:rsid w:val="001A79CB"/>
    <w:rsid w:val="001B5B79"/>
    <w:rsid w:val="001B612E"/>
    <w:rsid w:val="001B6766"/>
    <w:rsid w:val="001B6B96"/>
    <w:rsid w:val="001C1411"/>
    <w:rsid w:val="001C2F1E"/>
    <w:rsid w:val="001C3153"/>
    <w:rsid w:val="001C3D0A"/>
    <w:rsid w:val="001D0ACB"/>
    <w:rsid w:val="001D4BAE"/>
    <w:rsid w:val="001E03DB"/>
    <w:rsid w:val="001E1A73"/>
    <w:rsid w:val="001E1CF9"/>
    <w:rsid w:val="001E3638"/>
    <w:rsid w:val="001E3B37"/>
    <w:rsid w:val="001E5BDF"/>
    <w:rsid w:val="001E6F7C"/>
    <w:rsid w:val="001F0F05"/>
    <w:rsid w:val="001F6CCB"/>
    <w:rsid w:val="002001D6"/>
    <w:rsid w:val="00201A8E"/>
    <w:rsid w:val="0020267B"/>
    <w:rsid w:val="00203C1C"/>
    <w:rsid w:val="00203E10"/>
    <w:rsid w:val="00203F22"/>
    <w:rsid w:val="00205CCC"/>
    <w:rsid w:val="0021104E"/>
    <w:rsid w:val="0021443D"/>
    <w:rsid w:val="002148E1"/>
    <w:rsid w:val="00216913"/>
    <w:rsid w:val="002209DD"/>
    <w:rsid w:val="002218E1"/>
    <w:rsid w:val="00224FE3"/>
    <w:rsid w:val="002253B9"/>
    <w:rsid w:val="002264B0"/>
    <w:rsid w:val="00230A9D"/>
    <w:rsid w:val="00230BDF"/>
    <w:rsid w:val="002314DC"/>
    <w:rsid w:val="00234C1B"/>
    <w:rsid w:val="0023653F"/>
    <w:rsid w:val="00237193"/>
    <w:rsid w:val="00237E2F"/>
    <w:rsid w:val="00237FC5"/>
    <w:rsid w:val="002414E9"/>
    <w:rsid w:val="002426EF"/>
    <w:rsid w:val="00246B66"/>
    <w:rsid w:val="00247977"/>
    <w:rsid w:val="002507EF"/>
    <w:rsid w:val="002515CD"/>
    <w:rsid w:val="00252385"/>
    <w:rsid w:val="002528E2"/>
    <w:rsid w:val="00257714"/>
    <w:rsid w:val="00260CE2"/>
    <w:rsid w:val="002625AE"/>
    <w:rsid w:val="00263136"/>
    <w:rsid w:val="00263923"/>
    <w:rsid w:val="002661A1"/>
    <w:rsid w:val="00266362"/>
    <w:rsid w:val="00267EF9"/>
    <w:rsid w:val="002701FC"/>
    <w:rsid w:val="00270BFC"/>
    <w:rsid w:val="0027113B"/>
    <w:rsid w:val="002730CA"/>
    <w:rsid w:val="00273AFB"/>
    <w:rsid w:val="00274632"/>
    <w:rsid w:val="00281C7F"/>
    <w:rsid w:val="00281DE1"/>
    <w:rsid w:val="00282641"/>
    <w:rsid w:val="002831B5"/>
    <w:rsid w:val="00286797"/>
    <w:rsid w:val="00286E36"/>
    <w:rsid w:val="00290E8F"/>
    <w:rsid w:val="0029691A"/>
    <w:rsid w:val="00296F33"/>
    <w:rsid w:val="002A0E71"/>
    <w:rsid w:val="002A0F02"/>
    <w:rsid w:val="002C32B9"/>
    <w:rsid w:val="002C3EB1"/>
    <w:rsid w:val="002D02FB"/>
    <w:rsid w:val="002D1392"/>
    <w:rsid w:val="002D14A9"/>
    <w:rsid w:val="002D4AB5"/>
    <w:rsid w:val="002D67D1"/>
    <w:rsid w:val="002E5426"/>
    <w:rsid w:val="002E6892"/>
    <w:rsid w:val="002F127F"/>
    <w:rsid w:val="002F2CE1"/>
    <w:rsid w:val="002F350E"/>
    <w:rsid w:val="002F4059"/>
    <w:rsid w:val="002F4660"/>
    <w:rsid w:val="002F6669"/>
    <w:rsid w:val="00302300"/>
    <w:rsid w:val="00303DDF"/>
    <w:rsid w:val="00304F20"/>
    <w:rsid w:val="0030504E"/>
    <w:rsid w:val="003066A4"/>
    <w:rsid w:val="00307495"/>
    <w:rsid w:val="00310DC9"/>
    <w:rsid w:val="00311474"/>
    <w:rsid w:val="003125BA"/>
    <w:rsid w:val="00312ABD"/>
    <w:rsid w:val="00313439"/>
    <w:rsid w:val="00313B00"/>
    <w:rsid w:val="0031463D"/>
    <w:rsid w:val="003209F8"/>
    <w:rsid w:val="00320A20"/>
    <w:rsid w:val="00323F11"/>
    <w:rsid w:val="00330ADC"/>
    <w:rsid w:val="00332543"/>
    <w:rsid w:val="00335D56"/>
    <w:rsid w:val="00341B91"/>
    <w:rsid w:val="0034482A"/>
    <w:rsid w:val="003548F5"/>
    <w:rsid w:val="0035701E"/>
    <w:rsid w:val="00357315"/>
    <w:rsid w:val="0036211C"/>
    <w:rsid w:val="003650EC"/>
    <w:rsid w:val="00365B54"/>
    <w:rsid w:val="00371A3A"/>
    <w:rsid w:val="00372895"/>
    <w:rsid w:val="003749B8"/>
    <w:rsid w:val="00374E93"/>
    <w:rsid w:val="0038252D"/>
    <w:rsid w:val="00387904"/>
    <w:rsid w:val="003920C1"/>
    <w:rsid w:val="00392126"/>
    <w:rsid w:val="00393AE1"/>
    <w:rsid w:val="00394943"/>
    <w:rsid w:val="003954BF"/>
    <w:rsid w:val="0039551D"/>
    <w:rsid w:val="00396C21"/>
    <w:rsid w:val="00396EDF"/>
    <w:rsid w:val="003A1C52"/>
    <w:rsid w:val="003A379E"/>
    <w:rsid w:val="003A591A"/>
    <w:rsid w:val="003A7C87"/>
    <w:rsid w:val="003B00F0"/>
    <w:rsid w:val="003B345A"/>
    <w:rsid w:val="003B4813"/>
    <w:rsid w:val="003B48E6"/>
    <w:rsid w:val="003B5E52"/>
    <w:rsid w:val="003B7EF7"/>
    <w:rsid w:val="003C336A"/>
    <w:rsid w:val="003C3F0F"/>
    <w:rsid w:val="003C6AA5"/>
    <w:rsid w:val="003D25F5"/>
    <w:rsid w:val="003D376F"/>
    <w:rsid w:val="003D44D4"/>
    <w:rsid w:val="003D60D7"/>
    <w:rsid w:val="003D7960"/>
    <w:rsid w:val="003D7EBC"/>
    <w:rsid w:val="003E6A6A"/>
    <w:rsid w:val="004017B9"/>
    <w:rsid w:val="00402FC7"/>
    <w:rsid w:val="004050DD"/>
    <w:rsid w:val="0040749A"/>
    <w:rsid w:val="00411214"/>
    <w:rsid w:val="00421123"/>
    <w:rsid w:val="00423216"/>
    <w:rsid w:val="00425AD8"/>
    <w:rsid w:val="00427056"/>
    <w:rsid w:val="004271C0"/>
    <w:rsid w:val="00430072"/>
    <w:rsid w:val="004302F5"/>
    <w:rsid w:val="00431C77"/>
    <w:rsid w:val="00441A2C"/>
    <w:rsid w:val="00442070"/>
    <w:rsid w:val="0044448A"/>
    <w:rsid w:val="00444F60"/>
    <w:rsid w:val="00450364"/>
    <w:rsid w:val="00451A73"/>
    <w:rsid w:val="00453FFA"/>
    <w:rsid w:val="00454CC6"/>
    <w:rsid w:val="004568D1"/>
    <w:rsid w:val="004616A0"/>
    <w:rsid w:val="00463AE5"/>
    <w:rsid w:val="00464A32"/>
    <w:rsid w:val="00467106"/>
    <w:rsid w:val="00470128"/>
    <w:rsid w:val="004721BA"/>
    <w:rsid w:val="00473346"/>
    <w:rsid w:val="00477797"/>
    <w:rsid w:val="00477F9A"/>
    <w:rsid w:val="004828AA"/>
    <w:rsid w:val="004837E8"/>
    <w:rsid w:val="00486C87"/>
    <w:rsid w:val="0048728D"/>
    <w:rsid w:val="004875E4"/>
    <w:rsid w:val="00495640"/>
    <w:rsid w:val="0049626B"/>
    <w:rsid w:val="004A3681"/>
    <w:rsid w:val="004A3D0C"/>
    <w:rsid w:val="004A7A80"/>
    <w:rsid w:val="004B200C"/>
    <w:rsid w:val="004B654B"/>
    <w:rsid w:val="004C0D3F"/>
    <w:rsid w:val="004C4E33"/>
    <w:rsid w:val="004C5B52"/>
    <w:rsid w:val="004C74B2"/>
    <w:rsid w:val="004D07EB"/>
    <w:rsid w:val="004D1E21"/>
    <w:rsid w:val="004D4962"/>
    <w:rsid w:val="004D5BE3"/>
    <w:rsid w:val="004D688D"/>
    <w:rsid w:val="004E21FA"/>
    <w:rsid w:val="004E2A45"/>
    <w:rsid w:val="004E2A75"/>
    <w:rsid w:val="004E43D7"/>
    <w:rsid w:val="004F0FB5"/>
    <w:rsid w:val="004F507B"/>
    <w:rsid w:val="004F5F00"/>
    <w:rsid w:val="004F6156"/>
    <w:rsid w:val="004F61E8"/>
    <w:rsid w:val="00500F6D"/>
    <w:rsid w:val="00501096"/>
    <w:rsid w:val="00505E2C"/>
    <w:rsid w:val="005075AE"/>
    <w:rsid w:val="00507FDE"/>
    <w:rsid w:val="00510BD4"/>
    <w:rsid w:val="005150FF"/>
    <w:rsid w:val="005233E3"/>
    <w:rsid w:val="0052345E"/>
    <w:rsid w:val="005311FD"/>
    <w:rsid w:val="00531898"/>
    <w:rsid w:val="0053202B"/>
    <w:rsid w:val="005364B5"/>
    <w:rsid w:val="005375D6"/>
    <w:rsid w:val="005430B6"/>
    <w:rsid w:val="005436D6"/>
    <w:rsid w:val="00547D18"/>
    <w:rsid w:val="00551175"/>
    <w:rsid w:val="005556C7"/>
    <w:rsid w:val="005635FD"/>
    <w:rsid w:val="00565092"/>
    <w:rsid w:val="005662C1"/>
    <w:rsid w:val="00566B93"/>
    <w:rsid w:val="00570536"/>
    <w:rsid w:val="005731BA"/>
    <w:rsid w:val="00574808"/>
    <w:rsid w:val="00574B13"/>
    <w:rsid w:val="00575B93"/>
    <w:rsid w:val="0057672C"/>
    <w:rsid w:val="0058517A"/>
    <w:rsid w:val="005873EB"/>
    <w:rsid w:val="0059279F"/>
    <w:rsid w:val="00594A03"/>
    <w:rsid w:val="005971CD"/>
    <w:rsid w:val="005A0345"/>
    <w:rsid w:val="005A1210"/>
    <w:rsid w:val="005A2D95"/>
    <w:rsid w:val="005A3869"/>
    <w:rsid w:val="005A49DC"/>
    <w:rsid w:val="005A6C9A"/>
    <w:rsid w:val="005B29AF"/>
    <w:rsid w:val="005B3079"/>
    <w:rsid w:val="005B36C1"/>
    <w:rsid w:val="005B4720"/>
    <w:rsid w:val="005B4D2B"/>
    <w:rsid w:val="005B5857"/>
    <w:rsid w:val="005B5CEF"/>
    <w:rsid w:val="005B5EC5"/>
    <w:rsid w:val="005B61CB"/>
    <w:rsid w:val="005C12A7"/>
    <w:rsid w:val="005C3F05"/>
    <w:rsid w:val="005C4469"/>
    <w:rsid w:val="005C7DE2"/>
    <w:rsid w:val="005D2273"/>
    <w:rsid w:val="005D26DE"/>
    <w:rsid w:val="005D28AC"/>
    <w:rsid w:val="005D4B1F"/>
    <w:rsid w:val="005D5CE7"/>
    <w:rsid w:val="005D6F3E"/>
    <w:rsid w:val="005E1D16"/>
    <w:rsid w:val="005E2891"/>
    <w:rsid w:val="005E2C5E"/>
    <w:rsid w:val="005E2D68"/>
    <w:rsid w:val="005E30DE"/>
    <w:rsid w:val="005E3937"/>
    <w:rsid w:val="005F2BF0"/>
    <w:rsid w:val="005F3164"/>
    <w:rsid w:val="005F4008"/>
    <w:rsid w:val="005F5115"/>
    <w:rsid w:val="005F6C22"/>
    <w:rsid w:val="005F7DA3"/>
    <w:rsid w:val="005F7F40"/>
    <w:rsid w:val="00604F7A"/>
    <w:rsid w:val="00605CAD"/>
    <w:rsid w:val="0060650C"/>
    <w:rsid w:val="006123C9"/>
    <w:rsid w:val="00613F6D"/>
    <w:rsid w:val="00620111"/>
    <w:rsid w:val="006201CE"/>
    <w:rsid w:val="006242EF"/>
    <w:rsid w:val="006244F5"/>
    <w:rsid w:val="006248E9"/>
    <w:rsid w:val="00625894"/>
    <w:rsid w:val="0062600F"/>
    <w:rsid w:val="006262B3"/>
    <w:rsid w:val="00631FBB"/>
    <w:rsid w:val="0063254B"/>
    <w:rsid w:val="006414B8"/>
    <w:rsid w:val="00641787"/>
    <w:rsid w:val="00644481"/>
    <w:rsid w:val="00645040"/>
    <w:rsid w:val="00646B2D"/>
    <w:rsid w:val="00650D84"/>
    <w:rsid w:val="00650F09"/>
    <w:rsid w:val="00650FC5"/>
    <w:rsid w:val="0065157E"/>
    <w:rsid w:val="00652AB4"/>
    <w:rsid w:val="00655CA3"/>
    <w:rsid w:val="006564D6"/>
    <w:rsid w:val="00656FA5"/>
    <w:rsid w:val="006636C8"/>
    <w:rsid w:val="00663896"/>
    <w:rsid w:val="00666250"/>
    <w:rsid w:val="0067610D"/>
    <w:rsid w:val="00680982"/>
    <w:rsid w:val="00683E89"/>
    <w:rsid w:val="006850A6"/>
    <w:rsid w:val="0069045E"/>
    <w:rsid w:val="0069075F"/>
    <w:rsid w:val="00695C0F"/>
    <w:rsid w:val="006965FA"/>
    <w:rsid w:val="00697BD8"/>
    <w:rsid w:val="006A4325"/>
    <w:rsid w:val="006A43EA"/>
    <w:rsid w:val="006A45DE"/>
    <w:rsid w:val="006B0111"/>
    <w:rsid w:val="006B0464"/>
    <w:rsid w:val="006B237A"/>
    <w:rsid w:val="006B41A3"/>
    <w:rsid w:val="006B64EE"/>
    <w:rsid w:val="006C09FC"/>
    <w:rsid w:val="006C2539"/>
    <w:rsid w:val="006C55B3"/>
    <w:rsid w:val="006C63D1"/>
    <w:rsid w:val="006C7EFF"/>
    <w:rsid w:val="006D00EA"/>
    <w:rsid w:val="006D59E0"/>
    <w:rsid w:val="006E0555"/>
    <w:rsid w:val="006E16CF"/>
    <w:rsid w:val="006E2792"/>
    <w:rsid w:val="006E3D84"/>
    <w:rsid w:val="006E5D65"/>
    <w:rsid w:val="006F0F7A"/>
    <w:rsid w:val="006F138D"/>
    <w:rsid w:val="006F530F"/>
    <w:rsid w:val="006F7992"/>
    <w:rsid w:val="006F7F4D"/>
    <w:rsid w:val="00700921"/>
    <w:rsid w:val="00700EF1"/>
    <w:rsid w:val="007026EA"/>
    <w:rsid w:val="00702798"/>
    <w:rsid w:val="00704769"/>
    <w:rsid w:val="00705D95"/>
    <w:rsid w:val="00714BEB"/>
    <w:rsid w:val="007155EF"/>
    <w:rsid w:val="0072252E"/>
    <w:rsid w:val="00722897"/>
    <w:rsid w:val="00732AF5"/>
    <w:rsid w:val="00744B6D"/>
    <w:rsid w:val="007451DB"/>
    <w:rsid w:val="00746456"/>
    <w:rsid w:val="00746D0E"/>
    <w:rsid w:val="00751619"/>
    <w:rsid w:val="007523AE"/>
    <w:rsid w:val="00753671"/>
    <w:rsid w:val="0075680E"/>
    <w:rsid w:val="007630A0"/>
    <w:rsid w:val="007732D3"/>
    <w:rsid w:val="0077439B"/>
    <w:rsid w:val="007771E5"/>
    <w:rsid w:val="0078598E"/>
    <w:rsid w:val="007906A5"/>
    <w:rsid w:val="00790D23"/>
    <w:rsid w:val="00790EC3"/>
    <w:rsid w:val="00791013"/>
    <w:rsid w:val="00791199"/>
    <w:rsid w:val="00791873"/>
    <w:rsid w:val="007A05C7"/>
    <w:rsid w:val="007A1EE1"/>
    <w:rsid w:val="007A4FAD"/>
    <w:rsid w:val="007A6D4F"/>
    <w:rsid w:val="007B08B3"/>
    <w:rsid w:val="007B0ACF"/>
    <w:rsid w:val="007B230E"/>
    <w:rsid w:val="007B2A70"/>
    <w:rsid w:val="007B5D74"/>
    <w:rsid w:val="007C00B2"/>
    <w:rsid w:val="007C14D8"/>
    <w:rsid w:val="007C4539"/>
    <w:rsid w:val="007C5851"/>
    <w:rsid w:val="007D159E"/>
    <w:rsid w:val="007D20B5"/>
    <w:rsid w:val="007D74A8"/>
    <w:rsid w:val="007D7EC1"/>
    <w:rsid w:val="007E6293"/>
    <w:rsid w:val="00802C8E"/>
    <w:rsid w:val="00802D76"/>
    <w:rsid w:val="008065B4"/>
    <w:rsid w:val="0080711A"/>
    <w:rsid w:val="008103BB"/>
    <w:rsid w:val="008116CC"/>
    <w:rsid w:val="00813A86"/>
    <w:rsid w:val="00817331"/>
    <w:rsid w:val="0082007A"/>
    <w:rsid w:val="008219CE"/>
    <w:rsid w:val="00823410"/>
    <w:rsid w:val="008239BC"/>
    <w:rsid w:val="00825C9F"/>
    <w:rsid w:val="00826B33"/>
    <w:rsid w:val="00826E07"/>
    <w:rsid w:val="00831A71"/>
    <w:rsid w:val="00831AB4"/>
    <w:rsid w:val="00831E1A"/>
    <w:rsid w:val="00833DDF"/>
    <w:rsid w:val="00834E7C"/>
    <w:rsid w:val="00836D75"/>
    <w:rsid w:val="00844325"/>
    <w:rsid w:val="008466A4"/>
    <w:rsid w:val="00847339"/>
    <w:rsid w:val="008476A7"/>
    <w:rsid w:val="00851691"/>
    <w:rsid w:val="00852CF8"/>
    <w:rsid w:val="00853E8B"/>
    <w:rsid w:val="008556A9"/>
    <w:rsid w:val="008618FF"/>
    <w:rsid w:val="00862207"/>
    <w:rsid w:val="00862A41"/>
    <w:rsid w:val="008645B7"/>
    <w:rsid w:val="00865AA2"/>
    <w:rsid w:val="00865EB8"/>
    <w:rsid w:val="00872999"/>
    <w:rsid w:val="00872B53"/>
    <w:rsid w:val="00876B4D"/>
    <w:rsid w:val="00877405"/>
    <w:rsid w:val="0087798F"/>
    <w:rsid w:val="008802E7"/>
    <w:rsid w:val="00880345"/>
    <w:rsid w:val="00882930"/>
    <w:rsid w:val="0088367A"/>
    <w:rsid w:val="00887243"/>
    <w:rsid w:val="00887290"/>
    <w:rsid w:val="008927E7"/>
    <w:rsid w:val="00892EAB"/>
    <w:rsid w:val="008A2F64"/>
    <w:rsid w:val="008A6DA8"/>
    <w:rsid w:val="008C1DB1"/>
    <w:rsid w:val="008C56C3"/>
    <w:rsid w:val="008C7E7C"/>
    <w:rsid w:val="008D0A89"/>
    <w:rsid w:val="008D12C1"/>
    <w:rsid w:val="008D1E61"/>
    <w:rsid w:val="008D1FA4"/>
    <w:rsid w:val="008D546E"/>
    <w:rsid w:val="008D7494"/>
    <w:rsid w:val="008E0BF2"/>
    <w:rsid w:val="008E3E59"/>
    <w:rsid w:val="008E4F6E"/>
    <w:rsid w:val="008E646E"/>
    <w:rsid w:val="008E6EDE"/>
    <w:rsid w:val="008F22F5"/>
    <w:rsid w:val="008F3AC1"/>
    <w:rsid w:val="008F4C3E"/>
    <w:rsid w:val="008F61BF"/>
    <w:rsid w:val="008F774C"/>
    <w:rsid w:val="00906D1F"/>
    <w:rsid w:val="00907D54"/>
    <w:rsid w:val="009102F1"/>
    <w:rsid w:val="00911302"/>
    <w:rsid w:val="009178E0"/>
    <w:rsid w:val="009204C9"/>
    <w:rsid w:val="00920E3E"/>
    <w:rsid w:val="009227FB"/>
    <w:rsid w:val="009234BD"/>
    <w:rsid w:val="009238AB"/>
    <w:rsid w:val="009261B5"/>
    <w:rsid w:val="009277E3"/>
    <w:rsid w:val="00933368"/>
    <w:rsid w:val="00933715"/>
    <w:rsid w:val="009339EA"/>
    <w:rsid w:val="00935907"/>
    <w:rsid w:val="009410EB"/>
    <w:rsid w:val="009412AA"/>
    <w:rsid w:val="0094193F"/>
    <w:rsid w:val="00945385"/>
    <w:rsid w:val="00950D0A"/>
    <w:rsid w:val="00951E75"/>
    <w:rsid w:val="0095631D"/>
    <w:rsid w:val="0096025A"/>
    <w:rsid w:val="009608B6"/>
    <w:rsid w:val="00960AB1"/>
    <w:rsid w:val="00963753"/>
    <w:rsid w:val="00965B71"/>
    <w:rsid w:val="00967C4F"/>
    <w:rsid w:val="00972C44"/>
    <w:rsid w:val="00973579"/>
    <w:rsid w:val="00976165"/>
    <w:rsid w:val="00980636"/>
    <w:rsid w:val="00982811"/>
    <w:rsid w:val="00983C41"/>
    <w:rsid w:val="009861D4"/>
    <w:rsid w:val="00986592"/>
    <w:rsid w:val="00986C78"/>
    <w:rsid w:val="009923B3"/>
    <w:rsid w:val="009A66BB"/>
    <w:rsid w:val="009A6760"/>
    <w:rsid w:val="009B0D01"/>
    <w:rsid w:val="009B5732"/>
    <w:rsid w:val="009B5F7D"/>
    <w:rsid w:val="009B6034"/>
    <w:rsid w:val="009B72B9"/>
    <w:rsid w:val="009B73A4"/>
    <w:rsid w:val="009B73F3"/>
    <w:rsid w:val="009B7745"/>
    <w:rsid w:val="009C2080"/>
    <w:rsid w:val="009D1C46"/>
    <w:rsid w:val="009D1D86"/>
    <w:rsid w:val="009D3CF6"/>
    <w:rsid w:val="009E2002"/>
    <w:rsid w:val="009E2D62"/>
    <w:rsid w:val="009E3774"/>
    <w:rsid w:val="009E539D"/>
    <w:rsid w:val="009E69CE"/>
    <w:rsid w:val="009F1689"/>
    <w:rsid w:val="009F3295"/>
    <w:rsid w:val="009F402E"/>
    <w:rsid w:val="009F43C1"/>
    <w:rsid w:val="009F511E"/>
    <w:rsid w:val="009F6EBB"/>
    <w:rsid w:val="00A0484E"/>
    <w:rsid w:val="00A072DF"/>
    <w:rsid w:val="00A12154"/>
    <w:rsid w:val="00A125E0"/>
    <w:rsid w:val="00A138B8"/>
    <w:rsid w:val="00A14D4D"/>
    <w:rsid w:val="00A14DFB"/>
    <w:rsid w:val="00A201B8"/>
    <w:rsid w:val="00A202F3"/>
    <w:rsid w:val="00A22ECB"/>
    <w:rsid w:val="00A24BC3"/>
    <w:rsid w:val="00A25237"/>
    <w:rsid w:val="00A30450"/>
    <w:rsid w:val="00A307B1"/>
    <w:rsid w:val="00A3259C"/>
    <w:rsid w:val="00A37117"/>
    <w:rsid w:val="00A419D3"/>
    <w:rsid w:val="00A42750"/>
    <w:rsid w:val="00A44786"/>
    <w:rsid w:val="00A45598"/>
    <w:rsid w:val="00A51B24"/>
    <w:rsid w:val="00A545C3"/>
    <w:rsid w:val="00A56B65"/>
    <w:rsid w:val="00A61D81"/>
    <w:rsid w:val="00A64880"/>
    <w:rsid w:val="00A676E2"/>
    <w:rsid w:val="00A71A0E"/>
    <w:rsid w:val="00A745E8"/>
    <w:rsid w:val="00A76F59"/>
    <w:rsid w:val="00A77F99"/>
    <w:rsid w:val="00A80553"/>
    <w:rsid w:val="00A818CB"/>
    <w:rsid w:val="00A85C7F"/>
    <w:rsid w:val="00A87CA8"/>
    <w:rsid w:val="00A90564"/>
    <w:rsid w:val="00A90999"/>
    <w:rsid w:val="00A94ED5"/>
    <w:rsid w:val="00A95EE2"/>
    <w:rsid w:val="00A96B4D"/>
    <w:rsid w:val="00AA3109"/>
    <w:rsid w:val="00AA336E"/>
    <w:rsid w:val="00AA54B0"/>
    <w:rsid w:val="00AA5D20"/>
    <w:rsid w:val="00AA6064"/>
    <w:rsid w:val="00AA607B"/>
    <w:rsid w:val="00AA6473"/>
    <w:rsid w:val="00AA7E93"/>
    <w:rsid w:val="00AB0242"/>
    <w:rsid w:val="00AB2671"/>
    <w:rsid w:val="00AB2BE7"/>
    <w:rsid w:val="00AB3CDF"/>
    <w:rsid w:val="00AB4474"/>
    <w:rsid w:val="00AB44C9"/>
    <w:rsid w:val="00AB5A3A"/>
    <w:rsid w:val="00AB7CBE"/>
    <w:rsid w:val="00AC0372"/>
    <w:rsid w:val="00AC1585"/>
    <w:rsid w:val="00AC2500"/>
    <w:rsid w:val="00AC5F3F"/>
    <w:rsid w:val="00AD1DAE"/>
    <w:rsid w:val="00AD2AB5"/>
    <w:rsid w:val="00AD4E80"/>
    <w:rsid w:val="00AD6889"/>
    <w:rsid w:val="00AE3A73"/>
    <w:rsid w:val="00AE43A5"/>
    <w:rsid w:val="00AF0D78"/>
    <w:rsid w:val="00AF3333"/>
    <w:rsid w:val="00B001E5"/>
    <w:rsid w:val="00B06CE1"/>
    <w:rsid w:val="00B15CA2"/>
    <w:rsid w:val="00B16ADF"/>
    <w:rsid w:val="00B17D7D"/>
    <w:rsid w:val="00B24FDE"/>
    <w:rsid w:val="00B27507"/>
    <w:rsid w:val="00B30360"/>
    <w:rsid w:val="00B345AF"/>
    <w:rsid w:val="00B34969"/>
    <w:rsid w:val="00B34E0A"/>
    <w:rsid w:val="00B41CE1"/>
    <w:rsid w:val="00B44E53"/>
    <w:rsid w:val="00B51100"/>
    <w:rsid w:val="00B51A4A"/>
    <w:rsid w:val="00B53CAE"/>
    <w:rsid w:val="00B542A3"/>
    <w:rsid w:val="00B54843"/>
    <w:rsid w:val="00B54B06"/>
    <w:rsid w:val="00B56142"/>
    <w:rsid w:val="00B576A4"/>
    <w:rsid w:val="00B6124B"/>
    <w:rsid w:val="00B61FA9"/>
    <w:rsid w:val="00B64826"/>
    <w:rsid w:val="00B72D02"/>
    <w:rsid w:val="00B74931"/>
    <w:rsid w:val="00B76B02"/>
    <w:rsid w:val="00B84D85"/>
    <w:rsid w:val="00B87BF1"/>
    <w:rsid w:val="00B92F2E"/>
    <w:rsid w:val="00B93B49"/>
    <w:rsid w:val="00B93E93"/>
    <w:rsid w:val="00B9722B"/>
    <w:rsid w:val="00B97E7E"/>
    <w:rsid w:val="00BB7071"/>
    <w:rsid w:val="00BC2514"/>
    <w:rsid w:val="00BC2A55"/>
    <w:rsid w:val="00BC3B1C"/>
    <w:rsid w:val="00BC3D6B"/>
    <w:rsid w:val="00BC6396"/>
    <w:rsid w:val="00BC75EB"/>
    <w:rsid w:val="00BD1852"/>
    <w:rsid w:val="00BD2A03"/>
    <w:rsid w:val="00BE10D3"/>
    <w:rsid w:val="00BE362F"/>
    <w:rsid w:val="00BE3686"/>
    <w:rsid w:val="00BF2CFC"/>
    <w:rsid w:val="00BF34FA"/>
    <w:rsid w:val="00BF3887"/>
    <w:rsid w:val="00BF3FEA"/>
    <w:rsid w:val="00BF4EBE"/>
    <w:rsid w:val="00BF601C"/>
    <w:rsid w:val="00C01CCD"/>
    <w:rsid w:val="00C0686B"/>
    <w:rsid w:val="00C06E0B"/>
    <w:rsid w:val="00C07CB6"/>
    <w:rsid w:val="00C12302"/>
    <w:rsid w:val="00C126DD"/>
    <w:rsid w:val="00C13885"/>
    <w:rsid w:val="00C20AF3"/>
    <w:rsid w:val="00C22120"/>
    <w:rsid w:val="00C22383"/>
    <w:rsid w:val="00C22582"/>
    <w:rsid w:val="00C24ADB"/>
    <w:rsid w:val="00C2548A"/>
    <w:rsid w:val="00C266FF"/>
    <w:rsid w:val="00C346C8"/>
    <w:rsid w:val="00C36E57"/>
    <w:rsid w:val="00C42392"/>
    <w:rsid w:val="00C46D43"/>
    <w:rsid w:val="00C50C8A"/>
    <w:rsid w:val="00C5146C"/>
    <w:rsid w:val="00C5577B"/>
    <w:rsid w:val="00C56EA7"/>
    <w:rsid w:val="00C6049E"/>
    <w:rsid w:val="00C614BC"/>
    <w:rsid w:val="00C619EA"/>
    <w:rsid w:val="00C62FC1"/>
    <w:rsid w:val="00C654A6"/>
    <w:rsid w:val="00C66892"/>
    <w:rsid w:val="00C67075"/>
    <w:rsid w:val="00C700FC"/>
    <w:rsid w:val="00C70DBF"/>
    <w:rsid w:val="00C749AF"/>
    <w:rsid w:val="00C80634"/>
    <w:rsid w:val="00C80F79"/>
    <w:rsid w:val="00C8161C"/>
    <w:rsid w:val="00C8198C"/>
    <w:rsid w:val="00C83BFE"/>
    <w:rsid w:val="00C85B36"/>
    <w:rsid w:val="00C8652F"/>
    <w:rsid w:val="00C87230"/>
    <w:rsid w:val="00C91B4E"/>
    <w:rsid w:val="00C964B0"/>
    <w:rsid w:val="00CA2131"/>
    <w:rsid w:val="00CA2841"/>
    <w:rsid w:val="00CA36B3"/>
    <w:rsid w:val="00CA6B14"/>
    <w:rsid w:val="00CB0B94"/>
    <w:rsid w:val="00CB7381"/>
    <w:rsid w:val="00CC0EA6"/>
    <w:rsid w:val="00CC125A"/>
    <w:rsid w:val="00CC3393"/>
    <w:rsid w:val="00CC371C"/>
    <w:rsid w:val="00CC48D4"/>
    <w:rsid w:val="00CC794C"/>
    <w:rsid w:val="00CD0DC9"/>
    <w:rsid w:val="00CD15F0"/>
    <w:rsid w:val="00CD1979"/>
    <w:rsid w:val="00CD2767"/>
    <w:rsid w:val="00CD2D72"/>
    <w:rsid w:val="00CD2DE0"/>
    <w:rsid w:val="00CD421D"/>
    <w:rsid w:val="00CD6058"/>
    <w:rsid w:val="00CE0C41"/>
    <w:rsid w:val="00CE0E93"/>
    <w:rsid w:val="00CE174F"/>
    <w:rsid w:val="00CE572C"/>
    <w:rsid w:val="00CE5C7B"/>
    <w:rsid w:val="00CE7DBA"/>
    <w:rsid w:val="00CF06B5"/>
    <w:rsid w:val="00CF09C1"/>
    <w:rsid w:val="00CF14C1"/>
    <w:rsid w:val="00CF1E36"/>
    <w:rsid w:val="00CF3BF3"/>
    <w:rsid w:val="00CF4BF6"/>
    <w:rsid w:val="00CF55AD"/>
    <w:rsid w:val="00D03B15"/>
    <w:rsid w:val="00D06438"/>
    <w:rsid w:val="00D0775A"/>
    <w:rsid w:val="00D10F9E"/>
    <w:rsid w:val="00D21F05"/>
    <w:rsid w:val="00D25463"/>
    <w:rsid w:val="00D25CD4"/>
    <w:rsid w:val="00D26B6A"/>
    <w:rsid w:val="00D270F5"/>
    <w:rsid w:val="00D30860"/>
    <w:rsid w:val="00D30CEE"/>
    <w:rsid w:val="00D33949"/>
    <w:rsid w:val="00D3522B"/>
    <w:rsid w:val="00D4297F"/>
    <w:rsid w:val="00D47C13"/>
    <w:rsid w:val="00D505BD"/>
    <w:rsid w:val="00D60929"/>
    <w:rsid w:val="00D62A45"/>
    <w:rsid w:val="00D63AC1"/>
    <w:rsid w:val="00D64D8F"/>
    <w:rsid w:val="00D657E2"/>
    <w:rsid w:val="00D670ED"/>
    <w:rsid w:val="00D67BC3"/>
    <w:rsid w:val="00D73FFA"/>
    <w:rsid w:val="00D74970"/>
    <w:rsid w:val="00D803D5"/>
    <w:rsid w:val="00D83B1F"/>
    <w:rsid w:val="00D87FBC"/>
    <w:rsid w:val="00D94093"/>
    <w:rsid w:val="00DA3703"/>
    <w:rsid w:val="00DA5227"/>
    <w:rsid w:val="00DB3516"/>
    <w:rsid w:val="00DC436D"/>
    <w:rsid w:val="00DC4DBC"/>
    <w:rsid w:val="00DC57D9"/>
    <w:rsid w:val="00DC5DA6"/>
    <w:rsid w:val="00DC6160"/>
    <w:rsid w:val="00DD039D"/>
    <w:rsid w:val="00DD1F5E"/>
    <w:rsid w:val="00DD23C0"/>
    <w:rsid w:val="00DD3E31"/>
    <w:rsid w:val="00DD79F7"/>
    <w:rsid w:val="00DE42CF"/>
    <w:rsid w:val="00DE4D37"/>
    <w:rsid w:val="00DF1ECE"/>
    <w:rsid w:val="00DF3A89"/>
    <w:rsid w:val="00DF46C9"/>
    <w:rsid w:val="00DF5EF2"/>
    <w:rsid w:val="00E00F22"/>
    <w:rsid w:val="00E05301"/>
    <w:rsid w:val="00E05765"/>
    <w:rsid w:val="00E05AB7"/>
    <w:rsid w:val="00E07A4D"/>
    <w:rsid w:val="00E11179"/>
    <w:rsid w:val="00E121BC"/>
    <w:rsid w:val="00E148CC"/>
    <w:rsid w:val="00E16B91"/>
    <w:rsid w:val="00E21E92"/>
    <w:rsid w:val="00E278FF"/>
    <w:rsid w:val="00E34576"/>
    <w:rsid w:val="00E34D21"/>
    <w:rsid w:val="00E36F4A"/>
    <w:rsid w:val="00E411D2"/>
    <w:rsid w:val="00E433B0"/>
    <w:rsid w:val="00E437F7"/>
    <w:rsid w:val="00E43D27"/>
    <w:rsid w:val="00E442D0"/>
    <w:rsid w:val="00E46BB2"/>
    <w:rsid w:val="00E47575"/>
    <w:rsid w:val="00E50650"/>
    <w:rsid w:val="00E544C7"/>
    <w:rsid w:val="00E561B8"/>
    <w:rsid w:val="00E573E2"/>
    <w:rsid w:val="00E6083D"/>
    <w:rsid w:val="00E612D6"/>
    <w:rsid w:val="00E62DD4"/>
    <w:rsid w:val="00E6341F"/>
    <w:rsid w:val="00E63C76"/>
    <w:rsid w:val="00E63EF7"/>
    <w:rsid w:val="00E65699"/>
    <w:rsid w:val="00E66247"/>
    <w:rsid w:val="00E66885"/>
    <w:rsid w:val="00E71209"/>
    <w:rsid w:val="00E714BC"/>
    <w:rsid w:val="00E72202"/>
    <w:rsid w:val="00E756D3"/>
    <w:rsid w:val="00E76DBA"/>
    <w:rsid w:val="00E8186B"/>
    <w:rsid w:val="00E90504"/>
    <w:rsid w:val="00E90C88"/>
    <w:rsid w:val="00E92907"/>
    <w:rsid w:val="00E9325F"/>
    <w:rsid w:val="00E9548A"/>
    <w:rsid w:val="00E96331"/>
    <w:rsid w:val="00EA121D"/>
    <w:rsid w:val="00EA1270"/>
    <w:rsid w:val="00EA4B81"/>
    <w:rsid w:val="00EA4F65"/>
    <w:rsid w:val="00EB3EAD"/>
    <w:rsid w:val="00EB3FEC"/>
    <w:rsid w:val="00EB7B71"/>
    <w:rsid w:val="00EB7D86"/>
    <w:rsid w:val="00EC2A00"/>
    <w:rsid w:val="00EC3563"/>
    <w:rsid w:val="00EC4EA3"/>
    <w:rsid w:val="00EC60C6"/>
    <w:rsid w:val="00EC64DD"/>
    <w:rsid w:val="00EC692C"/>
    <w:rsid w:val="00EC6D9E"/>
    <w:rsid w:val="00EC788C"/>
    <w:rsid w:val="00EE0309"/>
    <w:rsid w:val="00EE7A36"/>
    <w:rsid w:val="00EF1916"/>
    <w:rsid w:val="00EF3F1E"/>
    <w:rsid w:val="00EF45F3"/>
    <w:rsid w:val="00EF4FA6"/>
    <w:rsid w:val="00EF5124"/>
    <w:rsid w:val="00F00380"/>
    <w:rsid w:val="00F029FC"/>
    <w:rsid w:val="00F068C3"/>
    <w:rsid w:val="00F06AB2"/>
    <w:rsid w:val="00F06D6F"/>
    <w:rsid w:val="00F07133"/>
    <w:rsid w:val="00F1062A"/>
    <w:rsid w:val="00F111B7"/>
    <w:rsid w:val="00F11D11"/>
    <w:rsid w:val="00F123F9"/>
    <w:rsid w:val="00F126A9"/>
    <w:rsid w:val="00F14145"/>
    <w:rsid w:val="00F1525C"/>
    <w:rsid w:val="00F2025E"/>
    <w:rsid w:val="00F21C76"/>
    <w:rsid w:val="00F22B36"/>
    <w:rsid w:val="00F2329C"/>
    <w:rsid w:val="00F26AA3"/>
    <w:rsid w:val="00F313CE"/>
    <w:rsid w:val="00F34525"/>
    <w:rsid w:val="00F40D40"/>
    <w:rsid w:val="00F40DEA"/>
    <w:rsid w:val="00F43604"/>
    <w:rsid w:val="00F45D20"/>
    <w:rsid w:val="00F465CF"/>
    <w:rsid w:val="00F52BBD"/>
    <w:rsid w:val="00F55F05"/>
    <w:rsid w:val="00F56D32"/>
    <w:rsid w:val="00F63359"/>
    <w:rsid w:val="00F63ECB"/>
    <w:rsid w:val="00F6645F"/>
    <w:rsid w:val="00F6745F"/>
    <w:rsid w:val="00F71484"/>
    <w:rsid w:val="00F71AB2"/>
    <w:rsid w:val="00F72940"/>
    <w:rsid w:val="00F821AE"/>
    <w:rsid w:val="00F84FA2"/>
    <w:rsid w:val="00F86DC2"/>
    <w:rsid w:val="00F8755A"/>
    <w:rsid w:val="00F8775E"/>
    <w:rsid w:val="00F9111D"/>
    <w:rsid w:val="00FA1573"/>
    <w:rsid w:val="00FA22C6"/>
    <w:rsid w:val="00FA3C48"/>
    <w:rsid w:val="00FA4F57"/>
    <w:rsid w:val="00FA6BDF"/>
    <w:rsid w:val="00FB0B71"/>
    <w:rsid w:val="00FB2860"/>
    <w:rsid w:val="00FB35E9"/>
    <w:rsid w:val="00FB65BA"/>
    <w:rsid w:val="00FC61BE"/>
    <w:rsid w:val="00FD0851"/>
    <w:rsid w:val="00FD3329"/>
    <w:rsid w:val="00FD6EEF"/>
    <w:rsid w:val="00FE4A4A"/>
    <w:rsid w:val="00FE5F25"/>
    <w:rsid w:val="00FF11E4"/>
    <w:rsid w:val="00FF21A4"/>
    <w:rsid w:val="00FF2429"/>
    <w:rsid w:val="00FF25F7"/>
    <w:rsid w:val="00FF7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D8"/>
    <w:rPr>
      <w:rFonts w:cs="Times New Roman"/>
      <w:sz w:val="22"/>
      <w:szCs w:val="22"/>
    </w:rPr>
  </w:style>
  <w:style w:type="paragraph" w:styleId="Heading1">
    <w:name w:val="heading 1"/>
    <w:basedOn w:val="Default"/>
    <w:next w:val="Normal"/>
    <w:link w:val="Heading1Char"/>
    <w:uiPriority w:val="9"/>
    <w:qFormat/>
    <w:rsid w:val="008E0BF2"/>
    <w:pPr>
      <w:numPr>
        <w:numId w:val="7"/>
      </w:numPr>
      <w:spacing w:line="480" w:lineRule="auto"/>
      <w:outlineLvl w:val="0"/>
    </w:pPr>
    <w:rPr>
      <w:b/>
    </w:rPr>
  </w:style>
  <w:style w:type="paragraph" w:styleId="Heading2">
    <w:name w:val="heading 2"/>
    <w:basedOn w:val="Default"/>
    <w:next w:val="Normal"/>
    <w:link w:val="Heading2Char"/>
    <w:uiPriority w:val="9"/>
    <w:unhideWhenUsed/>
    <w:qFormat/>
    <w:rsid w:val="008E0BF2"/>
    <w:pPr>
      <w:numPr>
        <w:numId w:val="9"/>
      </w:numPr>
      <w:spacing w:line="480" w:lineRule="auto"/>
      <w:outlineLvl w:val="1"/>
    </w:pPr>
    <w:rPr>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0BF2"/>
    <w:rPr>
      <w:rFonts w:ascii="Times New Roman" w:hAnsi="Times New Roman" w:cs="Times New Roman"/>
      <w:b/>
      <w:color w:val="000000"/>
      <w:sz w:val="24"/>
      <w:szCs w:val="24"/>
    </w:rPr>
  </w:style>
  <w:style w:type="paragraph" w:customStyle="1" w:styleId="Default">
    <w:name w:val="Default"/>
    <w:rsid w:val="00307495"/>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F3AC1"/>
    <w:pPr>
      <w:tabs>
        <w:tab w:val="center" w:pos="4680"/>
        <w:tab w:val="right" w:pos="9360"/>
      </w:tabs>
    </w:pPr>
  </w:style>
  <w:style w:type="character" w:customStyle="1" w:styleId="HeaderChar">
    <w:name w:val="Header Char"/>
    <w:basedOn w:val="DefaultParagraphFont"/>
    <w:link w:val="Header"/>
    <w:uiPriority w:val="99"/>
    <w:semiHidden/>
    <w:locked/>
    <w:rsid w:val="008F3AC1"/>
    <w:rPr>
      <w:rFonts w:cs="Times New Roman"/>
    </w:rPr>
  </w:style>
  <w:style w:type="paragraph" w:styleId="Footer">
    <w:name w:val="footer"/>
    <w:basedOn w:val="Normal"/>
    <w:link w:val="FooterChar"/>
    <w:uiPriority w:val="99"/>
    <w:unhideWhenUsed/>
    <w:rsid w:val="008F3AC1"/>
    <w:pPr>
      <w:tabs>
        <w:tab w:val="center" w:pos="4680"/>
        <w:tab w:val="right" w:pos="9360"/>
      </w:tabs>
    </w:pPr>
  </w:style>
  <w:style w:type="character" w:customStyle="1" w:styleId="FooterChar">
    <w:name w:val="Footer Char"/>
    <w:basedOn w:val="DefaultParagraphFont"/>
    <w:link w:val="Footer"/>
    <w:uiPriority w:val="99"/>
    <w:locked/>
    <w:rsid w:val="008F3AC1"/>
    <w:rPr>
      <w:rFonts w:cs="Times New Roman"/>
    </w:rPr>
  </w:style>
  <w:style w:type="paragraph" w:styleId="FootnoteText">
    <w:name w:val="footnote text"/>
    <w:basedOn w:val="Normal"/>
    <w:link w:val="FootnoteTextChar"/>
    <w:uiPriority w:val="99"/>
    <w:unhideWhenUsed/>
    <w:rsid w:val="00AA336E"/>
    <w:rPr>
      <w:sz w:val="20"/>
      <w:szCs w:val="20"/>
    </w:rPr>
  </w:style>
  <w:style w:type="character" w:customStyle="1" w:styleId="FootnoteTextChar">
    <w:name w:val="Footnote Text Char"/>
    <w:basedOn w:val="DefaultParagraphFont"/>
    <w:link w:val="FootnoteText"/>
    <w:uiPriority w:val="99"/>
    <w:locked/>
    <w:rsid w:val="00AA336E"/>
    <w:rPr>
      <w:rFonts w:cs="Times New Roman"/>
      <w:sz w:val="20"/>
      <w:szCs w:val="20"/>
    </w:rPr>
  </w:style>
  <w:style w:type="character" w:styleId="FootnoteReference">
    <w:name w:val="footnote reference"/>
    <w:basedOn w:val="DefaultParagraphFont"/>
    <w:uiPriority w:val="99"/>
    <w:semiHidden/>
    <w:unhideWhenUsed/>
    <w:rsid w:val="00AA336E"/>
    <w:rPr>
      <w:rFonts w:cs="Times New Roman"/>
      <w:vertAlign w:val="superscript"/>
    </w:rPr>
  </w:style>
  <w:style w:type="character" w:styleId="CommentReference">
    <w:name w:val="annotation reference"/>
    <w:basedOn w:val="DefaultParagraphFont"/>
    <w:uiPriority w:val="99"/>
    <w:semiHidden/>
    <w:unhideWhenUsed/>
    <w:rsid w:val="001E3638"/>
    <w:rPr>
      <w:rFonts w:cs="Times New Roman"/>
      <w:sz w:val="16"/>
      <w:szCs w:val="16"/>
    </w:rPr>
  </w:style>
  <w:style w:type="paragraph" w:styleId="CommentText">
    <w:name w:val="annotation text"/>
    <w:basedOn w:val="Normal"/>
    <w:link w:val="CommentTextChar"/>
    <w:uiPriority w:val="99"/>
    <w:semiHidden/>
    <w:unhideWhenUsed/>
    <w:rsid w:val="001E3638"/>
    <w:rPr>
      <w:sz w:val="20"/>
      <w:szCs w:val="20"/>
    </w:rPr>
  </w:style>
  <w:style w:type="character" w:customStyle="1" w:styleId="CommentTextChar">
    <w:name w:val="Comment Text Char"/>
    <w:basedOn w:val="DefaultParagraphFont"/>
    <w:link w:val="CommentText"/>
    <w:uiPriority w:val="99"/>
    <w:semiHidden/>
    <w:locked/>
    <w:rsid w:val="001E3638"/>
    <w:rPr>
      <w:rFonts w:cs="Times New Roman"/>
      <w:sz w:val="20"/>
      <w:szCs w:val="20"/>
    </w:rPr>
  </w:style>
  <w:style w:type="paragraph" w:styleId="CommentSubject">
    <w:name w:val="annotation subject"/>
    <w:basedOn w:val="CommentText"/>
    <w:next w:val="CommentText"/>
    <w:link w:val="CommentSubjectChar"/>
    <w:uiPriority w:val="99"/>
    <w:semiHidden/>
    <w:unhideWhenUsed/>
    <w:rsid w:val="001E3638"/>
    <w:rPr>
      <w:b/>
      <w:bCs/>
    </w:rPr>
  </w:style>
  <w:style w:type="character" w:customStyle="1" w:styleId="CommentSubjectChar">
    <w:name w:val="Comment Subject Char"/>
    <w:basedOn w:val="CommentTextChar"/>
    <w:link w:val="CommentSubject"/>
    <w:uiPriority w:val="99"/>
    <w:semiHidden/>
    <w:locked/>
    <w:rsid w:val="001E3638"/>
    <w:rPr>
      <w:b/>
      <w:bCs/>
    </w:rPr>
  </w:style>
  <w:style w:type="paragraph" w:styleId="BalloonText">
    <w:name w:val="Balloon Text"/>
    <w:basedOn w:val="Normal"/>
    <w:link w:val="BalloonTextChar"/>
    <w:uiPriority w:val="99"/>
    <w:semiHidden/>
    <w:unhideWhenUsed/>
    <w:rsid w:val="001E36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638"/>
    <w:rPr>
      <w:rFonts w:ascii="Tahoma" w:hAnsi="Tahoma" w:cs="Tahoma"/>
      <w:sz w:val="16"/>
      <w:szCs w:val="16"/>
    </w:rPr>
  </w:style>
  <w:style w:type="character" w:styleId="Hyperlink">
    <w:name w:val="Hyperlink"/>
    <w:basedOn w:val="DefaultParagraphFont"/>
    <w:uiPriority w:val="99"/>
    <w:unhideWhenUsed/>
    <w:rsid w:val="00B76B02"/>
    <w:rPr>
      <w:rFonts w:cs="Times New Roman"/>
      <w:color w:val="0000FF"/>
      <w:u w:val="single"/>
    </w:rPr>
  </w:style>
  <w:style w:type="paragraph" w:styleId="TOCHeading">
    <w:name w:val="TOC Heading"/>
    <w:basedOn w:val="Normal"/>
    <w:next w:val="Normal"/>
    <w:uiPriority w:val="39"/>
    <w:unhideWhenUsed/>
    <w:qFormat/>
    <w:rsid w:val="00697BD8"/>
    <w:pPr>
      <w:autoSpaceDE w:val="0"/>
      <w:autoSpaceDN w:val="0"/>
      <w:adjustRightInd w:val="0"/>
      <w:jc w:val="center"/>
    </w:pPr>
    <w:rPr>
      <w:rFonts w:ascii="Times New Roman" w:hAnsi="Times New Roman"/>
      <w:b/>
      <w:bCs/>
      <w:color w:val="000000"/>
      <w:sz w:val="24"/>
      <w:szCs w:val="24"/>
    </w:rPr>
  </w:style>
  <w:style w:type="character" w:customStyle="1" w:styleId="starpage">
    <w:name w:val="starpage"/>
    <w:basedOn w:val="DefaultParagraphFont"/>
    <w:rsid w:val="006850A6"/>
    <w:rPr>
      <w:rFonts w:cs="Times New Roman"/>
    </w:rPr>
  </w:style>
  <w:style w:type="paragraph" w:customStyle="1" w:styleId="BriefText">
    <w:name w:val="Brief Text"/>
    <w:basedOn w:val="NormalWeb"/>
    <w:link w:val="BriefTextChar1"/>
    <w:qFormat/>
    <w:rsid w:val="00C13885"/>
    <w:pPr>
      <w:spacing w:line="480" w:lineRule="auto"/>
      <w:ind w:firstLine="720"/>
    </w:pPr>
    <w:rPr>
      <w:rFonts w:eastAsia="Calibri"/>
    </w:rPr>
  </w:style>
  <w:style w:type="paragraph" w:customStyle="1" w:styleId="BriefSubtitle">
    <w:name w:val="Brief Subtitle"/>
    <w:basedOn w:val="BriefText"/>
    <w:link w:val="BriefSubtitleChar"/>
    <w:qFormat/>
    <w:rsid w:val="00C13885"/>
    <w:pPr>
      <w:keepNext/>
      <w:keepLines/>
      <w:ind w:firstLine="0"/>
      <w:jc w:val="center"/>
    </w:pPr>
    <w:rPr>
      <w:b/>
      <w:u w:val="single"/>
    </w:rPr>
  </w:style>
  <w:style w:type="character" w:customStyle="1" w:styleId="BriefTextChar1">
    <w:name w:val="Brief Text Char1"/>
    <w:basedOn w:val="DefaultParagraphFont"/>
    <w:link w:val="BriefText"/>
    <w:rsid w:val="00C13885"/>
    <w:rPr>
      <w:rFonts w:ascii="Times New Roman" w:eastAsia="Calibri" w:hAnsi="Times New Roman" w:cs="Times New Roman"/>
      <w:sz w:val="24"/>
      <w:szCs w:val="24"/>
    </w:rPr>
  </w:style>
  <w:style w:type="character" w:customStyle="1" w:styleId="BriefSubtitleChar">
    <w:name w:val="Brief Subtitle Char"/>
    <w:basedOn w:val="BriefTextChar1"/>
    <w:link w:val="BriefSubtitle"/>
    <w:rsid w:val="00C13885"/>
    <w:rPr>
      <w:b/>
      <w:u w:val="single"/>
    </w:rPr>
  </w:style>
  <w:style w:type="paragraph" w:styleId="NormalWeb">
    <w:name w:val="Normal (Web)"/>
    <w:basedOn w:val="Normal"/>
    <w:uiPriority w:val="99"/>
    <w:semiHidden/>
    <w:unhideWhenUsed/>
    <w:rsid w:val="00C13885"/>
    <w:rPr>
      <w:rFonts w:ascii="Times New Roman" w:hAnsi="Times New Roman"/>
      <w:sz w:val="24"/>
      <w:szCs w:val="24"/>
    </w:rPr>
  </w:style>
  <w:style w:type="paragraph" w:styleId="Title">
    <w:name w:val="Title"/>
    <w:basedOn w:val="Default"/>
    <w:next w:val="Normal"/>
    <w:link w:val="TitleChar"/>
    <w:uiPriority w:val="10"/>
    <w:qFormat/>
    <w:rsid w:val="00697BD8"/>
    <w:pPr>
      <w:jc w:val="center"/>
    </w:pPr>
    <w:rPr>
      <w:b/>
      <w:color w:val="auto"/>
    </w:rPr>
  </w:style>
  <w:style w:type="character" w:customStyle="1" w:styleId="TitleChar">
    <w:name w:val="Title Char"/>
    <w:basedOn w:val="DefaultParagraphFont"/>
    <w:link w:val="Title"/>
    <w:uiPriority w:val="10"/>
    <w:rsid w:val="00697BD8"/>
    <w:rPr>
      <w:rFonts w:ascii="Times New Roman" w:hAnsi="Times New Roman" w:cs="Times New Roman"/>
      <w:b/>
      <w:sz w:val="24"/>
      <w:szCs w:val="24"/>
    </w:rPr>
  </w:style>
  <w:style w:type="paragraph" w:styleId="TableofAuthorities">
    <w:name w:val="table of authorities"/>
    <w:basedOn w:val="Default"/>
    <w:next w:val="Normal"/>
    <w:uiPriority w:val="99"/>
    <w:unhideWhenUsed/>
    <w:rsid w:val="00697BD8"/>
    <w:pPr>
      <w:jc w:val="center"/>
    </w:pPr>
    <w:rPr>
      <w:b/>
      <w:bCs/>
      <w:color w:val="auto"/>
    </w:rPr>
  </w:style>
  <w:style w:type="character" w:customStyle="1" w:styleId="Heading2Char">
    <w:name w:val="Heading 2 Char"/>
    <w:basedOn w:val="DefaultParagraphFont"/>
    <w:link w:val="Heading2"/>
    <w:uiPriority w:val="9"/>
    <w:rsid w:val="008E0BF2"/>
    <w:rPr>
      <w:rFonts w:ascii="Times New Roman" w:hAnsi="Times New Roman" w:cs="Times New Roman"/>
      <w:iCs/>
      <w:sz w:val="24"/>
      <w:szCs w:val="24"/>
      <w:u w:val="single"/>
    </w:rPr>
  </w:style>
</w:styles>
</file>

<file path=word/webSettings.xml><?xml version="1.0" encoding="utf-8"?>
<w:webSettings xmlns:r="http://schemas.openxmlformats.org/officeDocument/2006/relationships" xmlns:w="http://schemas.openxmlformats.org/wordprocessingml/2006/main">
  <w:divs>
    <w:div w:id="239872019">
      <w:bodyDiv w:val="1"/>
      <w:marLeft w:val="30"/>
      <w:marRight w:val="30"/>
      <w:marTop w:val="30"/>
      <w:marBottom w:val="30"/>
      <w:divBdr>
        <w:top w:val="none" w:sz="0" w:space="0" w:color="auto"/>
        <w:left w:val="none" w:sz="0" w:space="0" w:color="auto"/>
        <w:bottom w:val="none" w:sz="0" w:space="0" w:color="auto"/>
        <w:right w:val="none" w:sz="0" w:space="0" w:color="auto"/>
      </w:divBdr>
      <w:divsChild>
        <w:div w:id="2065134093">
          <w:marLeft w:val="0"/>
          <w:marRight w:val="0"/>
          <w:marTop w:val="0"/>
          <w:marBottom w:val="0"/>
          <w:divBdr>
            <w:top w:val="none" w:sz="0" w:space="0" w:color="auto"/>
            <w:left w:val="none" w:sz="0" w:space="0" w:color="auto"/>
            <w:bottom w:val="none" w:sz="0" w:space="0" w:color="auto"/>
            <w:right w:val="none" w:sz="0" w:space="0" w:color="auto"/>
          </w:divBdr>
          <w:divsChild>
            <w:div w:id="866673841">
              <w:marLeft w:val="45"/>
              <w:marRight w:val="45"/>
              <w:marTop w:val="45"/>
              <w:marBottom w:val="45"/>
              <w:divBdr>
                <w:top w:val="none" w:sz="0" w:space="0" w:color="auto"/>
                <w:left w:val="none" w:sz="0" w:space="0" w:color="auto"/>
                <w:bottom w:val="none" w:sz="0" w:space="0" w:color="auto"/>
                <w:right w:val="none" w:sz="0" w:space="0" w:color="auto"/>
              </w:divBdr>
              <w:divsChild>
                <w:div w:id="1149521793">
                  <w:marLeft w:val="0"/>
                  <w:marRight w:val="0"/>
                  <w:marTop w:val="0"/>
                  <w:marBottom w:val="0"/>
                  <w:divBdr>
                    <w:top w:val="none" w:sz="0" w:space="0" w:color="auto"/>
                    <w:left w:val="none" w:sz="0" w:space="0" w:color="auto"/>
                    <w:bottom w:val="none" w:sz="0" w:space="0" w:color="auto"/>
                    <w:right w:val="none" w:sz="0" w:space="0" w:color="auto"/>
                  </w:divBdr>
                  <w:divsChild>
                    <w:div w:id="1771120900">
                      <w:marLeft w:val="0"/>
                      <w:marRight w:val="0"/>
                      <w:marTop w:val="0"/>
                      <w:marBottom w:val="0"/>
                      <w:divBdr>
                        <w:top w:val="none" w:sz="0" w:space="0" w:color="auto"/>
                        <w:left w:val="none" w:sz="0" w:space="0" w:color="auto"/>
                        <w:bottom w:val="none" w:sz="0" w:space="0" w:color="auto"/>
                        <w:right w:val="none" w:sz="0" w:space="0" w:color="auto"/>
                      </w:divBdr>
                    </w:div>
                    <w:div w:id="5123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4281">
      <w:marLeft w:val="0"/>
      <w:marRight w:val="0"/>
      <w:marTop w:val="0"/>
      <w:marBottom w:val="0"/>
      <w:divBdr>
        <w:top w:val="none" w:sz="0" w:space="0" w:color="auto"/>
        <w:left w:val="none" w:sz="0" w:space="0" w:color="auto"/>
        <w:bottom w:val="none" w:sz="0" w:space="0" w:color="auto"/>
        <w:right w:val="none" w:sz="0" w:space="0" w:color="auto"/>
      </w:divBdr>
      <w:divsChild>
        <w:div w:id="872424283">
          <w:marLeft w:val="48"/>
          <w:marRight w:val="0"/>
          <w:marTop w:val="0"/>
          <w:marBottom w:val="0"/>
          <w:divBdr>
            <w:top w:val="none" w:sz="0" w:space="0" w:color="auto"/>
            <w:left w:val="none" w:sz="0" w:space="0" w:color="auto"/>
            <w:bottom w:val="none" w:sz="0" w:space="0" w:color="auto"/>
            <w:right w:val="none" w:sz="0" w:space="0" w:color="auto"/>
          </w:divBdr>
        </w:div>
      </w:divsChild>
    </w:div>
    <w:div w:id="872424282">
      <w:marLeft w:val="0"/>
      <w:marRight w:val="0"/>
      <w:marTop w:val="0"/>
      <w:marBottom w:val="0"/>
      <w:divBdr>
        <w:top w:val="none" w:sz="0" w:space="0" w:color="auto"/>
        <w:left w:val="none" w:sz="0" w:space="0" w:color="auto"/>
        <w:bottom w:val="none" w:sz="0" w:space="0" w:color="auto"/>
        <w:right w:val="none" w:sz="0" w:space="0" w:color="auto"/>
      </w:divBdr>
      <w:divsChild>
        <w:div w:id="872424304">
          <w:marLeft w:val="48"/>
          <w:marRight w:val="0"/>
          <w:marTop w:val="0"/>
          <w:marBottom w:val="0"/>
          <w:divBdr>
            <w:top w:val="none" w:sz="0" w:space="0" w:color="auto"/>
            <w:left w:val="none" w:sz="0" w:space="0" w:color="auto"/>
            <w:bottom w:val="none" w:sz="0" w:space="0" w:color="auto"/>
            <w:right w:val="none" w:sz="0" w:space="0" w:color="auto"/>
          </w:divBdr>
        </w:div>
      </w:divsChild>
    </w:div>
    <w:div w:id="872424286">
      <w:marLeft w:val="0"/>
      <w:marRight w:val="0"/>
      <w:marTop w:val="0"/>
      <w:marBottom w:val="0"/>
      <w:divBdr>
        <w:top w:val="none" w:sz="0" w:space="0" w:color="auto"/>
        <w:left w:val="none" w:sz="0" w:space="0" w:color="auto"/>
        <w:bottom w:val="none" w:sz="0" w:space="0" w:color="auto"/>
        <w:right w:val="none" w:sz="0" w:space="0" w:color="auto"/>
      </w:divBdr>
      <w:divsChild>
        <w:div w:id="872424298">
          <w:marLeft w:val="48"/>
          <w:marRight w:val="0"/>
          <w:marTop w:val="0"/>
          <w:marBottom w:val="0"/>
          <w:divBdr>
            <w:top w:val="none" w:sz="0" w:space="0" w:color="auto"/>
            <w:left w:val="none" w:sz="0" w:space="0" w:color="auto"/>
            <w:bottom w:val="none" w:sz="0" w:space="0" w:color="auto"/>
            <w:right w:val="none" w:sz="0" w:space="0" w:color="auto"/>
          </w:divBdr>
          <w:divsChild>
            <w:div w:id="8724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4287">
      <w:marLeft w:val="0"/>
      <w:marRight w:val="0"/>
      <w:marTop w:val="0"/>
      <w:marBottom w:val="0"/>
      <w:divBdr>
        <w:top w:val="none" w:sz="0" w:space="0" w:color="auto"/>
        <w:left w:val="none" w:sz="0" w:space="0" w:color="auto"/>
        <w:bottom w:val="none" w:sz="0" w:space="0" w:color="auto"/>
        <w:right w:val="none" w:sz="0" w:space="0" w:color="auto"/>
      </w:divBdr>
      <w:divsChild>
        <w:div w:id="872424295">
          <w:marLeft w:val="48"/>
          <w:marRight w:val="0"/>
          <w:marTop w:val="0"/>
          <w:marBottom w:val="0"/>
          <w:divBdr>
            <w:top w:val="none" w:sz="0" w:space="0" w:color="auto"/>
            <w:left w:val="none" w:sz="0" w:space="0" w:color="auto"/>
            <w:bottom w:val="none" w:sz="0" w:space="0" w:color="auto"/>
            <w:right w:val="none" w:sz="0" w:space="0" w:color="auto"/>
          </w:divBdr>
          <w:divsChild>
            <w:div w:id="8724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4290">
      <w:marLeft w:val="0"/>
      <w:marRight w:val="0"/>
      <w:marTop w:val="0"/>
      <w:marBottom w:val="0"/>
      <w:divBdr>
        <w:top w:val="none" w:sz="0" w:space="0" w:color="auto"/>
        <w:left w:val="none" w:sz="0" w:space="0" w:color="auto"/>
        <w:bottom w:val="none" w:sz="0" w:space="0" w:color="auto"/>
        <w:right w:val="none" w:sz="0" w:space="0" w:color="auto"/>
      </w:divBdr>
      <w:divsChild>
        <w:div w:id="872424285">
          <w:marLeft w:val="48"/>
          <w:marRight w:val="0"/>
          <w:marTop w:val="0"/>
          <w:marBottom w:val="0"/>
          <w:divBdr>
            <w:top w:val="none" w:sz="0" w:space="0" w:color="auto"/>
            <w:left w:val="none" w:sz="0" w:space="0" w:color="auto"/>
            <w:bottom w:val="none" w:sz="0" w:space="0" w:color="auto"/>
            <w:right w:val="none" w:sz="0" w:space="0" w:color="auto"/>
          </w:divBdr>
        </w:div>
      </w:divsChild>
    </w:div>
    <w:div w:id="872424292">
      <w:marLeft w:val="0"/>
      <w:marRight w:val="0"/>
      <w:marTop w:val="0"/>
      <w:marBottom w:val="0"/>
      <w:divBdr>
        <w:top w:val="none" w:sz="0" w:space="0" w:color="auto"/>
        <w:left w:val="none" w:sz="0" w:space="0" w:color="auto"/>
        <w:bottom w:val="none" w:sz="0" w:space="0" w:color="auto"/>
        <w:right w:val="none" w:sz="0" w:space="0" w:color="auto"/>
      </w:divBdr>
      <w:divsChild>
        <w:div w:id="872424284">
          <w:marLeft w:val="48"/>
          <w:marRight w:val="0"/>
          <w:marTop w:val="0"/>
          <w:marBottom w:val="0"/>
          <w:divBdr>
            <w:top w:val="none" w:sz="0" w:space="0" w:color="auto"/>
            <w:left w:val="none" w:sz="0" w:space="0" w:color="auto"/>
            <w:bottom w:val="none" w:sz="0" w:space="0" w:color="auto"/>
            <w:right w:val="none" w:sz="0" w:space="0" w:color="auto"/>
          </w:divBdr>
        </w:div>
      </w:divsChild>
    </w:div>
    <w:div w:id="872424297">
      <w:marLeft w:val="33"/>
      <w:marRight w:val="33"/>
      <w:marTop w:val="33"/>
      <w:marBottom w:val="33"/>
      <w:divBdr>
        <w:top w:val="none" w:sz="0" w:space="0" w:color="auto"/>
        <w:left w:val="none" w:sz="0" w:space="0" w:color="auto"/>
        <w:bottom w:val="none" w:sz="0" w:space="0" w:color="auto"/>
        <w:right w:val="none" w:sz="0" w:space="0" w:color="auto"/>
      </w:divBdr>
      <w:divsChild>
        <w:div w:id="872424288">
          <w:marLeft w:val="0"/>
          <w:marRight w:val="0"/>
          <w:marTop w:val="0"/>
          <w:marBottom w:val="0"/>
          <w:divBdr>
            <w:top w:val="none" w:sz="0" w:space="0" w:color="auto"/>
            <w:left w:val="none" w:sz="0" w:space="0" w:color="auto"/>
            <w:bottom w:val="none" w:sz="0" w:space="0" w:color="auto"/>
            <w:right w:val="none" w:sz="0" w:space="0" w:color="auto"/>
          </w:divBdr>
          <w:divsChild>
            <w:div w:id="872424289">
              <w:marLeft w:val="50"/>
              <w:marRight w:val="50"/>
              <w:marTop w:val="50"/>
              <w:marBottom w:val="50"/>
              <w:divBdr>
                <w:top w:val="none" w:sz="0" w:space="0" w:color="auto"/>
                <w:left w:val="none" w:sz="0" w:space="0" w:color="auto"/>
                <w:bottom w:val="none" w:sz="0" w:space="0" w:color="auto"/>
                <w:right w:val="none" w:sz="0" w:space="0" w:color="auto"/>
              </w:divBdr>
              <w:divsChild>
                <w:div w:id="872424293">
                  <w:marLeft w:val="0"/>
                  <w:marRight w:val="0"/>
                  <w:marTop w:val="0"/>
                  <w:marBottom w:val="0"/>
                  <w:divBdr>
                    <w:top w:val="none" w:sz="0" w:space="0" w:color="auto"/>
                    <w:left w:val="none" w:sz="0" w:space="0" w:color="auto"/>
                    <w:bottom w:val="none" w:sz="0" w:space="0" w:color="auto"/>
                    <w:right w:val="none" w:sz="0" w:space="0" w:color="auto"/>
                  </w:divBdr>
                  <w:divsChild>
                    <w:div w:id="8724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4299">
      <w:marLeft w:val="0"/>
      <w:marRight w:val="0"/>
      <w:marTop w:val="0"/>
      <w:marBottom w:val="0"/>
      <w:divBdr>
        <w:top w:val="none" w:sz="0" w:space="0" w:color="auto"/>
        <w:left w:val="none" w:sz="0" w:space="0" w:color="auto"/>
        <w:bottom w:val="none" w:sz="0" w:space="0" w:color="auto"/>
        <w:right w:val="none" w:sz="0" w:space="0" w:color="auto"/>
      </w:divBdr>
      <w:divsChild>
        <w:div w:id="872424302">
          <w:marLeft w:val="48"/>
          <w:marRight w:val="0"/>
          <w:marTop w:val="0"/>
          <w:marBottom w:val="0"/>
          <w:divBdr>
            <w:top w:val="none" w:sz="0" w:space="0" w:color="auto"/>
            <w:left w:val="none" w:sz="0" w:space="0" w:color="auto"/>
            <w:bottom w:val="none" w:sz="0" w:space="0" w:color="auto"/>
            <w:right w:val="none" w:sz="0" w:space="0" w:color="auto"/>
          </w:divBdr>
          <w:divsChild>
            <w:div w:id="8724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4300">
      <w:marLeft w:val="0"/>
      <w:marRight w:val="0"/>
      <w:marTop w:val="0"/>
      <w:marBottom w:val="0"/>
      <w:divBdr>
        <w:top w:val="none" w:sz="0" w:space="0" w:color="auto"/>
        <w:left w:val="none" w:sz="0" w:space="0" w:color="auto"/>
        <w:bottom w:val="none" w:sz="0" w:space="0" w:color="auto"/>
        <w:right w:val="none" w:sz="0" w:space="0" w:color="auto"/>
      </w:divBdr>
    </w:div>
    <w:div w:id="872424303">
      <w:marLeft w:val="0"/>
      <w:marRight w:val="0"/>
      <w:marTop w:val="0"/>
      <w:marBottom w:val="0"/>
      <w:divBdr>
        <w:top w:val="none" w:sz="0" w:space="0" w:color="auto"/>
        <w:left w:val="none" w:sz="0" w:space="0" w:color="auto"/>
        <w:bottom w:val="none" w:sz="0" w:space="0" w:color="auto"/>
        <w:right w:val="none" w:sz="0" w:space="0" w:color="auto"/>
      </w:divBdr>
      <w:divsChild>
        <w:div w:id="872424305">
          <w:marLeft w:val="48"/>
          <w:marRight w:val="0"/>
          <w:marTop w:val="0"/>
          <w:marBottom w:val="0"/>
          <w:divBdr>
            <w:top w:val="none" w:sz="0" w:space="0" w:color="auto"/>
            <w:left w:val="none" w:sz="0" w:space="0" w:color="auto"/>
            <w:bottom w:val="none" w:sz="0" w:space="0" w:color="auto"/>
            <w:right w:val="none" w:sz="0" w:space="0" w:color="auto"/>
          </w:divBdr>
        </w:div>
      </w:divsChild>
    </w:div>
    <w:div w:id="872424307">
      <w:marLeft w:val="0"/>
      <w:marRight w:val="0"/>
      <w:marTop w:val="0"/>
      <w:marBottom w:val="0"/>
      <w:divBdr>
        <w:top w:val="none" w:sz="0" w:space="0" w:color="auto"/>
        <w:left w:val="none" w:sz="0" w:space="0" w:color="auto"/>
        <w:bottom w:val="none" w:sz="0" w:space="0" w:color="auto"/>
        <w:right w:val="none" w:sz="0" w:space="0" w:color="auto"/>
      </w:divBdr>
      <w:divsChild>
        <w:div w:id="872424308">
          <w:marLeft w:val="48"/>
          <w:marRight w:val="0"/>
          <w:marTop w:val="0"/>
          <w:marBottom w:val="0"/>
          <w:divBdr>
            <w:top w:val="none" w:sz="0" w:space="0" w:color="auto"/>
            <w:left w:val="none" w:sz="0" w:space="0" w:color="auto"/>
            <w:bottom w:val="none" w:sz="0" w:space="0" w:color="auto"/>
            <w:right w:val="none" w:sz="0" w:space="0" w:color="auto"/>
          </w:divBdr>
          <w:divsChild>
            <w:div w:id="8724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4790</Words>
  <Characters>29994</Characters>
  <Application>Microsoft Office Word</Application>
  <DocSecurity>0</DocSecurity>
  <Lines>249</Lines>
  <Paragraphs>69</Paragraphs>
  <ScaleCrop>false</ScaleCrop>
  <Company/>
  <LinksUpToDate>false</LinksUpToDate>
  <CharactersWithSpaces>34715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2015-04-01T16:48:00Z</dcterms:created>
  <dcterms:modified xsi:type="dcterms:W3CDTF">2015-04-01T16:58:00Z</dcterms:modified>
</cp:coreProperties>
</file>