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0B" w:rsidRDefault="000A6E0B" w:rsidP="004B4E15"/>
    <w:p w:rsidR="000A6E0B" w:rsidRDefault="000A6E0B" w:rsidP="004B4E15"/>
    <w:p w:rsidR="004B4E15" w:rsidRDefault="004929C4" w:rsidP="004B4E15">
      <w:pPr>
        <w:sectPr w:rsidR="004B4E15" w:rsidSect="00C25630">
          <w:headerReference w:type="default" r:id="rId7"/>
          <w:footerReference w:type="default" r:id="rId8"/>
          <w:headerReference w:type="first" r:id="rId9"/>
          <w:footerReference w:type="first" r:id="rId10"/>
          <w:pgSz w:w="12240" w:h="15840"/>
          <w:pgMar w:top="432" w:right="1440" w:bottom="1440" w:left="1440" w:header="432" w:footer="720" w:gutter="0"/>
          <w:cols w:space="720"/>
          <w:titlePg/>
          <w:docGrid w:linePitch="360"/>
        </w:sectPr>
      </w:pPr>
      <w:r w:rsidRPr="004929C4">
        <w:rPr>
          <w:noProof/>
        </w:rPr>
        <w:drawing>
          <wp:anchor distT="57150" distB="57150" distL="57150" distR="57150" simplePos="0" relativeHeight="251659264" behindDoc="0" locked="0" layoutInCell="0" allowOverlap="1">
            <wp:simplePos x="0" y="0"/>
            <wp:positionH relativeFrom="margin">
              <wp:posOffset>-46355</wp:posOffset>
            </wp:positionH>
            <wp:positionV relativeFrom="margin">
              <wp:posOffset>-1442085</wp:posOffset>
            </wp:positionV>
            <wp:extent cx="954405" cy="78359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p>
    <w:p w:rsidR="000A6E0B" w:rsidRDefault="000A6E0B" w:rsidP="000A6E0B">
      <w:bookmarkStart w:id="0" w:name="Indicator"/>
      <w:bookmarkEnd w:id="0"/>
    </w:p>
    <w:p w:rsidR="00E653FB" w:rsidRDefault="00E653FB" w:rsidP="000A6E0B">
      <w:r>
        <w:t xml:space="preserve">Governor Christine O. </w:t>
      </w:r>
      <w:proofErr w:type="spellStart"/>
      <w:r>
        <w:t>Gregoire</w:t>
      </w:r>
      <w:proofErr w:type="spellEnd"/>
    </w:p>
    <w:p w:rsidR="000A6E0B" w:rsidRDefault="00E653FB" w:rsidP="000A6E0B">
      <w:r>
        <w:t>State of Washington</w:t>
      </w:r>
    </w:p>
    <w:p w:rsidR="000A6E0B" w:rsidRDefault="000A6E0B" w:rsidP="000A6E0B">
      <w:r>
        <w:t>Office of the Gov</w:t>
      </w:r>
      <w:r w:rsidR="00F70505">
        <w:t>ernor</w:t>
      </w:r>
      <w:r w:rsidR="00F70505">
        <w:br/>
        <w:t>P.O. Box 40002</w:t>
      </w:r>
      <w:r w:rsidR="00F70505">
        <w:br/>
        <w:t>Olympia, Washington</w:t>
      </w:r>
      <w:r>
        <w:t xml:space="preserve"> 98504-0002</w:t>
      </w:r>
    </w:p>
    <w:p w:rsidR="000A6E0B" w:rsidRDefault="000A6E0B" w:rsidP="000A6E0B"/>
    <w:p w:rsidR="000A6E0B" w:rsidRDefault="000A6E0B" w:rsidP="000A6E0B">
      <w:r>
        <w:t xml:space="preserve">Dear </w:t>
      </w:r>
      <w:r w:rsidR="00E653FB">
        <w:t>Gov</w:t>
      </w:r>
      <w:r w:rsidR="004C67B2">
        <w:t>ernor</w:t>
      </w:r>
      <w:r w:rsidR="00E653FB">
        <w:t xml:space="preserve"> </w:t>
      </w:r>
      <w:proofErr w:type="spellStart"/>
      <w:r w:rsidR="00E653FB">
        <w:t>Gregoire</w:t>
      </w:r>
      <w:proofErr w:type="spellEnd"/>
      <w:r>
        <w:t>:</w:t>
      </w:r>
    </w:p>
    <w:p w:rsidR="00E653FB" w:rsidRDefault="00E653FB" w:rsidP="00E653FB">
      <w:pPr>
        <w:ind w:firstLine="720"/>
      </w:pPr>
    </w:p>
    <w:p w:rsidR="005D2985" w:rsidRDefault="00E653FB" w:rsidP="005D2985">
      <w:pPr>
        <w:ind w:firstLine="720"/>
      </w:pPr>
      <w:r>
        <w:t xml:space="preserve">This letter </w:t>
      </w:r>
      <w:r w:rsidR="00A40706">
        <w:t>responds</w:t>
      </w:r>
      <w:r>
        <w:t xml:space="preserve"> to your letter dated October 18, 2012, regarding Washington State’s March 201</w:t>
      </w:r>
      <w:r w:rsidR="00F70505">
        <w:t>1</w:t>
      </w:r>
      <w:r>
        <w:t xml:space="preserve"> reduction in personal care services, proposed changes to the State’s Exception to the Rule (“ETR”) process to ensure that individuals with disabilities are not placed at serious risk of institutionalization and other negative outcomes, and </w:t>
      </w:r>
      <w:r w:rsidR="009A4E3B">
        <w:t xml:space="preserve">request for </w:t>
      </w:r>
      <w:r>
        <w:t xml:space="preserve">clarification </w:t>
      </w:r>
      <w:r w:rsidR="005B1EF9">
        <w:t>regarding the</w:t>
      </w:r>
      <w:r>
        <w:t xml:space="preserve"> State’s </w:t>
      </w:r>
      <w:r w:rsidR="00F70505">
        <w:t xml:space="preserve">compliance with its </w:t>
      </w:r>
      <w:r>
        <w:t xml:space="preserve">obligations under the Americans with Disabilities Act (“ADA”), as interpreted by the Supreme Court’s decision in </w:t>
      </w:r>
      <w:r w:rsidRPr="001B63A5">
        <w:rPr>
          <w:i/>
        </w:rPr>
        <w:t>Olmstead v. L.C</w:t>
      </w:r>
      <w:r>
        <w:rPr>
          <w:i/>
        </w:rPr>
        <w:t>.</w:t>
      </w:r>
      <w:r>
        <w:t>, 527 U.S. 581 (1999).</w:t>
      </w:r>
    </w:p>
    <w:p w:rsidR="005D2985" w:rsidRDefault="005D2985" w:rsidP="005D2985">
      <w:pPr>
        <w:ind w:firstLine="720"/>
      </w:pPr>
    </w:p>
    <w:p w:rsidR="00791659" w:rsidRPr="00556BEB" w:rsidRDefault="004C67B2">
      <w:pPr>
        <w:ind w:firstLine="720"/>
        <w:rPr>
          <w:color w:val="FF0000"/>
        </w:rPr>
      </w:pPr>
      <w:r>
        <w:t xml:space="preserve">We appreciate your commitment to providing community based services for people with disabilities, and we recognize </w:t>
      </w:r>
      <w:r w:rsidR="00515458">
        <w:t xml:space="preserve">that Washington State </w:t>
      </w:r>
      <w:r w:rsidR="00974F40">
        <w:t xml:space="preserve">has been committed to </w:t>
      </w:r>
      <w:r w:rsidR="00DB6961">
        <w:t>providing these services over many years.</w:t>
      </w:r>
      <w:r w:rsidR="00515458">
        <w:t xml:space="preserve"> We also recognize that </w:t>
      </w:r>
      <w:r>
        <w:t>Washington and other states are confronting</w:t>
      </w:r>
      <w:r w:rsidR="00515458">
        <w:t xml:space="preserve"> serious fiscal challenges at this time</w:t>
      </w:r>
      <w:r>
        <w:t>.</w:t>
      </w:r>
      <w:r w:rsidR="00515458">
        <w:t xml:space="preserve">  We want to make clear that t</w:t>
      </w:r>
      <w:r w:rsidR="00FD37EF">
        <w:t xml:space="preserve">he ADA and </w:t>
      </w:r>
      <w:proofErr w:type="gramStart"/>
      <w:r w:rsidR="00FD37EF">
        <w:rPr>
          <w:i/>
        </w:rPr>
        <w:t>Olmstead</w:t>
      </w:r>
      <w:r w:rsidR="00515458">
        <w:t>,</w:t>
      </w:r>
      <w:proofErr w:type="gramEnd"/>
      <w:r w:rsidR="00515458">
        <w:t xml:space="preserve"> </w:t>
      </w:r>
      <w:r w:rsidR="00974F40">
        <w:t>do not prohibit all reductions in</w:t>
      </w:r>
      <w:r w:rsidR="00216BE6">
        <w:t xml:space="preserve"> </w:t>
      </w:r>
      <w:r w:rsidR="0071488F">
        <w:t>these</w:t>
      </w:r>
      <w:r w:rsidR="0071488F">
        <w:t xml:space="preserve"> </w:t>
      </w:r>
      <w:r w:rsidR="00FD37EF">
        <w:t xml:space="preserve">services to people with disabilities.  As stated in the enclosed June 2011 “Statement of the Department of Justice on Enforcement of the Integration Mandate of Title II of the Americans with Disabilities Act and </w:t>
      </w:r>
      <w:r w:rsidR="00FD37EF" w:rsidRPr="00556BEB">
        <w:rPr>
          <w:i/>
        </w:rPr>
        <w:t>Olmstead v. L.C.</w:t>
      </w:r>
      <w:r w:rsidR="00FD37EF" w:rsidRPr="00556BEB">
        <w:t xml:space="preserve">,” public entities may reduce </w:t>
      </w:r>
      <w:r w:rsidR="0071488F">
        <w:t>these</w:t>
      </w:r>
      <w:r w:rsidR="0071488F">
        <w:t xml:space="preserve"> </w:t>
      </w:r>
      <w:r w:rsidR="00FD37EF" w:rsidRPr="00556BEB">
        <w:t xml:space="preserve">services for people with disabilities consistent with </w:t>
      </w:r>
      <w:r w:rsidR="00FD37EF" w:rsidRPr="00556BEB">
        <w:rPr>
          <w:i/>
        </w:rPr>
        <w:t>Olmstead</w:t>
      </w:r>
      <w:r w:rsidR="00FD37EF" w:rsidRPr="00556BEB">
        <w:t xml:space="preserve"> </w:t>
      </w:r>
      <w:r w:rsidR="00515458" w:rsidRPr="00556BEB">
        <w:t xml:space="preserve">as </w:t>
      </w:r>
      <w:r w:rsidR="00FD37EF" w:rsidRPr="00556BEB">
        <w:t xml:space="preserve">long as the implementation of those service reductions do not place individuals at serious risk of institutionalization or segregation. </w:t>
      </w:r>
      <w:r w:rsidR="006458A8" w:rsidRPr="00556BEB">
        <w:t xml:space="preserve"> </w:t>
      </w:r>
      <w:r w:rsidR="00C44D5B" w:rsidRPr="00556BEB">
        <w:t>In particular, when a service reduction is combined with a process to ensure that there is no such risk, based on all relevant information, the reduction could be compliant with the ADA.</w:t>
      </w:r>
    </w:p>
    <w:p w:rsidR="00791659" w:rsidRPr="00556BEB" w:rsidRDefault="00791659"/>
    <w:p w:rsidR="00FD37EF" w:rsidRPr="00556BEB" w:rsidRDefault="008D0CCB" w:rsidP="00FD37EF">
      <w:pPr>
        <w:ind w:firstLine="720"/>
      </w:pPr>
      <w:r w:rsidRPr="00556BEB">
        <w:t xml:space="preserve">Regardless of the State’s decisions regarding the </w:t>
      </w:r>
      <w:r w:rsidR="00C44D5B" w:rsidRPr="00556BEB">
        <w:rPr>
          <w:i/>
        </w:rPr>
        <w:t>M.R. v. Dreyfus</w:t>
      </w:r>
      <w:r w:rsidRPr="00556BEB">
        <w:t xml:space="preserve"> litigation, t</w:t>
      </w:r>
      <w:r w:rsidR="00FD37EF" w:rsidRPr="00556BEB">
        <w:t xml:space="preserve">he United States’ position is not, and never has been, that states may </w:t>
      </w:r>
      <w:r w:rsidR="00EA34C1" w:rsidRPr="00556BEB">
        <w:t xml:space="preserve">not </w:t>
      </w:r>
      <w:r w:rsidR="00FD37EF" w:rsidRPr="00556BEB">
        <w:t>reduce community services to individuals with disabilities.  If service reductions cause a serious risk of institutionalization</w:t>
      </w:r>
      <w:r w:rsidR="008057A4" w:rsidRPr="00556BEB">
        <w:t xml:space="preserve"> to these individuals</w:t>
      </w:r>
      <w:r w:rsidR="00FD37EF" w:rsidRPr="00556BEB">
        <w:t>, public entities must make “reasonable modifications” when implementing the reductions to avoid the institutionalization of impacted persons.  Whether a reasonable modification is needed</w:t>
      </w:r>
      <w:r w:rsidR="00515458" w:rsidRPr="00556BEB">
        <w:t>,</w:t>
      </w:r>
      <w:r w:rsidR="00FD37EF" w:rsidRPr="00556BEB">
        <w:t xml:space="preserve"> and what that modification should be, depend on the specific factual circumstances.  We are sensitive to states’ budgetary constraints and recognize that states face difficult decisions regarding program reductions.  A state’s obligation under the ADA to make modifications that are reasonable, but do not fundamentally alter the state’s programs, services or activities</w:t>
      </w:r>
      <w:r w:rsidR="004C67B2" w:rsidRPr="00556BEB">
        <w:t>,</w:t>
      </w:r>
      <w:r w:rsidR="00FD37EF" w:rsidRPr="00556BEB">
        <w:t xml:space="preserve"> enables a state to comply with the ADA while still maintaining control of the program budgets.  </w:t>
      </w:r>
    </w:p>
    <w:p w:rsidR="00E653FB" w:rsidRPr="00556BEB" w:rsidRDefault="00E653FB" w:rsidP="00E653FB">
      <w:pPr>
        <w:ind w:firstLine="720"/>
      </w:pPr>
    </w:p>
    <w:p w:rsidR="005B1EF9" w:rsidRPr="00556BEB" w:rsidRDefault="005D2985" w:rsidP="00E653FB">
      <w:pPr>
        <w:ind w:firstLine="720"/>
      </w:pPr>
      <w:r w:rsidRPr="00556BEB">
        <w:lastRenderedPageBreak/>
        <w:t xml:space="preserve">Based on </w:t>
      </w:r>
      <w:r w:rsidR="00E653FB" w:rsidRPr="00556BEB">
        <w:t xml:space="preserve">your </w:t>
      </w:r>
      <w:r w:rsidRPr="00556BEB">
        <w:t xml:space="preserve">October 18 </w:t>
      </w:r>
      <w:r w:rsidR="00E653FB" w:rsidRPr="00556BEB">
        <w:t>l</w:t>
      </w:r>
      <w:r w:rsidR="005B1EF9" w:rsidRPr="00556BEB">
        <w:t xml:space="preserve">etter, </w:t>
      </w:r>
      <w:r w:rsidR="005B1EF9" w:rsidRPr="00556BEB">
        <w:rPr>
          <w:szCs w:val="24"/>
        </w:rPr>
        <w:t>we understand that Washington State</w:t>
      </w:r>
      <w:r w:rsidR="008C10AC" w:rsidRPr="00556BEB">
        <w:rPr>
          <w:szCs w:val="24"/>
        </w:rPr>
        <w:t xml:space="preserve"> </w:t>
      </w:r>
      <w:r w:rsidR="00B358DD" w:rsidRPr="00556BEB">
        <w:rPr>
          <w:szCs w:val="24"/>
        </w:rPr>
        <w:t xml:space="preserve">plans to modify its ETR process.  Specifically, Washington State </w:t>
      </w:r>
      <w:r w:rsidR="008C10AC" w:rsidRPr="00556BEB">
        <w:rPr>
          <w:szCs w:val="24"/>
        </w:rPr>
        <w:t xml:space="preserve">will provide notice to </w:t>
      </w:r>
      <w:r w:rsidR="005B1EF9" w:rsidRPr="00556BEB">
        <w:rPr>
          <w:szCs w:val="24"/>
        </w:rPr>
        <w:t xml:space="preserve">individuals </w:t>
      </w:r>
      <w:r w:rsidR="00000561">
        <w:rPr>
          <w:szCs w:val="24"/>
        </w:rPr>
        <w:t xml:space="preserve">who receive personal care services </w:t>
      </w:r>
      <w:r w:rsidR="005B1EF9" w:rsidRPr="00556BEB">
        <w:rPr>
          <w:szCs w:val="24"/>
        </w:rPr>
        <w:t xml:space="preserve">of the availability of the ETR process and </w:t>
      </w:r>
      <w:r w:rsidR="008C10AC" w:rsidRPr="00556BEB">
        <w:rPr>
          <w:szCs w:val="24"/>
        </w:rPr>
        <w:t>will allow individuals</w:t>
      </w:r>
      <w:r w:rsidR="005B1EF9" w:rsidRPr="00556BEB">
        <w:rPr>
          <w:szCs w:val="24"/>
        </w:rPr>
        <w:t xml:space="preserve"> themselves</w:t>
      </w:r>
      <w:r w:rsidR="00EF4F77">
        <w:rPr>
          <w:szCs w:val="24"/>
        </w:rPr>
        <w:t>, as well as their case manager,</w:t>
      </w:r>
      <w:r w:rsidR="005B1EF9" w:rsidRPr="00556BEB">
        <w:rPr>
          <w:szCs w:val="24"/>
        </w:rPr>
        <w:t xml:space="preserve"> </w:t>
      </w:r>
      <w:r w:rsidR="008C10AC" w:rsidRPr="00556BEB">
        <w:rPr>
          <w:szCs w:val="24"/>
        </w:rPr>
        <w:t xml:space="preserve">to </w:t>
      </w:r>
      <w:r w:rsidR="005B1EF9" w:rsidRPr="00556BEB">
        <w:rPr>
          <w:szCs w:val="24"/>
        </w:rPr>
        <w:t xml:space="preserve">request an increase in their allocated personal care hours.  Further, </w:t>
      </w:r>
      <w:r w:rsidR="005B1EF9" w:rsidRPr="00556BEB">
        <w:t>the State will</w:t>
      </w:r>
      <w:r w:rsidR="00E653FB" w:rsidRPr="00556BEB">
        <w:t xml:space="preserve"> </w:t>
      </w:r>
      <w:r w:rsidR="008C10AC" w:rsidRPr="00556BEB">
        <w:t xml:space="preserve">modify its ETR process to </w:t>
      </w:r>
      <w:r w:rsidR="00E653FB" w:rsidRPr="00556BEB">
        <w:t xml:space="preserve">allow individuals with disabilities, themselves, to </w:t>
      </w:r>
      <w:r w:rsidR="004213C4">
        <w:t xml:space="preserve">seek a review of a case manager’s </w:t>
      </w:r>
      <w:r w:rsidR="00000561">
        <w:t xml:space="preserve">decision </w:t>
      </w:r>
      <w:r w:rsidR="004213C4">
        <w:t>o</w:t>
      </w:r>
      <w:r w:rsidR="00000561">
        <w:t>n</w:t>
      </w:r>
      <w:r w:rsidR="004213C4">
        <w:t xml:space="preserve"> ETR hours to the</w:t>
      </w:r>
      <w:r w:rsidR="00000561">
        <w:t>ir</w:t>
      </w:r>
      <w:r w:rsidR="004213C4">
        <w:t xml:space="preserve"> case manager’s supervisor, </w:t>
      </w:r>
      <w:r w:rsidR="00E653FB" w:rsidRPr="00556BEB">
        <w:t>the field office, and directly to the expert ETR Committee. </w:t>
      </w:r>
      <w:r w:rsidR="003A7EBA" w:rsidRPr="00556BEB">
        <w:t xml:space="preserve"> We also expect that the State will give necessary guidance to all staff involved in the ETR process regarding the standards for determining whether </w:t>
      </w:r>
      <w:r w:rsidRPr="00556BEB">
        <w:t>someone is</w:t>
      </w:r>
      <w:r w:rsidR="00704964" w:rsidRPr="00556BEB">
        <w:t xml:space="preserve"> at serious risk of </w:t>
      </w:r>
      <w:r w:rsidR="00D0104D" w:rsidRPr="00556BEB">
        <w:t>institutionalization</w:t>
      </w:r>
      <w:r w:rsidRPr="00556BEB">
        <w:t xml:space="preserve">.  </w:t>
      </w:r>
      <w:r w:rsidR="00CC7E61" w:rsidRPr="00556BEB">
        <w:t>ETR decisions must be based</w:t>
      </w:r>
      <w:r w:rsidRPr="00556BEB">
        <w:t xml:space="preserve"> </w:t>
      </w:r>
      <w:r w:rsidR="00CC7E61" w:rsidRPr="00556BEB">
        <w:t xml:space="preserve">on evaluations </w:t>
      </w:r>
      <w:r w:rsidRPr="00556BEB">
        <w:t xml:space="preserve">of individuals’ needs </w:t>
      </w:r>
      <w:r w:rsidR="00704964" w:rsidRPr="00556BEB">
        <w:t xml:space="preserve">and </w:t>
      </w:r>
      <w:r w:rsidR="009A4E3B" w:rsidRPr="00556BEB">
        <w:t xml:space="preserve">must </w:t>
      </w:r>
      <w:r w:rsidR="00704964" w:rsidRPr="00556BEB">
        <w:t xml:space="preserve">not </w:t>
      </w:r>
      <w:r w:rsidR="009A4E3B" w:rsidRPr="00556BEB">
        <w:t xml:space="preserve">be </w:t>
      </w:r>
      <w:r w:rsidR="00704964" w:rsidRPr="00556BEB">
        <w:t>driven by the State’s ultimate desire to reduce services</w:t>
      </w:r>
      <w:r w:rsidR="003A7EBA" w:rsidRPr="00556BEB">
        <w:t xml:space="preserve">.  </w:t>
      </w:r>
      <w:r w:rsidR="00E653FB" w:rsidRPr="00556BEB">
        <w:t xml:space="preserve"> </w:t>
      </w:r>
    </w:p>
    <w:p w:rsidR="005B1EF9" w:rsidRPr="00556BEB" w:rsidRDefault="005B1EF9" w:rsidP="005B1EF9"/>
    <w:p w:rsidR="00030F2E" w:rsidRPr="00556BEB" w:rsidRDefault="00F70505" w:rsidP="00E653FB">
      <w:pPr>
        <w:ind w:firstLine="720"/>
      </w:pPr>
      <w:r w:rsidRPr="00556BEB">
        <w:t>Based on the record pending before the district court</w:t>
      </w:r>
      <w:r w:rsidR="00704964" w:rsidRPr="00556BEB">
        <w:t xml:space="preserve"> in </w:t>
      </w:r>
      <w:r w:rsidR="00C44D5B" w:rsidRPr="00556BEB">
        <w:t>January</w:t>
      </w:r>
      <w:r w:rsidR="00D50A82" w:rsidRPr="00556BEB">
        <w:t xml:space="preserve"> </w:t>
      </w:r>
      <w:r w:rsidR="00704964" w:rsidRPr="00556BEB">
        <w:t>2011</w:t>
      </w:r>
      <w:r w:rsidRPr="00556BEB">
        <w:t>, t</w:t>
      </w:r>
      <w:r w:rsidR="00D0104D" w:rsidRPr="00556BEB">
        <w:t xml:space="preserve">he United States’ </w:t>
      </w:r>
      <w:r w:rsidR="005B1EF9" w:rsidRPr="00556BEB">
        <w:t>Statement of Interest filed</w:t>
      </w:r>
      <w:r w:rsidR="00E653FB" w:rsidRPr="00556BEB">
        <w:t xml:space="preserve"> in the </w:t>
      </w:r>
      <w:r w:rsidR="00E653FB" w:rsidRPr="00556BEB">
        <w:rPr>
          <w:i/>
          <w:iCs/>
        </w:rPr>
        <w:t>M.R. v. Dreyfus</w:t>
      </w:r>
      <w:r w:rsidR="00E653FB" w:rsidRPr="00556BEB">
        <w:t xml:space="preserve"> litigation found</w:t>
      </w:r>
      <w:r w:rsidR="005B1EF9" w:rsidRPr="00556BEB">
        <w:t xml:space="preserve"> the S</w:t>
      </w:r>
      <w:r w:rsidR="00E653FB" w:rsidRPr="00556BEB">
        <w:t xml:space="preserve">tate’s </w:t>
      </w:r>
      <w:r w:rsidR="00A40706" w:rsidRPr="00556BEB">
        <w:t>anticipated M</w:t>
      </w:r>
      <w:r w:rsidRPr="00556BEB">
        <w:t xml:space="preserve">arch 2011 </w:t>
      </w:r>
      <w:r w:rsidR="00E653FB" w:rsidRPr="00556BEB">
        <w:t>across-the-board cuts problematic because of the failure to include an effective m</w:t>
      </w:r>
      <w:r w:rsidR="00D0104D" w:rsidRPr="00556BEB">
        <w:t>echanism for ensuring that the cuts</w:t>
      </w:r>
      <w:r w:rsidR="00030F2E" w:rsidRPr="00556BEB">
        <w:t xml:space="preserve"> </w:t>
      </w:r>
      <w:r w:rsidR="00E653FB" w:rsidRPr="00556BEB">
        <w:t xml:space="preserve">did not </w:t>
      </w:r>
      <w:r w:rsidR="00030F2E" w:rsidRPr="00556BEB">
        <w:t xml:space="preserve">place individuals at </w:t>
      </w:r>
      <w:r w:rsidR="00E653FB" w:rsidRPr="00556BEB">
        <w:t>serious risk of institutionalization.  Your lette</w:t>
      </w:r>
      <w:r w:rsidR="00030F2E" w:rsidRPr="00556BEB">
        <w:t xml:space="preserve">r </w:t>
      </w:r>
      <w:r w:rsidR="008264A4" w:rsidRPr="00556BEB">
        <w:t>asserts that</w:t>
      </w:r>
      <w:r w:rsidR="009A4E3B" w:rsidRPr="00556BEB">
        <w:t>,</w:t>
      </w:r>
      <w:r w:rsidR="00030F2E" w:rsidRPr="00556BEB">
        <w:t xml:space="preserve"> since the S</w:t>
      </w:r>
      <w:r w:rsidR="00E653FB" w:rsidRPr="00556BEB">
        <w:t xml:space="preserve">tate implemented the </w:t>
      </w:r>
      <w:r w:rsidR="00030F2E" w:rsidRPr="00556BEB">
        <w:t>March 2011</w:t>
      </w:r>
      <w:r w:rsidR="009A4E3B" w:rsidRPr="00556BEB">
        <w:t xml:space="preserve"> </w:t>
      </w:r>
      <w:r w:rsidR="00030F2E" w:rsidRPr="00556BEB">
        <w:t>cuts</w:t>
      </w:r>
      <w:r w:rsidRPr="00556BEB">
        <w:t xml:space="preserve">, </w:t>
      </w:r>
      <w:r w:rsidR="00E653FB" w:rsidRPr="00556BEB">
        <w:t xml:space="preserve">there has been no increase in the rate of emergency room visits, nursing </w:t>
      </w:r>
      <w:r w:rsidR="00A40706" w:rsidRPr="00556BEB">
        <w:t>facility</w:t>
      </w:r>
      <w:r w:rsidR="00E653FB" w:rsidRPr="00556BEB">
        <w:t xml:space="preserve"> placement, or client mortality compared to previous years</w:t>
      </w:r>
      <w:r w:rsidR="00030F2E" w:rsidRPr="00556BEB">
        <w:t>, but rather the nursing facility population continues to decline. </w:t>
      </w:r>
      <w:r w:rsidR="00CC7E61" w:rsidRPr="00556BEB">
        <w:t xml:space="preserve"> </w:t>
      </w:r>
      <w:r w:rsidR="00EA34C1" w:rsidRPr="00556BEB">
        <w:t xml:space="preserve">We </w:t>
      </w:r>
      <w:r w:rsidR="00974F40" w:rsidRPr="00556BEB">
        <w:t xml:space="preserve">request that </w:t>
      </w:r>
      <w:r w:rsidR="00934B0A" w:rsidRPr="00556BEB">
        <w:t xml:space="preserve">you </w:t>
      </w:r>
      <w:r w:rsidR="00C158AE" w:rsidRPr="00556BEB">
        <w:t xml:space="preserve">share with </w:t>
      </w:r>
      <w:r w:rsidR="00934B0A" w:rsidRPr="00556BEB">
        <w:t xml:space="preserve">us </w:t>
      </w:r>
      <w:r w:rsidR="00EA34C1" w:rsidRPr="00556BEB">
        <w:t>the data that supports this assertion</w:t>
      </w:r>
      <w:r w:rsidR="004C6A9F" w:rsidRPr="00556BEB">
        <w:t xml:space="preserve"> as well as any additional relevant data, including</w:t>
      </w:r>
      <w:r w:rsidR="00586832">
        <w:t>, for example,</w:t>
      </w:r>
      <w:r w:rsidR="004C6A9F" w:rsidRPr="00556BEB">
        <w:t xml:space="preserve"> placement rates at </w:t>
      </w:r>
      <w:r w:rsidR="00CF2264">
        <w:t xml:space="preserve">hospitals and </w:t>
      </w:r>
      <w:r w:rsidR="00000561">
        <w:t>Intermediate Care Facilities for Individuals with Intellectual Disabilities</w:t>
      </w:r>
      <w:r w:rsidR="00CF2264">
        <w:t>.</w:t>
      </w:r>
      <w:r w:rsidR="00EA34C1" w:rsidRPr="00556BEB">
        <w:t xml:space="preserve">  </w:t>
      </w:r>
      <w:r w:rsidR="00030F2E" w:rsidRPr="00556BEB">
        <w:t xml:space="preserve">We expect that the State will continue to closely monitor </w:t>
      </w:r>
      <w:r w:rsidR="00D0104D" w:rsidRPr="00556BEB">
        <w:t>each individual</w:t>
      </w:r>
      <w:r w:rsidR="00030F2E" w:rsidRPr="00556BEB">
        <w:t xml:space="preserve"> whose services were reduced i</w:t>
      </w:r>
      <w:r w:rsidR="008264A4" w:rsidRPr="00556BEB">
        <w:t xml:space="preserve">n the March 2011 cuts, whether or not they request an ETR, </w:t>
      </w:r>
      <w:r w:rsidR="00EF4F77">
        <w:t xml:space="preserve">and </w:t>
      </w:r>
      <w:r w:rsidR="008264A4" w:rsidRPr="00556BEB">
        <w:t>ensure that they have the necessary serv</w:t>
      </w:r>
      <w:r w:rsidR="00792E63" w:rsidRPr="00556BEB">
        <w:t xml:space="preserve">ices to avoid </w:t>
      </w:r>
      <w:r w:rsidR="0059043A">
        <w:t xml:space="preserve">the </w:t>
      </w:r>
      <w:r w:rsidR="00792E63" w:rsidRPr="00556BEB">
        <w:t>negative outcomes</w:t>
      </w:r>
      <w:r w:rsidR="0059043A">
        <w:t xml:space="preserve"> </w:t>
      </w:r>
      <w:r w:rsidR="00000561">
        <w:t>outlined above</w:t>
      </w:r>
      <w:r w:rsidR="008264A4" w:rsidRPr="00556BEB">
        <w:t xml:space="preserve">. </w:t>
      </w:r>
    </w:p>
    <w:p w:rsidR="00030F2E" w:rsidRPr="00556BEB" w:rsidRDefault="00030F2E" w:rsidP="00E653FB">
      <w:pPr>
        <w:ind w:firstLine="720"/>
      </w:pPr>
    </w:p>
    <w:p w:rsidR="00E653FB" w:rsidRDefault="00E653FB" w:rsidP="00E653FB">
      <w:pPr>
        <w:ind w:firstLine="720"/>
      </w:pPr>
      <w:r w:rsidRPr="00556BEB">
        <w:t xml:space="preserve">Based on </w:t>
      </w:r>
      <w:r w:rsidR="008264A4" w:rsidRPr="00556BEB">
        <w:t>our above</w:t>
      </w:r>
      <w:r w:rsidR="00792E63" w:rsidRPr="00556BEB">
        <w:t xml:space="preserve"> understanding of the facts, the representations contai</w:t>
      </w:r>
      <w:r w:rsidR="00A40706" w:rsidRPr="00556BEB">
        <w:t>ned in your letter of October 18</w:t>
      </w:r>
      <w:r w:rsidR="00792E63" w:rsidRPr="00556BEB">
        <w:t>, 2012</w:t>
      </w:r>
      <w:r w:rsidR="00704964" w:rsidRPr="00556BEB">
        <w:t xml:space="preserve"> (assuming that </w:t>
      </w:r>
      <w:r w:rsidR="006E7AF0" w:rsidRPr="00556BEB">
        <w:t xml:space="preserve">they </w:t>
      </w:r>
      <w:r w:rsidR="00704964" w:rsidRPr="00556BEB">
        <w:t>are supported by verifiable evidence</w:t>
      </w:r>
      <w:r w:rsidR="006E7AF0" w:rsidRPr="00556BEB">
        <w:t>,</w:t>
      </w:r>
      <w:r w:rsidR="00704964" w:rsidRPr="00556BEB">
        <w:t xml:space="preserve"> as </w:t>
      </w:r>
      <w:r w:rsidR="006E7AF0" w:rsidRPr="00556BEB">
        <w:t xml:space="preserve">this evidence is </w:t>
      </w:r>
      <w:r w:rsidR="00704964" w:rsidRPr="00556BEB">
        <w:t>not currently in the district court record)</w:t>
      </w:r>
      <w:r w:rsidR="006E7AF0" w:rsidRPr="00556BEB">
        <w:t>,</w:t>
      </w:r>
      <w:r w:rsidR="00792E63" w:rsidRPr="00556BEB">
        <w:t xml:space="preserve"> and the </w:t>
      </w:r>
      <w:r w:rsidR="00704964" w:rsidRPr="00556BEB">
        <w:t xml:space="preserve">current </w:t>
      </w:r>
      <w:r w:rsidR="00792E63" w:rsidRPr="00556BEB">
        <w:t xml:space="preserve">record before the district court, </w:t>
      </w:r>
      <w:r w:rsidR="00EA34C1" w:rsidRPr="00556BEB">
        <w:t xml:space="preserve">we are writing in follow up to our Statement of Interest.  </w:t>
      </w:r>
      <w:r w:rsidR="00F7075C" w:rsidRPr="00556BEB">
        <w:t>The State’s proposed modifi</w:t>
      </w:r>
      <w:r w:rsidR="00CB7A53" w:rsidRPr="00556BEB">
        <w:t>cation to the</w:t>
      </w:r>
      <w:r w:rsidR="00F7075C" w:rsidRPr="00556BEB">
        <w:t xml:space="preserve"> ETR process is a step </w:t>
      </w:r>
      <w:r w:rsidR="00CB7A53" w:rsidRPr="00556BEB">
        <w:t xml:space="preserve">forward in </w:t>
      </w:r>
      <w:r w:rsidR="00F7075C" w:rsidRPr="00556BEB">
        <w:t xml:space="preserve">protecting the interests of individuals who receive personal care services.  </w:t>
      </w:r>
      <w:r w:rsidR="00077657" w:rsidRPr="00556BEB">
        <w:t xml:space="preserve">Assuming that the cuts, as implemented thus far, have not resulted in increased rates of </w:t>
      </w:r>
      <w:r w:rsidR="0071562E" w:rsidRPr="00556BEB">
        <w:t xml:space="preserve">institutionalization or </w:t>
      </w:r>
      <w:r w:rsidR="0080429D">
        <w:t xml:space="preserve">the </w:t>
      </w:r>
      <w:r w:rsidR="0071562E" w:rsidRPr="00556BEB">
        <w:t xml:space="preserve">other related harms </w:t>
      </w:r>
      <w:r w:rsidR="0080429D">
        <w:t xml:space="preserve">outlined above </w:t>
      </w:r>
      <w:r w:rsidR="002612FF">
        <w:t xml:space="preserve">for </w:t>
      </w:r>
      <w:r w:rsidR="0071562E" w:rsidRPr="00556BEB">
        <w:t>individuals receiving personal care services, it is our assessment at this time that effective</w:t>
      </w:r>
      <w:r w:rsidR="0071562E">
        <w:t xml:space="preserve"> implementation of the modified process, as described in your letter</w:t>
      </w:r>
      <w:r w:rsidR="00C35DE0">
        <w:t xml:space="preserve"> and herein</w:t>
      </w:r>
      <w:r w:rsidR="0071562E">
        <w:t xml:space="preserve">, </w:t>
      </w:r>
      <w:r w:rsidR="00000561">
        <w:t xml:space="preserve">would </w:t>
      </w:r>
      <w:r w:rsidR="0071562E">
        <w:t xml:space="preserve">be consistent with the State’s </w:t>
      </w:r>
      <w:r w:rsidR="004213C4">
        <w:t xml:space="preserve">ADA </w:t>
      </w:r>
      <w:r w:rsidR="0071562E">
        <w:t>obligations</w:t>
      </w:r>
      <w:r w:rsidR="004213C4">
        <w:t xml:space="preserve">, as interpreted by the Supreme Court in </w:t>
      </w:r>
      <w:r w:rsidR="004213C4" w:rsidRPr="004213C4">
        <w:rPr>
          <w:i/>
        </w:rPr>
        <w:t>Olmstead</w:t>
      </w:r>
      <w:r w:rsidR="0071562E">
        <w:t xml:space="preserve">.  We note that our assessment assumes that the ongoing collection and monitoring of data will demonstrate that implementation of the revised process successfully avoids placing people at serious risk of institutionalization; if that assumption is borne </w:t>
      </w:r>
      <w:proofErr w:type="gramStart"/>
      <w:r w:rsidR="0071562E">
        <w:t>incorrect,</w:t>
      </w:r>
      <w:proofErr w:type="gramEnd"/>
      <w:r w:rsidR="0071562E">
        <w:t xml:space="preserve"> our assessment of the sufficiency of the modified process would necessarily change.  </w:t>
      </w:r>
      <w:r w:rsidR="008057A4">
        <w:t xml:space="preserve">Because whether a State </w:t>
      </w:r>
      <w:r w:rsidR="008057A4">
        <w:lastRenderedPageBreak/>
        <w:t xml:space="preserve">meets </w:t>
      </w:r>
      <w:r w:rsidR="00077657">
        <w:t xml:space="preserve">its </w:t>
      </w:r>
      <w:r w:rsidR="00077657">
        <w:rPr>
          <w:i/>
        </w:rPr>
        <w:t>Olmstead</w:t>
      </w:r>
      <w:r w:rsidR="008057A4">
        <w:t xml:space="preserve"> obligations</w:t>
      </w:r>
      <w:r w:rsidR="003A7EBA">
        <w:t xml:space="preserve"> necessarily depend</w:t>
      </w:r>
      <w:r w:rsidR="008057A4">
        <w:t>s</w:t>
      </w:r>
      <w:r w:rsidR="003A7EBA">
        <w:t xml:space="preserve"> upon the relevant factual circumstances, our assessment of the State’s compliance with </w:t>
      </w:r>
      <w:r w:rsidR="003A7EBA" w:rsidRPr="003A7EBA">
        <w:rPr>
          <w:i/>
        </w:rPr>
        <w:t>Olmstead</w:t>
      </w:r>
      <w:r w:rsidR="003A7EBA">
        <w:t xml:space="preserve"> </w:t>
      </w:r>
      <w:r w:rsidR="00D0104D">
        <w:t xml:space="preserve">upon effective implementation of these modifications </w:t>
      </w:r>
      <w:r w:rsidR="00A40706">
        <w:t>is limited to the present factual circumstances in Washi</w:t>
      </w:r>
      <w:r w:rsidR="00D0104D">
        <w:t>ngton State as outlined herein.  A</w:t>
      </w:r>
      <w:r w:rsidR="00A40706">
        <w:t>s requested</w:t>
      </w:r>
      <w:r w:rsidR="004213C4">
        <w:t xml:space="preserve"> in your October 18 letter</w:t>
      </w:r>
      <w:r w:rsidR="00A40706">
        <w:t xml:space="preserve">, this letter solely addresses the State’s obligations under the ADA, as interpreted by the Supreme Court in </w:t>
      </w:r>
      <w:r w:rsidR="00A40706" w:rsidRPr="00A40706">
        <w:rPr>
          <w:i/>
        </w:rPr>
        <w:t>Olmstead v. L.C.</w:t>
      </w:r>
      <w:r w:rsidR="00A40706">
        <w:t xml:space="preserve"> and as contained in 28 C.F.R. §§ 35.130(d) and 35.130(b)(7).  </w:t>
      </w:r>
    </w:p>
    <w:p w:rsidR="000A6E0B" w:rsidRDefault="000A6E0B" w:rsidP="000A6E0B">
      <w:pPr>
        <w:ind w:firstLine="720"/>
      </w:pPr>
    </w:p>
    <w:p w:rsidR="000A6E0B" w:rsidRPr="001C6C0E" w:rsidRDefault="00D0104D" w:rsidP="000A6E0B">
      <w:pPr>
        <w:ind w:firstLine="720"/>
      </w:pPr>
      <w:r>
        <w:t>We</w:t>
      </w:r>
      <w:r w:rsidR="000A6E0B" w:rsidRPr="001C6C0E">
        <w:t xml:space="preserve"> hop</w:t>
      </w:r>
      <w:r w:rsidR="001421DF">
        <w:t xml:space="preserve">e this information is helpful.  </w:t>
      </w:r>
      <w:r w:rsidR="000A6E0B" w:rsidRPr="001C6C0E">
        <w:t xml:space="preserve">Please do not hesitate to contact </w:t>
      </w:r>
      <w:r>
        <w:t>us</w:t>
      </w:r>
      <w:r w:rsidR="000A6E0B" w:rsidRPr="001C6C0E">
        <w:t xml:space="preserve"> if we may be of </w:t>
      </w:r>
      <w:r>
        <w:t xml:space="preserve">further assistance with this matter. </w:t>
      </w:r>
    </w:p>
    <w:p w:rsidR="000A6E0B" w:rsidRPr="008345C1" w:rsidRDefault="000A6E0B" w:rsidP="000A6E0B">
      <w:pPr>
        <w:ind w:firstLine="720"/>
      </w:pPr>
    </w:p>
    <w:p w:rsidR="000A6E0B" w:rsidRPr="008345C1" w:rsidRDefault="000A6E0B" w:rsidP="000A6E0B">
      <w:pPr>
        <w:ind w:firstLine="720"/>
      </w:pPr>
    </w:p>
    <w:p w:rsidR="000A6E0B" w:rsidRPr="001C6C0E" w:rsidRDefault="000A6E0B" w:rsidP="000A6E0B">
      <w:r>
        <w:t xml:space="preserve">        </w:t>
      </w:r>
      <w:r w:rsidRPr="001C6C0E">
        <w:t xml:space="preserve">  </w:t>
      </w:r>
    </w:p>
    <w:p w:rsidR="000A6E0B" w:rsidRDefault="000A6E0B" w:rsidP="000A6E0B">
      <w:pPr>
        <w:ind w:firstLine="4320"/>
      </w:pPr>
      <w:r>
        <w:t>Sincerely,</w:t>
      </w:r>
    </w:p>
    <w:p w:rsidR="000A6E0B" w:rsidRDefault="000A6E0B" w:rsidP="000A6E0B"/>
    <w:p w:rsidR="000A6E0B" w:rsidRDefault="000A6E0B" w:rsidP="000A6E0B"/>
    <w:p w:rsidR="000A6E0B" w:rsidRDefault="000A6E0B" w:rsidP="000A6E0B">
      <w:pPr>
        <w:ind w:firstLine="4320"/>
      </w:pPr>
      <w:r>
        <w:t>Thomas E. Perez</w:t>
      </w:r>
    </w:p>
    <w:p w:rsidR="00D0104D" w:rsidRDefault="000A6E0B" w:rsidP="00D0104D">
      <w:pPr>
        <w:ind w:firstLine="4320"/>
      </w:pPr>
      <w:r>
        <w:t>Assistant Attorney General</w:t>
      </w:r>
    </w:p>
    <w:p w:rsidR="000A6E0B" w:rsidRDefault="000A6E0B" w:rsidP="000A6E0B">
      <w:pPr>
        <w:ind w:firstLine="4320"/>
      </w:pPr>
      <w:r>
        <w:t>Civil Rights Division</w:t>
      </w:r>
    </w:p>
    <w:p w:rsidR="00D0104D" w:rsidRDefault="00D0104D" w:rsidP="000A6E0B">
      <w:pPr>
        <w:ind w:firstLine="4320"/>
      </w:pPr>
      <w:r>
        <w:t>U.S. Department of Justice</w:t>
      </w:r>
    </w:p>
    <w:p w:rsidR="00D0104D" w:rsidRDefault="00D0104D" w:rsidP="000A6E0B">
      <w:pPr>
        <w:ind w:firstLine="4320"/>
      </w:pPr>
    </w:p>
    <w:p w:rsidR="00D0104D" w:rsidRDefault="00D0104D" w:rsidP="000A6E0B">
      <w:pPr>
        <w:ind w:firstLine="4320"/>
      </w:pPr>
    </w:p>
    <w:p w:rsidR="00D0104D" w:rsidRDefault="00D0104D" w:rsidP="000A6E0B">
      <w:pPr>
        <w:ind w:firstLine="4320"/>
      </w:pPr>
    </w:p>
    <w:p w:rsidR="00D0104D" w:rsidRDefault="00D0104D" w:rsidP="000A6E0B">
      <w:pPr>
        <w:ind w:firstLine="4320"/>
      </w:pPr>
    </w:p>
    <w:p w:rsidR="00D0104D" w:rsidRDefault="00D0104D" w:rsidP="000A6E0B">
      <w:pPr>
        <w:ind w:firstLine="4320"/>
      </w:pPr>
      <w:r>
        <w:t>Leon Rodriguez</w:t>
      </w:r>
    </w:p>
    <w:p w:rsidR="00D0104D" w:rsidRDefault="00D0104D" w:rsidP="000A6E0B">
      <w:pPr>
        <w:ind w:firstLine="4320"/>
      </w:pPr>
      <w:r>
        <w:t>Director, Office of Civil Rights</w:t>
      </w:r>
    </w:p>
    <w:p w:rsidR="006B4BDC" w:rsidRPr="00C25630" w:rsidRDefault="00D0104D" w:rsidP="00D0104D">
      <w:pPr>
        <w:ind w:firstLine="4320"/>
      </w:pPr>
      <w:r>
        <w:t>U.S. Department of Health and Human Services</w:t>
      </w:r>
    </w:p>
    <w:sectPr w:rsidR="006B4BDC" w:rsidRPr="00C25630" w:rsidSect="00E653FB">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77" w:rsidRDefault="00EF4F77" w:rsidP="007B5B00">
      <w:r>
        <w:separator/>
      </w:r>
    </w:p>
  </w:endnote>
  <w:endnote w:type="continuationSeparator" w:id="0">
    <w:p w:rsidR="00EF4F77" w:rsidRDefault="00EF4F77" w:rsidP="007B5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61819"/>
      <w:docPartObj>
        <w:docPartGallery w:val="Page Numbers (Bottom of Page)"/>
        <w:docPartUnique/>
      </w:docPartObj>
    </w:sdtPr>
    <w:sdtContent>
      <w:p w:rsidR="00EF4F77" w:rsidRDefault="0064056A">
        <w:pPr>
          <w:pStyle w:val="Footer"/>
          <w:jc w:val="center"/>
        </w:pPr>
        <w:fldSimple w:instr=" PAGE   \* MERGEFORMAT ">
          <w:r w:rsidR="0071488F">
            <w:rPr>
              <w:noProof/>
            </w:rPr>
            <w:t>2</w:t>
          </w:r>
        </w:fldSimple>
      </w:p>
    </w:sdtContent>
  </w:sdt>
  <w:p w:rsidR="00EF4F77" w:rsidRDefault="00EF4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61821"/>
      <w:docPartObj>
        <w:docPartGallery w:val="Page Numbers (Bottom of Page)"/>
        <w:docPartUnique/>
      </w:docPartObj>
    </w:sdtPr>
    <w:sdtContent>
      <w:p w:rsidR="00EF4F77" w:rsidRDefault="0064056A">
        <w:pPr>
          <w:pStyle w:val="Footer"/>
          <w:jc w:val="center"/>
        </w:pPr>
        <w:fldSimple w:instr=" PAGE   \* MERGEFORMAT ">
          <w:r w:rsidR="0071488F">
            <w:rPr>
              <w:noProof/>
            </w:rPr>
            <w:t>1</w:t>
          </w:r>
        </w:fldSimple>
      </w:p>
    </w:sdtContent>
  </w:sdt>
  <w:p w:rsidR="00EF4F77" w:rsidRDefault="00EF4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77" w:rsidRDefault="00EF4F77" w:rsidP="007B5B00">
      <w:r>
        <w:separator/>
      </w:r>
    </w:p>
  </w:footnote>
  <w:footnote w:type="continuationSeparator" w:id="0">
    <w:p w:rsidR="00EF4F77" w:rsidRDefault="00EF4F77" w:rsidP="007B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77" w:rsidRDefault="0064056A" w:rsidP="001E2B0D">
    <w:pPr>
      <w:ind w:left="6480"/>
    </w:pPr>
    <w:r>
      <w:rPr>
        <w:szCs w:val="24"/>
      </w:rPr>
      <w:fldChar w:fldCharType="begin"/>
    </w:r>
    <w:r w:rsidR="00EF4F77">
      <w:rPr>
        <w:szCs w:val="24"/>
      </w:rPr>
      <w:instrText>ADVANCE \x 0</w:instrText>
    </w:r>
    <w:r>
      <w:rPr>
        <w:szCs w:val="24"/>
      </w:rPr>
      <w:fldChar w:fldCharType="end"/>
    </w:r>
    <w:r>
      <w:rPr>
        <w:szCs w:val="24"/>
      </w:rPr>
      <w:fldChar w:fldCharType="begin"/>
    </w:r>
    <w:r w:rsidR="00EF4F77">
      <w:rPr>
        <w:szCs w:val="24"/>
      </w:rPr>
      <w:instrText>ADVANCE \y 129</w:instrText>
    </w:r>
    <w:r>
      <w:rPr>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77" w:rsidRPr="001E2B0D" w:rsidRDefault="00EF4F77" w:rsidP="00822A0D">
    <w:pPr>
      <w:spacing w:line="360" w:lineRule="auto"/>
      <w:ind w:left="5040"/>
      <w:rPr>
        <w:b/>
        <w:bCs/>
        <w:color w:val="000000" w:themeColor="text1"/>
        <w:szCs w:val="24"/>
      </w:rPr>
    </w:pPr>
    <w:r w:rsidRPr="001E2B0D">
      <w:rPr>
        <w:b/>
        <w:bCs/>
        <w:color w:val="000000" w:themeColor="text1"/>
        <w:szCs w:val="24"/>
      </w:rPr>
      <w:t>U.S. Department of Justice</w:t>
    </w:r>
  </w:p>
  <w:p w:rsidR="00EF4F77" w:rsidRDefault="00EF4F77" w:rsidP="00822A0D">
    <w:pPr>
      <w:spacing w:line="360" w:lineRule="auto"/>
      <w:ind w:left="5040"/>
      <w:rPr>
        <w:color w:val="000000" w:themeColor="text1"/>
        <w:szCs w:val="24"/>
      </w:rPr>
    </w:pPr>
    <w:r w:rsidRPr="001E2B0D">
      <w:rPr>
        <w:color w:val="000000" w:themeColor="text1"/>
        <w:szCs w:val="24"/>
      </w:rPr>
      <w:t>Civil Rights Division</w:t>
    </w:r>
  </w:p>
  <w:p w:rsidR="00EF4F77" w:rsidRPr="001E2B0D" w:rsidRDefault="0064056A" w:rsidP="00C25630">
    <w:pPr>
      <w:ind w:left="5040"/>
      <w:rPr>
        <w:i/>
        <w:iCs/>
        <w:color w:val="000000" w:themeColor="text1"/>
        <w:sz w:val="16"/>
        <w:szCs w:val="16"/>
      </w:rPr>
    </w:pPr>
    <w:r w:rsidRPr="0064056A">
      <w:rPr>
        <w:noProof/>
        <w:color w:val="000000" w:themeColor="text1"/>
      </w:rPr>
      <w:pict>
        <v:line id="_x0000_s2049" style="position:absolute;left:0;text-align:left;z-index:251660288;mso-position-horizontal-relative:page;mso-position-vertical-relative:page" from="1in,76.5pt" to="8in,76.5pt" o:allowincell="f" strokecolor="#020000" strokeweight=".96pt">
          <w10:wrap anchorx="page" anchory="page"/>
        </v:line>
      </w:pict>
    </w:r>
  </w:p>
  <w:p w:rsidR="00EF4F77" w:rsidRPr="001E2B0D" w:rsidRDefault="00EF4F77" w:rsidP="00C25630">
    <w:pPr>
      <w:ind w:left="5040" w:right="-360"/>
      <w:rPr>
        <w:i/>
        <w:iCs/>
        <w:color w:val="000000" w:themeColor="text1"/>
        <w:sz w:val="16"/>
        <w:szCs w:val="16"/>
      </w:rPr>
    </w:pPr>
  </w:p>
  <w:p w:rsidR="00EF4F77" w:rsidRDefault="0064056A" w:rsidP="005340CE">
    <w:pPr>
      <w:ind w:left="5040" w:right="-720"/>
      <w:rPr>
        <w:i/>
        <w:iCs/>
        <w:sz w:val="16"/>
        <w:szCs w:val="16"/>
      </w:rPr>
    </w:pPr>
    <w:r w:rsidRPr="0064056A">
      <w:rPr>
        <w:noProof/>
      </w:rPr>
      <w:pict>
        <v:line id="_x0000_s2050" style="position:absolute;left:0;text-align:left;z-index:251662336;mso-position-horizontal-relative:margin" from="0,12pt" to="0,12pt" o:allowincell="f" strokecolor="#020000" strokeweight=".96pt">
          <w10:wrap anchorx="margin"/>
        </v:line>
      </w:pict>
    </w:r>
    <w:r w:rsidRPr="0064056A">
      <w:rPr>
        <w:noProof/>
      </w:rPr>
      <w:pict>
        <v:line id="_x0000_s2051" style="position:absolute;left:0;text-align:left;z-index:251664384;mso-position-horizontal-relative:margin" from="0,12pt" to="0,12pt" o:allowincell="f" strokecolor="#020000" strokeweight=".96pt">
          <w10:wrap anchorx="margin"/>
        </v:line>
      </w:pict>
    </w:r>
    <w:r w:rsidR="00EF4F77">
      <w:rPr>
        <w:i/>
        <w:iCs/>
        <w:sz w:val="16"/>
        <w:szCs w:val="16"/>
      </w:rPr>
      <w:t>Office of the Assistant Attorney General</w:t>
    </w:r>
  </w:p>
  <w:p w:rsidR="00EF4F77" w:rsidRDefault="00EF4F77" w:rsidP="00D46683">
    <w:pPr>
      <w:ind w:left="5040"/>
      <w:rPr>
        <w:i/>
        <w:iCs/>
        <w:sz w:val="16"/>
        <w:szCs w:val="16"/>
      </w:rPr>
    </w:pPr>
    <w:r>
      <w:rPr>
        <w:i/>
        <w:iCs/>
        <w:sz w:val="16"/>
        <w:szCs w:val="16"/>
      </w:rPr>
      <w:t>950 Pennsylvania Ave, NW - RFK</w:t>
    </w:r>
  </w:p>
  <w:p w:rsidR="00EF4F77" w:rsidRDefault="00EF4F77" w:rsidP="00D46683">
    <w:pPr>
      <w:ind w:left="5040"/>
      <w:rPr>
        <w:i/>
        <w:iCs/>
        <w:sz w:val="16"/>
        <w:szCs w:val="16"/>
      </w:rPr>
    </w:pPr>
    <w:r>
      <w:rPr>
        <w:i/>
        <w:iCs/>
        <w:sz w:val="16"/>
        <w:szCs w:val="16"/>
      </w:rPr>
      <w:t>Washington, DC  20530</w:t>
    </w:r>
  </w:p>
  <w:p w:rsidR="00EF4F77" w:rsidRPr="006736E6" w:rsidRDefault="00EF4F77" w:rsidP="00D46683">
    <w:pPr>
      <w:ind w:left="5040"/>
      <w:rPr>
        <w:i/>
        <w:iCs/>
        <w:color w:val="000000" w:themeColor="text1"/>
        <w:sz w:val="16"/>
        <w:szCs w:val="16"/>
      </w:rPr>
    </w:pPr>
    <w:r>
      <w:rPr>
        <w:i/>
        <w:iCs/>
        <w:sz w:val="16"/>
        <w:szCs w:val="16"/>
      </w:rPr>
      <w:t>Telephone (202) 514-2151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421DF"/>
    <w:rsid w:val="00000561"/>
    <w:rsid w:val="00001148"/>
    <w:rsid w:val="000044AE"/>
    <w:rsid w:val="00015656"/>
    <w:rsid w:val="00020731"/>
    <w:rsid w:val="00026A56"/>
    <w:rsid w:val="00030F2E"/>
    <w:rsid w:val="000576F2"/>
    <w:rsid w:val="00074F25"/>
    <w:rsid w:val="00077657"/>
    <w:rsid w:val="00091513"/>
    <w:rsid w:val="000A12F1"/>
    <w:rsid w:val="000A6E0B"/>
    <w:rsid w:val="001158A3"/>
    <w:rsid w:val="0011617E"/>
    <w:rsid w:val="00121E79"/>
    <w:rsid w:val="001421DF"/>
    <w:rsid w:val="00144137"/>
    <w:rsid w:val="00152886"/>
    <w:rsid w:val="00174D40"/>
    <w:rsid w:val="001A5320"/>
    <w:rsid w:val="001C2D03"/>
    <w:rsid w:val="001E2B0D"/>
    <w:rsid w:val="00213161"/>
    <w:rsid w:val="00213931"/>
    <w:rsid w:val="00216BE6"/>
    <w:rsid w:val="002339AA"/>
    <w:rsid w:val="00245B36"/>
    <w:rsid w:val="00252948"/>
    <w:rsid w:val="002612FF"/>
    <w:rsid w:val="00267ED1"/>
    <w:rsid w:val="00277E68"/>
    <w:rsid w:val="00282A9E"/>
    <w:rsid w:val="00286580"/>
    <w:rsid w:val="002916D6"/>
    <w:rsid w:val="00296538"/>
    <w:rsid w:val="002A45B5"/>
    <w:rsid w:val="002D0796"/>
    <w:rsid w:val="002D6BEA"/>
    <w:rsid w:val="002E1F53"/>
    <w:rsid w:val="002F7DFD"/>
    <w:rsid w:val="00310CDD"/>
    <w:rsid w:val="00310F42"/>
    <w:rsid w:val="003418ED"/>
    <w:rsid w:val="003A7BBE"/>
    <w:rsid w:val="003A7EBA"/>
    <w:rsid w:val="003C0429"/>
    <w:rsid w:val="003C1FA7"/>
    <w:rsid w:val="003C6ABF"/>
    <w:rsid w:val="003D3B65"/>
    <w:rsid w:val="003F0D17"/>
    <w:rsid w:val="003F6613"/>
    <w:rsid w:val="003F728F"/>
    <w:rsid w:val="0040067A"/>
    <w:rsid w:val="00401D03"/>
    <w:rsid w:val="004213C4"/>
    <w:rsid w:val="0042776A"/>
    <w:rsid w:val="004330BB"/>
    <w:rsid w:val="0045009F"/>
    <w:rsid w:val="0045608D"/>
    <w:rsid w:val="004744B9"/>
    <w:rsid w:val="00484493"/>
    <w:rsid w:val="004929C4"/>
    <w:rsid w:val="004B4E15"/>
    <w:rsid w:val="004C2767"/>
    <w:rsid w:val="004C67B2"/>
    <w:rsid w:val="004C6A9F"/>
    <w:rsid w:val="004C7DDF"/>
    <w:rsid w:val="004E130F"/>
    <w:rsid w:val="004E2F13"/>
    <w:rsid w:val="004F4D46"/>
    <w:rsid w:val="00514266"/>
    <w:rsid w:val="00515458"/>
    <w:rsid w:val="005340CE"/>
    <w:rsid w:val="00556BEB"/>
    <w:rsid w:val="00586832"/>
    <w:rsid w:val="0059043A"/>
    <w:rsid w:val="00595666"/>
    <w:rsid w:val="005B1EF9"/>
    <w:rsid w:val="005B2B49"/>
    <w:rsid w:val="005D2985"/>
    <w:rsid w:val="005F6A2F"/>
    <w:rsid w:val="00621682"/>
    <w:rsid w:val="00627562"/>
    <w:rsid w:val="0064056A"/>
    <w:rsid w:val="006458A8"/>
    <w:rsid w:val="00647AAC"/>
    <w:rsid w:val="00663518"/>
    <w:rsid w:val="006736E6"/>
    <w:rsid w:val="00673ED7"/>
    <w:rsid w:val="006825CF"/>
    <w:rsid w:val="00693C55"/>
    <w:rsid w:val="006B0E06"/>
    <w:rsid w:val="006B4BDC"/>
    <w:rsid w:val="006C0D99"/>
    <w:rsid w:val="006C0E73"/>
    <w:rsid w:val="006E7AF0"/>
    <w:rsid w:val="006F257D"/>
    <w:rsid w:val="006F464F"/>
    <w:rsid w:val="007014D2"/>
    <w:rsid w:val="00704964"/>
    <w:rsid w:val="0071488F"/>
    <w:rsid w:val="00714F63"/>
    <w:rsid w:val="0071562E"/>
    <w:rsid w:val="00767E92"/>
    <w:rsid w:val="007844AF"/>
    <w:rsid w:val="00791659"/>
    <w:rsid w:val="00792E63"/>
    <w:rsid w:val="00795563"/>
    <w:rsid w:val="00797BEA"/>
    <w:rsid w:val="007A68A8"/>
    <w:rsid w:val="007B5B00"/>
    <w:rsid w:val="007D3E61"/>
    <w:rsid w:val="007F4D66"/>
    <w:rsid w:val="0080429D"/>
    <w:rsid w:val="008057A4"/>
    <w:rsid w:val="00817B00"/>
    <w:rsid w:val="008207C5"/>
    <w:rsid w:val="00822A0D"/>
    <w:rsid w:val="00822CA2"/>
    <w:rsid w:val="008264A4"/>
    <w:rsid w:val="00840096"/>
    <w:rsid w:val="00896551"/>
    <w:rsid w:val="008A2B01"/>
    <w:rsid w:val="008B6EFE"/>
    <w:rsid w:val="008C10AC"/>
    <w:rsid w:val="008D0CCB"/>
    <w:rsid w:val="008E0D1C"/>
    <w:rsid w:val="009101EC"/>
    <w:rsid w:val="0091159D"/>
    <w:rsid w:val="00934B0A"/>
    <w:rsid w:val="00951124"/>
    <w:rsid w:val="009657C5"/>
    <w:rsid w:val="00970EBA"/>
    <w:rsid w:val="00974F40"/>
    <w:rsid w:val="009A4E3B"/>
    <w:rsid w:val="009C0DA7"/>
    <w:rsid w:val="009F5B6D"/>
    <w:rsid w:val="00A00477"/>
    <w:rsid w:val="00A053F3"/>
    <w:rsid w:val="00A25C38"/>
    <w:rsid w:val="00A40706"/>
    <w:rsid w:val="00A42A54"/>
    <w:rsid w:val="00A52BB1"/>
    <w:rsid w:val="00A82FE8"/>
    <w:rsid w:val="00AA2C26"/>
    <w:rsid w:val="00AB4723"/>
    <w:rsid w:val="00AC7DEE"/>
    <w:rsid w:val="00AD4593"/>
    <w:rsid w:val="00AE6449"/>
    <w:rsid w:val="00B0217A"/>
    <w:rsid w:val="00B052F2"/>
    <w:rsid w:val="00B06A28"/>
    <w:rsid w:val="00B358DD"/>
    <w:rsid w:val="00B62D52"/>
    <w:rsid w:val="00BF323F"/>
    <w:rsid w:val="00BF6EF5"/>
    <w:rsid w:val="00C15190"/>
    <w:rsid w:val="00C158AE"/>
    <w:rsid w:val="00C25630"/>
    <w:rsid w:val="00C35DE0"/>
    <w:rsid w:val="00C44D5B"/>
    <w:rsid w:val="00C721D2"/>
    <w:rsid w:val="00CB7A53"/>
    <w:rsid w:val="00CC5CA0"/>
    <w:rsid w:val="00CC7E61"/>
    <w:rsid w:val="00CE2426"/>
    <w:rsid w:val="00CE3620"/>
    <w:rsid w:val="00CE4C2A"/>
    <w:rsid w:val="00CE5EE4"/>
    <w:rsid w:val="00CF2264"/>
    <w:rsid w:val="00D0104D"/>
    <w:rsid w:val="00D06523"/>
    <w:rsid w:val="00D0678D"/>
    <w:rsid w:val="00D23862"/>
    <w:rsid w:val="00D34DB2"/>
    <w:rsid w:val="00D46683"/>
    <w:rsid w:val="00D50A82"/>
    <w:rsid w:val="00D8454C"/>
    <w:rsid w:val="00DB6961"/>
    <w:rsid w:val="00DC0302"/>
    <w:rsid w:val="00DD4783"/>
    <w:rsid w:val="00DD5E80"/>
    <w:rsid w:val="00DF016B"/>
    <w:rsid w:val="00E24A25"/>
    <w:rsid w:val="00E3340F"/>
    <w:rsid w:val="00E3527A"/>
    <w:rsid w:val="00E653FB"/>
    <w:rsid w:val="00E7147D"/>
    <w:rsid w:val="00E71976"/>
    <w:rsid w:val="00E77D91"/>
    <w:rsid w:val="00E80ABA"/>
    <w:rsid w:val="00E81331"/>
    <w:rsid w:val="00E9345E"/>
    <w:rsid w:val="00EA34C1"/>
    <w:rsid w:val="00EB19FB"/>
    <w:rsid w:val="00EC1A68"/>
    <w:rsid w:val="00EC60C5"/>
    <w:rsid w:val="00ED7DC0"/>
    <w:rsid w:val="00EF4F77"/>
    <w:rsid w:val="00EF632E"/>
    <w:rsid w:val="00F01DD8"/>
    <w:rsid w:val="00F16261"/>
    <w:rsid w:val="00F17585"/>
    <w:rsid w:val="00F51E60"/>
    <w:rsid w:val="00F70505"/>
    <w:rsid w:val="00F70753"/>
    <w:rsid w:val="00F7075C"/>
    <w:rsid w:val="00F72BE3"/>
    <w:rsid w:val="00F90111"/>
    <w:rsid w:val="00F93BFB"/>
    <w:rsid w:val="00FA472F"/>
    <w:rsid w:val="00FA5FB5"/>
    <w:rsid w:val="00FD37EF"/>
    <w:rsid w:val="00FD72DB"/>
    <w:rsid w:val="00FF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semiHidden/>
    <w:unhideWhenUsed/>
    <w:rsid w:val="007B5B00"/>
    <w:pPr>
      <w:tabs>
        <w:tab w:val="center" w:pos="4680"/>
        <w:tab w:val="right" w:pos="9360"/>
      </w:tabs>
    </w:pPr>
  </w:style>
  <w:style w:type="character" w:customStyle="1" w:styleId="HeaderChar">
    <w:name w:val="Header Char"/>
    <w:basedOn w:val="DefaultParagraphFont"/>
    <w:link w:val="Header"/>
    <w:uiPriority w:val="99"/>
    <w:semiHidden/>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030F2E"/>
    <w:rPr>
      <w:sz w:val="16"/>
      <w:szCs w:val="16"/>
    </w:rPr>
  </w:style>
  <w:style w:type="paragraph" w:styleId="CommentText">
    <w:name w:val="annotation text"/>
    <w:basedOn w:val="Normal"/>
    <w:link w:val="CommentTextChar"/>
    <w:uiPriority w:val="99"/>
    <w:semiHidden/>
    <w:unhideWhenUsed/>
    <w:rsid w:val="00030F2E"/>
    <w:rPr>
      <w:sz w:val="20"/>
    </w:rPr>
  </w:style>
  <w:style w:type="character" w:customStyle="1" w:styleId="CommentTextChar">
    <w:name w:val="Comment Text Char"/>
    <w:basedOn w:val="DefaultParagraphFont"/>
    <w:link w:val="CommentText"/>
    <w:uiPriority w:val="99"/>
    <w:semiHidden/>
    <w:rsid w:val="00030F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F2E"/>
    <w:rPr>
      <w:b/>
      <w:bCs/>
    </w:rPr>
  </w:style>
  <w:style w:type="character" w:customStyle="1" w:styleId="CommentSubjectChar">
    <w:name w:val="Comment Subject Char"/>
    <w:basedOn w:val="CommentTextChar"/>
    <w:link w:val="CommentSubject"/>
    <w:uiPriority w:val="99"/>
    <w:semiHidden/>
    <w:rsid w:val="00030F2E"/>
    <w:rPr>
      <w:b/>
      <w:bCs/>
    </w:rPr>
  </w:style>
</w:styles>
</file>

<file path=word/webSettings.xml><?xml version="1.0" encoding="utf-8"?>
<w:webSettings xmlns:r="http://schemas.openxmlformats.org/officeDocument/2006/relationships" xmlns:w="http://schemas.openxmlformats.org/wordprocessingml/2006/main">
  <w:divs>
    <w:div w:id="399406751">
      <w:bodyDiv w:val="1"/>
      <w:marLeft w:val="0"/>
      <w:marRight w:val="0"/>
      <w:marTop w:val="0"/>
      <w:marBottom w:val="0"/>
      <w:divBdr>
        <w:top w:val="none" w:sz="0" w:space="0" w:color="auto"/>
        <w:left w:val="none" w:sz="0" w:space="0" w:color="auto"/>
        <w:bottom w:val="none" w:sz="0" w:space="0" w:color="auto"/>
        <w:right w:val="none" w:sz="0" w:space="0" w:color="auto"/>
      </w:divBdr>
    </w:div>
    <w:div w:id="4289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8B7E-2B15-4737-8BD4-F9630474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Rush</dc:creator>
  <cp:lastModifiedBy>abarkoff</cp:lastModifiedBy>
  <cp:revision>3</cp:revision>
  <cp:lastPrinted>2012-10-22T16:34:00Z</cp:lastPrinted>
  <dcterms:created xsi:type="dcterms:W3CDTF">2012-10-22T17:35:00Z</dcterms:created>
  <dcterms:modified xsi:type="dcterms:W3CDTF">2012-10-22T18:12:00Z</dcterms:modified>
</cp:coreProperties>
</file>