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64F" w:rsidRPr="003A3EC6" w:rsidRDefault="00770289" w:rsidP="00770289">
      <w:pPr>
        <w:spacing w:after="0" w:line="240" w:lineRule="auto"/>
        <w:jc w:val="center"/>
        <w:rPr>
          <w:b/>
          <w:sz w:val="28"/>
          <w:szCs w:val="28"/>
        </w:rPr>
      </w:pPr>
      <w:r w:rsidRPr="003A3EC6">
        <w:rPr>
          <w:b/>
          <w:sz w:val="28"/>
          <w:szCs w:val="28"/>
        </w:rPr>
        <w:t>IN THE UNITED STATES DISTRICT COURT</w:t>
      </w:r>
    </w:p>
    <w:p w:rsidR="00770289" w:rsidRPr="003A3EC6" w:rsidRDefault="00770289" w:rsidP="00770289">
      <w:pPr>
        <w:spacing w:after="0" w:line="240" w:lineRule="auto"/>
        <w:jc w:val="center"/>
        <w:rPr>
          <w:b/>
          <w:sz w:val="28"/>
          <w:szCs w:val="28"/>
        </w:rPr>
      </w:pPr>
      <w:r w:rsidRPr="003A3EC6">
        <w:rPr>
          <w:b/>
          <w:sz w:val="28"/>
          <w:szCs w:val="28"/>
        </w:rPr>
        <w:t>FOR THE NORTHERN DISTRICT OF GEORGIA</w:t>
      </w:r>
    </w:p>
    <w:p w:rsidR="00770289" w:rsidRPr="003A3EC6" w:rsidRDefault="00770289" w:rsidP="00770289">
      <w:pPr>
        <w:spacing w:after="0" w:line="240" w:lineRule="auto"/>
        <w:jc w:val="center"/>
        <w:rPr>
          <w:b/>
          <w:sz w:val="28"/>
          <w:szCs w:val="28"/>
        </w:rPr>
      </w:pPr>
      <w:r w:rsidRPr="003A3EC6">
        <w:rPr>
          <w:b/>
          <w:sz w:val="28"/>
          <w:szCs w:val="28"/>
        </w:rPr>
        <w:t>ATLANTA DIVISION</w:t>
      </w:r>
    </w:p>
    <w:p w:rsidR="00770289" w:rsidRPr="00A5564F" w:rsidRDefault="00770289" w:rsidP="00770289">
      <w:pPr>
        <w:spacing w:after="0" w:line="240" w:lineRule="auto"/>
        <w:jc w:val="center"/>
        <w:rPr>
          <w:sz w:val="28"/>
          <w:szCs w:val="28"/>
        </w:rPr>
      </w:pPr>
    </w:p>
    <w:p w:rsidR="005908CE" w:rsidRDefault="005908CE" w:rsidP="005908CE">
      <w:pPr>
        <w:autoSpaceDE w:val="0"/>
        <w:autoSpaceDN w:val="0"/>
        <w:adjustRightInd w:val="0"/>
        <w:spacing w:after="0" w:line="240" w:lineRule="auto"/>
        <w:rPr>
          <w:sz w:val="28"/>
          <w:szCs w:val="28"/>
        </w:rPr>
      </w:pPr>
      <w:r>
        <w:rPr>
          <w:sz w:val="28"/>
          <w:szCs w:val="28"/>
        </w:rPr>
        <w:t>MARKETRIC HUNTER, a minor child,</w:t>
      </w:r>
      <w:r>
        <w:rPr>
          <w:sz w:val="28"/>
          <w:szCs w:val="28"/>
        </w:rPr>
        <w:tab/>
        <w:t>)</w:t>
      </w:r>
    </w:p>
    <w:p w:rsidR="005908CE" w:rsidRDefault="005908CE" w:rsidP="005908CE">
      <w:pPr>
        <w:autoSpaceDE w:val="0"/>
        <w:autoSpaceDN w:val="0"/>
        <w:adjustRightInd w:val="0"/>
        <w:spacing w:after="0" w:line="240" w:lineRule="auto"/>
        <w:rPr>
          <w:sz w:val="28"/>
          <w:szCs w:val="28"/>
        </w:rPr>
      </w:pPr>
      <w:proofErr w:type="gramStart"/>
      <w:r>
        <w:rPr>
          <w:sz w:val="28"/>
          <w:szCs w:val="28"/>
        </w:rPr>
        <w:t>by</w:t>
      </w:r>
      <w:proofErr w:type="gramEnd"/>
      <w:r>
        <w:rPr>
          <w:sz w:val="28"/>
          <w:szCs w:val="28"/>
        </w:rPr>
        <w:t xml:space="preserve"> and through his mother and legal</w:t>
      </w:r>
      <w:r>
        <w:rPr>
          <w:sz w:val="28"/>
          <w:szCs w:val="28"/>
        </w:rPr>
        <w:tab/>
      </w:r>
      <w:r>
        <w:rPr>
          <w:sz w:val="28"/>
          <w:szCs w:val="28"/>
        </w:rPr>
        <w:tab/>
        <w:t>)</w:t>
      </w:r>
    </w:p>
    <w:p w:rsidR="005908CE" w:rsidRDefault="000946EF" w:rsidP="005908CE">
      <w:pPr>
        <w:autoSpaceDE w:val="0"/>
        <w:autoSpaceDN w:val="0"/>
        <w:adjustRightInd w:val="0"/>
        <w:spacing w:after="0" w:line="240" w:lineRule="auto"/>
        <w:rPr>
          <w:sz w:val="28"/>
          <w:szCs w:val="28"/>
        </w:rPr>
      </w:pPr>
      <w:proofErr w:type="gramStart"/>
      <w:r>
        <w:rPr>
          <w:sz w:val="28"/>
          <w:szCs w:val="28"/>
        </w:rPr>
        <w:t>guardian</w:t>
      </w:r>
      <w:proofErr w:type="gramEnd"/>
      <w:r w:rsidR="005908CE">
        <w:rPr>
          <w:sz w:val="28"/>
          <w:szCs w:val="28"/>
        </w:rPr>
        <w:t xml:space="preserve"> THELMA LYNAH,</w:t>
      </w:r>
      <w:r w:rsidR="005908CE">
        <w:rPr>
          <w:sz w:val="28"/>
          <w:szCs w:val="28"/>
        </w:rPr>
        <w:tab/>
      </w:r>
      <w:r w:rsidR="005908CE">
        <w:rPr>
          <w:sz w:val="28"/>
          <w:szCs w:val="28"/>
        </w:rPr>
        <w:tab/>
      </w:r>
      <w:r w:rsidR="005908CE">
        <w:rPr>
          <w:sz w:val="28"/>
          <w:szCs w:val="28"/>
        </w:rPr>
        <w:tab/>
        <w:t>)</w:t>
      </w:r>
    </w:p>
    <w:p w:rsidR="005908CE" w:rsidRDefault="005908CE" w:rsidP="005908CE">
      <w:pPr>
        <w:autoSpaceDE w:val="0"/>
        <w:autoSpaceDN w:val="0"/>
        <w:adjustRightInd w:val="0"/>
        <w:spacing w:after="0" w:line="240" w:lineRule="auto"/>
        <w:rPr>
          <w:sz w:val="28"/>
          <w:szCs w:val="28"/>
        </w:rPr>
      </w:pPr>
      <w:r>
        <w:rPr>
          <w:sz w:val="28"/>
          <w:szCs w:val="28"/>
        </w:rPr>
        <w:t>ZACHARY ROYAL, S.R., a minor</w:t>
      </w:r>
      <w:r>
        <w:rPr>
          <w:sz w:val="28"/>
          <w:szCs w:val="28"/>
        </w:rPr>
        <w:tab/>
      </w:r>
      <w:r>
        <w:rPr>
          <w:sz w:val="28"/>
          <w:szCs w:val="28"/>
        </w:rPr>
        <w:tab/>
        <w:t>)</w:t>
      </w:r>
    </w:p>
    <w:p w:rsidR="005908CE" w:rsidRDefault="005908CE" w:rsidP="005908CE">
      <w:pPr>
        <w:autoSpaceDE w:val="0"/>
        <w:autoSpaceDN w:val="0"/>
        <w:adjustRightInd w:val="0"/>
        <w:spacing w:after="0" w:line="240" w:lineRule="auto"/>
        <w:rPr>
          <w:sz w:val="28"/>
          <w:szCs w:val="28"/>
        </w:rPr>
      </w:pPr>
      <w:proofErr w:type="gramStart"/>
      <w:r>
        <w:rPr>
          <w:sz w:val="28"/>
          <w:szCs w:val="28"/>
        </w:rPr>
        <w:t>child</w:t>
      </w:r>
      <w:proofErr w:type="gramEnd"/>
      <w:r>
        <w:rPr>
          <w:sz w:val="28"/>
          <w:szCs w:val="28"/>
        </w:rPr>
        <w:t>, by and through her father and</w:t>
      </w:r>
      <w:r>
        <w:rPr>
          <w:sz w:val="28"/>
          <w:szCs w:val="28"/>
        </w:rPr>
        <w:tab/>
      </w:r>
      <w:r>
        <w:rPr>
          <w:sz w:val="28"/>
          <w:szCs w:val="28"/>
        </w:rPr>
        <w:tab/>
        <w:t>)</w:t>
      </w:r>
    </w:p>
    <w:p w:rsidR="005908CE" w:rsidRDefault="005908CE" w:rsidP="005908CE">
      <w:pPr>
        <w:autoSpaceDE w:val="0"/>
        <w:autoSpaceDN w:val="0"/>
        <w:adjustRightInd w:val="0"/>
        <w:spacing w:after="0" w:line="240" w:lineRule="auto"/>
        <w:rPr>
          <w:sz w:val="28"/>
          <w:szCs w:val="28"/>
        </w:rPr>
      </w:pPr>
      <w:proofErr w:type="gramStart"/>
      <w:r>
        <w:rPr>
          <w:sz w:val="28"/>
          <w:szCs w:val="28"/>
        </w:rPr>
        <w:t>natural</w:t>
      </w:r>
      <w:proofErr w:type="gramEnd"/>
      <w:r>
        <w:rPr>
          <w:sz w:val="28"/>
          <w:szCs w:val="28"/>
        </w:rPr>
        <w:t xml:space="preserve"> guardian CHARLES REGNA,</w:t>
      </w:r>
      <w:r>
        <w:rPr>
          <w:sz w:val="28"/>
          <w:szCs w:val="28"/>
        </w:rPr>
        <w:tab/>
      </w:r>
      <w:r>
        <w:rPr>
          <w:sz w:val="28"/>
          <w:szCs w:val="28"/>
        </w:rPr>
        <w:tab/>
        <w:t>)</w:t>
      </w:r>
    </w:p>
    <w:p w:rsidR="005908CE" w:rsidRDefault="005908CE" w:rsidP="005908CE">
      <w:pPr>
        <w:autoSpaceDE w:val="0"/>
        <w:autoSpaceDN w:val="0"/>
        <w:adjustRightInd w:val="0"/>
        <w:spacing w:after="0" w:line="240" w:lineRule="auto"/>
        <w:rPr>
          <w:sz w:val="28"/>
          <w:szCs w:val="28"/>
        </w:rPr>
      </w:pPr>
      <w:r>
        <w:rPr>
          <w:sz w:val="28"/>
          <w:szCs w:val="28"/>
        </w:rPr>
        <w:t>J.M., a minor child, by and through his</w:t>
      </w:r>
      <w:r>
        <w:rPr>
          <w:sz w:val="28"/>
          <w:szCs w:val="28"/>
        </w:rPr>
        <w:tab/>
        <w:t>)</w:t>
      </w:r>
    </w:p>
    <w:p w:rsidR="005908CE" w:rsidRDefault="005908CE" w:rsidP="005908CE">
      <w:pPr>
        <w:autoSpaceDE w:val="0"/>
        <w:autoSpaceDN w:val="0"/>
        <w:adjustRightInd w:val="0"/>
        <w:spacing w:after="0" w:line="240" w:lineRule="auto"/>
        <w:rPr>
          <w:sz w:val="28"/>
          <w:szCs w:val="28"/>
        </w:rPr>
      </w:pPr>
      <w:proofErr w:type="gramStart"/>
      <w:r>
        <w:rPr>
          <w:sz w:val="28"/>
          <w:szCs w:val="28"/>
        </w:rPr>
        <w:t>grandmother</w:t>
      </w:r>
      <w:proofErr w:type="gramEnd"/>
      <w:r>
        <w:rPr>
          <w:sz w:val="28"/>
          <w:szCs w:val="28"/>
        </w:rPr>
        <w:t xml:space="preserve"> and next friend MINNIE</w:t>
      </w:r>
      <w:r>
        <w:rPr>
          <w:sz w:val="28"/>
          <w:szCs w:val="28"/>
        </w:rPr>
        <w:tab/>
      </w:r>
      <w:r>
        <w:rPr>
          <w:sz w:val="28"/>
          <w:szCs w:val="28"/>
        </w:rPr>
        <w:tab/>
        <w:t>)</w:t>
      </w:r>
    </w:p>
    <w:p w:rsidR="005908CE" w:rsidRDefault="005908CE" w:rsidP="005908CE">
      <w:pPr>
        <w:autoSpaceDE w:val="0"/>
        <w:autoSpaceDN w:val="0"/>
        <w:adjustRightInd w:val="0"/>
        <w:spacing w:after="0" w:line="240" w:lineRule="auto"/>
        <w:rPr>
          <w:sz w:val="28"/>
          <w:szCs w:val="28"/>
        </w:rPr>
      </w:pPr>
      <w:r>
        <w:rPr>
          <w:sz w:val="28"/>
          <w:szCs w:val="28"/>
        </w:rPr>
        <w:t>MANUAL, R.E., a minor child, by and</w:t>
      </w:r>
      <w:r>
        <w:rPr>
          <w:sz w:val="28"/>
          <w:szCs w:val="28"/>
        </w:rPr>
        <w:tab/>
        <w:t>)</w:t>
      </w:r>
      <w:r>
        <w:rPr>
          <w:sz w:val="28"/>
          <w:szCs w:val="28"/>
        </w:rPr>
        <w:tab/>
      </w:r>
    </w:p>
    <w:p w:rsidR="005908CE" w:rsidRDefault="005908CE" w:rsidP="005908CE">
      <w:pPr>
        <w:autoSpaceDE w:val="0"/>
        <w:autoSpaceDN w:val="0"/>
        <w:adjustRightInd w:val="0"/>
        <w:spacing w:after="0" w:line="240" w:lineRule="auto"/>
        <w:rPr>
          <w:sz w:val="28"/>
          <w:szCs w:val="28"/>
        </w:rPr>
      </w:pPr>
      <w:proofErr w:type="gramStart"/>
      <w:r>
        <w:rPr>
          <w:sz w:val="28"/>
          <w:szCs w:val="28"/>
        </w:rPr>
        <w:t>through</w:t>
      </w:r>
      <w:proofErr w:type="gramEnd"/>
      <w:r>
        <w:rPr>
          <w:sz w:val="28"/>
          <w:szCs w:val="28"/>
        </w:rPr>
        <w:t xml:space="preserve"> her mother and natural guardian</w:t>
      </w:r>
      <w:r>
        <w:rPr>
          <w:sz w:val="28"/>
          <w:szCs w:val="28"/>
        </w:rPr>
        <w:tab/>
        <w:t>)</w:t>
      </w:r>
    </w:p>
    <w:p w:rsidR="005908CE" w:rsidRDefault="005908CE" w:rsidP="00E24E4D">
      <w:pPr>
        <w:spacing w:after="0" w:line="240" w:lineRule="auto"/>
      </w:pPr>
      <w:r>
        <w:rPr>
          <w:sz w:val="28"/>
          <w:szCs w:val="28"/>
        </w:rPr>
        <w:t>MICHELLE EAVES,</w:t>
      </w:r>
      <w:r>
        <w:rPr>
          <w:sz w:val="28"/>
          <w:szCs w:val="28"/>
        </w:rPr>
        <w:tab/>
      </w:r>
      <w:r>
        <w:rPr>
          <w:sz w:val="28"/>
          <w:szCs w:val="28"/>
        </w:rPr>
        <w:tab/>
      </w:r>
      <w:r>
        <w:rPr>
          <w:sz w:val="28"/>
          <w:szCs w:val="28"/>
        </w:rPr>
        <w:tab/>
      </w:r>
      <w:r>
        <w:rPr>
          <w:sz w:val="28"/>
          <w:szCs w:val="28"/>
        </w:rPr>
        <w:tab/>
        <w:t>)</w:t>
      </w:r>
    </w:p>
    <w:p w:rsidR="00770289" w:rsidRPr="00A5564F" w:rsidRDefault="005908CE" w:rsidP="00E24E4D">
      <w:pPr>
        <w:autoSpaceDE w:val="0"/>
        <w:autoSpaceDN w:val="0"/>
        <w:adjustRightInd w:val="0"/>
        <w:spacing w:after="0" w:line="240" w:lineRule="auto"/>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770289" w:rsidRPr="00A5564F">
        <w:rPr>
          <w:sz w:val="28"/>
          <w:szCs w:val="28"/>
        </w:rPr>
        <w:t>)</w:t>
      </w:r>
    </w:p>
    <w:p w:rsidR="00770289" w:rsidRPr="00A5564F" w:rsidRDefault="00770289" w:rsidP="00E24E4D">
      <w:pPr>
        <w:autoSpaceDE w:val="0"/>
        <w:autoSpaceDN w:val="0"/>
        <w:adjustRightInd w:val="0"/>
        <w:spacing w:after="0" w:line="240" w:lineRule="auto"/>
        <w:ind w:left="1440" w:firstLine="720"/>
        <w:rPr>
          <w:sz w:val="28"/>
          <w:szCs w:val="28"/>
        </w:rPr>
      </w:pPr>
      <w:r w:rsidRPr="00A5564F">
        <w:rPr>
          <w:sz w:val="28"/>
          <w:szCs w:val="28"/>
        </w:rPr>
        <w:t>Plaintiffs,</w:t>
      </w:r>
      <w:r w:rsidRPr="00A5564F">
        <w:rPr>
          <w:sz w:val="28"/>
          <w:szCs w:val="28"/>
        </w:rPr>
        <w:tab/>
      </w:r>
      <w:r w:rsidRPr="00A5564F">
        <w:rPr>
          <w:sz w:val="28"/>
          <w:szCs w:val="28"/>
        </w:rPr>
        <w:tab/>
      </w:r>
      <w:r w:rsidRPr="00A5564F">
        <w:rPr>
          <w:sz w:val="28"/>
          <w:szCs w:val="28"/>
        </w:rPr>
        <w:tab/>
        <w:t xml:space="preserve">) </w:t>
      </w:r>
      <w:r w:rsidRPr="00A5564F">
        <w:rPr>
          <w:sz w:val="28"/>
          <w:szCs w:val="28"/>
        </w:rPr>
        <w:tab/>
      </w:r>
      <w:r w:rsidRPr="00A5564F">
        <w:rPr>
          <w:sz w:val="28"/>
          <w:szCs w:val="28"/>
        </w:rPr>
        <w:tab/>
        <w:t>CIVIL ACTION</w:t>
      </w:r>
    </w:p>
    <w:p w:rsidR="00770289" w:rsidRPr="00A5564F" w:rsidRDefault="00770289" w:rsidP="00E24E4D">
      <w:pPr>
        <w:autoSpaceDE w:val="0"/>
        <w:autoSpaceDN w:val="0"/>
        <w:adjustRightInd w:val="0"/>
        <w:spacing w:after="0" w:line="240" w:lineRule="auto"/>
        <w:ind w:left="4320" w:firstLine="720"/>
        <w:rPr>
          <w:sz w:val="28"/>
          <w:szCs w:val="28"/>
        </w:rPr>
      </w:pPr>
      <w:r w:rsidRPr="00A5564F">
        <w:rPr>
          <w:sz w:val="28"/>
          <w:szCs w:val="28"/>
        </w:rPr>
        <w:t>)</w:t>
      </w:r>
      <w:r w:rsidRPr="00A5564F">
        <w:rPr>
          <w:sz w:val="28"/>
          <w:szCs w:val="28"/>
        </w:rPr>
        <w:tab/>
      </w:r>
      <w:r w:rsidRPr="00A5564F">
        <w:rPr>
          <w:sz w:val="28"/>
          <w:szCs w:val="28"/>
        </w:rPr>
        <w:tab/>
      </w:r>
      <w:r w:rsidR="00E24E4D">
        <w:rPr>
          <w:sz w:val="28"/>
          <w:szCs w:val="28"/>
        </w:rPr>
        <w:t>1:08-CV-2930-TWT</w:t>
      </w:r>
    </w:p>
    <w:p w:rsidR="00770289" w:rsidRPr="00A5564F" w:rsidRDefault="00770289" w:rsidP="00E24E4D">
      <w:pPr>
        <w:autoSpaceDE w:val="0"/>
        <w:autoSpaceDN w:val="0"/>
        <w:adjustRightInd w:val="0"/>
        <w:spacing w:after="0" w:line="240" w:lineRule="auto"/>
        <w:rPr>
          <w:sz w:val="28"/>
          <w:szCs w:val="28"/>
        </w:rPr>
      </w:pPr>
      <w:proofErr w:type="gramStart"/>
      <w:r w:rsidRPr="00A5564F">
        <w:rPr>
          <w:sz w:val="28"/>
          <w:szCs w:val="28"/>
        </w:rPr>
        <w:t>v</w:t>
      </w:r>
      <w:proofErr w:type="gramEnd"/>
      <w:r w:rsidRPr="00A5564F">
        <w:rPr>
          <w:sz w:val="28"/>
          <w:szCs w:val="28"/>
        </w:rPr>
        <w:t>.</w:t>
      </w:r>
      <w:r w:rsidRPr="00A5564F">
        <w:rPr>
          <w:sz w:val="28"/>
          <w:szCs w:val="28"/>
        </w:rPr>
        <w:tab/>
      </w:r>
      <w:r w:rsidRPr="00A5564F">
        <w:rPr>
          <w:sz w:val="28"/>
          <w:szCs w:val="28"/>
        </w:rPr>
        <w:tab/>
      </w:r>
      <w:r w:rsidRPr="00A5564F">
        <w:rPr>
          <w:sz w:val="28"/>
          <w:szCs w:val="28"/>
        </w:rPr>
        <w:tab/>
      </w:r>
      <w:r w:rsidRPr="00A5564F">
        <w:rPr>
          <w:sz w:val="28"/>
          <w:szCs w:val="28"/>
        </w:rPr>
        <w:tab/>
      </w:r>
      <w:r w:rsidRPr="00A5564F">
        <w:rPr>
          <w:sz w:val="28"/>
          <w:szCs w:val="28"/>
        </w:rPr>
        <w:tab/>
      </w:r>
      <w:r w:rsidRPr="00A5564F">
        <w:rPr>
          <w:sz w:val="28"/>
          <w:szCs w:val="28"/>
        </w:rPr>
        <w:tab/>
      </w:r>
      <w:r w:rsidRPr="00A5564F">
        <w:rPr>
          <w:sz w:val="28"/>
          <w:szCs w:val="28"/>
        </w:rPr>
        <w:tab/>
        <w:t>)</w:t>
      </w:r>
    </w:p>
    <w:p w:rsidR="00770289" w:rsidRPr="00A5564F" w:rsidRDefault="00770289" w:rsidP="00E24E4D">
      <w:pPr>
        <w:autoSpaceDE w:val="0"/>
        <w:autoSpaceDN w:val="0"/>
        <w:adjustRightInd w:val="0"/>
        <w:spacing w:after="0" w:line="240" w:lineRule="auto"/>
        <w:ind w:left="4320" w:firstLine="720"/>
        <w:rPr>
          <w:sz w:val="28"/>
          <w:szCs w:val="28"/>
        </w:rPr>
      </w:pPr>
      <w:r w:rsidRPr="00A5564F">
        <w:rPr>
          <w:sz w:val="28"/>
          <w:szCs w:val="28"/>
        </w:rPr>
        <w:t>)</w:t>
      </w:r>
    </w:p>
    <w:p w:rsidR="00770289" w:rsidRDefault="00E24E4D" w:rsidP="00770289">
      <w:pPr>
        <w:autoSpaceDE w:val="0"/>
        <w:autoSpaceDN w:val="0"/>
        <w:adjustRightInd w:val="0"/>
        <w:spacing w:after="0" w:line="240" w:lineRule="auto"/>
        <w:rPr>
          <w:sz w:val="28"/>
          <w:szCs w:val="28"/>
        </w:rPr>
      </w:pPr>
      <w:r>
        <w:rPr>
          <w:sz w:val="28"/>
          <w:szCs w:val="28"/>
        </w:rPr>
        <w:t>DAVID A. COOK, in his Official</w:t>
      </w:r>
      <w:r w:rsidR="00770289" w:rsidRPr="00A5564F">
        <w:rPr>
          <w:sz w:val="28"/>
          <w:szCs w:val="28"/>
        </w:rPr>
        <w:t xml:space="preserve"> </w:t>
      </w:r>
      <w:r w:rsidR="00770289" w:rsidRPr="00A5564F">
        <w:rPr>
          <w:sz w:val="28"/>
          <w:szCs w:val="28"/>
        </w:rPr>
        <w:tab/>
      </w:r>
      <w:r w:rsidR="00770289" w:rsidRPr="00A5564F">
        <w:rPr>
          <w:sz w:val="28"/>
          <w:szCs w:val="28"/>
        </w:rPr>
        <w:tab/>
        <w:t>)</w:t>
      </w:r>
    </w:p>
    <w:p w:rsidR="00E24E4D" w:rsidRDefault="00E24E4D" w:rsidP="00770289">
      <w:pPr>
        <w:autoSpaceDE w:val="0"/>
        <w:autoSpaceDN w:val="0"/>
        <w:adjustRightInd w:val="0"/>
        <w:spacing w:after="0" w:line="240" w:lineRule="auto"/>
        <w:rPr>
          <w:sz w:val="28"/>
          <w:szCs w:val="28"/>
        </w:rPr>
      </w:pPr>
      <w:r>
        <w:rPr>
          <w:sz w:val="28"/>
          <w:szCs w:val="28"/>
        </w:rPr>
        <w:t xml:space="preserve">Capacity as Commissioner of the </w:t>
      </w:r>
      <w:r>
        <w:rPr>
          <w:sz w:val="28"/>
          <w:szCs w:val="28"/>
        </w:rPr>
        <w:tab/>
      </w:r>
      <w:r>
        <w:rPr>
          <w:sz w:val="28"/>
          <w:szCs w:val="28"/>
        </w:rPr>
        <w:tab/>
        <w:t>)</w:t>
      </w:r>
    </w:p>
    <w:p w:rsidR="00E24E4D" w:rsidRDefault="00E24E4D" w:rsidP="00770289">
      <w:pPr>
        <w:autoSpaceDE w:val="0"/>
        <w:autoSpaceDN w:val="0"/>
        <w:adjustRightInd w:val="0"/>
        <w:spacing w:after="0" w:line="240" w:lineRule="auto"/>
        <w:rPr>
          <w:sz w:val="28"/>
          <w:szCs w:val="28"/>
        </w:rPr>
      </w:pPr>
      <w:r>
        <w:rPr>
          <w:sz w:val="28"/>
          <w:szCs w:val="28"/>
        </w:rPr>
        <w:t>DEPARTMENT OF COMMUNITY</w:t>
      </w:r>
      <w:r>
        <w:rPr>
          <w:sz w:val="28"/>
          <w:szCs w:val="28"/>
        </w:rPr>
        <w:tab/>
      </w:r>
      <w:r>
        <w:rPr>
          <w:sz w:val="28"/>
          <w:szCs w:val="28"/>
        </w:rPr>
        <w:tab/>
        <w:t>)</w:t>
      </w:r>
    </w:p>
    <w:p w:rsidR="00E24E4D" w:rsidRPr="00A5564F" w:rsidRDefault="00E24E4D" w:rsidP="00770289">
      <w:pPr>
        <w:autoSpaceDE w:val="0"/>
        <w:autoSpaceDN w:val="0"/>
        <w:adjustRightInd w:val="0"/>
        <w:spacing w:after="0" w:line="240" w:lineRule="auto"/>
        <w:rPr>
          <w:sz w:val="28"/>
          <w:szCs w:val="28"/>
        </w:rPr>
      </w:pPr>
      <w:r>
        <w:rPr>
          <w:sz w:val="28"/>
          <w:szCs w:val="28"/>
        </w:rPr>
        <w:t>HEALTH,</w:t>
      </w:r>
      <w:r>
        <w:rPr>
          <w:sz w:val="28"/>
          <w:szCs w:val="28"/>
        </w:rPr>
        <w:tab/>
      </w:r>
      <w:r>
        <w:rPr>
          <w:sz w:val="28"/>
          <w:szCs w:val="28"/>
        </w:rPr>
        <w:tab/>
      </w:r>
      <w:r>
        <w:rPr>
          <w:sz w:val="28"/>
          <w:szCs w:val="28"/>
        </w:rPr>
        <w:tab/>
      </w:r>
      <w:r>
        <w:rPr>
          <w:sz w:val="28"/>
          <w:szCs w:val="28"/>
        </w:rPr>
        <w:tab/>
      </w:r>
      <w:r>
        <w:rPr>
          <w:sz w:val="28"/>
          <w:szCs w:val="28"/>
        </w:rPr>
        <w:tab/>
      </w:r>
      <w:r>
        <w:rPr>
          <w:sz w:val="28"/>
          <w:szCs w:val="28"/>
        </w:rPr>
        <w:tab/>
        <w:t>)</w:t>
      </w:r>
    </w:p>
    <w:p w:rsidR="00770289" w:rsidRPr="00A5564F" w:rsidRDefault="00770289" w:rsidP="00770289">
      <w:pPr>
        <w:autoSpaceDE w:val="0"/>
        <w:autoSpaceDN w:val="0"/>
        <w:adjustRightInd w:val="0"/>
        <w:spacing w:after="0" w:line="240" w:lineRule="auto"/>
        <w:ind w:left="4320" w:firstLine="720"/>
        <w:rPr>
          <w:sz w:val="28"/>
          <w:szCs w:val="28"/>
        </w:rPr>
      </w:pPr>
      <w:r w:rsidRPr="00A5564F">
        <w:rPr>
          <w:sz w:val="28"/>
          <w:szCs w:val="28"/>
        </w:rPr>
        <w:t>)</w:t>
      </w:r>
    </w:p>
    <w:p w:rsidR="00770289" w:rsidRPr="00A5564F" w:rsidRDefault="003A228D" w:rsidP="00770289">
      <w:pPr>
        <w:ind w:left="1440" w:firstLine="720"/>
        <w:rPr>
          <w:sz w:val="28"/>
          <w:szCs w:val="28"/>
        </w:rPr>
      </w:pPr>
      <w:proofErr w:type="gramStart"/>
      <w:r>
        <w:rPr>
          <w:sz w:val="28"/>
          <w:szCs w:val="28"/>
        </w:rPr>
        <w:t>Defendant</w:t>
      </w:r>
      <w:r w:rsidR="00770289" w:rsidRPr="00A5564F">
        <w:rPr>
          <w:sz w:val="28"/>
          <w:szCs w:val="28"/>
        </w:rPr>
        <w:t>.</w:t>
      </w:r>
      <w:proofErr w:type="gramEnd"/>
      <w:r w:rsidR="00770289" w:rsidRPr="00A5564F">
        <w:rPr>
          <w:sz w:val="28"/>
          <w:szCs w:val="28"/>
        </w:rPr>
        <w:tab/>
      </w:r>
      <w:r w:rsidR="00770289" w:rsidRPr="00A5564F">
        <w:rPr>
          <w:sz w:val="28"/>
          <w:szCs w:val="28"/>
        </w:rPr>
        <w:tab/>
      </w:r>
      <w:r w:rsidR="00770289" w:rsidRPr="00A5564F">
        <w:rPr>
          <w:sz w:val="28"/>
          <w:szCs w:val="28"/>
        </w:rPr>
        <w:tab/>
        <w:t>)</w:t>
      </w:r>
    </w:p>
    <w:p w:rsidR="00770289" w:rsidRPr="00A5564F" w:rsidRDefault="00770289" w:rsidP="00770289">
      <w:pPr>
        <w:jc w:val="center"/>
        <w:rPr>
          <w:b/>
          <w:sz w:val="28"/>
          <w:szCs w:val="28"/>
        </w:rPr>
      </w:pPr>
    </w:p>
    <w:p w:rsidR="00770289" w:rsidRPr="00467958" w:rsidRDefault="00770289" w:rsidP="00467958">
      <w:pPr>
        <w:spacing w:after="0" w:line="480" w:lineRule="auto"/>
        <w:jc w:val="center"/>
        <w:rPr>
          <w:b/>
          <w:sz w:val="28"/>
          <w:szCs w:val="28"/>
          <w:u w:val="single"/>
        </w:rPr>
      </w:pPr>
      <w:r w:rsidRPr="00467958">
        <w:rPr>
          <w:b/>
          <w:sz w:val="28"/>
          <w:szCs w:val="28"/>
          <w:u w:val="single"/>
        </w:rPr>
        <w:t>STATEMENT OF INTEREST OF THE UNITED STATES</w:t>
      </w:r>
    </w:p>
    <w:p w:rsidR="00E03A57" w:rsidRPr="00467958" w:rsidRDefault="00E03A57" w:rsidP="00467958">
      <w:pPr>
        <w:widowControl w:val="0"/>
        <w:spacing w:after="0" w:line="480" w:lineRule="auto"/>
        <w:ind w:firstLine="720"/>
        <w:rPr>
          <w:sz w:val="28"/>
          <w:szCs w:val="28"/>
        </w:rPr>
      </w:pPr>
      <w:r w:rsidRPr="00467958">
        <w:rPr>
          <w:sz w:val="28"/>
          <w:szCs w:val="28"/>
        </w:rPr>
        <w:t>The United States respectfully submits this Statement of Interest, pursuant to 28 U.S.C. § 517,</w:t>
      </w:r>
      <w:r w:rsidRPr="00467958">
        <w:rPr>
          <w:rStyle w:val="FootnoteReference"/>
          <w:sz w:val="28"/>
          <w:szCs w:val="28"/>
        </w:rPr>
        <w:footnoteReference w:id="1"/>
      </w:r>
      <w:r w:rsidRPr="00467958">
        <w:rPr>
          <w:sz w:val="28"/>
          <w:szCs w:val="28"/>
        </w:rPr>
        <w:t xml:space="preserve"> because this litigation implicates the proper interpretation and </w:t>
      </w:r>
      <w:r w:rsidRPr="00467958">
        <w:rPr>
          <w:sz w:val="28"/>
          <w:szCs w:val="28"/>
        </w:rPr>
        <w:lastRenderedPageBreak/>
        <w:t xml:space="preserve">application of the integration mandate of Title II of the Americans with Disabilities Act of 1990 (“ADA”), 42 U.S.C. § 12101, </w:t>
      </w:r>
      <w:proofErr w:type="gramStart"/>
      <w:r w:rsidRPr="00467958">
        <w:rPr>
          <w:i/>
          <w:sz w:val="28"/>
          <w:szCs w:val="28"/>
        </w:rPr>
        <w:t>et</w:t>
      </w:r>
      <w:proofErr w:type="gramEnd"/>
      <w:r w:rsidRPr="00467958">
        <w:rPr>
          <w:i/>
          <w:sz w:val="28"/>
          <w:szCs w:val="28"/>
        </w:rPr>
        <w:t xml:space="preserve">. </w:t>
      </w:r>
      <w:proofErr w:type="gramStart"/>
      <w:r w:rsidRPr="00467958">
        <w:rPr>
          <w:i/>
          <w:sz w:val="28"/>
          <w:szCs w:val="28"/>
        </w:rPr>
        <w:t>seq</w:t>
      </w:r>
      <w:r w:rsidRPr="00467958">
        <w:rPr>
          <w:sz w:val="28"/>
          <w:szCs w:val="28"/>
        </w:rPr>
        <w:t>.</w:t>
      </w:r>
      <w:proofErr w:type="gramEnd"/>
      <w:r w:rsidRPr="00467958">
        <w:rPr>
          <w:sz w:val="28"/>
          <w:szCs w:val="28"/>
        </w:rPr>
        <w:t xml:space="preserve">  </w:t>
      </w:r>
      <w:r w:rsidRPr="00467958">
        <w:rPr>
          <w:i/>
          <w:sz w:val="28"/>
          <w:szCs w:val="28"/>
        </w:rPr>
        <w:t>See</w:t>
      </w:r>
      <w:r w:rsidRPr="00467958">
        <w:rPr>
          <w:sz w:val="28"/>
          <w:szCs w:val="28"/>
        </w:rPr>
        <w:t xml:space="preserve"> </w:t>
      </w:r>
      <w:r w:rsidRPr="00467958">
        <w:rPr>
          <w:i/>
          <w:iCs/>
          <w:sz w:val="28"/>
          <w:szCs w:val="28"/>
        </w:rPr>
        <w:t>Olmstead v. L.C.</w:t>
      </w:r>
      <w:r w:rsidRPr="00467958">
        <w:rPr>
          <w:sz w:val="28"/>
          <w:szCs w:val="28"/>
        </w:rPr>
        <w:t>, 527 U.S. 581 (1999).  The Attorney General has authority to enforce Title II of the ADA, and pursuant to Congressional mandate, to issue regulations setting forth the forms of discrimination prohibit</w:t>
      </w:r>
      <w:r w:rsidRPr="00594534">
        <w:rPr>
          <w:sz w:val="28"/>
          <w:szCs w:val="28"/>
        </w:rPr>
        <w:t xml:space="preserve">ed by Title II.  </w:t>
      </w:r>
      <w:r w:rsidRPr="00594534">
        <w:rPr>
          <w:i/>
          <w:sz w:val="28"/>
          <w:szCs w:val="28"/>
        </w:rPr>
        <w:t>See</w:t>
      </w:r>
      <w:r w:rsidRPr="00594534">
        <w:rPr>
          <w:sz w:val="28"/>
          <w:szCs w:val="28"/>
        </w:rPr>
        <w:t xml:space="preserve"> 42 U.S.C. § 12134.  Accordingly, the United States has a strong interest in the resolution of this matter.</w:t>
      </w:r>
      <w:r w:rsidR="00594534" w:rsidRPr="00594534">
        <w:rPr>
          <w:sz w:val="28"/>
          <w:szCs w:val="28"/>
        </w:rPr>
        <w:t xml:space="preserve">  The United States files this memorandum to assist the Court in</w:t>
      </w:r>
      <w:r w:rsidR="00FE2766">
        <w:rPr>
          <w:sz w:val="28"/>
          <w:szCs w:val="28"/>
        </w:rPr>
        <w:t xml:space="preserve"> addressing Defendant</w:t>
      </w:r>
      <w:r w:rsidR="00097D0F">
        <w:rPr>
          <w:sz w:val="28"/>
          <w:szCs w:val="28"/>
        </w:rPr>
        <w:t>’</w:t>
      </w:r>
      <w:r w:rsidR="00FE2766">
        <w:rPr>
          <w:sz w:val="28"/>
          <w:szCs w:val="28"/>
        </w:rPr>
        <w:t xml:space="preserve">s pending </w:t>
      </w:r>
      <w:r w:rsidR="00356F6C">
        <w:rPr>
          <w:sz w:val="28"/>
          <w:szCs w:val="28"/>
        </w:rPr>
        <w:t>M</w:t>
      </w:r>
      <w:r w:rsidR="00FE2766">
        <w:rPr>
          <w:sz w:val="28"/>
          <w:szCs w:val="28"/>
        </w:rPr>
        <w:t xml:space="preserve">otion for </w:t>
      </w:r>
      <w:r w:rsidR="00356F6C">
        <w:rPr>
          <w:sz w:val="28"/>
          <w:szCs w:val="28"/>
        </w:rPr>
        <w:t>Partial Summary J</w:t>
      </w:r>
      <w:r w:rsidR="00FE2766">
        <w:rPr>
          <w:sz w:val="28"/>
          <w:szCs w:val="28"/>
        </w:rPr>
        <w:t>udgment</w:t>
      </w:r>
      <w:r w:rsidR="00356F6C">
        <w:rPr>
          <w:sz w:val="28"/>
          <w:szCs w:val="28"/>
        </w:rPr>
        <w:t xml:space="preserve"> (“Def.</w:t>
      </w:r>
      <w:r w:rsidR="00097D0F">
        <w:rPr>
          <w:sz w:val="28"/>
          <w:szCs w:val="28"/>
        </w:rPr>
        <w:t>’s</w:t>
      </w:r>
      <w:r w:rsidR="00356F6C">
        <w:rPr>
          <w:sz w:val="28"/>
          <w:szCs w:val="28"/>
        </w:rPr>
        <w:t xml:space="preserve"> </w:t>
      </w:r>
      <w:r w:rsidR="00097D0F">
        <w:rPr>
          <w:sz w:val="28"/>
          <w:szCs w:val="28"/>
        </w:rPr>
        <w:t>Mot</w:t>
      </w:r>
      <w:r w:rsidR="00356F6C">
        <w:rPr>
          <w:sz w:val="28"/>
          <w:szCs w:val="28"/>
        </w:rPr>
        <w:t>.”)</w:t>
      </w:r>
      <w:r w:rsidR="00564EE9">
        <w:rPr>
          <w:sz w:val="28"/>
          <w:szCs w:val="28"/>
        </w:rPr>
        <w:t xml:space="preserve"> and in support of Plaintiffs</w:t>
      </w:r>
      <w:r w:rsidR="00097D0F">
        <w:rPr>
          <w:sz w:val="28"/>
          <w:szCs w:val="28"/>
        </w:rPr>
        <w:t>’</w:t>
      </w:r>
      <w:r w:rsidR="000946EF">
        <w:rPr>
          <w:sz w:val="28"/>
          <w:szCs w:val="28"/>
        </w:rPr>
        <w:t xml:space="preserve"> claim under T</w:t>
      </w:r>
      <w:r w:rsidR="00564EE9">
        <w:rPr>
          <w:sz w:val="28"/>
          <w:szCs w:val="28"/>
        </w:rPr>
        <w:t xml:space="preserve">itle II of the ADA. </w:t>
      </w:r>
      <w:r w:rsidR="00594534" w:rsidRPr="00594534">
        <w:rPr>
          <w:sz w:val="28"/>
          <w:szCs w:val="28"/>
        </w:rPr>
        <w:t xml:space="preserve">   </w:t>
      </w:r>
    </w:p>
    <w:p w:rsidR="003A3EC6" w:rsidRPr="00467958" w:rsidRDefault="003A3EC6" w:rsidP="00467958">
      <w:pPr>
        <w:spacing w:after="0" w:line="480" w:lineRule="auto"/>
        <w:jc w:val="center"/>
        <w:rPr>
          <w:b/>
          <w:sz w:val="28"/>
          <w:szCs w:val="28"/>
        </w:rPr>
      </w:pPr>
      <w:r w:rsidRPr="00467958">
        <w:rPr>
          <w:b/>
          <w:sz w:val="28"/>
          <w:szCs w:val="28"/>
        </w:rPr>
        <w:t>INTRODUCTION</w:t>
      </w:r>
    </w:p>
    <w:p w:rsidR="0073694D" w:rsidRPr="003B2A6C" w:rsidRDefault="00F859D4" w:rsidP="00211CB4">
      <w:pPr>
        <w:widowControl w:val="0"/>
        <w:spacing w:after="0" w:line="480" w:lineRule="auto"/>
        <w:ind w:firstLine="720"/>
        <w:rPr>
          <w:sz w:val="28"/>
          <w:szCs w:val="28"/>
        </w:rPr>
      </w:pPr>
      <w:r w:rsidRPr="00382E3B">
        <w:rPr>
          <w:sz w:val="28"/>
          <w:szCs w:val="28"/>
        </w:rPr>
        <w:t xml:space="preserve"> </w:t>
      </w:r>
      <w:r w:rsidR="005E62CB" w:rsidRPr="00382E3B">
        <w:rPr>
          <w:sz w:val="28"/>
          <w:szCs w:val="28"/>
        </w:rPr>
        <w:t>Plaintiffs Marketric Hunter,</w:t>
      </w:r>
      <w:r w:rsidR="00AC2BCD">
        <w:rPr>
          <w:sz w:val="28"/>
          <w:szCs w:val="28"/>
        </w:rPr>
        <w:t xml:space="preserve"> S.R, </w:t>
      </w:r>
      <w:r w:rsidR="005E62CB" w:rsidRPr="00382E3B">
        <w:rPr>
          <w:sz w:val="28"/>
          <w:szCs w:val="28"/>
        </w:rPr>
        <w:t>J.M, and R.E.</w:t>
      </w:r>
      <w:r w:rsidR="0041459A" w:rsidRPr="0041459A">
        <w:rPr>
          <w:rStyle w:val="FootnoteReference"/>
          <w:sz w:val="28"/>
          <w:szCs w:val="28"/>
        </w:rPr>
        <w:t xml:space="preserve"> </w:t>
      </w:r>
      <w:r w:rsidR="0041459A">
        <w:rPr>
          <w:rStyle w:val="FootnoteReference"/>
          <w:sz w:val="28"/>
          <w:szCs w:val="28"/>
        </w:rPr>
        <w:footnoteReference w:id="2"/>
      </w:r>
      <w:r w:rsidR="005E62CB" w:rsidRPr="00382E3B">
        <w:rPr>
          <w:sz w:val="28"/>
          <w:szCs w:val="28"/>
        </w:rPr>
        <w:t>, by and through their parent</w:t>
      </w:r>
      <w:r w:rsidR="00E04829">
        <w:rPr>
          <w:sz w:val="28"/>
          <w:szCs w:val="28"/>
        </w:rPr>
        <w:t>s</w:t>
      </w:r>
      <w:r w:rsidR="005E62CB" w:rsidRPr="00382E3B">
        <w:rPr>
          <w:sz w:val="28"/>
          <w:szCs w:val="28"/>
        </w:rPr>
        <w:t xml:space="preserve"> and guardians (collectively, “Plaintiffs”), bring this proposed class action for declaratory and injunctive relief under Title II of the ADA, the Medicaid Act, 42 U.S.C.§ 1396a </w:t>
      </w:r>
      <w:r w:rsidR="005E62CB" w:rsidRPr="00382E3B">
        <w:rPr>
          <w:i/>
          <w:sz w:val="28"/>
          <w:szCs w:val="28"/>
        </w:rPr>
        <w:t>et seq</w:t>
      </w:r>
      <w:r w:rsidR="005E62CB" w:rsidRPr="00382E3B">
        <w:rPr>
          <w:sz w:val="28"/>
          <w:szCs w:val="28"/>
        </w:rPr>
        <w:t xml:space="preserve">., and the United States Constitution.  </w:t>
      </w:r>
      <w:r w:rsidR="005E62CB" w:rsidRPr="00382E3B">
        <w:rPr>
          <w:i/>
          <w:sz w:val="28"/>
          <w:szCs w:val="28"/>
        </w:rPr>
        <w:t>See</w:t>
      </w:r>
      <w:r w:rsidR="005218F2" w:rsidRPr="00382E3B">
        <w:rPr>
          <w:sz w:val="28"/>
          <w:szCs w:val="28"/>
        </w:rPr>
        <w:t xml:space="preserve"> </w:t>
      </w:r>
      <w:r w:rsidR="00D64015">
        <w:rPr>
          <w:sz w:val="28"/>
          <w:szCs w:val="28"/>
        </w:rPr>
        <w:t xml:space="preserve">Second </w:t>
      </w:r>
      <w:r w:rsidR="00D64015">
        <w:rPr>
          <w:sz w:val="28"/>
          <w:szCs w:val="28"/>
        </w:rPr>
        <w:lastRenderedPageBreak/>
        <w:t>Amended Class Action Complaint</w:t>
      </w:r>
      <w:r w:rsidR="005E62CB" w:rsidRPr="00382E3B">
        <w:rPr>
          <w:sz w:val="28"/>
          <w:szCs w:val="28"/>
        </w:rPr>
        <w:t xml:space="preserve"> (“C</w:t>
      </w:r>
      <w:r w:rsidR="00177606">
        <w:rPr>
          <w:sz w:val="28"/>
          <w:szCs w:val="28"/>
        </w:rPr>
        <w:t>ompl.”), ECF No. 81, ¶¶ 114-146</w:t>
      </w:r>
      <w:r w:rsidR="00382E3B" w:rsidRPr="00382E3B">
        <w:rPr>
          <w:sz w:val="28"/>
          <w:szCs w:val="28"/>
        </w:rPr>
        <w:t xml:space="preserve">.  </w:t>
      </w:r>
      <w:r w:rsidR="00C12609">
        <w:rPr>
          <w:sz w:val="28"/>
          <w:szCs w:val="28"/>
        </w:rPr>
        <w:t>Plaintiffs are</w:t>
      </w:r>
      <w:r w:rsidR="00B5464F">
        <w:rPr>
          <w:sz w:val="28"/>
          <w:szCs w:val="28"/>
        </w:rPr>
        <w:t xml:space="preserve"> Medicaid</w:t>
      </w:r>
      <w:r w:rsidR="00097D0F">
        <w:rPr>
          <w:sz w:val="28"/>
          <w:szCs w:val="28"/>
        </w:rPr>
        <w:t>-</w:t>
      </w:r>
      <w:r w:rsidR="00B5464F">
        <w:rPr>
          <w:sz w:val="28"/>
          <w:szCs w:val="28"/>
        </w:rPr>
        <w:t xml:space="preserve">eligible children </w:t>
      </w:r>
      <w:r w:rsidR="00505777">
        <w:rPr>
          <w:sz w:val="28"/>
          <w:szCs w:val="28"/>
        </w:rPr>
        <w:t xml:space="preserve">with significant medical needs </w:t>
      </w:r>
      <w:r w:rsidR="00B5464F">
        <w:rPr>
          <w:sz w:val="28"/>
          <w:szCs w:val="28"/>
        </w:rPr>
        <w:t>who</w:t>
      </w:r>
      <w:r w:rsidR="00A635F2">
        <w:rPr>
          <w:sz w:val="28"/>
          <w:szCs w:val="28"/>
        </w:rPr>
        <w:t xml:space="preserve"> live at home with their families and</w:t>
      </w:r>
      <w:r w:rsidR="00B5464F">
        <w:rPr>
          <w:sz w:val="28"/>
          <w:szCs w:val="28"/>
        </w:rPr>
        <w:t xml:space="preserve"> receive</w:t>
      </w:r>
      <w:r w:rsidR="00564EE9">
        <w:rPr>
          <w:sz w:val="28"/>
          <w:szCs w:val="28"/>
        </w:rPr>
        <w:t xml:space="preserve"> home and community-based services</w:t>
      </w:r>
      <w:r w:rsidR="00B5464F">
        <w:rPr>
          <w:sz w:val="28"/>
          <w:szCs w:val="28"/>
        </w:rPr>
        <w:t>, including nursing services,</w:t>
      </w:r>
      <w:r w:rsidR="00564EE9">
        <w:rPr>
          <w:sz w:val="28"/>
          <w:szCs w:val="28"/>
        </w:rPr>
        <w:t xml:space="preserve"> through the </w:t>
      </w:r>
      <w:r w:rsidR="00D64015">
        <w:rPr>
          <w:sz w:val="28"/>
          <w:szCs w:val="28"/>
        </w:rPr>
        <w:t>State of Georgia’s</w:t>
      </w:r>
      <w:r w:rsidR="00382E3B" w:rsidRPr="00382E3B">
        <w:rPr>
          <w:sz w:val="28"/>
          <w:szCs w:val="28"/>
        </w:rPr>
        <w:t xml:space="preserve"> Medicaid program</w:t>
      </w:r>
      <w:r w:rsidR="00564EE9">
        <w:rPr>
          <w:sz w:val="28"/>
          <w:szCs w:val="28"/>
        </w:rPr>
        <w:t xml:space="preserve">.  </w:t>
      </w:r>
      <w:proofErr w:type="gramStart"/>
      <w:r w:rsidR="00564EE9">
        <w:rPr>
          <w:sz w:val="28"/>
          <w:szCs w:val="28"/>
        </w:rPr>
        <w:t>Compl.</w:t>
      </w:r>
      <w:r w:rsidR="00382E3B" w:rsidRPr="00382E3B">
        <w:rPr>
          <w:sz w:val="28"/>
          <w:szCs w:val="28"/>
        </w:rPr>
        <w:t>,</w:t>
      </w:r>
      <w:proofErr w:type="gramEnd"/>
      <w:r w:rsidR="00564EE9">
        <w:rPr>
          <w:sz w:val="28"/>
          <w:szCs w:val="28"/>
        </w:rPr>
        <w:t xml:space="preserve"> </w:t>
      </w:r>
      <w:r w:rsidR="00564EE9" w:rsidRPr="00382E3B">
        <w:rPr>
          <w:sz w:val="28"/>
          <w:szCs w:val="28"/>
        </w:rPr>
        <w:t>¶¶</w:t>
      </w:r>
      <w:r w:rsidR="00B5464F">
        <w:rPr>
          <w:sz w:val="28"/>
          <w:szCs w:val="28"/>
        </w:rPr>
        <w:t xml:space="preserve"> 5-9</w:t>
      </w:r>
      <w:r w:rsidR="00564EE9">
        <w:rPr>
          <w:sz w:val="28"/>
          <w:szCs w:val="28"/>
        </w:rPr>
        <w:t xml:space="preserve">.  </w:t>
      </w:r>
      <w:r w:rsidR="003A228D">
        <w:rPr>
          <w:sz w:val="28"/>
          <w:szCs w:val="28"/>
        </w:rPr>
        <w:t xml:space="preserve">The Defendant is David Cook, in his official capacity as Commissioner of the Georgia Department of Community Health (“DCH”).  </w:t>
      </w:r>
      <w:proofErr w:type="gramStart"/>
      <w:r w:rsidR="003A228D">
        <w:rPr>
          <w:sz w:val="28"/>
          <w:szCs w:val="28"/>
        </w:rPr>
        <w:t>Compl.</w:t>
      </w:r>
      <w:proofErr w:type="gramEnd"/>
      <w:r w:rsidR="003A228D">
        <w:rPr>
          <w:sz w:val="28"/>
          <w:szCs w:val="28"/>
        </w:rPr>
        <w:t xml:space="preserve"> </w:t>
      </w:r>
      <w:proofErr w:type="gramStart"/>
      <w:r w:rsidR="003A228D">
        <w:rPr>
          <w:sz w:val="28"/>
          <w:szCs w:val="28"/>
        </w:rPr>
        <w:t>¶ 11</w:t>
      </w:r>
      <w:r w:rsidR="003A228D" w:rsidRPr="00382E3B">
        <w:rPr>
          <w:sz w:val="28"/>
          <w:szCs w:val="28"/>
        </w:rPr>
        <w:t>.</w:t>
      </w:r>
      <w:proofErr w:type="gramEnd"/>
      <w:r w:rsidR="003A228D">
        <w:rPr>
          <w:sz w:val="28"/>
          <w:szCs w:val="28"/>
        </w:rPr>
        <w:t xml:space="preserve">  </w:t>
      </w:r>
      <w:r w:rsidR="00AC2BCD">
        <w:rPr>
          <w:sz w:val="28"/>
          <w:szCs w:val="28"/>
        </w:rPr>
        <w:t xml:space="preserve"> </w:t>
      </w:r>
      <w:r w:rsidR="00505777">
        <w:rPr>
          <w:sz w:val="28"/>
          <w:szCs w:val="28"/>
        </w:rPr>
        <w:t>Plaintiffs allege that t</w:t>
      </w:r>
      <w:r w:rsidR="00AC2BCD">
        <w:rPr>
          <w:sz w:val="28"/>
          <w:szCs w:val="28"/>
        </w:rPr>
        <w:t xml:space="preserve">he Defendant’s administration of </w:t>
      </w:r>
      <w:r w:rsidR="00A635F2">
        <w:rPr>
          <w:sz w:val="28"/>
          <w:szCs w:val="28"/>
        </w:rPr>
        <w:t xml:space="preserve">DCH and </w:t>
      </w:r>
      <w:r w:rsidR="00AC2BCD">
        <w:rPr>
          <w:sz w:val="28"/>
          <w:szCs w:val="28"/>
        </w:rPr>
        <w:t xml:space="preserve">the Medicaid program denies, limits, and reduces </w:t>
      </w:r>
      <w:r w:rsidR="00505777">
        <w:rPr>
          <w:sz w:val="28"/>
          <w:szCs w:val="28"/>
        </w:rPr>
        <w:t xml:space="preserve">their </w:t>
      </w:r>
      <w:r w:rsidR="00A635F2">
        <w:rPr>
          <w:sz w:val="28"/>
          <w:szCs w:val="28"/>
        </w:rPr>
        <w:t>nursing services</w:t>
      </w:r>
      <w:r w:rsidR="00AC2BCD">
        <w:rPr>
          <w:sz w:val="28"/>
          <w:szCs w:val="28"/>
        </w:rPr>
        <w:t xml:space="preserve"> in a manner that</w:t>
      </w:r>
      <w:r w:rsidR="00A635F2">
        <w:rPr>
          <w:sz w:val="28"/>
          <w:szCs w:val="28"/>
        </w:rPr>
        <w:t xml:space="preserve"> puts Plaintiffs at imminent risk of unnecessary confinement or out of home care in violation of the ADA</w:t>
      </w:r>
      <w:r w:rsidR="00AC2BCD">
        <w:rPr>
          <w:sz w:val="28"/>
          <w:szCs w:val="28"/>
        </w:rPr>
        <w:t>.</w:t>
      </w:r>
      <w:r w:rsidR="00097D0F">
        <w:rPr>
          <w:sz w:val="28"/>
          <w:szCs w:val="28"/>
        </w:rPr>
        <w:t xml:space="preserve"> </w:t>
      </w:r>
      <w:r w:rsidR="00AC2BCD">
        <w:rPr>
          <w:sz w:val="28"/>
          <w:szCs w:val="28"/>
        </w:rPr>
        <w:t xml:space="preserve"> </w:t>
      </w:r>
      <w:proofErr w:type="gramStart"/>
      <w:r w:rsidR="00A635F2">
        <w:rPr>
          <w:sz w:val="28"/>
          <w:szCs w:val="28"/>
        </w:rPr>
        <w:t>Compl.</w:t>
      </w:r>
      <w:r w:rsidR="00A635F2" w:rsidRPr="00382E3B">
        <w:rPr>
          <w:sz w:val="28"/>
          <w:szCs w:val="28"/>
        </w:rPr>
        <w:t>,</w:t>
      </w:r>
      <w:proofErr w:type="gramEnd"/>
      <w:r w:rsidR="00A635F2">
        <w:rPr>
          <w:sz w:val="28"/>
          <w:szCs w:val="28"/>
        </w:rPr>
        <w:t xml:space="preserve"> </w:t>
      </w:r>
      <w:r w:rsidR="00A635F2" w:rsidRPr="00382E3B">
        <w:rPr>
          <w:sz w:val="28"/>
          <w:szCs w:val="28"/>
        </w:rPr>
        <w:t>¶¶</w:t>
      </w:r>
      <w:r w:rsidR="00A635F2">
        <w:rPr>
          <w:sz w:val="28"/>
          <w:szCs w:val="28"/>
        </w:rPr>
        <w:t xml:space="preserve"> 5-9, 13, 139.  </w:t>
      </w:r>
    </w:p>
    <w:p w:rsidR="007C2BCB" w:rsidRPr="00467958" w:rsidRDefault="007C2BCB" w:rsidP="00211CB4">
      <w:pPr>
        <w:spacing w:after="0" w:line="480" w:lineRule="auto"/>
        <w:jc w:val="center"/>
        <w:rPr>
          <w:b/>
          <w:sz w:val="28"/>
          <w:szCs w:val="28"/>
        </w:rPr>
      </w:pPr>
      <w:r w:rsidRPr="00467958">
        <w:rPr>
          <w:b/>
          <w:sz w:val="28"/>
          <w:szCs w:val="28"/>
        </w:rPr>
        <w:t>STATUTORY AND REGULATORY BACKGROUND</w:t>
      </w:r>
    </w:p>
    <w:p w:rsidR="007C2BCB" w:rsidRDefault="007C2BCB" w:rsidP="00211CB4">
      <w:pPr>
        <w:pStyle w:val="ListParagraph"/>
        <w:keepNext/>
        <w:numPr>
          <w:ilvl w:val="0"/>
          <w:numId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28"/>
          <w:szCs w:val="28"/>
          <w:u w:val="single"/>
        </w:rPr>
      </w:pPr>
      <w:r>
        <w:rPr>
          <w:sz w:val="28"/>
          <w:szCs w:val="28"/>
          <w:u w:val="single"/>
        </w:rPr>
        <w:t>The Integration Mandate and Olmstead</w:t>
      </w:r>
    </w:p>
    <w:p w:rsidR="007C2BCB" w:rsidRPr="0073694D" w:rsidRDefault="007C2BCB" w:rsidP="007C2BCB">
      <w:pPr>
        <w:spacing w:after="0" w:line="480" w:lineRule="auto"/>
        <w:ind w:firstLine="720"/>
        <w:rPr>
          <w:sz w:val="28"/>
          <w:szCs w:val="28"/>
        </w:rPr>
      </w:pPr>
      <w:r w:rsidRPr="0073694D">
        <w:rPr>
          <w:sz w:val="28"/>
          <w:szCs w:val="28"/>
        </w:rPr>
        <w:t>Congress enacted the ADA in 1990 “to provide a clear and comprehensive national mandate for the elimination of discrimination against individuals with disabilities.” 42 U.S.C. § 12101(b</w:t>
      </w:r>
      <w:proofErr w:type="gramStart"/>
      <w:r w:rsidRPr="0073694D">
        <w:rPr>
          <w:sz w:val="28"/>
          <w:szCs w:val="28"/>
        </w:rPr>
        <w:t>)(</w:t>
      </w:r>
      <w:proofErr w:type="gramEnd"/>
      <w:r w:rsidRPr="0073694D">
        <w:rPr>
          <w:sz w:val="28"/>
          <w:szCs w:val="28"/>
        </w:rPr>
        <w:t xml:space="preserve">1).  Congress found that “historically, society has tended to isolate and segregate individuals with disabilities, and despite some improvements, such forms of discrimination against individuals with disabilities continue to be a serious and pervasive social problem.”  </w:t>
      </w:r>
      <w:r w:rsidRPr="0073694D">
        <w:rPr>
          <w:i/>
          <w:sz w:val="28"/>
          <w:szCs w:val="28"/>
        </w:rPr>
        <w:t>Id</w:t>
      </w:r>
      <w:r w:rsidRPr="0073694D">
        <w:rPr>
          <w:sz w:val="28"/>
          <w:szCs w:val="28"/>
        </w:rPr>
        <w:t>. § 12101(a</w:t>
      </w:r>
      <w:proofErr w:type="gramStart"/>
      <w:r w:rsidRPr="0073694D">
        <w:rPr>
          <w:sz w:val="28"/>
          <w:szCs w:val="28"/>
        </w:rPr>
        <w:t>)(</w:t>
      </w:r>
      <w:proofErr w:type="gramEnd"/>
      <w:r w:rsidRPr="0073694D">
        <w:rPr>
          <w:sz w:val="28"/>
          <w:szCs w:val="28"/>
        </w:rPr>
        <w:t xml:space="preserve">2).  For these reasons, Congress prohibited discrimination against individuals with disabilities by public entities:  </w:t>
      </w:r>
    </w:p>
    <w:p w:rsidR="007C2BCB" w:rsidRPr="0073694D" w:rsidRDefault="007C2BCB" w:rsidP="007C2BCB">
      <w:pPr>
        <w:pStyle w:val="NoSpacing"/>
        <w:ind w:left="720" w:right="720" w:firstLine="0"/>
        <w:jc w:val="both"/>
        <w:rPr>
          <w:rFonts w:ascii="Times New Roman" w:eastAsia="@MingLiU" w:hAnsi="Times New Roman" w:cs="Times New Roman"/>
          <w:sz w:val="28"/>
          <w:szCs w:val="28"/>
        </w:rPr>
      </w:pPr>
      <w:r w:rsidRPr="0073694D">
        <w:rPr>
          <w:rFonts w:ascii="Times New Roman" w:eastAsia="@MingLiU" w:hAnsi="Times New Roman" w:cs="Times New Roman"/>
          <w:sz w:val="28"/>
          <w:szCs w:val="28"/>
        </w:rPr>
        <w:t>[N]o qualified individual with a disability shall, by reason of such disability, be excluded from participation in or be denied the benefits of the services, programs, or activities of a public entity, or be subjected to discrimination by any such entity.</w:t>
      </w:r>
    </w:p>
    <w:p w:rsidR="007C2BCB" w:rsidRPr="0073694D" w:rsidRDefault="007C2BCB" w:rsidP="007C2BCB">
      <w:pPr>
        <w:pStyle w:val="NoSpacing"/>
        <w:ind w:left="720" w:right="720" w:firstLine="0"/>
        <w:jc w:val="both"/>
        <w:rPr>
          <w:rFonts w:ascii="Times New Roman" w:eastAsia="@MingLiU" w:hAnsi="Times New Roman" w:cs="Times New Roman"/>
          <w:sz w:val="28"/>
          <w:szCs w:val="28"/>
        </w:rPr>
      </w:pPr>
    </w:p>
    <w:p w:rsidR="007C2BCB" w:rsidRPr="0073694D" w:rsidRDefault="007C2BCB" w:rsidP="007C2BCB">
      <w:pPr>
        <w:pStyle w:val="NoSpacing"/>
        <w:spacing w:line="480" w:lineRule="auto"/>
        <w:ind w:right="720" w:firstLine="0"/>
        <w:jc w:val="both"/>
        <w:rPr>
          <w:rFonts w:ascii="Times New Roman" w:hAnsi="Times New Roman" w:cs="Times New Roman"/>
          <w:sz w:val="28"/>
          <w:szCs w:val="28"/>
        </w:rPr>
      </w:pPr>
      <w:proofErr w:type="gramStart"/>
      <w:r w:rsidRPr="0073694D">
        <w:rPr>
          <w:rFonts w:ascii="Times New Roman" w:hAnsi="Times New Roman" w:cs="Times New Roman"/>
          <w:i/>
          <w:sz w:val="28"/>
          <w:szCs w:val="28"/>
        </w:rPr>
        <w:t>Id.</w:t>
      </w:r>
      <w:r w:rsidRPr="0073694D">
        <w:rPr>
          <w:rFonts w:ascii="Times New Roman" w:hAnsi="Times New Roman" w:cs="Times New Roman"/>
          <w:sz w:val="28"/>
          <w:szCs w:val="28"/>
        </w:rPr>
        <w:t xml:space="preserve"> § 12132.</w:t>
      </w:r>
      <w:proofErr w:type="gramEnd"/>
      <w:r w:rsidRPr="0073694D">
        <w:rPr>
          <w:rFonts w:ascii="Times New Roman" w:hAnsi="Times New Roman" w:cs="Times New Roman"/>
          <w:sz w:val="28"/>
          <w:szCs w:val="28"/>
        </w:rPr>
        <w:t xml:space="preserve">  </w:t>
      </w:r>
    </w:p>
    <w:p w:rsidR="007C2BCB" w:rsidRPr="0073694D" w:rsidRDefault="007C2BCB" w:rsidP="007C2BCB">
      <w:pPr>
        <w:spacing w:after="0" w:line="480" w:lineRule="auto"/>
        <w:rPr>
          <w:sz w:val="28"/>
          <w:szCs w:val="28"/>
        </w:rPr>
      </w:pPr>
      <w:r w:rsidRPr="0073694D">
        <w:rPr>
          <w:rFonts w:eastAsia="@MingLiU"/>
          <w:sz w:val="28"/>
          <w:szCs w:val="28"/>
        </w:rPr>
        <w:tab/>
        <w:t xml:space="preserve">One form of discrimination prohibited by Title II of the ADA is violation of the “integration mandate.”  </w:t>
      </w:r>
      <w:r w:rsidRPr="0073694D">
        <w:rPr>
          <w:sz w:val="28"/>
          <w:szCs w:val="28"/>
        </w:rPr>
        <w:t>The integration mandate arises out of Congress’s explicit findings in the ADA, the Attorney General’s regulations implementing Title II,</w:t>
      </w:r>
      <w:r w:rsidRPr="0073694D">
        <w:rPr>
          <w:rStyle w:val="FootnoteReference"/>
          <w:sz w:val="28"/>
          <w:szCs w:val="28"/>
        </w:rPr>
        <w:footnoteReference w:id="3"/>
      </w:r>
      <w:r w:rsidRPr="0073694D">
        <w:rPr>
          <w:sz w:val="28"/>
          <w:szCs w:val="28"/>
        </w:rPr>
        <w:t xml:space="preserve"> and the Supreme Court’s decision in </w:t>
      </w:r>
      <w:r w:rsidRPr="0073694D">
        <w:rPr>
          <w:i/>
          <w:sz w:val="28"/>
          <w:szCs w:val="28"/>
        </w:rPr>
        <w:t>Olmstead</w:t>
      </w:r>
      <w:r w:rsidRPr="0073694D">
        <w:rPr>
          <w:sz w:val="28"/>
          <w:szCs w:val="28"/>
        </w:rPr>
        <w:t>, 527 U.S. at 587</w:t>
      </w:r>
      <w:r w:rsidR="00822A1E" w:rsidRPr="0073694D">
        <w:rPr>
          <w:sz w:val="28"/>
          <w:szCs w:val="28"/>
        </w:rPr>
        <w:fldChar w:fldCharType="begin"/>
      </w:r>
      <w:r w:rsidRPr="0073694D">
        <w:rPr>
          <w:sz w:val="28"/>
          <w:szCs w:val="28"/>
        </w:rPr>
        <w:instrText xml:space="preserve"> TA \s "Olmstead v. L.C., 527 U.S. 581 (1999)" </w:instrText>
      </w:r>
      <w:r w:rsidR="00822A1E" w:rsidRPr="0073694D">
        <w:rPr>
          <w:sz w:val="28"/>
          <w:szCs w:val="28"/>
        </w:rPr>
        <w:fldChar w:fldCharType="end"/>
      </w:r>
      <w:r w:rsidRPr="0073694D">
        <w:rPr>
          <w:sz w:val="28"/>
          <w:szCs w:val="28"/>
        </w:rPr>
        <w:t xml:space="preserve">.  In </w:t>
      </w:r>
      <w:r w:rsidRPr="0073694D">
        <w:rPr>
          <w:i/>
          <w:sz w:val="28"/>
          <w:szCs w:val="28"/>
        </w:rPr>
        <w:t>Olmstead</w:t>
      </w:r>
      <w:r w:rsidRPr="0073694D">
        <w:rPr>
          <w:sz w:val="28"/>
          <w:szCs w:val="28"/>
        </w:rPr>
        <w:t xml:space="preserve">, the Supreme Court held that public entities are required to provide community-based services to persons with disabilities when (a) such services are appropriate, (b) the affected persons do not oppose community-based treatment, and (c) community-based services can be reasonably accommodated, taking into account the resources available to the entity and the needs of other persons with disabilities.  </w:t>
      </w:r>
      <w:proofErr w:type="gramStart"/>
      <w:r w:rsidRPr="0073694D">
        <w:rPr>
          <w:i/>
          <w:sz w:val="28"/>
          <w:szCs w:val="28"/>
        </w:rPr>
        <w:t>Id.</w:t>
      </w:r>
      <w:r w:rsidRPr="0073694D">
        <w:rPr>
          <w:sz w:val="28"/>
          <w:szCs w:val="28"/>
        </w:rPr>
        <w:t xml:space="preserve"> at 607.</w:t>
      </w:r>
      <w:proofErr w:type="gramEnd"/>
    </w:p>
    <w:p w:rsidR="007C2BCB" w:rsidRPr="00FE2766" w:rsidRDefault="007C2BCB" w:rsidP="00D03A94">
      <w:pPr>
        <w:pStyle w:val="ListParagraph"/>
        <w:numPr>
          <w:ilvl w:val="0"/>
          <w:numId w:val="12"/>
        </w:numPr>
        <w:rPr>
          <w:sz w:val="28"/>
          <w:szCs w:val="28"/>
          <w:u w:val="single"/>
        </w:rPr>
      </w:pPr>
      <w:r w:rsidRPr="00FE2766">
        <w:rPr>
          <w:sz w:val="28"/>
          <w:szCs w:val="28"/>
          <w:u w:val="single"/>
        </w:rPr>
        <w:t>The Early and Periodic Screening, Diagnosis and Treatment Requirements of the Medicaid Act</w:t>
      </w:r>
      <w:r>
        <w:rPr>
          <w:rStyle w:val="FootnoteReference"/>
          <w:sz w:val="28"/>
          <w:szCs w:val="28"/>
          <w:u w:val="single"/>
        </w:rPr>
        <w:footnoteReference w:id="4"/>
      </w:r>
    </w:p>
    <w:p w:rsidR="007C2BCB" w:rsidRDefault="007C2BCB" w:rsidP="007C2BCB">
      <w:pPr>
        <w:spacing w:after="0" w:line="240" w:lineRule="auto"/>
        <w:ind w:firstLine="720"/>
        <w:rPr>
          <w:sz w:val="28"/>
          <w:szCs w:val="28"/>
        </w:rPr>
      </w:pPr>
    </w:p>
    <w:p w:rsidR="007C2BCB" w:rsidRPr="00FE2766" w:rsidRDefault="007C2BCB" w:rsidP="007C2BCB">
      <w:pPr>
        <w:spacing w:after="0" w:line="480" w:lineRule="auto"/>
        <w:ind w:firstLine="720"/>
        <w:rPr>
          <w:sz w:val="28"/>
          <w:szCs w:val="28"/>
        </w:rPr>
      </w:pPr>
      <w:r w:rsidRPr="00FE2766">
        <w:rPr>
          <w:sz w:val="28"/>
          <w:szCs w:val="28"/>
        </w:rPr>
        <w:t xml:space="preserve">Under the Early and Periodic Screening, Diagnosis and Treatment (“EPSDT”) requirements of the Medicaid Act, states must provide coverage to categorically Medicaid-eligible individuals under the age of twenty-one for all medically necessary treatment services described in the Medicaid Act at 42 U.S.C. § </w:t>
      </w:r>
      <w:proofErr w:type="gramStart"/>
      <w:r w:rsidRPr="00FE2766">
        <w:rPr>
          <w:sz w:val="28"/>
          <w:szCs w:val="28"/>
        </w:rPr>
        <w:t>1396d(</w:t>
      </w:r>
      <w:proofErr w:type="gramEnd"/>
      <w:r w:rsidRPr="00FE2766">
        <w:rPr>
          <w:sz w:val="28"/>
          <w:szCs w:val="28"/>
        </w:rPr>
        <w:t>a), which sets forth a number of services that may be made available under a State Medicaid Plan.  42 U.S.C. § </w:t>
      </w:r>
      <w:proofErr w:type="gramStart"/>
      <w:r w:rsidRPr="00FE2766">
        <w:rPr>
          <w:sz w:val="28"/>
          <w:szCs w:val="28"/>
        </w:rPr>
        <w:t>1396a(</w:t>
      </w:r>
      <w:proofErr w:type="gramEnd"/>
      <w:r w:rsidRPr="00FE2766">
        <w:rPr>
          <w:sz w:val="28"/>
          <w:szCs w:val="28"/>
        </w:rPr>
        <w:t>a)(43)</w:t>
      </w:r>
      <w:r w:rsidR="00822A1E" w:rsidRPr="00FE2766">
        <w:rPr>
          <w:sz w:val="28"/>
          <w:szCs w:val="28"/>
        </w:rPr>
        <w:fldChar w:fldCharType="begin"/>
      </w:r>
      <w:r w:rsidRPr="00FE2766">
        <w:rPr>
          <w:sz w:val="28"/>
          <w:szCs w:val="28"/>
        </w:rPr>
        <w:instrText xml:space="preserve"> TA \l "42 U.S.C. § 1396a(a)(43)" \s "42 U.S.C. § 1396a(a)(43)" \c 2 </w:instrText>
      </w:r>
      <w:r w:rsidR="00822A1E" w:rsidRPr="00FE2766">
        <w:rPr>
          <w:sz w:val="28"/>
          <w:szCs w:val="28"/>
        </w:rPr>
        <w:fldChar w:fldCharType="end"/>
      </w:r>
      <w:r w:rsidRPr="00FE2766">
        <w:rPr>
          <w:sz w:val="28"/>
          <w:szCs w:val="28"/>
        </w:rPr>
        <w:t>; 42 U.S.C. § 1396d(a)(4)</w:t>
      </w:r>
      <w:r w:rsidR="00822A1E" w:rsidRPr="00FE2766">
        <w:rPr>
          <w:sz w:val="28"/>
          <w:szCs w:val="28"/>
        </w:rPr>
        <w:fldChar w:fldCharType="begin"/>
      </w:r>
      <w:r w:rsidRPr="00FE2766">
        <w:rPr>
          <w:sz w:val="28"/>
          <w:szCs w:val="28"/>
        </w:rPr>
        <w:instrText xml:space="preserve"> TA \l "42 U.S.C. § 1396d(a)(4)" \s "42 U.S.C. § 1396d(a)(4)" \c 2 </w:instrText>
      </w:r>
      <w:r w:rsidR="00822A1E" w:rsidRPr="00FE2766">
        <w:rPr>
          <w:sz w:val="28"/>
          <w:szCs w:val="28"/>
        </w:rPr>
        <w:fldChar w:fldCharType="end"/>
      </w:r>
      <w:r w:rsidRPr="00FE2766">
        <w:rPr>
          <w:sz w:val="28"/>
          <w:szCs w:val="28"/>
        </w:rPr>
        <w:t>; 42 U.S.C. § 1396d(r)</w:t>
      </w:r>
      <w:r w:rsidR="00822A1E" w:rsidRPr="00FE2766">
        <w:rPr>
          <w:sz w:val="28"/>
          <w:szCs w:val="28"/>
        </w:rPr>
        <w:fldChar w:fldCharType="begin"/>
      </w:r>
      <w:r w:rsidRPr="00FE2766">
        <w:rPr>
          <w:sz w:val="28"/>
          <w:szCs w:val="28"/>
        </w:rPr>
        <w:instrText xml:space="preserve"> TA \s "1396d(r)(5)" </w:instrText>
      </w:r>
      <w:r w:rsidR="00822A1E" w:rsidRPr="00FE2766">
        <w:rPr>
          <w:sz w:val="28"/>
          <w:szCs w:val="28"/>
        </w:rPr>
        <w:fldChar w:fldCharType="end"/>
      </w:r>
      <w:r w:rsidRPr="00FE2766">
        <w:rPr>
          <w:sz w:val="28"/>
          <w:szCs w:val="28"/>
        </w:rPr>
        <w:t>(1)-(5).  The treatment to be provided for is defined by 42 U.S.C. § 1396d(r) and includes dental, hearing and vision services and “[s]uch other necessary health care, diagnostic services, treatment, and other measures described in [42 U.S.C. § </w:t>
      </w:r>
      <w:proofErr w:type="gramStart"/>
      <w:r w:rsidRPr="00FE2766">
        <w:rPr>
          <w:sz w:val="28"/>
          <w:szCs w:val="28"/>
        </w:rPr>
        <w:t>1396d(</w:t>
      </w:r>
      <w:proofErr w:type="gramEnd"/>
      <w:r w:rsidRPr="00FE2766">
        <w:rPr>
          <w:sz w:val="28"/>
          <w:szCs w:val="28"/>
        </w:rPr>
        <w:t>a)]. . . to correct or ameliorate defects and physical and mental illnesses and conditions discovered by the screening services, whether or not such services are [otherwise] covered under the State plan.”  42 U.S.C. § 1396d(r</w:t>
      </w:r>
      <w:proofErr w:type="gramStart"/>
      <w:r w:rsidRPr="00FE2766">
        <w:rPr>
          <w:sz w:val="28"/>
          <w:szCs w:val="28"/>
        </w:rPr>
        <w:t>)</w:t>
      </w:r>
      <w:proofErr w:type="gramEnd"/>
      <w:r w:rsidR="00822A1E" w:rsidRPr="00FE2766">
        <w:rPr>
          <w:sz w:val="28"/>
          <w:szCs w:val="28"/>
        </w:rPr>
        <w:fldChar w:fldCharType="begin"/>
      </w:r>
      <w:r w:rsidRPr="00FE2766">
        <w:rPr>
          <w:sz w:val="28"/>
          <w:szCs w:val="28"/>
        </w:rPr>
        <w:instrText xml:space="preserve"> TA \l "42 U.S.C. § 1396d(r)" \s "42 U.S.C. § 1396d(r)" \c 2 </w:instrText>
      </w:r>
      <w:r w:rsidR="00822A1E" w:rsidRPr="00FE2766">
        <w:rPr>
          <w:sz w:val="28"/>
          <w:szCs w:val="28"/>
        </w:rPr>
        <w:fldChar w:fldCharType="end"/>
      </w:r>
      <w:r w:rsidRPr="00FE2766">
        <w:rPr>
          <w:sz w:val="28"/>
          <w:szCs w:val="28"/>
        </w:rPr>
        <w:t xml:space="preserve">(5); 42 C.F.R. § 440.40.  Under § 1396d(r)(5), states must “cover every type of health care or service necessary for EPSDT corrective or ameliorative purposes that is allowable under § 1396d(a),” </w:t>
      </w:r>
      <w:r w:rsidRPr="00FE2766">
        <w:rPr>
          <w:i/>
          <w:sz w:val="28"/>
          <w:szCs w:val="28"/>
        </w:rPr>
        <w:t>S.D. ex rel. Dickson v. Hood</w:t>
      </w:r>
      <w:r w:rsidRPr="00FE2766">
        <w:rPr>
          <w:sz w:val="28"/>
          <w:szCs w:val="28"/>
        </w:rPr>
        <w:t xml:space="preserve">, 391 F.3d 581, 590 (5th Cir. 2004), including private duty nursing services.  </w:t>
      </w:r>
      <w:r w:rsidRPr="00FE2766">
        <w:rPr>
          <w:i/>
          <w:sz w:val="28"/>
          <w:szCs w:val="28"/>
        </w:rPr>
        <w:t>See</w:t>
      </w:r>
      <w:r w:rsidRPr="00FE2766">
        <w:rPr>
          <w:sz w:val="28"/>
          <w:szCs w:val="28"/>
        </w:rPr>
        <w:t xml:space="preserve"> 42 U.S.C. § </w:t>
      </w:r>
      <w:proofErr w:type="gramStart"/>
      <w:r w:rsidRPr="00FE2766">
        <w:rPr>
          <w:sz w:val="28"/>
          <w:szCs w:val="28"/>
        </w:rPr>
        <w:t>1396d(</w:t>
      </w:r>
      <w:proofErr w:type="gramEnd"/>
      <w:r w:rsidRPr="00FE2766">
        <w:rPr>
          <w:sz w:val="28"/>
          <w:szCs w:val="28"/>
        </w:rPr>
        <w:t>a)(8).</w:t>
      </w:r>
    </w:p>
    <w:p w:rsidR="007C2BCB" w:rsidRPr="00FE2766" w:rsidRDefault="007C2BCB" w:rsidP="007C2BCB">
      <w:pPr>
        <w:spacing w:after="0" w:line="480" w:lineRule="auto"/>
        <w:ind w:firstLine="720"/>
        <w:rPr>
          <w:sz w:val="28"/>
          <w:szCs w:val="28"/>
        </w:rPr>
      </w:pPr>
      <w:r w:rsidRPr="00FE2766">
        <w:rPr>
          <w:sz w:val="28"/>
          <w:szCs w:val="28"/>
        </w:rPr>
        <w:t xml:space="preserve">A state has discretion to develop a reasonable definition of “medical necessity,” but the services provided must be sufficient in amount, duration, and scope to reasonably achieve their desired purpose, including providing treatment “to correct or ameliorate defects and chronic conditions” of EPSDT-eligible children.  42 C.F.R. § 441.50 (describing purpose of EPSDT services); </w:t>
      </w:r>
      <w:r w:rsidRPr="00FE2766">
        <w:rPr>
          <w:i/>
          <w:sz w:val="28"/>
          <w:szCs w:val="28"/>
        </w:rPr>
        <w:t>see</w:t>
      </w:r>
      <w:r w:rsidRPr="00FE2766">
        <w:rPr>
          <w:sz w:val="28"/>
          <w:szCs w:val="28"/>
        </w:rPr>
        <w:t xml:space="preserve"> </w:t>
      </w:r>
      <w:r w:rsidRPr="00FE2766">
        <w:rPr>
          <w:i/>
          <w:sz w:val="28"/>
          <w:szCs w:val="28"/>
        </w:rPr>
        <w:t>Moore ex rel. Moore v. Reese</w:t>
      </w:r>
      <w:r w:rsidRPr="00FE2766">
        <w:rPr>
          <w:sz w:val="28"/>
          <w:szCs w:val="28"/>
        </w:rPr>
        <w:t xml:space="preserve">, 637 F.3d 1220, 1255, 1261 (11th Cir. 2011).  Imposing restrictions on the number of hours of skilled nursing care available to a child that are not based on the needs of that child is inconsistent with the EPSDT provisions of the Medicaid Act.  </w:t>
      </w:r>
      <w:r w:rsidRPr="00FE2766">
        <w:rPr>
          <w:i/>
          <w:sz w:val="28"/>
          <w:szCs w:val="28"/>
        </w:rPr>
        <w:t>See Moore ex rel. Moore v. Cook</w:t>
      </w:r>
      <w:r w:rsidRPr="00FE2766">
        <w:rPr>
          <w:sz w:val="28"/>
          <w:szCs w:val="28"/>
        </w:rPr>
        <w:t>, No. 1:07-CV-631-TWT, 2012 WL 1380220, at *10 (N.D. Ga. Apr. 20, 2012) (finding that reduction in nursing care hours provided to a child violated the EPSDT provisions of the Medicaid Act where his condition was not improving, and the reduction was based on a policy and practice to wean care and shift the burden of skilled care to the child’s parent)</w:t>
      </w:r>
      <w:r>
        <w:rPr>
          <w:sz w:val="28"/>
          <w:szCs w:val="28"/>
        </w:rPr>
        <w:t>.</w:t>
      </w:r>
      <w:r w:rsidRPr="00FE2766">
        <w:rPr>
          <w:sz w:val="28"/>
          <w:szCs w:val="28"/>
        </w:rPr>
        <w:t xml:space="preserve">  States must ensure that each child receives all the covered services he is identified as needing, consistent with the EPSDT definition of medical necessity in §1396d(r)(5).</w:t>
      </w:r>
      <w:r w:rsidR="00DA3D75">
        <w:rPr>
          <w:sz w:val="28"/>
          <w:szCs w:val="28"/>
        </w:rPr>
        <w:t xml:space="preserve">  </w:t>
      </w:r>
      <w:r w:rsidR="003C0D42">
        <w:rPr>
          <w:i/>
          <w:sz w:val="28"/>
          <w:szCs w:val="28"/>
        </w:rPr>
        <w:t>See</w:t>
      </w:r>
      <w:r w:rsidR="003C0D42">
        <w:rPr>
          <w:sz w:val="28"/>
          <w:szCs w:val="28"/>
        </w:rPr>
        <w:t xml:space="preserve"> </w:t>
      </w:r>
      <w:r w:rsidR="00E11AC4">
        <w:rPr>
          <w:i/>
          <w:sz w:val="28"/>
          <w:szCs w:val="28"/>
        </w:rPr>
        <w:t>Katie A.</w:t>
      </w:r>
      <w:r w:rsidR="003C0D42" w:rsidRPr="003C0D42">
        <w:rPr>
          <w:i/>
          <w:sz w:val="28"/>
          <w:szCs w:val="28"/>
        </w:rPr>
        <w:t xml:space="preserve"> v. Los Angeles County</w:t>
      </w:r>
      <w:r w:rsidR="003C0D42">
        <w:rPr>
          <w:sz w:val="28"/>
          <w:szCs w:val="28"/>
        </w:rPr>
        <w:t xml:space="preserve">, 481 F.3d 1150, 1154 (9th Cir. 2007; </w:t>
      </w:r>
      <w:r w:rsidR="003C0D42" w:rsidRPr="003C0D42">
        <w:rPr>
          <w:i/>
          <w:sz w:val="28"/>
          <w:szCs w:val="28"/>
        </w:rPr>
        <w:t>Rosie D. v. Swift</w:t>
      </w:r>
      <w:r w:rsidR="002C0684">
        <w:rPr>
          <w:sz w:val="28"/>
          <w:szCs w:val="28"/>
        </w:rPr>
        <w:t>, 310 F.</w:t>
      </w:r>
      <w:r w:rsidR="003C0D42">
        <w:rPr>
          <w:sz w:val="28"/>
          <w:szCs w:val="28"/>
        </w:rPr>
        <w:t>3d 230, 232 (1st Cir. 2002).</w:t>
      </w:r>
    </w:p>
    <w:p w:rsidR="003A3EC6" w:rsidRDefault="0014732C" w:rsidP="00467958">
      <w:pPr>
        <w:spacing w:after="0" w:line="480" w:lineRule="auto"/>
        <w:jc w:val="center"/>
        <w:rPr>
          <w:b/>
          <w:sz w:val="28"/>
          <w:szCs w:val="28"/>
        </w:rPr>
      </w:pPr>
      <w:r>
        <w:rPr>
          <w:b/>
          <w:sz w:val="28"/>
          <w:szCs w:val="28"/>
        </w:rPr>
        <w:t>FACTUAL BACKGROUND</w:t>
      </w:r>
    </w:p>
    <w:p w:rsidR="00147F10" w:rsidRDefault="009F0AA1" w:rsidP="0031710B">
      <w:pPr>
        <w:spacing w:after="0" w:line="480" w:lineRule="auto"/>
        <w:ind w:firstLine="720"/>
        <w:rPr>
          <w:sz w:val="28"/>
          <w:szCs w:val="28"/>
        </w:rPr>
      </w:pPr>
      <w:r>
        <w:rPr>
          <w:sz w:val="28"/>
          <w:szCs w:val="28"/>
        </w:rPr>
        <w:t>Plaintiffs are</w:t>
      </w:r>
      <w:r w:rsidR="0031710B">
        <w:rPr>
          <w:sz w:val="28"/>
          <w:szCs w:val="28"/>
        </w:rPr>
        <w:t xml:space="preserve"> four</w:t>
      </w:r>
      <w:r>
        <w:rPr>
          <w:sz w:val="28"/>
          <w:szCs w:val="28"/>
        </w:rPr>
        <w:t xml:space="preserve"> </w:t>
      </w:r>
      <w:r w:rsidR="00E04829">
        <w:rPr>
          <w:sz w:val="28"/>
          <w:szCs w:val="28"/>
        </w:rPr>
        <w:t>Medicaid eligible children who</w:t>
      </w:r>
      <w:r w:rsidR="0031710B">
        <w:rPr>
          <w:sz w:val="28"/>
          <w:szCs w:val="28"/>
        </w:rPr>
        <w:t xml:space="preserve"> have </w:t>
      </w:r>
      <w:r w:rsidR="00505777">
        <w:rPr>
          <w:sz w:val="28"/>
          <w:szCs w:val="28"/>
        </w:rPr>
        <w:t>significant medical needs</w:t>
      </w:r>
      <w:r w:rsidR="0031710B">
        <w:rPr>
          <w:sz w:val="28"/>
          <w:szCs w:val="28"/>
        </w:rPr>
        <w:t xml:space="preserve">. </w:t>
      </w:r>
      <w:proofErr w:type="gramStart"/>
      <w:r w:rsidR="0031710B">
        <w:rPr>
          <w:sz w:val="28"/>
          <w:szCs w:val="28"/>
        </w:rPr>
        <w:t>C</w:t>
      </w:r>
      <w:r w:rsidR="00A3757A">
        <w:rPr>
          <w:sz w:val="28"/>
          <w:szCs w:val="28"/>
        </w:rPr>
        <w:t>o</w:t>
      </w:r>
      <w:r w:rsidR="0031710B">
        <w:rPr>
          <w:sz w:val="28"/>
          <w:szCs w:val="28"/>
        </w:rPr>
        <w:t>mpl.,</w:t>
      </w:r>
      <w:proofErr w:type="gramEnd"/>
      <w:r w:rsidR="0031710B">
        <w:rPr>
          <w:sz w:val="28"/>
          <w:szCs w:val="28"/>
        </w:rPr>
        <w:t xml:space="preserve"> ¶¶ 5-9. </w:t>
      </w:r>
      <w:r w:rsidR="00E04829">
        <w:rPr>
          <w:sz w:val="28"/>
          <w:szCs w:val="28"/>
        </w:rPr>
        <w:t xml:space="preserve"> </w:t>
      </w:r>
      <w:r w:rsidR="00E733DD">
        <w:rPr>
          <w:sz w:val="28"/>
          <w:szCs w:val="28"/>
        </w:rPr>
        <w:t>All four plaintiffs receive nursing services through the Georgia Pediatric Program (“GAPP</w:t>
      </w:r>
      <w:r w:rsidR="0062035E">
        <w:rPr>
          <w:sz w:val="28"/>
          <w:szCs w:val="28"/>
        </w:rPr>
        <w:t>”</w:t>
      </w:r>
      <w:r w:rsidR="00E733DD">
        <w:rPr>
          <w:sz w:val="28"/>
          <w:szCs w:val="28"/>
        </w:rPr>
        <w:t>), a Medicaid program administered by the Defendant that provides nursing care to children</w:t>
      </w:r>
      <w:r w:rsidR="00147F10">
        <w:rPr>
          <w:sz w:val="28"/>
          <w:szCs w:val="28"/>
        </w:rPr>
        <w:t xml:space="preserve"> </w:t>
      </w:r>
      <w:r w:rsidR="00AB308A">
        <w:rPr>
          <w:sz w:val="28"/>
          <w:szCs w:val="28"/>
        </w:rPr>
        <w:t>who</w:t>
      </w:r>
      <w:r w:rsidR="00147F10">
        <w:rPr>
          <w:sz w:val="28"/>
          <w:szCs w:val="28"/>
        </w:rPr>
        <w:t xml:space="preserve"> require nursing services in order to remain in their homes</w:t>
      </w:r>
      <w:r w:rsidR="00E733DD">
        <w:rPr>
          <w:sz w:val="28"/>
          <w:szCs w:val="28"/>
        </w:rPr>
        <w:t>.  Order, ECF No. 113, at 2</w:t>
      </w:r>
      <w:r w:rsidR="00147F10">
        <w:rPr>
          <w:sz w:val="28"/>
          <w:szCs w:val="28"/>
        </w:rPr>
        <w:t xml:space="preserve">; </w:t>
      </w:r>
      <w:proofErr w:type="gramStart"/>
      <w:r w:rsidR="00147F10">
        <w:rPr>
          <w:sz w:val="28"/>
          <w:szCs w:val="28"/>
        </w:rPr>
        <w:t>C</w:t>
      </w:r>
      <w:r w:rsidR="00A3757A">
        <w:rPr>
          <w:sz w:val="28"/>
          <w:szCs w:val="28"/>
        </w:rPr>
        <w:t>o</w:t>
      </w:r>
      <w:r w:rsidR="00147F10">
        <w:rPr>
          <w:sz w:val="28"/>
          <w:szCs w:val="28"/>
        </w:rPr>
        <w:t>mpl.,</w:t>
      </w:r>
      <w:proofErr w:type="gramEnd"/>
      <w:r w:rsidR="00147F10">
        <w:rPr>
          <w:sz w:val="28"/>
          <w:szCs w:val="28"/>
        </w:rPr>
        <w:t xml:space="preserve"> ¶¶ 5-9. </w:t>
      </w:r>
      <w:r w:rsidR="0031710B">
        <w:rPr>
          <w:sz w:val="28"/>
          <w:szCs w:val="28"/>
        </w:rPr>
        <w:t xml:space="preserve">  Private duty nursing service</w:t>
      </w:r>
      <w:r w:rsidR="00505777">
        <w:rPr>
          <w:sz w:val="28"/>
          <w:szCs w:val="28"/>
        </w:rPr>
        <w:t>s</w:t>
      </w:r>
      <w:r w:rsidR="0031710B" w:rsidRPr="00F7608E">
        <w:rPr>
          <w:sz w:val="28"/>
          <w:szCs w:val="28"/>
        </w:rPr>
        <w:t xml:space="preserve"> </w:t>
      </w:r>
      <w:r w:rsidR="00505777">
        <w:rPr>
          <w:sz w:val="28"/>
          <w:szCs w:val="28"/>
        </w:rPr>
        <w:t>are</w:t>
      </w:r>
      <w:r w:rsidR="0031710B" w:rsidRPr="00F7608E">
        <w:rPr>
          <w:sz w:val="28"/>
          <w:szCs w:val="28"/>
        </w:rPr>
        <w:t xml:space="preserve"> defined as “nursing services for recipients who</w:t>
      </w:r>
      <w:r w:rsidR="0031710B">
        <w:rPr>
          <w:sz w:val="28"/>
          <w:szCs w:val="28"/>
        </w:rPr>
        <w:t xml:space="preserve"> </w:t>
      </w:r>
      <w:r w:rsidR="0031710B" w:rsidRPr="00F7608E">
        <w:rPr>
          <w:sz w:val="28"/>
          <w:szCs w:val="28"/>
        </w:rPr>
        <w:t>require more individual and continuous care than is available from a visiting nurse or</w:t>
      </w:r>
      <w:r w:rsidR="0031710B">
        <w:rPr>
          <w:sz w:val="28"/>
          <w:szCs w:val="28"/>
        </w:rPr>
        <w:t xml:space="preserve"> </w:t>
      </w:r>
      <w:r w:rsidR="0031710B" w:rsidRPr="00F7608E">
        <w:rPr>
          <w:sz w:val="28"/>
          <w:szCs w:val="28"/>
        </w:rPr>
        <w:t xml:space="preserve">routinely provided by the nursing staff of the hospital or skilled nursing facility.” </w:t>
      </w:r>
      <w:proofErr w:type="gramStart"/>
      <w:r w:rsidR="0031710B" w:rsidRPr="00F7608E">
        <w:rPr>
          <w:sz w:val="28"/>
          <w:szCs w:val="28"/>
        </w:rPr>
        <w:t>42</w:t>
      </w:r>
      <w:r w:rsidR="0031710B">
        <w:rPr>
          <w:sz w:val="28"/>
          <w:szCs w:val="28"/>
        </w:rPr>
        <w:t xml:space="preserve"> </w:t>
      </w:r>
      <w:r w:rsidR="0031710B" w:rsidRPr="00F7608E">
        <w:rPr>
          <w:sz w:val="28"/>
          <w:szCs w:val="28"/>
        </w:rPr>
        <w:t>C.F.R. § 440.80.</w:t>
      </w:r>
      <w:proofErr w:type="gramEnd"/>
      <w:r w:rsidR="0031710B">
        <w:rPr>
          <w:sz w:val="28"/>
          <w:szCs w:val="28"/>
        </w:rPr>
        <w:t xml:space="preserve">  </w:t>
      </w:r>
      <w:r w:rsidR="0031710B" w:rsidRPr="00F7608E">
        <w:rPr>
          <w:sz w:val="28"/>
          <w:szCs w:val="28"/>
        </w:rPr>
        <w:t>These services are provided by a registered nurse or nurse</w:t>
      </w:r>
      <w:r w:rsidR="0031710B">
        <w:rPr>
          <w:sz w:val="28"/>
          <w:szCs w:val="28"/>
        </w:rPr>
        <w:t xml:space="preserve"> </w:t>
      </w:r>
      <w:r w:rsidR="0031710B" w:rsidRPr="00F7608E">
        <w:rPr>
          <w:sz w:val="28"/>
          <w:szCs w:val="28"/>
        </w:rPr>
        <w:t xml:space="preserve">practitioner under the direction of the recipient’s physician at the </w:t>
      </w:r>
      <w:r w:rsidR="0031710B">
        <w:rPr>
          <w:sz w:val="28"/>
          <w:szCs w:val="28"/>
        </w:rPr>
        <w:t xml:space="preserve">Plaintiffs’ </w:t>
      </w:r>
      <w:r w:rsidR="0031710B" w:rsidRPr="00F7608E">
        <w:rPr>
          <w:sz w:val="28"/>
          <w:szCs w:val="28"/>
        </w:rPr>
        <w:t>home</w:t>
      </w:r>
      <w:r w:rsidR="0031710B">
        <w:rPr>
          <w:sz w:val="28"/>
          <w:szCs w:val="28"/>
        </w:rPr>
        <w:t xml:space="preserve">s. </w:t>
      </w:r>
      <w:r w:rsidR="0031710B" w:rsidRPr="00F7608E">
        <w:rPr>
          <w:sz w:val="28"/>
          <w:szCs w:val="28"/>
        </w:rPr>
        <w:t xml:space="preserve"> </w:t>
      </w:r>
      <w:r w:rsidR="0031710B">
        <w:rPr>
          <w:sz w:val="28"/>
          <w:szCs w:val="28"/>
        </w:rPr>
        <w:t>Order, ECF No. 113, at</w:t>
      </w:r>
      <w:r w:rsidR="00E20855">
        <w:rPr>
          <w:sz w:val="28"/>
          <w:szCs w:val="28"/>
        </w:rPr>
        <w:t xml:space="preserve"> </w:t>
      </w:r>
      <w:r w:rsidR="0031710B">
        <w:rPr>
          <w:sz w:val="28"/>
          <w:szCs w:val="28"/>
        </w:rPr>
        <w:t xml:space="preserve">n. 2; </w:t>
      </w:r>
      <w:proofErr w:type="gramStart"/>
      <w:r w:rsidR="0031710B">
        <w:rPr>
          <w:sz w:val="28"/>
          <w:szCs w:val="28"/>
        </w:rPr>
        <w:t>C</w:t>
      </w:r>
      <w:r w:rsidR="00A3757A">
        <w:rPr>
          <w:sz w:val="28"/>
          <w:szCs w:val="28"/>
        </w:rPr>
        <w:t>o</w:t>
      </w:r>
      <w:r w:rsidR="0031710B">
        <w:rPr>
          <w:sz w:val="28"/>
          <w:szCs w:val="28"/>
        </w:rPr>
        <w:t>mpl.,</w:t>
      </w:r>
      <w:proofErr w:type="gramEnd"/>
      <w:r w:rsidR="0031710B">
        <w:rPr>
          <w:sz w:val="28"/>
          <w:szCs w:val="28"/>
        </w:rPr>
        <w:t xml:space="preserve"> ¶¶ 5-9. </w:t>
      </w:r>
      <w:r w:rsidR="00AB308A">
        <w:rPr>
          <w:sz w:val="28"/>
          <w:szCs w:val="28"/>
        </w:rPr>
        <w:t xml:space="preserve"> </w:t>
      </w:r>
      <w:r w:rsidR="00147F10">
        <w:rPr>
          <w:sz w:val="28"/>
          <w:szCs w:val="28"/>
        </w:rPr>
        <w:t xml:space="preserve">The Plaintiffs have all obtained some nursing services under the GAPP program and </w:t>
      </w:r>
      <w:r w:rsidR="00505777">
        <w:rPr>
          <w:sz w:val="28"/>
          <w:szCs w:val="28"/>
        </w:rPr>
        <w:t xml:space="preserve">allege that they </w:t>
      </w:r>
      <w:r w:rsidR="00147F10">
        <w:rPr>
          <w:sz w:val="28"/>
          <w:szCs w:val="28"/>
        </w:rPr>
        <w:t xml:space="preserve">have been subjected to the application of GAPP policies that have the effect of limiting, denying, or reducing the amount of Medicaid-funded nursing services that Plaintiffs will receive.  </w:t>
      </w:r>
      <w:proofErr w:type="gramStart"/>
      <w:r w:rsidR="00147F10">
        <w:rPr>
          <w:sz w:val="28"/>
          <w:szCs w:val="28"/>
        </w:rPr>
        <w:t>C</w:t>
      </w:r>
      <w:r w:rsidR="00A3757A">
        <w:rPr>
          <w:sz w:val="28"/>
          <w:szCs w:val="28"/>
        </w:rPr>
        <w:t>o</w:t>
      </w:r>
      <w:r w:rsidR="00147F10">
        <w:rPr>
          <w:sz w:val="28"/>
          <w:szCs w:val="28"/>
        </w:rPr>
        <w:t>mpl.,</w:t>
      </w:r>
      <w:proofErr w:type="gramEnd"/>
      <w:r w:rsidR="00147F10">
        <w:rPr>
          <w:sz w:val="28"/>
          <w:szCs w:val="28"/>
        </w:rPr>
        <w:t xml:space="preserve"> ¶¶ 5-9.  </w:t>
      </w:r>
    </w:p>
    <w:p w:rsidR="00994F32" w:rsidRPr="00B47D49" w:rsidRDefault="00994F32" w:rsidP="0031710B">
      <w:pPr>
        <w:pStyle w:val="Default"/>
        <w:spacing w:line="480" w:lineRule="auto"/>
        <w:ind w:firstLine="720"/>
        <w:rPr>
          <w:i/>
          <w:sz w:val="28"/>
          <w:szCs w:val="28"/>
        </w:rPr>
      </w:pPr>
      <w:r>
        <w:rPr>
          <w:sz w:val="28"/>
          <w:szCs w:val="28"/>
        </w:rPr>
        <w:t>Plaintiff Mar</w:t>
      </w:r>
      <w:r w:rsidR="00B47D49">
        <w:rPr>
          <w:sz w:val="28"/>
          <w:szCs w:val="28"/>
        </w:rPr>
        <w:t>ketric Hunter (Marketric) is</w:t>
      </w:r>
      <w:r w:rsidR="00AB308A">
        <w:rPr>
          <w:sz w:val="28"/>
          <w:szCs w:val="28"/>
        </w:rPr>
        <w:t xml:space="preserve"> an</w:t>
      </w:r>
      <w:r w:rsidR="00B47D49">
        <w:rPr>
          <w:sz w:val="28"/>
          <w:szCs w:val="28"/>
        </w:rPr>
        <w:t xml:space="preserve"> </w:t>
      </w:r>
      <w:r w:rsidR="00A3757A">
        <w:rPr>
          <w:sz w:val="28"/>
          <w:szCs w:val="28"/>
        </w:rPr>
        <w:t>eleven</w:t>
      </w:r>
      <w:r w:rsidR="0062035E">
        <w:rPr>
          <w:sz w:val="28"/>
          <w:szCs w:val="28"/>
        </w:rPr>
        <w:t xml:space="preserve"> </w:t>
      </w:r>
      <w:r>
        <w:rPr>
          <w:sz w:val="28"/>
          <w:szCs w:val="28"/>
        </w:rPr>
        <w:t>year</w:t>
      </w:r>
      <w:r w:rsidR="0062035E">
        <w:rPr>
          <w:sz w:val="28"/>
          <w:szCs w:val="28"/>
        </w:rPr>
        <w:t xml:space="preserve"> </w:t>
      </w:r>
      <w:r>
        <w:rPr>
          <w:sz w:val="28"/>
          <w:szCs w:val="28"/>
        </w:rPr>
        <w:t>old</w:t>
      </w:r>
      <w:r w:rsidR="00AB308A">
        <w:rPr>
          <w:sz w:val="28"/>
          <w:szCs w:val="28"/>
        </w:rPr>
        <w:t xml:space="preserve"> </w:t>
      </w:r>
      <w:r w:rsidR="0031710B">
        <w:rPr>
          <w:sz w:val="28"/>
          <w:szCs w:val="28"/>
        </w:rPr>
        <w:t>resident of Savannah, G</w:t>
      </w:r>
      <w:r w:rsidR="00BD63E5">
        <w:rPr>
          <w:sz w:val="28"/>
          <w:szCs w:val="28"/>
        </w:rPr>
        <w:t>eorgia</w:t>
      </w:r>
      <w:r w:rsidR="00AB308A">
        <w:rPr>
          <w:sz w:val="28"/>
          <w:szCs w:val="28"/>
        </w:rPr>
        <w:t xml:space="preserve"> who receives in-home private duty nursing services</w:t>
      </w:r>
      <w:r>
        <w:rPr>
          <w:sz w:val="28"/>
          <w:szCs w:val="28"/>
        </w:rPr>
        <w:t>.</w:t>
      </w:r>
      <w:r w:rsidR="00E733DD">
        <w:rPr>
          <w:sz w:val="28"/>
          <w:szCs w:val="28"/>
        </w:rPr>
        <w:t xml:space="preserve">  </w:t>
      </w:r>
      <w:proofErr w:type="gramStart"/>
      <w:r w:rsidR="00E733DD">
        <w:rPr>
          <w:sz w:val="28"/>
          <w:szCs w:val="28"/>
        </w:rPr>
        <w:t>C</w:t>
      </w:r>
      <w:r w:rsidR="00A3757A">
        <w:rPr>
          <w:sz w:val="28"/>
          <w:szCs w:val="28"/>
        </w:rPr>
        <w:t>o</w:t>
      </w:r>
      <w:r w:rsidR="00E733DD">
        <w:rPr>
          <w:sz w:val="28"/>
          <w:szCs w:val="28"/>
        </w:rPr>
        <w:t>mpl.,</w:t>
      </w:r>
      <w:proofErr w:type="gramEnd"/>
      <w:r w:rsidR="00E733DD">
        <w:rPr>
          <w:sz w:val="28"/>
          <w:szCs w:val="28"/>
        </w:rPr>
        <w:t xml:space="preserve"> ¶ 5</w:t>
      </w:r>
      <w:r w:rsidR="00AB308A">
        <w:rPr>
          <w:sz w:val="28"/>
          <w:szCs w:val="28"/>
        </w:rPr>
        <w:t>, 57</w:t>
      </w:r>
      <w:r w:rsidR="00E733DD">
        <w:rPr>
          <w:sz w:val="28"/>
          <w:szCs w:val="28"/>
        </w:rPr>
        <w:t xml:space="preserve">.  </w:t>
      </w:r>
      <w:r w:rsidR="00F048D2">
        <w:rPr>
          <w:sz w:val="28"/>
          <w:szCs w:val="28"/>
        </w:rPr>
        <w:t xml:space="preserve">Marketric </w:t>
      </w:r>
      <w:r w:rsidR="00A57D08">
        <w:rPr>
          <w:sz w:val="28"/>
          <w:szCs w:val="28"/>
        </w:rPr>
        <w:t>sustained long-term, neurologic injuries</w:t>
      </w:r>
      <w:r w:rsidR="00F048D2">
        <w:rPr>
          <w:sz w:val="28"/>
          <w:szCs w:val="28"/>
        </w:rPr>
        <w:t xml:space="preserve"> as a toddler.  </w:t>
      </w:r>
      <w:proofErr w:type="gramStart"/>
      <w:r w:rsidR="00B836B7" w:rsidRPr="00B836B7">
        <w:rPr>
          <w:i/>
          <w:sz w:val="28"/>
          <w:szCs w:val="28"/>
        </w:rPr>
        <w:t>Id.</w:t>
      </w:r>
      <w:r w:rsidR="00F048D2">
        <w:rPr>
          <w:sz w:val="28"/>
          <w:szCs w:val="28"/>
        </w:rPr>
        <w:t>, ¶ 50.</w:t>
      </w:r>
      <w:proofErr w:type="gramEnd"/>
      <w:r w:rsidR="00F048D2">
        <w:rPr>
          <w:sz w:val="28"/>
          <w:szCs w:val="28"/>
        </w:rPr>
        <w:t xml:space="preserve">  Marketric’s physicians have determined that he can and should live at home and should receive nursing services at home.  </w:t>
      </w:r>
      <w:proofErr w:type="gramStart"/>
      <w:r w:rsidR="00B836B7" w:rsidRPr="00B836B7">
        <w:rPr>
          <w:i/>
          <w:sz w:val="28"/>
          <w:szCs w:val="28"/>
        </w:rPr>
        <w:t>Id.</w:t>
      </w:r>
      <w:r w:rsidR="0062035E">
        <w:rPr>
          <w:sz w:val="28"/>
          <w:szCs w:val="28"/>
        </w:rPr>
        <w:t>, ¶ 56.</w:t>
      </w:r>
      <w:proofErr w:type="gramEnd"/>
      <w:r w:rsidR="0062035E">
        <w:rPr>
          <w:sz w:val="28"/>
          <w:szCs w:val="28"/>
        </w:rPr>
        <w:t xml:space="preserve">  </w:t>
      </w:r>
      <w:r w:rsidR="00F048D2">
        <w:rPr>
          <w:sz w:val="28"/>
          <w:szCs w:val="28"/>
        </w:rPr>
        <w:t>Despite physician recommendations for increased nursing services and repeated hospitalizations, Marketric</w:t>
      </w:r>
      <w:r w:rsidR="00951E08">
        <w:rPr>
          <w:sz w:val="28"/>
          <w:szCs w:val="28"/>
        </w:rPr>
        <w:t>’</w:t>
      </w:r>
      <w:r w:rsidR="00F048D2">
        <w:rPr>
          <w:sz w:val="28"/>
          <w:szCs w:val="28"/>
        </w:rPr>
        <w:t xml:space="preserve">s nursing services have been </w:t>
      </w:r>
      <w:r w:rsidR="00E36176">
        <w:rPr>
          <w:sz w:val="28"/>
          <w:szCs w:val="28"/>
        </w:rPr>
        <w:t>consistently reduced in accordance with GAPP policies</w:t>
      </w:r>
      <w:r w:rsidR="00F048D2">
        <w:rPr>
          <w:sz w:val="28"/>
          <w:szCs w:val="28"/>
        </w:rPr>
        <w:t xml:space="preserve">.  </w:t>
      </w:r>
      <w:r w:rsidR="00B836B7" w:rsidRPr="00B836B7">
        <w:rPr>
          <w:i/>
          <w:sz w:val="28"/>
          <w:szCs w:val="28"/>
        </w:rPr>
        <w:t>Id.</w:t>
      </w:r>
      <w:r w:rsidR="00F048D2">
        <w:rPr>
          <w:sz w:val="28"/>
          <w:szCs w:val="28"/>
        </w:rPr>
        <w:t>, ¶</w:t>
      </w:r>
      <w:r w:rsidR="00A3757A">
        <w:rPr>
          <w:sz w:val="28"/>
          <w:szCs w:val="28"/>
        </w:rPr>
        <w:t>¶</w:t>
      </w:r>
      <w:r w:rsidR="00F048D2">
        <w:rPr>
          <w:sz w:val="28"/>
          <w:szCs w:val="28"/>
        </w:rPr>
        <w:t xml:space="preserve"> </w:t>
      </w:r>
      <w:r w:rsidR="00E36176">
        <w:rPr>
          <w:sz w:val="28"/>
          <w:szCs w:val="28"/>
        </w:rPr>
        <w:t xml:space="preserve">47, </w:t>
      </w:r>
      <w:r w:rsidR="00F048D2">
        <w:rPr>
          <w:sz w:val="28"/>
          <w:szCs w:val="28"/>
        </w:rPr>
        <w:t xml:space="preserve">61-64, 68-71, 75-78.  </w:t>
      </w:r>
      <w:r w:rsidR="005E7C11">
        <w:rPr>
          <w:sz w:val="28"/>
          <w:szCs w:val="28"/>
        </w:rPr>
        <w:t>This Court has on two occasions ordered the Defendant to provi</w:t>
      </w:r>
      <w:r w:rsidR="00951E08">
        <w:rPr>
          <w:sz w:val="28"/>
          <w:szCs w:val="28"/>
        </w:rPr>
        <w:t xml:space="preserve">de Marketric with the </w:t>
      </w:r>
      <w:r w:rsidR="005E7C11">
        <w:rPr>
          <w:sz w:val="28"/>
          <w:szCs w:val="28"/>
        </w:rPr>
        <w:t>private duty nursing hours</w:t>
      </w:r>
      <w:r w:rsidR="00951E08">
        <w:rPr>
          <w:sz w:val="28"/>
          <w:szCs w:val="28"/>
        </w:rPr>
        <w:t xml:space="preserve"> he requires</w:t>
      </w:r>
      <w:r w:rsidR="005E7C11">
        <w:rPr>
          <w:sz w:val="28"/>
          <w:szCs w:val="28"/>
        </w:rPr>
        <w:t>,</w:t>
      </w:r>
      <w:r w:rsidR="00A3757A">
        <w:rPr>
          <w:sz w:val="28"/>
          <w:szCs w:val="28"/>
        </w:rPr>
        <w:t xml:space="preserve"> </w:t>
      </w:r>
      <w:r w:rsidR="005E7C11">
        <w:rPr>
          <w:sz w:val="28"/>
          <w:szCs w:val="28"/>
        </w:rPr>
        <w:t>ECF No</w:t>
      </w:r>
      <w:r w:rsidR="00A3757A">
        <w:rPr>
          <w:sz w:val="28"/>
          <w:szCs w:val="28"/>
        </w:rPr>
        <w:t>s</w:t>
      </w:r>
      <w:r w:rsidR="005E7C11">
        <w:rPr>
          <w:sz w:val="28"/>
          <w:szCs w:val="28"/>
        </w:rPr>
        <w:t xml:space="preserve">. 9, 47, and also enjoined Defendant from using criteria for determining nursing services not based on medical necessity.  Order, ECF No. 77, at 3-4. </w:t>
      </w:r>
    </w:p>
    <w:p w:rsidR="00AB308A" w:rsidRDefault="00B47D49" w:rsidP="00994F32">
      <w:pPr>
        <w:spacing w:after="0" w:line="480" w:lineRule="auto"/>
        <w:ind w:firstLine="720"/>
        <w:rPr>
          <w:sz w:val="28"/>
          <w:szCs w:val="28"/>
        </w:rPr>
      </w:pPr>
      <w:r>
        <w:rPr>
          <w:sz w:val="28"/>
          <w:szCs w:val="28"/>
        </w:rPr>
        <w:t xml:space="preserve">Plaintiff S.R. is currently </w:t>
      </w:r>
      <w:r w:rsidR="00A3757A">
        <w:rPr>
          <w:sz w:val="28"/>
          <w:szCs w:val="28"/>
        </w:rPr>
        <w:t>five</w:t>
      </w:r>
      <w:r w:rsidR="00994F32">
        <w:rPr>
          <w:sz w:val="28"/>
          <w:szCs w:val="28"/>
        </w:rPr>
        <w:t xml:space="preserve"> years old</w:t>
      </w:r>
      <w:r w:rsidR="00F048D2">
        <w:rPr>
          <w:sz w:val="28"/>
          <w:szCs w:val="28"/>
        </w:rPr>
        <w:t xml:space="preserve"> and lives at home</w:t>
      </w:r>
      <w:r w:rsidR="001A2F16">
        <w:rPr>
          <w:sz w:val="28"/>
          <w:szCs w:val="28"/>
        </w:rPr>
        <w:t xml:space="preserve"> with her mother</w:t>
      </w:r>
      <w:r w:rsidR="00F048D2">
        <w:rPr>
          <w:sz w:val="28"/>
          <w:szCs w:val="28"/>
        </w:rPr>
        <w:t xml:space="preserve">.  </w:t>
      </w:r>
      <w:proofErr w:type="gramStart"/>
      <w:r w:rsidR="001A2F16">
        <w:rPr>
          <w:sz w:val="28"/>
          <w:szCs w:val="28"/>
        </w:rPr>
        <w:t>C</w:t>
      </w:r>
      <w:r w:rsidR="00A3757A">
        <w:rPr>
          <w:sz w:val="28"/>
          <w:szCs w:val="28"/>
        </w:rPr>
        <w:t>o</w:t>
      </w:r>
      <w:r w:rsidR="001A2F16">
        <w:rPr>
          <w:sz w:val="28"/>
          <w:szCs w:val="28"/>
        </w:rPr>
        <w:t>mpl.,</w:t>
      </w:r>
      <w:proofErr w:type="gramEnd"/>
      <w:r w:rsidR="001A2F16">
        <w:rPr>
          <w:sz w:val="28"/>
          <w:szCs w:val="28"/>
        </w:rPr>
        <w:t xml:space="preserve"> ¶</w:t>
      </w:r>
      <w:r w:rsidR="00A3757A">
        <w:rPr>
          <w:sz w:val="28"/>
          <w:szCs w:val="28"/>
        </w:rPr>
        <w:t>¶</w:t>
      </w:r>
      <w:r w:rsidR="001A2F16">
        <w:rPr>
          <w:sz w:val="28"/>
          <w:szCs w:val="28"/>
        </w:rPr>
        <w:t xml:space="preserve"> 7, 86</w:t>
      </w:r>
      <w:r w:rsidR="00805A08">
        <w:rPr>
          <w:sz w:val="28"/>
          <w:szCs w:val="28"/>
        </w:rPr>
        <w:t xml:space="preserve">.  </w:t>
      </w:r>
      <w:r w:rsidR="00F048D2">
        <w:rPr>
          <w:sz w:val="28"/>
          <w:szCs w:val="28"/>
        </w:rPr>
        <w:t>S.R.’s</w:t>
      </w:r>
      <w:r w:rsidR="00A57D08">
        <w:rPr>
          <w:sz w:val="28"/>
          <w:szCs w:val="28"/>
        </w:rPr>
        <w:t xml:space="preserve"> medical diagnoses include </w:t>
      </w:r>
      <w:r w:rsidR="00F048D2">
        <w:rPr>
          <w:sz w:val="28"/>
          <w:szCs w:val="28"/>
        </w:rPr>
        <w:t xml:space="preserve">Reactive Airway Disease, chronic rhinitis, dysphagia, gastroesophageal reflux, cerebral palsy and seizure disorder. </w:t>
      </w:r>
      <w:proofErr w:type="gramStart"/>
      <w:r w:rsidR="00B836B7" w:rsidRPr="00B836B7">
        <w:rPr>
          <w:i/>
          <w:sz w:val="28"/>
          <w:szCs w:val="28"/>
        </w:rPr>
        <w:t>Id.</w:t>
      </w:r>
      <w:r w:rsidR="00F048D2">
        <w:rPr>
          <w:sz w:val="28"/>
          <w:szCs w:val="28"/>
        </w:rPr>
        <w:t>, ¶ 83.</w:t>
      </w:r>
      <w:proofErr w:type="gramEnd"/>
      <w:r w:rsidR="00F048D2">
        <w:rPr>
          <w:sz w:val="28"/>
          <w:szCs w:val="28"/>
        </w:rPr>
        <w:t xml:space="preserve">  Contrary to the recommendation of S.R.’s treating physician and despite multiple hospitalizations, S.R.’s nursing services have been repeatedly reduced.  </w:t>
      </w:r>
      <w:r w:rsidR="00B836B7" w:rsidRPr="00B836B7">
        <w:rPr>
          <w:i/>
          <w:sz w:val="28"/>
          <w:szCs w:val="28"/>
        </w:rPr>
        <w:t>Id.</w:t>
      </w:r>
      <w:r w:rsidR="00F048D2">
        <w:rPr>
          <w:sz w:val="28"/>
          <w:szCs w:val="28"/>
        </w:rPr>
        <w:t xml:space="preserve">, </w:t>
      </w:r>
      <w:r w:rsidR="00A3757A">
        <w:rPr>
          <w:sz w:val="28"/>
          <w:szCs w:val="28"/>
        </w:rPr>
        <w:t>¶</w:t>
      </w:r>
      <w:r w:rsidR="00F048D2">
        <w:rPr>
          <w:sz w:val="28"/>
          <w:szCs w:val="28"/>
        </w:rPr>
        <w:t>¶ 85, 87, 88, 90-94.</w:t>
      </w:r>
    </w:p>
    <w:p w:rsidR="00AB308A" w:rsidRDefault="001A2F16" w:rsidP="00AB308A">
      <w:pPr>
        <w:spacing w:after="0" w:line="480" w:lineRule="auto"/>
        <w:ind w:firstLine="720"/>
        <w:rPr>
          <w:sz w:val="28"/>
          <w:szCs w:val="28"/>
        </w:rPr>
      </w:pPr>
      <w:r>
        <w:rPr>
          <w:sz w:val="28"/>
          <w:szCs w:val="28"/>
        </w:rPr>
        <w:t xml:space="preserve">Plaintiff J.M. is a </w:t>
      </w:r>
      <w:r w:rsidR="0062035E">
        <w:rPr>
          <w:sz w:val="28"/>
          <w:szCs w:val="28"/>
        </w:rPr>
        <w:t xml:space="preserve">sixteen </w:t>
      </w:r>
      <w:r w:rsidR="00994F32">
        <w:rPr>
          <w:sz w:val="28"/>
          <w:szCs w:val="28"/>
        </w:rPr>
        <w:t>y</w:t>
      </w:r>
      <w:r>
        <w:rPr>
          <w:sz w:val="28"/>
          <w:szCs w:val="28"/>
        </w:rPr>
        <w:t>ear</w:t>
      </w:r>
      <w:r w:rsidR="0062035E">
        <w:rPr>
          <w:sz w:val="28"/>
          <w:szCs w:val="28"/>
        </w:rPr>
        <w:t xml:space="preserve"> </w:t>
      </w:r>
      <w:r>
        <w:rPr>
          <w:sz w:val="28"/>
          <w:szCs w:val="28"/>
        </w:rPr>
        <w:t xml:space="preserve">old child who </w:t>
      </w:r>
      <w:r w:rsidR="00994F32">
        <w:rPr>
          <w:sz w:val="28"/>
          <w:szCs w:val="28"/>
        </w:rPr>
        <w:t>lives with his grandmother in Atlanta, Georgia.</w:t>
      </w:r>
      <w:r>
        <w:rPr>
          <w:sz w:val="28"/>
          <w:szCs w:val="28"/>
        </w:rPr>
        <w:t xml:space="preserve"> </w:t>
      </w:r>
      <w:proofErr w:type="gramStart"/>
      <w:r>
        <w:rPr>
          <w:sz w:val="28"/>
          <w:szCs w:val="28"/>
        </w:rPr>
        <w:t>C</w:t>
      </w:r>
      <w:r w:rsidR="00A3757A">
        <w:rPr>
          <w:sz w:val="28"/>
          <w:szCs w:val="28"/>
        </w:rPr>
        <w:t>o</w:t>
      </w:r>
      <w:r>
        <w:rPr>
          <w:sz w:val="28"/>
          <w:szCs w:val="28"/>
        </w:rPr>
        <w:t>mpl.,</w:t>
      </w:r>
      <w:proofErr w:type="gramEnd"/>
      <w:r>
        <w:rPr>
          <w:sz w:val="28"/>
          <w:szCs w:val="28"/>
        </w:rPr>
        <w:t xml:space="preserve"> ¶ 8.  His grandmother is aging and experiences health problems. </w:t>
      </w:r>
      <w:r w:rsidR="004E0F60">
        <w:rPr>
          <w:sz w:val="28"/>
          <w:szCs w:val="28"/>
        </w:rPr>
        <w:t xml:space="preserve"> </w:t>
      </w:r>
      <w:proofErr w:type="gramStart"/>
      <w:r w:rsidR="00B836B7" w:rsidRPr="00B836B7">
        <w:rPr>
          <w:i/>
          <w:sz w:val="28"/>
          <w:szCs w:val="28"/>
        </w:rPr>
        <w:t>Id</w:t>
      </w:r>
      <w:r w:rsidR="004E0F60">
        <w:rPr>
          <w:sz w:val="28"/>
          <w:szCs w:val="28"/>
        </w:rPr>
        <w:t>.</w:t>
      </w:r>
      <w:r>
        <w:rPr>
          <w:sz w:val="28"/>
          <w:szCs w:val="28"/>
        </w:rPr>
        <w:t>, ¶ 95.</w:t>
      </w:r>
      <w:proofErr w:type="gramEnd"/>
      <w:r>
        <w:rPr>
          <w:sz w:val="28"/>
          <w:szCs w:val="28"/>
        </w:rPr>
        <w:t xml:space="preserve">  </w:t>
      </w:r>
      <w:r w:rsidR="00994F32">
        <w:rPr>
          <w:sz w:val="28"/>
          <w:szCs w:val="28"/>
        </w:rPr>
        <w:t xml:space="preserve">As a result of a brain tumor diagnosed in 2003 and complications from treatment, he requires </w:t>
      </w:r>
      <w:r w:rsidR="001119AC">
        <w:rPr>
          <w:sz w:val="28"/>
          <w:szCs w:val="28"/>
        </w:rPr>
        <w:t>continuous</w:t>
      </w:r>
      <w:r w:rsidR="00994F32">
        <w:rPr>
          <w:sz w:val="28"/>
          <w:szCs w:val="28"/>
        </w:rPr>
        <w:t xml:space="preserve"> ventilator support, has intractable seizures, and his gastrointestinal system and endocrine system</w:t>
      </w:r>
      <w:r w:rsidR="00AB308A">
        <w:rPr>
          <w:sz w:val="28"/>
          <w:szCs w:val="28"/>
        </w:rPr>
        <w:t xml:space="preserve">s are </w:t>
      </w:r>
      <w:r>
        <w:rPr>
          <w:sz w:val="28"/>
          <w:szCs w:val="28"/>
        </w:rPr>
        <w:t>non</w:t>
      </w:r>
      <w:r w:rsidR="00AB308A">
        <w:rPr>
          <w:sz w:val="28"/>
          <w:szCs w:val="28"/>
        </w:rPr>
        <w:t>functional.</w:t>
      </w:r>
      <w:r>
        <w:rPr>
          <w:sz w:val="28"/>
          <w:szCs w:val="28"/>
        </w:rPr>
        <w:t xml:space="preserve"> </w:t>
      </w:r>
      <w:r w:rsidRPr="001A2F16">
        <w:rPr>
          <w:i/>
          <w:sz w:val="28"/>
          <w:szCs w:val="28"/>
        </w:rPr>
        <w:t>Id.</w:t>
      </w:r>
      <w:r>
        <w:rPr>
          <w:sz w:val="28"/>
          <w:szCs w:val="28"/>
        </w:rPr>
        <w:t xml:space="preserve">  Although he requires 24-hour nursing support to meet his medical needs, his nursing services have been repeatedly reduced.  </w:t>
      </w:r>
      <w:r w:rsidR="00B836B7" w:rsidRPr="00B836B7">
        <w:rPr>
          <w:i/>
          <w:sz w:val="28"/>
          <w:szCs w:val="28"/>
        </w:rPr>
        <w:t>Id.</w:t>
      </w:r>
      <w:r>
        <w:rPr>
          <w:sz w:val="28"/>
          <w:szCs w:val="28"/>
        </w:rPr>
        <w:t>, ¶</w:t>
      </w:r>
      <w:r w:rsidR="00A3757A">
        <w:rPr>
          <w:sz w:val="28"/>
          <w:szCs w:val="28"/>
        </w:rPr>
        <w:t>¶</w:t>
      </w:r>
      <w:r>
        <w:rPr>
          <w:sz w:val="28"/>
          <w:szCs w:val="28"/>
        </w:rPr>
        <w:t xml:space="preserve"> 96-97.  </w:t>
      </w:r>
    </w:p>
    <w:p w:rsidR="00994F32" w:rsidRDefault="00AB308A" w:rsidP="00AB308A">
      <w:pPr>
        <w:spacing w:after="0" w:line="480" w:lineRule="auto"/>
        <w:ind w:firstLine="720"/>
      </w:pPr>
      <w:r>
        <w:rPr>
          <w:sz w:val="28"/>
          <w:szCs w:val="28"/>
        </w:rPr>
        <w:t xml:space="preserve">Plaintiff </w:t>
      </w:r>
      <w:r w:rsidR="00994F32">
        <w:rPr>
          <w:sz w:val="28"/>
          <w:szCs w:val="28"/>
        </w:rPr>
        <w:t>R.E. is</w:t>
      </w:r>
      <w:r w:rsidR="001A2F16">
        <w:rPr>
          <w:sz w:val="28"/>
          <w:szCs w:val="28"/>
        </w:rPr>
        <w:t xml:space="preserve"> a </w:t>
      </w:r>
      <w:r w:rsidR="002C0684">
        <w:rPr>
          <w:sz w:val="28"/>
          <w:szCs w:val="28"/>
        </w:rPr>
        <w:t xml:space="preserve">fifteen </w:t>
      </w:r>
      <w:r w:rsidR="00B47D49">
        <w:rPr>
          <w:sz w:val="28"/>
          <w:szCs w:val="28"/>
        </w:rPr>
        <w:t>year</w:t>
      </w:r>
      <w:r w:rsidR="002C0684">
        <w:rPr>
          <w:sz w:val="28"/>
          <w:szCs w:val="28"/>
        </w:rPr>
        <w:t xml:space="preserve"> </w:t>
      </w:r>
      <w:r w:rsidR="001A2F16">
        <w:rPr>
          <w:sz w:val="28"/>
          <w:szCs w:val="28"/>
        </w:rPr>
        <w:t>old</w:t>
      </w:r>
      <w:r w:rsidR="00994F32">
        <w:rPr>
          <w:sz w:val="28"/>
          <w:szCs w:val="28"/>
        </w:rPr>
        <w:t xml:space="preserve"> residing with her parents and younger siblings in Atlanta, Georgia.</w:t>
      </w:r>
      <w:r w:rsidR="001A2F16">
        <w:rPr>
          <w:sz w:val="28"/>
          <w:szCs w:val="28"/>
        </w:rPr>
        <w:t xml:space="preserve">  </w:t>
      </w:r>
      <w:proofErr w:type="gramStart"/>
      <w:r w:rsidR="001A2F16">
        <w:rPr>
          <w:sz w:val="28"/>
          <w:szCs w:val="28"/>
        </w:rPr>
        <w:t>C</w:t>
      </w:r>
      <w:r w:rsidR="00A3757A">
        <w:rPr>
          <w:sz w:val="28"/>
          <w:szCs w:val="28"/>
        </w:rPr>
        <w:t>o</w:t>
      </w:r>
      <w:r w:rsidR="001A2F16">
        <w:rPr>
          <w:sz w:val="28"/>
          <w:szCs w:val="28"/>
        </w:rPr>
        <w:t>mpl.,</w:t>
      </w:r>
      <w:proofErr w:type="gramEnd"/>
      <w:r w:rsidR="001A2F16">
        <w:rPr>
          <w:sz w:val="28"/>
          <w:szCs w:val="28"/>
        </w:rPr>
        <w:t xml:space="preserve"> ¶ 9.  </w:t>
      </w:r>
      <w:r w:rsidR="00994F32">
        <w:rPr>
          <w:sz w:val="28"/>
          <w:szCs w:val="28"/>
        </w:rPr>
        <w:t>In addition to cerebral palsy, R.E. has a seizure disorder, chronic aspiration, asthma, dysphagia, obstructive sleep apnea, hypothyroidism and brittle bones.</w:t>
      </w:r>
      <w:r w:rsidR="001A2F16">
        <w:rPr>
          <w:sz w:val="28"/>
          <w:szCs w:val="28"/>
        </w:rPr>
        <w:t xml:space="preserve"> </w:t>
      </w:r>
      <w:r w:rsidR="00A3757A">
        <w:rPr>
          <w:sz w:val="28"/>
          <w:szCs w:val="28"/>
        </w:rPr>
        <w:t xml:space="preserve"> </w:t>
      </w:r>
      <w:r w:rsidR="001A2F16" w:rsidRPr="001A2F16">
        <w:rPr>
          <w:i/>
          <w:sz w:val="28"/>
          <w:szCs w:val="28"/>
        </w:rPr>
        <w:t>Id.</w:t>
      </w:r>
      <w:r w:rsidR="001A2F16">
        <w:rPr>
          <w:sz w:val="28"/>
          <w:szCs w:val="28"/>
        </w:rPr>
        <w:t xml:space="preserve"> </w:t>
      </w:r>
      <w:r w:rsidR="004E0F60">
        <w:rPr>
          <w:sz w:val="28"/>
          <w:szCs w:val="28"/>
        </w:rPr>
        <w:t xml:space="preserve"> </w:t>
      </w:r>
      <w:r w:rsidR="00994F32">
        <w:rPr>
          <w:sz w:val="28"/>
          <w:szCs w:val="28"/>
        </w:rPr>
        <w:t>As a result of Defendant</w:t>
      </w:r>
      <w:r w:rsidR="00A3757A">
        <w:rPr>
          <w:sz w:val="28"/>
          <w:szCs w:val="28"/>
        </w:rPr>
        <w:t>’</w:t>
      </w:r>
      <w:r w:rsidR="00994F32">
        <w:rPr>
          <w:sz w:val="28"/>
          <w:szCs w:val="28"/>
        </w:rPr>
        <w:t>s policies, R.E.’s nursing hours were reduced from 60 to 52 hours</w:t>
      </w:r>
      <w:r w:rsidR="001119AC">
        <w:rPr>
          <w:sz w:val="28"/>
          <w:szCs w:val="28"/>
        </w:rPr>
        <w:t xml:space="preserve"> per week</w:t>
      </w:r>
      <w:r w:rsidR="00994F32">
        <w:rPr>
          <w:sz w:val="28"/>
          <w:szCs w:val="28"/>
        </w:rPr>
        <w:t>.</w:t>
      </w:r>
      <w:r w:rsidR="001A2F16">
        <w:rPr>
          <w:sz w:val="28"/>
          <w:szCs w:val="28"/>
        </w:rPr>
        <w:t xml:space="preserve">  </w:t>
      </w:r>
      <w:r w:rsidR="001A2F16" w:rsidRPr="001A2F16">
        <w:rPr>
          <w:i/>
          <w:sz w:val="28"/>
          <w:szCs w:val="28"/>
        </w:rPr>
        <w:t>Id.</w:t>
      </w:r>
      <w:r w:rsidR="001A2F16">
        <w:rPr>
          <w:sz w:val="28"/>
          <w:szCs w:val="28"/>
        </w:rPr>
        <w:t xml:space="preserve"> </w:t>
      </w:r>
      <w:r w:rsidR="00994F32">
        <w:rPr>
          <w:sz w:val="28"/>
          <w:szCs w:val="28"/>
        </w:rPr>
        <w:t xml:space="preserve"> R.E.’s doctors have </w:t>
      </w:r>
      <w:r w:rsidR="00A57D08">
        <w:rPr>
          <w:sz w:val="28"/>
          <w:szCs w:val="28"/>
        </w:rPr>
        <w:t>requested</w:t>
      </w:r>
      <w:r w:rsidR="00994F32">
        <w:rPr>
          <w:sz w:val="28"/>
          <w:szCs w:val="28"/>
        </w:rPr>
        <w:t xml:space="preserve"> that she receive 84 hours of nursing care, but</w:t>
      </w:r>
      <w:r w:rsidR="001A2F16">
        <w:rPr>
          <w:sz w:val="28"/>
          <w:szCs w:val="28"/>
        </w:rPr>
        <w:t xml:space="preserve"> Defendant’s </w:t>
      </w:r>
      <w:r w:rsidR="00994F32">
        <w:rPr>
          <w:sz w:val="28"/>
          <w:szCs w:val="28"/>
        </w:rPr>
        <w:t>policies severely curtail R.E.’s ability to obtain an increase in nursing hours when determined to be necessary for her.</w:t>
      </w:r>
      <w:r w:rsidR="001A2F16">
        <w:rPr>
          <w:sz w:val="28"/>
          <w:szCs w:val="28"/>
        </w:rPr>
        <w:t xml:space="preserve"> </w:t>
      </w:r>
      <w:r w:rsidR="001A2F16" w:rsidRPr="001A2F16">
        <w:rPr>
          <w:i/>
          <w:sz w:val="28"/>
          <w:szCs w:val="28"/>
        </w:rPr>
        <w:t>Id.</w:t>
      </w:r>
      <w:r w:rsidR="001A2F16">
        <w:rPr>
          <w:sz w:val="28"/>
          <w:szCs w:val="28"/>
        </w:rPr>
        <w:t xml:space="preserve"> </w:t>
      </w:r>
    </w:p>
    <w:p w:rsidR="001A2F16" w:rsidRDefault="001A2F16" w:rsidP="00B26D6C">
      <w:pPr>
        <w:spacing w:after="0" w:line="480" w:lineRule="auto"/>
        <w:ind w:firstLine="720"/>
        <w:rPr>
          <w:sz w:val="28"/>
          <w:szCs w:val="28"/>
        </w:rPr>
      </w:pPr>
      <w:r>
        <w:rPr>
          <w:sz w:val="28"/>
          <w:szCs w:val="28"/>
        </w:rPr>
        <w:t>The</w:t>
      </w:r>
      <w:r w:rsidR="00BE2097">
        <w:rPr>
          <w:sz w:val="28"/>
          <w:szCs w:val="28"/>
        </w:rPr>
        <w:t xml:space="preserve"> Defendant’s </w:t>
      </w:r>
      <w:r>
        <w:rPr>
          <w:sz w:val="28"/>
          <w:szCs w:val="28"/>
        </w:rPr>
        <w:t>den</w:t>
      </w:r>
      <w:r w:rsidR="000B060B">
        <w:rPr>
          <w:sz w:val="28"/>
          <w:szCs w:val="28"/>
        </w:rPr>
        <w:t>ial</w:t>
      </w:r>
      <w:r>
        <w:rPr>
          <w:sz w:val="28"/>
          <w:szCs w:val="28"/>
        </w:rPr>
        <w:t xml:space="preserve"> and</w:t>
      </w:r>
      <w:r w:rsidR="000B060B">
        <w:rPr>
          <w:sz w:val="28"/>
          <w:szCs w:val="28"/>
        </w:rPr>
        <w:t>/or</w:t>
      </w:r>
      <w:r>
        <w:rPr>
          <w:sz w:val="28"/>
          <w:szCs w:val="28"/>
        </w:rPr>
        <w:t xml:space="preserve"> reduc</w:t>
      </w:r>
      <w:r w:rsidR="000B060B">
        <w:rPr>
          <w:sz w:val="28"/>
          <w:szCs w:val="28"/>
        </w:rPr>
        <w:t xml:space="preserve">tion of medically necessary </w:t>
      </w:r>
      <w:r>
        <w:rPr>
          <w:sz w:val="28"/>
          <w:szCs w:val="28"/>
        </w:rPr>
        <w:t>nursing services place</w:t>
      </w:r>
      <w:r w:rsidR="000B060B">
        <w:rPr>
          <w:sz w:val="28"/>
          <w:szCs w:val="28"/>
        </w:rPr>
        <w:t>s</w:t>
      </w:r>
      <w:r>
        <w:rPr>
          <w:sz w:val="28"/>
          <w:szCs w:val="28"/>
        </w:rPr>
        <w:t xml:space="preserve"> the Plaintiffs </w:t>
      </w:r>
      <w:r w:rsidR="000B060B">
        <w:rPr>
          <w:sz w:val="28"/>
          <w:szCs w:val="28"/>
        </w:rPr>
        <w:t>at serious</w:t>
      </w:r>
      <w:r>
        <w:rPr>
          <w:sz w:val="28"/>
          <w:szCs w:val="28"/>
        </w:rPr>
        <w:t xml:space="preserve"> risk of unnecessary confinement in institutions, including nursing facilities, or other out of home placements, that are not the most integrated setting </w:t>
      </w:r>
      <w:r w:rsidR="00627A19">
        <w:rPr>
          <w:sz w:val="28"/>
          <w:szCs w:val="28"/>
        </w:rPr>
        <w:t>appropriate to their needs</w:t>
      </w:r>
      <w:r>
        <w:rPr>
          <w:sz w:val="28"/>
          <w:szCs w:val="28"/>
        </w:rPr>
        <w:t>, in violation of the ADA’s integra</w:t>
      </w:r>
      <w:r w:rsidR="00E36176">
        <w:rPr>
          <w:sz w:val="28"/>
          <w:szCs w:val="28"/>
        </w:rPr>
        <w:t xml:space="preserve">tion mandate.  </w:t>
      </w:r>
      <w:proofErr w:type="gramStart"/>
      <w:r w:rsidR="00E36176">
        <w:rPr>
          <w:sz w:val="28"/>
          <w:szCs w:val="28"/>
        </w:rPr>
        <w:t>C</w:t>
      </w:r>
      <w:r w:rsidR="004E0F60">
        <w:rPr>
          <w:sz w:val="28"/>
          <w:szCs w:val="28"/>
        </w:rPr>
        <w:t>o</w:t>
      </w:r>
      <w:r w:rsidR="00E36176">
        <w:rPr>
          <w:sz w:val="28"/>
          <w:szCs w:val="28"/>
        </w:rPr>
        <w:t>mpl.,</w:t>
      </w:r>
      <w:proofErr w:type="gramEnd"/>
      <w:r w:rsidR="00E36176">
        <w:rPr>
          <w:sz w:val="28"/>
          <w:szCs w:val="28"/>
        </w:rPr>
        <w:t xml:space="preserve"> ¶ 139</w:t>
      </w:r>
      <w:r w:rsidR="0062035E">
        <w:rPr>
          <w:sz w:val="28"/>
          <w:szCs w:val="28"/>
        </w:rPr>
        <w:t xml:space="preserve">.  </w:t>
      </w:r>
      <w:r w:rsidR="0062035E" w:rsidRPr="0062035E">
        <w:rPr>
          <w:i/>
          <w:sz w:val="28"/>
          <w:szCs w:val="28"/>
        </w:rPr>
        <w:t>S</w:t>
      </w:r>
      <w:r w:rsidR="00E36176" w:rsidRPr="00E36176">
        <w:rPr>
          <w:i/>
          <w:sz w:val="28"/>
          <w:szCs w:val="28"/>
        </w:rPr>
        <w:t>ee</w:t>
      </w:r>
      <w:r w:rsidR="00E36176">
        <w:rPr>
          <w:sz w:val="28"/>
          <w:szCs w:val="28"/>
        </w:rPr>
        <w:t xml:space="preserve"> </w:t>
      </w:r>
      <w:r w:rsidR="00E36176" w:rsidRPr="0073694D">
        <w:rPr>
          <w:i/>
          <w:sz w:val="28"/>
          <w:szCs w:val="28"/>
        </w:rPr>
        <w:t>Olmstead</w:t>
      </w:r>
      <w:r w:rsidR="0062035E">
        <w:rPr>
          <w:sz w:val="28"/>
          <w:szCs w:val="28"/>
        </w:rPr>
        <w:t>, 527 U.S. at 596-</w:t>
      </w:r>
      <w:r w:rsidR="00E36176" w:rsidRPr="0073694D">
        <w:rPr>
          <w:sz w:val="28"/>
          <w:szCs w:val="28"/>
        </w:rPr>
        <w:t>7</w:t>
      </w:r>
      <w:r w:rsidR="00E36176">
        <w:rPr>
          <w:sz w:val="28"/>
          <w:szCs w:val="28"/>
        </w:rPr>
        <w:t xml:space="preserve">. </w:t>
      </w:r>
    </w:p>
    <w:p w:rsidR="00A5564F" w:rsidRPr="00467958" w:rsidRDefault="00A5564F" w:rsidP="00467958">
      <w:pPr>
        <w:spacing w:after="0" w:line="480" w:lineRule="auto"/>
        <w:jc w:val="center"/>
        <w:rPr>
          <w:b/>
          <w:sz w:val="28"/>
          <w:szCs w:val="28"/>
        </w:rPr>
      </w:pPr>
      <w:r w:rsidRPr="00467958">
        <w:rPr>
          <w:b/>
          <w:sz w:val="28"/>
          <w:szCs w:val="28"/>
        </w:rPr>
        <w:t>ARGUMENT</w:t>
      </w:r>
    </w:p>
    <w:p w:rsidR="00304748" w:rsidRDefault="003B2A6C" w:rsidP="00304748">
      <w:pPr>
        <w:spacing w:after="0" w:line="480" w:lineRule="auto"/>
        <w:ind w:firstLine="720"/>
        <w:rPr>
          <w:sz w:val="28"/>
          <w:szCs w:val="28"/>
        </w:rPr>
      </w:pPr>
      <w:r w:rsidRPr="00467958">
        <w:rPr>
          <w:sz w:val="28"/>
          <w:szCs w:val="28"/>
        </w:rPr>
        <w:t xml:space="preserve">Pursuant to Rule 56 of the Federal Rules of Civil Procedure, summary judgment is appropriate where “there is no genuine dispute as to any material fact and the movant is entitled to judgment as a matter of law.”  </w:t>
      </w:r>
      <w:proofErr w:type="gramStart"/>
      <w:r w:rsidRPr="00467958">
        <w:rPr>
          <w:sz w:val="28"/>
          <w:szCs w:val="28"/>
        </w:rPr>
        <w:t>Fed.</w:t>
      </w:r>
      <w:proofErr w:type="gramEnd"/>
      <w:r w:rsidRPr="00467958">
        <w:rPr>
          <w:sz w:val="28"/>
          <w:szCs w:val="28"/>
        </w:rPr>
        <w:t xml:space="preserve"> R. Civ. P. 56(a); </w:t>
      </w:r>
      <w:r w:rsidRPr="00467958">
        <w:rPr>
          <w:i/>
          <w:sz w:val="28"/>
          <w:szCs w:val="28"/>
        </w:rPr>
        <w:t>see</w:t>
      </w:r>
      <w:r w:rsidRPr="00467958">
        <w:rPr>
          <w:sz w:val="28"/>
          <w:szCs w:val="28"/>
        </w:rPr>
        <w:t xml:space="preserve"> </w:t>
      </w:r>
      <w:r w:rsidRPr="00467958">
        <w:rPr>
          <w:i/>
          <w:sz w:val="28"/>
          <w:szCs w:val="28"/>
        </w:rPr>
        <w:t xml:space="preserve">Celotex Corp. v. Catrett, </w:t>
      </w:r>
      <w:r w:rsidRPr="00467958">
        <w:rPr>
          <w:sz w:val="28"/>
          <w:szCs w:val="28"/>
        </w:rPr>
        <w:t xml:space="preserve">477 U.S. 317, 322 (1986).  </w:t>
      </w:r>
      <w:r w:rsidRPr="00147F10">
        <w:rPr>
          <w:sz w:val="28"/>
          <w:szCs w:val="28"/>
        </w:rPr>
        <w:t xml:space="preserve">The movant is entitled to </w:t>
      </w:r>
      <w:r w:rsidRPr="00147F10">
        <w:rPr>
          <w:rStyle w:val="cosearchterm"/>
          <w:sz w:val="28"/>
          <w:szCs w:val="28"/>
        </w:rPr>
        <w:t>summary</w:t>
      </w:r>
      <w:r w:rsidRPr="00147F10">
        <w:rPr>
          <w:sz w:val="28"/>
          <w:szCs w:val="28"/>
        </w:rPr>
        <w:t xml:space="preserve"> </w:t>
      </w:r>
      <w:r w:rsidRPr="00147F10">
        <w:rPr>
          <w:rStyle w:val="cosearchterm"/>
          <w:sz w:val="28"/>
          <w:szCs w:val="28"/>
        </w:rPr>
        <w:t>judgment</w:t>
      </w:r>
      <w:r>
        <w:rPr>
          <w:sz w:val="28"/>
          <w:szCs w:val="28"/>
        </w:rPr>
        <w:t xml:space="preserve"> only if,</w:t>
      </w:r>
      <w:r w:rsidRPr="00147F10">
        <w:rPr>
          <w:sz w:val="28"/>
          <w:szCs w:val="28"/>
        </w:rPr>
        <w:t xml:space="preserve"> after construing the evidence in the light most favorable to</w:t>
      </w:r>
      <w:r w:rsidR="00304748">
        <w:rPr>
          <w:sz w:val="28"/>
          <w:szCs w:val="28"/>
        </w:rPr>
        <w:t xml:space="preserve"> the</w:t>
      </w:r>
      <w:r w:rsidRPr="00147F10">
        <w:rPr>
          <w:sz w:val="28"/>
          <w:szCs w:val="28"/>
        </w:rPr>
        <w:t xml:space="preserve"> nonmoving party and drawing all justifiable inferences in favor of the nonmoving party, no genuine issues of material fact remain to be tried. </w:t>
      </w:r>
      <w:proofErr w:type="gramStart"/>
      <w:r w:rsidRPr="00147F10">
        <w:rPr>
          <w:sz w:val="28"/>
          <w:szCs w:val="28"/>
        </w:rPr>
        <w:t xml:space="preserve">Fed.R.Civ.P. 56(c); </w:t>
      </w:r>
      <w:r w:rsidRPr="00147F10">
        <w:rPr>
          <w:rStyle w:val="Emphasis"/>
          <w:sz w:val="28"/>
          <w:szCs w:val="28"/>
        </w:rPr>
        <w:t>Anderson v. Liberty Lobby, Inc.,</w:t>
      </w:r>
      <w:r w:rsidRPr="00147F10">
        <w:rPr>
          <w:sz w:val="28"/>
          <w:szCs w:val="28"/>
        </w:rPr>
        <w:t xml:space="preserve"> 477 U.S. 242, 255 (1986).</w:t>
      </w:r>
      <w:proofErr w:type="gramEnd"/>
    </w:p>
    <w:p w:rsidR="00A57D08" w:rsidRDefault="001021DC" w:rsidP="00304748">
      <w:pPr>
        <w:spacing w:after="0" w:line="480" w:lineRule="auto"/>
        <w:ind w:firstLine="720"/>
        <w:rPr>
          <w:sz w:val="28"/>
          <w:szCs w:val="28"/>
        </w:rPr>
      </w:pPr>
      <w:r>
        <w:rPr>
          <w:sz w:val="28"/>
          <w:szCs w:val="28"/>
        </w:rPr>
        <w:t>Defendant’s Motion for Partial Summary Judgment fails to demonstrate that</w:t>
      </w:r>
      <w:r w:rsidR="00304748">
        <w:rPr>
          <w:sz w:val="28"/>
          <w:szCs w:val="28"/>
        </w:rPr>
        <w:t xml:space="preserve"> h</w:t>
      </w:r>
      <w:r>
        <w:rPr>
          <w:sz w:val="28"/>
          <w:szCs w:val="28"/>
        </w:rPr>
        <w:t>e is entitled to judgment as a matter of law because the Plaintiffs have a viable claim under title II of the ADA</w:t>
      </w:r>
      <w:r w:rsidR="00BE2097">
        <w:rPr>
          <w:sz w:val="28"/>
          <w:szCs w:val="28"/>
        </w:rPr>
        <w:t xml:space="preserve"> and genuine issues of material fact remain to be tried</w:t>
      </w:r>
      <w:r>
        <w:rPr>
          <w:sz w:val="28"/>
          <w:szCs w:val="28"/>
        </w:rPr>
        <w:t xml:space="preserve">.  </w:t>
      </w:r>
    </w:p>
    <w:p w:rsidR="00A57D08" w:rsidRPr="00BC0CD1" w:rsidRDefault="00A57D08" w:rsidP="00A57D08">
      <w:pPr>
        <w:pStyle w:val="ListParagraph"/>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8"/>
          <w:szCs w:val="28"/>
          <w:u w:val="single"/>
        </w:rPr>
      </w:pPr>
      <w:r w:rsidRPr="00BC0CD1">
        <w:rPr>
          <w:sz w:val="28"/>
          <w:szCs w:val="28"/>
          <w:u w:val="single"/>
        </w:rPr>
        <w:t>Policies and Practices That Place Individuals With Disabilities At Serious Risk of Institutionalization Violate Title II of the ADA</w:t>
      </w:r>
      <w:r>
        <w:rPr>
          <w:sz w:val="28"/>
          <w:szCs w:val="28"/>
          <w:u w:val="single"/>
        </w:rPr>
        <w:br/>
      </w:r>
    </w:p>
    <w:p w:rsidR="001021DC" w:rsidRDefault="00A57D08" w:rsidP="00D12E9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rPr>
          <w:sz w:val="28"/>
          <w:szCs w:val="28"/>
        </w:rPr>
      </w:pPr>
      <w:r>
        <w:rPr>
          <w:sz w:val="28"/>
          <w:szCs w:val="28"/>
        </w:rPr>
        <w:tab/>
      </w:r>
      <w:r w:rsidR="00D12E97">
        <w:rPr>
          <w:sz w:val="28"/>
          <w:szCs w:val="28"/>
        </w:rPr>
        <w:t>Defendant</w:t>
      </w:r>
      <w:r w:rsidR="00F7099E">
        <w:rPr>
          <w:sz w:val="28"/>
          <w:szCs w:val="28"/>
        </w:rPr>
        <w:t>’s</w:t>
      </w:r>
      <w:r w:rsidR="00D12E97">
        <w:rPr>
          <w:sz w:val="28"/>
          <w:szCs w:val="28"/>
        </w:rPr>
        <w:t xml:space="preserve"> sole</w:t>
      </w:r>
      <w:r w:rsidR="00BE2097">
        <w:rPr>
          <w:sz w:val="28"/>
          <w:szCs w:val="28"/>
        </w:rPr>
        <w:t xml:space="preserve"> ADA</w:t>
      </w:r>
      <w:r w:rsidR="00D12E97">
        <w:rPr>
          <w:sz w:val="28"/>
          <w:szCs w:val="28"/>
        </w:rPr>
        <w:t xml:space="preserve"> argument</w:t>
      </w:r>
      <w:r w:rsidR="004E0F60">
        <w:rPr>
          <w:sz w:val="28"/>
          <w:szCs w:val="28"/>
        </w:rPr>
        <w:t>—</w:t>
      </w:r>
      <w:r w:rsidR="00D12E97">
        <w:rPr>
          <w:sz w:val="28"/>
          <w:szCs w:val="28"/>
        </w:rPr>
        <w:t xml:space="preserve">that “the threat of institutionalization is not a cognizable injury under the ADA” </w:t>
      </w:r>
      <w:r w:rsidR="004E0F60">
        <w:rPr>
          <w:sz w:val="28"/>
          <w:szCs w:val="28"/>
        </w:rPr>
        <w:t>—</w:t>
      </w:r>
      <w:r w:rsidR="00D12E97">
        <w:rPr>
          <w:sz w:val="28"/>
          <w:szCs w:val="28"/>
        </w:rPr>
        <w:t>is overwhelmed by the tide of ADA case law</w:t>
      </w:r>
      <w:r w:rsidR="006E62E6">
        <w:rPr>
          <w:sz w:val="28"/>
          <w:szCs w:val="28"/>
        </w:rPr>
        <w:t xml:space="preserve"> stating the very opposite</w:t>
      </w:r>
      <w:r w:rsidR="00D12E97">
        <w:rPr>
          <w:sz w:val="28"/>
          <w:szCs w:val="28"/>
        </w:rPr>
        <w:t xml:space="preserve">. </w:t>
      </w:r>
      <w:r w:rsidR="004E0F60">
        <w:rPr>
          <w:sz w:val="28"/>
          <w:szCs w:val="28"/>
        </w:rPr>
        <w:t xml:space="preserve"> </w:t>
      </w:r>
      <w:r w:rsidR="00AA37C9">
        <w:rPr>
          <w:sz w:val="28"/>
          <w:szCs w:val="28"/>
        </w:rPr>
        <w:t xml:space="preserve">Def.’s </w:t>
      </w:r>
      <w:proofErr w:type="gramStart"/>
      <w:r w:rsidR="00AA37C9">
        <w:rPr>
          <w:sz w:val="28"/>
          <w:szCs w:val="28"/>
        </w:rPr>
        <w:t>Mot.,</w:t>
      </w:r>
      <w:proofErr w:type="gramEnd"/>
      <w:r w:rsidR="00AA37C9">
        <w:rPr>
          <w:sz w:val="28"/>
          <w:szCs w:val="28"/>
        </w:rPr>
        <w:t xml:space="preserve"> </w:t>
      </w:r>
      <w:r w:rsidR="00D12E97">
        <w:rPr>
          <w:sz w:val="28"/>
          <w:szCs w:val="28"/>
        </w:rPr>
        <w:t>ECF No. 158-1, at 19.  As noted in Plaintiffs</w:t>
      </w:r>
      <w:r w:rsidR="004E0F60">
        <w:rPr>
          <w:sz w:val="28"/>
          <w:szCs w:val="28"/>
        </w:rPr>
        <w:t>’</w:t>
      </w:r>
      <w:r w:rsidR="00D12E97">
        <w:rPr>
          <w:sz w:val="28"/>
          <w:szCs w:val="28"/>
        </w:rPr>
        <w:t xml:space="preserve"> Response</w:t>
      </w:r>
      <w:r w:rsidR="00E81858">
        <w:rPr>
          <w:sz w:val="28"/>
          <w:szCs w:val="28"/>
        </w:rPr>
        <w:t xml:space="preserve"> to Defendant’s Motion for Partial Summary Judgment (“</w:t>
      </w:r>
      <w:r w:rsidR="004E0F60">
        <w:rPr>
          <w:sz w:val="28"/>
          <w:szCs w:val="28"/>
        </w:rPr>
        <w:t>Pls</w:t>
      </w:r>
      <w:r w:rsidR="00E81858">
        <w:rPr>
          <w:sz w:val="28"/>
          <w:szCs w:val="28"/>
        </w:rPr>
        <w:t>.</w:t>
      </w:r>
      <w:r w:rsidR="004E0F60">
        <w:rPr>
          <w:sz w:val="28"/>
          <w:szCs w:val="28"/>
        </w:rPr>
        <w:t>’</w:t>
      </w:r>
      <w:r w:rsidR="00E81858">
        <w:rPr>
          <w:sz w:val="28"/>
          <w:szCs w:val="28"/>
        </w:rPr>
        <w:t xml:space="preserve"> Resp.”)</w:t>
      </w:r>
      <w:r w:rsidR="00D12E97">
        <w:rPr>
          <w:sz w:val="28"/>
          <w:szCs w:val="28"/>
        </w:rPr>
        <w:t>, ECF No. 169</w:t>
      </w:r>
      <w:r w:rsidR="006E62E6">
        <w:rPr>
          <w:sz w:val="28"/>
          <w:szCs w:val="28"/>
        </w:rPr>
        <w:t>, at 14</w:t>
      </w:r>
      <w:r w:rsidR="00BE2097">
        <w:rPr>
          <w:sz w:val="28"/>
          <w:szCs w:val="28"/>
        </w:rPr>
        <w:t>, the Defendant</w:t>
      </w:r>
      <w:r w:rsidR="00D12E97">
        <w:rPr>
          <w:sz w:val="28"/>
          <w:szCs w:val="28"/>
        </w:rPr>
        <w:t xml:space="preserve"> </w:t>
      </w:r>
      <w:r w:rsidR="007B6F4B">
        <w:rPr>
          <w:sz w:val="28"/>
          <w:szCs w:val="28"/>
        </w:rPr>
        <w:t xml:space="preserve">also </w:t>
      </w:r>
      <w:r w:rsidR="00D12E97">
        <w:rPr>
          <w:sz w:val="28"/>
          <w:szCs w:val="28"/>
        </w:rPr>
        <w:t>ignores this Court’s</w:t>
      </w:r>
      <w:r w:rsidR="00951E08">
        <w:rPr>
          <w:sz w:val="28"/>
          <w:szCs w:val="28"/>
        </w:rPr>
        <w:t xml:space="preserve"> previous rulings</w:t>
      </w:r>
      <w:r w:rsidR="00D12E97">
        <w:rPr>
          <w:sz w:val="28"/>
          <w:szCs w:val="28"/>
        </w:rPr>
        <w:t xml:space="preserve"> that </w:t>
      </w:r>
      <w:r w:rsidR="006E62E6">
        <w:rPr>
          <w:sz w:val="28"/>
          <w:szCs w:val="28"/>
        </w:rPr>
        <w:t xml:space="preserve">a reduction in services </w:t>
      </w:r>
      <w:r w:rsidR="00BE2097">
        <w:rPr>
          <w:sz w:val="28"/>
          <w:szCs w:val="28"/>
        </w:rPr>
        <w:t>creating a</w:t>
      </w:r>
      <w:r w:rsidR="006E62E6">
        <w:rPr>
          <w:sz w:val="28"/>
          <w:szCs w:val="28"/>
        </w:rPr>
        <w:t xml:space="preserve"> risk of institutionalization can be a violation of the ADA.  </w:t>
      </w:r>
      <w:r w:rsidR="00BE2097">
        <w:rPr>
          <w:sz w:val="28"/>
          <w:szCs w:val="28"/>
        </w:rPr>
        <w:t>Order, ECF No. 77, at 10-12; Order ECF No.</w:t>
      </w:r>
      <w:r w:rsidR="006E62E6">
        <w:rPr>
          <w:sz w:val="28"/>
          <w:szCs w:val="28"/>
        </w:rPr>
        <w:t xml:space="preserve"> 113</w:t>
      </w:r>
      <w:r w:rsidR="00304748">
        <w:rPr>
          <w:sz w:val="28"/>
          <w:szCs w:val="28"/>
        </w:rPr>
        <w:t>,</w:t>
      </w:r>
      <w:r w:rsidR="00BE2097">
        <w:rPr>
          <w:sz w:val="28"/>
          <w:szCs w:val="28"/>
        </w:rPr>
        <w:t xml:space="preserve"> at 20</w:t>
      </w:r>
      <w:r w:rsidR="006E62E6">
        <w:rPr>
          <w:sz w:val="28"/>
          <w:szCs w:val="28"/>
        </w:rPr>
        <w:t xml:space="preserve">. </w:t>
      </w:r>
    </w:p>
    <w:p w:rsidR="007B6F4B" w:rsidRDefault="00D03A94" w:rsidP="00D03A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rPr>
          <w:sz w:val="28"/>
          <w:szCs w:val="28"/>
        </w:rPr>
      </w:pPr>
      <w:r>
        <w:rPr>
          <w:sz w:val="28"/>
          <w:szCs w:val="28"/>
        </w:rPr>
        <w:tab/>
        <w:t>The integration mandate</w:t>
      </w:r>
      <w:r w:rsidR="007B6F4B">
        <w:rPr>
          <w:sz w:val="28"/>
          <w:szCs w:val="28"/>
        </w:rPr>
        <w:t xml:space="preserve"> of the ADA, as described above,</w:t>
      </w:r>
      <w:r>
        <w:rPr>
          <w:sz w:val="28"/>
          <w:szCs w:val="28"/>
        </w:rPr>
        <w:t xml:space="preserve"> </w:t>
      </w:r>
      <w:r w:rsidRPr="0073694D">
        <w:rPr>
          <w:sz w:val="28"/>
          <w:szCs w:val="28"/>
        </w:rPr>
        <w:t xml:space="preserve">prohibits public entities from implementing policies or practices that place individuals at serious risk of unnecessary institutionalization.  </w:t>
      </w:r>
      <w:r w:rsidRPr="0073694D">
        <w:rPr>
          <w:i/>
          <w:sz w:val="28"/>
          <w:szCs w:val="28"/>
        </w:rPr>
        <w:t>See</w:t>
      </w:r>
      <w:r w:rsidRPr="0073694D">
        <w:rPr>
          <w:sz w:val="28"/>
          <w:szCs w:val="28"/>
        </w:rPr>
        <w:t xml:space="preserve"> </w:t>
      </w:r>
      <w:r>
        <w:rPr>
          <w:i/>
          <w:sz w:val="28"/>
          <w:szCs w:val="28"/>
        </w:rPr>
        <w:t>Pashby</w:t>
      </w:r>
      <w:r w:rsidRPr="007A66AD">
        <w:rPr>
          <w:i/>
          <w:sz w:val="28"/>
          <w:szCs w:val="28"/>
        </w:rPr>
        <w:t xml:space="preserve"> v. Delia</w:t>
      </w:r>
      <w:r w:rsidRPr="00E967BC">
        <w:rPr>
          <w:sz w:val="28"/>
          <w:szCs w:val="28"/>
        </w:rPr>
        <w:t xml:space="preserve">, </w:t>
      </w:r>
      <w:r w:rsidR="00E967BC">
        <w:rPr>
          <w:sz w:val="28"/>
          <w:szCs w:val="28"/>
        </w:rPr>
        <w:t>No. 11-</w:t>
      </w:r>
      <w:r w:rsidR="00E967BC" w:rsidRPr="00E967BC">
        <w:rPr>
          <w:sz w:val="28"/>
          <w:szCs w:val="28"/>
        </w:rPr>
        <w:t xml:space="preserve">2363, </w:t>
      </w:r>
      <w:r>
        <w:rPr>
          <w:sz w:val="28"/>
          <w:szCs w:val="28"/>
        </w:rPr>
        <w:t>2013 WL 7911829</w:t>
      </w:r>
      <w:r w:rsidR="004E0F60">
        <w:rPr>
          <w:sz w:val="28"/>
          <w:szCs w:val="28"/>
        </w:rPr>
        <w:t>,</w:t>
      </w:r>
      <w:r>
        <w:rPr>
          <w:sz w:val="28"/>
          <w:szCs w:val="28"/>
        </w:rPr>
        <w:t xml:space="preserve"> </w:t>
      </w:r>
      <w:r w:rsidR="003350BF">
        <w:rPr>
          <w:sz w:val="28"/>
          <w:szCs w:val="28"/>
        </w:rPr>
        <w:t xml:space="preserve">at </w:t>
      </w:r>
      <w:r>
        <w:rPr>
          <w:sz w:val="28"/>
          <w:szCs w:val="28"/>
        </w:rPr>
        <w:t>*10 (4th Cir.</w:t>
      </w:r>
      <w:r w:rsidR="00E967BC">
        <w:rPr>
          <w:sz w:val="28"/>
          <w:szCs w:val="28"/>
        </w:rPr>
        <w:t xml:space="preserve"> March 5,</w:t>
      </w:r>
      <w:r>
        <w:rPr>
          <w:sz w:val="28"/>
          <w:szCs w:val="28"/>
        </w:rPr>
        <w:t xml:space="preserve"> 2013); </w:t>
      </w:r>
      <w:r w:rsidRPr="0073694D">
        <w:rPr>
          <w:i/>
          <w:sz w:val="28"/>
          <w:szCs w:val="28"/>
        </w:rPr>
        <w:t>M.R. v. Dreyfus</w:t>
      </w:r>
      <w:r w:rsidRPr="0073694D">
        <w:rPr>
          <w:sz w:val="28"/>
          <w:szCs w:val="28"/>
        </w:rPr>
        <w:t xml:space="preserve">, 663 F.3d 1100, 1116 (9th Cir. 2011); </w:t>
      </w:r>
      <w:r w:rsidRPr="0073694D">
        <w:rPr>
          <w:i/>
          <w:iCs/>
          <w:sz w:val="28"/>
          <w:szCs w:val="28"/>
        </w:rPr>
        <w:t xml:space="preserve">Fisher </w:t>
      </w:r>
      <w:r w:rsidRPr="0073694D">
        <w:rPr>
          <w:i/>
          <w:sz w:val="28"/>
          <w:szCs w:val="28"/>
        </w:rPr>
        <w:t xml:space="preserve">v. </w:t>
      </w:r>
      <w:r w:rsidRPr="0073694D">
        <w:rPr>
          <w:i/>
          <w:iCs/>
          <w:sz w:val="28"/>
          <w:szCs w:val="28"/>
        </w:rPr>
        <w:t>Oklahoma Health Care Auth.</w:t>
      </w:r>
      <w:r w:rsidRPr="0073694D">
        <w:rPr>
          <w:iCs/>
          <w:sz w:val="28"/>
          <w:szCs w:val="28"/>
        </w:rPr>
        <w:t>,</w:t>
      </w:r>
      <w:r w:rsidRPr="0073694D">
        <w:rPr>
          <w:i/>
          <w:iCs/>
          <w:sz w:val="28"/>
          <w:szCs w:val="28"/>
        </w:rPr>
        <w:t xml:space="preserve"> </w:t>
      </w:r>
      <w:r w:rsidRPr="0073694D">
        <w:rPr>
          <w:sz w:val="28"/>
          <w:szCs w:val="28"/>
        </w:rPr>
        <w:t>335 F.3d 1175, 1181 (10th Cir. 2003)</w:t>
      </w:r>
      <w:r w:rsidR="00822A1E" w:rsidRPr="0073694D">
        <w:rPr>
          <w:sz w:val="28"/>
          <w:szCs w:val="28"/>
        </w:rPr>
        <w:fldChar w:fldCharType="begin"/>
      </w:r>
      <w:r w:rsidRPr="0073694D">
        <w:rPr>
          <w:sz w:val="28"/>
          <w:szCs w:val="28"/>
        </w:rPr>
        <w:instrText xml:space="preserve"> TA \s "Fisher v. Oklahoma Health Care Auth, 335 F.3d 1175 (10th Cir. 2003)" </w:instrText>
      </w:r>
      <w:r w:rsidR="00822A1E" w:rsidRPr="0073694D">
        <w:rPr>
          <w:sz w:val="28"/>
          <w:szCs w:val="28"/>
        </w:rPr>
        <w:fldChar w:fldCharType="end"/>
      </w:r>
      <w:r w:rsidRPr="0073694D">
        <w:rPr>
          <w:i/>
          <w:iCs/>
          <w:sz w:val="28"/>
          <w:szCs w:val="28"/>
        </w:rPr>
        <w:t xml:space="preserve"> </w:t>
      </w:r>
      <w:r w:rsidRPr="0073694D">
        <w:rPr>
          <w:iCs/>
          <w:sz w:val="28"/>
          <w:szCs w:val="28"/>
        </w:rPr>
        <w:t>(</w:t>
      </w:r>
      <w:r w:rsidRPr="0073694D">
        <w:rPr>
          <w:sz w:val="28"/>
          <w:szCs w:val="28"/>
        </w:rPr>
        <w:t xml:space="preserve">noting that “nothing in the </w:t>
      </w:r>
      <w:r w:rsidRPr="0073694D">
        <w:rPr>
          <w:i/>
          <w:sz w:val="28"/>
          <w:szCs w:val="28"/>
        </w:rPr>
        <w:t>Olmstead</w:t>
      </w:r>
      <w:r w:rsidRPr="0073694D">
        <w:rPr>
          <w:sz w:val="28"/>
          <w:szCs w:val="28"/>
        </w:rPr>
        <w:t xml:space="preserve"> decision supports a conclusion that institutionalization is a prerequisite to enforcement of the ADA’s integration requirements”); </w:t>
      </w:r>
      <w:r w:rsidRPr="0073694D">
        <w:rPr>
          <w:i/>
          <w:sz w:val="28"/>
          <w:szCs w:val="28"/>
        </w:rPr>
        <w:t>Haddad v. Dudek</w:t>
      </w:r>
      <w:r w:rsidR="00085AAD">
        <w:rPr>
          <w:sz w:val="28"/>
          <w:szCs w:val="28"/>
        </w:rPr>
        <w:t xml:space="preserve">, 784 F. </w:t>
      </w:r>
      <w:r w:rsidR="00E50475">
        <w:rPr>
          <w:sz w:val="28"/>
          <w:szCs w:val="28"/>
        </w:rPr>
        <w:t>Supp. 2d 1308, 1326</w:t>
      </w:r>
      <w:r w:rsidRPr="0073694D">
        <w:rPr>
          <w:sz w:val="28"/>
          <w:szCs w:val="28"/>
        </w:rPr>
        <w:t xml:space="preserve"> (M.D. Fla. 2011) (denying defendants’ motion to dismiss where plaintiff in community sued to prevent unnecessary institutionalization).</w:t>
      </w:r>
      <w:r>
        <w:rPr>
          <w:sz w:val="28"/>
          <w:szCs w:val="28"/>
        </w:rPr>
        <w:t xml:space="preserve">  </w:t>
      </w:r>
    </w:p>
    <w:p w:rsidR="00D03A94" w:rsidRPr="007B6F4B" w:rsidRDefault="007B6F4B" w:rsidP="00D03A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rPr>
          <w:szCs w:val="24"/>
        </w:rPr>
      </w:pPr>
      <w:r>
        <w:rPr>
          <w:sz w:val="28"/>
          <w:szCs w:val="28"/>
        </w:rPr>
        <w:tab/>
      </w:r>
      <w:r w:rsidR="00D03A94">
        <w:rPr>
          <w:sz w:val="28"/>
          <w:szCs w:val="28"/>
        </w:rPr>
        <w:t>Thus, the</w:t>
      </w:r>
      <w:r w:rsidR="00D03A94" w:rsidRPr="0073694D">
        <w:rPr>
          <w:sz w:val="28"/>
          <w:szCs w:val="28"/>
        </w:rPr>
        <w:t xml:space="preserve"> ADA’s protections are not limited to those individuals who are currently institutionalized.</w:t>
      </w:r>
      <w:r w:rsidR="00D03A94">
        <w:rPr>
          <w:sz w:val="28"/>
          <w:szCs w:val="28"/>
        </w:rPr>
        <w:t xml:space="preserve">  </w:t>
      </w:r>
      <w:r w:rsidR="00D03A94" w:rsidRPr="00BE2097">
        <w:rPr>
          <w:i/>
          <w:sz w:val="28"/>
          <w:szCs w:val="28"/>
        </w:rPr>
        <w:t>See also</w:t>
      </w:r>
      <w:r w:rsidR="00D03A94">
        <w:rPr>
          <w:sz w:val="28"/>
          <w:szCs w:val="28"/>
        </w:rPr>
        <w:t xml:space="preserve"> Order</w:t>
      </w:r>
      <w:r w:rsidR="00A57D08">
        <w:rPr>
          <w:sz w:val="28"/>
          <w:szCs w:val="28"/>
        </w:rPr>
        <w:t xml:space="preserve">, ECF No. 77; Order ECF No. 113. </w:t>
      </w:r>
      <w:r w:rsidR="00D03A94">
        <w:rPr>
          <w:sz w:val="28"/>
          <w:szCs w:val="28"/>
        </w:rPr>
        <w:t xml:space="preserve"> </w:t>
      </w:r>
      <w:r w:rsidR="00735F56">
        <w:rPr>
          <w:sz w:val="28"/>
          <w:szCs w:val="28"/>
        </w:rPr>
        <w:t>As the Tenth C</w:t>
      </w:r>
      <w:r w:rsidR="00A86B04">
        <w:rPr>
          <w:sz w:val="28"/>
          <w:szCs w:val="28"/>
        </w:rPr>
        <w:t>ircuit Court of Appeal</w:t>
      </w:r>
      <w:r w:rsidR="009826DA">
        <w:rPr>
          <w:sz w:val="28"/>
          <w:szCs w:val="28"/>
        </w:rPr>
        <w:t>s</w:t>
      </w:r>
      <w:r w:rsidR="00A86B04">
        <w:rPr>
          <w:sz w:val="28"/>
          <w:szCs w:val="28"/>
        </w:rPr>
        <w:t xml:space="preserve"> reasoned</w:t>
      </w:r>
      <w:r w:rsidR="00735F56">
        <w:rPr>
          <w:sz w:val="28"/>
          <w:szCs w:val="28"/>
        </w:rPr>
        <w:t xml:space="preserve"> in </w:t>
      </w:r>
      <w:r w:rsidR="00735F56" w:rsidRPr="00735F56">
        <w:rPr>
          <w:i/>
          <w:sz w:val="28"/>
          <w:szCs w:val="28"/>
        </w:rPr>
        <w:t>Fisher</w:t>
      </w:r>
      <w:r w:rsidR="003A57A9">
        <w:rPr>
          <w:i/>
          <w:sz w:val="28"/>
          <w:szCs w:val="28"/>
        </w:rPr>
        <w:t xml:space="preserve"> </w:t>
      </w:r>
      <w:r w:rsidR="003A57A9" w:rsidRPr="0073694D">
        <w:rPr>
          <w:i/>
          <w:sz w:val="28"/>
          <w:szCs w:val="28"/>
        </w:rPr>
        <w:t xml:space="preserve">v. </w:t>
      </w:r>
      <w:r w:rsidR="003A57A9" w:rsidRPr="0073694D">
        <w:rPr>
          <w:i/>
          <w:iCs/>
          <w:sz w:val="28"/>
          <w:szCs w:val="28"/>
        </w:rPr>
        <w:t>Oklahoma Health Care Auth</w:t>
      </w:r>
      <w:r w:rsidR="003A57A9">
        <w:rPr>
          <w:i/>
          <w:iCs/>
          <w:sz w:val="28"/>
          <w:szCs w:val="28"/>
        </w:rPr>
        <w:t>.</w:t>
      </w:r>
      <w:r w:rsidR="00F7099E">
        <w:rPr>
          <w:sz w:val="28"/>
          <w:szCs w:val="28"/>
        </w:rPr>
        <w:t>,</w:t>
      </w:r>
      <w:r w:rsidR="00A86B04">
        <w:rPr>
          <w:sz w:val="28"/>
          <w:szCs w:val="28"/>
        </w:rPr>
        <w:t xml:space="preserve"> the protections of the ADA would be meaningless if plaintiffs were required to segregate themselves by entering an institution before they could challenge an alleged discriminatory policy that threatens to force them into segregated isolation.  </w:t>
      </w:r>
      <w:proofErr w:type="gramStart"/>
      <w:r w:rsidR="00A86B04">
        <w:rPr>
          <w:sz w:val="28"/>
          <w:szCs w:val="28"/>
        </w:rPr>
        <w:t>335 F.3d at</w:t>
      </w:r>
      <w:r w:rsidR="00236B24">
        <w:rPr>
          <w:sz w:val="28"/>
          <w:szCs w:val="28"/>
        </w:rPr>
        <w:t xml:space="preserve"> </w:t>
      </w:r>
      <w:r w:rsidR="00A86B04" w:rsidRPr="0073694D">
        <w:rPr>
          <w:sz w:val="28"/>
          <w:szCs w:val="28"/>
        </w:rPr>
        <w:t>1181</w:t>
      </w:r>
      <w:r w:rsidR="00A86B04">
        <w:rPr>
          <w:sz w:val="28"/>
          <w:szCs w:val="28"/>
        </w:rPr>
        <w:t>.</w:t>
      </w:r>
      <w:proofErr w:type="gramEnd"/>
      <w:r w:rsidR="00A86B04">
        <w:rPr>
          <w:sz w:val="28"/>
          <w:szCs w:val="28"/>
        </w:rPr>
        <w:t xml:space="preserve">  </w:t>
      </w:r>
    </w:p>
    <w:p w:rsidR="00DE0F1B" w:rsidRPr="00A86B04" w:rsidRDefault="00DE0F1B" w:rsidP="00D03A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480" w:lineRule="auto"/>
        <w:rPr>
          <w:sz w:val="28"/>
          <w:szCs w:val="28"/>
        </w:rPr>
      </w:pPr>
      <w:r>
        <w:rPr>
          <w:sz w:val="28"/>
          <w:szCs w:val="28"/>
        </w:rPr>
        <w:tab/>
      </w:r>
      <w:r w:rsidR="00A86B04" w:rsidRPr="00A86B04">
        <w:rPr>
          <w:sz w:val="28"/>
          <w:szCs w:val="28"/>
        </w:rPr>
        <w:t>Instead it is sufficient for a</w:t>
      </w:r>
      <w:r w:rsidRPr="00A86B04">
        <w:rPr>
          <w:sz w:val="28"/>
          <w:szCs w:val="28"/>
        </w:rPr>
        <w:t xml:space="preserve"> plaintiff to show that the challenged state action creates a serious risk of institutionalization.  </w:t>
      </w:r>
      <w:r w:rsidRPr="00A86B04">
        <w:rPr>
          <w:i/>
          <w:sz w:val="28"/>
          <w:szCs w:val="28"/>
        </w:rPr>
        <w:t>M.R.</w:t>
      </w:r>
      <w:r w:rsidRPr="00A86B04">
        <w:rPr>
          <w:sz w:val="28"/>
          <w:szCs w:val="28"/>
        </w:rPr>
        <w:t xml:space="preserve">, 663 F.3d at 1116; </w:t>
      </w:r>
      <w:r w:rsidR="001119AC">
        <w:rPr>
          <w:i/>
          <w:sz w:val="28"/>
          <w:szCs w:val="28"/>
        </w:rPr>
        <w:t>Pashby</w:t>
      </w:r>
      <w:r w:rsidR="00A86B04" w:rsidRPr="00A86B04">
        <w:rPr>
          <w:i/>
          <w:sz w:val="28"/>
          <w:szCs w:val="28"/>
        </w:rPr>
        <w:t xml:space="preserve"> v. </w:t>
      </w:r>
      <w:r w:rsidR="00A86B04" w:rsidRPr="00A86B04">
        <w:rPr>
          <w:sz w:val="28"/>
          <w:szCs w:val="28"/>
        </w:rPr>
        <w:t>2013 WL 7911829</w:t>
      </w:r>
      <w:r w:rsidR="003350BF">
        <w:rPr>
          <w:sz w:val="28"/>
          <w:szCs w:val="28"/>
        </w:rPr>
        <w:t>, at</w:t>
      </w:r>
      <w:r w:rsidR="00A86B04" w:rsidRPr="00A86B04">
        <w:rPr>
          <w:sz w:val="28"/>
          <w:szCs w:val="28"/>
        </w:rPr>
        <w:t xml:space="preserve"> *10 (</w:t>
      </w:r>
      <w:r w:rsidR="00A86B04">
        <w:rPr>
          <w:sz w:val="28"/>
          <w:szCs w:val="28"/>
        </w:rPr>
        <w:t>“</w:t>
      </w:r>
      <w:r w:rsidR="00A86B04" w:rsidRPr="00A86B04">
        <w:rPr>
          <w:sz w:val="28"/>
          <w:szCs w:val="28"/>
        </w:rPr>
        <w:t>individuals who must enter institutions to obtain Medicaid services for which they qualify may be able to raise successful Title II and Rehabilitation Act claims because they face</w:t>
      </w:r>
      <w:r w:rsidR="00A86B04">
        <w:rPr>
          <w:sz w:val="28"/>
          <w:szCs w:val="28"/>
        </w:rPr>
        <w:t xml:space="preserve"> a risk of institutionalization</w:t>
      </w:r>
      <w:r w:rsidR="00AA37C9">
        <w:rPr>
          <w:sz w:val="28"/>
          <w:szCs w:val="28"/>
        </w:rPr>
        <w:t>.</w:t>
      </w:r>
      <w:r w:rsidR="00A86B04">
        <w:rPr>
          <w:sz w:val="28"/>
          <w:szCs w:val="28"/>
        </w:rPr>
        <w:t>”</w:t>
      </w:r>
      <w:r w:rsidR="00A86B04" w:rsidRPr="00A86B04">
        <w:rPr>
          <w:sz w:val="28"/>
          <w:szCs w:val="28"/>
        </w:rPr>
        <w:t>)</w:t>
      </w:r>
      <w:r w:rsidR="00A86B04">
        <w:rPr>
          <w:rStyle w:val="FootnoteReference"/>
          <w:sz w:val="28"/>
          <w:szCs w:val="28"/>
        </w:rPr>
        <w:footnoteReference w:id="5"/>
      </w:r>
    </w:p>
    <w:p w:rsidR="00A86B04" w:rsidRDefault="00A86B04" w:rsidP="005F40BF">
      <w:pPr>
        <w:autoSpaceDE w:val="0"/>
        <w:autoSpaceDN w:val="0"/>
        <w:adjustRightInd w:val="0"/>
        <w:spacing w:after="0" w:line="480" w:lineRule="auto"/>
        <w:ind w:firstLine="720"/>
        <w:rPr>
          <w:sz w:val="28"/>
          <w:szCs w:val="28"/>
        </w:rPr>
      </w:pPr>
      <w:r w:rsidRPr="00725DC9">
        <w:rPr>
          <w:sz w:val="28"/>
          <w:szCs w:val="28"/>
        </w:rPr>
        <w:t>Indeed,</w:t>
      </w:r>
      <w:r w:rsidR="004B360D">
        <w:rPr>
          <w:sz w:val="28"/>
          <w:szCs w:val="28"/>
        </w:rPr>
        <w:t xml:space="preserve"> since the goal of the integration mandate is to avoid unjustified </w:t>
      </w:r>
      <w:r w:rsidR="00627A19">
        <w:rPr>
          <w:sz w:val="28"/>
          <w:szCs w:val="28"/>
        </w:rPr>
        <w:t>segregation</w:t>
      </w:r>
      <w:r w:rsidR="004B360D">
        <w:rPr>
          <w:sz w:val="28"/>
          <w:szCs w:val="28"/>
        </w:rPr>
        <w:t>, almost</w:t>
      </w:r>
      <w:r w:rsidRPr="00725DC9">
        <w:rPr>
          <w:sz w:val="28"/>
          <w:szCs w:val="28"/>
        </w:rPr>
        <w:t xml:space="preserve"> every court to issue an opinion deciding whether recipients of</w:t>
      </w:r>
      <w:r w:rsidR="004B360D">
        <w:rPr>
          <w:sz w:val="28"/>
          <w:szCs w:val="28"/>
        </w:rPr>
        <w:t xml:space="preserve"> </w:t>
      </w:r>
      <w:r w:rsidRPr="00725DC9">
        <w:rPr>
          <w:sz w:val="28"/>
          <w:szCs w:val="28"/>
        </w:rPr>
        <w:t>community-based s</w:t>
      </w:r>
      <w:r w:rsidRPr="006B566D">
        <w:rPr>
          <w:sz w:val="28"/>
          <w:szCs w:val="28"/>
        </w:rPr>
        <w:t>ervices</w:t>
      </w:r>
      <w:r w:rsidR="00AA37C9">
        <w:rPr>
          <w:sz w:val="28"/>
          <w:szCs w:val="28"/>
        </w:rPr>
        <w:t>—</w:t>
      </w:r>
      <w:r w:rsidR="004B360D">
        <w:rPr>
          <w:sz w:val="28"/>
          <w:szCs w:val="28"/>
        </w:rPr>
        <w:t>individuals not living in institutions</w:t>
      </w:r>
      <w:r w:rsidR="00AA37C9">
        <w:rPr>
          <w:sz w:val="28"/>
          <w:szCs w:val="28"/>
        </w:rPr>
        <w:t>—</w:t>
      </w:r>
      <w:r w:rsidRPr="006B566D">
        <w:rPr>
          <w:sz w:val="28"/>
          <w:szCs w:val="28"/>
        </w:rPr>
        <w:t>may bring</w:t>
      </w:r>
      <w:r w:rsidR="004B360D">
        <w:rPr>
          <w:sz w:val="28"/>
          <w:szCs w:val="28"/>
        </w:rPr>
        <w:t xml:space="preserve"> an integration claim when faced with the threat of unnecessary institutionalization,  </w:t>
      </w:r>
      <w:r w:rsidRPr="006B566D">
        <w:rPr>
          <w:sz w:val="28"/>
          <w:szCs w:val="28"/>
        </w:rPr>
        <w:t xml:space="preserve">has agreed that they may do so. </w:t>
      </w:r>
      <w:r w:rsidR="00725DC9" w:rsidRPr="006B566D">
        <w:rPr>
          <w:sz w:val="28"/>
          <w:szCs w:val="28"/>
        </w:rPr>
        <w:t xml:space="preserve"> </w:t>
      </w:r>
      <w:r w:rsidRPr="006B566D">
        <w:rPr>
          <w:i/>
          <w:iCs/>
          <w:sz w:val="28"/>
          <w:szCs w:val="28"/>
        </w:rPr>
        <w:t xml:space="preserve">See Fisher, </w:t>
      </w:r>
      <w:r w:rsidRPr="006B566D">
        <w:rPr>
          <w:sz w:val="28"/>
          <w:szCs w:val="28"/>
        </w:rPr>
        <w:t>335 F.3d at 1181;</w:t>
      </w:r>
      <w:r w:rsidR="00ED3913" w:rsidRPr="006B566D">
        <w:rPr>
          <w:sz w:val="28"/>
          <w:szCs w:val="28"/>
        </w:rPr>
        <w:t xml:space="preserve"> </w:t>
      </w:r>
      <w:r w:rsidR="00ED3913" w:rsidRPr="006B566D">
        <w:rPr>
          <w:i/>
          <w:sz w:val="28"/>
          <w:szCs w:val="28"/>
        </w:rPr>
        <w:t>Pitts v. Greenstein</w:t>
      </w:r>
      <w:r w:rsidR="00ED3913" w:rsidRPr="006B566D">
        <w:rPr>
          <w:sz w:val="28"/>
          <w:szCs w:val="28"/>
        </w:rPr>
        <w:t xml:space="preserve">, </w:t>
      </w:r>
      <w:r w:rsidR="00E967BC">
        <w:rPr>
          <w:sz w:val="28"/>
          <w:szCs w:val="28"/>
        </w:rPr>
        <w:t>No. 10-</w:t>
      </w:r>
      <w:r w:rsidR="00725DC9" w:rsidRPr="006B566D">
        <w:rPr>
          <w:sz w:val="28"/>
          <w:szCs w:val="28"/>
        </w:rPr>
        <w:t xml:space="preserve">635-CIV, </w:t>
      </w:r>
      <w:r w:rsidR="00ED3913" w:rsidRPr="006B566D">
        <w:rPr>
          <w:sz w:val="28"/>
          <w:szCs w:val="28"/>
        </w:rPr>
        <w:t>2011 WL 1897552</w:t>
      </w:r>
      <w:r w:rsidR="00E967BC">
        <w:rPr>
          <w:sz w:val="28"/>
          <w:szCs w:val="28"/>
        </w:rPr>
        <w:t>, at</w:t>
      </w:r>
      <w:r w:rsidR="00725DC9" w:rsidRPr="006B566D">
        <w:rPr>
          <w:sz w:val="28"/>
          <w:szCs w:val="28"/>
        </w:rPr>
        <w:t xml:space="preserve"> *4</w:t>
      </w:r>
      <w:r w:rsidR="00ED3913" w:rsidRPr="006B566D">
        <w:rPr>
          <w:sz w:val="28"/>
          <w:szCs w:val="28"/>
        </w:rPr>
        <w:t xml:space="preserve">  (M.D. La. </w:t>
      </w:r>
      <w:r w:rsidR="00E967BC">
        <w:rPr>
          <w:sz w:val="28"/>
          <w:szCs w:val="28"/>
        </w:rPr>
        <w:t xml:space="preserve">May 18, </w:t>
      </w:r>
      <w:r w:rsidR="00ED3913" w:rsidRPr="006B566D">
        <w:rPr>
          <w:sz w:val="28"/>
          <w:szCs w:val="28"/>
        </w:rPr>
        <w:t>2011)</w:t>
      </w:r>
      <w:r w:rsidR="00E967BC">
        <w:rPr>
          <w:sz w:val="28"/>
          <w:szCs w:val="28"/>
        </w:rPr>
        <w:t xml:space="preserve"> </w:t>
      </w:r>
      <w:r w:rsidR="00ED3913" w:rsidRPr="006B566D">
        <w:rPr>
          <w:sz w:val="28"/>
          <w:szCs w:val="28"/>
        </w:rPr>
        <w:t>(fin</w:t>
      </w:r>
      <w:r w:rsidR="00ED3913" w:rsidRPr="00725DC9">
        <w:rPr>
          <w:sz w:val="28"/>
          <w:szCs w:val="28"/>
        </w:rPr>
        <w:t>ding that the state’s plan for providing services violates the ADA by creating a greater risk for institutionalization)</w:t>
      </w:r>
      <w:r w:rsidR="00725DC9">
        <w:rPr>
          <w:sz w:val="28"/>
          <w:szCs w:val="28"/>
        </w:rPr>
        <w:t>;</w:t>
      </w:r>
      <w:r w:rsidR="00ED3913" w:rsidRPr="00725DC9">
        <w:rPr>
          <w:sz w:val="28"/>
          <w:szCs w:val="28"/>
        </w:rPr>
        <w:t xml:space="preserve"> </w:t>
      </w:r>
      <w:r w:rsidRPr="00725DC9">
        <w:rPr>
          <w:i/>
          <w:iCs/>
          <w:sz w:val="28"/>
          <w:szCs w:val="28"/>
        </w:rPr>
        <w:t>Haddad v. Arnold</w:t>
      </w:r>
      <w:r w:rsidRPr="00725DC9">
        <w:rPr>
          <w:sz w:val="28"/>
          <w:szCs w:val="28"/>
        </w:rPr>
        <w:t>,</w:t>
      </w:r>
      <w:r w:rsidR="00ED3913" w:rsidRPr="00725DC9">
        <w:rPr>
          <w:sz w:val="28"/>
          <w:szCs w:val="28"/>
        </w:rPr>
        <w:t xml:space="preserve"> </w:t>
      </w:r>
      <w:r w:rsidR="009826DA" w:rsidRPr="00725DC9">
        <w:rPr>
          <w:sz w:val="28"/>
          <w:szCs w:val="28"/>
        </w:rPr>
        <w:t>784 F.</w:t>
      </w:r>
      <w:r w:rsidR="006E5A2A" w:rsidRPr="00725DC9">
        <w:rPr>
          <w:sz w:val="28"/>
          <w:szCs w:val="28"/>
        </w:rPr>
        <w:t xml:space="preserve"> S</w:t>
      </w:r>
      <w:r w:rsidR="009826DA" w:rsidRPr="00725DC9">
        <w:rPr>
          <w:sz w:val="28"/>
          <w:szCs w:val="28"/>
        </w:rPr>
        <w:t>upp.</w:t>
      </w:r>
      <w:r w:rsidR="006E5A2A" w:rsidRPr="00725DC9">
        <w:rPr>
          <w:sz w:val="28"/>
          <w:szCs w:val="28"/>
        </w:rPr>
        <w:t xml:space="preserve"> </w:t>
      </w:r>
      <w:r w:rsidR="009826DA" w:rsidRPr="00725DC9">
        <w:rPr>
          <w:sz w:val="28"/>
          <w:szCs w:val="28"/>
        </w:rPr>
        <w:t>2d 1284</w:t>
      </w:r>
      <w:r w:rsidR="006E5A2A" w:rsidRPr="00725DC9">
        <w:rPr>
          <w:sz w:val="28"/>
          <w:szCs w:val="28"/>
        </w:rPr>
        <w:t>, 1308 (M.D. Fla. 2011</w:t>
      </w:r>
      <w:r w:rsidRPr="00725DC9">
        <w:rPr>
          <w:sz w:val="28"/>
          <w:szCs w:val="28"/>
        </w:rPr>
        <w:t>) (issuing</w:t>
      </w:r>
      <w:r w:rsidRPr="006E5A2A">
        <w:rPr>
          <w:sz w:val="28"/>
          <w:szCs w:val="28"/>
        </w:rPr>
        <w:t xml:space="preserve"> preliminary injunction requiring defendants to provide community-based services to plaintiff to prevent</w:t>
      </w:r>
      <w:r w:rsidR="006E5A2A" w:rsidRPr="006E5A2A">
        <w:rPr>
          <w:sz w:val="28"/>
          <w:szCs w:val="28"/>
        </w:rPr>
        <w:t xml:space="preserve"> </w:t>
      </w:r>
      <w:r w:rsidRPr="006E5A2A">
        <w:rPr>
          <w:sz w:val="28"/>
          <w:szCs w:val="28"/>
        </w:rPr>
        <w:t>unnecessary place</w:t>
      </w:r>
      <w:r w:rsidRPr="00ED3913">
        <w:rPr>
          <w:sz w:val="28"/>
          <w:szCs w:val="28"/>
        </w:rPr>
        <w:t>ment in a nursing home);</w:t>
      </w:r>
      <w:r w:rsidR="006B566D">
        <w:rPr>
          <w:sz w:val="28"/>
          <w:szCs w:val="28"/>
        </w:rPr>
        <w:t xml:space="preserve"> </w:t>
      </w:r>
      <w:r w:rsidR="006B566D" w:rsidRPr="006B566D">
        <w:rPr>
          <w:i/>
          <w:iCs/>
          <w:sz w:val="28"/>
          <w:szCs w:val="28"/>
        </w:rPr>
        <w:t>Long v. Benson</w:t>
      </w:r>
      <w:r w:rsidR="006B566D" w:rsidRPr="006B566D">
        <w:rPr>
          <w:sz w:val="28"/>
          <w:szCs w:val="28"/>
        </w:rPr>
        <w:t>,</w:t>
      </w:r>
      <w:r w:rsidR="00E967BC">
        <w:rPr>
          <w:sz w:val="28"/>
          <w:szCs w:val="28"/>
        </w:rPr>
        <w:t xml:space="preserve"> </w:t>
      </w:r>
      <w:r w:rsidR="00E967BC" w:rsidRPr="00E967BC">
        <w:rPr>
          <w:sz w:val="28"/>
          <w:szCs w:val="28"/>
        </w:rPr>
        <w:t>No. 4:08cv26-RH/WCS</w:t>
      </w:r>
      <w:r w:rsidR="00E967BC">
        <w:t>,</w:t>
      </w:r>
      <w:r w:rsidR="006B566D" w:rsidRPr="006B566D">
        <w:rPr>
          <w:sz w:val="28"/>
          <w:szCs w:val="28"/>
        </w:rPr>
        <w:t xml:space="preserve"> 2008 WL 4571903</w:t>
      </w:r>
      <w:r w:rsidR="00085AAD">
        <w:rPr>
          <w:sz w:val="28"/>
          <w:szCs w:val="28"/>
        </w:rPr>
        <w:t>, at *2</w:t>
      </w:r>
      <w:r w:rsidR="006B566D">
        <w:rPr>
          <w:sz w:val="28"/>
          <w:szCs w:val="28"/>
        </w:rPr>
        <w:t xml:space="preserve"> </w:t>
      </w:r>
      <w:r w:rsidR="006B566D" w:rsidRPr="006B566D">
        <w:rPr>
          <w:sz w:val="28"/>
          <w:szCs w:val="28"/>
        </w:rPr>
        <w:t>(N.D.</w:t>
      </w:r>
      <w:r w:rsidR="006B566D">
        <w:rPr>
          <w:sz w:val="28"/>
          <w:szCs w:val="28"/>
        </w:rPr>
        <w:t xml:space="preserve"> </w:t>
      </w:r>
      <w:r w:rsidR="006B566D" w:rsidRPr="006B566D">
        <w:rPr>
          <w:sz w:val="28"/>
          <w:szCs w:val="28"/>
        </w:rPr>
        <w:t xml:space="preserve">Fla. Oct. 14, 2008), </w:t>
      </w:r>
      <w:r w:rsidR="006B566D" w:rsidRPr="006B566D">
        <w:rPr>
          <w:i/>
          <w:iCs/>
          <w:sz w:val="28"/>
          <w:szCs w:val="28"/>
        </w:rPr>
        <w:t>aff’d</w:t>
      </w:r>
      <w:r w:rsidR="006B566D" w:rsidRPr="006B566D">
        <w:rPr>
          <w:sz w:val="28"/>
          <w:szCs w:val="28"/>
        </w:rPr>
        <w:t>, 383 Fed.</w:t>
      </w:r>
      <w:r w:rsidR="00085AAD">
        <w:rPr>
          <w:sz w:val="28"/>
          <w:szCs w:val="28"/>
        </w:rPr>
        <w:t xml:space="preserve"> </w:t>
      </w:r>
      <w:proofErr w:type="gramStart"/>
      <w:r w:rsidR="006B566D" w:rsidRPr="006B566D">
        <w:rPr>
          <w:sz w:val="28"/>
          <w:szCs w:val="28"/>
        </w:rPr>
        <w:t>Appx.</w:t>
      </w:r>
      <w:proofErr w:type="gramEnd"/>
      <w:r w:rsidR="006B566D" w:rsidRPr="006B566D">
        <w:rPr>
          <w:sz w:val="28"/>
          <w:szCs w:val="28"/>
        </w:rPr>
        <w:t xml:space="preserve"> 930 (11th Cir. 2010) (granting</w:t>
      </w:r>
      <w:r w:rsidR="006B566D">
        <w:rPr>
          <w:sz w:val="28"/>
          <w:szCs w:val="28"/>
        </w:rPr>
        <w:t xml:space="preserve"> </w:t>
      </w:r>
      <w:r w:rsidR="006B566D" w:rsidRPr="006B566D">
        <w:rPr>
          <w:sz w:val="28"/>
          <w:szCs w:val="28"/>
        </w:rPr>
        <w:t>preli</w:t>
      </w:r>
      <w:r w:rsidR="006B566D">
        <w:rPr>
          <w:sz w:val="28"/>
          <w:szCs w:val="28"/>
        </w:rPr>
        <w:t>minary injunction requiring  Medicaid coverage to prevent plaintiff from entering a nursing home);</w:t>
      </w:r>
      <w:r w:rsidRPr="00ED3913">
        <w:rPr>
          <w:sz w:val="28"/>
          <w:szCs w:val="28"/>
        </w:rPr>
        <w:t xml:space="preserve"> </w:t>
      </w:r>
      <w:r w:rsidR="006E5A2A" w:rsidRPr="00ED3913">
        <w:rPr>
          <w:i/>
          <w:sz w:val="28"/>
          <w:szCs w:val="28"/>
        </w:rPr>
        <w:t>Cruz v. Dudek</w:t>
      </w:r>
      <w:r w:rsidR="006E5A2A" w:rsidRPr="00ED3913">
        <w:rPr>
          <w:sz w:val="28"/>
          <w:szCs w:val="28"/>
        </w:rPr>
        <w:t>, No. 10-23048-CIV, 2010 WL 4284955, at *13 (S.D. Fla. Oct. 12, 2010)</w:t>
      </w:r>
      <w:r w:rsidR="00085AAD">
        <w:rPr>
          <w:sz w:val="28"/>
          <w:szCs w:val="28"/>
        </w:rPr>
        <w:t xml:space="preserve"> </w:t>
      </w:r>
      <w:r w:rsidR="00ED3913" w:rsidRPr="00ED3913">
        <w:rPr>
          <w:sz w:val="28"/>
          <w:szCs w:val="28"/>
        </w:rPr>
        <w:t>(granting  preliminary injunction</w:t>
      </w:r>
      <w:r w:rsidR="00BE2097">
        <w:rPr>
          <w:sz w:val="28"/>
          <w:szCs w:val="28"/>
        </w:rPr>
        <w:t xml:space="preserve"> that required the</w:t>
      </w:r>
      <w:r w:rsidR="00ED3913" w:rsidRPr="00ED3913">
        <w:rPr>
          <w:sz w:val="28"/>
          <w:szCs w:val="28"/>
        </w:rPr>
        <w:t xml:space="preserve"> state agency to provide  Medicaid recipients home-based services to prevent their institutionalization</w:t>
      </w:r>
      <w:r w:rsidR="00ED3913">
        <w:rPr>
          <w:szCs w:val="24"/>
        </w:rPr>
        <w:t>)</w:t>
      </w:r>
      <w:r w:rsidR="006E5A2A">
        <w:rPr>
          <w:sz w:val="28"/>
          <w:szCs w:val="28"/>
        </w:rPr>
        <w:t xml:space="preserve">; </w:t>
      </w:r>
      <w:r>
        <w:rPr>
          <w:i/>
          <w:iCs/>
          <w:sz w:val="28"/>
          <w:szCs w:val="28"/>
        </w:rPr>
        <w:t>Marlo M. v. Cansler</w:t>
      </w:r>
      <w:r>
        <w:rPr>
          <w:sz w:val="28"/>
          <w:szCs w:val="28"/>
        </w:rPr>
        <w:t>, 679 F. Supp. 2d 635, 637 (E.D.N.C. 2010) (granting preliminary injunction in case</w:t>
      </w:r>
      <w:r w:rsidR="006E5A2A">
        <w:rPr>
          <w:sz w:val="28"/>
          <w:szCs w:val="28"/>
        </w:rPr>
        <w:t xml:space="preserve"> </w:t>
      </w:r>
      <w:r>
        <w:rPr>
          <w:sz w:val="28"/>
          <w:szCs w:val="28"/>
        </w:rPr>
        <w:t xml:space="preserve">where plaintiffs were at risk of institutionalization); </w:t>
      </w:r>
      <w:r>
        <w:rPr>
          <w:i/>
          <w:iCs/>
          <w:sz w:val="28"/>
          <w:szCs w:val="28"/>
        </w:rPr>
        <w:t>Cota v. Maxwell-Jolly</w:t>
      </w:r>
      <w:r>
        <w:rPr>
          <w:sz w:val="28"/>
          <w:szCs w:val="28"/>
        </w:rPr>
        <w:t>, 688 F.</w:t>
      </w:r>
      <w:r w:rsidR="003C0D42">
        <w:rPr>
          <w:sz w:val="28"/>
          <w:szCs w:val="28"/>
        </w:rPr>
        <w:t xml:space="preserve"> </w:t>
      </w:r>
      <w:r>
        <w:rPr>
          <w:sz w:val="28"/>
          <w:szCs w:val="28"/>
        </w:rPr>
        <w:t>Supp. 2d 980, 985 (N.D. Cal. 2010) (granting preliminary injunction where cuts to</w:t>
      </w:r>
      <w:r w:rsidR="006E5A2A">
        <w:rPr>
          <w:sz w:val="28"/>
          <w:szCs w:val="28"/>
        </w:rPr>
        <w:t xml:space="preserve"> </w:t>
      </w:r>
      <w:r>
        <w:rPr>
          <w:sz w:val="28"/>
          <w:szCs w:val="28"/>
        </w:rPr>
        <w:t>community-based services placed plaintiffs at risk of institutionalization</w:t>
      </w:r>
      <w:r w:rsidR="00AA37C9">
        <w:rPr>
          <w:sz w:val="28"/>
          <w:szCs w:val="28"/>
        </w:rPr>
        <w:t>);</w:t>
      </w:r>
      <w:r>
        <w:rPr>
          <w:sz w:val="28"/>
          <w:szCs w:val="28"/>
        </w:rPr>
        <w:t xml:space="preserve"> </w:t>
      </w:r>
      <w:r w:rsidR="00AA37C9">
        <w:rPr>
          <w:i/>
          <w:iCs/>
          <w:sz w:val="28"/>
          <w:szCs w:val="28"/>
        </w:rPr>
        <w:t>s</w:t>
      </w:r>
      <w:r>
        <w:rPr>
          <w:i/>
          <w:iCs/>
          <w:sz w:val="28"/>
          <w:szCs w:val="28"/>
        </w:rPr>
        <w:t>ee also Ball v. Rogers</w:t>
      </w:r>
      <w:r>
        <w:rPr>
          <w:sz w:val="28"/>
          <w:szCs w:val="28"/>
        </w:rPr>
        <w:t>, No. 00-67, 2009 WL 1395423, at *6 (D. Ariz. April 24,</w:t>
      </w:r>
      <w:r w:rsidR="009826DA">
        <w:rPr>
          <w:sz w:val="28"/>
          <w:szCs w:val="28"/>
        </w:rPr>
        <w:t xml:space="preserve"> </w:t>
      </w:r>
      <w:r>
        <w:rPr>
          <w:sz w:val="28"/>
          <w:szCs w:val="28"/>
        </w:rPr>
        <w:t>2009) (holding that defendants’ failure to provide adequate services to avoid</w:t>
      </w:r>
      <w:r w:rsidR="009826DA">
        <w:rPr>
          <w:sz w:val="28"/>
          <w:szCs w:val="28"/>
        </w:rPr>
        <w:t xml:space="preserve"> </w:t>
      </w:r>
      <w:r>
        <w:rPr>
          <w:sz w:val="28"/>
          <w:szCs w:val="28"/>
        </w:rPr>
        <w:t xml:space="preserve">unnecessary institutionalization was discriminatory); </w:t>
      </w:r>
      <w:r>
        <w:rPr>
          <w:i/>
          <w:iCs/>
          <w:sz w:val="28"/>
          <w:szCs w:val="28"/>
        </w:rPr>
        <w:t>Brantley v. Maxwell-Jolly</w:t>
      </w:r>
      <w:r>
        <w:rPr>
          <w:sz w:val="28"/>
          <w:szCs w:val="28"/>
        </w:rPr>
        <w:t>,</w:t>
      </w:r>
      <w:r w:rsidR="009826DA">
        <w:rPr>
          <w:sz w:val="28"/>
          <w:szCs w:val="28"/>
        </w:rPr>
        <w:t xml:space="preserve"> </w:t>
      </w:r>
      <w:r>
        <w:rPr>
          <w:sz w:val="28"/>
          <w:szCs w:val="28"/>
        </w:rPr>
        <w:t>656 F. Supp. 2d 1161,1164 (N.D. Cal. 2009) (granting preliminary injunction</w:t>
      </w:r>
      <w:r w:rsidR="009826DA">
        <w:rPr>
          <w:sz w:val="28"/>
          <w:szCs w:val="28"/>
        </w:rPr>
        <w:t xml:space="preserve"> </w:t>
      </w:r>
      <w:r>
        <w:rPr>
          <w:sz w:val="28"/>
          <w:szCs w:val="28"/>
        </w:rPr>
        <w:t>where plaintiffs were at risk of institutionalization due to cuts in community-based</w:t>
      </w:r>
      <w:r w:rsidR="009826DA">
        <w:rPr>
          <w:sz w:val="28"/>
          <w:szCs w:val="28"/>
        </w:rPr>
        <w:t xml:space="preserve"> </w:t>
      </w:r>
      <w:r>
        <w:rPr>
          <w:sz w:val="28"/>
          <w:szCs w:val="28"/>
        </w:rPr>
        <w:t xml:space="preserve">services); </w:t>
      </w:r>
      <w:r>
        <w:rPr>
          <w:i/>
          <w:iCs/>
          <w:sz w:val="28"/>
          <w:szCs w:val="28"/>
        </w:rPr>
        <w:t>V.L. v. Wagner</w:t>
      </w:r>
      <w:r>
        <w:rPr>
          <w:sz w:val="28"/>
          <w:szCs w:val="28"/>
        </w:rPr>
        <w:t>, 669 F. Supp. 2d 1106, 1109 (N.D. Cal. 2009)</w:t>
      </w:r>
      <w:r w:rsidR="009826DA">
        <w:rPr>
          <w:sz w:val="28"/>
          <w:szCs w:val="28"/>
        </w:rPr>
        <w:t xml:space="preserve"> </w:t>
      </w:r>
      <w:r>
        <w:rPr>
          <w:sz w:val="28"/>
          <w:szCs w:val="28"/>
        </w:rPr>
        <w:t>(preliminarily enjoining cuts to community-based services where plaintiffs</w:t>
      </w:r>
      <w:r w:rsidR="009826DA">
        <w:rPr>
          <w:sz w:val="28"/>
          <w:szCs w:val="28"/>
        </w:rPr>
        <w:t xml:space="preserve"> </w:t>
      </w:r>
      <w:r>
        <w:rPr>
          <w:sz w:val="28"/>
          <w:szCs w:val="28"/>
        </w:rPr>
        <w:t xml:space="preserve">demonstrated risk of institutionalization), </w:t>
      </w:r>
      <w:r w:rsidR="00D03A94" w:rsidRPr="00D03A94">
        <w:rPr>
          <w:i/>
          <w:sz w:val="28"/>
          <w:szCs w:val="28"/>
        </w:rPr>
        <w:t>dismissed as moot</w:t>
      </w:r>
      <w:r w:rsidR="00B836B7" w:rsidRPr="00B836B7">
        <w:rPr>
          <w:i/>
          <w:iCs/>
          <w:sz w:val="28"/>
          <w:szCs w:val="28"/>
        </w:rPr>
        <w:t xml:space="preserve">, Oster v. Wagner, </w:t>
      </w:r>
      <w:r w:rsidR="00B836B7" w:rsidRPr="00B836B7">
        <w:rPr>
          <w:sz w:val="28"/>
          <w:szCs w:val="28"/>
        </w:rPr>
        <w:t>No. 09-17581, Dkt. No. 106-1 (9th Cir. Jan. 7, 2013)</w:t>
      </w:r>
      <w:r w:rsidRPr="00AA37C9">
        <w:rPr>
          <w:sz w:val="28"/>
          <w:szCs w:val="28"/>
        </w:rPr>
        <w:t>;</w:t>
      </w:r>
      <w:r>
        <w:rPr>
          <w:sz w:val="28"/>
          <w:szCs w:val="28"/>
        </w:rPr>
        <w:t xml:space="preserve"> </w:t>
      </w:r>
      <w:r>
        <w:rPr>
          <w:i/>
          <w:iCs/>
          <w:sz w:val="28"/>
          <w:szCs w:val="28"/>
        </w:rPr>
        <w:t>Crabtree v. Goetz</w:t>
      </w:r>
      <w:r>
        <w:rPr>
          <w:sz w:val="28"/>
          <w:szCs w:val="28"/>
        </w:rPr>
        <w:t>, No. 3:08-0939, 2008 WL 5330506, at *30</w:t>
      </w:r>
      <w:r w:rsidR="009826DA">
        <w:rPr>
          <w:sz w:val="28"/>
          <w:szCs w:val="28"/>
        </w:rPr>
        <w:t xml:space="preserve"> </w:t>
      </w:r>
      <w:r>
        <w:rPr>
          <w:sz w:val="28"/>
          <w:szCs w:val="28"/>
        </w:rPr>
        <w:t>(M.D. Tenn. Dec. 19, 2008) (“Plaintiffs have demonstrated a strong likelihood of</w:t>
      </w:r>
      <w:r w:rsidR="009826DA">
        <w:rPr>
          <w:sz w:val="28"/>
          <w:szCs w:val="28"/>
        </w:rPr>
        <w:t xml:space="preserve"> </w:t>
      </w:r>
      <w:r>
        <w:rPr>
          <w:sz w:val="28"/>
          <w:szCs w:val="28"/>
        </w:rPr>
        <w:t>success on the merits of their [ADA] claims that the Defendants’ drastic cuts of</w:t>
      </w:r>
      <w:r w:rsidR="009826DA">
        <w:rPr>
          <w:sz w:val="28"/>
          <w:szCs w:val="28"/>
        </w:rPr>
        <w:t xml:space="preserve"> </w:t>
      </w:r>
      <w:r>
        <w:rPr>
          <w:sz w:val="28"/>
          <w:szCs w:val="28"/>
        </w:rPr>
        <w:t>their home health care services will force their institutionalization in nursing</w:t>
      </w:r>
      <w:r w:rsidR="009826DA">
        <w:rPr>
          <w:sz w:val="28"/>
          <w:szCs w:val="28"/>
        </w:rPr>
        <w:t xml:space="preserve"> </w:t>
      </w:r>
      <w:r>
        <w:rPr>
          <w:sz w:val="28"/>
          <w:szCs w:val="28"/>
        </w:rPr>
        <w:t>homes.”)</w:t>
      </w:r>
      <w:r w:rsidR="005F40BF">
        <w:rPr>
          <w:sz w:val="28"/>
          <w:szCs w:val="28"/>
        </w:rPr>
        <w:t>;</w:t>
      </w:r>
      <w:r>
        <w:rPr>
          <w:sz w:val="28"/>
          <w:szCs w:val="28"/>
        </w:rPr>
        <w:t xml:space="preserve"> </w:t>
      </w:r>
      <w:r>
        <w:rPr>
          <w:i/>
          <w:iCs/>
          <w:sz w:val="28"/>
          <w:szCs w:val="28"/>
        </w:rPr>
        <w:t>M.A.C. v. Betit</w:t>
      </w:r>
      <w:r>
        <w:rPr>
          <w:sz w:val="28"/>
          <w:szCs w:val="28"/>
        </w:rPr>
        <w:t>, 284 F. Supp. 2d 1298, 1309 (D. Utah 2003) (ADA’s</w:t>
      </w:r>
      <w:r w:rsidR="009826DA">
        <w:rPr>
          <w:sz w:val="28"/>
          <w:szCs w:val="28"/>
        </w:rPr>
        <w:t xml:space="preserve"> </w:t>
      </w:r>
      <w:r>
        <w:rPr>
          <w:sz w:val="28"/>
          <w:szCs w:val="28"/>
        </w:rPr>
        <w:t>integration mandate applies equally to those individuals already institutionalized</w:t>
      </w:r>
      <w:r w:rsidR="009826DA">
        <w:rPr>
          <w:sz w:val="28"/>
          <w:szCs w:val="28"/>
        </w:rPr>
        <w:t xml:space="preserve"> </w:t>
      </w:r>
      <w:r>
        <w:rPr>
          <w:sz w:val="28"/>
          <w:szCs w:val="28"/>
        </w:rPr>
        <w:t xml:space="preserve">and to those at risk of institutionalization); </w:t>
      </w:r>
      <w:r>
        <w:rPr>
          <w:i/>
          <w:iCs/>
          <w:sz w:val="28"/>
          <w:szCs w:val="28"/>
        </w:rPr>
        <w:t>Makin v. Hawaii</w:t>
      </w:r>
      <w:r>
        <w:rPr>
          <w:sz w:val="28"/>
          <w:szCs w:val="28"/>
        </w:rPr>
        <w:t>, 114 F. Supp. 2d 1017,</w:t>
      </w:r>
      <w:r w:rsidR="009826DA">
        <w:rPr>
          <w:sz w:val="28"/>
          <w:szCs w:val="28"/>
        </w:rPr>
        <w:t xml:space="preserve"> </w:t>
      </w:r>
      <w:r>
        <w:rPr>
          <w:sz w:val="28"/>
          <w:szCs w:val="28"/>
        </w:rPr>
        <w:t>1034 (D. Haw. 1999) (holding that individuals in the community on the waiting list</w:t>
      </w:r>
      <w:r w:rsidR="009826DA">
        <w:rPr>
          <w:sz w:val="28"/>
          <w:szCs w:val="28"/>
        </w:rPr>
        <w:t xml:space="preserve"> </w:t>
      </w:r>
      <w:r>
        <w:rPr>
          <w:sz w:val="28"/>
          <w:szCs w:val="28"/>
        </w:rPr>
        <w:t>for community-based services offered through the State’s Medicaid program, could</w:t>
      </w:r>
      <w:r w:rsidR="009826DA">
        <w:rPr>
          <w:sz w:val="28"/>
          <w:szCs w:val="28"/>
        </w:rPr>
        <w:t xml:space="preserve"> </w:t>
      </w:r>
      <w:r>
        <w:rPr>
          <w:sz w:val="28"/>
          <w:szCs w:val="28"/>
        </w:rPr>
        <w:t>challenge administration of the program as violating Title II’s integration mandate</w:t>
      </w:r>
      <w:r w:rsidR="005F40BF">
        <w:rPr>
          <w:sz w:val="28"/>
          <w:szCs w:val="28"/>
        </w:rPr>
        <w:t xml:space="preserve"> </w:t>
      </w:r>
      <w:r>
        <w:rPr>
          <w:sz w:val="28"/>
          <w:szCs w:val="28"/>
        </w:rPr>
        <w:t>because it “could potentially force Plaintiffs into institutions”).</w:t>
      </w:r>
      <w:r w:rsidR="0088491F">
        <w:rPr>
          <w:sz w:val="28"/>
          <w:szCs w:val="28"/>
        </w:rPr>
        <w:t xml:space="preserve">  De</w:t>
      </w:r>
      <w:r w:rsidR="00957BDD">
        <w:rPr>
          <w:sz w:val="28"/>
          <w:szCs w:val="28"/>
        </w:rPr>
        <w:t>fendant fails to cite any cases</w:t>
      </w:r>
      <w:r w:rsidR="00667978">
        <w:rPr>
          <w:sz w:val="28"/>
          <w:szCs w:val="28"/>
        </w:rPr>
        <w:t xml:space="preserve"> regarding the risk of institutionalization</w:t>
      </w:r>
      <w:r w:rsidR="00957BDD">
        <w:rPr>
          <w:sz w:val="28"/>
          <w:szCs w:val="28"/>
        </w:rPr>
        <w:t xml:space="preserve"> in which a court has denied the viability of a Title II claim under the ADA and, as a result, Defendant’s motion be denied.</w:t>
      </w:r>
      <w:r w:rsidR="00957BDD">
        <w:rPr>
          <w:rStyle w:val="FootnoteReference"/>
          <w:sz w:val="28"/>
          <w:szCs w:val="28"/>
        </w:rPr>
        <w:footnoteReference w:id="6"/>
      </w:r>
    </w:p>
    <w:p w:rsidR="003C5262" w:rsidRDefault="003C5262" w:rsidP="003C5262">
      <w:pPr>
        <w:spacing w:after="0" w:line="480" w:lineRule="auto"/>
        <w:ind w:firstLine="720"/>
      </w:pPr>
      <w:r>
        <w:rPr>
          <w:sz w:val="28"/>
        </w:rPr>
        <w:t>Federal court</w:t>
      </w:r>
      <w:r w:rsidR="00667978">
        <w:rPr>
          <w:sz w:val="28"/>
        </w:rPr>
        <w:t>s</w:t>
      </w:r>
      <w:r>
        <w:rPr>
          <w:sz w:val="28"/>
        </w:rPr>
        <w:t xml:space="preserve"> have acknowledged and recognized that Congress instructed the Department of Justice to </w:t>
      </w:r>
      <w:r w:rsidR="005F40BF">
        <w:rPr>
          <w:sz w:val="28"/>
        </w:rPr>
        <w:t>promulgate the regulations for T</w:t>
      </w:r>
      <w:r>
        <w:rPr>
          <w:sz w:val="28"/>
        </w:rPr>
        <w:t xml:space="preserve">itle II of the ADA and, as a result, the Department has a special role in interpreting those regulations.  </w:t>
      </w:r>
      <w:r w:rsidRPr="003A0F2F">
        <w:rPr>
          <w:rStyle w:val="Emphasis"/>
          <w:sz w:val="28"/>
        </w:rPr>
        <w:t>Olmstead,</w:t>
      </w:r>
      <w:r w:rsidRPr="003A0F2F">
        <w:rPr>
          <w:sz w:val="28"/>
        </w:rPr>
        <w:t xml:space="preserve"> 527 U.S. at 597–98 (“Because the Depa</w:t>
      </w:r>
      <w:r w:rsidRPr="00E57E71">
        <w:rPr>
          <w:sz w:val="28"/>
        </w:rPr>
        <w:t>rtment is the agency directed by Congress to issue regulations implementing Title II, its views warrant respect.</w:t>
      </w:r>
      <w:proofErr w:type="gramStart"/>
      <w:r w:rsidRPr="00E57E71">
        <w:rPr>
          <w:sz w:val="28"/>
        </w:rPr>
        <w:t xml:space="preserve">” </w:t>
      </w:r>
      <w:r w:rsidR="00667978">
        <w:rPr>
          <w:sz w:val="28"/>
        </w:rPr>
        <w:t>)</w:t>
      </w:r>
      <w:proofErr w:type="gramEnd"/>
      <w:r w:rsidRPr="00E57E71">
        <w:rPr>
          <w:sz w:val="28"/>
        </w:rPr>
        <w:t xml:space="preserve">(citation omitted); </w:t>
      </w:r>
      <w:r>
        <w:rPr>
          <w:i/>
          <w:sz w:val="28"/>
        </w:rPr>
        <w:t>Pashby</w:t>
      </w:r>
      <w:r w:rsidRPr="00E57E71">
        <w:rPr>
          <w:sz w:val="28"/>
        </w:rPr>
        <w:t>, 2013 WL 7911829</w:t>
      </w:r>
      <w:r w:rsidR="005F40BF">
        <w:rPr>
          <w:sz w:val="28"/>
        </w:rPr>
        <w:t>, at</w:t>
      </w:r>
      <w:r w:rsidRPr="00E57E71">
        <w:rPr>
          <w:sz w:val="28"/>
        </w:rPr>
        <w:t xml:space="preserve"> *10 </w:t>
      </w:r>
      <w:r>
        <w:rPr>
          <w:sz w:val="28"/>
        </w:rPr>
        <w:t>(“</w:t>
      </w:r>
      <w:r w:rsidRPr="00E57E71">
        <w:rPr>
          <w:sz w:val="28"/>
        </w:rPr>
        <w:t>Because Congress instructed the DOJ to issue regulations regarding Title II, we are especially swayed by the DOJ's determ</w:t>
      </w:r>
      <w:r w:rsidR="00667978">
        <w:rPr>
          <w:sz w:val="28"/>
        </w:rPr>
        <w:t>ination that ‘</w:t>
      </w:r>
      <w:r w:rsidRPr="00E57E71">
        <w:rPr>
          <w:sz w:val="28"/>
        </w:rPr>
        <w:t xml:space="preserve">the ADA and the </w:t>
      </w:r>
      <w:r w:rsidRPr="00E57E71">
        <w:rPr>
          <w:rStyle w:val="Emphasis"/>
          <w:sz w:val="28"/>
        </w:rPr>
        <w:t>Olmstead</w:t>
      </w:r>
      <w:r w:rsidRPr="00E57E71">
        <w:rPr>
          <w:sz w:val="28"/>
        </w:rPr>
        <w:t xml:space="preserve"> decision extend to persons at serious risk of institutionalization or segregation and are not limited to individuals currently in institutional or other segregated settings</w:t>
      </w:r>
      <w:r w:rsidR="00667978">
        <w:rPr>
          <w:sz w:val="28"/>
        </w:rPr>
        <w:t>’</w:t>
      </w:r>
      <w:r w:rsidRPr="00E57E71">
        <w:rPr>
          <w:sz w:val="28"/>
        </w:rPr>
        <w:t>”</w:t>
      </w:r>
      <w:r>
        <w:rPr>
          <w:sz w:val="28"/>
        </w:rPr>
        <w:t>)</w:t>
      </w:r>
      <w:r w:rsidRPr="00E57E71">
        <w:rPr>
          <w:sz w:val="28"/>
        </w:rPr>
        <w:t xml:space="preserve"> (citation omitted)</w:t>
      </w:r>
      <w:r>
        <w:rPr>
          <w:sz w:val="28"/>
        </w:rPr>
        <w:t xml:space="preserve">; </w:t>
      </w:r>
      <w:r>
        <w:rPr>
          <w:i/>
          <w:sz w:val="28"/>
        </w:rPr>
        <w:t>M.R.</w:t>
      </w:r>
      <w:r w:rsidRPr="0073694D">
        <w:rPr>
          <w:sz w:val="28"/>
        </w:rPr>
        <w:t>, 663</w:t>
      </w:r>
      <w:r>
        <w:rPr>
          <w:sz w:val="28"/>
        </w:rPr>
        <w:t xml:space="preserve"> F.3d at 1117 (“An agency’s interpretation of its own regulation is ‘controlling unless plainly erroneous or inconsistent with the regulation.’”) (</w:t>
      </w:r>
      <w:proofErr w:type="gramStart"/>
      <w:r>
        <w:rPr>
          <w:sz w:val="28"/>
        </w:rPr>
        <w:t>citations</w:t>
      </w:r>
      <w:proofErr w:type="gramEnd"/>
      <w:r>
        <w:rPr>
          <w:sz w:val="28"/>
        </w:rPr>
        <w:t xml:space="preserve"> omitted).  </w:t>
      </w:r>
      <w:r w:rsidRPr="00910DA4">
        <w:rPr>
          <w:i/>
          <w:sz w:val="28"/>
        </w:rPr>
        <w:t>See also</w:t>
      </w:r>
      <w:r>
        <w:rPr>
          <w:sz w:val="28"/>
        </w:rPr>
        <w:t xml:space="preserve"> </w:t>
      </w:r>
      <w:r w:rsidRPr="00910DA4">
        <w:rPr>
          <w:i/>
          <w:sz w:val="28"/>
        </w:rPr>
        <w:t>Zhou Hua Zhu v. U.S. Atty. Gen.</w:t>
      </w:r>
      <w:r>
        <w:rPr>
          <w:sz w:val="28"/>
        </w:rPr>
        <w:t>, 703 F.3d 1303, 1307 (11th Cir. 2013) (noting that an agency’s interpretation of its own regulations warrants deference).</w:t>
      </w:r>
    </w:p>
    <w:p w:rsidR="006E62E6" w:rsidRPr="00BC0CD1" w:rsidRDefault="00E81858" w:rsidP="00BC0CD1">
      <w:pPr>
        <w:pStyle w:val="ListParagraph"/>
        <w:keepNext/>
        <w:numPr>
          <w:ilvl w:val="0"/>
          <w:numId w:val="13"/>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8"/>
          <w:szCs w:val="28"/>
          <w:u w:val="single"/>
        </w:rPr>
      </w:pPr>
      <w:r w:rsidRPr="00BC0CD1">
        <w:rPr>
          <w:sz w:val="28"/>
          <w:szCs w:val="28"/>
          <w:u w:val="single"/>
        </w:rPr>
        <w:t>This Court Has Already Ruled</w:t>
      </w:r>
      <w:r w:rsidR="00735F56" w:rsidRPr="00BC0CD1">
        <w:rPr>
          <w:sz w:val="28"/>
          <w:szCs w:val="28"/>
          <w:u w:val="single"/>
        </w:rPr>
        <w:t xml:space="preserve"> </w:t>
      </w:r>
      <w:r w:rsidR="00072167">
        <w:rPr>
          <w:sz w:val="28"/>
          <w:szCs w:val="28"/>
          <w:u w:val="single"/>
        </w:rPr>
        <w:t xml:space="preserve">That </w:t>
      </w:r>
      <w:r w:rsidR="00735F56" w:rsidRPr="00BC0CD1">
        <w:rPr>
          <w:sz w:val="28"/>
          <w:szCs w:val="28"/>
          <w:u w:val="single"/>
        </w:rPr>
        <w:t xml:space="preserve">the Serious Risk of Institutionalization </w:t>
      </w:r>
      <w:r w:rsidR="006E62E6" w:rsidRPr="00BC0CD1">
        <w:rPr>
          <w:sz w:val="28"/>
          <w:szCs w:val="28"/>
          <w:u w:val="single"/>
        </w:rPr>
        <w:t xml:space="preserve">is a Viable Claim Under the </w:t>
      </w:r>
      <w:r w:rsidRPr="00BC0CD1">
        <w:rPr>
          <w:sz w:val="28"/>
          <w:szCs w:val="28"/>
          <w:u w:val="single"/>
        </w:rPr>
        <w:t xml:space="preserve">Title II </w:t>
      </w:r>
      <w:r w:rsidR="006E62E6" w:rsidRPr="00BC0CD1">
        <w:rPr>
          <w:sz w:val="28"/>
          <w:szCs w:val="28"/>
          <w:u w:val="single"/>
        </w:rPr>
        <w:t>ADA</w:t>
      </w:r>
    </w:p>
    <w:p w:rsidR="00EE7136" w:rsidRPr="00735F56" w:rsidRDefault="00EE7136" w:rsidP="00735F56">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8"/>
          <w:szCs w:val="28"/>
        </w:rPr>
      </w:pPr>
    </w:p>
    <w:p w:rsidR="001C1167" w:rsidRDefault="00060B33" w:rsidP="001C1167">
      <w:pPr>
        <w:spacing w:after="0" w:line="480" w:lineRule="auto"/>
        <w:ind w:firstLine="720"/>
        <w:rPr>
          <w:sz w:val="28"/>
          <w:szCs w:val="28"/>
        </w:rPr>
      </w:pPr>
      <w:r>
        <w:rPr>
          <w:sz w:val="28"/>
          <w:szCs w:val="28"/>
        </w:rPr>
        <w:t xml:space="preserve">As Plaintiffs </w:t>
      </w:r>
      <w:r w:rsidR="00E81858">
        <w:rPr>
          <w:sz w:val="28"/>
          <w:szCs w:val="28"/>
        </w:rPr>
        <w:t xml:space="preserve">correctly </w:t>
      </w:r>
      <w:r>
        <w:rPr>
          <w:sz w:val="28"/>
          <w:szCs w:val="28"/>
        </w:rPr>
        <w:t xml:space="preserve">note, this Court has previously ruled in this case that the Defendant’s actions that create a serious risk of institutionalization can and do violate Title II of the ADA. </w:t>
      </w:r>
      <w:r w:rsidR="00E81858">
        <w:rPr>
          <w:sz w:val="28"/>
          <w:szCs w:val="28"/>
        </w:rPr>
        <w:t xml:space="preserve"> </w:t>
      </w:r>
      <w:proofErr w:type="gramStart"/>
      <w:r w:rsidR="00E81858">
        <w:rPr>
          <w:sz w:val="28"/>
          <w:szCs w:val="28"/>
        </w:rPr>
        <w:t>Pl</w:t>
      </w:r>
      <w:r w:rsidR="00AA37C9">
        <w:rPr>
          <w:sz w:val="28"/>
          <w:szCs w:val="28"/>
        </w:rPr>
        <w:t>s.’</w:t>
      </w:r>
      <w:r w:rsidR="00E81858">
        <w:rPr>
          <w:sz w:val="28"/>
          <w:szCs w:val="28"/>
        </w:rPr>
        <w:t xml:space="preserve"> Resp., at 14.</w:t>
      </w:r>
      <w:proofErr w:type="gramEnd"/>
      <w:r w:rsidR="00E81858">
        <w:rPr>
          <w:sz w:val="28"/>
          <w:szCs w:val="28"/>
        </w:rPr>
        <w:t xml:space="preserve"> </w:t>
      </w:r>
      <w:r>
        <w:rPr>
          <w:sz w:val="28"/>
          <w:szCs w:val="28"/>
        </w:rPr>
        <w:t xml:space="preserve"> On September 27, 2011 the Court, citing the Tenth Circuit holding in </w:t>
      </w:r>
      <w:r w:rsidRPr="00060B33">
        <w:rPr>
          <w:i/>
          <w:sz w:val="28"/>
          <w:szCs w:val="28"/>
        </w:rPr>
        <w:t>Fisher</w:t>
      </w:r>
      <w:r>
        <w:rPr>
          <w:sz w:val="28"/>
          <w:szCs w:val="28"/>
        </w:rPr>
        <w:t>,</w:t>
      </w:r>
      <w:r w:rsidR="003A57A9">
        <w:rPr>
          <w:sz w:val="28"/>
          <w:szCs w:val="28"/>
        </w:rPr>
        <w:t xml:space="preserve"> </w:t>
      </w:r>
      <w:r>
        <w:rPr>
          <w:sz w:val="28"/>
          <w:szCs w:val="28"/>
        </w:rPr>
        <w:t xml:space="preserve">ruled that Plaintff’s ADA claim under Title II “is not futile.”  Order, ECF No. 77, at 10-12; </w:t>
      </w:r>
      <w:r w:rsidRPr="00060B33">
        <w:rPr>
          <w:i/>
          <w:sz w:val="28"/>
          <w:szCs w:val="28"/>
        </w:rPr>
        <w:t>see</w:t>
      </w:r>
      <w:r>
        <w:rPr>
          <w:i/>
          <w:sz w:val="28"/>
          <w:szCs w:val="28"/>
        </w:rPr>
        <w:t xml:space="preserve"> Fisher</w:t>
      </w:r>
      <w:r w:rsidR="00667978">
        <w:rPr>
          <w:sz w:val="28"/>
          <w:szCs w:val="28"/>
        </w:rPr>
        <w:t>, 335 F.</w:t>
      </w:r>
      <w:r w:rsidR="00876834">
        <w:rPr>
          <w:sz w:val="28"/>
          <w:szCs w:val="28"/>
        </w:rPr>
        <w:t xml:space="preserve">3d at 1181. </w:t>
      </w:r>
      <w:r>
        <w:rPr>
          <w:sz w:val="28"/>
          <w:szCs w:val="28"/>
        </w:rPr>
        <w:t xml:space="preserve"> Similarly, in ruling on the matter of Zach</w:t>
      </w:r>
      <w:r w:rsidR="00BE2097">
        <w:rPr>
          <w:sz w:val="28"/>
          <w:szCs w:val="28"/>
        </w:rPr>
        <w:t>ary Royal,</w:t>
      </w:r>
      <w:r>
        <w:rPr>
          <w:sz w:val="28"/>
          <w:szCs w:val="28"/>
        </w:rPr>
        <w:t xml:space="preserve"> this Court found that “the Plaintiff may succeed on his ADA claim if the Defendant’s action places him at ‘high risk’ of premature entry into institutional isolation.” Order, ECF No. 113, at 20; </w:t>
      </w:r>
      <w:r w:rsidRPr="00060B33">
        <w:rPr>
          <w:i/>
          <w:sz w:val="28"/>
          <w:szCs w:val="28"/>
        </w:rPr>
        <w:t>see</w:t>
      </w:r>
      <w:r>
        <w:rPr>
          <w:sz w:val="28"/>
          <w:szCs w:val="28"/>
        </w:rPr>
        <w:t xml:space="preserve"> </w:t>
      </w:r>
      <w:r w:rsidRPr="00060B33">
        <w:rPr>
          <w:i/>
          <w:sz w:val="28"/>
          <w:szCs w:val="28"/>
        </w:rPr>
        <w:t>Fisher</w:t>
      </w:r>
      <w:r w:rsidR="00667978">
        <w:rPr>
          <w:sz w:val="28"/>
          <w:szCs w:val="28"/>
        </w:rPr>
        <w:t>, 335 F.</w:t>
      </w:r>
      <w:r>
        <w:rPr>
          <w:sz w:val="28"/>
          <w:szCs w:val="28"/>
        </w:rPr>
        <w:t>3d at 1185.</w:t>
      </w:r>
      <w:r w:rsidR="00280874">
        <w:rPr>
          <w:rStyle w:val="FootnoteReference"/>
          <w:sz w:val="28"/>
          <w:szCs w:val="28"/>
        </w:rPr>
        <w:footnoteReference w:id="7"/>
      </w:r>
      <w:r w:rsidR="00280874">
        <w:rPr>
          <w:sz w:val="28"/>
          <w:szCs w:val="28"/>
        </w:rPr>
        <w:t xml:space="preserve"> </w:t>
      </w:r>
      <w:r w:rsidR="00E81858">
        <w:rPr>
          <w:sz w:val="28"/>
          <w:szCs w:val="28"/>
        </w:rPr>
        <w:t xml:space="preserve"> </w:t>
      </w:r>
      <w:r w:rsidR="00BE2097">
        <w:rPr>
          <w:sz w:val="28"/>
          <w:szCs w:val="28"/>
        </w:rPr>
        <w:t>T</w:t>
      </w:r>
      <w:r w:rsidR="00E81858">
        <w:rPr>
          <w:sz w:val="28"/>
          <w:szCs w:val="28"/>
        </w:rPr>
        <w:t>here is no compelling reason</w:t>
      </w:r>
      <w:r w:rsidR="003A57A9">
        <w:rPr>
          <w:sz w:val="28"/>
          <w:szCs w:val="28"/>
        </w:rPr>
        <w:t>,</w:t>
      </w:r>
      <w:r w:rsidR="00B57A64">
        <w:rPr>
          <w:sz w:val="28"/>
          <w:szCs w:val="28"/>
        </w:rPr>
        <w:t xml:space="preserve"> and</w:t>
      </w:r>
      <w:r w:rsidR="00BE2097">
        <w:rPr>
          <w:sz w:val="28"/>
          <w:szCs w:val="28"/>
        </w:rPr>
        <w:t xml:space="preserve"> there is no argument</w:t>
      </w:r>
      <w:r w:rsidR="003A57A9">
        <w:rPr>
          <w:sz w:val="28"/>
          <w:szCs w:val="28"/>
        </w:rPr>
        <w:t xml:space="preserve"> presented in Defendant’s motion</w:t>
      </w:r>
      <w:r w:rsidR="00BE2097">
        <w:rPr>
          <w:sz w:val="28"/>
          <w:szCs w:val="28"/>
        </w:rPr>
        <w:t>, that the Court should reach a</w:t>
      </w:r>
      <w:r w:rsidR="00B57A64">
        <w:rPr>
          <w:sz w:val="28"/>
          <w:szCs w:val="28"/>
        </w:rPr>
        <w:t xml:space="preserve"> different conclusion at this stage of the case.  As a result,</w:t>
      </w:r>
      <w:r w:rsidR="00E81858">
        <w:rPr>
          <w:sz w:val="28"/>
          <w:szCs w:val="28"/>
        </w:rPr>
        <w:t xml:space="preserve"> the Court should deny Defendant’s Motion for Partial Summary Judgment as it relate</w:t>
      </w:r>
      <w:r w:rsidR="00F7099E">
        <w:rPr>
          <w:sz w:val="28"/>
          <w:szCs w:val="28"/>
        </w:rPr>
        <w:t>s</w:t>
      </w:r>
      <w:r w:rsidR="00E81858">
        <w:rPr>
          <w:sz w:val="28"/>
          <w:szCs w:val="28"/>
        </w:rPr>
        <w:t xml:space="preserve"> to Plaintiffs’ claims under Title II of the ADA.</w:t>
      </w:r>
    </w:p>
    <w:p w:rsidR="00872F12" w:rsidRDefault="00872F12" w:rsidP="00BC0CD1">
      <w:pPr>
        <w:spacing w:after="0" w:line="480" w:lineRule="auto"/>
        <w:jc w:val="center"/>
        <w:rPr>
          <w:b/>
          <w:sz w:val="28"/>
          <w:szCs w:val="28"/>
        </w:rPr>
      </w:pPr>
      <w:r>
        <w:rPr>
          <w:b/>
          <w:sz w:val="28"/>
          <w:szCs w:val="28"/>
        </w:rPr>
        <w:t>CONCLUSION</w:t>
      </w:r>
      <w:r w:rsidR="006E5A2A" w:rsidRPr="006E5A2A">
        <w:rPr>
          <w:i/>
          <w:szCs w:val="24"/>
        </w:rPr>
        <w:t xml:space="preserve"> </w:t>
      </w:r>
    </w:p>
    <w:p w:rsidR="00587D9E" w:rsidRPr="00587D9E" w:rsidRDefault="00587D9E" w:rsidP="00587D9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sz w:val="28"/>
          <w:szCs w:val="28"/>
        </w:rPr>
      </w:pPr>
      <w:r>
        <w:rPr>
          <w:sz w:val="28"/>
          <w:szCs w:val="28"/>
        </w:rPr>
        <w:tab/>
      </w:r>
      <w:r w:rsidR="00D21BEE">
        <w:rPr>
          <w:sz w:val="28"/>
          <w:szCs w:val="28"/>
        </w:rPr>
        <w:t>For all the foregoing reasons, t</w:t>
      </w:r>
      <w:r w:rsidRPr="00587D9E">
        <w:rPr>
          <w:sz w:val="28"/>
          <w:szCs w:val="28"/>
        </w:rPr>
        <w:t xml:space="preserve">he Court should </w:t>
      </w:r>
      <w:r w:rsidR="00F7099E">
        <w:rPr>
          <w:sz w:val="28"/>
          <w:szCs w:val="28"/>
        </w:rPr>
        <w:t>deny Defendant’s</w:t>
      </w:r>
      <w:r w:rsidRPr="00587D9E">
        <w:rPr>
          <w:sz w:val="28"/>
          <w:szCs w:val="28"/>
        </w:rPr>
        <w:t xml:space="preserve"> Motion for </w:t>
      </w:r>
      <w:r w:rsidR="00F7099E">
        <w:rPr>
          <w:sz w:val="28"/>
          <w:szCs w:val="28"/>
        </w:rPr>
        <w:t>Partial Summary Judgment</w:t>
      </w:r>
      <w:r w:rsidRPr="00587D9E">
        <w:rPr>
          <w:sz w:val="28"/>
          <w:szCs w:val="28"/>
        </w:rPr>
        <w:t xml:space="preserve">.  </w:t>
      </w:r>
      <w:r w:rsidRPr="00587D9E">
        <w:rPr>
          <w:sz w:val="28"/>
          <w:szCs w:val="28"/>
        </w:rPr>
        <w:tab/>
      </w:r>
    </w:p>
    <w:p w:rsidR="00A5564F" w:rsidRDefault="00587D9E" w:rsidP="00FE0A8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480" w:lineRule="auto"/>
        <w:rPr>
          <w:sz w:val="28"/>
          <w:szCs w:val="28"/>
        </w:rPr>
      </w:pPr>
      <w:r w:rsidRPr="00587D9E">
        <w:rPr>
          <w:sz w:val="28"/>
          <w:szCs w:val="28"/>
        </w:rPr>
        <w:t>Dated:</w:t>
      </w:r>
      <w:r w:rsidR="002B7B40">
        <w:rPr>
          <w:sz w:val="28"/>
          <w:szCs w:val="28"/>
        </w:rPr>
        <w:t xml:space="preserve"> </w:t>
      </w:r>
      <w:r w:rsidRPr="00587D9E">
        <w:rPr>
          <w:sz w:val="28"/>
          <w:szCs w:val="28"/>
        </w:rPr>
        <w:t xml:space="preserve"> </w:t>
      </w:r>
      <w:r w:rsidR="002B7B40">
        <w:rPr>
          <w:sz w:val="28"/>
          <w:szCs w:val="28"/>
        </w:rPr>
        <w:t>March 14, 2013</w:t>
      </w:r>
    </w:p>
    <w:p w:rsidR="002B7B40" w:rsidRPr="002B7B40" w:rsidRDefault="002B7B40" w:rsidP="002B7B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8"/>
          <w:szCs w:val="28"/>
        </w:rPr>
      </w:pPr>
      <w:r w:rsidRPr="002B7B40">
        <w:rPr>
          <w:sz w:val="28"/>
          <w:szCs w:val="28"/>
        </w:rPr>
        <w:tab/>
      </w:r>
      <w:r w:rsidRPr="002B7B40">
        <w:rPr>
          <w:sz w:val="28"/>
          <w:szCs w:val="28"/>
        </w:rPr>
        <w:tab/>
      </w:r>
      <w:r w:rsidR="006E4440">
        <w:rPr>
          <w:sz w:val="28"/>
          <w:szCs w:val="28"/>
        </w:rPr>
        <w:tab/>
      </w:r>
      <w:r w:rsidR="006E4440">
        <w:rPr>
          <w:sz w:val="28"/>
          <w:szCs w:val="28"/>
        </w:rPr>
        <w:tab/>
      </w:r>
      <w:r w:rsidR="006E4440">
        <w:rPr>
          <w:sz w:val="28"/>
          <w:szCs w:val="28"/>
        </w:rPr>
        <w:tab/>
      </w:r>
      <w:r w:rsidRPr="002B7B40">
        <w:rPr>
          <w:sz w:val="28"/>
          <w:szCs w:val="28"/>
        </w:rPr>
        <w:tab/>
        <w:t>Respectfully submitted,</w:t>
      </w:r>
      <w:r w:rsidRPr="002B7B40">
        <w:rPr>
          <w:sz w:val="28"/>
          <w:szCs w:val="28"/>
        </w:rPr>
        <w:tab/>
      </w:r>
      <w:r w:rsidRPr="002B7B40">
        <w:rPr>
          <w:sz w:val="28"/>
          <w:szCs w:val="28"/>
        </w:rPr>
        <w:tab/>
      </w:r>
      <w:r w:rsidRPr="002B7B40">
        <w:rPr>
          <w:sz w:val="28"/>
          <w:szCs w:val="28"/>
        </w:rPr>
        <w:tab/>
      </w:r>
      <w:r w:rsidRPr="002B7B40">
        <w:rPr>
          <w:sz w:val="28"/>
          <w:szCs w:val="28"/>
        </w:rPr>
        <w:tab/>
      </w:r>
    </w:p>
    <w:p w:rsidR="002B7B40" w:rsidRPr="002B7B40" w:rsidRDefault="002B7B40" w:rsidP="002B7B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8"/>
          <w:szCs w:val="28"/>
        </w:rPr>
      </w:pPr>
      <w:r w:rsidRPr="002B7B40">
        <w:rPr>
          <w:sz w:val="28"/>
          <w:szCs w:val="28"/>
        </w:rPr>
        <w:tab/>
      </w:r>
      <w:r w:rsidR="006E4440">
        <w:rPr>
          <w:sz w:val="28"/>
          <w:szCs w:val="28"/>
        </w:rPr>
        <w:tab/>
      </w:r>
      <w:r w:rsidR="006E4440">
        <w:rPr>
          <w:sz w:val="28"/>
          <w:szCs w:val="28"/>
        </w:rPr>
        <w:tab/>
      </w:r>
      <w:r w:rsidR="006E4440">
        <w:rPr>
          <w:sz w:val="28"/>
          <w:szCs w:val="28"/>
        </w:rPr>
        <w:tab/>
      </w:r>
      <w:r w:rsidR="006E4440">
        <w:rPr>
          <w:sz w:val="28"/>
          <w:szCs w:val="28"/>
        </w:rPr>
        <w:tab/>
      </w:r>
      <w:r w:rsidRPr="002B7B40">
        <w:rPr>
          <w:sz w:val="28"/>
          <w:szCs w:val="28"/>
        </w:rPr>
        <w:tab/>
      </w:r>
      <w:r w:rsidRPr="002B7B40">
        <w:rPr>
          <w:sz w:val="28"/>
          <w:szCs w:val="28"/>
        </w:rPr>
        <w:tab/>
      </w:r>
      <w:r w:rsidRPr="002B7B40">
        <w:rPr>
          <w:sz w:val="28"/>
          <w:szCs w:val="28"/>
        </w:rPr>
        <w:tab/>
      </w:r>
      <w:r w:rsidRPr="002B7B40">
        <w:rPr>
          <w:sz w:val="28"/>
          <w:szCs w:val="28"/>
        </w:rPr>
        <w:tab/>
      </w:r>
      <w:r w:rsidRPr="002B7B40">
        <w:rPr>
          <w:sz w:val="28"/>
          <w:szCs w:val="28"/>
        </w:rPr>
        <w:tab/>
      </w:r>
    </w:p>
    <w:p w:rsidR="002B7B40" w:rsidRPr="002B7B40" w:rsidRDefault="006E4440" w:rsidP="002B7B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8"/>
          <w:szCs w:val="28"/>
        </w:rPr>
      </w:pPr>
      <w:r>
        <w:rPr>
          <w:sz w:val="28"/>
          <w:szCs w:val="28"/>
        </w:rPr>
        <w:t>SALLY QUILLIAN YATES</w:t>
      </w:r>
      <w:r>
        <w:rPr>
          <w:sz w:val="28"/>
          <w:szCs w:val="28"/>
        </w:rPr>
        <w:tab/>
      </w:r>
      <w:r w:rsidR="002B7B40" w:rsidRPr="002B7B40">
        <w:rPr>
          <w:sz w:val="28"/>
          <w:szCs w:val="28"/>
        </w:rPr>
        <w:tab/>
        <w:t>THOMAS E. PEREZ</w:t>
      </w:r>
    </w:p>
    <w:p w:rsidR="002B7B40" w:rsidRPr="002B7B40" w:rsidRDefault="002B7B40" w:rsidP="002B7B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8"/>
          <w:szCs w:val="28"/>
        </w:rPr>
      </w:pPr>
      <w:r w:rsidRPr="002B7B40">
        <w:rPr>
          <w:sz w:val="28"/>
          <w:szCs w:val="28"/>
        </w:rPr>
        <w:t>United States Attorney</w:t>
      </w:r>
      <w:r w:rsidRPr="002B7B40">
        <w:rPr>
          <w:sz w:val="28"/>
          <w:szCs w:val="28"/>
        </w:rPr>
        <w:tab/>
      </w:r>
      <w:r w:rsidRPr="002B7B40">
        <w:rPr>
          <w:sz w:val="28"/>
          <w:szCs w:val="28"/>
        </w:rPr>
        <w:tab/>
      </w:r>
      <w:r w:rsidRPr="002B7B40">
        <w:rPr>
          <w:sz w:val="28"/>
          <w:szCs w:val="28"/>
        </w:rPr>
        <w:tab/>
        <w:t>Assistant Attorney General</w:t>
      </w:r>
      <w:r w:rsidRPr="002B7B40">
        <w:rPr>
          <w:sz w:val="28"/>
          <w:szCs w:val="28"/>
        </w:rPr>
        <w:tab/>
      </w:r>
      <w:r w:rsidRPr="002B7B40">
        <w:rPr>
          <w:sz w:val="28"/>
          <w:szCs w:val="28"/>
        </w:rPr>
        <w:tab/>
      </w:r>
    </w:p>
    <w:p w:rsidR="002B7B40" w:rsidRPr="002B7B40" w:rsidRDefault="003A35D1" w:rsidP="002B7B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8"/>
          <w:szCs w:val="28"/>
        </w:rPr>
      </w:pPr>
      <w:r>
        <w:rPr>
          <w:sz w:val="28"/>
          <w:szCs w:val="28"/>
        </w:rPr>
        <w:t>Northern</w:t>
      </w:r>
      <w:r w:rsidR="002B7B40" w:rsidRPr="002B7B40">
        <w:rPr>
          <w:sz w:val="28"/>
          <w:szCs w:val="28"/>
        </w:rPr>
        <w:t xml:space="preserve"> District of </w:t>
      </w:r>
      <w:r>
        <w:rPr>
          <w:sz w:val="28"/>
          <w:szCs w:val="28"/>
        </w:rPr>
        <w:t>Georgia</w:t>
      </w:r>
    </w:p>
    <w:p w:rsidR="002B7B40" w:rsidRPr="002B7B40" w:rsidRDefault="002B7B40" w:rsidP="002B7B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0" w:hanging="3600"/>
        <w:rPr>
          <w:sz w:val="28"/>
          <w:szCs w:val="28"/>
        </w:rPr>
      </w:pPr>
      <w:r w:rsidRPr="002B7B40">
        <w:rPr>
          <w:sz w:val="28"/>
          <w:szCs w:val="28"/>
        </w:rPr>
        <w:tab/>
      </w:r>
      <w:r w:rsidRPr="002B7B40">
        <w:rPr>
          <w:sz w:val="28"/>
          <w:szCs w:val="28"/>
        </w:rPr>
        <w:tab/>
      </w:r>
      <w:r w:rsidRPr="002B7B40">
        <w:rPr>
          <w:sz w:val="28"/>
          <w:szCs w:val="28"/>
        </w:rPr>
        <w:tab/>
      </w:r>
      <w:r w:rsidRPr="002B7B40">
        <w:rPr>
          <w:sz w:val="28"/>
          <w:szCs w:val="28"/>
        </w:rPr>
        <w:tab/>
      </w:r>
      <w:r w:rsidRPr="002B7B40">
        <w:rPr>
          <w:sz w:val="28"/>
          <w:szCs w:val="28"/>
        </w:rPr>
        <w:tab/>
      </w:r>
      <w:r w:rsidRPr="002B7B40">
        <w:rPr>
          <w:sz w:val="28"/>
          <w:szCs w:val="28"/>
        </w:rPr>
        <w:tab/>
        <w:t>EVE HILL</w:t>
      </w:r>
    </w:p>
    <w:p w:rsidR="002B7B40" w:rsidRPr="002B7B40" w:rsidRDefault="002B7B40" w:rsidP="002B7B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4320"/>
        <w:rPr>
          <w:sz w:val="28"/>
          <w:szCs w:val="28"/>
        </w:rPr>
      </w:pPr>
      <w:r w:rsidRPr="002B7B40">
        <w:rPr>
          <w:sz w:val="28"/>
          <w:szCs w:val="28"/>
        </w:rPr>
        <w:t>Senior Counselor to the Assistant Attorney General</w:t>
      </w:r>
    </w:p>
    <w:p w:rsidR="002B7B40" w:rsidRPr="002B7B40" w:rsidRDefault="002B7B40" w:rsidP="002B7B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8"/>
          <w:szCs w:val="28"/>
        </w:rPr>
      </w:pPr>
      <w:r w:rsidRPr="002B7B40">
        <w:rPr>
          <w:sz w:val="28"/>
          <w:szCs w:val="28"/>
        </w:rPr>
        <w:tab/>
      </w:r>
      <w:r w:rsidRPr="002B7B40">
        <w:rPr>
          <w:sz w:val="28"/>
          <w:szCs w:val="28"/>
        </w:rPr>
        <w:tab/>
      </w:r>
      <w:r w:rsidRPr="002B7B40">
        <w:rPr>
          <w:sz w:val="28"/>
          <w:szCs w:val="28"/>
        </w:rPr>
        <w:tab/>
      </w:r>
      <w:r w:rsidRPr="002B7B40">
        <w:rPr>
          <w:sz w:val="28"/>
          <w:szCs w:val="28"/>
        </w:rPr>
        <w:tab/>
      </w:r>
      <w:r w:rsidRPr="002B7B40">
        <w:rPr>
          <w:sz w:val="28"/>
          <w:szCs w:val="28"/>
        </w:rPr>
        <w:tab/>
      </w:r>
      <w:r w:rsidRPr="002B7B40">
        <w:rPr>
          <w:sz w:val="28"/>
          <w:szCs w:val="28"/>
        </w:rPr>
        <w:tab/>
      </w:r>
      <w:r w:rsidRPr="002B7B40">
        <w:rPr>
          <w:sz w:val="28"/>
          <w:szCs w:val="28"/>
        </w:rPr>
        <w:tab/>
      </w:r>
      <w:r w:rsidRPr="002B7B40">
        <w:rPr>
          <w:sz w:val="28"/>
          <w:szCs w:val="28"/>
        </w:rPr>
        <w:tab/>
      </w:r>
    </w:p>
    <w:p w:rsidR="002B7B40" w:rsidRPr="002B7B40" w:rsidRDefault="002B7B40" w:rsidP="002B7B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8"/>
          <w:szCs w:val="28"/>
        </w:rPr>
      </w:pPr>
      <w:r w:rsidRPr="002B7B40">
        <w:rPr>
          <w:sz w:val="28"/>
          <w:szCs w:val="28"/>
        </w:rPr>
        <w:tab/>
      </w:r>
      <w:r w:rsidRPr="002B7B40">
        <w:rPr>
          <w:sz w:val="28"/>
          <w:szCs w:val="28"/>
        </w:rPr>
        <w:tab/>
      </w:r>
      <w:r w:rsidRPr="002B7B40">
        <w:rPr>
          <w:sz w:val="28"/>
          <w:szCs w:val="28"/>
        </w:rPr>
        <w:tab/>
      </w:r>
      <w:r w:rsidRPr="002B7B40">
        <w:rPr>
          <w:sz w:val="28"/>
          <w:szCs w:val="28"/>
        </w:rPr>
        <w:tab/>
      </w:r>
      <w:r w:rsidRPr="002B7B40">
        <w:rPr>
          <w:sz w:val="28"/>
          <w:szCs w:val="28"/>
        </w:rPr>
        <w:tab/>
      </w:r>
      <w:r w:rsidRPr="002B7B40">
        <w:rPr>
          <w:sz w:val="28"/>
          <w:szCs w:val="28"/>
        </w:rPr>
        <w:tab/>
        <w:t>ALISON BARKOFF</w:t>
      </w:r>
      <w:r w:rsidRPr="002B7B40">
        <w:rPr>
          <w:sz w:val="28"/>
          <w:szCs w:val="28"/>
        </w:rPr>
        <w:tab/>
      </w:r>
      <w:r w:rsidRPr="002B7B40">
        <w:rPr>
          <w:sz w:val="28"/>
          <w:szCs w:val="28"/>
        </w:rPr>
        <w:tab/>
      </w:r>
      <w:r w:rsidRPr="002B7B40">
        <w:rPr>
          <w:sz w:val="28"/>
          <w:szCs w:val="28"/>
        </w:rPr>
        <w:tab/>
      </w:r>
      <w:r w:rsidRPr="002B7B40">
        <w:rPr>
          <w:sz w:val="28"/>
          <w:szCs w:val="28"/>
        </w:rPr>
        <w:tab/>
      </w:r>
    </w:p>
    <w:p w:rsidR="002B7B40" w:rsidRPr="002B7B40" w:rsidRDefault="002B7B40" w:rsidP="002B7B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8"/>
          <w:szCs w:val="28"/>
        </w:rPr>
      </w:pPr>
      <w:r w:rsidRPr="002B7B40">
        <w:rPr>
          <w:sz w:val="28"/>
          <w:szCs w:val="28"/>
        </w:rPr>
        <w:tab/>
      </w:r>
      <w:r w:rsidRPr="002B7B40">
        <w:rPr>
          <w:sz w:val="28"/>
          <w:szCs w:val="28"/>
        </w:rPr>
        <w:tab/>
      </w:r>
      <w:r w:rsidRPr="002B7B40">
        <w:rPr>
          <w:sz w:val="28"/>
          <w:szCs w:val="28"/>
        </w:rPr>
        <w:tab/>
      </w:r>
      <w:r w:rsidRPr="002B7B40">
        <w:rPr>
          <w:sz w:val="28"/>
          <w:szCs w:val="28"/>
        </w:rPr>
        <w:tab/>
      </w:r>
      <w:r w:rsidRPr="002B7B40">
        <w:rPr>
          <w:sz w:val="28"/>
          <w:szCs w:val="28"/>
        </w:rPr>
        <w:tab/>
      </w:r>
      <w:r w:rsidRPr="002B7B40">
        <w:rPr>
          <w:sz w:val="28"/>
          <w:szCs w:val="28"/>
        </w:rPr>
        <w:tab/>
        <w:t>Special Counsel for Olmstead Enforcement</w:t>
      </w:r>
    </w:p>
    <w:p w:rsidR="002B7B40" w:rsidRPr="002B7B40" w:rsidRDefault="002B7B40" w:rsidP="002B7B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8"/>
          <w:szCs w:val="28"/>
        </w:rPr>
      </w:pPr>
      <w:r w:rsidRPr="002B7B40">
        <w:rPr>
          <w:sz w:val="28"/>
          <w:szCs w:val="28"/>
        </w:rPr>
        <w:tab/>
      </w:r>
      <w:r w:rsidRPr="002B7B40">
        <w:rPr>
          <w:sz w:val="28"/>
          <w:szCs w:val="28"/>
        </w:rPr>
        <w:tab/>
      </w:r>
      <w:r w:rsidRPr="002B7B40">
        <w:rPr>
          <w:sz w:val="28"/>
          <w:szCs w:val="28"/>
        </w:rPr>
        <w:tab/>
      </w:r>
      <w:r w:rsidRPr="002B7B40">
        <w:rPr>
          <w:sz w:val="28"/>
          <w:szCs w:val="28"/>
        </w:rPr>
        <w:tab/>
      </w:r>
      <w:r w:rsidRPr="002B7B40">
        <w:rPr>
          <w:sz w:val="28"/>
          <w:szCs w:val="28"/>
        </w:rPr>
        <w:tab/>
      </w:r>
      <w:r w:rsidRPr="002B7B40">
        <w:rPr>
          <w:sz w:val="28"/>
          <w:szCs w:val="28"/>
        </w:rPr>
        <w:tab/>
        <w:t>Civil Rights Division</w:t>
      </w:r>
      <w:r w:rsidRPr="002B7B40">
        <w:rPr>
          <w:sz w:val="28"/>
          <w:szCs w:val="28"/>
        </w:rPr>
        <w:tab/>
      </w:r>
    </w:p>
    <w:p w:rsidR="002B7B40" w:rsidRPr="002B7B40" w:rsidRDefault="002B7B40" w:rsidP="002B7B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8"/>
          <w:szCs w:val="28"/>
          <w:u w:val="single"/>
        </w:rPr>
      </w:pPr>
    </w:p>
    <w:p w:rsidR="002B7B40" w:rsidRPr="002B7B40" w:rsidRDefault="002B7B40" w:rsidP="002B7B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8"/>
          <w:szCs w:val="28"/>
          <w:u w:val="single"/>
        </w:rPr>
      </w:pPr>
      <w:r w:rsidRPr="00D204E3">
        <w:rPr>
          <w:i/>
          <w:sz w:val="28"/>
          <w:szCs w:val="28"/>
          <w:u w:val="single"/>
        </w:rPr>
        <w:t>/s/ Sharon</w:t>
      </w:r>
      <w:r w:rsidR="006E4440" w:rsidRPr="00D204E3">
        <w:rPr>
          <w:i/>
          <w:sz w:val="28"/>
          <w:szCs w:val="28"/>
          <w:u w:val="single"/>
        </w:rPr>
        <w:t xml:space="preserve"> D.</w:t>
      </w:r>
      <w:r w:rsidRPr="00D204E3">
        <w:rPr>
          <w:i/>
          <w:sz w:val="28"/>
          <w:szCs w:val="28"/>
          <w:u w:val="single"/>
        </w:rPr>
        <w:t xml:space="preserve"> Stokes</w:t>
      </w:r>
      <w:r w:rsidRPr="002B7B40">
        <w:rPr>
          <w:sz w:val="28"/>
          <w:szCs w:val="28"/>
          <w:u w:val="single"/>
        </w:rPr>
        <w:t xml:space="preserve">   </w:t>
      </w:r>
      <w:r w:rsidRPr="002B7B40">
        <w:rPr>
          <w:sz w:val="28"/>
          <w:szCs w:val="28"/>
          <w:u w:val="single"/>
        </w:rPr>
        <w:tab/>
        <w:t xml:space="preserve">      </w:t>
      </w:r>
      <w:r w:rsidRPr="002B7B40">
        <w:rPr>
          <w:sz w:val="28"/>
          <w:szCs w:val="28"/>
        </w:rPr>
        <w:tab/>
      </w:r>
      <w:r>
        <w:rPr>
          <w:sz w:val="28"/>
          <w:szCs w:val="28"/>
        </w:rPr>
        <w:tab/>
      </w:r>
      <w:r w:rsidRPr="002B7B40">
        <w:rPr>
          <w:sz w:val="28"/>
          <w:szCs w:val="28"/>
          <w:u w:val="single"/>
        </w:rPr>
        <w:t xml:space="preserve">/s/ </w:t>
      </w:r>
      <w:r>
        <w:rPr>
          <w:i/>
          <w:sz w:val="28"/>
          <w:szCs w:val="28"/>
          <w:u w:val="single"/>
        </w:rPr>
        <w:t>Vincent Herman</w:t>
      </w:r>
      <w:r w:rsidRPr="002B7B40">
        <w:rPr>
          <w:i/>
          <w:sz w:val="28"/>
          <w:szCs w:val="28"/>
          <w:u w:val="single"/>
        </w:rPr>
        <w:tab/>
      </w:r>
      <w:r w:rsidRPr="002B7B40">
        <w:rPr>
          <w:i/>
          <w:sz w:val="28"/>
          <w:szCs w:val="28"/>
          <w:u w:val="single"/>
        </w:rPr>
        <w:tab/>
      </w:r>
      <w:r w:rsidRPr="002B7B40">
        <w:rPr>
          <w:sz w:val="28"/>
          <w:szCs w:val="28"/>
          <w:u w:val="single"/>
        </w:rPr>
        <w:t xml:space="preserve">            </w:t>
      </w:r>
    </w:p>
    <w:p w:rsidR="002B7B40" w:rsidRPr="002B7B40" w:rsidRDefault="006E4440" w:rsidP="002B7B40">
      <w:pPr>
        <w:spacing w:after="0" w:line="240" w:lineRule="auto"/>
        <w:rPr>
          <w:sz w:val="28"/>
          <w:szCs w:val="28"/>
        </w:rPr>
      </w:pPr>
      <w:r>
        <w:rPr>
          <w:sz w:val="28"/>
          <w:szCs w:val="28"/>
        </w:rPr>
        <w:t>SHARON D. STOKES</w:t>
      </w:r>
      <w:r>
        <w:rPr>
          <w:sz w:val="28"/>
          <w:szCs w:val="28"/>
        </w:rPr>
        <w:tab/>
      </w:r>
      <w:r>
        <w:rPr>
          <w:sz w:val="28"/>
          <w:szCs w:val="28"/>
        </w:rPr>
        <w:tab/>
      </w:r>
      <w:r w:rsidR="002B7B40" w:rsidRPr="002B7B40">
        <w:rPr>
          <w:sz w:val="28"/>
          <w:szCs w:val="28"/>
        </w:rPr>
        <w:tab/>
      </w:r>
      <w:r w:rsidR="002B7B40">
        <w:rPr>
          <w:sz w:val="28"/>
          <w:szCs w:val="28"/>
        </w:rPr>
        <w:t>REBECCA BOND</w:t>
      </w:r>
    </w:p>
    <w:p w:rsidR="002B7B40" w:rsidRPr="002B7B40" w:rsidRDefault="002B7B40" w:rsidP="002B7B40">
      <w:pPr>
        <w:spacing w:after="0" w:line="240" w:lineRule="auto"/>
        <w:rPr>
          <w:sz w:val="28"/>
          <w:szCs w:val="28"/>
        </w:rPr>
      </w:pPr>
      <w:r w:rsidRPr="002B7B40">
        <w:rPr>
          <w:sz w:val="28"/>
          <w:szCs w:val="28"/>
        </w:rPr>
        <w:t>Assistant United States Attorney</w:t>
      </w:r>
      <w:r w:rsidRPr="002B7B40">
        <w:rPr>
          <w:sz w:val="28"/>
          <w:szCs w:val="28"/>
        </w:rPr>
        <w:tab/>
        <w:t>Chief</w:t>
      </w:r>
    </w:p>
    <w:p w:rsidR="00D204E3" w:rsidRDefault="006E4440" w:rsidP="002B7B40">
      <w:pPr>
        <w:spacing w:after="0" w:line="240" w:lineRule="auto"/>
        <w:rPr>
          <w:sz w:val="28"/>
          <w:szCs w:val="28"/>
        </w:rPr>
      </w:pPr>
      <w:r>
        <w:rPr>
          <w:sz w:val="28"/>
          <w:szCs w:val="28"/>
        </w:rPr>
        <w:t>G</w:t>
      </w:r>
      <w:r w:rsidR="00D204E3">
        <w:rPr>
          <w:sz w:val="28"/>
          <w:szCs w:val="28"/>
        </w:rPr>
        <w:t xml:space="preserve">A Bar No. </w:t>
      </w:r>
      <w:r>
        <w:rPr>
          <w:sz w:val="28"/>
          <w:szCs w:val="28"/>
        </w:rPr>
        <w:t>22747</w:t>
      </w:r>
      <w:r w:rsidR="00D204E3">
        <w:rPr>
          <w:sz w:val="28"/>
          <w:szCs w:val="28"/>
        </w:rPr>
        <w:t>5</w:t>
      </w:r>
      <w:r w:rsidR="002B7B40" w:rsidRPr="002B7B40">
        <w:rPr>
          <w:sz w:val="28"/>
          <w:szCs w:val="28"/>
        </w:rPr>
        <w:tab/>
      </w:r>
      <w:r w:rsidR="00D204E3">
        <w:rPr>
          <w:sz w:val="28"/>
          <w:szCs w:val="28"/>
        </w:rPr>
        <w:tab/>
      </w:r>
      <w:r w:rsidR="002B7B40" w:rsidRPr="002B7B40">
        <w:rPr>
          <w:sz w:val="28"/>
          <w:szCs w:val="28"/>
        </w:rPr>
        <w:tab/>
        <w:t xml:space="preserve">SHEILA S. FORAN </w:t>
      </w:r>
      <w:r w:rsidR="002B7B40" w:rsidRPr="002B7B40">
        <w:rPr>
          <w:sz w:val="28"/>
          <w:szCs w:val="28"/>
        </w:rPr>
        <w:tab/>
      </w:r>
      <w:r w:rsidR="002B7B40" w:rsidRPr="002B7B40">
        <w:rPr>
          <w:sz w:val="28"/>
          <w:szCs w:val="28"/>
        </w:rPr>
        <w:tab/>
      </w:r>
      <w:r w:rsidR="00D204E3">
        <w:rPr>
          <w:sz w:val="28"/>
          <w:szCs w:val="28"/>
        </w:rPr>
        <w:tab/>
      </w:r>
    </w:p>
    <w:p w:rsidR="002B7B40" w:rsidRDefault="00D204E3" w:rsidP="002B7B40">
      <w:pPr>
        <w:spacing w:after="0" w:line="240" w:lineRule="auto"/>
        <w:rPr>
          <w:sz w:val="28"/>
          <w:szCs w:val="28"/>
        </w:rPr>
      </w:pPr>
      <w:r>
        <w:rPr>
          <w:sz w:val="28"/>
          <w:szCs w:val="28"/>
        </w:rPr>
        <w:t>Northern District of Georgia</w:t>
      </w:r>
      <w:r>
        <w:rPr>
          <w:sz w:val="28"/>
          <w:szCs w:val="28"/>
        </w:rPr>
        <w:tab/>
      </w:r>
      <w:r w:rsidR="002B7B40" w:rsidRPr="002B7B40">
        <w:rPr>
          <w:sz w:val="28"/>
          <w:szCs w:val="28"/>
        </w:rPr>
        <w:tab/>
        <w:t>Special Legal Counsel</w:t>
      </w:r>
    </w:p>
    <w:p w:rsidR="002B7B40" w:rsidRPr="002B7B40" w:rsidRDefault="00D204E3" w:rsidP="002B7B40">
      <w:pPr>
        <w:spacing w:after="0" w:line="240" w:lineRule="auto"/>
        <w:rPr>
          <w:sz w:val="28"/>
          <w:szCs w:val="28"/>
        </w:rPr>
      </w:pPr>
      <w:r>
        <w:rPr>
          <w:sz w:val="28"/>
          <w:szCs w:val="28"/>
        </w:rPr>
        <w:t>600 United States Courthouse</w:t>
      </w:r>
      <w:r w:rsidR="002B7B40" w:rsidRPr="002B7B40">
        <w:rPr>
          <w:sz w:val="28"/>
          <w:szCs w:val="28"/>
        </w:rPr>
        <w:tab/>
      </w:r>
      <w:r w:rsidR="002B7B40" w:rsidRPr="002B7B40">
        <w:rPr>
          <w:sz w:val="28"/>
          <w:szCs w:val="28"/>
        </w:rPr>
        <w:tab/>
        <w:t>ANNE S. RAISH</w:t>
      </w:r>
    </w:p>
    <w:p w:rsidR="002B7B40" w:rsidRPr="002B7B40" w:rsidRDefault="00D204E3" w:rsidP="002B7B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8"/>
          <w:szCs w:val="28"/>
        </w:rPr>
      </w:pPr>
      <w:r>
        <w:rPr>
          <w:sz w:val="28"/>
          <w:szCs w:val="28"/>
        </w:rPr>
        <w:t>75 Spring Street, SW</w:t>
      </w:r>
      <w:r w:rsidR="006E4440">
        <w:rPr>
          <w:sz w:val="28"/>
          <w:szCs w:val="28"/>
        </w:rPr>
        <w:tab/>
      </w:r>
      <w:r w:rsidR="002B7B40" w:rsidRPr="002B7B40">
        <w:rPr>
          <w:sz w:val="28"/>
          <w:szCs w:val="28"/>
        </w:rPr>
        <w:tab/>
      </w:r>
      <w:r w:rsidR="002B7B40" w:rsidRPr="002B7B40">
        <w:rPr>
          <w:sz w:val="28"/>
          <w:szCs w:val="28"/>
        </w:rPr>
        <w:tab/>
        <w:t>Deputy Chief</w:t>
      </w:r>
    </w:p>
    <w:p w:rsidR="002B7B40" w:rsidRPr="002B7B40" w:rsidRDefault="00D204E3" w:rsidP="00D204E3">
      <w:pPr>
        <w:spacing w:after="0" w:line="240" w:lineRule="auto"/>
        <w:contextualSpacing/>
        <w:rPr>
          <w:sz w:val="28"/>
          <w:szCs w:val="28"/>
        </w:rPr>
      </w:pPr>
      <w:r>
        <w:rPr>
          <w:sz w:val="28"/>
          <w:szCs w:val="28"/>
        </w:rPr>
        <w:t>Atlanta, GA  30303</w:t>
      </w:r>
      <w:r w:rsidR="006E4440">
        <w:rPr>
          <w:sz w:val="28"/>
          <w:szCs w:val="28"/>
        </w:rPr>
        <w:tab/>
      </w:r>
      <w:r w:rsidR="006E4440">
        <w:rPr>
          <w:sz w:val="28"/>
          <w:szCs w:val="28"/>
        </w:rPr>
        <w:tab/>
      </w:r>
      <w:r w:rsidR="002B7B40" w:rsidRPr="002B7B40">
        <w:rPr>
          <w:sz w:val="28"/>
          <w:szCs w:val="28"/>
        </w:rPr>
        <w:tab/>
      </w:r>
      <w:r w:rsidR="00DF1D68" w:rsidRPr="002B7B40">
        <w:rPr>
          <w:sz w:val="28"/>
          <w:szCs w:val="28"/>
        </w:rPr>
        <w:t>Disability Rights Section</w:t>
      </w:r>
      <w:r w:rsidR="00DF1D68" w:rsidRPr="002B7B40">
        <w:rPr>
          <w:sz w:val="28"/>
          <w:szCs w:val="28"/>
        </w:rPr>
        <w:tab/>
      </w:r>
    </w:p>
    <w:p w:rsidR="002B7B40" w:rsidRPr="002B7B40" w:rsidRDefault="00D204E3" w:rsidP="002B7B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8"/>
          <w:szCs w:val="28"/>
        </w:rPr>
      </w:pPr>
      <w:r>
        <w:rPr>
          <w:sz w:val="28"/>
          <w:szCs w:val="28"/>
        </w:rPr>
        <w:t>Telephone:  (404) 581-6302</w:t>
      </w:r>
      <w:r>
        <w:rPr>
          <w:sz w:val="28"/>
          <w:szCs w:val="28"/>
        </w:rPr>
        <w:tab/>
      </w:r>
      <w:r>
        <w:rPr>
          <w:sz w:val="28"/>
          <w:szCs w:val="28"/>
        </w:rPr>
        <w:tab/>
      </w:r>
      <w:r w:rsidR="00DF1D68">
        <w:rPr>
          <w:sz w:val="28"/>
          <w:szCs w:val="28"/>
        </w:rPr>
        <w:t>VINCENT HERMAN</w:t>
      </w:r>
    </w:p>
    <w:p w:rsidR="002B7B40" w:rsidRPr="002B7B40" w:rsidRDefault="00D204E3" w:rsidP="002B7B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920" w:hanging="7920"/>
        <w:rPr>
          <w:sz w:val="28"/>
          <w:szCs w:val="28"/>
        </w:rPr>
      </w:pPr>
      <w:r>
        <w:rPr>
          <w:sz w:val="28"/>
          <w:szCs w:val="28"/>
        </w:rPr>
        <w:t>Fax:  (404) 581-6163</w:t>
      </w:r>
      <w:r w:rsidR="002B7B40" w:rsidRPr="002B7B40">
        <w:rPr>
          <w:sz w:val="28"/>
          <w:szCs w:val="28"/>
        </w:rPr>
        <w:tab/>
      </w:r>
      <w:r w:rsidR="002B7B40" w:rsidRPr="002B7B40">
        <w:rPr>
          <w:sz w:val="28"/>
          <w:szCs w:val="28"/>
        </w:rPr>
        <w:tab/>
      </w:r>
      <w:r w:rsidR="002B7B40" w:rsidRPr="002B7B40">
        <w:rPr>
          <w:sz w:val="28"/>
          <w:szCs w:val="28"/>
        </w:rPr>
        <w:tab/>
      </w:r>
      <w:r w:rsidR="00DF1D68">
        <w:rPr>
          <w:sz w:val="28"/>
          <w:szCs w:val="28"/>
        </w:rPr>
        <w:t>Trial Attorney</w:t>
      </w:r>
      <w:r w:rsidR="002B7B40" w:rsidRPr="002B7B40">
        <w:rPr>
          <w:sz w:val="28"/>
          <w:szCs w:val="28"/>
        </w:rPr>
        <w:tab/>
      </w:r>
      <w:r w:rsidR="002B7B40" w:rsidRPr="002B7B40">
        <w:rPr>
          <w:sz w:val="28"/>
          <w:szCs w:val="28"/>
        </w:rPr>
        <w:tab/>
      </w:r>
    </w:p>
    <w:p w:rsidR="00DF1D68" w:rsidRDefault="002B7B40" w:rsidP="002B7B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8"/>
          <w:szCs w:val="28"/>
        </w:rPr>
      </w:pPr>
      <w:r w:rsidRPr="002B7B40">
        <w:rPr>
          <w:sz w:val="28"/>
          <w:szCs w:val="28"/>
        </w:rPr>
        <w:tab/>
      </w:r>
      <w:r w:rsidRPr="002B7B40">
        <w:rPr>
          <w:sz w:val="28"/>
          <w:szCs w:val="28"/>
        </w:rPr>
        <w:tab/>
      </w:r>
      <w:r w:rsidRPr="002B7B40">
        <w:rPr>
          <w:sz w:val="28"/>
          <w:szCs w:val="28"/>
        </w:rPr>
        <w:tab/>
      </w:r>
      <w:r w:rsidRPr="002B7B40">
        <w:rPr>
          <w:sz w:val="28"/>
          <w:szCs w:val="28"/>
        </w:rPr>
        <w:tab/>
      </w:r>
      <w:r w:rsidRPr="002B7B40">
        <w:rPr>
          <w:sz w:val="28"/>
          <w:szCs w:val="28"/>
        </w:rPr>
        <w:tab/>
      </w:r>
      <w:r w:rsidRPr="002B7B40">
        <w:rPr>
          <w:sz w:val="28"/>
          <w:szCs w:val="28"/>
        </w:rPr>
        <w:tab/>
      </w:r>
      <w:r w:rsidR="00DF1D68">
        <w:rPr>
          <w:sz w:val="28"/>
          <w:szCs w:val="28"/>
        </w:rPr>
        <w:t>Special Litigation Section</w:t>
      </w:r>
    </w:p>
    <w:p w:rsidR="002B7B40" w:rsidRPr="002B7B40" w:rsidRDefault="00DF1D68" w:rsidP="002B7B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2B7B40" w:rsidRPr="002B7B40">
        <w:rPr>
          <w:sz w:val="28"/>
          <w:szCs w:val="28"/>
        </w:rPr>
        <w:t>Civil Rights Division</w:t>
      </w:r>
      <w:r w:rsidR="002B7B40" w:rsidRPr="002B7B40">
        <w:rPr>
          <w:sz w:val="28"/>
          <w:szCs w:val="28"/>
        </w:rPr>
        <w:tab/>
        <w:t xml:space="preserve">          </w:t>
      </w:r>
      <w:r w:rsidR="002B7B40" w:rsidRPr="002B7B40">
        <w:rPr>
          <w:sz w:val="28"/>
          <w:szCs w:val="28"/>
        </w:rPr>
        <w:tab/>
      </w:r>
      <w:r w:rsidR="002B7B40" w:rsidRPr="002B7B40">
        <w:rPr>
          <w:sz w:val="28"/>
          <w:szCs w:val="28"/>
        </w:rPr>
        <w:tab/>
      </w:r>
      <w:r w:rsidR="002B7B40" w:rsidRPr="002B7B40">
        <w:rPr>
          <w:sz w:val="28"/>
          <w:szCs w:val="28"/>
        </w:rPr>
        <w:tab/>
      </w:r>
      <w:r w:rsidR="002B7B40" w:rsidRPr="002B7B40">
        <w:rPr>
          <w:sz w:val="28"/>
          <w:szCs w:val="28"/>
        </w:rPr>
        <w:tab/>
      </w:r>
    </w:p>
    <w:p w:rsidR="002B7B40" w:rsidRPr="002B7B40" w:rsidRDefault="002B7B40" w:rsidP="002B7B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3600" w:hanging="3600"/>
        <w:rPr>
          <w:sz w:val="28"/>
          <w:szCs w:val="28"/>
        </w:rPr>
      </w:pPr>
      <w:r w:rsidRPr="002B7B40">
        <w:rPr>
          <w:sz w:val="28"/>
          <w:szCs w:val="28"/>
        </w:rPr>
        <w:tab/>
      </w:r>
      <w:r w:rsidRPr="002B7B40">
        <w:rPr>
          <w:sz w:val="28"/>
          <w:szCs w:val="28"/>
        </w:rPr>
        <w:tab/>
      </w:r>
      <w:r w:rsidRPr="002B7B40">
        <w:rPr>
          <w:sz w:val="28"/>
          <w:szCs w:val="28"/>
        </w:rPr>
        <w:tab/>
      </w:r>
      <w:r w:rsidRPr="002B7B40">
        <w:rPr>
          <w:sz w:val="28"/>
          <w:szCs w:val="28"/>
        </w:rPr>
        <w:tab/>
      </w:r>
      <w:r w:rsidRPr="002B7B40">
        <w:rPr>
          <w:sz w:val="28"/>
          <w:szCs w:val="28"/>
        </w:rPr>
        <w:tab/>
      </w:r>
      <w:r w:rsidRPr="002B7B40">
        <w:rPr>
          <w:sz w:val="28"/>
          <w:szCs w:val="28"/>
        </w:rPr>
        <w:tab/>
        <w:t>U.S. Department of Justice</w:t>
      </w:r>
      <w:r w:rsidRPr="002B7B40">
        <w:rPr>
          <w:sz w:val="28"/>
          <w:szCs w:val="28"/>
        </w:rPr>
        <w:tab/>
      </w:r>
      <w:r w:rsidRPr="002B7B40">
        <w:rPr>
          <w:sz w:val="28"/>
          <w:szCs w:val="28"/>
        </w:rPr>
        <w:tab/>
      </w:r>
      <w:r w:rsidRPr="002B7B40">
        <w:rPr>
          <w:sz w:val="28"/>
          <w:szCs w:val="28"/>
        </w:rPr>
        <w:tab/>
        <w:t xml:space="preserve">          </w:t>
      </w:r>
    </w:p>
    <w:p w:rsidR="002B7B40" w:rsidRPr="002B7B40" w:rsidRDefault="002B7B40" w:rsidP="002B7B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2880" w:hanging="2880"/>
        <w:rPr>
          <w:sz w:val="28"/>
          <w:szCs w:val="28"/>
        </w:rPr>
      </w:pPr>
      <w:r w:rsidRPr="002B7B40">
        <w:rPr>
          <w:sz w:val="28"/>
          <w:szCs w:val="28"/>
        </w:rPr>
        <w:tab/>
      </w:r>
      <w:r w:rsidRPr="002B7B40">
        <w:rPr>
          <w:sz w:val="28"/>
          <w:szCs w:val="28"/>
        </w:rPr>
        <w:tab/>
      </w:r>
      <w:r w:rsidRPr="002B7B40">
        <w:rPr>
          <w:sz w:val="28"/>
          <w:szCs w:val="28"/>
        </w:rPr>
        <w:tab/>
      </w:r>
      <w:r w:rsidRPr="002B7B40">
        <w:rPr>
          <w:sz w:val="28"/>
          <w:szCs w:val="28"/>
        </w:rPr>
        <w:tab/>
      </w:r>
      <w:r w:rsidRPr="002B7B40">
        <w:rPr>
          <w:sz w:val="28"/>
          <w:szCs w:val="28"/>
        </w:rPr>
        <w:tab/>
      </w:r>
      <w:r w:rsidRPr="002B7B40">
        <w:rPr>
          <w:sz w:val="28"/>
          <w:szCs w:val="28"/>
        </w:rPr>
        <w:tab/>
        <w:t xml:space="preserve">950 Pennsylvania Avenue, N.W. - </w:t>
      </w:r>
      <w:r w:rsidR="00D204E3">
        <w:rPr>
          <w:sz w:val="28"/>
          <w:szCs w:val="28"/>
        </w:rPr>
        <w:t>PHB</w:t>
      </w:r>
    </w:p>
    <w:p w:rsidR="002B7B40" w:rsidRPr="002B7B40" w:rsidRDefault="002B7B40" w:rsidP="002B7B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sz w:val="28"/>
          <w:szCs w:val="28"/>
        </w:rPr>
      </w:pPr>
      <w:r w:rsidRPr="002B7B40">
        <w:rPr>
          <w:sz w:val="28"/>
          <w:szCs w:val="28"/>
        </w:rPr>
        <w:tab/>
      </w:r>
      <w:r w:rsidRPr="002B7B40">
        <w:rPr>
          <w:sz w:val="28"/>
          <w:szCs w:val="28"/>
        </w:rPr>
        <w:tab/>
      </w:r>
      <w:r w:rsidRPr="002B7B40">
        <w:rPr>
          <w:sz w:val="28"/>
          <w:szCs w:val="28"/>
        </w:rPr>
        <w:tab/>
      </w:r>
      <w:r w:rsidRPr="002B7B40">
        <w:rPr>
          <w:sz w:val="28"/>
          <w:szCs w:val="28"/>
        </w:rPr>
        <w:tab/>
      </w:r>
      <w:r w:rsidRPr="002B7B40">
        <w:rPr>
          <w:sz w:val="28"/>
          <w:szCs w:val="28"/>
        </w:rPr>
        <w:tab/>
      </w:r>
      <w:r w:rsidRPr="002B7B40">
        <w:rPr>
          <w:sz w:val="28"/>
          <w:szCs w:val="28"/>
        </w:rPr>
        <w:tab/>
        <w:t>Washington, D.C. 20530</w:t>
      </w:r>
    </w:p>
    <w:p w:rsidR="002B7B40" w:rsidRPr="002B7B40" w:rsidRDefault="00D204E3" w:rsidP="002B7B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5040" w:hanging="504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Telephone:</w:t>
      </w:r>
      <w:r>
        <w:rPr>
          <w:sz w:val="28"/>
          <w:szCs w:val="28"/>
        </w:rPr>
        <w:tab/>
        <w:t>(202) 305-3318</w:t>
      </w:r>
    </w:p>
    <w:p w:rsidR="002B7B40" w:rsidRPr="002B7B40" w:rsidRDefault="00D204E3" w:rsidP="002B7B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5040" w:hanging="5040"/>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Facsimile:</w:t>
      </w:r>
      <w:r>
        <w:rPr>
          <w:sz w:val="28"/>
          <w:szCs w:val="28"/>
        </w:rPr>
        <w:tab/>
        <w:t>(202) 514-0212</w:t>
      </w:r>
    </w:p>
    <w:p w:rsidR="00D204E3" w:rsidRDefault="002B7B40" w:rsidP="00D20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5040" w:hanging="5040"/>
        <w:rPr>
          <w:sz w:val="28"/>
          <w:szCs w:val="28"/>
          <w:lang w:val="en-CA"/>
        </w:rPr>
      </w:pPr>
      <w:r w:rsidRPr="00D204E3">
        <w:rPr>
          <w:sz w:val="28"/>
          <w:szCs w:val="28"/>
        </w:rPr>
        <w:tab/>
      </w:r>
      <w:r w:rsidRPr="00D204E3">
        <w:rPr>
          <w:sz w:val="28"/>
          <w:szCs w:val="28"/>
        </w:rPr>
        <w:tab/>
      </w:r>
      <w:r w:rsidRPr="00D204E3">
        <w:rPr>
          <w:sz w:val="28"/>
          <w:szCs w:val="28"/>
        </w:rPr>
        <w:tab/>
      </w:r>
      <w:r w:rsidRPr="00D204E3">
        <w:rPr>
          <w:sz w:val="28"/>
          <w:szCs w:val="28"/>
        </w:rPr>
        <w:tab/>
      </w:r>
      <w:r w:rsidRPr="00D204E3">
        <w:rPr>
          <w:sz w:val="28"/>
          <w:szCs w:val="28"/>
        </w:rPr>
        <w:tab/>
      </w:r>
      <w:r w:rsidRPr="00D204E3">
        <w:rPr>
          <w:sz w:val="28"/>
          <w:szCs w:val="28"/>
        </w:rPr>
        <w:tab/>
      </w:r>
      <w:hyperlink r:id="rId8" w:history="1">
        <w:r w:rsidR="00D204E3" w:rsidRPr="00D204E3">
          <w:rPr>
            <w:rStyle w:val="Hyperlink"/>
            <w:color w:val="auto"/>
            <w:sz w:val="28"/>
            <w:szCs w:val="28"/>
            <w:u w:val="none"/>
            <w:lang w:val="en-CA"/>
          </w:rPr>
          <w:t>Vincent.Herman@usdoj.gov</w:t>
        </w:r>
      </w:hyperlink>
      <w:r w:rsidR="00D204E3" w:rsidRPr="00D204E3">
        <w:rPr>
          <w:sz w:val="28"/>
          <w:szCs w:val="28"/>
          <w:lang w:val="en-CA"/>
        </w:rPr>
        <w:t xml:space="preserve"> </w:t>
      </w:r>
    </w:p>
    <w:p w:rsidR="00D204E3" w:rsidRDefault="00D204E3" w:rsidP="00D20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5040" w:hanging="5040"/>
        <w:rPr>
          <w:sz w:val="28"/>
          <w:szCs w:val="28"/>
          <w:lang w:val="en-CA"/>
        </w:rPr>
      </w:pPr>
    </w:p>
    <w:p w:rsidR="00D204E3" w:rsidRDefault="00D204E3" w:rsidP="00D20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5040" w:hanging="5040"/>
        <w:rPr>
          <w:sz w:val="28"/>
          <w:szCs w:val="28"/>
          <w:lang w:val="en-CA"/>
        </w:rPr>
      </w:pPr>
    </w:p>
    <w:p w:rsidR="00D204E3" w:rsidRPr="00D204E3" w:rsidRDefault="00D204E3" w:rsidP="00D204E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5040" w:hanging="5040"/>
        <w:rPr>
          <w:sz w:val="28"/>
          <w:szCs w:val="28"/>
          <w:lang w:val="en-CA"/>
        </w:rPr>
      </w:pPr>
      <w:r>
        <w:rPr>
          <w:sz w:val="28"/>
          <w:szCs w:val="28"/>
          <w:lang w:val="en-CA"/>
        </w:rPr>
        <w:t>Counsel for the United States</w:t>
      </w:r>
    </w:p>
    <w:p w:rsidR="00211CB4" w:rsidRDefault="00FE0A85" w:rsidP="002B7B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line="480" w:lineRule="auto"/>
        <w:rPr>
          <w:sz w:val="28"/>
          <w:szCs w:val="28"/>
        </w:rPr>
      </w:pPr>
      <w:r>
        <w:rPr>
          <w:sz w:val="28"/>
          <w:szCs w:val="28"/>
        </w:rPr>
        <w:tab/>
      </w:r>
      <w:r>
        <w:rPr>
          <w:sz w:val="28"/>
          <w:szCs w:val="28"/>
        </w:rPr>
        <w:tab/>
      </w:r>
      <w:r>
        <w:rPr>
          <w:sz w:val="28"/>
          <w:szCs w:val="28"/>
        </w:rPr>
        <w:tab/>
      </w:r>
      <w:r>
        <w:rPr>
          <w:sz w:val="28"/>
          <w:szCs w:val="28"/>
        </w:rPr>
        <w:tab/>
      </w:r>
      <w:r>
        <w:rPr>
          <w:sz w:val="28"/>
          <w:szCs w:val="28"/>
        </w:rPr>
        <w:tab/>
      </w:r>
    </w:p>
    <w:p w:rsidR="00211CB4" w:rsidRDefault="00211CB4">
      <w:pPr>
        <w:spacing w:after="0" w:line="240" w:lineRule="auto"/>
        <w:rPr>
          <w:sz w:val="28"/>
          <w:szCs w:val="28"/>
        </w:rPr>
      </w:pPr>
      <w:r>
        <w:rPr>
          <w:sz w:val="28"/>
          <w:szCs w:val="28"/>
        </w:rPr>
        <w:br w:type="page"/>
      </w:r>
    </w:p>
    <w:p w:rsidR="00872F12" w:rsidRDefault="00872F12" w:rsidP="00872F12">
      <w:pPr>
        <w:spacing w:line="480" w:lineRule="auto"/>
        <w:ind w:left="360"/>
        <w:jc w:val="center"/>
        <w:rPr>
          <w:b/>
          <w:sz w:val="28"/>
          <w:szCs w:val="28"/>
          <w:u w:val="single"/>
        </w:rPr>
      </w:pPr>
      <w:r w:rsidRPr="00D21BEE">
        <w:rPr>
          <w:b/>
          <w:sz w:val="28"/>
          <w:szCs w:val="28"/>
          <w:u w:val="single"/>
        </w:rPr>
        <w:t>CERTIFICATE OF COMPLIANCE</w:t>
      </w:r>
    </w:p>
    <w:p w:rsidR="00FE0A85" w:rsidRDefault="00FE0A85" w:rsidP="005908CE">
      <w:pPr>
        <w:spacing w:line="240" w:lineRule="auto"/>
        <w:ind w:left="360"/>
        <w:rPr>
          <w:sz w:val="28"/>
          <w:szCs w:val="28"/>
        </w:rPr>
      </w:pPr>
      <w:r>
        <w:rPr>
          <w:sz w:val="28"/>
          <w:szCs w:val="28"/>
        </w:rPr>
        <w:t>The undersigned counsel certifies that the foregoing has been prepar</w:t>
      </w:r>
      <w:r w:rsidR="00D204E3">
        <w:rPr>
          <w:sz w:val="28"/>
          <w:szCs w:val="28"/>
        </w:rPr>
        <w:t>ed in Times New Roman 14 point</w:t>
      </w:r>
      <w:r>
        <w:rPr>
          <w:sz w:val="28"/>
          <w:szCs w:val="28"/>
        </w:rPr>
        <w:t xml:space="preserve"> font, </w:t>
      </w:r>
      <w:r w:rsidR="00D204E3">
        <w:rPr>
          <w:sz w:val="28"/>
          <w:szCs w:val="28"/>
        </w:rPr>
        <w:t xml:space="preserve">in compliance with </w:t>
      </w:r>
      <w:r>
        <w:rPr>
          <w:sz w:val="28"/>
          <w:szCs w:val="28"/>
        </w:rPr>
        <w:t>L.R. 5.1.B.</w:t>
      </w:r>
    </w:p>
    <w:p w:rsidR="00FE0A85" w:rsidRDefault="00FE0A85" w:rsidP="00FE0A85">
      <w:pPr>
        <w:spacing w:after="0" w:line="240" w:lineRule="auto"/>
        <w:ind w:left="360"/>
        <w:rPr>
          <w:sz w:val="28"/>
          <w:szCs w:val="28"/>
        </w:rPr>
      </w:pPr>
    </w:p>
    <w:p w:rsidR="00FE0A85" w:rsidRDefault="00FE0A85" w:rsidP="00FE0A85">
      <w:pPr>
        <w:spacing w:after="0" w:line="240" w:lineRule="auto"/>
        <w:ind w:left="360"/>
        <w:rPr>
          <w:sz w:val="28"/>
          <w:szCs w:val="28"/>
          <w:u w:val="single"/>
        </w:rPr>
      </w:pPr>
      <w:r w:rsidRPr="00FE0A85">
        <w:rPr>
          <w:sz w:val="28"/>
          <w:szCs w:val="28"/>
          <w:u w:val="single"/>
        </w:rPr>
        <w:t>/s</w:t>
      </w:r>
      <w:proofErr w:type="gramStart"/>
      <w:r w:rsidRPr="00FE0A85">
        <w:rPr>
          <w:sz w:val="28"/>
          <w:szCs w:val="28"/>
          <w:u w:val="single"/>
        </w:rPr>
        <w:t xml:space="preserve">/ </w:t>
      </w:r>
      <w:r w:rsidR="00D204E3">
        <w:rPr>
          <w:sz w:val="28"/>
          <w:szCs w:val="28"/>
          <w:u w:val="single"/>
        </w:rPr>
        <w:t xml:space="preserve"> </w:t>
      </w:r>
      <w:r w:rsidR="00D204E3">
        <w:rPr>
          <w:i/>
          <w:sz w:val="28"/>
          <w:szCs w:val="28"/>
          <w:u w:val="single"/>
        </w:rPr>
        <w:t>Sharon</w:t>
      </w:r>
      <w:proofErr w:type="gramEnd"/>
      <w:r w:rsidR="00D204E3">
        <w:rPr>
          <w:i/>
          <w:sz w:val="28"/>
          <w:szCs w:val="28"/>
          <w:u w:val="single"/>
        </w:rPr>
        <w:t xml:space="preserve"> D. Stokes</w:t>
      </w:r>
      <w:r w:rsidRPr="00FE0A85">
        <w:rPr>
          <w:sz w:val="28"/>
          <w:szCs w:val="28"/>
          <w:u w:val="single"/>
        </w:rPr>
        <w:tab/>
      </w:r>
    </w:p>
    <w:p w:rsidR="00FE0A85" w:rsidRDefault="00D204E3" w:rsidP="00FE0A85">
      <w:pPr>
        <w:spacing w:after="0" w:line="240" w:lineRule="auto"/>
        <w:ind w:left="360"/>
        <w:rPr>
          <w:sz w:val="28"/>
          <w:szCs w:val="28"/>
        </w:rPr>
      </w:pPr>
      <w:r>
        <w:rPr>
          <w:sz w:val="28"/>
          <w:szCs w:val="28"/>
        </w:rPr>
        <w:t>SHARON D. STOKES</w:t>
      </w:r>
    </w:p>
    <w:p w:rsidR="00D204E3" w:rsidRPr="002B7B40" w:rsidRDefault="00D204E3" w:rsidP="00D204E3">
      <w:pPr>
        <w:spacing w:after="0" w:line="240" w:lineRule="auto"/>
        <w:ind w:firstLine="360"/>
        <w:rPr>
          <w:sz w:val="28"/>
          <w:szCs w:val="28"/>
        </w:rPr>
      </w:pPr>
      <w:r w:rsidRPr="002B7B40">
        <w:rPr>
          <w:sz w:val="28"/>
          <w:szCs w:val="28"/>
        </w:rPr>
        <w:t>Assistant United States Attorney</w:t>
      </w:r>
      <w:r w:rsidRPr="002B7B40">
        <w:rPr>
          <w:sz w:val="28"/>
          <w:szCs w:val="28"/>
        </w:rPr>
        <w:tab/>
      </w:r>
    </w:p>
    <w:p w:rsidR="00D204E3" w:rsidRDefault="00D204E3" w:rsidP="00D204E3">
      <w:pPr>
        <w:spacing w:after="0" w:line="240" w:lineRule="auto"/>
        <w:ind w:left="360"/>
        <w:rPr>
          <w:sz w:val="28"/>
          <w:szCs w:val="28"/>
        </w:rPr>
      </w:pPr>
      <w:r>
        <w:rPr>
          <w:sz w:val="28"/>
          <w:szCs w:val="28"/>
        </w:rPr>
        <w:t>GA Bar No. 227475</w:t>
      </w:r>
    </w:p>
    <w:p w:rsidR="00D204E3" w:rsidRDefault="00D204E3" w:rsidP="00D204E3">
      <w:pPr>
        <w:spacing w:after="0" w:line="240" w:lineRule="auto"/>
        <w:ind w:left="360"/>
        <w:rPr>
          <w:sz w:val="28"/>
          <w:szCs w:val="28"/>
        </w:rPr>
      </w:pPr>
    </w:p>
    <w:p w:rsidR="00D204E3" w:rsidRDefault="00D204E3">
      <w:pPr>
        <w:spacing w:after="0" w:line="240" w:lineRule="auto"/>
        <w:rPr>
          <w:sz w:val="28"/>
          <w:szCs w:val="28"/>
        </w:rPr>
      </w:pPr>
      <w:r>
        <w:rPr>
          <w:sz w:val="28"/>
          <w:szCs w:val="28"/>
        </w:rPr>
        <w:br w:type="page"/>
      </w:r>
    </w:p>
    <w:p w:rsidR="00D204E3" w:rsidRDefault="00D204E3" w:rsidP="00D204E3">
      <w:pPr>
        <w:autoSpaceDE w:val="0"/>
        <w:autoSpaceDN w:val="0"/>
        <w:adjustRightInd w:val="0"/>
        <w:spacing w:after="0" w:line="240" w:lineRule="auto"/>
        <w:jc w:val="center"/>
        <w:rPr>
          <w:b/>
          <w:bCs/>
          <w:sz w:val="28"/>
          <w:szCs w:val="28"/>
        </w:rPr>
      </w:pPr>
      <w:r>
        <w:rPr>
          <w:b/>
          <w:bCs/>
          <w:sz w:val="28"/>
          <w:szCs w:val="28"/>
        </w:rPr>
        <w:t>CERTIFICATE OF SERVICE</w:t>
      </w:r>
    </w:p>
    <w:p w:rsidR="00D204E3" w:rsidRDefault="00D204E3" w:rsidP="00D204E3">
      <w:pPr>
        <w:autoSpaceDE w:val="0"/>
        <w:autoSpaceDN w:val="0"/>
        <w:adjustRightInd w:val="0"/>
        <w:spacing w:after="0" w:line="240" w:lineRule="auto"/>
        <w:rPr>
          <w:sz w:val="28"/>
          <w:szCs w:val="28"/>
        </w:rPr>
      </w:pPr>
    </w:p>
    <w:p w:rsidR="00D204E3" w:rsidRDefault="00D204E3" w:rsidP="00D204E3">
      <w:pPr>
        <w:autoSpaceDE w:val="0"/>
        <w:autoSpaceDN w:val="0"/>
        <w:adjustRightInd w:val="0"/>
        <w:spacing w:after="0" w:line="240" w:lineRule="auto"/>
        <w:rPr>
          <w:sz w:val="28"/>
          <w:szCs w:val="28"/>
        </w:rPr>
      </w:pPr>
      <w:r>
        <w:rPr>
          <w:sz w:val="28"/>
          <w:szCs w:val="28"/>
        </w:rPr>
        <w:t>This is to certify that I have on this day electronically filed the foregoing</w:t>
      </w:r>
    </w:p>
    <w:p w:rsidR="00D204E3" w:rsidRDefault="00D204E3" w:rsidP="00D204E3">
      <w:pPr>
        <w:autoSpaceDE w:val="0"/>
        <w:autoSpaceDN w:val="0"/>
        <w:adjustRightInd w:val="0"/>
        <w:spacing w:after="0" w:line="240" w:lineRule="auto"/>
        <w:rPr>
          <w:sz w:val="28"/>
          <w:szCs w:val="28"/>
        </w:rPr>
      </w:pPr>
      <w:r>
        <w:rPr>
          <w:sz w:val="28"/>
          <w:szCs w:val="28"/>
        </w:rPr>
        <w:t>STATEMENT OF INTEREST OF THE UNITED STATES with the Clerk of</w:t>
      </w:r>
    </w:p>
    <w:p w:rsidR="00D204E3" w:rsidRDefault="00D204E3" w:rsidP="00D204E3">
      <w:pPr>
        <w:autoSpaceDE w:val="0"/>
        <w:autoSpaceDN w:val="0"/>
        <w:adjustRightInd w:val="0"/>
        <w:spacing w:after="0" w:line="240" w:lineRule="auto"/>
        <w:rPr>
          <w:sz w:val="28"/>
          <w:szCs w:val="28"/>
        </w:rPr>
      </w:pPr>
      <w:r>
        <w:rPr>
          <w:sz w:val="28"/>
          <w:szCs w:val="28"/>
        </w:rPr>
        <w:t>Court using the CM/ECF system, which will send notification of such filing to</w:t>
      </w:r>
    </w:p>
    <w:p w:rsidR="00D204E3" w:rsidRDefault="00D204E3" w:rsidP="00D204E3">
      <w:pPr>
        <w:autoSpaceDE w:val="0"/>
        <w:autoSpaceDN w:val="0"/>
        <w:adjustRightInd w:val="0"/>
        <w:spacing w:after="0" w:line="240" w:lineRule="auto"/>
        <w:rPr>
          <w:sz w:val="28"/>
          <w:szCs w:val="28"/>
        </w:rPr>
      </w:pPr>
      <w:proofErr w:type="gramStart"/>
      <w:r>
        <w:rPr>
          <w:sz w:val="28"/>
          <w:szCs w:val="28"/>
        </w:rPr>
        <w:t>all</w:t>
      </w:r>
      <w:proofErr w:type="gramEnd"/>
      <w:r>
        <w:rPr>
          <w:sz w:val="28"/>
          <w:szCs w:val="28"/>
        </w:rPr>
        <w:t xml:space="preserve"> parties in this matter via electronic notification or otherwise:</w:t>
      </w:r>
    </w:p>
    <w:p w:rsidR="00D204E3" w:rsidRDefault="00D204E3" w:rsidP="00D204E3">
      <w:pPr>
        <w:autoSpaceDE w:val="0"/>
        <w:autoSpaceDN w:val="0"/>
        <w:adjustRightInd w:val="0"/>
        <w:spacing w:after="0" w:line="240" w:lineRule="auto"/>
        <w:rPr>
          <w:sz w:val="28"/>
          <w:szCs w:val="28"/>
        </w:rPr>
      </w:pPr>
    </w:p>
    <w:p w:rsidR="007C6A88" w:rsidRPr="007C6A88" w:rsidRDefault="007C6A88" w:rsidP="005908CE">
      <w:pPr>
        <w:autoSpaceDE w:val="0"/>
        <w:autoSpaceDN w:val="0"/>
        <w:adjustRightInd w:val="0"/>
        <w:spacing w:after="0" w:line="240" w:lineRule="auto"/>
        <w:ind w:left="1440"/>
        <w:rPr>
          <w:sz w:val="28"/>
          <w:szCs w:val="28"/>
        </w:rPr>
      </w:pPr>
      <w:r w:rsidRPr="007C6A88">
        <w:rPr>
          <w:sz w:val="28"/>
          <w:szCs w:val="28"/>
        </w:rPr>
        <w:t>M</w:t>
      </w:r>
      <w:r>
        <w:rPr>
          <w:sz w:val="28"/>
          <w:szCs w:val="28"/>
        </w:rPr>
        <w:t>ichelle Townes</w:t>
      </w:r>
    </w:p>
    <w:p w:rsidR="007C6A88" w:rsidRPr="007C6A88" w:rsidRDefault="007C6A88" w:rsidP="005908CE">
      <w:pPr>
        <w:autoSpaceDE w:val="0"/>
        <w:autoSpaceDN w:val="0"/>
        <w:adjustRightInd w:val="0"/>
        <w:spacing w:after="0" w:line="240" w:lineRule="auto"/>
        <w:ind w:left="1440"/>
        <w:rPr>
          <w:sz w:val="28"/>
          <w:szCs w:val="28"/>
        </w:rPr>
      </w:pPr>
      <w:r>
        <w:rPr>
          <w:sz w:val="28"/>
          <w:szCs w:val="28"/>
        </w:rPr>
        <w:t>Jason</w:t>
      </w:r>
      <w:r w:rsidRPr="007C6A88">
        <w:rPr>
          <w:sz w:val="28"/>
          <w:szCs w:val="28"/>
        </w:rPr>
        <w:t xml:space="preserve"> S. N</w:t>
      </w:r>
      <w:r>
        <w:rPr>
          <w:sz w:val="28"/>
          <w:szCs w:val="28"/>
        </w:rPr>
        <w:t>aunas</w:t>
      </w:r>
    </w:p>
    <w:p w:rsidR="007C6A88" w:rsidRPr="007C6A88" w:rsidRDefault="007C6A88" w:rsidP="005908CE">
      <w:pPr>
        <w:autoSpaceDE w:val="0"/>
        <w:autoSpaceDN w:val="0"/>
        <w:adjustRightInd w:val="0"/>
        <w:spacing w:after="0" w:line="240" w:lineRule="auto"/>
        <w:ind w:left="1440"/>
        <w:rPr>
          <w:sz w:val="28"/>
          <w:szCs w:val="28"/>
        </w:rPr>
      </w:pPr>
      <w:r w:rsidRPr="007C6A88">
        <w:rPr>
          <w:sz w:val="28"/>
          <w:szCs w:val="28"/>
        </w:rPr>
        <w:t>Assistant Attorney General</w:t>
      </w:r>
    </w:p>
    <w:p w:rsidR="007C6A88" w:rsidRPr="007C6A88" w:rsidRDefault="007C6A88" w:rsidP="005908CE">
      <w:pPr>
        <w:autoSpaceDE w:val="0"/>
        <w:autoSpaceDN w:val="0"/>
        <w:adjustRightInd w:val="0"/>
        <w:spacing w:after="0" w:line="240" w:lineRule="auto"/>
        <w:ind w:left="1440"/>
        <w:rPr>
          <w:sz w:val="28"/>
          <w:szCs w:val="28"/>
        </w:rPr>
      </w:pPr>
      <w:r w:rsidRPr="007C6A88">
        <w:rPr>
          <w:sz w:val="28"/>
          <w:szCs w:val="28"/>
        </w:rPr>
        <w:t>40 Capitol Square, S</w:t>
      </w:r>
      <w:proofErr w:type="gramStart"/>
      <w:r w:rsidRPr="007C6A88">
        <w:rPr>
          <w:sz w:val="28"/>
          <w:szCs w:val="28"/>
        </w:rPr>
        <w:t>,W</w:t>
      </w:r>
      <w:proofErr w:type="gramEnd"/>
      <w:r w:rsidRPr="007C6A88">
        <w:rPr>
          <w:sz w:val="28"/>
          <w:szCs w:val="28"/>
        </w:rPr>
        <w:t>.</w:t>
      </w:r>
    </w:p>
    <w:p w:rsidR="007C6A88" w:rsidRPr="007C6A88" w:rsidRDefault="007C6A88" w:rsidP="005908CE">
      <w:pPr>
        <w:autoSpaceDE w:val="0"/>
        <w:autoSpaceDN w:val="0"/>
        <w:adjustRightInd w:val="0"/>
        <w:spacing w:after="0" w:line="240" w:lineRule="auto"/>
        <w:ind w:left="1440"/>
        <w:rPr>
          <w:sz w:val="28"/>
          <w:szCs w:val="28"/>
        </w:rPr>
      </w:pPr>
      <w:r>
        <w:rPr>
          <w:sz w:val="28"/>
          <w:szCs w:val="28"/>
        </w:rPr>
        <w:t>Atlan</w:t>
      </w:r>
      <w:r w:rsidRPr="007C6A88">
        <w:rPr>
          <w:sz w:val="28"/>
          <w:szCs w:val="28"/>
        </w:rPr>
        <w:t>ta, Georgia 3 03 3 4- 1 3 00</w:t>
      </w:r>
    </w:p>
    <w:p w:rsidR="007C6A88" w:rsidRPr="007C6A88" w:rsidRDefault="007C6A88" w:rsidP="005908CE">
      <w:pPr>
        <w:autoSpaceDE w:val="0"/>
        <w:autoSpaceDN w:val="0"/>
        <w:adjustRightInd w:val="0"/>
        <w:spacing w:after="0" w:line="240" w:lineRule="auto"/>
        <w:ind w:left="1440"/>
        <w:rPr>
          <w:sz w:val="28"/>
          <w:szCs w:val="28"/>
        </w:rPr>
      </w:pPr>
      <w:r w:rsidRPr="007C6A88">
        <w:rPr>
          <w:sz w:val="28"/>
          <w:szCs w:val="28"/>
        </w:rPr>
        <w:t xml:space="preserve">Telephone: </w:t>
      </w:r>
      <w:r>
        <w:rPr>
          <w:sz w:val="28"/>
          <w:szCs w:val="28"/>
        </w:rPr>
        <w:t xml:space="preserve"> (</w:t>
      </w:r>
      <w:r w:rsidRPr="007C6A88">
        <w:rPr>
          <w:sz w:val="28"/>
          <w:szCs w:val="28"/>
        </w:rPr>
        <w:t>404</w:t>
      </w:r>
      <w:r>
        <w:rPr>
          <w:sz w:val="28"/>
          <w:szCs w:val="28"/>
        </w:rPr>
        <w:t xml:space="preserve">) </w:t>
      </w:r>
      <w:r w:rsidRPr="007C6A88">
        <w:rPr>
          <w:sz w:val="28"/>
          <w:szCs w:val="28"/>
        </w:rPr>
        <w:t>656-3357</w:t>
      </w:r>
    </w:p>
    <w:p w:rsidR="007C6A88" w:rsidRPr="007C6A88" w:rsidRDefault="007C6A88" w:rsidP="005908CE">
      <w:pPr>
        <w:autoSpaceDE w:val="0"/>
        <w:autoSpaceDN w:val="0"/>
        <w:adjustRightInd w:val="0"/>
        <w:spacing w:after="0" w:line="240" w:lineRule="auto"/>
        <w:ind w:left="1440"/>
        <w:rPr>
          <w:sz w:val="28"/>
          <w:szCs w:val="28"/>
        </w:rPr>
      </w:pPr>
      <w:r>
        <w:rPr>
          <w:sz w:val="28"/>
          <w:szCs w:val="28"/>
        </w:rPr>
        <w:t>Fax</w:t>
      </w:r>
      <w:r w:rsidRPr="007C6A88">
        <w:rPr>
          <w:sz w:val="28"/>
          <w:szCs w:val="28"/>
        </w:rPr>
        <w:t xml:space="preserve">: </w:t>
      </w:r>
      <w:r>
        <w:rPr>
          <w:sz w:val="28"/>
          <w:szCs w:val="28"/>
        </w:rPr>
        <w:t xml:space="preserve"> (</w:t>
      </w:r>
      <w:r w:rsidRPr="007C6A88">
        <w:rPr>
          <w:sz w:val="28"/>
          <w:szCs w:val="28"/>
        </w:rPr>
        <w:t>404</w:t>
      </w:r>
      <w:r>
        <w:rPr>
          <w:sz w:val="28"/>
          <w:szCs w:val="28"/>
        </w:rPr>
        <w:t xml:space="preserve">) </w:t>
      </w:r>
      <w:r w:rsidRPr="007C6A88">
        <w:rPr>
          <w:sz w:val="28"/>
          <w:szCs w:val="28"/>
        </w:rPr>
        <w:t>463 -1062</w:t>
      </w:r>
    </w:p>
    <w:p w:rsidR="007C6A88" w:rsidRPr="007C6A88" w:rsidRDefault="007C6A88" w:rsidP="005908CE">
      <w:pPr>
        <w:autoSpaceDE w:val="0"/>
        <w:autoSpaceDN w:val="0"/>
        <w:adjustRightInd w:val="0"/>
        <w:spacing w:after="0" w:line="240" w:lineRule="auto"/>
        <w:ind w:left="1440"/>
        <w:rPr>
          <w:sz w:val="28"/>
          <w:szCs w:val="28"/>
        </w:rPr>
      </w:pPr>
      <w:r w:rsidRPr="007C6A88">
        <w:rPr>
          <w:sz w:val="28"/>
          <w:szCs w:val="28"/>
        </w:rPr>
        <w:t>mtownes@law.ga.gov</w:t>
      </w:r>
    </w:p>
    <w:p w:rsidR="007C6A88" w:rsidRDefault="007C6A88" w:rsidP="005908CE">
      <w:pPr>
        <w:autoSpaceDE w:val="0"/>
        <w:autoSpaceDN w:val="0"/>
        <w:adjustRightInd w:val="0"/>
        <w:spacing w:after="0" w:line="240" w:lineRule="auto"/>
        <w:ind w:left="1440"/>
        <w:rPr>
          <w:sz w:val="28"/>
          <w:szCs w:val="28"/>
        </w:rPr>
      </w:pPr>
      <w:r>
        <w:rPr>
          <w:sz w:val="28"/>
          <w:szCs w:val="28"/>
        </w:rPr>
        <w:t>j</w:t>
      </w:r>
      <w:r w:rsidRPr="007C6A88">
        <w:rPr>
          <w:sz w:val="28"/>
          <w:szCs w:val="28"/>
        </w:rPr>
        <w:t xml:space="preserve">naunas@law. </w:t>
      </w:r>
      <w:proofErr w:type="gramStart"/>
      <w:r w:rsidRPr="007C6A88">
        <w:rPr>
          <w:sz w:val="28"/>
          <w:szCs w:val="28"/>
        </w:rPr>
        <w:t>ga</w:t>
      </w:r>
      <w:proofErr w:type="gramEnd"/>
      <w:r w:rsidRPr="007C6A88">
        <w:rPr>
          <w:sz w:val="28"/>
          <w:szCs w:val="28"/>
        </w:rPr>
        <w:t xml:space="preserve">. </w:t>
      </w:r>
      <w:r w:rsidR="00594534" w:rsidRPr="007C6A88">
        <w:rPr>
          <w:sz w:val="28"/>
          <w:szCs w:val="28"/>
        </w:rPr>
        <w:t>G</w:t>
      </w:r>
      <w:r w:rsidRPr="007C6A88">
        <w:rPr>
          <w:sz w:val="28"/>
          <w:szCs w:val="28"/>
        </w:rPr>
        <w:t>ov</w:t>
      </w:r>
    </w:p>
    <w:p w:rsidR="00594534" w:rsidRDefault="00594534" w:rsidP="00594534">
      <w:pPr>
        <w:autoSpaceDE w:val="0"/>
        <w:autoSpaceDN w:val="0"/>
        <w:adjustRightInd w:val="0"/>
        <w:spacing w:after="0" w:line="240" w:lineRule="auto"/>
        <w:rPr>
          <w:sz w:val="28"/>
          <w:szCs w:val="28"/>
        </w:rPr>
      </w:pPr>
    </w:p>
    <w:p w:rsidR="00594534" w:rsidRPr="00594534" w:rsidRDefault="00594534" w:rsidP="00594534">
      <w:pPr>
        <w:autoSpaceDE w:val="0"/>
        <w:autoSpaceDN w:val="0"/>
        <w:adjustRightInd w:val="0"/>
        <w:spacing w:after="0" w:line="240" w:lineRule="auto"/>
        <w:rPr>
          <w:i/>
          <w:sz w:val="28"/>
          <w:szCs w:val="28"/>
        </w:rPr>
      </w:pPr>
      <w:r>
        <w:rPr>
          <w:sz w:val="28"/>
          <w:szCs w:val="28"/>
        </w:rPr>
        <w:tab/>
      </w:r>
      <w:r w:rsidR="00356F6C" w:rsidRPr="00356F6C">
        <w:rPr>
          <w:i/>
          <w:sz w:val="28"/>
          <w:szCs w:val="28"/>
        </w:rPr>
        <w:t>C</w:t>
      </w:r>
      <w:r>
        <w:rPr>
          <w:i/>
          <w:sz w:val="28"/>
          <w:szCs w:val="28"/>
        </w:rPr>
        <w:t>ounsel for the Defendants</w:t>
      </w:r>
    </w:p>
    <w:p w:rsidR="007C6A88" w:rsidRDefault="007C6A88" w:rsidP="005908CE">
      <w:pPr>
        <w:autoSpaceDE w:val="0"/>
        <w:autoSpaceDN w:val="0"/>
        <w:adjustRightInd w:val="0"/>
        <w:spacing w:after="0" w:line="240" w:lineRule="auto"/>
        <w:ind w:left="1440"/>
        <w:rPr>
          <w:sz w:val="28"/>
          <w:szCs w:val="28"/>
        </w:rPr>
      </w:pPr>
    </w:p>
    <w:p w:rsidR="007C6A88" w:rsidRPr="007C6A88" w:rsidRDefault="007C6A88" w:rsidP="005908CE">
      <w:pPr>
        <w:autoSpaceDE w:val="0"/>
        <w:autoSpaceDN w:val="0"/>
        <w:adjustRightInd w:val="0"/>
        <w:spacing w:after="0" w:line="240" w:lineRule="auto"/>
        <w:ind w:left="1440"/>
        <w:rPr>
          <w:sz w:val="28"/>
          <w:szCs w:val="28"/>
        </w:rPr>
      </w:pPr>
      <w:r w:rsidRPr="007C6A88">
        <w:rPr>
          <w:sz w:val="28"/>
          <w:szCs w:val="28"/>
        </w:rPr>
        <w:t>Joshua Norris</w:t>
      </w:r>
    </w:p>
    <w:p w:rsidR="007C6A88" w:rsidRPr="007C6A88" w:rsidRDefault="007C6A88" w:rsidP="005908CE">
      <w:pPr>
        <w:autoSpaceDE w:val="0"/>
        <w:autoSpaceDN w:val="0"/>
        <w:adjustRightInd w:val="0"/>
        <w:spacing w:after="0" w:line="240" w:lineRule="auto"/>
        <w:ind w:left="1440"/>
        <w:rPr>
          <w:sz w:val="28"/>
          <w:szCs w:val="28"/>
        </w:rPr>
      </w:pPr>
      <w:r w:rsidRPr="007C6A88">
        <w:rPr>
          <w:sz w:val="28"/>
          <w:szCs w:val="28"/>
        </w:rPr>
        <w:t>Paula Rafferty</w:t>
      </w:r>
    </w:p>
    <w:p w:rsidR="007C6A88" w:rsidRPr="007C6A88" w:rsidRDefault="007C6A88" w:rsidP="005908CE">
      <w:pPr>
        <w:autoSpaceDE w:val="0"/>
        <w:autoSpaceDN w:val="0"/>
        <w:adjustRightInd w:val="0"/>
        <w:spacing w:after="0" w:line="240" w:lineRule="auto"/>
        <w:ind w:left="1440"/>
        <w:rPr>
          <w:sz w:val="28"/>
          <w:szCs w:val="28"/>
        </w:rPr>
      </w:pPr>
      <w:r w:rsidRPr="007C6A88">
        <w:rPr>
          <w:sz w:val="28"/>
          <w:szCs w:val="28"/>
        </w:rPr>
        <w:t>150 E. Ponce De Leon Ave., Ste. 430</w:t>
      </w:r>
    </w:p>
    <w:p w:rsidR="007C6A88" w:rsidRDefault="007C6A88" w:rsidP="005908CE">
      <w:pPr>
        <w:autoSpaceDE w:val="0"/>
        <w:autoSpaceDN w:val="0"/>
        <w:adjustRightInd w:val="0"/>
        <w:spacing w:after="0" w:line="240" w:lineRule="auto"/>
        <w:ind w:left="1440"/>
        <w:rPr>
          <w:sz w:val="28"/>
          <w:szCs w:val="28"/>
        </w:rPr>
      </w:pPr>
      <w:r w:rsidRPr="007C6A88">
        <w:rPr>
          <w:sz w:val="28"/>
          <w:szCs w:val="28"/>
        </w:rPr>
        <w:t>Decatur, Georgia 30030</w:t>
      </w:r>
    </w:p>
    <w:p w:rsidR="007C6A88" w:rsidRDefault="007C6A88" w:rsidP="005908CE">
      <w:pPr>
        <w:autoSpaceDE w:val="0"/>
        <w:autoSpaceDN w:val="0"/>
        <w:adjustRightInd w:val="0"/>
        <w:spacing w:after="0" w:line="240" w:lineRule="auto"/>
        <w:ind w:left="1440"/>
        <w:rPr>
          <w:sz w:val="28"/>
          <w:szCs w:val="28"/>
        </w:rPr>
      </w:pPr>
      <w:r>
        <w:rPr>
          <w:sz w:val="28"/>
          <w:szCs w:val="28"/>
        </w:rPr>
        <w:t>Telephone:  (404) 885-1234</w:t>
      </w:r>
    </w:p>
    <w:p w:rsidR="007C6A88" w:rsidRPr="007C6A88" w:rsidRDefault="007C6A88" w:rsidP="005908CE">
      <w:pPr>
        <w:autoSpaceDE w:val="0"/>
        <w:autoSpaceDN w:val="0"/>
        <w:adjustRightInd w:val="0"/>
        <w:spacing w:after="0" w:line="240" w:lineRule="auto"/>
        <w:ind w:left="1440"/>
        <w:rPr>
          <w:sz w:val="28"/>
          <w:szCs w:val="28"/>
        </w:rPr>
      </w:pPr>
      <w:r>
        <w:rPr>
          <w:sz w:val="28"/>
          <w:szCs w:val="28"/>
        </w:rPr>
        <w:t xml:space="preserve">Fax:  </w:t>
      </w:r>
      <w:r w:rsidR="005908CE">
        <w:rPr>
          <w:sz w:val="28"/>
          <w:szCs w:val="28"/>
        </w:rPr>
        <w:t>(404) 378-0031</w:t>
      </w:r>
    </w:p>
    <w:p w:rsidR="00EE3F2D" w:rsidRDefault="007C6A88" w:rsidP="005908CE">
      <w:pPr>
        <w:autoSpaceDE w:val="0"/>
        <w:autoSpaceDN w:val="0"/>
        <w:adjustRightInd w:val="0"/>
        <w:spacing w:after="0" w:line="240" w:lineRule="auto"/>
        <w:ind w:left="1440"/>
        <w:rPr>
          <w:sz w:val="28"/>
          <w:szCs w:val="28"/>
        </w:rPr>
      </w:pPr>
      <w:r w:rsidRPr="007C6A88">
        <w:rPr>
          <w:sz w:val="28"/>
          <w:szCs w:val="28"/>
        </w:rPr>
        <w:t>jnorris@thegao.org</w:t>
      </w:r>
    </w:p>
    <w:p w:rsidR="00594534" w:rsidRDefault="00594534" w:rsidP="00594534">
      <w:pPr>
        <w:autoSpaceDE w:val="0"/>
        <w:autoSpaceDN w:val="0"/>
        <w:adjustRightInd w:val="0"/>
        <w:spacing w:after="0" w:line="240" w:lineRule="auto"/>
        <w:ind w:left="1440"/>
        <w:rPr>
          <w:sz w:val="28"/>
          <w:szCs w:val="28"/>
        </w:rPr>
      </w:pPr>
      <w:r w:rsidRPr="00594534">
        <w:rPr>
          <w:sz w:val="28"/>
          <w:szCs w:val="28"/>
        </w:rPr>
        <w:t>prafferty@thegao.org</w:t>
      </w:r>
    </w:p>
    <w:p w:rsidR="00594534" w:rsidRDefault="00594534" w:rsidP="00594534">
      <w:pPr>
        <w:autoSpaceDE w:val="0"/>
        <w:autoSpaceDN w:val="0"/>
        <w:adjustRightInd w:val="0"/>
        <w:spacing w:after="0" w:line="240" w:lineRule="auto"/>
        <w:rPr>
          <w:sz w:val="28"/>
          <w:szCs w:val="28"/>
        </w:rPr>
      </w:pPr>
    </w:p>
    <w:p w:rsidR="00594534" w:rsidRPr="00594534" w:rsidRDefault="00356F6C" w:rsidP="00594534">
      <w:pPr>
        <w:autoSpaceDE w:val="0"/>
        <w:autoSpaceDN w:val="0"/>
        <w:adjustRightInd w:val="0"/>
        <w:spacing w:after="0" w:line="240" w:lineRule="auto"/>
        <w:rPr>
          <w:i/>
          <w:sz w:val="28"/>
          <w:szCs w:val="28"/>
        </w:rPr>
      </w:pPr>
      <w:r>
        <w:rPr>
          <w:i/>
          <w:sz w:val="28"/>
          <w:szCs w:val="28"/>
        </w:rPr>
        <w:tab/>
        <w:t>C</w:t>
      </w:r>
      <w:r w:rsidR="00594534" w:rsidRPr="00594534">
        <w:rPr>
          <w:i/>
          <w:sz w:val="28"/>
          <w:szCs w:val="28"/>
        </w:rPr>
        <w:t>ounsel for the plaintiffs</w:t>
      </w:r>
    </w:p>
    <w:p w:rsidR="00EE3F2D" w:rsidRDefault="00EE3F2D" w:rsidP="00D204E3">
      <w:pPr>
        <w:autoSpaceDE w:val="0"/>
        <w:autoSpaceDN w:val="0"/>
        <w:adjustRightInd w:val="0"/>
        <w:spacing w:after="0" w:line="240" w:lineRule="auto"/>
        <w:rPr>
          <w:sz w:val="28"/>
          <w:szCs w:val="28"/>
        </w:rPr>
      </w:pPr>
    </w:p>
    <w:p w:rsidR="00EE3F2D" w:rsidRDefault="00EE3F2D" w:rsidP="00D204E3">
      <w:pPr>
        <w:autoSpaceDE w:val="0"/>
        <w:autoSpaceDN w:val="0"/>
        <w:adjustRightInd w:val="0"/>
        <w:spacing w:after="0" w:line="240" w:lineRule="auto"/>
        <w:rPr>
          <w:sz w:val="28"/>
          <w:szCs w:val="28"/>
        </w:rPr>
      </w:pPr>
    </w:p>
    <w:p w:rsidR="00D204E3" w:rsidRPr="00EE3F2D" w:rsidRDefault="00EE3F2D" w:rsidP="00EE3F2D">
      <w:pPr>
        <w:autoSpaceDE w:val="0"/>
        <w:autoSpaceDN w:val="0"/>
        <w:adjustRightInd w:val="0"/>
        <w:spacing w:after="0" w:line="240" w:lineRule="auto"/>
        <w:ind w:left="3600" w:firstLine="720"/>
        <w:rPr>
          <w:i/>
          <w:sz w:val="28"/>
          <w:szCs w:val="28"/>
          <w:u w:val="single"/>
        </w:rPr>
      </w:pPr>
      <w:r>
        <w:rPr>
          <w:i/>
          <w:sz w:val="28"/>
          <w:szCs w:val="28"/>
          <w:u w:val="single"/>
        </w:rPr>
        <w:t>/s</w:t>
      </w:r>
      <w:proofErr w:type="gramStart"/>
      <w:r>
        <w:rPr>
          <w:i/>
          <w:sz w:val="28"/>
          <w:szCs w:val="28"/>
          <w:u w:val="single"/>
        </w:rPr>
        <w:t>/  Sharon</w:t>
      </w:r>
      <w:proofErr w:type="gramEnd"/>
      <w:r>
        <w:rPr>
          <w:i/>
          <w:sz w:val="28"/>
          <w:szCs w:val="28"/>
          <w:u w:val="single"/>
        </w:rPr>
        <w:t xml:space="preserve"> D. Stokes</w:t>
      </w:r>
    </w:p>
    <w:p w:rsidR="00EE3F2D" w:rsidRDefault="00EE3F2D" w:rsidP="00EE3F2D">
      <w:pPr>
        <w:autoSpaceDE w:val="0"/>
        <w:autoSpaceDN w:val="0"/>
        <w:adjustRightInd w:val="0"/>
        <w:spacing w:after="0" w:line="240" w:lineRule="auto"/>
        <w:ind w:left="3600" w:firstLine="720"/>
        <w:rPr>
          <w:sz w:val="28"/>
          <w:szCs w:val="28"/>
        </w:rPr>
      </w:pPr>
      <w:r>
        <w:rPr>
          <w:sz w:val="28"/>
          <w:szCs w:val="28"/>
        </w:rPr>
        <w:t>SHARON D. STOKES</w:t>
      </w:r>
    </w:p>
    <w:p w:rsidR="00D204E3" w:rsidRDefault="00D204E3" w:rsidP="00EE3F2D">
      <w:pPr>
        <w:autoSpaceDE w:val="0"/>
        <w:autoSpaceDN w:val="0"/>
        <w:adjustRightInd w:val="0"/>
        <w:spacing w:after="0" w:line="240" w:lineRule="auto"/>
        <w:ind w:left="3600" w:firstLine="720"/>
        <w:rPr>
          <w:sz w:val="28"/>
          <w:szCs w:val="28"/>
        </w:rPr>
      </w:pPr>
      <w:r>
        <w:rPr>
          <w:sz w:val="28"/>
          <w:szCs w:val="28"/>
        </w:rPr>
        <w:t>Assistant United States Attorney</w:t>
      </w:r>
    </w:p>
    <w:p w:rsidR="00EE3F2D" w:rsidRDefault="00EE3F2D" w:rsidP="00EE3F2D">
      <w:pPr>
        <w:spacing w:after="0" w:line="240" w:lineRule="auto"/>
        <w:ind w:left="3960" w:firstLine="360"/>
        <w:rPr>
          <w:sz w:val="28"/>
          <w:szCs w:val="28"/>
        </w:rPr>
      </w:pPr>
      <w:r>
        <w:rPr>
          <w:sz w:val="28"/>
          <w:szCs w:val="28"/>
        </w:rPr>
        <w:t>GA Bar No. 227475</w:t>
      </w:r>
    </w:p>
    <w:p w:rsidR="00D204E3" w:rsidRPr="00FE0A85" w:rsidRDefault="00D204E3" w:rsidP="00EE3F2D">
      <w:pPr>
        <w:spacing w:after="0" w:line="240" w:lineRule="auto"/>
        <w:ind w:left="3600" w:firstLine="720"/>
        <w:rPr>
          <w:sz w:val="28"/>
          <w:szCs w:val="28"/>
        </w:rPr>
      </w:pPr>
    </w:p>
    <w:sectPr w:rsidR="00D204E3" w:rsidRPr="00FE0A85" w:rsidSect="00D204E3">
      <w:headerReference w:type="even" r:id="rId9"/>
      <w:headerReference w:type="default" r:id="rId10"/>
      <w:footerReference w:type="even" r:id="rId11"/>
      <w:footerReference w:type="default" r:id="rId12"/>
      <w:headerReference w:type="first" r:id="rId13"/>
      <w:footerReference w:type="first" r:id="rId14"/>
      <w:pgSz w:w="12240" w:h="15840"/>
      <w:pgMar w:top="216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1E01" w:rsidRDefault="00C11E01" w:rsidP="003A3EC6">
      <w:pPr>
        <w:spacing w:after="0" w:line="240" w:lineRule="auto"/>
      </w:pPr>
      <w:r>
        <w:separator/>
      </w:r>
    </w:p>
  </w:endnote>
  <w:endnote w:type="continuationSeparator" w:id="0">
    <w:p w:rsidR="00C11E01" w:rsidRDefault="00C11E01" w:rsidP="003A3E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Segoe Print">
    <w:altName w:val="Times New Roman"/>
    <w:panose1 w:val="02000600000000000000"/>
    <w:charset w:val="00"/>
    <w:family w:val="auto"/>
    <w:pitch w:val="variable"/>
    <w:sig w:usb0="0000028F" w:usb1="00000000" w:usb2="00000000" w:usb3="00000000" w:csb0="0000009F" w:csb1="00000000"/>
  </w:font>
  <w:font w:name="@MingLiU">
    <w:panose1 w:val="02020509000000000000"/>
    <w:charset w:val="88"/>
    <w:family w:val="modern"/>
    <w:pitch w:val="fixed"/>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6C3" w:rsidRDefault="006836C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978" w:rsidRPr="003A3EC6" w:rsidRDefault="00822A1E">
    <w:pPr>
      <w:pStyle w:val="Footer"/>
      <w:jc w:val="center"/>
      <w:rPr>
        <w:sz w:val="28"/>
        <w:szCs w:val="28"/>
      </w:rPr>
    </w:pPr>
    <w:r w:rsidRPr="003A3EC6">
      <w:rPr>
        <w:sz w:val="28"/>
        <w:szCs w:val="28"/>
      </w:rPr>
      <w:fldChar w:fldCharType="begin"/>
    </w:r>
    <w:r w:rsidR="00667978" w:rsidRPr="003A3EC6">
      <w:rPr>
        <w:sz w:val="28"/>
        <w:szCs w:val="28"/>
      </w:rPr>
      <w:instrText xml:space="preserve"> PAGE   \* MERGEFORMAT </w:instrText>
    </w:r>
    <w:r w:rsidRPr="003A3EC6">
      <w:rPr>
        <w:sz w:val="28"/>
        <w:szCs w:val="28"/>
      </w:rPr>
      <w:fldChar w:fldCharType="separate"/>
    </w:r>
    <w:r w:rsidR="006836C3">
      <w:rPr>
        <w:noProof/>
        <w:sz w:val="28"/>
        <w:szCs w:val="28"/>
      </w:rPr>
      <w:t>2</w:t>
    </w:r>
    <w:r w:rsidRPr="003A3EC6">
      <w:rPr>
        <w:sz w:val="28"/>
        <w:szCs w:val="28"/>
      </w:rPr>
      <w:fldChar w:fldCharType="end"/>
    </w:r>
  </w:p>
  <w:p w:rsidR="00667978" w:rsidRDefault="0066797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6C3" w:rsidRDefault="006836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1E01" w:rsidRDefault="00C11E01" w:rsidP="003A3EC6">
      <w:pPr>
        <w:spacing w:after="0" w:line="240" w:lineRule="auto"/>
      </w:pPr>
      <w:r>
        <w:separator/>
      </w:r>
    </w:p>
  </w:footnote>
  <w:footnote w:type="continuationSeparator" w:id="0">
    <w:p w:rsidR="00C11E01" w:rsidRDefault="00C11E01" w:rsidP="003A3EC6">
      <w:pPr>
        <w:spacing w:after="0" w:line="240" w:lineRule="auto"/>
      </w:pPr>
      <w:r>
        <w:continuationSeparator/>
      </w:r>
    </w:p>
  </w:footnote>
  <w:footnote w:id="1">
    <w:p w:rsidR="00667978" w:rsidRPr="00F15DEB" w:rsidRDefault="00667978" w:rsidP="00710DAE">
      <w:pPr>
        <w:pStyle w:val="FootnoteText"/>
        <w:rPr>
          <w:szCs w:val="24"/>
        </w:rPr>
      </w:pPr>
      <w:r>
        <w:rPr>
          <w:rStyle w:val="FootnoteReference"/>
        </w:rPr>
        <w:footnoteRef/>
      </w:r>
      <w:r>
        <w:t xml:space="preserve"> </w:t>
      </w:r>
      <w:r w:rsidRPr="003A0F2F">
        <w:rPr>
          <w:sz w:val="28"/>
        </w:rPr>
        <w:t>28 U.S.C. § 517 permits the Attorney General to send an officer of the Department of Justice to any district in the United States “to attend to the interests of the United States in a suit pending in a court of the United States.”</w:t>
      </w:r>
      <w:r>
        <w:rPr>
          <w:szCs w:val="24"/>
        </w:rPr>
        <w:t xml:space="preserve">  </w:t>
      </w:r>
    </w:p>
  </w:footnote>
  <w:footnote w:id="2">
    <w:p w:rsidR="00667978" w:rsidRDefault="00667978" w:rsidP="0041459A">
      <w:pPr>
        <w:pStyle w:val="FootnoteText"/>
      </w:pPr>
      <w:r>
        <w:rPr>
          <w:rStyle w:val="FootnoteReference"/>
        </w:rPr>
        <w:footnoteRef/>
      </w:r>
      <w:r>
        <w:t xml:space="preserve"> </w:t>
      </w:r>
      <w:r w:rsidRPr="003A0F2F">
        <w:rPr>
          <w:sz w:val="28"/>
        </w:rPr>
        <w:t>Plaintiff Zachary Royal was 18 years old</w:t>
      </w:r>
      <w:r>
        <w:rPr>
          <w:sz w:val="28"/>
        </w:rPr>
        <w:t xml:space="preserve"> and a named plaintiff</w:t>
      </w:r>
      <w:r w:rsidRPr="003A0F2F">
        <w:rPr>
          <w:sz w:val="28"/>
        </w:rPr>
        <w:t xml:space="preserve"> at the time of the filing of the</w:t>
      </w:r>
      <w:r>
        <w:rPr>
          <w:sz w:val="28"/>
        </w:rPr>
        <w:t xml:space="preserve"> second</w:t>
      </w:r>
      <w:r w:rsidRPr="003A0F2F">
        <w:rPr>
          <w:sz w:val="28"/>
        </w:rPr>
        <w:t xml:space="preserve"> amended</w:t>
      </w:r>
      <w:r>
        <w:rPr>
          <w:sz w:val="28"/>
        </w:rPr>
        <w:t xml:space="preserve"> class action</w:t>
      </w:r>
      <w:r w:rsidRPr="003A0F2F">
        <w:rPr>
          <w:sz w:val="28"/>
        </w:rPr>
        <w:t xml:space="preserve"> complaint.  </w:t>
      </w:r>
      <w:proofErr w:type="gramStart"/>
      <w:r w:rsidRPr="003A0F2F">
        <w:rPr>
          <w:sz w:val="28"/>
        </w:rPr>
        <w:t>Compl.,</w:t>
      </w:r>
      <w:proofErr w:type="gramEnd"/>
      <w:r w:rsidRPr="003A0F2F">
        <w:rPr>
          <w:sz w:val="28"/>
        </w:rPr>
        <w:t xml:space="preserve"> ECF No. 81, ¶ 6.  On June 19, </w:t>
      </w:r>
      <w:r>
        <w:rPr>
          <w:sz w:val="28"/>
        </w:rPr>
        <w:t>2012, this Court ruled that the Defendant</w:t>
      </w:r>
      <w:r w:rsidRPr="003A0F2F">
        <w:rPr>
          <w:sz w:val="28"/>
        </w:rPr>
        <w:t xml:space="preserve"> had discriminated against Mr. Royal in </w:t>
      </w:r>
      <w:r>
        <w:rPr>
          <w:sz w:val="28"/>
        </w:rPr>
        <w:t>violation of the ADA and that Royal</w:t>
      </w:r>
      <w:r w:rsidRPr="003A0F2F">
        <w:rPr>
          <w:sz w:val="28"/>
        </w:rPr>
        <w:t xml:space="preserve"> was entitled to permanent injunctive relief and declaratory judgment.  </w:t>
      </w:r>
      <w:proofErr w:type="gramStart"/>
      <w:r w:rsidRPr="003A0F2F">
        <w:rPr>
          <w:sz w:val="28"/>
        </w:rPr>
        <w:t>Order, ECF No. 113, at 22.</w:t>
      </w:r>
      <w:proofErr w:type="gramEnd"/>
      <w:r w:rsidRPr="003A0F2F">
        <w:rPr>
          <w:sz w:val="28"/>
        </w:rPr>
        <w:t xml:space="preserve">  For the purposes of this Statement of Interest, “Plaintiffs” refers to Marketric, S.R., J.M., and R.E.</w:t>
      </w:r>
      <w:r>
        <w:t xml:space="preserve"> </w:t>
      </w:r>
    </w:p>
  </w:footnote>
  <w:footnote w:id="3">
    <w:p w:rsidR="00667978" w:rsidRPr="00347008" w:rsidRDefault="00667978" w:rsidP="00F1706B">
      <w:pPr>
        <w:spacing w:after="0" w:line="240" w:lineRule="auto"/>
        <w:rPr>
          <w:szCs w:val="24"/>
        </w:rPr>
      </w:pPr>
      <w:r w:rsidRPr="00E20855">
        <w:rPr>
          <w:rStyle w:val="FootnoteReference"/>
          <w:sz w:val="24"/>
          <w:szCs w:val="24"/>
        </w:rPr>
        <w:footnoteRef/>
      </w:r>
      <w:r w:rsidRPr="00E20855">
        <w:rPr>
          <w:sz w:val="24"/>
          <w:szCs w:val="24"/>
        </w:rPr>
        <w:t xml:space="preserve"> </w:t>
      </w:r>
      <w:r w:rsidRPr="003A0F2F">
        <w:rPr>
          <w:sz w:val="28"/>
          <w:szCs w:val="28"/>
        </w:rPr>
        <w:t xml:space="preserve">The regulations provide that “a public entity shall administer services, programs, and activities in the most integrated setting appropriate to the needs of qualified individuals with disabilities.”  </w:t>
      </w:r>
      <w:proofErr w:type="gramStart"/>
      <w:r w:rsidRPr="003A0F2F">
        <w:rPr>
          <w:sz w:val="28"/>
          <w:szCs w:val="28"/>
        </w:rPr>
        <w:t>28 C.F.R. § 35.130(d)</w:t>
      </w:r>
      <w:r w:rsidR="00822A1E" w:rsidRPr="003A0F2F">
        <w:rPr>
          <w:sz w:val="28"/>
          <w:szCs w:val="28"/>
        </w:rPr>
        <w:fldChar w:fldCharType="begin"/>
      </w:r>
      <w:r w:rsidRPr="003A0F2F">
        <w:rPr>
          <w:sz w:val="28"/>
          <w:szCs w:val="28"/>
        </w:rPr>
        <w:instrText xml:space="preserve"> TA \l "28 C.F.R. §§ 35.130" \s "28 C.F.R. § 35.130(d)" \c 6 </w:instrText>
      </w:r>
      <w:r w:rsidR="00822A1E" w:rsidRPr="003A0F2F">
        <w:rPr>
          <w:sz w:val="28"/>
          <w:szCs w:val="28"/>
        </w:rPr>
        <w:fldChar w:fldCharType="end"/>
      </w:r>
      <w:r w:rsidRPr="003A0F2F">
        <w:rPr>
          <w:sz w:val="28"/>
          <w:szCs w:val="28"/>
        </w:rPr>
        <w:t>.</w:t>
      </w:r>
      <w:proofErr w:type="gramEnd"/>
      <w:r w:rsidRPr="003A0F2F">
        <w:rPr>
          <w:sz w:val="28"/>
          <w:szCs w:val="28"/>
        </w:rPr>
        <w:t xml:space="preserve">  The preamble discussion of the “integration regulation” explains that “the most integrated setting” is one that “enables individuals with disabilities to interact with nondisabled persons to the fullest extent </w:t>
      </w:r>
      <w:proofErr w:type="gramStart"/>
      <w:r w:rsidRPr="003A0F2F">
        <w:rPr>
          <w:sz w:val="28"/>
          <w:szCs w:val="28"/>
        </w:rPr>
        <w:t>possible[</w:t>
      </w:r>
      <w:proofErr w:type="gramEnd"/>
      <w:r w:rsidRPr="003A0F2F">
        <w:rPr>
          <w:sz w:val="28"/>
          <w:szCs w:val="28"/>
        </w:rPr>
        <w:t xml:space="preserve">.]”  </w:t>
      </w:r>
      <w:proofErr w:type="gramStart"/>
      <w:r w:rsidRPr="003A0F2F">
        <w:rPr>
          <w:sz w:val="28"/>
          <w:szCs w:val="28"/>
        </w:rPr>
        <w:t xml:space="preserve">28 C.F.R. </w:t>
      </w:r>
      <w:r>
        <w:rPr>
          <w:sz w:val="28"/>
          <w:szCs w:val="28"/>
        </w:rPr>
        <w:t>Part 35</w:t>
      </w:r>
      <w:r w:rsidRPr="003A0F2F">
        <w:rPr>
          <w:sz w:val="28"/>
          <w:szCs w:val="28"/>
        </w:rPr>
        <w:t xml:space="preserve">, App. </w:t>
      </w:r>
      <w:r>
        <w:rPr>
          <w:sz w:val="28"/>
          <w:szCs w:val="28"/>
        </w:rPr>
        <w:t>B</w:t>
      </w:r>
      <w:r w:rsidRPr="003A0F2F">
        <w:rPr>
          <w:sz w:val="28"/>
          <w:szCs w:val="28"/>
        </w:rPr>
        <w:t xml:space="preserve"> at </w:t>
      </w:r>
      <w:r>
        <w:rPr>
          <w:sz w:val="28"/>
          <w:szCs w:val="28"/>
        </w:rPr>
        <w:t>673</w:t>
      </w:r>
      <w:r w:rsidRPr="003A0F2F">
        <w:rPr>
          <w:sz w:val="28"/>
          <w:szCs w:val="28"/>
        </w:rPr>
        <w:t xml:space="preserve"> (2010).</w:t>
      </w:r>
      <w:proofErr w:type="gramEnd"/>
      <w:r w:rsidRPr="003A0F2F">
        <w:rPr>
          <w:sz w:val="28"/>
          <w:szCs w:val="28"/>
        </w:rPr>
        <w:t xml:space="preserve"> </w:t>
      </w:r>
    </w:p>
  </w:footnote>
  <w:footnote w:id="4">
    <w:p w:rsidR="00667978" w:rsidRDefault="00667978" w:rsidP="007C2BCB">
      <w:pPr>
        <w:pStyle w:val="FootnoteText"/>
      </w:pPr>
      <w:r>
        <w:rPr>
          <w:rStyle w:val="FootnoteReference"/>
        </w:rPr>
        <w:footnoteRef/>
      </w:r>
      <w:r>
        <w:t xml:space="preserve"> </w:t>
      </w:r>
      <w:r w:rsidRPr="00E20855">
        <w:rPr>
          <w:sz w:val="28"/>
        </w:rPr>
        <w:t xml:space="preserve">Although this Statement of Interest does not address the Parties’ disputed issues of fact regarding the Defendant’s administration of Georgia’s EPSDT program, a brief description of the EPSDT requirements of the Medicaid Act is provided here, as it is relevant to the Defendant’s argument that provision of community-based nursing services would fundamentally alter the Defendant’s services.  </w:t>
      </w:r>
      <w:r w:rsidRPr="00E20855">
        <w:rPr>
          <w:i/>
          <w:sz w:val="28"/>
        </w:rPr>
        <w:t>See</w:t>
      </w:r>
      <w:r>
        <w:rPr>
          <w:sz w:val="28"/>
        </w:rPr>
        <w:t xml:space="preserve"> Def.’s </w:t>
      </w:r>
      <w:proofErr w:type="gramStart"/>
      <w:r>
        <w:rPr>
          <w:sz w:val="28"/>
        </w:rPr>
        <w:t>Mot.,</w:t>
      </w:r>
      <w:proofErr w:type="gramEnd"/>
      <w:r>
        <w:rPr>
          <w:sz w:val="28"/>
        </w:rPr>
        <w:t xml:space="preserve"> n.</w:t>
      </w:r>
      <w:r w:rsidRPr="00E20855">
        <w:rPr>
          <w:sz w:val="28"/>
        </w:rPr>
        <w:t xml:space="preserve"> 6, at 13.  To the contrary, federal law requires Defendant’s program to make available medically necessary private duty nursing services to all EPSDT-eligible children, </w:t>
      </w:r>
      <w:r w:rsidRPr="00E20855">
        <w:rPr>
          <w:i/>
          <w:sz w:val="28"/>
        </w:rPr>
        <w:t>see</w:t>
      </w:r>
      <w:r w:rsidRPr="00E20855">
        <w:rPr>
          <w:sz w:val="28"/>
        </w:rPr>
        <w:t xml:space="preserve"> 42 U.S.C. § 1396d(a)(8), and</w:t>
      </w:r>
      <w:r w:rsidR="00602A55">
        <w:rPr>
          <w:sz w:val="28"/>
        </w:rPr>
        <w:t>, under the ADA,</w:t>
      </w:r>
      <w:r w:rsidRPr="00E20855">
        <w:rPr>
          <w:sz w:val="28"/>
        </w:rPr>
        <w:t xml:space="preserve"> these services must be provided in the most integrated setting appropriate to their needs, 42 U.S.C. §12132, 28 C.F.R. §35.130(d).</w:t>
      </w:r>
    </w:p>
  </w:footnote>
  <w:footnote w:id="5">
    <w:p w:rsidR="00667978" w:rsidRDefault="00667978">
      <w:pPr>
        <w:pStyle w:val="FootnoteText"/>
      </w:pPr>
      <w:r>
        <w:rPr>
          <w:rStyle w:val="FootnoteReference"/>
        </w:rPr>
        <w:footnoteRef/>
      </w:r>
      <w:r>
        <w:t xml:space="preserve"> </w:t>
      </w:r>
      <w:r w:rsidRPr="00211CB4">
        <w:rPr>
          <w:sz w:val="28"/>
        </w:rPr>
        <w:t xml:space="preserve">In reaching this conclusion the Fourth Circuit cited U.S. Dept. of Justice, </w:t>
      </w:r>
      <w:r w:rsidRPr="00211CB4">
        <w:rPr>
          <w:rStyle w:val="Emphasis"/>
          <w:sz w:val="28"/>
        </w:rPr>
        <w:t>Statement of the Department of Justice on the Integration Mandate of Title II of the ADA and Olmstead v. L.C.,</w:t>
      </w:r>
      <w:r w:rsidRPr="00211CB4">
        <w:rPr>
          <w:sz w:val="28"/>
        </w:rPr>
        <w:t xml:space="preserve"> http://www.ada.gov/olmstead/q&amp;a_olmstead.htm (last visited March 13, 2013).</w:t>
      </w:r>
      <w:r>
        <w:t xml:space="preserve"> </w:t>
      </w:r>
    </w:p>
  </w:footnote>
  <w:footnote w:id="6">
    <w:p w:rsidR="00667978" w:rsidRPr="00B86204" w:rsidRDefault="00667978" w:rsidP="00B86204">
      <w:pPr>
        <w:pStyle w:val="FootnoteText"/>
        <w:rPr>
          <w:sz w:val="28"/>
        </w:rPr>
      </w:pPr>
      <w:r>
        <w:rPr>
          <w:rStyle w:val="FootnoteReference"/>
        </w:rPr>
        <w:footnoteRef/>
      </w:r>
      <w:r>
        <w:t xml:space="preserve"> </w:t>
      </w:r>
      <w:r w:rsidRPr="00B86204">
        <w:rPr>
          <w:sz w:val="28"/>
        </w:rPr>
        <w:t xml:space="preserve">Defendant’s citation to </w:t>
      </w:r>
      <w:r w:rsidRPr="00B86204">
        <w:rPr>
          <w:i/>
          <w:sz w:val="28"/>
        </w:rPr>
        <w:t>Buchanan v. Maine</w:t>
      </w:r>
      <w:r w:rsidRPr="00B86204">
        <w:rPr>
          <w:sz w:val="28"/>
        </w:rPr>
        <w:t xml:space="preserve"> is inapposite. </w:t>
      </w:r>
      <w:proofErr w:type="gramStart"/>
      <w:r w:rsidRPr="00B86204">
        <w:rPr>
          <w:sz w:val="28"/>
        </w:rPr>
        <w:t>469 F.3d 158, 173 (1st Cir. 2006).</w:t>
      </w:r>
      <w:proofErr w:type="gramEnd"/>
      <w:r w:rsidRPr="00B86204">
        <w:rPr>
          <w:sz w:val="28"/>
        </w:rPr>
        <w:t xml:space="preserve">  </w:t>
      </w:r>
      <w:r w:rsidRPr="00B86204">
        <w:rPr>
          <w:rStyle w:val="documentbody"/>
          <w:sz w:val="28"/>
        </w:rPr>
        <w:t xml:space="preserve">In </w:t>
      </w:r>
      <w:r w:rsidRPr="00B86204">
        <w:rPr>
          <w:rStyle w:val="documentbody"/>
          <w:i/>
          <w:sz w:val="28"/>
        </w:rPr>
        <w:t xml:space="preserve">Buchanan, </w:t>
      </w:r>
      <w:r w:rsidRPr="00B86204">
        <w:rPr>
          <w:rStyle w:val="documentbody"/>
          <w:sz w:val="28"/>
        </w:rPr>
        <w:t xml:space="preserve">the </w:t>
      </w:r>
      <w:r>
        <w:rPr>
          <w:rStyle w:val="documentbody"/>
          <w:sz w:val="28"/>
        </w:rPr>
        <w:t>brother</w:t>
      </w:r>
      <w:r w:rsidRPr="00B86204">
        <w:rPr>
          <w:rStyle w:val="documentbody"/>
          <w:sz w:val="28"/>
        </w:rPr>
        <w:t xml:space="preserve"> of a man with a mental </w:t>
      </w:r>
      <w:r>
        <w:rPr>
          <w:rStyle w:val="documentbody"/>
          <w:sz w:val="28"/>
        </w:rPr>
        <w:t>illness</w:t>
      </w:r>
      <w:r w:rsidRPr="00B86204">
        <w:rPr>
          <w:rStyle w:val="documentbody"/>
          <w:sz w:val="28"/>
        </w:rPr>
        <w:t xml:space="preserve"> who was shot and killed by the police</w:t>
      </w:r>
      <w:r>
        <w:rPr>
          <w:rStyle w:val="documentbody"/>
          <w:sz w:val="28"/>
        </w:rPr>
        <w:t xml:space="preserve"> brought several claims, including an ADA claim, against the state</w:t>
      </w:r>
      <w:r w:rsidRPr="00B86204">
        <w:rPr>
          <w:rStyle w:val="documentbody"/>
          <w:sz w:val="28"/>
        </w:rPr>
        <w:t xml:space="preserve">.  </w:t>
      </w:r>
      <w:proofErr w:type="gramStart"/>
      <w:r w:rsidRPr="00B86204">
        <w:rPr>
          <w:rStyle w:val="documentbody"/>
          <w:i/>
          <w:sz w:val="28"/>
        </w:rPr>
        <w:t>Id.</w:t>
      </w:r>
      <w:r w:rsidRPr="00B86204">
        <w:rPr>
          <w:rStyle w:val="documentbody"/>
          <w:sz w:val="28"/>
        </w:rPr>
        <w:t xml:space="preserve"> at 161.</w:t>
      </w:r>
      <w:proofErr w:type="gramEnd"/>
      <w:r w:rsidRPr="00B86204">
        <w:rPr>
          <w:rStyle w:val="documentbody"/>
          <w:sz w:val="28"/>
        </w:rPr>
        <w:t xml:space="preserve">  The individual in question was </w:t>
      </w:r>
      <w:r>
        <w:rPr>
          <w:rStyle w:val="documentbody"/>
          <w:sz w:val="28"/>
        </w:rPr>
        <w:t>not</w:t>
      </w:r>
      <w:r w:rsidRPr="00B86204">
        <w:rPr>
          <w:rStyle w:val="documentbody"/>
          <w:sz w:val="28"/>
        </w:rPr>
        <w:t xml:space="preserve"> in an institution, nor at risk of entering an institution.  </w:t>
      </w:r>
      <w:proofErr w:type="gramStart"/>
      <w:r w:rsidRPr="00B86204">
        <w:rPr>
          <w:rStyle w:val="documentbody"/>
          <w:i/>
          <w:sz w:val="28"/>
        </w:rPr>
        <w:t>Id.</w:t>
      </w:r>
      <w:r w:rsidRPr="00B86204">
        <w:rPr>
          <w:rStyle w:val="documentbody"/>
          <w:sz w:val="28"/>
        </w:rPr>
        <w:t xml:space="preserve"> at </w:t>
      </w:r>
      <w:r>
        <w:rPr>
          <w:rStyle w:val="documentbody"/>
          <w:sz w:val="28"/>
        </w:rPr>
        <w:t xml:space="preserve">162-66, </w:t>
      </w:r>
      <w:r w:rsidRPr="00B86204">
        <w:rPr>
          <w:rStyle w:val="documentbody"/>
          <w:sz w:val="28"/>
        </w:rPr>
        <w:t>173.</w:t>
      </w:r>
      <w:proofErr w:type="gramEnd"/>
      <w:r w:rsidRPr="00B86204">
        <w:rPr>
          <w:rStyle w:val="documentbody"/>
          <w:sz w:val="28"/>
        </w:rPr>
        <w:t xml:space="preserve">  Instead, as specifically noted by the First Circuit, the case was about the adequacy of </w:t>
      </w:r>
      <w:r>
        <w:rPr>
          <w:rStyle w:val="documentbody"/>
          <w:sz w:val="28"/>
        </w:rPr>
        <w:t xml:space="preserve">mental health </w:t>
      </w:r>
      <w:r w:rsidRPr="00B86204">
        <w:rPr>
          <w:rStyle w:val="documentbody"/>
          <w:sz w:val="28"/>
        </w:rPr>
        <w:t>treatm</w:t>
      </w:r>
      <w:r>
        <w:rPr>
          <w:rStyle w:val="documentbody"/>
          <w:sz w:val="28"/>
        </w:rPr>
        <w:t>ent and thus</w:t>
      </w:r>
      <w:r w:rsidRPr="00B86204">
        <w:rPr>
          <w:rStyle w:val="documentbody"/>
          <w:sz w:val="28"/>
        </w:rPr>
        <w:t xml:space="preserve"> is not rele</w:t>
      </w:r>
      <w:r>
        <w:rPr>
          <w:rStyle w:val="documentbody"/>
          <w:sz w:val="28"/>
        </w:rPr>
        <w:t xml:space="preserve">vant to the Plaintiffs’ ADA claims regarding a risk of institutionalization.  </w:t>
      </w:r>
      <w:proofErr w:type="gramStart"/>
      <w:r w:rsidRPr="00B86204">
        <w:rPr>
          <w:rStyle w:val="documentbody"/>
          <w:i/>
          <w:sz w:val="28"/>
        </w:rPr>
        <w:t>Id.</w:t>
      </w:r>
      <w:r w:rsidRPr="00B86204">
        <w:rPr>
          <w:rStyle w:val="documentbody"/>
          <w:sz w:val="28"/>
        </w:rPr>
        <w:t xml:space="preserve"> at 17</w:t>
      </w:r>
      <w:r>
        <w:rPr>
          <w:rStyle w:val="documentbody"/>
          <w:sz w:val="28"/>
        </w:rPr>
        <w:t>3-7</w:t>
      </w:r>
      <w:r w:rsidRPr="00B86204">
        <w:rPr>
          <w:rStyle w:val="documentbody"/>
          <w:sz w:val="28"/>
        </w:rPr>
        <w:t>5.</w:t>
      </w:r>
      <w:proofErr w:type="gramEnd"/>
    </w:p>
    <w:p w:rsidR="00667978" w:rsidRPr="00957BDD" w:rsidRDefault="00667978">
      <w:pPr>
        <w:pStyle w:val="FootnoteText"/>
      </w:pPr>
    </w:p>
  </w:footnote>
  <w:footnote w:id="7">
    <w:p w:rsidR="00667978" w:rsidRPr="00106FAB" w:rsidRDefault="00667978">
      <w:pPr>
        <w:pStyle w:val="FootnoteText"/>
        <w:rPr>
          <w:sz w:val="28"/>
        </w:rPr>
      </w:pPr>
      <w:r>
        <w:rPr>
          <w:rStyle w:val="FootnoteReference"/>
        </w:rPr>
        <w:footnoteRef/>
      </w:r>
      <w:r>
        <w:t xml:space="preserve"> </w:t>
      </w:r>
      <w:r w:rsidRPr="00211CB4">
        <w:rPr>
          <w:sz w:val="28"/>
        </w:rPr>
        <w:t xml:space="preserve">The Court concluded that Defendant’s actions violated the ADA.  Order, ECF No. 113, at 21-22.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6C3" w:rsidRDefault="006836C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6C3" w:rsidRDefault="006836C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6C3" w:rsidRDefault="006836C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7CA1"/>
    <w:multiLevelType w:val="hybridMultilevel"/>
    <w:tmpl w:val="F914F9DE"/>
    <w:lvl w:ilvl="0" w:tplc="96DAA186">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0CC7857"/>
    <w:multiLevelType w:val="hybridMultilevel"/>
    <w:tmpl w:val="C5FA83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0C2BFF"/>
    <w:multiLevelType w:val="hybridMultilevel"/>
    <w:tmpl w:val="B60201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F64832"/>
    <w:multiLevelType w:val="hybridMultilevel"/>
    <w:tmpl w:val="8312B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256E91"/>
    <w:multiLevelType w:val="hybridMultilevel"/>
    <w:tmpl w:val="7C9CE2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0C00E5"/>
    <w:multiLevelType w:val="hybridMultilevel"/>
    <w:tmpl w:val="E4C29EC4"/>
    <w:lvl w:ilvl="0" w:tplc="90CEB37E">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153B2A"/>
    <w:multiLevelType w:val="hybridMultilevel"/>
    <w:tmpl w:val="C4D225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061ED6"/>
    <w:multiLevelType w:val="hybridMultilevel"/>
    <w:tmpl w:val="094ADA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B063AF"/>
    <w:multiLevelType w:val="hybridMultilevel"/>
    <w:tmpl w:val="4F50217C"/>
    <w:lvl w:ilvl="0" w:tplc="1528EA94">
      <w:start w:val="1"/>
      <w:numFmt w:val="upperLetter"/>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BF264D"/>
    <w:multiLevelType w:val="hybridMultilevel"/>
    <w:tmpl w:val="0CDCC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9E58C7"/>
    <w:multiLevelType w:val="hybridMultilevel"/>
    <w:tmpl w:val="31FE4F00"/>
    <w:lvl w:ilvl="0" w:tplc="6F0ECD3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9276308"/>
    <w:multiLevelType w:val="hybridMultilevel"/>
    <w:tmpl w:val="3BBACC7C"/>
    <w:lvl w:ilvl="0" w:tplc="B1E057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9E96362"/>
    <w:multiLevelType w:val="hybridMultilevel"/>
    <w:tmpl w:val="30C2FD90"/>
    <w:lvl w:ilvl="0" w:tplc="388A88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
  </w:num>
  <w:num w:numId="3">
    <w:abstractNumId w:val="8"/>
  </w:num>
  <w:num w:numId="4">
    <w:abstractNumId w:val="3"/>
  </w:num>
  <w:num w:numId="5">
    <w:abstractNumId w:val="5"/>
  </w:num>
  <w:num w:numId="6">
    <w:abstractNumId w:val="6"/>
  </w:num>
  <w:num w:numId="7">
    <w:abstractNumId w:val="2"/>
  </w:num>
  <w:num w:numId="8">
    <w:abstractNumId w:val="4"/>
  </w:num>
  <w:num w:numId="9">
    <w:abstractNumId w:val="11"/>
  </w:num>
  <w:num w:numId="10">
    <w:abstractNumId w:val="10"/>
  </w:num>
  <w:num w:numId="11">
    <w:abstractNumId w:val="9"/>
  </w:num>
  <w:num w:numId="12">
    <w:abstractNumId w:val="7"/>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docVars>
    <w:docVar w:name="_CITRUS_JURISDICTION" w:val="Bluebook"/>
  </w:docVars>
  <w:rsids>
    <w:rsidRoot w:val="00770289"/>
    <w:rsid w:val="00010444"/>
    <w:rsid w:val="00031A83"/>
    <w:rsid w:val="0004126A"/>
    <w:rsid w:val="00060B33"/>
    <w:rsid w:val="00072167"/>
    <w:rsid w:val="0007426E"/>
    <w:rsid w:val="00085AAD"/>
    <w:rsid w:val="00091685"/>
    <w:rsid w:val="000946EF"/>
    <w:rsid w:val="00097939"/>
    <w:rsid w:val="00097D0F"/>
    <w:rsid w:val="000A6766"/>
    <w:rsid w:val="000B060B"/>
    <w:rsid w:val="000B6D11"/>
    <w:rsid w:val="000C17CF"/>
    <w:rsid w:val="001021DC"/>
    <w:rsid w:val="00106FAB"/>
    <w:rsid w:val="001119AC"/>
    <w:rsid w:val="00113672"/>
    <w:rsid w:val="00140361"/>
    <w:rsid w:val="0014612B"/>
    <w:rsid w:val="00146DB6"/>
    <w:rsid w:val="0014732C"/>
    <w:rsid w:val="00147DA8"/>
    <w:rsid w:val="00147F10"/>
    <w:rsid w:val="00171A3B"/>
    <w:rsid w:val="00177606"/>
    <w:rsid w:val="001A2F16"/>
    <w:rsid w:val="001A6C17"/>
    <w:rsid w:val="001C0F9A"/>
    <w:rsid w:val="001C1167"/>
    <w:rsid w:val="001E3381"/>
    <w:rsid w:val="001F0287"/>
    <w:rsid w:val="001F3F5C"/>
    <w:rsid w:val="001F6C0A"/>
    <w:rsid w:val="00211CB4"/>
    <w:rsid w:val="00224D48"/>
    <w:rsid w:val="002329DB"/>
    <w:rsid w:val="00236B24"/>
    <w:rsid w:val="00280874"/>
    <w:rsid w:val="00297E93"/>
    <w:rsid w:val="002B7B40"/>
    <w:rsid w:val="002C0684"/>
    <w:rsid w:val="002C6821"/>
    <w:rsid w:val="00304748"/>
    <w:rsid w:val="00310A69"/>
    <w:rsid w:val="00310E85"/>
    <w:rsid w:val="0031710B"/>
    <w:rsid w:val="00331BC9"/>
    <w:rsid w:val="003350BF"/>
    <w:rsid w:val="003420B9"/>
    <w:rsid w:val="003533F2"/>
    <w:rsid w:val="00354465"/>
    <w:rsid w:val="00356F6C"/>
    <w:rsid w:val="00382E3B"/>
    <w:rsid w:val="003A0F2F"/>
    <w:rsid w:val="003A14CA"/>
    <w:rsid w:val="003A228D"/>
    <w:rsid w:val="003A35D1"/>
    <w:rsid w:val="003A3EC6"/>
    <w:rsid w:val="003A57A9"/>
    <w:rsid w:val="003B2A6C"/>
    <w:rsid w:val="003C0D42"/>
    <w:rsid w:val="003C5262"/>
    <w:rsid w:val="003C7FB7"/>
    <w:rsid w:val="0040016C"/>
    <w:rsid w:val="004074FB"/>
    <w:rsid w:val="0041459A"/>
    <w:rsid w:val="004500CF"/>
    <w:rsid w:val="004674B9"/>
    <w:rsid w:val="00467958"/>
    <w:rsid w:val="004B360D"/>
    <w:rsid w:val="004E0F60"/>
    <w:rsid w:val="00500D11"/>
    <w:rsid w:val="0050219A"/>
    <w:rsid w:val="00505777"/>
    <w:rsid w:val="005218F2"/>
    <w:rsid w:val="005376D6"/>
    <w:rsid w:val="00542E2A"/>
    <w:rsid w:val="005647A0"/>
    <w:rsid w:val="00564EE9"/>
    <w:rsid w:val="00587D9E"/>
    <w:rsid w:val="005908CE"/>
    <w:rsid w:val="00594534"/>
    <w:rsid w:val="005A2121"/>
    <w:rsid w:val="005E4317"/>
    <w:rsid w:val="005E62CB"/>
    <w:rsid w:val="005E7C11"/>
    <w:rsid w:val="005F40BF"/>
    <w:rsid w:val="00602A55"/>
    <w:rsid w:val="0062035E"/>
    <w:rsid w:val="00627A19"/>
    <w:rsid w:val="0063264F"/>
    <w:rsid w:val="006337EC"/>
    <w:rsid w:val="00635AC0"/>
    <w:rsid w:val="00667978"/>
    <w:rsid w:val="006836C3"/>
    <w:rsid w:val="006862B0"/>
    <w:rsid w:val="006B10AD"/>
    <w:rsid w:val="006B2A19"/>
    <w:rsid w:val="006B566D"/>
    <w:rsid w:val="006C18E2"/>
    <w:rsid w:val="006D6CBE"/>
    <w:rsid w:val="006E3F8E"/>
    <w:rsid w:val="006E4440"/>
    <w:rsid w:val="006E5A2A"/>
    <w:rsid w:val="006E62E6"/>
    <w:rsid w:val="00700811"/>
    <w:rsid w:val="00710DAE"/>
    <w:rsid w:val="00725DC9"/>
    <w:rsid w:val="00735F56"/>
    <w:rsid w:val="0073694D"/>
    <w:rsid w:val="007406A0"/>
    <w:rsid w:val="00765F0A"/>
    <w:rsid w:val="00770289"/>
    <w:rsid w:val="00787E15"/>
    <w:rsid w:val="007968FE"/>
    <w:rsid w:val="007A66AD"/>
    <w:rsid w:val="007B6F4B"/>
    <w:rsid w:val="007C2BCB"/>
    <w:rsid w:val="007C6A88"/>
    <w:rsid w:val="00805A08"/>
    <w:rsid w:val="0081483D"/>
    <w:rsid w:val="00821614"/>
    <w:rsid w:val="00822A1E"/>
    <w:rsid w:val="0085478B"/>
    <w:rsid w:val="00872F12"/>
    <w:rsid w:val="008750E8"/>
    <w:rsid w:val="00876834"/>
    <w:rsid w:val="0088491F"/>
    <w:rsid w:val="008B720A"/>
    <w:rsid w:val="008C1DE0"/>
    <w:rsid w:val="008C49EA"/>
    <w:rsid w:val="008C7148"/>
    <w:rsid w:val="008C7A10"/>
    <w:rsid w:val="00910DA4"/>
    <w:rsid w:val="00931428"/>
    <w:rsid w:val="00951E08"/>
    <w:rsid w:val="00957BDD"/>
    <w:rsid w:val="00964E00"/>
    <w:rsid w:val="009826DA"/>
    <w:rsid w:val="009867EB"/>
    <w:rsid w:val="00994F32"/>
    <w:rsid w:val="009960DF"/>
    <w:rsid w:val="009A22D0"/>
    <w:rsid w:val="009A448F"/>
    <w:rsid w:val="009C6C2A"/>
    <w:rsid w:val="009F0AA1"/>
    <w:rsid w:val="00A3757A"/>
    <w:rsid w:val="00A5564F"/>
    <w:rsid w:val="00A57AAF"/>
    <w:rsid w:val="00A57D08"/>
    <w:rsid w:val="00A635F2"/>
    <w:rsid w:val="00A64E2E"/>
    <w:rsid w:val="00A72641"/>
    <w:rsid w:val="00A86B04"/>
    <w:rsid w:val="00A947A8"/>
    <w:rsid w:val="00AA37C9"/>
    <w:rsid w:val="00AB308A"/>
    <w:rsid w:val="00AC2BCD"/>
    <w:rsid w:val="00B17569"/>
    <w:rsid w:val="00B26D6C"/>
    <w:rsid w:val="00B33DA0"/>
    <w:rsid w:val="00B34BB8"/>
    <w:rsid w:val="00B47D49"/>
    <w:rsid w:val="00B5464F"/>
    <w:rsid w:val="00B57A64"/>
    <w:rsid w:val="00B81AD6"/>
    <w:rsid w:val="00B836B7"/>
    <w:rsid w:val="00B86204"/>
    <w:rsid w:val="00BB56E2"/>
    <w:rsid w:val="00BB6305"/>
    <w:rsid w:val="00BC0CD1"/>
    <w:rsid w:val="00BC593C"/>
    <w:rsid w:val="00BC6408"/>
    <w:rsid w:val="00BD63E5"/>
    <w:rsid w:val="00BE2097"/>
    <w:rsid w:val="00BF25F8"/>
    <w:rsid w:val="00C03DC2"/>
    <w:rsid w:val="00C11E01"/>
    <w:rsid w:val="00C12609"/>
    <w:rsid w:val="00C13D3E"/>
    <w:rsid w:val="00C51946"/>
    <w:rsid w:val="00C812D4"/>
    <w:rsid w:val="00C86FFE"/>
    <w:rsid w:val="00CC7E46"/>
    <w:rsid w:val="00CE323C"/>
    <w:rsid w:val="00CE4CB7"/>
    <w:rsid w:val="00CE5230"/>
    <w:rsid w:val="00D03A94"/>
    <w:rsid w:val="00D06722"/>
    <w:rsid w:val="00D06BA1"/>
    <w:rsid w:val="00D12E97"/>
    <w:rsid w:val="00D204E3"/>
    <w:rsid w:val="00D21BEE"/>
    <w:rsid w:val="00D221BC"/>
    <w:rsid w:val="00D64015"/>
    <w:rsid w:val="00D67416"/>
    <w:rsid w:val="00D81D46"/>
    <w:rsid w:val="00D974C1"/>
    <w:rsid w:val="00DA3D75"/>
    <w:rsid w:val="00DB1DB1"/>
    <w:rsid w:val="00DB4FD2"/>
    <w:rsid w:val="00DC2C6A"/>
    <w:rsid w:val="00DE0F1B"/>
    <w:rsid w:val="00DF1D68"/>
    <w:rsid w:val="00E03A57"/>
    <w:rsid w:val="00E041A4"/>
    <w:rsid w:val="00E04829"/>
    <w:rsid w:val="00E11AC4"/>
    <w:rsid w:val="00E147CD"/>
    <w:rsid w:val="00E20855"/>
    <w:rsid w:val="00E22499"/>
    <w:rsid w:val="00E23FD0"/>
    <w:rsid w:val="00E24E4D"/>
    <w:rsid w:val="00E25B45"/>
    <w:rsid w:val="00E34A54"/>
    <w:rsid w:val="00E36176"/>
    <w:rsid w:val="00E50475"/>
    <w:rsid w:val="00E57E71"/>
    <w:rsid w:val="00E60A2E"/>
    <w:rsid w:val="00E60D36"/>
    <w:rsid w:val="00E675A6"/>
    <w:rsid w:val="00E733DD"/>
    <w:rsid w:val="00E81858"/>
    <w:rsid w:val="00E908F5"/>
    <w:rsid w:val="00E93405"/>
    <w:rsid w:val="00E938CB"/>
    <w:rsid w:val="00E967BC"/>
    <w:rsid w:val="00E96A5C"/>
    <w:rsid w:val="00ED3913"/>
    <w:rsid w:val="00EE0F91"/>
    <w:rsid w:val="00EE3F2D"/>
    <w:rsid w:val="00EE7136"/>
    <w:rsid w:val="00F048D2"/>
    <w:rsid w:val="00F16F76"/>
    <w:rsid w:val="00F1706B"/>
    <w:rsid w:val="00F304C0"/>
    <w:rsid w:val="00F30F9C"/>
    <w:rsid w:val="00F438E5"/>
    <w:rsid w:val="00F44966"/>
    <w:rsid w:val="00F55481"/>
    <w:rsid w:val="00F604B3"/>
    <w:rsid w:val="00F7099E"/>
    <w:rsid w:val="00F859D4"/>
    <w:rsid w:val="00FA23C2"/>
    <w:rsid w:val="00FA2D3B"/>
    <w:rsid w:val="00FB78D1"/>
    <w:rsid w:val="00FC50E3"/>
    <w:rsid w:val="00FC5CF3"/>
    <w:rsid w:val="00FE0A85"/>
    <w:rsid w:val="00FE27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19A"/>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EE713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B6305"/>
    <w:pPr>
      <w:keepNext/>
      <w:keepLines/>
      <w:numPr>
        <w:numId w:val="5"/>
      </w:numPr>
      <w:spacing w:before="240" w:after="240" w:line="240" w:lineRule="auto"/>
      <w:ind w:left="2160" w:hanging="720"/>
      <w:outlineLvl w:val="2"/>
    </w:pPr>
    <w:rPr>
      <w:rFonts w:eastAsia="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aliases w:val="ft Char,fn Char,fnt Char"/>
    <w:basedOn w:val="DefaultParagraphFont"/>
    <w:link w:val="FootnoteText"/>
    <w:uiPriority w:val="99"/>
    <w:rsid w:val="003A3EC6"/>
  </w:style>
  <w:style w:type="paragraph" w:styleId="FootnoteText">
    <w:name w:val="footnote text"/>
    <w:aliases w:val="ft,fn,fnt"/>
    <w:basedOn w:val="Normal"/>
    <w:link w:val="FootnoteTextChar"/>
    <w:uiPriority w:val="99"/>
    <w:rsid w:val="003A3EC6"/>
    <w:pPr>
      <w:widowControl w:val="0"/>
      <w:spacing w:after="0" w:line="240" w:lineRule="auto"/>
    </w:pPr>
    <w:rPr>
      <w:sz w:val="24"/>
      <w:szCs w:val="28"/>
    </w:rPr>
  </w:style>
  <w:style w:type="character" w:customStyle="1" w:styleId="FootnoteTextChar1">
    <w:name w:val="Footnote Text Char1"/>
    <w:basedOn w:val="DefaultParagraphFont"/>
    <w:link w:val="FootnoteText"/>
    <w:uiPriority w:val="99"/>
    <w:semiHidden/>
    <w:rsid w:val="003A3EC6"/>
    <w:rPr>
      <w:sz w:val="20"/>
      <w:szCs w:val="20"/>
    </w:rPr>
  </w:style>
  <w:style w:type="character" w:styleId="FootnoteReference">
    <w:name w:val="footnote reference"/>
    <w:basedOn w:val="DefaultParagraphFont"/>
    <w:uiPriority w:val="99"/>
    <w:rsid w:val="003A3EC6"/>
    <w:rPr>
      <w:vertAlign w:val="superscript"/>
    </w:rPr>
  </w:style>
  <w:style w:type="paragraph" w:styleId="Header">
    <w:name w:val="header"/>
    <w:basedOn w:val="Normal"/>
    <w:link w:val="HeaderChar"/>
    <w:uiPriority w:val="99"/>
    <w:semiHidden/>
    <w:unhideWhenUsed/>
    <w:rsid w:val="003A3EC6"/>
    <w:pPr>
      <w:tabs>
        <w:tab w:val="center" w:pos="4680"/>
        <w:tab w:val="right" w:pos="9360"/>
      </w:tabs>
    </w:pPr>
  </w:style>
  <w:style w:type="character" w:customStyle="1" w:styleId="HeaderChar">
    <w:name w:val="Header Char"/>
    <w:basedOn w:val="DefaultParagraphFont"/>
    <w:link w:val="Header"/>
    <w:uiPriority w:val="99"/>
    <w:semiHidden/>
    <w:rsid w:val="003A3EC6"/>
    <w:rPr>
      <w:sz w:val="22"/>
      <w:szCs w:val="22"/>
    </w:rPr>
  </w:style>
  <w:style w:type="paragraph" w:styleId="Footer">
    <w:name w:val="footer"/>
    <w:basedOn w:val="Normal"/>
    <w:link w:val="FooterChar"/>
    <w:uiPriority w:val="99"/>
    <w:unhideWhenUsed/>
    <w:rsid w:val="003A3EC6"/>
    <w:pPr>
      <w:tabs>
        <w:tab w:val="center" w:pos="4680"/>
        <w:tab w:val="right" w:pos="9360"/>
      </w:tabs>
    </w:pPr>
  </w:style>
  <w:style w:type="character" w:customStyle="1" w:styleId="FooterChar">
    <w:name w:val="Footer Char"/>
    <w:basedOn w:val="DefaultParagraphFont"/>
    <w:link w:val="Footer"/>
    <w:uiPriority w:val="99"/>
    <w:rsid w:val="003A3EC6"/>
    <w:rPr>
      <w:sz w:val="22"/>
      <w:szCs w:val="22"/>
    </w:rPr>
  </w:style>
  <w:style w:type="character" w:customStyle="1" w:styleId="Heading3Char">
    <w:name w:val="Heading 3 Char"/>
    <w:basedOn w:val="DefaultParagraphFont"/>
    <w:link w:val="Heading3"/>
    <w:uiPriority w:val="9"/>
    <w:rsid w:val="00BB6305"/>
    <w:rPr>
      <w:rFonts w:eastAsia="Times New Roman" w:cs="Times New Roman"/>
      <w:b/>
      <w:bCs/>
      <w:sz w:val="24"/>
    </w:rPr>
  </w:style>
  <w:style w:type="character" w:styleId="Hyperlink">
    <w:name w:val="Hyperlink"/>
    <w:basedOn w:val="DefaultParagraphFont"/>
    <w:uiPriority w:val="99"/>
    <w:unhideWhenUsed/>
    <w:rsid w:val="005647A0"/>
    <w:rPr>
      <w:color w:val="0000FF"/>
      <w:u w:val="single"/>
    </w:rPr>
  </w:style>
  <w:style w:type="paragraph" w:styleId="BalloonText">
    <w:name w:val="Balloon Text"/>
    <w:basedOn w:val="Normal"/>
    <w:link w:val="BalloonTextChar"/>
    <w:uiPriority w:val="99"/>
    <w:semiHidden/>
    <w:unhideWhenUsed/>
    <w:rsid w:val="00DB4F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FD2"/>
    <w:rPr>
      <w:rFonts w:ascii="Tahoma" w:hAnsi="Tahoma" w:cs="Tahoma"/>
      <w:sz w:val="16"/>
      <w:szCs w:val="16"/>
    </w:rPr>
  </w:style>
  <w:style w:type="character" w:styleId="CommentReference">
    <w:name w:val="annotation reference"/>
    <w:basedOn w:val="DefaultParagraphFont"/>
    <w:uiPriority w:val="99"/>
    <w:semiHidden/>
    <w:unhideWhenUsed/>
    <w:rsid w:val="00DB4FD2"/>
    <w:rPr>
      <w:sz w:val="16"/>
      <w:szCs w:val="16"/>
    </w:rPr>
  </w:style>
  <w:style w:type="paragraph" w:styleId="CommentText">
    <w:name w:val="annotation text"/>
    <w:basedOn w:val="Normal"/>
    <w:link w:val="CommentTextChar"/>
    <w:uiPriority w:val="99"/>
    <w:semiHidden/>
    <w:unhideWhenUsed/>
    <w:rsid w:val="00DB4FD2"/>
    <w:rPr>
      <w:sz w:val="20"/>
      <w:szCs w:val="20"/>
    </w:rPr>
  </w:style>
  <w:style w:type="character" w:customStyle="1" w:styleId="CommentTextChar">
    <w:name w:val="Comment Text Char"/>
    <w:basedOn w:val="DefaultParagraphFont"/>
    <w:link w:val="CommentText"/>
    <w:uiPriority w:val="99"/>
    <w:semiHidden/>
    <w:rsid w:val="00DB4FD2"/>
  </w:style>
  <w:style w:type="paragraph" w:styleId="CommentSubject">
    <w:name w:val="annotation subject"/>
    <w:basedOn w:val="CommentText"/>
    <w:next w:val="CommentText"/>
    <w:link w:val="CommentSubjectChar"/>
    <w:uiPriority w:val="99"/>
    <w:semiHidden/>
    <w:unhideWhenUsed/>
    <w:rsid w:val="00DB4FD2"/>
    <w:rPr>
      <w:b/>
      <w:bCs/>
    </w:rPr>
  </w:style>
  <w:style w:type="character" w:customStyle="1" w:styleId="CommentSubjectChar">
    <w:name w:val="Comment Subject Char"/>
    <w:basedOn w:val="CommentTextChar"/>
    <w:link w:val="CommentSubject"/>
    <w:uiPriority w:val="99"/>
    <w:semiHidden/>
    <w:rsid w:val="00DB4FD2"/>
    <w:rPr>
      <w:b/>
      <w:bCs/>
    </w:rPr>
  </w:style>
  <w:style w:type="paragraph" w:styleId="ListParagraph">
    <w:name w:val="List Paragraph"/>
    <w:basedOn w:val="Normal"/>
    <w:uiPriority w:val="34"/>
    <w:qFormat/>
    <w:rsid w:val="0073694D"/>
    <w:pPr>
      <w:spacing w:after="0" w:line="240" w:lineRule="auto"/>
      <w:ind w:left="720"/>
      <w:contextualSpacing/>
    </w:pPr>
    <w:rPr>
      <w:rFonts w:eastAsia="Times New Roman"/>
      <w:sz w:val="24"/>
      <w:szCs w:val="20"/>
    </w:rPr>
  </w:style>
  <w:style w:type="paragraph" w:styleId="NoSpacing">
    <w:name w:val="No Spacing"/>
    <w:uiPriority w:val="1"/>
    <w:qFormat/>
    <w:rsid w:val="0073694D"/>
    <w:pPr>
      <w:autoSpaceDE w:val="0"/>
      <w:autoSpaceDN w:val="0"/>
      <w:adjustRightInd w:val="0"/>
      <w:ind w:firstLine="720"/>
    </w:pPr>
    <w:rPr>
      <w:rFonts w:ascii="Century Schoolbook" w:eastAsia="Times New Roman" w:hAnsi="Century Schoolbook" w:cs="Segoe Print"/>
      <w:sz w:val="24"/>
      <w:szCs w:val="24"/>
    </w:rPr>
  </w:style>
  <w:style w:type="character" w:customStyle="1" w:styleId="documentbody">
    <w:name w:val="documentbody"/>
    <w:basedOn w:val="DefaultParagraphFont"/>
    <w:rsid w:val="00467958"/>
  </w:style>
  <w:style w:type="paragraph" w:customStyle="1" w:styleId="Default">
    <w:name w:val="Default"/>
    <w:rsid w:val="00382E3B"/>
    <w:pPr>
      <w:autoSpaceDE w:val="0"/>
      <w:autoSpaceDN w:val="0"/>
      <w:adjustRightInd w:val="0"/>
    </w:pPr>
    <w:rPr>
      <w:rFonts w:eastAsiaTheme="minorHAnsi"/>
      <w:color w:val="000000"/>
      <w:sz w:val="24"/>
      <w:szCs w:val="24"/>
    </w:rPr>
  </w:style>
  <w:style w:type="character" w:styleId="Emphasis">
    <w:name w:val="Emphasis"/>
    <w:basedOn w:val="DefaultParagraphFont"/>
    <w:uiPriority w:val="20"/>
    <w:qFormat/>
    <w:rsid w:val="003A0F2F"/>
    <w:rPr>
      <w:i/>
      <w:iCs/>
    </w:rPr>
  </w:style>
  <w:style w:type="character" w:customStyle="1" w:styleId="cosearchterm">
    <w:name w:val="co_searchterm"/>
    <w:basedOn w:val="DefaultParagraphFont"/>
    <w:rsid w:val="00147F10"/>
  </w:style>
  <w:style w:type="character" w:customStyle="1" w:styleId="Heading2Char">
    <w:name w:val="Heading 2 Char"/>
    <w:basedOn w:val="DefaultParagraphFont"/>
    <w:link w:val="Heading2"/>
    <w:uiPriority w:val="9"/>
    <w:semiHidden/>
    <w:rsid w:val="00EE7136"/>
    <w:rPr>
      <w:rFonts w:asciiTheme="majorHAnsi" w:eastAsiaTheme="majorEastAsia" w:hAnsiTheme="majorHAnsi" w:cstheme="majorBidi"/>
      <w:b/>
      <w:bCs/>
      <w:color w:val="4F81BD" w:themeColor="accent1"/>
      <w:sz w:val="26"/>
      <w:szCs w:val="26"/>
    </w:rPr>
  </w:style>
  <w:style w:type="character" w:customStyle="1" w:styleId="cocitatorflag">
    <w:name w:val="co_citatorflag"/>
    <w:basedOn w:val="DefaultParagraphFont"/>
    <w:rsid w:val="00EE7136"/>
  </w:style>
  <w:style w:type="paragraph" w:styleId="Revision">
    <w:name w:val="Revision"/>
    <w:hidden/>
    <w:uiPriority w:val="99"/>
    <w:semiHidden/>
    <w:rsid w:val="00627A19"/>
    <w:rPr>
      <w:sz w:val="22"/>
      <w:szCs w:val="22"/>
    </w:rPr>
  </w:style>
</w:styles>
</file>

<file path=word/webSettings.xml><?xml version="1.0" encoding="utf-8"?>
<w:webSettings xmlns:r="http://schemas.openxmlformats.org/officeDocument/2006/relationships" xmlns:w="http://schemas.openxmlformats.org/wordprocessingml/2006/main">
  <w:divs>
    <w:div w:id="190077434">
      <w:bodyDiv w:val="1"/>
      <w:marLeft w:val="0"/>
      <w:marRight w:val="0"/>
      <w:marTop w:val="0"/>
      <w:marBottom w:val="0"/>
      <w:divBdr>
        <w:top w:val="none" w:sz="0" w:space="0" w:color="auto"/>
        <w:left w:val="none" w:sz="0" w:space="0" w:color="auto"/>
        <w:bottom w:val="none" w:sz="0" w:space="0" w:color="auto"/>
        <w:right w:val="none" w:sz="0" w:space="0" w:color="auto"/>
      </w:divBdr>
      <w:divsChild>
        <w:div w:id="2056812213">
          <w:marLeft w:val="0"/>
          <w:marRight w:val="0"/>
          <w:marTop w:val="0"/>
          <w:marBottom w:val="0"/>
          <w:divBdr>
            <w:top w:val="none" w:sz="0" w:space="0" w:color="auto"/>
            <w:left w:val="none" w:sz="0" w:space="0" w:color="auto"/>
            <w:bottom w:val="none" w:sz="0" w:space="0" w:color="auto"/>
            <w:right w:val="none" w:sz="0" w:space="0" w:color="auto"/>
          </w:divBdr>
        </w:div>
        <w:div w:id="10986018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incent.Herman@usdoj.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61CB8-8CA1-4083-BD7E-5697D4BCC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3401</Words>
  <Characters>19388</Characters>
  <Application>Microsoft Office Word</Application>
  <DocSecurity>0</DocSecurity>
  <Lines>161</Lines>
  <Paragraphs>45</Paragraphs>
  <ScaleCrop>false</ScaleCrop>
  <LinksUpToDate>false</LinksUpToDate>
  <CharactersWithSpaces>22744</CharactersWithSpaces>
  <SharedDoc>false</SharedDoc>
  <HLinks>
    <vt:vector size="6" baseType="variant">
      <vt:variant>
        <vt:i4>7864419</vt:i4>
      </vt:variant>
      <vt:variant>
        <vt:i4>0</vt:i4>
      </vt:variant>
      <vt:variant>
        <vt:i4>0</vt:i4>
      </vt:variant>
      <vt:variant>
        <vt:i4>5</vt:i4>
      </vt:variant>
      <vt:variant>
        <vt:lpwstr>http://www.cms.gov/smdl/downloads/SMD10015.pdf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2013-03-28T14:15:00Z</dcterms:created>
  <dcterms:modified xsi:type="dcterms:W3CDTF">2013-03-28T14:15:00Z</dcterms:modified>
</cp:coreProperties>
</file>