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597" w:rsidRDefault="00F70597" w:rsidP="00F70597">
      <w:pPr>
        <w:jc w:val="center"/>
        <w:rPr>
          <w:b/>
          <w:bCs/>
          <w:szCs w:val="24"/>
        </w:rPr>
      </w:pPr>
      <w:r>
        <w:rPr>
          <w:b/>
          <w:bCs/>
          <w:szCs w:val="24"/>
        </w:rPr>
        <w:t>UNITED STATES DISTRICT COURT FOR THE</w:t>
      </w:r>
    </w:p>
    <w:p w:rsidR="00F70597" w:rsidRDefault="00F70597" w:rsidP="00F70597">
      <w:pPr>
        <w:jc w:val="center"/>
        <w:rPr>
          <w:b/>
          <w:bCs/>
          <w:szCs w:val="24"/>
        </w:rPr>
      </w:pPr>
      <w:r>
        <w:rPr>
          <w:b/>
          <w:bCs/>
          <w:szCs w:val="24"/>
        </w:rPr>
        <w:t>WESTERN DISTRICT OF MISSOURI</w:t>
      </w:r>
    </w:p>
    <w:p w:rsidR="00F70597" w:rsidRDefault="00F70597" w:rsidP="00F70597">
      <w:pPr>
        <w:jc w:val="center"/>
        <w:rPr>
          <w:szCs w:val="24"/>
        </w:rPr>
      </w:pPr>
      <w:r>
        <w:rPr>
          <w:b/>
          <w:bCs/>
          <w:szCs w:val="24"/>
        </w:rPr>
        <w:t>CENTRAL DIVISION</w:t>
      </w:r>
    </w:p>
    <w:p w:rsidR="00F70597" w:rsidRDefault="00F70597" w:rsidP="00F70597">
      <w:pPr>
        <w:rPr>
          <w:szCs w:val="24"/>
        </w:rPr>
      </w:pPr>
    </w:p>
    <w:p w:rsidR="00F70597" w:rsidRDefault="00F70597" w:rsidP="00F70597">
      <w:pPr>
        <w:tabs>
          <w:tab w:val="left" w:pos="720"/>
          <w:tab w:val="left" w:pos="1440"/>
          <w:tab w:val="left" w:pos="2160"/>
          <w:tab w:val="left" w:pos="2880"/>
          <w:tab w:val="left" w:pos="3600"/>
          <w:tab w:val="left" w:pos="4320"/>
          <w:tab w:val="left" w:pos="5040"/>
          <w:tab w:val="left" w:pos="5760"/>
          <w:tab w:val="left" w:pos="6480"/>
        </w:tabs>
        <w:ind w:left="6480" w:hanging="6480"/>
        <w:rPr>
          <w:szCs w:val="24"/>
        </w:rPr>
      </w:pPr>
      <w:r>
        <w:rPr>
          <w:szCs w:val="24"/>
        </w:rPr>
        <w:t>STEVEN HILTIBRAN, by and through his</w:t>
      </w:r>
      <w:r>
        <w:rPr>
          <w:szCs w:val="24"/>
        </w:rPr>
        <w:tab/>
      </w:r>
      <w:r>
        <w:rPr>
          <w:szCs w:val="24"/>
        </w:rPr>
        <w:tab/>
        <w:t>)</w:t>
      </w:r>
    </w:p>
    <w:p w:rsidR="00F70597" w:rsidRDefault="00F70597" w:rsidP="00F70597">
      <w:pPr>
        <w:tabs>
          <w:tab w:val="left" w:pos="720"/>
          <w:tab w:val="left" w:pos="1440"/>
          <w:tab w:val="left" w:pos="2160"/>
          <w:tab w:val="left" w:pos="2880"/>
          <w:tab w:val="left" w:pos="3600"/>
          <w:tab w:val="left" w:pos="4320"/>
          <w:tab w:val="left" w:pos="5040"/>
          <w:tab w:val="left" w:pos="5760"/>
          <w:tab w:val="left" w:pos="6480"/>
        </w:tabs>
        <w:ind w:left="6480" w:hanging="6480"/>
        <w:rPr>
          <w:szCs w:val="24"/>
        </w:rPr>
      </w:pPr>
      <w:r>
        <w:rPr>
          <w:szCs w:val="24"/>
        </w:rPr>
        <w:t>Mother and guardian, Debra Burkhart;</w:t>
      </w:r>
      <w:r>
        <w:rPr>
          <w:szCs w:val="24"/>
        </w:rPr>
        <w:tab/>
      </w:r>
      <w:r>
        <w:rPr>
          <w:szCs w:val="24"/>
        </w:rPr>
        <w:tab/>
        <w:t>)</w:t>
      </w:r>
      <w:r>
        <w:rPr>
          <w:szCs w:val="24"/>
        </w:rPr>
        <w:tab/>
      </w:r>
      <w:r>
        <w:rPr>
          <w:szCs w:val="24"/>
        </w:rPr>
        <w:tab/>
      </w:r>
      <w:r>
        <w:rPr>
          <w:szCs w:val="24"/>
        </w:rPr>
        <w:tab/>
      </w:r>
      <w:r>
        <w:rPr>
          <w:szCs w:val="24"/>
        </w:rPr>
        <w:tab/>
      </w:r>
      <w:r>
        <w:rPr>
          <w:szCs w:val="24"/>
        </w:rPr>
        <w:tab/>
      </w:r>
    </w:p>
    <w:p w:rsidR="00F70597" w:rsidRDefault="00F70597" w:rsidP="00F70597">
      <w:pPr>
        <w:tabs>
          <w:tab w:val="left" w:pos="720"/>
          <w:tab w:val="left" w:pos="1440"/>
          <w:tab w:val="left" w:pos="2160"/>
          <w:tab w:val="left" w:pos="2880"/>
          <w:tab w:val="left" w:pos="3600"/>
          <w:tab w:val="left" w:pos="4320"/>
          <w:tab w:val="left" w:pos="5040"/>
          <w:tab w:val="left" w:pos="5760"/>
          <w:tab w:val="left" w:pos="6480"/>
        </w:tabs>
        <w:ind w:left="6480" w:hanging="6480"/>
        <w:rPr>
          <w:szCs w:val="24"/>
        </w:rPr>
      </w:pPr>
      <w:r>
        <w:rPr>
          <w:szCs w:val="24"/>
        </w:rPr>
        <w:t>NICHOLAS TATUM, by and through his</w:t>
      </w:r>
      <w:r>
        <w:rPr>
          <w:szCs w:val="24"/>
        </w:rPr>
        <w:tab/>
      </w:r>
      <w:r>
        <w:rPr>
          <w:szCs w:val="24"/>
        </w:rPr>
        <w:tab/>
        <w:t>)</w:t>
      </w:r>
    </w:p>
    <w:p w:rsidR="00F70597" w:rsidRDefault="00F70597" w:rsidP="00F70597">
      <w:pPr>
        <w:tabs>
          <w:tab w:val="left" w:pos="720"/>
          <w:tab w:val="left" w:pos="1440"/>
          <w:tab w:val="left" w:pos="2160"/>
          <w:tab w:val="left" w:pos="2880"/>
          <w:tab w:val="left" w:pos="3600"/>
          <w:tab w:val="left" w:pos="4320"/>
          <w:tab w:val="left" w:pos="5040"/>
          <w:tab w:val="left" w:pos="5760"/>
          <w:tab w:val="left" w:pos="6480"/>
        </w:tabs>
        <w:ind w:left="6480" w:hanging="6480"/>
        <w:rPr>
          <w:szCs w:val="24"/>
        </w:rPr>
      </w:pPr>
      <w:r>
        <w:rPr>
          <w:szCs w:val="24"/>
        </w:rPr>
        <w:t>Mother and next friend, Stacy Tatum;</w:t>
      </w:r>
      <w:r>
        <w:rPr>
          <w:szCs w:val="24"/>
        </w:rPr>
        <w:tab/>
      </w:r>
      <w:r>
        <w:rPr>
          <w:szCs w:val="24"/>
        </w:rPr>
        <w:tab/>
        <w:t>)</w:t>
      </w:r>
    </w:p>
    <w:p w:rsidR="00F70597" w:rsidRDefault="00F70597" w:rsidP="00F70597">
      <w:pPr>
        <w:tabs>
          <w:tab w:val="left" w:pos="720"/>
          <w:tab w:val="left" w:pos="1440"/>
          <w:tab w:val="left" w:pos="2160"/>
          <w:tab w:val="left" w:pos="2880"/>
          <w:tab w:val="left" w:pos="3600"/>
          <w:tab w:val="left" w:pos="4320"/>
          <w:tab w:val="left" w:pos="5040"/>
          <w:tab w:val="left" w:pos="5760"/>
          <w:tab w:val="left" w:pos="6480"/>
        </w:tabs>
        <w:ind w:left="6480" w:hanging="6480"/>
        <w:rPr>
          <w:szCs w:val="24"/>
        </w:rPr>
      </w:pPr>
      <w:r>
        <w:rPr>
          <w:szCs w:val="24"/>
        </w:rPr>
        <w:t>RONALD COONTZ, by and through his</w:t>
      </w:r>
      <w:r>
        <w:rPr>
          <w:szCs w:val="24"/>
        </w:rPr>
        <w:tab/>
      </w:r>
      <w:r>
        <w:rPr>
          <w:szCs w:val="24"/>
        </w:rPr>
        <w:tab/>
        <w:t>)</w:t>
      </w:r>
    </w:p>
    <w:p w:rsidR="00F70597" w:rsidRDefault="00F70597" w:rsidP="00F70597">
      <w:pPr>
        <w:tabs>
          <w:tab w:val="left" w:pos="720"/>
          <w:tab w:val="left" w:pos="1440"/>
          <w:tab w:val="left" w:pos="2160"/>
          <w:tab w:val="left" w:pos="2880"/>
          <w:tab w:val="left" w:pos="3600"/>
          <w:tab w:val="left" w:pos="4320"/>
          <w:tab w:val="left" w:pos="5040"/>
          <w:tab w:val="left" w:pos="5760"/>
          <w:tab w:val="left" w:pos="6480"/>
        </w:tabs>
        <w:ind w:left="6480" w:hanging="6480"/>
        <w:rPr>
          <w:szCs w:val="24"/>
        </w:rPr>
      </w:pPr>
      <w:r>
        <w:rPr>
          <w:szCs w:val="24"/>
        </w:rPr>
        <w:t>Mother and guardian, Patricia Coontz; and</w:t>
      </w:r>
      <w:r>
        <w:rPr>
          <w:szCs w:val="24"/>
        </w:rPr>
        <w:tab/>
      </w:r>
      <w:r>
        <w:rPr>
          <w:szCs w:val="24"/>
        </w:rPr>
        <w:tab/>
        <w:t>)</w:t>
      </w:r>
    </w:p>
    <w:p w:rsidR="00F70597" w:rsidRDefault="00F70597" w:rsidP="00F70597">
      <w:pPr>
        <w:tabs>
          <w:tab w:val="left" w:pos="720"/>
          <w:tab w:val="left" w:pos="1440"/>
          <w:tab w:val="left" w:pos="2160"/>
          <w:tab w:val="left" w:pos="2880"/>
          <w:tab w:val="left" w:pos="3600"/>
          <w:tab w:val="left" w:pos="4320"/>
          <w:tab w:val="left" w:pos="5040"/>
          <w:tab w:val="left" w:pos="5760"/>
          <w:tab w:val="left" w:pos="6480"/>
        </w:tabs>
        <w:ind w:left="6480" w:hanging="6480"/>
        <w:rPr>
          <w:szCs w:val="24"/>
        </w:rPr>
      </w:pPr>
      <w:r>
        <w:rPr>
          <w:szCs w:val="24"/>
        </w:rPr>
        <w:t>NENA HAMMOND,</w:t>
      </w:r>
      <w:r>
        <w:rPr>
          <w:szCs w:val="24"/>
        </w:rPr>
        <w:tab/>
      </w:r>
      <w:r>
        <w:rPr>
          <w:szCs w:val="24"/>
        </w:rPr>
        <w:tab/>
      </w:r>
      <w:r>
        <w:rPr>
          <w:szCs w:val="24"/>
        </w:rPr>
        <w:tab/>
      </w:r>
      <w:r>
        <w:rPr>
          <w:szCs w:val="24"/>
        </w:rPr>
        <w:tab/>
      </w:r>
      <w:r>
        <w:rPr>
          <w:szCs w:val="24"/>
        </w:rPr>
        <w:tab/>
        <w:t>)</w:t>
      </w:r>
    </w:p>
    <w:p w:rsidR="00F70597" w:rsidRDefault="00F70597" w:rsidP="00F70597">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Cs w:val="24"/>
        </w:rPr>
      </w:pPr>
      <w:r>
        <w:rPr>
          <w:szCs w:val="24"/>
        </w:rPr>
        <w:tab/>
      </w:r>
      <w:r>
        <w:rPr>
          <w:szCs w:val="24"/>
        </w:rPr>
        <w:tab/>
      </w:r>
      <w:r>
        <w:rPr>
          <w:szCs w:val="24"/>
        </w:rPr>
        <w:tab/>
        <w:t xml:space="preserve">Plaintiffs, </w:t>
      </w:r>
      <w:r>
        <w:rPr>
          <w:szCs w:val="24"/>
        </w:rPr>
        <w:tab/>
      </w:r>
      <w:r>
        <w:rPr>
          <w:szCs w:val="24"/>
        </w:rPr>
        <w:tab/>
      </w:r>
      <w:r>
        <w:rPr>
          <w:szCs w:val="24"/>
        </w:rPr>
        <w:tab/>
        <w:t xml:space="preserve">) </w:t>
      </w:r>
      <w:r>
        <w:rPr>
          <w:szCs w:val="24"/>
        </w:rPr>
        <w:tab/>
        <w:t>Case No. 10-4185-CV-C-NKL</w:t>
      </w:r>
    </w:p>
    <w:p w:rsidR="00F70597" w:rsidRDefault="00F70597" w:rsidP="00F70597">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Cs w:val="24"/>
        </w:rPr>
      </w:pPr>
      <w:r>
        <w:rPr>
          <w:szCs w:val="24"/>
        </w:rPr>
        <w:t xml:space="preserve">v. </w:t>
      </w:r>
      <w:r>
        <w:rPr>
          <w:szCs w:val="24"/>
        </w:rPr>
        <w:tab/>
      </w:r>
      <w:r>
        <w:rPr>
          <w:szCs w:val="24"/>
        </w:rPr>
        <w:tab/>
      </w:r>
      <w:r>
        <w:rPr>
          <w:szCs w:val="24"/>
        </w:rPr>
        <w:tab/>
      </w:r>
      <w:r>
        <w:rPr>
          <w:szCs w:val="24"/>
        </w:rPr>
        <w:tab/>
      </w:r>
      <w:r>
        <w:rPr>
          <w:szCs w:val="24"/>
        </w:rPr>
        <w:tab/>
      </w:r>
      <w:r>
        <w:rPr>
          <w:szCs w:val="24"/>
        </w:rPr>
        <w:tab/>
      </w:r>
      <w:r>
        <w:rPr>
          <w:szCs w:val="24"/>
        </w:rPr>
        <w:tab/>
        <w:t>)</w:t>
      </w:r>
    </w:p>
    <w:p w:rsidR="00F70597" w:rsidRDefault="00F70597" w:rsidP="00F70597">
      <w:pPr>
        <w:rPr>
          <w:szCs w:val="24"/>
        </w:rPr>
      </w:pPr>
      <w:r>
        <w:rPr>
          <w:szCs w:val="24"/>
        </w:rPr>
        <w:t>RONALD J. LEVY, in his official capacity</w:t>
      </w:r>
      <w:r>
        <w:rPr>
          <w:szCs w:val="24"/>
        </w:rPr>
        <w:tab/>
      </w:r>
      <w:r>
        <w:rPr>
          <w:szCs w:val="24"/>
        </w:rPr>
        <w:tab/>
        <w:t>)</w:t>
      </w:r>
    </w:p>
    <w:p w:rsidR="00F70597" w:rsidRDefault="00F70597" w:rsidP="00F70597">
      <w:pPr>
        <w:rPr>
          <w:szCs w:val="24"/>
        </w:rPr>
      </w:pPr>
      <w:r>
        <w:rPr>
          <w:szCs w:val="24"/>
        </w:rPr>
        <w:t xml:space="preserve">As Director of the Missouri Department of </w:t>
      </w:r>
      <w:r>
        <w:rPr>
          <w:szCs w:val="24"/>
        </w:rPr>
        <w:tab/>
      </w:r>
      <w:r>
        <w:rPr>
          <w:szCs w:val="24"/>
        </w:rPr>
        <w:tab/>
        <w:t>)</w:t>
      </w:r>
    </w:p>
    <w:p w:rsidR="00F70597" w:rsidRDefault="00F70597" w:rsidP="00F70597">
      <w:pPr>
        <w:rPr>
          <w:szCs w:val="24"/>
        </w:rPr>
      </w:pPr>
      <w:r>
        <w:rPr>
          <w:szCs w:val="24"/>
        </w:rPr>
        <w:t>Social Services; and</w:t>
      </w:r>
      <w:r>
        <w:rPr>
          <w:szCs w:val="24"/>
        </w:rPr>
        <w:tab/>
      </w:r>
      <w:r>
        <w:rPr>
          <w:szCs w:val="24"/>
        </w:rPr>
        <w:tab/>
      </w:r>
      <w:r>
        <w:rPr>
          <w:szCs w:val="24"/>
        </w:rPr>
        <w:tab/>
      </w:r>
      <w:r>
        <w:rPr>
          <w:szCs w:val="24"/>
        </w:rPr>
        <w:tab/>
      </w:r>
      <w:r>
        <w:rPr>
          <w:szCs w:val="24"/>
        </w:rPr>
        <w:tab/>
        <w:t>)</w:t>
      </w:r>
    </w:p>
    <w:p w:rsidR="00F70597" w:rsidRDefault="00F70597" w:rsidP="00F70597">
      <w:pPr>
        <w:rPr>
          <w:szCs w:val="24"/>
        </w:rPr>
      </w:pPr>
      <w:r>
        <w:rPr>
          <w:szCs w:val="24"/>
        </w:rPr>
        <w:t>IAN McCASLIN, M.D., in his official</w:t>
      </w:r>
      <w:r>
        <w:rPr>
          <w:szCs w:val="24"/>
        </w:rPr>
        <w:tab/>
      </w:r>
      <w:r>
        <w:rPr>
          <w:szCs w:val="24"/>
        </w:rPr>
        <w:tab/>
        <w:t>)</w:t>
      </w:r>
    </w:p>
    <w:p w:rsidR="00F70597" w:rsidRDefault="00F70597" w:rsidP="00F70597">
      <w:pPr>
        <w:rPr>
          <w:szCs w:val="24"/>
        </w:rPr>
      </w:pPr>
      <w:r>
        <w:rPr>
          <w:szCs w:val="24"/>
        </w:rPr>
        <w:t>Capacity as Director of the MO HealthNet</w:t>
      </w:r>
      <w:r>
        <w:rPr>
          <w:szCs w:val="24"/>
        </w:rPr>
        <w:tab/>
      </w:r>
      <w:r>
        <w:rPr>
          <w:szCs w:val="24"/>
        </w:rPr>
        <w:tab/>
        <w:t>)</w:t>
      </w:r>
    </w:p>
    <w:p w:rsidR="00F70597" w:rsidRDefault="00F70597" w:rsidP="00F70597">
      <w:pPr>
        <w:rPr>
          <w:szCs w:val="24"/>
        </w:rPr>
      </w:pPr>
      <w:r>
        <w:rPr>
          <w:szCs w:val="24"/>
        </w:rPr>
        <w:t>Division,</w:t>
      </w:r>
      <w:r>
        <w:rPr>
          <w:szCs w:val="24"/>
        </w:rPr>
        <w:tab/>
      </w:r>
      <w:r>
        <w:rPr>
          <w:szCs w:val="24"/>
        </w:rPr>
        <w:tab/>
      </w:r>
      <w:r>
        <w:rPr>
          <w:szCs w:val="24"/>
        </w:rPr>
        <w:tab/>
      </w:r>
      <w:r>
        <w:rPr>
          <w:szCs w:val="24"/>
        </w:rPr>
        <w:tab/>
      </w:r>
      <w:r>
        <w:rPr>
          <w:szCs w:val="24"/>
        </w:rPr>
        <w:tab/>
      </w:r>
      <w:r>
        <w:rPr>
          <w:szCs w:val="24"/>
        </w:rPr>
        <w:tab/>
        <w:t xml:space="preserve">)     </w:t>
      </w:r>
      <w:r>
        <w:rPr>
          <w:szCs w:val="24"/>
        </w:rPr>
        <w:tab/>
      </w:r>
    </w:p>
    <w:p w:rsidR="00F70597" w:rsidRDefault="00F70597" w:rsidP="00F70597">
      <w:pPr>
        <w:tabs>
          <w:tab w:val="left" w:pos="720"/>
          <w:tab w:val="left" w:pos="1440"/>
          <w:tab w:val="left" w:pos="2160"/>
          <w:tab w:val="left" w:pos="2880"/>
          <w:tab w:val="left" w:pos="3600"/>
          <w:tab w:val="left" w:pos="4320"/>
          <w:tab w:val="left" w:pos="5040"/>
          <w:tab w:val="left" w:pos="5760"/>
          <w:tab w:val="left" w:pos="6480"/>
        </w:tabs>
        <w:ind w:left="6480" w:hanging="6480"/>
        <w:rPr>
          <w:szCs w:val="24"/>
        </w:rPr>
      </w:pPr>
      <w:r>
        <w:rPr>
          <w:szCs w:val="24"/>
        </w:rPr>
        <w:tab/>
      </w:r>
      <w:r>
        <w:rPr>
          <w:szCs w:val="24"/>
        </w:rPr>
        <w:tab/>
      </w:r>
      <w:r>
        <w:rPr>
          <w:szCs w:val="24"/>
        </w:rPr>
        <w:tab/>
        <w:t xml:space="preserve">Defendants. </w:t>
      </w:r>
      <w:r>
        <w:rPr>
          <w:szCs w:val="24"/>
        </w:rPr>
        <w:tab/>
      </w:r>
      <w:r>
        <w:rPr>
          <w:szCs w:val="24"/>
        </w:rPr>
        <w:tab/>
      </w:r>
      <w:r>
        <w:rPr>
          <w:szCs w:val="24"/>
        </w:rPr>
        <w:tab/>
        <w:t>)</w:t>
      </w:r>
    </w:p>
    <w:p w:rsidR="00F70597" w:rsidRDefault="00F70597" w:rsidP="00F70597">
      <w:pPr>
        <w:widowControl w:val="0"/>
        <w:jc w:val="center"/>
        <w:rPr>
          <w:b/>
          <w:szCs w:val="24"/>
          <w:u w:val="single"/>
        </w:rPr>
      </w:pPr>
    </w:p>
    <w:p w:rsidR="00F70597" w:rsidRDefault="00F70597" w:rsidP="00F70597">
      <w:pPr>
        <w:widowControl w:val="0"/>
        <w:jc w:val="center"/>
        <w:rPr>
          <w:b/>
          <w:szCs w:val="24"/>
          <w:u w:val="single"/>
        </w:rPr>
      </w:pPr>
      <w:r w:rsidRPr="00A253E6">
        <w:rPr>
          <w:b/>
          <w:szCs w:val="24"/>
          <w:u w:val="single"/>
        </w:rPr>
        <w:t>STATEMENT OF INTEREST OF THE UNITED STATES OF AMERICA</w:t>
      </w:r>
    </w:p>
    <w:p w:rsidR="005C2B57" w:rsidRPr="0030716F" w:rsidRDefault="005C2B57"/>
    <w:p w:rsidR="008C14D9" w:rsidRDefault="002F16FE" w:rsidP="002F16FE">
      <w:pPr>
        <w:autoSpaceDE w:val="0"/>
        <w:autoSpaceDN w:val="0"/>
        <w:adjustRightInd w:val="0"/>
        <w:spacing w:line="480" w:lineRule="auto"/>
        <w:ind w:firstLine="720"/>
        <w:rPr>
          <w:szCs w:val="24"/>
        </w:rPr>
      </w:pPr>
      <w:r>
        <w:rPr>
          <w:szCs w:val="24"/>
        </w:rPr>
        <w:t xml:space="preserve">The United States respectfully submits this Statement of Interest, pursuant to 28 U.S.C. </w:t>
      </w:r>
    </w:p>
    <w:p w:rsidR="0082050C" w:rsidRDefault="002F16FE">
      <w:pPr>
        <w:autoSpaceDE w:val="0"/>
        <w:autoSpaceDN w:val="0"/>
        <w:adjustRightInd w:val="0"/>
        <w:spacing w:line="480" w:lineRule="auto"/>
        <w:rPr>
          <w:szCs w:val="24"/>
        </w:rPr>
      </w:pPr>
      <w:r>
        <w:rPr>
          <w:szCs w:val="24"/>
        </w:rPr>
        <w:t>§</w:t>
      </w:r>
      <w:r w:rsidR="008C14D9">
        <w:rPr>
          <w:szCs w:val="24"/>
        </w:rPr>
        <w:t> </w:t>
      </w:r>
      <w:r>
        <w:rPr>
          <w:szCs w:val="24"/>
        </w:rPr>
        <w:t>517,</w:t>
      </w:r>
      <w:r w:rsidR="008574F6" w:rsidRPr="008574F6">
        <w:rPr>
          <w:rStyle w:val="FootnoteReference"/>
          <w:szCs w:val="24"/>
        </w:rPr>
        <w:t xml:space="preserve"> </w:t>
      </w:r>
      <w:r w:rsidR="008574F6">
        <w:rPr>
          <w:rStyle w:val="FootnoteReference"/>
          <w:szCs w:val="24"/>
        </w:rPr>
        <w:footnoteReference w:id="1"/>
      </w:r>
      <w:r>
        <w:rPr>
          <w:szCs w:val="24"/>
        </w:rPr>
        <w:t xml:space="preserve"> in </w:t>
      </w:r>
      <w:r w:rsidRPr="002F16FE">
        <w:rPr>
          <w:szCs w:val="24"/>
        </w:rPr>
        <w:t>support of Plaintiffs’ Motion for Summary Judgment</w:t>
      </w:r>
      <w:r w:rsidR="00E4260D">
        <w:rPr>
          <w:szCs w:val="24"/>
        </w:rPr>
        <w:t xml:space="preserve"> in regards to the Plaintiffs’ claim under the Americans with Disabilities Act of 1990 (“ADA”), 42 U.S.C. § 12101</w:t>
      </w:r>
      <w:r w:rsidR="00BB58B6">
        <w:rPr>
          <w:szCs w:val="24"/>
        </w:rPr>
        <w:fldChar w:fldCharType="begin"/>
      </w:r>
      <w:r w:rsidR="00E4260D">
        <w:instrText xml:space="preserve"> TA \l "</w:instrText>
      </w:r>
      <w:r w:rsidR="00E4260D" w:rsidRPr="0062697B">
        <w:rPr>
          <w:szCs w:val="24"/>
        </w:rPr>
        <w:instrText>42 U.S.C. § 12101</w:instrText>
      </w:r>
      <w:r w:rsidR="00E4260D">
        <w:instrText xml:space="preserve">" \s "42 U.S.C. § 12101" \c 2 </w:instrText>
      </w:r>
      <w:r w:rsidR="00BB58B6">
        <w:rPr>
          <w:szCs w:val="24"/>
        </w:rPr>
        <w:fldChar w:fldCharType="end"/>
      </w:r>
      <w:r w:rsidR="00E4260D">
        <w:rPr>
          <w:szCs w:val="24"/>
        </w:rPr>
        <w:t xml:space="preserve">, </w:t>
      </w:r>
      <w:r w:rsidR="00E4260D" w:rsidRPr="007C229E">
        <w:rPr>
          <w:i/>
          <w:szCs w:val="24"/>
        </w:rPr>
        <w:t>et. seq</w:t>
      </w:r>
      <w:r w:rsidR="00E4260D">
        <w:rPr>
          <w:szCs w:val="24"/>
        </w:rPr>
        <w:t xml:space="preserve">.  </w:t>
      </w:r>
      <w:r w:rsidRPr="002F16FE">
        <w:rPr>
          <w:szCs w:val="24"/>
        </w:rPr>
        <w:t>As</w:t>
      </w:r>
      <w:r>
        <w:rPr>
          <w:szCs w:val="24"/>
        </w:rPr>
        <w:t xml:space="preserve"> noted in the United States’ first Statement of Interest in this matter, this litigation implicates the proper interpretation and application of the integration mandate of Title II of the </w:t>
      </w:r>
      <w:r w:rsidR="00E4260D">
        <w:rPr>
          <w:szCs w:val="24"/>
        </w:rPr>
        <w:t>ADA</w:t>
      </w:r>
      <w:r>
        <w:rPr>
          <w:szCs w:val="24"/>
        </w:rPr>
        <w:t xml:space="preserve">, </w:t>
      </w:r>
      <w:r w:rsidRPr="007A38D4">
        <w:rPr>
          <w:i/>
          <w:szCs w:val="24"/>
        </w:rPr>
        <w:t>See</w:t>
      </w:r>
      <w:r>
        <w:rPr>
          <w:szCs w:val="24"/>
        </w:rPr>
        <w:t xml:space="preserve"> </w:t>
      </w:r>
      <w:r>
        <w:rPr>
          <w:i/>
          <w:iCs/>
          <w:szCs w:val="24"/>
        </w:rPr>
        <w:t>Olmstead v. L.C.</w:t>
      </w:r>
      <w:r>
        <w:rPr>
          <w:szCs w:val="24"/>
        </w:rPr>
        <w:t>, 527 U.S. 581 (1999)</w:t>
      </w:r>
      <w:r w:rsidR="00BB58B6">
        <w:rPr>
          <w:szCs w:val="24"/>
        </w:rPr>
        <w:fldChar w:fldCharType="begin"/>
      </w:r>
      <w:r>
        <w:instrText xml:space="preserve"> TA \l "</w:instrText>
      </w:r>
      <w:r w:rsidRPr="00651D72">
        <w:rPr>
          <w:i/>
          <w:iCs/>
          <w:szCs w:val="24"/>
        </w:rPr>
        <w:instrText>Olmstead v. L.C.</w:instrText>
      </w:r>
      <w:r w:rsidRPr="00651D72">
        <w:rPr>
          <w:szCs w:val="24"/>
        </w:rPr>
        <w:instrText>, 527 U.S. 581 (1999)</w:instrText>
      </w:r>
      <w:r>
        <w:instrText xml:space="preserve">" \s "Olmstead v. L.C., 527 U.S. 581 (1999)" \c 1 </w:instrText>
      </w:r>
      <w:r w:rsidR="00BB58B6">
        <w:rPr>
          <w:szCs w:val="24"/>
        </w:rPr>
        <w:fldChar w:fldCharType="end"/>
      </w:r>
      <w:r>
        <w:rPr>
          <w:szCs w:val="24"/>
        </w:rPr>
        <w:t>.  The Attorney General has authority to e</w:t>
      </w:r>
      <w:r w:rsidR="006C47CA">
        <w:rPr>
          <w:szCs w:val="24"/>
        </w:rPr>
        <w:t xml:space="preserve">nforce Title II of the ADA, and </w:t>
      </w:r>
      <w:r>
        <w:rPr>
          <w:szCs w:val="24"/>
        </w:rPr>
        <w:t xml:space="preserve">pursuant </w:t>
      </w:r>
      <w:r>
        <w:rPr>
          <w:szCs w:val="24"/>
        </w:rPr>
        <w:lastRenderedPageBreak/>
        <w:t xml:space="preserve">to Congressional mandate, to issue regulations setting forth the forms of discrimination prohibited by Title II.  </w:t>
      </w:r>
      <w:proofErr w:type="gramStart"/>
      <w:r>
        <w:rPr>
          <w:szCs w:val="24"/>
        </w:rPr>
        <w:t>42 U.S.C §</w:t>
      </w:r>
      <w:r w:rsidR="008C14D9">
        <w:rPr>
          <w:szCs w:val="24"/>
        </w:rPr>
        <w:t> 1</w:t>
      </w:r>
      <w:r>
        <w:rPr>
          <w:szCs w:val="24"/>
        </w:rPr>
        <w:t>2134</w:t>
      </w:r>
      <w:r w:rsidR="00BB58B6">
        <w:rPr>
          <w:szCs w:val="24"/>
        </w:rPr>
        <w:fldChar w:fldCharType="begin"/>
      </w:r>
      <w:r>
        <w:instrText xml:space="preserve"> TA \l "</w:instrText>
      </w:r>
      <w:r w:rsidRPr="00090EB1">
        <w:rPr>
          <w:szCs w:val="24"/>
        </w:rPr>
        <w:instrText>42 U.S.C § 12134</w:instrText>
      </w:r>
      <w:r>
        <w:instrText xml:space="preserve">" \s "42 U.S.C § 12134" \c 2 </w:instrText>
      </w:r>
      <w:r w:rsidR="00BB58B6">
        <w:rPr>
          <w:szCs w:val="24"/>
        </w:rPr>
        <w:fldChar w:fldCharType="end"/>
      </w:r>
      <w:r>
        <w:rPr>
          <w:szCs w:val="24"/>
        </w:rPr>
        <w:t>.</w:t>
      </w:r>
      <w:proofErr w:type="gramEnd"/>
      <w:r>
        <w:rPr>
          <w:szCs w:val="24"/>
        </w:rPr>
        <w:t xml:space="preserve">  The United States thus has a strong interest in this matter.</w:t>
      </w:r>
    </w:p>
    <w:p w:rsidR="00E4260D" w:rsidRDefault="00E4260D" w:rsidP="00D80AC7">
      <w:pPr>
        <w:autoSpaceDE w:val="0"/>
        <w:autoSpaceDN w:val="0"/>
        <w:adjustRightInd w:val="0"/>
        <w:spacing w:line="480" w:lineRule="auto"/>
        <w:ind w:firstLine="720"/>
        <w:rPr>
          <w:szCs w:val="24"/>
        </w:rPr>
      </w:pPr>
    </w:p>
    <w:p w:rsidR="004412A0" w:rsidRDefault="00180677" w:rsidP="00AE17FD">
      <w:pPr>
        <w:autoSpaceDE w:val="0"/>
        <w:autoSpaceDN w:val="0"/>
        <w:adjustRightInd w:val="0"/>
        <w:spacing w:line="480" w:lineRule="auto"/>
        <w:ind w:firstLine="720"/>
        <w:rPr>
          <w:rFonts w:eastAsia="Calibri"/>
          <w:szCs w:val="24"/>
        </w:rPr>
      </w:pPr>
      <w:r>
        <w:rPr>
          <w:rFonts w:eastAsia="Calibri"/>
          <w:szCs w:val="24"/>
        </w:rPr>
        <w:t>Pursuant to Rule 56 of the Federal Rules of Civil Procedure, summary judgment</w:t>
      </w:r>
      <w:r w:rsidR="00C631BA">
        <w:rPr>
          <w:rFonts w:eastAsia="Calibri"/>
          <w:szCs w:val="24"/>
        </w:rPr>
        <w:t xml:space="preserve"> is appropriate if</w:t>
      </w:r>
      <w:r w:rsidRPr="00180677">
        <w:rPr>
          <w:rFonts w:eastAsia="Calibri"/>
          <w:szCs w:val="24"/>
        </w:rPr>
        <w:t xml:space="preserve"> the moving party</w:t>
      </w:r>
      <w:r>
        <w:rPr>
          <w:rFonts w:eastAsia="Calibri"/>
          <w:szCs w:val="24"/>
        </w:rPr>
        <w:t xml:space="preserve"> </w:t>
      </w:r>
      <w:r w:rsidRPr="00180677">
        <w:rPr>
          <w:rFonts w:eastAsia="Calibri"/>
          <w:szCs w:val="24"/>
        </w:rPr>
        <w:t xml:space="preserve">establishes that there are no genuine issues of material fact and that, as a matter of law, the moving party is entitled to judgment. </w:t>
      </w:r>
      <w:r w:rsidR="00C542BD">
        <w:rPr>
          <w:rFonts w:eastAsia="Calibri"/>
          <w:szCs w:val="24"/>
        </w:rPr>
        <w:t xml:space="preserve"> </w:t>
      </w:r>
      <w:proofErr w:type="gramStart"/>
      <w:r>
        <w:rPr>
          <w:rFonts w:eastAsia="Calibri"/>
          <w:szCs w:val="24"/>
        </w:rPr>
        <w:t>Fed.</w:t>
      </w:r>
      <w:proofErr w:type="gramEnd"/>
      <w:r>
        <w:rPr>
          <w:rFonts w:eastAsia="Calibri"/>
          <w:szCs w:val="24"/>
        </w:rPr>
        <w:t xml:space="preserve"> R. Civ. P. 56(a); </w:t>
      </w:r>
      <w:r w:rsidR="00AE17FD" w:rsidRPr="00F16A58">
        <w:rPr>
          <w:i/>
          <w:szCs w:val="24"/>
        </w:rPr>
        <w:t>see</w:t>
      </w:r>
      <w:r w:rsidR="00AE17FD" w:rsidRPr="00F16A58">
        <w:rPr>
          <w:szCs w:val="24"/>
        </w:rPr>
        <w:t xml:space="preserve"> </w:t>
      </w:r>
      <w:r w:rsidR="00AE17FD" w:rsidRPr="00F16A58">
        <w:rPr>
          <w:i/>
          <w:szCs w:val="24"/>
        </w:rPr>
        <w:t>Anderson v. Liberty Lobby, Inc.</w:t>
      </w:r>
      <w:r w:rsidR="00AE17FD" w:rsidRPr="00F16A58">
        <w:rPr>
          <w:szCs w:val="24"/>
        </w:rPr>
        <w:t>, 477 U.S. 242, 247 (1986)</w:t>
      </w:r>
      <w:r w:rsidR="00AE17FD">
        <w:rPr>
          <w:szCs w:val="24"/>
        </w:rPr>
        <w:t xml:space="preserve">; </w:t>
      </w:r>
      <w:r w:rsidR="00AE17FD">
        <w:rPr>
          <w:rFonts w:eastAsia="Calibri"/>
          <w:i/>
          <w:szCs w:val="24"/>
        </w:rPr>
        <w:t>s</w:t>
      </w:r>
      <w:r w:rsidRPr="00AE17FD">
        <w:rPr>
          <w:rFonts w:eastAsia="Calibri"/>
          <w:i/>
          <w:szCs w:val="24"/>
        </w:rPr>
        <w:t>ee</w:t>
      </w:r>
      <w:r w:rsidRPr="00180677">
        <w:rPr>
          <w:rFonts w:eastAsia="Calibri"/>
          <w:szCs w:val="24"/>
        </w:rPr>
        <w:t xml:space="preserve">, </w:t>
      </w:r>
      <w:r w:rsidRPr="00AE17FD">
        <w:rPr>
          <w:rFonts w:eastAsia="Calibri"/>
          <w:i/>
          <w:szCs w:val="24"/>
        </w:rPr>
        <w:t>e.g.</w:t>
      </w:r>
      <w:r w:rsidRPr="00180677">
        <w:rPr>
          <w:rFonts w:eastAsia="Calibri"/>
          <w:szCs w:val="24"/>
        </w:rPr>
        <w:t xml:space="preserve">, </w:t>
      </w:r>
      <w:proofErr w:type="spellStart"/>
      <w:r w:rsidRPr="00AE17FD">
        <w:rPr>
          <w:rFonts w:eastAsia="Calibri"/>
          <w:i/>
          <w:szCs w:val="24"/>
        </w:rPr>
        <w:t>Liebe</w:t>
      </w:r>
      <w:proofErr w:type="spellEnd"/>
      <w:r w:rsidRPr="00AE17FD">
        <w:rPr>
          <w:rFonts w:eastAsia="Calibri"/>
          <w:i/>
          <w:szCs w:val="24"/>
        </w:rPr>
        <w:t xml:space="preserve"> v. Norton</w:t>
      </w:r>
      <w:r w:rsidRPr="00180677">
        <w:rPr>
          <w:rFonts w:eastAsia="Calibri"/>
          <w:szCs w:val="24"/>
        </w:rPr>
        <w:t xml:space="preserve">, 157 F.3d 574, 578 (8th Cir. 1998); </w:t>
      </w:r>
      <w:r w:rsidRPr="00AE17FD">
        <w:rPr>
          <w:rFonts w:eastAsia="Calibri"/>
          <w:i/>
          <w:szCs w:val="24"/>
        </w:rPr>
        <w:t xml:space="preserve">Hall v. </w:t>
      </w:r>
      <w:proofErr w:type="spellStart"/>
      <w:r w:rsidRPr="00AE17FD">
        <w:rPr>
          <w:rFonts w:eastAsia="Calibri"/>
          <w:i/>
          <w:szCs w:val="24"/>
        </w:rPr>
        <w:t>Lhaco</w:t>
      </w:r>
      <w:proofErr w:type="spellEnd"/>
      <w:r w:rsidRPr="00AE17FD">
        <w:rPr>
          <w:rFonts w:eastAsia="Calibri"/>
          <w:i/>
          <w:szCs w:val="24"/>
        </w:rPr>
        <w:t>, Inc.</w:t>
      </w:r>
      <w:r w:rsidRPr="00180677">
        <w:rPr>
          <w:rFonts w:eastAsia="Calibri"/>
          <w:szCs w:val="24"/>
        </w:rPr>
        <w:t xml:space="preserve">, 140 F.3d 1190, 1193 (8th Cir. 1998). </w:t>
      </w:r>
      <w:r w:rsidR="00C631BA">
        <w:rPr>
          <w:rFonts w:eastAsia="Calibri"/>
          <w:szCs w:val="24"/>
        </w:rPr>
        <w:t xml:space="preserve"> </w:t>
      </w:r>
    </w:p>
    <w:p w:rsidR="00FD53A6" w:rsidRPr="00ED63A9" w:rsidRDefault="006B77E1" w:rsidP="00AE17FD">
      <w:pPr>
        <w:autoSpaceDE w:val="0"/>
        <w:autoSpaceDN w:val="0"/>
        <w:adjustRightInd w:val="0"/>
        <w:spacing w:line="480" w:lineRule="auto"/>
        <w:ind w:firstLine="720"/>
        <w:rPr>
          <w:rFonts w:eastAsia="Calibri"/>
          <w:szCs w:val="24"/>
        </w:rPr>
      </w:pPr>
      <w:r>
        <w:rPr>
          <w:szCs w:val="24"/>
        </w:rPr>
        <w:t>The facts presented by both parties are not substantially diffe</w:t>
      </w:r>
      <w:r w:rsidR="004412A0">
        <w:rPr>
          <w:szCs w:val="24"/>
        </w:rPr>
        <w:t>rent from those presented in</w:t>
      </w:r>
      <w:r>
        <w:rPr>
          <w:szCs w:val="24"/>
        </w:rPr>
        <w:t xml:space="preserve"> the briefing for the Plaintiffs’ Motion for a Preliminary Injunction.  </w:t>
      </w:r>
      <w:r w:rsidR="006F65FA">
        <w:rPr>
          <w:rFonts w:eastAsia="Calibri"/>
          <w:szCs w:val="24"/>
        </w:rPr>
        <w:t xml:space="preserve">For the reasons stated in the Statement of Interest filed by the United States in support of Plaintiffs’ Motion for Preliminary Injunction, the United States respectively urges this Court to grant Plaintiffs’ Motion for </w:t>
      </w:r>
      <w:r w:rsidR="00A07B36">
        <w:rPr>
          <w:rFonts w:eastAsia="Calibri"/>
          <w:szCs w:val="24"/>
        </w:rPr>
        <w:t>Summary Judgment</w:t>
      </w:r>
      <w:r w:rsidR="006F65FA">
        <w:rPr>
          <w:rFonts w:eastAsia="Calibri"/>
          <w:szCs w:val="24"/>
        </w:rPr>
        <w:t xml:space="preserve">.  </w:t>
      </w:r>
      <w:r w:rsidR="00C77BC9" w:rsidRPr="00ED63A9">
        <w:rPr>
          <w:szCs w:val="24"/>
        </w:rPr>
        <w:t>(</w:t>
      </w:r>
      <w:r w:rsidR="00A07B36" w:rsidRPr="00A07B36">
        <w:rPr>
          <w:i/>
          <w:szCs w:val="24"/>
        </w:rPr>
        <w:t>See</w:t>
      </w:r>
      <w:r w:rsidR="00A07B36">
        <w:rPr>
          <w:szCs w:val="24"/>
        </w:rPr>
        <w:t xml:space="preserve"> </w:t>
      </w:r>
      <w:r w:rsidR="006F65FA">
        <w:rPr>
          <w:szCs w:val="24"/>
        </w:rPr>
        <w:t>Statement of Interest of the United States,</w:t>
      </w:r>
      <w:r w:rsidR="00C77BC9" w:rsidRPr="00ED63A9">
        <w:rPr>
          <w:rFonts w:eastAsia="Calibri"/>
          <w:szCs w:val="24"/>
        </w:rPr>
        <w:t xml:space="preserve"> Oct. 15, 2010, </w:t>
      </w:r>
      <w:r w:rsidR="006F65FA">
        <w:rPr>
          <w:szCs w:val="24"/>
        </w:rPr>
        <w:t>ECF No. 19.)</w:t>
      </w:r>
      <w:r w:rsidR="00C77BC9">
        <w:rPr>
          <w:b/>
          <w:szCs w:val="24"/>
        </w:rPr>
        <w:t xml:space="preserve">  </w:t>
      </w:r>
      <w:r w:rsidR="00C77BC9">
        <w:rPr>
          <w:szCs w:val="24"/>
        </w:rPr>
        <w:t xml:space="preserve">  </w:t>
      </w:r>
    </w:p>
    <w:p w:rsidR="00FD53A6" w:rsidRDefault="00FD53A6" w:rsidP="00FD53A6">
      <w:pPr>
        <w:numPr>
          <w:ilvl w:val="12"/>
          <w:numId w:val="0"/>
        </w:numPr>
        <w:spacing w:line="480" w:lineRule="auto"/>
        <w:jc w:val="center"/>
        <w:rPr>
          <w:szCs w:val="24"/>
        </w:rPr>
      </w:pPr>
      <w:r>
        <w:rPr>
          <w:b/>
          <w:bCs/>
          <w:szCs w:val="24"/>
          <w:u w:val="single"/>
        </w:rPr>
        <w:t>CONCLUSION</w:t>
      </w:r>
    </w:p>
    <w:p w:rsidR="00FD53A6" w:rsidRDefault="00D46BB6" w:rsidP="00FD53A6">
      <w:pPr>
        <w:numPr>
          <w:ilvl w:val="12"/>
          <w:numId w:val="0"/>
        </w:numPr>
        <w:spacing w:line="480" w:lineRule="auto"/>
        <w:rPr>
          <w:szCs w:val="24"/>
        </w:rPr>
      </w:pPr>
      <w:r>
        <w:rPr>
          <w:szCs w:val="24"/>
        </w:rPr>
        <w:tab/>
        <w:t>Accordingly</w:t>
      </w:r>
      <w:r w:rsidR="00FD53A6">
        <w:rPr>
          <w:szCs w:val="24"/>
        </w:rPr>
        <w:t>, the Court should grant the Plaintiffs’ Motion for Summary Judgment</w:t>
      </w:r>
      <w:r w:rsidR="006B77E1">
        <w:rPr>
          <w:szCs w:val="24"/>
        </w:rPr>
        <w:t xml:space="preserve"> with respect to the Plaintiffs’ claim under the ADA</w:t>
      </w:r>
      <w:r w:rsidR="00FD53A6">
        <w:rPr>
          <w:szCs w:val="24"/>
        </w:rPr>
        <w:t>.  With the Court’s permission, counsel for the United States will be present at any upcoming hearings.</w:t>
      </w:r>
    </w:p>
    <w:p w:rsidR="006F65FA" w:rsidRDefault="00C77F9E" w:rsidP="00C77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Cs w:val="24"/>
        </w:rPr>
      </w:pPr>
      <w:r>
        <w:rPr>
          <w:szCs w:val="24"/>
        </w:rPr>
        <w:t xml:space="preserve">Dated: </w:t>
      </w:r>
      <w:r w:rsidR="008D660D">
        <w:rPr>
          <w:szCs w:val="24"/>
        </w:rPr>
        <w:t>April 4</w:t>
      </w:r>
      <w:r>
        <w:rPr>
          <w:szCs w:val="24"/>
        </w:rPr>
        <w:t>, 2011</w:t>
      </w:r>
    </w:p>
    <w:p w:rsidR="006F65FA" w:rsidRDefault="006F65FA">
      <w:pPr>
        <w:rPr>
          <w:szCs w:val="24"/>
        </w:rPr>
      </w:pPr>
      <w:r>
        <w:rPr>
          <w:szCs w:val="24"/>
        </w:rPr>
        <w:br w:type="page"/>
      </w:r>
    </w:p>
    <w:p w:rsidR="00DE2866" w:rsidRDefault="00DE2866" w:rsidP="00DE2866">
      <w:pPr>
        <w:autoSpaceDE w:val="0"/>
        <w:autoSpaceDN w:val="0"/>
        <w:adjustRightInd w:val="0"/>
        <w:ind w:left="5040"/>
        <w:rPr>
          <w:rFonts w:eastAsia="Calibri"/>
          <w:color w:val="000000"/>
          <w:szCs w:val="24"/>
        </w:rPr>
      </w:pPr>
      <w:r>
        <w:rPr>
          <w:rFonts w:eastAsia="Calibri"/>
          <w:color w:val="000000"/>
          <w:szCs w:val="24"/>
        </w:rPr>
        <w:lastRenderedPageBreak/>
        <w:t>Respectfully submitted,</w:t>
      </w:r>
    </w:p>
    <w:p w:rsidR="00DE2866" w:rsidRDefault="00DE2866" w:rsidP="00DE2866">
      <w:pPr>
        <w:autoSpaceDE w:val="0"/>
        <w:autoSpaceDN w:val="0"/>
        <w:adjustRightInd w:val="0"/>
        <w:ind w:left="5040"/>
        <w:rPr>
          <w:rFonts w:eastAsia="Calibri"/>
          <w:color w:val="000000"/>
          <w:szCs w:val="24"/>
        </w:rPr>
      </w:pPr>
    </w:p>
    <w:p w:rsidR="00DE2866" w:rsidRDefault="00DE2866" w:rsidP="00DE2866">
      <w:pPr>
        <w:autoSpaceDE w:val="0"/>
        <w:autoSpaceDN w:val="0"/>
        <w:adjustRightInd w:val="0"/>
        <w:ind w:left="5040"/>
        <w:rPr>
          <w:rFonts w:eastAsia="Calibri"/>
          <w:color w:val="000000"/>
          <w:szCs w:val="24"/>
        </w:rPr>
      </w:pPr>
      <w:r>
        <w:rPr>
          <w:rFonts w:eastAsia="Calibri"/>
          <w:color w:val="000000"/>
          <w:szCs w:val="24"/>
        </w:rPr>
        <w:t>THOMAS E. PEREZ</w:t>
      </w:r>
    </w:p>
    <w:p w:rsidR="00DE2866" w:rsidRDefault="00DE2866" w:rsidP="00DE2866">
      <w:pPr>
        <w:autoSpaceDE w:val="0"/>
        <w:autoSpaceDN w:val="0"/>
        <w:adjustRightInd w:val="0"/>
        <w:ind w:left="5040"/>
        <w:rPr>
          <w:rFonts w:eastAsia="Calibri"/>
          <w:color w:val="000000"/>
          <w:szCs w:val="24"/>
        </w:rPr>
      </w:pPr>
      <w:r>
        <w:rPr>
          <w:rFonts w:eastAsia="Calibri"/>
          <w:color w:val="000000"/>
          <w:szCs w:val="24"/>
        </w:rPr>
        <w:t>Assistant Attorney General</w:t>
      </w:r>
    </w:p>
    <w:p w:rsidR="00DE2866" w:rsidRDefault="00DE2866" w:rsidP="00DE2866">
      <w:pPr>
        <w:autoSpaceDE w:val="0"/>
        <w:autoSpaceDN w:val="0"/>
        <w:adjustRightInd w:val="0"/>
        <w:ind w:left="5040"/>
        <w:rPr>
          <w:rFonts w:eastAsia="Calibri"/>
          <w:color w:val="000000"/>
          <w:szCs w:val="24"/>
        </w:rPr>
      </w:pPr>
    </w:p>
    <w:p w:rsidR="00DE2866" w:rsidRDefault="00DE2866" w:rsidP="00DE2866">
      <w:pPr>
        <w:autoSpaceDE w:val="0"/>
        <w:autoSpaceDN w:val="0"/>
        <w:adjustRightInd w:val="0"/>
        <w:ind w:left="5040"/>
        <w:rPr>
          <w:rFonts w:eastAsia="Calibri"/>
          <w:color w:val="000000"/>
          <w:szCs w:val="24"/>
        </w:rPr>
      </w:pPr>
      <w:r>
        <w:rPr>
          <w:rFonts w:eastAsia="Calibri"/>
          <w:color w:val="000000"/>
          <w:szCs w:val="24"/>
        </w:rPr>
        <w:t>SAMUEL R. BAGENSTOS</w:t>
      </w:r>
    </w:p>
    <w:p w:rsidR="00DE2866" w:rsidRDefault="00DE2866" w:rsidP="00DE2866">
      <w:pPr>
        <w:autoSpaceDE w:val="0"/>
        <w:autoSpaceDN w:val="0"/>
        <w:adjustRightInd w:val="0"/>
        <w:ind w:left="5040"/>
        <w:rPr>
          <w:rFonts w:eastAsia="Calibri"/>
          <w:color w:val="000000"/>
          <w:szCs w:val="24"/>
        </w:rPr>
      </w:pPr>
      <w:r>
        <w:rPr>
          <w:rFonts w:eastAsia="Calibri"/>
          <w:color w:val="000000"/>
          <w:szCs w:val="24"/>
        </w:rPr>
        <w:t>Principal Deputy Assistant Attorney General</w:t>
      </w:r>
    </w:p>
    <w:p w:rsidR="00DE2866" w:rsidRDefault="00DE2866" w:rsidP="00DE2866">
      <w:pPr>
        <w:autoSpaceDE w:val="0"/>
        <w:autoSpaceDN w:val="0"/>
        <w:adjustRightInd w:val="0"/>
        <w:ind w:left="5040"/>
        <w:rPr>
          <w:rFonts w:eastAsia="Calibri"/>
          <w:color w:val="000000"/>
          <w:szCs w:val="24"/>
        </w:rPr>
      </w:pPr>
      <w:r>
        <w:rPr>
          <w:rFonts w:eastAsia="Calibri"/>
          <w:color w:val="000000"/>
          <w:szCs w:val="24"/>
        </w:rPr>
        <w:t>Civil Rights Division</w:t>
      </w:r>
    </w:p>
    <w:p w:rsidR="00DE2866" w:rsidRDefault="00DE2866" w:rsidP="00DE2866">
      <w:pPr>
        <w:autoSpaceDE w:val="0"/>
        <w:autoSpaceDN w:val="0"/>
        <w:adjustRightInd w:val="0"/>
        <w:ind w:left="5040"/>
        <w:rPr>
          <w:rFonts w:eastAsia="Calibri"/>
          <w:color w:val="000000"/>
          <w:szCs w:val="24"/>
        </w:rPr>
      </w:pPr>
    </w:p>
    <w:p w:rsidR="00DE2866" w:rsidRDefault="00DE2866" w:rsidP="00DE2866">
      <w:pPr>
        <w:autoSpaceDE w:val="0"/>
        <w:autoSpaceDN w:val="0"/>
        <w:adjustRightInd w:val="0"/>
        <w:ind w:left="5040"/>
        <w:rPr>
          <w:rFonts w:eastAsia="Calibri"/>
          <w:color w:val="000000"/>
          <w:szCs w:val="24"/>
        </w:rPr>
      </w:pPr>
      <w:r>
        <w:rPr>
          <w:rFonts w:eastAsia="Calibri"/>
          <w:color w:val="000000"/>
          <w:szCs w:val="24"/>
        </w:rPr>
        <w:t>JOHN L. WODATCH</w:t>
      </w:r>
    </w:p>
    <w:p w:rsidR="00DE2866" w:rsidRDefault="00DE2866" w:rsidP="00DE2866">
      <w:pPr>
        <w:autoSpaceDE w:val="0"/>
        <w:autoSpaceDN w:val="0"/>
        <w:adjustRightInd w:val="0"/>
        <w:ind w:left="5040"/>
        <w:rPr>
          <w:rFonts w:eastAsia="Calibri"/>
          <w:color w:val="000000"/>
          <w:szCs w:val="24"/>
        </w:rPr>
      </w:pPr>
      <w:r>
        <w:rPr>
          <w:rFonts w:eastAsia="Calibri"/>
          <w:color w:val="000000"/>
          <w:szCs w:val="24"/>
        </w:rPr>
        <w:t>Acting Assistant Attorney General</w:t>
      </w:r>
    </w:p>
    <w:p w:rsidR="00DE2866" w:rsidRDefault="00DE2866" w:rsidP="00DE2866">
      <w:pPr>
        <w:autoSpaceDE w:val="0"/>
        <w:autoSpaceDN w:val="0"/>
        <w:adjustRightInd w:val="0"/>
        <w:ind w:left="5040"/>
        <w:rPr>
          <w:rFonts w:eastAsia="Calibri"/>
          <w:color w:val="000000"/>
          <w:szCs w:val="24"/>
        </w:rPr>
      </w:pPr>
    </w:p>
    <w:p w:rsidR="00DE2866" w:rsidRDefault="00DE2866" w:rsidP="00DE2866">
      <w:pPr>
        <w:autoSpaceDE w:val="0"/>
        <w:autoSpaceDN w:val="0"/>
        <w:adjustRightInd w:val="0"/>
        <w:ind w:left="5040"/>
        <w:rPr>
          <w:rFonts w:eastAsia="Calibri"/>
          <w:color w:val="000000"/>
          <w:szCs w:val="24"/>
        </w:rPr>
      </w:pPr>
      <w:r>
        <w:rPr>
          <w:rFonts w:eastAsia="Calibri"/>
          <w:color w:val="000000"/>
          <w:szCs w:val="24"/>
        </w:rPr>
        <w:t>ALISON N. BARKOFF</w:t>
      </w:r>
    </w:p>
    <w:p w:rsidR="00DE2866" w:rsidRDefault="00DE2866" w:rsidP="00DE2866">
      <w:pPr>
        <w:autoSpaceDE w:val="0"/>
        <w:autoSpaceDN w:val="0"/>
        <w:adjustRightInd w:val="0"/>
        <w:ind w:left="5040"/>
        <w:rPr>
          <w:rFonts w:eastAsia="Calibri"/>
          <w:color w:val="000000"/>
          <w:szCs w:val="24"/>
        </w:rPr>
      </w:pPr>
      <w:r>
        <w:rPr>
          <w:rFonts w:eastAsia="Calibri"/>
          <w:color w:val="000000"/>
          <w:szCs w:val="24"/>
        </w:rPr>
        <w:t>Special Counsel for Olmstead Enforcement</w:t>
      </w:r>
    </w:p>
    <w:p w:rsidR="00DE2866" w:rsidRDefault="00DE2866" w:rsidP="00DE2866">
      <w:pPr>
        <w:autoSpaceDE w:val="0"/>
        <w:autoSpaceDN w:val="0"/>
        <w:adjustRightInd w:val="0"/>
        <w:ind w:left="5040"/>
        <w:rPr>
          <w:rFonts w:eastAsia="Calibri"/>
          <w:color w:val="000000"/>
          <w:szCs w:val="24"/>
        </w:rPr>
      </w:pPr>
    </w:p>
    <w:p w:rsidR="00DE2866" w:rsidRDefault="00DE2866" w:rsidP="00DE2866">
      <w:pPr>
        <w:autoSpaceDE w:val="0"/>
        <w:autoSpaceDN w:val="0"/>
        <w:adjustRightInd w:val="0"/>
        <w:ind w:left="5040"/>
        <w:rPr>
          <w:rFonts w:eastAsia="Calibri"/>
          <w:color w:val="000000"/>
          <w:szCs w:val="24"/>
        </w:rPr>
      </w:pPr>
      <w:r>
        <w:rPr>
          <w:rFonts w:eastAsia="Calibri"/>
          <w:color w:val="000000"/>
          <w:szCs w:val="24"/>
        </w:rPr>
        <w:t>KATHLEEN WOLFE</w:t>
      </w:r>
    </w:p>
    <w:p w:rsidR="00DE2866" w:rsidRDefault="00DE2866" w:rsidP="00DE2866">
      <w:pPr>
        <w:autoSpaceDE w:val="0"/>
        <w:autoSpaceDN w:val="0"/>
        <w:adjustRightInd w:val="0"/>
        <w:ind w:left="5040"/>
        <w:rPr>
          <w:rFonts w:eastAsia="Calibri"/>
          <w:color w:val="000000"/>
          <w:szCs w:val="24"/>
        </w:rPr>
      </w:pPr>
      <w:r>
        <w:rPr>
          <w:rFonts w:eastAsia="Calibri"/>
          <w:color w:val="000000"/>
          <w:szCs w:val="24"/>
        </w:rPr>
        <w:t>Special Counsel</w:t>
      </w:r>
    </w:p>
    <w:p w:rsidR="00DE2866" w:rsidRDefault="00DE2866" w:rsidP="00DE2866">
      <w:pPr>
        <w:autoSpaceDE w:val="0"/>
        <w:autoSpaceDN w:val="0"/>
        <w:adjustRightInd w:val="0"/>
        <w:ind w:left="5040"/>
        <w:rPr>
          <w:rFonts w:eastAsia="Calibri"/>
          <w:color w:val="000000"/>
          <w:szCs w:val="24"/>
        </w:rPr>
      </w:pPr>
    </w:p>
    <w:p w:rsidR="00DE2866" w:rsidRPr="00DE2866" w:rsidRDefault="00DE2866" w:rsidP="00DE2866">
      <w:pPr>
        <w:autoSpaceDE w:val="0"/>
        <w:autoSpaceDN w:val="0"/>
        <w:adjustRightInd w:val="0"/>
        <w:ind w:left="5040"/>
        <w:rPr>
          <w:rFonts w:eastAsia="Calibri"/>
          <w:color w:val="000000"/>
          <w:szCs w:val="24"/>
          <w:u w:val="single"/>
        </w:rPr>
      </w:pPr>
      <w:r w:rsidRPr="00DE2866">
        <w:rPr>
          <w:rFonts w:eastAsia="Calibri"/>
          <w:color w:val="000000"/>
          <w:szCs w:val="24"/>
          <w:u w:val="single"/>
        </w:rPr>
        <w:t>/s/ Regan Rush</w:t>
      </w:r>
      <w:r>
        <w:rPr>
          <w:rFonts w:eastAsia="Calibri"/>
          <w:color w:val="000000"/>
          <w:szCs w:val="24"/>
        </w:rPr>
        <w:t>___________________</w:t>
      </w:r>
    </w:p>
    <w:p w:rsidR="00DE2866" w:rsidRDefault="00DE2866" w:rsidP="00DE2866">
      <w:pPr>
        <w:autoSpaceDE w:val="0"/>
        <w:autoSpaceDN w:val="0"/>
        <w:adjustRightInd w:val="0"/>
        <w:ind w:left="5040"/>
        <w:rPr>
          <w:rFonts w:eastAsia="Calibri"/>
          <w:color w:val="000000"/>
          <w:szCs w:val="24"/>
        </w:rPr>
      </w:pPr>
      <w:r>
        <w:rPr>
          <w:rFonts w:eastAsia="Calibri"/>
          <w:color w:val="000000"/>
          <w:szCs w:val="24"/>
        </w:rPr>
        <w:t>RENEE M. WOHLENHAUS</w:t>
      </w:r>
    </w:p>
    <w:p w:rsidR="00DE2866" w:rsidRDefault="00DE2866" w:rsidP="00DE2866">
      <w:pPr>
        <w:autoSpaceDE w:val="0"/>
        <w:autoSpaceDN w:val="0"/>
        <w:adjustRightInd w:val="0"/>
        <w:ind w:left="5040"/>
        <w:rPr>
          <w:rFonts w:eastAsia="Calibri"/>
          <w:color w:val="000000"/>
          <w:szCs w:val="24"/>
        </w:rPr>
      </w:pPr>
      <w:r>
        <w:rPr>
          <w:rFonts w:eastAsia="Calibri"/>
          <w:color w:val="000000"/>
          <w:szCs w:val="24"/>
        </w:rPr>
        <w:t>Deputy Chief</w:t>
      </w:r>
    </w:p>
    <w:p w:rsidR="00DE2866" w:rsidRDefault="00DE2866" w:rsidP="00DE2866">
      <w:pPr>
        <w:autoSpaceDE w:val="0"/>
        <w:autoSpaceDN w:val="0"/>
        <w:adjustRightInd w:val="0"/>
        <w:ind w:left="5040"/>
        <w:rPr>
          <w:rFonts w:eastAsia="Calibri"/>
          <w:color w:val="000000"/>
          <w:szCs w:val="24"/>
        </w:rPr>
      </w:pPr>
      <w:r>
        <w:rPr>
          <w:rFonts w:eastAsia="Calibri"/>
          <w:color w:val="000000"/>
          <w:szCs w:val="24"/>
        </w:rPr>
        <w:t>REGAN RUSH</w:t>
      </w:r>
    </w:p>
    <w:p w:rsidR="00DE2866" w:rsidRDefault="00DE2866" w:rsidP="00DE2866">
      <w:pPr>
        <w:autoSpaceDE w:val="0"/>
        <w:autoSpaceDN w:val="0"/>
        <w:adjustRightInd w:val="0"/>
        <w:ind w:left="5040"/>
        <w:rPr>
          <w:rFonts w:eastAsia="Calibri"/>
          <w:color w:val="000000"/>
          <w:szCs w:val="24"/>
        </w:rPr>
      </w:pPr>
      <w:r>
        <w:rPr>
          <w:rFonts w:eastAsia="Calibri"/>
          <w:color w:val="000000"/>
          <w:szCs w:val="24"/>
        </w:rPr>
        <w:t>Trial Attorney</w:t>
      </w:r>
    </w:p>
    <w:p w:rsidR="00DE2866" w:rsidRDefault="00DE2866" w:rsidP="00DE2866">
      <w:pPr>
        <w:autoSpaceDE w:val="0"/>
        <w:autoSpaceDN w:val="0"/>
        <w:adjustRightInd w:val="0"/>
        <w:ind w:left="5040"/>
        <w:rPr>
          <w:rFonts w:eastAsia="Calibri"/>
          <w:color w:val="000000"/>
          <w:szCs w:val="24"/>
        </w:rPr>
      </w:pPr>
      <w:r>
        <w:rPr>
          <w:rFonts w:eastAsia="Calibri"/>
          <w:color w:val="000000"/>
          <w:szCs w:val="24"/>
        </w:rPr>
        <w:t xml:space="preserve"> D.C. No. 980252</w:t>
      </w:r>
    </w:p>
    <w:p w:rsidR="00DE2866" w:rsidRDefault="00DE2866" w:rsidP="00DE2866">
      <w:pPr>
        <w:autoSpaceDE w:val="0"/>
        <w:autoSpaceDN w:val="0"/>
        <w:adjustRightInd w:val="0"/>
        <w:ind w:left="5040"/>
        <w:rPr>
          <w:rFonts w:eastAsia="Calibri"/>
          <w:color w:val="000000"/>
          <w:szCs w:val="24"/>
        </w:rPr>
      </w:pPr>
      <w:r>
        <w:rPr>
          <w:rFonts w:eastAsia="Calibri"/>
          <w:color w:val="000000"/>
          <w:szCs w:val="24"/>
        </w:rPr>
        <w:t>Disability Rights Section</w:t>
      </w:r>
    </w:p>
    <w:p w:rsidR="00DE2866" w:rsidRDefault="00DE2866" w:rsidP="00DE2866">
      <w:pPr>
        <w:autoSpaceDE w:val="0"/>
        <w:autoSpaceDN w:val="0"/>
        <w:adjustRightInd w:val="0"/>
        <w:ind w:left="5040"/>
        <w:rPr>
          <w:rFonts w:eastAsia="Calibri"/>
          <w:color w:val="000000"/>
          <w:szCs w:val="24"/>
        </w:rPr>
      </w:pPr>
      <w:r>
        <w:rPr>
          <w:rFonts w:eastAsia="Calibri"/>
          <w:color w:val="000000"/>
          <w:szCs w:val="24"/>
        </w:rPr>
        <w:t>Civil Rights Division</w:t>
      </w:r>
    </w:p>
    <w:p w:rsidR="00DE2866" w:rsidRDefault="00DE2866" w:rsidP="00DE2866">
      <w:pPr>
        <w:autoSpaceDE w:val="0"/>
        <w:autoSpaceDN w:val="0"/>
        <w:adjustRightInd w:val="0"/>
        <w:ind w:left="5040"/>
        <w:rPr>
          <w:rFonts w:eastAsia="Calibri"/>
          <w:color w:val="000000"/>
          <w:szCs w:val="24"/>
        </w:rPr>
      </w:pPr>
      <w:r>
        <w:rPr>
          <w:rFonts w:eastAsia="Calibri"/>
          <w:color w:val="000000"/>
          <w:szCs w:val="24"/>
        </w:rPr>
        <w:t>U.S. Department of Justice</w:t>
      </w:r>
    </w:p>
    <w:p w:rsidR="00DE2866" w:rsidRDefault="00DE2866" w:rsidP="00DE2866">
      <w:pPr>
        <w:autoSpaceDE w:val="0"/>
        <w:autoSpaceDN w:val="0"/>
        <w:adjustRightInd w:val="0"/>
        <w:ind w:left="5040"/>
        <w:rPr>
          <w:rFonts w:eastAsia="Calibri"/>
          <w:color w:val="000000"/>
          <w:szCs w:val="24"/>
        </w:rPr>
      </w:pPr>
      <w:r>
        <w:rPr>
          <w:rFonts w:eastAsia="Calibri"/>
          <w:color w:val="000000"/>
          <w:szCs w:val="24"/>
        </w:rPr>
        <w:t>950 Pennsylvania Avenue, N.W. – NYA</w:t>
      </w:r>
    </w:p>
    <w:p w:rsidR="00DE2866" w:rsidRDefault="00DE2866" w:rsidP="00DE2866">
      <w:pPr>
        <w:autoSpaceDE w:val="0"/>
        <w:autoSpaceDN w:val="0"/>
        <w:adjustRightInd w:val="0"/>
        <w:ind w:left="5040"/>
        <w:rPr>
          <w:rFonts w:eastAsia="Calibri"/>
          <w:color w:val="000000"/>
          <w:szCs w:val="24"/>
        </w:rPr>
      </w:pPr>
      <w:r>
        <w:rPr>
          <w:rFonts w:eastAsia="Calibri"/>
          <w:color w:val="000000"/>
          <w:szCs w:val="24"/>
        </w:rPr>
        <w:t>Washington, DC 20530</w:t>
      </w:r>
    </w:p>
    <w:p w:rsidR="00DE2866" w:rsidRDefault="00DE2866" w:rsidP="00DE2866">
      <w:pPr>
        <w:autoSpaceDE w:val="0"/>
        <w:autoSpaceDN w:val="0"/>
        <w:adjustRightInd w:val="0"/>
        <w:ind w:left="5040"/>
        <w:rPr>
          <w:rFonts w:eastAsia="Calibri"/>
          <w:color w:val="000000"/>
          <w:szCs w:val="24"/>
        </w:rPr>
      </w:pPr>
      <w:r>
        <w:rPr>
          <w:rFonts w:eastAsia="Calibri"/>
          <w:color w:val="000000"/>
          <w:szCs w:val="24"/>
        </w:rPr>
        <w:t>Tel: (202) 307-0663</w:t>
      </w:r>
    </w:p>
    <w:p w:rsidR="00DE2866" w:rsidRDefault="00DE2866" w:rsidP="00DE2866">
      <w:pPr>
        <w:autoSpaceDE w:val="0"/>
        <w:autoSpaceDN w:val="0"/>
        <w:adjustRightInd w:val="0"/>
        <w:ind w:left="5040"/>
        <w:rPr>
          <w:rFonts w:eastAsia="Calibri"/>
          <w:color w:val="000000"/>
          <w:szCs w:val="24"/>
        </w:rPr>
      </w:pPr>
      <w:r>
        <w:rPr>
          <w:rFonts w:eastAsia="Calibri"/>
          <w:color w:val="000000"/>
          <w:szCs w:val="24"/>
        </w:rPr>
        <w:t>Fax: (202) 307-1197</w:t>
      </w:r>
    </w:p>
    <w:p w:rsidR="00C77F9E" w:rsidRDefault="00DE2866" w:rsidP="00DE28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5040"/>
        <w:rPr>
          <w:szCs w:val="24"/>
        </w:rPr>
        <w:sectPr w:rsidR="00C77F9E" w:rsidSect="006C47C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1440" w:gutter="0"/>
          <w:pgNumType w:start="1"/>
          <w:cols w:space="720"/>
          <w:noEndnote/>
          <w:titlePg/>
          <w:docGrid w:linePitch="326"/>
        </w:sectPr>
      </w:pPr>
      <w:r>
        <w:rPr>
          <w:rFonts w:eastAsia="Calibri"/>
          <w:color w:val="000000"/>
          <w:szCs w:val="24"/>
        </w:rPr>
        <w:t xml:space="preserve">Email: </w:t>
      </w:r>
      <w:r>
        <w:rPr>
          <w:rFonts w:eastAsia="Calibri"/>
          <w:color w:val="0000FF"/>
          <w:szCs w:val="24"/>
        </w:rPr>
        <w:t>Regan.Rush@usdoj.gov</w:t>
      </w:r>
    </w:p>
    <w:p w:rsidR="00C77F9E" w:rsidRDefault="00C77F9E" w:rsidP="00C77F9E">
      <w:pPr>
        <w:rPr>
          <w:szCs w:val="24"/>
        </w:rPr>
      </w:pPr>
    </w:p>
    <w:p w:rsidR="00C77F9E" w:rsidRDefault="00C77F9E" w:rsidP="00C77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ab/>
      </w:r>
      <w:r>
        <w:rPr>
          <w:szCs w:val="24"/>
        </w:rPr>
        <w:tab/>
      </w:r>
      <w:r>
        <w:rPr>
          <w:szCs w:val="24"/>
        </w:rPr>
        <w:tab/>
      </w:r>
      <w:r>
        <w:rPr>
          <w:szCs w:val="24"/>
        </w:rPr>
        <w:tab/>
      </w:r>
      <w:r>
        <w:rPr>
          <w:szCs w:val="24"/>
          <w:u w:val="single"/>
        </w:rPr>
        <w:t>CERTIFICATE OF SERVICE</w:t>
      </w:r>
    </w:p>
    <w:p w:rsidR="00C77F9E" w:rsidRDefault="00C77F9E" w:rsidP="00C77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C77F9E" w:rsidRDefault="00C77F9E" w:rsidP="00C77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ab/>
        <w:t xml:space="preserve">I hereby </w:t>
      </w:r>
      <w:r w:rsidR="00BA00C4">
        <w:rPr>
          <w:szCs w:val="24"/>
        </w:rPr>
        <w:t xml:space="preserve">certify that on </w:t>
      </w:r>
      <w:r w:rsidR="008D660D">
        <w:rPr>
          <w:szCs w:val="24"/>
        </w:rPr>
        <w:t>April 4</w:t>
      </w:r>
      <w:r w:rsidR="00BA00C4">
        <w:rPr>
          <w:szCs w:val="24"/>
        </w:rPr>
        <w:t>, 2011</w:t>
      </w:r>
      <w:r>
        <w:rPr>
          <w:szCs w:val="24"/>
        </w:rPr>
        <w:t>, a copy of foregoing was filed electronically.  Notice of this filing will be sent by e-mail to all parties by operation of the Court’s electronic filing system.  Parties may access this filing through the Court’s CM/ECF System.</w:t>
      </w:r>
    </w:p>
    <w:p w:rsidR="00C77F9E" w:rsidRDefault="00C77F9E" w:rsidP="00C77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720"/>
        <w:rPr>
          <w:szCs w:val="24"/>
        </w:rPr>
      </w:pPr>
    </w:p>
    <w:p w:rsidR="00C77F9E" w:rsidRPr="009865B2" w:rsidRDefault="00C77F9E" w:rsidP="00C77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u w:val="single"/>
        </w:rPr>
      </w:pPr>
      <w:r>
        <w:rPr>
          <w:szCs w:val="24"/>
        </w:rPr>
        <w:tab/>
      </w:r>
      <w:r>
        <w:rPr>
          <w:szCs w:val="24"/>
        </w:rPr>
        <w:tab/>
      </w:r>
      <w:r>
        <w:rPr>
          <w:szCs w:val="24"/>
        </w:rPr>
        <w:tab/>
      </w:r>
      <w:r>
        <w:rPr>
          <w:szCs w:val="24"/>
        </w:rPr>
        <w:tab/>
      </w:r>
      <w:r>
        <w:rPr>
          <w:szCs w:val="24"/>
        </w:rPr>
        <w:tab/>
      </w:r>
      <w:r>
        <w:rPr>
          <w:szCs w:val="24"/>
        </w:rPr>
        <w:tab/>
      </w:r>
    </w:p>
    <w:p w:rsidR="00C77F9E" w:rsidRPr="009865B2" w:rsidRDefault="00C77F9E" w:rsidP="00C77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rPr>
          <w:szCs w:val="24"/>
          <w:u w:val="single"/>
        </w:rPr>
      </w:pPr>
      <w:r w:rsidRPr="009865B2">
        <w:rPr>
          <w:szCs w:val="24"/>
          <w:u w:val="single"/>
        </w:rPr>
        <w:t>By:</w:t>
      </w:r>
      <w:r w:rsidRPr="009865B2">
        <w:rPr>
          <w:szCs w:val="24"/>
          <w:u w:val="single"/>
        </w:rPr>
        <w:tab/>
        <w:t xml:space="preserve">s/ </w:t>
      </w:r>
      <w:r w:rsidRPr="009865B2">
        <w:rPr>
          <w:b/>
          <w:i/>
          <w:szCs w:val="24"/>
          <w:u w:val="single"/>
        </w:rPr>
        <w:t>Charles M. Thomas</w:t>
      </w:r>
      <w:r w:rsidRPr="009865B2">
        <w:rPr>
          <w:szCs w:val="24"/>
          <w:u w:val="single"/>
        </w:rPr>
        <w:t xml:space="preserve">                                  </w:t>
      </w:r>
    </w:p>
    <w:p w:rsidR="00C77F9E" w:rsidRPr="009865B2" w:rsidRDefault="00C77F9E" w:rsidP="00C77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rPr>
          <w:szCs w:val="24"/>
        </w:rPr>
      </w:pPr>
      <w:r w:rsidRPr="009865B2">
        <w:rPr>
          <w:szCs w:val="24"/>
        </w:rPr>
        <w:t>Charles M. Thomas, Mo. Bar No. 28522</w:t>
      </w:r>
    </w:p>
    <w:p w:rsidR="00C77F9E" w:rsidRPr="009865B2" w:rsidRDefault="00C77F9E" w:rsidP="00C77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rPr>
          <w:szCs w:val="24"/>
        </w:rPr>
      </w:pPr>
      <w:r w:rsidRPr="009865B2">
        <w:rPr>
          <w:szCs w:val="24"/>
        </w:rPr>
        <w:t>Assistant United States Attorney</w:t>
      </w:r>
    </w:p>
    <w:p w:rsidR="00C77F9E" w:rsidRPr="009865B2" w:rsidRDefault="00C77F9E" w:rsidP="00C77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rPr>
          <w:szCs w:val="24"/>
        </w:rPr>
      </w:pPr>
      <w:r w:rsidRPr="009865B2">
        <w:rPr>
          <w:szCs w:val="24"/>
        </w:rPr>
        <w:t>Charles Evans Whittaker Courthouse</w:t>
      </w:r>
    </w:p>
    <w:p w:rsidR="00C77F9E" w:rsidRPr="009865B2" w:rsidRDefault="00C77F9E" w:rsidP="00C77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rPr>
          <w:szCs w:val="24"/>
        </w:rPr>
      </w:pPr>
      <w:r w:rsidRPr="009865B2">
        <w:rPr>
          <w:szCs w:val="24"/>
        </w:rPr>
        <w:t>400 East Ninth Street, Room 5510</w:t>
      </w:r>
    </w:p>
    <w:p w:rsidR="00C77F9E" w:rsidRPr="009865B2" w:rsidRDefault="00C77F9E" w:rsidP="00C77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rPr>
          <w:szCs w:val="24"/>
        </w:rPr>
      </w:pPr>
      <w:r w:rsidRPr="009865B2">
        <w:rPr>
          <w:szCs w:val="24"/>
        </w:rPr>
        <w:t>Kansas City, MO 64106</w:t>
      </w:r>
    </w:p>
    <w:p w:rsidR="00C77F9E" w:rsidRPr="009865B2" w:rsidRDefault="00C77F9E" w:rsidP="00C77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rPr>
          <w:szCs w:val="24"/>
        </w:rPr>
      </w:pPr>
      <w:r w:rsidRPr="009865B2">
        <w:rPr>
          <w:szCs w:val="24"/>
        </w:rPr>
        <w:t>Telephone: (816) 426-3130</w:t>
      </w:r>
    </w:p>
    <w:p w:rsidR="00C77F9E" w:rsidRPr="009865B2" w:rsidRDefault="00C77F9E" w:rsidP="00C77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rPr>
          <w:szCs w:val="24"/>
        </w:rPr>
      </w:pPr>
      <w:r w:rsidRPr="009865B2">
        <w:rPr>
          <w:szCs w:val="24"/>
        </w:rPr>
        <w:t>Facsimile: (816) 426-3165</w:t>
      </w:r>
    </w:p>
    <w:p w:rsidR="00C77F9E" w:rsidRPr="009865B2" w:rsidRDefault="00C77F9E" w:rsidP="00C77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rPr>
          <w:szCs w:val="24"/>
        </w:rPr>
      </w:pPr>
      <w:r w:rsidRPr="009865B2">
        <w:rPr>
          <w:szCs w:val="24"/>
        </w:rPr>
        <w:t>Email: charles.thomas@usdoj.gov</w:t>
      </w:r>
    </w:p>
    <w:p w:rsidR="00C77F9E" w:rsidRPr="009865B2" w:rsidRDefault="00C77F9E" w:rsidP="00C77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rPr>
          <w:szCs w:val="24"/>
        </w:rPr>
      </w:pPr>
      <w:r>
        <w:rPr>
          <w:szCs w:val="24"/>
        </w:rPr>
        <w:t>Counsel for United States of America</w:t>
      </w:r>
    </w:p>
    <w:p w:rsidR="00C77F9E" w:rsidRDefault="00C77F9E" w:rsidP="00C77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rsidR="00FD53A6" w:rsidRPr="0030716F" w:rsidRDefault="00FD53A6" w:rsidP="0030716F">
      <w:pPr>
        <w:autoSpaceDE w:val="0"/>
        <w:autoSpaceDN w:val="0"/>
        <w:adjustRightInd w:val="0"/>
        <w:rPr>
          <w:rFonts w:eastAsia="Calibri"/>
          <w:szCs w:val="24"/>
        </w:rPr>
      </w:pPr>
    </w:p>
    <w:sectPr w:rsidR="00FD53A6" w:rsidRPr="0030716F" w:rsidSect="00C04D78">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60D" w:rsidRDefault="00E4260D" w:rsidP="00A77D7D">
      <w:r>
        <w:separator/>
      </w:r>
    </w:p>
  </w:endnote>
  <w:endnote w:type="continuationSeparator" w:id="0">
    <w:p w:rsidR="00E4260D" w:rsidRDefault="00E4260D" w:rsidP="00A77D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D8A" w:rsidRDefault="00CF3D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60D" w:rsidRDefault="00BB58B6">
    <w:pPr>
      <w:pStyle w:val="Footer"/>
      <w:jc w:val="center"/>
    </w:pPr>
    <w:fldSimple w:instr=" PAGE   \* MERGEFORMAT ">
      <w:r w:rsidR="00CF3D8A">
        <w:rPr>
          <w:noProof/>
        </w:rPr>
        <w:t>3</w:t>
      </w:r>
    </w:fldSimple>
  </w:p>
  <w:p w:rsidR="00E4260D" w:rsidRDefault="00E426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D8A" w:rsidRDefault="00CF3D8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60D" w:rsidRDefault="00BB58B6">
    <w:pPr>
      <w:pStyle w:val="Footer"/>
      <w:jc w:val="center"/>
    </w:pPr>
    <w:fldSimple w:instr=" PAGE   \* MERGEFORMAT ">
      <w:r w:rsidR="00CF3D8A">
        <w:rPr>
          <w:noProof/>
        </w:rPr>
        <w:t>4</w:t>
      </w:r>
    </w:fldSimple>
  </w:p>
  <w:p w:rsidR="00E4260D" w:rsidRDefault="00E426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60D" w:rsidRDefault="00E4260D" w:rsidP="00A77D7D">
      <w:r>
        <w:separator/>
      </w:r>
    </w:p>
  </w:footnote>
  <w:footnote w:type="continuationSeparator" w:id="0">
    <w:p w:rsidR="00E4260D" w:rsidRDefault="00E4260D" w:rsidP="00A77D7D">
      <w:r>
        <w:continuationSeparator/>
      </w:r>
    </w:p>
  </w:footnote>
  <w:footnote w:id="1">
    <w:p w:rsidR="008574F6" w:rsidRPr="00A77D7D" w:rsidRDefault="008574F6" w:rsidP="008574F6">
      <w:pPr>
        <w:pStyle w:val="FootnoteText"/>
        <w:ind w:firstLine="0"/>
        <w:rPr>
          <w:rFonts w:ascii="Times New Roman" w:hAnsi="Times New Roman"/>
          <w:szCs w:val="24"/>
        </w:rPr>
      </w:pPr>
      <w:r w:rsidRPr="00A77D7D">
        <w:rPr>
          <w:rStyle w:val="FootnoteReference"/>
          <w:rFonts w:ascii="Times New Roman" w:hAnsi="Times New Roman"/>
        </w:rPr>
        <w:footnoteRef/>
      </w:r>
      <w:r w:rsidRPr="00A77D7D">
        <w:rPr>
          <w:rFonts w:ascii="Times New Roman" w:hAnsi="Times New Roman"/>
        </w:rPr>
        <w:t xml:space="preserve"> </w:t>
      </w:r>
      <w:r w:rsidRPr="006C2103">
        <w:rPr>
          <w:rFonts w:ascii="Times New Roman" w:hAnsi="Times New Roman"/>
          <w:sz w:val="20"/>
        </w:rPr>
        <w:t>28 U.S.C. § 517</w:t>
      </w:r>
      <w:r w:rsidR="00BB58B6" w:rsidRPr="006C2103">
        <w:rPr>
          <w:rFonts w:ascii="Times New Roman" w:hAnsi="Times New Roman"/>
          <w:sz w:val="20"/>
        </w:rPr>
        <w:fldChar w:fldCharType="begin"/>
      </w:r>
      <w:r w:rsidRPr="006C2103">
        <w:rPr>
          <w:rFonts w:ascii="Times New Roman" w:hAnsi="Times New Roman"/>
          <w:sz w:val="20"/>
        </w:rPr>
        <w:instrText xml:space="preserve"> TA \s "28 U.S.C. § 517" </w:instrText>
      </w:r>
      <w:r w:rsidR="00BB58B6" w:rsidRPr="006C2103">
        <w:rPr>
          <w:rFonts w:ascii="Times New Roman" w:hAnsi="Times New Roman"/>
          <w:sz w:val="20"/>
        </w:rPr>
        <w:fldChar w:fldCharType="end"/>
      </w:r>
      <w:r w:rsidRPr="006C2103">
        <w:rPr>
          <w:rFonts w:ascii="Times New Roman" w:hAnsi="Times New Roman"/>
          <w:sz w:val="20"/>
        </w:rPr>
        <w:t xml:space="preserve"> states that “[t]he Solicitor General, or any officer of the Department of Justice, may be sent by the Attorney General to any State or district in the United States to attend to the interests of the United States in a suit pending in a court of the United States, or in a court of a State, or to attend to any other interest of the United States.”</w:t>
      </w:r>
      <w:r w:rsidRPr="00A77D7D">
        <w:rPr>
          <w:rFonts w:ascii="Times New Roman" w:hAnsi="Times New Roman"/>
          <w:szCs w:val="24"/>
        </w:rPr>
        <w:t xml:space="preserve">  </w:t>
      </w:r>
    </w:p>
    <w:p w:rsidR="008574F6" w:rsidRDefault="008574F6" w:rsidP="008574F6">
      <w:pPr>
        <w:pStyle w:val="FootnoteText"/>
      </w:pPr>
      <w:r w:rsidRPr="00A77D7D">
        <w:rPr>
          <w:rFonts w:ascii="Times New Roman" w:hAnsi="Times New Roman"/>
          <w:szCs w:val="24"/>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D8A" w:rsidRDefault="00CF3D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D8A" w:rsidRDefault="00CF3D8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D8A" w:rsidRDefault="00CF3D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0766D0"/>
    <w:multiLevelType w:val="hybridMultilevel"/>
    <w:tmpl w:val="E87A25E8"/>
    <w:lvl w:ilvl="0" w:tplc="BC685554">
      <w:start w:val="1"/>
      <w:numFmt w:val="decimal"/>
      <w:lvlText w:val="%1."/>
      <w:lvlJc w:val="left"/>
      <w:pPr>
        <w:ind w:left="450" w:hanging="360"/>
      </w:pPr>
      <w:rPr>
        <w:b w:val="0"/>
        <w:sz w:val="24"/>
        <w:szCs w:val="24"/>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F70597"/>
    <w:rsid w:val="000C5A91"/>
    <w:rsid w:val="00102D9A"/>
    <w:rsid w:val="00180677"/>
    <w:rsid w:val="00224EB3"/>
    <w:rsid w:val="00290C14"/>
    <w:rsid w:val="002C205D"/>
    <w:rsid w:val="002F16FE"/>
    <w:rsid w:val="0030716F"/>
    <w:rsid w:val="004412A0"/>
    <w:rsid w:val="004E4DB2"/>
    <w:rsid w:val="005133F7"/>
    <w:rsid w:val="005C2B57"/>
    <w:rsid w:val="005E1FC3"/>
    <w:rsid w:val="006059CF"/>
    <w:rsid w:val="006204D0"/>
    <w:rsid w:val="0064262F"/>
    <w:rsid w:val="00643E0E"/>
    <w:rsid w:val="006B77E1"/>
    <w:rsid w:val="006C2103"/>
    <w:rsid w:val="006C47CA"/>
    <w:rsid w:val="006F65FA"/>
    <w:rsid w:val="00725A0E"/>
    <w:rsid w:val="007A346D"/>
    <w:rsid w:val="007F168B"/>
    <w:rsid w:val="0082050C"/>
    <w:rsid w:val="008574F6"/>
    <w:rsid w:val="008C14D9"/>
    <w:rsid w:val="008D660D"/>
    <w:rsid w:val="008E0367"/>
    <w:rsid w:val="00915ACA"/>
    <w:rsid w:val="0092137F"/>
    <w:rsid w:val="009C1EC9"/>
    <w:rsid w:val="00A07B36"/>
    <w:rsid w:val="00A72641"/>
    <w:rsid w:val="00A77D7D"/>
    <w:rsid w:val="00A84BE8"/>
    <w:rsid w:val="00A9275F"/>
    <w:rsid w:val="00A9430B"/>
    <w:rsid w:val="00AE17FD"/>
    <w:rsid w:val="00BA00C4"/>
    <w:rsid w:val="00BB58B6"/>
    <w:rsid w:val="00BD1DB5"/>
    <w:rsid w:val="00C04D78"/>
    <w:rsid w:val="00C1257C"/>
    <w:rsid w:val="00C415EA"/>
    <w:rsid w:val="00C46E57"/>
    <w:rsid w:val="00C542BD"/>
    <w:rsid w:val="00C631BA"/>
    <w:rsid w:val="00C77BC9"/>
    <w:rsid w:val="00C77F9E"/>
    <w:rsid w:val="00C956FB"/>
    <w:rsid w:val="00CB1547"/>
    <w:rsid w:val="00CE323C"/>
    <w:rsid w:val="00CF3D8A"/>
    <w:rsid w:val="00D27B03"/>
    <w:rsid w:val="00D46BB6"/>
    <w:rsid w:val="00D80AC7"/>
    <w:rsid w:val="00DA62FC"/>
    <w:rsid w:val="00DE2866"/>
    <w:rsid w:val="00E20B8F"/>
    <w:rsid w:val="00E4260D"/>
    <w:rsid w:val="00E4355C"/>
    <w:rsid w:val="00E4594E"/>
    <w:rsid w:val="00ED63A9"/>
    <w:rsid w:val="00EF130C"/>
    <w:rsid w:val="00F70597"/>
    <w:rsid w:val="00F93815"/>
    <w:rsid w:val="00FD53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597"/>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rsid w:val="00A77D7D"/>
    <w:rPr>
      <w:sz w:val="24"/>
    </w:rPr>
  </w:style>
  <w:style w:type="paragraph" w:styleId="FootnoteText">
    <w:name w:val="footnote text"/>
    <w:basedOn w:val="Normal"/>
    <w:link w:val="FootnoteTextChar"/>
    <w:uiPriority w:val="99"/>
    <w:rsid w:val="00A77D7D"/>
    <w:pPr>
      <w:widowControl w:val="0"/>
      <w:ind w:firstLine="720"/>
    </w:pPr>
    <w:rPr>
      <w:rFonts w:ascii="Calibri" w:eastAsia="Calibri" w:hAnsi="Calibri"/>
    </w:rPr>
  </w:style>
  <w:style w:type="character" w:customStyle="1" w:styleId="FootnoteTextChar1">
    <w:name w:val="Footnote Text Char1"/>
    <w:basedOn w:val="DefaultParagraphFont"/>
    <w:link w:val="FootnoteText"/>
    <w:uiPriority w:val="99"/>
    <w:semiHidden/>
    <w:rsid w:val="00A77D7D"/>
    <w:rPr>
      <w:rFonts w:ascii="Times New Roman" w:eastAsia="Times New Roman" w:hAnsi="Times New Roman"/>
    </w:rPr>
  </w:style>
  <w:style w:type="character" w:styleId="FootnoteReference">
    <w:name w:val="footnote reference"/>
    <w:basedOn w:val="DefaultParagraphFont"/>
    <w:uiPriority w:val="99"/>
    <w:semiHidden/>
    <w:rsid w:val="00A77D7D"/>
    <w:rPr>
      <w:vertAlign w:val="superscript"/>
    </w:rPr>
  </w:style>
  <w:style w:type="paragraph" w:customStyle="1" w:styleId="WPTitle">
    <w:name w:val="WP_Title"/>
    <w:basedOn w:val="Normal"/>
    <w:uiPriority w:val="99"/>
    <w:rsid w:val="00290C14"/>
    <w:pPr>
      <w:widowControl w:val="0"/>
      <w:jc w:val="center"/>
    </w:pPr>
    <w:rPr>
      <w:b/>
      <w:sz w:val="20"/>
    </w:rPr>
  </w:style>
  <w:style w:type="paragraph" w:styleId="Header">
    <w:name w:val="header"/>
    <w:basedOn w:val="Normal"/>
    <w:link w:val="HeaderChar"/>
    <w:uiPriority w:val="99"/>
    <w:semiHidden/>
    <w:unhideWhenUsed/>
    <w:rsid w:val="0092137F"/>
    <w:pPr>
      <w:tabs>
        <w:tab w:val="center" w:pos="4680"/>
        <w:tab w:val="right" w:pos="9360"/>
      </w:tabs>
    </w:pPr>
  </w:style>
  <w:style w:type="character" w:customStyle="1" w:styleId="HeaderChar">
    <w:name w:val="Header Char"/>
    <w:basedOn w:val="DefaultParagraphFont"/>
    <w:link w:val="Header"/>
    <w:uiPriority w:val="99"/>
    <w:semiHidden/>
    <w:rsid w:val="0092137F"/>
    <w:rPr>
      <w:rFonts w:ascii="Times New Roman" w:eastAsia="Times New Roman" w:hAnsi="Times New Roman"/>
      <w:sz w:val="24"/>
    </w:rPr>
  </w:style>
  <w:style w:type="paragraph" w:styleId="Footer">
    <w:name w:val="footer"/>
    <w:basedOn w:val="Normal"/>
    <w:link w:val="FooterChar"/>
    <w:uiPriority w:val="99"/>
    <w:unhideWhenUsed/>
    <w:rsid w:val="0092137F"/>
    <w:pPr>
      <w:tabs>
        <w:tab w:val="center" w:pos="4680"/>
        <w:tab w:val="right" w:pos="9360"/>
      </w:tabs>
    </w:pPr>
  </w:style>
  <w:style w:type="character" w:customStyle="1" w:styleId="FooterChar">
    <w:name w:val="Footer Char"/>
    <w:basedOn w:val="DefaultParagraphFont"/>
    <w:link w:val="Footer"/>
    <w:uiPriority w:val="99"/>
    <w:rsid w:val="0092137F"/>
    <w:rPr>
      <w:rFonts w:ascii="Times New Roman" w:eastAsia="Times New Roman" w:hAnsi="Times New Roman"/>
      <w:sz w:val="24"/>
    </w:rPr>
  </w:style>
  <w:style w:type="paragraph" w:styleId="BalloonText">
    <w:name w:val="Balloon Text"/>
    <w:basedOn w:val="Normal"/>
    <w:link w:val="BalloonTextChar"/>
    <w:uiPriority w:val="99"/>
    <w:semiHidden/>
    <w:unhideWhenUsed/>
    <w:rsid w:val="00180677"/>
    <w:rPr>
      <w:rFonts w:ascii="Tahoma" w:hAnsi="Tahoma" w:cs="Tahoma"/>
      <w:sz w:val="16"/>
      <w:szCs w:val="16"/>
    </w:rPr>
  </w:style>
  <w:style w:type="character" w:customStyle="1" w:styleId="BalloonTextChar">
    <w:name w:val="Balloon Text Char"/>
    <w:basedOn w:val="DefaultParagraphFont"/>
    <w:link w:val="BalloonText"/>
    <w:uiPriority w:val="99"/>
    <w:semiHidden/>
    <w:rsid w:val="0018067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624</Words>
  <Characters>3561</Characters>
  <Application>Microsoft Office Word</Application>
  <DocSecurity>0</DocSecurity>
  <Lines>29</Lines>
  <Paragraphs>8</Paragraphs>
  <ScaleCrop>false</ScaleCrop>
  <Company/>
  <LinksUpToDate>false</LinksUpToDate>
  <CharactersWithSpaces>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2011-06-24T19:01:00Z</dcterms:created>
  <dcterms:modified xsi:type="dcterms:W3CDTF">2011-06-24T19:01:00Z</dcterms:modified>
</cp:coreProperties>
</file>