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7B" w:rsidRDefault="003236AD">
      <w:pPr>
        <w:pStyle w:val="Court"/>
        <w:spacing w:after="0"/>
        <w:rPr>
          <w:szCs w:val="24"/>
        </w:rPr>
      </w:pPr>
      <w:bookmarkStart w:id="0" w:name="_GoBack"/>
      <w:bookmarkStart w:id="1" w:name="_mpv471343870000010000000000000000000000"/>
      <w:bookmarkEnd w:id="0"/>
      <w:r>
        <w:rPr>
          <w:szCs w:val="24"/>
        </w:rPr>
        <w:t>IN THE UNITED STATES DISTRICT COURT</w:t>
      </w:r>
      <w:r>
        <w:rPr>
          <w:szCs w:val="24"/>
        </w:rPr>
        <w:br/>
        <w:t>FOR THE SOUTHERN DISTRICT OF MISSISSIPPI</w:t>
      </w:r>
      <w:bookmarkEnd w:id="1"/>
    </w:p>
    <w:p w:rsidR="0046587B" w:rsidRDefault="003236AD">
      <w:pPr>
        <w:pStyle w:val="Court"/>
        <w:spacing w:after="0"/>
        <w:rPr>
          <w:szCs w:val="24"/>
        </w:rPr>
      </w:pPr>
      <w:r>
        <w:rPr>
          <w:szCs w:val="24"/>
        </w:rPr>
        <w:t>JACKSON DIVISION</w:t>
      </w:r>
    </w:p>
    <w:p w:rsidR="0046587B" w:rsidRDefault="0046587B">
      <w:pPr>
        <w:pStyle w:val="Court"/>
        <w:spacing w:after="0"/>
        <w:rPr>
          <w:szCs w:val="24"/>
        </w:rPr>
      </w:pPr>
    </w:p>
    <w:bookmarkStart w:id="2" w:name="_mps937277320000000000000003791000000000" w:colFirst="0" w:colLast="1" w:displacedByCustomXml="next"/>
    <w:bookmarkStart w:id="3" w:name="_mps371166770000000000000000960000000000" w:colFirst="0" w:colLast="2" w:displacedByCustomXml="next"/>
    <w:sdt>
      <w:sdtPr>
        <w:rPr>
          <w:szCs w:val="24"/>
        </w:rPr>
        <w:tag w:val="mps371166770000000000000000960000000000"/>
        <w:id w:val="78840218"/>
        <w:placeholder>
          <w:docPart w:val="60D253BE6E174248AEA33523BEDFCE56"/>
        </w:placeholder>
      </w:sdtPr>
      <w:sdtContent>
        <w:tbl>
          <w:tblPr>
            <w:tblW w:w="5000" w:type="pct"/>
            <w:tblLayout w:type="fixed"/>
            <w:tblLook w:val="0000"/>
          </w:tblPr>
          <w:tblGrid>
            <w:gridCol w:w="4645"/>
            <w:gridCol w:w="288"/>
            <w:gridCol w:w="4643"/>
          </w:tblGrid>
          <w:sdt>
            <w:sdtPr>
              <w:rPr>
                <w:szCs w:val="24"/>
              </w:rPr>
              <w:tag w:val="mps937277320000000000000003791000000000"/>
              <w:id w:val="78840199"/>
              <w:placeholder>
                <w:docPart w:val="0671ED1DDE1C4598BF1850B8ABF3A4FF"/>
              </w:placeholder>
            </w:sdtPr>
            <w:sdtContent>
              <w:tr w:rsidR="0046587B">
                <w:tc>
                  <w:tcPr>
                    <w:tcW w:w="2425" w:type="pct"/>
                    <w:tcBorders>
                      <w:top w:val="single" w:sz="4" w:space="0" w:color="auto"/>
                    </w:tcBorders>
                  </w:tcPr>
                  <w:p w:rsidR="0046587B" w:rsidRDefault="00BE129D">
                    <w:pPr>
                      <w:pStyle w:val="Caption"/>
                      <w:spacing w:after="0"/>
                      <w:rPr>
                        <w:szCs w:val="24"/>
                      </w:rPr>
                    </w:pPr>
                    <w:sdt>
                      <w:sdtPr>
                        <w:rPr>
                          <w:szCs w:val="24"/>
                        </w:rPr>
                        <w:tag w:val="mpv973366440000020000000000000000000000"/>
                        <w:id w:val="78840194"/>
                        <w:placeholder>
                          <w:docPart w:val="7CA0D9FD871C4FC3B4BBCFCAFBE57D08"/>
                        </w:placeholder>
                        <w:showingPlcHdr/>
                      </w:sdtPr>
                      <w:sdtContent>
                        <w:bookmarkStart w:id="4" w:name="_mpv973366440000020000000000000000000000"/>
                        <w:bookmarkEnd w:id="4"/>
                      </w:sdtContent>
                    </w:sdt>
                    <w:r w:rsidR="00816642">
                      <w:rPr>
                        <w:szCs w:val="24"/>
                      </w:rPr>
                      <w:t>Disability Rights Mississippi</w:t>
                    </w:r>
                    <w:r w:rsidR="003236AD">
                      <w:rPr>
                        <w:szCs w:val="24"/>
                      </w:rPr>
                      <w:t>,</w:t>
                    </w:r>
                  </w:p>
                  <w:sdt>
                    <w:sdtPr>
                      <w:rPr>
                        <w:rFonts w:asciiTheme="minorHAnsi" w:eastAsiaTheme="minorHAnsi" w:hAnsiTheme="minorHAnsi" w:cstheme="minorBidi"/>
                        <w:bCs w:val="0"/>
                        <w:sz w:val="22"/>
                        <w:szCs w:val="24"/>
                      </w:rPr>
                      <w:tag w:val="mpv599519850000030000000000000000000000"/>
                      <w:id w:val="78840186"/>
                      <w:placeholder>
                        <w:docPart w:val="57448EF3FDB14C14AEDA1801301F1712"/>
                      </w:placeholder>
                    </w:sdtPr>
                    <w:sdtEndPr>
                      <w:rPr>
                        <w:rFonts w:ascii="Times New Roman" w:hAnsi="Times New Roman"/>
                        <w:sz w:val="24"/>
                      </w:rPr>
                    </w:sdtEndPr>
                    <w:sdtContent>
                      <w:p w:rsidR="0046587B" w:rsidRDefault="00816642">
                        <w:pPr>
                          <w:pStyle w:val="Caption"/>
                          <w:spacing w:after="0"/>
                          <w:ind w:left="1800"/>
                          <w:rPr>
                            <w:szCs w:val="24"/>
                          </w:rPr>
                        </w:pPr>
                        <w:r>
                          <w:rPr>
                            <w:szCs w:val="24"/>
                          </w:rPr>
                          <w:t>Plaintiff</w:t>
                        </w:r>
                        <w:r w:rsidR="003236AD">
                          <w:rPr>
                            <w:szCs w:val="24"/>
                          </w:rPr>
                          <w:t>,</w:t>
                        </w:r>
                      </w:p>
                      <w:p w:rsidR="0046587B" w:rsidRDefault="00BE129D"/>
                    </w:sdtContent>
                  </w:sdt>
                </w:tc>
                <w:tc>
                  <w:tcPr>
                    <w:tcW w:w="150" w:type="pct"/>
                    <w:vMerge w:val="restart"/>
                  </w:tcPr>
                  <w:p w:rsidR="0046587B" w:rsidRDefault="003236AD">
                    <w:pPr>
                      <w:pStyle w:val="CaptionCenter"/>
                      <w:rPr>
                        <w:szCs w:val="24"/>
                      </w:rPr>
                    </w:pPr>
                    <w:r>
                      <w:rPr>
                        <w:szCs w:val="24"/>
                      </w:rPr>
                      <w:t>)</w:t>
                    </w:r>
                    <w:r>
                      <w:rPr>
                        <w:szCs w:val="24"/>
                      </w:rPr>
                      <w:br/>
                      <w:t>)</w:t>
                    </w:r>
                    <w:r>
                      <w:rPr>
                        <w:szCs w:val="24"/>
                      </w:rPr>
                      <w:br/>
                      <w:t>)</w:t>
                    </w:r>
                    <w:r>
                      <w:rPr>
                        <w:szCs w:val="24"/>
                      </w:rPr>
                      <w:br/>
                      <w:t>)</w:t>
                    </w:r>
                    <w:r>
                      <w:rPr>
                        <w:szCs w:val="24"/>
                      </w:rPr>
                      <w:br/>
                      <w:t>)</w:t>
                    </w:r>
                    <w:r>
                      <w:rPr>
                        <w:szCs w:val="24"/>
                      </w:rPr>
                      <w:br/>
                      <w:t>)</w:t>
                    </w:r>
                    <w:r>
                      <w:rPr>
                        <w:szCs w:val="24"/>
                      </w:rPr>
                      <w:br/>
                      <w:t>)</w:t>
                    </w:r>
                    <w:r>
                      <w:rPr>
                        <w:szCs w:val="24"/>
                      </w:rPr>
                      <w:br/>
                      <w:t>)</w:t>
                    </w:r>
                    <w:r>
                      <w:rPr>
                        <w:szCs w:val="24"/>
                      </w:rPr>
                      <w:br/>
                      <w:t>)</w:t>
                    </w:r>
                  </w:p>
                </w:tc>
                <w:tc>
                  <w:tcPr>
                    <w:tcW w:w="2424" w:type="pct"/>
                  </w:tcPr>
                  <w:p w:rsidR="0046587B" w:rsidRDefault="0046587B">
                    <w:pPr>
                      <w:pStyle w:val="CaptionRight"/>
                      <w:spacing w:after="0"/>
                      <w:rPr>
                        <w:szCs w:val="24"/>
                      </w:rPr>
                    </w:pPr>
                  </w:p>
                </w:tc>
              </w:tr>
            </w:sdtContent>
          </w:sdt>
          <w:bookmarkEnd w:id="2" w:displacedByCustomXml="next"/>
          <w:bookmarkStart w:id="5" w:name="_mps721059620000000000000003791000000000" w:colFirst="0" w:colLast="2" w:displacedByCustomXml="next"/>
          <w:sdt>
            <w:sdtPr>
              <w:rPr>
                <w:szCs w:val="24"/>
              </w:rPr>
              <w:tag w:val="mps721059620000000000000003791000000000"/>
              <w:id w:val="78840176"/>
              <w:placeholder>
                <w:docPart w:val="D17236B19CA04DC595BD1C22A342BC8A"/>
              </w:placeholder>
            </w:sdtPr>
            <w:sdtContent>
              <w:tr w:rsidR="0046587B">
                <w:tc>
                  <w:tcPr>
                    <w:tcW w:w="2425" w:type="pct"/>
                    <w:tcBorders>
                      <w:bottom w:val="single" w:sz="4" w:space="0" w:color="auto"/>
                    </w:tcBorders>
                  </w:tcPr>
                  <w:p w:rsidR="0046587B" w:rsidRDefault="003236AD">
                    <w:pPr>
                      <w:pStyle w:val="Caption"/>
                      <w:spacing w:after="0"/>
                      <w:rPr>
                        <w:szCs w:val="24"/>
                      </w:rPr>
                    </w:pPr>
                    <w:r>
                      <w:rPr>
                        <w:szCs w:val="24"/>
                      </w:rPr>
                      <w:t>v.</w:t>
                    </w:r>
                  </w:p>
                  <w:p w:rsidR="0046587B" w:rsidRDefault="0046587B"/>
                  <w:p w:rsidR="0046587B" w:rsidRDefault="00816642">
                    <w:pPr>
                      <w:pStyle w:val="Caption"/>
                      <w:spacing w:after="0"/>
                      <w:rPr>
                        <w:i/>
                        <w:szCs w:val="24"/>
                      </w:rPr>
                    </w:pPr>
                    <w:r>
                      <w:rPr>
                        <w:szCs w:val="24"/>
                      </w:rPr>
                      <w:t>Mississippi Children’s Home Services</w:t>
                    </w:r>
                    <w:r w:rsidR="003236AD">
                      <w:rPr>
                        <w:szCs w:val="24"/>
                      </w:rPr>
                      <w:t>,</w:t>
                    </w:r>
                  </w:p>
                  <w:p w:rsidR="0046587B" w:rsidRDefault="00BE129D">
                    <w:pPr>
                      <w:pStyle w:val="Caption"/>
                      <w:spacing w:after="0"/>
                      <w:ind w:left="1800"/>
                      <w:rPr>
                        <w:szCs w:val="24"/>
                      </w:rPr>
                    </w:pPr>
                    <w:sdt>
                      <w:sdtPr>
                        <w:rPr>
                          <w:szCs w:val="24"/>
                        </w:rPr>
                        <w:tag w:val="mpv184719030000050000000000000000000000"/>
                        <w:id w:val="78840167"/>
                        <w:placeholder>
                          <w:docPart w:val="0E204BA3E183446A8657016B73C7369B"/>
                        </w:placeholder>
                      </w:sdtPr>
                      <w:sdtContent>
                        <w:bookmarkStart w:id="6" w:name="_mpv184719030000050000000000000000000000"/>
                        <w:r w:rsidR="003236AD">
                          <w:rPr>
                            <w:szCs w:val="24"/>
                          </w:rPr>
                          <w:t>Defendant</w:t>
                        </w:r>
                        <w:bookmarkEnd w:id="6"/>
                      </w:sdtContent>
                    </w:sdt>
                    <w:r w:rsidR="003236AD">
                      <w:rPr>
                        <w:szCs w:val="24"/>
                      </w:rPr>
                      <w:t>.</w:t>
                    </w:r>
                  </w:p>
                </w:tc>
                <w:tc>
                  <w:tcPr>
                    <w:tcW w:w="150" w:type="pct"/>
                    <w:vMerge/>
                  </w:tcPr>
                  <w:p w:rsidR="0046587B" w:rsidRDefault="0046587B">
                    <w:pPr>
                      <w:pStyle w:val="CaptionRight"/>
                      <w:spacing w:after="0"/>
                      <w:ind w:left="-72"/>
                      <w:jc w:val="center"/>
                      <w:rPr>
                        <w:szCs w:val="24"/>
                      </w:rPr>
                    </w:pPr>
                  </w:p>
                </w:tc>
                <w:tc>
                  <w:tcPr>
                    <w:tcW w:w="2424" w:type="pct"/>
                  </w:tcPr>
                  <w:p w:rsidR="0046587B" w:rsidRDefault="003236AD">
                    <w:pPr>
                      <w:pStyle w:val="CaptionRight"/>
                      <w:spacing w:after="0"/>
                      <w:rPr>
                        <w:szCs w:val="24"/>
                      </w:rPr>
                    </w:pPr>
                    <w:r>
                      <w:rPr>
                        <w:szCs w:val="24"/>
                      </w:rPr>
                      <w:t xml:space="preserve">CAUSE NO. </w:t>
                    </w:r>
                    <w:sdt>
                      <w:sdtPr>
                        <w:rPr>
                          <w:szCs w:val="24"/>
                        </w:rPr>
                        <w:tag w:val="mpv981773730000060000000000000000000000"/>
                        <w:id w:val="78840164"/>
                        <w:placeholder>
                          <w:docPart w:val="8C6D343456284F5FAD5D69652A536D58"/>
                        </w:placeholder>
                      </w:sdtPr>
                      <w:sdtContent>
                        <w:bookmarkStart w:id="7" w:name="_mpv981773730000060000000000000000000000"/>
                        <w:r>
                          <w:rPr>
                            <w:szCs w:val="24"/>
                          </w:rPr>
                          <w:t>3:1</w:t>
                        </w:r>
                        <w:r w:rsidR="00816642">
                          <w:rPr>
                            <w:szCs w:val="24"/>
                          </w:rPr>
                          <w:t>3</w:t>
                        </w:r>
                        <w:r>
                          <w:rPr>
                            <w:szCs w:val="24"/>
                          </w:rPr>
                          <w:t>-CV-</w:t>
                        </w:r>
                        <w:r w:rsidR="00816642">
                          <w:rPr>
                            <w:szCs w:val="24"/>
                          </w:rPr>
                          <w:t>547</w:t>
                        </w:r>
                        <w:r>
                          <w:rPr>
                            <w:szCs w:val="24"/>
                          </w:rPr>
                          <w:t>-HTW-</w:t>
                        </w:r>
                        <w:bookmarkEnd w:id="7"/>
                        <w:r w:rsidR="00816642">
                          <w:rPr>
                            <w:szCs w:val="24"/>
                          </w:rPr>
                          <w:t>LRA</w:t>
                        </w:r>
                      </w:sdtContent>
                    </w:sdt>
                  </w:p>
                  <w:sdt>
                    <w:sdtPr>
                      <w:rPr>
                        <w:szCs w:val="24"/>
                      </w:rPr>
                      <w:tag w:val="mpv590609610000070000000000000000000000"/>
                      <w:id w:val="78840161"/>
                      <w:placeholder>
                        <w:docPart w:val="EB1AE4C5285E41D8934618F350480BB9"/>
                      </w:placeholder>
                      <w:showingPlcHdr/>
                    </w:sdtPr>
                    <w:sdtContent>
                      <w:p w:rsidR="0046587B" w:rsidRDefault="00BE129D">
                        <w:pPr>
                          <w:pStyle w:val="DateTimeInformation"/>
                          <w:rPr>
                            <w:szCs w:val="24"/>
                          </w:rPr>
                        </w:pPr>
                      </w:p>
                    </w:sdtContent>
                  </w:sdt>
                </w:tc>
              </w:tr>
            </w:sdtContent>
          </w:sdt>
          <w:bookmarkEnd w:id="3"/>
          <w:bookmarkEnd w:id="5"/>
        </w:tbl>
      </w:sdtContent>
    </w:sdt>
    <w:p w:rsidR="0046587B" w:rsidRDefault="0046587B">
      <w:pPr>
        <w:spacing w:line="240" w:lineRule="auto"/>
        <w:jc w:val="center"/>
        <w:rPr>
          <w:b/>
          <w:u w:val="single"/>
        </w:rPr>
      </w:pPr>
    </w:p>
    <w:p w:rsidR="00F04BC3" w:rsidRDefault="00F04BC3">
      <w:pPr>
        <w:spacing w:line="240" w:lineRule="auto"/>
        <w:jc w:val="center"/>
        <w:rPr>
          <w:b/>
          <w:u w:val="single"/>
        </w:rPr>
      </w:pPr>
    </w:p>
    <w:p w:rsidR="00F04BC3" w:rsidRDefault="00F04BC3">
      <w:pPr>
        <w:spacing w:line="240" w:lineRule="auto"/>
        <w:jc w:val="center"/>
        <w:rPr>
          <w:b/>
          <w:u w:val="single"/>
        </w:rPr>
      </w:pPr>
    </w:p>
    <w:p w:rsidR="0046587B" w:rsidRPr="003236AD" w:rsidRDefault="0046587B">
      <w:pPr>
        <w:spacing w:line="240" w:lineRule="auto"/>
        <w:jc w:val="center"/>
        <w:rPr>
          <w:b/>
          <w:caps/>
          <w:u w:val="single"/>
        </w:rPr>
      </w:pPr>
    </w:p>
    <w:p w:rsidR="00F04BC3" w:rsidRPr="003236AD" w:rsidRDefault="003236AD" w:rsidP="00F04BC3">
      <w:pPr>
        <w:jc w:val="center"/>
        <w:rPr>
          <w:b/>
          <w:caps/>
          <w:u w:val="single"/>
        </w:rPr>
      </w:pPr>
      <w:r w:rsidRPr="003236AD">
        <w:rPr>
          <w:b/>
          <w:caps/>
          <w:u w:val="single"/>
        </w:rPr>
        <w:t>Statement of Interest</w:t>
      </w:r>
      <w:r w:rsidR="00403E64">
        <w:rPr>
          <w:b/>
          <w:caps/>
          <w:u w:val="single"/>
        </w:rPr>
        <w:t xml:space="preserve"> of the United STates</w:t>
      </w:r>
      <w:r w:rsidRPr="003236AD">
        <w:rPr>
          <w:b/>
          <w:caps/>
          <w:u w:val="single"/>
        </w:rPr>
        <w:t xml:space="preserve"> </w:t>
      </w:r>
    </w:p>
    <w:p w:rsidR="00DA5744" w:rsidRDefault="003236AD" w:rsidP="00900158">
      <w:pPr>
        <w:ind w:firstLine="180"/>
        <w:jc w:val="left"/>
        <w:rPr>
          <w:rFonts w:ascii="Times New Roman Bold" w:hAnsi="Times New Roman Bold" w:cs="Times New Roman"/>
          <w:b/>
          <w:caps/>
          <w:szCs w:val="24"/>
          <w:u w:val="single"/>
        </w:rPr>
      </w:pPr>
      <w:r>
        <w:tab/>
      </w:r>
      <w:r w:rsidR="00816642" w:rsidRPr="00FE1C7D">
        <w:rPr>
          <w:rFonts w:cs="Times New Roman"/>
          <w:szCs w:val="24"/>
        </w:rPr>
        <w:t>The United States respectfully submits this Statement of Interest pursuant to</w:t>
      </w:r>
      <w:r w:rsidR="00FE1C7D">
        <w:rPr>
          <w:rFonts w:cs="Times New Roman"/>
          <w:szCs w:val="24"/>
        </w:rPr>
        <w:t xml:space="preserve"> </w:t>
      </w:r>
      <w:r w:rsidR="00816642" w:rsidRPr="00FE1C7D">
        <w:rPr>
          <w:rFonts w:cs="Times New Roman"/>
          <w:szCs w:val="24"/>
        </w:rPr>
        <w:t>28 U.S.C. § 517,</w:t>
      </w:r>
      <w:r w:rsidR="00B10E4E" w:rsidRPr="00FE1C7D">
        <w:rPr>
          <w:rStyle w:val="FootnoteReference"/>
          <w:rFonts w:cs="Times New Roman"/>
          <w:szCs w:val="24"/>
        </w:rPr>
        <w:footnoteReference w:id="1"/>
      </w:r>
      <w:r w:rsidR="00816642" w:rsidRPr="00FE1C7D">
        <w:rPr>
          <w:rFonts w:cs="Times New Roman"/>
          <w:szCs w:val="24"/>
        </w:rPr>
        <w:t xml:space="preserve"> because this litigation involves the proper interpretation and</w:t>
      </w:r>
      <w:r w:rsidR="00FE1C7D">
        <w:rPr>
          <w:rFonts w:cs="Times New Roman"/>
          <w:szCs w:val="24"/>
        </w:rPr>
        <w:t xml:space="preserve"> </w:t>
      </w:r>
      <w:r w:rsidR="00816642" w:rsidRPr="00FE1C7D">
        <w:rPr>
          <w:rFonts w:cs="Times New Roman"/>
          <w:szCs w:val="24"/>
        </w:rPr>
        <w:t>application of federal law</w:t>
      </w:r>
      <w:r w:rsidR="00B10E4E" w:rsidRPr="00FE1C7D">
        <w:rPr>
          <w:rFonts w:cs="Times New Roman"/>
          <w:szCs w:val="24"/>
        </w:rPr>
        <w:t xml:space="preserve">.  </w:t>
      </w:r>
      <w:r w:rsidR="00BA1ADE">
        <w:rPr>
          <w:rFonts w:cs="Times New Roman"/>
          <w:szCs w:val="24"/>
        </w:rPr>
        <w:t xml:space="preserve">As </w:t>
      </w:r>
      <w:r w:rsidR="00B51021">
        <w:rPr>
          <w:rFonts w:cs="Times New Roman"/>
          <w:szCs w:val="24"/>
        </w:rPr>
        <w:t xml:space="preserve">the United States has </w:t>
      </w:r>
      <w:r w:rsidR="001E04EE">
        <w:rPr>
          <w:rFonts w:cs="Times New Roman"/>
          <w:szCs w:val="24"/>
        </w:rPr>
        <w:t xml:space="preserve">made clear </w:t>
      </w:r>
      <w:r w:rsidR="00B51021">
        <w:rPr>
          <w:rFonts w:cs="Times New Roman"/>
          <w:szCs w:val="24"/>
        </w:rPr>
        <w:t>in litigation across the country</w:t>
      </w:r>
      <w:r w:rsidR="00BA1ADE">
        <w:rPr>
          <w:rFonts w:cs="Times New Roman"/>
          <w:szCs w:val="24"/>
        </w:rPr>
        <w:t xml:space="preserve">, </w:t>
      </w:r>
      <w:r w:rsidR="00B51021">
        <w:rPr>
          <w:rFonts w:cs="Times New Roman"/>
          <w:szCs w:val="24"/>
        </w:rPr>
        <w:t>it</w:t>
      </w:r>
      <w:r w:rsidR="00816642" w:rsidRPr="00FE1C7D">
        <w:rPr>
          <w:rFonts w:cs="Times New Roman"/>
          <w:szCs w:val="24"/>
        </w:rPr>
        <w:t xml:space="preserve"> has a strong interest in the </w:t>
      </w:r>
      <w:r w:rsidR="00BA5AE6">
        <w:rPr>
          <w:rFonts w:cs="Times New Roman"/>
          <w:szCs w:val="24"/>
        </w:rPr>
        <w:t>interpre</w:t>
      </w:r>
      <w:r w:rsidR="00BA1ADE">
        <w:rPr>
          <w:rFonts w:cs="Times New Roman"/>
          <w:szCs w:val="24"/>
        </w:rPr>
        <w:t xml:space="preserve">tation of </w:t>
      </w:r>
      <w:r w:rsidR="00BA5AE6" w:rsidRPr="00FE1C7D">
        <w:rPr>
          <w:rFonts w:cs="Times New Roman"/>
          <w:szCs w:val="24"/>
        </w:rPr>
        <w:t>the Protection and Advocacy for Individuals</w:t>
      </w:r>
      <w:r w:rsidR="00BA5AE6">
        <w:rPr>
          <w:rFonts w:cs="Times New Roman"/>
          <w:szCs w:val="24"/>
        </w:rPr>
        <w:t xml:space="preserve"> </w:t>
      </w:r>
      <w:r w:rsidR="00BA5AE6" w:rsidRPr="00FE1C7D">
        <w:rPr>
          <w:rFonts w:cs="Times New Roman"/>
          <w:szCs w:val="24"/>
        </w:rPr>
        <w:t>with Mental Illness Act (“PAIMI Act”), 42 U.S.C. §§ 10801–10851</w:t>
      </w:r>
      <w:r w:rsidR="00816642" w:rsidRPr="00FE1C7D">
        <w:rPr>
          <w:rFonts w:cs="Times New Roman"/>
          <w:szCs w:val="24"/>
        </w:rPr>
        <w:t>.</w:t>
      </w:r>
      <w:r w:rsidR="00BA1ADE">
        <w:rPr>
          <w:rFonts w:cs="Times New Roman"/>
          <w:szCs w:val="24"/>
        </w:rPr>
        <w:t xml:space="preserve"> </w:t>
      </w:r>
      <w:r w:rsidR="00816642" w:rsidRPr="00FE1C7D">
        <w:rPr>
          <w:rFonts w:cs="Times New Roman"/>
          <w:szCs w:val="24"/>
        </w:rPr>
        <w:t xml:space="preserve"> </w:t>
      </w:r>
      <w:r w:rsidR="00816642" w:rsidRPr="00FE1C7D">
        <w:rPr>
          <w:rFonts w:cs="Times New Roman"/>
          <w:i/>
          <w:szCs w:val="24"/>
        </w:rPr>
        <w:t>See, e.g.</w:t>
      </w:r>
      <w:r w:rsidR="00816642" w:rsidRPr="00FE1C7D">
        <w:rPr>
          <w:rFonts w:cs="Times New Roman"/>
          <w:szCs w:val="24"/>
        </w:rPr>
        <w:t>,</w:t>
      </w:r>
      <w:r w:rsidR="00D01458" w:rsidRPr="00FE1C7D">
        <w:rPr>
          <w:rFonts w:cs="Times New Roman"/>
          <w:szCs w:val="24"/>
        </w:rPr>
        <w:t xml:space="preserve"> </w:t>
      </w:r>
      <w:r w:rsidR="00816642" w:rsidRPr="00FE1C7D">
        <w:rPr>
          <w:rFonts w:cs="Times New Roman"/>
          <w:szCs w:val="24"/>
        </w:rPr>
        <w:t>Statement of Interest of</w:t>
      </w:r>
      <w:r w:rsidR="00D01458" w:rsidRPr="00FE1C7D">
        <w:rPr>
          <w:rFonts w:cs="Times New Roman"/>
          <w:szCs w:val="24"/>
        </w:rPr>
        <w:t xml:space="preserve"> </w:t>
      </w:r>
      <w:r w:rsidR="00816642" w:rsidRPr="00FE1C7D">
        <w:rPr>
          <w:rFonts w:cs="Times New Roman"/>
          <w:szCs w:val="24"/>
        </w:rPr>
        <w:t>the United States, Ind. Prot. &amp; Advocacy Servs. v. Ind. Family &amp; Soc. Servs.</w:t>
      </w:r>
      <w:r w:rsidR="00D01458" w:rsidRPr="00FE1C7D">
        <w:rPr>
          <w:rFonts w:cs="Times New Roman"/>
          <w:szCs w:val="24"/>
        </w:rPr>
        <w:t xml:space="preserve"> </w:t>
      </w:r>
      <w:r w:rsidR="00816642" w:rsidRPr="00FE1C7D">
        <w:rPr>
          <w:rFonts w:cs="Times New Roman"/>
          <w:szCs w:val="24"/>
        </w:rPr>
        <w:t>Admin., No. 1:06-cv-1816 (S.D. Ind. June 16, 2008); Brief for Intervenor United</w:t>
      </w:r>
      <w:r w:rsidR="00D01458" w:rsidRPr="00FE1C7D">
        <w:rPr>
          <w:rFonts w:cs="Times New Roman"/>
          <w:szCs w:val="24"/>
        </w:rPr>
        <w:t xml:space="preserve"> </w:t>
      </w:r>
      <w:r w:rsidR="00816642" w:rsidRPr="00FE1C7D">
        <w:rPr>
          <w:rFonts w:cs="Times New Roman"/>
          <w:szCs w:val="24"/>
        </w:rPr>
        <w:t>States of America, Iowa Prot. &amp; Advocacy Servs., Inc. v.</w:t>
      </w:r>
      <w:r w:rsidR="00AB04ED">
        <w:rPr>
          <w:rFonts w:cs="Times New Roman"/>
          <w:szCs w:val="24"/>
        </w:rPr>
        <w:t xml:space="preserve"> </w:t>
      </w:r>
      <w:r w:rsidR="00816642" w:rsidRPr="00FE1C7D">
        <w:rPr>
          <w:rFonts w:cs="Times New Roman"/>
          <w:szCs w:val="24"/>
        </w:rPr>
        <w:lastRenderedPageBreak/>
        <w:t>Tanager Place,</w:t>
      </w:r>
      <w:r w:rsidR="00D01458" w:rsidRPr="00FE1C7D">
        <w:rPr>
          <w:rFonts w:cs="Times New Roman"/>
          <w:szCs w:val="24"/>
        </w:rPr>
        <w:t xml:space="preserve"> </w:t>
      </w:r>
      <w:r w:rsidR="00816642" w:rsidRPr="00FE1C7D">
        <w:rPr>
          <w:rFonts w:cs="Times New Roman"/>
          <w:szCs w:val="24"/>
        </w:rPr>
        <w:t>No. 04-4074 (8th Cir. May 11, 2005).</w:t>
      </w:r>
      <w:r w:rsidR="00FE1C7D" w:rsidRPr="00FE1C7D">
        <w:rPr>
          <w:rFonts w:cs="Times New Roman"/>
          <w:szCs w:val="24"/>
        </w:rPr>
        <w:t xml:space="preserve"> </w:t>
      </w:r>
      <w:r w:rsidR="00816642" w:rsidRPr="00FE1C7D">
        <w:rPr>
          <w:rFonts w:cs="Times New Roman"/>
          <w:szCs w:val="24"/>
        </w:rPr>
        <w:t xml:space="preserve"> </w:t>
      </w:r>
      <w:r w:rsidR="00B51021">
        <w:rPr>
          <w:rFonts w:cs="Times New Roman"/>
          <w:szCs w:val="24"/>
        </w:rPr>
        <w:t xml:space="preserve">Therefore, the United States offers the Court its </w:t>
      </w:r>
      <w:r w:rsidR="006436F5">
        <w:rPr>
          <w:rFonts w:cs="Times New Roman"/>
          <w:szCs w:val="24"/>
        </w:rPr>
        <w:t>understanding</w:t>
      </w:r>
      <w:r w:rsidR="00B51021">
        <w:rPr>
          <w:rFonts w:cs="Times New Roman"/>
          <w:szCs w:val="24"/>
        </w:rPr>
        <w:t xml:space="preserve"> of the statute and regulations at issue in this case.</w:t>
      </w:r>
      <w:r w:rsidR="00E069D5">
        <w:rPr>
          <w:rStyle w:val="FootnoteReference"/>
          <w:rFonts w:cs="Times New Roman"/>
          <w:szCs w:val="24"/>
        </w:rPr>
        <w:footnoteReference w:id="2"/>
      </w:r>
    </w:p>
    <w:p w:rsidR="00012324" w:rsidRPr="00012324" w:rsidRDefault="00012324" w:rsidP="00012324">
      <w:pPr>
        <w:ind w:firstLine="180"/>
        <w:jc w:val="center"/>
        <w:rPr>
          <w:rFonts w:ascii="Times New Roman Bold" w:hAnsi="Times New Roman Bold" w:cs="Times New Roman"/>
          <w:b/>
          <w:caps/>
          <w:szCs w:val="24"/>
          <w:u w:val="single"/>
        </w:rPr>
      </w:pPr>
      <w:r w:rsidRPr="00012324">
        <w:rPr>
          <w:rFonts w:ascii="Times New Roman Bold" w:hAnsi="Times New Roman Bold" w:cs="Times New Roman"/>
          <w:b/>
          <w:caps/>
          <w:szCs w:val="24"/>
          <w:u w:val="single"/>
        </w:rPr>
        <w:t>Argument</w:t>
      </w:r>
    </w:p>
    <w:p w:rsidR="00F04BC3" w:rsidRDefault="00012324" w:rsidP="00012324">
      <w:pPr>
        <w:ind w:firstLine="720"/>
        <w:jc w:val="left"/>
        <w:rPr>
          <w:rFonts w:cs="Times New Roman"/>
          <w:b/>
          <w:szCs w:val="24"/>
        </w:rPr>
      </w:pPr>
      <w:r>
        <w:rPr>
          <w:rFonts w:cs="Times New Roman"/>
          <w:szCs w:val="24"/>
        </w:rPr>
        <w:t xml:space="preserve">Plaintiffs, representatives of the local protection and advocacy organization, have brought this case seeking access to a psychiatric residential treatment center serving children in Mississippi.  Defendants argue that the access Plaintiffs seek is not guaranteed by law.  The United States Statement of Interest will establish that the PAIMI Act was intended to protect vulnerable people with disabilities by affording broad access rights to protection and advocacy organizations.  A central function of these organizations is to conduct monitoring, even in the absence of abuse and neglect </w:t>
      </w:r>
      <w:r w:rsidR="00527E4A">
        <w:rPr>
          <w:rFonts w:cs="Times New Roman"/>
          <w:szCs w:val="24"/>
        </w:rPr>
        <w:t>complaints from residents</w:t>
      </w:r>
      <w:r>
        <w:rPr>
          <w:rFonts w:cs="Times New Roman"/>
          <w:szCs w:val="24"/>
        </w:rPr>
        <w:t xml:space="preserve">. Monitoring activities include facility visits and also unaccompanied opportunities to speak with residents of the facilities.  </w:t>
      </w:r>
      <w:r w:rsidR="00FE1FE9">
        <w:rPr>
          <w:rFonts w:cs="Times New Roman"/>
          <w:szCs w:val="24"/>
        </w:rPr>
        <w:t>The PAIMI Act is undermined i</w:t>
      </w:r>
      <w:r>
        <w:rPr>
          <w:rFonts w:cs="Times New Roman"/>
          <w:szCs w:val="24"/>
        </w:rPr>
        <w:t xml:space="preserve">f protection and advocacy organizations are denied these rights, or required to litigate </w:t>
      </w:r>
      <w:r w:rsidR="00FE1FE9">
        <w:rPr>
          <w:rFonts w:cs="Times New Roman"/>
          <w:szCs w:val="24"/>
        </w:rPr>
        <w:t>each time they seek access to a facility and its residents.</w:t>
      </w:r>
      <w:r>
        <w:rPr>
          <w:rFonts w:cs="Times New Roman"/>
          <w:szCs w:val="24"/>
        </w:rPr>
        <w:t xml:space="preserve">    </w:t>
      </w:r>
    </w:p>
    <w:p w:rsidR="00B51021" w:rsidRPr="00B51021" w:rsidRDefault="006027D0" w:rsidP="00744EB4">
      <w:pPr>
        <w:pStyle w:val="ListParagraph"/>
        <w:numPr>
          <w:ilvl w:val="0"/>
          <w:numId w:val="4"/>
        </w:numPr>
        <w:jc w:val="left"/>
        <w:rPr>
          <w:rFonts w:cs="Times New Roman"/>
          <w:b/>
          <w:szCs w:val="24"/>
        </w:rPr>
      </w:pPr>
      <w:r>
        <w:rPr>
          <w:rFonts w:cs="Times New Roman"/>
          <w:b/>
          <w:szCs w:val="24"/>
        </w:rPr>
        <w:t xml:space="preserve">The </w:t>
      </w:r>
      <w:r w:rsidR="00B51021" w:rsidRPr="00B51021">
        <w:rPr>
          <w:rFonts w:cs="Times New Roman"/>
          <w:b/>
          <w:szCs w:val="24"/>
        </w:rPr>
        <w:t>PAIMI Act</w:t>
      </w:r>
      <w:r>
        <w:rPr>
          <w:rFonts w:cs="Times New Roman"/>
          <w:b/>
          <w:szCs w:val="24"/>
        </w:rPr>
        <w:t xml:space="preserve"> was </w:t>
      </w:r>
      <w:r w:rsidR="006436F5">
        <w:rPr>
          <w:rFonts w:cs="Times New Roman"/>
          <w:b/>
          <w:szCs w:val="24"/>
        </w:rPr>
        <w:t>Pass</w:t>
      </w:r>
      <w:r>
        <w:rPr>
          <w:rFonts w:cs="Times New Roman"/>
          <w:b/>
          <w:szCs w:val="24"/>
        </w:rPr>
        <w:t xml:space="preserve">ed </w:t>
      </w:r>
      <w:r w:rsidR="00B51021">
        <w:rPr>
          <w:rFonts w:cs="Times New Roman"/>
          <w:b/>
          <w:szCs w:val="24"/>
        </w:rPr>
        <w:t>to Protect a Vulnerable Population</w:t>
      </w:r>
    </w:p>
    <w:p w:rsidR="00242190" w:rsidRDefault="002626E7" w:rsidP="00287B89">
      <w:pPr>
        <w:ind w:firstLine="720"/>
        <w:jc w:val="left"/>
        <w:rPr>
          <w:sz w:val="23"/>
          <w:szCs w:val="23"/>
        </w:rPr>
      </w:pPr>
      <w:r w:rsidRPr="00744EB4">
        <w:rPr>
          <w:rFonts w:cs="Times New Roman"/>
          <w:szCs w:val="24"/>
        </w:rPr>
        <w:t xml:space="preserve">Congress </w:t>
      </w:r>
      <w:r>
        <w:rPr>
          <w:rFonts w:cs="Times New Roman"/>
          <w:szCs w:val="24"/>
        </w:rPr>
        <w:t>enacted this law</w:t>
      </w:r>
      <w:r w:rsidRPr="00744EB4">
        <w:rPr>
          <w:rFonts w:cs="Times New Roman"/>
          <w:szCs w:val="24"/>
        </w:rPr>
        <w:t xml:space="preserve"> because it found that “</w:t>
      </w:r>
      <w:r w:rsidRPr="00744EB4">
        <w:rPr>
          <w:rFonts w:cs="Times New Roman"/>
          <w:color w:val="000000"/>
          <w:szCs w:val="24"/>
        </w:rPr>
        <w:t xml:space="preserve">individuals with mental illness are vulnerable to abuse and serious injury,” </w:t>
      </w:r>
      <w:r w:rsidRPr="00744EB4">
        <w:rPr>
          <w:rFonts w:cs="Times New Roman"/>
          <w:szCs w:val="24"/>
        </w:rPr>
        <w:t>and that “</w:t>
      </w:r>
      <w:r>
        <w:rPr>
          <w:rFonts w:eastAsia="Times New Roman" w:cs="Times New Roman"/>
          <w:color w:val="000000"/>
          <w:szCs w:val="24"/>
        </w:rPr>
        <w:t>[s]</w:t>
      </w:r>
      <w:r w:rsidRPr="00744EB4">
        <w:rPr>
          <w:rFonts w:eastAsia="Times New Roman" w:cs="Times New Roman"/>
          <w:color w:val="000000"/>
          <w:szCs w:val="24"/>
        </w:rPr>
        <w:t xml:space="preserve">tate systems for monitoring compliance with respect to the rights of individuals with mental illness vary widely and are frequently inadequate.” </w:t>
      </w:r>
      <w:r w:rsidRPr="00744EB4">
        <w:rPr>
          <w:rFonts w:cs="Times New Roman"/>
          <w:color w:val="000000"/>
          <w:szCs w:val="24"/>
        </w:rPr>
        <w:t xml:space="preserve">42 </w:t>
      </w:r>
      <w:r w:rsidRPr="00744EB4">
        <w:rPr>
          <w:rFonts w:cs="Times New Roman"/>
          <w:szCs w:val="24"/>
        </w:rPr>
        <w:t>U.S.C. § 10801.</w:t>
      </w:r>
      <w:r w:rsidRPr="00744EB4">
        <w:rPr>
          <w:rFonts w:eastAsia="Times New Roman" w:cs="Times New Roman"/>
          <w:color w:val="000000"/>
          <w:szCs w:val="24"/>
        </w:rPr>
        <w:t xml:space="preserve"> </w:t>
      </w:r>
      <w:r>
        <w:rPr>
          <w:rFonts w:eastAsia="Times New Roman" w:cs="Times New Roman"/>
          <w:color w:val="000000"/>
          <w:szCs w:val="24"/>
        </w:rPr>
        <w:t xml:space="preserve"> The law grew out of a congressional staff investigation that uncovered fear and intimidation at psychiatric facilities.  </w:t>
      </w:r>
      <w:r w:rsidR="00242190">
        <w:rPr>
          <w:rFonts w:eastAsia="Times New Roman" w:cs="Times New Roman"/>
          <w:i/>
          <w:color w:val="000000"/>
          <w:szCs w:val="24"/>
        </w:rPr>
        <w:t xml:space="preserve">Care of Institutionalized Mentally Disabled Persons: Joint Hearings Before the Senate Subcomms. on the Handicapped and on Labor, Health and Human Services, Education, and Related Agencies, </w:t>
      </w:r>
      <w:r w:rsidR="00242190" w:rsidRPr="00242190">
        <w:rPr>
          <w:rFonts w:eastAsia="Times New Roman" w:cs="Times New Roman"/>
          <w:color w:val="000000"/>
          <w:szCs w:val="24"/>
        </w:rPr>
        <w:t>99th Cong. (1985)</w:t>
      </w:r>
      <w:r w:rsidR="00DF1239">
        <w:rPr>
          <w:sz w:val="23"/>
          <w:szCs w:val="23"/>
        </w:rPr>
        <w:t xml:space="preserve">.  </w:t>
      </w:r>
      <w:r w:rsidR="00242190">
        <w:rPr>
          <w:sz w:val="23"/>
          <w:szCs w:val="23"/>
        </w:rPr>
        <w:t xml:space="preserve">Staff visiting psychiatric facilities across the nation found evidence of physical abuse, sexual abuse, verbal </w:t>
      </w:r>
      <w:r w:rsidR="00242190">
        <w:rPr>
          <w:sz w:val="23"/>
          <w:szCs w:val="23"/>
        </w:rPr>
        <w:lastRenderedPageBreak/>
        <w:t xml:space="preserve">threats, regular harassment, reliance on seclusion and mechanical restraints, inadequate treatment, and indecent living conditions.  </w:t>
      </w:r>
      <w:r w:rsidR="00242190">
        <w:rPr>
          <w:i/>
          <w:sz w:val="23"/>
          <w:szCs w:val="23"/>
        </w:rPr>
        <w:t>I</w:t>
      </w:r>
      <w:r w:rsidR="00242190" w:rsidRPr="00242190">
        <w:rPr>
          <w:i/>
          <w:sz w:val="23"/>
          <w:szCs w:val="23"/>
        </w:rPr>
        <w:t>d.</w:t>
      </w:r>
      <w:r w:rsidR="002C4713">
        <w:rPr>
          <w:sz w:val="23"/>
          <w:szCs w:val="23"/>
        </w:rPr>
        <w:t xml:space="preserve"> at 3.  </w:t>
      </w:r>
      <w:r w:rsidR="007440F7">
        <w:rPr>
          <w:sz w:val="23"/>
          <w:szCs w:val="23"/>
        </w:rPr>
        <w:t>In one graphic example of the abuse and neglect</w:t>
      </w:r>
      <w:r w:rsidR="001E04EE">
        <w:rPr>
          <w:sz w:val="23"/>
          <w:szCs w:val="23"/>
        </w:rPr>
        <w:t>,</w:t>
      </w:r>
      <w:r w:rsidR="007440F7">
        <w:rPr>
          <w:sz w:val="23"/>
          <w:szCs w:val="23"/>
        </w:rPr>
        <w:t xml:space="preserve"> investigators found a patient died while tied to a bed in full restraints and was </w:t>
      </w:r>
      <w:r w:rsidR="003E72D5">
        <w:rPr>
          <w:sz w:val="23"/>
          <w:szCs w:val="23"/>
        </w:rPr>
        <w:t>discovered</w:t>
      </w:r>
      <w:r w:rsidR="007440F7">
        <w:rPr>
          <w:sz w:val="23"/>
          <w:szCs w:val="23"/>
        </w:rPr>
        <w:t xml:space="preserve"> soaked in her own urine.  </w:t>
      </w:r>
      <w:r w:rsidR="007440F7">
        <w:rPr>
          <w:i/>
          <w:sz w:val="23"/>
          <w:szCs w:val="23"/>
        </w:rPr>
        <w:t>I</w:t>
      </w:r>
      <w:r w:rsidR="007440F7" w:rsidRPr="00242190">
        <w:rPr>
          <w:i/>
          <w:sz w:val="23"/>
          <w:szCs w:val="23"/>
        </w:rPr>
        <w:t>d.</w:t>
      </w:r>
      <w:r w:rsidR="007440F7">
        <w:rPr>
          <w:sz w:val="23"/>
          <w:szCs w:val="23"/>
        </w:rPr>
        <w:t xml:space="preserve"> at 24.   </w:t>
      </w:r>
      <w:r w:rsidR="00F20FA7">
        <w:rPr>
          <w:sz w:val="23"/>
          <w:szCs w:val="23"/>
        </w:rPr>
        <w:t>I</w:t>
      </w:r>
      <w:r w:rsidR="002C4713">
        <w:rPr>
          <w:sz w:val="23"/>
          <w:szCs w:val="23"/>
        </w:rPr>
        <w:t>nvestigat</w:t>
      </w:r>
      <w:r w:rsidR="00F20FA7">
        <w:rPr>
          <w:sz w:val="23"/>
          <w:szCs w:val="23"/>
        </w:rPr>
        <w:t>ors</w:t>
      </w:r>
      <w:r w:rsidR="002C4713">
        <w:rPr>
          <w:sz w:val="23"/>
          <w:szCs w:val="23"/>
        </w:rPr>
        <w:t xml:space="preserve"> review</w:t>
      </w:r>
      <w:r w:rsidR="00F20FA7">
        <w:rPr>
          <w:sz w:val="23"/>
          <w:szCs w:val="23"/>
        </w:rPr>
        <w:t>ed</w:t>
      </w:r>
      <w:r w:rsidR="002C4713">
        <w:rPr>
          <w:sz w:val="23"/>
          <w:szCs w:val="23"/>
        </w:rPr>
        <w:t xml:space="preserve"> existing monitoring mechanisms and determined that</w:t>
      </w:r>
      <w:r w:rsidR="00242190">
        <w:rPr>
          <w:sz w:val="23"/>
          <w:szCs w:val="23"/>
        </w:rPr>
        <w:t xml:space="preserve"> monitoring conducted by the states and other accreditation bodies was not sufficient to prevent and remedy the violations of law.  </w:t>
      </w:r>
      <w:r w:rsidR="00242190">
        <w:rPr>
          <w:i/>
          <w:sz w:val="23"/>
          <w:szCs w:val="23"/>
        </w:rPr>
        <w:t>I</w:t>
      </w:r>
      <w:r w:rsidR="00242190" w:rsidRPr="00242190">
        <w:rPr>
          <w:i/>
          <w:sz w:val="23"/>
          <w:szCs w:val="23"/>
        </w:rPr>
        <w:t>d.</w:t>
      </w:r>
      <w:r w:rsidR="00242190">
        <w:rPr>
          <w:sz w:val="23"/>
          <w:szCs w:val="23"/>
        </w:rPr>
        <w:t xml:space="preserve"> at 5</w:t>
      </w:r>
      <w:r w:rsidR="00F20FA7">
        <w:rPr>
          <w:sz w:val="23"/>
          <w:szCs w:val="23"/>
        </w:rPr>
        <w:t>, 76-114</w:t>
      </w:r>
      <w:r w:rsidR="00242190">
        <w:rPr>
          <w:sz w:val="23"/>
          <w:szCs w:val="23"/>
        </w:rPr>
        <w:t xml:space="preserve">.  </w:t>
      </w:r>
      <w:r w:rsidR="002C4713">
        <w:rPr>
          <w:sz w:val="23"/>
          <w:szCs w:val="23"/>
        </w:rPr>
        <w:t xml:space="preserve"> After conducting a thorough analysis, congressional staff determined that protection and advocacy services were desperately needed.  </w:t>
      </w:r>
      <w:r w:rsidR="002C4713">
        <w:rPr>
          <w:i/>
          <w:sz w:val="23"/>
          <w:szCs w:val="23"/>
        </w:rPr>
        <w:t>I</w:t>
      </w:r>
      <w:r w:rsidR="002C4713" w:rsidRPr="00242190">
        <w:rPr>
          <w:i/>
          <w:sz w:val="23"/>
          <w:szCs w:val="23"/>
        </w:rPr>
        <w:t>d.</w:t>
      </w:r>
      <w:r w:rsidR="002C4713">
        <w:rPr>
          <w:sz w:val="23"/>
          <w:szCs w:val="23"/>
        </w:rPr>
        <w:t xml:space="preserve"> at 81.   </w:t>
      </w:r>
    </w:p>
    <w:p w:rsidR="00FE1FE9" w:rsidRDefault="002626E7" w:rsidP="00287B89">
      <w:pPr>
        <w:ind w:firstLine="720"/>
        <w:jc w:val="left"/>
        <w:rPr>
          <w:rFonts w:eastAsia="Times New Roman" w:cs="Times New Roman"/>
          <w:color w:val="000000"/>
          <w:szCs w:val="24"/>
        </w:rPr>
      </w:pPr>
      <w:r>
        <w:rPr>
          <w:rFonts w:eastAsia="Times New Roman" w:cs="Times New Roman"/>
          <w:color w:val="000000"/>
          <w:szCs w:val="24"/>
        </w:rPr>
        <w:t xml:space="preserve">In response, </w:t>
      </w:r>
      <w:r w:rsidR="00B51021" w:rsidRPr="00744EB4">
        <w:rPr>
          <w:rFonts w:cs="Times New Roman"/>
          <w:szCs w:val="24"/>
        </w:rPr>
        <w:t xml:space="preserve">Congress </w:t>
      </w:r>
      <w:r w:rsidR="002C4713">
        <w:rPr>
          <w:rFonts w:cs="Times New Roman"/>
          <w:szCs w:val="24"/>
        </w:rPr>
        <w:t xml:space="preserve">passed the PAIMI Act and </w:t>
      </w:r>
      <w:r w:rsidR="00B51021" w:rsidRPr="00744EB4">
        <w:rPr>
          <w:rFonts w:cs="Times New Roman"/>
          <w:szCs w:val="24"/>
        </w:rPr>
        <w:t xml:space="preserve">explained that the </w:t>
      </w:r>
      <w:r w:rsidR="00D92AF4" w:rsidRPr="00744EB4">
        <w:rPr>
          <w:rFonts w:cs="Times New Roman"/>
          <w:szCs w:val="24"/>
        </w:rPr>
        <w:t>statute</w:t>
      </w:r>
      <w:r w:rsidR="00206C01" w:rsidRPr="00744EB4">
        <w:rPr>
          <w:rFonts w:cs="Times New Roman"/>
          <w:szCs w:val="24"/>
        </w:rPr>
        <w:t>’s purpose</w:t>
      </w:r>
      <w:r w:rsidR="00B51021" w:rsidRPr="00744EB4">
        <w:rPr>
          <w:rFonts w:cs="Times New Roman"/>
          <w:szCs w:val="24"/>
        </w:rPr>
        <w:t xml:space="preserve"> </w:t>
      </w:r>
      <w:r w:rsidR="00206C01" w:rsidRPr="00744EB4">
        <w:rPr>
          <w:rFonts w:cs="Times New Roman"/>
          <w:szCs w:val="24"/>
        </w:rPr>
        <w:t>is “</w:t>
      </w:r>
      <w:r w:rsidR="00206C01" w:rsidRPr="00744EB4">
        <w:rPr>
          <w:rFonts w:eastAsia="Times New Roman" w:cs="Times New Roman"/>
          <w:color w:val="000000"/>
          <w:szCs w:val="24"/>
        </w:rPr>
        <w:t xml:space="preserve">to ensure that the rights of individuals with mental illness are protected and to assist States to establish and operate a protection and advocacy system that will (1) protect and advocate for the rights of those individuals; and (2) investigate incidents of abuse and neglect.”  H.R. Rep. 102-319, November 15, 1991.  To achieve this </w:t>
      </w:r>
      <w:r w:rsidR="00B51021" w:rsidRPr="00744EB4">
        <w:rPr>
          <w:rFonts w:eastAsia="Times New Roman" w:cs="Times New Roman"/>
          <w:color w:val="000000"/>
          <w:szCs w:val="24"/>
        </w:rPr>
        <w:t>goal</w:t>
      </w:r>
      <w:r w:rsidR="00206C01" w:rsidRPr="00744EB4">
        <w:rPr>
          <w:rFonts w:eastAsia="Times New Roman" w:cs="Times New Roman"/>
          <w:color w:val="000000"/>
          <w:szCs w:val="24"/>
        </w:rPr>
        <w:t xml:space="preserve">, the law </w:t>
      </w:r>
      <w:r w:rsidR="00206C01" w:rsidRPr="00744EB4">
        <w:rPr>
          <w:rFonts w:cs="Times New Roman"/>
          <w:szCs w:val="24"/>
        </w:rPr>
        <w:t xml:space="preserve">provides funding and authority for </w:t>
      </w:r>
      <w:r w:rsidR="00744EB4">
        <w:rPr>
          <w:rFonts w:cs="Times New Roman"/>
          <w:szCs w:val="24"/>
        </w:rPr>
        <w:t xml:space="preserve">a system of protection and advocacy </w:t>
      </w:r>
      <w:r w:rsidR="00206C01" w:rsidRPr="00744EB4">
        <w:rPr>
          <w:rFonts w:cs="Times New Roman"/>
          <w:szCs w:val="24"/>
        </w:rPr>
        <w:t>organizations across the country.</w:t>
      </w:r>
      <w:r w:rsidR="00042700">
        <w:rPr>
          <w:rStyle w:val="FootnoteReference"/>
          <w:rFonts w:eastAsia="Times New Roman" w:cs="Times New Roman"/>
          <w:color w:val="000000"/>
          <w:szCs w:val="24"/>
        </w:rPr>
        <w:footnoteReference w:id="3"/>
      </w:r>
    </w:p>
    <w:p w:rsidR="00B04ECF" w:rsidRDefault="00B04ECF" w:rsidP="00287B89">
      <w:pPr>
        <w:ind w:firstLine="720"/>
        <w:jc w:val="left"/>
        <w:rPr>
          <w:rFonts w:eastAsia="Times New Roman" w:cs="Times New Roman"/>
          <w:color w:val="000000"/>
          <w:szCs w:val="24"/>
        </w:rPr>
      </w:pPr>
      <w:r>
        <w:rPr>
          <w:rFonts w:eastAsia="Times New Roman" w:cs="Times New Roman"/>
          <w:color w:val="000000"/>
          <w:szCs w:val="24"/>
        </w:rPr>
        <w:t>Since PAIMI was enacted</w:t>
      </w:r>
      <w:r w:rsidR="002C4713">
        <w:rPr>
          <w:rFonts w:eastAsia="Times New Roman" w:cs="Times New Roman"/>
          <w:color w:val="000000"/>
          <w:szCs w:val="24"/>
        </w:rPr>
        <w:t xml:space="preserve"> nearly 30 years ago</w:t>
      </w:r>
      <w:r>
        <w:rPr>
          <w:rFonts w:eastAsia="Times New Roman" w:cs="Times New Roman"/>
          <w:color w:val="000000"/>
          <w:szCs w:val="24"/>
        </w:rPr>
        <w:t xml:space="preserve">, protection and advocacy organizations have used their authority to address widespread abuse, neglect, and exploitation in psychiatric institutions around the country.  A recent report on PAIMI enforcement identified the significant impact that protection and advocacy organizations have when </w:t>
      </w:r>
      <w:r w:rsidR="00B43FEA">
        <w:rPr>
          <w:rFonts w:eastAsia="Times New Roman" w:cs="Times New Roman"/>
          <w:color w:val="000000"/>
          <w:szCs w:val="24"/>
        </w:rPr>
        <w:t xml:space="preserve">they are able to monitor and investigate </w:t>
      </w:r>
      <w:r w:rsidR="00DA5744">
        <w:rPr>
          <w:rFonts w:eastAsia="Times New Roman" w:cs="Times New Roman"/>
          <w:color w:val="000000"/>
          <w:szCs w:val="24"/>
        </w:rPr>
        <w:t xml:space="preserve">facilities </w:t>
      </w:r>
      <w:r w:rsidR="002626E7">
        <w:rPr>
          <w:rFonts w:eastAsia="Times New Roman" w:cs="Times New Roman"/>
          <w:color w:val="000000"/>
          <w:szCs w:val="24"/>
        </w:rPr>
        <w:t>on behalf of</w:t>
      </w:r>
      <w:r>
        <w:rPr>
          <w:rFonts w:eastAsia="Times New Roman" w:cs="Times New Roman"/>
          <w:color w:val="000000"/>
          <w:szCs w:val="24"/>
        </w:rPr>
        <w:t xml:space="preserve"> vulnerable people who</w:t>
      </w:r>
      <w:r w:rsidR="009C1E8F">
        <w:rPr>
          <w:rFonts w:eastAsia="Times New Roman" w:cs="Times New Roman"/>
          <w:color w:val="000000"/>
          <w:szCs w:val="24"/>
        </w:rPr>
        <w:t>se every action is controlled</w:t>
      </w:r>
      <w:r w:rsidR="001E04EE">
        <w:rPr>
          <w:rFonts w:eastAsia="Times New Roman" w:cs="Times New Roman"/>
          <w:color w:val="000000"/>
          <w:szCs w:val="24"/>
        </w:rPr>
        <w:t xml:space="preserve"> by their service providers</w:t>
      </w:r>
      <w:r>
        <w:rPr>
          <w:rFonts w:eastAsia="Times New Roman" w:cs="Times New Roman"/>
          <w:color w:val="000000"/>
          <w:szCs w:val="24"/>
        </w:rPr>
        <w:t xml:space="preserve">.  </w:t>
      </w:r>
      <w:r w:rsidR="006D1CE9" w:rsidRPr="00541310">
        <w:rPr>
          <w:rFonts w:eastAsia="Times New Roman" w:cs="Times New Roman"/>
          <w:i/>
          <w:color w:val="000000"/>
          <w:szCs w:val="24"/>
        </w:rPr>
        <w:t>See</w:t>
      </w:r>
      <w:r w:rsidR="006D1CE9">
        <w:rPr>
          <w:rFonts w:eastAsia="Times New Roman" w:cs="Times New Roman"/>
          <w:color w:val="000000"/>
          <w:szCs w:val="24"/>
        </w:rPr>
        <w:t xml:space="preserve"> </w:t>
      </w:r>
      <w:r w:rsidR="006D1CE9">
        <w:rPr>
          <w:sz w:val="23"/>
          <w:szCs w:val="23"/>
        </w:rPr>
        <w:t>Substance Abuse and Mental Health Services Administration</w:t>
      </w:r>
      <w:r w:rsidR="00541310">
        <w:rPr>
          <w:sz w:val="23"/>
          <w:szCs w:val="23"/>
        </w:rPr>
        <w:t xml:space="preserve">, HHS Pub. No. PEP12-EVALPAIMI, </w:t>
      </w:r>
      <w:r w:rsidR="006D1CE9">
        <w:rPr>
          <w:i/>
          <w:iCs/>
          <w:sz w:val="23"/>
          <w:szCs w:val="23"/>
        </w:rPr>
        <w:t>Evaluation of the Protection and Advocacy for Individuals With Mental Illness (PAIMI) Program, Phase III. Final Report</w:t>
      </w:r>
      <w:r w:rsidR="006D1CE9">
        <w:rPr>
          <w:sz w:val="23"/>
          <w:szCs w:val="23"/>
        </w:rPr>
        <w:t xml:space="preserve">. </w:t>
      </w:r>
      <w:r w:rsidR="00541310">
        <w:rPr>
          <w:sz w:val="23"/>
          <w:szCs w:val="23"/>
        </w:rPr>
        <w:t xml:space="preserve">(2011).  </w:t>
      </w:r>
      <w:r>
        <w:rPr>
          <w:rFonts w:eastAsia="Times New Roman" w:cs="Times New Roman"/>
          <w:color w:val="000000"/>
          <w:szCs w:val="24"/>
        </w:rPr>
        <w:t xml:space="preserve">For example, </w:t>
      </w:r>
      <w:r w:rsidR="002626E7">
        <w:rPr>
          <w:rFonts w:eastAsia="Times New Roman" w:cs="Times New Roman"/>
          <w:color w:val="000000"/>
          <w:szCs w:val="24"/>
        </w:rPr>
        <w:t>the report describes how one</w:t>
      </w:r>
      <w:r w:rsidR="006D1CE9">
        <w:rPr>
          <w:rFonts w:eastAsia="Times New Roman" w:cs="Times New Roman"/>
          <w:color w:val="000000"/>
          <w:szCs w:val="24"/>
        </w:rPr>
        <w:t xml:space="preserve"> protection and advocacy organization helped a family find a safe environment for their child after he was placed at a </w:t>
      </w:r>
      <w:r>
        <w:rPr>
          <w:rFonts w:eastAsia="Times New Roman" w:cs="Times New Roman"/>
          <w:color w:val="000000"/>
          <w:szCs w:val="24"/>
        </w:rPr>
        <w:t xml:space="preserve">residential treatment facility </w:t>
      </w:r>
      <w:r w:rsidR="006D1CE9">
        <w:rPr>
          <w:rFonts w:eastAsia="Times New Roman" w:cs="Times New Roman"/>
          <w:color w:val="000000"/>
          <w:szCs w:val="24"/>
        </w:rPr>
        <w:t xml:space="preserve">where staff members were abusing children.  </w:t>
      </w:r>
      <w:r w:rsidR="00541310" w:rsidRPr="00541310">
        <w:rPr>
          <w:rFonts w:eastAsia="Times New Roman" w:cs="Times New Roman"/>
          <w:i/>
          <w:color w:val="000000"/>
          <w:szCs w:val="24"/>
        </w:rPr>
        <w:t>See id.</w:t>
      </w:r>
      <w:r w:rsidR="00541310">
        <w:rPr>
          <w:rFonts w:eastAsia="Times New Roman" w:cs="Times New Roman"/>
          <w:color w:val="000000"/>
          <w:szCs w:val="24"/>
        </w:rPr>
        <w:t xml:space="preserve"> at 13.  </w:t>
      </w:r>
      <w:r w:rsidR="006D1CE9">
        <w:rPr>
          <w:rFonts w:eastAsia="Times New Roman" w:cs="Times New Roman"/>
          <w:color w:val="000000"/>
          <w:szCs w:val="24"/>
        </w:rPr>
        <w:t>In another case</w:t>
      </w:r>
      <w:r w:rsidR="002626E7">
        <w:rPr>
          <w:rFonts w:eastAsia="Times New Roman" w:cs="Times New Roman"/>
          <w:color w:val="000000"/>
          <w:szCs w:val="24"/>
        </w:rPr>
        <w:t>,</w:t>
      </w:r>
      <w:r w:rsidR="006D1CE9">
        <w:rPr>
          <w:rFonts w:eastAsia="Times New Roman" w:cs="Times New Roman"/>
          <w:color w:val="000000"/>
          <w:szCs w:val="24"/>
        </w:rPr>
        <w:t xml:space="preserve"> a man with kidney cancer who was institutionalized at a psychiatric hospital</w:t>
      </w:r>
      <w:r>
        <w:rPr>
          <w:rFonts w:eastAsia="Times New Roman" w:cs="Times New Roman"/>
          <w:color w:val="000000"/>
          <w:szCs w:val="24"/>
        </w:rPr>
        <w:t xml:space="preserve"> </w:t>
      </w:r>
      <w:r w:rsidR="002626E7">
        <w:rPr>
          <w:rFonts w:eastAsia="Times New Roman" w:cs="Times New Roman"/>
          <w:color w:val="000000"/>
          <w:szCs w:val="24"/>
        </w:rPr>
        <w:t>did</w:t>
      </w:r>
      <w:r>
        <w:rPr>
          <w:rFonts w:eastAsia="Times New Roman" w:cs="Times New Roman"/>
          <w:color w:val="000000"/>
          <w:szCs w:val="24"/>
        </w:rPr>
        <w:t xml:space="preserve"> not receiv</w:t>
      </w:r>
      <w:r w:rsidR="002626E7">
        <w:rPr>
          <w:rFonts w:eastAsia="Times New Roman" w:cs="Times New Roman"/>
          <w:color w:val="000000"/>
          <w:szCs w:val="24"/>
        </w:rPr>
        <w:t>e</w:t>
      </w:r>
      <w:r>
        <w:rPr>
          <w:rFonts w:eastAsia="Times New Roman" w:cs="Times New Roman"/>
          <w:color w:val="000000"/>
          <w:szCs w:val="24"/>
        </w:rPr>
        <w:t xml:space="preserve"> needed medical care</w:t>
      </w:r>
      <w:r w:rsidR="006D1CE9">
        <w:rPr>
          <w:rFonts w:eastAsia="Times New Roman" w:cs="Times New Roman"/>
          <w:color w:val="000000"/>
          <w:szCs w:val="24"/>
        </w:rPr>
        <w:t xml:space="preserve"> until the protection and advocacy organization advocated on his behalf.  </w:t>
      </w:r>
      <w:r w:rsidR="00541310" w:rsidRPr="00541310">
        <w:rPr>
          <w:rFonts w:eastAsia="Times New Roman" w:cs="Times New Roman"/>
          <w:i/>
          <w:color w:val="000000"/>
          <w:szCs w:val="24"/>
        </w:rPr>
        <w:t>Id.</w:t>
      </w:r>
      <w:r w:rsidR="00541310">
        <w:rPr>
          <w:rFonts w:eastAsia="Times New Roman" w:cs="Times New Roman"/>
          <w:color w:val="000000"/>
          <w:szCs w:val="24"/>
        </w:rPr>
        <w:t xml:space="preserve">  </w:t>
      </w:r>
      <w:r w:rsidR="006D1CE9">
        <w:rPr>
          <w:rFonts w:eastAsia="Times New Roman" w:cs="Times New Roman"/>
          <w:color w:val="000000"/>
          <w:szCs w:val="24"/>
        </w:rPr>
        <w:t>In yet another instance</w:t>
      </w:r>
      <w:r>
        <w:rPr>
          <w:rFonts w:eastAsia="Times New Roman" w:cs="Times New Roman"/>
          <w:color w:val="000000"/>
          <w:szCs w:val="24"/>
        </w:rPr>
        <w:t xml:space="preserve">, </w:t>
      </w:r>
      <w:r w:rsidR="006D1CE9">
        <w:rPr>
          <w:rFonts w:eastAsia="Times New Roman" w:cs="Times New Roman"/>
          <w:color w:val="000000"/>
          <w:szCs w:val="24"/>
        </w:rPr>
        <w:t>a protection and advocacy organization litigated on behalf of a class of individuals with mental illness who were inappropriately discharged from a psychiatric hospital to nursing facilities where they received no mental health treatment and were subject to strict limits on their activities and movement.</w:t>
      </w:r>
      <w:r w:rsidR="00541310">
        <w:rPr>
          <w:rFonts w:eastAsia="Times New Roman" w:cs="Times New Roman"/>
          <w:color w:val="000000"/>
          <w:szCs w:val="24"/>
        </w:rPr>
        <w:t xml:space="preserve"> </w:t>
      </w:r>
      <w:r w:rsidR="006D1CE9">
        <w:rPr>
          <w:rFonts w:eastAsia="Times New Roman" w:cs="Times New Roman"/>
          <w:color w:val="000000"/>
          <w:szCs w:val="24"/>
        </w:rPr>
        <w:t xml:space="preserve"> </w:t>
      </w:r>
      <w:r w:rsidR="00541310" w:rsidRPr="00541310">
        <w:rPr>
          <w:rFonts w:eastAsia="Times New Roman" w:cs="Times New Roman"/>
          <w:i/>
          <w:color w:val="000000"/>
          <w:szCs w:val="24"/>
        </w:rPr>
        <w:t>Id.</w:t>
      </w:r>
      <w:r w:rsidR="00541310">
        <w:rPr>
          <w:rFonts w:eastAsia="Times New Roman" w:cs="Times New Roman"/>
          <w:color w:val="000000"/>
          <w:szCs w:val="24"/>
        </w:rPr>
        <w:t xml:space="preserve"> </w:t>
      </w:r>
      <w:r w:rsidR="009C1E8F">
        <w:rPr>
          <w:rFonts w:eastAsia="Times New Roman" w:cs="Times New Roman"/>
          <w:color w:val="000000"/>
          <w:szCs w:val="24"/>
        </w:rPr>
        <w:t xml:space="preserve"> All of these cases, and </w:t>
      </w:r>
      <w:r w:rsidR="002626E7">
        <w:rPr>
          <w:rFonts w:eastAsia="Times New Roman" w:cs="Times New Roman"/>
          <w:color w:val="000000"/>
          <w:szCs w:val="24"/>
        </w:rPr>
        <w:t>many thousands of others, demonstrate the importance of the protection and advocacy system established by the PAIMI Act.</w:t>
      </w:r>
    </w:p>
    <w:p w:rsidR="009355CE" w:rsidRDefault="009355CE" w:rsidP="00287B89">
      <w:pPr>
        <w:ind w:firstLine="720"/>
        <w:jc w:val="left"/>
        <w:rPr>
          <w:rFonts w:eastAsia="Times New Roman" w:cs="Times New Roman"/>
          <w:color w:val="000000"/>
          <w:szCs w:val="24"/>
        </w:rPr>
      </w:pPr>
      <w:r>
        <w:rPr>
          <w:rFonts w:eastAsia="Times New Roman" w:cs="Times New Roman"/>
          <w:color w:val="000000"/>
          <w:szCs w:val="24"/>
        </w:rPr>
        <w:t xml:space="preserve">While the Department of Justice plays a role in the enforcement of the constitution and federal law in institutional settings, </w:t>
      </w:r>
      <w:r w:rsidR="00A02E95" w:rsidRPr="008E602E">
        <w:rPr>
          <w:rFonts w:eastAsia="Times New Roman" w:cs="Times New Roman"/>
          <w:i/>
          <w:color w:val="000000"/>
          <w:szCs w:val="24"/>
        </w:rPr>
        <w:t>see, e.g.</w:t>
      </w:r>
      <w:r w:rsidR="00A02E95">
        <w:rPr>
          <w:rFonts w:eastAsia="Times New Roman" w:cs="Times New Roman"/>
          <w:color w:val="000000"/>
          <w:szCs w:val="24"/>
        </w:rPr>
        <w:t xml:space="preserve">, </w:t>
      </w:r>
      <w:r w:rsidR="008E602E">
        <w:rPr>
          <w:szCs w:val="24"/>
        </w:rPr>
        <w:t xml:space="preserve">42 U. S.C. </w:t>
      </w:r>
      <w:r w:rsidR="008E602E">
        <w:rPr>
          <w:rFonts w:cs="Times New Roman"/>
          <w:szCs w:val="24"/>
        </w:rPr>
        <w:t>§</w:t>
      </w:r>
      <w:r w:rsidR="008E602E">
        <w:rPr>
          <w:szCs w:val="24"/>
        </w:rPr>
        <w:t xml:space="preserve"> 1997 </w:t>
      </w:r>
      <w:r w:rsidR="008E602E" w:rsidRPr="008E602E">
        <w:rPr>
          <w:szCs w:val="24"/>
        </w:rPr>
        <w:t xml:space="preserve">et seq., </w:t>
      </w:r>
      <w:r w:rsidR="00A02E95" w:rsidRPr="008E602E">
        <w:rPr>
          <w:rFonts w:eastAsia="Times New Roman" w:cs="Times New Roman"/>
          <w:color w:val="000000"/>
          <w:szCs w:val="24"/>
        </w:rPr>
        <w:t>the</w:t>
      </w:r>
      <w:r w:rsidR="00A02E95">
        <w:rPr>
          <w:rFonts w:eastAsia="Times New Roman" w:cs="Times New Roman"/>
          <w:color w:val="000000"/>
          <w:szCs w:val="24"/>
        </w:rPr>
        <w:t xml:space="preserve"> protection and advocacy system is a critical partner in that work.  </w:t>
      </w:r>
      <w:r w:rsidR="001E04EE">
        <w:rPr>
          <w:rFonts w:eastAsia="Times New Roman" w:cs="Times New Roman"/>
          <w:color w:val="000000"/>
          <w:szCs w:val="24"/>
        </w:rPr>
        <w:t>I</w:t>
      </w:r>
      <w:r w:rsidR="00A02E95">
        <w:rPr>
          <w:rFonts w:eastAsia="Times New Roman" w:cs="Times New Roman"/>
          <w:color w:val="000000"/>
          <w:szCs w:val="24"/>
        </w:rPr>
        <w:t xml:space="preserve">t is not possible for the Department of Justice to investigate all allegations of abuse and neglect </w:t>
      </w:r>
      <w:r w:rsidR="001E04EE">
        <w:rPr>
          <w:rFonts w:eastAsia="Times New Roman" w:cs="Times New Roman"/>
          <w:color w:val="000000"/>
          <w:szCs w:val="24"/>
        </w:rPr>
        <w:t xml:space="preserve">and to monitor all facilities </w:t>
      </w:r>
      <w:r w:rsidR="00A02E95">
        <w:rPr>
          <w:rFonts w:eastAsia="Times New Roman" w:cs="Times New Roman"/>
          <w:color w:val="000000"/>
          <w:szCs w:val="24"/>
        </w:rPr>
        <w:t xml:space="preserve">across the country.  For these reasons, it is imperative that the protection and advocacy organizations </w:t>
      </w:r>
      <w:r w:rsidR="00DA5744">
        <w:rPr>
          <w:rFonts w:eastAsia="Times New Roman" w:cs="Times New Roman"/>
          <w:color w:val="000000"/>
          <w:szCs w:val="24"/>
        </w:rPr>
        <w:t>are able to</w:t>
      </w:r>
      <w:r w:rsidR="00A02E95">
        <w:rPr>
          <w:rFonts w:eastAsia="Times New Roman" w:cs="Times New Roman"/>
          <w:color w:val="000000"/>
          <w:szCs w:val="24"/>
        </w:rPr>
        <w:t xml:space="preserve"> monitor</w:t>
      </w:r>
      <w:r w:rsidR="00DA5744">
        <w:rPr>
          <w:rFonts w:eastAsia="Times New Roman" w:cs="Times New Roman"/>
          <w:color w:val="000000"/>
          <w:szCs w:val="24"/>
        </w:rPr>
        <w:t xml:space="preserve"> facilities and </w:t>
      </w:r>
      <w:r w:rsidR="00A02E95">
        <w:rPr>
          <w:rFonts w:eastAsia="Times New Roman" w:cs="Times New Roman"/>
          <w:color w:val="000000"/>
          <w:szCs w:val="24"/>
        </w:rPr>
        <w:t>investigat</w:t>
      </w:r>
      <w:r w:rsidR="00DA5744">
        <w:rPr>
          <w:rFonts w:eastAsia="Times New Roman" w:cs="Times New Roman"/>
          <w:color w:val="000000"/>
          <w:szCs w:val="24"/>
        </w:rPr>
        <w:t>e</w:t>
      </w:r>
      <w:r w:rsidR="00A02E95">
        <w:rPr>
          <w:rFonts w:eastAsia="Times New Roman" w:cs="Times New Roman"/>
          <w:color w:val="000000"/>
          <w:szCs w:val="24"/>
        </w:rPr>
        <w:t xml:space="preserve"> claims of abuse and neglect.</w:t>
      </w:r>
    </w:p>
    <w:p w:rsidR="00042700" w:rsidRPr="00AF6FC1" w:rsidRDefault="00C01108" w:rsidP="00042700">
      <w:pPr>
        <w:pStyle w:val="ListParagraph"/>
        <w:numPr>
          <w:ilvl w:val="0"/>
          <w:numId w:val="4"/>
        </w:numPr>
        <w:jc w:val="left"/>
        <w:rPr>
          <w:rFonts w:eastAsia="Times New Roman" w:cs="Times New Roman"/>
          <w:b/>
          <w:color w:val="000000"/>
          <w:szCs w:val="24"/>
        </w:rPr>
      </w:pPr>
      <w:r w:rsidRPr="00AF6FC1">
        <w:rPr>
          <w:rFonts w:eastAsia="Times New Roman" w:cs="Times New Roman"/>
          <w:b/>
          <w:color w:val="000000"/>
          <w:szCs w:val="24"/>
        </w:rPr>
        <w:t>Monitoring is a Critical Part of Protection and Advocacy Organizations’ Mandate</w:t>
      </w:r>
      <w:r w:rsidR="006027D0">
        <w:rPr>
          <w:rFonts w:eastAsia="Times New Roman" w:cs="Times New Roman"/>
          <w:b/>
          <w:color w:val="000000"/>
          <w:szCs w:val="24"/>
        </w:rPr>
        <w:t>s</w:t>
      </w:r>
    </w:p>
    <w:p w:rsidR="00F04BC3" w:rsidRDefault="00C01108" w:rsidP="00012324">
      <w:pPr>
        <w:ind w:firstLine="720"/>
        <w:jc w:val="left"/>
        <w:rPr>
          <w:rFonts w:cs="Times New Roman"/>
          <w:i/>
          <w:color w:val="000000"/>
          <w:szCs w:val="24"/>
        </w:rPr>
      </w:pPr>
      <w:r w:rsidRPr="00916539">
        <w:rPr>
          <w:rFonts w:eastAsia="Times New Roman" w:cs="Times New Roman"/>
          <w:color w:val="000000"/>
          <w:szCs w:val="24"/>
        </w:rPr>
        <w:t xml:space="preserve">When establishing the protection and advocacy system, Congress wisely recognized </w:t>
      </w:r>
      <w:r w:rsidR="0010185D" w:rsidRPr="00916539">
        <w:rPr>
          <w:rFonts w:eastAsia="Times New Roman" w:cs="Times New Roman"/>
          <w:color w:val="000000"/>
          <w:szCs w:val="24"/>
        </w:rPr>
        <w:t xml:space="preserve">that protection and advocacy organizations must be empowered to regularly monitor facilities providing treatment to people with disabilities.  </w:t>
      </w:r>
      <w:r w:rsidR="00A26DC0">
        <w:rPr>
          <w:rFonts w:eastAsia="Times New Roman" w:cs="Times New Roman"/>
          <w:color w:val="000000"/>
          <w:szCs w:val="24"/>
        </w:rPr>
        <w:t xml:space="preserve">Regular monitoring enables advocates to detect and deter abuse and neglect in facilities that might not otherwise come to the attention of the advocates.  </w:t>
      </w:r>
      <w:r w:rsidR="001E04EE">
        <w:rPr>
          <w:rFonts w:eastAsia="Times New Roman" w:cs="Times New Roman"/>
          <w:color w:val="000000"/>
          <w:szCs w:val="24"/>
        </w:rPr>
        <w:t xml:space="preserve">People living in psychiatric residential treatment facilities are particularly vulnerable to abuse because they are struggling with significant medical needs, are often isolated from their families and communities, and their ability to reach out to outside advocates is restricted.  In addition, they are often unfamiliar with their rights or with the advocates available to help them.  </w:t>
      </w:r>
      <w:r w:rsidR="0010185D" w:rsidRPr="00916539">
        <w:rPr>
          <w:rFonts w:eastAsia="Times New Roman" w:cs="Times New Roman"/>
          <w:color w:val="000000"/>
          <w:szCs w:val="24"/>
        </w:rPr>
        <w:t xml:space="preserve">In order to successfully prevent and remedy violations of rights, the PAIMI Act provides that protection and advocacy organizations shall, “have access to facilities in the State providing care or treatment.”  </w:t>
      </w:r>
      <w:r w:rsidR="0010185D" w:rsidRPr="00916539">
        <w:rPr>
          <w:rFonts w:cs="Times New Roman"/>
          <w:color w:val="000000"/>
          <w:szCs w:val="24"/>
        </w:rPr>
        <w:t xml:space="preserve">42 </w:t>
      </w:r>
      <w:r w:rsidR="00916539" w:rsidRPr="00916539">
        <w:rPr>
          <w:rFonts w:cs="Times New Roman"/>
          <w:szCs w:val="24"/>
        </w:rPr>
        <w:t>U.S.C. § 10805</w:t>
      </w:r>
      <w:r w:rsidR="0010185D" w:rsidRPr="00916539">
        <w:rPr>
          <w:rFonts w:cs="Times New Roman"/>
          <w:szCs w:val="24"/>
        </w:rPr>
        <w:t>.</w:t>
      </w:r>
      <w:r w:rsidR="0010185D" w:rsidRPr="00916539">
        <w:rPr>
          <w:rFonts w:eastAsia="Times New Roman" w:cs="Times New Roman"/>
          <w:color w:val="000000"/>
          <w:szCs w:val="24"/>
        </w:rPr>
        <w:t xml:space="preserve">  This provision stands </w:t>
      </w:r>
      <w:r w:rsidR="001E04EE">
        <w:rPr>
          <w:rFonts w:eastAsia="Times New Roman" w:cs="Times New Roman"/>
          <w:color w:val="000000"/>
          <w:szCs w:val="24"/>
        </w:rPr>
        <w:t>in addition to, and independent of,</w:t>
      </w:r>
      <w:r w:rsidR="0010185D" w:rsidRPr="00916539">
        <w:rPr>
          <w:rFonts w:eastAsia="Times New Roman" w:cs="Times New Roman"/>
          <w:color w:val="000000"/>
          <w:szCs w:val="24"/>
        </w:rPr>
        <w:t xml:space="preserve"> the statute’s provision for conducting investigations of abuse allegations, indicating that the two afford distinct </w:t>
      </w:r>
      <w:r w:rsidR="00916539" w:rsidRPr="00916539">
        <w:rPr>
          <w:rFonts w:eastAsia="Times New Roman" w:cs="Times New Roman"/>
          <w:color w:val="000000"/>
          <w:szCs w:val="24"/>
        </w:rPr>
        <w:t>authorities</w:t>
      </w:r>
      <w:r w:rsidR="0010185D" w:rsidRPr="00916539">
        <w:rPr>
          <w:rFonts w:eastAsia="Times New Roman" w:cs="Times New Roman"/>
          <w:color w:val="000000"/>
          <w:szCs w:val="24"/>
        </w:rPr>
        <w:t>.</w:t>
      </w:r>
      <w:r w:rsidR="00B56E3A">
        <w:rPr>
          <w:rFonts w:eastAsia="Times New Roman" w:cs="Times New Roman"/>
          <w:color w:val="000000"/>
          <w:szCs w:val="24"/>
        </w:rPr>
        <w:t xml:space="preserve">  </w:t>
      </w:r>
      <w:r w:rsidR="00B75F07">
        <w:rPr>
          <w:rFonts w:ascii="Verdana" w:hAnsi="Verdana"/>
          <w:color w:val="000000"/>
          <w:sz w:val="19"/>
          <w:szCs w:val="19"/>
        </w:rPr>
        <w:t xml:space="preserve">  </w:t>
      </w:r>
    </w:p>
    <w:p w:rsidR="00F50043" w:rsidRPr="00F50043" w:rsidRDefault="00F50043" w:rsidP="001949CB">
      <w:pPr>
        <w:pStyle w:val="ListParagraph"/>
        <w:numPr>
          <w:ilvl w:val="0"/>
          <w:numId w:val="6"/>
        </w:numPr>
        <w:spacing w:after="240" w:line="240" w:lineRule="auto"/>
        <w:jc w:val="left"/>
        <w:rPr>
          <w:rFonts w:cs="Times New Roman"/>
          <w:i/>
          <w:color w:val="000000"/>
          <w:szCs w:val="24"/>
        </w:rPr>
      </w:pPr>
      <w:r w:rsidRPr="00F50043">
        <w:rPr>
          <w:rFonts w:cs="Times New Roman"/>
          <w:i/>
          <w:color w:val="000000"/>
          <w:szCs w:val="24"/>
        </w:rPr>
        <w:t xml:space="preserve">PAIMI Regulations Affirm Protection and Advocacy Organization </w:t>
      </w:r>
      <w:r w:rsidR="001949CB">
        <w:rPr>
          <w:rFonts w:cs="Times New Roman"/>
          <w:i/>
          <w:color w:val="000000"/>
          <w:szCs w:val="24"/>
        </w:rPr>
        <w:t xml:space="preserve">Monitoring </w:t>
      </w:r>
      <w:r w:rsidRPr="00F50043">
        <w:rPr>
          <w:rFonts w:cs="Times New Roman"/>
          <w:i/>
          <w:color w:val="000000"/>
          <w:szCs w:val="24"/>
        </w:rPr>
        <w:t>Access Rights</w:t>
      </w:r>
    </w:p>
    <w:p w:rsidR="002F394F" w:rsidRDefault="006027D0" w:rsidP="00900158">
      <w:pPr>
        <w:ind w:firstLine="720"/>
        <w:jc w:val="left"/>
      </w:pPr>
      <w:r w:rsidRPr="00F50043">
        <w:rPr>
          <w:rFonts w:cs="Times New Roman"/>
          <w:color w:val="000000"/>
          <w:szCs w:val="24"/>
        </w:rPr>
        <w:t xml:space="preserve">The regulations promulgated </w:t>
      </w:r>
      <w:r w:rsidR="006C0FC6">
        <w:rPr>
          <w:rFonts w:cs="Times New Roman"/>
          <w:color w:val="000000"/>
          <w:szCs w:val="24"/>
        </w:rPr>
        <w:t xml:space="preserve">by the Department of Health and Human Services (“HHS”) </w:t>
      </w:r>
      <w:r w:rsidRPr="00F50043">
        <w:rPr>
          <w:rFonts w:cs="Times New Roman"/>
          <w:color w:val="000000"/>
          <w:szCs w:val="24"/>
        </w:rPr>
        <w:t xml:space="preserve">under the PAIMI Act </w:t>
      </w:r>
      <w:r w:rsidR="00527E4A">
        <w:rPr>
          <w:rFonts w:cs="Times New Roman"/>
          <w:color w:val="000000"/>
          <w:szCs w:val="24"/>
        </w:rPr>
        <w:t>carry out</w:t>
      </w:r>
      <w:r w:rsidRPr="00F50043">
        <w:rPr>
          <w:rFonts w:cs="Times New Roman"/>
          <w:color w:val="000000"/>
          <w:szCs w:val="24"/>
        </w:rPr>
        <w:t xml:space="preserve"> Congress’s </w:t>
      </w:r>
      <w:r w:rsidR="00BD1057" w:rsidRPr="00F50043">
        <w:rPr>
          <w:rFonts w:cs="Times New Roman"/>
          <w:color w:val="000000"/>
          <w:szCs w:val="24"/>
        </w:rPr>
        <w:t xml:space="preserve">design and make very clear that protection and advocacy organizations need not </w:t>
      </w:r>
      <w:r w:rsidR="006436F5" w:rsidRPr="00F50043">
        <w:rPr>
          <w:rFonts w:cs="Times New Roman"/>
          <w:color w:val="000000"/>
          <w:szCs w:val="24"/>
        </w:rPr>
        <w:t xml:space="preserve">be conducting an investigation of </w:t>
      </w:r>
      <w:r w:rsidR="00BD1057" w:rsidRPr="00F50043">
        <w:rPr>
          <w:rFonts w:cs="Times New Roman"/>
          <w:color w:val="000000"/>
          <w:szCs w:val="24"/>
        </w:rPr>
        <w:t>a specific allegation in order to access a covered facility.</w:t>
      </w:r>
      <w:r w:rsidR="00BD1057" w:rsidRPr="00E36FD1">
        <w:rPr>
          <w:rStyle w:val="FootnoteReference"/>
          <w:rFonts w:cs="Times New Roman"/>
          <w:color w:val="000000"/>
          <w:szCs w:val="24"/>
        </w:rPr>
        <w:footnoteReference w:id="4"/>
      </w:r>
      <w:r w:rsidR="00BD1057" w:rsidRPr="00F50043">
        <w:rPr>
          <w:rFonts w:cs="Times New Roman"/>
          <w:color w:val="000000"/>
          <w:szCs w:val="24"/>
        </w:rPr>
        <w:t xml:space="preserve">  </w:t>
      </w:r>
      <w:r w:rsidR="008E602E">
        <w:rPr>
          <w:rFonts w:cs="Times New Roman"/>
          <w:color w:val="000000"/>
          <w:szCs w:val="24"/>
        </w:rPr>
        <w:t xml:space="preserve">Because these regulations </w:t>
      </w:r>
      <w:r w:rsidR="006C0FC6">
        <w:rPr>
          <w:rFonts w:cs="Times New Roman"/>
          <w:color w:val="000000"/>
          <w:szCs w:val="24"/>
        </w:rPr>
        <w:t xml:space="preserve">by the agency entrusted to administer the PAIMI program elucidate and </w:t>
      </w:r>
      <w:r w:rsidR="002F4CC0">
        <w:rPr>
          <w:rFonts w:cs="Times New Roman"/>
          <w:color w:val="000000"/>
          <w:szCs w:val="24"/>
        </w:rPr>
        <w:t>give force to the statute</w:t>
      </w:r>
      <w:r w:rsidR="002F394F">
        <w:rPr>
          <w:rFonts w:cs="Times New Roman"/>
          <w:color w:val="000000"/>
          <w:szCs w:val="24"/>
        </w:rPr>
        <w:t>, they are afforded great deference</w:t>
      </w:r>
      <w:r w:rsidR="008E602E">
        <w:rPr>
          <w:rFonts w:cs="Times New Roman"/>
          <w:color w:val="000000"/>
          <w:szCs w:val="24"/>
        </w:rPr>
        <w:t xml:space="preserve">.  </w:t>
      </w:r>
      <w:hyperlink r:id="rId8" w:tgtFrame="_top" w:history="1">
        <w:r w:rsidR="002A380C" w:rsidRPr="002F4CC0">
          <w:rPr>
            <w:rStyle w:val="Hyperlink"/>
            <w:i/>
            <w:color w:val="auto"/>
            <w:u w:val="none"/>
          </w:rPr>
          <w:t>Chevron, U.S.A., Inc. v. Natural Resources Defense Council, Inc.</w:t>
        </w:r>
      </w:hyperlink>
      <w:r w:rsidR="002F4CC0" w:rsidRPr="002F4CC0">
        <w:t xml:space="preserve">, </w:t>
      </w:r>
      <w:r w:rsidR="002A380C" w:rsidRPr="002F4CC0">
        <w:t xml:space="preserve">467 U.S. 837, </w:t>
      </w:r>
      <w:r w:rsidR="002F394F">
        <w:t>843-44</w:t>
      </w:r>
      <w:r w:rsidR="002F4CC0" w:rsidRPr="002F4CC0">
        <w:t xml:space="preserve"> (</w:t>
      </w:r>
      <w:r w:rsidR="002A380C" w:rsidRPr="002F4CC0">
        <w:t>1984</w:t>
      </w:r>
      <w:r w:rsidR="002F4CC0" w:rsidRPr="002F4CC0">
        <w:t>)</w:t>
      </w:r>
      <w:r w:rsidR="002F394F">
        <w:t xml:space="preserve"> </w:t>
      </w:r>
      <w:r w:rsidR="002F394F" w:rsidRPr="002F394F">
        <w:rPr>
          <w:rFonts w:cs="Times New Roman"/>
          <w:szCs w:val="24"/>
        </w:rPr>
        <w:t>(“</w:t>
      </w:r>
      <w:r w:rsidR="002F394F" w:rsidRPr="002F394F">
        <w:rPr>
          <w:rFonts w:eastAsia="Times New Roman" w:cs="Times New Roman"/>
          <w:color w:val="000000"/>
          <w:szCs w:val="24"/>
        </w:rPr>
        <w:t>We have long recognized that considerable weight should be accorded to an executive department's construction of a statutory scheme it is entrusted to administer,</w:t>
      </w:r>
      <w:bookmarkStart w:id="8" w:name="FN14"/>
      <w:bookmarkStart w:id="9" w:name="F015141984130736"/>
      <w:bookmarkEnd w:id="8"/>
      <w:bookmarkEnd w:id="9"/>
      <w:r w:rsidR="002F394F" w:rsidRPr="002F394F">
        <w:rPr>
          <w:rFonts w:eastAsia="Times New Roman" w:cs="Times New Roman"/>
          <w:color w:val="000000"/>
          <w:szCs w:val="24"/>
        </w:rPr>
        <w:t xml:space="preserve"> and the principle of deference to administrative interpretations.”)</w:t>
      </w:r>
      <w:r w:rsidR="002F4CC0" w:rsidRPr="002F394F">
        <w:rPr>
          <w:rFonts w:cs="Times New Roman"/>
          <w:szCs w:val="24"/>
        </w:rPr>
        <w:t>.</w:t>
      </w:r>
      <w:r w:rsidR="002F4CC0" w:rsidRPr="002F4CC0">
        <w:t xml:space="preserve">  </w:t>
      </w:r>
    </w:p>
    <w:p w:rsidR="006436F5" w:rsidRPr="002F394F" w:rsidRDefault="00BD1057" w:rsidP="002F394F">
      <w:pPr>
        <w:ind w:firstLine="720"/>
        <w:jc w:val="left"/>
        <w:rPr>
          <w:rFonts w:ascii="Verdana" w:eastAsia="Times New Roman" w:hAnsi="Verdana" w:cs="Times New Roman"/>
          <w:color w:val="000000"/>
          <w:sz w:val="19"/>
          <w:szCs w:val="19"/>
        </w:rPr>
      </w:pPr>
      <w:r w:rsidRPr="00F50043">
        <w:rPr>
          <w:rFonts w:cs="Times New Roman"/>
          <w:color w:val="000000"/>
          <w:szCs w:val="24"/>
        </w:rPr>
        <w:t>The regulations provide that</w:t>
      </w:r>
      <w:r w:rsidR="00E36FD1" w:rsidRPr="00F50043">
        <w:rPr>
          <w:rFonts w:cs="Times New Roman"/>
          <w:color w:val="000000"/>
          <w:szCs w:val="24"/>
        </w:rPr>
        <w:t xml:space="preserve"> for purposes of education, training, monitoring, and inspection,</w:t>
      </w:r>
      <w:r w:rsidRPr="00F50043">
        <w:rPr>
          <w:rFonts w:cs="Times New Roman"/>
          <w:color w:val="000000"/>
          <w:szCs w:val="24"/>
        </w:rPr>
        <w:t xml:space="preserve"> </w:t>
      </w:r>
    </w:p>
    <w:p w:rsidR="006436F5" w:rsidRDefault="00E36FD1" w:rsidP="006436F5">
      <w:pPr>
        <w:spacing w:line="240" w:lineRule="auto"/>
        <w:ind w:left="720"/>
        <w:jc w:val="left"/>
        <w:rPr>
          <w:rFonts w:cs="Times New Roman"/>
          <w:bCs/>
          <w:color w:val="000000"/>
          <w:szCs w:val="24"/>
        </w:rPr>
      </w:pPr>
      <w:r w:rsidRPr="00E36FD1">
        <w:rPr>
          <w:rFonts w:eastAsia="Times New Roman" w:cs="Times New Roman"/>
          <w:color w:val="000000"/>
          <w:szCs w:val="24"/>
        </w:rPr>
        <w:t>a P&amp;A system shall have reasonable unaccompanied access to facilities … and their residents at reasonable times, which at a minimum shall include normal working hours and visiting hours. Residents include adults or minors who have legal guardians or conservators. P&amp;A activities shall be conducted so as to minimize interference with facility programs, respect residents' privacy interests, and honor a resident's req</w:t>
      </w:r>
      <w:r w:rsidR="006436F5">
        <w:rPr>
          <w:rFonts w:eastAsia="Times New Roman" w:cs="Times New Roman"/>
          <w:color w:val="000000"/>
          <w:szCs w:val="24"/>
        </w:rPr>
        <w:t>uest to terminate an interview.</w:t>
      </w:r>
      <w:r w:rsidRPr="00E36FD1">
        <w:rPr>
          <w:rFonts w:eastAsia="Times New Roman" w:cs="Times New Roman"/>
          <w:color w:val="000000"/>
          <w:szCs w:val="24"/>
        </w:rPr>
        <w:t xml:space="preserve">  </w:t>
      </w:r>
      <w:r w:rsidRPr="00E36FD1">
        <w:rPr>
          <w:rFonts w:cs="Times New Roman"/>
          <w:color w:val="000000"/>
          <w:szCs w:val="24"/>
        </w:rPr>
        <w:t xml:space="preserve">42 C.F.R. § </w:t>
      </w:r>
      <w:r w:rsidRPr="00E36FD1">
        <w:rPr>
          <w:rFonts w:cs="Times New Roman"/>
          <w:bCs/>
          <w:color w:val="000000"/>
          <w:szCs w:val="24"/>
        </w:rPr>
        <w:t xml:space="preserve">51.42(c).  </w:t>
      </w:r>
    </w:p>
    <w:p w:rsidR="006436F5" w:rsidRDefault="006436F5" w:rsidP="006436F5">
      <w:pPr>
        <w:spacing w:line="240" w:lineRule="auto"/>
        <w:ind w:left="720"/>
        <w:jc w:val="left"/>
        <w:rPr>
          <w:rFonts w:cs="Times New Roman"/>
          <w:bCs/>
          <w:color w:val="000000"/>
          <w:szCs w:val="24"/>
        </w:rPr>
      </w:pPr>
    </w:p>
    <w:p w:rsidR="002F394F" w:rsidRDefault="00EA7CBA" w:rsidP="00A26DC0">
      <w:pPr>
        <w:jc w:val="left"/>
        <w:rPr>
          <w:rFonts w:cs="Times New Roman"/>
          <w:bCs/>
          <w:i/>
          <w:color w:val="000000"/>
          <w:szCs w:val="24"/>
        </w:rPr>
      </w:pPr>
      <w:r>
        <w:rPr>
          <w:rFonts w:cs="Times New Roman"/>
          <w:bCs/>
          <w:color w:val="000000"/>
          <w:szCs w:val="24"/>
        </w:rPr>
        <w:t>The regulations define u</w:t>
      </w:r>
      <w:r w:rsidR="00E36FD1" w:rsidRPr="00E36FD1">
        <w:rPr>
          <w:rFonts w:cs="Times New Roman"/>
          <w:bCs/>
          <w:color w:val="000000"/>
          <w:szCs w:val="24"/>
        </w:rPr>
        <w:t>naccompanied access as “</w:t>
      </w:r>
      <w:r w:rsidR="00E36FD1" w:rsidRPr="00E36FD1">
        <w:rPr>
          <w:rFonts w:eastAsia="Times New Roman" w:cs="Times New Roman"/>
          <w:color w:val="000000"/>
          <w:szCs w:val="24"/>
        </w:rPr>
        <w:t xml:space="preserve">the opportunity to meet and communicate privately with individuals regularly, both formally and informally, by telephone, mail and in person.”  </w:t>
      </w:r>
      <w:r w:rsidR="00E36FD1" w:rsidRPr="00E36FD1">
        <w:rPr>
          <w:rFonts w:cs="Times New Roman"/>
          <w:color w:val="000000"/>
          <w:szCs w:val="24"/>
        </w:rPr>
        <w:t xml:space="preserve">42 C.F.R. § </w:t>
      </w:r>
      <w:r w:rsidR="00E36FD1" w:rsidRPr="00E36FD1">
        <w:rPr>
          <w:rFonts w:cs="Times New Roman"/>
          <w:bCs/>
          <w:color w:val="000000"/>
          <w:szCs w:val="24"/>
        </w:rPr>
        <w:t xml:space="preserve">51.42(d).  </w:t>
      </w:r>
      <w:r w:rsidR="00E36FD1">
        <w:rPr>
          <w:rFonts w:cs="Times New Roman"/>
          <w:bCs/>
          <w:color w:val="000000"/>
          <w:szCs w:val="24"/>
        </w:rPr>
        <w:t>The plain language of the regulation reaffirms that a protection and advocacy organization must be afforded reasonable unaccompanied access to facilities and residents for the purpose of monitoring and education even where there is no allegation of abuse o</w:t>
      </w:r>
      <w:r w:rsidR="007E4E16">
        <w:rPr>
          <w:rFonts w:cs="Times New Roman"/>
          <w:bCs/>
          <w:color w:val="000000"/>
          <w:szCs w:val="24"/>
        </w:rPr>
        <w:t>r</w:t>
      </w:r>
      <w:r w:rsidR="00E36FD1">
        <w:rPr>
          <w:rFonts w:cs="Times New Roman"/>
          <w:bCs/>
          <w:color w:val="000000"/>
          <w:szCs w:val="24"/>
        </w:rPr>
        <w:t xml:space="preserve"> neglect.</w:t>
      </w:r>
      <w:r w:rsidR="00CB2E99">
        <w:rPr>
          <w:rFonts w:cs="Times New Roman"/>
          <w:bCs/>
          <w:color w:val="000000"/>
          <w:szCs w:val="24"/>
        </w:rPr>
        <w:t xml:space="preserve">  </w:t>
      </w:r>
      <w:r w:rsidR="00D430CE">
        <w:rPr>
          <w:rFonts w:cs="Times New Roman"/>
          <w:bCs/>
          <w:color w:val="000000"/>
          <w:szCs w:val="24"/>
        </w:rPr>
        <w:t xml:space="preserve">The text also explicitly empowers protection and advocacy organizations to meet with minors as well as with adults.  </w:t>
      </w:r>
      <w:r>
        <w:rPr>
          <w:rFonts w:cs="Times New Roman"/>
          <w:bCs/>
          <w:color w:val="000000"/>
          <w:szCs w:val="24"/>
        </w:rPr>
        <w:t>Thus it is clear that Congress anticipated that protection and advocacy organizations would need to visit facilities and speak with their residents regularly</w:t>
      </w:r>
      <w:r w:rsidR="00D430CE">
        <w:rPr>
          <w:rFonts w:cs="Times New Roman"/>
          <w:bCs/>
          <w:color w:val="000000"/>
          <w:szCs w:val="24"/>
        </w:rPr>
        <w:t>, regardless of age</w:t>
      </w:r>
      <w:r>
        <w:rPr>
          <w:rFonts w:cs="Times New Roman"/>
          <w:bCs/>
          <w:color w:val="000000"/>
          <w:szCs w:val="24"/>
        </w:rPr>
        <w:t xml:space="preserve">.  Such access enables these organizations to fulfill their missions of educating individuals about their rights and offering residents an opportunity to raise questions or concerns about their care with an independent advocate.  </w:t>
      </w:r>
    </w:p>
    <w:p w:rsidR="00F50043" w:rsidRPr="0093799B" w:rsidRDefault="00F50043" w:rsidP="0093799B">
      <w:pPr>
        <w:pStyle w:val="ListParagraph"/>
        <w:numPr>
          <w:ilvl w:val="0"/>
          <w:numId w:val="6"/>
        </w:numPr>
        <w:jc w:val="left"/>
        <w:rPr>
          <w:rFonts w:cs="Times New Roman"/>
          <w:i/>
          <w:color w:val="000000"/>
          <w:kern w:val="36"/>
          <w:szCs w:val="24"/>
        </w:rPr>
      </w:pPr>
      <w:r w:rsidRPr="0093799B">
        <w:rPr>
          <w:rFonts w:cs="Times New Roman"/>
          <w:bCs/>
          <w:i/>
          <w:color w:val="000000"/>
          <w:szCs w:val="24"/>
        </w:rPr>
        <w:t xml:space="preserve">Federal Precedent Affirms Protection and Advocacy </w:t>
      </w:r>
      <w:r w:rsidR="001949CB">
        <w:rPr>
          <w:rFonts w:cs="Times New Roman"/>
          <w:bCs/>
          <w:i/>
          <w:color w:val="000000"/>
          <w:szCs w:val="24"/>
        </w:rPr>
        <w:t xml:space="preserve">Monitoring </w:t>
      </w:r>
      <w:r w:rsidRPr="0093799B">
        <w:rPr>
          <w:rFonts w:cs="Times New Roman"/>
          <w:bCs/>
          <w:i/>
          <w:color w:val="000000"/>
          <w:szCs w:val="24"/>
        </w:rPr>
        <w:t>Access Rights</w:t>
      </w:r>
    </w:p>
    <w:p w:rsidR="00E36FD1" w:rsidRPr="002B54F6" w:rsidRDefault="00CB2E99" w:rsidP="0093799B">
      <w:pPr>
        <w:ind w:firstLine="720"/>
        <w:jc w:val="left"/>
        <w:rPr>
          <w:rFonts w:cs="Times New Roman"/>
          <w:color w:val="000000"/>
          <w:kern w:val="36"/>
          <w:szCs w:val="24"/>
        </w:rPr>
      </w:pPr>
      <w:r w:rsidRPr="00F50043">
        <w:rPr>
          <w:rFonts w:cs="Times New Roman"/>
          <w:bCs/>
          <w:color w:val="000000"/>
          <w:szCs w:val="24"/>
        </w:rPr>
        <w:t xml:space="preserve">So unambiguous are the regulations that there has been little recent litigation on the simple question of access to facilities for monitoring and education.  </w:t>
      </w:r>
      <w:r w:rsidR="000C5CF6" w:rsidRPr="00F50043">
        <w:rPr>
          <w:rFonts w:cs="Times New Roman"/>
          <w:bCs/>
          <w:color w:val="000000"/>
          <w:szCs w:val="24"/>
        </w:rPr>
        <w:t xml:space="preserve">In the few decisions that touch on protection and advocacy organizations’ authority to conduct monitoring, including unaccompanied access to residents, courts have recognized that the statute </w:t>
      </w:r>
      <w:r w:rsidR="002B54F6" w:rsidRPr="00F50043">
        <w:rPr>
          <w:rFonts w:cs="Times New Roman"/>
          <w:bCs/>
          <w:color w:val="000000"/>
          <w:szCs w:val="24"/>
        </w:rPr>
        <w:t>unmistakably</w:t>
      </w:r>
      <w:r w:rsidR="000C5CF6" w:rsidRPr="00F50043">
        <w:rPr>
          <w:rFonts w:cs="Times New Roman"/>
          <w:bCs/>
          <w:color w:val="000000"/>
          <w:szCs w:val="24"/>
        </w:rPr>
        <w:t xml:space="preserve"> </w:t>
      </w:r>
      <w:r w:rsidR="002B54F6" w:rsidRPr="00F50043">
        <w:rPr>
          <w:rFonts w:cs="Times New Roman"/>
          <w:bCs/>
          <w:color w:val="000000"/>
          <w:szCs w:val="24"/>
        </w:rPr>
        <w:t>contemplates</w:t>
      </w:r>
      <w:r w:rsidR="000C5CF6" w:rsidRPr="00F50043">
        <w:rPr>
          <w:rFonts w:cs="Times New Roman"/>
          <w:bCs/>
          <w:color w:val="000000"/>
          <w:szCs w:val="24"/>
        </w:rPr>
        <w:t xml:space="preserve"> </w:t>
      </w:r>
      <w:r w:rsidR="002B54F6" w:rsidRPr="00F50043">
        <w:rPr>
          <w:rFonts w:cs="Times New Roman"/>
          <w:bCs/>
          <w:color w:val="000000"/>
          <w:szCs w:val="24"/>
        </w:rPr>
        <w:t xml:space="preserve">monitoring </w:t>
      </w:r>
      <w:r w:rsidR="0093799B">
        <w:rPr>
          <w:rFonts w:cs="Times New Roman"/>
          <w:bCs/>
          <w:color w:val="000000"/>
          <w:szCs w:val="24"/>
        </w:rPr>
        <w:t>access</w:t>
      </w:r>
      <w:r w:rsidR="000C5CF6" w:rsidRPr="00F50043">
        <w:rPr>
          <w:rFonts w:cs="Times New Roman"/>
          <w:bCs/>
          <w:color w:val="000000"/>
          <w:szCs w:val="24"/>
        </w:rPr>
        <w:t xml:space="preserve">.  </w:t>
      </w:r>
      <w:r w:rsidR="000C5CF6" w:rsidRPr="00F50043">
        <w:rPr>
          <w:rFonts w:cs="Times New Roman"/>
          <w:bCs/>
          <w:i/>
          <w:color w:val="000000"/>
          <w:szCs w:val="24"/>
        </w:rPr>
        <w:t>See</w:t>
      </w:r>
      <w:r w:rsidR="0093799B">
        <w:rPr>
          <w:rFonts w:cs="Times New Roman"/>
          <w:bCs/>
          <w:i/>
          <w:color w:val="000000"/>
          <w:szCs w:val="24"/>
        </w:rPr>
        <w:t>, e.g.</w:t>
      </w:r>
      <w:r w:rsidR="0093799B" w:rsidRPr="00BA6819">
        <w:rPr>
          <w:rFonts w:cs="Times New Roman"/>
          <w:bCs/>
          <w:i/>
          <w:color w:val="000000"/>
          <w:szCs w:val="24"/>
        </w:rPr>
        <w:t>,</w:t>
      </w:r>
      <w:r w:rsidR="00BA6819" w:rsidRPr="00BA6819">
        <w:rPr>
          <w:rFonts w:cs="Times New Roman"/>
          <w:bCs/>
          <w:i/>
          <w:color w:val="000000"/>
          <w:szCs w:val="24"/>
        </w:rPr>
        <w:t xml:space="preserve"> </w:t>
      </w:r>
      <w:r w:rsidR="00BA6819" w:rsidRPr="00BA6819">
        <w:rPr>
          <w:rFonts w:cs="Times New Roman"/>
          <w:bCs/>
          <w:i/>
          <w:color w:val="000000"/>
          <w:kern w:val="36"/>
          <w:szCs w:val="24"/>
        </w:rPr>
        <w:t>Protection &amp; Advocacy System, Inc. v. Freudenthal</w:t>
      </w:r>
      <w:r w:rsidR="00BA6819" w:rsidRPr="00BA6819">
        <w:rPr>
          <w:rFonts w:cs="Times New Roman"/>
          <w:bCs/>
          <w:color w:val="000000"/>
          <w:kern w:val="36"/>
          <w:szCs w:val="24"/>
        </w:rPr>
        <w:t xml:space="preserve">, </w:t>
      </w:r>
      <w:r w:rsidR="00BA6819" w:rsidRPr="00BA6819">
        <w:rPr>
          <w:rFonts w:cs="Times New Roman"/>
          <w:color w:val="000000"/>
          <w:kern w:val="36"/>
          <w:szCs w:val="24"/>
        </w:rPr>
        <w:t>412 F.Supp.2d 1211, 1213 (D. Wyo. 2006)</w:t>
      </w:r>
      <w:r w:rsidR="00BA6819" w:rsidRPr="00BA6819">
        <w:rPr>
          <w:rFonts w:eastAsia="Times New Roman" w:cs="Times New Roman"/>
          <w:color w:val="000000"/>
          <w:szCs w:val="24"/>
        </w:rPr>
        <w:t xml:space="preserve"> (“These acts and their implementing regulations authorize P &amp; A to investigate allegations of abuse and neglect; to monitor; to provide training on rights and make referrals and to pursue legal, administrative and other remedies. They also authorize P &amp; A to obtain access to records under specific circumstances.”);</w:t>
      </w:r>
      <w:r w:rsidR="000C5CF6" w:rsidRPr="00BA6819">
        <w:rPr>
          <w:rFonts w:cs="Times New Roman"/>
          <w:bCs/>
          <w:i/>
          <w:color w:val="000000"/>
          <w:szCs w:val="24"/>
        </w:rPr>
        <w:t xml:space="preserve"> </w:t>
      </w:r>
      <w:r w:rsidR="00F30A52" w:rsidRPr="00F50043">
        <w:rPr>
          <w:rFonts w:cs="Times New Roman"/>
          <w:bCs/>
          <w:i/>
          <w:color w:val="000000"/>
          <w:kern w:val="36"/>
          <w:szCs w:val="24"/>
        </w:rPr>
        <w:t>Equip for Equality, Inc. v. Ingalls Memorial Hosp.</w:t>
      </w:r>
      <w:r w:rsidR="002B54F6" w:rsidRPr="00F50043">
        <w:rPr>
          <w:rFonts w:cs="Times New Roman"/>
          <w:bCs/>
          <w:color w:val="000000"/>
          <w:kern w:val="36"/>
          <w:szCs w:val="24"/>
        </w:rPr>
        <w:t xml:space="preserve">, </w:t>
      </w:r>
      <w:r w:rsidR="00F30A52" w:rsidRPr="00F50043">
        <w:rPr>
          <w:rFonts w:cs="Times New Roman"/>
          <w:color w:val="000000"/>
          <w:kern w:val="36"/>
          <w:szCs w:val="24"/>
        </w:rPr>
        <w:t>292 F.Supp.2d 1086, 1095-98</w:t>
      </w:r>
      <w:r w:rsidR="00F50043" w:rsidRPr="00F50043">
        <w:rPr>
          <w:rFonts w:cs="Times New Roman"/>
          <w:color w:val="000000"/>
          <w:kern w:val="36"/>
          <w:szCs w:val="24"/>
        </w:rPr>
        <w:t>, 1100</w:t>
      </w:r>
      <w:r w:rsidR="00F30A52" w:rsidRPr="00F50043">
        <w:rPr>
          <w:rFonts w:cs="Times New Roman"/>
          <w:color w:val="000000"/>
          <w:kern w:val="36"/>
          <w:szCs w:val="24"/>
        </w:rPr>
        <w:t xml:space="preserve"> (N.D. Ill. 2003) (</w:t>
      </w:r>
      <w:r w:rsidR="00F50043" w:rsidRPr="00F50043">
        <w:rPr>
          <w:rFonts w:cs="Times New Roman"/>
          <w:color w:val="000000"/>
          <w:kern w:val="36"/>
          <w:szCs w:val="24"/>
        </w:rPr>
        <w:t>“</w:t>
      </w:r>
      <w:r w:rsidR="00F50043" w:rsidRPr="00F50043">
        <w:rPr>
          <w:rFonts w:eastAsia="Times New Roman" w:cs="Times New Roman"/>
          <w:color w:val="000000"/>
          <w:szCs w:val="24"/>
        </w:rPr>
        <w:t>A P &amp; A system must be given the leeway to discover problems or potential problems at a facility”</w:t>
      </w:r>
      <w:r w:rsidR="00F30A52" w:rsidRPr="00F50043">
        <w:rPr>
          <w:rFonts w:cs="Times New Roman"/>
          <w:color w:val="000000"/>
          <w:kern w:val="36"/>
          <w:szCs w:val="24"/>
        </w:rPr>
        <w:t xml:space="preserve">); </w:t>
      </w:r>
      <w:r w:rsidR="000C5CF6" w:rsidRPr="00F50043">
        <w:rPr>
          <w:rFonts w:cs="Times New Roman"/>
          <w:bCs/>
          <w:i/>
          <w:color w:val="000000"/>
          <w:kern w:val="36"/>
          <w:szCs w:val="24"/>
        </w:rPr>
        <w:t>Iowa Protection and Advocacy Services, Inc. v. Gerard Treatment Programs</w:t>
      </w:r>
      <w:r w:rsidR="000C5CF6" w:rsidRPr="00F50043">
        <w:rPr>
          <w:rFonts w:cs="Times New Roman"/>
          <w:bCs/>
          <w:color w:val="000000"/>
          <w:kern w:val="36"/>
          <w:szCs w:val="24"/>
        </w:rPr>
        <w:t xml:space="preserve">, L.L.C., </w:t>
      </w:r>
      <w:r w:rsidR="000C5CF6" w:rsidRPr="00F50043">
        <w:rPr>
          <w:rFonts w:cs="Times New Roman"/>
          <w:color w:val="000000"/>
          <w:kern w:val="36"/>
          <w:szCs w:val="24"/>
        </w:rPr>
        <w:t xml:space="preserve">152 F.Supp.2d 1150. 1169-70 (N.D. Iowa 2001) (considering access to a psychiatric facility for youth and noting that </w:t>
      </w:r>
      <w:r w:rsidR="002B54F6" w:rsidRPr="00F50043">
        <w:rPr>
          <w:rFonts w:cs="Times New Roman"/>
          <w:color w:val="000000"/>
          <w:kern w:val="36"/>
          <w:szCs w:val="24"/>
        </w:rPr>
        <w:t>protection and advocacy organization representatives are empowered to conduct unaccompanied interviews for monitoring purposes</w:t>
      </w:r>
      <w:r w:rsidR="000C5CF6" w:rsidRPr="00F50043">
        <w:rPr>
          <w:rFonts w:cs="Times New Roman"/>
          <w:color w:val="000000"/>
          <w:szCs w:val="24"/>
        </w:rPr>
        <w:t>)</w:t>
      </w:r>
      <w:r w:rsidR="000C5CF6" w:rsidRPr="00F50043">
        <w:rPr>
          <w:rFonts w:cs="Times New Roman"/>
          <w:color w:val="000000"/>
          <w:kern w:val="36"/>
          <w:szCs w:val="24"/>
        </w:rPr>
        <w:t xml:space="preserve">.  </w:t>
      </w:r>
      <w:r w:rsidR="007E4E16" w:rsidRPr="002B54F6">
        <w:rPr>
          <w:rFonts w:eastAsia="Times New Roman" w:cs="Times New Roman"/>
          <w:color w:val="000000"/>
          <w:szCs w:val="24"/>
        </w:rPr>
        <w:t xml:space="preserve">Courts </w:t>
      </w:r>
      <w:r w:rsidRPr="002B54F6">
        <w:rPr>
          <w:rFonts w:eastAsia="Times New Roman" w:cs="Times New Roman"/>
          <w:color w:val="000000"/>
          <w:szCs w:val="24"/>
        </w:rPr>
        <w:t xml:space="preserve">have </w:t>
      </w:r>
      <w:r w:rsidR="009F0291">
        <w:rPr>
          <w:rFonts w:eastAsia="Times New Roman" w:cs="Times New Roman"/>
          <w:color w:val="000000"/>
          <w:szCs w:val="24"/>
        </w:rPr>
        <w:t>explain</w:t>
      </w:r>
      <w:r w:rsidRPr="002B54F6">
        <w:rPr>
          <w:rFonts w:eastAsia="Times New Roman" w:cs="Times New Roman"/>
          <w:color w:val="000000"/>
          <w:szCs w:val="24"/>
        </w:rPr>
        <w:t>ed that curtailing protection and advocacy organizations’ access would thwart the goals laid out by Congress in PAIMI.</w:t>
      </w:r>
      <w:r w:rsidR="001E07E4" w:rsidRPr="002B54F6">
        <w:rPr>
          <w:rFonts w:eastAsia="Times New Roman" w:cs="Times New Roman"/>
          <w:color w:val="000000"/>
          <w:szCs w:val="24"/>
        </w:rPr>
        <w:t xml:space="preserve">  </w:t>
      </w:r>
      <w:r w:rsidR="001E07E4" w:rsidRPr="002B54F6">
        <w:rPr>
          <w:rFonts w:eastAsia="Times New Roman" w:cs="Times New Roman"/>
          <w:i/>
          <w:color w:val="000000"/>
          <w:szCs w:val="24"/>
        </w:rPr>
        <w:t xml:space="preserve">See </w:t>
      </w:r>
      <w:r w:rsidR="002B54F6" w:rsidRPr="002B54F6">
        <w:rPr>
          <w:rFonts w:cs="Times New Roman"/>
          <w:bCs/>
          <w:i/>
          <w:color w:val="000000"/>
          <w:kern w:val="36"/>
          <w:szCs w:val="24"/>
        </w:rPr>
        <w:t>Equip for Equality</w:t>
      </w:r>
      <w:r w:rsidR="002B54F6" w:rsidRPr="002B54F6">
        <w:rPr>
          <w:rFonts w:cs="Times New Roman"/>
          <w:bCs/>
          <w:color w:val="000000"/>
          <w:kern w:val="36"/>
          <w:szCs w:val="24"/>
        </w:rPr>
        <w:t xml:space="preserve">, </w:t>
      </w:r>
      <w:r w:rsidR="002B54F6" w:rsidRPr="002B54F6">
        <w:rPr>
          <w:rFonts w:cs="Times New Roman"/>
          <w:color w:val="000000"/>
          <w:kern w:val="36"/>
          <w:szCs w:val="24"/>
        </w:rPr>
        <w:t xml:space="preserve">292 F.Supp.2d </w:t>
      </w:r>
      <w:r w:rsidR="002B54F6">
        <w:rPr>
          <w:rFonts w:cs="Times New Roman"/>
          <w:color w:val="000000"/>
          <w:kern w:val="36"/>
          <w:szCs w:val="24"/>
        </w:rPr>
        <w:t>at</w:t>
      </w:r>
      <w:r w:rsidR="002B54F6" w:rsidRPr="002B54F6">
        <w:rPr>
          <w:rFonts w:cs="Times New Roman"/>
          <w:color w:val="000000"/>
          <w:kern w:val="36"/>
          <w:szCs w:val="24"/>
        </w:rPr>
        <w:t xml:space="preserve"> 1099 (</w:t>
      </w:r>
      <w:r w:rsidR="00F50043">
        <w:rPr>
          <w:rFonts w:cs="Times New Roman"/>
          <w:color w:val="000000"/>
          <w:kern w:val="36"/>
          <w:szCs w:val="24"/>
        </w:rPr>
        <w:t>“</w:t>
      </w:r>
      <w:r w:rsidR="00F50043" w:rsidRPr="00F50043">
        <w:rPr>
          <w:rFonts w:eastAsia="Times New Roman" w:cs="Times New Roman"/>
          <w:color w:val="000000"/>
          <w:szCs w:val="24"/>
        </w:rPr>
        <w:t>requiring tours of a facility to be announced and accompanied would seriously hinder a P &amp; A system's ability to monitor the facility for compliance with the rights and safety of the patients and would thwart the purpose of the federal and state acts.</w:t>
      </w:r>
      <w:r w:rsidR="00F50043" w:rsidRPr="00F50043">
        <w:rPr>
          <w:rFonts w:cs="Times New Roman"/>
          <w:color w:val="000000"/>
          <w:kern w:val="36"/>
          <w:szCs w:val="24"/>
        </w:rPr>
        <w:t>”</w:t>
      </w:r>
      <w:r w:rsidR="002B54F6" w:rsidRPr="002B54F6">
        <w:rPr>
          <w:rFonts w:cs="Times New Roman"/>
          <w:color w:val="000000"/>
          <w:kern w:val="36"/>
          <w:szCs w:val="24"/>
        </w:rPr>
        <w:t xml:space="preserve">); </w:t>
      </w:r>
      <w:r w:rsidR="001E07E4" w:rsidRPr="002B54F6">
        <w:rPr>
          <w:rFonts w:cs="Times New Roman"/>
          <w:bCs/>
          <w:i/>
          <w:color w:val="000000"/>
          <w:kern w:val="36"/>
          <w:szCs w:val="24"/>
        </w:rPr>
        <w:t>Robbins v. Budke</w:t>
      </w:r>
      <w:r w:rsidR="002B54F6" w:rsidRPr="002B54F6">
        <w:rPr>
          <w:rFonts w:cs="Times New Roman"/>
          <w:bCs/>
          <w:color w:val="000000"/>
          <w:kern w:val="36"/>
          <w:szCs w:val="24"/>
        </w:rPr>
        <w:t>,</w:t>
      </w:r>
      <w:r w:rsidR="002B54F6">
        <w:rPr>
          <w:rFonts w:cs="Times New Roman"/>
          <w:bCs/>
          <w:color w:val="000000"/>
          <w:kern w:val="36"/>
          <w:szCs w:val="24"/>
        </w:rPr>
        <w:t xml:space="preserve"> </w:t>
      </w:r>
      <w:r w:rsidR="001E07E4" w:rsidRPr="002B54F6">
        <w:rPr>
          <w:rFonts w:cs="Times New Roman"/>
          <w:color w:val="000000"/>
          <w:kern w:val="36"/>
          <w:szCs w:val="24"/>
        </w:rPr>
        <w:t xml:space="preserve">739 F.Supp. 1479, 1487 (D.N.M. 1990) (finding hospital’s policies limiting protection and advocacy organization access to patients with mental illness thwarted PAIMI’s purpose).  </w:t>
      </w:r>
      <w:r w:rsidR="009F0291">
        <w:rPr>
          <w:rFonts w:cs="Times New Roman"/>
          <w:color w:val="000000"/>
          <w:kern w:val="36"/>
          <w:szCs w:val="24"/>
        </w:rPr>
        <w:t>Protection and advocacy organizations are unquestionably authorized to conduct regular unaccompanied monitoring tours of covered facilities in addition to any investigations they conduct.</w:t>
      </w:r>
    </w:p>
    <w:p w:rsidR="00F04BC3" w:rsidRPr="00F04BC3" w:rsidRDefault="00F04BC3" w:rsidP="00F04BC3">
      <w:pPr>
        <w:pStyle w:val="ListParagraph"/>
        <w:numPr>
          <w:ilvl w:val="0"/>
          <w:numId w:val="4"/>
        </w:numPr>
        <w:spacing w:after="240" w:line="240" w:lineRule="auto"/>
        <w:rPr>
          <w:rFonts w:cs="Times New Roman"/>
          <w:b/>
          <w:color w:val="000000"/>
          <w:kern w:val="36"/>
          <w:szCs w:val="24"/>
        </w:rPr>
      </w:pPr>
      <w:r w:rsidRPr="00F04BC3">
        <w:rPr>
          <w:rFonts w:cs="Times New Roman"/>
          <w:b/>
          <w:color w:val="000000"/>
          <w:kern w:val="36"/>
          <w:szCs w:val="24"/>
        </w:rPr>
        <w:t xml:space="preserve">Reasonable Unaccompanied Access Includes Regular Opportunities to Speak with Residents </w:t>
      </w:r>
    </w:p>
    <w:p w:rsidR="00783928" w:rsidRDefault="001D6017" w:rsidP="00783928">
      <w:pPr>
        <w:ind w:firstLine="720"/>
        <w:jc w:val="left"/>
        <w:rPr>
          <w:rFonts w:cs="Times New Roman"/>
          <w:kern w:val="36"/>
          <w:szCs w:val="24"/>
        </w:rPr>
      </w:pPr>
      <w:r>
        <w:rPr>
          <w:rFonts w:cs="Times New Roman"/>
          <w:kern w:val="36"/>
          <w:szCs w:val="24"/>
        </w:rPr>
        <w:t xml:space="preserve">The law contemplates that </w:t>
      </w:r>
      <w:r w:rsidRPr="00783928">
        <w:rPr>
          <w:rFonts w:cs="Times New Roman"/>
          <w:kern w:val="36"/>
          <w:szCs w:val="24"/>
        </w:rPr>
        <w:t xml:space="preserve">advocates </w:t>
      </w:r>
      <w:r w:rsidR="006B6F7A">
        <w:rPr>
          <w:rFonts w:cs="Times New Roman"/>
          <w:kern w:val="36"/>
          <w:szCs w:val="24"/>
        </w:rPr>
        <w:t xml:space="preserve">will </w:t>
      </w:r>
      <w:r w:rsidRPr="00783928">
        <w:rPr>
          <w:rFonts w:cs="Times New Roman"/>
          <w:kern w:val="36"/>
          <w:szCs w:val="24"/>
        </w:rPr>
        <w:t>have regular</w:t>
      </w:r>
      <w:r w:rsidR="00527E4A">
        <w:rPr>
          <w:rFonts w:cs="Times New Roman"/>
          <w:kern w:val="36"/>
          <w:szCs w:val="24"/>
        </w:rPr>
        <w:t>, even “frequent,”</w:t>
      </w:r>
      <w:r w:rsidRPr="00783928">
        <w:rPr>
          <w:rFonts w:cs="Times New Roman"/>
          <w:kern w:val="36"/>
          <w:szCs w:val="24"/>
        </w:rPr>
        <w:t xml:space="preserve"> unaccompanied opportunities to speak with residents</w:t>
      </w:r>
      <w:r w:rsidR="00501408">
        <w:rPr>
          <w:rFonts w:cs="Times New Roman"/>
          <w:kern w:val="36"/>
          <w:szCs w:val="24"/>
        </w:rPr>
        <w:t>.</w:t>
      </w:r>
      <w:r w:rsidR="008D289C" w:rsidRPr="00783928">
        <w:rPr>
          <w:rFonts w:cs="Times New Roman"/>
          <w:kern w:val="36"/>
          <w:szCs w:val="24"/>
        </w:rPr>
        <w:t xml:space="preserve"> </w:t>
      </w:r>
      <w:r w:rsidR="00783928">
        <w:rPr>
          <w:rFonts w:cs="Times New Roman"/>
          <w:kern w:val="36"/>
          <w:szCs w:val="24"/>
        </w:rPr>
        <w:t xml:space="preserve"> </w:t>
      </w:r>
      <w:r w:rsidR="00F21719" w:rsidRPr="00783928">
        <w:rPr>
          <w:rFonts w:cs="Times New Roman"/>
          <w:i/>
          <w:kern w:val="36"/>
          <w:szCs w:val="24"/>
        </w:rPr>
        <w:t>See</w:t>
      </w:r>
      <w:r w:rsidR="00F21719" w:rsidRPr="00783928">
        <w:rPr>
          <w:rFonts w:cs="Times New Roman"/>
          <w:kern w:val="36"/>
          <w:szCs w:val="24"/>
        </w:rPr>
        <w:t xml:space="preserve"> </w:t>
      </w:r>
      <w:r w:rsidR="00F21719" w:rsidRPr="00783928">
        <w:rPr>
          <w:rFonts w:cs="Times New Roman"/>
          <w:szCs w:val="24"/>
        </w:rPr>
        <w:t>42 C.F.R. § 51.42(c)</w:t>
      </w:r>
      <w:r w:rsidR="00783928" w:rsidRPr="00783928">
        <w:rPr>
          <w:rFonts w:cs="Times New Roman"/>
          <w:szCs w:val="24"/>
        </w:rPr>
        <w:t xml:space="preserve">; </w:t>
      </w:r>
      <w:r w:rsidR="00783928" w:rsidRPr="00783928">
        <w:rPr>
          <w:rFonts w:cs="Times New Roman"/>
          <w:bCs/>
          <w:i/>
          <w:kern w:val="36"/>
          <w:szCs w:val="24"/>
        </w:rPr>
        <w:t>Mississippi Protection and Advocacy System, Inc. v. Cotton</w:t>
      </w:r>
      <w:r w:rsidR="00783928" w:rsidRPr="00783928">
        <w:rPr>
          <w:rFonts w:cs="Times New Roman"/>
          <w:bCs/>
          <w:kern w:val="36"/>
          <w:szCs w:val="24"/>
        </w:rPr>
        <w:t>,</w:t>
      </w:r>
      <w:r w:rsidR="00783928" w:rsidRPr="00783928">
        <w:rPr>
          <w:rFonts w:cs="Times New Roman"/>
          <w:kern w:val="36"/>
          <w:szCs w:val="24"/>
        </w:rPr>
        <w:t xml:space="preserve"> 1989 WL 224953 *9</w:t>
      </w:r>
      <w:r w:rsidR="00783928">
        <w:rPr>
          <w:rFonts w:cs="Times New Roman"/>
          <w:kern w:val="36"/>
          <w:szCs w:val="24"/>
        </w:rPr>
        <w:t xml:space="preserve"> (</w:t>
      </w:r>
      <w:r w:rsidR="00783928" w:rsidRPr="00783928">
        <w:rPr>
          <w:rFonts w:cs="Times New Roman"/>
          <w:kern w:val="36"/>
          <w:szCs w:val="24"/>
        </w:rPr>
        <w:t>S.D. Miss. Aug. 7, 1989) (“</w:t>
      </w:r>
      <w:r w:rsidR="00783928" w:rsidRPr="00783928">
        <w:rPr>
          <w:rFonts w:eastAsia="Times New Roman" w:cs="Times New Roman"/>
          <w:szCs w:val="24"/>
        </w:rPr>
        <w:t>Only by frequent personal contact with residents, out of the presence of Boswell staff,</w:t>
      </w:r>
      <w:bookmarkStart w:id="10" w:name="FN13"/>
      <w:bookmarkStart w:id="11" w:name="F013131990130153"/>
      <w:bookmarkEnd w:id="10"/>
      <w:bookmarkEnd w:id="11"/>
      <w:r w:rsidR="00783928" w:rsidRPr="00783928">
        <w:rPr>
          <w:rFonts w:eastAsia="Times New Roman" w:cs="Times New Roman"/>
          <w:szCs w:val="24"/>
        </w:rPr>
        <w:t xml:space="preserve"> can MP &amp; A effectively carry out its mission of pursuing remedies to protect the rights of Boswell residents and of providing the necessary information to them.”)</w:t>
      </w:r>
      <w:r w:rsidR="00F21719" w:rsidRPr="00783928">
        <w:rPr>
          <w:rFonts w:cs="Times New Roman"/>
          <w:szCs w:val="24"/>
        </w:rPr>
        <w:t>.</w:t>
      </w:r>
      <w:r w:rsidR="00783928">
        <w:rPr>
          <w:rStyle w:val="FootnoteReference"/>
          <w:rFonts w:cs="Times New Roman"/>
          <w:szCs w:val="24"/>
        </w:rPr>
        <w:footnoteReference w:id="5"/>
      </w:r>
      <w:r w:rsidR="003E72D5">
        <w:rPr>
          <w:rFonts w:cs="Times New Roman"/>
          <w:szCs w:val="24"/>
        </w:rPr>
        <w:t xml:space="preserve"> </w:t>
      </w:r>
      <w:r w:rsidR="008D289C" w:rsidRPr="00783928">
        <w:rPr>
          <w:rFonts w:cs="Times New Roman"/>
          <w:kern w:val="36"/>
          <w:szCs w:val="24"/>
        </w:rPr>
        <w:t xml:space="preserve"> </w:t>
      </w:r>
      <w:r w:rsidR="00783928">
        <w:rPr>
          <w:rFonts w:cs="Times New Roman"/>
          <w:kern w:val="36"/>
          <w:szCs w:val="24"/>
        </w:rPr>
        <w:t xml:space="preserve">Recognizing that people with disabilities may be distrustful of advocates they </w:t>
      </w:r>
      <w:r w:rsidR="00501408">
        <w:rPr>
          <w:rFonts w:cs="Times New Roman"/>
          <w:kern w:val="36"/>
          <w:szCs w:val="24"/>
        </w:rPr>
        <w:t xml:space="preserve">rarely </w:t>
      </w:r>
      <w:r w:rsidR="00783928">
        <w:rPr>
          <w:rFonts w:cs="Times New Roman"/>
          <w:kern w:val="36"/>
          <w:szCs w:val="24"/>
        </w:rPr>
        <w:t xml:space="preserve">see, courts have encouraged regular visits with protection and advocacy organization representatives.  </w:t>
      </w:r>
      <w:r w:rsidR="00783928" w:rsidRPr="00783928">
        <w:rPr>
          <w:rFonts w:cs="Times New Roman"/>
          <w:i/>
          <w:szCs w:val="24"/>
        </w:rPr>
        <w:t>See</w:t>
      </w:r>
      <w:r w:rsidR="00783928" w:rsidRPr="00783928">
        <w:rPr>
          <w:rFonts w:cs="Times New Roman"/>
          <w:szCs w:val="24"/>
        </w:rPr>
        <w:t xml:space="preserve"> </w:t>
      </w:r>
      <w:r w:rsidR="00783928" w:rsidRPr="00783928">
        <w:rPr>
          <w:rFonts w:cs="Times New Roman"/>
          <w:bCs/>
          <w:i/>
          <w:kern w:val="36"/>
          <w:szCs w:val="24"/>
        </w:rPr>
        <w:t>Robbins</w:t>
      </w:r>
      <w:r w:rsidR="00783928" w:rsidRPr="00783928">
        <w:rPr>
          <w:rFonts w:cs="Times New Roman"/>
          <w:bCs/>
          <w:kern w:val="36"/>
          <w:szCs w:val="24"/>
        </w:rPr>
        <w:t xml:space="preserve">, </w:t>
      </w:r>
      <w:r w:rsidR="00783928" w:rsidRPr="00783928">
        <w:rPr>
          <w:rFonts w:cs="Times New Roman"/>
          <w:kern w:val="36"/>
          <w:szCs w:val="24"/>
        </w:rPr>
        <w:t>739 F.Supp. at</w:t>
      </w:r>
      <w:r w:rsidR="00783928">
        <w:rPr>
          <w:rFonts w:cs="Times New Roman"/>
          <w:kern w:val="36"/>
          <w:szCs w:val="24"/>
        </w:rPr>
        <w:t xml:space="preserve"> 1486.</w:t>
      </w:r>
      <w:r w:rsidR="00527E4A">
        <w:rPr>
          <w:rFonts w:cs="Times New Roman"/>
          <w:kern w:val="36"/>
          <w:szCs w:val="24"/>
        </w:rPr>
        <w:t xml:space="preserve">  </w:t>
      </w:r>
      <w:r w:rsidR="003E72D5">
        <w:rPr>
          <w:rFonts w:cs="Times New Roman"/>
          <w:kern w:val="36"/>
          <w:szCs w:val="24"/>
        </w:rPr>
        <w:t xml:space="preserve">Defendants argue that </w:t>
      </w:r>
      <w:r w:rsidR="003304AC">
        <w:rPr>
          <w:rFonts w:cs="Times New Roman"/>
          <w:kern w:val="36"/>
          <w:szCs w:val="24"/>
        </w:rPr>
        <w:t>the protection and advocacy organization suffers no harm when entirely precluded from conducting complete monitoring visits because it made two, unrelated visits previously</w:t>
      </w:r>
      <w:r w:rsidR="003E72D5">
        <w:rPr>
          <w:rFonts w:cs="Times New Roman"/>
          <w:kern w:val="36"/>
          <w:szCs w:val="24"/>
        </w:rPr>
        <w:t xml:space="preserve">.  </w:t>
      </w:r>
      <w:r w:rsidR="003304AC" w:rsidRPr="003304AC">
        <w:rPr>
          <w:rFonts w:cs="Times New Roman"/>
          <w:i/>
          <w:kern w:val="36"/>
          <w:szCs w:val="24"/>
        </w:rPr>
        <w:t>See</w:t>
      </w:r>
      <w:r w:rsidR="003304AC">
        <w:rPr>
          <w:rFonts w:cs="Times New Roman"/>
          <w:kern w:val="36"/>
          <w:szCs w:val="24"/>
        </w:rPr>
        <w:t xml:space="preserve"> </w:t>
      </w:r>
      <w:r w:rsidR="003E72D5">
        <w:rPr>
          <w:rFonts w:cs="Times New Roman"/>
          <w:kern w:val="36"/>
          <w:szCs w:val="24"/>
        </w:rPr>
        <w:t>Def</w:t>
      </w:r>
      <w:r w:rsidR="003304AC">
        <w:rPr>
          <w:rFonts w:cs="Times New Roman"/>
          <w:kern w:val="36"/>
          <w:szCs w:val="24"/>
        </w:rPr>
        <w:t>.’</w:t>
      </w:r>
      <w:r w:rsidR="003E72D5">
        <w:rPr>
          <w:rFonts w:cs="Times New Roman"/>
          <w:kern w:val="36"/>
          <w:szCs w:val="24"/>
        </w:rPr>
        <w:t xml:space="preserve">s </w:t>
      </w:r>
      <w:r w:rsidR="003304AC">
        <w:rPr>
          <w:rFonts w:cs="Times New Roman"/>
          <w:kern w:val="36"/>
          <w:szCs w:val="24"/>
        </w:rPr>
        <w:t xml:space="preserve">Resp. at 9, 18-19, Dkt. No. 20.  </w:t>
      </w:r>
      <w:r w:rsidR="00527E4A">
        <w:rPr>
          <w:rFonts w:cs="Times New Roman"/>
          <w:kern w:val="36"/>
          <w:szCs w:val="24"/>
        </w:rPr>
        <w:t>There is no numerical limit, in statute, regulations, or precedent, on how often a protection and advocacy organization may visit a covered facility.  The visits, themselves, must simply be reasonable.</w:t>
      </w:r>
    </w:p>
    <w:p w:rsidR="00A372CC" w:rsidRDefault="00501408" w:rsidP="001E05EA">
      <w:pPr>
        <w:ind w:firstLine="720"/>
        <w:jc w:val="left"/>
        <w:rPr>
          <w:rFonts w:cs="Times New Roman"/>
          <w:szCs w:val="24"/>
        </w:rPr>
      </w:pPr>
      <w:r>
        <w:rPr>
          <w:rFonts w:cs="Times New Roman"/>
          <w:kern w:val="36"/>
          <w:szCs w:val="24"/>
        </w:rPr>
        <w:t xml:space="preserve">In contravention of the law, </w:t>
      </w:r>
      <w:r w:rsidR="008D289C" w:rsidRPr="00783928">
        <w:rPr>
          <w:rFonts w:cs="Times New Roman"/>
          <w:kern w:val="36"/>
          <w:szCs w:val="24"/>
        </w:rPr>
        <w:t xml:space="preserve">facilities </w:t>
      </w:r>
      <w:r w:rsidR="00F21719" w:rsidRPr="00783928">
        <w:rPr>
          <w:rFonts w:cs="Times New Roman"/>
          <w:kern w:val="36"/>
          <w:szCs w:val="24"/>
        </w:rPr>
        <w:t>sometimes</w:t>
      </w:r>
      <w:r w:rsidR="00527E4A">
        <w:rPr>
          <w:rFonts w:cs="Times New Roman"/>
          <w:kern w:val="36"/>
          <w:szCs w:val="24"/>
        </w:rPr>
        <w:t xml:space="preserve"> attempt to</w:t>
      </w:r>
      <w:r w:rsidR="008D289C" w:rsidRPr="00783928">
        <w:rPr>
          <w:rFonts w:cs="Times New Roman"/>
          <w:kern w:val="36"/>
          <w:szCs w:val="24"/>
        </w:rPr>
        <w:t xml:space="preserve"> </w:t>
      </w:r>
      <w:r w:rsidR="00F21719" w:rsidRPr="00783928">
        <w:rPr>
          <w:rFonts w:cs="Times New Roman"/>
          <w:kern w:val="36"/>
          <w:szCs w:val="24"/>
        </w:rPr>
        <w:t>place</w:t>
      </w:r>
      <w:r w:rsidR="008D289C" w:rsidRPr="00783928">
        <w:rPr>
          <w:rFonts w:cs="Times New Roman"/>
          <w:kern w:val="36"/>
          <w:szCs w:val="24"/>
        </w:rPr>
        <w:t xml:space="preserve"> significant limits on the frequency and ease with which protection and advocacy representatives </w:t>
      </w:r>
      <w:r w:rsidR="00C7253D">
        <w:rPr>
          <w:rFonts w:cs="Times New Roman"/>
          <w:kern w:val="36"/>
          <w:szCs w:val="24"/>
        </w:rPr>
        <w:t>can</w:t>
      </w:r>
      <w:r w:rsidR="008D289C" w:rsidRPr="00783928">
        <w:rPr>
          <w:rFonts w:cs="Times New Roman"/>
          <w:kern w:val="36"/>
          <w:szCs w:val="24"/>
        </w:rPr>
        <w:t xml:space="preserve"> speak with residents</w:t>
      </w:r>
      <w:r>
        <w:rPr>
          <w:rFonts w:cs="Times New Roman"/>
          <w:kern w:val="36"/>
          <w:szCs w:val="24"/>
        </w:rPr>
        <w:t>.  Of course, the regulations provide that advocates should</w:t>
      </w:r>
      <w:r w:rsidRPr="00783928">
        <w:rPr>
          <w:rFonts w:cs="Times New Roman"/>
          <w:kern w:val="36"/>
          <w:szCs w:val="24"/>
        </w:rPr>
        <w:t xml:space="preserve"> minimize disruption of facility programs, </w:t>
      </w:r>
      <w:r>
        <w:rPr>
          <w:rFonts w:cs="Times New Roman"/>
          <w:kern w:val="36"/>
          <w:szCs w:val="24"/>
        </w:rPr>
        <w:t>but that obligation does not negate their right to regular, voluntary, unaccompanied interviews</w:t>
      </w:r>
      <w:r w:rsidR="002E54AF">
        <w:rPr>
          <w:rFonts w:cs="Times New Roman"/>
          <w:kern w:val="36"/>
          <w:szCs w:val="24"/>
        </w:rPr>
        <w:t xml:space="preserve"> of residents</w:t>
      </w:r>
      <w:r w:rsidR="008D289C" w:rsidRPr="00783928">
        <w:rPr>
          <w:rFonts w:cs="Times New Roman"/>
          <w:kern w:val="36"/>
          <w:szCs w:val="24"/>
        </w:rPr>
        <w:t xml:space="preserve">.  </w:t>
      </w:r>
      <w:r w:rsidRPr="00783928">
        <w:rPr>
          <w:rFonts w:cs="Times New Roman"/>
          <w:i/>
          <w:kern w:val="36"/>
          <w:szCs w:val="24"/>
        </w:rPr>
        <w:t>See</w:t>
      </w:r>
      <w:r w:rsidRPr="00783928">
        <w:rPr>
          <w:rFonts w:cs="Times New Roman"/>
          <w:kern w:val="36"/>
          <w:szCs w:val="24"/>
        </w:rPr>
        <w:t xml:space="preserve"> </w:t>
      </w:r>
      <w:r w:rsidRPr="00783928">
        <w:rPr>
          <w:rFonts w:cs="Times New Roman"/>
          <w:szCs w:val="24"/>
        </w:rPr>
        <w:t>42 C.F.R. § 51.42(c)</w:t>
      </w:r>
      <w:r>
        <w:rPr>
          <w:rFonts w:cs="Times New Roman"/>
          <w:szCs w:val="24"/>
        </w:rPr>
        <w:t xml:space="preserve">.  </w:t>
      </w:r>
      <w:r w:rsidR="008D289C" w:rsidRPr="00783928">
        <w:rPr>
          <w:rFonts w:cs="Times New Roman"/>
          <w:kern w:val="36"/>
          <w:szCs w:val="24"/>
        </w:rPr>
        <w:t>While cour</w:t>
      </w:r>
      <w:r w:rsidR="00F21719" w:rsidRPr="00783928">
        <w:rPr>
          <w:rFonts w:cs="Times New Roman"/>
          <w:kern w:val="36"/>
          <w:szCs w:val="24"/>
        </w:rPr>
        <w:t xml:space="preserve">ts have recognized the need to weigh a facility’s practical concerns, including concerns about impact on treatment, they have determined that such concerns do not preclude </w:t>
      </w:r>
      <w:r w:rsidR="00EA7F8B">
        <w:rPr>
          <w:rFonts w:cs="Times New Roman"/>
          <w:kern w:val="36"/>
          <w:szCs w:val="24"/>
        </w:rPr>
        <w:t xml:space="preserve">the protection and advocacy </w:t>
      </w:r>
      <w:r w:rsidR="007E5686" w:rsidRPr="00783928">
        <w:rPr>
          <w:rFonts w:cs="Times New Roman"/>
          <w:kern w:val="36"/>
          <w:szCs w:val="24"/>
        </w:rPr>
        <w:t xml:space="preserve">organizations’ </w:t>
      </w:r>
      <w:r w:rsidR="00F21719" w:rsidRPr="00783928">
        <w:rPr>
          <w:rFonts w:cs="Times New Roman"/>
          <w:kern w:val="36"/>
          <w:szCs w:val="24"/>
        </w:rPr>
        <w:t xml:space="preserve">access rights.  </w:t>
      </w:r>
      <w:r w:rsidR="00DE02D7" w:rsidRPr="00783928">
        <w:rPr>
          <w:rFonts w:eastAsia="Times New Roman" w:cs="Times New Roman"/>
          <w:i/>
          <w:szCs w:val="24"/>
        </w:rPr>
        <w:t>See</w:t>
      </w:r>
      <w:r w:rsidR="007E5686" w:rsidRPr="00783928">
        <w:rPr>
          <w:rFonts w:eastAsia="Times New Roman" w:cs="Times New Roman"/>
          <w:i/>
          <w:szCs w:val="24"/>
        </w:rPr>
        <w:t>, e.g.,</w:t>
      </w:r>
      <w:r w:rsidR="00DE02D7" w:rsidRPr="00783928">
        <w:rPr>
          <w:rFonts w:eastAsia="Times New Roman" w:cs="Times New Roman"/>
          <w:i/>
          <w:szCs w:val="24"/>
        </w:rPr>
        <w:t xml:space="preserve"> </w:t>
      </w:r>
      <w:r w:rsidR="00DE02D7" w:rsidRPr="00783928">
        <w:rPr>
          <w:rFonts w:cs="Times New Roman"/>
          <w:bCs/>
          <w:i/>
          <w:kern w:val="36"/>
          <w:szCs w:val="24"/>
        </w:rPr>
        <w:t>Equip for Equality</w:t>
      </w:r>
      <w:r w:rsidR="00DE02D7" w:rsidRPr="00783928">
        <w:rPr>
          <w:rFonts w:cs="Times New Roman"/>
          <w:bCs/>
          <w:kern w:val="36"/>
          <w:szCs w:val="24"/>
        </w:rPr>
        <w:t xml:space="preserve">, </w:t>
      </w:r>
      <w:r w:rsidR="00DE02D7" w:rsidRPr="00783928">
        <w:rPr>
          <w:rFonts w:cs="Times New Roman"/>
          <w:kern w:val="36"/>
          <w:szCs w:val="24"/>
        </w:rPr>
        <w:t xml:space="preserve">292 F.Supp.2d at 1100 (requiring unaccompanied access to residents with 24-hours notice); </w:t>
      </w:r>
      <w:r w:rsidR="00DE02D7" w:rsidRPr="00783928">
        <w:rPr>
          <w:rFonts w:cs="Times New Roman"/>
          <w:i/>
          <w:iCs/>
          <w:szCs w:val="24"/>
        </w:rPr>
        <w:t>Pennsylvania Protection &amp; Advocacy, Inc. v. Royer–Greaves School for the Blind,</w:t>
      </w:r>
      <w:r w:rsidR="00DE02D7" w:rsidRPr="00783928">
        <w:rPr>
          <w:rFonts w:cs="Times New Roman"/>
          <w:szCs w:val="24"/>
        </w:rPr>
        <w:t xml:space="preserve"> No. 98–3995, 1999 WL 179797, at *11–12 (E.D.Pa. Mar. 24, 1999) (same)</w:t>
      </w:r>
      <w:r w:rsidR="007E5686" w:rsidRPr="00783928">
        <w:rPr>
          <w:rFonts w:cs="Times New Roman"/>
          <w:szCs w:val="24"/>
        </w:rPr>
        <w:t>.</w:t>
      </w:r>
      <w:r w:rsidR="00783928" w:rsidRPr="00783928">
        <w:rPr>
          <w:rStyle w:val="FootnoteReference"/>
          <w:rFonts w:cs="Times New Roman"/>
          <w:szCs w:val="24"/>
        </w:rPr>
        <w:footnoteReference w:id="6"/>
      </w:r>
      <w:r w:rsidR="007E5686" w:rsidRPr="00783928">
        <w:rPr>
          <w:rFonts w:cs="Times New Roman"/>
          <w:szCs w:val="24"/>
        </w:rPr>
        <w:t xml:space="preserve">  </w:t>
      </w:r>
      <w:r w:rsidR="00C7253D">
        <w:rPr>
          <w:rFonts w:cs="Times New Roman"/>
          <w:szCs w:val="24"/>
        </w:rPr>
        <w:t>The statute and its implementing regulations provide for unaccompanied access to residents</w:t>
      </w:r>
      <w:r w:rsidR="002E54AF">
        <w:rPr>
          <w:rFonts w:cs="Times New Roman"/>
          <w:szCs w:val="24"/>
        </w:rPr>
        <w:t xml:space="preserve">, </w:t>
      </w:r>
      <w:r w:rsidR="00D430CE" w:rsidRPr="00D430CE">
        <w:rPr>
          <w:rFonts w:cs="Times New Roman"/>
          <w:i/>
          <w:szCs w:val="24"/>
        </w:rPr>
        <w:t xml:space="preserve">specifically </w:t>
      </w:r>
      <w:r w:rsidR="002E54AF" w:rsidRPr="00D430CE">
        <w:rPr>
          <w:rFonts w:cs="Times New Roman"/>
          <w:i/>
          <w:szCs w:val="24"/>
        </w:rPr>
        <w:t>including children</w:t>
      </w:r>
      <w:r w:rsidR="00C7253D">
        <w:rPr>
          <w:rFonts w:cs="Times New Roman"/>
          <w:szCs w:val="24"/>
        </w:rPr>
        <w:t>; f</w:t>
      </w:r>
      <w:r w:rsidR="007E5686" w:rsidRPr="00783928">
        <w:rPr>
          <w:rFonts w:cs="Times New Roman"/>
          <w:szCs w:val="24"/>
        </w:rPr>
        <w:t xml:space="preserve">acilities cannot defeat </w:t>
      </w:r>
      <w:r w:rsidR="00C7253D">
        <w:rPr>
          <w:rFonts w:cs="Times New Roman"/>
          <w:szCs w:val="24"/>
        </w:rPr>
        <w:t xml:space="preserve">this </w:t>
      </w:r>
      <w:r w:rsidR="007E5686" w:rsidRPr="00783928">
        <w:rPr>
          <w:rFonts w:cs="Times New Roman"/>
          <w:szCs w:val="24"/>
        </w:rPr>
        <w:t>access by making unsupported allegation</w:t>
      </w:r>
      <w:r w:rsidR="00C7253D">
        <w:rPr>
          <w:rFonts w:cs="Times New Roman"/>
          <w:szCs w:val="24"/>
        </w:rPr>
        <w:t>s</w:t>
      </w:r>
      <w:r w:rsidR="007E5686" w:rsidRPr="00783928">
        <w:rPr>
          <w:rFonts w:cs="Times New Roman"/>
          <w:szCs w:val="24"/>
        </w:rPr>
        <w:t xml:space="preserve"> that access will be disruptive or harmful.  </w:t>
      </w:r>
      <w:r w:rsidR="007E5686" w:rsidRPr="00783928">
        <w:rPr>
          <w:rFonts w:cs="Times New Roman"/>
          <w:i/>
          <w:szCs w:val="24"/>
        </w:rPr>
        <w:t xml:space="preserve">See </w:t>
      </w:r>
      <w:r w:rsidR="00D430CE" w:rsidRPr="00E36FD1">
        <w:rPr>
          <w:rFonts w:cs="Times New Roman"/>
          <w:color w:val="000000"/>
          <w:szCs w:val="24"/>
        </w:rPr>
        <w:t xml:space="preserve">42 C.F.R. § </w:t>
      </w:r>
      <w:r w:rsidR="00D430CE" w:rsidRPr="00E36FD1">
        <w:rPr>
          <w:rFonts w:cs="Times New Roman"/>
          <w:bCs/>
          <w:color w:val="000000"/>
          <w:szCs w:val="24"/>
        </w:rPr>
        <w:t>51.42(c)</w:t>
      </w:r>
      <w:r w:rsidR="00D430CE">
        <w:rPr>
          <w:rFonts w:cs="Times New Roman"/>
          <w:bCs/>
          <w:color w:val="000000"/>
          <w:szCs w:val="24"/>
        </w:rPr>
        <w:t xml:space="preserve"> (“</w:t>
      </w:r>
      <w:r w:rsidR="00D430CE" w:rsidRPr="00E36FD1">
        <w:rPr>
          <w:rFonts w:eastAsia="Times New Roman" w:cs="Times New Roman"/>
          <w:color w:val="000000"/>
          <w:szCs w:val="24"/>
        </w:rPr>
        <w:t>Residents include adults or minors</w:t>
      </w:r>
      <w:r w:rsidR="00A26DC0">
        <w:rPr>
          <w:rFonts w:eastAsia="Times New Roman" w:cs="Times New Roman"/>
          <w:color w:val="000000"/>
          <w:szCs w:val="24"/>
        </w:rPr>
        <w:t>”</w:t>
      </w:r>
      <w:r w:rsidR="00D430CE">
        <w:rPr>
          <w:rFonts w:cs="Times New Roman"/>
          <w:bCs/>
          <w:color w:val="000000"/>
          <w:szCs w:val="24"/>
        </w:rPr>
        <w:t>);</w:t>
      </w:r>
      <w:r w:rsidR="00D430CE" w:rsidRPr="00E36FD1">
        <w:rPr>
          <w:rFonts w:cs="Times New Roman"/>
          <w:bCs/>
          <w:color w:val="000000"/>
          <w:szCs w:val="24"/>
        </w:rPr>
        <w:t xml:space="preserve"> </w:t>
      </w:r>
      <w:r w:rsidR="007E5686" w:rsidRPr="00783928">
        <w:rPr>
          <w:rFonts w:cs="Times New Roman"/>
          <w:bCs/>
          <w:i/>
          <w:kern w:val="36"/>
          <w:szCs w:val="24"/>
        </w:rPr>
        <w:t>Robbins</w:t>
      </w:r>
      <w:r w:rsidR="007E5686" w:rsidRPr="00783928">
        <w:rPr>
          <w:rFonts w:cs="Times New Roman"/>
          <w:bCs/>
          <w:kern w:val="36"/>
          <w:szCs w:val="24"/>
        </w:rPr>
        <w:t xml:space="preserve">, </w:t>
      </w:r>
      <w:r w:rsidR="007E5686" w:rsidRPr="00783928">
        <w:rPr>
          <w:rFonts w:cs="Times New Roman"/>
          <w:kern w:val="36"/>
          <w:szCs w:val="24"/>
        </w:rPr>
        <w:t>739 F.Supp. at 1488 (“</w:t>
      </w:r>
      <w:r w:rsidR="007E5686" w:rsidRPr="00783928">
        <w:rPr>
          <w:rFonts w:cs="Times New Roman"/>
          <w:szCs w:val="24"/>
        </w:rPr>
        <w:t xml:space="preserve">Defendants claim that patient care and a therapeutic environment will be totally disrupted if P &amp; A's presence at LVMC is not controlled to the extent that it is at present. I am not persuaded that this is true.”); </w:t>
      </w:r>
      <w:hyperlink r:id="rId9" w:tgtFrame="_top" w:history="1">
        <w:r w:rsidR="007E5686" w:rsidRPr="00C7253D">
          <w:rPr>
            <w:rFonts w:cs="Times New Roman"/>
            <w:bCs/>
            <w:i/>
            <w:kern w:val="36"/>
            <w:szCs w:val="24"/>
          </w:rPr>
          <w:t>Michigan Protection &amp; Advocacy Service, Inc. v. Miller</w:t>
        </w:r>
      </w:hyperlink>
      <w:r w:rsidR="007E5686" w:rsidRPr="00783928">
        <w:rPr>
          <w:rFonts w:cs="Times New Roman"/>
          <w:bCs/>
          <w:kern w:val="36"/>
          <w:szCs w:val="24"/>
        </w:rPr>
        <w:t xml:space="preserve">, </w:t>
      </w:r>
      <w:r w:rsidR="007E5686" w:rsidRPr="00783928">
        <w:rPr>
          <w:rFonts w:cs="Times New Roman"/>
          <w:kern w:val="36"/>
          <w:szCs w:val="24"/>
        </w:rPr>
        <w:t>849 F.Supp. 1202, 1208 (W.D. Mich. 1994) (“</w:t>
      </w:r>
      <w:r w:rsidR="007E5686" w:rsidRPr="00783928">
        <w:rPr>
          <w:rFonts w:cs="Times New Roman"/>
          <w:szCs w:val="24"/>
        </w:rPr>
        <w:t xml:space="preserve">defendant has failed to indicate how the access MPAS seeks would </w:t>
      </w:r>
      <w:r w:rsidR="00EA7F8B">
        <w:rPr>
          <w:rFonts w:cs="Times New Roman"/>
          <w:szCs w:val="24"/>
        </w:rPr>
        <w:t>‘</w:t>
      </w:r>
      <w:r w:rsidR="007E5686" w:rsidRPr="00783928">
        <w:rPr>
          <w:rFonts w:cs="Times New Roman"/>
          <w:szCs w:val="24"/>
        </w:rPr>
        <w:t>substantially interfere</w:t>
      </w:r>
      <w:r w:rsidR="00EA7F8B">
        <w:rPr>
          <w:rFonts w:cs="Times New Roman"/>
          <w:szCs w:val="24"/>
        </w:rPr>
        <w:t>’</w:t>
      </w:r>
      <w:r w:rsidR="007E5686" w:rsidRPr="00783928">
        <w:rPr>
          <w:rFonts w:cs="Times New Roman"/>
          <w:szCs w:val="24"/>
        </w:rPr>
        <w:t xml:space="preserve"> with DSS programs”)</w:t>
      </w:r>
      <w:r w:rsidR="007E5686" w:rsidRPr="00783928">
        <w:rPr>
          <w:rFonts w:cs="Times New Roman"/>
          <w:kern w:val="36"/>
          <w:szCs w:val="24"/>
        </w:rPr>
        <w:t>.</w:t>
      </w:r>
      <w:r w:rsidR="00783928" w:rsidRPr="00783928">
        <w:rPr>
          <w:rFonts w:cs="Times New Roman"/>
          <w:szCs w:val="24"/>
        </w:rPr>
        <w:t xml:space="preserve">  </w:t>
      </w:r>
      <w:r w:rsidR="001E05EA">
        <w:rPr>
          <w:rFonts w:cs="Times New Roman"/>
          <w:szCs w:val="24"/>
        </w:rPr>
        <w:t xml:space="preserve">Concerns about access, even well-intentioned, do not </w:t>
      </w:r>
      <w:r w:rsidR="00A372CC">
        <w:rPr>
          <w:rFonts w:cs="Times New Roman"/>
          <w:szCs w:val="24"/>
        </w:rPr>
        <w:t>overcome the judgment Congress made when authorizing protection and advocacy organizations to conduct unaccompanied interviews.</w:t>
      </w:r>
      <w:r w:rsidR="001E05EA">
        <w:rPr>
          <w:rFonts w:cs="Times New Roman"/>
          <w:szCs w:val="24"/>
        </w:rPr>
        <w:t xml:space="preserve"> </w:t>
      </w:r>
    </w:p>
    <w:p w:rsidR="00B75F07" w:rsidRPr="001E05EA" w:rsidRDefault="0093799B" w:rsidP="001E05EA">
      <w:pPr>
        <w:ind w:firstLine="720"/>
        <w:jc w:val="left"/>
        <w:rPr>
          <w:rFonts w:cs="Times New Roman"/>
          <w:szCs w:val="24"/>
        </w:rPr>
      </w:pPr>
      <w:r w:rsidRPr="00783928">
        <w:rPr>
          <w:rFonts w:cs="Times New Roman"/>
          <w:kern w:val="36"/>
          <w:szCs w:val="24"/>
        </w:rPr>
        <w:t xml:space="preserve">While </w:t>
      </w:r>
      <w:r w:rsidR="00783928" w:rsidRPr="00783928">
        <w:rPr>
          <w:rFonts w:cs="Times New Roman"/>
          <w:kern w:val="36"/>
          <w:szCs w:val="24"/>
        </w:rPr>
        <w:t xml:space="preserve">some courts have limited </w:t>
      </w:r>
      <w:r w:rsidRPr="00C7253D">
        <w:rPr>
          <w:rFonts w:cs="Times New Roman"/>
          <w:i/>
          <w:kern w:val="36"/>
          <w:szCs w:val="24"/>
        </w:rPr>
        <w:t>unannounced, unlimited</w:t>
      </w:r>
      <w:r w:rsidR="00C7253D">
        <w:rPr>
          <w:rFonts w:cs="Times New Roman"/>
          <w:i/>
          <w:kern w:val="36"/>
          <w:szCs w:val="24"/>
        </w:rPr>
        <w:t>,</w:t>
      </w:r>
      <w:r w:rsidRPr="00C7253D">
        <w:rPr>
          <w:rFonts w:cs="Times New Roman"/>
          <w:i/>
          <w:kern w:val="36"/>
          <w:szCs w:val="24"/>
        </w:rPr>
        <w:t xml:space="preserve"> 24-hour access </w:t>
      </w:r>
      <w:r w:rsidRPr="00783928">
        <w:rPr>
          <w:rFonts w:cs="Times New Roman"/>
          <w:kern w:val="36"/>
          <w:szCs w:val="24"/>
        </w:rPr>
        <w:t xml:space="preserve">to residents of a facility, </w:t>
      </w:r>
      <w:r w:rsidR="00C7253D">
        <w:rPr>
          <w:rFonts w:cs="Times New Roman"/>
          <w:kern w:val="36"/>
          <w:szCs w:val="24"/>
        </w:rPr>
        <w:t xml:space="preserve">the </w:t>
      </w:r>
      <w:r w:rsidR="002E54AF">
        <w:rPr>
          <w:rFonts w:cs="Times New Roman"/>
          <w:kern w:val="36"/>
          <w:szCs w:val="24"/>
        </w:rPr>
        <w:t xml:space="preserve">limits </w:t>
      </w:r>
      <w:r w:rsidR="00A372CC">
        <w:rPr>
          <w:rFonts w:cs="Times New Roman"/>
          <w:kern w:val="36"/>
          <w:szCs w:val="24"/>
        </w:rPr>
        <w:t>imposed have been</w:t>
      </w:r>
      <w:r w:rsidR="00C7253D">
        <w:rPr>
          <w:rFonts w:cs="Times New Roman"/>
          <w:kern w:val="36"/>
          <w:szCs w:val="24"/>
        </w:rPr>
        <w:t xml:space="preserve"> minimal. </w:t>
      </w:r>
      <w:r w:rsidR="00340193">
        <w:rPr>
          <w:rFonts w:cs="Times New Roman"/>
          <w:kern w:val="36"/>
          <w:szCs w:val="24"/>
        </w:rPr>
        <w:t>For example, a</w:t>
      </w:r>
      <w:r w:rsidR="00A372CC">
        <w:rPr>
          <w:rFonts w:cs="Times New Roman"/>
          <w:kern w:val="36"/>
          <w:szCs w:val="24"/>
        </w:rPr>
        <w:t xml:space="preserve"> few courts have required protection and advocacy organizations seeking to meet with or interview residents to provide 24-hours notice of their visit.  </w:t>
      </w:r>
      <w:r w:rsidR="00C7253D" w:rsidRPr="00783928">
        <w:rPr>
          <w:rFonts w:eastAsia="Times New Roman" w:cs="Times New Roman"/>
          <w:i/>
          <w:szCs w:val="24"/>
        </w:rPr>
        <w:t xml:space="preserve">See </w:t>
      </w:r>
      <w:r w:rsidR="00C7253D" w:rsidRPr="00783928">
        <w:rPr>
          <w:rFonts w:cs="Times New Roman"/>
          <w:bCs/>
          <w:i/>
          <w:kern w:val="36"/>
          <w:szCs w:val="24"/>
        </w:rPr>
        <w:t>Equip for Equality</w:t>
      </w:r>
      <w:r w:rsidR="00C7253D" w:rsidRPr="00783928">
        <w:rPr>
          <w:rFonts w:cs="Times New Roman"/>
          <w:bCs/>
          <w:kern w:val="36"/>
          <w:szCs w:val="24"/>
        </w:rPr>
        <w:t xml:space="preserve">, </w:t>
      </w:r>
      <w:r w:rsidR="00A372CC">
        <w:rPr>
          <w:rFonts w:cs="Times New Roman"/>
          <w:kern w:val="36"/>
          <w:szCs w:val="24"/>
        </w:rPr>
        <w:t>292 F.Supp.2d at 1100-02;</w:t>
      </w:r>
      <w:r w:rsidR="00C7253D">
        <w:rPr>
          <w:rFonts w:cs="Times New Roman"/>
          <w:kern w:val="36"/>
          <w:szCs w:val="24"/>
        </w:rPr>
        <w:t xml:space="preserve"> </w:t>
      </w:r>
      <w:r w:rsidR="00A372CC" w:rsidRPr="00783928">
        <w:rPr>
          <w:rFonts w:cs="Times New Roman"/>
          <w:i/>
          <w:iCs/>
          <w:szCs w:val="24"/>
        </w:rPr>
        <w:t xml:space="preserve">Pennsylvania Protection &amp; Advocacy, Inc. </w:t>
      </w:r>
      <w:r w:rsidR="00A372CC" w:rsidRPr="00783928">
        <w:rPr>
          <w:rFonts w:cs="Times New Roman"/>
          <w:szCs w:val="24"/>
        </w:rPr>
        <w:t>1999 WL 179797, at *11–1</w:t>
      </w:r>
      <w:r w:rsidR="00A372CC">
        <w:rPr>
          <w:rFonts w:cs="Times New Roman"/>
          <w:szCs w:val="24"/>
        </w:rPr>
        <w:t xml:space="preserve">2.  Ideally, a protection and advocacy organization will be able to work collaboratively with the facility it plans to monitor to establish a protocol that </w:t>
      </w:r>
      <w:r w:rsidR="00340193">
        <w:rPr>
          <w:rFonts w:cs="Times New Roman"/>
          <w:szCs w:val="24"/>
        </w:rPr>
        <w:t xml:space="preserve">minimizes disruption to the facility program, without overly restricting the organization’s work.  Where the parties are unable to resolve the contours of an agreed on monitoring protocol, courts have found that authorizing protection and advocacy organizations broad access rights is appropriate. </w:t>
      </w:r>
      <w:r w:rsidR="00D430CE" w:rsidRPr="00D430CE">
        <w:rPr>
          <w:rFonts w:cs="Times New Roman"/>
          <w:i/>
          <w:szCs w:val="24"/>
        </w:rPr>
        <w:t>See id.</w:t>
      </w:r>
      <w:r w:rsidR="00D430CE">
        <w:rPr>
          <w:rFonts w:cs="Times New Roman"/>
          <w:szCs w:val="24"/>
        </w:rPr>
        <w:t xml:space="preserve"> </w:t>
      </w:r>
    </w:p>
    <w:p w:rsidR="006027D0" w:rsidRPr="00C7253D" w:rsidRDefault="006027D0" w:rsidP="00C7253D">
      <w:pPr>
        <w:pStyle w:val="ListParagraph"/>
        <w:numPr>
          <w:ilvl w:val="0"/>
          <w:numId w:val="4"/>
        </w:numPr>
        <w:spacing w:after="240" w:line="240" w:lineRule="auto"/>
        <w:jc w:val="left"/>
        <w:rPr>
          <w:rFonts w:eastAsia="Times New Roman" w:cs="Times New Roman"/>
          <w:b/>
          <w:szCs w:val="24"/>
        </w:rPr>
      </w:pPr>
      <w:r w:rsidRPr="00C7253D">
        <w:rPr>
          <w:rFonts w:eastAsia="Times New Roman" w:cs="Times New Roman"/>
          <w:b/>
          <w:szCs w:val="24"/>
        </w:rPr>
        <w:t>Requiring Protection and Advocacy Organizations to Seek Cou</w:t>
      </w:r>
      <w:r w:rsidR="001949CB">
        <w:rPr>
          <w:rFonts w:eastAsia="Times New Roman" w:cs="Times New Roman"/>
          <w:b/>
          <w:szCs w:val="24"/>
        </w:rPr>
        <w:t>rt Orders Each Time They Wish to</w:t>
      </w:r>
      <w:r w:rsidRPr="00C7253D">
        <w:rPr>
          <w:rFonts w:eastAsia="Times New Roman" w:cs="Times New Roman"/>
          <w:b/>
          <w:szCs w:val="24"/>
        </w:rPr>
        <w:t xml:space="preserve"> Gain Access to Facilities Would </w:t>
      </w:r>
      <w:r w:rsidR="00527E4A">
        <w:rPr>
          <w:rFonts w:eastAsia="Times New Roman" w:cs="Times New Roman"/>
          <w:b/>
          <w:szCs w:val="24"/>
        </w:rPr>
        <w:t xml:space="preserve">Significantly </w:t>
      </w:r>
      <w:r w:rsidRPr="00C7253D">
        <w:rPr>
          <w:rFonts w:eastAsia="Times New Roman" w:cs="Times New Roman"/>
          <w:b/>
          <w:szCs w:val="24"/>
        </w:rPr>
        <w:t xml:space="preserve">Impair </w:t>
      </w:r>
      <w:r w:rsidR="00FE1FE9">
        <w:rPr>
          <w:rFonts w:eastAsia="Times New Roman" w:cs="Times New Roman"/>
          <w:b/>
          <w:szCs w:val="24"/>
        </w:rPr>
        <w:t xml:space="preserve">Their </w:t>
      </w:r>
      <w:r w:rsidR="00012324">
        <w:rPr>
          <w:rFonts w:eastAsia="Times New Roman" w:cs="Times New Roman"/>
          <w:b/>
          <w:szCs w:val="24"/>
        </w:rPr>
        <w:t>Work</w:t>
      </w:r>
    </w:p>
    <w:p w:rsidR="005B5A2A" w:rsidRDefault="00F647CD" w:rsidP="00900158">
      <w:pPr>
        <w:ind w:firstLine="720"/>
        <w:jc w:val="left"/>
        <w:rPr>
          <w:rFonts w:cs="Times New Roman"/>
          <w:kern w:val="36"/>
          <w:szCs w:val="24"/>
        </w:rPr>
      </w:pPr>
      <w:r w:rsidRPr="00783928">
        <w:rPr>
          <w:rFonts w:eastAsia="Times New Roman" w:cs="Times New Roman"/>
          <w:szCs w:val="24"/>
        </w:rPr>
        <w:t xml:space="preserve">Requiring protection and advocacy organizations to </w:t>
      </w:r>
      <w:r w:rsidR="00FE1FE9">
        <w:rPr>
          <w:rFonts w:eastAsia="Times New Roman" w:cs="Times New Roman"/>
          <w:szCs w:val="24"/>
        </w:rPr>
        <w:t>go to court</w:t>
      </w:r>
      <w:r w:rsidRPr="00783928">
        <w:rPr>
          <w:rFonts w:eastAsia="Times New Roman" w:cs="Times New Roman"/>
          <w:szCs w:val="24"/>
        </w:rPr>
        <w:t xml:space="preserve"> every time they seek access afforded by the statute would frustrate the goals of PAIMI and unnecessarily burden the courts.  </w:t>
      </w:r>
      <w:r w:rsidRPr="00FE1FE9">
        <w:rPr>
          <w:rFonts w:eastAsia="Times New Roman" w:cs="Times New Roman"/>
          <w:i/>
          <w:szCs w:val="24"/>
        </w:rPr>
        <w:t xml:space="preserve">See </w:t>
      </w:r>
      <w:hyperlink r:id="rId10" w:tgtFrame="_top" w:history="1">
        <w:r w:rsidRPr="00FE1FE9">
          <w:rPr>
            <w:rFonts w:cs="Times New Roman"/>
            <w:bCs/>
            <w:i/>
            <w:kern w:val="36"/>
            <w:szCs w:val="24"/>
          </w:rPr>
          <w:t>Advocacy Center v. Stalder</w:t>
        </w:r>
      </w:hyperlink>
      <w:r w:rsidRPr="00783928">
        <w:rPr>
          <w:rFonts w:cs="Times New Roman"/>
          <w:bCs/>
          <w:kern w:val="36"/>
          <w:szCs w:val="24"/>
        </w:rPr>
        <w:t xml:space="preserve">, </w:t>
      </w:r>
      <w:r w:rsidRPr="00783928">
        <w:rPr>
          <w:rFonts w:cs="Times New Roman"/>
          <w:kern w:val="36"/>
          <w:szCs w:val="24"/>
        </w:rPr>
        <w:t>128 F.Supp.2d 358, 364 (M.D. La.1999) (“</w:t>
      </w:r>
      <w:r w:rsidRPr="00783928">
        <w:rPr>
          <w:rFonts w:cs="Times New Roman"/>
          <w:szCs w:val="24"/>
        </w:rPr>
        <w:t>it cannot be disputed that the delay in getting a court order frustrates the goal of the PAMII Act</w:t>
      </w:r>
      <w:r w:rsidRPr="000C72FA">
        <w:rPr>
          <w:rFonts w:cs="Times New Roman"/>
          <w:kern w:val="36"/>
          <w:szCs w:val="24"/>
        </w:rPr>
        <w:t>.</w:t>
      </w:r>
      <w:r w:rsidR="00FE1FE9" w:rsidRPr="000C72FA">
        <w:rPr>
          <w:rFonts w:cs="Times New Roman"/>
          <w:kern w:val="36"/>
          <w:szCs w:val="24"/>
        </w:rPr>
        <w:t>”)</w:t>
      </w:r>
      <w:r w:rsidR="000C72FA" w:rsidRPr="000C72FA">
        <w:rPr>
          <w:rFonts w:cs="Times New Roman"/>
          <w:kern w:val="36"/>
          <w:szCs w:val="24"/>
        </w:rPr>
        <w:t xml:space="preserve">; </w:t>
      </w:r>
      <w:r w:rsidR="000C72FA" w:rsidRPr="000C72FA">
        <w:rPr>
          <w:rFonts w:cs="Times New Roman"/>
          <w:bCs/>
          <w:i/>
          <w:kern w:val="36"/>
          <w:szCs w:val="24"/>
        </w:rPr>
        <w:t xml:space="preserve">Oklahoma </w:t>
      </w:r>
      <w:hyperlink r:id="rId11" w:tgtFrame="_top" w:history="1">
        <w:r w:rsidR="000C72FA" w:rsidRPr="000C72FA">
          <w:rPr>
            <w:rFonts w:cs="Times New Roman"/>
            <w:bCs/>
            <w:i/>
            <w:kern w:val="36"/>
            <w:szCs w:val="24"/>
          </w:rPr>
          <w:t>Disability Law Cente</w:t>
        </w:r>
      </w:hyperlink>
      <w:r w:rsidR="000C72FA" w:rsidRPr="000C72FA">
        <w:rPr>
          <w:rFonts w:cs="Times New Roman"/>
          <w:bCs/>
          <w:i/>
          <w:kern w:val="36"/>
          <w:szCs w:val="24"/>
        </w:rPr>
        <w:t xml:space="preserve">r, Inc. v. Dillon Family and </w:t>
      </w:r>
      <w:hyperlink r:id="rId12" w:tgtFrame="_top" w:history="1">
        <w:r w:rsidR="000C72FA" w:rsidRPr="000C72FA">
          <w:rPr>
            <w:rFonts w:cs="Times New Roman"/>
            <w:bCs/>
            <w:i/>
            <w:kern w:val="36"/>
            <w:szCs w:val="24"/>
          </w:rPr>
          <w:t>Youth Service</w:t>
        </w:r>
      </w:hyperlink>
      <w:r w:rsidR="000C72FA" w:rsidRPr="000C72FA">
        <w:rPr>
          <w:rFonts w:cs="Times New Roman"/>
          <w:bCs/>
          <w:i/>
          <w:kern w:val="36"/>
          <w:szCs w:val="24"/>
        </w:rPr>
        <w:t>s, Inc.</w:t>
      </w:r>
      <w:r w:rsidR="000C72FA" w:rsidRPr="000C72FA">
        <w:rPr>
          <w:rFonts w:cs="Times New Roman"/>
          <w:bCs/>
          <w:kern w:val="36"/>
          <w:szCs w:val="24"/>
        </w:rPr>
        <w:t xml:space="preserve">, </w:t>
      </w:r>
      <w:r w:rsidR="000C72FA" w:rsidRPr="000C72FA">
        <w:rPr>
          <w:rFonts w:cs="Times New Roman"/>
          <w:kern w:val="36"/>
          <w:szCs w:val="24"/>
        </w:rPr>
        <w:t>879 F.Supp. 1110, 1112 (N.D. Okl. 1995) (“</w:t>
      </w:r>
      <w:r w:rsidR="000C72FA" w:rsidRPr="000C72FA">
        <w:rPr>
          <w:rFonts w:cs="Times New Roman"/>
          <w:szCs w:val="24"/>
        </w:rPr>
        <w:t>The timely access guaranteed by the Act should not be stripped of all meaning by requiring advocacy hearings to survive an application for a court order.”)</w:t>
      </w:r>
      <w:r w:rsidR="000C72FA" w:rsidRPr="000C72FA">
        <w:rPr>
          <w:rFonts w:cs="Times New Roman"/>
          <w:kern w:val="36"/>
          <w:szCs w:val="24"/>
        </w:rPr>
        <w:t>.</w:t>
      </w:r>
      <w:r w:rsidR="000C72FA">
        <w:rPr>
          <w:rFonts w:cs="Times New Roman"/>
          <w:kern w:val="36"/>
          <w:szCs w:val="24"/>
        </w:rPr>
        <w:t xml:space="preserve">  </w:t>
      </w:r>
      <w:r w:rsidR="005B5A2A">
        <w:rPr>
          <w:rFonts w:cs="Times New Roman"/>
          <w:kern w:val="36"/>
          <w:szCs w:val="24"/>
        </w:rPr>
        <w:t xml:space="preserve">The PAIMI Act does not require protection and advocacy organizations to go to court each time they wish to conduct statutorily mandated activities.  </w:t>
      </w:r>
      <w:r w:rsidR="002F394F">
        <w:rPr>
          <w:rFonts w:cs="Times New Roman"/>
          <w:kern w:val="36"/>
          <w:szCs w:val="24"/>
        </w:rPr>
        <w:t xml:space="preserve">As a recent evaluation of the PAIMI Act </w:t>
      </w:r>
      <w:r w:rsidR="00D926A0">
        <w:rPr>
          <w:rFonts w:cs="Times New Roman"/>
          <w:kern w:val="36"/>
          <w:szCs w:val="24"/>
        </w:rPr>
        <w:t xml:space="preserve">found, “[w]hen forced to litigate access issues, significant portions of </w:t>
      </w:r>
      <w:r w:rsidR="00603B39">
        <w:rPr>
          <w:rFonts w:cs="Times New Roman"/>
          <w:kern w:val="36"/>
          <w:szCs w:val="24"/>
        </w:rPr>
        <w:t>[a protection and advocacy organization’s]</w:t>
      </w:r>
      <w:r w:rsidR="00D926A0">
        <w:rPr>
          <w:rFonts w:cs="Times New Roman"/>
          <w:kern w:val="36"/>
          <w:szCs w:val="24"/>
        </w:rPr>
        <w:t xml:space="preserve"> limited resources are consumed – resources that would better be used moving the nation’s mental health system forward.”  </w:t>
      </w:r>
      <w:r w:rsidR="00D926A0">
        <w:rPr>
          <w:sz w:val="23"/>
          <w:szCs w:val="23"/>
        </w:rPr>
        <w:t xml:space="preserve">Substance Abuse and Mental Health Services Administration, HHS Pub. No. PEP12-EVALPAIMI, </w:t>
      </w:r>
      <w:r w:rsidR="00D926A0">
        <w:rPr>
          <w:i/>
          <w:iCs/>
          <w:sz w:val="23"/>
          <w:szCs w:val="23"/>
        </w:rPr>
        <w:t>Evaluation of the Protection and Advocacy for Individuals With Mental Illness (PAIMI) Program, Phase III. Final Report</w:t>
      </w:r>
      <w:r w:rsidR="00D926A0">
        <w:rPr>
          <w:sz w:val="23"/>
          <w:szCs w:val="23"/>
        </w:rPr>
        <w:t xml:space="preserve">. 87 (2011).  </w:t>
      </w:r>
      <w:r w:rsidR="005B5A2A">
        <w:rPr>
          <w:rFonts w:cs="Times New Roman"/>
          <w:kern w:val="36"/>
          <w:szCs w:val="24"/>
        </w:rPr>
        <w:t xml:space="preserve">Facilities should not be permitted to </w:t>
      </w:r>
      <w:r w:rsidR="00D430CE">
        <w:rPr>
          <w:rFonts w:cs="Times New Roman"/>
          <w:kern w:val="36"/>
          <w:szCs w:val="24"/>
        </w:rPr>
        <w:t>circumvent</w:t>
      </w:r>
      <w:r w:rsidR="005B5A2A">
        <w:rPr>
          <w:rFonts w:cs="Times New Roman"/>
          <w:kern w:val="36"/>
          <w:szCs w:val="24"/>
        </w:rPr>
        <w:t xml:space="preserve"> Congress’s legislation by requiring a court order before permitting meaningful access as required by law.</w:t>
      </w:r>
    </w:p>
    <w:p w:rsidR="00F647CD" w:rsidRPr="005B5A2A" w:rsidRDefault="005B5A2A" w:rsidP="004653A6">
      <w:pPr>
        <w:spacing w:after="200" w:line="276" w:lineRule="auto"/>
        <w:jc w:val="center"/>
        <w:rPr>
          <w:rFonts w:ascii="Times New Roman Bold" w:eastAsia="Times New Roman" w:hAnsi="Times New Roman Bold" w:cs="Times New Roman"/>
          <w:b/>
          <w:caps/>
          <w:szCs w:val="24"/>
          <w:u w:val="single"/>
        </w:rPr>
      </w:pPr>
      <w:r w:rsidRPr="005B5A2A">
        <w:rPr>
          <w:rFonts w:ascii="Times New Roman Bold" w:hAnsi="Times New Roman Bold" w:cs="Times New Roman"/>
          <w:b/>
          <w:caps/>
          <w:kern w:val="36"/>
          <w:szCs w:val="24"/>
          <w:u w:val="single"/>
        </w:rPr>
        <w:t>Conclusion</w:t>
      </w:r>
    </w:p>
    <w:p w:rsidR="00813934" w:rsidRDefault="005B5A2A" w:rsidP="00AC79FB">
      <w:pPr>
        <w:jc w:val="left"/>
        <w:rPr>
          <w:rFonts w:eastAsia="Times New Roman" w:cs="Times New Roman"/>
          <w:color w:val="000000"/>
          <w:szCs w:val="24"/>
        </w:rPr>
      </w:pPr>
      <w:r>
        <w:rPr>
          <w:rFonts w:ascii="Verdana" w:eastAsia="Times New Roman" w:hAnsi="Verdana" w:cs="Times New Roman"/>
          <w:color w:val="000000"/>
          <w:sz w:val="19"/>
          <w:szCs w:val="19"/>
        </w:rPr>
        <w:tab/>
      </w:r>
      <w:r w:rsidRPr="005B5A2A">
        <w:rPr>
          <w:rFonts w:eastAsia="Times New Roman" w:cs="Times New Roman"/>
          <w:color w:val="000000"/>
          <w:szCs w:val="24"/>
        </w:rPr>
        <w:t>The PAIMI Act is a critical component in the system of legal protections for people with disabilities and its words must be given full force and effect.  Congress unambiguously afforded protection and advocacy organizations the authority to access facilities serving people with disabilities and to the individuals themselves.  While facilities may be well-intentioned in seeking to limit access to the physical space or individuals in their care, the law requires them to permit reasonable access, including unaccompanied conversations with residents.</w:t>
      </w:r>
      <w:r w:rsidR="0010185D" w:rsidRPr="005B5A2A">
        <w:rPr>
          <w:rFonts w:eastAsia="Times New Roman" w:cs="Times New Roman"/>
          <w:color w:val="000000"/>
          <w:szCs w:val="24"/>
        </w:rPr>
        <w:br/>
      </w:r>
      <w:r w:rsidRPr="005B5A2A">
        <w:rPr>
          <w:rFonts w:eastAsia="Times New Roman" w:cs="Times New Roman"/>
          <w:color w:val="000000"/>
          <w:szCs w:val="24"/>
        </w:rPr>
        <w:tab/>
      </w:r>
    </w:p>
    <w:p w:rsidR="00AE16F9" w:rsidRDefault="00AE16F9" w:rsidP="00AC79FB">
      <w:pPr>
        <w:jc w:val="left"/>
        <w:rPr>
          <w:rFonts w:eastAsia="Times New Roman" w:cs="Times New Roman"/>
          <w:color w:val="000000"/>
          <w:szCs w:val="24"/>
        </w:rPr>
      </w:pPr>
    </w:p>
    <w:p w:rsidR="00AE16F9" w:rsidRPr="00813934" w:rsidRDefault="00AE16F9" w:rsidP="00AC79FB">
      <w:pPr>
        <w:jc w:val="left"/>
        <w:rPr>
          <w:rFonts w:ascii="Verdana" w:eastAsia="Times New Roman" w:hAnsi="Verdana" w:cs="Times New Roman"/>
          <w:color w:val="000000"/>
          <w:sz w:val="19"/>
          <w:szCs w:val="19"/>
        </w:rPr>
      </w:pPr>
    </w:p>
    <w:p w:rsidR="004653A6" w:rsidRPr="00A407B2" w:rsidRDefault="004653A6" w:rsidP="0054238D">
      <w:pPr>
        <w:spacing w:line="240" w:lineRule="auto"/>
        <w:rPr>
          <w:szCs w:val="24"/>
        </w:rPr>
      </w:pPr>
      <w:r>
        <w:rPr>
          <w:szCs w:val="24"/>
        </w:rPr>
        <w:tab/>
      </w:r>
      <w:r>
        <w:rPr>
          <w:szCs w:val="24"/>
        </w:rPr>
        <w:tab/>
      </w:r>
      <w:r w:rsidRPr="00A407B2">
        <w:rPr>
          <w:szCs w:val="24"/>
        </w:rPr>
        <w:tab/>
      </w:r>
      <w:r w:rsidRPr="00A407B2">
        <w:rPr>
          <w:szCs w:val="24"/>
        </w:rPr>
        <w:tab/>
      </w:r>
      <w:r w:rsidRPr="00A407B2">
        <w:rPr>
          <w:szCs w:val="24"/>
        </w:rPr>
        <w:tab/>
      </w:r>
    </w:p>
    <w:p w:rsidR="006F2CF5" w:rsidRDefault="006F2CF5" w:rsidP="006F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2406EE">
        <w:rPr>
          <w:szCs w:val="24"/>
        </w:rPr>
        <w:t>Respectfully submitted,</w:t>
      </w:r>
      <w:r>
        <w:rPr>
          <w:szCs w:val="24"/>
        </w:rPr>
        <w:tab/>
      </w:r>
    </w:p>
    <w:p w:rsidR="006F2CF5" w:rsidRDefault="006F2CF5" w:rsidP="006F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p>
    <w:p w:rsidR="0054238D" w:rsidRPr="004653A6" w:rsidRDefault="0054238D" w:rsidP="0054238D">
      <w:pPr>
        <w:spacing w:line="240" w:lineRule="auto"/>
        <w:rPr>
          <w:caps/>
          <w:szCs w:val="24"/>
        </w:rPr>
      </w:pPr>
      <w:r>
        <w:rPr>
          <w:szCs w:val="24"/>
        </w:rPr>
        <w:t>GREGORY K. DAVIS</w:t>
      </w:r>
      <w:r w:rsidRPr="00F17909">
        <w:rPr>
          <w:szCs w:val="24"/>
        </w:rPr>
        <w:tab/>
      </w:r>
      <w:r w:rsidRPr="00F17909">
        <w:rPr>
          <w:szCs w:val="24"/>
        </w:rPr>
        <w:tab/>
      </w:r>
      <w:r>
        <w:rPr>
          <w:szCs w:val="24"/>
        </w:rPr>
        <w:tab/>
      </w:r>
      <w:r w:rsidRPr="004653A6">
        <w:rPr>
          <w:caps/>
          <w:szCs w:val="24"/>
        </w:rPr>
        <w:t>Jocelyn Samuels</w:t>
      </w:r>
    </w:p>
    <w:p w:rsidR="0054238D" w:rsidRPr="00A407B2" w:rsidRDefault="0054238D" w:rsidP="0054238D">
      <w:pPr>
        <w:spacing w:line="240" w:lineRule="auto"/>
        <w:rPr>
          <w:szCs w:val="24"/>
        </w:rPr>
      </w:pPr>
      <w:r>
        <w:rPr>
          <w:szCs w:val="24"/>
        </w:rPr>
        <w:t>United States Attorney</w:t>
      </w:r>
      <w:r>
        <w:rPr>
          <w:szCs w:val="24"/>
        </w:rPr>
        <w:tab/>
      </w:r>
      <w:r>
        <w:rPr>
          <w:szCs w:val="24"/>
        </w:rPr>
        <w:tab/>
      </w:r>
      <w:r>
        <w:rPr>
          <w:szCs w:val="24"/>
        </w:rPr>
        <w:tab/>
        <w:t xml:space="preserve">Acting </w:t>
      </w:r>
      <w:r w:rsidRPr="00A407B2">
        <w:rPr>
          <w:szCs w:val="24"/>
        </w:rPr>
        <w:t>Assistant Attorney General</w:t>
      </w:r>
    </w:p>
    <w:p w:rsidR="0054238D" w:rsidRDefault="0054238D" w:rsidP="0054238D">
      <w:pPr>
        <w:spacing w:line="240" w:lineRule="auto"/>
        <w:rPr>
          <w:szCs w:val="24"/>
        </w:rPr>
      </w:pPr>
      <w:r w:rsidRPr="00A407B2">
        <w:rPr>
          <w:szCs w:val="24"/>
        </w:rPr>
        <w:tab/>
      </w:r>
      <w:r w:rsidRPr="00A407B2">
        <w:rPr>
          <w:szCs w:val="24"/>
        </w:rPr>
        <w:tab/>
      </w:r>
      <w:r w:rsidRPr="00A407B2">
        <w:rPr>
          <w:szCs w:val="24"/>
        </w:rPr>
        <w:tab/>
      </w:r>
      <w:r w:rsidRPr="00A407B2">
        <w:rPr>
          <w:szCs w:val="24"/>
        </w:rPr>
        <w:tab/>
      </w:r>
      <w:r w:rsidRPr="00A407B2">
        <w:rPr>
          <w:szCs w:val="24"/>
        </w:rPr>
        <w:tab/>
      </w:r>
      <w:r w:rsidRPr="00A407B2">
        <w:rPr>
          <w:szCs w:val="24"/>
        </w:rPr>
        <w:tab/>
      </w:r>
    </w:p>
    <w:p w:rsidR="0054238D" w:rsidRPr="00A407B2" w:rsidRDefault="0054238D" w:rsidP="0054238D">
      <w:pPr>
        <w:spacing w:line="240" w:lineRule="auto"/>
        <w:ind w:left="3600" w:firstLine="720"/>
        <w:rPr>
          <w:szCs w:val="24"/>
        </w:rPr>
      </w:pPr>
      <w:r w:rsidRPr="00A407B2">
        <w:rPr>
          <w:szCs w:val="24"/>
        </w:rPr>
        <w:t>EVE L. HILL</w:t>
      </w:r>
    </w:p>
    <w:p w:rsidR="0054238D" w:rsidRDefault="0054238D" w:rsidP="0054238D">
      <w:pPr>
        <w:spacing w:line="240" w:lineRule="auto"/>
        <w:rPr>
          <w:szCs w:val="24"/>
        </w:rPr>
      </w:pPr>
      <w:r w:rsidRPr="00A407B2">
        <w:rPr>
          <w:szCs w:val="24"/>
        </w:rPr>
        <w:tab/>
      </w:r>
      <w:r w:rsidRPr="00A407B2">
        <w:rPr>
          <w:szCs w:val="24"/>
        </w:rPr>
        <w:tab/>
      </w:r>
      <w:r w:rsidRPr="00A407B2">
        <w:rPr>
          <w:szCs w:val="24"/>
        </w:rPr>
        <w:tab/>
      </w:r>
      <w:r w:rsidRPr="00A407B2">
        <w:rPr>
          <w:szCs w:val="24"/>
        </w:rPr>
        <w:tab/>
      </w:r>
      <w:r>
        <w:rPr>
          <w:szCs w:val="24"/>
        </w:rPr>
        <w:tab/>
      </w:r>
      <w:r>
        <w:rPr>
          <w:szCs w:val="24"/>
        </w:rPr>
        <w:tab/>
        <w:t>Deputy</w:t>
      </w:r>
      <w:r w:rsidRPr="00A407B2">
        <w:rPr>
          <w:szCs w:val="24"/>
        </w:rPr>
        <w:t xml:space="preserve"> Assistant Attorney General</w:t>
      </w:r>
    </w:p>
    <w:p w:rsidR="0054238D" w:rsidRDefault="0054238D" w:rsidP="0054238D">
      <w:pPr>
        <w:spacing w:line="240" w:lineRule="auto"/>
        <w:rPr>
          <w:szCs w:val="24"/>
        </w:rPr>
      </w:pPr>
    </w:p>
    <w:p w:rsidR="0054238D" w:rsidRPr="006F2CF5" w:rsidRDefault="0054238D" w:rsidP="0054238D">
      <w:pPr>
        <w:spacing w:line="240" w:lineRule="auto"/>
        <w:rPr>
          <w:i/>
          <w:szCs w:val="24"/>
          <w:u w:val="single"/>
        </w:rPr>
      </w:pPr>
      <w:r w:rsidRPr="00D34A5B">
        <w:rPr>
          <w:i/>
          <w:szCs w:val="24"/>
          <w:u w:val="single"/>
        </w:rPr>
        <w:t>__/s/ Mitzi Paige___________</w:t>
      </w:r>
      <w:r>
        <w:rPr>
          <w:i/>
          <w:szCs w:val="24"/>
          <w:u w:val="single"/>
        </w:rPr>
        <w:t>_____</w:t>
      </w:r>
      <w:r>
        <w:rPr>
          <w:szCs w:val="24"/>
        </w:rPr>
        <w:tab/>
      </w:r>
      <w:r>
        <w:rPr>
          <w:szCs w:val="24"/>
        </w:rPr>
        <w:tab/>
      </w:r>
      <w:r w:rsidRPr="006F2CF5">
        <w:rPr>
          <w:i/>
          <w:szCs w:val="24"/>
          <w:u w:val="single"/>
        </w:rPr>
        <w:t>__/s/ Deena Fox___________________</w:t>
      </w:r>
    </w:p>
    <w:p w:rsidR="0054238D" w:rsidRDefault="0054238D" w:rsidP="0054238D">
      <w:pPr>
        <w:spacing w:line="240" w:lineRule="auto"/>
        <w:rPr>
          <w:szCs w:val="24"/>
        </w:rPr>
      </w:pPr>
      <w:r>
        <w:rPr>
          <w:szCs w:val="24"/>
        </w:rPr>
        <w:t>MITZI D. PAIGE</w:t>
      </w:r>
      <w:r>
        <w:rPr>
          <w:szCs w:val="24"/>
        </w:rPr>
        <w:tab/>
      </w:r>
      <w:r>
        <w:rPr>
          <w:szCs w:val="24"/>
        </w:rPr>
        <w:tab/>
      </w:r>
      <w:r>
        <w:rPr>
          <w:szCs w:val="24"/>
        </w:rPr>
        <w:tab/>
      </w:r>
      <w:r>
        <w:rPr>
          <w:szCs w:val="24"/>
        </w:rPr>
        <w:tab/>
      </w:r>
      <w:r w:rsidRPr="00A407B2">
        <w:rPr>
          <w:szCs w:val="24"/>
        </w:rPr>
        <w:t>JO</w:t>
      </w:r>
      <w:r>
        <w:rPr>
          <w:szCs w:val="24"/>
        </w:rPr>
        <w:t>NATHAN M. SMITH, Section Chief</w:t>
      </w:r>
      <w:r>
        <w:rPr>
          <w:szCs w:val="24"/>
        </w:rPr>
        <w:tab/>
      </w:r>
    </w:p>
    <w:p w:rsidR="0054238D" w:rsidRPr="00A407B2" w:rsidRDefault="0054238D" w:rsidP="0054238D">
      <w:pPr>
        <w:spacing w:line="240" w:lineRule="auto"/>
        <w:rPr>
          <w:szCs w:val="24"/>
        </w:rPr>
      </w:pPr>
      <w:r>
        <w:rPr>
          <w:szCs w:val="24"/>
        </w:rPr>
        <w:t>Assistant United States Attorney</w:t>
      </w:r>
      <w:r>
        <w:rPr>
          <w:szCs w:val="24"/>
        </w:rPr>
        <w:tab/>
      </w:r>
      <w:r>
        <w:rPr>
          <w:szCs w:val="24"/>
        </w:rPr>
        <w:tab/>
      </w:r>
      <w:r w:rsidRPr="00A407B2">
        <w:rPr>
          <w:szCs w:val="24"/>
        </w:rPr>
        <w:t>JUDITH C. PRESTON, Deputy Chief</w:t>
      </w:r>
    </w:p>
    <w:p w:rsidR="0054238D" w:rsidRPr="00A407B2" w:rsidRDefault="0054238D" w:rsidP="0054238D">
      <w:pPr>
        <w:spacing w:line="240" w:lineRule="auto"/>
        <w:rPr>
          <w:szCs w:val="24"/>
        </w:rPr>
      </w:pPr>
      <w:r>
        <w:rPr>
          <w:szCs w:val="24"/>
        </w:rPr>
        <w:t>MS Bar No. 6014</w:t>
      </w:r>
      <w:r>
        <w:rPr>
          <w:szCs w:val="24"/>
        </w:rPr>
        <w:tab/>
      </w:r>
      <w:r>
        <w:rPr>
          <w:szCs w:val="24"/>
        </w:rPr>
        <w:tab/>
      </w:r>
      <w:r>
        <w:rPr>
          <w:szCs w:val="24"/>
        </w:rPr>
        <w:tab/>
      </w:r>
      <w:r>
        <w:rPr>
          <w:szCs w:val="24"/>
        </w:rPr>
        <w:tab/>
      </w:r>
      <w:r w:rsidRPr="00A407B2">
        <w:rPr>
          <w:szCs w:val="24"/>
        </w:rPr>
        <w:t>DEENA S. FOX, Trial Attorney</w:t>
      </w:r>
    </w:p>
    <w:p w:rsidR="0054238D" w:rsidRPr="00A407B2" w:rsidRDefault="0054238D" w:rsidP="0054238D">
      <w:pPr>
        <w:spacing w:line="240" w:lineRule="auto"/>
        <w:rPr>
          <w:szCs w:val="24"/>
        </w:rPr>
      </w:pPr>
      <w:r>
        <w:t>United States Attorney’s Office</w:t>
      </w:r>
      <w:r w:rsidRPr="00A407B2">
        <w:rPr>
          <w:szCs w:val="24"/>
        </w:rPr>
        <w:t xml:space="preserve"> </w:t>
      </w:r>
      <w:r>
        <w:rPr>
          <w:szCs w:val="24"/>
        </w:rPr>
        <w:tab/>
      </w:r>
      <w:r>
        <w:rPr>
          <w:szCs w:val="24"/>
        </w:rPr>
        <w:tab/>
      </w:r>
      <w:r w:rsidRPr="00A407B2">
        <w:rPr>
          <w:szCs w:val="24"/>
        </w:rPr>
        <w:t>New York Bar Registration No. 4709655</w:t>
      </w:r>
    </w:p>
    <w:p w:rsidR="0054238D" w:rsidRPr="00A407B2" w:rsidRDefault="0054238D" w:rsidP="0054238D">
      <w:pPr>
        <w:spacing w:line="240" w:lineRule="auto"/>
        <w:rPr>
          <w:szCs w:val="24"/>
        </w:rPr>
      </w:pPr>
      <w:r>
        <w:t>Southern District of Mississippi</w:t>
      </w:r>
      <w:r w:rsidRPr="00A407B2">
        <w:rPr>
          <w:szCs w:val="24"/>
        </w:rPr>
        <w:t xml:space="preserve"> </w:t>
      </w:r>
      <w:r>
        <w:rPr>
          <w:szCs w:val="24"/>
        </w:rPr>
        <w:tab/>
      </w:r>
      <w:r>
        <w:rPr>
          <w:szCs w:val="24"/>
        </w:rPr>
        <w:tab/>
      </w:r>
      <w:r w:rsidRPr="00A407B2">
        <w:rPr>
          <w:szCs w:val="24"/>
        </w:rPr>
        <w:t>U.S. Department of Justice</w:t>
      </w:r>
    </w:p>
    <w:p w:rsidR="0054238D" w:rsidRPr="00A407B2" w:rsidRDefault="0054238D" w:rsidP="0054238D">
      <w:pPr>
        <w:spacing w:line="240" w:lineRule="auto"/>
        <w:rPr>
          <w:szCs w:val="24"/>
        </w:rPr>
      </w:pPr>
      <w:r>
        <w:rPr>
          <w:szCs w:val="24"/>
        </w:rPr>
        <w:t>501 E. Court Street, Ste. 4.430</w:t>
      </w:r>
      <w:r>
        <w:rPr>
          <w:szCs w:val="24"/>
        </w:rPr>
        <w:tab/>
      </w:r>
      <w:r>
        <w:rPr>
          <w:szCs w:val="24"/>
        </w:rPr>
        <w:tab/>
      </w:r>
      <w:r w:rsidRPr="00A407B2">
        <w:rPr>
          <w:szCs w:val="24"/>
        </w:rPr>
        <w:t>950 Pennsylvania Avenue, NW – PHB</w:t>
      </w:r>
    </w:p>
    <w:p w:rsidR="0054238D" w:rsidRPr="00A407B2" w:rsidRDefault="0054238D" w:rsidP="0054238D">
      <w:pPr>
        <w:spacing w:line="240" w:lineRule="auto"/>
        <w:rPr>
          <w:szCs w:val="24"/>
        </w:rPr>
      </w:pPr>
      <w:r>
        <w:rPr>
          <w:szCs w:val="24"/>
        </w:rPr>
        <w:t>Jackson, MS  39201</w:t>
      </w:r>
      <w:r>
        <w:rPr>
          <w:szCs w:val="24"/>
        </w:rPr>
        <w:tab/>
      </w:r>
      <w:r>
        <w:rPr>
          <w:szCs w:val="24"/>
        </w:rPr>
        <w:tab/>
      </w:r>
      <w:r>
        <w:rPr>
          <w:szCs w:val="24"/>
        </w:rPr>
        <w:tab/>
      </w:r>
      <w:r>
        <w:rPr>
          <w:szCs w:val="24"/>
        </w:rPr>
        <w:tab/>
      </w:r>
      <w:r w:rsidRPr="00A407B2">
        <w:rPr>
          <w:szCs w:val="24"/>
        </w:rPr>
        <w:t>Washington, DC  20530</w:t>
      </w:r>
    </w:p>
    <w:p w:rsidR="0054238D" w:rsidRPr="00A407B2" w:rsidRDefault="0054238D" w:rsidP="0054238D">
      <w:pPr>
        <w:spacing w:line="240" w:lineRule="auto"/>
        <w:rPr>
          <w:szCs w:val="24"/>
        </w:rPr>
      </w:pPr>
      <w:r>
        <w:rPr>
          <w:szCs w:val="24"/>
        </w:rPr>
        <w:t>Telephone: (601) 973-2840</w:t>
      </w:r>
      <w:r>
        <w:rPr>
          <w:szCs w:val="24"/>
        </w:rPr>
        <w:tab/>
      </w:r>
      <w:r>
        <w:rPr>
          <w:szCs w:val="24"/>
        </w:rPr>
        <w:tab/>
      </w:r>
      <w:r>
        <w:rPr>
          <w:szCs w:val="24"/>
        </w:rPr>
        <w:tab/>
      </w:r>
      <w:r w:rsidRPr="00A407B2">
        <w:rPr>
          <w:szCs w:val="24"/>
        </w:rPr>
        <w:t>Telephone: 202-305-1361</w:t>
      </w:r>
    </w:p>
    <w:p w:rsidR="0054238D" w:rsidRPr="00A407B2" w:rsidRDefault="0054238D" w:rsidP="0054238D">
      <w:pPr>
        <w:spacing w:line="240" w:lineRule="auto"/>
        <w:rPr>
          <w:szCs w:val="24"/>
        </w:rPr>
      </w:pPr>
      <w:r>
        <w:rPr>
          <w:szCs w:val="24"/>
        </w:rPr>
        <w:t>Facsimile:  (601) 965-4409</w:t>
      </w:r>
      <w:r>
        <w:rPr>
          <w:szCs w:val="24"/>
        </w:rPr>
        <w:tab/>
      </w:r>
      <w:r>
        <w:rPr>
          <w:szCs w:val="24"/>
        </w:rPr>
        <w:tab/>
      </w:r>
      <w:r>
        <w:rPr>
          <w:szCs w:val="24"/>
        </w:rPr>
        <w:tab/>
      </w:r>
      <w:hyperlink r:id="rId13" w:history="1">
        <w:r w:rsidRPr="00A407B2">
          <w:rPr>
            <w:rStyle w:val="Hyperlink"/>
            <w:szCs w:val="24"/>
          </w:rPr>
          <w:t>deena.fox@usdoj.gov</w:t>
        </w:r>
      </w:hyperlink>
    </w:p>
    <w:p w:rsidR="0054238D" w:rsidRDefault="0054238D" w:rsidP="0054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mitzi.paige@usdoj.gov</w:t>
      </w:r>
    </w:p>
    <w:p w:rsidR="0054238D" w:rsidRDefault="0054238D" w:rsidP="0054238D">
      <w:pPr>
        <w:spacing w:line="240" w:lineRule="auto"/>
        <w:rPr>
          <w:szCs w:val="24"/>
        </w:rPr>
      </w:pPr>
    </w:p>
    <w:p w:rsidR="0054238D" w:rsidRDefault="0054238D" w:rsidP="0054238D">
      <w:pPr>
        <w:spacing w:line="240" w:lineRule="auto"/>
        <w:rPr>
          <w:szCs w:val="24"/>
        </w:rPr>
      </w:pPr>
      <w:r>
        <w:rPr>
          <w:szCs w:val="24"/>
        </w:rPr>
        <w:tab/>
      </w:r>
      <w:r>
        <w:rPr>
          <w:szCs w:val="24"/>
        </w:rPr>
        <w:tab/>
      </w:r>
      <w:r>
        <w:rPr>
          <w:szCs w:val="24"/>
        </w:rPr>
        <w:tab/>
      </w:r>
      <w:r>
        <w:rPr>
          <w:szCs w:val="24"/>
        </w:rPr>
        <w:tab/>
      </w:r>
      <w:r>
        <w:rPr>
          <w:szCs w:val="24"/>
        </w:rPr>
        <w:tab/>
      </w:r>
      <w:r>
        <w:rPr>
          <w:szCs w:val="24"/>
        </w:rPr>
        <w:tab/>
        <w:t>Of Counsel:</w:t>
      </w:r>
    </w:p>
    <w:p w:rsidR="0054238D" w:rsidRDefault="0054238D" w:rsidP="0054238D">
      <w:pPr>
        <w:spacing w:line="240" w:lineRule="auto"/>
        <w:rPr>
          <w:szCs w:val="24"/>
        </w:rPr>
      </w:pPr>
    </w:p>
    <w:p w:rsidR="0054238D" w:rsidRPr="001A7CF2" w:rsidRDefault="001A7CF2" w:rsidP="0054238D">
      <w:pPr>
        <w:pStyle w:val="PlainText"/>
        <w:ind w:left="3600" w:firstLine="720"/>
        <w:rPr>
          <w:rFonts w:ascii="Times New Roman" w:hAnsi="Times New Roman"/>
          <w:color w:val="000000"/>
          <w:sz w:val="24"/>
          <w:szCs w:val="24"/>
        </w:rPr>
      </w:pPr>
      <w:r w:rsidRPr="001A7CF2">
        <w:rPr>
          <w:rFonts w:ascii="Times New Roman" w:hAnsi="Times New Roman"/>
          <w:i/>
          <w:sz w:val="24"/>
          <w:szCs w:val="24"/>
          <w:u w:val="single"/>
        </w:rPr>
        <w:t>__/s/ William B. Schultz</w:t>
      </w:r>
      <w:r w:rsidRPr="006F2CF5">
        <w:rPr>
          <w:i/>
          <w:szCs w:val="24"/>
          <w:u w:val="single"/>
        </w:rPr>
        <w:t>________________</w:t>
      </w:r>
    </w:p>
    <w:p w:rsidR="0054238D" w:rsidRPr="001A7CF2" w:rsidRDefault="0054238D" w:rsidP="0054238D">
      <w:pPr>
        <w:pStyle w:val="PlainText"/>
        <w:ind w:left="3600" w:firstLine="720"/>
        <w:rPr>
          <w:rFonts w:ascii="Times New Roman" w:hAnsi="Times New Roman"/>
          <w:caps/>
          <w:color w:val="000000"/>
          <w:sz w:val="24"/>
          <w:szCs w:val="24"/>
        </w:rPr>
      </w:pPr>
      <w:r w:rsidRPr="001A7CF2">
        <w:rPr>
          <w:rFonts w:ascii="Times New Roman" w:hAnsi="Times New Roman"/>
          <w:caps/>
          <w:color w:val="000000"/>
          <w:sz w:val="24"/>
          <w:szCs w:val="24"/>
        </w:rPr>
        <w:t>William B. Schultz</w:t>
      </w:r>
    </w:p>
    <w:p w:rsidR="0054238D" w:rsidRDefault="0054238D" w:rsidP="0054238D">
      <w:pPr>
        <w:pStyle w:val="PlainText"/>
        <w:ind w:left="3600" w:firstLine="720"/>
        <w:rPr>
          <w:rFonts w:ascii="Times New Roman" w:hAnsi="Times New Roman"/>
          <w:color w:val="000000"/>
          <w:sz w:val="24"/>
          <w:szCs w:val="24"/>
        </w:rPr>
      </w:pPr>
      <w:r>
        <w:rPr>
          <w:rFonts w:ascii="Times New Roman" w:hAnsi="Times New Roman"/>
          <w:color w:val="000000"/>
          <w:sz w:val="24"/>
          <w:szCs w:val="24"/>
        </w:rPr>
        <w:t>General Counsel</w:t>
      </w:r>
    </w:p>
    <w:p w:rsidR="001A7CF2" w:rsidRDefault="001A7CF2" w:rsidP="001A7CF2">
      <w:pPr>
        <w:pStyle w:val="PlainText"/>
        <w:ind w:left="4320"/>
        <w:rPr>
          <w:rFonts w:ascii="Times New Roman" w:hAnsi="Times New Roman"/>
          <w:color w:val="000000"/>
          <w:sz w:val="24"/>
          <w:szCs w:val="24"/>
        </w:rPr>
      </w:pPr>
      <w:r>
        <w:rPr>
          <w:rFonts w:ascii="Times New Roman" w:hAnsi="Times New Roman"/>
          <w:color w:val="000000"/>
          <w:sz w:val="24"/>
          <w:szCs w:val="24"/>
        </w:rPr>
        <w:t>DC Bar No. 218990</w:t>
      </w:r>
    </w:p>
    <w:p w:rsidR="0054238D" w:rsidRDefault="0054238D" w:rsidP="001A7CF2">
      <w:pPr>
        <w:pStyle w:val="PlainText"/>
        <w:ind w:left="4320"/>
        <w:rPr>
          <w:rFonts w:ascii="Times New Roman" w:hAnsi="Times New Roman"/>
          <w:color w:val="000000"/>
          <w:sz w:val="24"/>
          <w:szCs w:val="24"/>
        </w:rPr>
      </w:pPr>
      <w:r>
        <w:rPr>
          <w:rFonts w:ascii="Times New Roman" w:hAnsi="Times New Roman"/>
          <w:color w:val="000000"/>
          <w:sz w:val="24"/>
          <w:szCs w:val="24"/>
        </w:rPr>
        <w:t>Department of Health &amp; Human Services, Office of the General Counsel</w:t>
      </w:r>
    </w:p>
    <w:p w:rsidR="0054238D" w:rsidRDefault="0054238D" w:rsidP="001A7CF2">
      <w:pPr>
        <w:pStyle w:val="PlainText"/>
        <w:ind w:left="4320"/>
        <w:rPr>
          <w:rFonts w:ascii="Times New Roman" w:hAnsi="Times New Roman"/>
          <w:color w:val="000000"/>
          <w:sz w:val="24"/>
          <w:szCs w:val="24"/>
        </w:rPr>
      </w:pPr>
      <w:r>
        <w:rPr>
          <w:rFonts w:ascii="Times New Roman" w:hAnsi="Times New Roman"/>
          <w:color w:val="000000"/>
          <w:sz w:val="24"/>
          <w:szCs w:val="24"/>
        </w:rPr>
        <w:t xml:space="preserve">200 Independence Avenue, SW, Room 713F, Washington, DC  20201 </w:t>
      </w:r>
    </w:p>
    <w:p w:rsidR="0054238D" w:rsidRDefault="001A7CF2" w:rsidP="001A7CF2">
      <w:pPr>
        <w:pStyle w:val="PlainText"/>
        <w:ind w:left="3600" w:firstLine="720"/>
        <w:rPr>
          <w:rFonts w:ascii="Times New Roman" w:hAnsi="Times New Roman"/>
          <w:color w:val="000000"/>
          <w:sz w:val="24"/>
          <w:szCs w:val="24"/>
        </w:rPr>
      </w:pPr>
      <w:r>
        <w:rPr>
          <w:rFonts w:ascii="Times New Roman" w:hAnsi="Times New Roman"/>
          <w:color w:val="000000"/>
          <w:sz w:val="24"/>
          <w:szCs w:val="24"/>
        </w:rPr>
        <w:t>Telephone</w:t>
      </w:r>
      <w:r w:rsidR="0054238D">
        <w:rPr>
          <w:rFonts w:ascii="Times New Roman" w:hAnsi="Times New Roman"/>
          <w:color w:val="000000"/>
          <w:sz w:val="24"/>
          <w:szCs w:val="24"/>
        </w:rPr>
        <w:t xml:space="preserve">: 202-690-7741 </w:t>
      </w:r>
    </w:p>
    <w:p w:rsidR="0054238D" w:rsidRDefault="001A7CF2" w:rsidP="001A7CF2">
      <w:pPr>
        <w:pStyle w:val="PlainText"/>
        <w:ind w:left="3600" w:firstLine="720"/>
        <w:rPr>
          <w:rFonts w:ascii="Times New Roman" w:hAnsi="Times New Roman"/>
          <w:color w:val="000000"/>
          <w:sz w:val="24"/>
          <w:szCs w:val="24"/>
        </w:rPr>
      </w:pPr>
      <w:r>
        <w:rPr>
          <w:rFonts w:ascii="Times New Roman" w:hAnsi="Times New Roman"/>
          <w:color w:val="000000"/>
          <w:sz w:val="24"/>
          <w:szCs w:val="24"/>
        </w:rPr>
        <w:t>Facsimile</w:t>
      </w:r>
      <w:r w:rsidR="0054238D">
        <w:rPr>
          <w:rFonts w:ascii="Times New Roman" w:hAnsi="Times New Roman"/>
          <w:color w:val="000000"/>
          <w:sz w:val="24"/>
          <w:szCs w:val="24"/>
        </w:rPr>
        <w:t xml:space="preserve">: 202-690-7998 </w:t>
      </w:r>
    </w:p>
    <w:p w:rsidR="00AE16F9" w:rsidRDefault="00AE16F9" w:rsidP="004653A6">
      <w:pPr>
        <w:jc w:val="center"/>
        <w:rPr>
          <w:b/>
          <w:szCs w:val="24"/>
        </w:rPr>
      </w:pPr>
    </w:p>
    <w:p w:rsidR="004653A6" w:rsidRPr="00A407B2" w:rsidRDefault="00AE16F9" w:rsidP="00AE16F9">
      <w:pPr>
        <w:jc w:val="left"/>
        <w:rPr>
          <w:b/>
          <w:szCs w:val="24"/>
        </w:rPr>
      </w:pPr>
      <w:r w:rsidRPr="00AE16F9">
        <w:rPr>
          <w:szCs w:val="24"/>
        </w:rPr>
        <w:t xml:space="preserve">Dated: February </w:t>
      </w:r>
      <w:r w:rsidR="00F545B1">
        <w:rPr>
          <w:szCs w:val="24"/>
        </w:rPr>
        <w:t>5</w:t>
      </w:r>
      <w:r w:rsidRPr="00AE16F9">
        <w:rPr>
          <w:szCs w:val="24"/>
        </w:rPr>
        <w:t>, 2014</w:t>
      </w:r>
      <w:r w:rsidR="004653A6" w:rsidRPr="00A407B2">
        <w:rPr>
          <w:b/>
          <w:szCs w:val="24"/>
        </w:rPr>
        <w:br w:type="page"/>
        <w:t>CERTIFICATE OF SERVICE</w:t>
      </w:r>
    </w:p>
    <w:p w:rsidR="004653A6" w:rsidRPr="00A407B2" w:rsidRDefault="004653A6" w:rsidP="004653A6">
      <w:pPr>
        <w:spacing w:line="240" w:lineRule="auto"/>
        <w:rPr>
          <w:szCs w:val="24"/>
        </w:rPr>
      </w:pPr>
    </w:p>
    <w:p w:rsidR="004653A6" w:rsidRPr="00A407B2" w:rsidRDefault="004653A6" w:rsidP="00E069D5">
      <w:pPr>
        <w:spacing w:line="240" w:lineRule="auto"/>
        <w:ind w:firstLine="720"/>
        <w:jc w:val="left"/>
        <w:rPr>
          <w:bCs/>
          <w:szCs w:val="24"/>
        </w:rPr>
      </w:pPr>
      <w:r w:rsidRPr="00A407B2">
        <w:rPr>
          <w:szCs w:val="24"/>
        </w:rPr>
        <w:t xml:space="preserve">I hereby certify that on </w:t>
      </w:r>
      <w:r w:rsidR="001A7CF2">
        <w:rPr>
          <w:szCs w:val="24"/>
        </w:rPr>
        <w:t xml:space="preserve">February </w:t>
      </w:r>
      <w:r w:rsidR="00430817">
        <w:rPr>
          <w:szCs w:val="24"/>
        </w:rPr>
        <w:t>5</w:t>
      </w:r>
      <w:r w:rsidRPr="00A407B2">
        <w:rPr>
          <w:szCs w:val="24"/>
        </w:rPr>
        <w:t>,</w:t>
      </w:r>
      <w:r>
        <w:rPr>
          <w:szCs w:val="24"/>
        </w:rPr>
        <w:t xml:space="preserve"> 2014</w:t>
      </w:r>
      <w:r w:rsidRPr="00A407B2">
        <w:rPr>
          <w:szCs w:val="24"/>
        </w:rPr>
        <w:t xml:space="preserve"> </w:t>
      </w:r>
      <w:r w:rsidRPr="00A407B2">
        <w:rPr>
          <w:bCs/>
          <w:szCs w:val="24"/>
        </w:rPr>
        <w:t xml:space="preserve">I electronically filed the United States’ </w:t>
      </w:r>
      <w:r>
        <w:rPr>
          <w:bCs/>
          <w:szCs w:val="24"/>
        </w:rPr>
        <w:t>Statement of Interest</w:t>
      </w:r>
      <w:r w:rsidRPr="00A407B2">
        <w:rPr>
          <w:bCs/>
          <w:szCs w:val="24"/>
        </w:rPr>
        <w:t xml:space="preserve"> with the Clerk of the Court using the CM/ECF system which will automatically send email notification of such filing to the attorneys of record.  </w:t>
      </w:r>
    </w:p>
    <w:p w:rsidR="004653A6" w:rsidRPr="00A407B2" w:rsidRDefault="004653A6" w:rsidP="004653A6">
      <w:pPr>
        <w:ind w:firstLine="720"/>
        <w:rPr>
          <w:bCs/>
          <w:szCs w:val="24"/>
        </w:rPr>
      </w:pPr>
    </w:p>
    <w:p w:rsidR="004653A6" w:rsidRPr="00A407B2" w:rsidRDefault="004653A6" w:rsidP="004653A6">
      <w:pPr>
        <w:ind w:firstLine="720"/>
        <w:rPr>
          <w:bCs/>
          <w:szCs w:val="24"/>
        </w:rPr>
      </w:pPr>
    </w:p>
    <w:p w:rsidR="004653A6" w:rsidRPr="00A407B2" w:rsidRDefault="004653A6" w:rsidP="004653A6">
      <w:pPr>
        <w:ind w:firstLine="720"/>
        <w:rPr>
          <w:bCs/>
          <w:szCs w:val="24"/>
        </w:rPr>
      </w:pPr>
    </w:p>
    <w:p w:rsidR="004653A6" w:rsidRPr="00A407B2" w:rsidRDefault="004653A6" w:rsidP="004653A6">
      <w:pPr>
        <w:ind w:left="3600" w:firstLine="720"/>
        <w:rPr>
          <w:szCs w:val="24"/>
          <w:u w:val="single"/>
        </w:rPr>
      </w:pPr>
      <w:r w:rsidRPr="00A407B2">
        <w:rPr>
          <w:szCs w:val="24"/>
          <w:u w:val="single"/>
        </w:rPr>
        <w:t xml:space="preserve">     </w:t>
      </w:r>
      <w:r w:rsidRPr="00A407B2">
        <w:rPr>
          <w:i/>
          <w:szCs w:val="24"/>
          <w:u w:val="single"/>
        </w:rPr>
        <w:t>/s/ Deena Fox</w:t>
      </w:r>
      <w:r w:rsidRPr="00A407B2">
        <w:rPr>
          <w:szCs w:val="24"/>
          <w:u w:val="single"/>
        </w:rPr>
        <w:t xml:space="preserve">                                      </w:t>
      </w:r>
      <w:r w:rsidRPr="00A407B2">
        <w:rPr>
          <w:szCs w:val="24"/>
          <w:u w:val="single"/>
        </w:rPr>
        <w:tab/>
      </w:r>
    </w:p>
    <w:p w:rsidR="004653A6" w:rsidRPr="00A407B2" w:rsidRDefault="004653A6" w:rsidP="004653A6">
      <w:pPr>
        <w:spacing w:line="240" w:lineRule="auto"/>
        <w:rPr>
          <w:szCs w:val="24"/>
        </w:rPr>
      </w:pPr>
      <w:r w:rsidRPr="00A407B2">
        <w:rPr>
          <w:szCs w:val="24"/>
        </w:rPr>
        <w:tab/>
      </w:r>
      <w:r w:rsidRPr="00A407B2">
        <w:rPr>
          <w:szCs w:val="24"/>
        </w:rPr>
        <w:tab/>
      </w:r>
      <w:r w:rsidRPr="00A407B2">
        <w:rPr>
          <w:szCs w:val="24"/>
        </w:rPr>
        <w:tab/>
      </w:r>
      <w:r w:rsidRPr="00A407B2">
        <w:rPr>
          <w:szCs w:val="24"/>
        </w:rPr>
        <w:tab/>
      </w:r>
      <w:r w:rsidRPr="00A407B2">
        <w:rPr>
          <w:szCs w:val="24"/>
        </w:rPr>
        <w:tab/>
      </w:r>
      <w:r w:rsidRPr="00A407B2">
        <w:rPr>
          <w:szCs w:val="24"/>
        </w:rPr>
        <w:tab/>
        <w:t>DEENA S. FOX, Trial Attorney</w:t>
      </w:r>
    </w:p>
    <w:p w:rsidR="004653A6" w:rsidRPr="00A407B2" w:rsidRDefault="004653A6" w:rsidP="004653A6">
      <w:pPr>
        <w:spacing w:line="240" w:lineRule="auto"/>
        <w:rPr>
          <w:szCs w:val="24"/>
        </w:rPr>
      </w:pPr>
      <w:r w:rsidRPr="00A407B2">
        <w:rPr>
          <w:szCs w:val="24"/>
        </w:rPr>
        <w:tab/>
      </w:r>
      <w:r w:rsidRPr="00A407B2">
        <w:rPr>
          <w:szCs w:val="24"/>
        </w:rPr>
        <w:tab/>
      </w:r>
      <w:r w:rsidRPr="00A407B2">
        <w:rPr>
          <w:szCs w:val="24"/>
        </w:rPr>
        <w:tab/>
      </w:r>
      <w:r w:rsidRPr="00A407B2">
        <w:rPr>
          <w:szCs w:val="24"/>
        </w:rPr>
        <w:tab/>
      </w:r>
      <w:r w:rsidRPr="00A407B2">
        <w:rPr>
          <w:szCs w:val="24"/>
        </w:rPr>
        <w:tab/>
      </w:r>
      <w:r w:rsidRPr="00A407B2">
        <w:rPr>
          <w:szCs w:val="24"/>
        </w:rPr>
        <w:tab/>
      </w:r>
      <w:r w:rsidRPr="00A407B2">
        <w:rPr>
          <w:szCs w:val="24"/>
        </w:rPr>
        <w:tab/>
        <w:t>New York Bar Registration No. 4709655</w:t>
      </w:r>
    </w:p>
    <w:p w:rsidR="004653A6" w:rsidRPr="00A407B2" w:rsidRDefault="004653A6" w:rsidP="004653A6">
      <w:pPr>
        <w:spacing w:line="240" w:lineRule="auto"/>
        <w:rPr>
          <w:szCs w:val="24"/>
        </w:rPr>
      </w:pPr>
      <w:r w:rsidRPr="00A407B2">
        <w:rPr>
          <w:szCs w:val="24"/>
        </w:rPr>
        <w:tab/>
      </w:r>
      <w:r w:rsidRPr="00A407B2">
        <w:rPr>
          <w:szCs w:val="24"/>
        </w:rPr>
        <w:tab/>
      </w:r>
      <w:r w:rsidRPr="00A407B2">
        <w:rPr>
          <w:szCs w:val="24"/>
        </w:rPr>
        <w:tab/>
      </w:r>
      <w:r w:rsidRPr="00A407B2">
        <w:rPr>
          <w:szCs w:val="24"/>
        </w:rPr>
        <w:tab/>
      </w:r>
      <w:r w:rsidRPr="00A407B2">
        <w:rPr>
          <w:szCs w:val="24"/>
        </w:rPr>
        <w:tab/>
      </w:r>
      <w:r w:rsidRPr="00A407B2">
        <w:rPr>
          <w:szCs w:val="24"/>
        </w:rPr>
        <w:tab/>
        <w:t>Special Litigation Section</w:t>
      </w:r>
    </w:p>
    <w:p w:rsidR="004653A6" w:rsidRPr="00A407B2" w:rsidRDefault="004653A6" w:rsidP="004653A6">
      <w:pPr>
        <w:spacing w:line="240" w:lineRule="auto"/>
        <w:ind w:left="3600" w:firstLine="720"/>
        <w:rPr>
          <w:szCs w:val="24"/>
        </w:rPr>
      </w:pPr>
      <w:r w:rsidRPr="00A407B2">
        <w:rPr>
          <w:szCs w:val="24"/>
        </w:rPr>
        <w:t>Civil Rights Division</w:t>
      </w:r>
    </w:p>
    <w:p w:rsidR="004653A6" w:rsidRPr="00A407B2" w:rsidRDefault="004653A6" w:rsidP="004653A6">
      <w:pPr>
        <w:spacing w:line="240" w:lineRule="auto"/>
        <w:ind w:left="3600" w:firstLine="720"/>
        <w:rPr>
          <w:szCs w:val="24"/>
        </w:rPr>
      </w:pPr>
      <w:r w:rsidRPr="00A407B2">
        <w:rPr>
          <w:szCs w:val="24"/>
        </w:rPr>
        <w:t>U.S. Department of Justice</w:t>
      </w:r>
    </w:p>
    <w:p w:rsidR="004653A6" w:rsidRPr="00A407B2" w:rsidRDefault="004653A6" w:rsidP="004653A6">
      <w:pPr>
        <w:spacing w:line="240" w:lineRule="auto"/>
        <w:ind w:left="3600" w:firstLine="720"/>
        <w:rPr>
          <w:szCs w:val="24"/>
        </w:rPr>
      </w:pPr>
      <w:r w:rsidRPr="00A407B2">
        <w:rPr>
          <w:szCs w:val="24"/>
        </w:rPr>
        <w:t>950 Pennsylvania Avenue, NW – PHB</w:t>
      </w:r>
    </w:p>
    <w:p w:rsidR="004653A6" w:rsidRPr="00A407B2" w:rsidRDefault="004653A6" w:rsidP="004653A6">
      <w:pPr>
        <w:spacing w:line="240" w:lineRule="auto"/>
        <w:ind w:left="3600" w:firstLine="720"/>
        <w:rPr>
          <w:szCs w:val="24"/>
        </w:rPr>
      </w:pPr>
      <w:r w:rsidRPr="00A407B2">
        <w:rPr>
          <w:szCs w:val="24"/>
        </w:rPr>
        <w:t>Washington, DC  20530</w:t>
      </w:r>
    </w:p>
    <w:p w:rsidR="004653A6" w:rsidRPr="00A407B2" w:rsidRDefault="004653A6" w:rsidP="004653A6">
      <w:pPr>
        <w:spacing w:line="240" w:lineRule="auto"/>
        <w:ind w:left="3600" w:firstLine="720"/>
        <w:rPr>
          <w:szCs w:val="24"/>
        </w:rPr>
      </w:pPr>
      <w:r w:rsidRPr="00A407B2">
        <w:rPr>
          <w:szCs w:val="24"/>
        </w:rPr>
        <w:t>Telephone: 202-305-1361</w:t>
      </w:r>
    </w:p>
    <w:p w:rsidR="004653A6" w:rsidRPr="00A407B2" w:rsidRDefault="00BE129D" w:rsidP="004653A6">
      <w:pPr>
        <w:spacing w:line="240" w:lineRule="auto"/>
        <w:ind w:left="3600" w:firstLine="720"/>
        <w:rPr>
          <w:szCs w:val="24"/>
        </w:rPr>
      </w:pPr>
      <w:hyperlink r:id="rId14" w:history="1">
        <w:r w:rsidR="004653A6" w:rsidRPr="00A407B2">
          <w:rPr>
            <w:rStyle w:val="Hyperlink"/>
            <w:szCs w:val="24"/>
          </w:rPr>
          <w:t>deena.fox@usdoj.gov</w:t>
        </w:r>
      </w:hyperlink>
    </w:p>
    <w:p w:rsidR="004653A6" w:rsidRPr="00A407B2" w:rsidRDefault="004653A6" w:rsidP="004653A6">
      <w:pPr>
        <w:spacing w:line="240" w:lineRule="auto"/>
        <w:ind w:left="3600" w:firstLine="720"/>
        <w:rPr>
          <w:szCs w:val="24"/>
        </w:rPr>
      </w:pPr>
    </w:p>
    <w:p w:rsidR="004653A6" w:rsidRPr="00A407B2" w:rsidRDefault="004653A6" w:rsidP="004653A6">
      <w:pPr>
        <w:ind w:firstLine="720"/>
        <w:rPr>
          <w:szCs w:val="24"/>
        </w:rPr>
      </w:pPr>
    </w:p>
    <w:p w:rsidR="004653A6" w:rsidRDefault="004653A6" w:rsidP="00BA6819">
      <w:pPr>
        <w:spacing w:line="240" w:lineRule="auto"/>
        <w:jc w:val="left"/>
      </w:pPr>
    </w:p>
    <w:sectPr w:rsidR="004653A6" w:rsidSect="0046587B">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8D" w:rsidRDefault="0054238D">
      <w:pPr>
        <w:spacing w:line="240" w:lineRule="auto"/>
      </w:pPr>
      <w:r>
        <w:separator/>
      </w:r>
    </w:p>
  </w:endnote>
  <w:endnote w:type="continuationSeparator" w:id="0">
    <w:p w:rsidR="0054238D" w:rsidRDefault="005423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815583"/>
      <w:docPartObj>
        <w:docPartGallery w:val="Page Numbers (Bottom of Page)"/>
        <w:docPartUnique/>
      </w:docPartObj>
    </w:sdtPr>
    <w:sdtEndPr>
      <w:rPr>
        <w:noProof/>
      </w:rPr>
    </w:sdtEndPr>
    <w:sdtContent>
      <w:p w:rsidR="0054238D" w:rsidRDefault="00BE129D">
        <w:pPr>
          <w:pStyle w:val="Footer"/>
          <w:jc w:val="center"/>
          <w:rPr>
            <w:noProof/>
          </w:rPr>
        </w:pPr>
        <w:fldSimple w:instr=" PAGE   \* MERGEFORMAT ">
          <w:r w:rsidR="00124E7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8D" w:rsidRDefault="0054238D">
      <w:pPr>
        <w:spacing w:line="240" w:lineRule="auto"/>
      </w:pPr>
      <w:r>
        <w:separator/>
      </w:r>
    </w:p>
  </w:footnote>
  <w:footnote w:type="continuationSeparator" w:id="0">
    <w:p w:rsidR="0054238D" w:rsidRDefault="0054238D">
      <w:pPr>
        <w:spacing w:line="240" w:lineRule="auto"/>
      </w:pPr>
      <w:r>
        <w:continuationSeparator/>
      </w:r>
    </w:p>
  </w:footnote>
  <w:footnote w:id="1">
    <w:p w:rsidR="0054238D" w:rsidRPr="00E069D5" w:rsidRDefault="0054238D" w:rsidP="00B10E4E">
      <w:pPr>
        <w:autoSpaceDE w:val="0"/>
        <w:autoSpaceDN w:val="0"/>
        <w:adjustRightInd w:val="0"/>
        <w:spacing w:line="240" w:lineRule="auto"/>
        <w:jc w:val="left"/>
        <w:rPr>
          <w:rFonts w:cs="Times New Roman"/>
          <w:szCs w:val="24"/>
        </w:rPr>
      </w:pPr>
      <w:r w:rsidRPr="00E069D5">
        <w:rPr>
          <w:rStyle w:val="FootnoteReference"/>
          <w:szCs w:val="24"/>
        </w:rPr>
        <w:footnoteRef/>
      </w:r>
      <w:r w:rsidRPr="00E069D5">
        <w:rPr>
          <w:szCs w:val="24"/>
        </w:rPr>
        <w:t xml:space="preserve"> </w:t>
      </w:r>
      <w:r w:rsidRPr="00E069D5">
        <w:rPr>
          <w:rFonts w:cs="Times New Roman"/>
          <w:szCs w:val="24"/>
        </w:rPr>
        <w:t>Section 517 provides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 28 U.S.C. § 517.  A submission by the United States pursuant to this provision does not constitute intervention under Rule 24 of the</w:t>
      </w:r>
    </w:p>
    <w:p w:rsidR="0054238D" w:rsidRPr="00E069D5" w:rsidRDefault="0054238D" w:rsidP="00B10E4E">
      <w:pPr>
        <w:pStyle w:val="FootnoteText"/>
        <w:rPr>
          <w:rFonts w:cs="Times New Roman"/>
          <w:sz w:val="24"/>
          <w:szCs w:val="24"/>
        </w:rPr>
      </w:pPr>
      <w:r w:rsidRPr="00E069D5">
        <w:rPr>
          <w:rFonts w:cs="Times New Roman"/>
          <w:sz w:val="24"/>
          <w:szCs w:val="24"/>
        </w:rPr>
        <w:t xml:space="preserve">Federal Rules of Civil Procedure.  </w:t>
      </w:r>
    </w:p>
    <w:p w:rsidR="0054238D" w:rsidRPr="00E069D5" w:rsidRDefault="0054238D" w:rsidP="00B10E4E">
      <w:pPr>
        <w:pStyle w:val="FootnoteText"/>
        <w:rPr>
          <w:sz w:val="24"/>
          <w:szCs w:val="24"/>
        </w:rPr>
      </w:pPr>
    </w:p>
  </w:footnote>
  <w:footnote w:id="2">
    <w:p w:rsidR="0054238D" w:rsidRPr="00E069D5" w:rsidRDefault="0054238D">
      <w:pPr>
        <w:pStyle w:val="FootnoteText"/>
        <w:rPr>
          <w:sz w:val="24"/>
          <w:szCs w:val="24"/>
        </w:rPr>
      </w:pPr>
      <w:r w:rsidRPr="00E069D5">
        <w:rPr>
          <w:rStyle w:val="FootnoteReference"/>
          <w:sz w:val="24"/>
          <w:szCs w:val="24"/>
        </w:rPr>
        <w:footnoteRef/>
      </w:r>
      <w:r w:rsidRPr="00E069D5">
        <w:rPr>
          <w:sz w:val="24"/>
          <w:szCs w:val="24"/>
        </w:rPr>
        <w:t xml:space="preserve"> The United States recognizes that the Parties’ briefing on this issue has concluded and would not object if the Court wishes to offer the Parties an opportunity to respond to the United States. </w:t>
      </w:r>
    </w:p>
  </w:footnote>
  <w:footnote w:id="3">
    <w:p w:rsidR="0054238D" w:rsidRPr="00E069D5" w:rsidRDefault="0054238D" w:rsidP="006436F5">
      <w:pPr>
        <w:pStyle w:val="FootnoteText"/>
        <w:jc w:val="left"/>
        <w:rPr>
          <w:rFonts w:cs="Times New Roman"/>
          <w:sz w:val="24"/>
          <w:szCs w:val="24"/>
        </w:rPr>
      </w:pPr>
      <w:r w:rsidRPr="00E069D5">
        <w:rPr>
          <w:rStyle w:val="FootnoteReference"/>
          <w:sz w:val="24"/>
          <w:szCs w:val="24"/>
        </w:rPr>
        <w:footnoteRef/>
      </w:r>
      <w:r w:rsidRPr="00E069D5">
        <w:rPr>
          <w:sz w:val="24"/>
          <w:szCs w:val="24"/>
        </w:rPr>
        <w:t xml:space="preserve"> Congress enacted parallel legislation to protect the rights of people with developmental disabilities, </w:t>
      </w:r>
      <w:r w:rsidRPr="00E069D5">
        <w:rPr>
          <w:rFonts w:cs="Times New Roman"/>
          <w:color w:val="000000"/>
          <w:sz w:val="24"/>
          <w:szCs w:val="24"/>
        </w:rPr>
        <w:t xml:space="preserve">42 </w:t>
      </w:r>
      <w:r w:rsidRPr="00E069D5">
        <w:rPr>
          <w:rFonts w:cs="Times New Roman"/>
          <w:sz w:val="24"/>
          <w:szCs w:val="24"/>
        </w:rPr>
        <w:t>U.S.C. § 15041, and people with disabilities other than mental illness and developmental disabilities.  29 U.S.C. § 794e(a)(1).</w:t>
      </w:r>
    </w:p>
    <w:p w:rsidR="0054238D" w:rsidRPr="00E069D5" w:rsidRDefault="0054238D">
      <w:pPr>
        <w:pStyle w:val="FootnoteText"/>
        <w:rPr>
          <w:sz w:val="24"/>
          <w:szCs w:val="24"/>
        </w:rPr>
      </w:pPr>
    </w:p>
  </w:footnote>
  <w:footnote w:id="4">
    <w:p w:rsidR="0054238D" w:rsidRPr="00E069D5" w:rsidRDefault="0054238D" w:rsidP="007E4E16">
      <w:pPr>
        <w:pStyle w:val="FootnoteText"/>
        <w:jc w:val="left"/>
        <w:rPr>
          <w:rFonts w:cs="Times New Roman"/>
          <w:sz w:val="24"/>
          <w:szCs w:val="24"/>
        </w:rPr>
      </w:pPr>
      <w:r w:rsidRPr="00E069D5">
        <w:rPr>
          <w:rStyle w:val="FootnoteReference"/>
          <w:rFonts w:cs="Times New Roman"/>
          <w:sz w:val="24"/>
          <w:szCs w:val="24"/>
        </w:rPr>
        <w:footnoteRef/>
      </w:r>
      <w:r w:rsidRPr="00E069D5">
        <w:rPr>
          <w:rFonts w:cs="Times New Roman"/>
          <w:sz w:val="24"/>
          <w:szCs w:val="24"/>
        </w:rPr>
        <w:t xml:space="preserve"> </w:t>
      </w:r>
      <w:r w:rsidRPr="00E069D5">
        <w:rPr>
          <w:rFonts w:cs="Times New Roman"/>
          <w:color w:val="000000"/>
          <w:sz w:val="24"/>
          <w:szCs w:val="24"/>
        </w:rPr>
        <w:t xml:space="preserve">Access to </w:t>
      </w:r>
      <w:r>
        <w:rPr>
          <w:rFonts w:cs="Times New Roman"/>
          <w:color w:val="000000"/>
          <w:sz w:val="24"/>
          <w:szCs w:val="24"/>
        </w:rPr>
        <w:t xml:space="preserve">covered </w:t>
      </w:r>
      <w:r w:rsidRPr="00E069D5">
        <w:rPr>
          <w:rFonts w:cs="Times New Roman"/>
          <w:color w:val="000000"/>
          <w:sz w:val="24"/>
          <w:szCs w:val="24"/>
        </w:rPr>
        <w:t>facilities was not intended to be limited to a specific group of facilities, but rather to any facilities in which people with disabilities reside and receive treatment.  The Conference Committee Report on the original legislation explained that, “</w:t>
      </w:r>
      <w:r w:rsidRPr="00E069D5">
        <w:rPr>
          <w:rFonts w:eastAsia="Times New Roman" w:cs="Times New Roman"/>
          <w:color w:val="000000"/>
          <w:sz w:val="24"/>
          <w:szCs w:val="24"/>
        </w:rPr>
        <w:t xml:space="preserve">It is the intent of the conferees that this legislation focus on abuse and neglect of mentally ill individuals and not on the particular residential facility in which they reside. Accordingly, residential facilities could include, </w:t>
      </w:r>
      <w:r w:rsidRPr="00E069D5">
        <w:rPr>
          <w:rFonts w:eastAsia="Times New Roman" w:cs="Times New Roman"/>
          <w:b/>
          <w:color w:val="000000"/>
          <w:sz w:val="24"/>
          <w:szCs w:val="24"/>
        </w:rPr>
        <w:t>but need not be limited to,</w:t>
      </w:r>
      <w:r w:rsidRPr="00E069D5">
        <w:rPr>
          <w:rFonts w:eastAsia="Times New Roman" w:cs="Times New Roman"/>
          <w:color w:val="000000"/>
          <w:sz w:val="24"/>
          <w:szCs w:val="24"/>
        </w:rPr>
        <w:t xml:space="preserve"> hospitals, nursing homes, community facilities for mentally ill individuals, and board and care homes.</w:t>
      </w:r>
      <w:r w:rsidRPr="00E069D5">
        <w:rPr>
          <w:rFonts w:cs="Times New Roman"/>
          <w:color w:val="000000"/>
          <w:sz w:val="24"/>
          <w:szCs w:val="24"/>
        </w:rPr>
        <w:t>” H.R. Conf. Re. 99-576, May 5, 1986 (emphasis added).</w:t>
      </w:r>
    </w:p>
  </w:footnote>
  <w:footnote w:id="5">
    <w:p w:rsidR="0054238D" w:rsidRPr="00E069D5" w:rsidRDefault="0054238D" w:rsidP="00D430CE">
      <w:pPr>
        <w:pStyle w:val="FootnoteText"/>
        <w:jc w:val="left"/>
        <w:rPr>
          <w:sz w:val="24"/>
          <w:szCs w:val="24"/>
        </w:rPr>
      </w:pPr>
      <w:r w:rsidRPr="00E069D5">
        <w:rPr>
          <w:rStyle w:val="FootnoteReference"/>
          <w:sz w:val="24"/>
          <w:szCs w:val="24"/>
        </w:rPr>
        <w:footnoteRef/>
      </w:r>
      <w:r w:rsidRPr="00E069D5">
        <w:rPr>
          <w:sz w:val="24"/>
          <w:szCs w:val="24"/>
        </w:rPr>
        <w:t xml:space="preserve"> This case was filed under PAIMI’s companion legislation protecting the rights of people with developmental disabilities.</w:t>
      </w:r>
    </w:p>
    <w:p w:rsidR="0054238D" w:rsidRPr="00E069D5" w:rsidRDefault="0054238D">
      <w:pPr>
        <w:pStyle w:val="FootnoteText"/>
        <w:rPr>
          <w:sz w:val="24"/>
          <w:szCs w:val="24"/>
        </w:rPr>
      </w:pPr>
    </w:p>
  </w:footnote>
  <w:footnote w:id="6">
    <w:p w:rsidR="0054238D" w:rsidRPr="00E069D5" w:rsidRDefault="0054238D" w:rsidP="00783928">
      <w:pPr>
        <w:pStyle w:val="FootnoteText"/>
        <w:jc w:val="left"/>
        <w:rPr>
          <w:sz w:val="24"/>
          <w:szCs w:val="24"/>
        </w:rPr>
      </w:pPr>
      <w:r w:rsidRPr="00E069D5">
        <w:rPr>
          <w:rStyle w:val="FootnoteReference"/>
          <w:sz w:val="24"/>
          <w:szCs w:val="24"/>
        </w:rPr>
        <w:footnoteRef/>
      </w:r>
      <w:r w:rsidRPr="00E069D5">
        <w:rPr>
          <w:sz w:val="24"/>
          <w:szCs w:val="24"/>
        </w:rPr>
        <w:t xml:space="preserve"> This case was filed under PAIMI’s companion legislation protecting the rights of people with developmental disabilities.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D8F"/>
    <w:multiLevelType w:val="hybridMultilevel"/>
    <w:tmpl w:val="A3A80372"/>
    <w:lvl w:ilvl="0" w:tplc="75EA12DA">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16B94"/>
    <w:multiLevelType w:val="hybridMultilevel"/>
    <w:tmpl w:val="27483A76"/>
    <w:lvl w:ilvl="0" w:tplc="2DC41E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F2EB0"/>
    <w:multiLevelType w:val="hybridMultilevel"/>
    <w:tmpl w:val="B23E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738"/>
    <w:multiLevelType w:val="hybridMultilevel"/>
    <w:tmpl w:val="F73AED50"/>
    <w:lvl w:ilvl="0" w:tplc="629ED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FC6D42"/>
    <w:multiLevelType w:val="hybridMultilevel"/>
    <w:tmpl w:val="F6C8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7441E"/>
    <w:multiLevelType w:val="hybridMultilevel"/>
    <w:tmpl w:val="5EC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46587B"/>
    <w:rsid w:val="00012324"/>
    <w:rsid w:val="00014229"/>
    <w:rsid w:val="00021948"/>
    <w:rsid w:val="00042700"/>
    <w:rsid w:val="00070EC4"/>
    <w:rsid w:val="00090D4F"/>
    <w:rsid w:val="000C5CF6"/>
    <w:rsid w:val="000C72FA"/>
    <w:rsid w:val="000D5B41"/>
    <w:rsid w:val="000D6F54"/>
    <w:rsid w:val="000E6195"/>
    <w:rsid w:val="0010185D"/>
    <w:rsid w:val="001026BC"/>
    <w:rsid w:val="00106FBE"/>
    <w:rsid w:val="00124E70"/>
    <w:rsid w:val="0014410D"/>
    <w:rsid w:val="00146552"/>
    <w:rsid w:val="001949CB"/>
    <w:rsid w:val="001A353D"/>
    <w:rsid w:val="001A7CF2"/>
    <w:rsid w:val="001D6017"/>
    <w:rsid w:val="001D75B2"/>
    <w:rsid w:val="001E04EE"/>
    <w:rsid w:val="001E05EA"/>
    <w:rsid w:val="001E07E4"/>
    <w:rsid w:val="00206C01"/>
    <w:rsid w:val="00242190"/>
    <w:rsid w:val="002626E7"/>
    <w:rsid w:val="00267DDE"/>
    <w:rsid w:val="00287B89"/>
    <w:rsid w:val="002A380C"/>
    <w:rsid w:val="002B328E"/>
    <w:rsid w:val="002B54F6"/>
    <w:rsid w:val="002C4713"/>
    <w:rsid w:val="002E54AF"/>
    <w:rsid w:val="002F394F"/>
    <w:rsid w:val="002F4CC0"/>
    <w:rsid w:val="003236AD"/>
    <w:rsid w:val="003304AC"/>
    <w:rsid w:val="00340193"/>
    <w:rsid w:val="00396AA4"/>
    <w:rsid w:val="003E1B71"/>
    <w:rsid w:val="003E72D5"/>
    <w:rsid w:val="00403E64"/>
    <w:rsid w:val="00410F29"/>
    <w:rsid w:val="00430817"/>
    <w:rsid w:val="00432192"/>
    <w:rsid w:val="004425F5"/>
    <w:rsid w:val="00451BBB"/>
    <w:rsid w:val="00460418"/>
    <w:rsid w:val="004653A6"/>
    <w:rsid w:val="0046587B"/>
    <w:rsid w:val="0047332A"/>
    <w:rsid w:val="004A59E9"/>
    <w:rsid w:val="004D2968"/>
    <w:rsid w:val="00501408"/>
    <w:rsid w:val="005231C0"/>
    <w:rsid w:val="00527E4A"/>
    <w:rsid w:val="00541310"/>
    <w:rsid w:val="0054238D"/>
    <w:rsid w:val="00556E36"/>
    <w:rsid w:val="00587AEB"/>
    <w:rsid w:val="005B5A2A"/>
    <w:rsid w:val="006027D0"/>
    <w:rsid w:val="00603B39"/>
    <w:rsid w:val="006330DF"/>
    <w:rsid w:val="006436F5"/>
    <w:rsid w:val="006B6F7A"/>
    <w:rsid w:val="006B744B"/>
    <w:rsid w:val="006C0FC6"/>
    <w:rsid w:val="006D1CE9"/>
    <w:rsid w:val="006D411D"/>
    <w:rsid w:val="006F2CF5"/>
    <w:rsid w:val="006F4F4D"/>
    <w:rsid w:val="006F643B"/>
    <w:rsid w:val="00705D0C"/>
    <w:rsid w:val="007160CE"/>
    <w:rsid w:val="007440F7"/>
    <w:rsid w:val="00744EB4"/>
    <w:rsid w:val="007553F8"/>
    <w:rsid w:val="00756729"/>
    <w:rsid w:val="00760AE3"/>
    <w:rsid w:val="00783928"/>
    <w:rsid w:val="007A14C4"/>
    <w:rsid w:val="007A5F04"/>
    <w:rsid w:val="007E4E16"/>
    <w:rsid w:val="007E5686"/>
    <w:rsid w:val="007F1BB1"/>
    <w:rsid w:val="008009CC"/>
    <w:rsid w:val="00813934"/>
    <w:rsid w:val="008145DD"/>
    <w:rsid w:val="00816642"/>
    <w:rsid w:val="008D289C"/>
    <w:rsid w:val="008E472E"/>
    <w:rsid w:val="008E491C"/>
    <w:rsid w:val="008E602E"/>
    <w:rsid w:val="008F5210"/>
    <w:rsid w:val="00900158"/>
    <w:rsid w:val="009052CC"/>
    <w:rsid w:val="00916539"/>
    <w:rsid w:val="009355CE"/>
    <w:rsid w:val="0093799B"/>
    <w:rsid w:val="00946CA2"/>
    <w:rsid w:val="00961CF5"/>
    <w:rsid w:val="00971FB8"/>
    <w:rsid w:val="009C1E8F"/>
    <w:rsid w:val="009C240D"/>
    <w:rsid w:val="009C53F3"/>
    <w:rsid w:val="009D1ACF"/>
    <w:rsid w:val="009F0291"/>
    <w:rsid w:val="00A02E95"/>
    <w:rsid w:val="00A15553"/>
    <w:rsid w:val="00A25087"/>
    <w:rsid w:val="00A26DC0"/>
    <w:rsid w:val="00A372CC"/>
    <w:rsid w:val="00AB04ED"/>
    <w:rsid w:val="00AC79FB"/>
    <w:rsid w:val="00AE16F9"/>
    <w:rsid w:val="00AF6FC1"/>
    <w:rsid w:val="00B04ECF"/>
    <w:rsid w:val="00B10E4E"/>
    <w:rsid w:val="00B32CD9"/>
    <w:rsid w:val="00B43FEA"/>
    <w:rsid w:val="00B51021"/>
    <w:rsid w:val="00B56E3A"/>
    <w:rsid w:val="00B75F07"/>
    <w:rsid w:val="00BA1ADE"/>
    <w:rsid w:val="00BA5AE6"/>
    <w:rsid w:val="00BA6819"/>
    <w:rsid w:val="00BB37F6"/>
    <w:rsid w:val="00BB4497"/>
    <w:rsid w:val="00BC099B"/>
    <w:rsid w:val="00BD1057"/>
    <w:rsid w:val="00BD698A"/>
    <w:rsid w:val="00BE129D"/>
    <w:rsid w:val="00C01108"/>
    <w:rsid w:val="00C42DD1"/>
    <w:rsid w:val="00C47237"/>
    <w:rsid w:val="00C7253D"/>
    <w:rsid w:val="00C97B25"/>
    <w:rsid w:val="00CB2E99"/>
    <w:rsid w:val="00CD5E3C"/>
    <w:rsid w:val="00D01458"/>
    <w:rsid w:val="00D167F5"/>
    <w:rsid w:val="00D21326"/>
    <w:rsid w:val="00D430CE"/>
    <w:rsid w:val="00D504FF"/>
    <w:rsid w:val="00D53F77"/>
    <w:rsid w:val="00D54241"/>
    <w:rsid w:val="00D926A0"/>
    <w:rsid w:val="00D92AF4"/>
    <w:rsid w:val="00DA5744"/>
    <w:rsid w:val="00DE02D7"/>
    <w:rsid w:val="00DF1239"/>
    <w:rsid w:val="00E069D5"/>
    <w:rsid w:val="00E30D60"/>
    <w:rsid w:val="00E36FD1"/>
    <w:rsid w:val="00E50316"/>
    <w:rsid w:val="00E71C70"/>
    <w:rsid w:val="00EA7CBA"/>
    <w:rsid w:val="00EA7F8B"/>
    <w:rsid w:val="00EB51BA"/>
    <w:rsid w:val="00EE45B9"/>
    <w:rsid w:val="00EE565A"/>
    <w:rsid w:val="00F04BC3"/>
    <w:rsid w:val="00F20FA7"/>
    <w:rsid w:val="00F21719"/>
    <w:rsid w:val="00F25B6C"/>
    <w:rsid w:val="00F30A52"/>
    <w:rsid w:val="00F50043"/>
    <w:rsid w:val="00F53A7C"/>
    <w:rsid w:val="00F545B1"/>
    <w:rsid w:val="00F647CD"/>
    <w:rsid w:val="00FB7EFA"/>
    <w:rsid w:val="00FE1934"/>
    <w:rsid w:val="00FE1B31"/>
    <w:rsid w:val="00FE1C7D"/>
    <w:rsid w:val="00FE1FE9"/>
    <w:rsid w:val="00FE3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7B"/>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465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7B"/>
    <w:pPr>
      <w:ind w:left="720"/>
      <w:contextualSpacing/>
    </w:pPr>
  </w:style>
  <w:style w:type="character" w:styleId="Hyperlink">
    <w:name w:val="Hyperlink"/>
    <w:basedOn w:val="DefaultParagraphFont"/>
    <w:uiPriority w:val="99"/>
    <w:unhideWhenUsed/>
    <w:rsid w:val="0046587B"/>
    <w:rPr>
      <w:color w:val="0000FF" w:themeColor="hyperlink"/>
      <w:u w:val="single"/>
    </w:rPr>
  </w:style>
  <w:style w:type="character" w:styleId="CommentReference">
    <w:name w:val="annotation reference"/>
    <w:basedOn w:val="DefaultParagraphFont"/>
    <w:uiPriority w:val="99"/>
    <w:semiHidden/>
    <w:unhideWhenUsed/>
    <w:rsid w:val="0046587B"/>
    <w:rPr>
      <w:sz w:val="16"/>
      <w:szCs w:val="16"/>
    </w:rPr>
  </w:style>
  <w:style w:type="paragraph" w:styleId="CommentText">
    <w:name w:val="annotation text"/>
    <w:basedOn w:val="Normal"/>
    <w:link w:val="CommentTextChar"/>
    <w:uiPriority w:val="99"/>
    <w:semiHidden/>
    <w:unhideWhenUsed/>
    <w:rsid w:val="0046587B"/>
    <w:pPr>
      <w:spacing w:line="240" w:lineRule="auto"/>
    </w:pPr>
    <w:rPr>
      <w:sz w:val="20"/>
      <w:szCs w:val="20"/>
    </w:rPr>
  </w:style>
  <w:style w:type="character" w:customStyle="1" w:styleId="CommentTextChar">
    <w:name w:val="Comment Text Char"/>
    <w:basedOn w:val="DefaultParagraphFont"/>
    <w:link w:val="CommentText"/>
    <w:uiPriority w:val="99"/>
    <w:semiHidden/>
    <w:rsid w:val="004658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587B"/>
    <w:rPr>
      <w:b/>
      <w:bCs/>
    </w:rPr>
  </w:style>
  <w:style w:type="character" w:customStyle="1" w:styleId="CommentSubjectChar">
    <w:name w:val="Comment Subject Char"/>
    <w:basedOn w:val="CommentTextChar"/>
    <w:link w:val="CommentSubject"/>
    <w:uiPriority w:val="99"/>
    <w:semiHidden/>
    <w:rsid w:val="0046587B"/>
    <w:rPr>
      <w:rFonts w:ascii="Times New Roman" w:hAnsi="Times New Roman"/>
      <w:b/>
      <w:bCs/>
      <w:sz w:val="20"/>
      <w:szCs w:val="20"/>
    </w:rPr>
  </w:style>
  <w:style w:type="paragraph" w:styleId="BalloonText">
    <w:name w:val="Balloon Text"/>
    <w:basedOn w:val="Normal"/>
    <w:link w:val="BalloonTextChar"/>
    <w:uiPriority w:val="99"/>
    <w:semiHidden/>
    <w:unhideWhenUsed/>
    <w:rsid w:val="00465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7B"/>
    <w:rPr>
      <w:rFonts w:ascii="Tahoma" w:hAnsi="Tahoma" w:cs="Tahoma"/>
      <w:sz w:val="16"/>
      <w:szCs w:val="16"/>
    </w:rPr>
  </w:style>
  <w:style w:type="paragraph" w:styleId="FootnoteText">
    <w:name w:val="footnote text"/>
    <w:basedOn w:val="Normal"/>
    <w:link w:val="FootnoteTextChar"/>
    <w:uiPriority w:val="99"/>
    <w:semiHidden/>
    <w:unhideWhenUsed/>
    <w:rsid w:val="0046587B"/>
    <w:pPr>
      <w:spacing w:line="240" w:lineRule="auto"/>
    </w:pPr>
    <w:rPr>
      <w:sz w:val="20"/>
      <w:szCs w:val="20"/>
    </w:rPr>
  </w:style>
  <w:style w:type="character" w:customStyle="1" w:styleId="FootnoteTextChar">
    <w:name w:val="Footnote Text Char"/>
    <w:basedOn w:val="DefaultParagraphFont"/>
    <w:link w:val="FootnoteText"/>
    <w:uiPriority w:val="99"/>
    <w:semiHidden/>
    <w:rsid w:val="0046587B"/>
    <w:rPr>
      <w:rFonts w:ascii="Times New Roman" w:hAnsi="Times New Roman"/>
      <w:sz w:val="20"/>
      <w:szCs w:val="20"/>
    </w:rPr>
  </w:style>
  <w:style w:type="character" w:styleId="FootnoteReference">
    <w:name w:val="footnote reference"/>
    <w:basedOn w:val="DefaultParagraphFont"/>
    <w:uiPriority w:val="99"/>
    <w:semiHidden/>
    <w:unhideWhenUsed/>
    <w:rsid w:val="0046587B"/>
    <w:rPr>
      <w:vertAlign w:val="superscript"/>
    </w:rPr>
  </w:style>
  <w:style w:type="paragraph" w:styleId="Header">
    <w:name w:val="header"/>
    <w:basedOn w:val="Normal"/>
    <w:link w:val="HeaderChar"/>
    <w:uiPriority w:val="99"/>
    <w:unhideWhenUsed/>
    <w:rsid w:val="0046587B"/>
    <w:pPr>
      <w:tabs>
        <w:tab w:val="center" w:pos="4680"/>
        <w:tab w:val="right" w:pos="9360"/>
      </w:tabs>
      <w:spacing w:line="240" w:lineRule="auto"/>
    </w:pPr>
  </w:style>
  <w:style w:type="character" w:customStyle="1" w:styleId="HeaderChar">
    <w:name w:val="Header Char"/>
    <w:basedOn w:val="DefaultParagraphFont"/>
    <w:link w:val="Header"/>
    <w:uiPriority w:val="99"/>
    <w:rsid w:val="0046587B"/>
    <w:rPr>
      <w:rFonts w:ascii="Times New Roman" w:hAnsi="Times New Roman"/>
      <w:sz w:val="24"/>
    </w:rPr>
  </w:style>
  <w:style w:type="paragraph" w:styleId="Footer">
    <w:name w:val="footer"/>
    <w:basedOn w:val="Normal"/>
    <w:link w:val="FooterChar"/>
    <w:uiPriority w:val="99"/>
    <w:unhideWhenUsed/>
    <w:rsid w:val="0046587B"/>
    <w:pPr>
      <w:tabs>
        <w:tab w:val="center" w:pos="4680"/>
        <w:tab w:val="right" w:pos="9360"/>
      </w:tabs>
      <w:spacing w:line="240" w:lineRule="auto"/>
    </w:pPr>
  </w:style>
  <w:style w:type="character" w:customStyle="1" w:styleId="FooterChar">
    <w:name w:val="Footer Char"/>
    <w:basedOn w:val="DefaultParagraphFont"/>
    <w:link w:val="Footer"/>
    <w:uiPriority w:val="99"/>
    <w:rsid w:val="0046587B"/>
    <w:rPr>
      <w:rFonts w:ascii="Times New Roman" w:hAnsi="Times New Roman"/>
      <w:sz w:val="24"/>
    </w:rPr>
  </w:style>
  <w:style w:type="paragraph" w:styleId="Caption">
    <w:name w:val="caption"/>
    <w:basedOn w:val="Normal"/>
    <w:next w:val="Normal"/>
    <w:qFormat/>
    <w:rsid w:val="0046587B"/>
    <w:pPr>
      <w:widowControl w:val="0"/>
      <w:spacing w:after="240" w:line="240" w:lineRule="auto"/>
      <w:jc w:val="left"/>
    </w:pPr>
    <w:rPr>
      <w:rFonts w:eastAsia="Times New Roman" w:cs="Times New Roman"/>
      <w:bCs/>
      <w:szCs w:val="20"/>
    </w:rPr>
  </w:style>
  <w:style w:type="paragraph" w:customStyle="1" w:styleId="CaptionRight">
    <w:name w:val="Caption Right"/>
    <w:basedOn w:val="Caption"/>
    <w:rsid w:val="0046587B"/>
    <w:pPr>
      <w:tabs>
        <w:tab w:val="left" w:pos="1440"/>
      </w:tabs>
      <w:ind w:left="360"/>
    </w:pPr>
  </w:style>
  <w:style w:type="paragraph" w:customStyle="1" w:styleId="DateTimeInformation">
    <w:name w:val="Date Time Information"/>
    <w:basedOn w:val="CaptionRight"/>
    <w:rsid w:val="0046587B"/>
    <w:pPr>
      <w:spacing w:after="0"/>
      <w:ind w:left="1296" w:hanging="936"/>
    </w:pPr>
  </w:style>
  <w:style w:type="paragraph" w:customStyle="1" w:styleId="Court">
    <w:name w:val="Court"/>
    <w:basedOn w:val="Normal"/>
    <w:rsid w:val="0046587B"/>
    <w:pPr>
      <w:widowControl w:val="0"/>
      <w:spacing w:after="360" w:line="240" w:lineRule="auto"/>
      <w:jc w:val="center"/>
    </w:pPr>
    <w:rPr>
      <w:rFonts w:eastAsia="SimSun" w:cs="Times New Roman"/>
      <w:b/>
      <w:caps/>
      <w:szCs w:val="20"/>
    </w:rPr>
  </w:style>
  <w:style w:type="paragraph" w:customStyle="1" w:styleId="CaptionCenter">
    <w:name w:val="Caption Center"/>
    <w:basedOn w:val="Caption"/>
    <w:rsid w:val="0046587B"/>
    <w:pPr>
      <w:spacing w:after="0"/>
      <w:ind w:left="-72"/>
      <w:jc w:val="center"/>
    </w:pPr>
    <w:rPr>
      <w:rFonts w:eastAsia="SimSun"/>
    </w:rPr>
  </w:style>
  <w:style w:type="character" w:customStyle="1" w:styleId="Heading1Char">
    <w:name w:val="Heading 1 Char"/>
    <w:basedOn w:val="DefaultParagraphFont"/>
    <w:link w:val="Heading1"/>
    <w:uiPriority w:val="9"/>
    <w:rsid w:val="0046587B"/>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46587B"/>
    <w:rPr>
      <w:rFonts w:ascii="Arial" w:hAnsi="Arial" w:cs="Arial"/>
      <w:b w:val="0"/>
      <w:i w:val="0"/>
      <w:caps w:val="0"/>
      <w:vanish w:val="0"/>
      <w:color w:val="000000"/>
      <w:sz w:val="16"/>
      <w:u w:val="none"/>
    </w:rPr>
  </w:style>
  <w:style w:type="paragraph" w:styleId="Revision">
    <w:name w:val="Revision"/>
    <w:hidden/>
    <w:uiPriority w:val="99"/>
    <w:semiHidden/>
    <w:rsid w:val="0046587B"/>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B10E4E"/>
    <w:pPr>
      <w:spacing w:line="240" w:lineRule="auto"/>
    </w:pPr>
    <w:rPr>
      <w:sz w:val="20"/>
      <w:szCs w:val="20"/>
    </w:rPr>
  </w:style>
  <w:style w:type="character" w:customStyle="1" w:styleId="EndnoteTextChar">
    <w:name w:val="Endnote Text Char"/>
    <w:basedOn w:val="DefaultParagraphFont"/>
    <w:link w:val="EndnoteText"/>
    <w:uiPriority w:val="99"/>
    <w:semiHidden/>
    <w:rsid w:val="00B10E4E"/>
    <w:rPr>
      <w:rFonts w:ascii="Times New Roman" w:hAnsi="Times New Roman"/>
      <w:sz w:val="20"/>
      <w:szCs w:val="20"/>
    </w:rPr>
  </w:style>
  <w:style w:type="character" w:styleId="EndnoteReference">
    <w:name w:val="endnote reference"/>
    <w:basedOn w:val="DefaultParagraphFont"/>
    <w:uiPriority w:val="99"/>
    <w:semiHidden/>
    <w:unhideWhenUsed/>
    <w:rsid w:val="00B10E4E"/>
    <w:rPr>
      <w:vertAlign w:val="superscript"/>
    </w:rPr>
  </w:style>
  <w:style w:type="paragraph" w:customStyle="1" w:styleId="Default">
    <w:name w:val="Default"/>
    <w:rsid w:val="002626E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54238D"/>
    <w:pPr>
      <w:spacing w:line="240" w:lineRule="auto"/>
      <w:jc w:val="left"/>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54238D"/>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2773818">
      <w:bodyDiv w:val="1"/>
      <w:marLeft w:val="30"/>
      <w:marRight w:val="30"/>
      <w:marTop w:val="30"/>
      <w:marBottom w:val="30"/>
      <w:divBdr>
        <w:top w:val="none" w:sz="0" w:space="0" w:color="auto"/>
        <w:left w:val="none" w:sz="0" w:space="0" w:color="auto"/>
        <w:bottom w:val="none" w:sz="0" w:space="0" w:color="auto"/>
        <w:right w:val="none" w:sz="0" w:space="0" w:color="auto"/>
      </w:divBdr>
      <w:divsChild>
        <w:div w:id="647708817">
          <w:marLeft w:val="0"/>
          <w:marRight w:val="0"/>
          <w:marTop w:val="0"/>
          <w:marBottom w:val="0"/>
          <w:divBdr>
            <w:top w:val="none" w:sz="0" w:space="0" w:color="auto"/>
            <w:left w:val="none" w:sz="0" w:space="0" w:color="auto"/>
            <w:bottom w:val="none" w:sz="0" w:space="0" w:color="auto"/>
            <w:right w:val="none" w:sz="0" w:space="0" w:color="auto"/>
          </w:divBdr>
          <w:divsChild>
            <w:div w:id="1692880082">
              <w:marLeft w:val="45"/>
              <w:marRight w:val="45"/>
              <w:marTop w:val="45"/>
              <w:marBottom w:val="45"/>
              <w:divBdr>
                <w:top w:val="none" w:sz="0" w:space="0" w:color="auto"/>
                <w:left w:val="none" w:sz="0" w:space="0" w:color="auto"/>
                <w:bottom w:val="none" w:sz="0" w:space="0" w:color="auto"/>
                <w:right w:val="none" w:sz="0" w:space="0" w:color="auto"/>
              </w:divBdr>
              <w:divsChild>
                <w:div w:id="138502100">
                  <w:marLeft w:val="0"/>
                  <w:marRight w:val="0"/>
                  <w:marTop w:val="0"/>
                  <w:marBottom w:val="0"/>
                  <w:divBdr>
                    <w:top w:val="none" w:sz="0" w:space="0" w:color="auto"/>
                    <w:left w:val="none" w:sz="0" w:space="0" w:color="auto"/>
                    <w:bottom w:val="none" w:sz="0" w:space="0" w:color="auto"/>
                    <w:right w:val="none" w:sz="0" w:space="0" w:color="auto"/>
                  </w:divBdr>
                  <w:divsChild>
                    <w:div w:id="343559206">
                      <w:marLeft w:val="0"/>
                      <w:marRight w:val="0"/>
                      <w:marTop w:val="0"/>
                      <w:marBottom w:val="0"/>
                      <w:divBdr>
                        <w:top w:val="none" w:sz="0" w:space="0" w:color="auto"/>
                        <w:left w:val="none" w:sz="0" w:space="0" w:color="auto"/>
                        <w:bottom w:val="none" w:sz="0" w:space="0" w:color="auto"/>
                        <w:right w:val="none" w:sz="0" w:space="0" w:color="auto"/>
                      </w:divBdr>
                    </w:div>
                    <w:div w:id="19422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8988">
      <w:bodyDiv w:val="1"/>
      <w:marLeft w:val="30"/>
      <w:marRight w:val="30"/>
      <w:marTop w:val="30"/>
      <w:marBottom w:val="30"/>
      <w:divBdr>
        <w:top w:val="none" w:sz="0" w:space="0" w:color="auto"/>
        <w:left w:val="none" w:sz="0" w:space="0" w:color="auto"/>
        <w:bottom w:val="none" w:sz="0" w:space="0" w:color="auto"/>
        <w:right w:val="none" w:sz="0" w:space="0" w:color="auto"/>
      </w:divBdr>
      <w:divsChild>
        <w:div w:id="1000355941">
          <w:marLeft w:val="0"/>
          <w:marRight w:val="0"/>
          <w:marTop w:val="0"/>
          <w:marBottom w:val="0"/>
          <w:divBdr>
            <w:top w:val="none" w:sz="0" w:space="0" w:color="auto"/>
            <w:left w:val="none" w:sz="0" w:space="0" w:color="auto"/>
            <w:bottom w:val="none" w:sz="0" w:space="0" w:color="auto"/>
            <w:right w:val="none" w:sz="0" w:space="0" w:color="auto"/>
          </w:divBdr>
          <w:divsChild>
            <w:div w:id="353697977">
              <w:marLeft w:val="45"/>
              <w:marRight w:val="45"/>
              <w:marTop w:val="45"/>
              <w:marBottom w:val="45"/>
              <w:divBdr>
                <w:top w:val="none" w:sz="0" w:space="0" w:color="auto"/>
                <w:left w:val="none" w:sz="0" w:space="0" w:color="auto"/>
                <w:bottom w:val="none" w:sz="0" w:space="0" w:color="auto"/>
                <w:right w:val="none" w:sz="0" w:space="0" w:color="auto"/>
              </w:divBdr>
              <w:divsChild>
                <w:div w:id="513688374">
                  <w:marLeft w:val="0"/>
                  <w:marRight w:val="0"/>
                  <w:marTop w:val="0"/>
                  <w:marBottom w:val="0"/>
                  <w:divBdr>
                    <w:top w:val="none" w:sz="0" w:space="0" w:color="auto"/>
                    <w:left w:val="none" w:sz="0" w:space="0" w:color="auto"/>
                    <w:bottom w:val="none" w:sz="0" w:space="0" w:color="auto"/>
                    <w:right w:val="none" w:sz="0" w:space="0" w:color="auto"/>
                  </w:divBdr>
                  <w:divsChild>
                    <w:div w:id="2143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1968">
      <w:bodyDiv w:val="1"/>
      <w:marLeft w:val="30"/>
      <w:marRight w:val="30"/>
      <w:marTop w:val="30"/>
      <w:marBottom w:val="30"/>
      <w:divBdr>
        <w:top w:val="none" w:sz="0" w:space="0" w:color="auto"/>
        <w:left w:val="none" w:sz="0" w:space="0" w:color="auto"/>
        <w:bottom w:val="none" w:sz="0" w:space="0" w:color="auto"/>
        <w:right w:val="none" w:sz="0" w:space="0" w:color="auto"/>
      </w:divBdr>
      <w:divsChild>
        <w:div w:id="1458643333">
          <w:marLeft w:val="0"/>
          <w:marRight w:val="0"/>
          <w:marTop w:val="0"/>
          <w:marBottom w:val="0"/>
          <w:divBdr>
            <w:top w:val="none" w:sz="0" w:space="0" w:color="auto"/>
            <w:left w:val="none" w:sz="0" w:space="0" w:color="auto"/>
            <w:bottom w:val="none" w:sz="0" w:space="0" w:color="auto"/>
            <w:right w:val="none" w:sz="0" w:space="0" w:color="auto"/>
          </w:divBdr>
          <w:divsChild>
            <w:div w:id="1464421357">
              <w:marLeft w:val="45"/>
              <w:marRight w:val="45"/>
              <w:marTop w:val="45"/>
              <w:marBottom w:val="45"/>
              <w:divBdr>
                <w:top w:val="none" w:sz="0" w:space="0" w:color="auto"/>
                <w:left w:val="none" w:sz="0" w:space="0" w:color="auto"/>
                <w:bottom w:val="none" w:sz="0" w:space="0" w:color="auto"/>
                <w:right w:val="none" w:sz="0" w:space="0" w:color="auto"/>
              </w:divBdr>
              <w:divsChild>
                <w:div w:id="2002730004">
                  <w:marLeft w:val="0"/>
                  <w:marRight w:val="0"/>
                  <w:marTop w:val="0"/>
                  <w:marBottom w:val="0"/>
                  <w:divBdr>
                    <w:top w:val="none" w:sz="0" w:space="0" w:color="auto"/>
                    <w:left w:val="none" w:sz="0" w:space="0" w:color="auto"/>
                    <w:bottom w:val="none" w:sz="0" w:space="0" w:color="auto"/>
                    <w:right w:val="none" w:sz="0" w:space="0" w:color="auto"/>
                  </w:divBdr>
                  <w:divsChild>
                    <w:div w:id="84307934">
                      <w:marLeft w:val="360"/>
                      <w:marRight w:val="0"/>
                      <w:marTop w:val="0"/>
                      <w:marBottom w:val="0"/>
                      <w:divBdr>
                        <w:top w:val="none" w:sz="0" w:space="0" w:color="auto"/>
                        <w:left w:val="none" w:sz="0" w:space="0" w:color="auto"/>
                        <w:bottom w:val="none" w:sz="0" w:space="0" w:color="auto"/>
                        <w:right w:val="none" w:sz="0" w:space="0" w:color="auto"/>
                      </w:divBdr>
                    </w:div>
                    <w:div w:id="156576354">
                      <w:marLeft w:val="0"/>
                      <w:marRight w:val="0"/>
                      <w:marTop w:val="0"/>
                      <w:marBottom w:val="0"/>
                      <w:divBdr>
                        <w:top w:val="none" w:sz="0" w:space="0" w:color="auto"/>
                        <w:left w:val="none" w:sz="0" w:space="0" w:color="auto"/>
                        <w:bottom w:val="none" w:sz="0" w:space="0" w:color="auto"/>
                        <w:right w:val="none" w:sz="0" w:space="0" w:color="auto"/>
                      </w:divBdr>
                    </w:div>
                    <w:div w:id="342826545">
                      <w:marLeft w:val="0"/>
                      <w:marRight w:val="0"/>
                      <w:marTop w:val="0"/>
                      <w:marBottom w:val="0"/>
                      <w:divBdr>
                        <w:top w:val="none" w:sz="0" w:space="0" w:color="auto"/>
                        <w:left w:val="none" w:sz="0" w:space="0" w:color="auto"/>
                        <w:bottom w:val="none" w:sz="0" w:space="0" w:color="auto"/>
                        <w:right w:val="none" w:sz="0" w:space="0" w:color="auto"/>
                      </w:divBdr>
                    </w:div>
                    <w:div w:id="577441511">
                      <w:marLeft w:val="360"/>
                      <w:marRight w:val="0"/>
                      <w:marTop w:val="0"/>
                      <w:marBottom w:val="0"/>
                      <w:divBdr>
                        <w:top w:val="none" w:sz="0" w:space="0" w:color="auto"/>
                        <w:left w:val="none" w:sz="0" w:space="0" w:color="auto"/>
                        <w:bottom w:val="none" w:sz="0" w:space="0" w:color="auto"/>
                        <w:right w:val="none" w:sz="0" w:space="0" w:color="auto"/>
                      </w:divBdr>
                    </w:div>
                    <w:div w:id="917711425">
                      <w:marLeft w:val="360"/>
                      <w:marRight w:val="0"/>
                      <w:marTop w:val="0"/>
                      <w:marBottom w:val="0"/>
                      <w:divBdr>
                        <w:top w:val="none" w:sz="0" w:space="0" w:color="auto"/>
                        <w:left w:val="none" w:sz="0" w:space="0" w:color="auto"/>
                        <w:bottom w:val="none" w:sz="0" w:space="0" w:color="auto"/>
                        <w:right w:val="none" w:sz="0" w:space="0" w:color="auto"/>
                      </w:divBdr>
                    </w:div>
                    <w:div w:id="1119879605">
                      <w:marLeft w:val="0"/>
                      <w:marRight w:val="0"/>
                      <w:marTop w:val="0"/>
                      <w:marBottom w:val="0"/>
                      <w:divBdr>
                        <w:top w:val="none" w:sz="0" w:space="0" w:color="auto"/>
                        <w:left w:val="none" w:sz="0" w:space="0" w:color="auto"/>
                        <w:bottom w:val="none" w:sz="0" w:space="0" w:color="auto"/>
                        <w:right w:val="none" w:sz="0" w:space="0" w:color="auto"/>
                      </w:divBdr>
                    </w:div>
                    <w:div w:id="1132480009">
                      <w:marLeft w:val="360"/>
                      <w:marRight w:val="0"/>
                      <w:marTop w:val="0"/>
                      <w:marBottom w:val="0"/>
                      <w:divBdr>
                        <w:top w:val="none" w:sz="0" w:space="0" w:color="auto"/>
                        <w:left w:val="none" w:sz="0" w:space="0" w:color="auto"/>
                        <w:bottom w:val="none" w:sz="0" w:space="0" w:color="auto"/>
                        <w:right w:val="none" w:sz="0" w:space="0" w:color="auto"/>
                      </w:divBdr>
                    </w:div>
                    <w:div w:id="1247301545">
                      <w:marLeft w:val="0"/>
                      <w:marRight w:val="0"/>
                      <w:marTop w:val="0"/>
                      <w:marBottom w:val="0"/>
                      <w:divBdr>
                        <w:top w:val="none" w:sz="0" w:space="0" w:color="auto"/>
                        <w:left w:val="none" w:sz="0" w:space="0" w:color="auto"/>
                        <w:bottom w:val="none" w:sz="0" w:space="0" w:color="auto"/>
                        <w:right w:val="none" w:sz="0" w:space="0" w:color="auto"/>
                      </w:divBdr>
                    </w:div>
                    <w:div w:id="1506700831">
                      <w:marLeft w:val="0"/>
                      <w:marRight w:val="0"/>
                      <w:marTop w:val="0"/>
                      <w:marBottom w:val="0"/>
                      <w:divBdr>
                        <w:top w:val="none" w:sz="0" w:space="0" w:color="auto"/>
                        <w:left w:val="none" w:sz="0" w:space="0" w:color="auto"/>
                        <w:bottom w:val="none" w:sz="0" w:space="0" w:color="auto"/>
                        <w:right w:val="none" w:sz="0" w:space="0" w:color="auto"/>
                      </w:divBdr>
                    </w:div>
                    <w:div w:id="1536036615">
                      <w:marLeft w:val="360"/>
                      <w:marRight w:val="0"/>
                      <w:marTop w:val="0"/>
                      <w:marBottom w:val="0"/>
                      <w:divBdr>
                        <w:top w:val="none" w:sz="0" w:space="0" w:color="auto"/>
                        <w:left w:val="none" w:sz="0" w:space="0" w:color="auto"/>
                        <w:bottom w:val="none" w:sz="0" w:space="0" w:color="auto"/>
                        <w:right w:val="none" w:sz="0" w:space="0" w:color="auto"/>
                      </w:divBdr>
                    </w:div>
                    <w:div w:id="15460166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077">
      <w:bodyDiv w:val="1"/>
      <w:marLeft w:val="0"/>
      <w:marRight w:val="0"/>
      <w:marTop w:val="0"/>
      <w:marBottom w:val="0"/>
      <w:divBdr>
        <w:top w:val="none" w:sz="0" w:space="0" w:color="auto"/>
        <w:left w:val="none" w:sz="0" w:space="0" w:color="auto"/>
        <w:bottom w:val="none" w:sz="0" w:space="0" w:color="auto"/>
        <w:right w:val="none" w:sz="0" w:space="0" w:color="auto"/>
      </w:divBdr>
    </w:div>
    <w:div w:id="298925632">
      <w:bodyDiv w:val="1"/>
      <w:marLeft w:val="0"/>
      <w:marRight w:val="0"/>
      <w:marTop w:val="0"/>
      <w:marBottom w:val="0"/>
      <w:divBdr>
        <w:top w:val="none" w:sz="0" w:space="0" w:color="auto"/>
        <w:left w:val="none" w:sz="0" w:space="0" w:color="auto"/>
        <w:bottom w:val="none" w:sz="0" w:space="0" w:color="auto"/>
        <w:right w:val="none" w:sz="0" w:space="0" w:color="auto"/>
      </w:divBdr>
    </w:div>
    <w:div w:id="398937979">
      <w:bodyDiv w:val="1"/>
      <w:marLeft w:val="0"/>
      <w:marRight w:val="0"/>
      <w:marTop w:val="0"/>
      <w:marBottom w:val="0"/>
      <w:divBdr>
        <w:top w:val="none" w:sz="0" w:space="0" w:color="auto"/>
        <w:left w:val="none" w:sz="0" w:space="0" w:color="auto"/>
        <w:bottom w:val="none" w:sz="0" w:space="0" w:color="auto"/>
        <w:right w:val="none" w:sz="0" w:space="0" w:color="auto"/>
      </w:divBdr>
      <w:divsChild>
        <w:div w:id="1281302184">
          <w:marLeft w:val="0"/>
          <w:marRight w:val="0"/>
          <w:marTop w:val="0"/>
          <w:marBottom w:val="0"/>
          <w:divBdr>
            <w:top w:val="none" w:sz="0" w:space="0" w:color="auto"/>
            <w:left w:val="none" w:sz="0" w:space="0" w:color="auto"/>
            <w:bottom w:val="none" w:sz="0" w:space="0" w:color="auto"/>
            <w:right w:val="none" w:sz="0" w:space="0" w:color="auto"/>
          </w:divBdr>
          <w:divsChild>
            <w:div w:id="8410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01">
      <w:bodyDiv w:val="1"/>
      <w:marLeft w:val="31"/>
      <w:marRight w:val="31"/>
      <w:marTop w:val="31"/>
      <w:marBottom w:val="31"/>
      <w:divBdr>
        <w:top w:val="none" w:sz="0" w:space="0" w:color="auto"/>
        <w:left w:val="none" w:sz="0" w:space="0" w:color="auto"/>
        <w:bottom w:val="none" w:sz="0" w:space="0" w:color="auto"/>
        <w:right w:val="none" w:sz="0" w:space="0" w:color="auto"/>
      </w:divBdr>
      <w:divsChild>
        <w:div w:id="1987514764">
          <w:marLeft w:val="0"/>
          <w:marRight w:val="0"/>
          <w:marTop w:val="0"/>
          <w:marBottom w:val="0"/>
          <w:divBdr>
            <w:top w:val="none" w:sz="0" w:space="0" w:color="auto"/>
            <w:left w:val="none" w:sz="0" w:space="0" w:color="auto"/>
            <w:bottom w:val="none" w:sz="0" w:space="0" w:color="auto"/>
            <w:right w:val="none" w:sz="0" w:space="0" w:color="auto"/>
          </w:divBdr>
          <w:divsChild>
            <w:div w:id="983774922">
              <w:marLeft w:val="47"/>
              <w:marRight w:val="47"/>
              <w:marTop w:val="47"/>
              <w:marBottom w:val="47"/>
              <w:divBdr>
                <w:top w:val="none" w:sz="0" w:space="0" w:color="auto"/>
                <w:left w:val="none" w:sz="0" w:space="0" w:color="auto"/>
                <w:bottom w:val="none" w:sz="0" w:space="0" w:color="auto"/>
                <w:right w:val="none" w:sz="0" w:space="0" w:color="auto"/>
              </w:divBdr>
              <w:divsChild>
                <w:div w:id="1668512474">
                  <w:marLeft w:val="0"/>
                  <w:marRight w:val="0"/>
                  <w:marTop w:val="0"/>
                  <w:marBottom w:val="0"/>
                  <w:divBdr>
                    <w:top w:val="none" w:sz="0" w:space="0" w:color="auto"/>
                    <w:left w:val="none" w:sz="0" w:space="0" w:color="auto"/>
                    <w:bottom w:val="none" w:sz="0" w:space="0" w:color="auto"/>
                    <w:right w:val="none" w:sz="0" w:space="0" w:color="auto"/>
                  </w:divBdr>
                  <w:divsChild>
                    <w:div w:id="68979643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7023">
      <w:bodyDiv w:val="1"/>
      <w:marLeft w:val="30"/>
      <w:marRight w:val="30"/>
      <w:marTop w:val="30"/>
      <w:marBottom w:val="30"/>
      <w:divBdr>
        <w:top w:val="none" w:sz="0" w:space="0" w:color="auto"/>
        <w:left w:val="none" w:sz="0" w:space="0" w:color="auto"/>
        <w:bottom w:val="none" w:sz="0" w:space="0" w:color="auto"/>
        <w:right w:val="none" w:sz="0" w:space="0" w:color="auto"/>
      </w:divBdr>
      <w:divsChild>
        <w:div w:id="209848478">
          <w:marLeft w:val="0"/>
          <w:marRight w:val="0"/>
          <w:marTop w:val="0"/>
          <w:marBottom w:val="0"/>
          <w:divBdr>
            <w:top w:val="none" w:sz="0" w:space="0" w:color="auto"/>
            <w:left w:val="none" w:sz="0" w:space="0" w:color="auto"/>
            <w:bottom w:val="none" w:sz="0" w:space="0" w:color="auto"/>
            <w:right w:val="none" w:sz="0" w:space="0" w:color="auto"/>
          </w:divBdr>
          <w:divsChild>
            <w:div w:id="387650028">
              <w:marLeft w:val="45"/>
              <w:marRight w:val="45"/>
              <w:marTop w:val="45"/>
              <w:marBottom w:val="45"/>
              <w:divBdr>
                <w:top w:val="none" w:sz="0" w:space="0" w:color="auto"/>
                <w:left w:val="none" w:sz="0" w:space="0" w:color="auto"/>
                <w:bottom w:val="none" w:sz="0" w:space="0" w:color="auto"/>
                <w:right w:val="none" w:sz="0" w:space="0" w:color="auto"/>
              </w:divBdr>
              <w:divsChild>
                <w:div w:id="1698694201">
                  <w:marLeft w:val="0"/>
                  <w:marRight w:val="0"/>
                  <w:marTop w:val="0"/>
                  <w:marBottom w:val="0"/>
                  <w:divBdr>
                    <w:top w:val="none" w:sz="0" w:space="0" w:color="auto"/>
                    <w:left w:val="none" w:sz="0" w:space="0" w:color="auto"/>
                    <w:bottom w:val="none" w:sz="0" w:space="0" w:color="auto"/>
                    <w:right w:val="none" w:sz="0" w:space="0" w:color="auto"/>
                  </w:divBdr>
                  <w:divsChild>
                    <w:div w:id="199897194">
                      <w:marLeft w:val="360"/>
                      <w:marRight w:val="0"/>
                      <w:marTop w:val="0"/>
                      <w:marBottom w:val="0"/>
                      <w:divBdr>
                        <w:top w:val="none" w:sz="0" w:space="0" w:color="auto"/>
                        <w:left w:val="none" w:sz="0" w:space="0" w:color="auto"/>
                        <w:bottom w:val="none" w:sz="0" w:space="0" w:color="auto"/>
                        <w:right w:val="none" w:sz="0" w:space="0" w:color="auto"/>
                      </w:divBdr>
                    </w:div>
                    <w:div w:id="474880482">
                      <w:marLeft w:val="0"/>
                      <w:marRight w:val="0"/>
                      <w:marTop w:val="0"/>
                      <w:marBottom w:val="0"/>
                      <w:divBdr>
                        <w:top w:val="none" w:sz="0" w:space="0" w:color="auto"/>
                        <w:left w:val="none" w:sz="0" w:space="0" w:color="auto"/>
                        <w:bottom w:val="none" w:sz="0" w:space="0" w:color="auto"/>
                        <w:right w:val="none" w:sz="0" w:space="0" w:color="auto"/>
                      </w:divBdr>
                    </w:div>
                    <w:div w:id="527766999">
                      <w:marLeft w:val="0"/>
                      <w:marRight w:val="0"/>
                      <w:marTop w:val="0"/>
                      <w:marBottom w:val="0"/>
                      <w:divBdr>
                        <w:top w:val="none" w:sz="0" w:space="0" w:color="auto"/>
                        <w:left w:val="none" w:sz="0" w:space="0" w:color="auto"/>
                        <w:bottom w:val="none" w:sz="0" w:space="0" w:color="auto"/>
                        <w:right w:val="none" w:sz="0" w:space="0" w:color="auto"/>
                      </w:divBdr>
                    </w:div>
                    <w:div w:id="1393700359">
                      <w:marLeft w:val="0"/>
                      <w:marRight w:val="0"/>
                      <w:marTop w:val="0"/>
                      <w:marBottom w:val="0"/>
                      <w:divBdr>
                        <w:top w:val="none" w:sz="0" w:space="0" w:color="auto"/>
                        <w:left w:val="none" w:sz="0" w:space="0" w:color="auto"/>
                        <w:bottom w:val="none" w:sz="0" w:space="0" w:color="auto"/>
                        <w:right w:val="none" w:sz="0" w:space="0" w:color="auto"/>
                      </w:divBdr>
                    </w:div>
                    <w:div w:id="1428231070">
                      <w:marLeft w:val="1080"/>
                      <w:marRight w:val="0"/>
                      <w:marTop w:val="0"/>
                      <w:marBottom w:val="0"/>
                      <w:divBdr>
                        <w:top w:val="none" w:sz="0" w:space="0" w:color="auto"/>
                        <w:left w:val="none" w:sz="0" w:space="0" w:color="auto"/>
                        <w:bottom w:val="none" w:sz="0" w:space="0" w:color="auto"/>
                        <w:right w:val="none" w:sz="0" w:space="0" w:color="auto"/>
                      </w:divBdr>
                    </w:div>
                    <w:div w:id="1559123847">
                      <w:marLeft w:val="0"/>
                      <w:marRight w:val="0"/>
                      <w:marTop w:val="0"/>
                      <w:marBottom w:val="0"/>
                      <w:divBdr>
                        <w:top w:val="none" w:sz="0" w:space="0" w:color="auto"/>
                        <w:left w:val="none" w:sz="0" w:space="0" w:color="auto"/>
                        <w:bottom w:val="none" w:sz="0" w:space="0" w:color="auto"/>
                        <w:right w:val="none" w:sz="0" w:space="0" w:color="auto"/>
                      </w:divBdr>
                    </w:div>
                    <w:div w:id="1732651692">
                      <w:marLeft w:val="360"/>
                      <w:marRight w:val="0"/>
                      <w:marTop w:val="0"/>
                      <w:marBottom w:val="0"/>
                      <w:divBdr>
                        <w:top w:val="none" w:sz="0" w:space="0" w:color="auto"/>
                        <w:left w:val="none" w:sz="0" w:space="0" w:color="auto"/>
                        <w:bottom w:val="none" w:sz="0" w:space="0" w:color="auto"/>
                        <w:right w:val="none" w:sz="0" w:space="0" w:color="auto"/>
                      </w:divBdr>
                    </w:div>
                    <w:div w:id="1742749837">
                      <w:marLeft w:val="0"/>
                      <w:marRight w:val="0"/>
                      <w:marTop w:val="0"/>
                      <w:marBottom w:val="0"/>
                      <w:divBdr>
                        <w:top w:val="none" w:sz="0" w:space="0" w:color="auto"/>
                        <w:left w:val="none" w:sz="0" w:space="0" w:color="auto"/>
                        <w:bottom w:val="none" w:sz="0" w:space="0" w:color="auto"/>
                        <w:right w:val="none" w:sz="0" w:space="0" w:color="auto"/>
                      </w:divBdr>
                    </w:div>
                    <w:div w:id="1779829096">
                      <w:marLeft w:val="360"/>
                      <w:marRight w:val="0"/>
                      <w:marTop w:val="0"/>
                      <w:marBottom w:val="0"/>
                      <w:divBdr>
                        <w:top w:val="none" w:sz="0" w:space="0" w:color="auto"/>
                        <w:left w:val="none" w:sz="0" w:space="0" w:color="auto"/>
                        <w:bottom w:val="none" w:sz="0" w:space="0" w:color="auto"/>
                        <w:right w:val="none" w:sz="0" w:space="0" w:color="auto"/>
                      </w:divBdr>
                    </w:div>
                    <w:div w:id="1815874757">
                      <w:marLeft w:val="360"/>
                      <w:marRight w:val="0"/>
                      <w:marTop w:val="0"/>
                      <w:marBottom w:val="0"/>
                      <w:divBdr>
                        <w:top w:val="none" w:sz="0" w:space="0" w:color="auto"/>
                        <w:left w:val="none" w:sz="0" w:space="0" w:color="auto"/>
                        <w:bottom w:val="none" w:sz="0" w:space="0" w:color="auto"/>
                        <w:right w:val="none" w:sz="0" w:space="0" w:color="auto"/>
                      </w:divBdr>
                    </w:div>
                    <w:div w:id="1823345874">
                      <w:marLeft w:val="0"/>
                      <w:marRight w:val="0"/>
                      <w:marTop w:val="0"/>
                      <w:marBottom w:val="0"/>
                      <w:divBdr>
                        <w:top w:val="none" w:sz="0" w:space="0" w:color="auto"/>
                        <w:left w:val="none" w:sz="0" w:space="0" w:color="auto"/>
                        <w:bottom w:val="none" w:sz="0" w:space="0" w:color="auto"/>
                        <w:right w:val="none" w:sz="0" w:space="0" w:color="auto"/>
                      </w:divBdr>
                    </w:div>
                    <w:div w:id="1848906949">
                      <w:marLeft w:val="0"/>
                      <w:marRight w:val="0"/>
                      <w:marTop w:val="0"/>
                      <w:marBottom w:val="0"/>
                      <w:divBdr>
                        <w:top w:val="none" w:sz="0" w:space="0" w:color="auto"/>
                        <w:left w:val="none" w:sz="0" w:space="0" w:color="auto"/>
                        <w:bottom w:val="none" w:sz="0" w:space="0" w:color="auto"/>
                        <w:right w:val="none" w:sz="0" w:space="0" w:color="auto"/>
                      </w:divBdr>
                    </w:div>
                    <w:div w:id="1927230999">
                      <w:marLeft w:val="0"/>
                      <w:marRight w:val="0"/>
                      <w:marTop w:val="0"/>
                      <w:marBottom w:val="0"/>
                      <w:divBdr>
                        <w:top w:val="none" w:sz="0" w:space="0" w:color="auto"/>
                        <w:left w:val="none" w:sz="0" w:space="0" w:color="auto"/>
                        <w:bottom w:val="none" w:sz="0" w:space="0" w:color="auto"/>
                        <w:right w:val="none" w:sz="0" w:space="0" w:color="auto"/>
                      </w:divBdr>
                    </w:div>
                    <w:div w:id="19547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8192">
      <w:bodyDiv w:val="1"/>
      <w:marLeft w:val="30"/>
      <w:marRight w:val="30"/>
      <w:marTop w:val="30"/>
      <w:marBottom w:val="30"/>
      <w:divBdr>
        <w:top w:val="none" w:sz="0" w:space="0" w:color="auto"/>
        <w:left w:val="none" w:sz="0" w:space="0" w:color="auto"/>
        <w:bottom w:val="none" w:sz="0" w:space="0" w:color="auto"/>
        <w:right w:val="none" w:sz="0" w:space="0" w:color="auto"/>
      </w:divBdr>
      <w:divsChild>
        <w:div w:id="1901398902">
          <w:marLeft w:val="0"/>
          <w:marRight w:val="0"/>
          <w:marTop w:val="0"/>
          <w:marBottom w:val="0"/>
          <w:divBdr>
            <w:top w:val="none" w:sz="0" w:space="0" w:color="auto"/>
            <w:left w:val="none" w:sz="0" w:space="0" w:color="auto"/>
            <w:bottom w:val="none" w:sz="0" w:space="0" w:color="auto"/>
            <w:right w:val="none" w:sz="0" w:space="0" w:color="auto"/>
          </w:divBdr>
          <w:divsChild>
            <w:div w:id="1080102889">
              <w:marLeft w:val="45"/>
              <w:marRight w:val="45"/>
              <w:marTop w:val="45"/>
              <w:marBottom w:val="45"/>
              <w:divBdr>
                <w:top w:val="none" w:sz="0" w:space="0" w:color="auto"/>
                <w:left w:val="none" w:sz="0" w:space="0" w:color="auto"/>
                <w:bottom w:val="none" w:sz="0" w:space="0" w:color="auto"/>
                <w:right w:val="none" w:sz="0" w:space="0" w:color="auto"/>
              </w:divBdr>
              <w:divsChild>
                <w:div w:id="1866822002">
                  <w:marLeft w:val="0"/>
                  <w:marRight w:val="0"/>
                  <w:marTop w:val="0"/>
                  <w:marBottom w:val="0"/>
                  <w:divBdr>
                    <w:top w:val="none" w:sz="0" w:space="0" w:color="auto"/>
                    <w:left w:val="none" w:sz="0" w:space="0" w:color="auto"/>
                    <w:bottom w:val="none" w:sz="0" w:space="0" w:color="auto"/>
                    <w:right w:val="none" w:sz="0" w:space="0" w:color="auto"/>
                  </w:divBdr>
                  <w:divsChild>
                    <w:div w:id="2025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0280">
      <w:bodyDiv w:val="1"/>
      <w:marLeft w:val="30"/>
      <w:marRight w:val="30"/>
      <w:marTop w:val="30"/>
      <w:marBottom w:val="30"/>
      <w:divBdr>
        <w:top w:val="none" w:sz="0" w:space="0" w:color="auto"/>
        <w:left w:val="none" w:sz="0" w:space="0" w:color="auto"/>
        <w:bottom w:val="none" w:sz="0" w:space="0" w:color="auto"/>
        <w:right w:val="none" w:sz="0" w:space="0" w:color="auto"/>
      </w:divBdr>
      <w:divsChild>
        <w:div w:id="332344481">
          <w:marLeft w:val="0"/>
          <w:marRight w:val="0"/>
          <w:marTop w:val="0"/>
          <w:marBottom w:val="0"/>
          <w:divBdr>
            <w:top w:val="none" w:sz="0" w:space="0" w:color="auto"/>
            <w:left w:val="none" w:sz="0" w:space="0" w:color="auto"/>
            <w:bottom w:val="none" w:sz="0" w:space="0" w:color="auto"/>
            <w:right w:val="none" w:sz="0" w:space="0" w:color="auto"/>
          </w:divBdr>
          <w:divsChild>
            <w:div w:id="508374770">
              <w:marLeft w:val="45"/>
              <w:marRight w:val="45"/>
              <w:marTop w:val="45"/>
              <w:marBottom w:val="45"/>
              <w:divBdr>
                <w:top w:val="none" w:sz="0" w:space="0" w:color="auto"/>
                <w:left w:val="none" w:sz="0" w:space="0" w:color="auto"/>
                <w:bottom w:val="none" w:sz="0" w:space="0" w:color="auto"/>
                <w:right w:val="none" w:sz="0" w:space="0" w:color="auto"/>
              </w:divBdr>
              <w:divsChild>
                <w:div w:id="10225815">
                  <w:marLeft w:val="0"/>
                  <w:marRight w:val="0"/>
                  <w:marTop w:val="0"/>
                  <w:marBottom w:val="0"/>
                  <w:divBdr>
                    <w:top w:val="none" w:sz="0" w:space="0" w:color="auto"/>
                    <w:left w:val="none" w:sz="0" w:space="0" w:color="auto"/>
                    <w:bottom w:val="none" w:sz="0" w:space="0" w:color="auto"/>
                    <w:right w:val="none" w:sz="0" w:space="0" w:color="auto"/>
                  </w:divBdr>
                  <w:divsChild>
                    <w:div w:id="6452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19593">
      <w:bodyDiv w:val="1"/>
      <w:marLeft w:val="0"/>
      <w:marRight w:val="0"/>
      <w:marTop w:val="0"/>
      <w:marBottom w:val="0"/>
      <w:divBdr>
        <w:top w:val="none" w:sz="0" w:space="0" w:color="auto"/>
        <w:left w:val="none" w:sz="0" w:space="0" w:color="auto"/>
        <w:bottom w:val="none" w:sz="0" w:space="0" w:color="auto"/>
        <w:right w:val="none" w:sz="0" w:space="0" w:color="auto"/>
      </w:divBdr>
      <w:divsChild>
        <w:div w:id="1056231">
          <w:marLeft w:val="0"/>
          <w:marRight w:val="0"/>
          <w:marTop w:val="0"/>
          <w:marBottom w:val="0"/>
          <w:divBdr>
            <w:top w:val="none" w:sz="0" w:space="0" w:color="auto"/>
            <w:left w:val="none" w:sz="0" w:space="0" w:color="auto"/>
            <w:bottom w:val="none" w:sz="0" w:space="0" w:color="auto"/>
            <w:right w:val="none" w:sz="0" w:space="0" w:color="auto"/>
          </w:divBdr>
          <w:divsChild>
            <w:div w:id="20470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069">
      <w:bodyDiv w:val="1"/>
      <w:marLeft w:val="0"/>
      <w:marRight w:val="0"/>
      <w:marTop w:val="0"/>
      <w:marBottom w:val="0"/>
      <w:divBdr>
        <w:top w:val="none" w:sz="0" w:space="0" w:color="auto"/>
        <w:left w:val="none" w:sz="0" w:space="0" w:color="auto"/>
        <w:bottom w:val="none" w:sz="0" w:space="0" w:color="auto"/>
        <w:right w:val="none" w:sz="0" w:space="0" w:color="auto"/>
      </w:divBdr>
      <w:divsChild>
        <w:div w:id="410666270">
          <w:marLeft w:val="0"/>
          <w:marRight w:val="0"/>
          <w:marTop w:val="0"/>
          <w:marBottom w:val="0"/>
          <w:divBdr>
            <w:top w:val="none" w:sz="0" w:space="0" w:color="auto"/>
            <w:left w:val="none" w:sz="0" w:space="0" w:color="auto"/>
            <w:bottom w:val="none" w:sz="0" w:space="0" w:color="auto"/>
            <w:right w:val="none" w:sz="0" w:space="0" w:color="auto"/>
          </w:divBdr>
          <w:divsChild>
            <w:div w:id="1999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084">
      <w:bodyDiv w:val="1"/>
      <w:marLeft w:val="30"/>
      <w:marRight w:val="30"/>
      <w:marTop w:val="30"/>
      <w:marBottom w:val="30"/>
      <w:divBdr>
        <w:top w:val="none" w:sz="0" w:space="0" w:color="auto"/>
        <w:left w:val="none" w:sz="0" w:space="0" w:color="auto"/>
        <w:bottom w:val="none" w:sz="0" w:space="0" w:color="auto"/>
        <w:right w:val="none" w:sz="0" w:space="0" w:color="auto"/>
      </w:divBdr>
      <w:divsChild>
        <w:div w:id="1852407795">
          <w:marLeft w:val="0"/>
          <w:marRight w:val="0"/>
          <w:marTop w:val="0"/>
          <w:marBottom w:val="0"/>
          <w:divBdr>
            <w:top w:val="none" w:sz="0" w:space="0" w:color="auto"/>
            <w:left w:val="none" w:sz="0" w:space="0" w:color="auto"/>
            <w:bottom w:val="none" w:sz="0" w:space="0" w:color="auto"/>
            <w:right w:val="none" w:sz="0" w:space="0" w:color="auto"/>
          </w:divBdr>
          <w:divsChild>
            <w:div w:id="2005164378">
              <w:marLeft w:val="45"/>
              <w:marRight w:val="45"/>
              <w:marTop w:val="45"/>
              <w:marBottom w:val="45"/>
              <w:divBdr>
                <w:top w:val="none" w:sz="0" w:space="0" w:color="auto"/>
                <w:left w:val="none" w:sz="0" w:space="0" w:color="auto"/>
                <w:bottom w:val="none" w:sz="0" w:space="0" w:color="auto"/>
                <w:right w:val="none" w:sz="0" w:space="0" w:color="auto"/>
              </w:divBdr>
              <w:divsChild>
                <w:div w:id="454912701">
                  <w:marLeft w:val="0"/>
                  <w:marRight w:val="0"/>
                  <w:marTop w:val="0"/>
                  <w:marBottom w:val="0"/>
                  <w:divBdr>
                    <w:top w:val="none" w:sz="0" w:space="0" w:color="auto"/>
                    <w:left w:val="none" w:sz="0" w:space="0" w:color="auto"/>
                    <w:bottom w:val="none" w:sz="0" w:space="0" w:color="auto"/>
                    <w:right w:val="none" w:sz="0" w:space="0" w:color="auto"/>
                  </w:divBdr>
                  <w:divsChild>
                    <w:div w:id="16829008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1713">
      <w:bodyDiv w:val="1"/>
      <w:marLeft w:val="30"/>
      <w:marRight w:val="30"/>
      <w:marTop w:val="30"/>
      <w:marBottom w:val="30"/>
      <w:divBdr>
        <w:top w:val="none" w:sz="0" w:space="0" w:color="auto"/>
        <w:left w:val="none" w:sz="0" w:space="0" w:color="auto"/>
        <w:bottom w:val="none" w:sz="0" w:space="0" w:color="auto"/>
        <w:right w:val="none" w:sz="0" w:space="0" w:color="auto"/>
      </w:divBdr>
      <w:divsChild>
        <w:div w:id="2144695006">
          <w:marLeft w:val="0"/>
          <w:marRight w:val="0"/>
          <w:marTop w:val="0"/>
          <w:marBottom w:val="0"/>
          <w:divBdr>
            <w:top w:val="none" w:sz="0" w:space="0" w:color="auto"/>
            <w:left w:val="none" w:sz="0" w:space="0" w:color="auto"/>
            <w:bottom w:val="none" w:sz="0" w:space="0" w:color="auto"/>
            <w:right w:val="none" w:sz="0" w:space="0" w:color="auto"/>
          </w:divBdr>
          <w:divsChild>
            <w:div w:id="719742489">
              <w:marLeft w:val="45"/>
              <w:marRight w:val="45"/>
              <w:marTop w:val="45"/>
              <w:marBottom w:val="45"/>
              <w:divBdr>
                <w:top w:val="none" w:sz="0" w:space="0" w:color="auto"/>
                <w:left w:val="none" w:sz="0" w:space="0" w:color="auto"/>
                <w:bottom w:val="none" w:sz="0" w:space="0" w:color="auto"/>
                <w:right w:val="none" w:sz="0" w:space="0" w:color="auto"/>
              </w:divBdr>
              <w:divsChild>
                <w:div w:id="2064131553">
                  <w:marLeft w:val="0"/>
                  <w:marRight w:val="0"/>
                  <w:marTop w:val="0"/>
                  <w:marBottom w:val="0"/>
                  <w:divBdr>
                    <w:top w:val="none" w:sz="0" w:space="0" w:color="auto"/>
                    <w:left w:val="none" w:sz="0" w:space="0" w:color="auto"/>
                    <w:bottom w:val="none" w:sz="0" w:space="0" w:color="auto"/>
                    <w:right w:val="none" w:sz="0" w:space="0" w:color="auto"/>
                  </w:divBdr>
                  <w:divsChild>
                    <w:div w:id="7987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3483">
      <w:bodyDiv w:val="1"/>
      <w:marLeft w:val="30"/>
      <w:marRight w:val="30"/>
      <w:marTop w:val="30"/>
      <w:marBottom w:val="30"/>
      <w:divBdr>
        <w:top w:val="none" w:sz="0" w:space="0" w:color="auto"/>
        <w:left w:val="none" w:sz="0" w:space="0" w:color="auto"/>
        <w:bottom w:val="none" w:sz="0" w:space="0" w:color="auto"/>
        <w:right w:val="none" w:sz="0" w:space="0" w:color="auto"/>
      </w:divBdr>
      <w:divsChild>
        <w:div w:id="157187900">
          <w:marLeft w:val="0"/>
          <w:marRight w:val="0"/>
          <w:marTop w:val="0"/>
          <w:marBottom w:val="0"/>
          <w:divBdr>
            <w:top w:val="none" w:sz="0" w:space="0" w:color="auto"/>
            <w:left w:val="none" w:sz="0" w:space="0" w:color="auto"/>
            <w:bottom w:val="none" w:sz="0" w:space="0" w:color="auto"/>
            <w:right w:val="none" w:sz="0" w:space="0" w:color="auto"/>
          </w:divBdr>
          <w:divsChild>
            <w:div w:id="269551917">
              <w:marLeft w:val="45"/>
              <w:marRight w:val="45"/>
              <w:marTop w:val="45"/>
              <w:marBottom w:val="45"/>
              <w:divBdr>
                <w:top w:val="none" w:sz="0" w:space="0" w:color="auto"/>
                <w:left w:val="none" w:sz="0" w:space="0" w:color="auto"/>
                <w:bottom w:val="none" w:sz="0" w:space="0" w:color="auto"/>
                <w:right w:val="none" w:sz="0" w:space="0" w:color="auto"/>
              </w:divBdr>
              <w:divsChild>
                <w:div w:id="1839687447">
                  <w:marLeft w:val="0"/>
                  <w:marRight w:val="0"/>
                  <w:marTop w:val="0"/>
                  <w:marBottom w:val="0"/>
                  <w:divBdr>
                    <w:top w:val="none" w:sz="0" w:space="0" w:color="auto"/>
                    <w:left w:val="none" w:sz="0" w:space="0" w:color="auto"/>
                    <w:bottom w:val="none" w:sz="0" w:space="0" w:color="auto"/>
                    <w:right w:val="none" w:sz="0" w:space="0" w:color="auto"/>
                  </w:divBdr>
                  <w:divsChild>
                    <w:div w:id="36617557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94568">
      <w:bodyDiv w:val="1"/>
      <w:marLeft w:val="0"/>
      <w:marRight w:val="0"/>
      <w:marTop w:val="0"/>
      <w:marBottom w:val="0"/>
      <w:divBdr>
        <w:top w:val="none" w:sz="0" w:space="0" w:color="auto"/>
        <w:left w:val="none" w:sz="0" w:space="0" w:color="auto"/>
        <w:bottom w:val="none" w:sz="0" w:space="0" w:color="auto"/>
        <w:right w:val="none" w:sz="0" w:space="0" w:color="auto"/>
      </w:divBdr>
      <w:divsChild>
        <w:div w:id="116340345">
          <w:marLeft w:val="0"/>
          <w:marRight w:val="0"/>
          <w:marTop w:val="0"/>
          <w:marBottom w:val="0"/>
          <w:divBdr>
            <w:top w:val="none" w:sz="0" w:space="0" w:color="auto"/>
            <w:left w:val="none" w:sz="0" w:space="0" w:color="auto"/>
            <w:bottom w:val="none" w:sz="0" w:space="0" w:color="auto"/>
            <w:right w:val="none" w:sz="0" w:space="0" w:color="auto"/>
          </w:divBdr>
          <w:divsChild>
            <w:div w:id="11744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863">
      <w:bodyDiv w:val="1"/>
      <w:marLeft w:val="0"/>
      <w:marRight w:val="0"/>
      <w:marTop w:val="0"/>
      <w:marBottom w:val="0"/>
      <w:divBdr>
        <w:top w:val="none" w:sz="0" w:space="0" w:color="auto"/>
        <w:left w:val="none" w:sz="0" w:space="0" w:color="auto"/>
        <w:bottom w:val="none" w:sz="0" w:space="0" w:color="auto"/>
        <w:right w:val="none" w:sz="0" w:space="0" w:color="auto"/>
      </w:divBdr>
      <w:divsChild>
        <w:div w:id="982344666">
          <w:marLeft w:val="0"/>
          <w:marRight w:val="0"/>
          <w:marTop w:val="0"/>
          <w:marBottom w:val="0"/>
          <w:divBdr>
            <w:top w:val="none" w:sz="0" w:space="0" w:color="auto"/>
            <w:left w:val="none" w:sz="0" w:space="0" w:color="auto"/>
            <w:bottom w:val="none" w:sz="0" w:space="0" w:color="auto"/>
            <w:right w:val="none" w:sz="0" w:space="0" w:color="auto"/>
          </w:divBdr>
          <w:divsChild>
            <w:div w:id="1425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004">
      <w:bodyDiv w:val="1"/>
      <w:marLeft w:val="0"/>
      <w:marRight w:val="0"/>
      <w:marTop w:val="0"/>
      <w:marBottom w:val="0"/>
      <w:divBdr>
        <w:top w:val="none" w:sz="0" w:space="0" w:color="auto"/>
        <w:left w:val="none" w:sz="0" w:space="0" w:color="auto"/>
        <w:bottom w:val="none" w:sz="0" w:space="0" w:color="auto"/>
        <w:right w:val="none" w:sz="0" w:space="0" w:color="auto"/>
      </w:divBdr>
      <w:divsChild>
        <w:div w:id="2015958257">
          <w:marLeft w:val="0"/>
          <w:marRight w:val="0"/>
          <w:marTop w:val="0"/>
          <w:marBottom w:val="0"/>
          <w:divBdr>
            <w:top w:val="none" w:sz="0" w:space="0" w:color="auto"/>
            <w:left w:val="none" w:sz="0" w:space="0" w:color="auto"/>
            <w:bottom w:val="none" w:sz="0" w:space="0" w:color="auto"/>
            <w:right w:val="none" w:sz="0" w:space="0" w:color="auto"/>
          </w:divBdr>
          <w:divsChild>
            <w:div w:id="1258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650">
      <w:bodyDiv w:val="1"/>
      <w:marLeft w:val="0"/>
      <w:marRight w:val="0"/>
      <w:marTop w:val="0"/>
      <w:marBottom w:val="0"/>
      <w:divBdr>
        <w:top w:val="none" w:sz="0" w:space="0" w:color="auto"/>
        <w:left w:val="none" w:sz="0" w:space="0" w:color="auto"/>
        <w:bottom w:val="none" w:sz="0" w:space="0" w:color="auto"/>
        <w:right w:val="none" w:sz="0" w:space="0" w:color="auto"/>
      </w:divBdr>
      <w:divsChild>
        <w:div w:id="1866675026">
          <w:marLeft w:val="0"/>
          <w:marRight w:val="0"/>
          <w:marTop w:val="0"/>
          <w:marBottom w:val="0"/>
          <w:divBdr>
            <w:top w:val="none" w:sz="0" w:space="0" w:color="auto"/>
            <w:left w:val="none" w:sz="0" w:space="0" w:color="auto"/>
            <w:bottom w:val="none" w:sz="0" w:space="0" w:color="auto"/>
            <w:right w:val="none" w:sz="0" w:space="0" w:color="auto"/>
          </w:divBdr>
          <w:divsChild>
            <w:div w:id="11705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6765">
      <w:bodyDiv w:val="1"/>
      <w:marLeft w:val="30"/>
      <w:marRight w:val="30"/>
      <w:marTop w:val="30"/>
      <w:marBottom w:val="30"/>
      <w:divBdr>
        <w:top w:val="none" w:sz="0" w:space="0" w:color="auto"/>
        <w:left w:val="none" w:sz="0" w:space="0" w:color="auto"/>
        <w:bottom w:val="none" w:sz="0" w:space="0" w:color="auto"/>
        <w:right w:val="none" w:sz="0" w:space="0" w:color="auto"/>
      </w:divBdr>
      <w:divsChild>
        <w:div w:id="884366545">
          <w:marLeft w:val="0"/>
          <w:marRight w:val="0"/>
          <w:marTop w:val="0"/>
          <w:marBottom w:val="0"/>
          <w:divBdr>
            <w:top w:val="none" w:sz="0" w:space="0" w:color="auto"/>
            <w:left w:val="none" w:sz="0" w:space="0" w:color="auto"/>
            <w:bottom w:val="none" w:sz="0" w:space="0" w:color="auto"/>
            <w:right w:val="none" w:sz="0" w:space="0" w:color="auto"/>
          </w:divBdr>
          <w:divsChild>
            <w:div w:id="1681199306">
              <w:marLeft w:val="45"/>
              <w:marRight w:val="45"/>
              <w:marTop w:val="45"/>
              <w:marBottom w:val="45"/>
              <w:divBdr>
                <w:top w:val="none" w:sz="0" w:space="0" w:color="auto"/>
                <w:left w:val="none" w:sz="0" w:space="0" w:color="auto"/>
                <w:bottom w:val="none" w:sz="0" w:space="0" w:color="auto"/>
                <w:right w:val="none" w:sz="0" w:space="0" w:color="auto"/>
              </w:divBdr>
              <w:divsChild>
                <w:div w:id="667293116">
                  <w:marLeft w:val="0"/>
                  <w:marRight w:val="0"/>
                  <w:marTop w:val="0"/>
                  <w:marBottom w:val="0"/>
                  <w:divBdr>
                    <w:top w:val="none" w:sz="0" w:space="0" w:color="auto"/>
                    <w:left w:val="none" w:sz="0" w:space="0" w:color="auto"/>
                    <w:bottom w:val="none" w:sz="0" w:space="0" w:color="auto"/>
                    <w:right w:val="none" w:sz="0" w:space="0" w:color="auto"/>
                  </w:divBdr>
                  <w:divsChild>
                    <w:div w:id="1324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27310">
      <w:bodyDiv w:val="1"/>
      <w:marLeft w:val="30"/>
      <w:marRight w:val="30"/>
      <w:marTop w:val="30"/>
      <w:marBottom w:val="30"/>
      <w:divBdr>
        <w:top w:val="none" w:sz="0" w:space="0" w:color="auto"/>
        <w:left w:val="none" w:sz="0" w:space="0" w:color="auto"/>
        <w:bottom w:val="none" w:sz="0" w:space="0" w:color="auto"/>
        <w:right w:val="none" w:sz="0" w:space="0" w:color="auto"/>
      </w:divBdr>
      <w:divsChild>
        <w:div w:id="1939287226">
          <w:marLeft w:val="0"/>
          <w:marRight w:val="0"/>
          <w:marTop w:val="0"/>
          <w:marBottom w:val="0"/>
          <w:divBdr>
            <w:top w:val="none" w:sz="0" w:space="0" w:color="auto"/>
            <w:left w:val="none" w:sz="0" w:space="0" w:color="auto"/>
            <w:bottom w:val="none" w:sz="0" w:space="0" w:color="auto"/>
            <w:right w:val="none" w:sz="0" w:space="0" w:color="auto"/>
          </w:divBdr>
          <w:divsChild>
            <w:div w:id="1594900848">
              <w:marLeft w:val="45"/>
              <w:marRight w:val="45"/>
              <w:marTop w:val="45"/>
              <w:marBottom w:val="45"/>
              <w:divBdr>
                <w:top w:val="none" w:sz="0" w:space="0" w:color="auto"/>
                <w:left w:val="none" w:sz="0" w:space="0" w:color="auto"/>
                <w:bottom w:val="none" w:sz="0" w:space="0" w:color="auto"/>
                <w:right w:val="none" w:sz="0" w:space="0" w:color="auto"/>
              </w:divBdr>
              <w:divsChild>
                <w:div w:id="1286693407">
                  <w:marLeft w:val="0"/>
                  <w:marRight w:val="0"/>
                  <w:marTop w:val="0"/>
                  <w:marBottom w:val="0"/>
                  <w:divBdr>
                    <w:top w:val="none" w:sz="0" w:space="0" w:color="auto"/>
                    <w:left w:val="none" w:sz="0" w:space="0" w:color="auto"/>
                    <w:bottom w:val="none" w:sz="0" w:space="0" w:color="auto"/>
                    <w:right w:val="none" w:sz="0" w:space="0" w:color="auto"/>
                  </w:divBdr>
                  <w:divsChild>
                    <w:div w:id="280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0447">
      <w:bodyDiv w:val="1"/>
      <w:marLeft w:val="30"/>
      <w:marRight w:val="30"/>
      <w:marTop w:val="30"/>
      <w:marBottom w:val="30"/>
      <w:divBdr>
        <w:top w:val="none" w:sz="0" w:space="0" w:color="auto"/>
        <w:left w:val="none" w:sz="0" w:space="0" w:color="auto"/>
        <w:bottom w:val="none" w:sz="0" w:space="0" w:color="auto"/>
        <w:right w:val="none" w:sz="0" w:space="0" w:color="auto"/>
      </w:divBdr>
      <w:divsChild>
        <w:div w:id="1309624795">
          <w:marLeft w:val="0"/>
          <w:marRight w:val="0"/>
          <w:marTop w:val="0"/>
          <w:marBottom w:val="0"/>
          <w:divBdr>
            <w:top w:val="none" w:sz="0" w:space="0" w:color="auto"/>
            <w:left w:val="none" w:sz="0" w:space="0" w:color="auto"/>
            <w:bottom w:val="none" w:sz="0" w:space="0" w:color="auto"/>
            <w:right w:val="none" w:sz="0" w:space="0" w:color="auto"/>
          </w:divBdr>
          <w:divsChild>
            <w:div w:id="1621297378">
              <w:marLeft w:val="45"/>
              <w:marRight w:val="45"/>
              <w:marTop w:val="45"/>
              <w:marBottom w:val="45"/>
              <w:divBdr>
                <w:top w:val="none" w:sz="0" w:space="0" w:color="auto"/>
                <w:left w:val="none" w:sz="0" w:space="0" w:color="auto"/>
                <w:bottom w:val="none" w:sz="0" w:space="0" w:color="auto"/>
                <w:right w:val="none" w:sz="0" w:space="0" w:color="auto"/>
              </w:divBdr>
              <w:divsChild>
                <w:div w:id="133260938">
                  <w:marLeft w:val="0"/>
                  <w:marRight w:val="0"/>
                  <w:marTop w:val="0"/>
                  <w:marBottom w:val="0"/>
                  <w:divBdr>
                    <w:top w:val="none" w:sz="0" w:space="0" w:color="auto"/>
                    <w:left w:val="none" w:sz="0" w:space="0" w:color="auto"/>
                    <w:bottom w:val="none" w:sz="0" w:space="0" w:color="auto"/>
                    <w:right w:val="none" w:sz="0" w:space="0" w:color="auto"/>
                  </w:divBdr>
                  <w:divsChild>
                    <w:div w:id="8284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9360">
      <w:bodyDiv w:val="1"/>
      <w:marLeft w:val="30"/>
      <w:marRight w:val="30"/>
      <w:marTop w:val="30"/>
      <w:marBottom w:val="30"/>
      <w:divBdr>
        <w:top w:val="none" w:sz="0" w:space="0" w:color="auto"/>
        <w:left w:val="none" w:sz="0" w:space="0" w:color="auto"/>
        <w:bottom w:val="none" w:sz="0" w:space="0" w:color="auto"/>
        <w:right w:val="none" w:sz="0" w:space="0" w:color="auto"/>
      </w:divBdr>
      <w:divsChild>
        <w:div w:id="935601591">
          <w:marLeft w:val="0"/>
          <w:marRight w:val="0"/>
          <w:marTop w:val="0"/>
          <w:marBottom w:val="0"/>
          <w:divBdr>
            <w:top w:val="none" w:sz="0" w:space="0" w:color="auto"/>
            <w:left w:val="none" w:sz="0" w:space="0" w:color="auto"/>
            <w:bottom w:val="none" w:sz="0" w:space="0" w:color="auto"/>
            <w:right w:val="none" w:sz="0" w:space="0" w:color="auto"/>
          </w:divBdr>
          <w:divsChild>
            <w:div w:id="779183599">
              <w:marLeft w:val="45"/>
              <w:marRight w:val="45"/>
              <w:marTop w:val="45"/>
              <w:marBottom w:val="45"/>
              <w:divBdr>
                <w:top w:val="none" w:sz="0" w:space="0" w:color="auto"/>
                <w:left w:val="none" w:sz="0" w:space="0" w:color="auto"/>
                <w:bottom w:val="none" w:sz="0" w:space="0" w:color="auto"/>
                <w:right w:val="none" w:sz="0" w:space="0" w:color="auto"/>
              </w:divBdr>
              <w:divsChild>
                <w:div w:id="416440945">
                  <w:marLeft w:val="0"/>
                  <w:marRight w:val="0"/>
                  <w:marTop w:val="0"/>
                  <w:marBottom w:val="0"/>
                  <w:divBdr>
                    <w:top w:val="none" w:sz="0" w:space="0" w:color="auto"/>
                    <w:left w:val="none" w:sz="0" w:space="0" w:color="auto"/>
                    <w:bottom w:val="none" w:sz="0" w:space="0" w:color="auto"/>
                    <w:right w:val="none" w:sz="0" w:space="0" w:color="auto"/>
                  </w:divBdr>
                  <w:divsChild>
                    <w:div w:id="658264051">
                      <w:marLeft w:val="0"/>
                      <w:marRight w:val="0"/>
                      <w:marTop w:val="0"/>
                      <w:marBottom w:val="0"/>
                      <w:divBdr>
                        <w:top w:val="none" w:sz="0" w:space="0" w:color="auto"/>
                        <w:left w:val="none" w:sz="0" w:space="0" w:color="auto"/>
                        <w:bottom w:val="none" w:sz="0" w:space="0" w:color="auto"/>
                        <w:right w:val="none" w:sz="0" w:space="0" w:color="auto"/>
                      </w:divBdr>
                    </w:div>
                    <w:div w:id="744649494">
                      <w:marLeft w:val="0"/>
                      <w:marRight w:val="0"/>
                      <w:marTop w:val="0"/>
                      <w:marBottom w:val="0"/>
                      <w:divBdr>
                        <w:top w:val="none" w:sz="0" w:space="0" w:color="auto"/>
                        <w:left w:val="none" w:sz="0" w:space="0" w:color="auto"/>
                        <w:bottom w:val="none" w:sz="0" w:space="0" w:color="auto"/>
                        <w:right w:val="none" w:sz="0" w:space="0" w:color="auto"/>
                      </w:divBdr>
                    </w:div>
                    <w:div w:id="987898298">
                      <w:marLeft w:val="0"/>
                      <w:marRight w:val="0"/>
                      <w:marTop w:val="0"/>
                      <w:marBottom w:val="0"/>
                      <w:divBdr>
                        <w:top w:val="none" w:sz="0" w:space="0" w:color="auto"/>
                        <w:left w:val="none" w:sz="0" w:space="0" w:color="auto"/>
                        <w:bottom w:val="none" w:sz="0" w:space="0" w:color="auto"/>
                        <w:right w:val="none" w:sz="0" w:space="0" w:color="auto"/>
                      </w:divBdr>
                    </w:div>
                    <w:div w:id="1135758703">
                      <w:marLeft w:val="0"/>
                      <w:marRight w:val="0"/>
                      <w:marTop w:val="0"/>
                      <w:marBottom w:val="0"/>
                      <w:divBdr>
                        <w:top w:val="none" w:sz="0" w:space="0" w:color="auto"/>
                        <w:left w:val="none" w:sz="0" w:space="0" w:color="auto"/>
                        <w:bottom w:val="none" w:sz="0" w:space="0" w:color="auto"/>
                        <w:right w:val="none" w:sz="0" w:space="0" w:color="auto"/>
                      </w:divBdr>
                    </w:div>
                    <w:div w:id="1544053623">
                      <w:marLeft w:val="0"/>
                      <w:marRight w:val="0"/>
                      <w:marTop w:val="0"/>
                      <w:marBottom w:val="0"/>
                      <w:divBdr>
                        <w:top w:val="none" w:sz="0" w:space="0" w:color="auto"/>
                        <w:left w:val="none" w:sz="0" w:space="0" w:color="auto"/>
                        <w:bottom w:val="none" w:sz="0" w:space="0" w:color="auto"/>
                        <w:right w:val="none" w:sz="0" w:space="0" w:color="auto"/>
                      </w:divBdr>
                    </w:div>
                    <w:div w:id="1553998569">
                      <w:marLeft w:val="0"/>
                      <w:marRight w:val="0"/>
                      <w:marTop w:val="0"/>
                      <w:marBottom w:val="0"/>
                      <w:divBdr>
                        <w:top w:val="none" w:sz="0" w:space="0" w:color="auto"/>
                        <w:left w:val="none" w:sz="0" w:space="0" w:color="auto"/>
                        <w:bottom w:val="none" w:sz="0" w:space="0" w:color="auto"/>
                        <w:right w:val="none" w:sz="0" w:space="0" w:color="auto"/>
                      </w:divBdr>
                    </w:div>
                    <w:div w:id="1753232261">
                      <w:marLeft w:val="0"/>
                      <w:marRight w:val="0"/>
                      <w:marTop w:val="0"/>
                      <w:marBottom w:val="0"/>
                      <w:divBdr>
                        <w:top w:val="none" w:sz="0" w:space="0" w:color="auto"/>
                        <w:left w:val="none" w:sz="0" w:space="0" w:color="auto"/>
                        <w:bottom w:val="none" w:sz="0" w:space="0" w:color="auto"/>
                        <w:right w:val="none" w:sz="0" w:space="0" w:color="auto"/>
                      </w:divBdr>
                    </w:div>
                    <w:div w:id="1765954378">
                      <w:marLeft w:val="0"/>
                      <w:marRight w:val="0"/>
                      <w:marTop w:val="0"/>
                      <w:marBottom w:val="0"/>
                      <w:divBdr>
                        <w:top w:val="none" w:sz="0" w:space="0" w:color="auto"/>
                        <w:left w:val="none" w:sz="0" w:space="0" w:color="auto"/>
                        <w:bottom w:val="none" w:sz="0" w:space="0" w:color="auto"/>
                        <w:right w:val="none" w:sz="0" w:space="0" w:color="auto"/>
                      </w:divBdr>
                    </w:div>
                    <w:div w:id="19605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83735">
      <w:bodyDiv w:val="1"/>
      <w:marLeft w:val="0"/>
      <w:marRight w:val="0"/>
      <w:marTop w:val="0"/>
      <w:marBottom w:val="0"/>
      <w:divBdr>
        <w:top w:val="none" w:sz="0" w:space="0" w:color="auto"/>
        <w:left w:val="none" w:sz="0" w:space="0" w:color="auto"/>
        <w:bottom w:val="none" w:sz="0" w:space="0" w:color="auto"/>
        <w:right w:val="none" w:sz="0" w:space="0" w:color="auto"/>
      </w:divBdr>
      <w:divsChild>
        <w:div w:id="1146698709">
          <w:marLeft w:val="0"/>
          <w:marRight w:val="0"/>
          <w:marTop w:val="0"/>
          <w:marBottom w:val="0"/>
          <w:divBdr>
            <w:top w:val="none" w:sz="0" w:space="0" w:color="auto"/>
            <w:left w:val="none" w:sz="0" w:space="0" w:color="auto"/>
            <w:bottom w:val="none" w:sz="0" w:space="0" w:color="auto"/>
            <w:right w:val="none" w:sz="0" w:space="0" w:color="auto"/>
          </w:divBdr>
          <w:divsChild>
            <w:div w:id="16738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3218">
      <w:bodyDiv w:val="1"/>
      <w:marLeft w:val="30"/>
      <w:marRight w:val="30"/>
      <w:marTop w:val="30"/>
      <w:marBottom w:val="30"/>
      <w:divBdr>
        <w:top w:val="none" w:sz="0" w:space="0" w:color="auto"/>
        <w:left w:val="none" w:sz="0" w:space="0" w:color="auto"/>
        <w:bottom w:val="none" w:sz="0" w:space="0" w:color="auto"/>
        <w:right w:val="none" w:sz="0" w:space="0" w:color="auto"/>
      </w:divBdr>
      <w:divsChild>
        <w:div w:id="2017684264">
          <w:marLeft w:val="0"/>
          <w:marRight w:val="0"/>
          <w:marTop w:val="0"/>
          <w:marBottom w:val="0"/>
          <w:divBdr>
            <w:top w:val="none" w:sz="0" w:space="0" w:color="auto"/>
            <w:left w:val="none" w:sz="0" w:space="0" w:color="auto"/>
            <w:bottom w:val="none" w:sz="0" w:space="0" w:color="auto"/>
            <w:right w:val="none" w:sz="0" w:space="0" w:color="auto"/>
          </w:divBdr>
          <w:divsChild>
            <w:div w:id="1531990095">
              <w:marLeft w:val="45"/>
              <w:marRight w:val="45"/>
              <w:marTop w:val="45"/>
              <w:marBottom w:val="45"/>
              <w:divBdr>
                <w:top w:val="none" w:sz="0" w:space="0" w:color="auto"/>
                <w:left w:val="none" w:sz="0" w:space="0" w:color="auto"/>
                <w:bottom w:val="none" w:sz="0" w:space="0" w:color="auto"/>
                <w:right w:val="none" w:sz="0" w:space="0" w:color="auto"/>
              </w:divBdr>
              <w:divsChild>
                <w:div w:id="64650308">
                  <w:marLeft w:val="0"/>
                  <w:marRight w:val="0"/>
                  <w:marTop w:val="0"/>
                  <w:marBottom w:val="0"/>
                  <w:divBdr>
                    <w:top w:val="none" w:sz="0" w:space="0" w:color="auto"/>
                    <w:left w:val="none" w:sz="0" w:space="0" w:color="auto"/>
                    <w:bottom w:val="none" w:sz="0" w:space="0" w:color="auto"/>
                    <w:right w:val="none" w:sz="0" w:space="0" w:color="auto"/>
                  </w:divBdr>
                  <w:divsChild>
                    <w:div w:id="1245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2.westlaw.com/find/default.wl?returnto=BusinessNameReturnTo&amp;db=BC-COMPANYSRBD&amp;rs=WLW13.10&amp;lvbp=T&amp;vr=2.0&amp;rp=%2ffind%2fdefault.wl&amp;sv=Split&amp;fn=_top&amp;findtype=l&amp;mt=Westlaw&amp;docname=CIK(LE00065005)" TargetMode="External"/><Relationship Id="rId13" Type="http://schemas.openxmlformats.org/officeDocument/2006/relationships/hyperlink" Target="mailto:deena.fox@usdoj.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2.westlaw.com/find/default.wl?rs=WLW13.10&amp;pbc=CC974181&amp;vr=2.0&amp;docname=CIK(LE10428154)&amp;lvbp=T&amp;rp=%2ffind%2fdefault.wl&amp;sv=Split&amp;fn=_top&amp;findtype=l&amp;mt=Westlaw&amp;returnto=BusinessNameReturnTo&amp;db=BC-COMPANYSRB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rs=WLW13.10&amp;pbc=CC974181&amp;vr=2.0&amp;docname=CIK(LE10144916)&amp;lvbp=T&amp;rp=%2ffind%2fdefault.wl&amp;sv=Split&amp;fn=_top&amp;findtype=l&amp;mt=Westlaw&amp;returnto=BusinessNameReturnTo&amp;db=BC-COMPANYSRB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2.westlaw.com/find/default.wl?rs=WLW13.10&amp;pbc=BC6E23F9&amp;vr=2.0&amp;docname=CIK()&amp;lvbp=T&amp;rp=%2ffind%2fdefault.wl&amp;sv=Split&amp;fn=_top&amp;findtype=l&amp;mt=Westlaw&amp;returnto=BusinessNameReturnTo&amp;db=BC-COMPANYSRBD" TargetMode="External"/><Relationship Id="rId4" Type="http://schemas.openxmlformats.org/officeDocument/2006/relationships/settings" Target="settings.xml"/><Relationship Id="rId9" Type="http://schemas.openxmlformats.org/officeDocument/2006/relationships/hyperlink" Target="https://web2.westlaw.com/find/default.wl?rs=WLW13.10&amp;pbc=D5387866&amp;vr=2.0&amp;docname=CIK(LE10228839)&amp;lvbp=T&amp;rp=%2ffind%2fdefault.wl&amp;sv=Split&amp;fn=_top&amp;findtype=l&amp;mt=Westlaw&amp;returnto=BusinessNameReturnTo&amp;db=BC-COMPANYSRBD" TargetMode="External"/><Relationship Id="rId14" Type="http://schemas.openxmlformats.org/officeDocument/2006/relationships/hyperlink" Target="mailto:deena.fox@usdoj.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D253BE6E174248AEA33523BEDFCE56"/>
        <w:category>
          <w:name w:val="General"/>
          <w:gallery w:val="placeholder"/>
        </w:category>
        <w:types>
          <w:type w:val="bbPlcHdr"/>
        </w:types>
        <w:behaviors>
          <w:behavior w:val="content"/>
        </w:behaviors>
        <w:guid w:val="{C5FFFA70-CAC6-40F4-984D-5BD2C3362985}"/>
      </w:docPartPr>
      <w:docPartBody>
        <w:p w:rsidR="006625A3" w:rsidRDefault="006625A3"/>
      </w:docPartBody>
    </w:docPart>
    <w:docPart>
      <w:docPartPr>
        <w:name w:val="0671ED1DDE1C4598BF1850B8ABF3A4FF"/>
        <w:category>
          <w:name w:val="General"/>
          <w:gallery w:val="placeholder"/>
        </w:category>
        <w:types>
          <w:type w:val="bbPlcHdr"/>
        </w:types>
        <w:behaviors>
          <w:behavior w:val="content"/>
        </w:behaviors>
        <w:guid w:val="{B4D3CE61-5B3A-4C20-8603-8B728E847DCC}"/>
      </w:docPartPr>
      <w:docPartBody>
        <w:p w:rsidR="006625A3" w:rsidRDefault="006625A3"/>
      </w:docPartBody>
    </w:docPart>
    <w:docPart>
      <w:docPartPr>
        <w:name w:val="7CA0D9FD871C4FC3B4BBCFCAFBE57D08"/>
        <w:category>
          <w:name w:val="General"/>
          <w:gallery w:val="placeholder"/>
        </w:category>
        <w:types>
          <w:type w:val="bbPlcHdr"/>
        </w:types>
        <w:behaviors>
          <w:behavior w:val="content"/>
        </w:behaviors>
        <w:guid w:val="{3E9DF8EA-7C2B-4647-8D6C-4C7885CE8478}"/>
      </w:docPartPr>
      <w:docPartBody>
        <w:p w:rsidR="006625A3" w:rsidRDefault="006625A3"/>
      </w:docPartBody>
    </w:docPart>
    <w:docPart>
      <w:docPartPr>
        <w:name w:val="57448EF3FDB14C14AEDA1801301F1712"/>
        <w:category>
          <w:name w:val="General"/>
          <w:gallery w:val="placeholder"/>
        </w:category>
        <w:types>
          <w:type w:val="bbPlcHdr"/>
        </w:types>
        <w:behaviors>
          <w:behavior w:val="content"/>
        </w:behaviors>
        <w:guid w:val="{D64DB2C3-1C0F-4EBE-8F0E-44A192CB4D9A}"/>
      </w:docPartPr>
      <w:docPartBody>
        <w:p w:rsidR="006625A3" w:rsidRDefault="006625A3"/>
      </w:docPartBody>
    </w:docPart>
    <w:docPart>
      <w:docPartPr>
        <w:name w:val="D17236B19CA04DC595BD1C22A342BC8A"/>
        <w:category>
          <w:name w:val="General"/>
          <w:gallery w:val="placeholder"/>
        </w:category>
        <w:types>
          <w:type w:val="bbPlcHdr"/>
        </w:types>
        <w:behaviors>
          <w:behavior w:val="content"/>
        </w:behaviors>
        <w:guid w:val="{7823FF18-7043-4F6A-9DAF-3904DE3663AF}"/>
      </w:docPartPr>
      <w:docPartBody>
        <w:p w:rsidR="006625A3" w:rsidRDefault="006625A3"/>
      </w:docPartBody>
    </w:docPart>
    <w:docPart>
      <w:docPartPr>
        <w:name w:val="0E204BA3E183446A8657016B73C7369B"/>
        <w:category>
          <w:name w:val="General"/>
          <w:gallery w:val="placeholder"/>
        </w:category>
        <w:types>
          <w:type w:val="bbPlcHdr"/>
        </w:types>
        <w:behaviors>
          <w:behavior w:val="content"/>
        </w:behaviors>
        <w:guid w:val="{4683EA5B-3051-4851-B939-CF975FE5B4D0}"/>
      </w:docPartPr>
      <w:docPartBody>
        <w:p w:rsidR="006625A3" w:rsidRDefault="006625A3"/>
      </w:docPartBody>
    </w:docPart>
    <w:docPart>
      <w:docPartPr>
        <w:name w:val="8C6D343456284F5FAD5D69652A536D58"/>
        <w:category>
          <w:name w:val="General"/>
          <w:gallery w:val="placeholder"/>
        </w:category>
        <w:types>
          <w:type w:val="bbPlcHdr"/>
        </w:types>
        <w:behaviors>
          <w:behavior w:val="content"/>
        </w:behaviors>
        <w:guid w:val="{6CE88E21-ADDC-4080-8421-AD3C9CE8EC42}"/>
      </w:docPartPr>
      <w:docPartBody>
        <w:p w:rsidR="006625A3" w:rsidRDefault="006625A3"/>
      </w:docPartBody>
    </w:docPart>
    <w:docPart>
      <w:docPartPr>
        <w:name w:val="EB1AE4C5285E41D8934618F350480BB9"/>
        <w:category>
          <w:name w:val="General"/>
          <w:gallery w:val="placeholder"/>
        </w:category>
        <w:types>
          <w:type w:val="bbPlcHdr"/>
        </w:types>
        <w:behaviors>
          <w:behavior w:val="content"/>
        </w:behaviors>
        <w:guid w:val="{A1FEE1C6-A397-4B3E-9332-64763F7D9C11}"/>
      </w:docPartPr>
      <w:docPartBody>
        <w:p w:rsidR="006625A3" w:rsidRDefault="006625A3"/>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25A3"/>
    <w:rsid w:val="000F4F63"/>
    <w:rsid w:val="001C509B"/>
    <w:rsid w:val="002F2E77"/>
    <w:rsid w:val="003974CA"/>
    <w:rsid w:val="004C2E69"/>
    <w:rsid w:val="0056364C"/>
    <w:rsid w:val="00617080"/>
    <w:rsid w:val="006625A3"/>
    <w:rsid w:val="006723B5"/>
    <w:rsid w:val="00681E4D"/>
    <w:rsid w:val="00805970"/>
    <w:rsid w:val="009353CE"/>
    <w:rsid w:val="00B05BE1"/>
    <w:rsid w:val="00C41380"/>
    <w:rsid w:val="00C9780F"/>
    <w:rsid w:val="00D63C2C"/>
    <w:rsid w:val="00DC0900"/>
    <w:rsid w:val="00DF171A"/>
    <w:rsid w:val="00F52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FBCB-9ED5-43D9-BFE2-49847C51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3204</Words>
  <Characters>18266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2014-02-10T13:33:00Z</dcterms:created>
  <dcterms:modified xsi:type="dcterms:W3CDTF">2014-02-10T13:33:00Z</dcterms:modified>
</cp:coreProperties>
</file>