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8B" w:rsidRPr="00910D8B" w:rsidRDefault="0090675B" w:rsidP="00AC573F">
      <w:pPr>
        <w:spacing w:after="20"/>
        <w:ind w:left="720"/>
        <w:jc w:val="center"/>
        <w:outlineLvl w:val="0"/>
        <w:rPr>
          <w:rFonts w:ascii="Times New Roman" w:eastAsiaTheme="minorHAnsi" w:hAnsi="Times New Roman"/>
          <w:b/>
          <w:sz w:val="24"/>
          <w:szCs w:val="24"/>
        </w:rPr>
      </w:pPr>
      <w:r>
        <w:rPr>
          <w:rFonts w:ascii="Times New Roman" w:eastAsiaTheme="minorHAnsi" w:hAnsi="Times New Roman"/>
          <w:b/>
          <w:sz w:val="24"/>
          <w:szCs w:val="24"/>
        </w:rPr>
        <w:t xml:space="preserve">CORRECTED </w:t>
      </w:r>
      <w:r w:rsidR="00910D8B">
        <w:rPr>
          <w:rFonts w:ascii="Times New Roman" w:eastAsiaTheme="minorHAnsi" w:hAnsi="Times New Roman"/>
          <w:b/>
          <w:sz w:val="24"/>
          <w:szCs w:val="24"/>
        </w:rPr>
        <w:t>FOURTH</w:t>
      </w:r>
      <w:r w:rsidR="00910D8B" w:rsidRPr="00910D8B">
        <w:rPr>
          <w:rFonts w:ascii="Times New Roman" w:eastAsiaTheme="minorHAnsi" w:hAnsi="Times New Roman"/>
          <w:b/>
          <w:sz w:val="24"/>
          <w:szCs w:val="24"/>
        </w:rPr>
        <w:t xml:space="preserve"> REPORT OF THE COURT MONITOR</w:t>
      </w:r>
    </w:p>
    <w:p w:rsidR="00910D8B" w:rsidRPr="00910D8B" w:rsidRDefault="00910D8B" w:rsidP="00910D8B">
      <w:pPr>
        <w:spacing w:after="20"/>
        <w:ind w:left="720"/>
        <w:jc w:val="center"/>
        <w:rPr>
          <w:rFonts w:ascii="Times New Roman" w:eastAsiaTheme="minorHAnsi" w:hAnsi="Times New Roman"/>
          <w:b/>
          <w:sz w:val="24"/>
          <w:szCs w:val="24"/>
        </w:rPr>
      </w:pPr>
      <w:r w:rsidRPr="00910D8B">
        <w:rPr>
          <w:rFonts w:ascii="Times New Roman" w:eastAsiaTheme="minorHAnsi" w:hAnsi="Times New Roman"/>
          <w:b/>
          <w:sz w:val="24"/>
          <w:szCs w:val="24"/>
        </w:rPr>
        <w:t>ON PROGRESS TOWARD COMPLIANCE</w:t>
      </w:r>
    </w:p>
    <w:p w:rsidR="00910D8B" w:rsidRDefault="00910D8B" w:rsidP="00AC573F">
      <w:pPr>
        <w:spacing w:after="20"/>
        <w:ind w:left="720"/>
        <w:jc w:val="center"/>
        <w:outlineLvl w:val="0"/>
        <w:rPr>
          <w:rFonts w:ascii="Times New Roman" w:eastAsiaTheme="minorHAnsi" w:hAnsi="Times New Roman"/>
          <w:b/>
          <w:sz w:val="24"/>
          <w:szCs w:val="24"/>
        </w:rPr>
      </w:pPr>
      <w:r w:rsidRPr="00910D8B">
        <w:rPr>
          <w:rFonts w:ascii="Times New Roman" w:eastAsiaTheme="minorHAnsi" w:hAnsi="Times New Roman"/>
          <w:b/>
          <w:sz w:val="24"/>
          <w:szCs w:val="24"/>
        </w:rPr>
        <w:t xml:space="preserve">WITH THE AGREEMENT:  </w:t>
      </w:r>
    </w:p>
    <w:p w:rsidR="00910D8B" w:rsidRPr="00910D8B" w:rsidRDefault="00910D8B" w:rsidP="00AC573F">
      <w:pPr>
        <w:spacing w:after="20"/>
        <w:ind w:left="720"/>
        <w:jc w:val="center"/>
        <w:outlineLvl w:val="0"/>
        <w:rPr>
          <w:rFonts w:ascii="Times New Roman" w:eastAsiaTheme="minorHAnsi" w:hAnsi="Times New Roman"/>
          <w:b/>
          <w:sz w:val="24"/>
          <w:szCs w:val="24"/>
        </w:rPr>
      </w:pPr>
      <w:r w:rsidRPr="00910D8B">
        <w:rPr>
          <w:rFonts w:ascii="Times New Roman" w:eastAsiaTheme="minorHAnsi" w:hAnsi="Times New Roman"/>
          <w:b/>
          <w:sz w:val="24"/>
          <w:szCs w:val="24"/>
        </w:rPr>
        <w:t>U.S. v. STATE OF DELAWARE</w:t>
      </w:r>
    </w:p>
    <w:p w:rsidR="00910D8B" w:rsidRPr="00910D8B" w:rsidRDefault="00910D8B" w:rsidP="00AC573F">
      <w:pPr>
        <w:spacing w:after="120"/>
        <w:ind w:left="720"/>
        <w:jc w:val="center"/>
        <w:outlineLvl w:val="0"/>
        <w:rPr>
          <w:rFonts w:ascii="Times New Roman" w:eastAsiaTheme="minorHAnsi" w:hAnsi="Times New Roman"/>
          <w:sz w:val="24"/>
          <w:szCs w:val="24"/>
        </w:rPr>
      </w:pPr>
      <w:r w:rsidRPr="00910D8B">
        <w:rPr>
          <w:rFonts w:ascii="Times New Roman" w:eastAsiaTheme="minorHAnsi" w:hAnsi="Times New Roman"/>
          <w:sz w:val="24"/>
          <w:szCs w:val="24"/>
        </w:rPr>
        <w:t xml:space="preserve"> U.S. District Court for the District of Delaware, Civil Action No:  11-591-LPS</w:t>
      </w:r>
    </w:p>
    <w:p w:rsidR="00910D8B" w:rsidRPr="00910D8B" w:rsidRDefault="00910D8B" w:rsidP="00910D8B">
      <w:pPr>
        <w:spacing w:after="120"/>
        <w:ind w:left="720"/>
        <w:jc w:val="center"/>
        <w:rPr>
          <w:rFonts w:ascii="Times New Roman" w:eastAsiaTheme="minorHAnsi" w:hAnsi="Times New Roman"/>
          <w:sz w:val="24"/>
          <w:szCs w:val="24"/>
        </w:rPr>
      </w:pPr>
    </w:p>
    <w:p w:rsidR="0090675B" w:rsidRDefault="0090675B" w:rsidP="00910D8B">
      <w:pPr>
        <w:spacing w:after="120"/>
        <w:ind w:left="720"/>
        <w:jc w:val="center"/>
        <w:rPr>
          <w:rFonts w:ascii="Times New Roman" w:eastAsiaTheme="minorHAnsi" w:hAnsi="Times New Roman"/>
          <w:sz w:val="24"/>
          <w:szCs w:val="24"/>
        </w:rPr>
      </w:pPr>
      <w:r>
        <w:rPr>
          <w:rFonts w:ascii="Times New Roman" w:eastAsiaTheme="minorHAnsi" w:hAnsi="Times New Roman"/>
          <w:sz w:val="24"/>
          <w:szCs w:val="24"/>
        </w:rPr>
        <w:t>September 24, 2013</w:t>
      </w:r>
    </w:p>
    <w:p w:rsidR="00570B4B" w:rsidRDefault="0090675B" w:rsidP="0090675B">
      <w:pPr>
        <w:spacing w:after="120"/>
        <w:ind w:left="720"/>
        <w:jc w:val="center"/>
        <w:rPr>
          <w:rFonts w:ascii="Times New Roman" w:eastAsiaTheme="minorHAnsi" w:hAnsi="Times New Roman"/>
          <w:sz w:val="24"/>
          <w:szCs w:val="24"/>
        </w:rPr>
      </w:pPr>
      <w:r>
        <w:rPr>
          <w:rFonts w:ascii="Times New Roman" w:eastAsiaTheme="minorHAnsi" w:hAnsi="Times New Roman"/>
          <w:sz w:val="24"/>
          <w:szCs w:val="24"/>
        </w:rPr>
        <w:t>(</w:t>
      </w:r>
      <w:bookmarkStart w:id="0" w:name="_GoBack"/>
      <w:bookmarkEnd w:id="0"/>
      <w:r w:rsidR="007F5D68">
        <w:rPr>
          <w:rFonts w:ascii="Times New Roman" w:eastAsiaTheme="minorHAnsi" w:hAnsi="Times New Roman"/>
          <w:sz w:val="24"/>
          <w:szCs w:val="24"/>
        </w:rPr>
        <w:t>Originally</w:t>
      </w:r>
      <w:r>
        <w:rPr>
          <w:rFonts w:ascii="Times New Roman" w:eastAsiaTheme="minorHAnsi" w:hAnsi="Times New Roman"/>
          <w:sz w:val="24"/>
          <w:szCs w:val="24"/>
        </w:rPr>
        <w:t xml:space="preserve"> filed </w:t>
      </w:r>
      <w:r w:rsidR="00965BFF">
        <w:rPr>
          <w:rFonts w:ascii="Times New Roman" w:eastAsiaTheme="minorHAnsi" w:hAnsi="Times New Roman"/>
          <w:sz w:val="24"/>
          <w:szCs w:val="24"/>
        </w:rPr>
        <w:t>September 16</w:t>
      </w:r>
      <w:r w:rsidR="00910D8B" w:rsidRPr="00910D8B">
        <w:rPr>
          <w:rFonts w:ascii="Times New Roman" w:eastAsiaTheme="minorHAnsi" w:hAnsi="Times New Roman"/>
          <w:sz w:val="24"/>
          <w:szCs w:val="24"/>
        </w:rPr>
        <w:t>, 2013</w:t>
      </w:r>
      <w:r>
        <w:rPr>
          <w:rFonts w:ascii="Times New Roman" w:eastAsiaTheme="minorHAnsi" w:hAnsi="Times New Roman"/>
          <w:sz w:val="24"/>
          <w:szCs w:val="24"/>
        </w:rPr>
        <w:t>)</w:t>
      </w:r>
    </w:p>
    <w:p w:rsidR="0090675B" w:rsidRPr="0090675B" w:rsidRDefault="0090675B" w:rsidP="0090675B">
      <w:pPr>
        <w:spacing w:after="120"/>
        <w:ind w:left="720"/>
        <w:jc w:val="center"/>
        <w:rPr>
          <w:rFonts w:ascii="Times New Roman" w:eastAsiaTheme="minorHAnsi" w:hAnsi="Times New Roman"/>
          <w:sz w:val="24"/>
          <w:szCs w:val="24"/>
        </w:rPr>
      </w:pPr>
    </w:p>
    <w:p w:rsidR="002D1E34" w:rsidRPr="0094470D" w:rsidRDefault="002D1E34" w:rsidP="00C25142">
      <w:pPr>
        <w:spacing w:after="120"/>
        <w:jc w:val="center"/>
        <w:rPr>
          <w:rFonts w:ascii="Times New Roman" w:eastAsiaTheme="minorHAnsi" w:hAnsi="Times New Roman"/>
          <w:i/>
          <w:sz w:val="24"/>
          <w:szCs w:val="24"/>
        </w:rPr>
      </w:pPr>
    </w:p>
    <w:p w:rsidR="003963B0" w:rsidRPr="0094470D" w:rsidRDefault="003963B0" w:rsidP="00910D8B">
      <w:pPr>
        <w:spacing w:after="120"/>
        <w:ind w:left="720"/>
        <w:jc w:val="center"/>
        <w:rPr>
          <w:rFonts w:ascii="Times New Roman" w:eastAsiaTheme="minorHAnsi" w:hAnsi="Times New Roman"/>
          <w:i/>
          <w:sz w:val="24"/>
          <w:szCs w:val="24"/>
        </w:rPr>
      </w:pPr>
    </w:p>
    <w:p w:rsidR="00910D8B" w:rsidRPr="00910D8B" w:rsidRDefault="00910D8B" w:rsidP="00AC573F">
      <w:pPr>
        <w:spacing w:after="120"/>
        <w:ind w:firstLine="720"/>
        <w:outlineLvl w:val="0"/>
        <w:rPr>
          <w:rFonts w:ascii="Times New Roman" w:eastAsiaTheme="minorHAnsi" w:hAnsi="Times New Roman"/>
          <w:b/>
          <w:sz w:val="24"/>
          <w:szCs w:val="24"/>
          <w:u w:val="single"/>
        </w:rPr>
      </w:pPr>
      <w:r w:rsidRPr="00910D8B">
        <w:rPr>
          <w:rFonts w:ascii="Times New Roman" w:eastAsiaTheme="minorHAnsi" w:hAnsi="Times New Roman"/>
          <w:b/>
          <w:sz w:val="24"/>
          <w:szCs w:val="24"/>
          <w:u w:val="single"/>
        </w:rPr>
        <w:t>I. Introduction</w:t>
      </w:r>
    </w:p>
    <w:p w:rsidR="00867036" w:rsidRDefault="00910D8B" w:rsidP="00060C40">
      <w:pPr>
        <w:spacing w:after="120"/>
        <w:ind w:left="720"/>
        <w:rPr>
          <w:rFonts w:ascii="Times New Roman" w:eastAsiaTheme="minorHAnsi" w:hAnsi="Times New Roman"/>
          <w:sz w:val="24"/>
          <w:szCs w:val="24"/>
        </w:rPr>
      </w:pPr>
      <w:r w:rsidRPr="00910D8B">
        <w:rPr>
          <w:rFonts w:ascii="Times New Roman" w:eastAsiaTheme="minorHAnsi" w:hAnsi="Times New Roman"/>
          <w:sz w:val="24"/>
          <w:szCs w:val="24"/>
        </w:rPr>
        <w:t xml:space="preserve">This is the </w:t>
      </w:r>
      <w:r>
        <w:rPr>
          <w:rFonts w:ascii="Times New Roman" w:eastAsiaTheme="minorHAnsi" w:hAnsi="Times New Roman"/>
          <w:sz w:val="24"/>
          <w:szCs w:val="24"/>
        </w:rPr>
        <w:t>fourth</w:t>
      </w:r>
      <w:r w:rsidRPr="00910D8B">
        <w:rPr>
          <w:rFonts w:ascii="Times New Roman" w:eastAsiaTheme="minorHAnsi" w:hAnsi="Times New Roman"/>
          <w:sz w:val="24"/>
          <w:szCs w:val="24"/>
        </w:rPr>
        <w:t xml:space="preserve"> report of the Court Monitor (“Monitor”) on the implementation of the above-referenced Settlement Agreement (“Agreement”) between the United States, through the U.S. Department of Justice (“DOJ”)</w:t>
      </w:r>
      <w:r w:rsidR="00867036">
        <w:rPr>
          <w:rFonts w:ascii="Times New Roman" w:eastAsiaTheme="minorHAnsi" w:hAnsi="Times New Roman"/>
          <w:sz w:val="24"/>
          <w:szCs w:val="24"/>
        </w:rPr>
        <w:t>,</w:t>
      </w:r>
      <w:r w:rsidRPr="00910D8B">
        <w:rPr>
          <w:rFonts w:ascii="Times New Roman" w:eastAsiaTheme="minorHAnsi" w:hAnsi="Times New Roman"/>
          <w:sz w:val="24"/>
          <w:szCs w:val="24"/>
        </w:rPr>
        <w:t xml:space="preserve"> and the State of Delaware (“the State”).  This report covers the six-month period </w:t>
      </w:r>
      <w:r>
        <w:rPr>
          <w:rFonts w:ascii="Times New Roman" w:eastAsiaTheme="minorHAnsi" w:hAnsi="Times New Roman"/>
          <w:sz w:val="24"/>
          <w:szCs w:val="24"/>
        </w:rPr>
        <w:t>January 15</w:t>
      </w:r>
      <w:r w:rsidRPr="00910D8B">
        <w:rPr>
          <w:rFonts w:ascii="Times New Roman" w:eastAsiaTheme="minorHAnsi" w:hAnsi="Times New Roman"/>
          <w:sz w:val="24"/>
          <w:szCs w:val="24"/>
        </w:rPr>
        <w:t>, 201</w:t>
      </w:r>
      <w:r>
        <w:rPr>
          <w:rFonts w:ascii="Times New Roman" w:eastAsiaTheme="minorHAnsi" w:hAnsi="Times New Roman"/>
          <w:sz w:val="24"/>
          <w:szCs w:val="24"/>
        </w:rPr>
        <w:t>3</w:t>
      </w:r>
      <w:r w:rsidRPr="00910D8B">
        <w:rPr>
          <w:rFonts w:ascii="Times New Roman" w:eastAsiaTheme="minorHAnsi" w:hAnsi="Times New Roman"/>
          <w:sz w:val="24"/>
          <w:szCs w:val="24"/>
        </w:rPr>
        <w:t xml:space="preserve"> through J</w:t>
      </w:r>
      <w:r>
        <w:rPr>
          <w:rFonts w:ascii="Times New Roman" w:eastAsiaTheme="minorHAnsi" w:hAnsi="Times New Roman"/>
          <w:sz w:val="24"/>
          <w:szCs w:val="24"/>
        </w:rPr>
        <w:t>uly</w:t>
      </w:r>
      <w:r w:rsidRPr="00910D8B">
        <w:rPr>
          <w:rFonts w:ascii="Times New Roman" w:eastAsiaTheme="minorHAnsi" w:hAnsi="Times New Roman"/>
          <w:sz w:val="24"/>
          <w:szCs w:val="24"/>
        </w:rPr>
        <w:t xml:space="preserve"> 15, 2013</w:t>
      </w:r>
      <w:r w:rsidR="006B6A57">
        <w:rPr>
          <w:rFonts w:ascii="Times New Roman" w:eastAsiaTheme="minorHAnsi" w:hAnsi="Times New Roman"/>
          <w:sz w:val="24"/>
          <w:szCs w:val="24"/>
        </w:rPr>
        <w:t xml:space="preserve"> and it reflects </w:t>
      </w:r>
      <w:r w:rsidR="00570B4B">
        <w:rPr>
          <w:rFonts w:ascii="Times New Roman" w:eastAsiaTheme="minorHAnsi" w:hAnsi="Times New Roman"/>
          <w:sz w:val="24"/>
          <w:szCs w:val="24"/>
        </w:rPr>
        <w:t xml:space="preserve">the State’s </w:t>
      </w:r>
      <w:r w:rsidR="006B6A57">
        <w:rPr>
          <w:rFonts w:ascii="Times New Roman" w:eastAsiaTheme="minorHAnsi" w:hAnsi="Times New Roman"/>
          <w:sz w:val="24"/>
          <w:szCs w:val="24"/>
        </w:rPr>
        <w:t xml:space="preserve">two full years of progress.  </w:t>
      </w:r>
    </w:p>
    <w:p w:rsidR="00D26636" w:rsidRDefault="00060C40" w:rsidP="00060C40">
      <w:pPr>
        <w:spacing w:after="120"/>
        <w:ind w:left="720"/>
        <w:rPr>
          <w:rFonts w:ascii="Times New Roman" w:eastAsiaTheme="minorHAnsi" w:hAnsi="Times New Roman"/>
          <w:sz w:val="24"/>
          <w:szCs w:val="24"/>
        </w:rPr>
      </w:pPr>
      <w:r>
        <w:rPr>
          <w:rFonts w:ascii="Times New Roman" w:eastAsiaTheme="minorHAnsi" w:hAnsi="Times New Roman"/>
          <w:sz w:val="24"/>
          <w:szCs w:val="24"/>
        </w:rPr>
        <w:t>Whereas the last report covered a period in which the Agreement specified only one new requir</w:t>
      </w:r>
      <w:r w:rsidR="00570B4B">
        <w:rPr>
          <w:rFonts w:ascii="Times New Roman" w:eastAsiaTheme="minorHAnsi" w:hAnsi="Times New Roman"/>
          <w:sz w:val="24"/>
          <w:szCs w:val="24"/>
        </w:rPr>
        <w:t>ement (relating to Intensive Car</w:t>
      </w:r>
      <w:r>
        <w:rPr>
          <w:rFonts w:ascii="Times New Roman" w:eastAsiaTheme="minorHAnsi" w:hAnsi="Times New Roman"/>
          <w:sz w:val="24"/>
          <w:szCs w:val="24"/>
        </w:rPr>
        <w:t xml:space="preserve">e Management), the current report coincides with requirements </w:t>
      </w:r>
      <w:r w:rsidR="00570B4B">
        <w:rPr>
          <w:rFonts w:ascii="Times New Roman" w:eastAsiaTheme="minorHAnsi" w:hAnsi="Times New Roman"/>
          <w:sz w:val="24"/>
          <w:szCs w:val="24"/>
        </w:rPr>
        <w:t>relating</w:t>
      </w:r>
      <w:r>
        <w:rPr>
          <w:rFonts w:ascii="Times New Roman" w:eastAsiaTheme="minorHAnsi" w:hAnsi="Times New Roman"/>
          <w:sz w:val="24"/>
          <w:szCs w:val="24"/>
        </w:rPr>
        <w:t xml:space="preserve"> to numerous new benchmarks </w:t>
      </w:r>
      <w:r w:rsidR="00867036">
        <w:rPr>
          <w:rFonts w:ascii="Times New Roman" w:eastAsiaTheme="minorHAnsi" w:hAnsi="Times New Roman"/>
          <w:sz w:val="24"/>
          <w:szCs w:val="24"/>
        </w:rPr>
        <w:t xml:space="preserve">that </w:t>
      </w:r>
      <w:r>
        <w:rPr>
          <w:rFonts w:ascii="Times New Roman" w:eastAsiaTheme="minorHAnsi" w:hAnsi="Times New Roman"/>
          <w:sz w:val="24"/>
          <w:szCs w:val="24"/>
        </w:rPr>
        <w:t xml:space="preserve">cover a range of program areas.  </w:t>
      </w:r>
      <w:r w:rsidR="00F823F6">
        <w:rPr>
          <w:rFonts w:ascii="Times New Roman" w:eastAsiaTheme="minorHAnsi" w:hAnsi="Times New Roman"/>
          <w:sz w:val="24"/>
          <w:szCs w:val="24"/>
        </w:rPr>
        <w:t xml:space="preserve">As is detailed below, Delaware has met—and </w:t>
      </w:r>
      <w:r w:rsidR="003963B0">
        <w:rPr>
          <w:rFonts w:ascii="Times New Roman" w:eastAsiaTheme="minorHAnsi" w:hAnsi="Times New Roman"/>
          <w:sz w:val="24"/>
          <w:szCs w:val="24"/>
        </w:rPr>
        <w:t>often</w:t>
      </w:r>
      <w:r w:rsidR="00F823F6">
        <w:rPr>
          <w:rFonts w:ascii="Times New Roman" w:eastAsiaTheme="minorHAnsi" w:hAnsi="Times New Roman"/>
          <w:sz w:val="24"/>
          <w:szCs w:val="24"/>
        </w:rPr>
        <w:t xml:space="preserve"> surpassed—each of the targets scheduled to be achieved in this review period.  </w:t>
      </w:r>
    </w:p>
    <w:p w:rsidR="00570B4B" w:rsidRDefault="00F823F6" w:rsidP="00060C40">
      <w:pPr>
        <w:spacing w:after="120"/>
        <w:ind w:left="720"/>
        <w:rPr>
          <w:rFonts w:ascii="Times New Roman" w:eastAsiaTheme="minorHAnsi" w:hAnsi="Times New Roman"/>
          <w:sz w:val="24"/>
          <w:szCs w:val="24"/>
        </w:rPr>
      </w:pPr>
      <w:r>
        <w:rPr>
          <w:rFonts w:ascii="Times New Roman" w:eastAsiaTheme="minorHAnsi" w:hAnsi="Times New Roman"/>
          <w:sz w:val="24"/>
          <w:szCs w:val="24"/>
        </w:rPr>
        <w:t xml:space="preserve">Furthermore, the State is making progress in addressing </w:t>
      </w:r>
      <w:r w:rsidR="00D26636">
        <w:rPr>
          <w:rFonts w:ascii="Times New Roman" w:eastAsiaTheme="minorHAnsi" w:hAnsi="Times New Roman"/>
          <w:sz w:val="24"/>
          <w:szCs w:val="24"/>
        </w:rPr>
        <w:t xml:space="preserve">what might be called </w:t>
      </w:r>
      <w:r w:rsidR="00FD32B0" w:rsidRPr="00D26636">
        <w:rPr>
          <w:rFonts w:ascii="Times New Roman" w:eastAsiaTheme="minorHAnsi" w:hAnsi="Times New Roman"/>
          <w:i/>
          <w:sz w:val="24"/>
          <w:szCs w:val="24"/>
        </w:rPr>
        <w:t>structural</w:t>
      </w:r>
      <w:r w:rsidR="00FD32B0">
        <w:rPr>
          <w:rFonts w:ascii="Times New Roman" w:eastAsiaTheme="minorHAnsi" w:hAnsi="Times New Roman"/>
          <w:sz w:val="24"/>
          <w:szCs w:val="24"/>
        </w:rPr>
        <w:t xml:space="preserve"> issues</w:t>
      </w:r>
      <w:r w:rsidR="00570B4B">
        <w:rPr>
          <w:rFonts w:ascii="Times New Roman" w:eastAsiaTheme="minorHAnsi" w:hAnsi="Times New Roman"/>
          <w:sz w:val="24"/>
          <w:szCs w:val="24"/>
        </w:rPr>
        <w:t>, factors that cut across specific provisions, but</w:t>
      </w:r>
      <w:r w:rsidR="00FD32B0">
        <w:rPr>
          <w:rFonts w:ascii="Times New Roman" w:eastAsiaTheme="minorHAnsi" w:hAnsi="Times New Roman"/>
          <w:sz w:val="24"/>
          <w:szCs w:val="24"/>
        </w:rPr>
        <w:t xml:space="preserve"> that have been cited in prior reports by the Monitor as being critical to a</w:t>
      </w:r>
      <w:r w:rsidR="00867036">
        <w:rPr>
          <w:rFonts w:ascii="Times New Roman" w:eastAsiaTheme="minorHAnsi" w:hAnsi="Times New Roman"/>
          <w:sz w:val="24"/>
          <w:szCs w:val="24"/>
        </w:rPr>
        <w:t>chieving the immediate and long-</w:t>
      </w:r>
      <w:r w:rsidR="00FD32B0">
        <w:rPr>
          <w:rFonts w:ascii="Times New Roman" w:eastAsiaTheme="minorHAnsi" w:hAnsi="Times New Roman"/>
          <w:sz w:val="24"/>
          <w:szCs w:val="24"/>
        </w:rPr>
        <w:t xml:space="preserve">term requirements of the Agreement.  </w:t>
      </w:r>
      <w:r w:rsidR="00D26636">
        <w:rPr>
          <w:rFonts w:ascii="Times New Roman" w:eastAsiaTheme="minorHAnsi" w:hAnsi="Times New Roman"/>
          <w:sz w:val="24"/>
          <w:szCs w:val="24"/>
        </w:rPr>
        <w:t>These</w:t>
      </w:r>
      <w:r w:rsidR="00FD32B0">
        <w:rPr>
          <w:rFonts w:ascii="Times New Roman" w:eastAsiaTheme="minorHAnsi" w:hAnsi="Times New Roman"/>
          <w:sz w:val="24"/>
          <w:szCs w:val="24"/>
        </w:rPr>
        <w:t xml:space="preserve"> structural issues</w:t>
      </w:r>
      <w:r w:rsidR="00D26636">
        <w:rPr>
          <w:rFonts w:ascii="Times New Roman" w:eastAsiaTheme="minorHAnsi" w:hAnsi="Times New Roman"/>
          <w:sz w:val="24"/>
          <w:szCs w:val="24"/>
        </w:rPr>
        <w:t xml:space="preserve"> include </w:t>
      </w:r>
      <w:r w:rsidR="00FD32B0">
        <w:rPr>
          <w:rFonts w:ascii="Times New Roman" w:eastAsiaTheme="minorHAnsi" w:hAnsi="Times New Roman"/>
          <w:sz w:val="24"/>
          <w:szCs w:val="24"/>
        </w:rPr>
        <w:t xml:space="preserve">the use of data, the reliance on court-ordered treatment, and the </w:t>
      </w:r>
      <w:r w:rsidR="00D26636">
        <w:rPr>
          <w:rFonts w:ascii="Times New Roman" w:eastAsiaTheme="minorHAnsi" w:hAnsi="Times New Roman"/>
          <w:sz w:val="24"/>
          <w:szCs w:val="24"/>
        </w:rPr>
        <w:t xml:space="preserve">State’s complex arrangements for the </w:t>
      </w:r>
      <w:r w:rsidR="00FD32B0">
        <w:rPr>
          <w:rFonts w:ascii="Times New Roman" w:eastAsiaTheme="minorHAnsi" w:hAnsi="Times New Roman"/>
          <w:sz w:val="24"/>
          <w:szCs w:val="24"/>
        </w:rPr>
        <w:t xml:space="preserve">management of </w:t>
      </w:r>
      <w:r w:rsidR="00D26636">
        <w:rPr>
          <w:rFonts w:ascii="Times New Roman" w:eastAsiaTheme="minorHAnsi" w:hAnsi="Times New Roman"/>
          <w:sz w:val="24"/>
          <w:szCs w:val="24"/>
        </w:rPr>
        <w:t xml:space="preserve">inpatient and outpatient services.  </w:t>
      </w:r>
    </w:p>
    <w:p w:rsidR="00060C40" w:rsidRDefault="00D26636" w:rsidP="00060C40">
      <w:pPr>
        <w:spacing w:after="120"/>
        <w:ind w:left="720"/>
        <w:rPr>
          <w:rFonts w:ascii="Times New Roman" w:eastAsiaTheme="minorHAnsi" w:hAnsi="Times New Roman"/>
          <w:sz w:val="24"/>
          <w:szCs w:val="24"/>
        </w:rPr>
      </w:pPr>
      <w:r>
        <w:rPr>
          <w:rFonts w:ascii="Times New Roman" w:eastAsiaTheme="minorHAnsi" w:hAnsi="Times New Roman"/>
          <w:sz w:val="24"/>
          <w:szCs w:val="24"/>
        </w:rPr>
        <w:t xml:space="preserve">Because each of these issues has implications for multiple measures of compliance with the Agreement, </w:t>
      </w:r>
      <w:r w:rsidR="003963B0">
        <w:rPr>
          <w:rFonts w:ascii="Times New Roman" w:eastAsiaTheme="minorHAnsi" w:hAnsi="Times New Roman"/>
          <w:sz w:val="24"/>
          <w:szCs w:val="24"/>
        </w:rPr>
        <w:t>t</w:t>
      </w:r>
      <w:r>
        <w:rPr>
          <w:rFonts w:ascii="Times New Roman" w:eastAsiaTheme="minorHAnsi" w:hAnsi="Times New Roman"/>
          <w:sz w:val="24"/>
          <w:szCs w:val="24"/>
        </w:rPr>
        <w:t xml:space="preserve">his report begins with a discussion of progress in these </w:t>
      </w:r>
      <w:r w:rsidR="00570B4B">
        <w:rPr>
          <w:rFonts w:ascii="Times New Roman" w:eastAsiaTheme="minorHAnsi" w:hAnsi="Times New Roman"/>
          <w:sz w:val="24"/>
          <w:szCs w:val="24"/>
        </w:rPr>
        <w:t xml:space="preserve">structural </w:t>
      </w:r>
      <w:r>
        <w:rPr>
          <w:rFonts w:ascii="Times New Roman" w:eastAsiaTheme="minorHAnsi" w:hAnsi="Times New Roman"/>
          <w:sz w:val="24"/>
          <w:szCs w:val="24"/>
        </w:rPr>
        <w:t xml:space="preserve">areas, followed by an evaluation of </w:t>
      </w:r>
      <w:r w:rsidR="002D1E34">
        <w:rPr>
          <w:rFonts w:ascii="Times New Roman" w:eastAsiaTheme="minorHAnsi" w:hAnsi="Times New Roman"/>
          <w:sz w:val="24"/>
          <w:szCs w:val="24"/>
        </w:rPr>
        <w:t xml:space="preserve">compliance with specific provisions of the Agreement.  </w:t>
      </w:r>
      <w:r w:rsidR="00570B4B">
        <w:rPr>
          <w:rFonts w:ascii="Times New Roman" w:eastAsiaTheme="minorHAnsi" w:hAnsi="Times New Roman"/>
          <w:sz w:val="24"/>
          <w:szCs w:val="24"/>
        </w:rPr>
        <w:t xml:space="preserve">In several instances, explanations of </w:t>
      </w:r>
      <w:r w:rsidR="00867036">
        <w:rPr>
          <w:rFonts w:ascii="Times New Roman" w:eastAsiaTheme="minorHAnsi" w:hAnsi="Times New Roman"/>
          <w:sz w:val="24"/>
          <w:szCs w:val="24"/>
        </w:rPr>
        <w:t xml:space="preserve">the State’s compliance with individual requirements of the Agreement refer back to the broader measures the State is taking to address </w:t>
      </w:r>
      <w:r w:rsidR="00570B4B">
        <w:rPr>
          <w:rFonts w:ascii="Times New Roman" w:eastAsiaTheme="minorHAnsi" w:hAnsi="Times New Roman"/>
          <w:sz w:val="24"/>
          <w:szCs w:val="24"/>
        </w:rPr>
        <w:t xml:space="preserve">underlying </w:t>
      </w:r>
      <w:r w:rsidR="00867036">
        <w:rPr>
          <w:rFonts w:ascii="Times New Roman" w:eastAsiaTheme="minorHAnsi" w:hAnsi="Times New Roman"/>
          <w:sz w:val="24"/>
          <w:szCs w:val="24"/>
        </w:rPr>
        <w:t>structural issues.</w:t>
      </w:r>
    </w:p>
    <w:p w:rsidR="002D1E34" w:rsidRDefault="002D1E34" w:rsidP="00060C40">
      <w:pPr>
        <w:spacing w:after="120"/>
        <w:ind w:left="720"/>
        <w:rPr>
          <w:rFonts w:ascii="Times New Roman" w:eastAsiaTheme="minorHAnsi" w:hAnsi="Times New Roman"/>
          <w:sz w:val="24"/>
          <w:szCs w:val="24"/>
        </w:rPr>
      </w:pPr>
    </w:p>
    <w:p w:rsidR="002D1E34" w:rsidRDefault="002D1E34" w:rsidP="00570B4B">
      <w:pPr>
        <w:keepNext/>
        <w:spacing w:after="120"/>
        <w:ind w:left="720"/>
        <w:outlineLvl w:val="0"/>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II</w:t>
      </w:r>
      <w:proofErr w:type="gramStart"/>
      <w:r>
        <w:rPr>
          <w:rFonts w:ascii="Times New Roman" w:eastAsiaTheme="minorHAnsi" w:hAnsi="Times New Roman"/>
          <w:b/>
          <w:sz w:val="24"/>
          <w:szCs w:val="24"/>
          <w:u w:val="single"/>
        </w:rPr>
        <w:t>.  Progress</w:t>
      </w:r>
      <w:proofErr w:type="gramEnd"/>
      <w:r>
        <w:rPr>
          <w:rFonts w:ascii="Times New Roman" w:eastAsiaTheme="minorHAnsi" w:hAnsi="Times New Roman"/>
          <w:b/>
          <w:sz w:val="24"/>
          <w:szCs w:val="24"/>
          <w:u w:val="single"/>
        </w:rPr>
        <w:t xml:space="preserve"> on Structural Improvements</w:t>
      </w:r>
    </w:p>
    <w:p w:rsidR="002D1E34" w:rsidRDefault="002D1E34" w:rsidP="00060C40">
      <w:pPr>
        <w:spacing w:after="120"/>
        <w:ind w:left="720"/>
        <w:rPr>
          <w:rFonts w:ascii="Times New Roman" w:eastAsiaTheme="minorHAnsi" w:hAnsi="Times New Roman"/>
          <w:b/>
          <w:sz w:val="24"/>
          <w:szCs w:val="24"/>
        </w:rPr>
      </w:pPr>
    </w:p>
    <w:p w:rsidR="00060C40" w:rsidRPr="002D1E34" w:rsidRDefault="002D1E34" w:rsidP="002D1E34">
      <w:pPr>
        <w:pStyle w:val="ListParagraph"/>
        <w:numPr>
          <w:ilvl w:val="0"/>
          <w:numId w:val="4"/>
        </w:numPr>
        <w:spacing w:after="120"/>
        <w:rPr>
          <w:rFonts w:ascii="Times New Roman" w:hAnsi="Times New Roman"/>
          <w:b/>
          <w:sz w:val="24"/>
          <w:szCs w:val="24"/>
        </w:rPr>
      </w:pPr>
      <w:r w:rsidRPr="002D1E34">
        <w:rPr>
          <w:rFonts w:ascii="Times New Roman" w:hAnsi="Times New Roman"/>
          <w:b/>
          <w:sz w:val="24"/>
          <w:szCs w:val="24"/>
        </w:rPr>
        <w:t xml:space="preserve"> </w:t>
      </w:r>
      <w:r w:rsidR="00060C40" w:rsidRPr="002D1E34">
        <w:rPr>
          <w:rFonts w:ascii="Times New Roman" w:hAnsi="Times New Roman"/>
          <w:b/>
          <w:sz w:val="24"/>
          <w:szCs w:val="24"/>
        </w:rPr>
        <w:t>Use of Data</w:t>
      </w:r>
    </w:p>
    <w:p w:rsidR="002D1E34" w:rsidRDefault="009A06D9" w:rsidP="006B6A57">
      <w:pPr>
        <w:spacing w:after="120"/>
        <w:ind w:left="720"/>
        <w:rPr>
          <w:rFonts w:ascii="Times New Roman" w:hAnsi="Times New Roman"/>
          <w:sz w:val="24"/>
          <w:szCs w:val="24"/>
        </w:rPr>
      </w:pPr>
      <w:r w:rsidRPr="006B6A57">
        <w:rPr>
          <w:rFonts w:ascii="Times New Roman" w:hAnsi="Times New Roman"/>
          <w:sz w:val="24"/>
          <w:szCs w:val="24"/>
        </w:rPr>
        <w:t xml:space="preserve">In keeping with recommendations in the Monitor’s past reports, the State has been working to improve its capacities for capturing </w:t>
      </w:r>
      <w:r w:rsidR="002C721F">
        <w:rPr>
          <w:rFonts w:ascii="Times New Roman" w:hAnsi="Times New Roman"/>
          <w:sz w:val="24"/>
          <w:szCs w:val="24"/>
        </w:rPr>
        <w:t xml:space="preserve">good </w:t>
      </w:r>
      <w:r w:rsidRPr="006B6A57">
        <w:rPr>
          <w:rFonts w:ascii="Times New Roman" w:hAnsi="Times New Roman"/>
          <w:sz w:val="24"/>
          <w:szCs w:val="24"/>
        </w:rPr>
        <w:t xml:space="preserve">data and using this information to monitor service quality and guide decision making.  </w:t>
      </w:r>
      <w:r w:rsidR="00DB4447">
        <w:rPr>
          <w:rFonts w:ascii="Times New Roman" w:hAnsi="Times New Roman"/>
          <w:sz w:val="24"/>
          <w:szCs w:val="24"/>
        </w:rPr>
        <w:t xml:space="preserve">This is happening on two tracks.  </w:t>
      </w:r>
      <w:r w:rsidRPr="006B6A57">
        <w:rPr>
          <w:rFonts w:ascii="Times New Roman" w:hAnsi="Times New Roman"/>
          <w:sz w:val="24"/>
          <w:szCs w:val="24"/>
        </w:rPr>
        <w:t xml:space="preserve">While Delaware is proceeding with a program of broad, long-term </w:t>
      </w:r>
      <w:r w:rsidR="00570B4B">
        <w:rPr>
          <w:rFonts w:ascii="Times New Roman" w:hAnsi="Times New Roman"/>
          <w:sz w:val="24"/>
          <w:szCs w:val="24"/>
        </w:rPr>
        <w:t>upgrades to</w:t>
      </w:r>
      <w:r w:rsidRPr="006B6A57">
        <w:rPr>
          <w:rFonts w:ascii="Times New Roman" w:hAnsi="Times New Roman"/>
          <w:sz w:val="24"/>
          <w:szCs w:val="24"/>
        </w:rPr>
        <w:t xml:space="preserve"> its information technology (</w:t>
      </w:r>
      <w:r w:rsidR="002D1E34">
        <w:rPr>
          <w:rFonts w:ascii="Times New Roman" w:hAnsi="Times New Roman"/>
          <w:sz w:val="24"/>
          <w:szCs w:val="24"/>
        </w:rPr>
        <w:t>“</w:t>
      </w:r>
      <w:r w:rsidRPr="006B6A57">
        <w:rPr>
          <w:rFonts w:ascii="Times New Roman" w:hAnsi="Times New Roman"/>
          <w:sz w:val="24"/>
          <w:szCs w:val="24"/>
        </w:rPr>
        <w:t>IT</w:t>
      </w:r>
      <w:r w:rsidR="002D1E34">
        <w:rPr>
          <w:rFonts w:ascii="Times New Roman" w:hAnsi="Times New Roman"/>
          <w:sz w:val="24"/>
          <w:szCs w:val="24"/>
        </w:rPr>
        <w:t>”</w:t>
      </w:r>
      <w:r w:rsidRPr="006B6A57">
        <w:rPr>
          <w:rFonts w:ascii="Times New Roman" w:hAnsi="Times New Roman"/>
          <w:sz w:val="24"/>
          <w:szCs w:val="24"/>
        </w:rPr>
        <w:t>)</w:t>
      </w:r>
      <w:r w:rsidR="005F4DF4" w:rsidRPr="006B6A57">
        <w:rPr>
          <w:rFonts w:ascii="Times New Roman" w:hAnsi="Times New Roman"/>
          <w:sz w:val="24"/>
          <w:szCs w:val="24"/>
        </w:rPr>
        <w:t xml:space="preserve"> systems</w:t>
      </w:r>
      <w:r w:rsidRPr="006B6A57">
        <w:rPr>
          <w:rFonts w:ascii="Times New Roman" w:hAnsi="Times New Roman"/>
          <w:sz w:val="24"/>
          <w:szCs w:val="24"/>
        </w:rPr>
        <w:t xml:space="preserve">, it </w:t>
      </w:r>
      <w:r w:rsidR="003963B0">
        <w:rPr>
          <w:rFonts w:ascii="Times New Roman" w:hAnsi="Times New Roman"/>
          <w:sz w:val="24"/>
          <w:szCs w:val="24"/>
        </w:rPr>
        <w:t xml:space="preserve">is </w:t>
      </w:r>
      <w:r w:rsidR="00DB4447">
        <w:rPr>
          <w:rFonts w:ascii="Times New Roman" w:hAnsi="Times New Roman"/>
          <w:sz w:val="24"/>
          <w:szCs w:val="24"/>
        </w:rPr>
        <w:t xml:space="preserve">also </w:t>
      </w:r>
      <w:r w:rsidR="003963B0">
        <w:rPr>
          <w:rFonts w:ascii="Times New Roman" w:hAnsi="Times New Roman"/>
          <w:sz w:val="24"/>
          <w:szCs w:val="24"/>
        </w:rPr>
        <w:t xml:space="preserve">moving forward </w:t>
      </w:r>
      <w:r w:rsidR="00DB4447">
        <w:rPr>
          <w:rFonts w:ascii="Times New Roman" w:hAnsi="Times New Roman"/>
          <w:sz w:val="24"/>
          <w:szCs w:val="24"/>
        </w:rPr>
        <w:t>on some</w:t>
      </w:r>
      <w:r w:rsidRPr="006B6A57">
        <w:rPr>
          <w:rFonts w:ascii="Times New Roman" w:hAnsi="Times New Roman"/>
          <w:sz w:val="24"/>
          <w:szCs w:val="24"/>
        </w:rPr>
        <w:t xml:space="preserve"> </w:t>
      </w:r>
      <w:r w:rsidR="005F4DF4" w:rsidRPr="006B6A57">
        <w:rPr>
          <w:rFonts w:ascii="Times New Roman" w:hAnsi="Times New Roman"/>
          <w:sz w:val="24"/>
          <w:szCs w:val="24"/>
        </w:rPr>
        <w:t xml:space="preserve">more immediate, and </w:t>
      </w:r>
      <w:r w:rsidRPr="006B6A57">
        <w:rPr>
          <w:rFonts w:ascii="Times New Roman" w:hAnsi="Times New Roman"/>
          <w:sz w:val="24"/>
          <w:szCs w:val="24"/>
        </w:rPr>
        <w:t>much</w:t>
      </w:r>
      <w:r w:rsidR="005F4DF4" w:rsidRPr="006B6A57">
        <w:rPr>
          <w:rFonts w:ascii="Times New Roman" w:hAnsi="Times New Roman"/>
          <w:sz w:val="24"/>
          <w:szCs w:val="24"/>
        </w:rPr>
        <w:t>-</w:t>
      </w:r>
      <w:r w:rsidRPr="006B6A57">
        <w:rPr>
          <w:rFonts w:ascii="Times New Roman" w:hAnsi="Times New Roman"/>
          <w:sz w:val="24"/>
          <w:szCs w:val="24"/>
        </w:rPr>
        <w:t>needed</w:t>
      </w:r>
      <w:r w:rsidR="005F4DF4" w:rsidRPr="006B6A57">
        <w:rPr>
          <w:rFonts w:ascii="Times New Roman" w:hAnsi="Times New Roman"/>
          <w:sz w:val="24"/>
          <w:szCs w:val="24"/>
        </w:rPr>
        <w:t>,</w:t>
      </w:r>
      <w:r w:rsidRPr="006B6A57">
        <w:rPr>
          <w:rFonts w:ascii="Times New Roman" w:hAnsi="Times New Roman"/>
          <w:sz w:val="24"/>
          <w:szCs w:val="24"/>
        </w:rPr>
        <w:t xml:space="preserve"> expansions of capacities within DSAMH</w:t>
      </w:r>
      <w:r w:rsidR="00570B4B">
        <w:rPr>
          <w:rFonts w:ascii="Times New Roman" w:hAnsi="Times New Roman"/>
          <w:sz w:val="24"/>
          <w:szCs w:val="24"/>
        </w:rPr>
        <w:t xml:space="preserve"> that are essential to its meeting the requirements of the Agreement</w:t>
      </w:r>
      <w:r w:rsidR="005F4DF4" w:rsidRPr="006B6A57">
        <w:rPr>
          <w:rFonts w:ascii="Times New Roman" w:hAnsi="Times New Roman"/>
          <w:sz w:val="24"/>
          <w:szCs w:val="24"/>
        </w:rPr>
        <w:t xml:space="preserve">.  </w:t>
      </w:r>
      <w:r w:rsidR="002C721F">
        <w:rPr>
          <w:rFonts w:ascii="Times New Roman" w:hAnsi="Times New Roman"/>
          <w:sz w:val="24"/>
          <w:szCs w:val="24"/>
        </w:rPr>
        <w:t>These short-term measures are still incomplete, but they are already offering a glimpse of how a fully functional information system can vastly increase the State's abilities to monitor the quality</w:t>
      </w:r>
      <w:r w:rsidR="00570B4B">
        <w:rPr>
          <w:rFonts w:ascii="Times New Roman" w:hAnsi="Times New Roman"/>
          <w:sz w:val="24"/>
          <w:szCs w:val="24"/>
        </w:rPr>
        <w:t>,</w:t>
      </w:r>
      <w:r w:rsidR="002C721F">
        <w:rPr>
          <w:rFonts w:ascii="Times New Roman" w:hAnsi="Times New Roman"/>
          <w:sz w:val="24"/>
          <w:szCs w:val="24"/>
        </w:rPr>
        <w:t xml:space="preserve"> impact</w:t>
      </w:r>
      <w:r w:rsidR="00570B4B">
        <w:rPr>
          <w:rFonts w:ascii="Times New Roman" w:hAnsi="Times New Roman"/>
          <w:sz w:val="24"/>
          <w:szCs w:val="24"/>
        </w:rPr>
        <w:t xml:space="preserve"> and efficiency</w:t>
      </w:r>
      <w:r w:rsidR="002C721F">
        <w:rPr>
          <w:rFonts w:ascii="Times New Roman" w:hAnsi="Times New Roman"/>
          <w:sz w:val="24"/>
          <w:szCs w:val="24"/>
        </w:rPr>
        <w:t xml:space="preserve"> of DSAMH's services to individuals with SPMI.  </w:t>
      </w:r>
      <w:r w:rsidR="00570B4B">
        <w:rPr>
          <w:rFonts w:ascii="Times New Roman" w:hAnsi="Times New Roman"/>
          <w:sz w:val="24"/>
          <w:szCs w:val="24"/>
        </w:rPr>
        <w:t>As an example, f</w:t>
      </w:r>
      <w:r w:rsidR="003963B0" w:rsidRPr="006B6A57">
        <w:rPr>
          <w:rFonts w:ascii="Times New Roman" w:hAnsi="Times New Roman"/>
          <w:sz w:val="24"/>
          <w:szCs w:val="24"/>
        </w:rPr>
        <w:t xml:space="preserve">our new IT positions </w:t>
      </w:r>
      <w:r w:rsidR="00570B4B">
        <w:rPr>
          <w:rFonts w:ascii="Times New Roman" w:hAnsi="Times New Roman"/>
          <w:sz w:val="24"/>
          <w:szCs w:val="24"/>
        </w:rPr>
        <w:t xml:space="preserve">are </w:t>
      </w:r>
      <w:r w:rsidR="003963B0" w:rsidRPr="006B6A57">
        <w:rPr>
          <w:rFonts w:ascii="Times New Roman" w:hAnsi="Times New Roman"/>
          <w:sz w:val="24"/>
          <w:szCs w:val="24"/>
        </w:rPr>
        <w:t>being requested</w:t>
      </w:r>
      <w:r w:rsidR="003963B0">
        <w:rPr>
          <w:rFonts w:ascii="Times New Roman" w:hAnsi="Times New Roman"/>
          <w:sz w:val="24"/>
          <w:szCs w:val="24"/>
        </w:rPr>
        <w:t xml:space="preserve"> </w:t>
      </w:r>
      <w:r w:rsidR="00DB4447">
        <w:rPr>
          <w:rFonts w:ascii="Times New Roman" w:hAnsi="Times New Roman"/>
          <w:sz w:val="24"/>
          <w:szCs w:val="24"/>
        </w:rPr>
        <w:t>by DSAMH</w:t>
      </w:r>
      <w:r w:rsidR="00C06438">
        <w:rPr>
          <w:rFonts w:ascii="Times New Roman" w:hAnsi="Times New Roman"/>
          <w:sz w:val="24"/>
          <w:szCs w:val="24"/>
        </w:rPr>
        <w:t xml:space="preserve">. </w:t>
      </w:r>
      <w:r w:rsidR="00570B4B">
        <w:rPr>
          <w:rFonts w:ascii="Times New Roman" w:hAnsi="Times New Roman"/>
          <w:sz w:val="24"/>
          <w:szCs w:val="24"/>
        </w:rPr>
        <w:t xml:space="preserve"> </w:t>
      </w:r>
      <w:r w:rsidR="00C06438">
        <w:rPr>
          <w:rFonts w:ascii="Times New Roman" w:hAnsi="Times New Roman"/>
          <w:sz w:val="24"/>
          <w:szCs w:val="24"/>
        </w:rPr>
        <w:t>T</w:t>
      </w:r>
      <w:r w:rsidR="00570B4B">
        <w:rPr>
          <w:rFonts w:ascii="Times New Roman" w:hAnsi="Times New Roman"/>
          <w:sz w:val="24"/>
          <w:szCs w:val="24"/>
        </w:rPr>
        <w:t>hese</w:t>
      </w:r>
      <w:r w:rsidR="00DB4447">
        <w:rPr>
          <w:rFonts w:ascii="Times New Roman" w:hAnsi="Times New Roman"/>
          <w:sz w:val="24"/>
          <w:szCs w:val="24"/>
        </w:rPr>
        <w:t xml:space="preserve"> </w:t>
      </w:r>
      <w:r w:rsidR="003963B0" w:rsidRPr="006B6A57">
        <w:rPr>
          <w:rFonts w:ascii="Times New Roman" w:hAnsi="Times New Roman"/>
          <w:sz w:val="24"/>
          <w:szCs w:val="24"/>
        </w:rPr>
        <w:t xml:space="preserve">will </w:t>
      </w:r>
      <w:r w:rsidR="00C06438">
        <w:rPr>
          <w:rFonts w:ascii="Times New Roman" w:hAnsi="Times New Roman"/>
          <w:sz w:val="24"/>
          <w:szCs w:val="24"/>
        </w:rPr>
        <w:t>address a critical need</w:t>
      </w:r>
      <w:r w:rsidR="003963B0" w:rsidRPr="006B6A57">
        <w:rPr>
          <w:rFonts w:ascii="Times New Roman" w:hAnsi="Times New Roman"/>
          <w:sz w:val="24"/>
          <w:szCs w:val="24"/>
        </w:rPr>
        <w:t xml:space="preserve"> for data analytics that are specifically tailored to people with </w:t>
      </w:r>
      <w:r w:rsidR="00C06438">
        <w:rPr>
          <w:rFonts w:ascii="Times New Roman" w:hAnsi="Times New Roman"/>
          <w:sz w:val="24"/>
          <w:szCs w:val="24"/>
        </w:rPr>
        <w:t>SPMI</w:t>
      </w:r>
      <w:r w:rsidR="003046A9">
        <w:rPr>
          <w:rFonts w:ascii="Times New Roman" w:hAnsi="Times New Roman"/>
          <w:sz w:val="24"/>
          <w:szCs w:val="24"/>
        </w:rPr>
        <w:t xml:space="preserve"> and the multiple systems that serve them</w:t>
      </w:r>
      <w:r w:rsidR="003963B0" w:rsidRPr="006B6A57">
        <w:rPr>
          <w:rFonts w:ascii="Times New Roman" w:hAnsi="Times New Roman"/>
          <w:sz w:val="24"/>
          <w:szCs w:val="24"/>
        </w:rPr>
        <w:t xml:space="preserve">.  </w:t>
      </w:r>
      <w:r w:rsidR="003963B0">
        <w:rPr>
          <w:rFonts w:ascii="Times New Roman" w:hAnsi="Times New Roman"/>
          <w:sz w:val="24"/>
          <w:szCs w:val="24"/>
        </w:rPr>
        <w:t xml:space="preserve">Further progress is being made with the imminent adoption of </w:t>
      </w:r>
      <w:r w:rsidR="005F4DF4" w:rsidRPr="006B6A57">
        <w:rPr>
          <w:rFonts w:ascii="Times New Roman" w:hAnsi="Times New Roman"/>
          <w:sz w:val="24"/>
          <w:szCs w:val="24"/>
        </w:rPr>
        <w:t>electronic medical records</w:t>
      </w:r>
      <w:r w:rsidR="003963B0">
        <w:rPr>
          <w:rFonts w:ascii="Times New Roman" w:hAnsi="Times New Roman"/>
          <w:sz w:val="24"/>
          <w:szCs w:val="24"/>
        </w:rPr>
        <w:t xml:space="preserve"> </w:t>
      </w:r>
      <w:r w:rsidR="003046A9">
        <w:rPr>
          <w:rFonts w:ascii="Times New Roman" w:hAnsi="Times New Roman"/>
          <w:sz w:val="24"/>
          <w:szCs w:val="24"/>
        </w:rPr>
        <w:t>at</w:t>
      </w:r>
      <w:r w:rsidR="003963B0">
        <w:rPr>
          <w:rFonts w:ascii="Times New Roman" w:hAnsi="Times New Roman"/>
          <w:sz w:val="24"/>
          <w:szCs w:val="24"/>
        </w:rPr>
        <w:t xml:space="preserve"> </w:t>
      </w:r>
      <w:r w:rsidR="00881C92">
        <w:rPr>
          <w:rFonts w:ascii="Times New Roman" w:hAnsi="Times New Roman"/>
          <w:sz w:val="24"/>
          <w:szCs w:val="24"/>
        </w:rPr>
        <w:t>Delaware Psychiatric Center (“</w:t>
      </w:r>
      <w:r w:rsidR="003963B0">
        <w:rPr>
          <w:rFonts w:ascii="Times New Roman" w:hAnsi="Times New Roman"/>
          <w:sz w:val="24"/>
          <w:szCs w:val="24"/>
        </w:rPr>
        <w:t>DPC</w:t>
      </w:r>
      <w:r w:rsidR="00881C92">
        <w:rPr>
          <w:rFonts w:ascii="Times New Roman" w:hAnsi="Times New Roman"/>
          <w:sz w:val="24"/>
          <w:szCs w:val="24"/>
        </w:rPr>
        <w:t>”)</w:t>
      </w:r>
      <w:r w:rsidR="003963B0">
        <w:rPr>
          <w:rFonts w:ascii="Times New Roman" w:hAnsi="Times New Roman"/>
          <w:sz w:val="24"/>
          <w:szCs w:val="24"/>
        </w:rPr>
        <w:t>; this</w:t>
      </w:r>
      <w:r w:rsidR="005F4DF4" w:rsidRPr="006B6A57">
        <w:rPr>
          <w:rFonts w:ascii="Times New Roman" w:hAnsi="Times New Roman"/>
          <w:sz w:val="24"/>
          <w:szCs w:val="24"/>
        </w:rPr>
        <w:t xml:space="preserve"> should vastly improve access to clinical information and related quality assurance.  </w:t>
      </w:r>
    </w:p>
    <w:p w:rsidR="00C06438" w:rsidRDefault="005F4DF4" w:rsidP="00FA08C8">
      <w:pPr>
        <w:spacing w:after="120"/>
        <w:ind w:left="720"/>
        <w:rPr>
          <w:rFonts w:ascii="Times New Roman" w:hAnsi="Times New Roman"/>
          <w:sz w:val="24"/>
          <w:szCs w:val="24"/>
        </w:rPr>
      </w:pPr>
      <w:r w:rsidRPr="006B6A57">
        <w:rPr>
          <w:rFonts w:ascii="Times New Roman" w:hAnsi="Times New Roman"/>
          <w:sz w:val="24"/>
          <w:szCs w:val="24"/>
        </w:rPr>
        <w:t xml:space="preserve">As has been noted in previous reports, in many respects DSAMH has been accustomed to functioning in the absence of </w:t>
      </w:r>
      <w:r w:rsidR="00C06438">
        <w:rPr>
          <w:rFonts w:ascii="Times New Roman" w:hAnsi="Times New Roman"/>
          <w:sz w:val="24"/>
          <w:szCs w:val="24"/>
        </w:rPr>
        <w:t>timely and reliable</w:t>
      </w:r>
      <w:r w:rsidRPr="006B6A57">
        <w:rPr>
          <w:rFonts w:ascii="Times New Roman" w:hAnsi="Times New Roman"/>
          <w:sz w:val="24"/>
          <w:szCs w:val="24"/>
        </w:rPr>
        <w:t xml:space="preserve"> data, and this has hampered its abilities to maximize outcomes and efficiencies.  During the past six months</w:t>
      </w:r>
      <w:r w:rsidR="009A06D9" w:rsidRPr="006B6A57">
        <w:rPr>
          <w:rFonts w:ascii="Times New Roman" w:hAnsi="Times New Roman"/>
          <w:sz w:val="24"/>
          <w:szCs w:val="24"/>
        </w:rPr>
        <w:t xml:space="preserve">, </w:t>
      </w:r>
      <w:r w:rsidRPr="006B6A57">
        <w:rPr>
          <w:rFonts w:ascii="Times New Roman" w:hAnsi="Times New Roman"/>
          <w:sz w:val="24"/>
          <w:szCs w:val="24"/>
        </w:rPr>
        <w:t xml:space="preserve">the Monitor has been working </w:t>
      </w:r>
      <w:r w:rsidR="00983CEA" w:rsidRPr="006B6A57">
        <w:rPr>
          <w:rFonts w:ascii="Times New Roman" w:hAnsi="Times New Roman"/>
          <w:sz w:val="24"/>
          <w:szCs w:val="24"/>
        </w:rPr>
        <w:t xml:space="preserve">very </w:t>
      </w:r>
      <w:r w:rsidRPr="006B6A57">
        <w:rPr>
          <w:rFonts w:ascii="Times New Roman" w:hAnsi="Times New Roman"/>
          <w:sz w:val="24"/>
          <w:szCs w:val="24"/>
        </w:rPr>
        <w:t xml:space="preserve">closely with </w:t>
      </w:r>
      <w:r w:rsidR="003963B0">
        <w:rPr>
          <w:rFonts w:ascii="Times New Roman" w:hAnsi="Times New Roman"/>
          <w:sz w:val="24"/>
          <w:szCs w:val="24"/>
        </w:rPr>
        <w:t xml:space="preserve">leadership in the Division </w:t>
      </w:r>
      <w:r w:rsidR="002D1E34">
        <w:rPr>
          <w:rFonts w:ascii="Times New Roman" w:hAnsi="Times New Roman"/>
          <w:sz w:val="24"/>
          <w:szCs w:val="24"/>
        </w:rPr>
        <w:t xml:space="preserve">to </w:t>
      </w:r>
      <w:r w:rsidR="00983CEA" w:rsidRPr="006B6A57">
        <w:rPr>
          <w:rFonts w:ascii="Times New Roman" w:hAnsi="Times New Roman"/>
          <w:sz w:val="24"/>
          <w:szCs w:val="24"/>
        </w:rPr>
        <w:t xml:space="preserve">systematically incorporate data in its tracking of compliance with the Settlement Agreement.  DSAMH has created a “dashboard” that reflects its current status with regard to </w:t>
      </w:r>
      <w:r w:rsidR="003046A9">
        <w:rPr>
          <w:rFonts w:ascii="Times New Roman" w:hAnsi="Times New Roman"/>
          <w:sz w:val="24"/>
          <w:szCs w:val="24"/>
        </w:rPr>
        <w:t>each</w:t>
      </w:r>
      <w:r w:rsidR="00983CEA" w:rsidRPr="006B6A57">
        <w:rPr>
          <w:rFonts w:ascii="Times New Roman" w:hAnsi="Times New Roman"/>
          <w:sz w:val="24"/>
          <w:szCs w:val="24"/>
        </w:rPr>
        <w:t xml:space="preserve"> of the Settlement’s key elements</w:t>
      </w:r>
      <w:r w:rsidR="00C06438">
        <w:rPr>
          <w:rFonts w:ascii="Times New Roman" w:hAnsi="Times New Roman"/>
          <w:sz w:val="24"/>
          <w:szCs w:val="24"/>
        </w:rPr>
        <w:t xml:space="preserve"> and that supplies</w:t>
      </w:r>
      <w:r w:rsidR="00596C07">
        <w:rPr>
          <w:rFonts w:ascii="Times New Roman" w:hAnsi="Times New Roman"/>
          <w:sz w:val="24"/>
          <w:szCs w:val="24"/>
        </w:rPr>
        <w:t xml:space="preserve"> data essential to compliance monitoring</w:t>
      </w:r>
      <w:r w:rsidR="003046A9">
        <w:rPr>
          <w:rFonts w:ascii="Times New Roman" w:hAnsi="Times New Roman"/>
          <w:sz w:val="24"/>
          <w:szCs w:val="24"/>
        </w:rPr>
        <w:t xml:space="preserve"> (both internally and by the Monitor)</w:t>
      </w:r>
      <w:r w:rsidR="00983CEA" w:rsidRPr="006B6A57">
        <w:rPr>
          <w:rFonts w:ascii="Times New Roman" w:hAnsi="Times New Roman"/>
          <w:sz w:val="24"/>
          <w:szCs w:val="24"/>
        </w:rPr>
        <w:t>.  In addition, it has begun to produce trending data</w:t>
      </w:r>
      <w:r w:rsidR="002D0ED0" w:rsidRPr="006B6A57">
        <w:rPr>
          <w:rFonts w:ascii="Times New Roman" w:hAnsi="Times New Roman"/>
          <w:sz w:val="24"/>
          <w:szCs w:val="24"/>
        </w:rPr>
        <w:t xml:space="preserve"> relating to these elements and other performance indicators.  </w:t>
      </w:r>
    </w:p>
    <w:p w:rsidR="00CE76E5" w:rsidRPr="006B6A57" w:rsidRDefault="003963B0" w:rsidP="00FA08C8">
      <w:pPr>
        <w:spacing w:after="120"/>
        <w:ind w:left="720"/>
        <w:rPr>
          <w:rFonts w:ascii="Times New Roman" w:hAnsi="Times New Roman"/>
          <w:sz w:val="24"/>
          <w:szCs w:val="24"/>
        </w:rPr>
      </w:pPr>
      <w:r>
        <w:rPr>
          <w:rFonts w:ascii="Times New Roman" w:hAnsi="Times New Roman"/>
          <w:sz w:val="24"/>
          <w:szCs w:val="24"/>
        </w:rPr>
        <w:t>The State’s significant progress in this area since the last report is evidenced throughout this report, which incorporates s</w:t>
      </w:r>
      <w:r w:rsidR="002D0ED0" w:rsidRPr="006B6A57">
        <w:rPr>
          <w:rFonts w:ascii="Times New Roman" w:hAnsi="Times New Roman"/>
          <w:sz w:val="24"/>
          <w:szCs w:val="24"/>
        </w:rPr>
        <w:t xml:space="preserve">everal of </w:t>
      </w:r>
      <w:r w:rsidR="003046A9">
        <w:rPr>
          <w:rFonts w:ascii="Times New Roman" w:hAnsi="Times New Roman"/>
          <w:sz w:val="24"/>
          <w:szCs w:val="24"/>
        </w:rPr>
        <w:t>the</w:t>
      </w:r>
      <w:r w:rsidR="002D0ED0" w:rsidRPr="006B6A57">
        <w:rPr>
          <w:rFonts w:ascii="Times New Roman" w:hAnsi="Times New Roman"/>
          <w:sz w:val="24"/>
          <w:szCs w:val="24"/>
        </w:rPr>
        <w:t xml:space="preserve"> trending charts </w:t>
      </w:r>
      <w:r>
        <w:rPr>
          <w:rFonts w:ascii="Times New Roman" w:hAnsi="Times New Roman"/>
          <w:sz w:val="24"/>
          <w:szCs w:val="24"/>
        </w:rPr>
        <w:t xml:space="preserve">that are </w:t>
      </w:r>
      <w:r w:rsidR="00C06438">
        <w:rPr>
          <w:rFonts w:ascii="Times New Roman" w:hAnsi="Times New Roman"/>
          <w:sz w:val="24"/>
          <w:szCs w:val="24"/>
        </w:rPr>
        <w:t xml:space="preserve">beginning to </w:t>
      </w:r>
      <w:r>
        <w:rPr>
          <w:rFonts w:ascii="Times New Roman" w:hAnsi="Times New Roman"/>
          <w:sz w:val="24"/>
          <w:szCs w:val="24"/>
        </w:rPr>
        <w:t xml:space="preserve">be used on </w:t>
      </w:r>
      <w:proofErr w:type="gramStart"/>
      <w:r>
        <w:rPr>
          <w:rFonts w:ascii="Times New Roman" w:hAnsi="Times New Roman"/>
          <w:sz w:val="24"/>
          <w:szCs w:val="24"/>
        </w:rPr>
        <w:t>an</w:t>
      </w:r>
      <w:proofErr w:type="gramEnd"/>
      <w:r>
        <w:rPr>
          <w:rFonts w:ascii="Times New Roman" w:hAnsi="Times New Roman"/>
          <w:sz w:val="24"/>
          <w:szCs w:val="24"/>
        </w:rPr>
        <w:t xml:space="preserve"> </w:t>
      </w:r>
      <w:r w:rsidR="00C06438">
        <w:rPr>
          <w:rFonts w:ascii="Times New Roman" w:hAnsi="Times New Roman"/>
          <w:sz w:val="24"/>
          <w:szCs w:val="24"/>
        </w:rPr>
        <w:t xml:space="preserve">routine </w:t>
      </w:r>
      <w:r>
        <w:rPr>
          <w:rFonts w:ascii="Times New Roman" w:hAnsi="Times New Roman"/>
          <w:sz w:val="24"/>
          <w:szCs w:val="24"/>
        </w:rPr>
        <w:t>basis to evaluate services and their impact</w:t>
      </w:r>
      <w:r w:rsidR="002D0ED0" w:rsidRPr="006B6A57">
        <w:rPr>
          <w:rFonts w:ascii="Times New Roman" w:hAnsi="Times New Roman"/>
          <w:sz w:val="24"/>
          <w:szCs w:val="24"/>
        </w:rPr>
        <w:t xml:space="preserve">.  </w:t>
      </w:r>
      <w:r w:rsidR="003046A9">
        <w:rPr>
          <w:rFonts w:ascii="Times New Roman" w:hAnsi="Times New Roman"/>
          <w:sz w:val="24"/>
          <w:szCs w:val="24"/>
        </w:rPr>
        <w:t xml:space="preserve">Again, while </w:t>
      </w:r>
      <w:r w:rsidR="00C06438">
        <w:rPr>
          <w:rFonts w:ascii="Times New Roman" w:hAnsi="Times New Roman"/>
          <w:sz w:val="24"/>
          <w:szCs w:val="24"/>
        </w:rPr>
        <w:t>acknowledging</w:t>
      </w:r>
      <w:r w:rsidR="003046A9">
        <w:rPr>
          <w:rFonts w:ascii="Times New Roman" w:hAnsi="Times New Roman"/>
          <w:sz w:val="24"/>
          <w:szCs w:val="24"/>
        </w:rPr>
        <w:t xml:space="preserve"> the State’s </w:t>
      </w:r>
      <w:r w:rsidR="00C06438">
        <w:rPr>
          <w:rFonts w:ascii="Times New Roman" w:hAnsi="Times New Roman"/>
          <w:sz w:val="24"/>
          <w:szCs w:val="24"/>
        </w:rPr>
        <w:t xml:space="preserve">significant </w:t>
      </w:r>
      <w:r w:rsidR="003046A9">
        <w:rPr>
          <w:rFonts w:ascii="Times New Roman" w:hAnsi="Times New Roman"/>
          <w:sz w:val="24"/>
          <w:szCs w:val="24"/>
        </w:rPr>
        <w:t xml:space="preserve">advances </w:t>
      </w:r>
      <w:r w:rsidR="00C06438">
        <w:rPr>
          <w:rFonts w:ascii="Times New Roman" w:hAnsi="Times New Roman"/>
          <w:sz w:val="24"/>
          <w:szCs w:val="24"/>
        </w:rPr>
        <w:t>during</w:t>
      </w:r>
      <w:r w:rsidR="003046A9">
        <w:rPr>
          <w:rFonts w:ascii="Times New Roman" w:hAnsi="Times New Roman"/>
          <w:sz w:val="24"/>
          <w:szCs w:val="24"/>
        </w:rPr>
        <w:t xml:space="preserve"> the last six months, the data </w:t>
      </w:r>
      <w:r w:rsidR="00C06438">
        <w:rPr>
          <w:rFonts w:ascii="Times New Roman" w:hAnsi="Times New Roman"/>
          <w:sz w:val="24"/>
          <w:szCs w:val="24"/>
        </w:rPr>
        <w:t>set reflected in this report</w:t>
      </w:r>
      <w:r w:rsidR="003046A9">
        <w:rPr>
          <w:rFonts w:ascii="Times New Roman" w:hAnsi="Times New Roman"/>
          <w:sz w:val="24"/>
          <w:szCs w:val="24"/>
        </w:rPr>
        <w:t xml:space="preserve"> should properly be regarded as a work in progress.</w:t>
      </w:r>
    </w:p>
    <w:p w:rsidR="00C06438" w:rsidRDefault="00C06438" w:rsidP="00FA08C8">
      <w:pPr>
        <w:keepNext/>
        <w:ind w:left="720"/>
        <w:rPr>
          <w:rFonts w:ascii="Times New Roman" w:hAnsi="Times New Roman"/>
          <w:i/>
          <w:sz w:val="24"/>
          <w:szCs w:val="24"/>
        </w:rPr>
      </w:pPr>
    </w:p>
    <w:p w:rsidR="00D90A62" w:rsidRDefault="00D90A62" w:rsidP="00FA08C8">
      <w:pPr>
        <w:keepNext/>
        <w:ind w:left="720"/>
        <w:rPr>
          <w:rFonts w:ascii="Times New Roman" w:hAnsi="Times New Roman"/>
          <w:i/>
          <w:sz w:val="24"/>
          <w:szCs w:val="24"/>
        </w:rPr>
      </w:pPr>
      <w:r>
        <w:rPr>
          <w:rFonts w:ascii="Times New Roman" w:hAnsi="Times New Roman"/>
          <w:i/>
          <w:sz w:val="24"/>
          <w:szCs w:val="24"/>
        </w:rPr>
        <w:t>Targeted Priority Population List:</w:t>
      </w:r>
    </w:p>
    <w:p w:rsidR="00D90A62" w:rsidRDefault="00D90A62" w:rsidP="00FA08C8">
      <w:pPr>
        <w:ind w:left="720"/>
        <w:rPr>
          <w:rFonts w:ascii="Times New Roman" w:hAnsi="Times New Roman"/>
          <w:sz w:val="24"/>
          <w:szCs w:val="24"/>
        </w:rPr>
      </w:pPr>
      <w:r>
        <w:rPr>
          <w:rFonts w:ascii="Times New Roman" w:hAnsi="Times New Roman"/>
          <w:sz w:val="24"/>
          <w:szCs w:val="24"/>
        </w:rPr>
        <w:t>One early challenge confronting the State with respect to data concerned the establishment of a Targeted Priority Population List</w:t>
      </w:r>
      <w:r w:rsidR="00881C92">
        <w:rPr>
          <w:rFonts w:ascii="Times New Roman" w:hAnsi="Times New Roman"/>
          <w:sz w:val="24"/>
          <w:szCs w:val="24"/>
        </w:rPr>
        <w:t xml:space="preserve"> (“TPPL”)</w:t>
      </w:r>
      <w:r>
        <w:rPr>
          <w:rFonts w:ascii="Times New Roman" w:hAnsi="Times New Roman"/>
          <w:sz w:val="24"/>
          <w:szCs w:val="24"/>
        </w:rPr>
        <w:t xml:space="preserve">, in keeping with Section II.B of the Agreement.  The construction and maintenance of this list have required the State to integrate </w:t>
      </w:r>
      <w:r w:rsidR="00476BB8">
        <w:rPr>
          <w:rFonts w:ascii="Times New Roman" w:hAnsi="Times New Roman"/>
          <w:sz w:val="24"/>
          <w:szCs w:val="24"/>
        </w:rPr>
        <w:t xml:space="preserve">disparate </w:t>
      </w:r>
      <w:r>
        <w:rPr>
          <w:rFonts w:ascii="Times New Roman" w:hAnsi="Times New Roman"/>
          <w:sz w:val="24"/>
          <w:szCs w:val="24"/>
        </w:rPr>
        <w:t xml:space="preserve">data across departmental divisions, among them </w:t>
      </w:r>
      <w:r w:rsidR="00C06438">
        <w:rPr>
          <w:rFonts w:ascii="Times New Roman" w:hAnsi="Times New Roman"/>
          <w:sz w:val="24"/>
          <w:szCs w:val="24"/>
        </w:rPr>
        <w:t>m</w:t>
      </w:r>
      <w:r>
        <w:rPr>
          <w:rFonts w:ascii="Times New Roman" w:hAnsi="Times New Roman"/>
          <w:sz w:val="24"/>
          <w:szCs w:val="24"/>
        </w:rPr>
        <w:t xml:space="preserve">ental </w:t>
      </w:r>
      <w:r w:rsidR="00C06438">
        <w:rPr>
          <w:rFonts w:ascii="Times New Roman" w:hAnsi="Times New Roman"/>
          <w:sz w:val="24"/>
          <w:szCs w:val="24"/>
        </w:rPr>
        <w:t>h</w:t>
      </w:r>
      <w:r>
        <w:rPr>
          <w:rFonts w:ascii="Times New Roman" w:hAnsi="Times New Roman"/>
          <w:sz w:val="24"/>
          <w:szCs w:val="24"/>
        </w:rPr>
        <w:t xml:space="preserve">ealth, </w:t>
      </w:r>
      <w:r w:rsidR="00C06438">
        <w:rPr>
          <w:rFonts w:ascii="Times New Roman" w:hAnsi="Times New Roman"/>
          <w:sz w:val="24"/>
          <w:szCs w:val="24"/>
        </w:rPr>
        <w:t>c</w:t>
      </w:r>
      <w:r>
        <w:rPr>
          <w:rFonts w:ascii="Times New Roman" w:hAnsi="Times New Roman"/>
          <w:sz w:val="24"/>
          <w:szCs w:val="24"/>
        </w:rPr>
        <w:t xml:space="preserve">orrections, Medicaid and </w:t>
      </w:r>
      <w:r w:rsidR="00C06438">
        <w:rPr>
          <w:rFonts w:ascii="Times New Roman" w:hAnsi="Times New Roman"/>
          <w:sz w:val="24"/>
          <w:szCs w:val="24"/>
        </w:rPr>
        <w:t>h</w:t>
      </w:r>
      <w:r>
        <w:rPr>
          <w:rFonts w:ascii="Times New Roman" w:hAnsi="Times New Roman"/>
          <w:sz w:val="24"/>
          <w:szCs w:val="24"/>
        </w:rPr>
        <w:t xml:space="preserve">ousing.  </w:t>
      </w:r>
      <w:r w:rsidR="00476BB8">
        <w:rPr>
          <w:rFonts w:ascii="Times New Roman" w:hAnsi="Times New Roman"/>
          <w:sz w:val="24"/>
          <w:szCs w:val="24"/>
        </w:rPr>
        <w:t>This has been an enormous, but worthwhile undertaking.  While the TPPL</w:t>
      </w:r>
      <w:r>
        <w:rPr>
          <w:rFonts w:ascii="Times New Roman" w:hAnsi="Times New Roman"/>
          <w:sz w:val="24"/>
          <w:szCs w:val="24"/>
        </w:rPr>
        <w:t xml:space="preserve"> continues to be refine</w:t>
      </w:r>
      <w:r w:rsidR="00476BB8">
        <w:rPr>
          <w:rFonts w:ascii="Times New Roman" w:hAnsi="Times New Roman"/>
          <w:sz w:val="24"/>
          <w:szCs w:val="24"/>
        </w:rPr>
        <w:t>d over time,</w:t>
      </w:r>
      <w:r w:rsidR="00881C92">
        <w:rPr>
          <w:rFonts w:ascii="Times New Roman" w:hAnsi="Times New Roman"/>
          <w:sz w:val="24"/>
          <w:szCs w:val="24"/>
        </w:rPr>
        <w:t xml:space="preserve"> it provides an </w:t>
      </w:r>
      <w:r w:rsidR="00476BB8">
        <w:rPr>
          <w:rFonts w:ascii="Times New Roman" w:hAnsi="Times New Roman"/>
          <w:sz w:val="24"/>
          <w:szCs w:val="24"/>
        </w:rPr>
        <w:t>in</w:t>
      </w:r>
      <w:r w:rsidR="00881C92">
        <w:rPr>
          <w:rFonts w:ascii="Times New Roman" w:hAnsi="Times New Roman"/>
          <w:sz w:val="24"/>
          <w:szCs w:val="24"/>
        </w:rPr>
        <w:t xml:space="preserve">creasingly clear picture of the population with </w:t>
      </w:r>
      <w:r w:rsidR="003F403C">
        <w:rPr>
          <w:rFonts w:ascii="Times New Roman" w:hAnsi="Times New Roman"/>
          <w:sz w:val="24"/>
          <w:szCs w:val="24"/>
        </w:rPr>
        <w:t>Serious and Persistent Mental Illness (</w:t>
      </w:r>
      <w:r w:rsidR="00C06438">
        <w:rPr>
          <w:rFonts w:ascii="Times New Roman" w:hAnsi="Times New Roman"/>
          <w:sz w:val="24"/>
          <w:szCs w:val="24"/>
        </w:rPr>
        <w:t>SPMI</w:t>
      </w:r>
      <w:r w:rsidR="003F403C">
        <w:rPr>
          <w:rFonts w:ascii="Times New Roman" w:hAnsi="Times New Roman"/>
          <w:sz w:val="24"/>
          <w:szCs w:val="24"/>
        </w:rPr>
        <w:t>)</w:t>
      </w:r>
      <w:r w:rsidR="00881C92">
        <w:rPr>
          <w:rFonts w:ascii="Times New Roman" w:hAnsi="Times New Roman"/>
          <w:sz w:val="24"/>
          <w:szCs w:val="24"/>
        </w:rPr>
        <w:t xml:space="preserve"> that is served by </w:t>
      </w:r>
      <w:r w:rsidR="00476BB8">
        <w:rPr>
          <w:rFonts w:ascii="Times New Roman" w:hAnsi="Times New Roman"/>
          <w:sz w:val="24"/>
          <w:szCs w:val="24"/>
        </w:rPr>
        <w:t xml:space="preserve">Delaware’s </w:t>
      </w:r>
      <w:r w:rsidR="00881C92">
        <w:rPr>
          <w:rFonts w:ascii="Times New Roman" w:hAnsi="Times New Roman"/>
          <w:sz w:val="24"/>
          <w:szCs w:val="24"/>
        </w:rPr>
        <w:t xml:space="preserve">public systems.  </w:t>
      </w:r>
      <w:r w:rsidR="00476BB8">
        <w:rPr>
          <w:rFonts w:ascii="Times New Roman" w:hAnsi="Times New Roman"/>
          <w:sz w:val="24"/>
          <w:szCs w:val="24"/>
        </w:rPr>
        <w:t>This information—much of which was simply nonexistent in a usable format when the Agreement was formulated—now provides essential information about strategies for compliance and for future planning.</w:t>
      </w:r>
    </w:p>
    <w:p w:rsidR="00881C92" w:rsidRDefault="00881C92" w:rsidP="00D90A62">
      <w:pPr>
        <w:keepNext/>
        <w:ind w:left="720"/>
        <w:rPr>
          <w:rFonts w:ascii="Times New Roman" w:hAnsi="Times New Roman"/>
          <w:sz w:val="24"/>
          <w:szCs w:val="24"/>
        </w:rPr>
      </w:pPr>
      <w:r>
        <w:rPr>
          <w:rFonts w:ascii="Times New Roman" w:hAnsi="Times New Roman"/>
          <w:sz w:val="24"/>
          <w:szCs w:val="24"/>
        </w:rPr>
        <w:t>The TPPL currently includes 8,254 individuals, whose historical or current characteristics are as follows (an individual may be represented in more than one category):</w:t>
      </w:r>
    </w:p>
    <w:p w:rsidR="00881C92" w:rsidRDefault="00881C92" w:rsidP="0027457A">
      <w:pPr>
        <w:pStyle w:val="ListParagraph"/>
        <w:keepNext/>
        <w:numPr>
          <w:ilvl w:val="0"/>
          <w:numId w:val="6"/>
        </w:numPr>
        <w:tabs>
          <w:tab w:val="decimal" w:leader="dot" w:pos="6570"/>
        </w:tabs>
        <w:ind w:left="2250"/>
        <w:rPr>
          <w:rFonts w:ascii="Times New Roman" w:hAnsi="Times New Roman"/>
          <w:sz w:val="24"/>
          <w:szCs w:val="24"/>
        </w:rPr>
      </w:pPr>
      <w:r>
        <w:rPr>
          <w:rFonts w:ascii="Times New Roman" w:hAnsi="Times New Roman"/>
          <w:sz w:val="24"/>
          <w:szCs w:val="24"/>
        </w:rPr>
        <w:t>Treatment at DPC</w:t>
      </w:r>
      <w:r>
        <w:rPr>
          <w:rFonts w:ascii="Times New Roman" w:hAnsi="Times New Roman"/>
          <w:sz w:val="24"/>
          <w:szCs w:val="24"/>
        </w:rPr>
        <w:tab/>
        <w:t>8.25%</w:t>
      </w:r>
    </w:p>
    <w:p w:rsidR="00881C92" w:rsidRDefault="00881C92" w:rsidP="0027457A">
      <w:pPr>
        <w:pStyle w:val="ListParagraph"/>
        <w:keepNext/>
        <w:numPr>
          <w:ilvl w:val="0"/>
          <w:numId w:val="6"/>
        </w:numPr>
        <w:tabs>
          <w:tab w:val="decimal" w:leader="dot" w:pos="6570"/>
        </w:tabs>
        <w:ind w:left="2250"/>
        <w:rPr>
          <w:rFonts w:ascii="Times New Roman" w:hAnsi="Times New Roman"/>
          <w:sz w:val="24"/>
          <w:szCs w:val="24"/>
        </w:rPr>
      </w:pPr>
      <w:r>
        <w:rPr>
          <w:rFonts w:ascii="Times New Roman" w:hAnsi="Times New Roman"/>
          <w:sz w:val="24"/>
          <w:szCs w:val="24"/>
        </w:rPr>
        <w:t>Treatment in an IMD</w:t>
      </w:r>
      <w:r>
        <w:rPr>
          <w:rFonts w:ascii="Times New Roman" w:hAnsi="Times New Roman"/>
          <w:sz w:val="24"/>
          <w:szCs w:val="24"/>
        </w:rPr>
        <w:tab/>
        <w:t>53.76%</w:t>
      </w:r>
    </w:p>
    <w:p w:rsidR="00881C92" w:rsidRDefault="00881C92" w:rsidP="0027457A">
      <w:pPr>
        <w:pStyle w:val="ListParagraph"/>
        <w:keepNext/>
        <w:numPr>
          <w:ilvl w:val="0"/>
          <w:numId w:val="6"/>
        </w:numPr>
        <w:tabs>
          <w:tab w:val="decimal" w:leader="dot" w:pos="6570"/>
        </w:tabs>
        <w:ind w:left="2250"/>
        <w:rPr>
          <w:rFonts w:ascii="Times New Roman" w:hAnsi="Times New Roman"/>
          <w:sz w:val="24"/>
          <w:szCs w:val="24"/>
        </w:rPr>
      </w:pPr>
      <w:r>
        <w:rPr>
          <w:rFonts w:ascii="Times New Roman" w:hAnsi="Times New Roman"/>
          <w:sz w:val="24"/>
          <w:szCs w:val="24"/>
        </w:rPr>
        <w:t>Criminal justice contact</w:t>
      </w:r>
      <w:r>
        <w:rPr>
          <w:rFonts w:ascii="Times New Roman" w:hAnsi="Times New Roman"/>
          <w:sz w:val="24"/>
          <w:szCs w:val="24"/>
        </w:rPr>
        <w:tab/>
        <w:t>31.11%</w:t>
      </w:r>
    </w:p>
    <w:p w:rsidR="00881C92" w:rsidRDefault="00881C92" w:rsidP="0027457A">
      <w:pPr>
        <w:pStyle w:val="ListParagraph"/>
        <w:keepNext/>
        <w:numPr>
          <w:ilvl w:val="0"/>
          <w:numId w:val="6"/>
        </w:numPr>
        <w:tabs>
          <w:tab w:val="decimal" w:leader="dot" w:pos="6570"/>
        </w:tabs>
        <w:ind w:left="2250"/>
        <w:rPr>
          <w:rFonts w:ascii="Times New Roman" w:hAnsi="Times New Roman"/>
          <w:sz w:val="24"/>
          <w:szCs w:val="24"/>
        </w:rPr>
      </w:pPr>
      <w:r>
        <w:rPr>
          <w:rFonts w:ascii="Times New Roman" w:hAnsi="Times New Roman"/>
          <w:sz w:val="24"/>
          <w:szCs w:val="24"/>
        </w:rPr>
        <w:t>Homeless</w:t>
      </w:r>
      <w:r>
        <w:rPr>
          <w:rFonts w:ascii="Times New Roman" w:hAnsi="Times New Roman"/>
          <w:sz w:val="24"/>
          <w:szCs w:val="24"/>
        </w:rPr>
        <w:tab/>
        <w:t>27.67%</w:t>
      </w:r>
    </w:p>
    <w:p w:rsidR="00881C92" w:rsidRPr="00881C92" w:rsidRDefault="00881C92" w:rsidP="0027457A">
      <w:pPr>
        <w:pStyle w:val="ListParagraph"/>
        <w:keepNext/>
        <w:numPr>
          <w:ilvl w:val="0"/>
          <w:numId w:val="6"/>
        </w:numPr>
        <w:tabs>
          <w:tab w:val="decimal" w:leader="dot" w:pos="6570"/>
        </w:tabs>
        <w:ind w:left="2250"/>
        <w:rPr>
          <w:rFonts w:ascii="Times New Roman" w:hAnsi="Times New Roman"/>
          <w:sz w:val="24"/>
          <w:szCs w:val="24"/>
        </w:rPr>
      </w:pPr>
      <w:r>
        <w:rPr>
          <w:rFonts w:ascii="Times New Roman" w:hAnsi="Times New Roman"/>
          <w:sz w:val="24"/>
          <w:szCs w:val="24"/>
        </w:rPr>
        <w:t>Emergency room use for mental health</w:t>
      </w:r>
      <w:r>
        <w:rPr>
          <w:rFonts w:ascii="Times New Roman" w:hAnsi="Times New Roman"/>
          <w:sz w:val="24"/>
          <w:szCs w:val="24"/>
        </w:rPr>
        <w:tab/>
        <w:t>25.64%</w:t>
      </w:r>
    </w:p>
    <w:p w:rsidR="002D1E34" w:rsidRDefault="00D542D7" w:rsidP="006B6A57">
      <w:pPr>
        <w:ind w:left="720"/>
        <w:rPr>
          <w:rFonts w:ascii="Times New Roman" w:hAnsi="Times New Roman"/>
          <w:sz w:val="24"/>
          <w:szCs w:val="24"/>
        </w:rPr>
      </w:pPr>
      <w:r>
        <w:rPr>
          <w:rFonts w:ascii="Times New Roman" w:hAnsi="Times New Roman"/>
          <w:sz w:val="24"/>
          <w:szCs w:val="24"/>
        </w:rPr>
        <w:t>These data not only show the levels of clinical and social disability of the targeted population, but also the impact that improved outcomes (such as those that are being realized through implementation of the Agreement) can have on multiple State systems.</w:t>
      </w:r>
    </w:p>
    <w:p w:rsidR="00FA08C8" w:rsidRDefault="00FA08C8" w:rsidP="00CE76E5">
      <w:pPr>
        <w:keepNext/>
        <w:spacing w:after="120"/>
        <w:ind w:left="720"/>
        <w:rPr>
          <w:rFonts w:ascii="Times New Roman" w:hAnsi="Times New Roman"/>
          <w:i/>
          <w:sz w:val="24"/>
          <w:szCs w:val="24"/>
        </w:rPr>
      </w:pPr>
    </w:p>
    <w:p w:rsidR="00E53F60" w:rsidRPr="00CE76E5" w:rsidRDefault="005173BB" w:rsidP="00CE76E5">
      <w:pPr>
        <w:keepNext/>
        <w:spacing w:after="120"/>
        <w:ind w:left="720"/>
        <w:rPr>
          <w:rFonts w:ascii="Times New Roman" w:hAnsi="Times New Roman"/>
          <w:i/>
          <w:sz w:val="24"/>
          <w:szCs w:val="24"/>
        </w:rPr>
      </w:pPr>
      <w:r w:rsidRPr="002C5083">
        <w:rPr>
          <w:rFonts w:ascii="Times New Roman" w:hAnsi="Times New Roman"/>
          <w:i/>
          <w:sz w:val="24"/>
          <w:szCs w:val="24"/>
        </w:rPr>
        <w:t>Evaluation</w:t>
      </w:r>
      <w:r w:rsidR="00E952A9" w:rsidRPr="002C5083">
        <w:rPr>
          <w:rFonts w:ascii="Times New Roman" w:hAnsi="Times New Roman"/>
          <w:i/>
          <w:sz w:val="24"/>
          <w:szCs w:val="24"/>
        </w:rPr>
        <w:t xml:space="preserve"> of Individuals Discharged From DPC Following Long Hospitalization</w:t>
      </w:r>
      <w:r w:rsidR="00F7172E" w:rsidRPr="002C5083">
        <w:rPr>
          <w:rFonts w:ascii="Times New Roman" w:hAnsi="Times New Roman"/>
          <w:i/>
          <w:sz w:val="24"/>
          <w:szCs w:val="24"/>
        </w:rPr>
        <w:t>s</w:t>
      </w:r>
      <w:r w:rsidR="00816E6D" w:rsidRPr="002C5083">
        <w:rPr>
          <w:rFonts w:ascii="Times New Roman" w:hAnsi="Times New Roman"/>
          <w:i/>
          <w:sz w:val="24"/>
          <w:szCs w:val="24"/>
        </w:rPr>
        <w:t>:</w:t>
      </w:r>
    </w:p>
    <w:p w:rsidR="00FA08C8" w:rsidRPr="006B6A57" w:rsidRDefault="00FA08C8" w:rsidP="00FA08C8">
      <w:pPr>
        <w:ind w:left="720"/>
        <w:rPr>
          <w:rFonts w:ascii="Times New Roman" w:hAnsi="Times New Roman"/>
          <w:sz w:val="24"/>
          <w:szCs w:val="24"/>
        </w:rPr>
      </w:pPr>
      <w:r w:rsidRPr="00FA08C8">
        <w:rPr>
          <w:rFonts w:ascii="Times New Roman" w:hAnsi="Times New Roman"/>
          <w:sz w:val="24"/>
          <w:szCs w:val="24"/>
        </w:rPr>
        <w:t>DSAMH is beginni</w:t>
      </w:r>
      <w:r>
        <w:rPr>
          <w:rFonts w:ascii="Times New Roman" w:hAnsi="Times New Roman"/>
          <w:sz w:val="24"/>
          <w:szCs w:val="24"/>
        </w:rPr>
        <w:t>ng to apply its improving</w:t>
      </w:r>
      <w:r w:rsidRPr="00FA08C8">
        <w:rPr>
          <w:rFonts w:ascii="Times New Roman" w:hAnsi="Times New Roman"/>
          <w:sz w:val="24"/>
          <w:szCs w:val="24"/>
        </w:rPr>
        <w:t xml:space="preserve"> data </w:t>
      </w:r>
      <w:r>
        <w:rPr>
          <w:rFonts w:ascii="Times New Roman" w:hAnsi="Times New Roman"/>
          <w:sz w:val="24"/>
          <w:szCs w:val="24"/>
        </w:rPr>
        <w:t xml:space="preserve">capacities </w:t>
      </w:r>
      <w:r w:rsidRPr="00FA08C8">
        <w:rPr>
          <w:rFonts w:ascii="Times New Roman" w:hAnsi="Times New Roman"/>
          <w:sz w:val="24"/>
          <w:szCs w:val="24"/>
        </w:rPr>
        <w:t xml:space="preserve">to generate studies that focus on specific service issues.  A recently completed evaluation in collaboration with the Monitor demonstrates the Division’s growing ability to evaluate the impact of new programs created in accordance with the Agreement, as well as changes it is making in practices to reduce its reliance on court-ordered treatment.  A summary of this evaluation and its important findings is presented </w:t>
      </w:r>
      <w:r w:rsidR="0029000C">
        <w:rPr>
          <w:rFonts w:ascii="Times New Roman" w:hAnsi="Times New Roman"/>
          <w:sz w:val="24"/>
          <w:szCs w:val="24"/>
        </w:rPr>
        <w:t>below</w:t>
      </w:r>
      <w:r w:rsidRPr="00FA08C8">
        <w:rPr>
          <w:rFonts w:ascii="Times New Roman" w:hAnsi="Times New Roman"/>
          <w:sz w:val="24"/>
          <w:szCs w:val="24"/>
        </w:rPr>
        <w:t>.</w:t>
      </w:r>
    </w:p>
    <w:p w:rsidR="00795EDD" w:rsidRDefault="00795EDD" w:rsidP="00795EDD">
      <w:pPr>
        <w:spacing w:after="0"/>
        <w:ind w:left="720"/>
        <w:rPr>
          <w:rFonts w:ascii="Times New Roman" w:hAnsi="Times New Roman"/>
          <w:sz w:val="24"/>
          <w:szCs w:val="24"/>
        </w:rPr>
      </w:pPr>
      <w:r w:rsidRPr="00795EDD">
        <w:rPr>
          <w:rFonts w:ascii="Times New Roman" w:hAnsi="Times New Roman"/>
          <w:sz w:val="24"/>
          <w:szCs w:val="24"/>
          <w:u w:val="single"/>
        </w:rPr>
        <w:t>Description of the Population</w:t>
      </w:r>
      <w:r>
        <w:rPr>
          <w:rFonts w:ascii="Times New Roman" w:hAnsi="Times New Roman"/>
          <w:sz w:val="24"/>
          <w:szCs w:val="24"/>
        </w:rPr>
        <w:t>-</w:t>
      </w:r>
    </w:p>
    <w:p w:rsidR="009A06D9" w:rsidRPr="006B6A57" w:rsidRDefault="00FA08C8" w:rsidP="00CE76E5">
      <w:pPr>
        <w:spacing w:after="120"/>
        <w:ind w:left="720"/>
        <w:rPr>
          <w:rFonts w:ascii="Times New Roman" w:hAnsi="Times New Roman"/>
          <w:sz w:val="24"/>
          <w:szCs w:val="24"/>
        </w:rPr>
      </w:pPr>
      <w:r>
        <w:rPr>
          <w:rFonts w:ascii="Times New Roman" w:hAnsi="Times New Roman"/>
          <w:sz w:val="24"/>
          <w:szCs w:val="24"/>
        </w:rPr>
        <w:t xml:space="preserve">The </w:t>
      </w:r>
      <w:r w:rsidR="005173BB" w:rsidRPr="006B6A57">
        <w:rPr>
          <w:rFonts w:ascii="Times New Roman" w:hAnsi="Times New Roman"/>
          <w:sz w:val="24"/>
          <w:szCs w:val="24"/>
        </w:rPr>
        <w:t>evaluation</w:t>
      </w:r>
      <w:r w:rsidR="0029000C">
        <w:rPr>
          <w:rFonts w:ascii="Times New Roman" w:hAnsi="Times New Roman"/>
          <w:sz w:val="24"/>
          <w:szCs w:val="24"/>
        </w:rPr>
        <w:t xml:space="preserve"> focused</w:t>
      </w:r>
      <w:r w:rsidR="006F30EF" w:rsidRPr="006B6A57">
        <w:rPr>
          <w:rFonts w:ascii="Times New Roman" w:hAnsi="Times New Roman"/>
          <w:sz w:val="24"/>
          <w:szCs w:val="24"/>
        </w:rPr>
        <w:t xml:space="preserve"> on a high-risk, high-expense population of individuals who were discharged from DPC between July 1, 2012 and June 30, 2013</w:t>
      </w:r>
      <w:r w:rsidR="00531B24">
        <w:rPr>
          <w:rFonts w:ascii="Times New Roman" w:hAnsi="Times New Roman"/>
          <w:sz w:val="24"/>
          <w:szCs w:val="24"/>
        </w:rPr>
        <w:t>,</w:t>
      </w:r>
      <w:r w:rsidR="006F30EF" w:rsidRPr="006B6A57">
        <w:rPr>
          <w:rFonts w:ascii="Times New Roman" w:hAnsi="Times New Roman"/>
          <w:sz w:val="24"/>
          <w:szCs w:val="24"/>
        </w:rPr>
        <w:t xml:space="preserve"> following at least 60 days of continuous inpatient care.  The 105 individuals who met these criteria have extensive inpatient histories, averaging 1147.1 days (about 3 years)</w:t>
      </w:r>
      <w:r w:rsidR="00531B24">
        <w:rPr>
          <w:rFonts w:ascii="Times New Roman" w:hAnsi="Times New Roman"/>
          <w:sz w:val="24"/>
          <w:szCs w:val="24"/>
        </w:rPr>
        <w:t xml:space="preserve"> at DPC</w:t>
      </w:r>
      <w:r w:rsidR="006F30EF" w:rsidRPr="006B6A57">
        <w:rPr>
          <w:rFonts w:ascii="Times New Roman" w:hAnsi="Times New Roman"/>
          <w:sz w:val="24"/>
          <w:szCs w:val="24"/>
        </w:rPr>
        <w:t>, with a median length of stay of 140 days (about 4.6 months).</w:t>
      </w:r>
      <w:r w:rsidR="006F30EF" w:rsidRPr="006B6A57">
        <w:rPr>
          <w:rStyle w:val="FootnoteReference"/>
          <w:rFonts w:ascii="Times New Roman" w:hAnsi="Times New Roman"/>
          <w:sz w:val="24"/>
          <w:szCs w:val="24"/>
        </w:rPr>
        <w:footnoteReference w:id="1"/>
      </w:r>
      <w:r w:rsidR="00353ED0" w:rsidRPr="006B6A57">
        <w:rPr>
          <w:rFonts w:ascii="Times New Roman" w:hAnsi="Times New Roman"/>
          <w:sz w:val="24"/>
          <w:szCs w:val="24"/>
        </w:rPr>
        <w:t xml:space="preserve">  Some of the individuals who were discharged into more integrated community settings had been at DPC since the 1960s.  </w:t>
      </w:r>
    </w:p>
    <w:p w:rsidR="00353ED0" w:rsidRPr="006B6A57" w:rsidRDefault="00353ED0" w:rsidP="00F7172E">
      <w:pPr>
        <w:spacing w:after="120"/>
        <w:ind w:left="720"/>
        <w:rPr>
          <w:rFonts w:ascii="Times New Roman" w:hAnsi="Times New Roman"/>
          <w:sz w:val="24"/>
          <w:szCs w:val="24"/>
        </w:rPr>
      </w:pPr>
      <w:r w:rsidRPr="006B6A57">
        <w:rPr>
          <w:rFonts w:ascii="Times New Roman" w:hAnsi="Times New Roman"/>
          <w:sz w:val="24"/>
          <w:szCs w:val="24"/>
        </w:rPr>
        <w:t>The community services to which these individuals were referred were as follows:</w:t>
      </w:r>
    </w:p>
    <w:p w:rsidR="00353ED0" w:rsidRPr="006B6A57" w:rsidRDefault="00353ED0" w:rsidP="00F7172E">
      <w:pPr>
        <w:pStyle w:val="ListParagraph"/>
        <w:numPr>
          <w:ilvl w:val="0"/>
          <w:numId w:val="3"/>
        </w:numPr>
        <w:spacing w:after="120"/>
        <w:ind w:left="2160" w:hanging="720"/>
        <w:contextualSpacing w:val="0"/>
        <w:rPr>
          <w:rFonts w:ascii="Times New Roman" w:hAnsi="Times New Roman"/>
          <w:sz w:val="24"/>
          <w:szCs w:val="24"/>
        </w:rPr>
      </w:pPr>
      <w:r w:rsidRPr="006B6A57">
        <w:rPr>
          <w:rFonts w:ascii="Times New Roman" w:hAnsi="Times New Roman"/>
          <w:sz w:val="24"/>
          <w:szCs w:val="24"/>
        </w:rPr>
        <w:t>72 of these individuals (68.6%) were referred to the high-end community services created pu</w:t>
      </w:r>
      <w:r w:rsidR="00B321DC">
        <w:rPr>
          <w:rFonts w:ascii="Times New Roman" w:hAnsi="Times New Roman"/>
          <w:sz w:val="24"/>
          <w:szCs w:val="24"/>
        </w:rPr>
        <w:t>rsuant to the Settlement:</w:t>
      </w:r>
      <w:r w:rsidRPr="006B6A57">
        <w:rPr>
          <w:rFonts w:ascii="Times New Roman" w:hAnsi="Times New Roman"/>
          <w:sz w:val="24"/>
          <w:szCs w:val="24"/>
        </w:rPr>
        <w:t xml:space="preserve"> Assertive Community Treatment (ACT), Intensive Care Management (ICM), or </w:t>
      </w:r>
      <w:r w:rsidR="00152367" w:rsidRPr="006B6A57">
        <w:rPr>
          <w:rFonts w:ascii="Times New Roman" w:hAnsi="Times New Roman"/>
          <w:sz w:val="24"/>
          <w:szCs w:val="24"/>
        </w:rPr>
        <w:t>the Community Reintegration Support Program (</w:t>
      </w:r>
      <w:r w:rsidRPr="006B6A57">
        <w:rPr>
          <w:rFonts w:ascii="Times New Roman" w:hAnsi="Times New Roman"/>
          <w:sz w:val="24"/>
          <w:szCs w:val="24"/>
        </w:rPr>
        <w:t>CRISP)</w:t>
      </w:r>
      <w:r w:rsidR="00E952A9" w:rsidRPr="006B6A57">
        <w:rPr>
          <w:rFonts w:ascii="Times New Roman" w:hAnsi="Times New Roman"/>
          <w:sz w:val="24"/>
          <w:szCs w:val="24"/>
        </w:rPr>
        <w:t>.</w:t>
      </w:r>
    </w:p>
    <w:p w:rsidR="00353ED0" w:rsidRPr="006B6A57" w:rsidRDefault="00353ED0" w:rsidP="00F7172E">
      <w:pPr>
        <w:pStyle w:val="ListParagraph"/>
        <w:numPr>
          <w:ilvl w:val="0"/>
          <w:numId w:val="3"/>
        </w:numPr>
        <w:spacing w:after="120"/>
        <w:ind w:left="2160" w:hanging="720"/>
        <w:contextualSpacing w:val="0"/>
        <w:rPr>
          <w:rFonts w:ascii="Times New Roman" w:hAnsi="Times New Roman"/>
          <w:sz w:val="24"/>
          <w:szCs w:val="24"/>
        </w:rPr>
      </w:pPr>
      <w:r w:rsidRPr="006B6A57">
        <w:rPr>
          <w:rFonts w:ascii="Times New Roman" w:hAnsi="Times New Roman"/>
          <w:sz w:val="24"/>
          <w:szCs w:val="24"/>
        </w:rPr>
        <w:t>11 (10.5%) received Targeted Care Management (TCM) that was created pursuant to the Settlement.</w:t>
      </w:r>
    </w:p>
    <w:p w:rsidR="00E7492C" w:rsidRPr="00E7492C" w:rsidRDefault="00152367" w:rsidP="00E7492C">
      <w:pPr>
        <w:pStyle w:val="ListParagraph"/>
        <w:numPr>
          <w:ilvl w:val="0"/>
          <w:numId w:val="3"/>
        </w:numPr>
        <w:spacing w:after="120"/>
        <w:ind w:left="2160" w:hanging="720"/>
        <w:contextualSpacing w:val="0"/>
        <w:rPr>
          <w:rFonts w:ascii="Times New Roman" w:hAnsi="Times New Roman"/>
          <w:sz w:val="24"/>
          <w:szCs w:val="24"/>
        </w:rPr>
      </w:pPr>
      <w:r w:rsidRPr="006B6A57">
        <w:rPr>
          <w:rFonts w:ascii="Times New Roman" w:hAnsi="Times New Roman"/>
          <w:sz w:val="24"/>
          <w:szCs w:val="24"/>
        </w:rPr>
        <w:t xml:space="preserve">The </w:t>
      </w:r>
      <w:r w:rsidR="00041F24">
        <w:rPr>
          <w:rFonts w:ascii="Times New Roman" w:hAnsi="Times New Roman"/>
          <w:sz w:val="24"/>
          <w:szCs w:val="24"/>
        </w:rPr>
        <w:t xml:space="preserve">remaining individuals were </w:t>
      </w:r>
      <w:r w:rsidR="00353ED0" w:rsidRPr="006B6A57">
        <w:rPr>
          <w:rFonts w:ascii="Times New Roman" w:hAnsi="Times New Roman"/>
          <w:sz w:val="24"/>
          <w:szCs w:val="24"/>
        </w:rPr>
        <w:t xml:space="preserve">referred to </w:t>
      </w:r>
      <w:r w:rsidR="007202F4">
        <w:rPr>
          <w:rFonts w:ascii="Times New Roman" w:hAnsi="Times New Roman"/>
          <w:sz w:val="24"/>
          <w:szCs w:val="24"/>
        </w:rPr>
        <w:t>state-</w:t>
      </w:r>
      <w:r w:rsidRPr="006B6A57">
        <w:rPr>
          <w:rFonts w:ascii="Times New Roman" w:hAnsi="Times New Roman"/>
          <w:sz w:val="24"/>
          <w:szCs w:val="24"/>
        </w:rPr>
        <w:t>operated community clinics or other programs</w:t>
      </w:r>
      <w:r w:rsidR="00E952A9" w:rsidRPr="006B6A57">
        <w:rPr>
          <w:rFonts w:ascii="Times New Roman" w:hAnsi="Times New Roman"/>
          <w:sz w:val="24"/>
          <w:szCs w:val="24"/>
        </w:rPr>
        <w:t>.</w:t>
      </w:r>
    </w:p>
    <w:p w:rsidR="00152367" w:rsidRPr="00F7172E" w:rsidRDefault="00152367" w:rsidP="00F7172E">
      <w:pPr>
        <w:pStyle w:val="ListParagraph"/>
        <w:spacing w:after="120"/>
        <w:contextualSpacing w:val="0"/>
        <w:rPr>
          <w:rFonts w:ascii="Times New Roman" w:hAnsi="Times New Roman"/>
          <w:sz w:val="24"/>
          <w:szCs w:val="24"/>
        </w:rPr>
      </w:pPr>
      <w:r w:rsidRPr="006B6A57">
        <w:rPr>
          <w:rFonts w:ascii="Times New Roman" w:hAnsi="Times New Roman"/>
          <w:sz w:val="24"/>
          <w:szCs w:val="24"/>
        </w:rPr>
        <w:t xml:space="preserve">The living arrangements to which </w:t>
      </w:r>
      <w:r w:rsidR="002811A2">
        <w:rPr>
          <w:rFonts w:ascii="Times New Roman" w:hAnsi="Times New Roman"/>
          <w:sz w:val="24"/>
          <w:szCs w:val="24"/>
        </w:rPr>
        <w:t>the</w:t>
      </w:r>
      <w:r w:rsidR="00AD07DC">
        <w:rPr>
          <w:rFonts w:ascii="Times New Roman" w:hAnsi="Times New Roman"/>
          <w:sz w:val="24"/>
          <w:szCs w:val="24"/>
        </w:rPr>
        <w:t xml:space="preserve"> vast</w:t>
      </w:r>
      <w:r w:rsidR="002811A2">
        <w:rPr>
          <w:rFonts w:ascii="Times New Roman" w:hAnsi="Times New Roman"/>
          <w:sz w:val="24"/>
          <w:szCs w:val="24"/>
        </w:rPr>
        <w:t xml:space="preserve"> majority of these individuals were referred</w:t>
      </w:r>
      <w:r w:rsidR="00041F24">
        <w:rPr>
          <w:rFonts w:ascii="Times New Roman" w:hAnsi="Times New Roman"/>
          <w:sz w:val="24"/>
          <w:szCs w:val="24"/>
        </w:rPr>
        <w:t>—80.9%—a</w:t>
      </w:r>
      <w:r w:rsidR="002811A2">
        <w:rPr>
          <w:rFonts w:ascii="Times New Roman" w:hAnsi="Times New Roman"/>
          <w:sz w:val="24"/>
          <w:szCs w:val="24"/>
        </w:rPr>
        <w:t xml:space="preserve">ffirm that, even for this high-need population, integrated community living is a viable option.  The specific breakdown of </w:t>
      </w:r>
      <w:r w:rsidRPr="006B6A57">
        <w:rPr>
          <w:rFonts w:ascii="Times New Roman" w:hAnsi="Times New Roman"/>
          <w:sz w:val="24"/>
          <w:szCs w:val="24"/>
        </w:rPr>
        <w:t xml:space="preserve">were </w:t>
      </w:r>
      <w:r w:rsidR="002811A2">
        <w:rPr>
          <w:rFonts w:ascii="Times New Roman" w:hAnsi="Times New Roman"/>
          <w:sz w:val="24"/>
          <w:szCs w:val="24"/>
        </w:rPr>
        <w:t>living arrangements is</w:t>
      </w:r>
      <w:r w:rsidRPr="006B6A57">
        <w:rPr>
          <w:rFonts w:ascii="Times New Roman" w:hAnsi="Times New Roman"/>
          <w:sz w:val="24"/>
          <w:szCs w:val="24"/>
        </w:rPr>
        <w:t xml:space="preserve"> follows:</w:t>
      </w:r>
    </w:p>
    <w:p w:rsidR="00152367" w:rsidRPr="006B6A57" w:rsidRDefault="00152367" w:rsidP="00F7172E">
      <w:pPr>
        <w:pStyle w:val="ListParagraph"/>
        <w:numPr>
          <w:ilvl w:val="0"/>
          <w:numId w:val="2"/>
        </w:numPr>
        <w:spacing w:after="120"/>
        <w:ind w:left="2160" w:hanging="720"/>
        <w:contextualSpacing w:val="0"/>
        <w:rPr>
          <w:rFonts w:ascii="Times New Roman" w:hAnsi="Times New Roman"/>
          <w:sz w:val="24"/>
          <w:szCs w:val="24"/>
        </w:rPr>
      </w:pPr>
      <w:r w:rsidRPr="006B6A57">
        <w:rPr>
          <w:rFonts w:ascii="Times New Roman" w:hAnsi="Times New Roman"/>
          <w:sz w:val="24"/>
          <w:szCs w:val="24"/>
        </w:rPr>
        <w:t xml:space="preserve">23 </w:t>
      </w:r>
      <w:r w:rsidR="00041F24">
        <w:rPr>
          <w:rFonts w:ascii="Times New Roman" w:hAnsi="Times New Roman"/>
          <w:sz w:val="24"/>
          <w:szCs w:val="24"/>
        </w:rPr>
        <w:t xml:space="preserve">individuals </w:t>
      </w:r>
      <w:r w:rsidRPr="006B6A57">
        <w:rPr>
          <w:rFonts w:ascii="Times New Roman" w:hAnsi="Times New Roman"/>
          <w:sz w:val="24"/>
          <w:szCs w:val="24"/>
        </w:rPr>
        <w:t>(21.9%) received SRAP vouchers to e</w:t>
      </w:r>
      <w:r w:rsidR="00B321DC">
        <w:rPr>
          <w:rFonts w:ascii="Times New Roman" w:hAnsi="Times New Roman"/>
          <w:sz w:val="24"/>
          <w:szCs w:val="24"/>
        </w:rPr>
        <w:t>nable them to live in scattered-</w:t>
      </w:r>
      <w:r w:rsidRPr="006B6A57">
        <w:rPr>
          <w:rFonts w:ascii="Times New Roman" w:hAnsi="Times New Roman"/>
          <w:sz w:val="24"/>
          <w:szCs w:val="24"/>
        </w:rPr>
        <w:t>site supported housing</w:t>
      </w:r>
      <w:r w:rsidR="00E952A9" w:rsidRPr="006B6A57">
        <w:rPr>
          <w:rFonts w:ascii="Times New Roman" w:hAnsi="Times New Roman"/>
          <w:sz w:val="24"/>
          <w:szCs w:val="24"/>
        </w:rPr>
        <w:t>.</w:t>
      </w:r>
    </w:p>
    <w:p w:rsidR="00152367" w:rsidRDefault="00152367" w:rsidP="00F7172E">
      <w:pPr>
        <w:pStyle w:val="ListParagraph"/>
        <w:numPr>
          <w:ilvl w:val="0"/>
          <w:numId w:val="2"/>
        </w:numPr>
        <w:spacing w:after="120"/>
        <w:ind w:left="2160" w:hanging="720"/>
        <w:contextualSpacing w:val="0"/>
        <w:rPr>
          <w:rFonts w:ascii="Times New Roman" w:hAnsi="Times New Roman"/>
          <w:sz w:val="24"/>
          <w:szCs w:val="24"/>
        </w:rPr>
      </w:pPr>
      <w:r w:rsidRPr="006B6A57">
        <w:rPr>
          <w:rFonts w:ascii="Times New Roman" w:hAnsi="Times New Roman"/>
          <w:sz w:val="24"/>
          <w:szCs w:val="24"/>
        </w:rPr>
        <w:t>38 (36.2%) received needed housing supports (in scattered-sites, unless otherwise approved following DSAMH’s review process) through the CRISP program</w:t>
      </w:r>
      <w:r w:rsidR="00E952A9" w:rsidRPr="006B6A57">
        <w:rPr>
          <w:rFonts w:ascii="Times New Roman" w:hAnsi="Times New Roman"/>
          <w:sz w:val="24"/>
          <w:szCs w:val="24"/>
        </w:rPr>
        <w:t>.</w:t>
      </w:r>
      <w:r w:rsidRPr="006B6A57">
        <w:rPr>
          <w:rFonts w:ascii="Times New Roman" w:hAnsi="Times New Roman"/>
          <w:sz w:val="24"/>
          <w:szCs w:val="24"/>
        </w:rPr>
        <w:t xml:space="preserve"> </w:t>
      </w:r>
    </w:p>
    <w:p w:rsidR="00AD07DC" w:rsidRPr="006B6A57" w:rsidRDefault="00AD07DC" w:rsidP="00F7172E">
      <w:pPr>
        <w:pStyle w:val="ListParagraph"/>
        <w:numPr>
          <w:ilvl w:val="0"/>
          <w:numId w:val="2"/>
        </w:numPr>
        <w:spacing w:after="120"/>
        <w:ind w:left="2160" w:hanging="720"/>
        <w:contextualSpacing w:val="0"/>
        <w:rPr>
          <w:rFonts w:ascii="Times New Roman" w:hAnsi="Times New Roman"/>
          <w:sz w:val="24"/>
          <w:szCs w:val="24"/>
        </w:rPr>
      </w:pPr>
      <w:r>
        <w:rPr>
          <w:rFonts w:ascii="Times New Roman" w:hAnsi="Times New Roman"/>
          <w:sz w:val="24"/>
          <w:szCs w:val="24"/>
        </w:rPr>
        <w:t>24 (22.8%) returned to their family homes with needed supports.</w:t>
      </w:r>
    </w:p>
    <w:p w:rsidR="00353ED0" w:rsidRPr="006B6A57" w:rsidRDefault="00353ED0" w:rsidP="00F7172E">
      <w:pPr>
        <w:pStyle w:val="ListParagraph"/>
        <w:numPr>
          <w:ilvl w:val="0"/>
          <w:numId w:val="2"/>
        </w:numPr>
        <w:spacing w:after="120"/>
        <w:ind w:left="2160" w:hanging="720"/>
        <w:contextualSpacing w:val="0"/>
        <w:rPr>
          <w:rFonts w:ascii="Times New Roman" w:hAnsi="Times New Roman"/>
          <w:sz w:val="24"/>
          <w:szCs w:val="24"/>
        </w:rPr>
      </w:pPr>
      <w:r w:rsidRPr="006B6A57">
        <w:rPr>
          <w:rFonts w:ascii="Times New Roman" w:hAnsi="Times New Roman"/>
          <w:sz w:val="24"/>
          <w:szCs w:val="24"/>
        </w:rPr>
        <w:t xml:space="preserve">3 (2.9%) were referred </w:t>
      </w:r>
      <w:r w:rsidR="00152367" w:rsidRPr="006B6A57">
        <w:rPr>
          <w:rFonts w:ascii="Times New Roman" w:hAnsi="Times New Roman"/>
          <w:sz w:val="24"/>
          <w:szCs w:val="24"/>
        </w:rPr>
        <w:t>to group homes</w:t>
      </w:r>
      <w:r w:rsidR="00E952A9" w:rsidRPr="006B6A57">
        <w:rPr>
          <w:rFonts w:ascii="Times New Roman" w:hAnsi="Times New Roman"/>
          <w:sz w:val="24"/>
          <w:szCs w:val="24"/>
        </w:rPr>
        <w:t>.</w:t>
      </w:r>
    </w:p>
    <w:p w:rsidR="00E952A9" w:rsidRPr="006B6A57" w:rsidRDefault="00E952A9" w:rsidP="00F7172E">
      <w:pPr>
        <w:pStyle w:val="ListParagraph"/>
        <w:numPr>
          <w:ilvl w:val="0"/>
          <w:numId w:val="2"/>
        </w:numPr>
        <w:spacing w:after="120"/>
        <w:ind w:left="2160" w:hanging="720"/>
        <w:contextualSpacing w:val="0"/>
        <w:rPr>
          <w:rFonts w:ascii="Times New Roman" w:hAnsi="Times New Roman"/>
          <w:sz w:val="24"/>
          <w:szCs w:val="24"/>
        </w:rPr>
      </w:pPr>
      <w:r w:rsidRPr="006B6A57">
        <w:rPr>
          <w:rFonts w:ascii="Times New Roman" w:hAnsi="Times New Roman"/>
          <w:sz w:val="24"/>
          <w:szCs w:val="24"/>
        </w:rPr>
        <w:t>The remain</w:t>
      </w:r>
      <w:r w:rsidR="003F748B">
        <w:rPr>
          <w:rFonts w:ascii="Times New Roman" w:hAnsi="Times New Roman"/>
          <w:sz w:val="24"/>
          <w:szCs w:val="24"/>
        </w:rPr>
        <w:t>ing 17 individuals (16.2%),</w:t>
      </w:r>
      <w:r w:rsidRPr="006B6A57">
        <w:rPr>
          <w:rFonts w:ascii="Times New Roman" w:hAnsi="Times New Roman"/>
          <w:sz w:val="24"/>
          <w:szCs w:val="24"/>
        </w:rPr>
        <w:t xml:space="preserve"> following DSAMH’s review process, </w:t>
      </w:r>
      <w:r w:rsidR="00AD07DC">
        <w:rPr>
          <w:rFonts w:ascii="Times New Roman" w:hAnsi="Times New Roman"/>
          <w:sz w:val="24"/>
          <w:szCs w:val="24"/>
        </w:rPr>
        <w:t xml:space="preserve">went </w:t>
      </w:r>
      <w:r w:rsidRPr="006B6A57">
        <w:rPr>
          <w:rFonts w:ascii="Times New Roman" w:hAnsi="Times New Roman"/>
          <w:sz w:val="24"/>
          <w:szCs w:val="24"/>
        </w:rPr>
        <w:t>to other settings consistent with their needs.</w:t>
      </w:r>
    </w:p>
    <w:p w:rsidR="00795EDD" w:rsidRDefault="00E952A9" w:rsidP="00F7172E">
      <w:pPr>
        <w:spacing w:after="120"/>
        <w:ind w:left="720"/>
        <w:rPr>
          <w:rFonts w:ascii="Times New Roman" w:hAnsi="Times New Roman"/>
          <w:sz w:val="24"/>
          <w:szCs w:val="24"/>
        </w:rPr>
      </w:pPr>
      <w:r w:rsidRPr="006B6A57">
        <w:rPr>
          <w:rFonts w:ascii="Times New Roman" w:hAnsi="Times New Roman"/>
          <w:sz w:val="24"/>
          <w:szCs w:val="24"/>
        </w:rPr>
        <w:t xml:space="preserve">The information presented above demonstrates the State’s effectiveness in moving from an institutional model of services to far more integrated settings.  </w:t>
      </w:r>
    </w:p>
    <w:p w:rsidR="00A84E82" w:rsidRPr="006B6A57" w:rsidRDefault="00E952A9" w:rsidP="00795EDD">
      <w:pPr>
        <w:spacing w:after="120"/>
        <w:ind w:left="720"/>
        <w:rPr>
          <w:rFonts w:ascii="Times New Roman" w:hAnsi="Times New Roman"/>
          <w:sz w:val="24"/>
          <w:szCs w:val="24"/>
        </w:rPr>
      </w:pPr>
      <w:r w:rsidRPr="006B6A57">
        <w:rPr>
          <w:rFonts w:ascii="Times New Roman" w:hAnsi="Times New Roman"/>
          <w:sz w:val="24"/>
          <w:szCs w:val="24"/>
        </w:rPr>
        <w:t>This group’s level of need is not only reflected i</w:t>
      </w:r>
      <w:r w:rsidR="00A84E82" w:rsidRPr="006B6A57">
        <w:rPr>
          <w:rFonts w:ascii="Times New Roman" w:hAnsi="Times New Roman"/>
          <w:sz w:val="24"/>
          <w:szCs w:val="24"/>
        </w:rPr>
        <w:t xml:space="preserve">n its protracted stays at DPC—together, </w:t>
      </w:r>
      <w:r w:rsidR="00B321DC">
        <w:rPr>
          <w:rFonts w:ascii="Times New Roman" w:hAnsi="Times New Roman"/>
          <w:sz w:val="24"/>
          <w:szCs w:val="24"/>
        </w:rPr>
        <w:t>members of the group</w:t>
      </w:r>
      <w:r w:rsidR="00A84E82" w:rsidRPr="006B6A57">
        <w:rPr>
          <w:rFonts w:ascii="Times New Roman" w:hAnsi="Times New Roman"/>
          <w:sz w:val="24"/>
          <w:szCs w:val="24"/>
        </w:rPr>
        <w:t xml:space="preserve"> consumed </w:t>
      </w:r>
      <w:r w:rsidR="00A84E82" w:rsidRPr="006B6A57">
        <w:rPr>
          <w:rFonts w:ascii="Times New Roman" w:eastAsia="Times New Roman" w:hAnsi="Times New Roman"/>
          <w:color w:val="000000"/>
          <w:sz w:val="24"/>
          <w:szCs w:val="24"/>
        </w:rPr>
        <w:t xml:space="preserve">120,447 hospital days during their last admissions—but they also have very significant </w:t>
      </w:r>
      <w:r w:rsidR="00C243F7" w:rsidRPr="006B6A57">
        <w:rPr>
          <w:rFonts w:ascii="Times New Roman" w:eastAsia="Times New Roman" w:hAnsi="Times New Roman"/>
          <w:color w:val="000000"/>
          <w:sz w:val="24"/>
          <w:szCs w:val="24"/>
        </w:rPr>
        <w:t xml:space="preserve">functional deficits. The Global Assessment of Functioning scale (GAF) is a </w:t>
      </w:r>
      <w:r w:rsidR="00B321DC">
        <w:rPr>
          <w:rFonts w:ascii="Times New Roman" w:eastAsia="Times New Roman" w:hAnsi="Times New Roman"/>
          <w:color w:val="000000"/>
          <w:sz w:val="24"/>
          <w:szCs w:val="24"/>
        </w:rPr>
        <w:t>measure</w:t>
      </w:r>
      <w:r w:rsidR="00C243F7" w:rsidRPr="006B6A57">
        <w:rPr>
          <w:rFonts w:ascii="Times New Roman" w:eastAsia="Times New Roman" w:hAnsi="Times New Roman"/>
          <w:color w:val="000000"/>
          <w:sz w:val="24"/>
          <w:szCs w:val="24"/>
        </w:rPr>
        <w:t xml:space="preserve"> from 0 to 100 that is commonly used in mental health to assess an individual’s status.  At the </w:t>
      </w:r>
      <w:r w:rsidR="00C243F7" w:rsidRPr="006B6A57">
        <w:rPr>
          <w:rFonts w:ascii="Times New Roman" w:hAnsi="Times New Roman"/>
          <w:sz w:val="24"/>
          <w:szCs w:val="24"/>
        </w:rPr>
        <w:t xml:space="preserve">point of their discharge from DPC, the average GAF for this group was 28.1, </w:t>
      </w:r>
      <w:r w:rsidR="00C73640" w:rsidRPr="006B6A57">
        <w:rPr>
          <w:rFonts w:ascii="Times New Roman" w:hAnsi="Times New Roman"/>
          <w:sz w:val="24"/>
          <w:szCs w:val="24"/>
        </w:rPr>
        <w:t>which indicates:</w:t>
      </w:r>
    </w:p>
    <w:p w:rsidR="00C73640" w:rsidRPr="006B6A57" w:rsidRDefault="00C73640" w:rsidP="00F7172E">
      <w:pPr>
        <w:tabs>
          <w:tab w:val="left" w:pos="8460"/>
        </w:tabs>
        <w:autoSpaceDE w:val="0"/>
        <w:autoSpaceDN w:val="0"/>
        <w:adjustRightInd w:val="0"/>
        <w:spacing w:after="0" w:line="240" w:lineRule="auto"/>
        <w:ind w:left="1440" w:right="1080"/>
        <w:rPr>
          <w:rFonts w:ascii="Times New Roman" w:hAnsi="Times New Roman"/>
          <w:sz w:val="24"/>
          <w:szCs w:val="24"/>
        </w:rPr>
      </w:pPr>
      <w:r w:rsidRPr="006B6A57">
        <w:rPr>
          <w:rFonts w:ascii="Times New Roman" w:hAnsi="Times New Roman"/>
          <w:sz w:val="24"/>
          <w:szCs w:val="24"/>
        </w:rPr>
        <w:t>Behavior is considerably influenced by delusions or hallucinations OR serious impairment in communication or judgment (e.g., sometimes incoherent, acts grossly inappropriately, suicidal preoccupation) OR inability to function in almost all areas (e.g., stays in bed all day; no job, home, or friends).</w:t>
      </w:r>
      <w:r w:rsidRPr="006B6A57">
        <w:rPr>
          <w:rStyle w:val="FootnoteReference"/>
          <w:rFonts w:ascii="Times New Roman" w:hAnsi="Times New Roman"/>
          <w:sz w:val="24"/>
          <w:szCs w:val="24"/>
        </w:rPr>
        <w:footnoteReference w:id="2"/>
      </w:r>
    </w:p>
    <w:p w:rsidR="008C1F05" w:rsidRPr="006B6A57" w:rsidRDefault="008C1F05" w:rsidP="006B6A57">
      <w:pPr>
        <w:autoSpaceDE w:val="0"/>
        <w:autoSpaceDN w:val="0"/>
        <w:adjustRightInd w:val="0"/>
        <w:spacing w:after="0" w:line="240" w:lineRule="auto"/>
        <w:ind w:left="720"/>
        <w:rPr>
          <w:rFonts w:ascii="Times New Roman" w:hAnsi="Times New Roman"/>
          <w:sz w:val="24"/>
          <w:szCs w:val="24"/>
        </w:rPr>
      </w:pPr>
    </w:p>
    <w:p w:rsidR="00795EDD" w:rsidRPr="00795EDD" w:rsidRDefault="00795EDD" w:rsidP="006B6A57">
      <w:pPr>
        <w:pStyle w:val="ListParagraph"/>
        <w:rPr>
          <w:rFonts w:ascii="Times New Roman" w:hAnsi="Times New Roman"/>
          <w:sz w:val="24"/>
          <w:szCs w:val="24"/>
          <w:u w:val="single"/>
        </w:rPr>
      </w:pPr>
      <w:r>
        <w:rPr>
          <w:rFonts w:ascii="Times New Roman" w:hAnsi="Times New Roman"/>
          <w:sz w:val="24"/>
          <w:szCs w:val="24"/>
          <w:u w:val="single"/>
        </w:rPr>
        <w:t>Legal Status-</w:t>
      </w:r>
    </w:p>
    <w:p w:rsidR="00816E6D" w:rsidRDefault="008C1F05" w:rsidP="006B6A57">
      <w:pPr>
        <w:pStyle w:val="ListParagraph"/>
        <w:rPr>
          <w:rFonts w:ascii="Times New Roman" w:hAnsi="Times New Roman"/>
          <w:sz w:val="24"/>
          <w:szCs w:val="24"/>
        </w:rPr>
      </w:pPr>
      <w:r w:rsidRPr="006B6A57">
        <w:rPr>
          <w:rFonts w:ascii="Times New Roman" w:hAnsi="Times New Roman"/>
          <w:sz w:val="24"/>
          <w:szCs w:val="24"/>
        </w:rPr>
        <w:t xml:space="preserve">As is discussed </w:t>
      </w:r>
      <w:r w:rsidR="002D1E34">
        <w:rPr>
          <w:rFonts w:ascii="Times New Roman" w:hAnsi="Times New Roman"/>
          <w:sz w:val="24"/>
          <w:szCs w:val="24"/>
        </w:rPr>
        <w:t>in the next section</w:t>
      </w:r>
      <w:r w:rsidRPr="006B6A57">
        <w:rPr>
          <w:rFonts w:ascii="Times New Roman" w:hAnsi="Times New Roman"/>
          <w:sz w:val="24"/>
          <w:szCs w:val="24"/>
        </w:rPr>
        <w:t xml:space="preserve">, the State has been making significant efforts to move away from court-ordered treatment </w:t>
      </w:r>
      <w:r w:rsidR="002D1E34">
        <w:rPr>
          <w:rFonts w:ascii="Times New Roman" w:hAnsi="Times New Roman"/>
          <w:sz w:val="24"/>
          <w:szCs w:val="24"/>
        </w:rPr>
        <w:t xml:space="preserve">(both inpatient and </w:t>
      </w:r>
      <w:r w:rsidR="002D1E34" w:rsidRPr="006B6A57">
        <w:rPr>
          <w:rFonts w:ascii="Times New Roman" w:hAnsi="Times New Roman"/>
          <w:sz w:val="24"/>
          <w:szCs w:val="24"/>
        </w:rPr>
        <w:t>outpatient</w:t>
      </w:r>
      <w:r w:rsidR="002D1E34">
        <w:rPr>
          <w:rFonts w:ascii="Times New Roman" w:hAnsi="Times New Roman"/>
          <w:sz w:val="24"/>
          <w:szCs w:val="24"/>
        </w:rPr>
        <w:t>)</w:t>
      </w:r>
      <w:r w:rsidR="002D1E34" w:rsidRPr="006B6A57">
        <w:rPr>
          <w:rFonts w:ascii="Times New Roman" w:hAnsi="Times New Roman"/>
          <w:sz w:val="24"/>
          <w:szCs w:val="24"/>
        </w:rPr>
        <w:t xml:space="preserve"> </w:t>
      </w:r>
      <w:r w:rsidRPr="006B6A57">
        <w:rPr>
          <w:rFonts w:ascii="Times New Roman" w:hAnsi="Times New Roman"/>
          <w:sz w:val="24"/>
          <w:szCs w:val="24"/>
        </w:rPr>
        <w:t>and towards a system that is much more oriented</w:t>
      </w:r>
      <w:r w:rsidR="004B4630" w:rsidRPr="006B6A57">
        <w:rPr>
          <w:rFonts w:ascii="Times New Roman" w:hAnsi="Times New Roman"/>
          <w:sz w:val="24"/>
          <w:szCs w:val="24"/>
        </w:rPr>
        <w:t xml:space="preserve"> towards voluntary services. During the period covered by this study, DSAMH took some important measures to reduce referrals for outpatient commitment, and rates of these court orders have declined accordingly.  Given the histories of most of the individuals included in this study (multiple hospitalizations, criminal justice involvement, emergency room use, very significant levels of disability and so on), this is the population that is often considered as appropriate for court supervision following discharge.</w:t>
      </w:r>
    </w:p>
    <w:p w:rsidR="00FF6909" w:rsidRPr="004D14FE" w:rsidRDefault="004B4630" w:rsidP="004D14FE">
      <w:pPr>
        <w:pStyle w:val="ListParagraph"/>
        <w:rPr>
          <w:rFonts w:ascii="Times New Roman" w:hAnsi="Times New Roman"/>
          <w:sz w:val="24"/>
          <w:szCs w:val="24"/>
        </w:rPr>
      </w:pPr>
      <w:r w:rsidRPr="006B6A57">
        <w:rPr>
          <w:rFonts w:ascii="Times New Roman" w:hAnsi="Times New Roman"/>
          <w:sz w:val="24"/>
          <w:szCs w:val="24"/>
        </w:rPr>
        <w:t xml:space="preserve"> </w:t>
      </w:r>
      <w:r w:rsidRPr="004D14FE">
        <w:rPr>
          <w:rFonts w:ascii="Times New Roman" w:hAnsi="Times New Roman"/>
          <w:sz w:val="24"/>
          <w:szCs w:val="24"/>
        </w:rPr>
        <w:br/>
        <w:t xml:space="preserve">The study had some surprising (and positive) findings in terms of how individuals fared with or without court-ordered treatment.  </w:t>
      </w:r>
      <w:r w:rsidR="00574C9B" w:rsidRPr="004D14FE">
        <w:rPr>
          <w:rFonts w:ascii="Times New Roman" w:hAnsi="Times New Roman"/>
          <w:sz w:val="24"/>
          <w:szCs w:val="24"/>
        </w:rPr>
        <w:t xml:space="preserve">Of the 105 individuals, 26 (24.8%) were discharged </w:t>
      </w:r>
      <w:r w:rsidR="00F848FC" w:rsidRPr="004D14FE">
        <w:rPr>
          <w:rFonts w:ascii="Times New Roman" w:hAnsi="Times New Roman"/>
          <w:sz w:val="24"/>
          <w:szCs w:val="24"/>
        </w:rPr>
        <w:t>with a continuing order for</w:t>
      </w:r>
      <w:r w:rsidR="00574C9B" w:rsidRPr="004D14FE">
        <w:rPr>
          <w:rFonts w:ascii="Times New Roman" w:hAnsi="Times New Roman"/>
          <w:sz w:val="24"/>
          <w:szCs w:val="24"/>
        </w:rPr>
        <w:t xml:space="preserve"> outpatient commitment; </w:t>
      </w:r>
      <w:r w:rsidR="00F848FC" w:rsidRPr="004D14FE">
        <w:rPr>
          <w:rFonts w:ascii="Times New Roman" w:hAnsi="Times New Roman"/>
          <w:sz w:val="24"/>
          <w:szCs w:val="24"/>
        </w:rPr>
        <w:t>79 (</w:t>
      </w:r>
      <w:r w:rsidR="00574C9B" w:rsidRPr="004D14FE">
        <w:rPr>
          <w:rFonts w:ascii="Times New Roman" w:hAnsi="Times New Roman"/>
          <w:sz w:val="24"/>
          <w:szCs w:val="24"/>
        </w:rPr>
        <w:t>75.2%</w:t>
      </w:r>
      <w:r w:rsidR="00F848FC" w:rsidRPr="004D14FE">
        <w:rPr>
          <w:rFonts w:ascii="Times New Roman" w:hAnsi="Times New Roman"/>
          <w:sz w:val="24"/>
          <w:szCs w:val="24"/>
        </w:rPr>
        <w:t>)</w:t>
      </w:r>
      <w:r w:rsidR="00574C9B" w:rsidRPr="004D14FE">
        <w:rPr>
          <w:rFonts w:ascii="Times New Roman" w:hAnsi="Times New Roman"/>
          <w:sz w:val="24"/>
          <w:szCs w:val="24"/>
        </w:rPr>
        <w:t xml:space="preserve"> were not under </w:t>
      </w:r>
      <w:r w:rsidR="00FF6909" w:rsidRPr="004D14FE">
        <w:rPr>
          <w:rFonts w:ascii="Times New Roman" w:hAnsi="Times New Roman"/>
          <w:sz w:val="24"/>
          <w:szCs w:val="24"/>
        </w:rPr>
        <w:t xml:space="preserve">a </w:t>
      </w:r>
      <w:r w:rsidR="00574C9B" w:rsidRPr="004D14FE">
        <w:rPr>
          <w:rFonts w:ascii="Times New Roman" w:hAnsi="Times New Roman"/>
          <w:sz w:val="24"/>
          <w:szCs w:val="24"/>
        </w:rPr>
        <w:t xml:space="preserve">court order.  The mean GAF score for individuals who were discharged on outpatient commitment 26.8 and the median was 25.  </w:t>
      </w:r>
      <w:r w:rsidR="005C16C3" w:rsidRPr="004D14FE">
        <w:rPr>
          <w:rFonts w:ascii="Times New Roman" w:hAnsi="Times New Roman"/>
          <w:sz w:val="24"/>
          <w:szCs w:val="24"/>
        </w:rPr>
        <w:t xml:space="preserve">The mean GAF score for individuals who were discharged without a court order was 28.6, with a median of 30.  For both groups, the similarity of the mean and the median suggests a normal (“bell-shaped”) distribution that is not skewed by outlier GAF scores.  </w:t>
      </w:r>
    </w:p>
    <w:p w:rsidR="00FF6909" w:rsidRDefault="00FF6909" w:rsidP="006B6A57">
      <w:pPr>
        <w:pStyle w:val="ListParagraph"/>
        <w:rPr>
          <w:rFonts w:ascii="Times New Roman" w:hAnsi="Times New Roman"/>
          <w:sz w:val="24"/>
          <w:szCs w:val="24"/>
        </w:rPr>
      </w:pPr>
    </w:p>
    <w:p w:rsidR="00574C9B" w:rsidRPr="006B6A57" w:rsidRDefault="005C16C3" w:rsidP="006B6A57">
      <w:pPr>
        <w:pStyle w:val="ListParagraph"/>
        <w:rPr>
          <w:rFonts w:ascii="Times New Roman" w:hAnsi="Times New Roman"/>
          <w:sz w:val="24"/>
          <w:szCs w:val="24"/>
        </w:rPr>
      </w:pPr>
      <w:r w:rsidRPr="006B6A57">
        <w:rPr>
          <w:rFonts w:ascii="Times New Roman" w:hAnsi="Times New Roman"/>
          <w:sz w:val="24"/>
          <w:szCs w:val="24"/>
        </w:rPr>
        <w:t>Further analysis of these data yielded an important finding; contrary to what one might have expected, the group of individuals who were outpatient commit</w:t>
      </w:r>
      <w:r w:rsidR="00BC0888" w:rsidRPr="006B6A57">
        <w:rPr>
          <w:rFonts w:ascii="Times New Roman" w:hAnsi="Times New Roman"/>
          <w:sz w:val="24"/>
          <w:szCs w:val="24"/>
        </w:rPr>
        <w:t>ted</w:t>
      </w:r>
      <w:r w:rsidRPr="006B6A57">
        <w:rPr>
          <w:rFonts w:ascii="Times New Roman" w:hAnsi="Times New Roman"/>
          <w:sz w:val="24"/>
          <w:szCs w:val="24"/>
        </w:rPr>
        <w:t xml:space="preserve"> was </w:t>
      </w:r>
      <w:r w:rsidRPr="006B6A57">
        <w:rPr>
          <w:rFonts w:ascii="Times New Roman" w:hAnsi="Times New Roman"/>
          <w:sz w:val="24"/>
          <w:szCs w:val="24"/>
          <w:u w:val="single"/>
        </w:rPr>
        <w:t>not</w:t>
      </w:r>
      <w:r w:rsidRPr="006B6A57">
        <w:rPr>
          <w:rFonts w:ascii="Times New Roman" w:hAnsi="Times New Roman"/>
          <w:sz w:val="24"/>
          <w:szCs w:val="24"/>
        </w:rPr>
        <w:t xml:space="preserve"> more impaired than the group with no court order.  In other words, both groups comprise individuals with severe functional disabilities</w:t>
      </w:r>
      <w:r w:rsidR="00BC0888" w:rsidRPr="006B6A57">
        <w:rPr>
          <w:rFonts w:ascii="Times New Roman" w:hAnsi="Times New Roman"/>
          <w:sz w:val="24"/>
          <w:szCs w:val="24"/>
        </w:rPr>
        <w:t>, and the GAF scores of those with court-ordered treatment in the community were not significantly different from those who were not subject to continuing court supervision.</w:t>
      </w:r>
      <w:r w:rsidR="00BC0888" w:rsidRPr="006B6A57">
        <w:rPr>
          <w:rStyle w:val="FootnoteReference"/>
          <w:rFonts w:ascii="Times New Roman" w:hAnsi="Times New Roman"/>
          <w:sz w:val="24"/>
          <w:szCs w:val="24"/>
        </w:rPr>
        <w:footnoteReference w:id="3"/>
      </w:r>
      <w:r w:rsidR="009C1E6C" w:rsidRPr="006B6A57">
        <w:rPr>
          <w:rFonts w:ascii="Times New Roman" w:hAnsi="Times New Roman"/>
          <w:sz w:val="24"/>
          <w:szCs w:val="24"/>
        </w:rPr>
        <w:t xml:space="preserve">  Accordingly, whether there were differences in how these individuals fared in the community can be helpful to the State as it continues to roll out processes aimed at increasing voluntary services and as it studies potential changes in its mental health laws.</w:t>
      </w:r>
    </w:p>
    <w:p w:rsidR="007E3ACC" w:rsidRDefault="007E3ACC" w:rsidP="006B6A57">
      <w:pPr>
        <w:pStyle w:val="ListParagraph"/>
        <w:rPr>
          <w:rFonts w:ascii="Times New Roman" w:hAnsi="Times New Roman"/>
          <w:sz w:val="24"/>
          <w:szCs w:val="24"/>
        </w:rPr>
      </w:pPr>
    </w:p>
    <w:p w:rsidR="004D14FE" w:rsidRPr="00795EDD" w:rsidRDefault="00795EDD" w:rsidP="006B6A57">
      <w:pPr>
        <w:pStyle w:val="ListParagraph"/>
        <w:rPr>
          <w:rFonts w:ascii="Times New Roman" w:hAnsi="Times New Roman"/>
          <w:sz w:val="24"/>
          <w:szCs w:val="24"/>
        </w:rPr>
      </w:pPr>
      <w:r w:rsidRPr="00795EDD">
        <w:rPr>
          <w:rFonts w:ascii="Times New Roman" w:hAnsi="Times New Roman"/>
          <w:sz w:val="24"/>
          <w:szCs w:val="24"/>
          <w:u w:val="single"/>
        </w:rPr>
        <w:t>Readmission Rates</w:t>
      </w:r>
      <w:r>
        <w:rPr>
          <w:rFonts w:ascii="Times New Roman" w:hAnsi="Times New Roman"/>
          <w:sz w:val="24"/>
          <w:szCs w:val="24"/>
        </w:rPr>
        <w:t>-</w:t>
      </w:r>
    </w:p>
    <w:p w:rsidR="00FF6909" w:rsidRDefault="007E3ACC" w:rsidP="00946332">
      <w:pPr>
        <w:pStyle w:val="ListParagraph"/>
        <w:spacing w:after="120"/>
        <w:contextualSpacing w:val="0"/>
        <w:rPr>
          <w:rFonts w:ascii="Times New Roman" w:hAnsi="Times New Roman"/>
          <w:sz w:val="24"/>
          <w:szCs w:val="24"/>
        </w:rPr>
      </w:pPr>
      <w:r w:rsidRPr="006B6A57">
        <w:rPr>
          <w:rFonts w:ascii="Times New Roman" w:hAnsi="Times New Roman"/>
          <w:sz w:val="24"/>
          <w:szCs w:val="24"/>
        </w:rPr>
        <w:t>The chart</w:t>
      </w:r>
      <w:r w:rsidR="009C1E6C" w:rsidRPr="006B6A57">
        <w:rPr>
          <w:rFonts w:ascii="Times New Roman" w:hAnsi="Times New Roman"/>
          <w:sz w:val="24"/>
          <w:szCs w:val="24"/>
        </w:rPr>
        <w:t xml:space="preserve"> below presents </w:t>
      </w:r>
      <w:r w:rsidRPr="006B6A57">
        <w:rPr>
          <w:rFonts w:ascii="Times New Roman" w:hAnsi="Times New Roman"/>
          <w:sz w:val="24"/>
          <w:szCs w:val="24"/>
        </w:rPr>
        <w:t>the 30- and 180-day readmission rates of the</w:t>
      </w:r>
      <w:r w:rsidR="00795EDD">
        <w:rPr>
          <w:rFonts w:ascii="Times New Roman" w:hAnsi="Times New Roman"/>
          <w:sz w:val="24"/>
          <w:szCs w:val="24"/>
        </w:rPr>
        <w:t>se</w:t>
      </w:r>
      <w:r w:rsidRPr="006B6A57">
        <w:rPr>
          <w:rFonts w:ascii="Times New Roman" w:hAnsi="Times New Roman"/>
          <w:sz w:val="24"/>
          <w:szCs w:val="24"/>
        </w:rPr>
        <w:t xml:space="preserve"> 105 individuals who were discharged in the past year</w:t>
      </w:r>
      <w:r w:rsidR="00795EDD">
        <w:rPr>
          <w:rFonts w:ascii="Times New Roman" w:hAnsi="Times New Roman"/>
          <w:sz w:val="24"/>
          <w:szCs w:val="24"/>
        </w:rPr>
        <w:t>,</w:t>
      </w:r>
      <w:r w:rsidRPr="006B6A57">
        <w:rPr>
          <w:rFonts w:ascii="Times New Roman" w:hAnsi="Times New Roman"/>
          <w:sz w:val="24"/>
          <w:szCs w:val="24"/>
        </w:rPr>
        <w:t xml:space="preserve"> following 60 days or more of continuous inpatient care at DPC.  For comparison are the most recently published national readmission rates and those for the state of Delaware.  </w:t>
      </w:r>
    </w:p>
    <w:tbl>
      <w:tblPr>
        <w:tblStyle w:val="TableGrid"/>
        <w:tblW w:w="0" w:type="auto"/>
        <w:jc w:val="center"/>
        <w:tblBorders>
          <w:top w:val="none" w:sz="0" w:space="0" w:color="auto"/>
          <w:left w:val="none" w:sz="0" w:space="0" w:color="auto"/>
        </w:tblBorders>
        <w:tblLayout w:type="fixed"/>
        <w:tblCellMar>
          <w:top w:w="86" w:type="dxa"/>
          <w:left w:w="115" w:type="dxa"/>
          <w:right w:w="115" w:type="dxa"/>
        </w:tblCellMar>
        <w:tblLook w:val="04A0"/>
      </w:tblPr>
      <w:tblGrid>
        <w:gridCol w:w="3150"/>
        <w:gridCol w:w="1665"/>
        <w:gridCol w:w="1665"/>
      </w:tblGrid>
      <w:tr w:rsidR="00795EDD" w:rsidRPr="00E45734" w:rsidTr="00456B7B">
        <w:trPr>
          <w:cantSplit/>
          <w:jc w:val="center"/>
        </w:trPr>
        <w:tc>
          <w:tcPr>
            <w:tcW w:w="3150" w:type="dxa"/>
            <w:tcBorders>
              <w:bottom w:val="single" w:sz="4" w:space="0" w:color="auto"/>
            </w:tcBorders>
            <w:vAlign w:val="center"/>
          </w:tcPr>
          <w:p w:rsidR="00795EDD" w:rsidRPr="007D6690" w:rsidRDefault="00795EDD" w:rsidP="00456B7B">
            <w:pPr>
              <w:pStyle w:val="ListParagraph"/>
              <w:keepNext/>
              <w:widowControl w:val="0"/>
              <w:ind w:left="0"/>
              <w:jc w:val="center"/>
              <w:rPr>
                <w:rFonts w:asciiTheme="minorHAnsi" w:hAnsiTheme="minorHAnsi"/>
              </w:rPr>
            </w:pPr>
          </w:p>
        </w:tc>
        <w:tc>
          <w:tcPr>
            <w:tcW w:w="1665" w:type="dxa"/>
            <w:tcBorders>
              <w:top w:val="single" w:sz="4" w:space="0" w:color="auto"/>
              <w:bottom w:val="single" w:sz="4" w:space="0" w:color="auto"/>
            </w:tcBorders>
            <w:shd w:val="pct12" w:color="auto" w:fill="auto"/>
            <w:vAlign w:val="center"/>
          </w:tcPr>
          <w:p w:rsidR="00795EDD" w:rsidRPr="00091557" w:rsidRDefault="00795EDD" w:rsidP="00456B7B">
            <w:pPr>
              <w:pStyle w:val="ListParagraph"/>
              <w:keepNext/>
              <w:widowControl w:val="0"/>
              <w:ind w:left="0"/>
              <w:jc w:val="center"/>
              <w:rPr>
                <w:rFonts w:asciiTheme="minorHAnsi" w:hAnsiTheme="minorHAnsi"/>
                <w:b/>
              </w:rPr>
            </w:pPr>
            <w:r w:rsidRPr="00091557">
              <w:rPr>
                <w:rFonts w:asciiTheme="minorHAnsi" w:hAnsiTheme="minorHAnsi"/>
                <w:b/>
              </w:rPr>
              <w:t>30-DAY READMISSION RATE</w:t>
            </w:r>
          </w:p>
        </w:tc>
        <w:tc>
          <w:tcPr>
            <w:tcW w:w="1665" w:type="dxa"/>
            <w:tcBorders>
              <w:top w:val="single" w:sz="4" w:space="0" w:color="auto"/>
              <w:bottom w:val="single" w:sz="4" w:space="0" w:color="auto"/>
            </w:tcBorders>
            <w:shd w:val="pct12" w:color="auto" w:fill="auto"/>
            <w:vAlign w:val="center"/>
          </w:tcPr>
          <w:p w:rsidR="00795EDD" w:rsidRPr="00091557" w:rsidRDefault="00795EDD" w:rsidP="00456B7B">
            <w:pPr>
              <w:pStyle w:val="ListParagraph"/>
              <w:keepNext/>
              <w:widowControl w:val="0"/>
              <w:spacing w:after="0"/>
              <w:ind w:left="0"/>
              <w:jc w:val="center"/>
              <w:rPr>
                <w:rFonts w:asciiTheme="minorHAnsi" w:hAnsiTheme="minorHAnsi"/>
                <w:b/>
              </w:rPr>
            </w:pPr>
            <w:r w:rsidRPr="00091557">
              <w:rPr>
                <w:rFonts w:asciiTheme="minorHAnsi" w:hAnsiTheme="minorHAnsi"/>
                <w:b/>
              </w:rPr>
              <w:t>180-DAY READMISSION RATE</w:t>
            </w:r>
          </w:p>
        </w:tc>
      </w:tr>
      <w:tr w:rsidR="00795EDD" w:rsidTr="00456B7B">
        <w:trPr>
          <w:cantSplit/>
          <w:jc w:val="center"/>
        </w:trPr>
        <w:tc>
          <w:tcPr>
            <w:tcW w:w="6480" w:type="dxa"/>
            <w:gridSpan w:val="3"/>
            <w:tcBorders>
              <w:top w:val="single" w:sz="4" w:space="0" w:color="auto"/>
              <w:left w:val="single" w:sz="4" w:space="0" w:color="auto"/>
              <w:right w:val="single" w:sz="4" w:space="0" w:color="auto"/>
            </w:tcBorders>
            <w:shd w:val="clear" w:color="auto" w:fill="000000" w:themeFill="text1"/>
            <w:vAlign w:val="bottom"/>
          </w:tcPr>
          <w:p w:rsidR="00795EDD" w:rsidRPr="00795268" w:rsidRDefault="00795EDD" w:rsidP="00795EDD">
            <w:pPr>
              <w:pStyle w:val="ListParagraph"/>
              <w:keepLines/>
              <w:widowControl w:val="0"/>
              <w:spacing w:after="0"/>
              <w:ind w:left="0"/>
              <w:rPr>
                <w:rFonts w:asciiTheme="minorHAnsi" w:hAnsiTheme="minorHAnsi"/>
                <w:b/>
                <w:color w:val="FFFFFF" w:themeColor="background1"/>
              </w:rPr>
            </w:pPr>
            <w:r w:rsidRPr="00795268">
              <w:rPr>
                <w:rFonts w:asciiTheme="minorHAnsi" w:hAnsiTheme="minorHAnsi"/>
                <w:b/>
                <w:color w:val="FFFFFF" w:themeColor="background1"/>
              </w:rPr>
              <w:t>Post-Discharge DPC Population of 105 Individuals:</w:t>
            </w:r>
          </w:p>
        </w:tc>
      </w:tr>
      <w:tr w:rsidR="00795EDD" w:rsidTr="003E2560">
        <w:trPr>
          <w:cantSplit/>
          <w:jc w:val="center"/>
        </w:trPr>
        <w:tc>
          <w:tcPr>
            <w:tcW w:w="3150" w:type="dxa"/>
            <w:tcBorders>
              <w:top w:val="single" w:sz="4" w:space="0" w:color="auto"/>
              <w:left w:val="single" w:sz="4" w:space="0" w:color="auto"/>
              <w:bottom w:val="single" w:sz="4" w:space="0" w:color="auto"/>
            </w:tcBorders>
            <w:shd w:val="pct12" w:color="auto" w:fill="auto"/>
            <w:vAlign w:val="center"/>
          </w:tcPr>
          <w:p w:rsidR="00795EDD" w:rsidRPr="00D81C90" w:rsidRDefault="00795EDD" w:rsidP="00795EDD">
            <w:pPr>
              <w:pStyle w:val="ListParagraph"/>
              <w:keepLines/>
              <w:widowControl w:val="0"/>
              <w:ind w:left="0"/>
              <w:jc w:val="center"/>
              <w:rPr>
                <w:rFonts w:asciiTheme="minorHAnsi" w:hAnsiTheme="minorHAnsi"/>
              </w:rPr>
            </w:pPr>
            <w:r w:rsidRPr="00D81C90">
              <w:rPr>
                <w:rFonts w:asciiTheme="minorHAnsi" w:hAnsiTheme="minorHAnsi"/>
              </w:rPr>
              <w:t>Readmission</w:t>
            </w:r>
            <w:r w:rsidR="001735FE">
              <w:rPr>
                <w:rFonts w:asciiTheme="minorHAnsi" w:hAnsiTheme="minorHAnsi"/>
              </w:rPr>
              <w:t xml:space="preserve"> Rates</w:t>
            </w:r>
            <w:r w:rsidRPr="00D81C90">
              <w:rPr>
                <w:rFonts w:asciiTheme="minorHAnsi" w:hAnsiTheme="minorHAnsi"/>
              </w:rPr>
              <w:t xml:space="preserve"> </w:t>
            </w:r>
            <w:r w:rsidRPr="00D81C90">
              <w:rPr>
                <w:rStyle w:val="FootnoteReference"/>
                <w:rFonts w:asciiTheme="minorHAnsi" w:hAnsiTheme="minorHAnsi"/>
              </w:rPr>
              <w:footnoteReference w:id="4"/>
            </w:r>
          </w:p>
        </w:tc>
        <w:tc>
          <w:tcPr>
            <w:tcW w:w="1665" w:type="dxa"/>
            <w:tcBorders>
              <w:bottom w:val="single" w:sz="4" w:space="0" w:color="auto"/>
            </w:tcBorders>
            <w:vAlign w:val="center"/>
          </w:tcPr>
          <w:p w:rsidR="00795EDD" w:rsidRPr="007D6690" w:rsidRDefault="00795EDD" w:rsidP="00795EDD">
            <w:pPr>
              <w:pStyle w:val="ListParagraph"/>
              <w:keepLines/>
              <w:widowControl w:val="0"/>
              <w:ind w:left="0"/>
              <w:jc w:val="center"/>
              <w:rPr>
                <w:rFonts w:asciiTheme="minorHAnsi" w:hAnsiTheme="minorHAnsi"/>
              </w:rPr>
            </w:pPr>
            <w:r w:rsidRPr="007D6690">
              <w:rPr>
                <w:rFonts w:asciiTheme="minorHAnsi" w:hAnsiTheme="minorHAnsi"/>
              </w:rPr>
              <w:t>4.7%</w:t>
            </w:r>
          </w:p>
        </w:tc>
        <w:tc>
          <w:tcPr>
            <w:tcW w:w="1665" w:type="dxa"/>
            <w:tcBorders>
              <w:bottom w:val="single" w:sz="4" w:space="0" w:color="auto"/>
            </w:tcBorders>
            <w:vAlign w:val="center"/>
          </w:tcPr>
          <w:p w:rsidR="00795EDD" w:rsidRPr="007D6690" w:rsidRDefault="00795EDD" w:rsidP="00795EDD">
            <w:pPr>
              <w:pStyle w:val="ListParagraph"/>
              <w:keepLines/>
              <w:widowControl w:val="0"/>
              <w:spacing w:after="0"/>
              <w:ind w:left="0"/>
              <w:jc w:val="center"/>
              <w:rPr>
                <w:rFonts w:asciiTheme="minorHAnsi" w:hAnsiTheme="minorHAnsi"/>
              </w:rPr>
            </w:pPr>
            <w:r w:rsidRPr="007D6690">
              <w:rPr>
                <w:rFonts w:asciiTheme="minorHAnsi" w:hAnsiTheme="minorHAnsi"/>
              </w:rPr>
              <w:t>13.2%</w:t>
            </w:r>
          </w:p>
        </w:tc>
      </w:tr>
      <w:tr w:rsidR="003E2560" w:rsidTr="003E2560">
        <w:trPr>
          <w:cantSplit/>
          <w:jc w:val="center"/>
        </w:trPr>
        <w:tc>
          <w:tcPr>
            <w:tcW w:w="3150" w:type="dxa"/>
            <w:tcBorders>
              <w:top w:val="single" w:sz="4" w:space="0" w:color="auto"/>
              <w:left w:val="single" w:sz="4" w:space="0" w:color="auto"/>
            </w:tcBorders>
            <w:shd w:val="clear" w:color="auto" w:fill="000000" w:themeFill="text1"/>
            <w:vAlign w:val="bottom"/>
          </w:tcPr>
          <w:p w:rsidR="003E2560" w:rsidRPr="00795268" w:rsidRDefault="003E2560" w:rsidP="0036642D">
            <w:pPr>
              <w:pStyle w:val="ListParagraph"/>
              <w:keepLines/>
              <w:widowControl w:val="0"/>
              <w:spacing w:after="0"/>
              <w:ind w:left="0"/>
              <w:rPr>
                <w:rFonts w:asciiTheme="minorHAnsi" w:hAnsiTheme="minorHAnsi"/>
                <w:b/>
                <w:color w:val="FFFFFF" w:themeColor="background1"/>
              </w:rPr>
            </w:pPr>
            <w:r w:rsidRPr="00795268">
              <w:rPr>
                <w:rFonts w:asciiTheme="minorHAnsi" w:hAnsiTheme="minorHAnsi"/>
                <w:b/>
                <w:color w:val="FFFFFF" w:themeColor="background1"/>
              </w:rPr>
              <w:t>Comparison Rates:</w:t>
            </w:r>
          </w:p>
        </w:tc>
        <w:tc>
          <w:tcPr>
            <w:tcW w:w="1665" w:type="dxa"/>
            <w:tcBorders>
              <w:top w:val="single" w:sz="4" w:space="0" w:color="auto"/>
            </w:tcBorders>
            <w:shd w:val="clear" w:color="auto" w:fill="000000" w:themeFill="text1"/>
            <w:vAlign w:val="center"/>
          </w:tcPr>
          <w:p w:rsidR="003E2560" w:rsidRPr="007D6690" w:rsidRDefault="003E2560" w:rsidP="00795EDD">
            <w:pPr>
              <w:pStyle w:val="ListParagraph"/>
              <w:keepLines/>
              <w:widowControl w:val="0"/>
              <w:ind w:left="0"/>
              <w:jc w:val="center"/>
              <w:rPr>
                <w:rFonts w:asciiTheme="minorHAnsi" w:hAnsiTheme="minorHAnsi"/>
              </w:rPr>
            </w:pPr>
          </w:p>
        </w:tc>
        <w:tc>
          <w:tcPr>
            <w:tcW w:w="1665" w:type="dxa"/>
            <w:tcBorders>
              <w:top w:val="single" w:sz="4" w:space="0" w:color="auto"/>
            </w:tcBorders>
            <w:shd w:val="clear" w:color="auto" w:fill="000000" w:themeFill="text1"/>
            <w:vAlign w:val="center"/>
          </w:tcPr>
          <w:p w:rsidR="003E2560" w:rsidRPr="007D6690" w:rsidRDefault="003E2560" w:rsidP="00795EDD">
            <w:pPr>
              <w:pStyle w:val="ListParagraph"/>
              <w:keepLines/>
              <w:widowControl w:val="0"/>
              <w:spacing w:after="0"/>
              <w:ind w:left="0"/>
              <w:jc w:val="center"/>
              <w:rPr>
                <w:rFonts w:asciiTheme="minorHAnsi" w:hAnsiTheme="minorHAnsi"/>
              </w:rPr>
            </w:pPr>
          </w:p>
        </w:tc>
      </w:tr>
      <w:tr w:rsidR="003E2560" w:rsidTr="00456B7B">
        <w:trPr>
          <w:cantSplit/>
          <w:jc w:val="center"/>
        </w:trPr>
        <w:tc>
          <w:tcPr>
            <w:tcW w:w="3150" w:type="dxa"/>
            <w:tcBorders>
              <w:top w:val="single" w:sz="4" w:space="0" w:color="auto"/>
              <w:left w:val="single" w:sz="4" w:space="0" w:color="auto"/>
            </w:tcBorders>
            <w:shd w:val="pct12" w:color="auto" w:fill="auto"/>
            <w:vAlign w:val="center"/>
          </w:tcPr>
          <w:p w:rsidR="003E2560" w:rsidRPr="00D81C90" w:rsidRDefault="003E2560" w:rsidP="0036642D">
            <w:pPr>
              <w:pStyle w:val="ListParagraph"/>
              <w:keepLines/>
              <w:widowControl w:val="0"/>
              <w:ind w:left="0"/>
              <w:jc w:val="center"/>
              <w:rPr>
                <w:rFonts w:asciiTheme="minorHAnsi" w:hAnsiTheme="minorHAnsi"/>
              </w:rPr>
            </w:pPr>
            <w:r w:rsidRPr="00D81C90">
              <w:rPr>
                <w:rFonts w:asciiTheme="minorHAnsi" w:hAnsiTheme="minorHAnsi"/>
              </w:rPr>
              <w:t>U.S. Rates (SAMHSA, 2011)</w:t>
            </w:r>
          </w:p>
        </w:tc>
        <w:tc>
          <w:tcPr>
            <w:tcW w:w="1665" w:type="dxa"/>
            <w:vAlign w:val="center"/>
          </w:tcPr>
          <w:p w:rsidR="003E2560" w:rsidRPr="007D6690" w:rsidRDefault="003E2560" w:rsidP="0036642D">
            <w:pPr>
              <w:pStyle w:val="ListParagraph"/>
              <w:keepLines/>
              <w:widowControl w:val="0"/>
              <w:ind w:left="0"/>
              <w:jc w:val="center"/>
              <w:rPr>
                <w:rFonts w:asciiTheme="minorHAnsi" w:hAnsiTheme="minorHAnsi"/>
              </w:rPr>
            </w:pPr>
            <w:r w:rsidRPr="007D6690">
              <w:rPr>
                <w:rFonts w:asciiTheme="minorHAnsi" w:hAnsiTheme="minorHAnsi"/>
              </w:rPr>
              <w:t>9.3%</w:t>
            </w:r>
          </w:p>
        </w:tc>
        <w:tc>
          <w:tcPr>
            <w:tcW w:w="1665" w:type="dxa"/>
            <w:vAlign w:val="center"/>
          </w:tcPr>
          <w:p w:rsidR="003E2560" w:rsidRPr="007D6690" w:rsidRDefault="003E2560" w:rsidP="0036642D">
            <w:pPr>
              <w:pStyle w:val="ListParagraph"/>
              <w:keepLines/>
              <w:widowControl w:val="0"/>
              <w:spacing w:after="0"/>
              <w:ind w:left="0"/>
              <w:jc w:val="center"/>
              <w:rPr>
                <w:rFonts w:asciiTheme="minorHAnsi" w:hAnsiTheme="minorHAnsi"/>
              </w:rPr>
            </w:pPr>
            <w:r w:rsidRPr="007D6690">
              <w:rPr>
                <w:rFonts w:asciiTheme="minorHAnsi" w:hAnsiTheme="minorHAnsi"/>
              </w:rPr>
              <w:t>21.0%</w:t>
            </w:r>
          </w:p>
        </w:tc>
      </w:tr>
      <w:tr w:rsidR="003E2560" w:rsidTr="00456B7B">
        <w:trPr>
          <w:cantSplit/>
          <w:jc w:val="center"/>
        </w:trPr>
        <w:tc>
          <w:tcPr>
            <w:tcW w:w="3150" w:type="dxa"/>
            <w:tcBorders>
              <w:top w:val="single" w:sz="4" w:space="0" w:color="auto"/>
              <w:left w:val="single" w:sz="4" w:space="0" w:color="auto"/>
            </w:tcBorders>
            <w:shd w:val="pct12" w:color="auto" w:fill="auto"/>
            <w:vAlign w:val="center"/>
          </w:tcPr>
          <w:p w:rsidR="003E2560" w:rsidRPr="00D81C90" w:rsidRDefault="003E2560" w:rsidP="0036642D">
            <w:pPr>
              <w:pStyle w:val="ListParagraph"/>
              <w:keepLines/>
              <w:widowControl w:val="0"/>
              <w:ind w:left="0"/>
              <w:jc w:val="center"/>
              <w:rPr>
                <w:rFonts w:asciiTheme="minorHAnsi" w:hAnsiTheme="minorHAnsi"/>
              </w:rPr>
            </w:pPr>
            <w:r w:rsidRPr="00D81C90">
              <w:rPr>
                <w:rFonts w:asciiTheme="minorHAnsi" w:hAnsiTheme="minorHAnsi"/>
              </w:rPr>
              <w:t xml:space="preserve"> Delaware Rates (2013)</w:t>
            </w:r>
          </w:p>
        </w:tc>
        <w:tc>
          <w:tcPr>
            <w:tcW w:w="1665" w:type="dxa"/>
            <w:vAlign w:val="center"/>
          </w:tcPr>
          <w:p w:rsidR="003E2560" w:rsidRPr="007D6690" w:rsidRDefault="003E2560" w:rsidP="0036642D">
            <w:pPr>
              <w:pStyle w:val="ListParagraph"/>
              <w:keepLines/>
              <w:widowControl w:val="0"/>
              <w:ind w:left="0"/>
              <w:jc w:val="center"/>
              <w:rPr>
                <w:rFonts w:asciiTheme="minorHAnsi" w:hAnsiTheme="minorHAnsi"/>
              </w:rPr>
            </w:pPr>
            <w:r w:rsidRPr="007D6690">
              <w:rPr>
                <w:rFonts w:asciiTheme="minorHAnsi" w:hAnsiTheme="minorHAnsi"/>
              </w:rPr>
              <w:t>9.6%</w:t>
            </w:r>
          </w:p>
        </w:tc>
        <w:tc>
          <w:tcPr>
            <w:tcW w:w="1665" w:type="dxa"/>
            <w:vAlign w:val="center"/>
          </w:tcPr>
          <w:p w:rsidR="003E2560" w:rsidRPr="007D6690" w:rsidRDefault="003E2560" w:rsidP="0036642D">
            <w:pPr>
              <w:pStyle w:val="ListParagraph"/>
              <w:keepLines/>
              <w:widowControl w:val="0"/>
              <w:spacing w:after="0"/>
              <w:ind w:left="0"/>
              <w:jc w:val="center"/>
              <w:rPr>
                <w:rFonts w:asciiTheme="minorHAnsi" w:hAnsiTheme="minorHAnsi"/>
              </w:rPr>
            </w:pPr>
            <w:r w:rsidRPr="007D6690">
              <w:rPr>
                <w:rFonts w:asciiTheme="minorHAnsi" w:hAnsiTheme="minorHAnsi"/>
              </w:rPr>
              <w:t>23.1%</w:t>
            </w:r>
          </w:p>
        </w:tc>
      </w:tr>
    </w:tbl>
    <w:p w:rsidR="00795EDD" w:rsidRDefault="00795EDD" w:rsidP="00946332">
      <w:pPr>
        <w:pStyle w:val="ListParagraph"/>
        <w:spacing w:after="120"/>
        <w:contextualSpacing w:val="0"/>
        <w:rPr>
          <w:rFonts w:ascii="Times New Roman" w:hAnsi="Times New Roman"/>
          <w:sz w:val="24"/>
          <w:szCs w:val="24"/>
        </w:rPr>
      </w:pPr>
    </w:p>
    <w:p w:rsidR="00EB6405" w:rsidRDefault="00402C96" w:rsidP="00946332">
      <w:pPr>
        <w:pStyle w:val="ListParagraph"/>
        <w:spacing w:after="120"/>
        <w:contextualSpacing w:val="0"/>
        <w:rPr>
          <w:rFonts w:ascii="Times New Roman" w:hAnsi="Times New Roman"/>
          <w:sz w:val="24"/>
          <w:szCs w:val="24"/>
        </w:rPr>
      </w:pPr>
      <w:r>
        <w:rPr>
          <w:rFonts w:ascii="Times New Roman" w:hAnsi="Times New Roman"/>
          <w:sz w:val="24"/>
          <w:szCs w:val="24"/>
        </w:rPr>
        <w:t xml:space="preserve">Fourteen (14) </w:t>
      </w:r>
      <w:r w:rsidR="00AF4D70" w:rsidRPr="006B6A57">
        <w:rPr>
          <w:rFonts w:ascii="Times New Roman" w:hAnsi="Times New Roman"/>
          <w:sz w:val="24"/>
          <w:szCs w:val="24"/>
        </w:rPr>
        <w:t>members of this group (13.2%) were re</w:t>
      </w:r>
      <w:r w:rsidR="0015786B" w:rsidRPr="006B6A57">
        <w:rPr>
          <w:rFonts w:ascii="Times New Roman" w:hAnsi="Times New Roman"/>
          <w:sz w:val="24"/>
          <w:szCs w:val="24"/>
        </w:rPr>
        <w:t>-</w:t>
      </w:r>
      <w:r w:rsidR="00AF4D70" w:rsidRPr="006B6A57">
        <w:rPr>
          <w:rFonts w:ascii="Times New Roman" w:hAnsi="Times New Roman"/>
          <w:sz w:val="24"/>
          <w:szCs w:val="24"/>
        </w:rPr>
        <w:t xml:space="preserve">hospitalized </w:t>
      </w:r>
      <w:r w:rsidR="0015786B" w:rsidRPr="006B6A57">
        <w:rPr>
          <w:rFonts w:ascii="Times New Roman" w:hAnsi="Times New Roman"/>
          <w:sz w:val="24"/>
          <w:szCs w:val="24"/>
        </w:rPr>
        <w:t>within 180 days of their</w:t>
      </w:r>
      <w:r w:rsidR="00FF6909">
        <w:rPr>
          <w:rFonts w:ascii="Times New Roman" w:hAnsi="Times New Roman"/>
          <w:sz w:val="24"/>
          <w:szCs w:val="24"/>
        </w:rPr>
        <w:t xml:space="preserve"> </w:t>
      </w:r>
      <w:r w:rsidR="0015786B" w:rsidRPr="006B6A57">
        <w:rPr>
          <w:rFonts w:ascii="Times New Roman" w:hAnsi="Times New Roman"/>
          <w:sz w:val="24"/>
          <w:szCs w:val="24"/>
        </w:rPr>
        <w:t xml:space="preserve">discharge from DPC, 5 of whom (4.7%) were readmitted within thirty days.  Notwithstanding the histories and functional levels of these individuals </w:t>
      </w:r>
      <w:r w:rsidR="00795EDD">
        <w:rPr>
          <w:rFonts w:ascii="Times New Roman" w:hAnsi="Times New Roman"/>
          <w:sz w:val="24"/>
          <w:szCs w:val="24"/>
        </w:rPr>
        <w:t xml:space="preserve">that </w:t>
      </w:r>
      <w:r w:rsidR="003F403C">
        <w:rPr>
          <w:rFonts w:ascii="Times New Roman" w:hAnsi="Times New Roman"/>
          <w:sz w:val="24"/>
          <w:szCs w:val="24"/>
        </w:rPr>
        <w:t xml:space="preserve">place </w:t>
      </w:r>
      <w:r w:rsidR="003E2560">
        <w:rPr>
          <w:rFonts w:ascii="Times New Roman" w:hAnsi="Times New Roman"/>
          <w:sz w:val="24"/>
          <w:szCs w:val="24"/>
        </w:rPr>
        <w:t xml:space="preserve">these </w:t>
      </w:r>
      <w:r w:rsidR="003F403C">
        <w:rPr>
          <w:rFonts w:ascii="Times New Roman" w:hAnsi="Times New Roman"/>
          <w:sz w:val="24"/>
          <w:szCs w:val="24"/>
        </w:rPr>
        <w:t xml:space="preserve">individuals </w:t>
      </w:r>
      <w:r w:rsidR="0015786B" w:rsidRPr="006B6A57">
        <w:rPr>
          <w:rFonts w:ascii="Times New Roman" w:hAnsi="Times New Roman"/>
          <w:sz w:val="24"/>
          <w:szCs w:val="24"/>
        </w:rPr>
        <w:t xml:space="preserve">at very high risk of failure in the community, </w:t>
      </w:r>
      <w:r w:rsidR="005173BB" w:rsidRPr="006B6A57">
        <w:rPr>
          <w:rFonts w:ascii="Times New Roman" w:hAnsi="Times New Roman"/>
          <w:sz w:val="24"/>
          <w:szCs w:val="24"/>
        </w:rPr>
        <w:t>these readmission rates are at least 45% lower than the national rates for 180-day and 30-day readmissions (21.0% and 9.3%, respectively</w:t>
      </w:r>
      <w:r w:rsidR="002811A2">
        <w:rPr>
          <w:rStyle w:val="FootnoteReference"/>
          <w:rFonts w:ascii="Times New Roman" w:hAnsi="Times New Roman"/>
          <w:sz w:val="24"/>
          <w:szCs w:val="24"/>
        </w:rPr>
        <w:footnoteReference w:id="5"/>
      </w:r>
      <w:r w:rsidR="005173BB" w:rsidRPr="006B6A57">
        <w:rPr>
          <w:rFonts w:ascii="Times New Roman" w:hAnsi="Times New Roman"/>
          <w:sz w:val="24"/>
          <w:szCs w:val="24"/>
        </w:rPr>
        <w:t xml:space="preserve">) and the Delaware’s overall psychiatric readmission rates (which are very consistent with these national norms).  </w:t>
      </w:r>
      <w:r w:rsidR="003F403C">
        <w:rPr>
          <w:rFonts w:ascii="Times New Roman" w:hAnsi="Times New Roman"/>
          <w:sz w:val="24"/>
          <w:szCs w:val="24"/>
        </w:rPr>
        <w:t xml:space="preserve">Most importantly, </w:t>
      </w:r>
      <w:r w:rsidR="00423879" w:rsidRPr="006B6A57">
        <w:rPr>
          <w:rFonts w:ascii="Times New Roman" w:hAnsi="Times New Roman"/>
          <w:sz w:val="24"/>
          <w:szCs w:val="24"/>
        </w:rPr>
        <w:t>These</w:t>
      </w:r>
      <w:r w:rsidR="003F403C">
        <w:rPr>
          <w:rFonts w:ascii="Times New Roman" w:hAnsi="Times New Roman"/>
          <w:sz w:val="24"/>
          <w:szCs w:val="24"/>
        </w:rPr>
        <w:t xml:space="preserve"> significant</w:t>
      </w:r>
      <w:r w:rsidR="00423879" w:rsidRPr="006B6A57">
        <w:rPr>
          <w:rFonts w:ascii="Times New Roman" w:hAnsi="Times New Roman"/>
          <w:sz w:val="24"/>
          <w:szCs w:val="24"/>
        </w:rPr>
        <w:t xml:space="preserve"> findings </w:t>
      </w:r>
      <w:r w:rsidR="003F403C">
        <w:rPr>
          <w:rFonts w:ascii="Times New Roman" w:hAnsi="Times New Roman"/>
          <w:sz w:val="24"/>
          <w:szCs w:val="24"/>
        </w:rPr>
        <w:t>highlight</w:t>
      </w:r>
      <w:r w:rsidR="003F403C" w:rsidRPr="006B6A57">
        <w:rPr>
          <w:rFonts w:ascii="Times New Roman" w:hAnsi="Times New Roman"/>
          <w:sz w:val="24"/>
          <w:szCs w:val="24"/>
        </w:rPr>
        <w:t xml:space="preserve"> </w:t>
      </w:r>
      <w:r w:rsidR="00423879" w:rsidRPr="006B6A57">
        <w:rPr>
          <w:rFonts w:ascii="Times New Roman" w:hAnsi="Times New Roman"/>
          <w:sz w:val="24"/>
          <w:szCs w:val="24"/>
        </w:rPr>
        <w:t xml:space="preserve">that, even for this at-risk group, the intensive services and integrated housing opportunities that the State has created pursuant to the Settlement Agreement are being successful in maintaining people with serious and persistent mental illnesses within the community.  </w:t>
      </w:r>
      <w:r w:rsidR="00456B7B">
        <w:rPr>
          <w:rFonts w:ascii="Times New Roman" w:hAnsi="Times New Roman"/>
          <w:sz w:val="24"/>
          <w:szCs w:val="24"/>
        </w:rPr>
        <w:t>In fact, these individuals actually</w:t>
      </w:r>
      <w:r w:rsidR="00795EDD">
        <w:rPr>
          <w:rFonts w:ascii="Times New Roman" w:hAnsi="Times New Roman"/>
          <w:sz w:val="24"/>
          <w:szCs w:val="24"/>
        </w:rPr>
        <w:t xml:space="preserve"> </w:t>
      </w:r>
      <w:r w:rsidR="00BA5986">
        <w:rPr>
          <w:rFonts w:ascii="Times New Roman" w:hAnsi="Times New Roman"/>
          <w:sz w:val="24"/>
          <w:szCs w:val="24"/>
        </w:rPr>
        <w:t xml:space="preserve">have lower rates of psychiatric </w:t>
      </w:r>
      <w:r w:rsidR="00795EDD">
        <w:rPr>
          <w:rFonts w:ascii="Times New Roman" w:hAnsi="Times New Roman"/>
          <w:sz w:val="24"/>
          <w:szCs w:val="24"/>
        </w:rPr>
        <w:t>re</w:t>
      </w:r>
      <w:r w:rsidR="00BA5986">
        <w:rPr>
          <w:rFonts w:ascii="Times New Roman" w:hAnsi="Times New Roman"/>
          <w:sz w:val="24"/>
          <w:szCs w:val="24"/>
        </w:rPr>
        <w:t>hospitalizatio</w:t>
      </w:r>
      <w:r w:rsidR="00795EDD">
        <w:rPr>
          <w:rFonts w:ascii="Times New Roman" w:hAnsi="Times New Roman"/>
          <w:sz w:val="24"/>
          <w:szCs w:val="24"/>
        </w:rPr>
        <w:t xml:space="preserve">n than </w:t>
      </w:r>
      <w:r w:rsidR="00456B7B">
        <w:rPr>
          <w:rFonts w:ascii="Times New Roman" w:hAnsi="Times New Roman"/>
          <w:sz w:val="24"/>
          <w:szCs w:val="24"/>
        </w:rPr>
        <w:t xml:space="preserve">does </w:t>
      </w:r>
      <w:r w:rsidR="00795EDD">
        <w:rPr>
          <w:rFonts w:ascii="Times New Roman" w:hAnsi="Times New Roman"/>
          <w:sz w:val="24"/>
          <w:szCs w:val="24"/>
        </w:rPr>
        <w:t>the general population of individuals with serious mental illness.</w:t>
      </w:r>
    </w:p>
    <w:p w:rsidR="00456B7B" w:rsidRPr="006B6A57" w:rsidRDefault="00456B7B" w:rsidP="00946332">
      <w:pPr>
        <w:pStyle w:val="ListParagraph"/>
        <w:spacing w:after="120"/>
        <w:contextualSpacing w:val="0"/>
        <w:rPr>
          <w:rFonts w:ascii="Times New Roman" w:hAnsi="Times New Roman"/>
          <w:sz w:val="24"/>
          <w:szCs w:val="24"/>
        </w:rPr>
      </w:pPr>
    </w:p>
    <w:p w:rsidR="00263DA0" w:rsidRPr="00C37A04" w:rsidRDefault="00C37A04" w:rsidP="005469ED">
      <w:pPr>
        <w:pStyle w:val="ListParagraph"/>
        <w:rPr>
          <w:rFonts w:ascii="Times New Roman" w:hAnsi="Times New Roman"/>
          <w:sz w:val="24"/>
          <w:szCs w:val="24"/>
        </w:rPr>
      </w:pPr>
      <w:r>
        <w:rPr>
          <w:rFonts w:ascii="Times New Roman" w:hAnsi="Times New Roman"/>
          <w:sz w:val="24"/>
          <w:szCs w:val="24"/>
          <w:u w:val="single"/>
        </w:rPr>
        <w:t>Fiscal Impact</w:t>
      </w:r>
      <w:r>
        <w:rPr>
          <w:rFonts w:ascii="Times New Roman" w:hAnsi="Times New Roman"/>
          <w:sz w:val="24"/>
          <w:szCs w:val="24"/>
        </w:rPr>
        <w:t>-</w:t>
      </w:r>
    </w:p>
    <w:p w:rsidR="00C37A04" w:rsidRDefault="00184449" w:rsidP="005469ED">
      <w:pPr>
        <w:pStyle w:val="ListParagraph"/>
        <w:widowControl w:val="0"/>
        <w:spacing w:after="120"/>
        <w:contextualSpacing w:val="0"/>
        <w:rPr>
          <w:rFonts w:ascii="Times New Roman" w:hAnsi="Times New Roman"/>
          <w:sz w:val="24"/>
          <w:szCs w:val="24"/>
        </w:rPr>
      </w:pPr>
      <w:r>
        <w:rPr>
          <w:rFonts w:ascii="Times New Roman" w:hAnsi="Times New Roman"/>
          <w:sz w:val="24"/>
          <w:szCs w:val="24"/>
        </w:rPr>
        <w:t>I</w:t>
      </w:r>
      <w:r w:rsidR="00263DA0" w:rsidRPr="006B6A57">
        <w:rPr>
          <w:rFonts w:ascii="Times New Roman" w:hAnsi="Times New Roman"/>
          <w:sz w:val="24"/>
          <w:szCs w:val="24"/>
        </w:rPr>
        <w:t>t is worth noting that</w:t>
      </w:r>
      <w:r w:rsidR="00C37A04">
        <w:rPr>
          <w:rFonts w:ascii="Times New Roman" w:hAnsi="Times New Roman"/>
          <w:sz w:val="24"/>
          <w:szCs w:val="24"/>
        </w:rPr>
        <w:t>,</w:t>
      </w:r>
      <w:r w:rsidR="00263DA0" w:rsidRPr="006B6A57">
        <w:rPr>
          <w:rFonts w:ascii="Times New Roman" w:hAnsi="Times New Roman"/>
          <w:sz w:val="24"/>
          <w:szCs w:val="24"/>
        </w:rPr>
        <w:t xml:space="preserve"> based on an estimated cost of care with</w:t>
      </w:r>
      <w:r w:rsidR="00263DA0">
        <w:rPr>
          <w:rFonts w:ascii="Times New Roman" w:hAnsi="Times New Roman"/>
          <w:sz w:val="24"/>
          <w:szCs w:val="24"/>
        </w:rPr>
        <w:t>in DPC of $800 per day</w:t>
      </w:r>
      <w:r w:rsidR="00C37A04">
        <w:rPr>
          <w:rFonts w:ascii="Times New Roman" w:hAnsi="Times New Roman"/>
          <w:sz w:val="24"/>
          <w:szCs w:val="24"/>
        </w:rPr>
        <w:t>,</w:t>
      </w:r>
      <w:r w:rsidR="00263DA0">
        <w:rPr>
          <w:rFonts w:ascii="Times New Roman" w:hAnsi="Times New Roman"/>
          <w:sz w:val="24"/>
          <w:szCs w:val="24"/>
        </w:rPr>
        <w:t xml:space="preserve"> the median length of stay of 140 days would mean hospital costs of about $112,000 per person.  Applying </w:t>
      </w:r>
      <w:r w:rsidR="00263DA0" w:rsidRPr="006B6A57">
        <w:rPr>
          <w:rFonts w:ascii="Times New Roman" w:hAnsi="Times New Roman"/>
          <w:sz w:val="24"/>
          <w:szCs w:val="24"/>
        </w:rPr>
        <w:t>the average length of stay of this group of 1</w:t>
      </w:r>
      <w:r w:rsidR="00456B7B">
        <w:rPr>
          <w:rFonts w:ascii="Times New Roman" w:hAnsi="Times New Roman"/>
          <w:sz w:val="24"/>
          <w:szCs w:val="24"/>
        </w:rPr>
        <w:t>,</w:t>
      </w:r>
      <w:r w:rsidR="00263DA0" w:rsidRPr="006B6A57">
        <w:rPr>
          <w:rFonts w:ascii="Times New Roman" w:hAnsi="Times New Roman"/>
          <w:sz w:val="24"/>
          <w:szCs w:val="24"/>
        </w:rPr>
        <w:t xml:space="preserve">147.1 days, a rough estimate of the cost incurred for their hospital care is </w:t>
      </w:r>
      <w:r w:rsidR="00263DA0">
        <w:rPr>
          <w:rFonts w:ascii="Times New Roman" w:hAnsi="Times New Roman"/>
          <w:sz w:val="24"/>
          <w:szCs w:val="24"/>
        </w:rPr>
        <w:t xml:space="preserve">a remarkable </w:t>
      </w:r>
      <w:r w:rsidR="00263DA0" w:rsidRPr="006B6A57">
        <w:rPr>
          <w:rFonts w:ascii="Times New Roman" w:hAnsi="Times New Roman"/>
          <w:sz w:val="24"/>
          <w:szCs w:val="24"/>
        </w:rPr>
        <w:t>$917,680 per person.</w:t>
      </w:r>
      <w:r w:rsidR="00456B7B">
        <w:rPr>
          <w:rFonts w:ascii="Times New Roman" w:hAnsi="Times New Roman"/>
          <w:sz w:val="24"/>
          <w:szCs w:val="24"/>
        </w:rPr>
        <w:t xml:space="preserve">  A meaningful cost estimate would be somewhere between these figures but, no doubt, would be substantial.</w:t>
      </w:r>
    </w:p>
    <w:p w:rsidR="00E45734" w:rsidRDefault="00D13266" w:rsidP="005469ED">
      <w:pPr>
        <w:pStyle w:val="ListParagraph"/>
        <w:widowControl w:val="0"/>
        <w:spacing w:after="120"/>
        <w:contextualSpacing w:val="0"/>
        <w:rPr>
          <w:rFonts w:ascii="Times New Roman" w:hAnsi="Times New Roman"/>
          <w:sz w:val="24"/>
          <w:szCs w:val="24"/>
        </w:rPr>
      </w:pPr>
      <w:r>
        <w:rPr>
          <w:rFonts w:ascii="Times New Roman" w:hAnsi="Times New Roman"/>
          <w:sz w:val="24"/>
          <w:szCs w:val="24"/>
        </w:rPr>
        <w:t>In any event</w:t>
      </w:r>
      <w:r w:rsidR="009374A5" w:rsidRPr="006B6A57">
        <w:rPr>
          <w:rFonts w:ascii="Times New Roman" w:hAnsi="Times New Roman"/>
          <w:sz w:val="24"/>
          <w:szCs w:val="24"/>
        </w:rPr>
        <w:t xml:space="preserve">, given that care within DPC is generally not reimbursable through Medicaid or other insurance, these costs have largely been borne by the state of Delaware.  In contrast, many of the services being provided to these individuals within the community are not only lower cost, but they draw in federal dollars through Medicaid or other programs.  </w:t>
      </w:r>
      <w:r w:rsidR="00E45734">
        <w:rPr>
          <w:rFonts w:ascii="Times New Roman" w:hAnsi="Times New Roman"/>
          <w:sz w:val="24"/>
          <w:szCs w:val="24"/>
        </w:rPr>
        <w:t xml:space="preserve">The average annual total cost of supporting an individual in the community with </w:t>
      </w:r>
      <w:r w:rsidR="003F403C">
        <w:rPr>
          <w:rFonts w:ascii="Times New Roman" w:hAnsi="Times New Roman"/>
          <w:sz w:val="24"/>
          <w:szCs w:val="24"/>
        </w:rPr>
        <w:t>Assertive Community Treatment (</w:t>
      </w:r>
      <w:r w:rsidR="00E45734">
        <w:rPr>
          <w:rFonts w:ascii="Times New Roman" w:hAnsi="Times New Roman"/>
          <w:sz w:val="24"/>
          <w:szCs w:val="24"/>
        </w:rPr>
        <w:t>ACT</w:t>
      </w:r>
      <w:r w:rsidR="003F403C">
        <w:rPr>
          <w:rFonts w:ascii="Times New Roman" w:hAnsi="Times New Roman"/>
          <w:sz w:val="24"/>
          <w:szCs w:val="24"/>
        </w:rPr>
        <w:t>)</w:t>
      </w:r>
      <w:r w:rsidR="00E45734">
        <w:rPr>
          <w:rFonts w:ascii="Times New Roman" w:hAnsi="Times New Roman"/>
          <w:sz w:val="24"/>
          <w:szCs w:val="24"/>
        </w:rPr>
        <w:t xml:space="preserve"> services is $23,500 ($15,000 for ACT services + $8,500 for SRAP housing supports). </w:t>
      </w:r>
      <w:r w:rsidR="00C37A04">
        <w:rPr>
          <w:rFonts w:ascii="Times New Roman" w:hAnsi="Times New Roman"/>
          <w:sz w:val="24"/>
          <w:szCs w:val="24"/>
        </w:rPr>
        <w:t xml:space="preserve"> </w:t>
      </w:r>
      <w:r w:rsidR="00E45734">
        <w:rPr>
          <w:rFonts w:ascii="Times New Roman" w:hAnsi="Times New Roman"/>
          <w:sz w:val="24"/>
          <w:szCs w:val="24"/>
        </w:rPr>
        <w:t xml:space="preserve">Taking into account that ACT services are reimbursable through Medicaid and draw federal dollars, the costs to the State are even lower, approximately $16,000 ($7,500 state Medicaid match for ACT + $8,500 for SRAP housing supports).  </w:t>
      </w:r>
      <w:r w:rsidR="00184449">
        <w:rPr>
          <w:rFonts w:ascii="Times New Roman" w:hAnsi="Times New Roman"/>
          <w:sz w:val="24"/>
          <w:szCs w:val="24"/>
        </w:rPr>
        <w:t xml:space="preserve">In other words, applying the more conservative median cost of hospitalization at DPC of $112,000 per person, the community supports to these individuals pursuant to the Agreement represent savings to the state of about </w:t>
      </w:r>
      <w:r w:rsidR="009A0D31">
        <w:rPr>
          <w:rFonts w:ascii="Times New Roman" w:hAnsi="Times New Roman"/>
          <w:sz w:val="24"/>
          <w:szCs w:val="24"/>
        </w:rPr>
        <w:t>8</w:t>
      </w:r>
      <w:r w:rsidR="00D648F5">
        <w:rPr>
          <w:rFonts w:ascii="Times New Roman" w:hAnsi="Times New Roman"/>
          <w:sz w:val="24"/>
          <w:szCs w:val="24"/>
        </w:rPr>
        <w:t>6</w:t>
      </w:r>
      <w:r w:rsidR="009A0D31">
        <w:rPr>
          <w:rFonts w:ascii="Times New Roman" w:hAnsi="Times New Roman"/>
          <w:sz w:val="24"/>
          <w:szCs w:val="24"/>
        </w:rPr>
        <w:t xml:space="preserve">%. </w:t>
      </w:r>
      <w:r w:rsidR="00FF4928">
        <w:rPr>
          <w:rFonts w:ascii="Times New Roman" w:hAnsi="Times New Roman"/>
          <w:sz w:val="24"/>
          <w:szCs w:val="24"/>
        </w:rPr>
        <w:t>The table bel</w:t>
      </w:r>
      <w:r w:rsidR="008513F8">
        <w:rPr>
          <w:rFonts w:ascii="Times New Roman" w:hAnsi="Times New Roman"/>
          <w:sz w:val="24"/>
          <w:szCs w:val="24"/>
        </w:rPr>
        <w:t xml:space="preserve">ow summarizes </w:t>
      </w:r>
      <w:r w:rsidR="00AF71B5">
        <w:rPr>
          <w:rFonts w:ascii="Times New Roman" w:hAnsi="Times New Roman"/>
          <w:sz w:val="24"/>
          <w:szCs w:val="24"/>
        </w:rPr>
        <w:t>annualized</w:t>
      </w:r>
      <w:r w:rsidR="008513F8">
        <w:rPr>
          <w:rFonts w:ascii="Times New Roman" w:hAnsi="Times New Roman"/>
          <w:sz w:val="24"/>
          <w:szCs w:val="24"/>
        </w:rPr>
        <w:t xml:space="preserve"> projections</w:t>
      </w:r>
      <w:r w:rsidR="00AF71B5">
        <w:rPr>
          <w:rFonts w:ascii="Times New Roman" w:hAnsi="Times New Roman"/>
          <w:sz w:val="24"/>
          <w:szCs w:val="24"/>
        </w:rPr>
        <w:t xml:space="preserve"> (since the mean length of stay for this group was greater than one year, full year costs are presented instead)</w:t>
      </w:r>
      <w:r w:rsidR="00FF4928">
        <w:rPr>
          <w:rFonts w:ascii="Times New Roman" w:hAnsi="Times New Roman"/>
          <w:sz w:val="24"/>
          <w:szCs w:val="24"/>
        </w:rPr>
        <w:t>:</w:t>
      </w:r>
    </w:p>
    <w:p w:rsidR="00FF4928" w:rsidRDefault="00FF4928" w:rsidP="005469ED">
      <w:pPr>
        <w:pStyle w:val="ListParagraph"/>
        <w:widowControl w:val="0"/>
        <w:spacing w:after="120"/>
        <w:contextualSpacing w:val="0"/>
        <w:rPr>
          <w:rFonts w:ascii="Times New Roman" w:hAnsi="Times New Roman"/>
          <w:sz w:val="24"/>
          <w:szCs w:val="24"/>
        </w:rPr>
      </w:pPr>
    </w:p>
    <w:tbl>
      <w:tblPr>
        <w:tblStyle w:val="TableGrid"/>
        <w:tblW w:w="0" w:type="auto"/>
        <w:tblInd w:w="705" w:type="dxa"/>
        <w:tblLook w:val="04A0"/>
      </w:tblPr>
      <w:tblGrid>
        <w:gridCol w:w="1280"/>
        <w:gridCol w:w="2123"/>
        <w:gridCol w:w="1052"/>
        <w:gridCol w:w="1052"/>
        <w:gridCol w:w="1064"/>
        <w:gridCol w:w="1052"/>
        <w:gridCol w:w="1052"/>
      </w:tblGrid>
      <w:tr w:rsidR="00000D74" w:rsidTr="00941962">
        <w:trPr>
          <w:trHeight w:val="410"/>
        </w:trPr>
        <w:tc>
          <w:tcPr>
            <w:tcW w:w="1280" w:type="dxa"/>
            <w:tcBorders>
              <w:top w:val="nil"/>
              <w:left w:val="nil"/>
              <w:bottom w:val="nil"/>
              <w:right w:val="nil"/>
            </w:tcBorders>
            <w:shd w:val="clear" w:color="auto" w:fill="FFFFFF" w:themeFill="background1"/>
          </w:tcPr>
          <w:p w:rsidR="00000D74" w:rsidRDefault="00000D74" w:rsidP="00CA1BB1"/>
        </w:tc>
        <w:tc>
          <w:tcPr>
            <w:tcW w:w="7395" w:type="dxa"/>
            <w:gridSpan w:val="6"/>
            <w:tcBorders>
              <w:top w:val="nil"/>
              <w:left w:val="nil"/>
              <w:right w:val="nil"/>
            </w:tcBorders>
            <w:shd w:val="clear" w:color="auto" w:fill="FFFFFF" w:themeFill="background1"/>
          </w:tcPr>
          <w:p w:rsidR="00000D74" w:rsidRPr="0093151D" w:rsidRDefault="0093151D" w:rsidP="0093151D">
            <w:pPr>
              <w:spacing w:after="0"/>
              <w:jc w:val="center"/>
              <w:rPr>
                <w:b/>
                <w:sz w:val="28"/>
                <w:szCs w:val="28"/>
              </w:rPr>
            </w:pPr>
            <w:r w:rsidRPr="0093151D">
              <w:rPr>
                <w:b/>
                <w:sz w:val="28"/>
                <w:szCs w:val="28"/>
              </w:rPr>
              <w:t>Cost Comparison of Evaluation Group</w:t>
            </w:r>
            <w:r w:rsidR="00000D74" w:rsidRPr="0093151D">
              <w:rPr>
                <w:b/>
                <w:sz w:val="28"/>
                <w:szCs w:val="28"/>
              </w:rPr>
              <w:t>:</w:t>
            </w:r>
          </w:p>
          <w:p w:rsidR="00000D74" w:rsidRPr="00CA1BB1" w:rsidRDefault="0093151D" w:rsidP="00FF4928">
            <w:pPr>
              <w:spacing w:after="0"/>
              <w:jc w:val="center"/>
              <w:rPr>
                <w:b/>
                <w:sz w:val="28"/>
                <w:szCs w:val="28"/>
              </w:rPr>
            </w:pPr>
            <w:r>
              <w:rPr>
                <w:b/>
                <w:sz w:val="28"/>
                <w:szCs w:val="28"/>
              </w:rPr>
              <w:t>DPC vs.</w:t>
            </w:r>
            <w:r w:rsidR="00000D74">
              <w:rPr>
                <w:b/>
                <w:sz w:val="28"/>
                <w:szCs w:val="28"/>
              </w:rPr>
              <w:t xml:space="preserve"> Intensive Community Services</w:t>
            </w:r>
          </w:p>
        </w:tc>
      </w:tr>
      <w:tr w:rsidR="00A35867" w:rsidTr="009E6B7B">
        <w:trPr>
          <w:trHeight w:val="410"/>
        </w:trPr>
        <w:tc>
          <w:tcPr>
            <w:tcW w:w="1280" w:type="dxa"/>
            <w:tcBorders>
              <w:top w:val="nil"/>
              <w:left w:val="nil"/>
              <w:bottom w:val="single" w:sz="4" w:space="0" w:color="FFFFFF" w:themeColor="background1"/>
            </w:tcBorders>
          </w:tcPr>
          <w:p w:rsidR="00A35867" w:rsidRDefault="00A35867" w:rsidP="00CA1BB1"/>
        </w:tc>
        <w:tc>
          <w:tcPr>
            <w:tcW w:w="2123" w:type="dxa"/>
            <w:tcBorders>
              <w:right w:val="single" w:sz="4" w:space="0" w:color="FFFFFF" w:themeColor="background1"/>
            </w:tcBorders>
            <w:shd w:val="solid" w:color="auto" w:fill="000000" w:themeFill="text1"/>
            <w:vAlign w:val="center"/>
          </w:tcPr>
          <w:p w:rsidR="00A35867" w:rsidRPr="0093151D" w:rsidRDefault="00A35867" w:rsidP="0093151D">
            <w:pPr>
              <w:spacing w:after="0"/>
              <w:jc w:val="center"/>
              <w:rPr>
                <w:b/>
                <w:color w:val="FFFFFF" w:themeColor="background1"/>
              </w:rPr>
            </w:pPr>
            <w:r w:rsidRPr="0093151D">
              <w:rPr>
                <w:b/>
                <w:color w:val="FFFFFF" w:themeColor="background1"/>
              </w:rPr>
              <w:t>Annual Cost Basis</w:t>
            </w:r>
          </w:p>
        </w:tc>
        <w:tc>
          <w:tcPr>
            <w:tcW w:w="2104" w:type="dxa"/>
            <w:gridSpan w:val="2"/>
            <w:tcBorders>
              <w:left w:val="single" w:sz="4" w:space="0" w:color="FFFFFF" w:themeColor="background1"/>
              <w:right w:val="single" w:sz="4" w:space="0" w:color="FFFFFF" w:themeColor="background1"/>
            </w:tcBorders>
            <w:shd w:val="solid" w:color="auto" w:fill="000000" w:themeFill="text1"/>
            <w:vAlign w:val="center"/>
          </w:tcPr>
          <w:p w:rsidR="00A35867" w:rsidRPr="0093151D" w:rsidRDefault="00A35867" w:rsidP="0093151D">
            <w:pPr>
              <w:spacing w:after="0"/>
              <w:jc w:val="center"/>
              <w:rPr>
                <w:b/>
                <w:color w:val="FFFFFF" w:themeColor="background1"/>
              </w:rPr>
            </w:pPr>
            <w:r w:rsidRPr="0093151D">
              <w:rPr>
                <w:b/>
                <w:color w:val="FFFFFF" w:themeColor="background1"/>
              </w:rPr>
              <w:t>Total Annual Cost</w:t>
            </w:r>
          </w:p>
        </w:tc>
        <w:tc>
          <w:tcPr>
            <w:tcW w:w="1064"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rsidR="00A35867" w:rsidRPr="0093151D" w:rsidRDefault="00A35867" w:rsidP="0093151D">
            <w:pPr>
              <w:spacing w:after="0"/>
              <w:jc w:val="center"/>
              <w:rPr>
                <w:b/>
                <w:color w:val="FFFFFF" w:themeColor="background1"/>
              </w:rPr>
            </w:pPr>
            <w:r w:rsidRPr="0093151D">
              <w:rPr>
                <w:b/>
                <w:color w:val="FFFFFF" w:themeColor="background1"/>
              </w:rPr>
              <w:t>Federal Medicaid</w:t>
            </w:r>
          </w:p>
        </w:tc>
        <w:tc>
          <w:tcPr>
            <w:tcW w:w="2104" w:type="dxa"/>
            <w:gridSpan w:val="2"/>
            <w:tcBorders>
              <w:left w:val="single" w:sz="4" w:space="0" w:color="FFFFFF" w:themeColor="background1"/>
            </w:tcBorders>
            <w:shd w:val="solid" w:color="auto" w:fill="000000" w:themeFill="text1"/>
            <w:vAlign w:val="center"/>
          </w:tcPr>
          <w:p w:rsidR="00A35867" w:rsidRPr="0093151D" w:rsidRDefault="00A35867" w:rsidP="0093151D">
            <w:pPr>
              <w:spacing w:after="0"/>
              <w:jc w:val="center"/>
              <w:rPr>
                <w:b/>
                <w:color w:val="FFFFFF" w:themeColor="background1"/>
              </w:rPr>
            </w:pPr>
            <w:r w:rsidRPr="0093151D">
              <w:rPr>
                <w:b/>
                <w:color w:val="FFFFFF" w:themeColor="background1"/>
              </w:rPr>
              <w:t>Net State Cost</w:t>
            </w:r>
          </w:p>
        </w:tc>
      </w:tr>
      <w:tr w:rsidR="00A35867" w:rsidTr="009E6B7B">
        <w:trPr>
          <w:trHeight w:val="410"/>
        </w:trPr>
        <w:tc>
          <w:tcPr>
            <w:tcW w:w="1280" w:type="dxa"/>
            <w:vMerge w:val="restart"/>
            <w:tcBorders>
              <w:top w:val="single" w:sz="4" w:space="0" w:color="FFFFFF" w:themeColor="background1"/>
              <w:left w:val="single" w:sz="4" w:space="0" w:color="FFFFFF" w:themeColor="background1"/>
              <w:bottom w:val="single" w:sz="4" w:space="0" w:color="FFFFFF" w:themeColor="background1"/>
              <w:right w:val="nil"/>
            </w:tcBorders>
            <w:shd w:val="solid" w:color="auto" w:fill="auto"/>
            <w:vAlign w:val="center"/>
          </w:tcPr>
          <w:p w:rsidR="00A35867" w:rsidRPr="009E6B7B" w:rsidRDefault="00A35867" w:rsidP="00AF71B5">
            <w:pPr>
              <w:spacing w:after="0"/>
              <w:jc w:val="center"/>
              <w:rPr>
                <w:b/>
                <w:color w:val="FFFFFF" w:themeColor="background1"/>
              </w:rPr>
            </w:pPr>
            <w:r w:rsidRPr="009E6B7B">
              <w:rPr>
                <w:b/>
                <w:color w:val="FFFFFF" w:themeColor="background1"/>
              </w:rPr>
              <w:t>DPC</w:t>
            </w:r>
          </w:p>
        </w:tc>
        <w:tc>
          <w:tcPr>
            <w:tcW w:w="2123" w:type="dxa"/>
            <w:tcBorders>
              <w:left w:val="nil"/>
            </w:tcBorders>
            <w:vAlign w:val="center"/>
          </w:tcPr>
          <w:p w:rsidR="00A35867" w:rsidRPr="00FF4928" w:rsidRDefault="00A35867" w:rsidP="00A35867">
            <w:pPr>
              <w:spacing w:after="0"/>
              <w:jc w:val="right"/>
              <w:rPr>
                <w:sz w:val="20"/>
                <w:szCs w:val="20"/>
              </w:rPr>
            </w:pPr>
            <w:r>
              <w:rPr>
                <w:sz w:val="20"/>
                <w:szCs w:val="20"/>
              </w:rPr>
              <w:t>Hospital Days:</w:t>
            </w:r>
          </w:p>
        </w:tc>
        <w:tc>
          <w:tcPr>
            <w:tcW w:w="1052" w:type="dxa"/>
            <w:vAlign w:val="center"/>
          </w:tcPr>
          <w:p w:rsidR="00A35867" w:rsidRPr="00000D74" w:rsidRDefault="00A35867" w:rsidP="00000D74">
            <w:pPr>
              <w:spacing w:after="0"/>
              <w:jc w:val="center"/>
              <w:rPr>
                <w:sz w:val="20"/>
                <w:szCs w:val="20"/>
              </w:rPr>
            </w:pPr>
            <w:r w:rsidRPr="00000D74">
              <w:rPr>
                <w:sz w:val="20"/>
                <w:szCs w:val="20"/>
              </w:rPr>
              <w:t xml:space="preserve">Median </w:t>
            </w:r>
          </w:p>
          <w:p w:rsidR="00A35867" w:rsidRPr="00000D74" w:rsidRDefault="00A35867" w:rsidP="00000D74">
            <w:pPr>
              <w:spacing w:after="0"/>
              <w:jc w:val="center"/>
              <w:rPr>
                <w:sz w:val="20"/>
                <w:szCs w:val="20"/>
              </w:rPr>
            </w:pPr>
            <w:r w:rsidRPr="00000D74">
              <w:rPr>
                <w:sz w:val="20"/>
                <w:szCs w:val="20"/>
              </w:rPr>
              <w:t>140</w:t>
            </w:r>
            <w:r>
              <w:rPr>
                <w:sz w:val="20"/>
                <w:szCs w:val="20"/>
              </w:rPr>
              <w:t xml:space="preserve"> </w:t>
            </w:r>
          </w:p>
        </w:tc>
        <w:tc>
          <w:tcPr>
            <w:tcW w:w="1052" w:type="dxa"/>
            <w:tcBorders>
              <w:right w:val="single" w:sz="4" w:space="0" w:color="auto"/>
            </w:tcBorders>
          </w:tcPr>
          <w:p w:rsidR="00AF71B5" w:rsidRDefault="00AF71B5" w:rsidP="00000D74">
            <w:pPr>
              <w:spacing w:after="0"/>
              <w:jc w:val="center"/>
              <w:rPr>
                <w:sz w:val="20"/>
                <w:szCs w:val="20"/>
              </w:rPr>
            </w:pPr>
            <w:r>
              <w:rPr>
                <w:sz w:val="20"/>
                <w:szCs w:val="20"/>
              </w:rPr>
              <w:t>Full Year</w:t>
            </w:r>
          </w:p>
          <w:p w:rsidR="00A35867" w:rsidRPr="00000D74" w:rsidRDefault="00AF71B5" w:rsidP="00000D74">
            <w:pPr>
              <w:spacing w:after="0"/>
              <w:jc w:val="center"/>
              <w:rPr>
                <w:sz w:val="20"/>
                <w:szCs w:val="20"/>
              </w:rPr>
            </w:pPr>
            <w:r>
              <w:rPr>
                <w:sz w:val="20"/>
                <w:szCs w:val="20"/>
              </w:rPr>
              <w:t>365</w:t>
            </w:r>
            <w:r w:rsidR="00A35867">
              <w:rPr>
                <w:sz w:val="20"/>
                <w:szCs w:val="20"/>
              </w:rPr>
              <w:t xml:space="preserve"> </w:t>
            </w:r>
          </w:p>
        </w:tc>
        <w:tc>
          <w:tcPr>
            <w:tcW w:w="1064" w:type="dxa"/>
            <w:tcBorders>
              <w:left w:val="single" w:sz="4" w:space="0" w:color="auto"/>
              <w:right w:val="single" w:sz="4" w:space="0" w:color="auto"/>
            </w:tcBorders>
            <w:shd w:val="thinDiagStripe" w:color="auto" w:fill="auto"/>
            <w:vAlign w:val="center"/>
          </w:tcPr>
          <w:p w:rsidR="00A35867" w:rsidRPr="00000D74" w:rsidRDefault="00A35867" w:rsidP="00000D74">
            <w:pPr>
              <w:spacing w:after="0"/>
              <w:jc w:val="center"/>
              <w:rPr>
                <w:sz w:val="20"/>
                <w:szCs w:val="20"/>
              </w:rPr>
            </w:pPr>
          </w:p>
        </w:tc>
        <w:tc>
          <w:tcPr>
            <w:tcW w:w="1052" w:type="dxa"/>
            <w:tcBorders>
              <w:left w:val="single" w:sz="4" w:space="0" w:color="auto"/>
            </w:tcBorders>
          </w:tcPr>
          <w:p w:rsidR="00A35867" w:rsidRPr="00000D74" w:rsidRDefault="00A35867" w:rsidP="00000D74">
            <w:pPr>
              <w:spacing w:after="0"/>
              <w:jc w:val="center"/>
              <w:rPr>
                <w:sz w:val="20"/>
                <w:szCs w:val="20"/>
              </w:rPr>
            </w:pPr>
            <w:r w:rsidRPr="00000D74">
              <w:rPr>
                <w:sz w:val="20"/>
                <w:szCs w:val="20"/>
              </w:rPr>
              <w:t>Median 140</w:t>
            </w:r>
            <w:r>
              <w:rPr>
                <w:sz w:val="20"/>
                <w:szCs w:val="20"/>
              </w:rPr>
              <w:t xml:space="preserve"> </w:t>
            </w:r>
          </w:p>
        </w:tc>
        <w:tc>
          <w:tcPr>
            <w:tcW w:w="1052" w:type="dxa"/>
            <w:vAlign w:val="center"/>
          </w:tcPr>
          <w:p w:rsidR="00AF71B5" w:rsidRDefault="00AF71B5" w:rsidP="00000D74">
            <w:pPr>
              <w:spacing w:after="0"/>
              <w:jc w:val="center"/>
              <w:rPr>
                <w:sz w:val="20"/>
                <w:szCs w:val="20"/>
              </w:rPr>
            </w:pPr>
            <w:r>
              <w:rPr>
                <w:sz w:val="20"/>
                <w:szCs w:val="20"/>
              </w:rPr>
              <w:t>Full Year</w:t>
            </w:r>
          </w:p>
          <w:p w:rsidR="00A35867" w:rsidRPr="00000D74" w:rsidRDefault="00AF71B5" w:rsidP="00000D74">
            <w:pPr>
              <w:spacing w:after="0"/>
              <w:jc w:val="center"/>
              <w:rPr>
                <w:sz w:val="20"/>
                <w:szCs w:val="20"/>
              </w:rPr>
            </w:pPr>
            <w:r>
              <w:rPr>
                <w:sz w:val="20"/>
                <w:szCs w:val="20"/>
              </w:rPr>
              <w:t>365</w:t>
            </w:r>
            <w:r w:rsidR="00A35867">
              <w:rPr>
                <w:sz w:val="20"/>
                <w:szCs w:val="20"/>
              </w:rPr>
              <w:t xml:space="preserve"> </w:t>
            </w:r>
          </w:p>
        </w:tc>
      </w:tr>
      <w:tr w:rsidR="00A35867" w:rsidTr="009E6B7B">
        <w:trPr>
          <w:trHeight w:val="410"/>
        </w:trPr>
        <w:tc>
          <w:tcPr>
            <w:tcW w:w="1280" w:type="dxa"/>
            <w:vMerge/>
            <w:tcBorders>
              <w:top w:val="single" w:sz="4" w:space="0" w:color="FFFFFF" w:themeColor="background1"/>
              <w:left w:val="single" w:sz="4" w:space="0" w:color="FFFFFF" w:themeColor="background1"/>
              <w:bottom w:val="single" w:sz="4" w:space="0" w:color="FFFFFF" w:themeColor="background1"/>
              <w:right w:val="nil"/>
            </w:tcBorders>
            <w:shd w:val="solid" w:color="auto" w:fill="auto"/>
            <w:vAlign w:val="center"/>
          </w:tcPr>
          <w:p w:rsidR="00A35867" w:rsidRPr="009E6B7B" w:rsidRDefault="00A35867" w:rsidP="00FF4928">
            <w:pPr>
              <w:spacing w:after="0"/>
              <w:rPr>
                <w:b/>
                <w:color w:val="FFFFFF" w:themeColor="background1"/>
              </w:rPr>
            </w:pPr>
          </w:p>
        </w:tc>
        <w:tc>
          <w:tcPr>
            <w:tcW w:w="2123" w:type="dxa"/>
            <w:tcBorders>
              <w:left w:val="nil"/>
            </w:tcBorders>
            <w:vAlign w:val="center"/>
          </w:tcPr>
          <w:p w:rsidR="00A35867" w:rsidRPr="00FF4928" w:rsidRDefault="00A35867" w:rsidP="00A35867">
            <w:pPr>
              <w:spacing w:after="0"/>
              <w:rPr>
                <w:sz w:val="20"/>
                <w:szCs w:val="20"/>
              </w:rPr>
            </w:pPr>
            <w:r>
              <w:rPr>
                <w:sz w:val="20"/>
                <w:szCs w:val="20"/>
              </w:rPr>
              <w:t>Inpatient care @$800</w:t>
            </w:r>
          </w:p>
        </w:tc>
        <w:tc>
          <w:tcPr>
            <w:tcW w:w="1052" w:type="dxa"/>
            <w:vAlign w:val="center"/>
          </w:tcPr>
          <w:p w:rsidR="00A35867" w:rsidRDefault="00A35867" w:rsidP="00A35867">
            <w:pPr>
              <w:spacing w:after="0"/>
              <w:jc w:val="right"/>
            </w:pPr>
            <w:r>
              <w:t>$112,000</w:t>
            </w:r>
          </w:p>
        </w:tc>
        <w:tc>
          <w:tcPr>
            <w:tcW w:w="1052" w:type="dxa"/>
            <w:vAlign w:val="center"/>
          </w:tcPr>
          <w:p w:rsidR="00A35867" w:rsidRDefault="00A35867" w:rsidP="00AF71B5">
            <w:pPr>
              <w:spacing w:after="0"/>
              <w:jc w:val="right"/>
            </w:pPr>
            <w:r>
              <w:t>$</w:t>
            </w:r>
            <w:r w:rsidR="00AF71B5">
              <w:t>292,000</w:t>
            </w:r>
          </w:p>
        </w:tc>
        <w:tc>
          <w:tcPr>
            <w:tcW w:w="1064" w:type="dxa"/>
            <w:tcBorders>
              <w:bottom w:val="single" w:sz="4" w:space="0" w:color="auto"/>
            </w:tcBorders>
            <w:vAlign w:val="center"/>
          </w:tcPr>
          <w:p w:rsidR="00A35867" w:rsidRDefault="00A35867" w:rsidP="00A35867">
            <w:pPr>
              <w:spacing w:after="0"/>
              <w:jc w:val="right"/>
            </w:pPr>
            <w:r>
              <w:t>$0</w:t>
            </w:r>
          </w:p>
        </w:tc>
        <w:tc>
          <w:tcPr>
            <w:tcW w:w="1052" w:type="dxa"/>
            <w:vAlign w:val="center"/>
          </w:tcPr>
          <w:p w:rsidR="00A35867" w:rsidRDefault="00A35867" w:rsidP="00A35867">
            <w:pPr>
              <w:spacing w:after="0"/>
              <w:jc w:val="right"/>
            </w:pPr>
            <w:r>
              <w:t>$112,000</w:t>
            </w:r>
          </w:p>
        </w:tc>
        <w:tc>
          <w:tcPr>
            <w:tcW w:w="1052" w:type="dxa"/>
            <w:vAlign w:val="center"/>
          </w:tcPr>
          <w:p w:rsidR="00A35867" w:rsidRDefault="00A35867" w:rsidP="00AF71B5">
            <w:pPr>
              <w:spacing w:after="0"/>
              <w:jc w:val="right"/>
            </w:pPr>
            <w:r>
              <w:t>$</w:t>
            </w:r>
            <w:r w:rsidR="00AF71B5">
              <w:t>292,000</w:t>
            </w:r>
          </w:p>
        </w:tc>
      </w:tr>
      <w:tr w:rsidR="00A35867" w:rsidTr="009E6B7B">
        <w:trPr>
          <w:trHeight w:val="416"/>
        </w:trPr>
        <w:tc>
          <w:tcPr>
            <w:tcW w:w="1280" w:type="dxa"/>
            <w:tcBorders>
              <w:top w:val="single" w:sz="4" w:space="0" w:color="FFFFFF" w:themeColor="background1"/>
              <w:left w:val="single" w:sz="4" w:space="0" w:color="FFFFFF" w:themeColor="background1"/>
              <w:bottom w:val="single" w:sz="4" w:space="0" w:color="auto"/>
              <w:right w:val="nil"/>
            </w:tcBorders>
            <w:shd w:val="solid" w:color="auto" w:fill="auto"/>
            <w:vAlign w:val="center"/>
          </w:tcPr>
          <w:p w:rsidR="00A35867" w:rsidRPr="009E6B7B" w:rsidRDefault="00A35867" w:rsidP="00FF4928">
            <w:pPr>
              <w:spacing w:after="0"/>
              <w:rPr>
                <w:b/>
                <w:color w:val="FFFFFF" w:themeColor="background1"/>
              </w:rPr>
            </w:pPr>
            <w:r w:rsidRPr="009E6B7B">
              <w:rPr>
                <w:b/>
                <w:color w:val="FFFFFF" w:themeColor="background1"/>
              </w:rPr>
              <w:t>Community</w:t>
            </w:r>
          </w:p>
        </w:tc>
        <w:tc>
          <w:tcPr>
            <w:tcW w:w="2123" w:type="dxa"/>
            <w:tcBorders>
              <w:left w:val="nil"/>
              <w:bottom w:val="single" w:sz="4" w:space="0" w:color="auto"/>
            </w:tcBorders>
          </w:tcPr>
          <w:p w:rsidR="00A35867" w:rsidRDefault="00A35867" w:rsidP="00FF4928">
            <w:pPr>
              <w:spacing w:after="0"/>
              <w:rPr>
                <w:sz w:val="20"/>
                <w:szCs w:val="20"/>
              </w:rPr>
            </w:pPr>
            <w:r>
              <w:rPr>
                <w:sz w:val="20"/>
                <w:szCs w:val="20"/>
              </w:rPr>
              <w:t>ACT @</w:t>
            </w:r>
            <w:r w:rsidRPr="00FF4928">
              <w:rPr>
                <w:sz w:val="20"/>
                <w:szCs w:val="20"/>
              </w:rPr>
              <w:t>$15,000</w:t>
            </w:r>
            <w:r>
              <w:rPr>
                <w:sz w:val="20"/>
                <w:szCs w:val="20"/>
              </w:rPr>
              <w:t xml:space="preserve">  +</w:t>
            </w:r>
            <w:r w:rsidRPr="00FF4928">
              <w:rPr>
                <w:sz w:val="20"/>
                <w:szCs w:val="20"/>
              </w:rPr>
              <w:t xml:space="preserve"> </w:t>
            </w:r>
          </w:p>
          <w:p w:rsidR="00A35867" w:rsidRPr="00FF4928" w:rsidRDefault="00A35867" w:rsidP="00A35867">
            <w:pPr>
              <w:spacing w:after="0"/>
              <w:rPr>
                <w:sz w:val="20"/>
                <w:szCs w:val="20"/>
              </w:rPr>
            </w:pPr>
            <w:r w:rsidRPr="00FF4928">
              <w:rPr>
                <w:sz w:val="20"/>
                <w:szCs w:val="20"/>
              </w:rPr>
              <w:t>SRAP Housing @$8,500</w:t>
            </w:r>
          </w:p>
        </w:tc>
        <w:tc>
          <w:tcPr>
            <w:tcW w:w="2104" w:type="dxa"/>
            <w:gridSpan w:val="2"/>
            <w:tcBorders>
              <w:bottom w:val="single" w:sz="4" w:space="0" w:color="auto"/>
              <w:right w:val="single" w:sz="4" w:space="0" w:color="auto"/>
            </w:tcBorders>
            <w:vAlign w:val="center"/>
          </w:tcPr>
          <w:p w:rsidR="00A35867" w:rsidRDefault="00A35867" w:rsidP="00A35867">
            <w:pPr>
              <w:spacing w:after="0"/>
              <w:jc w:val="center"/>
            </w:pPr>
            <w:r>
              <w:t>$23,500</w:t>
            </w:r>
          </w:p>
        </w:tc>
        <w:tc>
          <w:tcPr>
            <w:tcW w:w="1064" w:type="dxa"/>
            <w:tcBorders>
              <w:top w:val="single" w:sz="4" w:space="0" w:color="auto"/>
              <w:left w:val="single" w:sz="4" w:space="0" w:color="auto"/>
              <w:bottom w:val="single" w:sz="4" w:space="0" w:color="auto"/>
              <w:right w:val="single" w:sz="4" w:space="0" w:color="auto"/>
            </w:tcBorders>
            <w:vAlign w:val="center"/>
          </w:tcPr>
          <w:p w:rsidR="00A35867" w:rsidRDefault="00A35867" w:rsidP="00FF4928">
            <w:pPr>
              <w:spacing w:after="0"/>
              <w:jc w:val="right"/>
            </w:pPr>
            <w:r>
              <w:t>$7,500</w:t>
            </w:r>
          </w:p>
        </w:tc>
        <w:tc>
          <w:tcPr>
            <w:tcW w:w="2104" w:type="dxa"/>
            <w:gridSpan w:val="2"/>
            <w:tcBorders>
              <w:left w:val="single" w:sz="4" w:space="0" w:color="auto"/>
              <w:bottom w:val="single" w:sz="4" w:space="0" w:color="auto"/>
            </w:tcBorders>
            <w:vAlign w:val="center"/>
          </w:tcPr>
          <w:p w:rsidR="00A35867" w:rsidRDefault="00A35867" w:rsidP="00A35867">
            <w:pPr>
              <w:spacing w:after="0"/>
              <w:jc w:val="center"/>
            </w:pPr>
            <w:r>
              <w:t>$16,000</w:t>
            </w:r>
          </w:p>
        </w:tc>
      </w:tr>
      <w:tr w:rsidR="00A35867" w:rsidTr="009E6B7B">
        <w:trPr>
          <w:trHeight w:val="263"/>
        </w:trPr>
        <w:tc>
          <w:tcPr>
            <w:tcW w:w="3403" w:type="dxa"/>
            <w:gridSpan w:val="2"/>
            <w:shd w:val="pct12" w:color="auto" w:fill="auto"/>
            <w:noWrap/>
            <w:tcMar>
              <w:left w:w="58" w:type="dxa"/>
              <w:right w:w="58" w:type="dxa"/>
            </w:tcMar>
            <w:vAlign w:val="center"/>
          </w:tcPr>
          <w:p w:rsidR="00A35867" w:rsidRPr="009E6B7B" w:rsidRDefault="00A35867" w:rsidP="009E6B7B">
            <w:pPr>
              <w:spacing w:after="0"/>
              <w:jc w:val="right"/>
              <w:rPr>
                <w:b/>
              </w:rPr>
            </w:pPr>
            <w:r w:rsidRPr="009E6B7B">
              <w:rPr>
                <w:b/>
              </w:rPr>
              <w:t>Range of Annual Savings</w:t>
            </w:r>
            <w:r w:rsidR="009E6B7B" w:rsidRPr="009E6B7B">
              <w:rPr>
                <w:b/>
              </w:rPr>
              <w:t>/</w:t>
            </w:r>
            <w:r w:rsidRPr="009E6B7B">
              <w:rPr>
                <w:b/>
              </w:rPr>
              <w:t>Person:</w:t>
            </w:r>
          </w:p>
        </w:tc>
        <w:tc>
          <w:tcPr>
            <w:tcW w:w="2104" w:type="dxa"/>
            <w:gridSpan w:val="2"/>
            <w:shd w:val="pct12" w:color="auto" w:fill="auto"/>
            <w:vAlign w:val="center"/>
          </w:tcPr>
          <w:p w:rsidR="00A35867" w:rsidRPr="00CF2A63" w:rsidRDefault="00A35867" w:rsidP="009E6B7B">
            <w:pPr>
              <w:spacing w:after="0"/>
              <w:jc w:val="right"/>
              <w:rPr>
                <w:b/>
              </w:rPr>
            </w:pPr>
            <w:r w:rsidRPr="00CF2A63">
              <w:rPr>
                <w:b/>
              </w:rPr>
              <w:t>$88,500</w:t>
            </w:r>
            <w:r>
              <w:rPr>
                <w:b/>
              </w:rPr>
              <w:t xml:space="preserve"> to $</w:t>
            </w:r>
            <w:r w:rsidR="009E6B7B">
              <w:rPr>
                <w:b/>
              </w:rPr>
              <w:t>268,500</w:t>
            </w:r>
            <w:r>
              <w:rPr>
                <w:b/>
              </w:rPr>
              <w:t xml:space="preserve"> </w:t>
            </w:r>
          </w:p>
        </w:tc>
        <w:tc>
          <w:tcPr>
            <w:tcW w:w="1064" w:type="dxa"/>
            <w:tcBorders>
              <w:top w:val="nil"/>
              <w:bottom w:val="nil"/>
            </w:tcBorders>
            <w:vAlign w:val="center"/>
          </w:tcPr>
          <w:p w:rsidR="00A35867" w:rsidRPr="00CF2A63" w:rsidRDefault="00A35867" w:rsidP="00FF4928">
            <w:pPr>
              <w:spacing w:after="0"/>
              <w:jc w:val="right"/>
              <w:rPr>
                <w:b/>
              </w:rPr>
            </w:pPr>
          </w:p>
        </w:tc>
        <w:tc>
          <w:tcPr>
            <w:tcW w:w="2104" w:type="dxa"/>
            <w:gridSpan w:val="2"/>
            <w:shd w:val="pct12" w:color="auto" w:fill="auto"/>
          </w:tcPr>
          <w:p w:rsidR="00A35867" w:rsidRPr="00CF2A63" w:rsidRDefault="00A35867" w:rsidP="009E6B7B">
            <w:pPr>
              <w:spacing w:after="0"/>
              <w:jc w:val="right"/>
              <w:rPr>
                <w:b/>
              </w:rPr>
            </w:pPr>
            <w:r w:rsidRPr="00CF2A63">
              <w:rPr>
                <w:b/>
              </w:rPr>
              <w:t>$96,000</w:t>
            </w:r>
            <w:r>
              <w:rPr>
                <w:b/>
              </w:rPr>
              <w:t xml:space="preserve"> to $</w:t>
            </w:r>
            <w:r w:rsidR="009E6B7B">
              <w:rPr>
                <w:b/>
              </w:rPr>
              <w:t>276,000</w:t>
            </w:r>
            <w:r>
              <w:rPr>
                <w:b/>
              </w:rPr>
              <w:t xml:space="preserve"> </w:t>
            </w:r>
          </w:p>
        </w:tc>
      </w:tr>
    </w:tbl>
    <w:p w:rsidR="00CA1BB1" w:rsidRDefault="00CA1BB1" w:rsidP="00C37A04">
      <w:pPr>
        <w:pStyle w:val="ListParagraph"/>
        <w:keepLines/>
        <w:widowControl w:val="0"/>
        <w:spacing w:after="120"/>
        <w:contextualSpacing w:val="0"/>
        <w:rPr>
          <w:rFonts w:ascii="Times New Roman" w:hAnsi="Times New Roman"/>
          <w:sz w:val="24"/>
          <w:szCs w:val="24"/>
        </w:rPr>
      </w:pPr>
    </w:p>
    <w:p w:rsidR="00CA1BB1" w:rsidRDefault="00CA1BB1" w:rsidP="002B2A9A">
      <w:pPr>
        <w:pStyle w:val="ListParagraph"/>
        <w:spacing w:after="120"/>
        <w:contextualSpacing w:val="0"/>
        <w:rPr>
          <w:rFonts w:ascii="Times New Roman" w:hAnsi="Times New Roman"/>
          <w:sz w:val="24"/>
          <w:szCs w:val="24"/>
        </w:rPr>
      </w:pPr>
    </w:p>
    <w:p w:rsidR="0015786B" w:rsidRPr="00C37A04" w:rsidRDefault="004D14FE" w:rsidP="002B2A9A">
      <w:pPr>
        <w:pStyle w:val="ListParagraph"/>
        <w:rPr>
          <w:rFonts w:ascii="Times New Roman" w:hAnsi="Times New Roman"/>
          <w:sz w:val="24"/>
          <w:szCs w:val="24"/>
        </w:rPr>
      </w:pPr>
      <w:r w:rsidRPr="00C37A04">
        <w:rPr>
          <w:rFonts w:ascii="Times New Roman" w:hAnsi="Times New Roman"/>
          <w:sz w:val="24"/>
          <w:szCs w:val="24"/>
          <w:u w:val="single"/>
        </w:rPr>
        <w:t>Readmissions and Legal Status</w:t>
      </w:r>
      <w:r w:rsidR="00C37A04">
        <w:rPr>
          <w:rFonts w:ascii="Times New Roman" w:hAnsi="Times New Roman"/>
          <w:sz w:val="24"/>
          <w:szCs w:val="24"/>
        </w:rPr>
        <w:t>-</w:t>
      </w:r>
    </w:p>
    <w:p w:rsidR="005820C0" w:rsidRDefault="003D3473" w:rsidP="002B2A9A">
      <w:pPr>
        <w:pStyle w:val="ListParagraph"/>
        <w:contextualSpacing w:val="0"/>
        <w:rPr>
          <w:rFonts w:ascii="Times New Roman" w:hAnsi="Times New Roman"/>
          <w:sz w:val="24"/>
          <w:szCs w:val="24"/>
        </w:rPr>
      </w:pPr>
      <w:r w:rsidRPr="006B6A57">
        <w:rPr>
          <w:rFonts w:ascii="Times New Roman" w:hAnsi="Times New Roman"/>
          <w:sz w:val="24"/>
          <w:szCs w:val="24"/>
        </w:rPr>
        <w:t>Finally, this evaluation yielded some very interesting information regarding outpatient commitment and its impact.  Generally, proponents of outpatient commitment assert that for people with serious mental illness and significant impairments—both of which characterize this group—court intervention improves outcomes and results in fewer hospitalizations</w:t>
      </w:r>
      <w:r w:rsidR="00322CCD" w:rsidRPr="006B6A57">
        <w:rPr>
          <w:rFonts w:ascii="Times New Roman" w:hAnsi="Times New Roman"/>
          <w:sz w:val="24"/>
          <w:szCs w:val="24"/>
        </w:rPr>
        <w:t xml:space="preserve">.  In contrast to outpatient commitment programs in </w:t>
      </w:r>
      <w:r w:rsidR="00C37A04">
        <w:rPr>
          <w:rFonts w:ascii="Times New Roman" w:hAnsi="Times New Roman"/>
          <w:sz w:val="24"/>
          <w:szCs w:val="24"/>
        </w:rPr>
        <w:t xml:space="preserve">some </w:t>
      </w:r>
      <w:r w:rsidR="00322CCD" w:rsidRPr="006B6A57">
        <w:rPr>
          <w:rFonts w:ascii="Times New Roman" w:hAnsi="Times New Roman"/>
          <w:sz w:val="24"/>
          <w:szCs w:val="24"/>
        </w:rPr>
        <w:t>other states, in Delaware outpatient commitment does not entitle individuals to an enhanced package of services, nor does it improve one’s access to services.</w:t>
      </w:r>
      <w:r w:rsidR="00322CCD" w:rsidRPr="006B6A57">
        <w:rPr>
          <w:rStyle w:val="FootnoteReference"/>
          <w:rFonts w:ascii="Times New Roman" w:hAnsi="Times New Roman"/>
          <w:sz w:val="24"/>
          <w:szCs w:val="24"/>
        </w:rPr>
        <w:footnoteReference w:id="6"/>
      </w:r>
      <w:r w:rsidR="00322CCD" w:rsidRPr="006B6A57">
        <w:rPr>
          <w:rFonts w:ascii="Times New Roman" w:hAnsi="Times New Roman"/>
          <w:sz w:val="24"/>
          <w:szCs w:val="24"/>
        </w:rPr>
        <w:t xml:space="preserve">  </w:t>
      </w:r>
    </w:p>
    <w:p w:rsidR="0015786B" w:rsidRPr="006B6A57" w:rsidRDefault="00322CCD" w:rsidP="002B2A9A">
      <w:pPr>
        <w:pStyle w:val="ListParagraph"/>
        <w:contextualSpacing w:val="0"/>
        <w:rPr>
          <w:rFonts w:ascii="Times New Roman" w:hAnsi="Times New Roman"/>
          <w:sz w:val="24"/>
          <w:szCs w:val="24"/>
        </w:rPr>
      </w:pPr>
      <w:r w:rsidRPr="006B6A57">
        <w:rPr>
          <w:rFonts w:ascii="Times New Roman" w:hAnsi="Times New Roman"/>
          <w:sz w:val="24"/>
          <w:szCs w:val="24"/>
        </w:rPr>
        <w:t>All of the individuals in this group had access to services in accordance with their discharge plans</w:t>
      </w:r>
      <w:r w:rsidR="007438A1" w:rsidRPr="006B6A57">
        <w:rPr>
          <w:rFonts w:ascii="Times New Roman" w:hAnsi="Times New Roman"/>
          <w:sz w:val="24"/>
          <w:szCs w:val="24"/>
        </w:rPr>
        <w:t xml:space="preserve"> and needs</w:t>
      </w:r>
      <w:r w:rsidR="00C37A04">
        <w:rPr>
          <w:rFonts w:ascii="Times New Roman" w:hAnsi="Times New Roman"/>
          <w:sz w:val="24"/>
          <w:szCs w:val="24"/>
        </w:rPr>
        <w:t>, and their post-discharge legal status presented neither an advantage nor a disadvantage in receiving these services.</w:t>
      </w:r>
      <w:r w:rsidRPr="006B6A57">
        <w:rPr>
          <w:rFonts w:ascii="Times New Roman" w:hAnsi="Times New Roman"/>
          <w:sz w:val="24"/>
          <w:szCs w:val="24"/>
        </w:rPr>
        <w:t xml:space="preserve"> For example, as referenced above, 24.8% </w:t>
      </w:r>
      <w:r w:rsidR="007438A1" w:rsidRPr="006B6A57">
        <w:rPr>
          <w:rFonts w:ascii="Times New Roman" w:hAnsi="Times New Roman"/>
          <w:sz w:val="24"/>
          <w:szCs w:val="24"/>
        </w:rPr>
        <w:t xml:space="preserve">of the group was </w:t>
      </w:r>
      <w:r w:rsidRPr="006B6A57">
        <w:rPr>
          <w:rFonts w:ascii="Times New Roman" w:hAnsi="Times New Roman"/>
          <w:sz w:val="24"/>
          <w:szCs w:val="24"/>
        </w:rPr>
        <w:t>discharged on outpatient commitment status</w:t>
      </w:r>
      <w:r w:rsidR="007438A1" w:rsidRPr="006B6A57">
        <w:rPr>
          <w:rFonts w:ascii="Times New Roman" w:hAnsi="Times New Roman"/>
          <w:sz w:val="24"/>
          <w:szCs w:val="24"/>
        </w:rPr>
        <w:t xml:space="preserve">, but 68.6% received high-end services such as ACT.  </w:t>
      </w:r>
      <w:r w:rsidR="00810439">
        <w:rPr>
          <w:rFonts w:ascii="Times New Roman" w:hAnsi="Times New Roman"/>
          <w:sz w:val="24"/>
          <w:szCs w:val="24"/>
        </w:rPr>
        <w:t>The</w:t>
      </w:r>
      <w:r w:rsidR="007438A1" w:rsidRPr="006B6A57">
        <w:rPr>
          <w:rFonts w:ascii="Times New Roman" w:hAnsi="Times New Roman"/>
          <w:sz w:val="24"/>
          <w:szCs w:val="24"/>
        </w:rPr>
        <w:t xml:space="preserve"> individuals who were outpatient committed received </w:t>
      </w:r>
      <w:r w:rsidR="00810439">
        <w:rPr>
          <w:rFonts w:ascii="Times New Roman" w:hAnsi="Times New Roman"/>
          <w:sz w:val="24"/>
          <w:szCs w:val="24"/>
        </w:rPr>
        <w:t>the same</w:t>
      </w:r>
      <w:r w:rsidR="007438A1" w:rsidRPr="006B6A57">
        <w:rPr>
          <w:rFonts w:ascii="Times New Roman" w:hAnsi="Times New Roman"/>
          <w:sz w:val="24"/>
          <w:szCs w:val="24"/>
        </w:rPr>
        <w:t xml:space="preserve"> level of service </w:t>
      </w:r>
      <w:r w:rsidR="00810439">
        <w:rPr>
          <w:rFonts w:ascii="Times New Roman" w:hAnsi="Times New Roman"/>
          <w:sz w:val="24"/>
          <w:szCs w:val="24"/>
        </w:rPr>
        <w:t>and</w:t>
      </w:r>
      <w:r w:rsidR="007438A1" w:rsidRPr="006B6A57">
        <w:rPr>
          <w:rFonts w:ascii="Times New Roman" w:hAnsi="Times New Roman"/>
          <w:sz w:val="24"/>
          <w:szCs w:val="24"/>
        </w:rPr>
        <w:t xml:space="preserve"> access to housing </w:t>
      </w:r>
      <w:r w:rsidR="00810439">
        <w:rPr>
          <w:rFonts w:ascii="Times New Roman" w:hAnsi="Times New Roman"/>
          <w:sz w:val="24"/>
          <w:szCs w:val="24"/>
        </w:rPr>
        <w:t>as</w:t>
      </w:r>
      <w:r w:rsidR="007438A1" w:rsidRPr="006B6A57">
        <w:rPr>
          <w:rFonts w:ascii="Times New Roman" w:hAnsi="Times New Roman"/>
          <w:sz w:val="24"/>
          <w:szCs w:val="24"/>
        </w:rPr>
        <w:t xml:space="preserve"> those who were not.  That being said, and considering that the functional status of these two groups was essentially the same, it was interesting to find that individuals who were outpatient committed were much </w:t>
      </w:r>
      <w:r w:rsidR="007438A1" w:rsidRPr="002B2A9A">
        <w:rPr>
          <w:rFonts w:ascii="Times New Roman" w:hAnsi="Times New Roman"/>
          <w:i/>
          <w:sz w:val="24"/>
          <w:szCs w:val="24"/>
        </w:rPr>
        <w:t>more</w:t>
      </w:r>
      <w:r w:rsidR="007438A1" w:rsidRPr="006B6A57">
        <w:rPr>
          <w:rFonts w:ascii="Times New Roman" w:hAnsi="Times New Roman"/>
          <w:sz w:val="24"/>
          <w:szCs w:val="24"/>
        </w:rPr>
        <w:t xml:space="preserve">—not </w:t>
      </w:r>
      <w:r w:rsidR="007438A1" w:rsidRPr="002B2A9A">
        <w:rPr>
          <w:rFonts w:ascii="Times New Roman" w:hAnsi="Times New Roman"/>
          <w:i/>
          <w:sz w:val="24"/>
          <w:szCs w:val="24"/>
        </w:rPr>
        <w:t>less</w:t>
      </w:r>
      <w:r w:rsidR="007438A1" w:rsidRPr="006B6A57">
        <w:rPr>
          <w:rFonts w:ascii="Times New Roman" w:hAnsi="Times New Roman"/>
          <w:sz w:val="24"/>
          <w:szCs w:val="24"/>
        </w:rPr>
        <w:t xml:space="preserve">—likely to be re-hospitalized than those who were receiving community services voluntarily.  </w:t>
      </w:r>
    </w:p>
    <w:p w:rsidR="007B39B5" w:rsidRDefault="00CF1BE1" w:rsidP="002B2A9A">
      <w:pPr>
        <w:pStyle w:val="ListParagraph"/>
        <w:contextualSpacing w:val="0"/>
        <w:rPr>
          <w:rFonts w:ascii="Times New Roman" w:hAnsi="Times New Roman"/>
          <w:sz w:val="24"/>
          <w:szCs w:val="24"/>
          <w:u w:val="single"/>
        </w:rPr>
      </w:pPr>
      <w:r>
        <w:rPr>
          <w:rFonts w:ascii="Times New Roman" w:hAnsi="Times New Roman"/>
          <w:noProof/>
          <w:sz w:val="24"/>
          <w:szCs w:val="24"/>
        </w:rPr>
        <w:drawing>
          <wp:anchor distT="0" distB="0" distL="114300" distR="114300" simplePos="0" relativeHeight="251674624" behindDoc="0" locked="0" layoutInCell="1" allowOverlap="1">
            <wp:simplePos x="0" y="0"/>
            <wp:positionH relativeFrom="column">
              <wp:posOffset>804545</wp:posOffset>
            </wp:positionH>
            <wp:positionV relativeFrom="paragraph">
              <wp:posOffset>1252220</wp:posOffset>
            </wp:positionV>
            <wp:extent cx="4132580" cy="3575050"/>
            <wp:effectExtent l="0" t="0" r="127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2580" cy="3575050"/>
                    </a:xfrm>
                    <a:prstGeom prst="rect">
                      <a:avLst/>
                    </a:prstGeom>
                    <a:noFill/>
                  </pic:spPr>
                </pic:pic>
              </a:graphicData>
            </a:graphic>
          </wp:anchor>
        </w:drawing>
      </w:r>
      <w:r w:rsidR="007438A1" w:rsidRPr="006B6A57">
        <w:rPr>
          <w:rFonts w:ascii="Times New Roman" w:hAnsi="Times New Roman"/>
          <w:sz w:val="24"/>
          <w:szCs w:val="24"/>
        </w:rPr>
        <w:t xml:space="preserve">The chart </w:t>
      </w:r>
      <w:r w:rsidR="00557DFC">
        <w:rPr>
          <w:rFonts w:ascii="Times New Roman" w:hAnsi="Times New Roman"/>
          <w:sz w:val="24"/>
          <w:szCs w:val="24"/>
        </w:rPr>
        <w:t>below</w:t>
      </w:r>
      <w:r w:rsidR="00F9490C">
        <w:rPr>
          <w:rFonts w:ascii="Times New Roman" w:hAnsi="Times New Roman"/>
          <w:sz w:val="24"/>
          <w:szCs w:val="24"/>
        </w:rPr>
        <w:t xml:space="preserve"> </w:t>
      </w:r>
      <w:r w:rsidR="007438A1" w:rsidRPr="006B6A57">
        <w:rPr>
          <w:rFonts w:ascii="Times New Roman" w:hAnsi="Times New Roman"/>
          <w:sz w:val="24"/>
          <w:szCs w:val="24"/>
        </w:rPr>
        <w:t xml:space="preserve">summarizes the striking differences between these groups.   </w:t>
      </w:r>
      <w:r w:rsidR="00D36E26" w:rsidRPr="006B6A57">
        <w:rPr>
          <w:rFonts w:ascii="Times New Roman" w:hAnsi="Times New Roman"/>
          <w:sz w:val="24"/>
          <w:szCs w:val="24"/>
        </w:rPr>
        <w:t xml:space="preserve">Of the 79 individuals who were discharged without an outpatient commitment order, only 6 (7.6%) were readmitted.  </w:t>
      </w:r>
      <w:r w:rsidR="003E2560">
        <w:rPr>
          <w:rFonts w:ascii="Times New Roman" w:hAnsi="Times New Roman"/>
          <w:sz w:val="24"/>
          <w:szCs w:val="24"/>
        </w:rPr>
        <w:t>I</w:t>
      </w:r>
      <w:r w:rsidR="00D36E26" w:rsidRPr="006B6A57">
        <w:rPr>
          <w:rFonts w:ascii="Times New Roman" w:hAnsi="Times New Roman"/>
          <w:sz w:val="24"/>
          <w:szCs w:val="24"/>
        </w:rPr>
        <w:t xml:space="preserve">ndividuals who had outpatient commitment orders were about four times more likely to be readmitted than were those who were receiving the same services voluntarily.  </w:t>
      </w:r>
    </w:p>
    <w:p w:rsidR="00582FF9" w:rsidRDefault="00582FF9" w:rsidP="002B2A9A">
      <w:pPr>
        <w:spacing w:after="0" w:line="240" w:lineRule="auto"/>
        <w:rPr>
          <w:rFonts w:ascii="Times New Roman" w:hAnsi="Times New Roman"/>
          <w:sz w:val="24"/>
          <w:szCs w:val="24"/>
          <w:u w:val="single"/>
        </w:rPr>
      </w:pPr>
    </w:p>
    <w:p w:rsidR="00597E62" w:rsidRPr="00026ECE" w:rsidRDefault="00026ECE" w:rsidP="002B2A9A">
      <w:pPr>
        <w:pStyle w:val="ListParagraph"/>
        <w:ind w:left="1440"/>
        <w:contextualSpacing w:val="0"/>
        <w:rPr>
          <w:rFonts w:ascii="Times New Roman" w:hAnsi="Times New Roman"/>
          <w:sz w:val="24"/>
          <w:szCs w:val="24"/>
          <w:u w:val="single"/>
        </w:rPr>
      </w:pPr>
      <w:r>
        <w:rPr>
          <w:rFonts w:ascii="Times New Roman" w:hAnsi="Times New Roman"/>
          <w:sz w:val="24"/>
          <w:szCs w:val="24"/>
          <w:u w:val="single"/>
        </w:rPr>
        <w:t>Recommendations:</w:t>
      </w:r>
    </w:p>
    <w:p w:rsidR="00597E62" w:rsidRPr="00597E62" w:rsidRDefault="00597E62" w:rsidP="002B2A9A">
      <w:pPr>
        <w:pStyle w:val="ListParagraph"/>
        <w:ind w:left="1440"/>
        <w:contextualSpacing w:val="0"/>
        <w:rPr>
          <w:rFonts w:ascii="Times New Roman" w:hAnsi="Times New Roman"/>
          <w:sz w:val="24"/>
          <w:szCs w:val="24"/>
        </w:rPr>
      </w:pPr>
      <w:r>
        <w:rPr>
          <w:rFonts w:ascii="Times New Roman" w:hAnsi="Times New Roman"/>
          <w:sz w:val="24"/>
          <w:szCs w:val="24"/>
        </w:rPr>
        <w:t>This evaluation demonstrates movement within DSAMH towards much more data-driven oversight of services and their impact</w:t>
      </w:r>
      <w:r w:rsidR="00361A68">
        <w:rPr>
          <w:rFonts w:ascii="Times New Roman" w:hAnsi="Times New Roman"/>
          <w:sz w:val="24"/>
          <w:szCs w:val="24"/>
        </w:rPr>
        <w:t>,</w:t>
      </w:r>
      <w:r w:rsidR="00026ECE">
        <w:rPr>
          <w:rFonts w:ascii="Times New Roman" w:hAnsi="Times New Roman"/>
          <w:sz w:val="24"/>
          <w:szCs w:val="24"/>
        </w:rPr>
        <w:t xml:space="preserve"> as well as the potential for information technology to inform planning and policy decisions.  As evidenced by this evaluation and data presented throughout this report, the State has made palpable progress in this area.  </w:t>
      </w:r>
      <w:r w:rsidR="00E50CD2">
        <w:rPr>
          <w:rFonts w:ascii="Times New Roman" w:hAnsi="Times New Roman"/>
          <w:sz w:val="24"/>
          <w:szCs w:val="24"/>
        </w:rPr>
        <w:t>Nevertheless, t</w:t>
      </w:r>
      <w:r w:rsidR="003E4922">
        <w:rPr>
          <w:rFonts w:ascii="Times New Roman" w:hAnsi="Times New Roman"/>
          <w:sz w:val="24"/>
          <w:szCs w:val="24"/>
        </w:rPr>
        <w:t xml:space="preserve">he data presented here are best regarded as a preview.  </w:t>
      </w:r>
      <w:r w:rsidR="00026ECE">
        <w:rPr>
          <w:rFonts w:ascii="Times New Roman" w:hAnsi="Times New Roman"/>
          <w:sz w:val="24"/>
          <w:szCs w:val="24"/>
        </w:rPr>
        <w:t xml:space="preserve">DSAMH remains significantly </w:t>
      </w:r>
      <w:r w:rsidR="00E50CD2">
        <w:rPr>
          <w:rFonts w:ascii="Times New Roman" w:hAnsi="Times New Roman"/>
          <w:sz w:val="24"/>
          <w:szCs w:val="24"/>
        </w:rPr>
        <w:t>limited in its</w:t>
      </w:r>
      <w:r w:rsidR="003E4922">
        <w:rPr>
          <w:rFonts w:ascii="Times New Roman" w:hAnsi="Times New Roman"/>
          <w:sz w:val="24"/>
          <w:szCs w:val="24"/>
        </w:rPr>
        <w:t xml:space="preserve"> </w:t>
      </w:r>
      <w:r w:rsidR="00E50CD2">
        <w:rPr>
          <w:rFonts w:ascii="Times New Roman" w:hAnsi="Times New Roman"/>
          <w:sz w:val="24"/>
          <w:szCs w:val="24"/>
        </w:rPr>
        <w:t>abilities to produce and appropriately analyze data in ways that will maximize its performance</w:t>
      </w:r>
      <w:r w:rsidR="003E4922">
        <w:rPr>
          <w:rFonts w:ascii="Times New Roman" w:hAnsi="Times New Roman"/>
          <w:sz w:val="24"/>
          <w:szCs w:val="24"/>
        </w:rPr>
        <w:t>.  I</w:t>
      </w:r>
      <w:r w:rsidR="00026ECE">
        <w:rPr>
          <w:rFonts w:ascii="Times New Roman" w:hAnsi="Times New Roman"/>
          <w:sz w:val="24"/>
          <w:szCs w:val="24"/>
        </w:rPr>
        <w:t xml:space="preserve">t is important that it quickly move forward </w:t>
      </w:r>
      <w:r w:rsidR="003E4922">
        <w:rPr>
          <w:rFonts w:ascii="Times New Roman" w:hAnsi="Times New Roman"/>
          <w:sz w:val="24"/>
          <w:szCs w:val="24"/>
        </w:rPr>
        <w:t>on</w:t>
      </w:r>
      <w:r w:rsidR="00026ECE">
        <w:rPr>
          <w:rFonts w:ascii="Times New Roman" w:hAnsi="Times New Roman"/>
          <w:sz w:val="24"/>
          <w:szCs w:val="24"/>
        </w:rPr>
        <w:t xml:space="preserve"> its plans to expand its </w:t>
      </w:r>
      <w:r w:rsidR="00E50CD2">
        <w:rPr>
          <w:rFonts w:ascii="Times New Roman" w:hAnsi="Times New Roman"/>
          <w:sz w:val="24"/>
          <w:szCs w:val="24"/>
        </w:rPr>
        <w:t>IT capacities</w:t>
      </w:r>
      <w:r w:rsidR="00026ECE">
        <w:rPr>
          <w:rFonts w:ascii="Times New Roman" w:hAnsi="Times New Roman"/>
          <w:sz w:val="24"/>
          <w:szCs w:val="24"/>
        </w:rPr>
        <w:t xml:space="preserve"> </w:t>
      </w:r>
      <w:r w:rsidR="003E4922">
        <w:rPr>
          <w:rFonts w:ascii="Times New Roman" w:hAnsi="Times New Roman"/>
          <w:sz w:val="24"/>
          <w:szCs w:val="24"/>
        </w:rPr>
        <w:t>with</w:t>
      </w:r>
      <w:r w:rsidR="003E4922" w:rsidRPr="003E4922">
        <w:rPr>
          <w:rFonts w:ascii="Times New Roman" w:hAnsi="Times New Roman"/>
          <w:sz w:val="24"/>
          <w:szCs w:val="24"/>
        </w:rPr>
        <w:t xml:space="preserve"> individuals who are versed in </w:t>
      </w:r>
      <w:r w:rsidR="003E4922">
        <w:rPr>
          <w:rFonts w:ascii="Times New Roman" w:hAnsi="Times New Roman"/>
          <w:sz w:val="24"/>
          <w:szCs w:val="24"/>
        </w:rPr>
        <w:t xml:space="preserve">data </w:t>
      </w:r>
      <w:r w:rsidR="006A6E5D">
        <w:rPr>
          <w:rFonts w:ascii="Times New Roman" w:hAnsi="Times New Roman"/>
          <w:sz w:val="24"/>
          <w:szCs w:val="24"/>
        </w:rPr>
        <w:t xml:space="preserve">analysis, </w:t>
      </w:r>
      <w:r w:rsidR="003E4922">
        <w:rPr>
          <w:rFonts w:ascii="Times New Roman" w:hAnsi="Times New Roman"/>
          <w:sz w:val="24"/>
          <w:szCs w:val="24"/>
        </w:rPr>
        <w:t>as well as</w:t>
      </w:r>
      <w:r w:rsidR="00760251">
        <w:rPr>
          <w:rFonts w:ascii="Times New Roman" w:hAnsi="Times New Roman"/>
          <w:sz w:val="24"/>
          <w:szCs w:val="24"/>
        </w:rPr>
        <w:t xml:space="preserve"> the array of services and </w:t>
      </w:r>
      <w:r w:rsidR="006A6E5D">
        <w:rPr>
          <w:rFonts w:ascii="Times New Roman" w:hAnsi="Times New Roman"/>
          <w:sz w:val="24"/>
          <w:szCs w:val="24"/>
        </w:rPr>
        <w:t>systems affecting</w:t>
      </w:r>
      <w:r w:rsidR="0099773B">
        <w:rPr>
          <w:rFonts w:ascii="Times New Roman" w:hAnsi="Times New Roman"/>
          <w:sz w:val="24"/>
          <w:szCs w:val="24"/>
        </w:rPr>
        <w:t xml:space="preserve"> the population</w:t>
      </w:r>
      <w:r w:rsidR="006A6E5D">
        <w:rPr>
          <w:rFonts w:ascii="Times New Roman" w:hAnsi="Times New Roman"/>
          <w:sz w:val="24"/>
          <w:szCs w:val="24"/>
        </w:rPr>
        <w:t xml:space="preserve"> covered by this Agreement.</w:t>
      </w:r>
    </w:p>
    <w:p w:rsidR="004D14FE" w:rsidRPr="003E4922" w:rsidRDefault="004D14FE" w:rsidP="002B2A9A">
      <w:pPr>
        <w:spacing w:after="120"/>
        <w:rPr>
          <w:rFonts w:ascii="Times New Roman" w:hAnsi="Times New Roman"/>
          <w:sz w:val="24"/>
          <w:szCs w:val="24"/>
        </w:rPr>
      </w:pPr>
    </w:p>
    <w:p w:rsidR="00E53F60" w:rsidRDefault="00E53F60" w:rsidP="002B2A9A">
      <w:pPr>
        <w:pStyle w:val="ListParagraph"/>
        <w:numPr>
          <w:ilvl w:val="0"/>
          <w:numId w:val="4"/>
        </w:numPr>
        <w:spacing w:after="120"/>
        <w:contextualSpacing w:val="0"/>
        <w:rPr>
          <w:rFonts w:ascii="Times New Roman" w:hAnsi="Times New Roman"/>
          <w:b/>
          <w:sz w:val="24"/>
          <w:szCs w:val="24"/>
        </w:rPr>
      </w:pPr>
      <w:r>
        <w:rPr>
          <w:rFonts w:ascii="Times New Roman" w:hAnsi="Times New Roman"/>
          <w:b/>
          <w:sz w:val="24"/>
          <w:szCs w:val="24"/>
        </w:rPr>
        <w:t xml:space="preserve"> Reliance on Court-Ordered Treatment </w:t>
      </w:r>
    </w:p>
    <w:p w:rsidR="00DE6A31" w:rsidRDefault="005B3F85" w:rsidP="002B2A9A">
      <w:pPr>
        <w:pStyle w:val="ListParagraph"/>
        <w:spacing w:after="120"/>
        <w:contextualSpacing w:val="0"/>
        <w:rPr>
          <w:rFonts w:ascii="Times New Roman" w:hAnsi="Times New Roman"/>
          <w:sz w:val="24"/>
          <w:szCs w:val="24"/>
        </w:rPr>
      </w:pPr>
      <w:r>
        <w:rPr>
          <w:rFonts w:ascii="Times New Roman" w:hAnsi="Times New Roman"/>
          <w:sz w:val="24"/>
          <w:szCs w:val="24"/>
        </w:rPr>
        <w:t>Prior reports by the Monitor have discussed a long tradition in the State’s mental health system of relying on court-ordered inpatient and outpatient treatment</w:t>
      </w:r>
      <w:r w:rsidR="003E18A2">
        <w:rPr>
          <w:rFonts w:ascii="Times New Roman" w:hAnsi="Times New Roman"/>
          <w:sz w:val="24"/>
          <w:szCs w:val="24"/>
        </w:rPr>
        <w:t xml:space="preserve">.  In some instances, involuntary treatment </w:t>
      </w:r>
      <w:r w:rsidR="004609A4">
        <w:rPr>
          <w:rFonts w:ascii="Times New Roman" w:hAnsi="Times New Roman"/>
          <w:sz w:val="24"/>
          <w:szCs w:val="24"/>
        </w:rPr>
        <w:t xml:space="preserve">was </w:t>
      </w:r>
      <w:r w:rsidR="003E18A2">
        <w:rPr>
          <w:rFonts w:ascii="Times New Roman" w:hAnsi="Times New Roman"/>
          <w:sz w:val="24"/>
          <w:szCs w:val="24"/>
        </w:rPr>
        <w:t>occurr</w:t>
      </w:r>
      <w:r w:rsidR="004609A4">
        <w:rPr>
          <w:rFonts w:ascii="Times New Roman" w:hAnsi="Times New Roman"/>
          <w:sz w:val="24"/>
          <w:szCs w:val="24"/>
        </w:rPr>
        <w:t>ing</w:t>
      </w:r>
      <w:r w:rsidR="003E18A2">
        <w:rPr>
          <w:rFonts w:ascii="Times New Roman" w:hAnsi="Times New Roman"/>
          <w:sz w:val="24"/>
          <w:szCs w:val="24"/>
        </w:rPr>
        <w:t xml:space="preserve"> in the absence of clear clinical or legal bases.  Furthermore, the policy of DSAMH underwriting the cost of inpatient care in a private psychiatric hospital (“IMD”) only when under court order created the unintended incentive of encouraging involuntary admissions to ensure payment.  </w:t>
      </w:r>
    </w:p>
    <w:p w:rsidR="00E53F60" w:rsidRDefault="003E18A2" w:rsidP="002B2A9A">
      <w:pPr>
        <w:pStyle w:val="ListParagraph"/>
        <w:spacing w:after="120"/>
        <w:contextualSpacing w:val="0"/>
        <w:rPr>
          <w:rFonts w:ascii="Times New Roman" w:hAnsi="Times New Roman"/>
          <w:sz w:val="24"/>
          <w:szCs w:val="24"/>
        </w:rPr>
      </w:pPr>
      <w:r>
        <w:rPr>
          <w:rFonts w:ascii="Times New Roman" w:hAnsi="Times New Roman"/>
          <w:sz w:val="24"/>
          <w:szCs w:val="24"/>
        </w:rPr>
        <w:t>Judicial involvement in mental healthcare should be a last-resort</w:t>
      </w:r>
      <w:r w:rsidR="004609A4">
        <w:rPr>
          <w:rFonts w:ascii="Times New Roman" w:hAnsi="Times New Roman"/>
          <w:sz w:val="24"/>
          <w:szCs w:val="24"/>
        </w:rPr>
        <w:t>,</w:t>
      </w:r>
      <w:r>
        <w:rPr>
          <w:rFonts w:ascii="Times New Roman" w:hAnsi="Times New Roman"/>
          <w:sz w:val="24"/>
          <w:szCs w:val="24"/>
        </w:rPr>
        <w:t xml:space="preserve"> emergency measure</w:t>
      </w:r>
      <w:r w:rsidR="00DE6A31">
        <w:rPr>
          <w:rFonts w:ascii="Times New Roman" w:hAnsi="Times New Roman"/>
          <w:sz w:val="24"/>
          <w:szCs w:val="24"/>
        </w:rPr>
        <w:t xml:space="preserve">.  When it becomes necessary to turn to the courts, an assessment should be </w:t>
      </w:r>
      <w:r>
        <w:rPr>
          <w:rFonts w:ascii="Times New Roman" w:hAnsi="Times New Roman"/>
          <w:sz w:val="24"/>
          <w:szCs w:val="24"/>
        </w:rPr>
        <w:t>trigger</w:t>
      </w:r>
      <w:r w:rsidR="00DE6A31">
        <w:rPr>
          <w:rFonts w:ascii="Times New Roman" w:hAnsi="Times New Roman"/>
          <w:sz w:val="24"/>
          <w:szCs w:val="24"/>
        </w:rPr>
        <w:t>ed to determine how earlier-</w:t>
      </w:r>
      <w:r>
        <w:rPr>
          <w:rFonts w:ascii="Times New Roman" w:hAnsi="Times New Roman"/>
          <w:sz w:val="24"/>
          <w:szCs w:val="24"/>
        </w:rPr>
        <w:t xml:space="preserve">on voluntary services might have averted the involvement </w:t>
      </w:r>
      <w:r w:rsidR="00DE6A31">
        <w:rPr>
          <w:rFonts w:ascii="Times New Roman" w:hAnsi="Times New Roman"/>
          <w:sz w:val="24"/>
          <w:szCs w:val="24"/>
        </w:rPr>
        <w:t>coercive treatment</w:t>
      </w:r>
      <w:r>
        <w:rPr>
          <w:rFonts w:ascii="Times New Roman" w:hAnsi="Times New Roman"/>
          <w:sz w:val="24"/>
          <w:szCs w:val="24"/>
        </w:rPr>
        <w:t xml:space="preserve">.  Unwarranted </w:t>
      </w:r>
      <w:proofErr w:type="gramStart"/>
      <w:r>
        <w:rPr>
          <w:rFonts w:ascii="Times New Roman" w:hAnsi="Times New Roman"/>
          <w:sz w:val="24"/>
          <w:szCs w:val="24"/>
        </w:rPr>
        <w:t>involuntary treatment</w:t>
      </w:r>
      <w:r w:rsidR="00DE6A31">
        <w:rPr>
          <w:rFonts w:ascii="Times New Roman" w:hAnsi="Times New Roman"/>
          <w:sz w:val="24"/>
          <w:szCs w:val="24"/>
        </w:rPr>
        <w:t>—including court-ordered treatment to reduce providers’ perceived liability, assure</w:t>
      </w:r>
      <w:proofErr w:type="gramEnd"/>
      <w:r w:rsidR="00DE6A31">
        <w:rPr>
          <w:rFonts w:ascii="Times New Roman" w:hAnsi="Times New Roman"/>
          <w:sz w:val="24"/>
          <w:szCs w:val="24"/>
        </w:rPr>
        <w:t xml:space="preserve"> payment, or as a substitute for good consumer engagement—is </w:t>
      </w:r>
      <w:r>
        <w:rPr>
          <w:rFonts w:ascii="Times New Roman" w:hAnsi="Times New Roman"/>
          <w:sz w:val="24"/>
          <w:szCs w:val="24"/>
        </w:rPr>
        <w:t>not the “least-restrictive” approach consistent individuals’ rights under the ADA and other state and federal laws.</w:t>
      </w:r>
      <w:r w:rsidR="00627321">
        <w:rPr>
          <w:rFonts w:ascii="Times New Roman" w:hAnsi="Times New Roman"/>
          <w:sz w:val="24"/>
          <w:szCs w:val="24"/>
        </w:rPr>
        <w:t xml:space="preserve">  Furthermore, absent a specific and carefully considered individual need, coerced treatment is inconsistent with the recovery orientation that DSAMH is pursuing system wide.  </w:t>
      </w:r>
    </w:p>
    <w:p w:rsidR="00627321" w:rsidRDefault="00627321" w:rsidP="005B3F85">
      <w:pPr>
        <w:pStyle w:val="ListParagraph"/>
        <w:spacing w:after="120"/>
        <w:contextualSpacing w:val="0"/>
        <w:rPr>
          <w:rFonts w:ascii="Times New Roman" w:hAnsi="Times New Roman"/>
          <w:sz w:val="24"/>
          <w:szCs w:val="24"/>
        </w:rPr>
      </w:pPr>
      <w:r>
        <w:rPr>
          <w:rFonts w:ascii="Times New Roman" w:hAnsi="Times New Roman"/>
          <w:sz w:val="24"/>
          <w:szCs w:val="24"/>
        </w:rPr>
        <w:t>The State continues to take significant steps to move to a much more voluntary system of services.  On a case-by-case basis, DSAMH will now reimburse IMDs for the cost of needed inpatient care in the absence of a court order.  Further, both the Division and representatives of the State Attorney General’s office have been working with providers and the courts to ensure that orders relating to outpatient commitment are based on specific, well justified</w:t>
      </w:r>
      <w:r w:rsidR="00107CB2">
        <w:rPr>
          <w:rFonts w:ascii="Times New Roman" w:hAnsi="Times New Roman"/>
          <w:sz w:val="24"/>
          <w:szCs w:val="24"/>
        </w:rPr>
        <w:t>, and demonstrably least-restrictive</w:t>
      </w:r>
      <w:r>
        <w:rPr>
          <w:rFonts w:ascii="Times New Roman" w:hAnsi="Times New Roman"/>
          <w:sz w:val="24"/>
          <w:szCs w:val="24"/>
        </w:rPr>
        <w:t xml:space="preserve"> requests</w:t>
      </w:r>
      <w:r w:rsidR="00716ADC">
        <w:rPr>
          <w:rFonts w:ascii="Times New Roman" w:hAnsi="Times New Roman"/>
          <w:sz w:val="24"/>
          <w:szCs w:val="24"/>
        </w:rPr>
        <w:t>, with clarity as to what is required of the individual to demonstrate compliance.</w:t>
      </w:r>
    </w:p>
    <w:p w:rsidR="000E2E85" w:rsidRDefault="00716ADC" w:rsidP="005D436C">
      <w:pPr>
        <w:pStyle w:val="ListParagraph"/>
        <w:widowControl w:val="0"/>
        <w:spacing w:after="120"/>
        <w:contextualSpacing w:val="0"/>
        <w:rPr>
          <w:rFonts w:ascii="Times New Roman" w:hAnsi="Times New Roman"/>
          <w:sz w:val="24"/>
          <w:szCs w:val="24"/>
        </w:rPr>
      </w:pPr>
      <w:r>
        <w:rPr>
          <w:rFonts w:ascii="Times New Roman" w:hAnsi="Times New Roman"/>
          <w:sz w:val="24"/>
          <w:szCs w:val="24"/>
        </w:rPr>
        <w:t xml:space="preserve">The chart below presents the State’s continuing, dramatic progress in reducing </w:t>
      </w:r>
      <w:r w:rsidR="00E9433D">
        <w:rPr>
          <w:rFonts w:ascii="Times New Roman" w:hAnsi="Times New Roman"/>
          <w:sz w:val="24"/>
          <w:szCs w:val="24"/>
        </w:rPr>
        <w:t>its reliance on court-ordered treatment for both inpatient and outpatient services.</w:t>
      </w:r>
      <w:r w:rsidR="00927C3F">
        <w:rPr>
          <w:rFonts w:ascii="Times New Roman" w:hAnsi="Times New Roman"/>
          <w:sz w:val="24"/>
          <w:szCs w:val="24"/>
        </w:rPr>
        <w:t xml:space="preserve">  The chart shows the number of individuals who were under active civil commitment orders each month </w:t>
      </w:r>
      <w:r w:rsidR="00F37BDC">
        <w:rPr>
          <w:rFonts w:ascii="Times New Roman" w:hAnsi="Times New Roman"/>
          <w:sz w:val="24"/>
          <w:szCs w:val="24"/>
        </w:rPr>
        <w:t>by type of order</w:t>
      </w:r>
      <w:r w:rsidR="001013C2">
        <w:rPr>
          <w:rFonts w:ascii="Times New Roman" w:hAnsi="Times New Roman"/>
          <w:sz w:val="24"/>
          <w:szCs w:val="24"/>
        </w:rPr>
        <w:t xml:space="preserve">, as well as the monthly average for the year prior to implementation of the Agreement (i.e., </w:t>
      </w:r>
      <w:r w:rsidR="00153425">
        <w:rPr>
          <w:rFonts w:ascii="Times New Roman" w:hAnsi="Times New Roman"/>
          <w:sz w:val="24"/>
          <w:szCs w:val="24"/>
        </w:rPr>
        <w:t>June</w:t>
      </w:r>
      <w:r w:rsidR="001013C2">
        <w:rPr>
          <w:rFonts w:ascii="Times New Roman" w:hAnsi="Times New Roman"/>
          <w:sz w:val="24"/>
          <w:szCs w:val="24"/>
        </w:rPr>
        <w:t xml:space="preserve"> 15, 2010-July 15, 2011).  Overall it shows about a 34% decrease in both inpatient and outpatient commitments relative to that base year. </w:t>
      </w:r>
    </w:p>
    <w:p w:rsidR="000E2E85" w:rsidRDefault="000E2E85" w:rsidP="000E2E85">
      <w:pPr>
        <w:pStyle w:val="ListParagraph"/>
        <w:widowControl w:val="0"/>
        <w:spacing w:after="120"/>
        <w:contextualSpacing w:val="0"/>
        <w:jc w:val="center"/>
        <w:rPr>
          <w:rFonts w:ascii="Times New Roman" w:hAnsi="Times New Roman"/>
          <w:sz w:val="24"/>
          <w:szCs w:val="24"/>
        </w:rPr>
      </w:pPr>
      <w:r>
        <w:rPr>
          <w:rFonts w:ascii="Times New Roman" w:hAnsi="Times New Roman"/>
          <w:noProof/>
          <w:sz w:val="24"/>
          <w:szCs w:val="24"/>
        </w:rPr>
        <w:drawing>
          <wp:inline distT="0" distB="0" distL="0" distR="0">
            <wp:extent cx="4383405" cy="335280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383405" cy="3352800"/>
                    </a:xfrm>
                    <a:prstGeom prst="rect">
                      <a:avLst/>
                    </a:prstGeom>
                    <a:noFill/>
                  </pic:spPr>
                </pic:pic>
              </a:graphicData>
            </a:graphic>
          </wp:inline>
        </w:drawing>
      </w:r>
    </w:p>
    <w:p w:rsidR="00131951" w:rsidRDefault="00A34922" w:rsidP="005D436C">
      <w:pPr>
        <w:pStyle w:val="ListParagraph"/>
        <w:widowControl w:val="0"/>
        <w:spacing w:after="120"/>
        <w:contextualSpacing w:val="0"/>
        <w:rPr>
          <w:rFonts w:ascii="Times New Roman" w:hAnsi="Times New Roman"/>
          <w:sz w:val="24"/>
          <w:szCs w:val="24"/>
        </w:rPr>
      </w:pPr>
      <w:r>
        <w:rPr>
          <w:rFonts w:ascii="Times New Roman" w:hAnsi="Times New Roman"/>
          <w:sz w:val="24"/>
          <w:szCs w:val="24"/>
        </w:rPr>
        <w:t>The</w:t>
      </w:r>
      <w:r w:rsidR="001013C2">
        <w:rPr>
          <w:rFonts w:ascii="Times New Roman" w:hAnsi="Times New Roman"/>
          <w:sz w:val="24"/>
          <w:szCs w:val="24"/>
        </w:rPr>
        <w:t>s</w:t>
      </w:r>
      <w:r>
        <w:rPr>
          <w:rFonts w:ascii="Times New Roman" w:hAnsi="Times New Roman"/>
          <w:sz w:val="24"/>
          <w:szCs w:val="24"/>
        </w:rPr>
        <w:t>e trend data not only allow</w:t>
      </w:r>
      <w:r w:rsidR="001013C2">
        <w:rPr>
          <w:rFonts w:ascii="Times New Roman" w:hAnsi="Times New Roman"/>
          <w:sz w:val="24"/>
          <w:szCs w:val="24"/>
        </w:rPr>
        <w:t xml:space="preserve"> </w:t>
      </w:r>
      <w:r w:rsidR="000710CE">
        <w:rPr>
          <w:rFonts w:ascii="Times New Roman" w:hAnsi="Times New Roman"/>
          <w:sz w:val="24"/>
          <w:szCs w:val="24"/>
        </w:rPr>
        <w:t xml:space="preserve">the State to evaluate its progress, but also </w:t>
      </w:r>
      <w:r>
        <w:rPr>
          <w:rFonts w:ascii="Times New Roman" w:hAnsi="Times New Roman"/>
          <w:sz w:val="24"/>
          <w:szCs w:val="24"/>
        </w:rPr>
        <w:t>are</w:t>
      </w:r>
      <w:r w:rsidR="000710CE">
        <w:rPr>
          <w:rFonts w:ascii="Times New Roman" w:hAnsi="Times New Roman"/>
          <w:sz w:val="24"/>
          <w:szCs w:val="24"/>
        </w:rPr>
        <w:t xml:space="preserve"> informative about the impact of its interventions.  For example, revisions in the Delaware’s law with respect to outpatient commitment are currently under discussion by a legislatively mandated study group and the State is about to issue new guidance with more specific requirements for how providers may petition for outpatient commitment.  Neither of these efforts was completed at the time the above chart was generated.  Yet, the graph shows a dramatic decrease</w:t>
      </w:r>
      <w:r w:rsidR="000710CE" w:rsidRPr="000710CE">
        <w:rPr>
          <w:rFonts w:ascii="Times New Roman" w:hAnsi="Times New Roman"/>
          <w:sz w:val="24"/>
          <w:szCs w:val="24"/>
        </w:rPr>
        <w:t xml:space="preserve"> </w:t>
      </w:r>
      <w:r w:rsidR="000710CE">
        <w:rPr>
          <w:rFonts w:ascii="Times New Roman" w:hAnsi="Times New Roman"/>
          <w:sz w:val="24"/>
          <w:szCs w:val="24"/>
        </w:rPr>
        <w:t>between February and May of 2013—about 27% —in the number of people with outpatient commitments.</w:t>
      </w:r>
      <w:r w:rsidR="001013C2">
        <w:rPr>
          <w:rFonts w:ascii="Times New Roman" w:hAnsi="Times New Roman"/>
          <w:sz w:val="24"/>
          <w:szCs w:val="24"/>
        </w:rPr>
        <w:t xml:space="preserve"> </w:t>
      </w:r>
      <w:r w:rsidR="000710CE">
        <w:rPr>
          <w:rFonts w:ascii="Times New Roman" w:hAnsi="Times New Roman"/>
          <w:sz w:val="24"/>
          <w:szCs w:val="24"/>
        </w:rPr>
        <w:t>These occurred as DSAMH began appri</w:t>
      </w:r>
      <w:r w:rsidR="0075060A">
        <w:rPr>
          <w:rFonts w:ascii="Times New Roman" w:hAnsi="Times New Roman"/>
          <w:sz w:val="24"/>
          <w:szCs w:val="24"/>
        </w:rPr>
        <w:t>s</w:t>
      </w:r>
      <w:r w:rsidR="000710CE">
        <w:rPr>
          <w:rFonts w:ascii="Times New Roman" w:hAnsi="Times New Roman"/>
          <w:sz w:val="24"/>
          <w:szCs w:val="24"/>
        </w:rPr>
        <w:t xml:space="preserve">ing </w:t>
      </w:r>
      <w:r w:rsidR="0075060A">
        <w:rPr>
          <w:rFonts w:ascii="Times New Roman" w:hAnsi="Times New Roman"/>
          <w:sz w:val="24"/>
          <w:szCs w:val="24"/>
        </w:rPr>
        <w:t>stakeholder</w:t>
      </w:r>
      <w:r w:rsidR="000710CE">
        <w:rPr>
          <w:rFonts w:ascii="Times New Roman" w:hAnsi="Times New Roman"/>
          <w:sz w:val="24"/>
          <w:szCs w:val="24"/>
        </w:rPr>
        <w:t xml:space="preserve">s of </w:t>
      </w:r>
      <w:r w:rsidR="0075060A">
        <w:rPr>
          <w:rFonts w:ascii="Times New Roman" w:hAnsi="Times New Roman"/>
          <w:sz w:val="24"/>
          <w:szCs w:val="24"/>
        </w:rPr>
        <w:t xml:space="preserve">the impending changes in the process for seeking outpatient commitments.  </w:t>
      </w:r>
    </w:p>
    <w:p w:rsidR="001E1882" w:rsidRDefault="001E1882" w:rsidP="001013C2">
      <w:pPr>
        <w:pStyle w:val="ListParagraph"/>
        <w:spacing w:after="120"/>
        <w:contextualSpacing w:val="0"/>
        <w:rPr>
          <w:rFonts w:ascii="Times New Roman" w:hAnsi="Times New Roman"/>
          <w:sz w:val="24"/>
          <w:szCs w:val="24"/>
        </w:rPr>
      </w:pPr>
      <w:r>
        <w:rPr>
          <w:rFonts w:ascii="Times New Roman" w:hAnsi="Times New Roman"/>
          <w:sz w:val="24"/>
          <w:szCs w:val="24"/>
        </w:rPr>
        <w:t xml:space="preserve">It is reasonable to expect that Delaware will continue its trajectory of reducing its reliance on court ordered services, particularly as the planned procedural changes in the outpatient commitment process go into effect, the impact of crisis and diversion services (discussed below) continues to expand, and </w:t>
      </w:r>
      <w:r w:rsidR="000D475B">
        <w:rPr>
          <w:rFonts w:ascii="Times New Roman" w:hAnsi="Times New Roman"/>
          <w:sz w:val="24"/>
          <w:szCs w:val="24"/>
        </w:rPr>
        <w:t>further refinements are made in the legal and policy framework in which services are delivered.</w:t>
      </w:r>
      <w:r w:rsidR="00251C89">
        <w:rPr>
          <w:rFonts w:ascii="Times New Roman" w:hAnsi="Times New Roman"/>
          <w:sz w:val="24"/>
          <w:szCs w:val="24"/>
        </w:rPr>
        <w:t xml:space="preserve">  As is evidenced in the data presented in this and the prior sections, DSAMH is rapidly expanding its capacities to capture and analyze data relating to the reliance on court-ordered treatment and how individuals are faring in a system more oriented towards voluntary services.</w:t>
      </w:r>
    </w:p>
    <w:p w:rsidR="001E1882" w:rsidRDefault="001E1882" w:rsidP="001013C2">
      <w:pPr>
        <w:pStyle w:val="ListParagraph"/>
        <w:spacing w:after="120"/>
        <w:contextualSpacing w:val="0"/>
        <w:rPr>
          <w:rFonts w:ascii="Times New Roman" w:hAnsi="Times New Roman"/>
          <w:sz w:val="24"/>
          <w:szCs w:val="24"/>
        </w:rPr>
      </w:pPr>
    </w:p>
    <w:p w:rsidR="00E53F60" w:rsidRDefault="00251C89" w:rsidP="00AC573F">
      <w:pPr>
        <w:pStyle w:val="ListParagraph"/>
        <w:keepNext/>
        <w:numPr>
          <w:ilvl w:val="0"/>
          <w:numId w:val="4"/>
        </w:numPr>
        <w:spacing w:after="120"/>
        <w:contextualSpacing w:val="0"/>
        <w:rPr>
          <w:rFonts w:ascii="Times New Roman" w:hAnsi="Times New Roman"/>
          <w:sz w:val="24"/>
          <w:szCs w:val="24"/>
        </w:rPr>
      </w:pPr>
      <w:r>
        <w:rPr>
          <w:rFonts w:ascii="Times New Roman" w:hAnsi="Times New Roman"/>
          <w:b/>
          <w:sz w:val="24"/>
          <w:szCs w:val="24"/>
        </w:rPr>
        <w:t xml:space="preserve"> </w:t>
      </w:r>
      <w:r w:rsidR="00E53F60" w:rsidRPr="001013C2">
        <w:rPr>
          <w:rFonts w:ascii="Times New Roman" w:hAnsi="Times New Roman"/>
          <w:b/>
          <w:sz w:val="24"/>
          <w:szCs w:val="24"/>
        </w:rPr>
        <w:t xml:space="preserve">Management of </w:t>
      </w:r>
      <w:r w:rsidR="00A34182">
        <w:rPr>
          <w:rFonts w:ascii="Times New Roman" w:hAnsi="Times New Roman"/>
          <w:b/>
          <w:sz w:val="24"/>
          <w:szCs w:val="24"/>
        </w:rPr>
        <w:t xml:space="preserve">Clinical </w:t>
      </w:r>
      <w:r w:rsidR="00E53F60" w:rsidRPr="001013C2">
        <w:rPr>
          <w:rFonts w:ascii="Times New Roman" w:hAnsi="Times New Roman"/>
          <w:b/>
          <w:sz w:val="24"/>
          <w:szCs w:val="24"/>
        </w:rPr>
        <w:t>Services</w:t>
      </w:r>
      <w:r>
        <w:rPr>
          <w:rFonts w:ascii="Times New Roman" w:hAnsi="Times New Roman"/>
          <w:b/>
          <w:sz w:val="24"/>
          <w:szCs w:val="24"/>
        </w:rPr>
        <w:t xml:space="preserve"> </w:t>
      </w:r>
    </w:p>
    <w:p w:rsidR="009324BA" w:rsidRDefault="002D2443" w:rsidP="002D2443">
      <w:pPr>
        <w:pStyle w:val="ListParagraph"/>
        <w:spacing w:after="120"/>
        <w:contextualSpacing w:val="0"/>
        <w:rPr>
          <w:rFonts w:ascii="Times New Roman" w:hAnsi="Times New Roman"/>
          <w:sz w:val="24"/>
          <w:szCs w:val="24"/>
        </w:rPr>
      </w:pPr>
      <w:r>
        <w:rPr>
          <w:rFonts w:ascii="Times New Roman" w:hAnsi="Times New Roman"/>
          <w:sz w:val="24"/>
          <w:szCs w:val="24"/>
        </w:rPr>
        <w:t>Past</w:t>
      </w:r>
      <w:r w:rsidR="00B95D5A">
        <w:rPr>
          <w:rFonts w:ascii="Times New Roman" w:hAnsi="Times New Roman"/>
          <w:sz w:val="24"/>
          <w:szCs w:val="24"/>
        </w:rPr>
        <w:t xml:space="preserve"> Monitor</w:t>
      </w:r>
      <w:r>
        <w:rPr>
          <w:rFonts w:ascii="Times New Roman" w:hAnsi="Times New Roman"/>
          <w:sz w:val="24"/>
          <w:szCs w:val="24"/>
        </w:rPr>
        <w:t xml:space="preserve"> reports have </w:t>
      </w:r>
      <w:r w:rsidR="00B95D5A">
        <w:rPr>
          <w:rFonts w:ascii="Times New Roman" w:hAnsi="Times New Roman"/>
          <w:sz w:val="24"/>
          <w:szCs w:val="24"/>
        </w:rPr>
        <w:t>called attention to</w:t>
      </w:r>
      <w:r>
        <w:rPr>
          <w:rFonts w:ascii="Times New Roman" w:hAnsi="Times New Roman"/>
          <w:sz w:val="24"/>
          <w:szCs w:val="24"/>
        </w:rPr>
        <w:t xml:space="preserve"> the State’s overly complex systems for managing the care of individuals receiving public mental health services.  Essentially, depending upon an individual’s status with r</w:t>
      </w:r>
      <w:r w:rsidR="00556ADB">
        <w:rPr>
          <w:rFonts w:ascii="Times New Roman" w:hAnsi="Times New Roman"/>
          <w:sz w:val="24"/>
          <w:szCs w:val="24"/>
        </w:rPr>
        <w:t>egard</w:t>
      </w:r>
      <w:r>
        <w:rPr>
          <w:rFonts w:ascii="Times New Roman" w:hAnsi="Times New Roman"/>
          <w:sz w:val="24"/>
          <w:szCs w:val="24"/>
        </w:rPr>
        <w:t xml:space="preserve"> to Medicaid, during the course of a year </w:t>
      </w:r>
      <w:r w:rsidR="00556ADB">
        <w:rPr>
          <w:rFonts w:ascii="Times New Roman" w:hAnsi="Times New Roman"/>
          <w:sz w:val="24"/>
          <w:szCs w:val="24"/>
        </w:rPr>
        <w:t>an individual’s care may be overseen by DSAMH</w:t>
      </w:r>
      <w:r w:rsidR="009324BA">
        <w:rPr>
          <w:rFonts w:ascii="Times New Roman" w:hAnsi="Times New Roman"/>
          <w:sz w:val="24"/>
          <w:szCs w:val="24"/>
        </w:rPr>
        <w:t>;</w:t>
      </w:r>
      <w:r w:rsidR="00556ADB">
        <w:rPr>
          <w:rFonts w:ascii="Times New Roman" w:hAnsi="Times New Roman"/>
          <w:sz w:val="24"/>
          <w:szCs w:val="24"/>
        </w:rPr>
        <w:t xml:space="preserve"> </w:t>
      </w:r>
      <w:r w:rsidR="007C72BC">
        <w:rPr>
          <w:rFonts w:ascii="Times New Roman" w:hAnsi="Times New Roman"/>
          <w:sz w:val="24"/>
          <w:szCs w:val="24"/>
        </w:rPr>
        <w:t xml:space="preserve">or the </w:t>
      </w:r>
      <w:r w:rsidR="009324BA">
        <w:rPr>
          <w:rFonts w:ascii="Times New Roman" w:hAnsi="Times New Roman"/>
          <w:sz w:val="24"/>
          <w:szCs w:val="24"/>
        </w:rPr>
        <w:t xml:space="preserve">Division of Medicaid and Medical Assistance (“DMMA”), via </w:t>
      </w:r>
      <w:r w:rsidR="00556ADB">
        <w:rPr>
          <w:rFonts w:ascii="Times New Roman" w:hAnsi="Times New Roman"/>
          <w:sz w:val="24"/>
          <w:szCs w:val="24"/>
        </w:rPr>
        <w:t>a managed care organization</w:t>
      </w:r>
      <w:r w:rsidR="009B00FD">
        <w:rPr>
          <w:rFonts w:ascii="Times New Roman" w:hAnsi="Times New Roman"/>
          <w:sz w:val="24"/>
          <w:szCs w:val="24"/>
        </w:rPr>
        <w:t xml:space="preserve"> (“MCO”)</w:t>
      </w:r>
      <w:r w:rsidR="009324BA">
        <w:rPr>
          <w:rFonts w:ascii="Times New Roman" w:hAnsi="Times New Roman"/>
          <w:sz w:val="24"/>
          <w:szCs w:val="24"/>
        </w:rPr>
        <w:t>;</w:t>
      </w:r>
      <w:r w:rsidR="00556ADB">
        <w:rPr>
          <w:rFonts w:ascii="Times New Roman" w:hAnsi="Times New Roman"/>
          <w:sz w:val="24"/>
          <w:szCs w:val="24"/>
        </w:rPr>
        <w:t xml:space="preserve"> or a combination of the two.  This arrangement has built-in inefficiencies and inconsistencies in addressing the needs of people with serious </w:t>
      </w:r>
      <w:r w:rsidR="007C72BC">
        <w:rPr>
          <w:rFonts w:ascii="Times New Roman" w:hAnsi="Times New Roman"/>
          <w:sz w:val="24"/>
          <w:szCs w:val="24"/>
        </w:rPr>
        <w:t xml:space="preserve">and persistent </w:t>
      </w:r>
      <w:r w:rsidR="00556ADB">
        <w:rPr>
          <w:rFonts w:ascii="Times New Roman" w:hAnsi="Times New Roman"/>
          <w:sz w:val="24"/>
          <w:szCs w:val="24"/>
        </w:rPr>
        <w:t xml:space="preserve">mental illness.  </w:t>
      </w:r>
    </w:p>
    <w:p w:rsidR="00292D2C" w:rsidRDefault="00556ADB" w:rsidP="002D2443">
      <w:pPr>
        <w:pStyle w:val="ListParagraph"/>
        <w:spacing w:after="120"/>
        <w:contextualSpacing w:val="0"/>
        <w:rPr>
          <w:rFonts w:ascii="Times New Roman" w:hAnsi="Times New Roman"/>
          <w:sz w:val="24"/>
          <w:szCs w:val="24"/>
        </w:rPr>
      </w:pPr>
      <w:r>
        <w:rPr>
          <w:rFonts w:ascii="Times New Roman" w:hAnsi="Times New Roman"/>
          <w:sz w:val="24"/>
          <w:szCs w:val="24"/>
        </w:rPr>
        <w:t>Matters are further complicated as the Affordable Care Act come</w:t>
      </w:r>
      <w:r w:rsidR="0044060A">
        <w:rPr>
          <w:rFonts w:ascii="Times New Roman" w:hAnsi="Times New Roman"/>
          <w:sz w:val="24"/>
          <w:szCs w:val="24"/>
        </w:rPr>
        <w:t>s</w:t>
      </w:r>
      <w:r>
        <w:rPr>
          <w:rFonts w:ascii="Times New Roman" w:hAnsi="Times New Roman"/>
          <w:sz w:val="24"/>
          <w:szCs w:val="24"/>
        </w:rPr>
        <w:t xml:space="preserve"> into effect, a</w:t>
      </w:r>
      <w:r w:rsidR="00B95D5A">
        <w:rPr>
          <w:rFonts w:ascii="Times New Roman" w:hAnsi="Times New Roman"/>
          <w:sz w:val="24"/>
          <w:szCs w:val="24"/>
        </w:rPr>
        <w:t>s</w:t>
      </w:r>
      <w:r>
        <w:rPr>
          <w:rFonts w:ascii="Times New Roman" w:hAnsi="Times New Roman"/>
          <w:sz w:val="24"/>
          <w:szCs w:val="24"/>
        </w:rPr>
        <w:t xml:space="preserve"> many individuals </w:t>
      </w:r>
      <w:r w:rsidR="00C51E13">
        <w:rPr>
          <w:rFonts w:ascii="Times New Roman" w:hAnsi="Times New Roman"/>
          <w:sz w:val="24"/>
          <w:szCs w:val="24"/>
        </w:rPr>
        <w:t xml:space="preserve">with SPMI </w:t>
      </w:r>
      <w:r>
        <w:rPr>
          <w:rFonts w:ascii="Times New Roman" w:hAnsi="Times New Roman"/>
          <w:sz w:val="24"/>
          <w:szCs w:val="24"/>
        </w:rPr>
        <w:t xml:space="preserve">who have heretofore been supported with State </w:t>
      </w:r>
      <w:r w:rsidR="009324BA">
        <w:rPr>
          <w:rFonts w:ascii="Times New Roman" w:hAnsi="Times New Roman"/>
          <w:sz w:val="24"/>
          <w:szCs w:val="24"/>
        </w:rPr>
        <w:t xml:space="preserve">dollars through DSAMH </w:t>
      </w:r>
      <w:r>
        <w:rPr>
          <w:rFonts w:ascii="Times New Roman" w:hAnsi="Times New Roman"/>
          <w:sz w:val="24"/>
          <w:szCs w:val="24"/>
        </w:rPr>
        <w:t xml:space="preserve">will be newly eligible for </w:t>
      </w:r>
      <w:r w:rsidR="0044060A">
        <w:rPr>
          <w:rFonts w:ascii="Times New Roman" w:hAnsi="Times New Roman"/>
          <w:sz w:val="24"/>
          <w:szCs w:val="24"/>
        </w:rPr>
        <w:t>Medicaid</w:t>
      </w:r>
      <w:r w:rsidR="00096228">
        <w:rPr>
          <w:rFonts w:ascii="Times New Roman" w:hAnsi="Times New Roman"/>
          <w:sz w:val="24"/>
          <w:szCs w:val="24"/>
        </w:rPr>
        <w:t xml:space="preserve"> or have access to insurance via the marketplace</w:t>
      </w:r>
      <w:r w:rsidR="0044060A">
        <w:rPr>
          <w:rFonts w:ascii="Times New Roman" w:hAnsi="Times New Roman"/>
          <w:sz w:val="24"/>
          <w:szCs w:val="24"/>
        </w:rPr>
        <w:t>.  Furthermore, the State is pursui</w:t>
      </w:r>
      <w:r w:rsidR="00292D2C">
        <w:rPr>
          <w:rFonts w:ascii="Times New Roman" w:hAnsi="Times New Roman"/>
          <w:sz w:val="24"/>
          <w:szCs w:val="24"/>
        </w:rPr>
        <w:t xml:space="preserve">ng changes in its Medicaid plan </w:t>
      </w:r>
      <w:r w:rsidR="0044060A">
        <w:rPr>
          <w:rFonts w:ascii="Times New Roman" w:hAnsi="Times New Roman"/>
          <w:sz w:val="24"/>
          <w:szCs w:val="24"/>
        </w:rPr>
        <w:t>which will expand coverage for services such as supported employment and</w:t>
      </w:r>
      <w:r w:rsidR="00292D2C">
        <w:rPr>
          <w:rFonts w:ascii="Times New Roman" w:hAnsi="Times New Roman"/>
          <w:sz w:val="24"/>
          <w:szCs w:val="24"/>
        </w:rPr>
        <w:t xml:space="preserve"> care management</w:t>
      </w:r>
      <w:r w:rsidR="0044060A">
        <w:rPr>
          <w:rFonts w:ascii="Times New Roman" w:hAnsi="Times New Roman"/>
          <w:sz w:val="24"/>
          <w:szCs w:val="24"/>
        </w:rPr>
        <w:t xml:space="preserve">.  </w:t>
      </w:r>
      <w:r w:rsidR="00B95D5A">
        <w:rPr>
          <w:rFonts w:ascii="Times New Roman" w:hAnsi="Times New Roman"/>
          <w:sz w:val="24"/>
          <w:szCs w:val="24"/>
        </w:rPr>
        <w:t>In all instances, it is important that individuals be afforded appropriate access to services and monitoring to ensure that these services are necessary and having their intended benefits.</w:t>
      </w:r>
    </w:p>
    <w:p w:rsidR="00041EB7" w:rsidRDefault="009324BA" w:rsidP="009324BA">
      <w:pPr>
        <w:pStyle w:val="ListParagraph"/>
        <w:spacing w:after="120"/>
        <w:contextualSpacing w:val="0"/>
        <w:rPr>
          <w:rFonts w:ascii="Times New Roman" w:hAnsi="Times New Roman"/>
          <w:sz w:val="24"/>
          <w:szCs w:val="24"/>
        </w:rPr>
      </w:pPr>
      <w:r>
        <w:rPr>
          <w:rFonts w:ascii="Times New Roman" w:hAnsi="Times New Roman"/>
          <w:sz w:val="24"/>
          <w:szCs w:val="24"/>
        </w:rPr>
        <w:t xml:space="preserve">Each of the Monitor’s </w:t>
      </w:r>
      <w:r w:rsidR="00B95D5A">
        <w:rPr>
          <w:rFonts w:ascii="Times New Roman" w:hAnsi="Times New Roman"/>
          <w:sz w:val="24"/>
          <w:szCs w:val="24"/>
        </w:rPr>
        <w:t>prior</w:t>
      </w:r>
      <w:r>
        <w:rPr>
          <w:rFonts w:ascii="Times New Roman" w:hAnsi="Times New Roman"/>
          <w:sz w:val="24"/>
          <w:szCs w:val="24"/>
        </w:rPr>
        <w:t xml:space="preserve"> reports has discussed how the current </w:t>
      </w:r>
      <w:r w:rsidR="007C72BC">
        <w:rPr>
          <w:rFonts w:ascii="Times New Roman" w:hAnsi="Times New Roman"/>
          <w:sz w:val="24"/>
          <w:szCs w:val="24"/>
        </w:rPr>
        <w:t xml:space="preserve">care management </w:t>
      </w:r>
      <w:r>
        <w:rPr>
          <w:rFonts w:ascii="Times New Roman" w:hAnsi="Times New Roman"/>
          <w:sz w:val="24"/>
          <w:szCs w:val="24"/>
        </w:rPr>
        <w:t>arrangement</w:t>
      </w:r>
      <w:r w:rsidR="007C72BC">
        <w:rPr>
          <w:rFonts w:ascii="Times New Roman" w:hAnsi="Times New Roman"/>
          <w:sz w:val="24"/>
          <w:szCs w:val="24"/>
        </w:rPr>
        <w:t>,</w:t>
      </w:r>
      <w:r>
        <w:rPr>
          <w:rFonts w:ascii="Times New Roman" w:hAnsi="Times New Roman"/>
          <w:sz w:val="24"/>
          <w:szCs w:val="24"/>
        </w:rPr>
        <w:t xml:space="preserve"> with </w:t>
      </w:r>
      <w:r w:rsidR="007C72BC">
        <w:rPr>
          <w:rFonts w:ascii="Times New Roman" w:hAnsi="Times New Roman"/>
          <w:sz w:val="24"/>
          <w:szCs w:val="24"/>
        </w:rPr>
        <w:t xml:space="preserve">its </w:t>
      </w:r>
      <w:r>
        <w:rPr>
          <w:rFonts w:ascii="Times New Roman" w:hAnsi="Times New Roman"/>
          <w:sz w:val="24"/>
          <w:szCs w:val="24"/>
        </w:rPr>
        <w:t>shifting responsibilities</w:t>
      </w:r>
      <w:r w:rsidR="007C72BC">
        <w:rPr>
          <w:rFonts w:ascii="Times New Roman" w:hAnsi="Times New Roman"/>
          <w:sz w:val="24"/>
          <w:szCs w:val="24"/>
        </w:rPr>
        <w:t>,</w:t>
      </w:r>
      <w:r>
        <w:rPr>
          <w:rFonts w:ascii="Times New Roman" w:hAnsi="Times New Roman"/>
          <w:sz w:val="24"/>
          <w:szCs w:val="24"/>
        </w:rPr>
        <w:t xml:space="preserve"> is problematic.  This is particularly the case with respect to the State’s obligations under the Agreement to reduce its psychiatric inpatient bed-days (See discussion of Crisis Stabilization Services below).  Notwithstanding the Monitor’s prior recommendations, the State’s disjointed arrangements for managing inpatient and other services to individuals with SPMI persist to this day</w:t>
      </w:r>
      <w:r w:rsidR="007202F4">
        <w:rPr>
          <w:rFonts w:ascii="Times New Roman" w:hAnsi="Times New Roman"/>
          <w:sz w:val="24"/>
          <w:szCs w:val="24"/>
        </w:rPr>
        <w:t>,</w:t>
      </w:r>
      <w:r>
        <w:rPr>
          <w:rFonts w:ascii="Times New Roman" w:hAnsi="Times New Roman"/>
          <w:sz w:val="24"/>
          <w:szCs w:val="24"/>
        </w:rPr>
        <w:t xml:space="preserve"> and the State still do</w:t>
      </w:r>
      <w:r w:rsidR="00041EB7">
        <w:rPr>
          <w:rFonts w:ascii="Times New Roman" w:hAnsi="Times New Roman"/>
          <w:sz w:val="24"/>
          <w:szCs w:val="24"/>
        </w:rPr>
        <w:t>es not have a specific plan to improve</w:t>
      </w:r>
      <w:r>
        <w:rPr>
          <w:rFonts w:ascii="Times New Roman" w:hAnsi="Times New Roman"/>
          <w:sz w:val="24"/>
          <w:szCs w:val="24"/>
        </w:rPr>
        <w:t xml:space="preserve"> this critical oversight function.</w:t>
      </w:r>
      <w:r w:rsidR="002940CB">
        <w:rPr>
          <w:rFonts w:ascii="Times New Roman" w:hAnsi="Times New Roman"/>
          <w:sz w:val="24"/>
          <w:szCs w:val="24"/>
        </w:rPr>
        <w:t xml:space="preserve">  </w:t>
      </w:r>
    </w:p>
    <w:p w:rsidR="002940CB" w:rsidRDefault="002940CB" w:rsidP="009324BA">
      <w:pPr>
        <w:pStyle w:val="ListParagraph"/>
        <w:spacing w:after="120"/>
        <w:contextualSpacing w:val="0"/>
        <w:rPr>
          <w:rFonts w:ascii="Times New Roman" w:hAnsi="Times New Roman"/>
          <w:sz w:val="24"/>
          <w:szCs w:val="24"/>
        </w:rPr>
      </w:pPr>
      <w:r>
        <w:rPr>
          <w:rFonts w:ascii="Times New Roman" w:hAnsi="Times New Roman"/>
          <w:sz w:val="24"/>
          <w:szCs w:val="24"/>
        </w:rPr>
        <w:t>The discussion of Crisis Stabilization Services includes a chart entitled “Inpatient Days by Provider Type by Month.”  This chart shows that</w:t>
      </w:r>
      <w:r w:rsidR="00041EB7">
        <w:rPr>
          <w:rFonts w:ascii="Times New Roman" w:hAnsi="Times New Roman"/>
          <w:sz w:val="24"/>
          <w:szCs w:val="24"/>
        </w:rPr>
        <w:t>,</w:t>
      </w:r>
      <w:r>
        <w:rPr>
          <w:rFonts w:ascii="Times New Roman" w:hAnsi="Times New Roman"/>
          <w:sz w:val="24"/>
          <w:szCs w:val="24"/>
        </w:rPr>
        <w:t xml:space="preserve"> over time</w:t>
      </w:r>
      <w:r w:rsidR="00041EB7">
        <w:rPr>
          <w:rFonts w:ascii="Times New Roman" w:hAnsi="Times New Roman"/>
          <w:sz w:val="24"/>
          <w:szCs w:val="24"/>
        </w:rPr>
        <w:t>,</w:t>
      </w:r>
      <w:r>
        <w:rPr>
          <w:rFonts w:ascii="Times New Roman" w:hAnsi="Times New Roman"/>
          <w:sz w:val="24"/>
          <w:szCs w:val="24"/>
        </w:rPr>
        <w:t xml:space="preserve"> DPC is accounting for a significantly decreas</w:t>
      </w:r>
      <w:r w:rsidR="00041EB7">
        <w:rPr>
          <w:rFonts w:ascii="Times New Roman" w:hAnsi="Times New Roman"/>
          <w:sz w:val="24"/>
          <w:szCs w:val="24"/>
        </w:rPr>
        <w:t>ing</w:t>
      </w:r>
      <w:r>
        <w:rPr>
          <w:rFonts w:ascii="Times New Roman" w:hAnsi="Times New Roman"/>
          <w:sz w:val="24"/>
          <w:szCs w:val="24"/>
        </w:rPr>
        <w:t xml:space="preserve"> proportion of inpatient bed-days, that bed-day use in the IMDs has been fairly constant when managed by DSAMH, and that it is trending upward when managed by DMMA</w:t>
      </w:r>
      <w:r w:rsidR="00096228">
        <w:rPr>
          <w:rFonts w:ascii="Times New Roman" w:hAnsi="Times New Roman"/>
          <w:sz w:val="24"/>
          <w:szCs w:val="24"/>
        </w:rPr>
        <w:t xml:space="preserve"> via the MCOs</w:t>
      </w:r>
      <w:r>
        <w:rPr>
          <w:rFonts w:ascii="Times New Roman" w:hAnsi="Times New Roman"/>
          <w:sz w:val="24"/>
          <w:szCs w:val="24"/>
        </w:rPr>
        <w:t xml:space="preserve">.  </w:t>
      </w:r>
      <w:r w:rsidR="00C51E13">
        <w:rPr>
          <w:rFonts w:ascii="Times New Roman" w:hAnsi="Times New Roman"/>
          <w:sz w:val="24"/>
          <w:szCs w:val="24"/>
        </w:rPr>
        <w:t>Fulfilling the requirements of the Agreement will require not only a continuation of bed-reduction efforts at DPC, but a much more concerted approach to manage inpatient utilization within the IMDs.</w:t>
      </w:r>
    </w:p>
    <w:p w:rsidR="002940CB" w:rsidRDefault="002940CB" w:rsidP="0040508B">
      <w:pPr>
        <w:pStyle w:val="ListParagraph"/>
        <w:keepNext/>
        <w:numPr>
          <w:ilvl w:val="0"/>
          <w:numId w:val="11"/>
        </w:numPr>
        <w:spacing w:after="120"/>
        <w:contextualSpacing w:val="0"/>
        <w:rPr>
          <w:rFonts w:ascii="Times New Roman" w:hAnsi="Times New Roman"/>
          <w:sz w:val="24"/>
          <w:szCs w:val="24"/>
        </w:rPr>
      </w:pPr>
      <w:r>
        <w:rPr>
          <w:rFonts w:ascii="Times New Roman" w:hAnsi="Times New Roman"/>
          <w:i/>
          <w:sz w:val="24"/>
          <w:szCs w:val="24"/>
        </w:rPr>
        <w:t>Inpatient Care Management by DSAMH</w:t>
      </w:r>
    </w:p>
    <w:p w:rsidR="007202F4" w:rsidRDefault="002940CB" w:rsidP="0040508B">
      <w:pPr>
        <w:pStyle w:val="ListParagraph"/>
        <w:keepLines/>
        <w:spacing w:after="120"/>
        <w:ind w:left="1440"/>
        <w:contextualSpacing w:val="0"/>
        <w:rPr>
          <w:rFonts w:ascii="Times New Roman" w:hAnsi="Times New Roman"/>
          <w:sz w:val="24"/>
          <w:szCs w:val="24"/>
        </w:rPr>
      </w:pPr>
      <w:r>
        <w:rPr>
          <w:rFonts w:ascii="Times New Roman" w:hAnsi="Times New Roman"/>
          <w:sz w:val="24"/>
          <w:szCs w:val="24"/>
        </w:rPr>
        <w:t>Individuals’ inpatient care in IMDs is managed by DSAMH</w:t>
      </w:r>
      <w:r w:rsidR="009B00FD">
        <w:rPr>
          <w:rFonts w:ascii="Times New Roman" w:hAnsi="Times New Roman"/>
          <w:sz w:val="24"/>
          <w:szCs w:val="24"/>
        </w:rPr>
        <w:t>’s Eligibility and Enrollment Unit (“EEU”)</w:t>
      </w:r>
      <w:r>
        <w:rPr>
          <w:rFonts w:ascii="Times New Roman" w:hAnsi="Times New Roman"/>
          <w:sz w:val="24"/>
          <w:szCs w:val="24"/>
        </w:rPr>
        <w:t xml:space="preserve"> when they are uninsured</w:t>
      </w:r>
      <w:r w:rsidR="009B00FD">
        <w:rPr>
          <w:rFonts w:ascii="Times New Roman" w:hAnsi="Times New Roman"/>
          <w:sz w:val="24"/>
          <w:szCs w:val="24"/>
        </w:rPr>
        <w:t xml:space="preserve">, </w:t>
      </w:r>
      <w:r w:rsidR="007202F4">
        <w:rPr>
          <w:rFonts w:ascii="Times New Roman" w:hAnsi="Times New Roman"/>
          <w:sz w:val="24"/>
          <w:szCs w:val="24"/>
        </w:rPr>
        <w:t xml:space="preserve">when they have been carved out for high-end services (such as Assertive Community Treatment), </w:t>
      </w:r>
      <w:r w:rsidR="009B00FD">
        <w:rPr>
          <w:rFonts w:ascii="Times New Roman" w:hAnsi="Times New Roman"/>
          <w:sz w:val="24"/>
          <w:szCs w:val="24"/>
        </w:rPr>
        <w:t>or when individuals who have Medicaid coverage have exhausted their benefit</w:t>
      </w:r>
      <w:r w:rsidR="007202F4">
        <w:rPr>
          <w:rFonts w:ascii="Times New Roman" w:hAnsi="Times New Roman"/>
          <w:sz w:val="24"/>
          <w:szCs w:val="24"/>
        </w:rPr>
        <w:t>s</w:t>
      </w:r>
      <w:r w:rsidR="009B00FD">
        <w:rPr>
          <w:rFonts w:ascii="Times New Roman" w:hAnsi="Times New Roman"/>
          <w:sz w:val="24"/>
          <w:szCs w:val="24"/>
        </w:rPr>
        <w:t xml:space="preserve"> under the capitated managed care contracts DMMA holds with MCO</w:t>
      </w:r>
      <w:r w:rsidR="00041EB7">
        <w:rPr>
          <w:rFonts w:ascii="Times New Roman" w:hAnsi="Times New Roman"/>
          <w:sz w:val="24"/>
          <w:szCs w:val="24"/>
        </w:rPr>
        <w:t>s</w:t>
      </w:r>
      <w:r w:rsidR="009B00FD">
        <w:rPr>
          <w:rFonts w:ascii="Times New Roman" w:hAnsi="Times New Roman"/>
          <w:sz w:val="24"/>
          <w:szCs w:val="24"/>
        </w:rPr>
        <w:t xml:space="preserve">.  </w:t>
      </w:r>
    </w:p>
    <w:p w:rsidR="00A47FBC" w:rsidRDefault="009B00FD" w:rsidP="007202F4">
      <w:pPr>
        <w:pStyle w:val="ListParagraph"/>
        <w:spacing w:after="120"/>
        <w:ind w:left="1440"/>
        <w:contextualSpacing w:val="0"/>
        <w:rPr>
          <w:rFonts w:ascii="Times New Roman" w:hAnsi="Times New Roman"/>
          <w:sz w:val="24"/>
          <w:szCs w:val="24"/>
        </w:rPr>
      </w:pPr>
      <w:r>
        <w:rPr>
          <w:rFonts w:ascii="Times New Roman" w:hAnsi="Times New Roman"/>
          <w:sz w:val="24"/>
          <w:szCs w:val="24"/>
        </w:rPr>
        <w:t>The EEU is not staffed to review and approve admissions before they occur.  However, when an individual is admitted with DSAMH as the payor, that individual has gone through one or more gatekeepers within the mental health system (e.g., a Crisis Walk-In Center, Mobile Crisis)</w:t>
      </w:r>
      <w:r w:rsidR="007202F4">
        <w:rPr>
          <w:rFonts w:ascii="Times New Roman" w:hAnsi="Times New Roman"/>
          <w:sz w:val="24"/>
          <w:szCs w:val="24"/>
        </w:rPr>
        <w:t>,</w:t>
      </w:r>
      <w:r>
        <w:rPr>
          <w:rFonts w:ascii="Times New Roman" w:hAnsi="Times New Roman"/>
          <w:sz w:val="24"/>
          <w:szCs w:val="24"/>
        </w:rPr>
        <w:t xml:space="preserve"> and a determination has been made that alternatives to inpatient care (such as Crisis Apartments) are not viable. DSAMH has recently expanded its capacity to conduct on-site Utilization Review at the IMDs</w:t>
      </w:r>
      <w:r w:rsidR="00A47FBC">
        <w:rPr>
          <w:rFonts w:ascii="Times New Roman" w:hAnsi="Times New Roman"/>
          <w:sz w:val="24"/>
          <w:szCs w:val="24"/>
        </w:rPr>
        <w:t xml:space="preserve">.  Typically, approval for inpatient care is given in 24-hour increments.  </w:t>
      </w:r>
    </w:p>
    <w:p w:rsidR="00A47FBC" w:rsidRDefault="00A47FBC" w:rsidP="00C51E13">
      <w:pPr>
        <w:pStyle w:val="ListParagraph"/>
        <w:keepNext/>
        <w:numPr>
          <w:ilvl w:val="0"/>
          <w:numId w:val="11"/>
        </w:numPr>
        <w:spacing w:after="120"/>
        <w:contextualSpacing w:val="0"/>
        <w:rPr>
          <w:rFonts w:ascii="Times New Roman" w:hAnsi="Times New Roman"/>
          <w:sz w:val="24"/>
          <w:szCs w:val="24"/>
        </w:rPr>
      </w:pPr>
      <w:r>
        <w:rPr>
          <w:rFonts w:ascii="Times New Roman" w:hAnsi="Times New Roman"/>
          <w:i/>
          <w:sz w:val="24"/>
          <w:szCs w:val="24"/>
        </w:rPr>
        <w:t>Inpatient Care Management by DMMA</w:t>
      </w:r>
    </w:p>
    <w:p w:rsidR="007202F4" w:rsidRDefault="00A47FBC" w:rsidP="001136D3">
      <w:pPr>
        <w:pStyle w:val="ListParagraph"/>
        <w:spacing w:after="120"/>
        <w:ind w:left="1440"/>
        <w:contextualSpacing w:val="0"/>
        <w:rPr>
          <w:rFonts w:ascii="Times New Roman" w:hAnsi="Times New Roman"/>
          <w:sz w:val="24"/>
          <w:szCs w:val="24"/>
        </w:rPr>
      </w:pPr>
      <w:r>
        <w:rPr>
          <w:rFonts w:ascii="Times New Roman" w:hAnsi="Times New Roman"/>
          <w:sz w:val="24"/>
          <w:szCs w:val="24"/>
        </w:rPr>
        <w:t>Inpatient care is managed by DMMA when an individual is Medicaid eligible and has not expended a 30-day annual inpatient benefit that is a part of the State’s capitated managed care contracts with two privately</w:t>
      </w:r>
      <w:r w:rsidR="00347F34">
        <w:rPr>
          <w:rFonts w:ascii="Times New Roman" w:hAnsi="Times New Roman"/>
          <w:sz w:val="24"/>
          <w:szCs w:val="24"/>
        </w:rPr>
        <w:t>-</w:t>
      </w:r>
      <w:r>
        <w:rPr>
          <w:rFonts w:ascii="Times New Roman" w:hAnsi="Times New Roman"/>
          <w:sz w:val="24"/>
          <w:szCs w:val="24"/>
        </w:rPr>
        <w:t xml:space="preserve">operated MCOs.  </w:t>
      </w:r>
    </w:p>
    <w:p w:rsidR="00041EB7" w:rsidRDefault="00A47FBC" w:rsidP="001136D3">
      <w:pPr>
        <w:pStyle w:val="ListParagraph"/>
        <w:spacing w:after="120"/>
        <w:ind w:left="1440"/>
        <w:contextualSpacing w:val="0"/>
        <w:rPr>
          <w:rFonts w:ascii="Times New Roman" w:hAnsi="Times New Roman"/>
          <w:sz w:val="24"/>
          <w:szCs w:val="24"/>
        </w:rPr>
      </w:pPr>
      <w:r>
        <w:rPr>
          <w:rFonts w:ascii="Times New Roman" w:hAnsi="Times New Roman"/>
          <w:sz w:val="24"/>
          <w:szCs w:val="24"/>
        </w:rPr>
        <w:t xml:space="preserve">The general premise behind </w:t>
      </w:r>
      <w:r w:rsidR="00041EB7">
        <w:rPr>
          <w:rFonts w:ascii="Times New Roman" w:hAnsi="Times New Roman"/>
          <w:sz w:val="24"/>
          <w:szCs w:val="24"/>
        </w:rPr>
        <w:t xml:space="preserve">such </w:t>
      </w:r>
      <w:r>
        <w:rPr>
          <w:rFonts w:ascii="Times New Roman" w:hAnsi="Times New Roman"/>
          <w:sz w:val="24"/>
          <w:szCs w:val="24"/>
        </w:rPr>
        <w:t>capitated MCO arrangements with states is that these organizations are allotted fixed (“capitated”) healthcare budgets based on the number of individuals insured</w:t>
      </w:r>
      <w:r w:rsidR="00347F34">
        <w:rPr>
          <w:rFonts w:ascii="Times New Roman" w:hAnsi="Times New Roman"/>
          <w:sz w:val="24"/>
          <w:szCs w:val="24"/>
        </w:rPr>
        <w:t xml:space="preserve"> and their needs</w:t>
      </w:r>
      <w:r>
        <w:rPr>
          <w:rFonts w:ascii="Times New Roman" w:hAnsi="Times New Roman"/>
          <w:sz w:val="24"/>
          <w:szCs w:val="24"/>
        </w:rPr>
        <w:t xml:space="preserve">, and that the financial incentives to contain costs and to reduce the risk of being financial liable for overspending the capitated rate will improve efficiencies.  The problem with the psychiatric inpatient arrangement with the MCOs in Delaware is </w:t>
      </w:r>
      <w:r w:rsidR="00201985">
        <w:rPr>
          <w:rFonts w:ascii="Times New Roman" w:hAnsi="Times New Roman"/>
          <w:sz w:val="24"/>
          <w:szCs w:val="24"/>
        </w:rPr>
        <w:t xml:space="preserve">that these organizations are not at full </w:t>
      </w:r>
      <w:r>
        <w:rPr>
          <w:rFonts w:ascii="Times New Roman" w:hAnsi="Times New Roman"/>
          <w:sz w:val="24"/>
          <w:szCs w:val="24"/>
        </w:rPr>
        <w:t xml:space="preserve">risk.  </w:t>
      </w:r>
      <w:proofErr w:type="gramStart"/>
      <w:r w:rsidR="005D2311">
        <w:rPr>
          <w:rFonts w:ascii="Times New Roman" w:hAnsi="Times New Roman"/>
          <w:sz w:val="24"/>
          <w:szCs w:val="24"/>
        </w:rPr>
        <w:t>Instead of the MCO being liable for the full cost of an insured individual’s inpatient psychiatric care, once the Medicaid benefit is used up, DSAMH picks up any further inpatient psychiatric costs.</w:t>
      </w:r>
      <w:proofErr w:type="gramEnd"/>
      <w:r w:rsidR="005D2311">
        <w:rPr>
          <w:rFonts w:ascii="Times New Roman" w:hAnsi="Times New Roman"/>
          <w:sz w:val="24"/>
          <w:szCs w:val="24"/>
        </w:rPr>
        <w:t xml:space="preserve">  In other words, the degree of the MCO’s risk—ostensibly a significant driver of cost-efficient care in the managed care world—</w:t>
      </w:r>
      <w:r w:rsidR="00201985">
        <w:rPr>
          <w:rFonts w:ascii="Times New Roman" w:hAnsi="Times New Roman"/>
          <w:sz w:val="24"/>
          <w:szCs w:val="24"/>
        </w:rPr>
        <w:t xml:space="preserve">is </w:t>
      </w:r>
      <w:r w:rsidR="005D2311">
        <w:rPr>
          <w:rFonts w:ascii="Times New Roman" w:hAnsi="Times New Roman"/>
          <w:sz w:val="24"/>
          <w:szCs w:val="24"/>
        </w:rPr>
        <w:t xml:space="preserve">limited by the 30-day annual benefit.  </w:t>
      </w:r>
    </w:p>
    <w:p w:rsidR="00B95D5A" w:rsidRDefault="001136D3" w:rsidP="001136D3">
      <w:pPr>
        <w:pStyle w:val="ListParagraph"/>
        <w:spacing w:after="120"/>
        <w:ind w:left="1440"/>
        <w:contextualSpacing w:val="0"/>
        <w:rPr>
          <w:rFonts w:ascii="Times New Roman" w:hAnsi="Times New Roman"/>
          <w:sz w:val="24"/>
          <w:szCs w:val="24"/>
        </w:rPr>
      </w:pPr>
      <w:r>
        <w:rPr>
          <w:rFonts w:ascii="Times New Roman" w:hAnsi="Times New Roman"/>
          <w:sz w:val="24"/>
          <w:szCs w:val="24"/>
        </w:rPr>
        <w:t>As is the case with DSAMH, most inpatient care is approved after an individual has already been admitted to an IMD</w:t>
      </w:r>
      <w:r w:rsidR="00143968">
        <w:rPr>
          <w:rFonts w:ascii="Times New Roman" w:hAnsi="Times New Roman"/>
          <w:sz w:val="24"/>
          <w:szCs w:val="24"/>
        </w:rPr>
        <w:t xml:space="preserve"> and reviews take place during regular weekday business hours</w:t>
      </w:r>
      <w:r>
        <w:rPr>
          <w:rFonts w:ascii="Times New Roman" w:hAnsi="Times New Roman"/>
          <w:sz w:val="24"/>
          <w:szCs w:val="24"/>
        </w:rPr>
        <w:t xml:space="preserve">.  </w:t>
      </w:r>
      <w:r w:rsidR="007202F4">
        <w:rPr>
          <w:rFonts w:ascii="Times New Roman" w:hAnsi="Times New Roman"/>
          <w:sz w:val="24"/>
          <w:szCs w:val="24"/>
        </w:rPr>
        <w:t xml:space="preserve">IMDs have up to </w:t>
      </w:r>
      <w:r>
        <w:rPr>
          <w:rFonts w:ascii="Times New Roman" w:hAnsi="Times New Roman"/>
          <w:sz w:val="24"/>
          <w:szCs w:val="24"/>
        </w:rPr>
        <w:t xml:space="preserve">48 hours </w:t>
      </w:r>
      <w:r w:rsidR="007202F4">
        <w:rPr>
          <w:rFonts w:ascii="Times New Roman" w:hAnsi="Times New Roman"/>
          <w:sz w:val="24"/>
          <w:szCs w:val="24"/>
        </w:rPr>
        <w:t>following</w:t>
      </w:r>
      <w:r>
        <w:rPr>
          <w:rFonts w:ascii="Times New Roman" w:hAnsi="Times New Roman"/>
          <w:sz w:val="24"/>
          <w:szCs w:val="24"/>
        </w:rPr>
        <w:t xml:space="preserve"> admission</w:t>
      </w:r>
      <w:r w:rsidR="007202F4">
        <w:rPr>
          <w:rFonts w:ascii="Times New Roman" w:hAnsi="Times New Roman"/>
          <w:sz w:val="24"/>
          <w:szCs w:val="24"/>
        </w:rPr>
        <w:t xml:space="preserve"> to submit documentation to MCOs for a determination of whether hospital care is needed (although the admission has already occurred)</w:t>
      </w:r>
      <w:r>
        <w:rPr>
          <w:rFonts w:ascii="Times New Roman" w:hAnsi="Times New Roman"/>
          <w:sz w:val="24"/>
          <w:szCs w:val="24"/>
        </w:rPr>
        <w:t>.  Per DMMA, denials of admission by MCOs are estimated to occur less than 10% of the time</w:t>
      </w:r>
      <w:r w:rsidR="007202F4">
        <w:rPr>
          <w:rFonts w:ascii="Times New Roman" w:hAnsi="Times New Roman"/>
          <w:sz w:val="24"/>
          <w:szCs w:val="24"/>
        </w:rPr>
        <w:t>. On average, the</w:t>
      </w:r>
      <w:r w:rsidR="00041EB7">
        <w:rPr>
          <w:rFonts w:ascii="Times New Roman" w:hAnsi="Times New Roman"/>
          <w:sz w:val="24"/>
          <w:szCs w:val="24"/>
        </w:rPr>
        <w:t xml:space="preserve"> approval is granted for 6.4 days</w:t>
      </w:r>
      <w:r>
        <w:rPr>
          <w:rFonts w:ascii="Times New Roman" w:hAnsi="Times New Roman"/>
          <w:sz w:val="24"/>
          <w:szCs w:val="24"/>
        </w:rPr>
        <w:t xml:space="preserve">.  </w:t>
      </w:r>
    </w:p>
    <w:p w:rsidR="00B95D5A" w:rsidRDefault="00A72DAF" w:rsidP="001136D3">
      <w:pPr>
        <w:pStyle w:val="ListParagraph"/>
        <w:spacing w:after="120"/>
        <w:ind w:left="1440"/>
        <w:contextualSpacing w:val="0"/>
        <w:rPr>
          <w:rFonts w:ascii="Times New Roman" w:hAnsi="Times New Roman"/>
          <w:sz w:val="24"/>
          <w:szCs w:val="24"/>
        </w:rPr>
      </w:pPr>
      <w:r>
        <w:rPr>
          <w:rFonts w:ascii="Times New Roman" w:hAnsi="Times New Roman"/>
          <w:sz w:val="24"/>
          <w:szCs w:val="24"/>
        </w:rPr>
        <w:t>People with SPMI whose hospital admissions are managed by the MCOs may—or may not—have passed through DSAMH’s gate</w:t>
      </w:r>
      <w:r w:rsidR="007202F4">
        <w:rPr>
          <w:rFonts w:ascii="Times New Roman" w:hAnsi="Times New Roman"/>
          <w:sz w:val="24"/>
          <w:szCs w:val="24"/>
        </w:rPr>
        <w:t xml:space="preserve">keeping and diversion processes.  </w:t>
      </w:r>
      <w:r w:rsidR="00347F34">
        <w:rPr>
          <w:rFonts w:ascii="Times New Roman" w:hAnsi="Times New Roman"/>
          <w:sz w:val="24"/>
          <w:szCs w:val="24"/>
        </w:rPr>
        <w:t>This is particularly problematic because</w:t>
      </w:r>
      <w:r w:rsidR="007202F4">
        <w:rPr>
          <w:rFonts w:ascii="Times New Roman" w:hAnsi="Times New Roman"/>
          <w:sz w:val="24"/>
          <w:szCs w:val="24"/>
        </w:rPr>
        <w:t>, MCOs’</w:t>
      </w:r>
      <w:r>
        <w:rPr>
          <w:rFonts w:ascii="Times New Roman" w:hAnsi="Times New Roman"/>
          <w:sz w:val="24"/>
          <w:szCs w:val="24"/>
        </w:rPr>
        <w:t xml:space="preserve"> decision making has not been well integrated with the full array of alternatives available through DSAMH (many of the</w:t>
      </w:r>
      <w:r w:rsidR="00D70236">
        <w:rPr>
          <w:rFonts w:ascii="Times New Roman" w:hAnsi="Times New Roman"/>
          <w:sz w:val="24"/>
          <w:szCs w:val="24"/>
        </w:rPr>
        <w:t>se alternatives</w:t>
      </w:r>
      <w:r>
        <w:rPr>
          <w:rFonts w:ascii="Times New Roman" w:hAnsi="Times New Roman"/>
          <w:sz w:val="24"/>
          <w:szCs w:val="24"/>
        </w:rPr>
        <w:t>, such as Crisis Apartments</w:t>
      </w:r>
      <w:r w:rsidR="00041EB7">
        <w:rPr>
          <w:rFonts w:ascii="Times New Roman" w:hAnsi="Times New Roman"/>
          <w:sz w:val="24"/>
          <w:szCs w:val="24"/>
        </w:rPr>
        <w:t xml:space="preserve"> and Targeted Care Management</w:t>
      </w:r>
      <w:r>
        <w:rPr>
          <w:rFonts w:ascii="Times New Roman" w:hAnsi="Times New Roman"/>
          <w:sz w:val="24"/>
          <w:szCs w:val="24"/>
        </w:rPr>
        <w:t xml:space="preserve">, were developed pursuant to this Agreement).  </w:t>
      </w:r>
    </w:p>
    <w:p w:rsidR="001136D3" w:rsidRDefault="00A72DAF" w:rsidP="001136D3">
      <w:pPr>
        <w:pStyle w:val="ListParagraph"/>
        <w:spacing w:after="120"/>
        <w:ind w:left="1440"/>
        <w:contextualSpacing w:val="0"/>
        <w:rPr>
          <w:rFonts w:ascii="Times New Roman" w:hAnsi="Times New Roman"/>
          <w:sz w:val="24"/>
          <w:szCs w:val="24"/>
        </w:rPr>
      </w:pPr>
      <w:r>
        <w:rPr>
          <w:rFonts w:ascii="Times New Roman" w:hAnsi="Times New Roman"/>
          <w:sz w:val="24"/>
          <w:szCs w:val="24"/>
        </w:rPr>
        <w:t xml:space="preserve">Finally, it is important to note that although DMMA contracts with these private entities (similarly, DSAMH contracts with private providers for mental health services), the responsibility for fulfillment of this Agreement and the requirements of the ADA rests with the State.  </w:t>
      </w:r>
      <w:r w:rsidR="000B29C8">
        <w:rPr>
          <w:rFonts w:ascii="Times New Roman" w:hAnsi="Times New Roman"/>
          <w:sz w:val="24"/>
          <w:szCs w:val="24"/>
        </w:rPr>
        <w:t xml:space="preserve">DMMA will need to </w:t>
      </w:r>
      <w:r w:rsidR="00ED6388">
        <w:rPr>
          <w:rFonts w:ascii="Times New Roman" w:hAnsi="Times New Roman"/>
          <w:sz w:val="24"/>
          <w:szCs w:val="24"/>
        </w:rPr>
        <w:t xml:space="preserve">make this a priority and to </w:t>
      </w:r>
      <w:r w:rsidR="000B29C8">
        <w:rPr>
          <w:rFonts w:ascii="Times New Roman" w:hAnsi="Times New Roman"/>
          <w:sz w:val="24"/>
          <w:szCs w:val="24"/>
        </w:rPr>
        <w:t xml:space="preserve">work </w:t>
      </w:r>
      <w:r w:rsidR="00ED6388">
        <w:rPr>
          <w:rFonts w:ascii="Times New Roman" w:hAnsi="Times New Roman"/>
          <w:sz w:val="24"/>
          <w:szCs w:val="24"/>
        </w:rPr>
        <w:t xml:space="preserve">much more </w:t>
      </w:r>
      <w:r w:rsidR="000B29C8">
        <w:rPr>
          <w:rFonts w:ascii="Times New Roman" w:hAnsi="Times New Roman"/>
          <w:sz w:val="24"/>
          <w:szCs w:val="24"/>
        </w:rPr>
        <w:t xml:space="preserve">closely with the </w:t>
      </w:r>
      <w:r w:rsidR="00ED6388">
        <w:rPr>
          <w:rFonts w:ascii="Times New Roman" w:hAnsi="Times New Roman"/>
          <w:sz w:val="24"/>
          <w:szCs w:val="24"/>
        </w:rPr>
        <w:t xml:space="preserve">MCOs to assure that Medicaid-funded services to individuals with serious mental illness are in accordance with the ADA and the Agreement. </w:t>
      </w:r>
    </w:p>
    <w:p w:rsidR="009324BA" w:rsidRDefault="00A47FBC" w:rsidP="009324BA">
      <w:pPr>
        <w:pStyle w:val="ListParagraph"/>
        <w:spacing w:after="120"/>
        <w:contextualSpacing w:val="0"/>
        <w:rPr>
          <w:rFonts w:ascii="Times New Roman" w:hAnsi="Times New Roman"/>
          <w:sz w:val="24"/>
          <w:szCs w:val="24"/>
        </w:rPr>
      </w:pPr>
      <w:r>
        <w:rPr>
          <w:rFonts w:ascii="Times New Roman" w:hAnsi="Times New Roman"/>
          <w:sz w:val="24"/>
          <w:szCs w:val="24"/>
        </w:rPr>
        <w:t xml:space="preserve"> </w:t>
      </w:r>
      <w:r w:rsidR="009B00FD">
        <w:rPr>
          <w:rFonts w:ascii="Times New Roman" w:hAnsi="Times New Roman"/>
          <w:sz w:val="24"/>
          <w:szCs w:val="24"/>
        </w:rPr>
        <w:t xml:space="preserve">  </w:t>
      </w:r>
      <w:r w:rsidR="002940CB">
        <w:rPr>
          <w:rFonts w:ascii="Times New Roman" w:hAnsi="Times New Roman"/>
          <w:sz w:val="24"/>
          <w:szCs w:val="24"/>
        </w:rPr>
        <w:t xml:space="preserve">  </w:t>
      </w:r>
    </w:p>
    <w:p w:rsidR="00596C07" w:rsidRDefault="0044060A" w:rsidP="002D2443">
      <w:pPr>
        <w:pStyle w:val="ListParagraph"/>
        <w:spacing w:after="120"/>
        <w:contextualSpacing w:val="0"/>
        <w:rPr>
          <w:rFonts w:ascii="Times New Roman" w:hAnsi="Times New Roman"/>
          <w:sz w:val="24"/>
          <w:szCs w:val="24"/>
        </w:rPr>
      </w:pPr>
      <w:r>
        <w:rPr>
          <w:rFonts w:ascii="Times New Roman" w:hAnsi="Times New Roman"/>
          <w:sz w:val="24"/>
          <w:szCs w:val="24"/>
        </w:rPr>
        <w:t>During the past year, the Monitor has been working closely with leadership in DHSS, DSAMH and DMMA</w:t>
      </w:r>
      <w:r w:rsidR="00292D2C">
        <w:rPr>
          <w:rFonts w:ascii="Times New Roman" w:hAnsi="Times New Roman"/>
          <w:sz w:val="24"/>
          <w:szCs w:val="24"/>
        </w:rPr>
        <w:t xml:space="preserve"> to craft a plan for services management that will further the State’s compliance with this Agreement, </w:t>
      </w:r>
      <w:r w:rsidR="00E333F6">
        <w:rPr>
          <w:rFonts w:ascii="Times New Roman" w:hAnsi="Times New Roman"/>
          <w:sz w:val="24"/>
          <w:szCs w:val="24"/>
        </w:rPr>
        <w:t>streamline</w:t>
      </w:r>
      <w:r w:rsidR="00292D2C">
        <w:rPr>
          <w:rFonts w:ascii="Times New Roman" w:hAnsi="Times New Roman"/>
          <w:sz w:val="24"/>
          <w:szCs w:val="24"/>
        </w:rPr>
        <w:t xml:space="preserve"> its oversight of services and outcomes for people with serious mental illness, and ensure that public dollars are being utilized in ways that reduce costly hospitalizations.  </w:t>
      </w:r>
      <w:r w:rsidR="00E333F6">
        <w:rPr>
          <w:rFonts w:ascii="Times New Roman" w:hAnsi="Times New Roman"/>
          <w:sz w:val="24"/>
          <w:szCs w:val="24"/>
        </w:rPr>
        <w:t>This work is ongoing and reflects collaboration across Divisions</w:t>
      </w:r>
      <w:r w:rsidR="00860BDF">
        <w:rPr>
          <w:rFonts w:ascii="Times New Roman" w:hAnsi="Times New Roman"/>
          <w:sz w:val="24"/>
          <w:szCs w:val="24"/>
        </w:rPr>
        <w:t>.  H</w:t>
      </w:r>
      <w:r w:rsidR="00D70236">
        <w:rPr>
          <w:rFonts w:ascii="Times New Roman" w:hAnsi="Times New Roman"/>
          <w:sz w:val="24"/>
          <w:szCs w:val="24"/>
        </w:rPr>
        <w:t xml:space="preserve">owever, two years into implementation of the Agreement, there is still no basic framework for </w:t>
      </w:r>
      <w:r w:rsidR="00860BDF">
        <w:rPr>
          <w:rFonts w:ascii="Times New Roman" w:hAnsi="Times New Roman"/>
          <w:sz w:val="24"/>
          <w:szCs w:val="24"/>
        </w:rPr>
        <w:t xml:space="preserve">how </w:t>
      </w:r>
      <w:r w:rsidR="00D70236">
        <w:rPr>
          <w:rFonts w:ascii="Times New Roman" w:hAnsi="Times New Roman"/>
          <w:sz w:val="24"/>
          <w:szCs w:val="24"/>
        </w:rPr>
        <w:t>this critical oversight will occur</w:t>
      </w:r>
      <w:r w:rsidR="00E333F6">
        <w:rPr>
          <w:rFonts w:ascii="Times New Roman" w:hAnsi="Times New Roman"/>
          <w:sz w:val="24"/>
          <w:szCs w:val="24"/>
        </w:rPr>
        <w:t xml:space="preserve">.  </w:t>
      </w:r>
    </w:p>
    <w:p w:rsidR="00596C07" w:rsidRDefault="00E333F6" w:rsidP="002D2443">
      <w:pPr>
        <w:pStyle w:val="ListParagraph"/>
        <w:spacing w:after="120"/>
        <w:contextualSpacing w:val="0"/>
        <w:rPr>
          <w:rFonts w:ascii="Times New Roman" w:hAnsi="Times New Roman"/>
          <w:sz w:val="24"/>
          <w:szCs w:val="24"/>
        </w:rPr>
      </w:pPr>
      <w:r>
        <w:rPr>
          <w:rFonts w:ascii="Times New Roman" w:hAnsi="Times New Roman"/>
          <w:sz w:val="24"/>
          <w:szCs w:val="24"/>
        </w:rPr>
        <w:t xml:space="preserve">With respect to the State’s obligations under the Agreement, a more coherent and unified process for services management has critical and very time-sensitive implications.  For example, as is discussed later in this report, the Agreement includes </w:t>
      </w:r>
      <w:r w:rsidR="00860BDF">
        <w:rPr>
          <w:rFonts w:ascii="Times New Roman" w:hAnsi="Times New Roman"/>
          <w:sz w:val="24"/>
          <w:szCs w:val="24"/>
        </w:rPr>
        <w:t>an</w:t>
      </w:r>
      <w:r>
        <w:rPr>
          <w:rFonts w:ascii="Times New Roman" w:hAnsi="Times New Roman"/>
          <w:sz w:val="24"/>
          <w:szCs w:val="24"/>
        </w:rPr>
        <w:t xml:space="preserve"> important requirement that inpatient bed-days be reduced by 30% in about a year.  Achievement of this goal will reflect the culmination of most of the program reforms required by the Agreement (for instance, Mobile Crisis, ACT, </w:t>
      </w:r>
      <w:r w:rsidR="007C5F9E">
        <w:rPr>
          <w:rFonts w:ascii="Times New Roman" w:hAnsi="Times New Roman"/>
          <w:sz w:val="24"/>
          <w:szCs w:val="24"/>
        </w:rPr>
        <w:t xml:space="preserve">and Crisis </w:t>
      </w:r>
      <w:r>
        <w:rPr>
          <w:rFonts w:ascii="Times New Roman" w:hAnsi="Times New Roman"/>
          <w:sz w:val="24"/>
          <w:szCs w:val="24"/>
        </w:rPr>
        <w:t>Apartments)</w:t>
      </w:r>
      <w:r w:rsidR="00347F34">
        <w:rPr>
          <w:rFonts w:ascii="Times New Roman" w:hAnsi="Times New Roman"/>
          <w:sz w:val="24"/>
          <w:szCs w:val="24"/>
        </w:rPr>
        <w:t>, but it cannot rely on those alone</w:t>
      </w:r>
      <w:r>
        <w:rPr>
          <w:rFonts w:ascii="Times New Roman" w:hAnsi="Times New Roman"/>
          <w:sz w:val="24"/>
          <w:szCs w:val="24"/>
        </w:rPr>
        <w:t>.  It will also require careful control over hospitalizatio</w:t>
      </w:r>
      <w:r w:rsidR="007C5F9E">
        <w:rPr>
          <w:rFonts w:ascii="Times New Roman" w:hAnsi="Times New Roman"/>
          <w:sz w:val="24"/>
          <w:szCs w:val="24"/>
        </w:rPr>
        <w:t xml:space="preserve">ns.  </w:t>
      </w:r>
      <w:r w:rsidR="00A028C5">
        <w:rPr>
          <w:rFonts w:ascii="Times New Roman" w:hAnsi="Times New Roman"/>
          <w:sz w:val="24"/>
          <w:szCs w:val="24"/>
        </w:rPr>
        <w:t>Care management must integrate each of these elements</w:t>
      </w:r>
      <w:r w:rsidR="00860BDF">
        <w:rPr>
          <w:rFonts w:ascii="Times New Roman" w:hAnsi="Times New Roman"/>
          <w:sz w:val="24"/>
          <w:szCs w:val="24"/>
        </w:rPr>
        <w:t xml:space="preserve">, and it must </w:t>
      </w:r>
      <w:r w:rsidR="00347F34">
        <w:rPr>
          <w:rFonts w:ascii="Times New Roman" w:hAnsi="Times New Roman"/>
          <w:sz w:val="24"/>
          <w:szCs w:val="24"/>
        </w:rPr>
        <w:t>consider</w:t>
      </w:r>
      <w:r w:rsidR="00860BDF">
        <w:rPr>
          <w:rFonts w:ascii="Times New Roman" w:hAnsi="Times New Roman"/>
          <w:sz w:val="24"/>
          <w:szCs w:val="24"/>
        </w:rPr>
        <w:t xml:space="preserve"> (and produce) timely and consistent data</w:t>
      </w:r>
      <w:r w:rsidR="00A028C5">
        <w:rPr>
          <w:rFonts w:ascii="Times New Roman" w:hAnsi="Times New Roman"/>
          <w:sz w:val="24"/>
          <w:szCs w:val="24"/>
        </w:rPr>
        <w:t>.</w:t>
      </w:r>
      <w:r w:rsidR="00860BDF">
        <w:rPr>
          <w:rFonts w:ascii="Times New Roman" w:hAnsi="Times New Roman"/>
          <w:sz w:val="24"/>
          <w:szCs w:val="24"/>
        </w:rPr>
        <w:t xml:space="preserve">  </w:t>
      </w:r>
      <w:r w:rsidR="00347F34">
        <w:rPr>
          <w:rFonts w:ascii="Times New Roman" w:hAnsi="Times New Roman"/>
          <w:sz w:val="24"/>
          <w:szCs w:val="24"/>
        </w:rPr>
        <w:t>Finally</w:t>
      </w:r>
      <w:r w:rsidR="00860BDF">
        <w:rPr>
          <w:rFonts w:ascii="Times New Roman" w:hAnsi="Times New Roman"/>
          <w:sz w:val="24"/>
          <w:szCs w:val="24"/>
        </w:rPr>
        <w:t xml:space="preserve">, as the Monitor has repeatedly recommended in the past, there should be a single, centralized point of accountability for management of hospital admissions, regardless of the public payor. </w:t>
      </w:r>
      <w:r w:rsidR="00A028C5">
        <w:rPr>
          <w:rFonts w:ascii="Times New Roman" w:hAnsi="Times New Roman"/>
          <w:sz w:val="24"/>
          <w:szCs w:val="24"/>
        </w:rPr>
        <w:t xml:space="preserve"> T</w:t>
      </w:r>
      <w:r w:rsidR="007C5F9E">
        <w:rPr>
          <w:rFonts w:ascii="Times New Roman" w:hAnsi="Times New Roman"/>
          <w:sz w:val="24"/>
          <w:szCs w:val="24"/>
        </w:rPr>
        <w:t>he discussion below relating to hospital bed-day reducti</w:t>
      </w:r>
      <w:r w:rsidR="008D34FA">
        <w:rPr>
          <w:rFonts w:ascii="Times New Roman" w:hAnsi="Times New Roman"/>
          <w:sz w:val="24"/>
          <w:szCs w:val="24"/>
        </w:rPr>
        <w:t xml:space="preserve">on </w:t>
      </w:r>
      <w:r w:rsidR="00860BDF">
        <w:rPr>
          <w:rFonts w:ascii="Times New Roman" w:hAnsi="Times New Roman"/>
          <w:sz w:val="24"/>
          <w:szCs w:val="24"/>
        </w:rPr>
        <w:t xml:space="preserve">further </w:t>
      </w:r>
      <w:r w:rsidR="008D34FA">
        <w:rPr>
          <w:rFonts w:ascii="Times New Roman" w:hAnsi="Times New Roman"/>
          <w:sz w:val="24"/>
          <w:szCs w:val="24"/>
        </w:rPr>
        <w:t>reinforces the importance of quickly moving ahead in resolving this issue.</w:t>
      </w:r>
    </w:p>
    <w:p w:rsidR="00326015" w:rsidRDefault="00326015" w:rsidP="00A028C5">
      <w:pPr>
        <w:pStyle w:val="ListParagraph"/>
        <w:keepNext/>
        <w:spacing w:after="120"/>
        <w:ind w:left="1440"/>
        <w:contextualSpacing w:val="0"/>
        <w:rPr>
          <w:rFonts w:ascii="Times New Roman" w:hAnsi="Times New Roman"/>
          <w:sz w:val="24"/>
          <w:szCs w:val="24"/>
          <w:u w:val="single"/>
        </w:rPr>
      </w:pPr>
      <w:r>
        <w:rPr>
          <w:rFonts w:ascii="Times New Roman" w:hAnsi="Times New Roman"/>
          <w:sz w:val="24"/>
          <w:szCs w:val="24"/>
          <w:u w:val="single"/>
        </w:rPr>
        <w:t>Recommendations:</w:t>
      </w:r>
    </w:p>
    <w:p w:rsidR="00860BDF" w:rsidRDefault="00143968" w:rsidP="00143968">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 xml:space="preserve"> </w:t>
      </w:r>
      <w:r w:rsidR="00326015">
        <w:rPr>
          <w:rFonts w:ascii="Times New Roman" w:hAnsi="Times New Roman"/>
          <w:sz w:val="24"/>
          <w:szCs w:val="24"/>
        </w:rPr>
        <w:t xml:space="preserve">The Monitor is actively working with DSAMH and DMMA to bring about some immediate measures to reduce acute care bed-days in the IMDs and DPC.  These include expansions in on-site Utilization Review by DSAMH and plans for intensive meetings (beginning on a weekly basis) between </w:t>
      </w:r>
      <w:r w:rsidR="00014459">
        <w:rPr>
          <w:rFonts w:ascii="Times New Roman" w:hAnsi="Times New Roman"/>
          <w:sz w:val="24"/>
          <w:szCs w:val="24"/>
        </w:rPr>
        <w:t xml:space="preserve">the DHSS Secretary’s office, </w:t>
      </w:r>
      <w:r w:rsidR="00326015">
        <w:rPr>
          <w:rFonts w:ascii="Times New Roman" w:hAnsi="Times New Roman"/>
          <w:sz w:val="24"/>
          <w:szCs w:val="24"/>
        </w:rPr>
        <w:t xml:space="preserve">leadership at DMMA and the MCOs.  The two divisions are now working on a work plan with timelines for implementing </w:t>
      </w:r>
      <w:r w:rsidR="00860BDF">
        <w:rPr>
          <w:rFonts w:ascii="Times New Roman" w:hAnsi="Times New Roman"/>
          <w:sz w:val="24"/>
          <w:szCs w:val="24"/>
        </w:rPr>
        <w:t xml:space="preserve">various immediate-term </w:t>
      </w:r>
      <w:r w:rsidR="00326015">
        <w:rPr>
          <w:rFonts w:ascii="Times New Roman" w:hAnsi="Times New Roman"/>
          <w:sz w:val="24"/>
          <w:szCs w:val="24"/>
        </w:rPr>
        <w:t xml:space="preserve">activities aimed at the achievement of the bed-day reductions required in the Agreement.  </w:t>
      </w:r>
      <w:r w:rsidR="00860BDF">
        <w:rPr>
          <w:rFonts w:ascii="Times New Roman" w:hAnsi="Times New Roman"/>
          <w:sz w:val="24"/>
          <w:szCs w:val="24"/>
        </w:rPr>
        <w:t>A</w:t>
      </w:r>
      <w:r w:rsidR="00347F34">
        <w:rPr>
          <w:rFonts w:ascii="Times New Roman" w:hAnsi="Times New Roman"/>
          <w:sz w:val="24"/>
          <w:szCs w:val="24"/>
        </w:rPr>
        <w:t xml:space="preserve"> long-</w:t>
      </w:r>
      <w:r w:rsidR="00860BDF">
        <w:rPr>
          <w:rFonts w:ascii="Times New Roman" w:hAnsi="Times New Roman"/>
          <w:sz w:val="24"/>
          <w:szCs w:val="24"/>
        </w:rPr>
        <w:t>range plan is still lacking and needs to be developed concurrently.</w:t>
      </w:r>
    </w:p>
    <w:p w:rsidR="00281474" w:rsidRDefault="00326015" w:rsidP="00860BDF">
      <w:pPr>
        <w:pStyle w:val="ListParagraph"/>
        <w:spacing w:after="120"/>
        <w:ind w:left="1800"/>
        <w:contextualSpacing w:val="0"/>
        <w:rPr>
          <w:rFonts w:ascii="Times New Roman" w:hAnsi="Times New Roman"/>
          <w:sz w:val="24"/>
          <w:szCs w:val="24"/>
        </w:rPr>
      </w:pPr>
      <w:r>
        <w:rPr>
          <w:rFonts w:ascii="Times New Roman" w:hAnsi="Times New Roman"/>
          <w:sz w:val="24"/>
          <w:szCs w:val="24"/>
        </w:rPr>
        <w:t xml:space="preserve">Apropos of the above discussion of data systems, these actions are tied to regular statistical reports on how </w:t>
      </w:r>
      <w:r w:rsidR="00365D96">
        <w:rPr>
          <w:rFonts w:ascii="Times New Roman" w:hAnsi="Times New Roman"/>
          <w:sz w:val="24"/>
          <w:szCs w:val="24"/>
        </w:rPr>
        <w:t>the State is faring in terms of meeting its bed-use requirements and how various interventions by this collaboration are furthering efforts to meet the benchmarks included in the Agreement.</w:t>
      </w:r>
      <w:r w:rsidR="000763AD">
        <w:rPr>
          <w:rFonts w:ascii="Times New Roman" w:hAnsi="Times New Roman"/>
          <w:sz w:val="24"/>
          <w:szCs w:val="24"/>
        </w:rPr>
        <w:t xml:space="preserve">  </w:t>
      </w:r>
      <w:r w:rsidR="00C91B2D">
        <w:rPr>
          <w:rFonts w:ascii="Times New Roman" w:hAnsi="Times New Roman"/>
          <w:sz w:val="24"/>
          <w:szCs w:val="24"/>
        </w:rPr>
        <w:t>Not only in fulfillment of the Agreement, but because of pending changes in the State’s Medicaid plan and the new Medicaid expansions under the Affordable Care Act, i</w:t>
      </w:r>
      <w:r w:rsidR="000763AD">
        <w:rPr>
          <w:rFonts w:ascii="Times New Roman" w:hAnsi="Times New Roman"/>
          <w:sz w:val="24"/>
          <w:szCs w:val="24"/>
        </w:rPr>
        <w:t xml:space="preserve">t is very strongly recommended that </w:t>
      </w:r>
      <w:r w:rsidR="00143968">
        <w:rPr>
          <w:rFonts w:ascii="Times New Roman" w:hAnsi="Times New Roman"/>
          <w:sz w:val="24"/>
          <w:szCs w:val="24"/>
        </w:rPr>
        <w:t xml:space="preserve">the parties </w:t>
      </w:r>
      <w:r w:rsidR="00C91B2D">
        <w:rPr>
          <w:rFonts w:ascii="Times New Roman" w:hAnsi="Times New Roman"/>
          <w:sz w:val="24"/>
          <w:szCs w:val="24"/>
        </w:rPr>
        <w:t xml:space="preserve">aggressively </w:t>
      </w:r>
      <w:r w:rsidR="000763AD">
        <w:rPr>
          <w:rFonts w:ascii="Times New Roman" w:hAnsi="Times New Roman"/>
          <w:sz w:val="24"/>
          <w:szCs w:val="24"/>
        </w:rPr>
        <w:t xml:space="preserve">move </w:t>
      </w:r>
      <w:r w:rsidR="00C91B2D">
        <w:rPr>
          <w:rFonts w:ascii="Times New Roman" w:hAnsi="Times New Roman"/>
          <w:sz w:val="24"/>
          <w:szCs w:val="24"/>
        </w:rPr>
        <w:t xml:space="preserve">to craft an immediate and longer-range management strategy.  </w:t>
      </w:r>
    </w:p>
    <w:p w:rsidR="00F72B4F" w:rsidRDefault="00C91B2D" w:rsidP="00281474">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 xml:space="preserve">Regardless of payor, </w:t>
      </w:r>
      <w:r w:rsidR="00281474">
        <w:rPr>
          <w:rFonts w:ascii="Times New Roman" w:hAnsi="Times New Roman"/>
          <w:sz w:val="24"/>
          <w:szCs w:val="24"/>
        </w:rPr>
        <w:t>the State’s arrangements for managing services to individuals with serious mental illness need</w:t>
      </w:r>
      <w:r>
        <w:rPr>
          <w:rFonts w:ascii="Times New Roman" w:hAnsi="Times New Roman"/>
          <w:sz w:val="24"/>
          <w:szCs w:val="24"/>
        </w:rPr>
        <w:t xml:space="preserve"> to </w:t>
      </w:r>
      <w:r w:rsidR="005C40A0">
        <w:rPr>
          <w:rFonts w:ascii="Times New Roman" w:hAnsi="Times New Roman"/>
          <w:sz w:val="24"/>
          <w:szCs w:val="24"/>
        </w:rPr>
        <w:t xml:space="preserve">improve, unifying </w:t>
      </w:r>
      <w:r w:rsidR="000763AD">
        <w:rPr>
          <w:rFonts w:ascii="Times New Roman" w:hAnsi="Times New Roman"/>
          <w:sz w:val="24"/>
          <w:szCs w:val="24"/>
        </w:rPr>
        <w:t>oversight of inpatient utilization and ensur</w:t>
      </w:r>
      <w:r w:rsidR="005C40A0">
        <w:rPr>
          <w:rFonts w:ascii="Times New Roman" w:hAnsi="Times New Roman"/>
          <w:sz w:val="24"/>
          <w:szCs w:val="24"/>
        </w:rPr>
        <w:t>ing</w:t>
      </w:r>
      <w:r w:rsidR="000763AD">
        <w:rPr>
          <w:rFonts w:ascii="Times New Roman" w:hAnsi="Times New Roman"/>
          <w:sz w:val="24"/>
          <w:szCs w:val="24"/>
        </w:rPr>
        <w:t xml:space="preserve"> that individuals at risk of hospital admission are appropriately evaluated for less restrictive, less expensive alternatives.</w:t>
      </w:r>
      <w:r w:rsidR="00281474">
        <w:rPr>
          <w:rFonts w:ascii="Times New Roman" w:hAnsi="Times New Roman"/>
          <w:sz w:val="24"/>
          <w:szCs w:val="24"/>
        </w:rPr>
        <w:t xml:space="preserve">  What is urgently needed is a single point of </w:t>
      </w:r>
      <w:r w:rsidR="002709F5">
        <w:rPr>
          <w:rFonts w:ascii="Times New Roman" w:hAnsi="Times New Roman"/>
          <w:sz w:val="24"/>
          <w:szCs w:val="24"/>
        </w:rPr>
        <w:t>accountability.</w:t>
      </w:r>
    </w:p>
    <w:p w:rsidR="00326015" w:rsidRDefault="00F72B4F" w:rsidP="00F72B4F">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T</w:t>
      </w:r>
      <w:r w:rsidR="00A028C5">
        <w:rPr>
          <w:rFonts w:ascii="Times New Roman" w:hAnsi="Times New Roman"/>
          <w:sz w:val="24"/>
          <w:szCs w:val="24"/>
        </w:rPr>
        <w:t xml:space="preserve">he </w:t>
      </w:r>
      <w:r>
        <w:rPr>
          <w:rFonts w:ascii="Times New Roman" w:hAnsi="Times New Roman"/>
          <w:sz w:val="24"/>
          <w:szCs w:val="24"/>
        </w:rPr>
        <w:t xml:space="preserve">clinical </w:t>
      </w:r>
      <w:r w:rsidR="00A028C5">
        <w:rPr>
          <w:rFonts w:ascii="Times New Roman" w:hAnsi="Times New Roman"/>
          <w:sz w:val="24"/>
          <w:szCs w:val="24"/>
        </w:rPr>
        <w:t>criteria applied to determine the need for inpatient psychiatric</w:t>
      </w:r>
      <w:r>
        <w:rPr>
          <w:rFonts w:ascii="Times New Roman" w:hAnsi="Times New Roman"/>
          <w:sz w:val="24"/>
          <w:szCs w:val="24"/>
        </w:rPr>
        <w:t xml:space="preserve"> care and whether less intrusive alternatives are appropriate</w:t>
      </w:r>
      <w:r w:rsidR="00A028C5">
        <w:rPr>
          <w:rFonts w:ascii="Times New Roman" w:hAnsi="Times New Roman"/>
          <w:sz w:val="24"/>
          <w:szCs w:val="24"/>
        </w:rPr>
        <w:t xml:space="preserve"> should be the same, whether DMMA or DSAMH is paying for the cost of hospitalization. </w:t>
      </w:r>
    </w:p>
    <w:p w:rsidR="00721C3D" w:rsidRDefault="00721C3D" w:rsidP="00143968">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 xml:space="preserve">Because it is much harder to implement alternatives to </w:t>
      </w:r>
      <w:r w:rsidR="00B95D5A">
        <w:rPr>
          <w:rFonts w:ascii="Times New Roman" w:hAnsi="Times New Roman"/>
          <w:sz w:val="24"/>
          <w:szCs w:val="24"/>
        </w:rPr>
        <w:t xml:space="preserve">unnecessary </w:t>
      </w:r>
      <w:r>
        <w:rPr>
          <w:rFonts w:ascii="Times New Roman" w:hAnsi="Times New Roman"/>
          <w:sz w:val="24"/>
          <w:szCs w:val="24"/>
        </w:rPr>
        <w:t>hospital care—and much more disruptive for the individual—when these</w:t>
      </w:r>
      <w:r w:rsidR="00A028C5">
        <w:rPr>
          <w:rFonts w:ascii="Times New Roman" w:hAnsi="Times New Roman"/>
          <w:sz w:val="24"/>
          <w:szCs w:val="24"/>
        </w:rPr>
        <w:t xml:space="preserve"> determinations</w:t>
      </w:r>
      <w:r>
        <w:rPr>
          <w:rFonts w:ascii="Times New Roman" w:hAnsi="Times New Roman"/>
          <w:sz w:val="24"/>
          <w:szCs w:val="24"/>
        </w:rPr>
        <w:t xml:space="preserve"> are made after an admission has taken place, </w:t>
      </w:r>
      <w:r w:rsidR="00014459">
        <w:rPr>
          <w:rFonts w:ascii="Times New Roman" w:hAnsi="Times New Roman"/>
          <w:sz w:val="24"/>
          <w:szCs w:val="24"/>
        </w:rPr>
        <w:t>DHSS,</w:t>
      </w:r>
      <w:r>
        <w:rPr>
          <w:rFonts w:ascii="Times New Roman" w:hAnsi="Times New Roman"/>
          <w:sz w:val="24"/>
          <w:szCs w:val="24"/>
        </w:rPr>
        <w:t xml:space="preserve"> DSAMH and DMMA should assure that certification of the need for admission occurs prior to an individual’s transfer to an IMD.  </w:t>
      </w:r>
      <w:r w:rsidR="00B95D5A">
        <w:rPr>
          <w:rFonts w:ascii="Times New Roman" w:hAnsi="Times New Roman"/>
          <w:sz w:val="24"/>
          <w:szCs w:val="24"/>
        </w:rPr>
        <w:t>Pre-certification reviews should not be limited to regular business hours, but should be available on a 7-day/24-hour basis</w:t>
      </w:r>
      <w:r w:rsidR="00A028C5">
        <w:rPr>
          <w:rFonts w:ascii="Times New Roman" w:hAnsi="Times New Roman"/>
          <w:sz w:val="24"/>
          <w:szCs w:val="24"/>
        </w:rPr>
        <w:t>,</w:t>
      </w:r>
      <w:r w:rsidR="00B95D5A">
        <w:rPr>
          <w:rFonts w:ascii="Times New Roman" w:hAnsi="Times New Roman"/>
          <w:sz w:val="24"/>
          <w:szCs w:val="24"/>
        </w:rPr>
        <w:t xml:space="preserve"> as needed.</w:t>
      </w:r>
    </w:p>
    <w:p w:rsidR="00B95D5A" w:rsidRDefault="00B95D5A" w:rsidP="00143968">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Continuing stay reviews for individuals deemed in need of hospital care should take place on weekends, as well as during the work week.  This is particularly critical for individuals with SPMI who may be hospitalized on an involuntary basis.</w:t>
      </w:r>
    </w:p>
    <w:p w:rsidR="00C91B2D" w:rsidRDefault="00033062" w:rsidP="00143968">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 xml:space="preserve">The Monitor supports </w:t>
      </w:r>
      <w:r w:rsidR="00C91B2D">
        <w:rPr>
          <w:rFonts w:ascii="Times New Roman" w:hAnsi="Times New Roman"/>
          <w:sz w:val="24"/>
          <w:szCs w:val="24"/>
        </w:rPr>
        <w:t>DMMA</w:t>
      </w:r>
      <w:r>
        <w:rPr>
          <w:rFonts w:ascii="Times New Roman" w:hAnsi="Times New Roman"/>
          <w:sz w:val="24"/>
          <w:szCs w:val="24"/>
        </w:rPr>
        <w:t>’s plan to</w:t>
      </w:r>
      <w:r w:rsidR="00721C3D">
        <w:rPr>
          <w:rFonts w:ascii="Times New Roman" w:hAnsi="Times New Roman"/>
          <w:sz w:val="24"/>
          <w:szCs w:val="24"/>
        </w:rPr>
        <w:t xml:space="preserve"> significantly</w:t>
      </w:r>
      <w:r w:rsidR="00C91B2D">
        <w:rPr>
          <w:rFonts w:ascii="Times New Roman" w:hAnsi="Times New Roman"/>
          <w:sz w:val="24"/>
          <w:szCs w:val="24"/>
        </w:rPr>
        <w:t xml:space="preserve"> intensify its oversight of the MCOs with respect to </w:t>
      </w:r>
      <w:r w:rsidR="00721C3D">
        <w:rPr>
          <w:rFonts w:ascii="Times New Roman" w:hAnsi="Times New Roman"/>
          <w:sz w:val="24"/>
          <w:szCs w:val="24"/>
        </w:rPr>
        <w:t>the achievement of all relevant requirements of the Agreement.</w:t>
      </w:r>
    </w:p>
    <w:p w:rsidR="00721C3D" w:rsidRPr="00326015" w:rsidRDefault="00721C3D" w:rsidP="00143968">
      <w:pPr>
        <w:pStyle w:val="ListParagraph"/>
        <w:numPr>
          <w:ilvl w:val="0"/>
          <w:numId w:val="12"/>
        </w:numPr>
        <w:spacing w:after="120"/>
        <w:contextualSpacing w:val="0"/>
        <w:rPr>
          <w:rFonts w:ascii="Times New Roman" w:hAnsi="Times New Roman"/>
          <w:sz w:val="24"/>
          <w:szCs w:val="24"/>
        </w:rPr>
      </w:pPr>
      <w:r>
        <w:rPr>
          <w:rFonts w:ascii="Times New Roman" w:hAnsi="Times New Roman"/>
          <w:sz w:val="24"/>
          <w:szCs w:val="24"/>
        </w:rPr>
        <w:t>DMMA and DSAMH should immediately establish mechanisms for sharing and consolidating timely information about inpatient utilization</w:t>
      </w:r>
      <w:r w:rsidR="00257C5C">
        <w:rPr>
          <w:rFonts w:ascii="Times New Roman" w:hAnsi="Times New Roman"/>
          <w:sz w:val="24"/>
          <w:szCs w:val="24"/>
        </w:rPr>
        <w:t>, unmet needs in the community,</w:t>
      </w:r>
      <w:r>
        <w:rPr>
          <w:rFonts w:ascii="Times New Roman" w:hAnsi="Times New Roman"/>
          <w:sz w:val="24"/>
          <w:szCs w:val="24"/>
        </w:rPr>
        <w:t xml:space="preserve"> and other key benchmarks of compliance with this Agreement.  Status reports should be provided to the Monitor at least on a monthly basis.</w:t>
      </w:r>
    </w:p>
    <w:p w:rsidR="00A34182" w:rsidRDefault="00A34182" w:rsidP="002D2443">
      <w:pPr>
        <w:pStyle w:val="ListParagraph"/>
        <w:spacing w:after="120"/>
        <w:contextualSpacing w:val="0"/>
        <w:rPr>
          <w:rFonts w:ascii="Times New Roman" w:hAnsi="Times New Roman"/>
          <w:sz w:val="24"/>
          <w:szCs w:val="24"/>
        </w:rPr>
      </w:pPr>
    </w:p>
    <w:p w:rsidR="007C5F9E" w:rsidRDefault="007C5F9E" w:rsidP="002D2443">
      <w:pPr>
        <w:pStyle w:val="ListParagraph"/>
        <w:spacing w:after="120"/>
        <w:contextualSpacing w:val="0"/>
        <w:rPr>
          <w:rFonts w:ascii="Times New Roman" w:hAnsi="Times New Roman"/>
          <w:sz w:val="24"/>
          <w:szCs w:val="24"/>
        </w:rPr>
      </w:pPr>
    </w:p>
    <w:p w:rsidR="00131951" w:rsidRDefault="00596C07" w:rsidP="00A340B1">
      <w:pPr>
        <w:pStyle w:val="ListParagraph"/>
        <w:keepNext/>
        <w:keepLines/>
        <w:spacing w:after="120"/>
        <w:contextualSpacing w:val="0"/>
        <w:outlineLvl w:val="0"/>
        <w:rPr>
          <w:rFonts w:ascii="Times New Roman" w:hAnsi="Times New Roman"/>
          <w:b/>
          <w:sz w:val="24"/>
          <w:szCs w:val="24"/>
          <w:u w:val="single"/>
        </w:rPr>
      </w:pPr>
      <w:r>
        <w:rPr>
          <w:rFonts w:ascii="Times New Roman" w:hAnsi="Times New Roman"/>
          <w:b/>
          <w:sz w:val="24"/>
          <w:szCs w:val="24"/>
          <w:u w:val="single"/>
        </w:rPr>
        <w:t>III</w:t>
      </w:r>
      <w:proofErr w:type="gramStart"/>
      <w:r>
        <w:rPr>
          <w:rFonts w:ascii="Times New Roman" w:hAnsi="Times New Roman"/>
          <w:b/>
          <w:sz w:val="24"/>
          <w:szCs w:val="24"/>
          <w:u w:val="single"/>
        </w:rPr>
        <w:t xml:space="preserve">.  </w:t>
      </w:r>
      <w:r w:rsidR="00131951">
        <w:rPr>
          <w:rFonts w:ascii="Times New Roman" w:hAnsi="Times New Roman"/>
          <w:b/>
          <w:sz w:val="24"/>
          <w:szCs w:val="24"/>
          <w:u w:val="single"/>
        </w:rPr>
        <w:t>Ratings</w:t>
      </w:r>
      <w:proofErr w:type="gramEnd"/>
      <w:r w:rsidR="00131951">
        <w:rPr>
          <w:rFonts w:ascii="Times New Roman" w:hAnsi="Times New Roman"/>
          <w:b/>
          <w:sz w:val="24"/>
          <w:szCs w:val="24"/>
          <w:u w:val="single"/>
        </w:rPr>
        <w:t xml:space="preserve"> of Compliance with the Agreement</w:t>
      </w:r>
    </w:p>
    <w:p w:rsidR="00131951" w:rsidRDefault="00B95D5A" w:rsidP="00A72AC6">
      <w:pPr>
        <w:pStyle w:val="ListParagraph"/>
        <w:keepLines/>
        <w:spacing w:after="120"/>
        <w:contextualSpacing w:val="0"/>
        <w:rPr>
          <w:rFonts w:ascii="Times New Roman" w:hAnsi="Times New Roman"/>
          <w:sz w:val="24"/>
          <w:szCs w:val="24"/>
        </w:rPr>
      </w:pPr>
      <w:r>
        <w:rPr>
          <w:rFonts w:ascii="Times New Roman" w:hAnsi="Times New Roman"/>
          <w:sz w:val="24"/>
          <w:szCs w:val="24"/>
        </w:rPr>
        <w:t>The</w:t>
      </w:r>
      <w:r w:rsidR="00F8646B">
        <w:rPr>
          <w:rFonts w:ascii="Times New Roman" w:hAnsi="Times New Roman"/>
          <w:sz w:val="24"/>
          <w:szCs w:val="24"/>
        </w:rPr>
        <w:t xml:space="preserve"> three</w:t>
      </w:r>
      <w:r>
        <w:rPr>
          <w:rFonts w:ascii="Times New Roman" w:hAnsi="Times New Roman"/>
          <w:sz w:val="24"/>
          <w:szCs w:val="24"/>
        </w:rPr>
        <w:t xml:space="preserve"> structural issues discussed in the previous section have very important implications for all of the </w:t>
      </w:r>
      <w:r w:rsidR="00F8646B">
        <w:rPr>
          <w:rFonts w:ascii="Times New Roman" w:hAnsi="Times New Roman"/>
          <w:sz w:val="24"/>
          <w:szCs w:val="24"/>
        </w:rPr>
        <w:t xml:space="preserve">programs required through the </w:t>
      </w:r>
      <w:r>
        <w:rPr>
          <w:rFonts w:ascii="Times New Roman" w:hAnsi="Times New Roman"/>
          <w:sz w:val="24"/>
          <w:szCs w:val="24"/>
        </w:rPr>
        <w:t>specific provisions of the Agreement</w:t>
      </w:r>
      <w:r w:rsidR="00F8646B">
        <w:rPr>
          <w:rFonts w:ascii="Times New Roman" w:hAnsi="Times New Roman"/>
          <w:sz w:val="24"/>
          <w:szCs w:val="24"/>
        </w:rPr>
        <w:t>,</w:t>
      </w:r>
      <w:r>
        <w:rPr>
          <w:rFonts w:ascii="Times New Roman" w:hAnsi="Times New Roman"/>
          <w:sz w:val="24"/>
          <w:szCs w:val="24"/>
        </w:rPr>
        <w:t xml:space="preserve"> which are discussed below.  </w:t>
      </w:r>
      <w:r w:rsidR="00F8646B">
        <w:rPr>
          <w:rFonts w:ascii="Times New Roman" w:hAnsi="Times New Roman"/>
          <w:sz w:val="24"/>
          <w:szCs w:val="24"/>
        </w:rPr>
        <w:t xml:space="preserve">Appropriate monitoring of the utilization and impact of these programs requires a workable system of care management that is guided by complete and meaningful data.  Furthermore, the ubiquitous goal of providing services that are recovery-oriented requires that they be provided on a voluntary basis, and that coercive court-ordered services occur </w:t>
      </w:r>
      <w:r w:rsidR="00C86A72">
        <w:rPr>
          <w:rFonts w:ascii="Times New Roman" w:hAnsi="Times New Roman"/>
          <w:sz w:val="24"/>
          <w:szCs w:val="24"/>
        </w:rPr>
        <w:t xml:space="preserve">only </w:t>
      </w:r>
      <w:r w:rsidR="00F8646B">
        <w:rPr>
          <w:rFonts w:ascii="Times New Roman" w:hAnsi="Times New Roman"/>
          <w:sz w:val="24"/>
          <w:szCs w:val="24"/>
        </w:rPr>
        <w:t>as a last resort.</w:t>
      </w:r>
    </w:p>
    <w:p w:rsidR="00F8646B" w:rsidRDefault="00F8646B" w:rsidP="00A72AC6">
      <w:pPr>
        <w:pStyle w:val="ListParagraph"/>
        <w:keepLines/>
        <w:spacing w:after="120"/>
        <w:contextualSpacing w:val="0"/>
        <w:rPr>
          <w:rFonts w:ascii="Times New Roman" w:hAnsi="Times New Roman"/>
          <w:sz w:val="24"/>
          <w:szCs w:val="24"/>
        </w:rPr>
      </w:pPr>
      <w:r>
        <w:rPr>
          <w:rFonts w:ascii="Times New Roman" w:hAnsi="Times New Roman"/>
          <w:sz w:val="24"/>
          <w:szCs w:val="24"/>
        </w:rPr>
        <w:t xml:space="preserve">At this juncture, the State is in Substantial Compliance with each of the </w:t>
      </w:r>
      <w:r w:rsidR="00A340B1">
        <w:rPr>
          <w:rFonts w:ascii="Times New Roman" w:hAnsi="Times New Roman"/>
          <w:sz w:val="24"/>
          <w:szCs w:val="24"/>
        </w:rPr>
        <w:t xml:space="preserve">benchmarks </w:t>
      </w:r>
      <w:r w:rsidR="001E4896">
        <w:rPr>
          <w:rFonts w:ascii="Times New Roman" w:hAnsi="Times New Roman"/>
          <w:sz w:val="24"/>
          <w:szCs w:val="24"/>
        </w:rPr>
        <w:t xml:space="preserve">of the Agreement that </w:t>
      </w:r>
      <w:r w:rsidR="00A340B1">
        <w:rPr>
          <w:rFonts w:ascii="Times New Roman" w:hAnsi="Times New Roman"/>
          <w:sz w:val="24"/>
          <w:szCs w:val="24"/>
        </w:rPr>
        <w:t xml:space="preserve">are now required.  </w:t>
      </w:r>
      <w:r w:rsidR="00924450">
        <w:rPr>
          <w:rFonts w:ascii="Times New Roman" w:hAnsi="Times New Roman"/>
          <w:sz w:val="24"/>
          <w:szCs w:val="24"/>
        </w:rPr>
        <w:t xml:space="preserve">In order to sustain its current success, </w:t>
      </w:r>
      <w:r w:rsidR="00A340B1">
        <w:rPr>
          <w:rFonts w:ascii="Times New Roman" w:hAnsi="Times New Roman"/>
          <w:sz w:val="24"/>
          <w:szCs w:val="24"/>
        </w:rPr>
        <w:t xml:space="preserve">it is essential for the State to continue progress with respect to these structural matters.  </w:t>
      </w:r>
    </w:p>
    <w:p w:rsidR="00207513" w:rsidRPr="00B95D5A" w:rsidRDefault="00207513" w:rsidP="00A72AC6">
      <w:pPr>
        <w:pStyle w:val="ListParagraph"/>
        <w:keepLines/>
        <w:spacing w:after="120"/>
        <w:contextualSpacing w:val="0"/>
        <w:rPr>
          <w:rFonts w:ascii="Times New Roman" w:hAnsi="Times New Roman"/>
          <w:sz w:val="24"/>
          <w:szCs w:val="24"/>
        </w:rPr>
      </w:pPr>
    </w:p>
    <w:p w:rsidR="000D64A1" w:rsidRDefault="000D64A1" w:rsidP="0078031B">
      <w:pPr>
        <w:pStyle w:val="ListParagraph"/>
        <w:keepNext/>
        <w:numPr>
          <w:ilvl w:val="0"/>
          <w:numId w:val="5"/>
        </w:numPr>
        <w:spacing w:after="120"/>
        <w:contextualSpacing w:val="0"/>
        <w:rPr>
          <w:rFonts w:ascii="Times New Roman" w:hAnsi="Times New Roman"/>
          <w:b/>
          <w:sz w:val="24"/>
          <w:szCs w:val="24"/>
        </w:rPr>
      </w:pPr>
      <w:r>
        <w:rPr>
          <w:rFonts w:ascii="Times New Roman" w:hAnsi="Times New Roman"/>
          <w:b/>
          <w:sz w:val="24"/>
          <w:szCs w:val="24"/>
        </w:rPr>
        <w:t>Mobile Crisis Services</w:t>
      </w:r>
    </w:p>
    <w:p w:rsidR="000D64A1" w:rsidRPr="000D64A1" w:rsidRDefault="000D64A1" w:rsidP="00207513">
      <w:pPr>
        <w:pStyle w:val="ListParagraph"/>
        <w:spacing w:after="120"/>
        <w:contextualSpacing w:val="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0D64A1" w:rsidRDefault="0040508B" w:rsidP="00207513">
      <w:pPr>
        <w:pStyle w:val="ListParagraph"/>
        <w:spacing w:after="120"/>
        <w:contextualSpacing w:val="0"/>
        <w:rPr>
          <w:rFonts w:ascii="Times New Roman" w:hAnsi="Times New Roman"/>
          <w:sz w:val="24"/>
          <w:szCs w:val="24"/>
        </w:rPr>
      </w:pPr>
      <w:r>
        <w:rPr>
          <w:rFonts w:ascii="Times New Roman" w:hAnsi="Times New Roman"/>
          <w:noProof/>
          <w:sz w:val="24"/>
          <w:szCs w:val="24"/>
        </w:rPr>
        <w:drawing>
          <wp:anchor distT="182880" distB="365760" distL="114300" distR="114300" simplePos="0" relativeHeight="251672576" behindDoc="0" locked="0" layoutInCell="1" allowOverlap="0">
            <wp:simplePos x="0" y="0"/>
            <wp:positionH relativeFrom="page">
              <wp:posOffset>1529068</wp:posOffset>
            </wp:positionH>
            <wp:positionV relativeFrom="page">
              <wp:posOffset>6073629</wp:posOffset>
            </wp:positionV>
            <wp:extent cx="4640580" cy="2674620"/>
            <wp:effectExtent l="19050" t="0" r="762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tretch>
                      <a:fillRect/>
                    </a:stretch>
                  </pic:blipFill>
                  <pic:spPr bwMode="auto">
                    <a:xfrm>
                      <a:off x="0" y="0"/>
                      <a:ext cx="4640580" cy="2674620"/>
                    </a:xfrm>
                    <a:prstGeom prst="rect">
                      <a:avLst/>
                    </a:prstGeom>
                    <a:noFill/>
                  </pic:spPr>
                </pic:pic>
              </a:graphicData>
            </a:graphic>
          </wp:anchor>
        </w:drawing>
      </w:r>
      <w:r w:rsidR="000D64A1">
        <w:rPr>
          <w:rFonts w:ascii="Times New Roman" w:hAnsi="Times New Roman"/>
          <w:sz w:val="24"/>
          <w:szCs w:val="24"/>
        </w:rPr>
        <w:t>Section III.B.2 requires the State to train state and local law enforcement personnel about the availability, purpose, and procedure for accessing mobile crisis teams.  The State is in</w:t>
      </w:r>
      <w:r w:rsidR="00F8646B">
        <w:rPr>
          <w:rFonts w:ascii="Times New Roman" w:hAnsi="Times New Roman"/>
          <w:sz w:val="24"/>
          <w:szCs w:val="24"/>
        </w:rPr>
        <w:t xml:space="preserve"> </w:t>
      </w:r>
      <w:r w:rsidR="000D64A1">
        <w:rPr>
          <w:rFonts w:ascii="Times New Roman" w:hAnsi="Times New Roman"/>
          <w:sz w:val="24"/>
          <w:szCs w:val="24"/>
        </w:rPr>
        <w:t xml:space="preserve">compliance with this provision; it has an ongoing program of training and consultation with law enforcement personnel across Delaware.  </w:t>
      </w:r>
    </w:p>
    <w:p w:rsidR="005E15C9" w:rsidRPr="00EC0194" w:rsidRDefault="000D64A1" w:rsidP="00207513">
      <w:pPr>
        <w:pStyle w:val="ListParagraph"/>
        <w:spacing w:after="120"/>
        <w:contextualSpacing w:val="0"/>
        <w:rPr>
          <w:rFonts w:ascii="Times New Roman" w:hAnsi="Times New Roman"/>
          <w:sz w:val="24"/>
          <w:szCs w:val="24"/>
        </w:rPr>
      </w:pPr>
      <w:r>
        <w:rPr>
          <w:rFonts w:ascii="Times New Roman" w:hAnsi="Times New Roman"/>
          <w:sz w:val="24"/>
          <w:szCs w:val="24"/>
        </w:rPr>
        <w:t>Furthermore, as required in Section III.B.1, the State is continuing to meet the requirement of a one-hour response time</w:t>
      </w:r>
      <w:r w:rsidR="005E15C9">
        <w:rPr>
          <w:rFonts w:ascii="Times New Roman" w:hAnsi="Times New Roman"/>
          <w:sz w:val="24"/>
          <w:szCs w:val="24"/>
        </w:rPr>
        <w:t xml:space="preserve"> to mobile crisis calls.  The chart</w:t>
      </w:r>
      <w:r w:rsidR="0040508B">
        <w:rPr>
          <w:rFonts w:ascii="Times New Roman" w:hAnsi="Times New Roman"/>
          <w:sz w:val="24"/>
          <w:szCs w:val="24"/>
        </w:rPr>
        <w:t xml:space="preserve"> above</w:t>
      </w:r>
      <w:r w:rsidR="005E15C9">
        <w:rPr>
          <w:rFonts w:ascii="Times New Roman" w:hAnsi="Times New Roman"/>
          <w:sz w:val="24"/>
          <w:szCs w:val="24"/>
        </w:rPr>
        <w:t xml:space="preserve"> demonstrates DSAMH’s monthly monitoring of this provision for the teams stationed in New Castle County and Kent/Sussex Counties.</w:t>
      </w:r>
    </w:p>
    <w:p w:rsidR="005E15C9" w:rsidRPr="000D64A1" w:rsidRDefault="005E15C9" w:rsidP="00207513">
      <w:pPr>
        <w:pStyle w:val="ListParagraph"/>
        <w:spacing w:after="120"/>
        <w:ind w:left="1080"/>
        <w:contextualSpacing w:val="0"/>
        <w:rPr>
          <w:rFonts w:ascii="Times New Roman" w:hAnsi="Times New Roman"/>
          <w:sz w:val="24"/>
          <w:szCs w:val="24"/>
        </w:rPr>
      </w:pPr>
    </w:p>
    <w:p w:rsidR="00E50B6C" w:rsidRDefault="00E50B6C" w:rsidP="00701257">
      <w:pPr>
        <w:pStyle w:val="ListParagraph"/>
        <w:keepNext/>
        <w:numPr>
          <w:ilvl w:val="0"/>
          <w:numId w:val="5"/>
        </w:numPr>
        <w:spacing w:after="120"/>
        <w:contextualSpacing w:val="0"/>
        <w:rPr>
          <w:rFonts w:ascii="Times New Roman" w:hAnsi="Times New Roman"/>
          <w:b/>
          <w:sz w:val="24"/>
          <w:szCs w:val="24"/>
        </w:rPr>
      </w:pPr>
      <w:r>
        <w:rPr>
          <w:rFonts w:ascii="Times New Roman" w:hAnsi="Times New Roman"/>
          <w:b/>
          <w:sz w:val="24"/>
          <w:szCs w:val="24"/>
        </w:rPr>
        <w:t>Crisis Walk-in Centers</w:t>
      </w:r>
    </w:p>
    <w:p w:rsidR="00E50B6C" w:rsidRDefault="00E50B6C" w:rsidP="00D94B85">
      <w:pPr>
        <w:pStyle w:val="ListParagraph"/>
        <w:spacing w:after="120"/>
        <w:contextualSpacing w:val="0"/>
        <w:outlineLvl w:val="0"/>
        <w:rPr>
          <w:rFonts w:ascii="Times New Roman" w:hAnsi="Times New Roman"/>
          <w:sz w:val="24"/>
          <w:szCs w:val="24"/>
        </w:rPr>
      </w:pPr>
      <w:proofErr w:type="gramStart"/>
      <w:r>
        <w:rPr>
          <w:rFonts w:ascii="Times New Roman" w:hAnsi="Times New Roman"/>
          <w:sz w:val="24"/>
          <w:szCs w:val="24"/>
          <w:u w:val="single"/>
        </w:rPr>
        <w:t>Substantial Compliance.</w:t>
      </w:r>
      <w:proofErr w:type="gramEnd"/>
    </w:p>
    <w:p w:rsidR="00E50B6C" w:rsidRDefault="00E50B6C" w:rsidP="00D94B85">
      <w:pPr>
        <w:pStyle w:val="ListParagraph"/>
        <w:spacing w:after="120"/>
        <w:contextualSpacing w:val="0"/>
        <w:rPr>
          <w:rFonts w:ascii="Times New Roman" w:hAnsi="Times New Roman"/>
          <w:sz w:val="24"/>
          <w:szCs w:val="24"/>
        </w:rPr>
      </w:pPr>
      <w:r>
        <w:rPr>
          <w:rFonts w:ascii="Times New Roman" w:hAnsi="Times New Roman"/>
          <w:sz w:val="24"/>
          <w:szCs w:val="24"/>
        </w:rPr>
        <w:t>Section III.C.2 of the Agreement requires the State to train all state and local law enforcement personnel about the availability and purpose of the crisis walk-in centers and the protocol for referring and transferring individuals to walk-in centers.  The State is providing ongoing training to state and local law enforcement in this regard.</w:t>
      </w:r>
    </w:p>
    <w:p w:rsidR="00CC43E5" w:rsidRPr="00701257" w:rsidRDefault="0040508B" w:rsidP="00D94B85">
      <w:pPr>
        <w:pStyle w:val="ListParagraph"/>
        <w:spacing w:after="120"/>
        <w:contextualSpacing w:val="0"/>
        <w:rPr>
          <w:rFonts w:ascii="Times New Roman" w:hAnsi="Times New Roman"/>
          <w:sz w:val="24"/>
          <w:szCs w:val="24"/>
        </w:rPr>
      </w:pPr>
      <w:r>
        <w:rPr>
          <w:rFonts w:ascii="Times New Roman" w:hAnsi="Times New Roman"/>
          <w:noProof/>
          <w:sz w:val="24"/>
          <w:szCs w:val="24"/>
        </w:rPr>
        <w:drawing>
          <wp:anchor distT="182880" distB="365760" distL="114300" distR="114300" simplePos="0" relativeHeight="251673600" behindDoc="0" locked="0" layoutInCell="1" allowOverlap="0">
            <wp:simplePos x="0" y="0"/>
            <wp:positionH relativeFrom="page">
              <wp:posOffset>1537335</wp:posOffset>
            </wp:positionH>
            <wp:positionV relativeFrom="page">
              <wp:posOffset>4923790</wp:posOffset>
            </wp:positionV>
            <wp:extent cx="4618355" cy="4084955"/>
            <wp:effectExtent l="19050" t="0" r="0" b="0"/>
            <wp:wrapTopAndBottom/>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tretch>
                      <a:fillRect/>
                    </a:stretch>
                  </pic:blipFill>
                  <pic:spPr bwMode="auto">
                    <a:xfrm>
                      <a:off x="0" y="0"/>
                      <a:ext cx="4618355" cy="4084955"/>
                    </a:xfrm>
                    <a:prstGeom prst="rect">
                      <a:avLst/>
                    </a:prstGeom>
                    <a:noFill/>
                  </pic:spPr>
                </pic:pic>
              </a:graphicData>
            </a:graphic>
          </wp:anchor>
        </w:drawing>
      </w:r>
      <w:r w:rsidR="00BA7A2F">
        <w:rPr>
          <w:rFonts w:ascii="Times New Roman" w:hAnsi="Times New Roman"/>
          <w:sz w:val="24"/>
          <w:szCs w:val="24"/>
        </w:rPr>
        <w:t xml:space="preserve">In compliance with Section III.C.1, the State launched the Recovery Response Center (RRC) in Ellendale about a year ago and it has been collecting data regarding its </w:t>
      </w:r>
      <w:r w:rsidR="0017543A">
        <w:rPr>
          <w:rFonts w:ascii="Times New Roman" w:hAnsi="Times New Roman"/>
          <w:sz w:val="24"/>
          <w:szCs w:val="24"/>
        </w:rPr>
        <w:t>impact and utilization</w:t>
      </w:r>
      <w:r w:rsidR="00BA7A2F">
        <w:rPr>
          <w:rFonts w:ascii="Times New Roman" w:hAnsi="Times New Roman"/>
          <w:sz w:val="24"/>
          <w:szCs w:val="24"/>
        </w:rPr>
        <w:t>.</w:t>
      </w:r>
      <w:r w:rsidR="0017543A">
        <w:rPr>
          <w:rFonts w:ascii="Times New Roman" w:hAnsi="Times New Roman"/>
          <w:sz w:val="24"/>
          <w:szCs w:val="24"/>
        </w:rPr>
        <w:t xml:space="preserve">  </w:t>
      </w:r>
      <w:r w:rsidR="00492764">
        <w:rPr>
          <w:rFonts w:ascii="Times New Roman" w:hAnsi="Times New Roman"/>
          <w:sz w:val="24"/>
          <w:szCs w:val="24"/>
        </w:rPr>
        <w:t>As is presented in the chart below</w:t>
      </w:r>
      <w:r w:rsidR="00086699">
        <w:rPr>
          <w:rFonts w:ascii="Times New Roman" w:hAnsi="Times New Roman"/>
          <w:sz w:val="24"/>
          <w:szCs w:val="24"/>
        </w:rPr>
        <w:t>,</w:t>
      </w:r>
      <w:r w:rsidR="00492764">
        <w:rPr>
          <w:rFonts w:ascii="Times New Roman" w:hAnsi="Times New Roman"/>
          <w:sz w:val="24"/>
          <w:szCs w:val="24"/>
        </w:rPr>
        <w:t xml:space="preserve"> in May, 2013, </w:t>
      </w:r>
      <w:r w:rsidR="00086699">
        <w:rPr>
          <w:rFonts w:ascii="Times New Roman" w:hAnsi="Times New Roman"/>
          <w:sz w:val="24"/>
          <w:szCs w:val="24"/>
        </w:rPr>
        <w:t xml:space="preserve">RRC diverted from hospitalization </w:t>
      </w:r>
      <w:r w:rsidR="002C0870">
        <w:rPr>
          <w:rFonts w:ascii="Times New Roman" w:hAnsi="Times New Roman"/>
          <w:sz w:val="24"/>
          <w:szCs w:val="24"/>
        </w:rPr>
        <w:t>7</w:t>
      </w:r>
      <w:r w:rsidR="00492764">
        <w:rPr>
          <w:rFonts w:ascii="Times New Roman" w:hAnsi="Times New Roman"/>
          <w:sz w:val="24"/>
          <w:szCs w:val="24"/>
        </w:rPr>
        <w:t>3</w:t>
      </w:r>
      <w:r w:rsidR="00086699">
        <w:rPr>
          <w:rFonts w:ascii="Times New Roman" w:hAnsi="Times New Roman"/>
          <w:sz w:val="24"/>
          <w:szCs w:val="24"/>
        </w:rPr>
        <w:t xml:space="preserve">% of people evaluated.  By way of comparison, the hospital-based CAPES program, which serves the northern part of the state and utilizes a more traditional model, diverted from hospitalization </w:t>
      </w:r>
      <w:r w:rsidR="00492764">
        <w:rPr>
          <w:rFonts w:ascii="Times New Roman" w:hAnsi="Times New Roman"/>
          <w:sz w:val="24"/>
          <w:szCs w:val="24"/>
        </w:rPr>
        <w:t>48%</w:t>
      </w:r>
      <w:r w:rsidR="00086699">
        <w:rPr>
          <w:rFonts w:ascii="Times New Roman" w:hAnsi="Times New Roman"/>
          <w:sz w:val="24"/>
          <w:szCs w:val="24"/>
        </w:rPr>
        <w:t xml:space="preserve">% of the people assessed </w:t>
      </w:r>
      <w:r w:rsidR="002C0870">
        <w:rPr>
          <w:rFonts w:ascii="Times New Roman" w:hAnsi="Times New Roman"/>
          <w:sz w:val="24"/>
          <w:szCs w:val="24"/>
        </w:rPr>
        <w:t>that</w:t>
      </w:r>
      <w:r w:rsidR="00086699">
        <w:rPr>
          <w:rFonts w:ascii="Times New Roman" w:hAnsi="Times New Roman"/>
          <w:sz w:val="24"/>
          <w:szCs w:val="24"/>
        </w:rPr>
        <w:t xml:space="preserve"> month.  </w:t>
      </w:r>
      <w:r w:rsidR="002C0870">
        <w:rPr>
          <w:rFonts w:ascii="Times New Roman" w:hAnsi="Times New Roman"/>
          <w:sz w:val="24"/>
          <w:szCs w:val="24"/>
        </w:rPr>
        <w:t xml:space="preserve">The following chart presents </w:t>
      </w:r>
      <w:r w:rsidR="00492764">
        <w:rPr>
          <w:rFonts w:ascii="Times New Roman" w:hAnsi="Times New Roman"/>
          <w:sz w:val="24"/>
          <w:szCs w:val="24"/>
        </w:rPr>
        <w:t xml:space="preserve">a comparison of the diversion rates for these two screening centers during January through May of 2013.  </w:t>
      </w:r>
      <w:r w:rsidR="00086699">
        <w:rPr>
          <w:rFonts w:ascii="Times New Roman" w:hAnsi="Times New Roman"/>
          <w:sz w:val="24"/>
          <w:szCs w:val="24"/>
        </w:rPr>
        <w:t xml:space="preserve">RRC estimates that substantial additional individuals can be diverted from hospital care if it had a capacity for voluntary overnight crisis stabilization.  </w:t>
      </w:r>
    </w:p>
    <w:p w:rsidR="0017543A" w:rsidRDefault="0017543A" w:rsidP="00D94B85">
      <w:pPr>
        <w:pStyle w:val="ListParagraph"/>
        <w:spacing w:after="120"/>
        <w:contextualSpacing w:val="0"/>
        <w:rPr>
          <w:rFonts w:ascii="Times New Roman" w:hAnsi="Times New Roman"/>
          <w:sz w:val="24"/>
          <w:szCs w:val="24"/>
        </w:rPr>
      </w:pPr>
      <w:r>
        <w:rPr>
          <w:rFonts w:ascii="Times New Roman" w:hAnsi="Times New Roman"/>
          <w:sz w:val="24"/>
          <w:szCs w:val="24"/>
        </w:rPr>
        <w:t xml:space="preserve">When </w:t>
      </w:r>
      <w:r w:rsidR="00701257">
        <w:rPr>
          <w:rFonts w:ascii="Times New Roman" w:hAnsi="Times New Roman"/>
          <w:sz w:val="24"/>
          <w:szCs w:val="24"/>
        </w:rPr>
        <w:t>the</w:t>
      </w:r>
      <w:r>
        <w:rPr>
          <w:rFonts w:ascii="Times New Roman" w:hAnsi="Times New Roman"/>
          <w:sz w:val="24"/>
          <w:szCs w:val="24"/>
        </w:rPr>
        <w:t xml:space="preserve"> walk-in center in Ellendale was being planned, there was a clear understanding of the need for such a program in the southern part of the state, but a much less precise understanding of what the demand for its services would be.   RRC is already in the position where it routinely has to delay or deny transfers in from hospital emergency departments because it is at capacity.  This information is being tracked by month, day, and time of day so needed adjustments in the program’s capacity can be designed accordingly.  Furthermore, RRC is collecting data on individuals who are being referred elsewhere because their immediate need is for detox services.  DSAMH is using this information as it moves forward with some major improvements in its substance use service network.</w:t>
      </w:r>
    </w:p>
    <w:p w:rsidR="00115C59" w:rsidRDefault="00115C59" w:rsidP="00B06677">
      <w:pPr>
        <w:pStyle w:val="ListParagraph"/>
        <w:spacing w:after="120"/>
        <w:contextualSpacing w:val="0"/>
        <w:rPr>
          <w:rFonts w:ascii="Times New Roman" w:hAnsi="Times New Roman"/>
          <w:sz w:val="24"/>
          <w:szCs w:val="24"/>
        </w:rPr>
      </w:pPr>
    </w:p>
    <w:p w:rsidR="00401173" w:rsidRDefault="00401173" w:rsidP="00401173">
      <w:pPr>
        <w:pStyle w:val="ListParagraph"/>
        <w:spacing w:after="120"/>
        <w:ind w:left="1080"/>
        <w:contextualSpacing w:val="0"/>
        <w:rPr>
          <w:rFonts w:ascii="Times New Roman" w:hAnsi="Times New Roman"/>
          <w:sz w:val="24"/>
          <w:szCs w:val="24"/>
        </w:rPr>
      </w:pPr>
      <w:r>
        <w:rPr>
          <w:rFonts w:ascii="Times New Roman" w:hAnsi="Times New Roman"/>
          <w:sz w:val="24"/>
          <w:szCs w:val="24"/>
          <w:u w:val="single"/>
        </w:rPr>
        <w:t>Recommendations:</w:t>
      </w:r>
      <w:r>
        <w:rPr>
          <w:rFonts w:ascii="Times New Roman" w:hAnsi="Times New Roman"/>
          <w:sz w:val="24"/>
          <w:szCs w:val="24"/>
        </w:rPr>
        <w:t xml:space="preserve">  </w:t>
      </w:r>
    </w:p>
    <w:p w:rsidR="00401173" w:rsidRDefault="00401173" w:rsidP="00401173">
      <w:pPr>
        <w:pStyle w:val="ListParagraph"/>
        <w:numPr>
          <w:ilvl w:val="0"/>
          <w:numId w:val="9"/>
        </w:numPr>
        <w:spacing w:after="120"/>
        <w:contextualSpacing w:val="0"/>
        <w:rPr>
          <w:rFonts w:ascii="Times New Roman" w:hAnsi="Times New Roman"/>
          <w:sz w:val="24"/>
          <w:szCs w:val="24"/>
        </w:rPr>
      </w:pPr>
      <w:r>
        <w:rPr>
          <w:rFonts w:ascii="Times New Roman" w:hAnsi="Times New Roman"/>
          <w:sz w:val="24"/>
          <w:szCs w:val="24"/>
        </w:rPr>
        <w:t>The State should carefully examine whether the capacities of RRC reflect the needs of the southern part of the Delaware in order to assure that there is ready access to its services and that individuals appropriate for transfer to RRC do not become backed up in emergency departments. Based on available data, it appears that a good case can be made for expanding the program’s capacities.</w:t>
      </w:r>
    </w:p>
    <w:p w:rsidR="00401173" w:rsidRDefault="00401173" w:rsidP="00401173">
      <w:pPr>
        <w:pStyle w:val="ListParagraph"/>
        <w:numPr>
          <w:ilvl w:val="0"/>
          <w:numId w:val="9"/>
        </w:numPr>
        <w:spacing w:after="120"/>
        <w:contextualSpacing w:val="0"/>
        <w:rPr>
          <w:rFonts w:ascii="Times New Roman" w:hAnsi="Times New Roman"/>
          <w:sz w:val="24"/>
          <w:szCs w:val="24"/>
        </w:rPr>
      </w:pPr>
      <w:r>
        <w:rPr>
          <w:rFonts w:ascii="Times New Roman" w:hAnsi="Times New Roman"/>
          <w:sz w:val="24"/>
          <w:szCs w:val="24"/>
        </w:rPr>
        <w:t xml:space="preserve">Not only for purposes of complying with the Agreement (e.g., with regard to </w:t>
      </w:r>
      <w:r w:rsidR="00701257">
        <w:rPr>
          <w:rFonts w:ascii="Times New Roman" w:hAnsi="Times New Roman"/>
          <w:sz w:val="24"/>
          <w:szCs w:val="24"/>
        </w:rPr>
        <w:t xml:space="preserve">the hospital </w:t>
      </w:r>
      <w:r>
        <w:rPr>
          <w:rFonts w:ascii="Times New Roman" w:hAnsi="Times New Roman"/>
          <w:sz w:val="24"/>
          <w:szCs w:val="24"/>
        </w:rPr>
        <w:t xml:space="preserve">bed-day reductions discussed elsewhere), but also to improve cost efficiencies, the State should evaluate </w:t>
      </w:r>
      <w:r w:rsidR="00551BAB">
        <w:rPr>
          <w:rFonts w:ascii="Times New Roman" w:hAnsi="Times New Roman"/>
          <w:sz w:val="24"/>
          <w:szCs w:val="24"/>
        </w:rPr>
        <w:t>an expansion of the Ellendale program to include voluntary overnight crisis services.</w:t>
      </w:r>
    </w:p>
    <w:p w:rsidR="00CC43E5" w:rsidRPr="00401173" w:rsidRDefault="00CC43E5" w:rsidP="00401173">
      <w:pPr>
        <w:pStyle w:val="ListParagraph"/>
        <w:numPr>
          <w:ilvl w:val="0"/>
          <w:numId w:val="9"/>
        </w:numPr>
        <w:spacing w:after="120"/>
        <w:contextualSpacing w:val="0"/>
        <w:rPr>
          <w:rFonts w:ascii="Times New Roman" w:hAnsi="Times New Roman"/>
          <w:sz w:val="24"/>
          <w:szCs w:val="24"/>
        </w:rPr>
      </w:pPr>
      <w:r>
        <w:rPr>
          <w:rFonts w:ascii="Times New Roman" w:hAnsi="Times New Roman"/>
          <w:sz w:val="24"/>
          <w:szCs w:val="24"/>
        </w:rPr>
        <w:t>Given the demonstrated success of RRC in diverting high percentages of individuals assessed from hospital care, the State should develop a crisis walk-in center applying its model for New Castle County.</w:t>
      </w:r>
    </w:p>
    <w:p w:rsidR="00BA7A2F" w:rsidRPr="00BA7A2F" w:rsidRDefault="0017543A" w:rsidP="00B06677">
      <w:pPr>
        <w:pStyle w:val="ListParagraph"/>
        <w:spacing w:after="120"/>
        <w:contextualSpacing w:val="0"/>
        <w:rPr>
          <w:rFonts w:ascii="Times New Roman" w:hAnsi="Times New Roman"/>
          <w:sz w:val="24"/>
          <w:szCs w:val="24"/>
        </w:rPr>
      </w:pPr>
      <w:r>
        <w:rPr>
          <w:rFonts w:ascii="Times New Roman" w:hAnsi="Times New Roman"/>
          <w:sz w:val="24"/>
          <w:szCs w:val="24"/>
        </w:rPr>
        <w:t xml:space="preserve"> </w:t>
      </w:r>
      <w:r w:rsidR="00BA7A2F">
        <w:rPr>
          <w:rFonts w:ascii="Times New Roman" w:hAnsi="Times New Roman"/>
          <w:sz w:val="24"/>
          <w:szCs w:val="24"/>
        </w:rPr>
        <w:t xml:space="preserve">  </w:t>
      </w:r>
    </w:p>
    <w:p w:rsidR="00131951" w:rsidRDefault="00131951" w:rsidP="00131951">
      <w:pPr>
        <w:pStyle w:val="ListParagraph"/>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Crisis </w:t>
      </w:r>
      <w:r w:rsidR="006A6EB0">
        <w:rPr>
          <w:rFonts w:ascii="Times New Roman" w:hAnsi="Times New Roman"/>
          <w:b/>
          <w:sz w:val="24"/>
          <w:szCs w:val="24"/>
        </w:rPr>
        <w:t>Stabilization</w:t>
      </w:r>
      <w:r>
        <w:rPr>
          <w:rFonts w:ascii="Times New Roman" w:hAnsi="Times New Roman"/>
          <w:b/>
          <w:sz w:val="24"/>
          <w:szCs w:val="24"/>
        </w:rPr>
        <w:t xml:space="preserve"> Services</w:t>
      </w:r>
    </w:p>
    <w:p w:rsidR="006A6EB0" w:rsidRPr="006A6EB0" w:rsidRDefault="006A6EB0" w:rsidP="00B06677">
      <w:pPr>
        <w:pStyle w:val="ListParagraph"/>
        <w:spacing w:after="120"/>
        <w:contextualSpacing w:val="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C45EF7" w:rsidRDefault="00131951" w:rsidP="00B06677">
      <w:pPr>
        <w:pStyle w:val="ListParagraph"/>
        <w:spacing w:after="120"/>
        <w:contextualSpacing w:val="0"/>
        <w:rPr>
          <w:rFonts w:ascii="Times New Roman" w:hAnsi="Times New Roman"/>
          <w:sz w:val="24"/>
          <w:szCs w:val="24"/>
        </w:rPr>
      </w:pPr>
      <w:r>
        <w:rPr>
          <w:rFonts w:ascii="Times New Roman" w:hAnsi="Times New Roman"/>
          <w:sz w:val="24"/>
          <w:szCs w:val="24"/>
        </w:rPr>
        <w:t xml:space="preserve">Section III.D.2 of the Agreement requires that the State train all provider staff and law enforcement personnel regarding the use of crisis walk-in centers rather than IMDs or hospital emergency departments for individuals who are experiencing mental health crises.  </w:t>
      </w:r>
      <w:r w:rsidR="006A6EB0">
        <w:rPr>
          <w:rFonts w:ascii="Times New Roman" w:hAnsi="Times New Roman"/>
          <w:sz w:val="24"/>
          <w:szCs w:val="24"/>
        </w:rPr>
        <w:t xml:space="preserve">The State is in Substantial Compliance with this requirement; it is providing ongoing training to law enforcement, providers and other stakeholders statewide with regard to the use of crisis walk-in centers.  </w:t>
      </w:r>
    </w:p>
    <w:p w:rsidR="00C45EF7" w:rsidRDefault="00C45EF7" w:rsidP="00B06677">
      <w:pPr>
        <w:pStyle w:val="ListParagraph"/>
        <w:spacing w:after="120"/>
        <w:contextualSpacing w:val="0"/>
        <w:rPr>
          <w:rFonts w:ascii="Times New Roman" w:hAnsi="Times New Roman"/>
          <w:i/>
          <w:sz w:val="24"/>
          <w:szCs w:val="24"/>
        </w:rPr>
      </w:pPr>
    </w:p>
    <w:p w:rsidR="00131951" w:rsidRDefault="006A6EB0" w:rsidP="00B06677">
      <w:pPr>
        <w:pStyle w:val="ListParagraph"/>
        <w:spacing w:after="120"/>
        <w:contextualSpacing w:val="0"/>
        <w:rPr>
          <w:rFonts w:ascii="Times New Roman" w:hAnsi="Times New Roman"/>
          <w:sz w:val="24"/>
          <w:szCs w:val="24"/>
        </w:rPr>
      </w:pPr>
      <w:r>
        <w:rPr>
          <w:rFonts w:ascii="Times New Roman" w:hAnsi="Times New Roman"/>
          <w:sz w:val="24"/>
          <w:szCs w:val="24"/>
        </w:rPr>
        <w:t xml:space="preserve">Not only </w:t>
      </w:r>
      <w:proofErr w:type="gramStart"/>
      <w:r>
        <w:rPr>
          <w:rFonts w:ascii="Times New Roman" w:hAnsi="Times New Roman"/>
          <w:sz w:val="24"/>
          <w:szCs w:val="24"/>
        </w:rPr>
        <w:t>is</w:t>
      </w:r>
      <w:proofErr w:type="gramEnd"/>
      <w:r>
        <w:rPr>
          <w:rFonts w:ascii="Times New Roman" w:hAnsi="Times New Roman"/>
          <w:sz w:val="24"/>
          <w:szCs w:val="24"/>
        </w:rPr>
        <w:t xml:space="preserve"> the </w:t>
      </w:r>
      <w:r w:rsidR="00BA7A2F">
        <w:rPr>
          <w:rFonts w:ascii="Times New Roman" w:hAnsi="Times New Roman"/>
          <w:sz w:val="24"/>
          <w:szCs w:val="24"/>
        </w:rPr>
        <w:t xml:space="preserve">RRC relatively </w:t>
      </w:r>
      <w:r>
        <w:rPr>
          <w:rFonts w:ascii="Times New Roman" w:hAnsi="Times New Roman"/>
          <w:sz w:val="24"/>
          <w:szCs w:val="24"/>
        </w:rPr>
        <w:t xml:space="preserve">new and its program model non-traditional, but as discussed above this walk-in center was launched in a part of the state that had lacked alternatives to hospital emergency departments and that had become accustomed to relying heavily on them.  </w:t>
      </w:r>
      <w:r w:rsidR="00C45EF7">
        <w:rPr>
          <w:rFonts w:ascii="Times New Roman" w:hAnsi="Times New Roman"/>
          <w:sz w:val="24"/>
          <w:szCs w:val="24"/>
        </w:rPr>
        <w:t xml:space="preserve">There is good reason to conclude that the RRC is having its intended impact.  </w:t>
      </w:r>
      <w:r>
        <w:rPr>
          <w:rFonts w:ascii="Times New Roman" w:hAnsi="Times New Roman"/>
          <w:sz w:val="24"/>
          <w:szCs w:val="24"/>
        </w:rPr>
        <w:t xml:space="preserve">Beebe Medical Center, one of the major hospitals serving the southern part of the state, </w:t>
      </w:r>
      <w:r w:rsidR="00C45EF7">
        <w:rPr>
          <w:rFonts w:ascii="Times New Roman" w:hAnsi="Times New Roman"/>
          <w:sz w:val="24"/>
          <w:szCs w:val="24"/>
        </w:rPr>
        <w:t xml:space="preserve">has reported a notable decrease in the number of psychiatric patients being seen in its emergency department.  </w:t>
      </w:r>
    </w:p>
    <w:p w:rsidR="00C45EF7" w:rsidRDefault="00C45EF7" w:rsidP="00B06677">
      <w:pPr>
        <w:pStyle w:val="ListParagraph"/>
        <w:spacing w:after="120"/>
        <w:contextualSpacing w:val="0"/>
        <w:rPr>
          <w:rFonts w:ascii="Times New Roman" w:hAnsi="Times New Roman"/>
          <w:i/>
          <w:sz w:val="24"/>
          <w:szCs w:val="24"/>
        </w:rPr>
      </w:pPr>
    </w:p>
    <w:p w:rsidR="00C45EF7" w:rsidRPr="00C45EF7" w:rsidRDefault="00C45EF7" w:rsidP="00B06677">
      <w:pPr>
        <w:pStyle w:val="ListParagraph"/>
        <w:spacing w:after="120"/>
        <w:contextualSpacing w:val="0"/>
        <w:rPr>
          <w:rFonts w:ascii="Times New Roman" w:hAnsi="Times New Roman"/>
          <w:i/>
          <w:sz w:val="24"/>
          <w:szCs w:val="24"/>
        </w:rPr>
      </w:pPr>
      <w:r>
        <w:rPr>
          <w:rFonts w:ascii="Times New Roman" w:hAnsi="Times New Roman"/>
          <w:i/>
          <w:sz w:val="24"/>
          <w:szCs w:val="24"/>
        </w:rPr>
        <w:t>Reduction in Inpatient Bed Days:</w:t>
      </w:r>
    </w:p>
    <w:p w:rsidR="00C13910" w:rsidRDefault="00414F9B" w:rsidP="00B06677">
      <w:pPr>
        <w:pStyle w:val="ListParagraph"/>
        <w:spacing w:after="120"/>
        <w:contextualSpacing w:val="0"/>
        <w:rPr>
          <w:rFonts w:ascii="Times New Roman" w:hAnsi="Times New Roman"/>
          <w:sz w:val="24"/>
          <w:szCs w:val="24"/>
        </w:rPr>
      </w:pPr>
      <w:r>
        <w:rPr>
          <w:rFonts w:ascii="Times New Roman" w:hAnsi="Times New Roman"/>
          <w:sz w:val="24"/>
          <w:szCs w:val="24"/>
        </w:rPr>
        <w:t xml:space="preserve">Section III.D.3 of the Agreement requires that by about one year from now—July 1, 2014—the State will need to reduce its publicly funded inpatient bed days by 30% of its baseline.  </w:t>
      </w:r>
      <w:r w:rsidR="00FB1386">
        <w:rPr>
          <w:rFonts w:ascii="Times New Roman" w:hAnsi="Times New Roman"/>
          <w:sz w:val="24"/>
          <w:szCs w:val="24"/>
        </w:rPr>
        <w:t xml:space="preserve">While compliance with this provision is not yet </w:t>
      </w:r>
      <w:proofErr w:type="gramStart"/>
      <w:r w:rsidR="00FB1386">
        <w:rPr>
          <w:rFonts w:ascii="Times New Roman" w:hAnsi="Times New Roman"/>
          <w:sz w:val="24"/>
          <w:szCs w:val="24"/>
        </w:rPr>
        <w:t>required,</w:t>
      </w:r>
      <w:proofErr w:type="gramEnd"/>
      <w:r w:rsidR="00FB1386">
        <w:rPr>
          <w:rFonts w:ascii="Times New Roman" w:hAnsi="Times New Roman"/>
          <w:sz w:val="24"/>
          <w:szCs w:val="24"/>
        </w:rPr>
        <w:t xml:space="preserve"> this is a very important requirement because it reflects the State’s success in moving from an institutional model of services to one that promotes individuals with serious mental illness living successfully in integrated community settings.  </w:t>
      </w:r>
      <w:r w:rsidR="00C13910">
        <w:rPr>
          <w:rFonts w:ascii="Times New Roman" w:hAnsi="Times New Roman"/>
          <w:sz w:val="24"/>
          <w:szCs w:val="24"/>
        </w:rPr>
        <w:t xml:space="preserve">Achievement of this benchmark will represent the combined effects of a number of program and policy elements required by the Agreement, among them, screening and diversion activities by Mobile Crisis services,  Crisis Walk-in Centers and House </w:t>
      </w:r>
      <w:r w:rsidR="00DE48EE">
        <w:rPr>
          <w:rFonts w:ascii="Times New Roman" w:hAnsi="Times New Roman"/>
          <w:sz w:val="24"/>
          <w:szCs w:val="24"/>
        </w:rPr>
        <w:t xml:space="preserve">Bill </w:t>
      </w:r>
      <w:r w:rsidR="00C13910">
        <w:rPr>
          <w:rFonts w:ascii="Times New Roman" w:hAnsi="Times New Roman"/>
          <w:sz w:val="24"/>
          <w:szCs w:val="24"/>
        </w:rPr>
        <w:t>311; the impact of ACT, CRISP and ICM; availability of Crisis Apartments; and careful management of clinical services.</w:t>
      </w:r>
    </w:p>
    <w:p w:rsidR="00414F9B" w:rsidRDefault="00FB1386" w:rsidP="00DE48EE">
      <w:pPr>
        <w:pStyle w:val="ListParagraph"/>
        <w:spacing w:after="120"/>
        <w:contextualSpacing w:val="0"/>
        <w:rPr>
          <w:rFonts w:ascii="Times New Roman" w:hAnsi="Times New Roman"/>
          <w:sz w:val="24"/>
          <w:szCs w:val="24"/>
        </w:rPr>
      </w:pPr>
      <w:r>
        <w:rPr>
          <w:rFonts w:ascii="Times New Roman" w:hAnsi="Times New Roman"/>
          <w:sz w:val="24"/>
          <w:szCs w:val="24"/>
        </w:rPr>
        <w:t xml:space="preserve">Furthermore, it reflects the State’s capacity to move from high-cost hospital care—the evaluation presented above in the section relating to the Use of Data references (albeit in very rough terms) the levels of savings that are potentially available—to </w:t>
      </w:r>
      <w:r w:rsidR="00153425">
        <w:rPr>
          <w:rFonts w:ascii="Times New Roman" w:hAnsi="Times New Roman"/>
          <w:sz w:val="24"/>
          <w:szCs w:val="24"/>
        </w:rPr>
        <w:t>more ADA compliance and less costly community services.  Accordingly</w:t>
      </w:r>
      <w:r>
        <w:rPr>
          <w:rFonts w:ascii="Times New Roman" w:hAnsi="Times New Roman"/>
          <w:sz w:val="24"/>
          <w:szCs w:val="24"/>
        </w:rPr>
        <w:t xml:space="preserve">, the State and the Monitor have been carefully tracking </w:t>
      </w:r>
      <w:r w:rsidR="00153425">
        <w:rPr>
          <w:rFonts w:ascii="Times New Roman" w:hAnsi="Times New Roman"/>
          <w:sz w:val="24"/>
          <w:szCs w:val="24"/>
        </w:rPr>
        <w:t xml:space="preserve">trends in the use of bed days by the targeted population.  Again, DSAMH’s evolving capacities for data analytics is proving invaluable in identifying progress and challenges in meeting this requirement.  </w:t>
      </w:r>
    </w:p>
    <w:p w:rsidR="002B68E4" w:rsidRDefault="00153425" w:rsidP="00033062">
      <w:pPr>
        <w:pStyle w:val="ListParagraph"/>
        <w:spacing w:after="120"/>
        <w:contextualSpacing w:val="0"/>
        <w:rPr>
          <w:rFonts w:ascii="Times New Roman" w:hAnsi="Times New Roman"/>
          <w:sz w:val="24"/>
          <w:szCs w:val="24"/>
        </w:rPr>
      </w:pPr>
      <w:r>
        <w:rPr>
          <w:rFonts w:ascii="Times New Roman" w:hAnsi="Times New Roman"/>
          <w:sz w:val="24"/>
          <w:szCs w:val="24"/>
        </w:rPr>
        <w:t xml:space="preserve">For purposes of evaluation, the parties have agreed that the baseline to be used for measuring compliance with this provision will be the number of publicly funded bed days in DPC and the IMDs during the fiscal year preceding the effective date of the Agreement (June 30, 2010 to July 1, 2011).  During that period, </w:t>
      </w:r>
      <w:r w:rsidR="005F49CC">
        <w:rPr>
          <w:rFonts w:ascii="Times New Roman" w:hAnsi="Times New Roman"/>
          <w:sz w:val="24"/>
          <w:szCs w:val="24"/>
        </w:rPr>
        <w:t xml:space="preserve">people with serious mental illness accounted for 62,931 bed-days.  A 30% reduction from this baseline, to be achieved by next July, is 44,052 bed days.  The 50% reduction to be achieved by July, 2016 is 31,465.  As is presented in the chart </w:t>
      </w:r>
      <w:r w:rsidR="00777E9A">
        <w:rPr>
          <w:rFonts w:ascii="Times New Roman" w:hAnsi="Times New Roman"/>
          <w:sz w:val="24"/>
          <w:szCs w:val="24"/>
        </w:rPr>
        <w:t>below</w:t>
      </w:r>
      <w:r w:rsidR="005F49CC">
        <w:rPr>
          <w:rFonts w:ascii="Times New Roman" w:hAnsi="Times New Roman"/>
          <w:sz w:val="24"/>
          <w:szCs w:val="24"/>
        </w:rPr>
        <w:t xml:space="preserve">, the State has made some progress during the two years of implementing the Agreement (FY12 and FY13 in the chart), but this has resulted in only a 6% decrease thus far. </w:t>
      </w:r>
    </w:p>
    <w:p w:rsidR="002B68E4" w:rsidRDefault="002B68E4" w:rsidP="002B68E4">
      <w:pPr>
        <w:pStyle w:val="ListParagraph"/>
        <w:spacing w:after="120"/>
        <w:contextualSpacing w:val="0"/>
        <w:jc w:val="center"/>
        <w:rPr>
          <w:rFonts w:ascii="Times New Roman" w:hAnsi="Times New Roman"/>
          <w:sz w:val="24"/>
          <w:szCs w:val="24"/>
        </w:rPr>
      </w:pPr>
    </w:p>
    <w:p w:rsidR="00153425" w:rsidRPr="00131951" w:rsidRDefault="002B68E4" w:rsidP="002B68E4">
      <w:pPr>
        <w:pStyle w:val="ListParagraph"/>
        <w:spacing w:after="120"/>
        <w:contextualSpacing w:val="0"/>
        <w:jc w:val="center"/>
        <w:rPr>
          <w:rFonts w:ascii="Times New Roman" w:hAnsi="Times New Roman"/>
          <w:sz w:val="24"/>
          <w:szCs w:val="24"/>
        </w:rPr>
      </w:pPr>
      <w:r>
        <w:rPr>
          <w:rFonts w:ascii="Times New Roman" w:hAnsi="Times New Roman"/>
          <w:noProof/>
          <w:sz w:val="24"/>
          <w:szCs w:val="24"/>
        </w:rPr>
        <w:drawing>
          <wp:inline distT="0" distB="0" distL="0" distR="0">
            <wp:extent cx="4244340" cy="3208020"/>
            <wp:effectExtent l="19050" t="0" r="381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tretch>
                      <a:fillRect/>
                    </a:stretch>
                  </pic:blipFill>
                  <pic:spPr bwMode="auto">
                    <a:xfrm>
                      <a:off x="0" y="0"/>
                      <a:ext cx="4244340" cy="3208020"/>
                    </a:xfrm>
                    <a:prstGeom prst="rect">
                      <a:avLst/>
                    </a:prstGeom>
                    <a:noFill/>
                  </pic:spPr>
                </pic:pic>
              </a:graphicData>
            </a:graphic>
          </wp:inline>
        </w:drawing>
      </w:r>
    </w:p>
    <w:p w:rsidR="0040508B" w:rsidRDefault="00B426A6" w:rsidP="0040508B">
      <w:pPr>
        <w:pStyle w:val="ListParagraph"/>
        <w:spacing w:after="120"/>
        <w:contextualSpacing w:val="0"/>
        <w:rPr>
          <w:rFonts w:ascii="Times New Roman" w:hAnsi="Times New Roman"/>
          <w:sz w:val="24"/>
          <w:szCs w:val="24"/>
        </w:rPr>
      </w:pPr>
      <w:r>
        <w:rPr>
          <w:rFonts w:ascii="Times New Roman" w:hAnsi="Times New Roman"/>
          <w:sz w:val="24"/>
          <w:szCs w:val="24"/>
        </w:rPr>
        <w:t>The following charts further demonstrate how DSAMH is using data analytics to evaluate its status with respect to this important benc</w:t>
      </w:r>
      <w:r w:rsidR="0040508B">
        <w:rPr>
          <w:rFonts w:ascii="Times New Roman" w:hAnsi="Times New Roman"/>
          <w:sz w:val="24"/>
          <w:szCs w:val="24"/>
        </w:rPr>
        <w:t>hmark and to target its interventions</w:t>
      </w:r>
    </w:p>
    <w:p w:rsidR="0040508B" w:rsidRDefault="0040508B" w:rsidP="0040508B">
      <w:pPr>
        <w:pStyle w:val="ListParagraph"/>
        <w:spacing w:after="120"/>
        <w:contextualSpacing w:val="0"/>
        <w:jc w:val="center"/>
        <w:rPr>
          <w:rFonts w:ascii="Times New Roman" w:hAnsi="Times New Roman"/>
          <w:sz w:val="24"/>
          <w:szCs w:val="24"/>
        </w:rPr>
      </w:pPr>
      <w:r>
        <w:rPr>
          <w:rFonts w:ascii="Times New Roman" w:hAnsi="Times New Roman"/>
          <w:sz w:val="24"/>
          <w:szCs w:val="24"/>
        </w:rPr>
        <w:t xml:space="preserve"> </w:t>
      </w:r>
      <w:r w:rsidRPr="0040508B">
        <w:rPr>
          <w:rFonts w:ascii="Times New Roman" w:hAnsi="Times New Roman"/>
          <w:noProof/>
          <w:sz w:val="24"/>
          <w:szCs w:val="24"/>
        </w:rPr>
        <w:drawing>
          <wp:inline distT="0" distB="0" distL="0" distR="0">
            <wp:extent cx="4655820" cy="3695700"/>
            <wp:effectExtent l="19050" t="0" r="0" b="0"/>
            <wp:docPr id="19" name="Picture 1"/>
            <wp:cNvGraphicFramePr/>
            <a:graphic xmlns:a="http://schemas.openxmlformats.org/drawingml/2006/main">
              <a:graphicData uri="http://schemas.openxmlformats.org/drawingml/2006/picture">
                <pic:pic xmlns:pic="http://schemas.openxmlformats.org/drawingml/2006/picture">
                  <pic:nvPicPr>
                    <pic:cNvPr id="1025" name="Picture 8"/>
                    <pic:cNvPicPr>
                      <a:picLocks noChangeAspect="1" noChangeArrowheads="1"/>
                    </pic:cNvPicPr>
                  </pic:nvPicPr>
                  <pic:blipFill>
                    <a:blip r:embed="rId13" cstate="print"/>
                    <a:stretch>
                      <a:fillRect/>
                    </a:stretch>
                  </pic:blipFill>
                  <pic:spPr bwMode="auto">
                    <a:xfrm>
                      <a:off x="0" y="0"/>
                      <a:ext cx="4655820" cy="3695700"/>
                    </a:xfrm>
                    <a:prstGeom prst="rect">
                      <a:avLst/>
                    </a:prstGeom>
                    <a:noFill/>
                  </pic:spPr>
                </pic:pic>
              </a:graphicData>
            </a:graphic>
          </wp:inline>
        </w:drawing>
      </w:r>
    </w:p>
    <w:p w:rsidR="00E328F9" w:rsidRPr="00975CCE" w:rsidRDefault="0040508B" w:rsidP="0040508B">
      <w:pPr>
        <w:pStyle w:val="ListParagraph"/>
        <w:spacing w:after="120"/>
        <w:contextualSpacing w:val="0"/>
        <w:rPr>
          <w:rFonts w:ascii="Times New Roman" w:hAnsi="Times New Roman"/>
          <w:sz w:val="24"/>
          <w:szCs w:val="24"/>
        </w:rPr>
      </w:pPr>
      <w:proofErr w:type="gramStart"/>
      <w:r>
        <w:rPr>
          <w:rFonts w:ascii="Times New Roman" w:hAnsi="Times New Roman"/>
          <w:sz w:val="24"/>
          <w:szCs w:val="24"/>
        </w:rPr>
        <w:t>accordingly</w:t>
      </w:r>
      <w:proofErr w:type="gramEnd"/>
      <w:r>
        <w:rPr>
          <w:rFonts w:ascii="Times New Roman" w:hAnsi="Times New Roman"/>
          <w:sz w:val="24"/>
          <w:szCs w:val="24"/>
        </w:rPr>
        <w:t xml:space="preserve">.  </w:t>
      </w:r>
      <w:r w:rsidR="00B426A6">
        <w:rPr>
          <w:rFonts w:ascii="Times New Roman" w:hAnsi="Times New Roman"/>
          <w:sz w:val="24"/>
          <w:szCs w:val="24"/>
        </w:rPr>
        <w:t xml:space="preserve">The first chart shows a running total of accumulated bed-days during the past year and the relative contributions to the accumulated bed-days from DPC, from inpatient care in the IMDs that is controlled by Medicaid managed care (“MA Funded”), and from inpatient care in IMDs that is managed by DSAMH (“DSAMH Funded”).  This analysis shows that around March of the year, the State had already reached its </w:t>
      </w:r>
      <w:r w:rsidR="008D68B6">
        <w:rPr>
          <w:rFonts w:ascii="Times New Roman" w:hAnsi="Times New Roman"/>
          <w:sz w:val="24"/>
          <w:szCs w:val="24"/>
        </w:rPr>
        <w:t>annual target (i.e., the line for Total days intersects the 30% reduction line around March).  In the subsequent months, the State was exceeding targeted limit.  The greatest contributor to bed-days was DPC—in part, because it includes some individuals with much longer term hospital stays—followed by Medicaid managed acute care clients and then DSA</w:t>
      </w:r>
      <w:r w:rsidR="004C1344">
        <w:rPr>
          <w:rFonts w:ascii="Times New Roman" w:hAnsi="Times New Roman"/>
          <w:sz w:val="24"/>
          <w:szCs w:val="24"/>
        </w:rPr>
        <w:t>MH managed acute care clients.</w:t>
      </w:r>
    </w:p>
    <w:p w:rsidR="0040508B" w:rsidRDefault="00512E66" w:rsidP="0040508B">
      <w:pPr>
        <w:pStyle w:val="ListParagraph"/>
        <w:spacing w:after="120"/>
        <w:contextualSpacing w:val="0"/>
        <w:rPr>
          <w:rFonts w:ascii="Times New Roman" w:hAnsi="Times New Roman"/>
          <w:sz w:val="24"/>
          <w:szCs w:val="24"/>
        </w:rPr>
      </w:pPr>
      <w:r>
        <w:rPr>
          <w:rFonts w:ascii="Times New Roman" w:hAnsi="Times New Roman"/>
          <w:sz w:val="24"/>
          <w:szCs w:val="24"/>
        </w:rPr>
        <w:t>T</w:t>
      </w:r>
      <w:r w:rsidR="00265A05">
        <w:rPr>
          <w:rFonts w:ascii="Times New Roman" w:hAnsi="Times New Roman"/>
          <w:sz w:val="24"/>
          <w:szCs w:val="24"/>
        </w:rPr>
        <w:t>h</w:t>
      </w:r>
      <w:r>
        <w:rPr>
          <w:rFonts w:ascii="Times New Roman" w:hAnsi="Times New Roman"/>
          <w:sz w:val="24"/>
          <w:szCs w:val="24"/>
        </w:rPr>
        <w:t xml:space="preserve">e second chart </w:t>
      </w:r>
      <w:r w:rsidR="0037778E">
        <w:rPr>
          <w:rFonts w:ascii="Times New Roman" w:hAnsi="Times New Roman"/>
          <w:sz w:val="24"/>
          <w:szCs w:val="24"/>
        </w:rPr>
        <w:t xml:space="preserve">clarifies where DSAMH has been successful in achieving reductions in bed-days and where there are challenges that need special focus.  </w:t>
      </w:r>
      <w:r w:rsidR="00F82272">
        <w:rPr>
          <w:rFonts w:ascii="Times New Roman" w:hAnsi="Times New Roman"/>
          <w:sz w:val="24"/>
          <w:szCs w:val="24"/>
        </w:rPr>
        <w:t xml:space="preserve">It tracks the total bed days utilized each month (as opposed to the month-to-month running total in the first chart) by provider type over the past three years.  The dotted line with the Totals shows the monthly use of bed-days and the slight drop that has occurred over time.  The DPC </w:t>
      </w:r>
    </w:p>
    <w:p w:rsidR="00332ECC" w:rsidRDefault="00332ECC" w:rsidP="0040508B">
      <w:pPr>
        <w:pStyle w:val="ListParagraph"/>
        <w:spacing w:after="120"/>
        <w:contextualSpacing w:val="0"/>
        <w:rPr>
          <w:rFonts w:ascii="Times New Roman" w:hAnsi="Times New Roman"/>
          <w:sz w:val="24"/>
          <w:szCs w:val="24"/>
        </w:rPr>
      </w:pPr>
    </w:p>
    <w:p w:rsidR="0040508B" w:rsidRDefault="0040508B" w:rsidP="0040508B">
      <w:pPr>
        <w:pStyle w:val="ListParagraph"/>
        <w:spacing w:after="120"/>
        <w:contextualSpacing w:val="0"/>
        <w:jc w:val="center"/>
        <w:rPr>
          <w:rFonts w:ascii="Times New Roman" w:hAnsi="Times New Roman"/>
          <w:sz w:val="24"/>
          <w:szCs w:val="24"/>
        </w:rPr>
      </w:pPr>
      <w:r w:rsidRPr="00265A05">
        <w:rPr>
          <w:rFonts w:ascii="Times New Roman" w:hAnsi="Times New Roman"/>
          <w:noProof/>
          <w:sz w:val="24"/>
          <w:szCs w:val="24"/>
        </w:rPr>
        <w:drawing>
          <wp:inline distT="0" distB="0" distL="0" distR="0">
            <wp:extent cx="4564380" cy="3032760"/>
            <wp:effectExtent l="19050" t="0" r="762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tretch>
                      <a:fillRect/>
                    </a:stretch>
                  </pic:blipFill>
                  <pic:spPr bwMode="auto">
                    <a:xfrm>
                      <a:off x="0" y="0"/>
                      <a:ext cx="4564380" cy="3032760"/>
                    </a:xfrm>
                    <a:prstGeom prst="rect">
                      <a:avLst/>
                    </a:prstGeom>
                    <a:noFill/>
                  </pic:spPr>
                </pic:pic>
              </a:graphicData>
            </a:graphic>
          </wp:inline>
        </w:drawing>
      </w:r>
    </w:p>
    <w:p w:rsidR="00245DF8" w:rsidRDefault="00245DF8" w:rsidP="0040508B">
      <w:pPr>
        <w:pStyle w:val="ListParagraph"/>
        <w:spacing w:after="120"/>
        <w:contextualSpacing w:val="0"/>
        <w:rPr>
          <w:rFonts w:ascii="Times New Roman" w:hAnsi="Times New Roman"/>
          <w:sz w:val="24"/>
          <w:szCs w:val="24"/>
        </w:rPr>
      </w:pPr>
    </w:p>
    <w:p w:rsidR="00512E66" w:rsidRDefault="00F82272" w:rsidP="0040508B">
      <w:pPr>
        <w:pStyle w:val="ListParagraph"/>
        <w:spacing w:after="120"/>
        <w:contextualSpacing w:val="0"/>
        <w:rPr>
          <w:rFonts w:ascii="Times New Roman" w:hAnsi="Times New Roman"/>
          <w:sz w:val="24"/>
          <w:szCs w:val="24"/>
        </w:rPr>
      </w:pPr>
      <w:proofErr w:type="gramStart"/>
      <w:r w:rsidRPr="00E328F9">
        <w:rPr>
          <w:rFonts w:ascii="Times New Roman" w:hAnsi="Times New Roman"/>
          <w:sz w:val="24"/>
          <w:szCs w:val="24"/>
        </w:rPr>
        <w:t>line</w:t>
      </w:r>
      <w:proofErr w:type="gramEnd"/>
      <w:r w:rsidRPr="00E328F9">
        <w:rPr>
          <w:rFonts w:ascii="Times New Roman" w:hAnsi="Times New Roman"/>
          <w:sz w:val="24"/>
          <w:szCs w:val="24"/>
        </w:rPr>
        <w:t xml:space="preserve"> shows that, primarily through community discharges from long-term care, there has actually been a significant decrease in monthly bed-days, from </w:t>
      </w:r>
      <w:r w:rsidR="004724F6">
        <w:rPr>
          <w:rFonts w:ascii="Times New Roman" w:hAnsi="Times New Roman"/>
          <w:sz w:val="24"/>
          <w:szCs w:val="24"/>
        </w:rPr>
        <w:t>3,426 in July of 2010 to around 2,131</w:t>
      </w:r>
      <w:r w:rsidRPr="00E328F9">
        <w:rPr>
          <w:rFonts w:ascii="Times New Roman" w:hAnsi="Times New Roman"/>
          <w:sz w:val="24"/>
          <w:szCs w:val="24"/>
        </w:rPr>
        <w:t xml:space="preserve"> in June of 2013; that is a </w:t>
      </w:r>
      <w:r w:rsidR="004724F6">
        <w:rPr>
          <w:rFonts w:ascii="Times New Roman" w:hAnsi="Times New Roman"/>
          <w:sz w:val="24"/>
          <w:szCs w:val="24"/>
        </w:rPr>
        <w:t>38</w:t>
      </w:r>
      <w:r w:rsidRPr="00E328F9">
        <w:rPr>
          <w:rFonts w:ascii="Times New Roman" w:hAnsi="Times New Roman"/>
          <w:sz w:val="24"/>
          <w:szCs w:val="24"/>
        </w:rPr>
        <w:t xml:space="preserve">% reduction.  </w:t>
      </w:r>
      <w:r w:rsidR="004C1344">
        <w:rPr>
          <w:rFonts w:ascii="Times New Roman" w:hAnsi="Times New Roman"/>
          <w:sz w:val="24"/>
          <w:szCs w:val="24"/>
        </w:rPr>
        <w:t>In fact, DPC was able to close a long term care unit, bringing its civil beds down from 120 to 80.</w:t>
      </w:r>
      <w:r w:rsidR="004C1344" w:rsidRPr="00DE48EE">
        <w:rPr>
          <w:rFonts w:ascii="Times New Roman" w:hAnsi="Times New Roman"/>
          <w:noProof/>
          <w:sz w:val="24"/>
          <w:szCs w:val="24"/>
        </w:rPr>
        <w:t xml:space="preserve"> </w:t>
      </w:r>
      <w:r w:rsidR="004C1344">
        <w:rPr>
          <w:rFonts w:ascii="Times New Roman" w:hAnsi="Times New Roman"/>
          <w:noProof/>
          <w:sz w:val="24"/>
          <w:szCs w:val="24"/>
        </w:rPr>
        <w:t xml:space="preserve"> </w:t>
      </w:r>
      <w:r w:rsidRPr="00E328F9">
        <w:rPr>
          <w:rFonts w:ascii="Times New Roman" w:hAnsi="Times New Roman"/>
          <w:sz w:val="24"/>
          <w:szCs w:val="24"/>
        </w:rPr>
        <w:t>The bed-days associated with DSAMH-funded care in the IMDs have remained relatively unchanged over time, with a slight reduction.  But the monthly bed-days under Medicaid managed care have actually increased, from 1,228 in July of</w:t>
      </w:r>
      <w:r w:rsidR="00E328F9" w:rsidRPr="00E328F9">
        <w:rPr>
          <w:rFonts w:ascii="Times New Roman" w:hAnsi="Times New Roman"/>
          <w:sz w:val="24"/>
          <w:szCs w:val="24"/>
        </w:rPr>
        <w:t xml:space="preserve"> 2010 to 1,373 in June of 2013—a growth of 12%.</w:t>
      </w:r>
    </w:p>
    <w:p w:rsidR="007E407D" w:rsidRPr="00332ECC" w:rsidRDefault="007E407D" w:rsidP="00332ECC">
      <w:pPr>
        <w:pStyle w:val="ListParagraph"/>
        <w:spacing w:after="120"/>
        <w:contextualSpacing w:val="0"/>
        <w:rPr>
          <w:rFonts w:ascii="Times New Roman" w:hAnsi="Times New Roman"/>
          <w:sz w:val="24"/>
          <w:szCs w:val="24"/>
        </w:rPr>
      </w:pPr>
      <w:r>
        <w:rPr>
          <w:rFonts w:ascii="Times New Roman" w:hAnsi="Times New Roman"/>
          <w:sz w:val="24"/>
          <w:szCs w:val="24"/>
        </w:rPr>
        <w:t>Ba</w:t>
      </w:r>
      <w:r w:rsidR="00725AD5">
        <w:rPr>
          <w:rFonts w:ascii="Times New Roman" w:hAnsi="Times New Roman"/>
          <w:sz w:val="24"/>
          <w:szCs w:val="24"/>
        </w:rPr>
        <w:t xml:space="preserve">sed on these and other analyses, as well as the urging of DOJ, </w:t>
      </w:r>
      <w:r>
        <w:rPr>
          <w:rFonts w:ascii="Times New Roman" w:hAnsi="Times New Roman"/>
          <w:sz w:val="24"/>
          <w:szCs w:val="24"/>
        </w:rPr>
        <w:t>DSAMH has undertaken several measures to meet the challenging targets for bed-use reduction.  These include the initiation of on-site utilization review by DSAMH for the individual</w:t>
      </w:r>
      <w:r w:rsidR="009A6D64">
        <w:rPr>
          <w:rFonts w:ascii="Times New Roman" w:hAnsi="Times New Roman"/>
          <w:sz w:val="24"/>
          <w:szCs w:val="24"/>
        </w:rPr>
        <w:t>s</w:t>
      </w:r>
      <w:r>
        <w:rPr>
          <w:rFonts w:ascii="Times New Roman" w:hAnsi="Times New Roman"/>
          <w:sz w:val="24"/>
          <w:szCs w:val="24"/>
        </w:rPr>
        <w:t xml:space="preserve"> it funds within the IMDs.  DSAMH is receiving ongoing consultation by an </w:t>
      </w:r>
      <w:r w:rsidR="00265A05" w:rsidRPr="00332ECC">
        <w:rPr>
          <w:rFonts w:ascii="Times New Roman" w:hAnsi="Times New Roman"/>
          <w:sz w:val="24"/>
          <w:szCs w:val="24"/>
        </w:rPr>
        <w:t xml:space="preserve">expert </w:t>
      </w:r>
      <w:r w:rsidRPr="00332ECC">
        <w:rPr>
          <w:rFonts w:ascii="Times New Roman" w:hAnsi="Times New Roman"/>
          <w:sz w:val="24"/>
          <w:szCs w:val="24"/>
        </w:rPr>
        <w:t>contracted through the Monitor to maximize the effectiveness of this new initiative.  As is referenced in an earlier section of this report, navigating the complicated interface with Medicaid managed care is complicated for a number of technica</w:t>
      </w:r>
      <w:r w:rsidR="009A6D64" w:rsidRPr="00332ECC">
        <w:rPr>
          <w:rFonts w:ascii="Times New Roman" w:hAnsi="Times New Roman"/>
          <w:sz w:val="24"/>
          <w:szCs w:val="24"/>
        </w:rPr>
        <w:t>l reasons.  The Director of DMMA</w:t>
      </w:r>
      <w:r w:rsidRPr="00332ECC">
        <w:rPr>
          <w:rFonts w:ascii="Times New Roman" w:hAnsi="Times New Roman"/>
          <w:sz w:val="24"/>
          <w:szCs w:val="24"/>
        </w:rPr>
        <w:t xml:space="preserve"> is fully—and positively—engaged in crafting a plan to help move the State to compliance with this provision, and to do so in ways that maximize efficiencies and outcomes that are consistent with the ADA.  </w:t>
      </w:r>
    </w:p>
    <w:p w:rsidR="002D2443" w:rsidRDefault="007E407D" w:rsidP="00033062">
      <w:pPr>
        <w:spacing w:after="120"/>
        <w:ind w:left="720"/>
        <w:rPr>
          <w:rFonts w:ascii="Times New Roman" w:hAnsi="Times New Roman"/>
          <w:sz w:val="24"/>
          <w:szCs w:val="24"/>
        </w:rPr>
      </w:pPr>
      <w:r>
        <w:rPr>
          <w:rFonts w:ascii="Times New Roman" w:hAnsi="Times New Roman"/>
          <w:sz w:val="24"/>
          <w:szCs w:val="24"/>
        </w:rPr>
        <w:t>Finall</w:t>
      </w:r>
      <w:r w:rsidR="00602E17">
        <w:rPr>
          <w:rFonts w:ascii="Times New Roman" w:hAnsi="Times New Roman"/>
          <w:sz w:val="24"/>
          <w:szCs w:val="24"/>
        </w:rPr>
        <w:t xml:space="preserve">y, it is worth reiterating that, though it may be difficult for the State to meet this impending benchmark, its improving capacities to access and analyze data put it in a wholly different position from prior years.  The multiple charts are included in this report to demonstrate how DSAMH is now able to evaluate performance and to target remedies accordingly.  </w:t>
      </w:r>
      <w:r w:rsidR="009A6D64">
        <w:rPr>
          <w:rFonts w:ascii="Times New Roman" w:hAnsi="Times New Roman"/>
          <w:sz w:val="24"/>
          <w:szCs w:val="24"/>
        </w:rPr>
        <w:t xml:space="preserve">The evaluation of individuals discharged from DPC (presented above) demonstrates that a population that had accounted for very high numbers of hospital bed-days can be successfully discharged with </w:t>
      </w:r>
      <w:proofErr w:type="gramStart"/>
      <w:r w:rsidR="009A6D64">
        <w:rPr>
          <w:rFonts w:ascii="Times New Roman" w:hAnsi="Times New Roman"/>
          <w:sz w:val="24"/>
          <w:szCs w:val="24"/>
        </w:rPr>
        <w:t>ACT,</w:t>
      </w:r>
      <w:proofErr w:type="gramEnd"/>
      <w:r w:rsidR="009A6D64">
        <w:rPr>
          <w:rFonts w:ascii="Times New Roman" w:hAnsi="Times New Roman"/>
          <w:sz w:val="24"/>
          <w:szCs w:val="24"/>
        </w:rPr>
        <w:t xml:space="preserve"> supported housing and other evidence-based community services.  F</w:t>
      </w:r>
      <w:r w:rsidR="004724F6">
        <w:rPr>
          <w:rFonts w:ascii="Times New Roman" w:hAnsi="Times New Roman"/>
          <w:sz w:val="24"/>
          <w:szCs w:val="24"/>
        </w:rPr>
        <w:t xml:space="preserve">urther referrals </w:t>
      </w:r>
      <w:r w:rsidR="009A6D64">
        <w:rPr>
          <w:rFonts w:ascii="Times New Roman" w:hAnsi="Times New Roman"/>
          <w:sz w:val="24"/>
          <w:szCs w:val="24"/>
        </w:rPr>
        <w:t xml:space="preserve">from DPC and the IMDs </w:t>
      </w:r>
      <w:r w:rsidR="004724F6">
        <w:rPr>
          <w:rFonts w:ascii="Times New Roman" w:hAnsi="Times New Roman"/>
          <w:sz w:val="24"/>
          <w:szCs w:val="24"/>
        </w:rPr>
        <w:t xml:space="preserve">with the levels of intensive support available through ACT, ICM and CRISP may </w:t>
      </w:r>
      <w:r w:rsidR="009A6D64">
        <w:rPr>
          <w:rFonts w:ascii="Times New Roman" w:hAnsi="Times New Roman"/>
          <w:sz w:val="24"/>
          <w:szCs w:val="24"/>
        </w:rPr>
        <w:t>result in additional reductions and present a similarly positive return on an investment in integrating community services.</w:t>
      </w:r>
    </w:p>
    <w:p w:rsidR="00725AD5" w:rsidRDefault="00725AD5" w:rsidP="00033062">
      <w:pPr>
        <w:spacing w:after="120"/>
        <w:ind w:left="1080"/>
        <w:rPr>
          <w:rFonts w:ascii="Times New Roman" w:hAnsi="Times New Roman"/>
          <w:sz w:val="24"/>
          <w:szCs w:val="24"/>
        </w:rPr>
      </w:pPr>
      <w:r>
        <w:rPr>
          <w:rFonts w:ascii="Times New Roman" w:hAnsi="Times New Roman"/>
          <w:sz w:val="24"/>
          <w:szCs w:val="24"/>
          <w:u w:val="single"/>
        </w:rPr>
        <w:t>Recommendations:</w:t>
      </w:r>
    </w:p>
    <w:p w:rsidR="00725AD5" w:rsidRPr="00725AD5" w:rsidRDefault="00725AD5" w:rsidP="00033062">
      <w:pPr>
        <w:spacing w:after="120"/>
        <w:ind w:left="1080"/>
        <w:rPr>
          <w:rFonts w:ascii="Times New Roman" w:hAnsi="Times New Roman"/>
          <w:sz w:val="24"/>
          <w:szCs w:val="24"/>
        </w:rPr>
      </w:pPr>
      <w:r>
        <w:rPr>
          <w:rFonts w:ascii="Times New Roman" w:hAnsi="Times New Roman"/>
          <w:sz w:val="24"/>
          <w:szCs w:val="24"/>
        </w:rPr>
        <w:t>The recommendations (discussed elsewhere in this report) relating to the expansion in the number of ACT teams, the development of an RRC-style Crisis Walk-in Center to serve the northern part of the state, and reforms in how clinical services are managed are essential for fulfilling this important requirement.</w:t>
      </w:r>
    </w:p>
    <w:p w:rsidR="00CC6919" w:rsidRDefault="00CC6919" w:rsidP="00033062">
      <w:pPr>
        <w:pStyle w:val="ListParagraph"/>
        <w:spacing w:after="120"/>
        <w:ind w:left="1080"/>
        <w:contextualSpacing w:val="0"/>
        <w:rPr>
          <w:rFonts w:ascii="Times New Roman" w:hAnsi="Times New Roman"/>
          <w:b/>
          <w:sz w:val="24"/>
          <w:szCs w:val="24"/>
        </w:rPr>
      </w:pPr>
    </w:p>
    <w:p w:rsidR="00CC6919" w:rsidRDefault="00CC6919" w:rsidP="00033062">
      <w:pPr>
        <w:pStyle w:val="ListParagraph"/>
        <w:numPr>
          <w:ilvl w:val="0"/>
          <w:numId w:val="5"/>
        </w:numPr>
        <w:spacing w:after="120"/>
        <w:contextualSpacing w:val="0"/>
        <w:rPr>
          <w:rFonts w:ascii="Times New Roman" w:hAnsi="Times New Roman"/>
          <w:b/>
          <w:sz w:val="24"/>
          <w:szCs w:val="24"/>
        </w:rPr>
      </w:pPr>
      <w:r>
        <w:rPr>
          <w:rFonts w:ascii="Times New Roman" w:hAnsi="Times New Roman"/>
          <w:b/>
          <w:sz w:val="24"/>
          <w:szCs w:val="24"/>
        </w:rPr>
        <w:t>Crisis Apartments</w:t>
      </w:r>
    </w:p>
    <w:p w:rsidR="00CC6919" w:rsidRDefault="00CC6919" w:rsidP="00AC573F">
      <w:pPr>
        <w:pStyle w:val="ListParagraph"/>
        <w:keepNext/>
        <w:spacing w:after="120"/>
        <w:contextualSpacing w:val="0"/>
        <w:outlineLvl w:val="0"/>
        <w:rPr>
          <w:rFonts w:ascii="Times New Roman" w:hAnsi="Times New Roman"/>
          <w:sz w:val="24"/>
          <w:szCs w:val="24"/>
        </w:rPr>
      </w:pPr>
      <w:proofErr w:type="gramStart"/>
      <w:r>
        <w:rPr>
          <w:rFonts w:ascii="Times New Roman" w:hAnsi="Times New Roman"/>
          <w:sz w:val="24"/>
          <w:szCs w:val="24"/>
          <w:u w:val="single"/>
        </w:rPr>
        <w:t>Substantial Compliance.</w:t>
      </w:r>
      <w:proofErr w:type="gramEnd"/>
    </w:p>
    <w:p w:rsidR="00CC6919" w:rsidRDefault="001973DA" w:rsidP="00CC6919">
      <w:pPr>
        <w:pStyle w:val="ListParagraph"/>
        <w:spacing w:after="120"/>
        <w:contextualSpacing w:val="0"/>
        <w:rPr>
          <w:rFonts w:ascii="Times New Roman" w:hAnsi="Times New Roman"/>
          <w:sz w:val="24"/>
          <w:szCs w:val="24"/>
        </w:rPr>
      </w:pPr>
      <w:r>
        <w:rPr>
          <w:rFonts w:ascii="Times New Roman" w:hAnsi="Times New Roman"/>
          <w:sz w:val="24"/>
          <w:szCs w:val="24"/>
        </w:rPr>
        <w:t>Section</w:t>
      </w:r>
      <w:r w:rsidR="00CC6919">
        <w:rPr>
          <w:rFonts w:ascii="Times New Roman" w:hAnsi="Times New Roman"/>
          <w:sz w:val="24"/>
          <w:szCs w:val="24"/>
        </w:rPr>
        <w:t xml:space="preserve"> III.E.2 of the Agreement requires the state to make 2 additional crisis apartments available by July1, 2013, bringing the total number of crisis apartments to 4.  These apartments are required to be situated so that individuals throughout the state in need of</w:t>
      </w:r>
      <w:r>
        <w:rPr>
          <w:rFonts w:ascii="Times New Roman" w:hAnsi="Times New Roman"/>
          <w:sz w:val="24"/>
          <w:szCs w:val="24"/>
        </w:rPr>
        <w:t xml:space="preserve"> this service can have access. </w:t>
      </w:r>
      <w:r w:rsidR="00CC6919">
        <w:rPr>
          <w:rFonts w:ascii="Times New Roman" w:hAnsi="Times New Roman"/>
          <w:sz w:val="24"/>
          <w:szCs w:val="24"/>
        </w:rPr>
        <w:t xml:space="preserve"> The State has surpassed this requirement.  There are now 9 crisis apartment</w:t>
      </w:r>
      <w:r>
        <w:rPr>
          <w:rFonts w:ascii="Times New Roman" w:hAnsi="Times New Roman"/>
          <w:sz w:val="24"/>
          <w:szCs w:val="24"/>
        </w:rPr>
        <w:t>s</w:t>
      </w:r>
      <w:r w:rsidR="00CC6919">
        <w:rPr>
          <w:rFonts w:ascii="Times New Roman" w:hAnsi="Times New Roman"/>
          <w:sz w:val="24"/>
          <w:szCs w:val="24"/>
        </w:rPr>
        <w:t xml:space="preserve"> situated throughout the state.  DSAMH is monitoring their occupancy patterns and is taking measures to ensure that Mobile Crisis Teams and other providers are aware of the availability of beds.</w:t>
      </w:r>
      <w:r w:rsidR="00556522">
        <w:rPr>
          <w:rFonts w:ascii="Times New Roman" w:hAnsi="Times New Roman"/>
          <w:sz w:val="24"/>
          <w:szCs w:val="24"/>
        </w:rPr>
        <w:t xml:space="preserve">  The typical length of stay in these crisis beds is about three to seven days.</w:t>
      </w:r>
    </w:p>
    <w:p w:rsidR="00CC6919" w:rsidRDefault="00CC6919" w:rsidP="00CC6919">
      <w:pPr>
        <w:pStyle w:val="ListParagraph"/>
        <w:spacing w:after="120"/>
        <w:contextualSpacing w:val="0"/>
        <w:rPr>
          <w:rFonts w:ascii="Times New Roman" w:hAnsi="Times New Roman"/>
          <w:sz w:val="24"/>
          <w:szCs w:val="24"/>
        </w:rPr>
      </w:pPr>
    </w:p>
    <w:p w:rsidR="00CC6919" w:rsidRDefault="00CC6919" w:rsidP="00CC6919">
      <w:pPr>
        <w:pStyle w:val="ListParagraph"/>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Assertive Community Treatment</w:t>
      </w:r>
    </w:p>
    <w:p w:rsidR="00CC6919" w:rsidRPr="00CC6919" w:rsidRDefault="00CC6919" w:rsidP="00AC573F">
      <w:pPr>
        <w:spacing w:after="120"/>
        <w:ind w:left="72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725AD5" w:rsidRDefault="00CC6919" w:rsidP="00CC6919">
      <w:pPr>
        <w:spacing w:after="120"/>
        <w:ind w:left="720"/>
        <w:rPr>
          <w:rFonts w:ascii="Times New Roman" w:hAnsi="Times New Roman"/>
          <w:sz w:val="24"/>
          <w:szCs w:val="24"/>
        </w:rPr>
      </w:pPr>
      <w:r>
        <w:rPr>
          <w:rFonts w:ascii="Times New Roman" w:hAnsi="Times New Roman"/>
          <w:sz w:val="24"/>
          <w:szCs w:val="24"/>
        </w:rPr>
        <w:t xml:space="preserve">Section III.F.2 requires that the State establish 1 additional ACT team—bringing the total to 9 ACT teams—by September 1, 2013.  The State has already surpassed that target.  There are presently 11 ACT teams statewide.  </w:t>
      </w:r>
      <w:r w:rsidR="00725AD5">
        <w:rPr>
          <w:rFonts w:ascii="Times New Roman" w:hAnsi="Times New Roman"/>
          <w:sz w:val="24"/>
          <w:szCs w:val="24"/>
        </w:rPr>
        <w:t xml:space="preserve">Nevertheless, there are now waiting lists </w:t>
      </w:r>
      <w:r w:rsidR="001973DA">
        <w:rPr>
          <w:rFonts w:ascii="Times New Roman" w:hAnsi="Times New Roman"/>
          <w:sz w:val="24"/>
          <w:szCs w:val="24"/>
        </w:rPr>
        <w:t xml:space="preserve">of </w:t>
      </w:r>
      <w:r w:rsidR="00725AD5">
        <w:rPr>
          <w:rFonts w:ascii="Times New Roman" w:hAnsi="Times New Roman"/>
          <w:sz w:val="24"/>
          <w:szCs w:val="24"/>
        </w:rPr>
        <w:t xml:space="preserve">individuals in need of ACT services in New Castle County because the teams </w:t>
      </w:r>
      <w:r w:rsidR="001973DA">
        <w:rPr>
          <w:rFonts w:ascii="Times New Roman" w:hAnsi="Times New Roman"/>
          <w:sz w:val="24"/>
          <w:szCs w:val="24"/>
        </w:rPr>
        <w:t xml:space="preserve">there </w:t>
      </w:r>
      <w:r w:rsidR="00725AD5">
        <w:rPr>
          <w:rFonts w:ascii="Times New Roman" w:hAnsi="Times New Roman"/>
          <w:sz w:val="24"/>
          <w:szCs w:val="24"/>
        </w:rPr>
        <w:t xml:space="preserve">are largely at capacity.   </w:t>
      </w:r>
    </w:p>
    <w:p w:rsidR="00E5036B" w:rsidRDefault="00CC6919" w:rsidP="00CC6919">
      <w:pPr>
        <w:spacing w:after="120"/>
        <w:ind w:left="720"/>
        <w:rPr>
          <w:rFonts w:ascii="Times New Roman" w:hAnsi="Times New Roman"/>
          <w:sz w:val="24"/>
          <w:szCs w:val="24"/>
        </w:rPr>
      </w:pPr>
      <w:r>
        <w:rPr>
          <w:rFonts w:ascii="Times New Roman" w:hAnsi="Times New Roman"/>
          <w:sz w:val="24"/>
          <w:szCs w:val="24"/>
        </w:rPr>
        <w:t xml:space="preserve">DSAMH is routinely assessing the fidelity of </w:t>
      </w:r>
      <w:r w:rsidR="00725AD5">
        <w:rPr>
          <w:rFonts w:ascii="Times New Roman" w:hAnsi="Times New Roman"/>
          <w:sz w:val="24"/>
          <w:szCs w:val="24"/>
        </w:rPr>
        <w:t>all 11</w:t>
      </w:r>
      <w:r>
        <w:rPr>
          <w:rFonts w:ascii="Times New Roman" w:hAnsi="Times New Roman"/>
          <w:sz w:val="24"/>
          <w:szCs w:val="24"/>
        </w:rPr>
        <w:t xml:space="preserve"> teams with the TMAC model, which the parties have agreed to as a more recovery-oriented standard than the Dartmouth model</w:t>
      </w:r>
      <w:r w:rsidR="001973DA">
        <w:rPr>
          <w:rFonts w:ascii="Times New Roman" w:hAnsi="Times New Roman"/>
          <w:sz w:val="24"/>
          <w:szCs w:val="24"/>
        </w:rPr>
        <w:t xml:space="preserve"> referenced in the Agreement</w:t>
      </w:r>
      <w:r>
        <w:rPr>
          <w:rFonts w:ascii="Times New Roman" w:hAnsi="Times New Roman"/>
          <w:sz w:val="24"/>
          <w:szCs w:val="24"/>
        </w:rPr>
        <w:t>.  The teams are in various stages of development and are receiving consultation and support, as needed</w:t>
      </w:r>
      <w:r w:rsidR="001973DA">
        <w:rPr>
          <w:rFonts w:ascii="Times New Roman" w:hAnsi="Times New Roman"/>
          <w:sz w:val="24"/>
          <w:szCs w:val="24"/>
        </w:rPr>
        <w:t>,</w:t>
      </w:r>
      <w:r>
        <w:rPr>
          <w:rFonts w:ascii="Times New Roman" w:hAnsi="Times New Roman"/>
          <w:sz w:val="24"/>
          <w:szCs w:val="24"/>
        </w:rPr>
        <w:t xml:space="preserve"> from </w:t>
      </w:r>
      <w:r w:rsidR="00E5036B">
        <w:rPr>
          <w:rFonts w:ascii="Times New Roman" w:hAnsi="Times New Roman"/>
          <w:sz w:val="24"/>
          <w:szCs w:val="24"/>
        </w:rPr>
        <w:t xml:space="preserve">DSAMH.  </w:t>
      </w:r>
      <w:r w:rsidR="00EB69B8">
        <w:rPr>
          <w:rFonts w:ascii="Times New Roman" w:hAnsi="Times New Roman"/>
          <w:sz w:val="24"/>
          <w:szCs w:val="24"/>
        </w:rPr>
        <w:t>During the past year, one of the ACT providers discontinued services in the state, but DSAMH engaged alternate providers without significant or sustained interruptions in services.</w:t>
      </w:r>
    </w:p>
    <w:p w:rsidR="00CC6919" w:rsidRDefault="00E5036B" w:rsidP="00CC6919">
      <w:pPr>
        <w:spacing w:after="120"/>
        <w:ind w:left="720"/>
        <w:rPr>
          <w:rFonts w:ascii="Times New Roman" w:hAnsi="Times New Roman"/>
          <w:sz w:val="24"/>
          <w:szCs w:val="24"/>
        </w:rPr>
      </w:pPr>
      <w:r>
        <w:rPr>
          <w:rFonts w:ascii="Times New Roman" w:hAnsi="Times New Roman"/>
          <w:sz w:val="24"/>
          <w:szCs w:val="24"/>
        </w:rPr>
        <w:t xml:space="preserve">The Monitor </w:t>
      </w:r>
      <w:r w:rsidR="001973DA">
        <w:rPr>
          <w:rFonts w:ascii="Times New Roman" w:hAnsi="Times New Roman"/>
          <w:sz w:val="24"/>
          <w:szCs w:val="24"/>
        </w:rPr>
        <w:t xml:space="preserve">recently </w:t>
      </w:r>
      <w:r>
        <w:rPr>
          <w:rFonts w:ascii="Times New Roman" w:hAnsi="Times New Roman"/>
          <w:sz w:val="24"/>
          <w:szCs w:val="24"/>
        </w:rPr>
        <w:t xml:space="preserve">had an opportunity to meet with a Sussex County ACT Team, which was specifically selected because the southern part of the state has historically been underserved.  Individually and collectively the </w:t>
      </w:r>
      <w:r w:rsidR="001973DA">
        <w:rPr>
          <w:rFonts w:ascii="Times New Roman" w:hAnsi="Times New Roman"/>
          <w:sz w:val="24"/>
          <w:szCs w:val="24"/>
        </w:rPr>
        <w:t xml:space="preserve">members of the </w:t>
      </w:r>
      <w:r>
        <w:rPr>
          <w:rFonts w:ascii="Times New Roman" w:hAnsi="Times New Roman"/>
          <w:sz w:val="24"/>
          <w:szCs w:val="24"/>
        </w:rPr>
        <w:t>team w</w:t>
      </w:r>
      <w:r w:rsidR="001973DA">
        <w:rPr>
          <w:rFonts w:ascii="Times New Roman" w:hAnsi="Times New Roman"/>
          <w:sz w:val="24"/>
          <w:szCs w:val="24"/>
        </w:rPr>
        <w:t>ere</w:t>
      </w:r>
      <w:r>
        <w:rPr>
          <w:rFonts w:ascii="Times New Roman" w:hAnsi="Times New Roman"/>
          <w:sz w:val="24"/>
          <w:szCs w:val="24"/>
        </w:rPr>
        <w:t xml:space="preserve"> impressive in their knowledge of the status and needs of the individuals being served, their focus on how individuals were navigating the various </w:t>
      </w:r>
      <w:r w:rsidR="001973DA">
        <w:rPr>
          <w:rFonts w:ascii="Times New Roman" w:hAnsi="Times New Roman"/>
          <w:sz w:val="24"/>
          <w:szCs w:val="24"/>
        </w:rPr>
        <w:t xml:space="preserve">day-to-day </w:t>
      </w:r>
      <w:r>
        <w:rPr>
          <w:rFonts w:ascii="Times New Roman" w:hAnsi="Times New Roman"/>
          <w:sz w:val="24"/>
          <w:szCs w:val="24"/>
        </w:rPr>
        <w:t>demands of community living, and their consideration of medication-related issues without allowing these to become the dominant interest.  One tell</w:t>
      </w:r>
      <w:r w:rsidR="001973DA">
        <w:rPr>
          <w:rFonts w:ascii="Times New Roman" w:hAnsi="Times New Roman"/>
          <w:sz w:val="24"/>
          <w:szCs w:val="24"/>
        </w:rPr>
        <w:t>tale quality of a well-</w:t>
      </w:r>
      <w:r>
        <w:rPr>
          <w:rFonts w:ascii="Times New Roman" w:hAnsi="Times New Roman"/>
          <w:sz w:val="24"/>
          <w:szCs w:val="24"/>
        </w:rPr>
        <w:t>functioning ACT team was very much in evidence:  The Monitor entered the team</w:t>
      </w:r>
      <w:r w:rsidR="001973DA">
        <w:rPr>
          <w:rFonts w:ascii="Times New Roman" w:hAnsi="Times New Roman"/>
          <w:sz w:val="24"/>
          <w:szCs w:val="24"/>
        </w:rPr>
        <w:t>’</w:t>
      </w:r>
      <w:r>
        <w:rPr>
          <w:rFonts w:ascii="Times New Roman" w:hAnsi="Times New Roman"/>
          <w:sz w:val="24"/>
          <w:szCs w:val="24"/>
        </w:rPr>
        <w:t xml:space="preserve">s meeting while it was already underway and, to avoid being disruptive, introductions of various members were made after the fact.  During the discussions taking place prior to these introductions, it was very difficult to discern </w:t>
      </w:r>
      <w:proofErr w:type="gramStart"/>
      <w:r>
        <w:rPr>
          <w:rFonts w:ascii="Times New Roman" w:hAnsi="Times New Roman"/>
          <w:sz w:val="24"/>
          <w:szCs w:val="24"/>
        </w:rPr>
        <w:t>who was the doctor, the nurse, the case manager, the peer specialist, and so on</w:t>
      </w:r>
      <w:proofErr w:type="gramEnd"/>
      <w:r w:rsidR="001973DA">
        <w:rPr>
          <w:rFonts w:ascii="Times New Roman" w:hAnsi="Times New Roman"/>
          <w:sz w:val="24"/>
          <w:szCs w:val="24"/>
        </w:rPr>
        <w:t>.</w:t>
      </w:r>
      <w:r>
        <w:rPr>
          <w:rFonts w:ascii="Times New Roman" w:hAnsi="Times New Roman"/>
          <w:sz w:val="24"/>
          <w:szCs w:val="24"/>
        </w:rPr>
        <w:t xml:space="preserve"> </w:t>
      </w:r>
      <w:r w:rsidR="001973DA">
        <w:rPr>
          <w:rFonts w:ascii="Times New Roman" w:hAnsi="Times New Roman"/>
          <w:sz w:val="24"/>
          <w:szCs w:val="24"/>
        </w:rPr>
        <w:t>A</w:t>
      </w:r>
      <w:r>
        <w:rPr>
          <w:rFonts w:ascii="Times New Roman" w:hAnsi="Times New Roman"/>
          <w:sz w:val="24"/>
          <w:szCs w:val="24"/>
        </w:rPr>
        <w:t>l</w:t>
      </w:r>
      <w:r w:rsidR="001973DA">
        <w:rPr>
          <w:rFonts w:ascii="Times New Roman" w:hAnsi="Times New Roman"/>
          <w:sz w:val="24"/>
          <w:szCs w:val="24"/>
        </w:rPr>
        <w:t xml:space="preserve">l were very active participants </w:t>
      </w:r>
      <w:r>
        <w:rPr>
          <w:rFonts w:ascii="Times New Roman" w:hAnsi="Times New Roman"/>
          <w:sz w:val="24"/>
          <w:szCs w:val="24"/>
        </w:rPr>
        <w:t xml:space="preserve">and there was clearly an interest in what every member had to contribute. </w:t>
      </w:r>
      <w:r w:rsidR="001973DA">
        <w:rPr>
          <w:rFonts w:ascii="Times New Roman" w:hAnsi="Times New Roman"/>
          <w:sz w:val="24"/>
          <w:szCs w:val="24"/>
        </w:rPr>
        <w:t xml:space="preserve"> Each member appeared to have a working knowledge of not only the individual’s clinical needs, but what was going on in that individual’s life.  </w:t>
      </w:r>
      <w:r w:rsidR="00DB4C78">
        <w:rPr>
          <w:rFonts w:ascii="Times New Roman" w:hAnsi="Times New Roman"/>
          <w:sz w:val="24"/>
          <w:szCs w:val="24"/>
        </w:rPr>
        <w:t xml:space="preserve">This small observation is an important measure of a good ACT team, where professional roles (and associated hierarchies) are intended to be blurred and where </w:t>
      </w:r>
      <w:r w:rsidR="001973DA">
        <w:rPr>
          <w:rFonts w:ascii="Times New Roman" w:hAnsi="Times New Roman"/>
          <w:sz w:val="24"/>
          <w:szCs w:val="24"/>
        </w:rPr>
        <w:t>there is a collaborative effort to assist the individual in meeting his or her needs</w:t>
      </w:r>
      <w:proofErr w:type="gramStart"/>
      <w:r w:rsidR="001973DA">
        <w:rPr>
          <w:rFonts w:ascii="Times New Roman" w:hAnsi="Times New Roman"/>
          <w:sz w:val="24"/>
          <w:szCs w:val="24"/>
        </w:rPr>
        <w:t>.</w:t>
      </w:r>
      <w:r w:rsidR="00DB4C78">
        <w:rPr>
          <w:rFonts w:ascii="Times New Roman" w:hAnsi="Times New Roman"/>
          <w:sz w:val="24"/>
          <w:szCs w:val="24"/>
        </w:rPr>
        <w:t>.</w:t>
      </w:r>
      <w:proofErr w:type="gramEnd"/>
    </w:p>
    <w:p w:rsidR="00DB4C78" w:rsidRDefault="00DB4C78" w:rsidP="00CC6919">
      <w:pPr>
        <w:spacing w:after="120"/>
        <w:ind w:left="720"/>
        <w:rPr>
          <w:rFonts w:ascii="Times New Roman" w:hAnsi="Times New Roman"/>
          <w:sz w:val="24"/>
          <w:szCs w:val="24"/>
        </w:rPr>
      </w:pPr>
      <w:r>
        <w:rPr>
          <w:rFonts w:ascii="Times New Roman" w:hAnsi="Times New Roman"/>
          <w:sz w:val="24"/>
          <w:szCs w:val="24"/>
        </w:rPr>
        <w:t>On a more global level, DSAMH has data that demonstrate the effectiveness of the ACT model</w:t>
      </w:r>
      <w:r w:rsidR="00E44E03">
        <w:rPr>
          <w:rFonts w:ascii="Times New Roman" w:hAnsi="Times New Roman"/>
          <w:sz w:val="24"/>
          <w:szCs w:val="24"/>
        </w:rPr>
        <w:t xml:space="preserve"> and other community programs</w:t>
      </w:r>
      <w:r>
        <w:rPr>
          <w:rFonts w:ascii="Times New Roman" w:hAnsi="Times New Roman"/>
          <w:sz w:val="24"/>
          <w:szCs w:val="24"/>
        </w:rPr>
        <w:t xml:space="preserve">. The chart below shows </w:t>
      </w:r>
      <w:r w:rsidR="00E44E03">
        <w:rPr>
          <w:rFonts w:ascii="Times New Roman" w:hAnsi="Times New Roman"/>
          <w:sz w:val="24"/>
          <w:szCs w:val="24"/>
        </w:rPr>
        <w:t xml:space="preserve">that individuals being served by ACT, Intensive Care Management (discussed in the next section) and CRISP account for very few involuntary hospitalizations.  This occurs even though these programs serve individuals who have significant disabilities, generally with long histories of recurrent hospital admissions.  In contrast, the great majority of hospital admissions </w:t>
      </w:r>
      <w:r w:rsidR="007F715C">
        <w:rPr>
          <w:rFonts w:ascii="Times New Roman" w:hAnsi="Times New Roman"/>
          <w:noProof/>
          <w:sz w:val="24"/>
          <w:szCs w:val="24"/>
        </w:rPr>
        <w:t>involve</w:t>
      </w:r>
      <w:r w:rsidR="00E44E03">
        <w:rPr>
          <w:rFonts w:ascii="Times New Roman" w:hAnsi="Times New Roman"/>
          <w:sz w:val="24"/>
          <w:szCs w:val="24"/>
        </w:rPr>
        <w:t xml:space="preserve"> individuals who are new to the system or those being served by private </w:t>
      </w:r>
      <w:r w:rsidR="00553307">
        <w:rPr>
          <w:rFonts w:ascii="Times New Roman" w:hAnsi="Times New Roman"/>
          <w:sz w:val="24"/>
          <w:szCs w:val="24"/>
        </w:rPr>
        <w:t>practitioners</w:t>
      </w:r>
      <w:r w:rsidR="004618AD">
        <w:rPr>
          <w:rFonts w:ascii="Times New Roman" w:hAnsi="Times New Roman"/>
          <w:sz w:val="24"/>
          <w:szCs w:val="24"/>
        </w:rPr>
        <w:t>, many of whom are being served through MCO care management</w:t>
      </w:r>
      <w:r w:rsidR="00553307">
        <w:rPr>
          <w:rFonts w:ascii="Times New Roman" w:hAnsi="Times New Roman"/>
          <w:sz w:val="24"/>
          <w:szCs w:val="24"/>
        </w:rPr>
        <w:t xml:space="preserve">—a population that tends to be higher functioning.  </w:t>
      </w:r>
    </w:p>
    <w:p w:rsidR="00265A05" w:rsidRDefault="00B57EF9" w:rsidP="00265A05">
      <w:pPr>
        <w:pStyle w:val="ListParagraph"/>
        <w:spacing w:after="120"/>
        <w:contextualSpacing w:val="0"/>
        <w:jc w:val="center"/>
        <w:rPr>
          <w:rFonts w:ascii="Times New Roman" w:hAnsi="Times New Roman"/>
          <w:sz w:val="24"/>
          <w:szCs w:val="24"/>
        </w:rPr>
      </w:pPr>
      <w:r>
        <w:rPr>
          <w:rFonts w:ascii="Times New Roman" w:hAnsi="Times New Roman"/>
          <w:noProof/>
          <w:sz w:val="24"/>
          <w:szCs w:val="24"/>
        </w:rPr>
        <w:drawing>
          <wp:inline distT="0" distB="0" distL="0" distR="0">
            <wp:extent cx="5212080" cy="3345180"/>
            <wp:effectExtent l="19050" t="0" r="762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tretch>
                      <a:fillRect/>
                    </a:stretch>
                  </pic:blipFill>
                  <pic:spPr bwMode="auto">
                    <a:xfrm>
                      <a:off x="0" y="0"/>
                      <a:ext cx="5212080" cy="3345180"/>
                    </a:xfrm>
                    <a:prstGeom prst="rect">
                      <a:avLst/>
                    </a:prstGeom>
                    <a:noFill/>
                  </pic:spPr>
                </pic:pic>
              </a:graphicData>
            </a:graphic>
          </wp:inline>
        </w:drawing>
      </w:r>
    </w:p>
    <w:p w:rsidR="00265A05" w:rsidRDefault="00265A05" w:rsidP="00265A05">
      <w:pPr>
        <w:pStyle w:val="ListParagraph"/>
        <w:spacing w:after="120"/>
        <w:contextualSpacing w:val="0"/>
        <w:jc w:val="center"/>
        <w:rPr>
          <w:rFonts w:ascii="Times New Roman" w:hAnsi="Times New Roman"/>
          <w:sz w:val="24"/>
          <w:szCs w:val="24"/>
        </w:rPr>
      </w:pPr>
    </w:p>
    <w:p w:rsidR="00551BAB" w:rsidRDefault="00551BAB" w:rsidP="00265A05">
      <w:pPr>
        <w:pStyle w:val="ListParagraph"/>
        <w:spacing w:after="120"/>
        <w:contextualSpacing w:val="0"/>
        <w:rPr>
          <w:rFonts w:ascii="Times New Roman" w:hAnsi="Times New Roman"/>
          <w:sz w:val="24"/>
          <w:szCs w:val="24"/>
        </w:rPr>
      </w:pPr>
      <w:r>
        <w:rPr>
          <w:rFonts w:ascii="Times New Roman" w:hAnsi="Times New Roman"/>
          <w:sz w:val="24"/>
          <w:szCs w:val="24"/>
        </w:rPr>
        <w:t>These data, as well as the individuals’ stories presented below in regard to supported housing and employment, affirm that the State’s ACT programs are serving an essential role in achieving the requirements of the Agreement.</w:t>
      </w:r>
    </w:p>
    <w:p w:rsidR="00551BAB" w:rsidRDefault="00551BAB" w:rsidP="00265A05">
      <w:pPr>
        <w:pStyle w:val="ListParagraph"/>
        <w:keepNext/>
        <w:spacing w:after="120"/>
        <w:ind w:left="1440"/>
        <w:contextualSpacing w:val="0"/>
        <w:rPr>
          <w:rFonts w:ascii="Times New Roman" w:hAnsi="Times New Roman"/>
          <w:sz w:val="24"/>
          <w:szCs w:val="24"/>
        </w:rPr>
      </w:pPr>
      <w:r>
        <w:rPr>
          <w:rFonts w:ascii="Times New Roman" w:hAnsi="Times New Roman"/>
          <w:sz w:val="24"/>
          <w:szCs w:val="24"/>
          <w:u w:val="single"/>
        </w:rPr>
        <w:t>Recommendations:</w:t>
      </w:r>
    </w:p>
    <w:p w:rsidR="004618AD" w:rsidRDefault="00551BAB" w:rsidP="00BA6C30">
      <w:pPr>
        <w:pStyle w:val="ListParagraph"/>
        <w:spacing w:after="120"/>
        <w:ind w:left="1440"/>
        <w:contextualSpacing w:val="0"/>
        <w:rPr>
          <w:rFonts w:ascii="Times New Roman" w:hAnsi="Times New Roman"/>
          <w:sz w:val="24"/>
          <w:szCs w:val="24"/>
        </w:rPr>
      </w:pPr>
      <w:r>
        <w:rPr>
          <w:rFonts w:ascii="Times New Roman" w:hAnsi="Times New Roman"/>
          <w:sz w:val="24"/>
          <w:szCs w:val="24"/>
        </w:rPr>
        <w:t xml:space="preserve">Based on the </w:t>
      </w:r>
      <w:r w:rsidR="005260B8">
        <w:rPr>
          <w:rFonts w:ascii="Times New Roman" w:hAnsi="Times New Roman"/>
          <w:sz w:val="24"/>
          <w:szCs w:val="24"/>
        </w:rPr>
        <w:t xml:space="preserve">waiting list for ACT in New Castle County, as well as the </w:t>
      </w:r>
      <w:r>
        <w:rPr>
          <w:rFonts w:ascii="Times New Roman" w:hAnsi="Times New Roman"/>
          <w:sz w:val="24"/>
          <w:szCs w:val="24"/>
        </w:rPr>
        <w:t>effectiveness of the</w:t>
      </w:r>
      <w:r w:rsidR="005260B8">
        <w:rPr>
          <w:rFonts w:ascii="Times New Roman" w:hAnsi="Times New Roman"/>
          <w:sz w:val="24"/>
          <w:szCs w:val="24"/>
        </w:rPr>
        <w:t xml:space="preserve"> State’s</w:t>
      </w:r>
      <w:r>
        <w:rPr>
          <w:rFonts w:ascii="Times New Roman" w:hAnsi="Times New Roman"/>
          <w:sz w:val="24"/>
          <w:szCs w:val="24"/>
        </w:rPr>
        <w:t xml:space="preserve"> ACT programs</w:t>
      </w:r>
      <w:r w:rsidR="00BA6C30">
        <w:rPr>
          <w:rFonts w:ascii="Times New Roman" w:hAnsi="Times New Roman"/>
          <w:sz w:val="24"/>
          <w:szCs w:val="24"/>
        </w:rPr>
        <w:t xml:space="preserve"> in assisting individuals who have significant needs and who have required high-end, high-cost services, the Monitor has recommended that the State further expand the number of ACT teams</w:t>
      </w:r>
      <w:r w:rsidR="005260B8">
        <w:rPr>
          <w:rFonts w:ascii="Times New Roman" w:hAnsi="Times New Roman"/>
          <w:sz w:val="24"/>
          <w:szCs w:val="24"/>
        </w:rPr>
        <w:t xml:space="preserve"> by two</w:t>
      </w:r>
      <w:r w:rsidR="00BA6C30">
        <w:rPr>
          <w:rFonts w:ascii="Times New Roman" w:hAnsi="Times New Roman"/>
          <w:sz w:val="24"/>
          <w:szCs w:val="24"/>
        </w:rPr>
        <w:t xml:space="preserve">. </w:t>
      </w:r>
      <w:r>
        <w:rPr>
          <w:rFonts w:ascii="Times New Roman" w:hAnsi="Times New Roman"/>
          <w:sz w:val="24"/>
          <w:szCs w:val="24"/>
        </w:rPr>
        <w:t xml:space="preserve"> </w:t>
      </w:r>
      <w:r w:rsidR="00BA6C30">
        <w:rPr>
          <w:rFonts w:ascii="Times New Roman" w:hAnsi="Times New Roman"/>
          <w:sz w:val="24"/>
          <w:szCs w:val="24"/>
        </w:rPr>
        <w:t xml:space="preserve">The ACT teams (and CRISP) have been pivotal in reducing the long-term care population at DPC; this population (which accounts for considerable inpatient bed-days), can further reduced with additional ACT capacity.  </w:t>
      </w:r>
    </w:p>
    <w:p w:rsidR="00551BAB" w:rsidRDefault="00BA6C30" w:rsidP="00BA6C30">
      <w:pPr>
        <w:pStyle w:val="ListParagraph"/>
        <w:spacing w:after="120"/>
        <w:ind w:left="1440"/>
        <w:contextualSpacing w:val="0"/>
        <w:rPr>
          <w:rFonts w:ascii="Times New Roman" w:hAnsi="Times New Roman"/>
          <w:sz w:val="24"/>
          <w:szCs w:val="24"/>
        </w:rPr>
      </w:pPr>
      <w:r>
        <w:rPr>
          <w:rFonts w:ascii="Times New Roman" w:hAnsi="Times New Roman"/>
          <w:sz w:val="24"/>
          <w:szCs w:val="24"/>
        </w:rPr>
        <w:t xml:space="preserve">In addition, through exchanges with </w:t>
      </w:r>
      <w:r w:rsidR="00CE4C5B">
        <w:rPr>
          <w:rFonts w:ascii="Times New Roman" w:hAnsi="Times New Roman"/>
          <w:sz w:val="24"/>
          <w:szCs w:val="24"/>
        </w:rPr>
        <w:t>DSAMH, as well as stakeholders in the corrections and judicial systems, it is clear that there is a need for ACT services among people with serious mental illness who have become caught up in the criminal justice system.  Finally, as has been discussed in prior reports, individuals with serious mental illness and co-occurring substance use problems require specialized services, and ACT can be effective in reducing their frequent use of emergency services and psychiatric inpatient beds.  For all of the above reasons, the State should work to further expand the number of ACT teams.</w:t>
      </w:r>
    </w:p>
    <w:p w:rsidR="00267E1B" w:rsidRPr="00551BAB" w:rsidRDefault="00267E1B" w:rsidP="00BA6C30">
      <w:pPr>
        <w:pStyle w:val="ListParagraph"/>
        <w:spacing w:after="120"/>
        <w:ind w:left="1440"/>
        <w:contextualSpacing w:val="0"/>
        <w:rPr>
          <w:rFonts w:ascii="Times New Roman" w:hAnsi="Times New Roman"/>
          <w:sz w:val="24"/>
          <w:szCs w:val="24"/>
        </w:rPr>
      </w:pPr>
    </w:p>
    <w:p w:rsidR="00CC6919" w:rsidRDefault="00BD7F75" w:rsidP="00BD7F75">
      <w:pPr>
        <w:pStyle w:val="ListParagraph"/>
        <w:numPr>
          <w:ilvl w:val="0"/>
          <w:numId w:val="5"/>
        </w:numPr>
        <w:spacing w:after="120"/>
        <w:contextualSpacing w:val="0"/>
        <w:rPr>
          <w:rFonts w:ascii="Times New Roman" w:hAnsi="Times New Roman"/>
          <w:b/>
          <w:sz w:val="24"/>
          <w:szCs w:val="24"/>
        </w:rPr>
      </w:pPr>
      <w:r w:rsidRPr="00BD7F75">
        <w:rPr>
          <w:rFonts w:ascii="Times New Roman" w:hAnsi="Times New Roman"/>
          <w:b/>
          <w:sz w:val="24"/>
          <w:szCs w:val="24"/>
        </w:rPr>
        <w:t xml:space="preserve"> Intensive Ca</w:t>
      </w:r>
      <w:r w:rsidR="004618AD">
        <w:rPr>
          <w:rFonts w:ascii="Times New Roman" w:hAnsi="Times New Roman"/>
          <w:b/>
          <w:sz w:val="24"/>
          <w:szCs w:val="24"/>
        </w:rPr>
        <w:t>r</w:t>
      </w:r>
      <w:r w:rsidRPr="00BD7F75">
        <w:rPr>
          <w:rFonts w:ascii="Times New Roman" w:hAnsi="Times New Roman"/>
          <w:b/>
          <w:sz w:val="24"/>
          <w:szCs w:val="24"/>
        </w:rPr>
        <w:t>e Management</w:t>
      </w:r>
    </w:p>
    <w:p w:rsidR="001274CE" w:rsidRPr="001274CE" w:rsidRDefault="001274CE" w:rsidP="00AC573F">
      <w:pPr>
        <w:pStyle w:val="ListParagraph"/>
        <w:spacing w:after="120"/>
        <w:contextualSpacing w:val="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BD7F75" w:rsidRDefault="00BD7F75" w:rsidP="00BD7F75">
      <w:pPr>
        <w:pStyle w:val="ListParagraph"/>
        <w:spacing w:after="120"/>
        <w:contextualSpacing w:val="0"/>
        <w:rPr>
          <w:rFonts w:ascii="Times New Roman" w:hAnsi="Times New Roman"/>
          <w:sz w:val="24"/>
          <w:szCs w:val="24"/>
        </w:rPr>
      </w:pPr>
      <w:r>
        <w:rPr>
          <w:rFonts w:ascii="Times New Roman" w:hAnsi="Times New Roman"/>
          <w:sz w:val="24"/>
          <w:szCs w:val="24"/>
        </w:rPr>
        <w:t xml:space="preserve">Section III.G.2 of the Agreement required the State to have a total of 4 Intensive Care Management </w:t>
      </w:r>
      <w:r w:rsidR="001274CE">
        <w:rPr>
          <w:rFonts w:ascii="Times New Roman" w:hAnsi="Times New Roman"/>
          <w:sz w:val="24"/>
          <w:szCs w:val="24"/>
        </w:rPr>
        <w:t xml:space="preserve">(“ICM”) teams operational by January 1, 2013.  As was described in the last report, Delaware has surpassed this target, having 5 ICM teams operational statewide.  These teams are currently serving 590 individuals, an increase of 18% over what was reported six months ago.  As was discussed in the previous section with reference to ACT, individuals receiving ICM services are, by definition, at elevated risk of mental health crises, including rehospitalization.  </w:t>
      </w:r>
      <w:r w:rsidR="00583435">
        <w:rPr>
          <w:rFonts w:ascii="Times New Roman" w:hAnsi="Times New Roman"/>
          <w:sz w:val="24"/>
          <w:szCs w:val="24"/>
        </w:rPr>
        <w:t xml:space="preserve">Nevertheless, they do not account for </w:t>
      </w:r>
      <w:r w:rsidR="001D6707">
        <w:rPr>
          <w:rFonts w:ascii="Times New Roman" w:hAnsi="Times New Roman"/>
          <w:sz w:val="24"/>
          <w:szCs w:val="24"/>
        </w:rPr>
        <w:t xml:space="preserve">a </w:t>
      </w:r>
      <w:r w:rsidR="00583435">
        <w:rPr>
          <w:rFonts w:ascii="Times New Roman" w:hAnsi="Times New Roman"/>
          <w:sz w:val="24"/>
          <w:szCs w:val="24"/>
        </w:rPr>
        <w:t xml:space="preserve">significant </w:t>
      </w:r>
      <w:r w:rsidR="001D6707">
        <w:rPr>
          <w:rFonts w:ascii="Times New Roman" w:hAnsi="Times New Roman"/>
          <w:sz w:val="24"/>
          <w:szCs w:val="24"/>
        </w:rPr>
        <w:t>proportion</w:t>
      </w:r>
      <w:r w:rsidR="00583435">
        <w:rPr>
          <w:rFonts w:ascii="Times New Roman" w:hAnsi="Times New Roman"/>
          <w:sz w:val="24"/>
          <w:szCs w:val="24"/>
        </w:rPr>
        <w:t xml:space="preserve"> of </w:t>
      </w:r>
      <w:r w:rsidR="001D6707">
        <w:rPr>
          <w:rFonts w:ascii="Times New Roman" w:hAnsi="Times New Roman"/>
          <w:sz w:val="24"/>
          <w:szCs w:val="24"/>
        </w:rPr>
        <w:t xml:space="preserve">psychiatric </w:t>
      </w:r>
      <w:r w:rsidR="00583435">
        <w:rPr>
          <w:rFonts w:ascii="Times New Roman" w:hAnsi="Times New Roman"/>
          <w:sz w:val="24"/>
          <w:szCs w:val="24"/>
        </w:rPr>
        <w:t>hospital</w:t>
      </w:r>
      <w:r w:rsidR="001D6707">
        <w:rPr>
          <w:rFonts w:ascii="Times New Roman" w:hAnsi="Times New Roman"/>
          <w:sz w:val="24"/>
          <w:szCs w:val="24"/>
        </w:rPr>
        <w:t xml:space="preserve"> </w:t>
      </w:r>
      <w:r w:rsidR="00583435">
        <w:rPr>
          <w:rFonts w:ascii="Times New Roman" w:hAnsi="Times New Roman"/>
          <w:sz w:val="24"/>
          <w:szCs w:val="24"/>
        </w:rPr>
        <w:t>admissions</w:t>
      </w:r>
      <w:r w:rsidR="001D6707">
        <w:rPr>
          <w:rFonts w:ascii="Times New Roman" w:hAnsi="Times New Roman"/>
          <w:sz w:val="24"/>
          <w:szCs w:val="24"/>
        </w:rPr>
        <w:t>.</w:t>
      </w:r>
    </w:p>
    <w:p w:rsidR="00111809" w:rsidRDefault="00111809" w:rsidP="00BD7F75">
      <w:pPr>
        <w:pStyle w:val="ListParagraph"/>
        <w:spacing w:after="120"/>
        <w:contextualSpacing w:val="0"/>
        <w:rPr>
          <w:rFonts w:ascii="Times New Roman" w:hAnsi="Times New Roman"/>
          <w:sz w:val="24"/>
          <w:szCs w:val="24"/>
        </w:rPr>
      </w:pPr>
    </w:p>
    <w:p w:rsidR="00111809" w:rsidRDefault="00111809" w:rsidP="0084350E">
      <w:pPr>
        <w:pStyle w:val="ListParagraph"/>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Case Management</w:t>
      </w:r>
    </w:p>
    <w:p w:rsidR="00111809" w:rsidRDefault="00111809" w:rsidP="0084350E">
      <w:pPr>
        <w:spacing w:after="120"/>
        <w:ind w:left="72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111809" w:rsidRDefault="00111809" w:rsidP="0084350E">
      <w:pPr>
        <w:spacing w:after="120"/>
        <w:ind w:left="720"/>
        <w:rPr>
          <w:rFonts w:ascii="Times New Roman" w:hAnsi="Times New Roman"/>
          <w:sz w:val="24"/>
          <w:szCs w:val="24"/>
        </w:rPr>
      </w:pPr>
      <w:r>
        <w:rPr>
          <w:rFonts w:ascii="Times New Roman" w:hAnsi="Times New Roman"/>
          <w:sz w:val="24"/>
          <w:szCs w:val="24"/>
        </w:rPr>
        <w:t>Section III.H.2 requires that by September 1, 2013, the State will train and begin to utilize 3 additional care managers—termed Targeted Care Managers (“TCM”) within the DSAMH system--bringing the total to 18.  The State has already met and surpassed this target, having 21 TCMs working in the community and, increasingly, participating in discharge planning at DPC and the IMDs</w:t>
      </w:r>
      <w:r w:rsidRPr="00556522">
        <w:rPr>
          <w:rFonts w:ascii="Times New Roman" w:hAnsi="Times New Roman"/>
          <w:sz w:val="24"/>
          <w:szCs w:val="24"/>
        </w:rPr>
        <w:t>.  DSAMH’s longer-range plan is to utilize TCMs as a part of the “front door” for individuals entering public mental health services, with their involvement continui</w:t>
      </w:r>
      <w:r w:rsidR="00556522">
        <w:rPr>
          <w:rFonts w:ascii="Times New Roman" w:hAnsi="Times New Roman"/>
          <w:sz w:val="24"/>
          <w:szCs w:val="24"/>
        </w:rPr>
        <w:t>ng as needed by the individual.</w:t>
      </w:r>
    </w:p>
    <w:p w:rsidR="009E4CB1" w:rsidRDefault="009E4CB1" w:rsidP="00111809">
      <w:pPr>
        <w:spacing w:after="120"/>
        <w:ind w:left="720"/>
        <w:rPr>
          <w:rFonts w:ascii="Times New Roman" w:hAnsi="Times New Roman"/>
          <w:sz w:val="24"/>
          <w:szCs w:val="24"/>
        </w:rPr>
      </w:pPr>
    </w:p>
    <w:p w:rsidR="009E4CB1" w:rsidRDefault="009E4CB1" w:rsidP="00535539">
      <w:pPr>
        <w:pStyle w:val="ListParagraph"/>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Supported Housing</w:t>
      </w:r>
    </w:p>
    <w:p w:rsidR="00535539" w:rsidRPr="00535539" w:rsidRDefault="00535539" w:rsidP="0084350E">
      <w:pPr>
        <w:pStyle w:val="ListParagraph"/>
        <w:spacing w:after="12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694754" w:rsidRDefault="009E4CB1" w:rsidP="00694754">
      <w:pPr>
        <w:spacing w:after="120"/>
        <w:ind w:left="720"/>
        <w:rPr>
          <w:rFonts w:ascii="Times New Roman" w:hAnsi="Times New Roman"/>
          <w:noProof/>
          <w:sz w:val="24"/>
          <w:szCs w:val="24"/>
        </w:rPr>
      </w:pPr>
      <w:r>
        <w:rPr>
          <w:rFonts w:ascii="Times New Roman" w:hAnsi="Times New Roman"/>
          <w:sz w:val="24"/>
          <w:szCs w:val="24"/>
        </w:rPr>
        <w:t>Section III.I.3 requires the State to increase housing vouchers, subsidies and bridge funding so that 450 individuals are served</w:t>
      </w:r>
      <w:r w:rsidR="004618AD">
        <w:rPr>
          <w:rFonts w:ascii="Times New Roman" w:hAnsi="Times New Roman"/>
          <w:sz w:val="24"/>
          <w:szCs w:val="24"/>
        </w:rPr>
        <w:t xml:space="preserve"> as of July 1, 2013</w:t>
      </w:r>
      <w:r>
        <w:rPr>
          <w:rFonts w:ascii="Times New Roman" w:hAnsi="Times New Roman"/>
          <w:sz w:val="24"/>
          <w:szCs w:val="24"/>
        </w:rPr>
        <w:t xml:space="preserve">.  </w:t>
      </w:r>
      <w:r w:rsidR="00B72D35">
        <w:rPr>
          <w:rFonts w:ascii="Times New Roman" w:hAnsi="Times New Roman"/>
          <w:sz w:val="24"/>
          <w:szCs w:val="24"/>
        </w:rPr>
        <w:t>The State continues to do an exemplary job in responding to this provision</w:t>
      </w:r>
      <w:r w:rsidR="00627A14">
        <w:rPr>
          <w:rFonts w:ascii="Times New Roman" w:hAnsi="Times New Roman"/>
          <w:sz w:val="24"/>
          <w:szCs w:val="24"/>
        </w:rPr>
        <w:t xml:space="preserve">.  The chart below </w:t>
      </w:r>
      <w:r>
        <w:rPr>
          <w:rFonts w:ascii="Times New Roman" w:hAnsi="Times New Roman"/>
          <w:sz w:val="24"/>
          <w:szCs w:val="24"/>
        </w:rPr>
        <w:t xml:space="preserve">presents data </w:t>
      </w:r>
      <w:r w:rsidR="00B72D35">
        <w:rPr>
          <w:rFonts w:ascii="Times New Roman" w:hAnsi="Times New Roman"/>
          <w:sz w:val="24"/>
          <w:szCs w:val="24"/>
        </w:rPr>
        <w:t>demonstrati</w:t>
      </w:r>
      <w:r>
        <w:rPr>
          <w:rFonts w:ascii="Times New Roman" w:hAnsi="Times New Roman"/>
          <w:sz w:val="24"/>
          <w:szCs w:val="24"/>
        </w:rPr>
        <w:t xml:space="preserve">ng that the State is surpassing </w:t>
      </w:r>
      <w:r w:rsidR="00B72D35">
        <w:rPr>
          <w:rFonts w:ascii="Times New Roman" w:hAnsi="Times New Roman"/>
          <w:sz w:val="24"/>
          <w:szCs w:val="24"/>
        </w:rPr>
        <w:t>its</w:t>
      </w:r>
      <w:r>
        <w:rPr>
          <w:rFonts w:ascii="Times New Roman" w:hAnsi="Times New Roman"/>
          <w:sz w:val="24"/>
          <w:szCs w:val="24"/>
        </w:rPr>
        <w:t xml:space="preserve"> target.  During the past</w:t>
      </w:r>
      <w:r w:rsidR="00B72D35">
        <w:rPr>
          <w:rFonts w:ascii="Times New Roman" w:hAnsi="Times New Roman"/>
          <w:sz w:val="24"/>
          <w:szCs w:val="24"/>
        </w:rPr>
        <w:t xml:space="preserve"> year, it has created new integrated supported housing for 221 individuals.  Of these individuals, 186 received housing supports through state funded programs (SRAP or CRISP).  The to</w:t>
      </w:r>
      <w:r w:rsidR="00694754">
        <w:rPr>
          <w:rFonts w:ascii="Times New Roman" w:hAnsi="Times New Roman"/>
          <w:sz w:val="24"/>
          <w:szCs w:val="24"/>
        </w:rPr>
        <w:t xml:space="preserve">tal number of </w:t>
      </w:r>
      <w:r w:rsidR="00B72D35">
        <w:rPr>
          <w:rFonts w:ascii="Times New Roman" w:hAnsi="Times New Roman"/>
          <w:sz w:val="24"/>
          <w:szCs w:val="24"/>
        </w:rPr>
        <w:t>individuals receiving supported housing in integrated settings (or in semi-integrated supervised apartments, in the case of the 150 individuals who were grandfathered in under the Agreement) is 522.</w:t>
      </w:r>
      <w:r w:rsidR="004618AD">
        <w:rPr>
          <w:rFonts w:ascii="Times New Roman" w:hAnsi="Times New Roman"/>
          <w:sz w:val="24"/>
          <w:szCs w:val="24"/>
        </w:rPr>
        <w:t xml:space="preserve"> </w:t>
      </w:r>
      <w:r w:rsidR="00B72D35">
        <w:rPr>
          <w:rFonts w:ascii="Times New Roman" w:hAnsi="Times New Roman"/>
          <w:sz w:val="24"/>
          <w:szCs w:val="24"/>
        </w:rPr>
        <w:t xml:space="preserve"> In other words, the State is well on its way to achievin</w:t>
      </w:r>
      <w:r w:rsidR="00627A14">
        <w:rPr>
          <w:rFonts w:ascii="Times New Roman" w:hAnsi="Times New Roman"/>
          <w:sz w:val="24"/>
          <w:szCs w:val="24"/>
        </w:rPr>
        <w:t>g its target for July 1, 2014 of 550 individuals.</w:t>
      </w:r>
      <w:r w:rsidR="00694754" w:rsidRPr="00694754">
        <w:rPr>
          <w:rFonts w:ascii="Times New Roman" w:hAnsi="Times New Roman"/>
          <w:noProof/>
          <w:sz w:val="24"/>
          <w:szCs w:val="24"/>
        </w:rPr>
        <w:t xml:space="preserve"> </w:t>
      </w:r>
    </w:p>
    <w:p w:rsidR="00694754" w:rsidRDefault="00694754" w:rsidP="00694754">
      <w:pPr>
        <w:spacing w:after="120"/>
        <w:ind w:left="720"/>
        <w:rPr>
          <w:rFonts w:ascii="Times New Roman" w:hAnsi="Times New Roman"/>
          <w:noProof/>
          <w:sz w:val="24"/>
          <w:szCs w:val="24"/>
        </w:rPr>
      </w:pPr>
    </w:p>
    <w:p w:rsidR="0011322B" w:rsidRDefault="00694754" w:rsidP="00694754">
      <w:pPr>
        <w:spacing w:after="120"/>
        <w:ind w:left="720"/>
        <w:jc w:val="center"/>
        <w:rPr>
          <w:rFonts w:ascii="Times New Roman" w:hAnsi="Times New Roman"/>
          <w:sz w:val="24"/>
          <w:szCs w:val="24"/>
        </w:rPr>
      </w:pPr>
      <w:r w:rsidRPr="00694754">
        <w:rPr>
          <w:rFonts w:ascii="Times New Roman" w:hAnsi="Times New Roman"/>
          <w:noProof/>
          <w:sz w:val="24"/>
          <w:szCs w:val="24"/>
        </w:rPr>
        <w:drawing>
          <wp:inline distT="0" distB="0" distL="0" distR="0">
            <wp:extent cx="4322439" cy="3267739"/>
            <wp:effectExtent l="19050" t="0" r="1911"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tretch>
                      <a:fillRect/>
                    </a:stretch>
                  </pic:blipFill>
                  <pic:spPr bwMode="auto">
                    <a:xfrm>
                      <a:off x="0" y="0"/>
                      <a:ext cx="4322439" cy="3267739"/>
                    </a:xfrm>
                    <a:prstGeom prst="rect">
                      <a:avLst/>
                    </a:prstGeom>
                    <a:noFill/>
                  </pic:spPr>
                </pic:pic>
              </a:graphicData>
            </a:graphic>
          </wp:inline>
        </w:drawing>
      </w:r>
    </w:p>
    <w:p w:rsidR="00E8451F" w:rsidRDefault="00627A14" w:rsidP="0059479B">
      <w:pPr>
        <w:spacing w:after="120"/>
        <w:ind w:left="720"/>
        <w:rPr>
          <w:rFonts w:ascii="Times New Roman" w:hAnsi="Times New Roman"/>
          <w:sz w:val="24"/>
          <w:szCs w:val="24"/>
        </w:rPr>
      </w:pPr>
      <w:r>
        <w:rPr>
          <w:rFonts w:ascii="Times New Roman" w:hAnsi="Times New Roman"/>
          <w:sz w:val="24"/>
          <w:szCs w:val="24"/>
        </w:rPr>
        <w:t>Delaware’s success in its supported housing program goes well beyond its achievement of the numerical targets of the Agreement.  Access to integrated housing with needed supports is fundamental to the ADA’s vision of eliminating the social and institutional segregation that ha</w:t>
      </w:r>
      <w:r w:rsidR="00E8451F">
        <w:rPr>
          <w:rFonts w:ascii="Times New Roman" w:hAnsi="Times New Roman"/>
          <w:sz w:val="24"/>
          <w:szCs w:val="24"/>
        </w:rPr>
        <w:t>ve</w:t>
      </w:r>
      <w:r>
        <w:rPr>
          <w:rFonts w:ascii="Times New Roman" w:hAnsi="Times New Roman"/>
          <w:sz w:val="24"/>
          <w:szCs w:val="24"/>
        </w:rPr>
        <w:t xml:space="preserve"> been common among people with serious mental illness.  </w:t>
      </w:r>
    </w:p>
    <w:p w:rsidR="00332ECC" w:rsidRDefault="00332ECC" w:rsidP="0059479B">
      <w:pPr>
        <w:spacing w:after="120"/>
        <w:ind w:left="720"/>
        <w:rPr>
          <w:rFonts w:ascii="Times New Roman" w:hAnsi="Times New Roman"/>
          <w:sz w:val="24"/>
          <w:szCs w:val="24"/>
        </w:rPr>
      </w:pPr>
    </w:p>
    <w:p w:rsidR="004E3710" w:rsidRDefault="00627A14" w:rsidP="00E8451F">
      <w:pPr>
        <w:spacing w:after="120"/>
        <w:ind w:left="1080"/>
        <w:rPr>
          <w:rFonts w:ascii="Times New Roman" w:hAnsi="Times New Roman"/>
          <w:sz w:val="24"/>
          <w:szCs w:val="24"/>
        </w:rPr>
      </w:pPr>
      <w:r>
        <w:rPr>
          <w:rFonts w:ascii="Times New Roman" w:hAnsi="Times New Roman"/>
          <w:sz w:val="24"/>
          <w:szCs w:val="24"/>
        </w:rPr>
        <w:t>The Monitor recently had an opportunity to meet</w:t>
      </w:r>
      <w:r w:rsidR="009A1C6B">
        <w:rPr>
          <w:rFonts w:ascii="Times New Roman" w:hAnsi="Times New Roman"/>
          <w:sz w:val="24"/>
          <w:szCs w:val="24"/>
        </w:rPr>
        <w:t xml:space="preserve"> William and Steve</w:t>
      </w:r>
      <w:r>
        <w:rPr>
          <w:rFonts w:ascii="Times New Roman" w:hAnsi="Times New Roman"/>
          <w:sz w:val="24"/>
          <w:szCs w:val="24"/>
        </w:rPr>
        <w:t>, who are served by the Sussex County ACT team</w:t>
      </w:r>
      <w:r w:rsidR="008C589F">
        <w:rPr>
          <w:rFonts w:ascii="Times New Roman" w:hAnsi="Times New Roman"/>
          <w:sz w:val="24"/>
          <w:szCs w:val="24"/>
        </w:rPr>
        <w:t xml:space="preserve"> and have chosen to share an apartment together.  Again, it is worth noting that this area of the State has traditionally been underserved, and thus the availability of ACT and supported housing in the southern counties is an important measure of success.  </w:t>
      </w:r>
      <w:r w:rsidR="009A1C6B">
        <w:rPr>
          <w:rFonts w:ascii="Times New Roman" w:hAnsi="Times New Roman"/>
          <w:sz w:val="24"/>
          <w:szCs w:val="24"/>
        </w:rPr>
        <w:t>William</w:t>
      </w:r>
      <w:r w:rsidR="008C589F">
        <w:rPr>
          <w:rFonts w:ascii="Times New Roman" w:hAnsi="Times New Roman"/>
          <w:sz w:val="24"/>
          <w:szCs w:val="24"/>
        </w:rPr>
        <w:t xml:space="preserve"> has a serious mental illness and a history of involvement with the criminal justice system.  </w:t>
      </w:r>
      <w:r w:rsidR="009A1C6B">
        <w:rPr>
          <w:rFonts w:ascii="Times New Roman" w:hAnsi="Times New Roman"/>
          <w:sz w:val="24"/>
          <w:szCs w:val="24"/>
        </w:rPr>
        <w:t>Steve</w:t>
      </w:r>
      <w:r w:rsidR="008C589F">
        <w:rPr>
          <w:rFonts w:ascii="Times New Roman" w:hAnsi="Times New Roman"/>
          <w:sz w:val="24"/>
          <w:szCs w:val="24"/>
        </w:rPr>
        <w:t xml:space="preserve"> also has a serious mental illness, in addition to a co-occurring problem with alcohol abuse. </w:t>
      </w:r>
      <w:r w:rsidR="00E8451F">
        <w:rPr>
          <w:rFonts w:ascii="Times New Roman" w:hAnsi="Times New Roman"/>
          <w:sz w:val="24"/>
          <w:szCs w:val="24"/>
        </w:rPr>
        <w:t xml:space="preserve"> </w:t>
      </w:r>
      <w:r w:rsidR="008C589F">
        <w:rPr>
          <w:rFonts w:ascii="Times New Roman" w:hAnsi="Times New Roman"/>
          <w:sz w:val="24"/>
          <w:szCs w:val="24"/>
        </w:rPr>
        <w:t>He has been in the criminal justice system and has been homeless, somet</w:t>
      </w:r>
      <w:r w:rsidR="00E8451F">
        <w:rPr>
          <w:rFonts w:ascii="Times New Roman" w:hAnsi="Times New Roman"/>
          <w:sz w:val="24"/>
          <w:szCs w:val="24"/>
        </w:rPr>
        <w:t xml:space="preserve">imes sleeping in shelters.  </w:t>
      </w:r>
    </w:p>
    <w:p w:rsidR="004E3710" w:rsidRDefault="004E3710" w:rsidP="00E8451F">
      <w:pPr>
        <w:spacing w:after="120"/>
        <w:ind w:left="1080"/>
        <w:rPr>
          <w:rFonts w:ascii="Times New Roman" w:hAnsi="Times New Roman"/>
          <w:sz w:val="24"/>
          <w:szCs w:val="24"/>
        </w:rPr>
      </w:pPr>
      <w:r>
        <w:rPr>
          <w:rFonts w:ascii="Times New Roman" w:hAnsi="Times New Roman"/>
          <w:sz w:val="24"/>
          <w:szCs w:val="24"/>
        </w:rPr>
        <w:t xml:space="preserve">Both William and Steve have disabilities and histories that in the past would have made it very likely that they would be relegated to institutions.  </w:t>
      </w:r>
      <w:proofErr w:type="gramStart"/>
      <w:r w:rsidR="00E8451F">
        <w:rPr>
          <w:rFonts w:ascii="Times New Roman" w:hAnsi="Times New Roman"/>
          <w:sz w:val="24"/>
          <w:szCs w:val="24"/>
        </w:rPr>
        <w:t>These individuals now</w:t>
      </w:r>
      <w:r w:rsidR="008C589F">
        <w:rPr>
          <w:rFonts w:ascii="Times New Roman" w:hAnsi="Times New Roman"/>
          <w:sz w:val="24"/>
          <w:szCs w:val="24"/>
        </w:rPr>
        <w:t xml:space="preserve"> live in a pleasant, </w:t>
      </w:r>
      <w:r w:rsidR="00E8451F">
        <w:rPr>
          <w:rFonts w:ascii="Times New Roman" w:hAnsi="Times New Roman"/>
          <w:sz w:val="24"/>
          <w:szCs w:val="24"/>
        </w:rPr>
        <w:t>modern</w:t>
      </w:r>
      <w:r>
        <w:rPr>
          <w:rFonts w:ascii="Times New Roman" w:hAnsi="Times New Roman"/>
          <w:sz w:val="24"/>
          <w:szCs w:val="24"/>
        </w:rPr>
        <w:t>—and, in keeping with the vision of the ADA—</w:t>
      </w:r>
      <w:r w:rsidR="008C589F" w:rsidRPr="004E3710">
        <w:rPr>
          <w:rFonts w:ascii="Times New Roman" w:hAnsi="Times New Roman"/>
          <w:i/>
          <w:sz w:val="24"/>
          <w:szCs w:val="24"/>
        </w:rPr>
        <w:t>ordinary</w:t>
      </w:r>
      <w:r>
        <w:rPr>
          <w:rFonts w:ascii="Times New Roman" w:hAnsi="Times New Roman"/>
          <w:sz w:val="24"/>
          <w:szCs w:val="24"/>
        </w:rPr>
        <w:t xml:space="preserve"> </w:t>
      </w:r>
      <w:r w:rsidR="008C589F">
        <w:rPr>
          <w:rFonts w:ascii="Times New Roman" w:hAnsi="Times New Roman"/>
          <w:sz w:val="24"/>
          <w:szCs w:val="24"/>
        </w:rPr>
        <w:t>apartment complex</w:t>
      </w:r>
      <w:r>
        <w:rPr>
          <w:rFonts w:ascii="Times New Roman" w:hAnsi="Times New Roman"/>
          <w:sz w:val="24"/>
          <w:szCs w:val="24"/>
        </w:rPr>
        <w:t>.</w:t>
      </w:r>
      <w:proofErr w:type="gramEnd"/>
      <w:r>
        <w:rPr>
          <w:rFonts w:ascii="Times New Roman" w:hAnsi="Times New Roman"/>
          <w:sz w:val="24"/>
          <w:szCs w:val="24"/>
        </w:rPr>
        <w:t xml:space="preserve">  They </w:t>
      </w:r>
      <w:r w:rsidR="00410FA3">
        <w:rPr>
          <w:rFonts w:ascii="Times New Roman" w:hAnsi="Times New Roman"/>
          <w:sz w:val="24"/>
          <w:szCs w:val="24"/>
        </w:rPr>
        <w:t>are visited by members of their ACT team 2-3 times per week.  They have their own bedrooms and share responsibilities in rel</w:t>
      </w:r>
      <w:r>
        <w:rPr>
          <w:rFonts w:ascii="Times New Roman" w:hAnsi="Times New Roman"/>
          <w:sz w:val="24"/>
          <w:szCs w:val="24"/>
        </w:rPr>
        <w:t xml:space="preserve">ation to cooking and shopping. </w:t>
      </w:r>
    </w:p>
    <w:p w:rsidR="00627A14" w:rsidRDefault="004E3710" w:rsidP="00E8451F">
      <w:pPr>
        <w:spacing w:after="120"/>
        <w:ind w:left="1080"/>
        <w:rPr>
          <w:rFonts w:ascii="Times New Roman" w:hAnsi="Times New Roman"/>
          <w:sz w:val="24"/>
          <w:szCs w:val="24"/>
        </w:rPr>
      </w:pPr>
      <w:r>
        <w:rPr>
          <w:rFonts w:ascii="Times New Roman" w:hAnsi="Times New Roman"/>
          <w:sz w:val="24"/>
          <w:szCs w:val="24"/>
        </w:rPr>
        <w:t>W</w:t>
      </w:r>
      <w:r w:rsidR="009A1C6B">
        <w:rPr>
          <w:rFonts w:ascii="Times New Roman" w:hAnsi="Times New Roman"/>
          <w:sz w:val="24"/>
          <w:szCs w:val="24"/>
        </w:rPr>
        <w:t>illiam</w:t>
      </w:r>
      <w:r w:rsidR="00410FA3">
        <w:rPr>
          <w:rFonts w:ascii="Times New Roman" w:hAnsi="Times New Roman"/>
          <w:sz w:val="24"/>
          <w:szCs w:val="24"/>
        </w:rPr>
        <w:t xml:space="preserve"> and </w:t>
      </w:r>
      <w:r w:rsidR="009A1C6B">
        <w:rPr>
          <w:rFonts w:ascii="Times New Roman" w:hAnsi="Times New Roman"/>
          <w:sz w:val="24"/>
          <w:szCs w:val="24"/>
        </w:rPr>
        <w:t>Steve</w:t>
      </w:r>
      <w:r w:rsidR="00410FA3">
        <w:rPr>
          <w:rFonts w:ascii="Times New Roman" w:hAnsi="Times New Roman"/>
          <w:sz w:val="24"/>
          <w:szCs w:val="24"/>
        </w:rPr>
        <w:t xml:space="preserve"> are not yet at their point in recovery where they are fully engaged in outside social activities</w:t>
      </w:r>
      <w:r>
        <w:rPr>
          <w:rFonts w:ascii="Times New Roman" w:hAnsi="Times New Roman"/>
          <w:sz w:val="24"/>
          <w:szCs w:val="24"/>
        </w:rPr>
        <w:t xml:space="preserve"> or employment</w:t>
      </w:r>
      <w:r w:rsidR="00410FA3">
        <w:rPr>
          <w:rFonts w:ascii="Times New Roman" w:hAnsi="Times New Roman"/>
          <w:sz w:val="24"/>
          <w:szCs w:val="24"/>
        </w:rPr>
        <w:t xml:space="preserve">, but they are doing well living quietly in their own home.  Given their histories, that, in itself, is an enormous accomplishment.  But there is more to this story that is telling about their success and the success of this DSAMH initiative.  Several months back, </w:t>
      </w:r>
      <w:r w:rsidR="009A1C6B">
        <w:rPr>
          <w:rFonts w:ascii="Times New Roman" w:hAnsi="Times New Roman"/>
          <w:sz w:val="24"/>
          <w:szCs w:val="24"/>
        </w:rPr>
        <w:t>Steve</w:t>
      </w:r>
      <w:r w:rsidR="00410FA3">
        <w:rPr>
          <w:rFonts w:ascii="Times New Roman" w:hAnsi="Times New Roman"/>
          <w:sz w:val="24"/>
          <w:szCs w:val="24"/>
        </w:rPr>
        <w:t xml:space="preserve">’s prior roommate left and he was having some problems managing things.  Not only was he receiving support from his ACT team, but reportedly neighbors </w:t>
      </w:r>
      <w:r w:rsidR="00D559F3">
        <w:rPr>
          <w:rFonts w:ascii="Times New Roman" w:hAnsi="Times New Roman"/>
          <w:sz w:val="24"/>
          <w:szCs w:val="24"/>
        </w:rPr>
        <w:t>looked in on him to encourage him and ensure that he was doing okay.  That interaction with neighbors is mundane, and it is also a testament to how longstanding social barriers affecting people with serious mental illness are beginning to break down.</w:t>
      </w:r>
    </w:p>
    <w:p w:rsidR="00C15B26" w:rsidRDefault="00C15B26" w:rsidP="009E4CB1">
      <w:pPr>
        <w:spacing w:after="120"/>
        <w:ind w:left="720"/>
        <w:rPr>
          <w:rFonts w:ascii="Times New Roman" w:hAnsi="Times New Roman"/>
          <w:sz w:val="24"/>
          <w:szCs w:val="24"/>
        </w:rPr>
      </w:pPr>
    </w:p>
    <w:p w:rsidR="00C15B26" w:rsidRDefault="00C15B26" w:rsidP="0059479B">
      <w:pPr>
        <w:pStyle w:val="ListParagraph"/>
        <w:keepNext/>
        <w:numPr>
          <w:ilvl w:val="0"/>
          <w:numId w:val="5"/>
        </w:numPr>
        <w:spacing w:after="120"/>
        <w:rPr>
          <w:rFonts w:ascii="Times New Roman" w:hAnsi="Times New Roman"/>
          <w:b/>
          <w:sz w:val="24"/>
          <w:szCs w:val="24"/>
        </w:rPr>
      </w:pPr>
      <w:r>
        <w:rPr>
          <w:rFonts w:ascii="Times New Roman" w:hAnsi="Times New Roman"/>
          <w:b/>
          <w:sz w:val="24"/>
          <w:szCs w:val="24"/>
        </w:rPr>
        <w:t xml:space="preserve"> Supported Employment</w:t>
      </w:r>
    </w:p>
    <w:p w:rsidR="00450AE0" w:rsidRPr="00450AE0" w:rsidRDefault="00450AE0" w:rsidP="0059479B">
      <w:pPr>
        <w:keepNext/>
        <w:spacing w:after="120"/>
        <w:ind w:left="720"/>
        <w:outlineLvl w:val="0"/>
        <w:rPr>
          <w:rFonts w:ascii="Times New Roman" w:hAnsi="Times New Roman"/>
          <w:sz w:val="24"/>
          <w:szCs w:val="24"/>
          <w:u w:val="single"/>
        </w:rPr>
      </w:pPr>
      <w:proofErr w:type="gramStart"/>
      <w:r>
        <w:rPr>
          <w:rFonts w:ascii="Times New Roman" w:hAnsi="Times New Roman"/>
          <w:sz w:val="24"/>
          <w:szCs w:val="24"/>
          <w:u w:val="single"/>
        </w:rPr>
        <w:t>Substantial Compliance.</w:t>
      </w:r>
      <w:proofErr w:type="gramEnd"/>
    </w:p>
    <w:p w:rsidR="002F7512" w:rsidRDefault="00C15B26" w:rsidP="009E4CB1">
      <w:pPr>
        <w:spacing w:after="120"/>
        <w:ind w:left="720"/>
        <w:rPr>
          <w:rFonts w:ascii="Times New Roman" w:hAnsi="Times New Roman"/>
          <w:sz w:val="24"/>
          <w:szCs w:val="24"/>
        </w:rPr>
      </w:pPr>
      <w:r>
        <w:rPr>
          <w:rFonts w:ascii="Times New Roman" w:hAnsi="Times New Roman"/>
          <w:sz w:val="24"/>
          <w:szCs w:val="24"/>
        </w:rPr>
        <w:t xml:space="preserve">Section III.J.2 of the Agreement requires the state to provide supported employment services to an addition 300 individuals, bringing the total to 400 individuals.  </w:t>
      </w:r>
      <w:r w:rsidR="00450AE0">
        <w:rPr>
          <w:rFonts w:ascii="Times New Roman" w:hAnsi="Times New Roman"/>
          <w:sz w:val="24"/>
          <w:szCs w:val="24"/>
        </w:rPr>
        <w:t xml:space="preserve">There are several levels of employment services provided through the State’s Department of Vocational Rehabilitation (“DVR”).  </w:t>
      </w:r>
      <w:r>
        <w:rPr>
          <w:rFonts w:ascii="Times New Roman" w:hAnsi="Times New Roman"/>
          <w:sz w:val="24"/>
          <w:szCs w:val="24"/>
        </w:rPr>
        <w:t xml:space="preserve">For purposes of evaluating </w:t>
      </w:r>
      <w:r w:rsidR="00450AE0">
        <w:rPr>
          <w:rFonts w:ascii="Times New Roman" w:hAnsi="Times New Roman"/>
          <w:sz w:val="24"/>
          <w:szCs w:val="24"/>
        </w:rPr>
        <w:t xml:space="preserve">compliance with this provision, supported employment services to individuals with serious </w:t>
      </w:r>
      <w:r w:rsidR="004E3710">
        <w:rPr>
          <w:rFonts w:ascii="Times New Roman" w:hAnsi="Times New Roman"/>
          <w:sz w:val="24"/>
          <w:szCs w:val="24"/>
        </w:rPr>
        <w:t xml:space="preserve">and persistent </w:t>
      </w:r>
      <w:r w:rsidR="00450AE0">
        <w:rPr>
          <w:rFonts w:ascii="Times New Roman" w:hAnsi="Times New Roman"/>
          <w:sz w:val="24"/>
          <w:szCs w:val="24"/>
        </w:rPr>
        <w:t>mental illness were counted if an individual had progressed through the DVR system to the point that there was an active plan for vocational rehabilitation or, of course, if the individual was being employed at some level and receiving needed supports.  During the past year, a total of 569 individuals met these criteria, thus surpassing the Agreement’s requirements.  Of this group, 67 were actively employed at some point during the year</w:t>
      </w:r>
      <w:r w:rsidR="004E3710">
        <w:rPr>
          <w:rFonts w:ascii="Times New Roman" w:hAnsi="Times New Roman"/>
          <w:sz w:val="24"/>
          <w:szCs w:val="24"/>
        </w:rPr>
        <w:t>.</w:t>
      </w:r>
      <w:r w:rsidR="00450AE0">
        <w:rPr>
          <w:rFonts w:ascii="Times New Roman" w:hAnsi="Times New Roman"/>
          <w:sz w:val="24"/>
          <w:szCs w:val="24"/>
        </w:rPr>
        <w:t xml:space="preserve"> </w:t>
      </w:r>
    </w:p>
    <w:p w:rsidR="004E3710" w:rsidRDefault="00896C06" w:rsidP="009E4CB1">
      <w:pPr>
        <w:spacing w:after="120"/>
        <w:ind w:left="720"/>
        <w:rPr>
          <w:rFonts w:ascii="Times New Roman" w:hAnsi="Times New Roman"/>
          <w:sz w:val="24"/>
          <w:szCs w:val="24"/>
        </w:rPr>
      </w:pPr>
      <w:r>
        <w:rPr>
          <w:rFonts w:ascii="Times New Roman" w:hAnsi="Times New Roman"/>
          <w:sz w:val="24"/>
          <w:szCs w:val="24"/>
        </w:rPr>
        <w:t xml:space="preserve">Individuals who are a part of the population targeted by the Agreement commonly have unstable work histories—if they have work histories at all—and their entry into the workforce may be challenged by their levels of impairment, criminal justice histories, and where they stand with respect to their individual recoveries.  </w:t>
      </w:r>
      <w:r w:rsidR="004E3710">
        <w:rPr>
          <w:rFonts w:ascii="Times New Roman" w:hAnsi="Times New Roman"/>
          <w:sz w:val="24"/>
          <w:szCs w:val="24"/>
        </w:rPr>
        <w:t xml:space="preserve">A substantial number of the individuals receiving supported employment services (99) had a substance abuse issue co-occurring with serious mental illness, presenting an additional set of challenges to employment.  </w:t>
      </w:r>
    </w:p>
    <w:p w:rsidR="00896C06" w:rsidRDefault="004E3710" w:rsidP="009E4CB1">
      <w:pPr>
        <w:spacing w:after="120"/>
        <w:ind w:left="720"/>
        <w:rPr>
          <w:rFonts w:ascii="Times New Roman" w:hAnsi="Times New Roman"/>
          <w:sz w:val="24"/>
          <w:szCs w:val="24"/>
        </w:rPr>
      </w:pPr>
      <w:r>
        <w:rPr>
          <w:rFonts w:ascii="Times New Roman" w:hAnsi="Times New Roman"/>
          <w:sz w:val="24"/>
          <w:szCs w:val="24"/>
        </w:rPr>
        <w:t>Individuals with SPMI who have obtained gainful employment</w:t>
      </w:r>
      <w:r w:rsidR="00896C06">
        <w:rPr>
          <w:rFonts w:ascii="Times New Roman" w:hAnsi="Times New Roman"/>
          <w:sz w:val="24"/>
          <w:szCs w:val="24"/>
        </w:rPr>
        <w:t xml:space="preserve"> are carrying out critical functions as peer counselors who are employed by the State or by providers</w:t>
      </w:r>
      <w:r w:rsidR="001D6CC7">
        <w:rPr>
          <w:rFonts w:ascii="Times New Roman" w:hAnsi="Times New Roman"/>
          <w:sz w:val="24"/>
          <w:szCs w:val="24"/>
        </w:rPr>
        <w:t xml:space="preserve"> (Peer services are discussed below)</w:t>
      </w:r>
      <w:r w:rsidR="00896C06">
        <w:rPr>
          <w:rFonts w:ascii="Times New Roman" w:hAnsi="Times New Roman"/>
          <w:sz w:val="24"/>
          <w:szCs w:val="24"/>
        </w:rPr>
        <w:t xml:space="preserve">.  Others </w:t>
      </w:r>
      <w:r w:rsidR="001D6CC7">
        <w:rPr>
          <w:rFonts w:ascii="Times New Roman" w:hAnsi="Times New Roman"/>
          <w:sz w:val="24"/>
          <w:szCs w:val="24"/>
        </w:rPr>
        <w:t xml:space="preserve">work in mainstream work environments with needed supports.  </w:t>
      </w:r>
      <w:r w:rsidR="00932E75">
        <w:rPr>
          <w:rFonts w:ascii="Times New Roman" w:hAnsi="Times New Roman"/>
          <w:sz w:val="24"/>
          <w:szCs w:val="24"/>
        </w:rPr>
        <w:t>The stories below describe some of the individuals who are beneficiaries of the State’s employment initiatives</w:t>
      </w:r>
      <w:r w:rsidR="00A473A7">
        <w:rPr>
          <w:rFonts w:ascii="Times New Roman" w:hAnsi="Times New Roman"/>
          <w:sz w:val="24"/>
          <w:szCs w:val="24"/>
        </w:rPr>
        <w:t xml:space="preserve"> and the range of their work</w:t>
      </w:r>
      <w:r w:rsidR="00932E75">
        <w:rPr>
          <w:rFonts w:ascii="Times New Roman" w:hAnsi="Times New Roman"/>
          <w:sz w:val="24"/>
          <w:szCs w:val="24"/>
        </w:rPr>
        <w:t>.</w:t>
      </w:r>
    </w:p>
    <w:p w:rsidR="00A473A7" w:rsidRDefault="00A473A7" w:rsidP="00A473A7">
      <w:pPr>
        <w:spacing w:after="120"/>
        <w:ind w:left="720"/>
        <w:contextualSpacing/>
        <w:rPr>
          <w:rFonts w:ascii="Times New Roman" w:hAnsi="Times New Roman"/>
          <w:sz w:val="24"/>
          <w:szCs w:val="24"/>
        </w:rPr>
      </w:pPr>
    </w:p>
    <w:p w:rsidR="00461B67" w:rsidRDefault="00A473A7" w:rsidP="00A473A7">
      <w:pPr>
        <w:spacing w:after="120"/>
        <w:ind w:left="1080"/>
        <w:contextualSpacing/>
        <w:rPr>
          <w:rFonts w:ascii="Times New Roman" w:hAnsi="Times New Roman"/>
          <w:sz w:val="24"/>
          <w:szCs w:val="24"/>
        </w:rPr>
      </w:pPr>
      <w:r>
        <w:rPr>
          <w:rFonts w:ascii="Times New Roman" w:hAnsi="Times New Roman"/>
          <w:sz w:val="24"/>
          <w:szCs w:val="24"/>
        </w:rPr>
        <w:t xml:space="preserve">Jayne lives in her own home with her husband and daughter. She has a long history of treatment for bipolar disorder with psychotic features and has been hospitalized several times.  She works as a research assistant for the State, in part, in conjunction with the University of Pennsylvania which is evaluating DSAMH’s CRISP program.  In that capacity, she is being certified in human subject research, following the protocol that the university uses for all such research assistants.  She sees this as an important addition to her resume. </w:t>
      </w:r>
      <w:r w:rsidR="00E361B4">
        <w:rPr>
          <w:rFonts w:ascii="Times New Roman" w:hAnsi="Times New Roman"/>
          <w:sz w:val="24"/>
          <w:szCs w:val="24"/>
        </w:rPr>
        <w:t xml:space="preserve"> Her CRISP research focuses on </w:t>
      </w:r>
      <w:r>
        <w:rPr>
          <w:rFonts w:ascii="Times New Roman" w:hAnsi="Times New Roman"/>
          <w:sz w:val="24"/>
          <w:szCs w:val="24"/>
        </w:rPr>
        <w:t>consumers’ experiences in that program.  In addition, Jayne carries out peer satisfaction interviews as a part of DSAMH’s quality assurance program.  In both instances, she has leant her first-hand experience as a consumer to assist in the design of the questionnaires</w:t>
      </w:r>
      <w:r w:rsidR="008C128A">
        <w:rPr>
          <w:rFonts w:ascii="Times New Roman" w:hAnsi="Times New Roman"/>
          <w:sz w:val="24"/>
          <w:szCs w:val="24"/>
        </w:rPr>
        <w:t xml:space="preserve"> being utilized</w:t>
      </w:r>
      <w:r>
        <w:rPr>
          <w:rFonts w:ascii="Times New Roman" w:hAnsi="Times New Roman"/>
          <w:sz w:val="24"/>
          <w:szCs w:val="24"/>
        </w:rPr>
        <w:t xml:space="preserve">.  She finds her work highly rewarding, indicating that “these studies will improve people’s lives in the community.” </w:t>
      </w:r>
    </w:p>
    <w:p w:rsidR="00A473A7" w:rsidRDefault="00A473A7" w:rsidP="00A473A7">
      <w:pPr>
        <w:spacing w:after="120"/>
        <w:ind w:left="1080"/>
        <w:contextualSpacing/>
        <w:rPr>
          <w:rFonts w:ascii="Times New Roman" w:hAnsi="Times New Roman"/>
          <w:sz w:val="24"/>
          <w:szCs w:val="24"/>
        </w:rPr>
      </w:pPr>
    </w:p>
    <w:p w:rsidR="00171313" w:rsidRDefault="00E44349" w:rsidP="00A473A7">
      <w:pPr>
        <w:pStyle w:val="ListParagraph"/>
        <w:ind w:left="1080"/>
        <w:rPr>
          <w:rFonts w:ascii="Times New Roman" w:hAnsi="Times New Roman"/>
          <w:sz w:val="24"/>
          <w:szCs w:val="24"/>
        </w:rPr>
      </w:pPr>
      <w:r>
        <w:rPr>
          <w:rFonts w:ascii="Times New Roman" w:hAnsi="Times New Roman"/>
          <w:sz w:val="24"/>
          <w:szCs w:val="24"/>
        </w:rPr>
        <w:t>Sandra has been in and out of psychiatric hospitals due to schizophrenia and bipolar disorder.  She is served by an ACT team that supports her in living in her own apartment.  Sandra describes her life as having been “out of control,” but now works in mainstream employment</w:t>
      </w:r>
      <w:r w:rsidR="00EB69B8">
        <w:rPr>
          <w:rFonts w:ascii="Times New Roman" w:hAnsi="Times New Roman"/>
          <w:sz w:val="24"/>
          <w:szCs w:val="24"/>
        </w:rPr>
        <w:t xml:space="preserve"> in a variety of tasks, including assembly work.  She reports “I’ve been able to stay out of the hospital for a long time now...and I’m able to go to work.” </w:t>
      </w:r>
      <w:r>
        <w:rPr>
          <w:rFonts w:ascii="Times New Roman" w:hAnsi="Times New Roman"/>
          <w:sz w:val="24"/>
          <w:szCs w:val="24"/>
        </w:rPr>
        <w:t xml:space="preserve"> </w:t>
      </w:r>
      <w:r w:rsidR="00EB69B8">
        <w:rPr>
          <w:rFonts w:ascii="Times New Roman" w:hAnsi="Times New Roman"/>
          <w:sz w:val="24"/>
          <w:szCs w:val="24"/>
        </w:rPr>
        <w:t>She regards her current work as transitional, noting “I’m not where I want to be, but I’m not where I was.”</w:t>
      </w:r>
    </w:p>
    <w:p w:rsidR="00932E75" w:rsidRPr="00932E75" w:rsidRDefault="00932E75" w:rsidP="00A473A7">
      <w:pPr>
        <w:pStyle w:val="ListParagraph"/>
        <w:ind w:left="1080"/>
        <w:rPr>
          <w:rFonts w:ascii="Times New Roman" w:hAnsi="Times New Roman"/>
          <w:sz w:val="24"/>
          <w:szCs w:val="24"/>
        </w:rPr>
      </w:pPr>
    </w:p>
    <w:p w:rsidR="00932E75" w:rsidRDefault="00932E75" w:rsidP="00A473A7">
      <w:pPr>
        <w:pStyle w:val="ListParagraph"/>
        <w:ind w:left="1080"/>
        <w:rPr>
          <w:rFonts w:ascii="Times New Roman" w:hAnsi="Times New Roman"/>
          <w:sz w:val="24"/>
          <w:szCs w:val="24"/>
        </w:rPr>
      </w:pPr>
      <w:r>
        <w:rPr>
          <w:rFonts w:ascii="Times New Roman" w:hAnsi="Times New Roman"/>
          <w:sz w:val="24"/>
          <w:szCs w:val="24"/>
        </w:rPr>
        <w:t xml:space="preserve">Todd is a middle-aged </w:t>
      </w:r>
      <w:r w:rsidRPr="00932E75">
        <w:rPr>
          <w:rFonts w:ascii="Times New Roman" w:hAnsi="Times New Roman"/>
          <w:sz w:val="24"/>
          <w:szCs w:val="24"/>
        </w:rPr>
        <w:t xml:space="preserve">man who has </w:t>
      </w:r>
      <w:r>
        <w:rPr>
          <w:rFonts w:ascii="Times New Roman" w:hAnsi="Times New Roman"/>
          <w:sz w:val="24"/>
          <w:szCs w:val="24"/>
        </w:rPr>
        <w:t xml:space="preserve">hospitalized multiple times for treatment of </w:t>
      </w:r>
      <w:r w:rsidRPr="00932E75">
        <w:rPr>
          <w:rFonts w:ascii="Times New Roman" w:hAnsi="Times New Roman"/>
          <w:sz w:val="24"/>
          <w:szCs w:val="24"/>
        </w:rPr>
        <w:t>schizophrenia</w:t>
      </w:r>
      <w:r>
        <w:rPr>
          <w:rFonts w:ascii="Times New Roman" w:hAnsi="Times New Roman"/>
          <w:sz w:val="24"/>
          <w:szCs w:val="24"/>
        </w:rPr>
        <w:t xml:space="preserve">.  For about a year, he has been working in food services at </w:t>
      </w:r>
      <w:r w:rsidRPr="00932E75">
        <w:rPr>
          <w:rFonts w:ascii="Times New Roman" w:hAnsi="Times New Roman"/>
          <w:sz w:val="24"/>
          <w:szCs w:val="24"/>
        </w:rPr>
        <w:t xml:space="preserve">the University of Delaware.  </w:t>
      </w:r>
      <w:r>
        <w:rPr>
          <w:rFonts w:ascii="Times New Roman" w:hAnsi="Times New Roman"/>
          <w:sz w:val="24"/>
          <w:szCs w:val="24"/>
        </w:rPr>
        <w:t>He reports that he is often complimented about his work and he takes great pride in leading a productive life.  “</w:t>
      </w:r>
      <w:r w:rsidRPr="00932E75">
        <w:rPr>
          <w:rFonts w:ascii="Times New Roman" w:hAnsi="Times New Roman"/>
          <w:sz w:val="24"/>
          <w:szCs w:val="24"/>
        </w:rPr>
        <w:t>I</w:t>
      </w:r>
      <w:r>
        <w:rPr>
          <w:rFonts w:ascii="Times New Roman" w:hAnsi="Times New Roman"/>
          <w:sz w:val="24"/>
          <w:szCs w:val="24"/>
        </w:rPr>
        <w:t xml:space="preserve"> am treated like everybody else,</w:t>
      </w:r>
      <w:r w:rsidR="003B3445">
        <w:rPr>
          <w:rFonts w:ascii="Times New Roman" w:hAnsi="Times New Roman"/>
          <w:sz w:val="24"/>
          <w:szCs w:val="24"/>
        </w:rPr>
        <w:t xml:space="preserve">” he says, which is an </w:t>
      </w:r>
      <w:r w:rsidR="008C128A">
        <w:rPr>
          <w:rFonts w:ascii="Times New Roman" w:hAnsi="Times New Roman"/>
          <w:sz w:val="24"/>
          <w:szCs w:val="24"/>
        </w:rPr>
        <w:t xml:space="preserve">apt description of what the Agreement—and the ADA—intend </w:t>
      </w:r>
      <w:r w:rsidR="003B3445">
        <w:rPr>
          <w:rFonts w:ascii="Times New Roman" w:hAnsi="Times New Roman"/>
          <w:sz w:val="24"/>
          <w:szCs w:val="24"/>
        </w:rPr>
        <w:t>to achieve for people with disabilities.</w:t>
      </w:r>
    </w:p>
    <w:p w:rsidR="00932E75" w:rsidRDefault="00932E75" w:rsidP="009F4977">
      <w:pPr>
        <w:pStyle w:val="ListParagraph"/>
        <w:ind w:left="1080"/>
        <w:rPr>
          <w:rFonts w:ascii="Times New Roman" w:hAnsi="Times New Roman"/>
          <w:sz w:val="24"/>
          <w:szCs w:val="24"/>
        </w:rPr>
      </w:pPr>
    </w:p>
    <w:p w:rsidR="00B47DFF" w:rsidRDefault="00B47DFF" w:rsidP="00B47DFF">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Recommendation:</w:t>
      </w:r>
    </w:p>
    <w:p w:rsidR="00B47DFF" w:rsidRPr="00B47DFF" w:rsidRDefault="00B47DFF" w:rsidP="00B47DFF">
      <w:pPr>
        <w:pStyle w:val="ListParagraph"/>
        <w:rPr>
          <w:rFonts w:ascii="Times New Roman" w:hAnsi="Times New Roman"/>
          <w:sz w:val="24"/>
          <w:szCs w:val="24"/>
        </w:rPr>
      </w:pPr>
    </w:p>
    <w:p w:rsidR="00B47DFF" w:rsidRDefault="00B47DFF" w:rsidP="007C0894">
      <w:pPr>
        <w:pStyle w:val="ListParagraph"/>
        <w:numPr>
          <w:ilvl w:val="0"/>
          <w:numId w:val="13"/>
        </w:numPr>
        <w:contextualSpacing w:val="0"/>
        <w:rPr>
          <w:rFonts w:ascii="Times New Roman" w:hAnsi="Times New Roman"/>
          <w:sz w:val="24"/>
          <w:szCs w:val="24"/>
        </w:rPr>
      </w:pPr>
      <w:r>
        <w:rPr>
          <w:rFonts w:ascii="Times New Roman" w:hAnsi="Times New Roman"/>
          <w:sz w:val="24"/>
          <w:szCs w:val="24"/>
        </w:rPr>
        <w:t xml:space="preserve">Each of the providers with ACT teams has been </w:t>
      </w:r>
      <w:r w:rsidR="007C0894">
        <w:rPr>
          <w:rFonts w:ascii="Times New Roman" w:hAnsi="Times New Roman"/>
          <w:sz w:val="24"/>
          <w:szCs w:val="24"/>
        </w:rPr>
        <w:t>able to fund</w:t>
      </w:r>
      <w:r>
        <w:rPr>
          <w:rFonts w:ascii="Times New Roman" w:hAnsi="Times New Roman"/>
          <w:sz w:val="24"/>
          <w:szCs w:val="24"/>
        </w:rPr>
        <w:t xml:space="preserve"> one employment specialist</w:t>
      </w:r>
      <w:r w:rsidR="007C0894">
        <w:rPr>
          <w:rFonts w:ascii="Times New Roman" w:hAnsi="Times New Roman"/>
          <w:sz w:val="24"/>
          <w:szCs w:val="24"/>
        </w:rPr>
        <w:t xml:space="preserve"> for the agency</w:t>
      </w:r>
      <w:r>
        <w:rPr>
          <w:rFonts w:ascii="Times New Roman" w:hAnsi="Times New Roman"/>
          <w:sz w:val="24"/>
          <w:szCs w:val="24"/>
        </w:rPr>
        <w:t xml:space="preserve">.  DSAMH’s plan has been to focus on bringing these new ACT teams into fidelity with the TMAC model and, as the basic structure and operations become established (which they now are), to ramp up their capacities for supported employment by having one dedicated employment counselor </w:t>
      </w:r>
      <w:r w:rsidR="007C0894">
        <w:rPr>
          <w:rFonts w:ascii="Times New Roman" w:hAnsi="Times New Roman"/>
          <w:sz w:val="24"/>
          <w:szCs w:val="24"/>
        </w:rPr>
        <w:t xml:space="preserve">for </w:t>
      </w:r>
      <w:r>
        <w:rPr>
          <w:rFonts w:ascii="Times New Roman" w:hAnsi="Times New Roman"/>
          <w:sz w:val="24"/>
          <w:szCs w:val="24"/>
        </w:rPr>
        <w:t xml:space="preserve">each team.  </w:t>
      </w:r>
      <w:r w:rsidR="008C128A">
        <w:rPr>
          <w:rFonts w:ascii="Times New Roman" w:hAnsi="Times New Roman"/>
          <w:sz w:val="24"/>
          <w:szCs w:val="24"/>
        </w:rPr>
        <w:t xml:space="preserve">This is a sensible approach.  </w:t>
      </w:r>
      <w:r>
        <w:rPr>
          <w:rFonts w:ascii="Times New Roman" w:hAnsi="Times New Roman"/>
          <w:sz w:val="24"/>
          <w:szCs w:val="24"/>
        </w:rPr>
        <w:t>It is recommended that these positions be established this year.</w:t>
      </w:r>
    </w:p>
    <w:p w:rsidR="00B47DFF" w:rsidRPr="00E44349" w:rsidRDefault="007C0894" w:rsidP="007C0894">
      <w:pPr>
        <w:pStyle w:val="ListParagraph"/>
        <w:numPr>
          <w:ilvl w:val="0"/>
          <w:numId w:val="13"/>
        </w:numPr>
        <w:contextualSpacing w:val="0"/>
        <w:rPr>
          <w:rFonts w:ascii="Times New Roman" w:hAnsi="Times New Roman"/>
          <w:sz w:val="24"/>
          <w:szCs w:val="24"/>
        </w:rPr>
      </w:pPr>
      <w:r>
        <w:rPr>
          <w:rFonts w:ascii="Times New Roman" w:hAnsi="Times New Roman"/>
          <w:sz w:val="24"/>
          <w:szCs w:val="24"/>
        </w:rPr>
        <w:t xml:space="preserve">DSAMH also plans to create a new leadership position </w:t>
      </w:r>
      <w:r w:rsidR="008C128A">
        <w:rPr>
          <w:rFonts w:ascii="Times New Roman" w:hAnsi="Times New Roman"/>
          <w:sz w:val="24"/>
          <w:szCs w:val="24"/>
        </w:rPr>
        <w:t xml:space="preserve">within the Division </w:t>
      </w:r>
      <w:r>
        <w:rPr>
          <w:rFonts w:ascii="Times New Roman" w:hAnsi="Times New Roman"/>
          <w:sz w:val="24"/>
          <w:szCs w:val="24"/>
        </w:rPr>
        <w:t>to coordinate employment services throughout its programs.  This is a very worthwhile measure and should help the State achieve the significant increases in the number of individuals receiving supported employment services that are required per the Agreement in the coming years.</w:t>
      </w:r>
    </w:p>
    <w:p w:rsidR="008F69E8" w:rsidRDefault="008F69E8" w:rsidP="00171313">
      <w:pPr>
        <w:pStyle w:val="ListParagraph"/>
        <w:rPr>
          <w:rFonts w:ascii="Times New Roman" w:hAnsi="Times New Roman"/>
          <w:b/>
          <w:sz w:val="24"/>
          <w:szCs w:val="24"/>
        </w:rPr>
      </w:pPr>
    </w:p>
    <w:p w:rsidR="008F69E8" w:rsidRDefault="008F69E8" w:rsidP="00054945">
      <w:pPr>
        <w:pStyle w:val="ListParagraph"/>
        <w:keepNext/>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Rehabilitation Services</w:t>
      </w:r>
    </w:p>
    <w:p w:rsidR="008F69E8" w:rsidRDefault="008F69E8" w:rsidP="00332ECC">
      <w:pPr>
        <w:pStyle w:val="ListParagraph"/>
        <w:keepNext/>
        <w:spacing w:after="120"/>
        <w:contextualSpacing w:val="0"/>
        <w:rPr>
          <w:rFonts w:ascii="Times New Roman" w:hAnsi="Times New Roman"/>
          <w:sz w:val="24"/>
          <w:szCs w:val="24"/>
        </w:rPr>
      </w:pPr>
      <w:proofErr w:type="gramStart"/>
      <w:r>
        <w:rPr>
          <w:rFonts w:ascii="Times New Roman" w:hAnsi="Times New Roman"/>
          <w:sz w:val="24"/>
          <w:szCs w:val="24"/>
          <w:u w:val="single"/>
        </w:rPr>
        <w:t>Substantial Compliance.</w:t>
      </w:r>
      <w:proofErr w:type="gramEnd"/>
    </w:p>
    <w:p w:rsidR="007533DD" w:rsidRDefault="008F69E8" w:rsidP="008F69E8">
      <w:pPr>
        <w:pStyle w:val="ListParagraph"/>
        <w:spacing w:after="120"/>
        <w:contextualSpacing w:val="0"/>
        <w:rPr>
          <w:rFonts w:ascii="Times New Roman" w:hAnsi="Times New Roman"/>
          <w:sz w:val="24"/>
          <w:szCs w:val="24"/>
        </w:rPr>
      </w:pPr>
      <w:r>
        <w:rPr>
          <w:rFonts w:ascii="Times New Roman" w:hAnsi="Times New Roman"/>
          <w:sz w:val="24"/>
          <w:szCs w:val="24"/>
        </w:rPr>
        <w:t>Section III.K.2 of the Agreement requires the State to provide</w:t>
      </w:r>
      <w:r w:rsidR="00E165E1">
        <w:rPr>
          <w:rFonts w:ascii="Times New Roman" w:hAnsi="Times New Roman"/>
          <w:sz w:val="24"/>
          <w:szCs w:val="24"/>
        </w:rPr>
        <w:t xml:space="preserve"> rehabilitation services to an additional 500 individuals by July 1, 2013, bring</w:t>
      </w:r>
      <w:r w:rsidR="008C128A">
        <w:rPr>
          <w:rFonts w:ascii="Times New Roman" w:hAnsi="Times New Roman"/>
          <w:sz w:val="24"/>
          <w:szCs w:val="24"/>
        </w:rPr>
        <w:t>ing</w:t>
      </w:r>
      <w:r w:rsidR="00E165E1">
        <w:rPr>
          <w:rFonts w:ascii="Times New Roman" w:hAnsi="Times New Roman"/>
          <w:sz w:val="24"/>
          <w:szCs w:val="24"/>
        </w:rPr>
        <w:t xml:space="preserve"> the total requirement to 600.  Rehabilitation services comprise an array of activities, such as education, substance abuse treatment, and recreational activities.  Some of these components are not well defined in the State’s data systems.  Furthermore, without sufficient intensity of a rehabilitative service, the meaning is dubious (for instance, crediting a single recreational encounter with an individual towards the goal of 600).  For purposes of evaluating the State’s compliance with this provision, an individual was counted if:  </w:t>
      </w:r>
    </w:p>
    <w:p w:rsidR="00E165E1" w:rsidRDefault="00E165E1" w:rsidP="007533DD">
      <w:pPr>
        <w:pStyle w:val="ListParagraph"/>
        <w:numPr>
          <w:ilvl w:val="0"/>
          <w:numId w:val="8"/>
        </w:numPr>
        <w:spacing w:after="120"/>
        <w:contextualSpacing w:val="0"/>
        <w:rPr>
          <w:rFonts w:ascii="Times New Roman" w:hAnsi="Times New Roman"/>
          <w:sz w:val="24"/>
          <w:szCs w:val="24"/>
        </w:rPr>
      </w:pPr>
      <w:r>
        <w:rPr>
          <w:rFonts w:ascii="Times New Roman" w:hAnsi="Times New Roman"/>
          <w:sz w:val="24"/>
          <w:szCs w:val="24"/>
        </w:rPr>
        <w:t xml:space="preserve">Psychosocial Rehabilitative Services, Psychosocial Group </w:t>
      </w:r>
      <w:proofErr w:type="gramStart"/>
      <w:r>
        <w:rPr>
          <w:rFonts w:ascii="Times New Roman" w:hAnsi="Times New Roman"/>
          <w:sz w:val="24"/>
          <w:szCs w:val="24"/>
        </w:rPr>
        <w:t>Services,</w:t>
      </w:r>
      <w:proofErr w:type="gramEnd"/>
      <w:r>
        <w:rPr>
          <w:rFonts w:ascii="Times New Roman" w:hAnsi="Times New Roman"/>
          <w:sz w:val="24"/>
          <w:szCs w:val="24"/>
        </w:rPr>
        <w:t xml:space="preserve"> or Family Psychosocial Education was provided at least twice per month for at least 6 months.</w:t>
      </w:r>
      <w:r w:rsidR="007533DD">
        <w:rPr>
          <w:rFonts w:ascii="Times New Roman" w:hAnsi="Times New Roman"/>
          <w:sz w:val="24"/>
          <w:szCs w:val="24"/>
        </w:rPr>
        <w:t xml:space="preserve">  439 individuals met this criterion;</w:t>
      </w:r>
    </w:p>
    <w:p w:rsidR="007533DD" w:rsidRPr="007533DD" w:rsidRDefault="007533DD" w:rsidP="007533DD">
      <w:pPr>
        <w:pStyle w:val="ListParagraph"/>
        <w:numPr>
          <w:ilvl w:val="0"/>
          <w:numId w:val="8"/>
        </w:numPr>
        <w:spacing w:after="120"/>
        <w:contextualSpacing w:val="0"/>
        <w:rPr>
          <w:rFonts w:ascii="Times New Roman" w:hAnsi="Times New Roman"/>
          <w:sz w:val="24"/>
          <w:szCs w:val="24"/>
        </w:rPr>
      </w:pPr>
      <w:r>
        <w:rPr>
          <w:rFonts w:ascii="Times New Roman" w:hAnsi="Times New Roman"/>
          <w:sz w:val="24"/>
          <w:szCs w:val="24"/>
        </w:rPr>
        <w:t>Some level of substance abuse service for a co-occurring disorder was provided during the year.  929 individuals met this criterion; or</w:t>
      </w:r>
    </w:p>
    <w:p w:rsidR="007533DD" w:rsidRDefault="007533DD" w:rsidP="007533DD">
      <w:pPr>
        <w:pStyle w:val="ListParagraph"/>
        <w:numPr>
          <w:ilvl w:val="0"/>
          <w:numId w:val="8"/>
        </w:numPr>
        <w:spacing w:after="120"/>
        <w:contextualSpacing w:val="0"/>
        <w:rPr>
          <w:rFonts w:ascii="Times New Roman" w:hAnsi="Times New Roman"/>
          <w:sz w:val="24"/>
          <w:szCs w:val="24"/>
        </w:rPr>
      </w:pPr>
      <w:r>
        <w:rPr>
          <w:rFonts w:ascii="Times New Roman" w:hAnsi="Times New Roman"/>
          <w:sz w:val="24"/>
          <w:szCs w:val="24"/>
        </w:rPr>
        <w:t>There was ongoing participation as a peer volunteer.  10 individuals met this criterion.</w:t>
      </w:r>
    </w:p>
    <w:p w:rsidR="007533DD" w:rsidRDefault="007533DD" w:rsidP="007533DD">
      <w:pPr>
        <w:pStyle w:val="ListParagraph"/>
        <w:spacing w:after="120"/>
        <w:contextualSpacing w:val="0"/>
        <w:rPr>
          <w:rFonts w:ascii="Times New Roman" w:hAnsi="Times New Roman"/>
          <w:sz w:val="24"/>
          <w:szCs w:val="24"/>
        </w:rPr>
      </w:pPr>
      <w:r>
        <w:rPr>
          <w:rFonts w:ascii="Times New Roman" w:hAnsi="Times New Roman"/>
          <w:sz w:val="24"/>
          <w:szCs w:val="24"/>
        </w:rPr>
        <w:t>The State is surpassing its requirement</w:t>
      </w:r>
      <w:r w:rsidR="00556522">
        <w:rPr>
          <w:rFonts w:ascii="Times New Roman" w:hAnsi="Times New Roman"/>
          <w:sz w:val="24"/>
          <w:szCs w:val="24"/>
        </w:rPr>
        <w:t>s</w:t>
      </w:r>
      <w:r>
        <w:rPr>
          <w:rFonts w:ascii="Times New Roman" w:hAnsi="Times New Roman"/>
          <w:sz w:val="24"/>
          <w:szCs w:val="24"/>
        </w:rPr>
        <w:t xml:space="preserve"> with respect to Rehabilitation</w:t>
      </w:r>
      <w:r w:rsidR="005B645C">
        <w:rPr>
          <w:rFonts w:ascii="Times New Roman" w:hAnsi="Times New Roman"/>
          <w:sz w:val="24"/>
          <w:szCs w:val="24"/>
        </w:rPr>
        <w:t xml:space="preserve"> Services</w:t>
      </w:r>
      <w:r>
        <w:rPr>
          <w:rFonts w:ascii="Times New Roman" w:hAnsi="Times New Roman"/>
          <w:sz w:val="24"/>
          <w:szCs w:val="24"/>
        </w:rPr>
        <w:t>.</w:t>
      </w:r>
    </w:p>
    <w:p w:rsidR="008F69E8" w:rsidRDefault="00E165E1" w:rsidP="008F69E8">
      <w:pPr>
        <w:pStyle w:val="ListParagraph"/>
        <w:spacing w:after="120"/>
        <w:contextualSpacing w:val="0"/>
        <w:rPr>
          <w:rFonts w:ascii="Times New Roman" w:hAnsi="Times New Roman"/>
          <w:sz w:val="24"/>
          <w:szCs w:val="24"/>
        </w:rPr>
      </w:pPr>
      <w:r>
        <w:rPr>
          <w:rFonts w:ascii="Times New Roman" w:hAnsi="Times New Roman"/>
          <w:sz w:val="24"/>
          <w:szCs w:val="24"/>
        </w:rPr>
        <w:t xml:space="preserve"> </w:t>
      </w:r>
    </w:p>
    <w:p w:rsidR="005B645C" w:rsidRPr="005B645C" w:rsidRDefault="005B645C" w:rsidP="00556522">
      <w:pPr>
        <w:pStyle w:val="ListParagraph"/>
        <w:keepNext/>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Family and Peer Supports</w:t>
      </w:r>
    </w:p>
    <w:p w:rsidR="005B645C" w:rsidRDefault="005B645C" w:rsidP="005B645C">
      <w:pPr>
        <w:pStyle w:val="ListParagraph"/>
        <w:spacing w:after="120"/>
        <w:contextualSpacing w:val="0"/>
        <w:rPr>
          <w:rFonts w:ascii="Times New Roman" w:hAnsi="Times New Roman"/>
          <w:sz w:val="24"/>
          <w:szCs w:val="24"/>
        </w:rPr>
      </w:pPr>
      <w:proofErr w:type="gramStart"/>
      <w:r>
        <w:rPr>
          <w:rFonts w:ascii="Times New Roman" w:hAnsi="Times New Roman"/>
          <w:sz w:val="24"/>
          <w:szCs w:val="24"/>
          <w:u w:val="single"/>
        </w:rPr>
        <w:t>Substantial Compliance.</w:t>
      </w:r>
      <w:proofErr w:type="gramEnd"/>
    </w:p>
    <w:p w:rsidR="005B645C" w:rsidRDefault="005B645C" w:rsidP="005B645C">
      <w:pPr>
        <w:pStyle w:val="ListParagraph"/>
        <w:spacing w:after="120"/>
        <w:contextualSpacing w:val="0"/>
        <w:rPr>
          <w:rFonts w:ascii="Times New Roman" w:hAnsi="Times New Roman"/>
          <w:sz w:val="24"/>
          <w:szCs w:val="24"/>
        </w:rPr>
      </w:pPr>
      <w:r>
        <w:rPr>
          <w:rFonts w:ascii="Times New Roman" w:hAnsi="Times New Roman"/>
          <w:sz w:val="24"/>
          <w:szCs w:val="24"/>
        </w:rPr>
        <w:t xml:space="preserve">Section III.L.2 of the Agreement requires the State to provide family or </w:t>
      </w:r>
      <w:proofErr w:type="gramStart"/>
      <w:r>
        <w:rPr>
          <w:rFonts w:ascii="Times New Roman" w:hAnsi="Times New Roman"/>
          <w:sz w:val="24"/>
          <w:szCs w:val="24"/>
        </w:rPr>
        <w:t>peer</w:t>
      </w:r>
      <w:proofErr w:type="gramEnd"/>
      <w:r>
        <w:rPr>
          <w:rFonts w:ascii="Times New Roman" w:hAnsi="Times New Roman"/>
          <w:sz w:val="24"/>
          <w:szCs w:val="24"/>
        </w:rPr>
        <w:t xml:space="preserve"> supports to an additional 250 individuals, bringing the total number receiving this service to </w:t>
      </w:r>
      <w:r w:rsidR="008C128A">
        <w:rPr>
          <w:rFonts w:ascii="Times New Roman" w:hAnsi="Times New Roman"/>
          <w:sz w:val="24"/>
          <w:szCs w:val="24"/>
        </w:rPr>
        <w:t>50</w:t>
      </w:r>
      <w:r>
        <w:rPr>
          <w:rFonts w:ascii="Times New Roman" w:hAnsi="Times New Roman"/>
          <w:sz w:val="24"/>
          <w:szCs w:val="24"/>
        </w:rPr>
        <w:t xml:space="preserve">0.  As has been noted in previous reports, an impressive peer movement has evolved in the State, whereby individuals who, themselves, have mental illness provide vital services to members of the population covered by the Agreement.  These services range from supports to inpatient at DPC (where </w:t>
      </w:r>
      <w:r w:rsidR="008C128A">
        <w:rPr>
          <w:rFonts w:ascii="Times New Roman" w:hAnsi="Times New Roman"/>
          <w:sz w:val="24"/>
          <w:szCs w:val="24"/>
        </w:rPr>
        <w:t xml:space="preserve">peers meet with </w:t>
      </w:r>
      <w:r>
        <w:rPr>
          <w:rFonts w:ascii="Times New Roman" w:hAnsi="Times New Roman"/>
          <w:sz w:val="24"/>
          <w:szCs w:val="24"/>
        </w:rPr>
        <w:t xml:space="preserve">individuals </w:t>
      </w:r>
      <w:r w:rsidR="008C128A">
        <w:rPr>
          <w:rFonts w:ascii="Times New Roman" w:hAnsi="Times New Roman"/>
          <w:sz w:val="24"/>
          <w:szCs w:val="24"/>
        </w:rPr>
        <w:t xml:space="preserve">and </w:t>
      </w:r>
      <w:r>
        <w:rPr>
          <w:rFonts w:ascii="Times New Roman" w:hAnsi="Times New Roman"/>
          <w:sz w:val="24"/>
          <w:szCs w:val="24"/>
        </w:rPr>
        <w:t>provide “Hope” bags containing information and essentials upon admission and discharge), to socialization and support in consumer advocacy, to participation on ACT teams.  The State has surpassed its requirements with respect to this provision, providing Family and Peer Supports to approximately 600 individuals.</w:t>
      </w:r>
    </w:p>
    <w:p w:rsidR="00EF53D5" w:rsidRDefault="00EF53D5" w:rsidP="005B645C">
      <w:pPr>
        <w:pStyle w:val="ListParagraph"/>
        <w:spacing w:after="120"/>
        <w:contextualSpacing w:val="0"/>
        <w:rPr>
          <w:rFonts w:ascii="Times New Roman" w:hAnsi="Times New Roman"/>
          <w:sz w:val="24"/>
          <w:szCs w:val="24"/>
        </w:rPr>
      </w:pPr>
    </w:p>
    <w:p w:rsidR="00EF53D5" w:rsidRPr="00EF53D5" w:rsidRDefault="00EF53D5" w:rsidP="00332ECC">
      <w:pPr>
        <w:pStyle w:val="ListParagraph"/>
        <w:keepNext/>
        <w:numPr>
          <w:ilvl w:val="0"/>
          <w:numId w:val="5"/>
        </w:numPr>
        <w:spacing w:after="120"/>
        <w:contextualSpacing w:val="0"/>
        <w:rPr>
          <w:rFonts w:ascii="Times New Roman" w:hAnsi="Times New Roman"/>
          <w:b/>
          <w:sz w:val="24"/>
          <w:szCs w:val="24"/>
        </w:rPr>
      </w:pPr>
      <w:r>
        <w:rPr>
          <w:rFonts w:ascii="Times New Roman" w:hAnsi="Times New Roman"/>
          <w:b/>
          <w:sz w:val="24"/>
          <w:szCs w:val="24"/>
        </w:rPr>
        <w:t xml:space="preserve"> Transition Planning</w:t>
      </w:r>
    </w:p>
    <w:p w:rsidR="00EF53D5" w:rsidRDefault="00EF53D5" w:rsidP="00332ECC">
      <w:pPr>
        <w:keepNext/>
        <w:spacing w:after="120"/>
        <w:ind w:left="720"/>
        <w:rPr>
          <w:rFonts w:ascii="Times New Roman" w:hAnsi="Times New Roman"/>
          <w:sz w:val="24"/>
          <w:szCs w:val="24"/>
        </w:rPr>
      </w:pPr>
      <w:proofErr w:type="gramStart"/>
      <w:r>
        <w:rPr>
          <w:rFonts w:ascii="Times New Roman" w:hAnsi="Times New Roman"/>
          <w:sz w:val="24"/>
          <w:szCs w:val="24"/>
          <w:u w:val="single"/>
        </w:rPr>
        <w:t>Substantial Compliance.</w:t>
      </w:r>
      <w:proofErr w:type="gramEnd"/>
    </w:p>
    <w:p w:rsidR="00CA4C11" w:rsidRDefault="00EF53D5" w:rsidP="00EF53D5">
      <w:pPr>
        <w:spacing w:after="120"/>
        <w:ind w:left="720"/>
        <w:rPr>
          <w:rFonts w:ascii="Times New Roman" w:hAnsi="Times New Roman"/>
          <w:sz w:val="24"/>
          <w:szCs w:val="24"/>
        </w:rPr>
      </w:pPr>
      <w:r>
        <w:rPr>
          <w:rFonts w:ascii="Times New Roman" w:hAnsi="Times New Roman"/>
          <w:sz w:val="24"/>
          <w:szCs w:val="24"/>
        </w:rPr>
        <w:t>Section IV.A sets forth requirements for person-centered recovery-oriented discharge planning, including the requirement that individuals be assessed from the perspective that, with sufficient supports and services, they can live in integrated community settings.</w:t>
      </w:r>
      <w:r w:rsidR="00556522">
        <w:rPr>
          <w:rFonts w:ascii="Times New Roman" w:hAnsi="Times New Roman"/>
          <w:sz w:val="24"/>
          <w:szCs w:val="24"/>
        </w:rPr>
        <w:t xml:space="preserve">  Fulfillment of this provision requires not only procedural changes, but significant </w:t>
      </w:r>
      <w:r w:rsidR="002A382E">
        <w:rPr>
          <w:rFonts w:ascii="Times New Roman" w:hAnsi="Times New Roman"/>
          <w:sz w:val="24"/>
          <w:szCs w:val="24"/>
        </w:rPr>
        <w:t xml:space="preserve">changes in how the needs of individuals are conceptualized and how their preferences are accommodated. </w:t>
      </w:r>
      <w:r w:rsidR="00CA4C11">
        <w:rPr>
          <w:rFonts w:ascii="Times New Roman" w:hAnsi="Times New Roman"/>
          <w:sz w:val="24"/>
          <w:szCs w:val="24"/>
        </w:rPr>
        <w:t xml:space="preserve"> </w:t>
      </w:r>
    </w:p>
    <w:p w:rsidR="00EF53D5" w:rsidRDefault="002A382E" w:rsidP="00EF53D5">
      <w:pPr>
        <w:spacing w:after="120"/>
        <w:ind w:left="720"/>
        <w:rPr>
          <w:rFonts w:ascii="Times New Roman" w:hAnsi="Times New Roman"/>
          <w:sz w:val="24"/>
          <w:szCs w:val="24"/>
        </w:rPr>
      </w:pPr>
      <w:r>
        <w:rPr>
          <w:rFonts w:ascii="Times New Roman" w:hAnsi="Times New Roman"/>
          <w:sz w:val="24"/>
          <w:szCs w:val="24"/>
        </w:rPr>
        <w:t xml:space="preserve">Delaware continues to make important advances in achieving these reforms.  For example, the person-centered Community Living Questionnaire that was developed at DPC to meet these requirements is now being used in the IMDs, as well, with collaboration </w:t>
      </w:r>
      <w:r w:rsidR="00CA4C11">
        <w:rPr>
          <w:rFonts w:ascii="Times New Roman" w:hAnsi="Times New Roman"/>
          <w:sz w:val="24"/>
          <w:szCs w:val="24"/>
        </w:rPr>
        <w:t xml:space="preserve">by </w:t>
      </w:r>
      <w:r>
        <w:rPr>
          <w:rFonts w:ascii="Times New Roman" w:hAnsi="Times New Roman"/>
          <w:sz w:val="24"/>
          <w:szCs w:val="24"/>
        </w:rPr>
        <w:t xml:space="preserve">community providers.  Furthermore, DSAMH continues to require special review of individuals who </w:t>
      </w:r>
      <w:r w:rsidR="00CA4C11">
        <w:rPr>
          <w:rFonts w:ascii="Times New Roman" w:hAnsi="Times New Roman"/>
          <w:sz w:val="24"/>
          <w:szCs w:val="24"/>
        </w:rPr>
        <w:t>(</w:t>
      </w:r>
      <w:r>
        <w:rPr>
          <w:rFonts w:ascii="Times New Roman" w:hAnsi="Times New Roman"/>
          <w:sz w:val="24"/>
          <w:szCs w:val="24"/>
        </w:rPr>
        <w:t xml:space="preserve">generally for </w:t>
      </w:r>
      <w:r w:rsidR="00CA4C11">
        <w:rPr>
          <w:rFonts w:ascii="Times New Roman" w:hAnsi="Times New Roman"/>
          <w:sz w:val="24"/>
          <w:szCs w:val="24"/>
        </w:rPr>
        <w:t>physical healthcare</w:t>
      </w:r>
      <w:r>
        <w:rPr>
          <w:rFonts w:ascii="Times New Roman" w:hAnsi="Times New Roman"/>
          <w:sz w:val="24"/>
          <w:szCs w:val="24"/>
        </w:rPr>
        <w:t xml:space="preserve"> reasons</w:t>
      </w:r>
      <w:r w:rsidR="00CA4C11">
        <w:rPr>
          <w:rFonts w:ascii="Times New Roman" w:hAnsi="Times New Roman"/>
          <w:sz w:val="24"/>
          <w:szCs w:val="24"/>
        </w:rPr>
        <w:t>) are</w:t>
      </w:r>
      <w:r>
        <w:rPr>
          <w:rFonts w:ascii="Times New Roman" w:hAnsi="Times New Roman"/>
          <w:sz w:val="24"/>
          <w:szCs w:val="24"/>
        </w:rPr>
        <w:t xml:space="preserve"> not being recommended for </w:t>
      </w:r>
      <w:r w:rsidR="00CA4C11">
        <w:rPr>
          <w:rFonts w:ascii="Times New Roman" w:hAnsi="Times New Roman"/>
          <w:sz w:val="24"/>
          <w:szCs w:val="24"/>
        </w:rPr>
        <w:t xml:space="preserve">fully </w:t>
      </w:r>
      <w:r>
        <w:rPr>
          <w:rFonts w:ascii="Times New Roman" w:hAnsi="Times New Roman"/>
          <w:sz w:val="24"/>
          <w:szCs w:val="24"/>
        </w:rPr>
        <w:t>integrated housing upon discharge.  In t</w:t>
      </w:r>
      <w:r w:rsidR="00CA4C11">
        <w:rPr>
          <w:rFonts w:ascii="Times New Roman" w:hAnsi="Times New Roman"/>
          <w:sz w:val="24"/>
          <w:szCs w:val="24"/>
        </w:rPr>
        <w:t xml:space="preserve">hese small number of instances—perhaps </w:t>
      </w:r>
      <w:r>
        <w:rPr>
          <w:rFonts w:ascii="Times New Roman" w:hAnsi="Times New Roman"/>
          <w:sz w:val="24"/>
          <w:szCs w:val="24"/>
        </w:rPr>
        <w:t xml:space="preserve">a dozen during the course of </w:t>
      </w:r>
      <w:r w:rsidR="00CA4C11">
        <w:rPr>
          <w:rFonts w:ascii="Times New Roman" w:hAnsi="Times New Roman"/>
          <w:sz w:val="24"/>
          <w:szCs w:val="24"/>
        </w:rPr>
        <w:t>the past</w:t>
      </w:r>
      <w:r>
        <w:rPr>
          <w:rFonts w:ascii="Times New Roman" w:hAnsi="Times New Roman"/>
          <w:sz w:val="24"/>
          <w:szCs w:val="24"/>
        </w:rPr>
        <w:t xml:space="preserve"> year</w:t>
      </w:r>
      <w:r w:rsidR="00CA4C11">
        <w:rPr>
          <w:rFonts w:ascii="Times New Roman" w:hAnsi="Times New Roman"/>
          <w:sz w:val="24"/>
          <w:szCs w:val="24"/>
        </w:rPr>
        <w:t xml:space="preserve">—the </w:t>
      </w:r>
      <w:r>
        <w:rPr>
          <w:rFonts w:ascii="Times New Roman" w:hAnsi="Times New Roman"/>
          <w:sz w:val="24"/>
          <w:szCs w:val="24"/>
        </w:rPr>
        <w:t>hospital or community provider compiles a detailed analysis explaining why a fully integrated living arrangement is not feasible.  These analyses are then reviewed by DSAMH and by the Monitor, sometimes culminating in a time-limited approval for an alternative setting while physical healthcare issues stabilize.  This system is working well.</w:t>
      </w:r>
    </w:p>
    <w:p w:rsidR="00074FC8" w:rsidRPr="00EF53D5" w:rsidRDefault="00074FC8" w:rsidP="00EF53D5">
      <w:pPr>
        <w:spacing w:after="120"/>
        <w:ind w:left="720"/>
        <w:rPr>
          <w:rFonts w:ascii="Times New Roman" w:hAnsi="Times New Roman"/>
          <w:sz w:val="24"/>
          <w:szCs w:val="24"/>
        </w:rPr>
      </w:pPr>
    </w:p>
    <w:p w:rsidR="00E165E1" w:rsidRDefault="00E7572D" w:rsidP="008F69E8">
      <w:pPr>
        <w:pStyle w:val="ListParagraph"/>
        <w:spacing w:after="120"/>
        <w:contextualSpacing w:val="0"/>
        <w:rPr>
          <w:rFonts w:ascii="Times New Roman" w:hAnsi="Times New Roman"/>
          <w:b/>
          <w:sz w:val="24"/>
          <w:szCs w:val="24"/>
        </w:rPr>
      </w:pPr>
      <w:r>
        <w:rPr>
          <w:rFonts w:ascii="Times New Roman" w:hAnsi="Times New Roman"/>
          <w:b/>
          <w:sz w:val="24"/>
          <w:szCs w:val="24"/>
          <w:u w:val="single"/>
        </w:rPr>
        <w:t>IV</w:t>
      </w:r>
      <w:proofErr w:type="gramStart"/>
      <w:r>
        <w:rPr>
          <w:rFonts w:ascii="Times New Roman" w:hAnsi="Times New Roman"/>
          <w:b/>
          <w:sz w:val="24"/>
          <w:szCs w:val="24"/>
          <w:u w:val="single"/>
        </w:rPr>
        <w:t>.  Summary</w:t>
      </w:r>
      <w:proofErr w:type="gramEnd"/>
    </w:p>
    <w:p w:rsidR="00722721" w:rsidRDefault="00722721" w:rsidP="008F69E8">
      <w:pPr>
        <w:pStyle w:val="ListParagraph"/>
        <w:spacing w:after="120"/>
        <w:contextualSpacing w:val="0"/>
        <w:rPr>
          <w:rFonts w:ascii="Times New Roman" w:hAnsi="Times New Roman"/>
          <w:sz w:val="24"/>
          <w:szCs w:val="24"/>
        </w:rPr>
      </w:pPr>
      <w:r>
        <w:rPr>
          <w:rFonts w:ascii="Times New Roman" w:hAnsi="Times New Roman"/>
          <w:sz w:val="24"/>
          <w:szCs w:val="24"/>
        </w:rPr>
        <w:t>Delaware continues to make significant progress toward fulfillment of its obligations under the Agreement.  As is delineated above, it has met or surpassed the benchmarks contained in the Agreement for each of the measures that have come due.  The State continues to move forward on measures to address the structural issues—data, involvement of the court system, and care management—that are necessary for it to sustain its accomplishments through the duration of the Agreement and beyond.  The leadership in the State, at DH</w:t>
      </w:r>
      <w:r w:rsidR="00014459">
        <w:rPr>
          <w:rFonts w:ascii="Times New Roman" w:hAnsi="Times New Roman"/>
          <w:sz w:val="24"/>
          <w:szCs w:val="24"/>
        </w:rPr>
        <w:t>S</w:t>
      </w:r>
      <w:r>
        <w:rPr>
          <w:rFonts w:ascii="Times New Roman" w:hAnsi="Times New Roman"/>
          <w:sz w:val="24"/>
          <w:szCs w:val="24"/>
        </w:rPr>
        <w:t xml:space="preserve">S, and DSAMH </w:t>
      </w:r>
      <w:r w:rsidR="00322C6C">
        <w:rPr>
          <w:rFonts w:ascii="Times New Roman" w:hAnsi="Times New Roman"/>
          <w:sz w:val="24"/>
          <w:szCs w:val="24"/>
        </w:rPr>
        <w:t>merit praise for their efforts to advance the opportunities for Delawareans with SPMI and other disabilities.</w:t>
      </w:r>
      <w:r w:rsidR="00C86A45">
        <w:rPr>
          <w:rFonts w:ascii="Times New Roman" w:hAnsi="Times New Roman"/>
          <w:sz w:val="24"/>
          <w:szCs w:val="24"/>
        </w:rPr>
        <w:br/>
      </w:r>
    </w:p>
    <w:p w:rsidR="00C86A45" w:rsidRDefault="00C86A45" w:rsidP="008F69E8">
      <w:pPr>
        <w:pStyle w:val="ListParagraph"/>
        <w:spacing w:after="120"/>
        <w:contextualSpacing w:val="0"/>
        <w:rPr>
          <w:rFonts w:ascii="Times New Roman" w:hAnsi="Times New Roman"/>
          <w:sz w:val="24"/>
          <w:szCs w:val="24"/>
        </w:rPr>
      </w:pPr>
    </w:p>
    <w:p w:rsidR="00C86A45" w:rsidRDefault="00C86A45" w:rsidP="00AE0C31">
      <w:pPr>
        <w:pStyle w:val="ListParagraph"/>
        <w:spacing w:after="0"/>
        <w:contextualSpacing w:val="0"/>
        <w:rPr>
          <w:rFonts w:ascii="Times New Roman" w:hAnsi="Times New Roman"/>
          <w:sz w:val="24"/>
          <w:szCs w:val="24"/>
        </w:rPr>
      </w:pPr>
      <w:r>
        <w:rPr>
          <w:rFonts w:ascii="Times New Roman" w:hAnsi="Times New Roman"/>
          <w:sz w:val="24"/>
          <w:szCs w:val="24"/>
        </w:rPr>
        <w:t>Robert Bernstein, Ph.D.</w:t>
      </w:r>
    </w:p>
    <w:p w:rsidR="00C86A45" w:rsidRPr="00722721" w:rsidRDefault="00C86A45" w:rsidP="00AE0C31">
      <w:pPr>
        <w:pStyle w:val="ListParagraph"/>
        <w:spacing w:after="0"/>
        <w:contextualSpacing w:val="0"/>
        <w:rPr>
          <w:rFonts w:ascii="Times New Roman" w:hAnsi="Times New Roman"/>
          <w:sz w:val="24"/>
          <w:szCs w:val="24"/>
        </w:rPr>
      </w:pPr>
      <w:r>
        <w:rPr>
          <w:rFonts w:ascii="Times New Roman" w:hAnsi="Times New Roman"/>
          <w:sz w:val="24"/>
          <w:szCs w:val="24"/>
        </w:rPr>
        <w:t>Court Monitor</w:t>
      </w:r>
    </w:p>
    <w:sectPr w:rsidR="00C86A45" w:rsidRPr="00722721" w:rsidSect="0029000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35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25" w:rsidRDefault="00DD5725" w:rsidP="005711D9">
      <w:pPr>
        <w:spacing w:after="0" w:line="240" w:lineRule="auto"/>
      </w:pPr>
      <w:r>
        <w:separator/>
      </w:r>
    </w:p>
  </w:endnote>
  <w:endnote w:type="continuationSeparator" w:id="0">
    <w:p w:rsidR="00DD5725" w:rsidRDefault="00DD5725" w:rsidP="0057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2" w:rsidRDefault="00305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57209"/>
      <w:docPartObj>
        <w:docPartGallery w:val="Page Numbers (Bottom of Page)"/>
        <w:docPartUnique/>
      </w:docPartObj>
    </w:sdtPr>
    <w:sdtContent>
      <w:p w:rsidR="0040508B" w:rsidRDefault="00D75324">
        <w:pPr>
          <w:pStyle w:val="Footer"/>
          <w:jc w:val="center"/>
        </w:pPr>
        <w:r>
          <w:fldChar w:fldCharType="begin"/>
        </w:r>
        <w:r w:rsidR="004A74E6">
          <w:instrText xml:space="preserve"> PAGE   \* MERGEFORMAT </w:instrText>
        </w:r>
        <w:r>
          <w:fldChar w:fldCharType="separate"/>
        </w:r>
        <w:r w:rsidR="00305C72">
          <w:rPr>
            <w:noProof/>
          </w:rPr>
          <w:t>1</w:t>
        </w:r>
        <w:r>
          <w:rPr>
            <w:noProof/>
          </w:rPr>
          <w:fldChar w:fldCharType="end"/>
        </w:r>
      </w:p>
    </w:sdtContent>
  </w:sdt>
  <w:p w:rsidR="0040508B" w:rsidRDefault="00405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2" w:rsidRDefault="0030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25" w:rsidRDefault="00DD5725" w:rsidP="005711D9">
      <w:pPr>
        <w:spacing w:after="0" w:line="240" w:lineRule="auto"/>
      </w:pPr>
      <w:r>
        <w:separator/>
      </w:r>
    </w:p>
  </w:footnote>
  <w:footnote w:type="continuationSeparator" w:id="0">
    <w:p w:rsidR="00DD5725" w:rsidRDefault="00DD5725" w:rsidP="005711D9">
      <w:pPr>
        <w:spacing w:after="0" w:line="240" w:lineRule="auto"/>
      </w:pPr>
      <w:r>
        <w:continuationSeparator/>
      </w:r>
    </w:p>
  </w:footnote>
  <w:footnote w:id="1">
    <w:p w:rsidR="0040508B" w:rsidRDefault="0040508B">
      <w:pPr>
        <w:pStyle w:val="FootnoteText"/>
      </w:pPr>
      <w:r>
        <w:rPr>
          <w:rStyle w:val="FootnoteReference"/>
        </w:rPr>
        <w:footnoteRef/>
      </w:r>
      <w:r>
        <w:t xml:space="preserve"> The median is the number of days of continuous inpatient care received by half of this group.  The divergence of the mean (i.e., the average) days of care and the median days of care reflects the inclusion of some individuals who had extremely long durations of hospitalization. </w:t>
      </w:r>
    </w:p>
  </w:footnote>
  <w:footnote w:id="2">
    <w:p w:rsidR="0040508B" w:rsidRDefault="0040508B">
      <w:pPr>
        <w:pStyle w:val="FootnoteText"/>
      </w:pPr>
      <w:r>
        <w:rPr>
          <w:rStyle w:val="FootnoteReference"/>
        </w:rPr>
        <w:footnoteRef/>
      </w:r>
      <w:r>
        <w:t xml:space="preserve"> </w:t>
      </w:r>
      <w:proofErr w:type="gramStart"/>
      <w:r w:rsidRPr="00C73640">
        <w:rPr>
          <w:color w:val="333333"/>
        </w:rPr>
        <w:t>American Psychiatric Association.</w:t>
      </w:r>
      <w:proofErr w:type="gramEnd"/>
      <w:r w:rsidRPr="00C73640">
        <w:rPr>
          <w:color w:val="333333"/>
        </w:rPr>
        <w:t xml:space="preserve"> </w:t>
      </w:r>
      <w:proofErr w:type="gramStart"/>
      <w:r w:rsidRPr="00C73640">
        <w:rPr>
          <w:color w:val="333333"/>
        </w:rPr>
        <w:t xml:space="preserve">(2000). </w:t>
      </w:r>
      <w:r w:rsidRPr="00C73640">
        <w:rPr>
          <w:rStyle w:val="Emphasis"/>
          <w:color w:val="333333"/>
        </w:rPr>
        <w:t>Diagnostic and statistical manual of mental disorders</w:t>
      </w:r>
      <w:r w:rsidRPr="00C73640">
        <w:rPr>
          <w:color w:val="333333"/>
        </w:rPr>
        <w:t xml:space="preserve"> (4th ed., text rev.)</w:t>
      </w:r>
      <w:proofErr w:type="gramEnd"/>
      <w:r>
        <w:rPr>
          <w:color w:val="333333"/>
        </w:rPr>
        <w:t xml:space="preserve"> (p.34)</w:t>
      </w:r>
      <w:r w:rsidRPr="00C73640">
        <w:rPr>
          <w:color w:val="333333"/>
        </w:rPr>
        <w:t>. Washington, DC: Author.</w:t>
      </w:r>
      <w:r>
        <w:rPr>
          <w:color w:val="333333"/>
        </w:rPr>
        <w:t xml:space="preserve"> </w:t>
      </w:r>
    </w:p>
  </w:footnote>
  <w:footnote w:id="3">
    <w:p w:rsidR="0040508B" w:rsidRDefault="0040508B">
      <w:pPr>
        <w:pStyle w:val="FootnoteText"/>
      </w:pPr>
      <w:r>
        <w:rPr>
          <w:rStyle w:val="FootnoteReference"/>
        </w:rPr>
        <w:footnoteRef/>
      </w:r>
      <w:r>
        <w:t xml:space="preserve"> In a one-tail t-Test, t=-0.926, P=0.178, ns.</w:t>
      </w:r>
    </w:p>
  </w:footnote>
  <w:footnote w:id="4">
    <w:p w:rsidR="0040508B" w:rsidRDefault="0040508B" w:rsidP="00795EDD">
      <w:pPr>
        <w:pStyle w:val="FootnoteText"/>
      </w:pPr>
      <w:r>
        <w:rPr>
          <w:rStyle w:val="FootnoteReference"/>
        </w:rPr>
        <w:footnoteRef/>
      </w:r>
      <w:r>
        <w:t xml:space="preserve"> Readmission rates are calculated as a percentage of the 105 individuals who were discharged </w:t>
      </w:r>
      <w:r w:rsidR="001735FE">
        <w:t>from</w:t>
      </w:r>
      <w:r>
        <w:t xml:space="preserve"> DPC in fiscal year 2013 following 60+ days of hospital care</w:t>
      </w:r>
      <w:r w:rsidR="001735FE">
        <w:t xml:space="preserve"> and who were re</w:t>
      </w:r>
      <w:r w:rsidR="00965BFF">
        <w:t>-</w:t>
      </w:r>
      <w:r w:rsidR="001735FE">
        <w:t>hospitalized for psychiatric care</w:t>
      </w:r>
      <w:r>
        <w:t>.</w:t>
      </w:r>
    </w:p>
  </w:footnote>
  <w:footnote w:id="5">
    <w:p w:rsidR="0040508B" w:rsidRDefault="0040508B">
      <w:pPr>
        <w:pStyle w:val="FootnoteText"/>
      </w:pPr>
      <w:r>
        <w:rPr>
          <w:rStyle w:val="FootnoteReference"/>
        </w:rPr>
        <w:footnoteRef/>
      </w:r>
      <w:r>
        <w:t xml:space="preserve"> </w:t>
      </w:r>
      <w:proofErr w:type="gramStart"/>
      <w:r>
        <w:t>U.S. Department of Health and Human Services, Substance Abuse and Mental Health Services Administration, National Outcomes Measures, 2011.</w:t>
      </w:r>
      <w:proofErr w:type="gramEnd"/>
    </w:p>
  </w:footnote>
  <w:footnote w:id="6">
    <w:p w:rsidR="0040508B" w:rsidRDefault="0040508B">
      <w:pPr>
        <w:pStyle w:val="FootnoteText"/>
      </w:pPr>
      <w:r>
        <w:rPr>
          <w:rStyle w:val="FootnoteReference"/>
        </w:rPr>
        <w:footnoteRef/>
      </w:r>
      <w:r>
        <w:t xml:space="preserve"> For example, in some states outpatient commitment is regarded as a means of jumping the queue and reducing time on a waiting list of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2" w:rsidRDefault="00305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2" w:rsidRDefault="00305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2" w:rsidRDefault="00305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322"/>
    <w:multiLevelType w:val="hybridMultilevel"/>
    <w:tmpl w:val="6C882F56"/>
    <w:lvl w:ilvl="0" w:tplc="49547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B544D"/>
    <w:multiLevelType w:val="hybridMultilevel"/>
    <w:tmpl w:val="8214B0FA"/>
    <w:lvl w:ilvl="0" w:tplc="FAA2BD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1502A"/>
    <w:multiLevelType w:val="hybridMultilevel"/>
    <w:tmpl w:val="03FC33F6"/>
    <w:lvl w:ilvl="0" w:tplc="1072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DF02CA"/>
    <w:multiLevelType w:val="hybridMultilevel"/>
    <w:tmpl w:val="71E2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75D4D"/>
    <w:multiLevelType w:val="hybridMultilevel"/>
    <w:tmpl w:val="54025E32"/>
    <w:lvl w:ilvl="0" w:tplc="118CA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D5698"/>
    <w:multiLevelType w:val="hybridMultilevel"/>
    <w:tmpl w:val="97B21CA0"/>
    <w:lvl w:ilvl="0" w:tplc="0409000F">
      <w:start w:val="1"/>
      <w:numFmt w:val="decimal"/>
      <w:lvlText w:val="%1."/>
      <w:lvlJc w:val="left"/>
      <w:pPr>
        <w:ind w:left="31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B136F4"/>
    <w:multiLevelType w:val="hybridMultilevel"/>
    <w:tmpl w:val="6EB8113C"/>
    <w:lvl w:ilvl="0" w:tplc="37A8B5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C823E3"/>
    <w:multiLevelType w:val="hybridMultilevel"/>
    <w:tmpl w:val="CE344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7B3A37"/>
    <w:multiLevelType w:val="hybridMultilevel"/>
    <w:tmpl w:val="245AF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0232C9"/>
    <w:multiLevelType w:val="hybridMultilevel"/>
    <w:tmpl w:val="ECF6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C5935"/>
    <w:multiLevelType w:val="hybridMultilevel"/>
    <w:tmpl w:val="7A48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826EA8"/>
    <w:multiLevelType w:val="hybridMultilevel"/>
    <w:tmpl w:val="1C6A4F16"/>
    <w:lvl w:ilvl="0" w:tplc="56927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9C54180"/>
    <w:multiLevelType w:val="hybridMultilevel"/>
    <w:tmpl w:val="3588F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
  </w:num>
  <w:num w:numId="5">
    <w:abstractNumId w:val="2"/>
  </w:num>
  <w:num w:numId="6">
    <w:abstractNumId w:val="3"/>
  </w:num>
  <w:num w:numId="7">
    <w:abstractNumId w:val="9"/>
  </w:num>
  <w:num w:numId="8">
    <w:abstractNumId w:val="6"/>
  </w:num>
  <w:num w:numId="9">
    <w:abstractNumId w:val="0"/>
  </w:num>
  <w:num w:numId="10">
    <w:abstractNumId w:val="5"/>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F6FE5"/>
    <w:rsid w:val="00000D74"/>
    <w:rsid w:val="00007891"/>
    <w:rsid w:val="00014459"/>
    <w:rsid w:val="00026ECE"/>
    <w:rsid w:val="00033062"/>
    <w:rsid w:val="00041EB7"/>
    <w:rsid w:val="00041F24"/>
    <w:rsid w:val="000433F8"/>
    <w:rsid w:val="00045E84"/>
    <w:rsid w:val="00047081"/>
    <w:rsid w:val="00054945"/>
    <w:rsid w:val="000558E1"/>
    <w:rsid w:val="00060C40"/>
    <w:rsid w:val="000668C2"/>
    <w:rsid w:val="000710CE"/>
    <w:rsid w:val="00074FC8"/>
    <w:rsid w:val="000763AD"/>
    <w:rsid w:val="00086699"/>
    <w:rsid w:val="00090126"/>
    <w:rsid w:val="00091557"/>
    <w:rsid w:val="000939F8"/>
    <w:rsid w:val="00096228"/>
    <w:rsid w:val="000B29C8"/>
    <w:rsid w:val="000B2E9F"/>
    <w:rsid w:val="000B7774"/>
    <w:rsid w:val="000D395C"/>
    <w:rsid w:val="000D475B"/>
    <w:rsid w:val="000D64A1"/>
    <w:rsid w:val="000E2E85"/>
    <w:rsid w:val="000F1950"/>
    <w:rsid w:val="001013C2"/>
    <w:rsid w:val="00103A4E"/>
    <w:rsid w:val="00107CB2"/>
    <w:rsid w:val="00111809"/>
    <w:rsid w:val="0011322B"/>
    <w:rsid w:val="001136D3"/>
    <w:rsid w:val="00115C59"/>
    <w:rsid w:val="00116A69"/>
    <w:rsid w:val="001170F8"/>
    <w:rsid w:val="001274CE"/>
    <w:rsid w:val="001315B7"/>
    <w:rsid w:val="00131951"/>
    <w:rsid w:val="00143968"/>
    <w:rsid w:val="00152367"/>
    <w:rsid w:val="00153425"/>
    <w:rsid w:val="001558C8"/>
    <w:rsid w:val="0015786B"/>
    <w:rsid w:val="00171313"/>
    <w:rsid w:val="001735FE"/>
    <w:rsid w:val="0017543A"/>
    <w:rsid w:val="00184449"/>
    <w:rsid w:val="0019183F"/>
    <w:rsid w:val="001973DA"/>
    <w:rsid w:val="001D6707"/>
    <w:rsid w:val="001D6CC7"/>
    <w:rsid w:val="001E1882"/>
    <w:rsid w:val="001E4896"/>
    <w:rsid w:val="00200C51"/>
    <w:rsid w:val="00201985"/>
    <w:rsid w:val="00206DDB"/>
    <w:rsid w:val="00207513"/>
    <w:rsid w:val="00231978"/>
    <w:rsid w:val="00236B20"/>
    <w:rsid w:val="00242290"/>
    <w:rsid w:val="00245DF8"/>
    <w:rsid w:val="00251C89"/>
    <w:rsid w:val="002554C1"/>
    <w:rsid w:val="00257C5C"/>
    <w:rsid w:val="002602C9"/>
    <w:rsid w:val="00263DA0"/>
    <w:rsid w:val="0026432A"/>
    <w:rsid w:val="00265A05"/>
    <w:rsid w:val="00267E1B"/>
    <w:rsid w:val="002709F5"/>
    <w:rsid w:val="0027457A"/>
    <w:rsid w:val="00275CE9"/>
    <w:rsid w:val="002811A2"/>
    <w:rsid w:val="00281474"/>
    <w:rsid w:val="0029000C"/>
    <w:rsid w:val="00292D2C"/>
    <w:rsid w:val="002940CB"/>
    <w:rsid w:val="002A382E"/>
    <w:rsid w:val="002B2A9A"/>
    <w:rsid w:val="002B68E4"/>
    <w:rsid w:val="002B7B86"/>
    <w:rsid w:val="002C0870"/>
    <w:rsid w:val="002C43D4"/>
    <w:rsid w:val="002C5083"/>
    <w:rsid w:val="002C721F"/>
    <w:rsid w:val="002D0ED0"/>
    <w:rsid w:val="002D1E34"/>
    <w:rsid w:val="002D2443"/>
    <w:rsid w:val="002E799B"/>
    <w:rsid w:val="002F428C"/>
    <w:rsid w:val="002F7512"/>
    <w:rsid w:val="00300B3C"/>
    <w:rsid w:val="003024A5"/>
    <w:rsid w:val="003046A9"/>
    <w:rsid w:val="00305C72"/>
    <w:rsid w:val="00322C6C"/>
    <w:rsid w:val="00322CCD"/>
    <w:rsid w:val="00326015"/>
    <w:rsid w:val="00330C09"/>
    <w:rsid w:val="00332ECC"/>
    <w:rsid w:val="00344396"/>
    <w:rsid w:val="003450D4"/>
    <w:rsid w:val="00347F34"/>
    <w:rsid w:val="00353ED0"/>
    <w:rsid w:val="00355AA2"/>
    <w:rsid w:val="00361A68"/>
    <w:rsid w:val="00364490"/>
    <w:rsid w:val="00365D96"/>
    <w:rsid w:val="00372390"/>
    <w:rsid w:val="00375E03"/>
    <w:rsid w:val="00376468"/>
    <w:rsid w:val="0037778E"/>
    <w:rsid w:val="003963B0"/>
    <w:rsid w:val="003B3445"/>
    <w:rsid w:val="003D3473"/>
    <w:rsid w:val="003E18A2"/>
    <w:rsid w:val="003E2560"/>
    <w:rsid w:val="003E4922"/>
    <w:rsid w:val="003F26E6"/>
    <w:rsid w:val="003F403C"/>
    <w:rsid w:val="003F6FE5"/>
    <w:rsid w:val="003F748B"/>
    <w:rsid w:val="00401173"/>
    <w:rsid w:val="00402C96"/>
    <w:rsid w:val="0040508B"/>
    <w:rsid w:val="00405617"/>
    <w:rsid w:val="0041080B"/>
    <w:rsid w:val="00410FA3"/>
    <w:rsid w:val="00414F9B"/>
    <w:rsid w:val="00423879"/>
    <w:rsid w:val="004325D0"/>
    <w:rsid w:val="00436983"/>
    <w:rsid w:val="0044060A"/>
    <w:rsid w:val="00440843"/>
    <w:rsid w:val="00450AE0"/>
    <w:rsid w:val="00454437"/>
    <w:rsid w:val="00455644"/>
    <w:rsid w:val="00456770"/>
    <w:rsid w:val="00456B7B"/>
    <w:rsid w:val="00457EA3"/>
    <w:rsid w:val="004609A4"/>
    <w:rsid w:val="004618AD"/>
    <w:rsid w:val="00461B67"/>
    <w:rsid w:val="00464242"/>
    <w:rsid w:val="004724F6"/>
    <w:rsid w:val="00476BB8"/>
    <w:rsid w:val="0048363A"/>
    <w:rsid w:val="00484B76"/>
    <w:rsid w:val="00492764"/>
    <w:rsid w:val="004967CE"/>
    <w:rsid w:val="004A539C"/>
    <w:rsid w:val="004A74E6"/>
    <w:rsid w:val="004A79BF"/>
    <w:rsid w:val="004B2BF0"/>
    <w:rsid w:val="004B4630"/>
    <w:rsid w:val="004C1344"/>
    <w:rsid w:val="004D14FE"/>
    <w:rsid w:val="004E3710"/>
    <w:rsid w:val="004E5212"/>
    <w:rsid w:val="004E7857"/>
    <w:rsid w:val="004E7A58"/>
    <w:rsid w:val="004F5BD4"/>
    <w:rsid w:val="00501753"/>
    <w:rsid w:val="00512E66"/>
    <w:rsid w:val="005162D4"/>
    <w:rsid w:val="005173BB"/>
    <w:rsid w:val="005260B8"/>
    <w:rsid w:val="00531B24"/>
    <w:rsid w:val="00533585"/>
    <w:rsid w:val="00535539"/>
    <w:rsid w:val="00542EAA"/>
    <w:rsid w:val="005469ED"/>
    <w:rsid w:val="00551BAB"/>
    <w:rsid w:val="00553307"/>
    <w:rsid w:val="005552E4"/>
    <w:rsid w:val="00556522"/>
    <w:rsid w:val="00556ADB"/>
    <w:rsid w:val="00557DFC"/>
    <w:rsid w:val="00570B4B"/>
    <w:rsid w:val="005711D9"/>
    <w:rsid w:val="00574C9B"/>
    <w:rsid w:val="00577E73"/>
    <w:rsid w:val="005820C0"/>
    <w:rsid w:val="00582FF9"/>
    <w:rsid w:val="00583435"/>
    <w:rsid w:val="00584CD2"/>
    <w:rsid w:val="00590A6A"/>
    <w:rsid w:val="0059479B"/>
    <w:rsid w:val="00596C07"/>
    <w:rsid w:val="00597E62"/>
    <w:rsid w:val="005B3F85"/>
    <w:rsid w:val="005B645C"/>
    <w:rsid w:val="005C0AC7"/>
    <w:rsid w:val="005C16C3"/>
    <w:rsid w:val="005C40A0"/>
    <w:rsid w:val="005D2311"/>
    <w:rsid w:val="005D436C"/>
    <w:rsid w:val="005E15C9"/>
    <w:rsid w:val="005E7B95"/>
    <w:rsid w:val="005F0558"/>
    <w:rsid w:val="005F49CC"/>
    <w:rsid w:val="005F4DF4"/>
    <w:rsid w:val="005F7E7C"/>
    <w:rsid w:val="00602E17"/>
    <w:rsid w:val="006079A9"/>
    <w:rsid w:val="00627321"/>
    <w:rsid w:val="00627A14"/>
    <w:rsid w:val="006364CF"/>
    <w:rsid w:val="00661382"/>
    <w:rsid w:val="00663C82"/>
    <w:rsid w:val="006703EE"/>
    <w:rsid w:val="0067749A"/>
    <w:rsid w:val="00677EC0"/>
    <w:rsid w:val="00680782"/>
    <w:rsid w:val="0069160E"/>
    <w:rsid w:val="00694754"/>
    <w:rsid w:val="00697EF3"/>
    <w:rsid w:val="006A5BDA"/>
    <w:rsid w:val="006A6E5D"/>
    <w:rsid w:val="006A6EB0"/>
    <w:rsid w:val="006B0435"/>
    <w:rsid w:val="006B6A57"/>
    <w:rsid w:val="006C2173"/>
    <w:rsid w:val="006D42C1"/>
    <w:rsid w:val="006D6BB3"/>
    <w:rsid w:val="006F30EF"/>
    <w:rsid w:val="00701257"/>
    <w:rsid w:val="00716ADC"/>
    <w:rsid w:val="007202F4"/>
    <w:rsid w:val="00721C3D"/>
    <w:rsid w:val="00722721"/>
    <w:rsid w:val="00722BA4"/>
    <w:rsid w:val="00725AD5"/>
    <w:rsid w:val="00730150"/>
    <w:rsid w:val="007438A1"/>
    <w:rsid w:val="0075060A"/>
    <w:rsid w:val="007533DD"/>
    <w:rsid w:val="00760251"/>
    <w:rsid w:val="007605EB"/>
    <w:rsid w:val="00761E89"/>
    <w:rsid w:val="0076574B"/>
    <w:rsid w:val="00772E5B"/>
    <w:rsid w:val="00777E9A"/>
    <w:rsid w:val="0078031B"/>
    <w:rsid w:val="00782BB3"/>
    <w:rsid w:val="00795268"/>
    <w:rsid w:val="00795EDD"/>
    <w:rsid w:val="007B39B5"/>
    <w:rsid w:val="007B4708"/>
    <w:rsid w:val="007C0894"/>
    <w:rsid w:val="007C0FD8"/>
    <w:rsid w:val="007C1DFD"/>
    <w:rsid w:val="007C5F9E"/>
    <w:rsid w:val="007C6D80"/>
    <w:rsid w:val="007C72BC"/>
    <w:rsid w:val="007D6690"/>
    <w:rsid w:val="007D74F6"/>
    <w:rsid w:val="007E3ACC"/>
    <w:rsid w:val="007E407D"/>
    <w:rsid w:val="007E458F"/>
    <w:rsid w:val="007F3FAC"/>
    <w:rsid w:val="007F5D68"/>
    <w:rsid w:val="007F715C"/>
    <w:rsid w:val="00807845"/>
    <w:rsid w:val="00810439"/>
    <w:rsid w:val="0081638D"/>
    <w:rsid w:val="00816E6D"/>
    <w:rsid w:val="00830CAD"/>
    <w:rsid w:val="00832FF2"/>
    <w:rsid w:val="0084350E"/>
    <w:rsid w:val="0085089A"/>
    <w:rsid w:val="008513F8"/>
    <w:rsid w:val="00860BDF"/>
    <w:rsid w:val="00867036"/>
    <w:rsid w:val="00881C92"/>
    <w:rsid w:val="00883B19"/>
    <w:rsid w:val="00896C06"/>
    <w:rsid w:val="008A1119"/>
    <w:rsid w:val="008A2492"/>
    <w:rsid w:val="008A49A2"/>
    <w:rsid w:val="008B775E"/>
    <w:rsid w:val="008C128A"/>
    <w:rsid w:val="008C1F05"/>
    <w:rsid w:val="008C589F"/>
    <w:rsid w:val="008D34FA"/>
    <w:rsid w:val="008D68B6"/>
    <w:rsid w:val="008E03CB"/>
    <w:rsid w:val="008E4FA6"/>
    <w:rsid w:val="008E7994"/>
    <w:rsid w:val="008F69E8"/>
    <w:rsid w:val="00902E1A"/>
    <w:rsid w:val="00904EB8"/>
    <w:rsid w:val="0090509F"/>
    <w:rsid w:val="0090675B"/>
    <w:rsid w:val="009103AC"/>
    <w:rsid w:val="00910D8B"/>
    <w:rsid w:val="00924450"/>
    <w:rsid w:val="00927C3F"/>
    <w:rsid w:val="0093151D"/>
    <w:rsid w:val="009324BA"/>
    <w:rsid w:val="00932E75"/>
    <w:rsid w:val="00933D1E"/>
    <w:rsid w:val="00935799"/>
    <w:rsid w:val="009374A5"/>
    <w:rsid w:val="00937962"/>
    <w:rsid w:val="00941962"/>
    <w:rsid w:val="0094470D"/>
    <w:rsid w:val="00945BF3"/>
    <w:rsid w:val="00946332"/>
    <w:rsid w:val="009539A8"/>
    <w:rsid w:val="00965BFF"/>
    <w:rsid w:val="00966C44"/>
    <w:rsid w:val="00970E67"/>
    <w:rsid w:val="00975CCE"/>
    <w:rsid w:val="00983CEA"/>
    <w:rsid w:val="00985391"/>
    <w:rsid w:val="00985C04"/>
    <w:rsid w:val="0099773B"/>
    <w:rsid w:val="0099789E"/>
    <w:rsid w:val="009A06D9"/>
    <w:rsid w:val="009A0D31"/>
    <w:rsid w:val="009A1C6B"/>
    <w:rsid w:val="009A23E5"/>
    <w:rsid w:val="009A3948"/>
    <w:rsid w:val="009A6D64"/>
    <w:rsid w:val="009B00FD"/>
    <w:rsid w:val="009C1E6C"/>
    <w:rsid w:val="009C69D3"/>
    <w:rsid w:val="009D3894"/>
    <w:rsid w:val="009D448D"/>
    <w:rsid w:val="009E00AD"/>
    <w:rsid w:val="009E0DE8"/>
    <w:rsid w:val="009E4CB1"/>
    <w:rsid w:val="009E6B7B"/>
    <w:rsid w:val="009F0C2A"/>
    <w:rsid w:val="009F12B2"/>
    <w:rsid w:val="009F4977"/>
    <w:rsid w:val="00A028C5"/>
    <w:rsid w:val="00A072C1"/>
    <w:rsid w:val="00A1192F"/>
    <w:rsid w:val="00A1394B"/>
    <w:rsid w:val="00A20673"/>
    <w:rsid w:val="00A315A5"/>
    <w:rsid w:val="00A340B1"/>
    <w:rsid w:val="00A34182"/>
    <w:rsid w:val="00A343AA"/>
    <w:rsid w:val="00A34922"/>
    <w:rsid w:val="00A35867"/>
    <w:rsid w:val="00A422E1"/>
    <w:rsid w:val="00A456EF"/>
    <w:rsid w:val="00A473A7"/>
    <w:rsid w:val="00A47FBC"/>
    <w:rsid w:val="00A61997"/>
    <w:rsid w:val="00A70510"/>
    <w:rsid w:val="00A72AC6"/>
    <w:rsid w:val="00A72DAF"/>
    <w:rsid w:val="00A84E82"/>
    <w:rsid w:val="00AB09DF"/>
    <w:rsid w:val="00AB2A0E"/>
    <w:rsid w:val="00AC23D0"/>
    <w:rsid w:val="00AC25A1"/>
    <w:rsid w:val="00AC573F"/>
    <w:rsid w:val="00AC6BD1"/>
    <w:rsid w:val="00AD07DC"/>
    <w:rsid w:val="00AD154F"/>
    <w:rsid w:val="00AD181D"/>
    <w:rsid w:val="00AD5DDD"/>
    <w:rsid w:val="00AE0C31"/>
    <w:rsid w:val="00AE1B1B"/>
    <w:rsid w:val="00AE6FDC"/>
    <w:rsid w:val="00AF4D70"/>
    <w:rsid w:val="00AF71B5"/>
    <w:rsid w:val="00B06677"/>
    <w:rsid w:val="00B162BF"/>
    <w:rsid w:val="00B21A86"/>
    <w:rsid w:val="00B26099"/>
    <w:rsid w:val="00B321DC"/>
    <w:rsid w:val="00B37A10"/>
    <w:rsid w:val="00B41259"/>
    <w:rsid w:val="00B426A6"/>
    <w:rsid w:val="00B4664B"/>
    <w:rsid w:val="00B475E0"/>
    <w:rsid w:val="00B47DFF"/>
    <w:rsid w:val="00B56DBF"/>
    <w:rsid w:val="00B57EF9"/>
    <w:rsid w:val="00B6343E"/>
    <w:rsid w:val="00B72D35"/>
    <w:rsid w:val="00B77CC4"/>
    <w:rsid w:val="00B84947"/>
    <w:rsid w:val="00B84BCC"/>
    <w:rsid w:val="00B95D5A"/>
    <w:rsid w:val="00BA5986"/>
    <w:rsid w:val="00BA6C30"/>
    <w:rsid w:val="00BA7A2F"/>
    <w:rsid w:val="00BC0888"/>
    <w:rsid w:val="00BD7714"/>
    <w:rsid w:val="00BD7F75"/>
    <w:rsid w:val="00BE0CFB"/>
    <w:rsid w:val="00BE36B1"/>
    <w:rsid w:val="00C04E49"/>
    <w:rsid w:val="00C06438"/>
    <w:rsid w:val="00C13910"/>
    <w:rsid w:val="00C15B26"/>
    <w:rsid w:val="00C243F7"/>
    <w:rsid w:val="00C25142"/>
    <w:rsid w:val="00C2517B"/>
    <w:rsid w:val="00C251AB"/>
    <w:rsid w:val="00C37A04"/>
    <w:rsid w:val="00C4162D"/>
    <w:rsid w:val="00C41C33"/>
    <w:rsid w:val="00C45EF7"/>
    <w:rsid w:val="00C510C7"/>
    <w:rsid w:val="00C51E13"/>
    <w:rsid w:val="00C54EB6"/>
    <w:rsid w:val="00C726B2"/>
    <w:rsid w:val="00C73640"/>
    <w:rsid w:val="00C86A45"/>
    <w:rsid w:val="00C86A72"/>
    <w:rsid w:val="00C91B2D"/>
    <w:rsid w:val="00CA1BB1"/>
    <w:rsid w:val="00CA4C11"/>
    <w:rsid w:val="00CB6EAB"/>
    <w:rsid w:val="00CC43E5"/>
    <w:rsid w:val="00CC6919"/>
    <w:rsid w:val="00CE4C5B"/>
    <w:rsid w:val="00CE4DB6"/>
    <w:rsid w:val="00CE76E5"/>
    <w:rsid w:val="00CF1BE1"/>
    <w:rsid w:val="00D05D63"/>
    <w:rsid w:val="00D13266"/>
    <w:rsid w:val="00D219C7"/>
    <w:rsid w:val="00D24CEA"/>
    <w:rsid w:val="00D26636"/>
    <w:rsid w:val="00D36E26"/>
    <w:rsid w:val="00D4566B"/>
    <w:rsid w:val="00D539C6"/>
    <w:rsid w:val="00D542D7"/>
    <w:rsid w:val="00D54F4A"/>
    <w:rsid w:val="00D559F3"/>
    <w:rsid w:val="00D6359B"/>
    <w:rsid w:val="00D648F5"/>
    <w:rsid w:val="00D70236"/>
    <w:rsid w:val="00D70690"/>
    <w:rsid w:val="00D71D82"/>
    <w:rsid w:val="00D75149"/>
    <w:rsid w:val="00D75324"/>
    <w:rsid w:val="00D81C90"/>
    <w:rsid w:val="00D86F52"/>
    <w:rsid w:val="00D90A62"/>
    <w:rsid w:val="00D94B85"/>
    <w:rsid w:val="00DB4447"/>
    <w:rsid w:val="00DB4C78"/>
    <w:rsid w:val="00DC662E"/>
    <w:rsid w:val="00DD009B"/>
    <w:rsid w:val="00DD214C"/>
    <w:rsid w:val="00DD5725"/>
    <w:rsid w:val="00DD5E43"/>
    <w:rsid w:val="00DD6614"/>
    <w:rsid w:val="00DE221D"/>
    <w:rsid w:val="00DE48EE"/>
    <w:rsid w:val="00DE6A31"/>
    <w:rsid w:val="00E04A51"/>
    <w:rsid w:val="00E165E1"/>
    <w:rsid w:val="00E3117D"/>
    <w:rsid w:val="00E328F9"/>
    <w:rsid w:val="00E333F6"/>
    <w:rsid w:val="00E361B4"/>
    <w:rsid w:val="00E36413"/>
    <w:rsid w:val="00E44349"/>
    <w:rsid w:val="00E44E03"/>
    <w:rsid w:val="00E45734"/>
    <w:rsid w:val="00E5036B"/>
    <w:rsid w:val="00E50B6C"/>
    <w:rsid w:val="00E50CD2"/>
    <w:rsid w:val="00E53F60"/>
    <w:rsid w:val="00E72C40"/>
    <w:rsid w:val="00E73F6C"/>
    <w:rsid w:val="00E7492C"/>
    <w:rsid w:val="00E7572D"/>
    <w:rsid w:val="00E8451F"/>
    <w:rsid w:val="00E86AC4"/>
    <w:rsid w:val="00E9433D"/>
    <w:rsid w:val="00E952A9"/>
    <w:rsid w:val="00E966DA"/>
    <w:rsid w:val="00EA003D"/>
    <w:rsid w:val="00EA2A96"/>
    <w:rsid w:val="00EA3845"/>
    <w:rsid w:val="00EB6405"/>
    <w:rsid w:val="00EB69B8"/>
    <w:rsid w:val="00EC0194"/>
    <w:rsid w:val="00EC658D"/>
    <w:rsid w:val="00ED12A4"/>
    <w:rsid w:val="00ED6388"/>
    <w:rsid w:val="00EE2684"/>
    <w:rsid w:val="00EE5979"/>
    <w:rsid w:val="00EF53D5"/>
    <w:rsid w:val="00F049DB"/>
    <w:rsid w:val="00F101B7"/>
    <w:rsid w:val="00F10301"/>
    <w:rsid w:val="00F12472"/>
    <w:rsid w:val="00F13671"/>
    <w:rsid w:val="00F17505"/>
    <w:rsid w:val="00F230DE"/>
    <w:rsid w:val="00F277C7"/>
    <w:rsid w:val="00F3212B"/>
    <w:rsid w:val="00F37BDC"/>
    <w:rsid w:val="00F7172E"/>
    <w:rsid w:val="00F72B4F"/>
    <w:rsid w:val="00F82272"/>
    <w:rsid w:val="00F823F6"/>
    <w:rsid w:val="00F848FC"/>
    <w:rsid w:val="00F84B0A"/>
    <w:rsid w:val="00F8646B"/>
    <w:rsid w:val="00F91EF7"/>
    <w:rsid w:val="00F9490C"/>
    <w:rsid w:val="00F96F2A"/>
    <w:rsid w:val="00FA08C8"/>
    <w:rsid w:val="00FA6B46"/>
    <w:rsid w:val="00FA767B"/>
    <w:rsid w:val="00FA7969"/>
    <w:rsid w:val="00FB1386"/>
    <w:rsid w:val="00FC4265"/>
    <w:rsid w:val="00FD1595"/>
    <w:rsid w:val="00FD32B0"/>
    <w:rsid w:val="00FD4045"/>
    <w:rsid w:val="00FE3867"/>
    <w:rsid w:val="00FF195A"/>
    <w:rsid w:val="00FF4928"/>
    <w:rsid w:val="00FF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E5"/>
    <w:pPr>
      <w:ind w:left="720"/>
      <w:contextualSpacing/>
    </w:pPr>
  </w:style>
  <w:style w:type="paragraph" w:styleId="Header">
    <w:name w:val="header"/>
    <w:basedOn w:val="Normal"/>
    <w:link w:val="HeaderChar"/>
    <w:uiPriority w:val="99"/>
    <w:semiHidden/>
    <w:unhideWhenUsed/>
    <w:rsid w:val="00571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1D9"/>
  </w:style>
  <w:style w:type="paragraph" w:styleId="Footer">
    <w:name w:val="footer"/>
    <w:basedOn w:val="Normal"/>
    <w:link w:val="FooterChar"/>
    <w:uiPriority w:val="99"/>
    <w:unhideWhenUsed/>
    <w:rsid w:val="0057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D9"/>
  </w:style>
  <w:style w:type="paragraph" w:styleId="FootnoteText">
    <w:name w:val="footnote text"/>
    <w:basedOn w:val="Normal"/>
    <w:link w:val="FootnoteTextChar"/>
    <w:uiPriority w:val="99"/>
    <w:semiHidden/>
    <w:unhideWhenUsed/>
    <w:rsid w:val="005F4DF4"/>
    <w:rPr>
      <w:sz w:val="20"/>
      <w:szCs w:val="20"/>
    </w:rPr>
  </w:style>
  <w:style w:type="character" w:customStyle="1" w:styleId="FootnoteTextChar">
    <w:name w:val="Footnote Text Char"/>
    <w:basedOn w:val="DefaultParagraphFont"/>
    <w:link w:val="FootnoteText"/>
    <w:uiPriority w:val="99"/>
    <w:semiHidden/>
    <w:rsid w:val="005F4DF4"/>
  </w:style>
  <w:style w:type="character" w:styleId="FootnoteReference">
    <w:name w:val="footnote reference"/>
    <w:basedOn w:val="DefaultParagraphFont"/>
    <w:uiPriority w:val="99"/>
    <w:semiHidden/>
    <w:unhideWhenUsed/>
    <w:rsid w:val="005F4DF4"/>
    <w:rPr>
      <w:vertAlign w:val="superscript"/>
    </w:rPr>
  </w:style>
  <w:style w:type="character" w:styleId="Emphasis">
    <w:name w:val="Emphasis"/>
    <w:basedOn w:val="DefaultParagraphFont"/>
    <w:uiPriority w:val="20"/>
    <w:qFormat/>
    <w:rsid w:val="00C73640"/>
    <w:rPr>
      <w:i/>
      <w:iCs/>
    </w:rPr>
  </w:style>
  <w:style w:type="paragraph" w:styleId="BalloonText">
    <w:name w:val="Balloon Text"/>
    <w:basedOn w:val="Normal"/>
    <w:link w:val="BalloonTextChar"/>
    <w:uiPriority w:val="99"/>
    <w:semiHidden/>
    <w:unhideWhenUsed/>
    <w:rsid w:val="009C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6C"/>
    <w:rPr>
      <w:rFonts w:ascii="Tahoma" w:hAnsi="Tahoma" w:cs="Tahoma"/>
      <w:sz w:val="16"/>
      <w:szCs w:val="16"/>
    </w:rPr>
  </w:style>
  <w:style w:type="character" w:styleId="LineNumber">
    <w:name w:val="line number"/>
    <w:basedOn w:val="DefaultParagraphFont"/>
    <w:uiPriority w:val="99"/>
    <w:semiHidden/>
    <w:unhideWhenUsed/>
    <w:rsid w:val="00910D8B"/>
  </w:style>
  <w:style w:type="character" w:styleId="Hyperlink">
    <w:name w:val="Hyperlink"/>
    <w:basedOn w:val="DefaultParagraphFont"/>
    <w:uiPriority w:val="99"/>
    <w:semiHidden/>
    <w:unhideWhenUsed/>
    <w:rsid w:val="00937962"/>
    <w:rPr>
      <w:color w:val="0000FF"/>
      <w:u w:val="single"/>
    </w:rPr>
  </w:style>
  <w:style w:type="paragraph" w:styleId="DocumentMap">
    <w:name w:val="Document Map"/>
    <w:basedOn w:val="Normal"/>
    <w:link w:val="DocumentMapChar"/>
    <w:uiPriority w:val="99"/>
    <w:semiHidden/>
    <w:unhideWhenUsed/>
    <w:rsid w:val="00AC57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73F"/>
    <w:rPr>
      <w:rFonts w:ascii="Tahoma" w:hAnsi="Tahoma" w:cs="Tahoma"/>
      <w:sz w:val="16"/>
      <w:szCs w:val="16"/>
    </w:rPr>
  </w:style>
  <w:style w:type="table" w:styleId="TableGrid">
    <w:name w:val="Table Grid"/>
    <w:basedOn w:val="TableNormal"/>
    <w:uiPriority w:val="59"/>
    <w:rsid w:val="00A45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403C"/>
    <w:rPr>
      <w:sz w:val="16"/>
      <w:szCs w:val="16"/>
    </w:rPr>
  </w:style>
  <w:style w:type="paragraph" w:styleId="CommentText">
    <w:name w:val="annotation text"/>
    <w:basedOn w:val="Normal"/>
    <w:link w:val="CommentTextChar"/>
    <w:uiPriority w:val="99"/>
    <w:semiHidden/>
    <w:unhideWhenUsed/>
    <w:rsid w:val="003F403C"/>
    <w:pPr>
      <w:spacing w:line="240" w:lineRule="auto"/>
    </w:pPr>
    <w:rPr>
      <w:sz w:val="20"/>
      <w:szCs w:val="20"/>
    </w:rPr>
  </w:style>
  <w:style w:type="character" w:customStyle="1" w:styleId="CommentTextChar">
    <w:name w:val="Comment Text Char"/>
    <w:basedOn w:val="DefaultParagraphFont"/>
    <w:link w:val="CommentText"/>
    <w:uiPriority w:val="99"/>
    <w:semiHidden/>
    <w:rsid w:val="003F403C"/>
  </w:style>
  <w:style w:type="paragraph" w:styleId="CommentSubject">
    <w:name w:val="annotation subject"/>
    <w:basedOn w:val="CommentText"/>
    <w:next w:val="CommentText"/>
    <w:link w:val="CommentSubjectChar"/>
    <w:uiPriority w:val="99"/>
    <w:semiHidden/>
    <w:unhideWhenUsed/>
    <w:rsid w:val="003F403C"/>
    <w:rPr>
      <w:b/>
      <w:bCs/>
    </w:rPr>
  </w:style>
  <w:style w:type="character" w:customStyle="1" w:styleId="CommentSubjectChar">
    <w:name w:val="Comment Subject Char"/>
    <w:basedOn w:val="CommentTextChar"/>
    <w:link w:val="CommentSubject"/>
    <w:uiPriority w:val="99"/>
    <w:semiHidden/>
    <w:rsid w:val="003F4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E5"/>
    <w:pPr>
      <w:ind w:left="720"/>
      <w:contextualSpacing/>
    </w:pPr>
  </w:style>
  <w:style w:type="paragraph" w:styleId="Header">
    <w:name w:val="header"/>
    <w:basedOn w:val="Normal"/>
    <w:link w:val="HeaderChar"/>
    <w:uiPriority w:val="99"/>
    <w:semiHidden/>
    <w:unhideWhenUsed/>
    <w:rsid w:val="00571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1D9"/>
  </w:style>
  <w:style w:type="paragraph" w:styleId="Footer">
    <w:name w:val="footer"/>
    <w:basedOn w:val="Normal"/>
    <w:link w:val="FooterChar"/>
    <w:uiPriority w:val="99"/>
    <w:unhideWhenUsed/>
    <w:rsid w:val="0057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D9"/>
  </w:style>
  <w:style w:type="paragraph" w:styleId="FootnoteText">
    <w:name w:val="footnote text"/>
    <w:basedOn w:val="Normal"/>
    <w:link w:val="FootnoteTextChar"/>
    <w:uiPriority w:val="99"/>
    <w:semiHidden/>
    <w:unhideWhenUsed/>
    <w:rsid w:val="005F4DF4"/>
    <w:rPr>
      <w:sz w:val="20"/>
      <w:szCs w:val="20"/>
    </w:rPr>
  </w:style>
  <w:style w:type="character" w:customStyle="1" w:styleId="FootnoteTextChar">
    <w:name w:val="Footnote Text Char"/>
    <w:basedOn w:val="DefaultParagraphFont"/>
    <w:link w:val="FootnoteText"/>
    <w:uiPriority w:val="99"/>
    <w:semiHidden/>
    <w:rsid w:val="005F4DF4"/>
  </w:style>
  <w:style w:type="character" w:styleId="FootnoteReference">
    <w:name w:val="footnote reference"/>
    <w:basedOn w:val="DefaultParagraphFont"/>
    <w:uiPriority w:val="99"/>
    <w:semiHidden/>
    <w:unhideWhenUsed/>
    <w:rsid w:val="005F4DF4"/>
    <w:rPr>
      <w:vertAlign w:val="superscript"/>
    </w:rPr>
  </w:style>
  <w:style w:type="character" w:styleId="Emphasis">
    <w:name w:val="Emphasis"/>
    <w:basedOn w:val="DefaultParagraphFont"/>
    <w:uiPriority w:val="20"/>
    <w:qFormat/>
    <w:rsid w:val="00C73640"/>
    <w:rPr>
      <w:i/>
      <w:iCs/>
    </w:rPr>
  </w:style>
  <w:style w:type="paragraph" w:styleId="BalloonText">
    <w:name w:val="Balloon Text"/>
    <w:basedOn w:val="Normal"/>
    <w:link w:val="BalloonTextChar"/>
    <w:uiPriority w:val="99"/>
    <w:semiHidden/>
    <w:unhideWhenUsed/>
    <w:rsid w:val="009C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6C"/>
    <w:rPr>
      <w:rFonts w:ascii="Tahoma" w:hAnsi="Tahoma" w:cs="Tahoma"/>
      <w:sz w:val="16"/>
      <w:szCs w:val="16"/>
    </w:rPr>
  </w:style>
  <w:style w:type="character" w:styleId="LineNumber">
    <w:name w:val="line number"/>
    <w:basedOn w:val="DefaultParagraphFont"/>
    <w:uiPriority w:val="99"/>
    <w:semiHidden/>
    <w:unhideWhenUsed/>
    <w:rsid w:val="00910D8B"/>
  </w:style>
  <w:style w:type="character" w:styleId="Hyperlink">
    <w:name w:val="Hyperlink"/>
    <w:basedOn w:val="DefaultParagraphFont"/>
    <w:uiPriority w:val="99"/>
    <w:semiHidden/>
    <w:unhideWhenUsed/>
    <w:rsid w:val="00937962"/>
    <w:rPr>
      <w:color w:val="0000FF"/>
      <w:u w:val="single"/>
    </w:rPr>
  </w:style>
  <w:style w:type="paragraph" w:styleId="DocumentMap">
    <w:name w:val="Document Map"/>
    <w:basedOn w:val="Normal"/>
    <w:link w:val="DocumentMapChar"/>
    <w:uiPriority w:val="99"/>
    <w:semiHidden/>
    <w:unhideWhenUsed/>
    <w:rsid w:val="00AC57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73F"/>
    <w:rPr>
      <w:rFonts w:ascii="Tahoma" w:hAnsi="Tahoma" w:cs="Tahoma"/>
      <w:sz w:val="16"/>
      <w:szCs w:val="16"/>
    </w:rPr>
  </w:style>
  <w:style w:type="table" w:styleId="TableGrid">
    <w:name w:val="Table Grid"/>
    <w:basedOn w:val="TableNormal"/>
    <w:uiPriority w:val="59"/>
    <w:rsid w:val="00A45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403C"/>
    <w:rPr>
      <w:sz w:val="16"/>
      <w:szCs w:val="16"/>
    </w:rPr>
  </w:style>
  <w:style w:type="paragraph" w:styleId="CommentText">
    <w:name w:val="annotation text"/>
    <w:basedOn w:val="Normal"/>
    <w:link w:val="CommentTextChar"/>
    <w:uiPriority w:val="99"/>
    <w:semiHidden/>
    <w:unhideWhenUsed/>
    <w:rsid w:val="003F403C"/>
    <w:pPr>
      <w:spacing w:line="240" w:lineRule="auto"/>
    </w:pPr>
    <w:rPr>
      <w:sz w:val="20"/>
      <w:szCs w:val="20"/>
    </w:rPr>
  </w:style>
  <w:style w:type="character" w:customStyle="1" w:styleId="CommentTextChar">
    <w:name w:val="Comment Text Char"/>
    <w:basedOn w:val="DefaultParagraphFont"/>
    <w:link w:val="CommentText"/>
    <w:uiPriority w:val="99"/>
    <w:semiHidden/>
    <w:rsid w:val="003F403C"/>
  </w:style>
  <w:style w:type="paragraph" w:styleId="CommentSubject">
    <w:name w:val="annotation subject"/>
    <w:basedOn w:val="CommentText"/>
    <w:next w:val="CommentText"/>
    <w:link w:val="CommentSubjectChar"/>
    <w:uiPriority w:val="99"/>
    <w:semiHidden/>
    <w:unhideWhenUsed/>
    <w:rsid w:val="003F403C"/>
    <w:rPr>
      <w:b/>
      <w:bCs/>
    </w:rPr>
  </w:style>
  <w:style w:type="character" w:customStyle="1" w:styleId="CommentSubjectChar">
    <w:name w:val="Comment Subject Char"/>
    <w:basedOn w:val="CommentTextChar"/>
    <w:link w:val="CommentSubject"/>
    <w:uiPriority w:val="99"/>
    <w:semiHidden/>
    <w:rsid w:val="003F403C"/>
    <w:rPr>
      <w:b/>
      <w:bCs/>
    </w:rPr>
  </w:style>
</w:styles>
</file>

<file path=word/webSettings.xml><?xml version="1.0" encoding="utf-8"?>
<w:webSettings xmlns:r="http://schemas.openxmlformats.org/officeDocument/2006/relationships" xmlns:w="http://schemas.openxmlformats.org/wordprocessingml/2006/main">
  <w:divs>
    <w:div w:id="85345749">
      <w:bodyDiv w:val="1"/>
      <w:marLeft w:val="0"/>
      <w:marRight w:val="0"/>
      <w:marTop w:val="0"/>
      <w:marBottom w:val="0"/>
      <w:divBdr>
        <w:top w:val="none" w:sz="0" w:space="0" w:color="auto"/>
        <w:left w:val="none" w:sz="0" w:space="0" w:color="auto"/>
        <w:bottom w:val="none" w:sz="0" w:space="0" w:color="auto"/>
        <w:right w:val="none" w:sz="0" w:space="0" w:color="auto"/>
      </w:divBdr>
    </w:div>
    <w:div w:id="1036348802">
      <w:bodyDiv w:val="1"/>
      <w:marLeft w:val="0"/>
      <w:marRight w:val="0"/>
      <w:marTop w:val="0"/>
      <w:marBottom w:val="0"/>
      <w:divBdr>
        <w:top w:val="none" w:sz="0" w:space="0" w:color="auto"/>
        <w:left w:val="none" w:sz="0" w:space="0" w:color="auto"/>
        <w:bottom w:val="none" w:sz="0" w:space="0" w:color="auto"/>
        <w:right w:val="none" w:sz="0" w:space="0" w:color="auto"/>
      </w:divBdr>
    </w:div>
    <w:div w:id="16645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C2697-647E-43C7-80FE-A8052C88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9302</Words>
  <Characters>53027</Characters>
  <Application>Microsoft Office Word</Application>
  <DocSecurity>0</DocSecurity>
  <Lines>441</Lines>
  <Paragraphs>124</Paragraphs>
  <ScaleCrop>false</ScaleCrop>
  <Company/>
  <LinksUpToDate>false</LinksUpToDate>
  <CharactersWithSpaces>62205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2013-09-26T17:17:00Z</dcterms:created>
  <dcterms:modified xsi:type="dcterms:W3CDTF">2013-09-26T17:17:00Z</dcterms:modified>
</cp:coreProperties>
</file>