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A2" w:rsidRDefault="00FD2AA2" w:rsidP="00FD2AA2">
      <w:pPr>
        <w:tabs>
          <w:tab w:val="left" w:pos="4860"/>
        </w:tabs>
        <w:spacing w:after="0" w:line="240" w:lineRule="auto"/>
        <w:rPr>
          <w:rFonts w:cs="Times New Roman"/>
          <w:szCs w:val="24"/>
        </w:rPr>
      </w:pPr>
    </w:p>
    <w:p w:rsidR="00FD2AA2" w:rsidRDefault="00FD2AA2" w:rsidP="00FD2AA2">
      <w:pPr>
        <w:tabs>
          <w:tab w:val="left" w:pos="4860"/>
        </w:tabs>
        <w:spacing w:after="0" w:line="240" w:lineRule="auto"/>
        <w:jc w:val="center"/>
        <w:rPr>
          <w:rFonts w:cs="Times New Roman"/>
          <w:b/>
          <w:szCs w:val="24"/>
        </w:rPr>
      </w:pPr>
      <w:r>
        <w:rPr>
          <w:rFonts w:cs="Times New Roman"/>
          <w:b/>
          <w:szCs w:val="24"/>
        </w:rPr>
        <w:t>IN THE UNITED STATES DISTRICT COURT</w:t>
      </w:r>
    </w:p>
    <w:p w:rsidR="00FD2AA2" w:rsidRDefault="00FD2AA2" w:rsidP="00FD2AA2">
      <w:pPr>
        <w:tabs>
          <w:tab w:val="left" w:pos="4860"/>
        </w:tabs>
        <w:spacing w:after="0" w:line="240" w:lineRule="auto"/>
        <w:jc w:val="center"/>
        <w:rPr>
          <w:rFonts w:cs="Times New Roman"/>
          <w:b/>
          <w:szCs w:val="24"/>
        </w:rPr>
      </w:pPr>
      <w:r>
        <w:rPr>
          <w:rFonts w:cs="Times New Roman"/>
          <w:b/>
          <w:szCs w:val="24"/>
        </w:rPr>
        <w:t>SOUTHERN DISTRICT OF OHIO</w:t>
      </w:r>
    </w:p>
    <w:p w:rsidR="00FD2AA2" w:rsidRDefault="00FD2AA2" w:rsidP="00FD2AA2">
      <w:pPr>
        <w:tabs>
          <w:tab w:val="left" w:pos="4860"/>
        </w:tabs>
        <w:spacing w:after="0" w:line="240" w:lineRule="auto"/>
        <w:jc w:val="center"/>
        <w:rPr>
          <w:rFonts w:cs="Times New Roman"/>
          <w:b/>
          <w:szCs w:val="24"/>
        </w:rPr>
      </w:pPr>
      <w:r>
        <w:rPr>
          <w:rFonts w:cs="Times New Roman"/>
          <w:b/>
          <w:szCs w:val="24"/>
        </w:rPr>
        <w:t>EASTERN DIVISION</w:t>
      </w:r>
    </w:p>
    <w:p w:rsidR="00FD2AA2" w:rsidRDefault="00FD2AA2" w:rsidP="00FD2AA2">
      <w:pPr>
        <w:tabs>
          <w:tab w:val="left" w:pos="4860"/>
        </w:tabs>
        <w:spacing w:after="0" w:line="240" w:lineRule="auto"/>
        <w:jc w:val="center"/>
        <w:rPr>
          <w:rFonts w:cs="Times New Roman"/>
          <w:b/>
          <w:szCs w:val="24"/>
        </w:rPr>
      </w:pPr>
    </w:p>
    <w:p w:rsidR="00FD2AA2" w:rsidRDefault="00FD2AA2" w:rsidP="00FD2AA2">
      <w:pPr>
        <w:tabs>
          <w:tab w:val="left" w:pos="4860"/>
        </w:tabs>
        <w:spacing w:after="0" w:line="240" w:lineRule="auto"/>
        <w:rPr>
          <w:rFonts w:cs="Times New Roman"/>
          <w:szCs w:val="24"/>
        </w:rPr>
      </w:pPr>
      <w:r>
        <w:rPr>
          <w:rFonts w:cs="Times New Roman"/>
          <w:szCs w:val="24"/>
        </w:rPr>
        <w:t>PHYLLIS BALL, by her General Guardian,</w:t>
      </w:r>
      <w:r>
        <w:rPr>
          <w:rFonts w:cs="Times New Roman"/>
          <w:szCs w:val="24"/>
        </w:rPr>
        <w:tab/>
        <w:t>|</w:t>
      </w:r>
    </w:p>
    <w:p w:rsidR="00FD2AA2" w:rsidRDefault="00FD2AA2" w:rsidP="00FD2AA2">
      <w:pPr>
        <w:tabs>
          <w:tab w:val="left" w:pos="4860"/>
        </w:tabs>
        <w:spacing w:after="0" w:line="240" w:lineRule="auto"/>
        <w:rPr>
          <w:rFonts w:cs="Times New Roman"/>
          <w:szCs w:val="24"/>
        </w:rPr>
      </w:pPr>
      <w:r>
        <w:rPr>
          <w:rFonts w:cs="Times New Roman"/>
          <w:szCs w:val="24"/>
        </w:rPr>
        <w:t xml:space="preserve">PHYLLIS BURBA, et al., </w:t>
      </w:r>
      <w:r>
        <w:rPr>
          <w:rFonts w:cs="Times New Roman"/>
          <w:szCs w:val="24"/>
        </w:rPr>
        <w:tab/>
        <w:t>|</w:t>
      </w:r>
    </w:p>
    <w:p w:rsidR="00FD2AA2" w:rsidRDefault="00FD2AA2" w:rsidP="00FD2AA2">
      <w:pPr>
        <w:tabs>
          <w:tab w:val="left" w:pos="4860"/>
        </w:tabs>
        <w:spacing w:after="0" w:line="240" w:lineRule="auto"/>
        <w:rPr>
          <w:rFonts w:cs="Times New Roman"/>
          <w:szCs w:val="24"/>
        </w:rPr>
      </w:pPr>
      <w:r>
        <w:rPr>
          <w:rFonts w:cs="Times New Roman"/>
          <w:szCs w:val="24"/>
        </w:rPr>
        <w:tab/>
        <w:t>|</w:t>
      </w:r>
      <w:r>
        <w:rPr>
          <w:rFonts w:cs="Times New Roman"/>
          <w:szCs w:val="24"/>
        </w:rPr>
        <w:tab/>
        <w:t>Case No. 2:16-cv-282</w:t>
      </w:r>
    </w:p>
    <w:p w:rsidR="00FD2AA2" w:rsidRDefault="00FD2AA2" w:rsidP="00FD2AA2">
      <w:pPr>
        <w:tabs>
          <w:tab w:val="left" w:pos="720"/>
          <w:tab w:val="left" w:pos="4860"/>
        </w:tabs>
        <w:spacing w:after="0" w:line="240" w:lineRule="auto"/>
        <w:rPr>
          <w:rFonts w:cs="Times New Roman"/>
          <w:szCs w:val="24"/>
        </w:rPr>
      </w:pPr>
      <w:r>
        <w:rPr>
          <w:rFonts w:cs="Times New Roman"/>
          <w:szCs w:val="24"/>
        </w:rPr>
        <w:tab/>
        <w:t>Plaintiffs,</w:t>
      </w:r>
      <w:r>
        <w:rPr>
          <w:rFonts w:cs="Times New Roman"/>
          <w:szCs w:val="24"/>
        </w:rPr>
        <w:tab/>
        <w:t>|</w:t>
      </w:r>
    </w:p>
    <w:p w:rsidR="00FD2AA2" w:rsidRDefault="00FD2AA2" w:rsidP="00FD2AA2">
      <w:pPr>
        <w:tabs>
          <w:tab w:val="left" w:pos="720"/>
          <w:tab w:val="left" w:pos="4860"/>
        </w:tabs>
        <w:spacing w:after="0" w:line="240" w:lineRule="auto"/>
        <w:rPr>
          <w:rFonts w:cs="Times New Roman"/>
          <w:szCs w:val="24"/>
        </w:rPr>
      </w:pPr>
      <w:r>
        <w:rPr>
          <w:rFonts w:cs="Times New Roman"/>
          <w:szCs w:val="24"/>
        </w:rPr>
        <w:tab/>
      </w:r>
      <w:r>
        <w:rPr>
          <w:rFonts w:cs="Times New Roman"/>
          <w:szCs w:val="24"/>
        </w:rPr>
        <w:tab/>
        <w:t>|</w:t>
      </w:r>
      <w:r>
        <w:rPr>
          <w:rFonts w:cs="Times New Roman"/>
          <w:szCs w:val="24"/>
        </w:rPr>
        <w:tab/>
        <w:t>JUDGE EDMUND A. SARGUS</w:t>
      </w:r>
    </w:p>
    <w:p w:rsidR="00FD2AA2" w:rsidRDefault="00FD2AA2" w:rsidP="00FD2AA2">
      <w:pPr>
        <w:tabs>
          <w:tab w:val="left" w:pos="720"/>
          <w:tab w:val="left" w:pos="4860"/>
        </w:tabs>
        <w:spacing w:after="0" w:line="240" w:lineRule="auto"/>
        <w:rPr>
          <w:rFonts w:cs="Times New Roman"/>
          <w:szCs w:val="24"/>
        </w:rPr>
      </w:pPr>
      <w:r>
        <w:rPr>
          <w:rFonts w:cs="Times New Roman"/>
          <w:szCs w:val="24"/>
        </w:rPr>
        <w:tab/>
        <w:t>v.</w:t>
      </w:r>
      <w:r>
        <w:rPr>
          <w:rFonts w:cs="Times New Roman"/>
          <w:szCs w:val="24"/>
        </w:rPr>
        <w:tab/>
        <w:t>|</w:t>
      </w:r>
    </w:p>
    <w:p w:rsidR="00FD2AA2" w:rsidRDefault="00FD2AA2" w:rsidP="00FD2AA2">
      <w:pPr>
        <w:tabs>
          <w:tab w:val="left" w:pos="720"/>
          <w:tab w:val="left" w:pos="4860"/>
        </w:tabs>
        <w:spacing w:after="0" w:line="240" w:lineRule="auto"/>
        <w:rPr>
          <w:rFonts w:cs="Times New Roman"/>
          <w:szCs w:val="24"/>
        </w:rPr>
      </w:pPr>
      <w:r>
        <w:rPr>
          <w:rFonts w:cs="Times New Roman"/>
          <w:szCs w:val="24"/>
        </w:rPr>
        <w:tab/>
      </w:r>
      <w:r>
        <w:rPr>
          <w:rFonts w:cs="Times New Roman"/>
          <w:szCs w:val="24"/>
        </w:rPr>
        <w:tab/>
        <w:t>|</w:t>
      </w:r>
      <w:r>
        <w:rPr>
          <w:rFonts w:cs="Times New Roman"/>
          <w:szCs w:val="24"/>
        </w:rPr>
        <w:tab/>
        <w:t>MAGISTRATE JUDGE ELIZABETH A.</w:t>
      </w:r>
    </w:p>
    <w:p w:rsidR="00FD2AA2" w:rsidRDefault="00FD2AA2" w:rsidP="00FD2AA2">
      <w:pPr>
        <w:tabs>
          <w:tab w:val="left" w:pos="720"/>
          <w:tab w:val="left" w:pos="4860"/>
        </w:tabs>
        <w:spacing w:after="0" w:line="240" w:lineRule="auto"/>
        <w:rPr>
          <w:rFonts w:cs="Times New Roman"/>
          <w:szCs w:val="24"/>
        </w:rPr>
      </w:pPr>
      <w:r>
        <w:rPr>
          <w:rFonts w:cs="Times New Roman"/>
          <w:szCs w:val="24"/>
        </w:rPr>
        <w:t>JOHN KASICH, Governor of Ohio, in his</w:t>
      </w:r>
      <w:r>
        <w:rPr>
          <w:rFonts w:cs="Times New Roman"/>
          <w:szCs w:val="24"/>
        </w:rPr>
        <w:tab/>
        <w:t>|</w:t>
      </w:r>
      <w:r>
        <w:rPr>
          <w:rFonts w:cs="Times New Roman"/>
          <w:szCs w:val="24"/>
        </w:rPr>
        <w:tab/>
        <w:t>PRESTON DEAVERS</w:t>
      </w:r>
    </w:p>
    <w:p w:rsidR="00FD2AA2" w:rsidRDefault="00FD2AA2" w:rsidP="00FD2AA2">
      <w:pPr>
        <w:tabs>
          <w:tab w:val="left" w:pos="720"/>
          <w:tab w:val="left" w:pos="4860"/>
        </w:tabs>
        <w:spacing w:after="0" w:line="240" w:lineRule="auto"/>
        <w:rPr>
          <w:rFonts w:cs="Times New Roman"/>
          <w:szCs w:val="24"/>
        </w:rPr>
      </w:pPr>
      <w:proofErr w:type="gramStart"/>
      <w:r>
        <w:rPr>
          <w:rFonts w:cs="Times New Roman"/>
          <w:szCs w:val="24"/>
        </w:rPr>
        <w:t>official</w:t>
      </w:r>
      <w:proofErr w:type="gramEnd"/>
      <w:r>
        <w:rPr>
          <w:rFonts w:cs="Times New Roman"/>
          <w:szCs w:val="24"/>
        </w:rPr>
        <w:t xml:space="preserve"> capacity, et al.</w:t>
      </w:r>
      <w:r>
        <w:rPr>
          <w:rFonts w:cs="Times New Roman"/>
          <w:szCs w:val="24"/>
        </w:rPr>
        <w:tab/>
        <w:t>|</w:t>
      </w:r>
    </w:p>
    <w:p w:rsidR="00FD2AA2" w:rsidRDefault="00FD2AA2" w:rsidP="00FD2AA2">
      <w:pPr>
        <w:tabs>
          <w:tab w:val="left" w:pos="720"/>
          <w:tab w:val="left" w:pos="4860"/>
        </w:tabs>
        <w:spacing w:after="0" w:line="240" w:lineRule="auto"/>
        <w:rPr>
          <w:rFonts w:cs="Times New Roman"/>
          <w:szCs w:val="24"/>
        </w:rPr>
      </w:pPr>
      <w:r>
        <w:rPr>
          <w:rFonts w:cs="Times New Roman"/>
          <w:szCs w:val="24"/>
        </w:rPr>
        <w:tab/>
      </w:r>
      <w:r>
        <w:rPr>
          <w:rFonts w:cs="Times New Roman"/>
          <w:szCs w:val="24"/>
        </w:rPr>
        <w:tab/>
        <w:t>|</w:t>
      </w:r>
    </w:p>
    <w:p w:rsidR="00FD2AA2" w:rsidRDefault="00FD2AA2" w:rsidP="00FD2AA2">
      <w:pPr>
        <w:tabs>
          <w:tab w:val="left" w:pos="720"/>
          <w:tab w:val="left" w:pos="4860"/>
        </w:tabs>
        <w:spacing w:after="0" w:line="240" w:lineRule="auto"/>
        <w:rPr>
          <w:rFonts w:cs="Times New Roman"/>
          <w:szCs w:val="24"/>
        </w:rPr>
      </w:pPr>
      <w:r>
        <w:rPr>
          <w:rFonts w:cs="Times New Roman"/>
          <w:szCs w:val="24"/>
        </w:rPr>
        <w:tab/>
      </w:r>
      <w:proofErr w:type="gramStart"/>
      <w:r>
        <w:rPr>
          <w:rFonts w:cs="Times New Roman"/>
          <w:szCs w:val="24"/>
        </w:rPr>
        <w:t>Defendants.</w:t>
      </w:r>
      <w:proofErr w:type="gramEnd"/>
      <w:r>
        <w:rPr>
          <w:rFonts w:cs="Times New Roman"/>
          <w:szCs w:val="24"/>
        </w:rPr>
        <w:tab/>
        <w:t>|</w:t>
      </w:r>
    </w:p>
    <w:p w:rsidR="00FD2AA2" w:rsidRDefault="00FD2AA2" w:rsidP="00FD2AA2">
      <w:pPr>
        <w:pBdr>
          <w:bottom w:val="single" w:sz="12" w:space="1" w:color="auto"/>
        </w:pBdr>
        <w:tabs>
          <w:tab w:val="left" w:pos="720"/>
          <w:tab w:val="left" w:pos="4860"/>
        </w:tabs>
        <w:spacing w:after="0" w:line="240" w:lineRule="auto"/>
        <w:rPr>
          <w:rFonts w:cs="Times New Roman"/>
          <w:szCs w:val="24"/>
        </w:rPr>
      </w:pPr>
      <w:r>
        <w:rPr>
          <w:rFonts w:cs="Times New Roman"/>
          <w:szCs w:val="24"/>
        </w:rPr>
        <w:tab/>
      </w:r>
      <w:r>
        <w:rPr>
          <w:rFonts w:cs="Times New Roman"/>
          <w:szCs w:val="24"/>
        </w:rPr>
        <w:tab/>
        <w:t>|</w:t>
      </w:r>
    </w:p>
    <w:p w:rsidR="00FD2AA2" w:rsidRDefault="00FD2AA2" w:rsidP="00FD2AA2">
      <w:pPr>
        <w:tabs>
          <w:tab w:val="left" w:pos="720"/>
          <w:tab w:val="left" w:pos="4860"/>
        </w:tabs>
        <w:spacing w:after="0" w:line="240" w:lineRule="auto"/>
        <w:rPr>
          <w:rFonts w:cs="Times New Roman"/>
          <w:szCs w:val="24"/>
        </w:rPr>
      </w:pPr>
    </w:p>
    <w:p w:rsidR="00FD2AA2" w:rsidRDefault="00FD2AA2" w:rsidP="00FD2AA2">
      <w:pPr>
        <w:spacing w:after="0" w:line="240" w:lineRule="auto"/>
        <w:jc w:val="center"/>
        <w:rPr>
          <w:rFonts w:cs="Times New Roman"/>
          <w:b/>
          <w:szCs w:val="24"/>
          <w:u w:val="single"/>
        </w:rPr>
      </w:pPr>
      <w:r>
        <w:rPr>
          <w:rFonts w:cs="Times New Roman"/>
          <w:b/>
          <w:szCs w:val="24"/>
          <w:u w:val="single"/>
        </w:rPr>
        <w:t>STATEMENT OF INTEREST OF THE UNITED STATES OF AMERICA</w:t>
      </w:r>
    </w:p>
    <w:p w:rsidR="00FD2AA2" w:rsidRDefault="00FD2AA2" w:rsidP="00FD2AA2">
      <w:pPr>
        <w:spacing w:after="0" w:line="240" w:lineRule="auto"/>
        <w:rPr>
          <w:rFonts w:cs="Times New Roman"/>
          <w:b/>
          <w:szCs w:val="24"/>
        </w:rPr>
      </w:pPr>
      <w:r>
        <w:rPr>
          <w:rFonts w:cs="Times New Roman"/>
          <w:b/>
          <w:szCs w:val="24"/>
        </w:rPr>
        <w:t xml:space="preserve"> </w:t>
      </w:r>
    </w:p>
    <w:p w:rsidR="00FD2AA2" w:rsidRDefault="00FD2AA2" w:rsidP="00FD2AA2">
      <w:pPr>
        <w:pStyle w:val="Heading1"/>
        <w:numPr>
          <w:ilvl w:val="0"/>
          <w:numId w:val="8"/>
        </w:numPr>
        <w:ind w:left="144" w:firstLine="0"/>
      </w:pPr>
      <w:r>
        <w:t>Introduction</w:t>
      </w:r>
    </w:p>
    <w:p w:rsidR="00FD2AA2" w:rsidRDefault="00FD2AA2" w:rsidP="00FD2AA2">
      <w:pPr>
        <w:spacing w:after="0" w:line="240" w:lineRule="auto"/>
        <w:ind w:firstLine="720"/>
        <w:rPr>
          <w:rFonts w:cs="Times New Roman"/>
          <w:szCs w:val="24"/>
        </w:rPr>
      </w:pPr>
    </w:p>
    <w:p w:rsidR="00FD2AA2" w:rsidRDefault="00FD2AA2" w:rsidP="00FD2AA2">
      <w:pPr>
        <w:spacing w:after="0" w:line="480" w:lineRule="auto"/>
        <w:ind w:firstLine="720"/>
        <w:rPr>
          <w:rFonts w:cs="Times New Roman"/>
          <w:szCs w:val="24"/>
        </w:rPr>
      </w:pPr>
      <w:r>
        <w:rPr>
          <w:rFonts w:cs="Times New Roman"/>
          <w:szCs w:val="24"/>
        </w:rPr>
        <w:t xml:space="preserve">Two of the individual plaintiffs in this action, Nathan </w:t>
      </w:r>
      <w:proofErr w:type="spellStart"/>
      <w:r>
        <w:rPr>
          <w:rFonts w:cs="Times New Roman"/>
          <w:szCs w:val="24"/>
        </w:rPr>
        <w:t>Narowitz</w:t>
      </w:r>
      <w:proofErr w:type="spellEnd"/>
      <w:r>
        <w:rPr>
          <w:rFonts w:cs="Times New Roman"/>
          <w:szCs w:val="24"/>
        </w:rPr>
        <w:t xml:space="preserve"> and Ross Hamilton (“plaintiffs”), allege that Ohio’s administration, </w:t>
      </w:r>
      <w:r>
        <w:rPr>
          <w:rFonts w:cs="Times New Roman"/>
          <w:szCs w:val="24"/>
        </w:rPr>
        <w:lastRenderedPageBreak/>
        <w:t xml:space="preserve">planning, and funding of its service system for people with intellectual and developmental disabilities puts them at serious risk of segregation and institutionalization, in violation of Title II of the Americans with Disabilities Act (“ADA”) and Section 504 of the Rehabilitation Act, as interpreted by the Supreme Court’s </w:t>
      </w:r>
      <w:r>
        <w:rPr>
          <w:rFonts w:cs="Times New Roman"/>
          <w:i/>
          <w:szCs w:val="24"/>
        </w:rPr>
        <w:t>Olmstead</w:t>
      </w:r>
      <w:r>
        <w:rPr>
          <w:rFonts w:cs="Times New Roman"/>
          <w:szCs w:val="24"/>
        </w:rPr>
        <w:t xml:space="preserve"> decision. </w:t>
      </w:r>
      <w:proofErr w:type="spellStart"/>
      <w:proofErr w:type="gramStart"/>
      <w:r>
        <w:rPr>
          <w:rFonts w:cs="Times New Roman"/>
          <w:szCs w:val="24"/>
        </w:rPr>
        <w:t>Compl</w:t>
      </w:r>
      <w:proofErr w:type="spellEnd"/>
      <w:r>
        <w:rPr>
          <w:rFonts w:cs="Times New Roman"/>
          <w:szCs w:val="24"/>
        </w:rPr>
        <w:t>.</w:t>
      </w:r>
      <w:proofErr w:type="gramEnd"/>
      <w:r>
        <w:rPr>
          <w:rFonts w:cs="Times New Roman"/>
          <w:szCs w:val="24"/>
        </w:rPr>
        <w:t xml:space="preserve"> </w:t>
      </w:r>
      <w:proofErr w:type="gramStart"/>
      <w:r>
        <w:rPr>
          <w:rFonts w:cs="Times New Roman"/>
          <w:szCs w:val="24"/>
        </w:rPr>
        <w:t>¶¶ 1, 58, 65, ECF No. 1.</w:t>
      </w:r>
      <w:proofErr w:type="gramEnd"/>
      <w:r>
        <w:rPr>
          <w:rFonts w:cs="Times New Roman"/>
          <w:szCs w:val="24"/>
        </w:rPr>
        <w:t xml:space="preserve"> In particular, plaintiffs allege that the failure of defendants, Ohio’s governor and several state agencies, to provide them with home- and community-based services forces plaintiffs to rely on volunteer family caregivers to remain at home and places them at serious risk of institutionalization in a large Intermediate Care Facility (“ICF”).</w:t>
      </w:r>
      <w:r>
        <w:rPr>
          <w:rStyle w:val="FootnoteReference"/>
          <w:rFonts w:cs="Times New Roman"/>
          <w:szCs w:val="24"/>
        </w:rPr>
        <w:footnoteReference w:id="1"/>
      </w:r>
      <w:r>
        <w:rPr>
          <w:rFonts w:cs="Times New Roman"/>
          <w:szCs w:val="24"/>
        </w:rPr>
        <w:t xml:space="preserve"> </w:t>
      </w:r>
      <w:proofErr w:type="gramStart"/>
      <w:r>
        <w:rPr>
          <w:rFonts w:cs="Times New Roman"/>
          <w:i/>
          <w:szCs w:val="24"/>
        </w:rPr>
        <w:t>Id</w:t>
      </w:r>
      <w:r>
        <w:rPr>
          <w:rFonts w:cs="Times New Roman"/>
          <w:szCs w:val="24"/>
        </w:rPr>
        <w:t>. ¶¶ 52-55, 58-63, 65.</w:t>
      </w:r>
      <w:proofErr w:type="gramEnd"/>
    </w:p>
    <w:p w:rsidR="00FD2AA2" w:rsidRDefault="00FD2AA2" w:rsidP="00FD2AA2">
      <w:pPr>
        <w:spacing w:after="0" w:line="480" w:lineRule="auto"/>
        <w:ind w:firstLine="720"/>
        <w:rPr>
          <w:rFonts w:cs="Times New Roman"/>
          <w:szCs w:val="24"/>
        </w:rPr>
      </w:pPr>
      <w:r>
        <w:rPr>
          <w:rFonts w:cs="Times New Roman"/>
          <w:szCs w:val="24"/>
        </w:rPr>
        <w:lastRenderedPageBreak/>
        <w:t xml:space="preserve">Defendants John Martin, Director of the Ohio Department of Developmental Disabilities, and John McCarthy, Director of the Ohio Department of Medicaid, have moved to dismiss plaintiffs’ claims on the ground of ripeness. Defendants also argue that at-risk </w:t>
      </w:r>
      <w:r>
        <w:rPr>
          <w:rFonts w:cs="Times New Roman"/>
          <w:i/>
          <w:szCs w:val="24"/>
        </w:rPr>
        <w:t>Olmstead</w:t>
      </w:r>
      <w:r>
        <w:rPr>
          <w:rFonts w:cs="Times New Roman"/>
          <w:szCs w:val="24"/>
        </w:rPr>
        <w:t xml:space="preserve"> claims are only viable when the risk of institutionalization is “caused by a state action or a change in state policy,” and that plaintiffs have not alleged risk attributable to a state action or change in state policy. </w:t>
      </w:r>
      <w:proofErr w:type="gramStart"/>
      <w:r>
        <w:rPr>
          <w:rFonts w:cs="Times New Roman"/>
          <w:szCs w:val="24"/>
        </w:rPr>
        <w:t>Mot.</w:t>
      </w:r>
      <w:proofErr w:type="gramEnd"/>
      <w:r>
        <w:rPr>
          <w:rFonts w:cs="Times New Roman"/>
          <w:szCs w:val="24"/>
        </w:rPr>
        <w:t xml:space="preserve"> </w:t>
      </w:r>
      <w:proofErr w:type="gramStart"/>
      <w:r>
        <w:rPr>
          <w:rFonts w:cs="Times New Roman"/>
          <w:szCs w:val="24"/>
        </w:rPr>
        <w:t>to</w:t>
      </w:r>
      <w:proofErr w:type="gramEnd"/>
      <w:r>
        <w:rPr>
          <w:rFonts w:cs="Times New Roman"/>
          <w:szCs w:val="24"/>
        </w:rPr>
        <w:t xml:space="preserve"> Dismiss 23, ECF No. 27. They further argue that plaintiffs’ </w:t>
      </w:r>
      <w:r w:rsidR="004559B8">
        <w:t xml:space="preserve">at-risk claims </w:t>
      </w:r>
      <w:r>
        <w:t xml:space="preserve">are inconsistent with </w:t>
      </w:r>
      <w:r>
        <w:rPr>
          <w:i/>
        </w:rPr>
        <w:t>Olmstead</w:t>
      </w:r>
      <w:r>
        <w:t xml:space="preserve">’s requirement that community placement must be appropriate and reasonably accommodated. </w:t>
      </w:r>
    </w:p>
    <w:p w:rsidR="001C0F6A" w:rsidRPr="001C0F6A" w:rsidRDefault="00FD2AA2" w:rsidP="00903E4A">
      <w:pPr>
        <w:spacing w:after="0" w:line="480" w:lineRule="auto"/>
        <w:ind w:firstLine="720"/>
        <w:rPr>
          <w:sz w:val="28"/>
          <w:szCs w:val="28"/>
        </w:rPr>
      </w:pPr>
      <w:r>
        <w:rPr>
          <w:rFonts w:cs="Times New Roman"/>
          <w:szCs w:val="24"/>
        </w:rPr>
        <w:t xml:space="preserve">The United States files this Statement of Interest to clarify that </w:t>
      </w:r>
      <w:r>
        <w:rPr>
          <w:szCs w:val="24"/>
        </w:rPr>
        <w:t>non-insti</w:t>
      </w:r>
      <w:r w:rsidR="004559B8">
        <w:rPr>
          <w:szCs w:val="24"/>
        </w:rPr>
        <w:t xml:space="preserve">tutionalized individuals with </w:t>
      </w:r>
      <w:r>
        <w:rPr>
          <w:szCs w:val="24"/>
        </w:rPr>
        <w:t xml:space="preserve">disabilities </w:t>
      </w:r>
      <w:r>
        <w:rPr>
          <w:rFonts w:cs="Times New Roman"/>
          <w:szCs w:val="24"/>
        </w:rPr>
        <w:t xml:space="preserve">who are not currently receiving state-funded home- and community-based services may bring a claim that a public entity has placed them at risk of institutionalization or segregation in violation of the “integration mandate” of Title II of the </w:t>
      </w:r>
      <w:r>
        <w:rPr>
          <w:rFonts w:cs="Times New Roman"/>
          <w:szCs w:val="24"/>
        </w:rPr>
        <w:lastRenderedPageBreak/>
        <w:t xml:space="preserve">Americans with Disabilities Act. </w:t>
      </w:r>
      <w:r>
        <w:rPr>
          <w:rFonts w:cs="Times New Roman"/>
          <w:i/>
          <w:iCs/>
          <w:szCs w:val="24"/>
        </w:rPr>
        <w:t xml:space="preserve">See </w:t>
      </w:r>
      <w:r>
        <w:rPr>
          <w:rFonts w:cs="Times New Roman"/>
          <w:szCs w:val="24"/>
        </w:rPr>
        <w:t xml:space="preserve">28 U.S.C. § 517 (the Attorney General may send any officer of the Department of Justice “to any State or district in the United States to attend to the interests of the United States in a suit pending in a court of the United States.”). The Attorney General has authority to enforce Title II, </w:t>
      </w:r>
      <w:r>
        <w:rPr>
          <w:rFonts w:cs="Times New Roman"/>
          <w:i/>
          <w:szCs w:val="24"/>
        </w:rPr>
        <w:t>see</w:t>
      </w:r>
      <w:r>
        <w:rPr>
          <w:rFonts w:cs="Times New Roman"/>
          <w:szCs w:val="24"/>
        </w:rPr>
        <w:t xml:space="preserve"> 42 U.S.C. § 12133, and to promulgate regulations implementing its broad prohibition of discrimination. </w:t>
      </w:r>
      <w:r>
        <w:rPr>
          <w:rFonts w:cs="Times New Roman"/>
          <w:i/>
          <w:szCs w:val="24"/>
        </w:rPr>
        <w:t>See</w:t>
      </w:r>
      <w:r>
        <w:rPr>
          <w:rFonts w:cs="Times New Roman"/>
          <w:szCs w:val="24"/>
        </w:rPr>
        <w:t xml:space="preserve"> 42 U.S.C. § 12134. One of those regulations requires that public entities “administer services, programs, and activities in the most integrated setting appropriate to the needs of qualified individuals with disab</w:t>
      </w:r>
      <w:r w:rsidR="00117D4E">
        <w:rPr>
          <w:rFonts w:cs="Times New Roman"/>
          <w:szCs w:val="24"/>
        </w:rPr>
        <w:t xml:space="preserve">ilities.” 28 C.F.R. § 35.130(d); </w:t>
      </w:r>
      <w:r w:rsidR="00117D4E" w:rsidRPr="00147F5D">
        <w:rPr>
          <w:rFonts w:cs="Times New Roman"/>
          <w:i/>
          <w:szCs w:val="24"/>
        </w:rPr>
        <w:t>see</w:t>
      </w:r>
      <w:r>
        <w:rPr>
          <w:rFonts w:cs="Times New Roman"/>
          <w:szCs w:val="24"/>
        </w:rPr>
        <w:t xml:space="preserve"> </w:t>
      </w:r>
      <w:r>
        <w:rPr>
          <w:rFonts w:cs="Times New Roman"/>
          <w:i/>
          <w:iCs/>
          <w:szCs w:val="24"/>
        </w:rPr>
        <w:t>Olmstead</w:t>
      </w:r>
      <w:r>
        <w:rPr>
          <w:rFonts w:cs="Times New Roman"/>
          <w:i/>
          <w:szCs w:val="24"/>
        </w:rPr>
        <w:t xml:space="preserve"> v. </w:t>
      </w:r>
      <w:r>
        <w:rPr>
          <w:rFonts w:cs="Times New Roman"/>
          <w:i/>
          <w:iCs/>
          <w:szCs w:val="24"/>
        </w:rPr>
        <w:t>L.C.</w:t>
      </w:r>
      <w:r>
        <w:rPr>
          <w:rFonts w:cs="Times New Roman"/>
          <w:szCs w:val="24"/>
        </w:rPr>
        <w:t>, 527 U.S. 581</w:t>
      </w:r>
      <w:r w:rsidR="00117D4E">
        <w:rPr>
          <w:rFonts w:cs="Times New Roman"/>
          <w:szCs w:val="24"/>
        </w:rPr>
        <w:t>, 607</w:t>
      </w:r>
      <w:r>
        <w:rPr>
          <w:rFonts w:cs="Times New Roman"/>
          <w:szCs w:val="24"/>
        </w:rPr>
        <w:t xml:space="preserve"> (1999)</w:t>
      </w:r>
      <w:r w:rsidR="00117D4E">
        <w:rPr>
          <w:rFonts w:cs="Times New Roman"/>
          <w:szCs w:val="24"/>
        </w:rPr>
        <w:t>.</w:t>
      </w:r>
    </w:p>
    <w:p w:rsidR="00FD2AA2" w:rsidRDefault="001C0F6A" w:rsidP="00903E4A">
      <w:pPr>
        <w:spacing w:after="0" w:line="480" w:lineRule="auto"/>
        <w:ind w:firstLine="720"/>
        <w:rPr>
          <w:rFonts w:eastAsia="Times New Roman" w:cs="Times New Roman"/>
          <w:szCs w:val="24"/>
        </w:rPr>
      </w:pPr>
      <w:r w:rsidDel="001C0F6A">
        <w:rPr>
          <w:rFonts w:cs="Times New Roman"/>
          <w:szCs w:val="24"/>
        </w:rPr>
        <w:t xml:space="preserve"> </w:t>
      </w:r>
      <w:r w:rsidR="00FD2AA2">
        <w:rPr>
          <w:rFonts w:eastAsia="Times New Roman" w:cs="Times New Roman"/>
          <w:szCs w:val="24"/>
        </w:rPr>
        <w:t xml:space="preserve">The United States therefore has a particularly strong interest in ensuring the correct interpretation and application of the ADA in this context. </w:t>
      </w:r>
    </w:p>
    <w:p w:rsidR="00FD2AA2" w:rsidRDefault="00FD2AA2" w:rsidP="00FD2AA2">
      <w:pPr>
        <w:pStyle w:val="Heading1"/>
        <w:numPr>
          <w:ilvl w:val="0"/>
          <w:numId w:val="8"/>
        </w:numPr>
        <w:ind w:left="144" w:firstLine="0"/>
      </w:pPr>
      <w:r>
        <w:t>Factual Allegations</w:t>
      </w:r>
    </w:p>
    <w:p w:rsidR="00FD2AA2" w:rsidRDefault="00FD2AA2" w:rsidP="00FD2AA2">
      <w:pPr>
        <w:spacing w:after="0" w:line="240" w:lineRule="auto"/>
        <w:rPr>
          <w:rFonts w:cs="Times New Roman"/>
          <w:szCs w:val="24"/>
        </w:rPr>
      </w:pPr>
    </w:p>
    <w:p w:rsidR="00FD2AA2" w:rsidRDefault="00FD2AA2" w:rsidP="00FD2AA2">
      <w:pPr>
        <w:spacing w:after="0" w:line="480" w:lineRule="auto"/>
        <w:ind w:firstLine="720"/>
        <w:rPr>
          <w:rFonts w:cs="Times New Roman"/>
          <w:szCs w:val="24"/>
        </w:rPr>
      </w:pPr>
      <w:r>
        <w:rPr>
          <w:rFonts w:cs="Times New Roman"/>
          <w:szCs w:val="24"/>
        </w:rPr>
        <w:lastRenderedPageBreak/>
        <w:t xml:space="preserve">The following facts are drawn from plaintiffs’ Complaint (ECF No. 1). </w:t>
      </w:r>
    </w:p>
    <w:p w:rsidR="00FD2AA2" w:rsidRDefault="00FD2AA2" w:rsidP="00FD2AA2">
      <w:pPr>
        <w:spacing w:after="0" w:line="480" w:lineRule="auto"/>
        <w:ind w:firstLine="720"/>
        <w:rPr>
          <w:rFonts w:cs="Times New Roman"/>
          <w:szCs w:val="24"/>
        </w:rPr>
      </w:pPr>
      <w:r>
        <w:rPr>
          <w:rFonts w:cs="Times New Roman"/>
          <w:szCs w:val="24"/>
        </w:rPr>
        <w:t xml:space="preserve">Plaintiffs allege that defendants’ administration, planning, and funding of Ohio’s service system for people with intellectual and developmental disabilities discriminate by failing to provide residential, employment, and day services in the most integrated setting appropriate to plaintiffs’ needs. </w:t>
      </w:r>
      <w:proofErr w:type="spellStart"/>
      <w:proofErr w:type="gramStart"/>
      <w:r>
        <w:rPr>
          <w:rFonts w:cs="Times New Roman"/>
          <w:szCs w:val="24"/>
        </w:rPr>
        <w:t>Compl</w:t>
      </w:r>
      <w:proofErr w:type="spellEnd"/>
      <w:r>
        <w:rPr>
          <w:rFonts w:cs="Times New Roman"/>
          <w:szCs w:val="24"/>
        </w:rPr>
        <w:t>.</w:t>
      </w:r>
      <w:proofErr w:type="gramEnd"/>
      <w:r>
        <w:rPr>
          <w:rFonts w:cs="Times New Roman"/>
          <w:szCs w:val="24"/>
        </w:rPr>
        <w:t xml:space="preserve"> </w:t>
      </w:r>
      <w:proofErr w:type="gramStart"/>
      <w:r>
        <w:rPr>
          <w:rFonts w:cs="Times New Roman"/>
          <w:szCs w:val="24"/>
        </w:rPr>
        <w:t>¶¶ 58, 65, 209.</w:t>
      </w:r>
      <w:proofErr w:type="gramEnd"/>
      <w:r>
        <w:rPr>
          <w:rFonts w:cs="Times New Roman"/>
          <w:szCs w:val="24"/>
        </w:rPr>
        <w:t xml:space="preserve"> </w:t>
      </w:r>
      <w:proofErr w:type="gramStart"/>
      <w:r>
        <w:rPr>
          <w:rFonts w:cs="Times New Roman"/>
          <w:szCs w:val="24"/>
        </w:rPr>
        <w:t xml:space="preserve">Although Ohio’s disability service system offers Medicaid waiver programs to support individuals with intellectual and developmental disabilities in the community, </w:t>
      </w:r>
      <w:r>
        <w:rPr>
          <w:rFonts w:cs="Times New Roman"/>
          <w:i/>
          <w:szCs w:val="24"/>
        </w:rPr>
        <w:t>id</w:t>
      </w:r>
      <w:r>
        <w:rPr>
          <w:rFonts w:cs="Times New Roman"/>
          <w:szCs w:val="24"/>
        </w:rPr>
        <w:t>.</w:t>
      </w:r>
      <w:proofErr w:type="gramEnd"/>
      <w:r>
        <w:rPr>
          <w:rFonts w:cs="Times New Roman"/>
          <w:szCs w:val="24"/>
        </w:rPr>
        <w:t xml:space="preserve"> ¶¶ 178-83, defendants have taken actions that limit the availability of these programs for individuals at serious risk of institutionalization in large </w:t>
      </w:r>
      <w:r w:rsidR="00B844C6">
        <w:rPr>
          <w:rFonts w:cs="Times New Roman"/>
          <w:szCs w:val="24"/>
        </w:rPr>
        <w:t>Intermediate Care Facilities (“</w:t>
      </w:r>
      <w:r>
        <w:rPr>
          <w:rFonts w:cs="Times New Roman"/>
          <w:szCs w:val="24"/>
        </w:rPr>
        <w:t>ICFs</w:t>
      </w:r>
      <w:r w:rsidR="00B844C6">
        <w:rPr>
          <w:rFonts w:cs="Times New Roman"/>
          <w:szCs w:val="24"/>
        </w:rPr>
        <w:t>”)</w:t>
      </w:r>
      <w:r>
        <w:rPr>
          <w:rFonts w:cs="Times New Roman"/>
          <w:szCs w:val="24"/>
        </w:rPr>
        <w:t xml:space="preserve">. </w:t>
      </w:r>
      <w:proofErr w:type="gramStart"/>
      <w:r>
        <w:rPr>
          <w:rFonts w:cs="Times New Roman"/>
          <w:i/>
          <w:szCs w:val="24"/>
        </w:rPr>
        <w:t>See, e.g., id</w:t>
      </w:r>
      <w:r>
        <w:rPr>
          <w:rFonts w:cs="Times New Roman"/>
          <w:szCs w:val="24"/>
        </w:rPr>
        <w:t>.</w:t>
      </w:r>
      <w:proofErr w:type="gramEnd"/>
      <w:r>
        <w:rPr>
          <w:rFonts w:cs="Times New Roman"/>
          <w:szCs w:val="24"/>
        </w:rPr>
        <w:t xml:space="preserve"> ¶¶ 179, 198-200. Consequently, ninety percent of Ohioans institutionalized in ICFs live in large ICFs with eight or more beds. </w:t>
      </w:r>
      <w:r>
        <w:rPr>
          <w:rFonts w:cs="Times New Roman"/>
          <w:i/>
          <w:szCs w:val="24"/>
        </w:rPr>
        <w:t>See id</w:t>
      </w:r>
      <w:r>
        <w:rPr>
          <w:rFonts w:cs="Times New Roman"/>
          <w:szCs w:val="24"/>
        </w:rPr>
        <w:t xml:space="preserve">. </w:t>
      </w:r>
      <w:proofErr w:type="gramStart"/>
      <w:r>
        <w:rPr>
          <w:rFonts w:cs="Times New Roman"/>
          <w:szCs w:val="24"/>
        </w:rPr>
        <w:t>¶ 136.</w:t>
      </w:r>
      <w:proofErr w:type="gramEnd"/>
    </w:p>
    <w:p w:rsidR="00FD2AA2" w:rsidRDefault="00FD2AA2" w:rsidP="00FD2AA2">
      <w:pPr>
        <w:spacing w:after="0" w:line="480" w:lineRule="auto"/>
        <w:ind w:firstLine="720"/>
        <w:rPr>
          <w:rFonts w:cs="Times New Roman"/>
          <w:szCs w:val="24"/>
        </w:rPr>
      </w:pPr>
      <w:r>
        <w:rPr>
          <w:rFonts w:cs="Times New Roman"/>
          <w:szCs w:val="24"/>
        </w:rPr>
        <w:lastRenderedPageBreak/>
        <w:t xml:space="preserve">Plaintiffs Nathan </w:t>
      </w:r>
      <w:proofErr w:type="spellStart"/>
      <w:r>
        <w:rPr>
          <w:rFonts w:cs="Times New Roman"/>
          <w:szCs w:val="24"/>
        </w:rPr>
        <w:t>Narowitz</w:t>
      </w:r>
      <w:proofErr w:type="spellEnd"/>
      <w:r>
        <w:rPr>
          <w:rFonts w:cs="Times New Roman"/>
          <w:szCs w:val="24"/>
        </w:rPr>
        <w:t xml:space="preserve"> and Ross Hamilton are young adults with intellectual and developmental disabilities. </w:t>
      </w:r>
      <w:proofErr w:type="gramStart"/>
      <w:r>
        <w:rPr>
          <w:rFonts w:cs="Times New Roman"/>
          <w:i/>
          <w:szCs w:val="24"/>
        </w:rPr>
        <w:t>Id</w:t>
      </w:r>
      <w:r>
        <w:rPr>
          <w:rFonts w:cs="Times New Roman"/>
          <w:szCs w:val="24"/>
        </w:rPr>
        <w:t>. ¶¶ 52, 54, 59.</w:t>
      </w:r>
      <w:proofErr w:type="gramEnd"/>
      <w:r>
        <w:rPr>
          <w:rFonts w:cs="Times New Roman"/>
          <w:szCs w:val="24"/>
        </w:rPr>
        <w:t xml:space="preserve"> They live in their parents’ homes, </w:t>
      </w:r>
      <w:r>
        <w:rPr>
          <w:rFonts w:cs="Times New Roman"/>
          <w:i/>
          <w:szCs w:val="24"/>
        </w:rPr>
        <w:t>id</w:t>
      </w:r>
      <w:r>
        <w:rPr>
          <w:rFonts w:cs="Times New Roman"/>
          <w:szCs w:val="24"/>
        </w:rPr>
        <w:t xml:space="preserve">. ¶¶ 52, 60, and require assistance with medication administration, meal preparation, transportation, hygiene, dressing themselves, managing finances and public benefits, grocery shopping, housekeeping, laundry, and avoiding impulsive choices and negative behaviors. </w:t>
      </w:r>
      <w:proofErr w:type="gramStart"/>
      <w:r>
        <w:rPr>
          <w:rFonts w:cs="Times New Roman"/>
          <w:i/>
          <w:szCs w:val="24"/>
        </w:rPr>
        <w:t>Id</w:t>
      </w:r>
      <w:r>
        <w:rPr>
          <w:rFonts w:cs="Times New Roman"/>
          <w:szCs w:val="24"/>
        </w:rPr>
        <w:t>. ¶¶ 54, 63.</w:t>
      </w:r>
      <w:proofErr w:type="gramEnd"/>
      <w:r>
        <w:rPr>
          <w:rFonts w:cs="Times New Roman"/>
          <w:szCs w:val="24"/>
        </w:rPr>
        <w:t xml:space="preserve"> Because the plaintiffs “cannot be left alone” and require “constant supervision,” </w:t>
      </w:r>
      <w:r>
        <w:rPr>
          <w:rFonts w:cs="Times New Roman"/>
          <w:i/>
          <w:szCs w:val="24"/>
        </w:rPr>
        <w:t>id</w:t>
      </w:r>
      <w:r>
        <w:rPr>
          <w:rFonts w:cs="Times New Roman"/>
          <w:szCs w:val="24"/>
        </w:rPr>
        <w:t xml:space="preserve">. ¶¶ 57, 63, they rely on volunteer family caregivers, who donate significant time and pay out-of-pocket for limited supportive services. </w:t>
      </w:r>
      <w:proofErr w:type="gramStart"/>
      <w:r>
        <w:rPr>
          <w:rFonts w:cs="Times New Roman"/>
          <w:i/>
          <w:szCs w:val="24"/>
        </w:rPr>
        <w:t>Id</w:t>
      </w:r>
      <w:r>
        <w:rPr>
          <w:rFonts w:cs="Times New Roman"/>
          <w:szCs w:val="24"/>
        </w:rPr>
        <w:t>. ¶¶ 52, 57, 60.</w:t>
      </w:r>
      <w:proofErr w:type="gramEnd"/>
      <w:r>
        <w:rPr>
          <w:rFonts w:cs="Times New Roman"/>
          <w:szCs w:val="24"/>
        </w:rPr>
        <w:t xml:space="preserve"> </w:t>
      </w:r>
    </w:p>
    <w:p w:rsidR="00FD2AA2" w:rsidRDefault="00FD2AA2" w:rsidP="00FD2AA2">
      <w:pPr>
        <w:spacing w:after="0" w:line="480" w:lineRule="auto"/>
        <w:ind w:firstLine="720"/>
        <w:rPr>
          <w:rFonts w:cs="Times New Roman"/>
          <w:szCs w:val="24"/>
        </w:rPr>
      </w:pPr>
      <w:r>
        <w:rPr>
          <w:rFonts w:cs="Times New Roman"/>
          <w:szCs w:val="24"/>
        </w:rPr>
        <w:t>Plaintiffs have been on a wait list to receive state-funded home- and community-based services for four and seven years, respectively.</w:t>
      </w:r>
      <w:r>
        <w:rPr>
          <w:rStyle w:val="FootnoteReference"/>
          <w:rFonts w:cs="Times New Roman"/>
          <w:szCs w:val="24"/>
        </w:rPr>
        <w:footnoteReference w:id="2"/>
      </w:r>
      <w:r>
        <w:rPr>
          <w:rFonts w:cs="Times New Roman"/>
          <w:szCs w:val="24"/>
        </w:rPr>
        <w:t xml:space="preserve"> </w:t>
      </w:r>
      <w:proofErr w:type="gramStart"/>
      <w:r>
        <w:rPr>
          <w:rFonts w:cs="Times New Roman"/>
          <w:i/>
          <w:szCs w:val="24"/>
        </w:rPr>
        <w:t>Id</w:t>
      </w:r>
      <w:r>
        <w:rPr>
          <w:rFonts w:cs="Times New Roman"/>
          <w:szCs w:val="24"/>
        </w:rPr>
        <w:t>. ¶¶ 55, 62.</w:t>
      </w:r>
      <w:proofErr w:type="gramEnd"/>
      <w:r>
        <w:rPr>
          <w:rFonts w:cs="Times New Roman"/>
          <w:szCs w:val="24"/>
        </w:rPr>
        <w:t xml:space="preserve"> Although they could receive the services they need by </w:t>
      </w:r>
      <w:r>
        <w:rPr>
          <w:rFonts w:cs="Times New Roman"/>
          <w:szCs w:val="24"/>
        </w:rPr>
        <w:lastRenderedPageBreak/>
        <w:t xml:space="preserve">submitting to institutionalization, they prefer to live, work, and recreate in the community. </w:t>
      </w:r>
      <w:r>
        <w:rPr>
          <w:rFonts w:cs="Times New Roman"/>
          <w:i/>
          <w:szCs w:val="24"/>
        </w:rPr>
        <w:t>Id</w:t>
      </w:r>
      <w:r>
        <w:rPr>
          <w:rFonts w:cs="Times New Roman"/>
          <w:szCs w:val="24"/>
        </w:rPr>
        <w:t xml:space="preserve">. ¶¶ 53-58, 62-65. Plaintiffs’ aging and exhausted volunteer caregivers are concerned that they cannot continue to care for plaintiffs directly and cannot continue to pay out-of-pocket for supportive services. </w:t>
      </w:r>
      <w:proofErr w:type="gramStart"/>
      <w:r>
        <w:rPr>
          <w:rFonts w:cs="Times New Roman"/>
          <w:i/>
          <w:szCs w:val="24"/>
        </w:rPr>
        <w:t>Id</w:t>
      </w:r>
      <w:r>
        <w:rPr>
          <w:rFonts w:cs="Times New Roman"/>
          <w:szCs w:val="24"/>
        </w:rPr>
        <w:t>. ¶¶ 58, 61.</w:t>
      </w:r>
      <w:proofErr w:type="gramEnd"/>
      <w:r>
        <w:rPr>
          <w:rFonts w:cs="Times New Roman"/>
          <w:szCs w:val="24"/>
        </w:rPr>
        <w:t xml:space="preserve">  </w:t>
      </w:r>
    </w:p>
    <w:p w:rsidR="00FD2AA2" w:rsidRDefault="00FD2AA2" w:rsidP="00FD2AA2">
      <w:pPr>
        <w:spacing w:after="0" w:line="480" w:lineRule="auto"/>
        <w:ind w:firstLine="720"/>
      </w:pPr>
      <w:r>
        <w:rPr>
          <w:rFonts w:cs="Times New Roman"/>
          <w:szCs w:val="24"/>
        </w:rPr>
        <w:t xml:space="preserve">Plaintiffs have “immediate, unmet service needs, such as inadequate residential supports and aging primary caregivers.” </w:t>
      </w:r>
      <w:proofErr w:type="gramStart"/>
      <w:r>
        <w:rPr>
          <w:rFonts w:cs="Times New Roman"/>
          <w:i/>
          <w:szCs w:val="24"/>
        </w:rPr>
        <w:t>Id</w:t>
      </w:r>
      <w:r>
        <w:rPr>
          <w:rFonts w:cs="Times New Roman"/>
          <w:szCs w:val="24"/>
        </w:rPr>
        <w:t>. ¶ 7.</w:t>
      </w:r>
      <w:proofErr w:type="gramEnd"/>
      <w:r>
        <w:rPr>
          <w:rFonts w:cs="Times New Roman"/>
          <w:szCs w:val="24"/>
        </w:rPr>
        <w:t xml:space="preserve"> Because the defendants have denied plaintiffs “[</w:t>
      </w:r>
      <w:proofErr w:type="gramStart"/>
      <w:r>
        <w:rPr>
          <w:rFonts w:cs="Times New Roman"/>
          <w:szCs w:val="24"/>
        </w:rPr>
        <w:t>]sufficient</w:t>
      </w:r>
      <w:proofErr w:type="gramEnd"/>
      <w:r>
        <w:rPr>
          <w:rFonts w:cs="Times New Roman"/>
          <w:szCs w:val="24"/>
        </w:rPr>
        <w:t xml:space="preserve"> access to integrated home- and community-based services,” plaintiffs allege that they “are at serious risk of institutionalization.”</w:t>
      </w:r>
      <w:r>
        <w:rPr>
          <w:rFonts w:cs="Times New Roman"/>
          <w:i/>
          <w:szCs w:val="24"/>
        </w:rPr>
        <w:t xml:space="preserve"> </w:t>
      </w:r>
      <w:proofErr w:type="gramStart"/>
      <w:r>
        <w:rPr>
          <w:rFonts w:cs="Times New Roman"/>
          <w:i/>
          <w:szCs w:val="24"/>
        </w:rPr>
        <w:t>Id</w:t>
      </w:r>
      <w:r>
        <w:rPr>
          <w:rFonts w:cs="Times New Roman"/>
          <w:szCs w:val="24"/>
        </w:rPr>
        <w:t>. ¶¶ 7, 53, 65.</w:t>
      </w:r>
      <w:proofErr w:type="gramEnd"/>
      <w:r>
        <w:rPr>
          <w:rFonts w:cs="Times New Roman"/>
          <w:szCs w:val="24"/>
        </w:rPr>
        <w:t xml:space="preserve"> Plaintiffs are appropriate for community placement, as each already lives in the community. </w:t>
      </w:r>
      <w:proofErr w:type="gramStart"/>
      <w:r>
        <w:rPr>
          <w:rFonts w:cs="Times New Roman"/>
          <w:i/>
          <w:szCs w:val="24"/>
        </w:rPr>
        <w:t>Id</w:t>
      </w:r>
      <w:r>
        <w:rPr>
          <w:rFonts w:cs="Times New Roman"/>
          <w:szCs w:val="24"/>
        </w:rPr>
        <w:t>. ¶¶ 1, 52, 59.</w:t>
      </w:r>
      <w:proofErr w:type="gramEnd"/>
      <w:r>
        <w:rPr>
          <w:rFonts w:cs="Times New Roman"/>
          <w:szCs w:val="24"/>
        </w:rPr>
        <w:t xml:space="preserve"> They do not oppose—indeed, they affirmatively desire—a community placement with sufficient services to achieve community integration. </w:t>
      </w:r>
      <w:r>
        <w:rPr>
          <w:rFonts w:cs="Times New Roman"/>
          <w:i/>
          <w:szCs w:val="24"/>
        </w:rPr>
        <w:t>Id</w:t>
      </w:r>
      <w:r>
        <w:rPr>
          <w:rFonts w:cs="Times New Roman"/>
          <w:szCs w:val="24"/>
        </w:rPr>
        <w:t xml:space="preserve">. ¶¶ 54-57, 61-65. Plaintiffs allege that their community placement can be reasonably accommodated by </w:t>
      </w:r>
      <w:r>
        <w:rPr>
          <w:rFonts w:cs="Times New Roman"/>
          <w:szCs w:val="24"/>
        </w:rPr>
        <w:lastRenderedPageBreak/>
        <w:t xml:space="preserve">expanding the availability of home- and community-based services. </w:t>
      </w:r>
      <w:proofErr w:type="gramStart"/>
      <w:r>
        <w:rPr>
          <w:rFonts w:cs="Times New Roman"/>
          <w:i/>
          <w:szCs w:val="24"/>
        </w:rPr>
        <w:t>Id</w:t>
      </w:r>
      <w:r>
        <w:rPr>
          <w:rFonts w:cs="Times New Roman"/>
          <w:szCs w:val="24"/>
        </w:rPr>
        <w:t>. ¶¶ 202-03, 210.</w:t>
      </w:r>
      <w:proofErr w:type="gramEnd"/>
      <w:r>
        <w:rPr>
          <w:rFonts w:cs="Times New Roman"/>
          <w:szCs w:val="24"/>
        </w:rPr>
        <w:t xml:space="preserve">  </w:t>
      </w:r>
    </w:p>
    <w:p w:rsidR="00FD2AA2" w:rsidRDefault="00FD2AA2" w:rsidP="00FD2AA2">
      <w:pPr>
        <w:pStyle w:val="Heading1"/>
        <w:numPr>
          <w:ilvl w:val="0"/>
          <w:numId w:val="8"/>
        </w:numPr>
        <w:spacing w:line="480" w:lineRule="auto"/>
        <w:ind w:left="144" w:firstLine="0"/>
      </w:pPr>
      <w:r>
        <w:t>Statutory and Regulatory Background</w:t>
      </w:r>
    </w:p>
    <w:p w:rsidR="00FD2AA2" w:rsidRDefault="00FD2AA2" w:rsidP="00FD2AA2">
      <w:pPr>
        <w:spacing w:after="0" w:line="480" w:lineRule="auto"/>
      </w:pPr>
      <w:r>
        <w:rPr>
          <w:rFonts w:cs="Times New Roman"/>
          <w:szCs w:val="24"/>
        </w:rPr>
        <w:t xml:space="preserve"> </w:t>
      </w:r>
      <w:r>
        <w:rPr>
          <w:rFonts w:cs="Times New Roman"/>
          <w:szCs w:val="24"/>
        </w:rPr>
        <w:tab/>
      </w:r>
      <w:r>
        <w:t>Congress enacted the ADA in 1990 “to provide a clear and comprehensive national mandate for the elimination of discrimination against individuals with disabilities.” 42 U.S.C. § 12101(b</w:t>
      </w:r>
      <w:proofErr w:type="gramStart"/>
      <w:r>
        <w:t>)(</w:t>
      </w:r>
      <w:proofErr w:type="gramEnd"/>
      <w:r>
        <w:t xml:space="preserve">1). Congress found that, “historically, society has tended to isolate and segregate individuals with disabilities” and that “individuals with disabilities continually encounter various forms of discrimination, </w:t>
      </w:r>
      <w:proofErr w:type="gramStart"/>
      <w:r>
        <w:t>including .</w:t>
      </w:r>
      <w:proofErr w:type="gramEnd"/>
      <w:r>
        <w:t> . . segregation.” 42 U.S.C. §§ 12101(a</w:t>
      </w:r>
      <w:proofErr w:type="gramStart"/>
      <w:r>
        <w:t>)(</w:t>
      </w:r>
      <w:proofErr w:type="gramEnd"/>
      <w:r>
        <w:t xml:space="preserve">2) and (5). Congress determined that “the Nation’s proper goals regarding individuals with disabilities are to assure equality of opportunity, full participation, </w:t>
      </w:r>
      <w:r>
        <w:rPr>
          <w:i/>
          <w:iCs/>
        </w:rPr>
        <w:t>independent living</w:t>
      </w:r>
      <w:r>
        <w:t>, and economic self-sufficiency for such individuals.” 42 U.S.C. § 12101(a</w:t>
      </w:r>
      <w:proofErr w:type="gramStart"/>
      <w:r>
        <w:t>)(</w:t>
      </w:r>
      <w:proofErr w:type="gramEnd"/>
      <w:r>
        <w:t xml:space="preserve">7) (emphasis added). Title II of the ADA prohibits disability discrimination in public services: “[N]o qualified individual with a </w:t>
      </w:r>
      <w:r>
        <w:lastRenderedPageBreak/>
        <w:t xml:space="preserve">disability shall, by reason of such disability, be excluded from participation in or be denied the benefits of the services, programs, or activities of a public entity, or be subjected to discrimination by any such entity.” </w:t>
      </w:r>
      <w:proofErr w:type="gramStart"/>
      <w:r>
        <w:t>42 U.S.C. § 12132.</w:t>
      </w:r>
      <w:proofErr w:type="gramEnd"/>
      <w:r>
        <w:t xml:space="preserve"> Congress directed the Attorney General to promulgate regulations to implement Title II. </w:t>
      </w:r>
      <w:proofErr w:type="gramStart"/>
      <w:r>
        <w:t>42 U.S.C. § 12134.</w:t>
      </w:r>
      <w:proofErr w:type="gramEnd"/>
      <w:r>
        <w:t xml:space="preserve"> </w:t>
      </w:r>
    </w:p>
    <w:p w:rsidR="00FD2AA2" w:rsidRDefault="00FD2AA2" w:rsidP="00FD2AA2">
      <w:pPr>
        <w:pStyle w:val="Default"/>
        <w:spacing w:line="480" w:lineRule="auto"/>
        <w:ind w:firstLine="720"/>
      </w:pPr>
      <w:r>
        <w:t xml:space="preserve">Pursuant to this authority, the Attorney General issued the integration mandate: “A public entity shall administer services, programs, and activities in the most integrated setting appropriate to the needs of qualified individuals with disabilities.” </w:t>
      </w:r>
      <w:proofErr w:type="gramStart"/>
      <w:r>
        <w:t>28 C.F.R. § 35.130(d).</w:t>
      </w:r>
      <w:proofErr w:type="gramEnd"/>
      <w:r>
        <w:t xml:space="preserve"> The most integrated setting is “a setting that enables individuals with disabilities to interact with nondisabled persons to the fullest extent possible.” </w:t>
      </w:r>
      <w:proofErr w:type="gramStart"/>
      <w:r>
        <w:t>28 C.F.R. pt. 35, app. B at 690 (2015).</w:t>
      </w:r>
      <w:proofErr w:type="gramEnd"/>
      <w:r>
        <w:t xml:space="preserve"> The Attorney General also required that a public entity “make reasonable modifications in policies, practices, or procedures when the modifications are necessary </w:t>
      </w:r>
      <w:r>
        <w:lastRenderedPageBreak/>
        <w:t>to avoid discrimination on the basis of disability, unless the public entity can demonstrate that making the modifications would fundamentally alter the nature of the service, program, or activity.” 28 C.F.R. § 35.130(b</w:t>
      </w:r>
      <w:proofErr w:type="gramStart"/>
      <w:r>
        <w:t>)(</w:t>
      </w:r>
      <w:proofErr w:type="gramEnd"/>
      <w:r>
        <w:t xml:space="preserve">7). </w:t>
      </w:r>
    </w:p>
    <w:p w:rsidR="00FD2AA2" w:rsidRDefault="00FD2AA2" w:rsidP="00FD2AA2">
      <w:pPr>
        <w:pStyle w:val="Default"/>
        <w:spacing w:line="480" w:lineRule="auto"/>
        <w:ind w:firstLine="720"/>
      </w:pPr>
      <w:r>
        <w:t xml:space="preserve">In </w:t>
      </w:r>
      <w:r>
        <w:rPr>
          <w:i/>
          <w:iCs/>
        </w:rPr>
        <w:t>Olmstead</w:t>
      </w:r>
      <w:r>
        <w:t xml:space="preserve">, the Supreme Court held that, under the ADA and its regulations, “unjustified institutional isolation of persons with disabilities is a form of discrimination.” </w:t>
      </w:r>
      <w:proofErr w:type="gramStart"/>
      <w:r>
        <w:rPr>
          <w:i/>
          <w:iCs/>
        </w:rPr>
        <w:t xml:space="preserve">Olmstead </w:t>
      </w:r>
      <w:r>
        <w:rPr>
          <w:i/>
        </w:rPr>
        <w:t>v.</w:t>
      </w:r>
      <w:r>
        <w:t xml:space="preserve"> </w:t>
      </w:r>
      <w:r>
        <w:rPr>
          <w:i/>
          <w:iCs/>
        </w:rPr>
        <w:t>L.C.</w:t>
      </w:r>
      <w:r>
        <w:t>, 527 U.S. 581, 600 (1999).</w:t>
      </w:r>
      <w:proofErr w:type="gramEnd"/>
      <w:r>
        <w:t xml:space="preserve"> The Court reasoned that “institutional placement of persons who can handle and benefit from community settings perpetuates unwarranted assumptions that persons so isolated are incapable or unworthy of participating in community life.” </w:t>
      </w:r>
      <w:r>
        <w:rPr>
          <w:i/>
          <w:iCs/>
        </w:rPr>
        <w:t xml:space="preserve">Id. </w:t>
      </w:r>
      <w:r>
        <w:t xml:space="preserve">The Court also reasoned that “confinement in an institution severely diminishes the everyday life activities of individuals, including family relations, social contacts, work options, economic independence, educational advancement, and cultural enrichment.” </w:t>
      </w:r>
      <w:proofErr w:type="gramStart"/>
      <w:r>
        <w:rPr>
          <w:i/>
          <w:iCs/>
        </w:rPr>
        <w:t xml:space="preserve">Id. </w:t>
      </w:r>
      <w:r>
        <w:t>at 601.</w:t>
      </w:r>
      <w:proofErr w:type="gramEnd"/>
      <w:r>
        <w:t xml:space="preserve"> The Court concluded </w:t>
      </w:r>
      <w:r>
        <w:lastRenderedPageBreak/>
        <w:t xml:space="preserve">that individuals with disabilities are entitled to community-based services “when the State’s treatment professionals determine that such placement is appropriate, the affected persons do not oppose such treatment, and the placement can be reasonably accommodated, taking into account the resources available to the State and the needs of others with . . . disabilities.” </w:t>
      </w:r>
      <w:proofErr w:type="gramStart"/>
      <w:r>
        <w:rPr>
          <w:i/>
          <w:iCs/>
        </w:rPr>
        <w:t xml:space="preserve">Id. </w:t>
      </w:r>
      <w:r>
        <w:t>at 607 (plurality opinion).</w:t>
      </w:r>
      <w:proofErr w:type="gramEnd"/>
      <w:r>
        <w:t xml:space="preserve"> </w:t>
      </w:r>
    </w:p>
    <w:p w:rsidR="00FD2AA2" w:rsidRDefault="00FD2AA2" w:rsidP="00FD2AA2">
      <w:pPr>
        <w:spacing w:after="0" w:line="480" w:lineRule="auto"/>
        <w:ind w:firstLine="720"/>
        <w:rPr>
          <w:rFonts w:cs="Times New Roman"/>
          <w:szCs w:val="24"/>
        </w:rPr>
      </w:pPr>
      <w:r>
        <w:rPr>
          <w:rFonts w:cs="Times New Roman"/>
          <w:szCs w:val="24"/>
        </w:rPr>
        <w:t xml:space="preserve">Since </w:t>
      </w:r>
      <w:r>
        <w:rPr>
          <w:rFonts w:cs="Times New Roman"/>
          <w:i/>
          <w:iCs/>
          <w:szCs w:val="24"/>
        </w:rPr>
        <w:t>Olmstead</w:t>
      </w:r>
      <w:r>
        <w:rPr>
          <w:rFonts w:cs="Times New Roman"/>
          <w:szCs w:val="24"/>
        </w:rPr>
        <w:t xml:space="preserve">, the Department has issued guidance regarding Title II’s integration mandate. </w:t>
      </w:r>
      <w:r>
        <w:rPr>
          <w:rFonts w:cs="Times New Roman"/>
          <w:i/>
          <w:szCs w:val="24"/>
        </w:rPr>
        <w:t>See</w:t>
      </w:r>
      <w:r>
        <w:rPr>
          <w:rFonts w:cs="Times New Roman"/>
          <w:szCs w:val="24"/>
        </w:rPr>
        <w:t xml:space="preserve"> DOJ </w:t>
      </w:r>
      <w:r>
        <w:rPr>
          <w:rFonts w:cs="Times New Roman"/>
          <w:i/>
          <w:iCs/>
          <w:szCs w:val="24"/>
        </w:rPr>
        <w:t xml:space="preserve">Olmstead </w:t>
      </w:r>
      <w:r>
        <w:rPr>
          <w:rFonts w:cs="Times New Roman"/>
          <w:szCs w:val="24"/>
        </w:rPr>
        <w:t>Statement.</w:t>
      </w:r>
      <w:r>
        <w:rPr>
          <w:rStyle w:val="FootnoteReference"/>
          <w:rFonts w:cs="Times New Roman"/>
          <w:szCs w:val="24"/>
        </w:rPr>
        <w:footnoteReference w:id="3"/>
      </w:r>
      <w:r>
        <w:rPr>
          <w:rFonts w:cs="Times New Roman"/>
          <w:szCs w:val="24"/>
        </w:rPr>
        <w:t xml:space="preserve"> In that guidance, the Department states that “the ADA and the </w:t>
      </w:r>
      <w:r>
        <w:rPr>
          <w:rFonts w:cs="Times New Roman"/>
          <w:i/>
          <w:iCs/>
          <w:szCs w:val="24"/>
        </w:rPr>
        <w:t xml:space="preserve">Olmstead </w:t>
      </w:r>
      <w:r>
        <w:rPr>
          <w:rFonts w:cs="Times New Roman"/>
          <w:szCs w:val="24"/>
        </w:rPr>
        <w:t xml:space="preserve">decision extend to persons at serious risk of institutionalization or segregation and are not limited to individuals currently in institutional or other segregated settings. Individuals need not wait until the harm of </w:t>
      </w:r>
      <w:r>
        <w:rPr>
          <w:rFonts w:cs="Times New Roman"/>
          <w:szCs w:val="24"/>
        </w:rPr>
        <w:lastRenderedPageBreak/>
        <w:t xml:space="preserve">institutionalization or segregation occurs or is imminent.” </w:t>
      </w:r>
      <w:proofErr w:type="gramStart"/>
      <w:r>
        <w:rPr>
          <w:rFonts w:cs="Times New Roman"/>
          <w:i/>
          <w:iCs/>
          <w:szCs w:val="24"/>
        </w:rPr>
        <w:t xml:space="preserve">Id. </w:t>
      </w:r>
      <w:r>
        <w:rPr>
          <w:rFonts w:cs="Times New Roman"/>
          <w:szCs w:val="24"/>
        </w:rPr>
        <w:t>at Q &amp; A No. 6.</w:t>
      </w:r>
      <w:proofErr w:type="gramEnd"/>
      <w:r>
        <w:rPr>
          <w:rFonts w:cs="Times New Roman"/>
          <w:szCs w:val="24"/>
        </w:rPr>
        <w:t xml:space="preserve"> The guidance further explains that “</w:t>
      </w:r>
      <w:r>
        <w:t xml:space="preserve">a plaintiff could show sufficient risk of institutionalization to make out an </w:t>
      </w:r>
      <w:r>
        <w:rPr>
          <w:rStyle w:val="Emphasis"/>
        </w:rPr>
        <w:t>Olmstead</w:t>
      </w:r>
      <w:r>
        <w:t xml:space="preserve"> violation if a public entity’s failure to provide community services . . . will likely cause a decline in health, safety, or welfare that would lead to the individual’s eventual placement in an institution.” </w:t>
      </w:r>
      <w:r>
        <w:rPr>
          <w:i/>
        </w:rPr>
        <w:t>Id</w:t>
      </w:r>
      <w:r>
        <w:t>. </w:t>
      </w:r>
      <w:r>
        <w:rPr>
          <w:rFonts w:cs="Times New Roman"/>
          <w:szCs w:val="24"/>
        </w:rPr>
        <w:t xml:space="preserve">As the agency Congress has charged with issuing regulations under Title II, the Department of Justice’s regulations are “entitled to deference.” </w:t>
      </w:r>
      <w:proofErr w:type="spellStart"/>
      <w:r>
        <w:rPr>
          <w:rFonts w:cs="Times New Roman"/>
          <w:i/>
          <w:szCs w:val="24"/>
        </w:rPr>
        <w:t>Bragdon</w:t>
      </w:r>
      <w:proofErr w:type="spellEnd"/>
      <w:r>
        <w:rPr>
          <w:rFonts w:cs="Times New Roman"/>
          <w:i/>
          <w:szCs w:val="24"/>
        </w:rPr>
        <w:t xml:space="preserve"> v. Abbott</w:t>
      </w:r>
      <w:r>
        <w:rPr>
          <w:rFonts w:cs="Times New Roman"/>
          <w:szCs w:val="24"/>
        </w:rPr>
        <w:t xml:space="preserve">, 524 U.S. 624, 646 (1998); </w:t>
      </w:r>
      <w:r>
        <w:rPr>
          <w:rFonts w:cs="Times New Roman"/>
          <w:i/>
          <w:szCs w:val="24"/>
        </w:rPr>
        <w:t>see also Olmstead</w:t>
      </w:r>
      <w:r>
        <w:rPr>
          <w:rFonts w:cs="Times New Roman"/>
          <w:szCs w:val="24"/>
        </w:rPr>
        <w:t>, 527 U.S. at 597-98 (“Because the Department is the agency directed by Congress to issue regulations implementing Title II . . . its views warrant respect.”)</w:t>
      </w:r>
      <w:r>
        <w:rPr>
          <w:rFonts w:cs="Times New Roman"/>
          <w:color w:val="333333"/>
          <w:szCs w:val="24"/>
        </w:rPr>
        <w:t xml:space="preserve">. </w:t>
      </w:r>
      <w:r>
        <w:rPr>
          <w:rFonts w:cs="Times New Roman"/>
          <w:szCs w:val="24"/>
        </w:rPr>
        <w:t xml:space="preserve">An agency’s interpretation of its own regulation is “controlling unless plainly erroneous or inconsistent with the regulation.” </w:t>
      </w:r>
      <w:r>
        <w:rPr>
          <w:rFonts w:cs="Times New Roman"/>
          <w:i/>
          <w:szCs w:val="24"/>
        </w:rPr>
        <w:t>Auer v. Robbins</w:t>
      </w:r>
      <w:r>
        <w:rPr>
          <w:rFonts w:cs="Times New Roman"/>
          <w:szCs w:val="24"/>
        </w:rPr>
        <w:t xml:space="preserve">, 519 U.S. 452, 461 (1997); </w:t>
      </w:r>
      <w:proofErr w:type="spellStart"/>
      <w:r>
        <w:rPr>
          <w:rFonts w:cs="Times New Roman"/>
          <w:i/>
          <w:szCs w:val="24"/>
        </w:rPr>
        <w:t>Steimel</w:t>
      </w:r>
      <w:proofErr w:type="spellEnd"/>
      <w:r>
        <w:rPr>
          <w:rFonts w:cs="Times New Roman"/>
          <w:i/>
          <w:szCs w:val="24"/>
        </w:rPr>
        <w:t xml:space="preserve"> v. </w:t>
      </w:r>
      <w:proofErr w:type="spellStart"/>
      <w:r>
        <w:rPr>
          <w:rFonts w:cs="Times New Roman"/>
          <w:i/>
          <w:szCs w:val="24"/>
        </w:rPr>
        <w:t>Wernert</w:t>
      </w:r>
      <w:proofErr w:type="spellEnd"/>
      <w:r>
        <w:rPr>
          <w:rFonts w:cs="Times New Roman"/>
          <w:szCs w:val="24"/>
        </w:rPr>
        <w:t xml:space="preserve">, Nos. 15-2377, 15-2389, </w:t>
      </w:r>
      <w:r>
        <w:rPr>
          <w:rFonts w:cs="Times New Roman"/>
          <w:szCs w:val="24"/>
        </w:rPr>
        <w:lastRenderedPageBreak/>
        <w:t xml:space="preserve">2016 WL 2731505, at *6 (7th Cir. May 10, 2016) (granting </w:t>
      </w:r>
      <w:r>
        <w:rPr>
          <w:rFonts w:cs="Times New Roman"/>
          <w:i/>
          <w:szCs w:val="24"/>
        </w:rPr>
        <w:t>Auer</w:t>
      </w:r>
      <w:r>
        <w:rPr>
          <w:rFonts w:cs="Times New Roman"/>
          <w:szCs w:val="24"/>
        </w:rPr>
        <w:t xml:space="preserve"> deference to the Department’s </w:t>
      </w:r>
      <w:r>
        <w:rPr>
          <w:rFonts w:cs="Times New Roman"/>
          <w:i/>
          <w:szCs w:val="24"/>
        </w:rPr>
        <w:t>Olmstead</w:t>
      </w:r>
      <w:r>
        <w:rPr>
          <w:rFonts w:cs="Times New Roman"/>
          <w:szCs w:val="24"/>
        </w:rPr>
        <w:t xml:space="preserve"> guidance).</w:t>
      </w:r>
    </w:p>
    <w:p w:rsidR="00AF41E1" w:rsidRDefault="00AF41E1" w:rsidP="00FD2AA2">
      <w:pPr>
        <w:spacing w:after="0" w:line="480" w:lineRule="auto"/>
        <w:ind w:firstLine="720"/>
        <w:rPr>
          <w:rFonts w:cs="Times New Roman"/>
          <w:szCs w:val="24"/>
        </w:rPr>
      </w:pPr>
    </w:p>
    <w:p w:rsidR="00AF41E1" w:rsidRDefault="00AF41E1" w:rsidP="00FD2AA2">
      <w:pPr>
        <w:spacing w:after="0" w:line="480" w:lineRule="auto"/>
        <w:ind w:firstLine="720"/>
        <w:rPr>
          <w:rFonts w:cs="Times New Roman"/>
          <w:i/>
          <w:iCs/>
          <w:szCs w:val="24"/>
        </w:rPr>
      </w:pPr>
    </w:p>
    <w:p w:rsidR="00FD2AA2" w:rsidRDefault="00FD2AA2" w:rsidP="00FD2AA2">
      <w:pPr>
        <w:pStyle w:val="Heading1"/>
        <w:numPr>
          <w:ilvl w:val="0"/>
          <w:numId w:val="8"/>
        </w:numPr>
        <w:ind w:left="144" w:firstLine="0"/>
      </w:pPr>
      <w:r>
        <w:t>DISCUSSION</w:t>
      </w:r>
    </w:p>
    <w:p w:rsidR="00FD2AA2" w:rsidRDefault="00FD2AA2" w:rsidP="00FD2AA2">
      <w:pPr>
        <w:spacing w:after="0" w:line="240" w:lineRule="auto"/>
        <w:rPr>
          <w:rFonts w:cs="Times New Roman"/>
          <w:szCs w:val="24"/>
        </w:rPr>
      </w:pPr>
    </w:p>
    <w:p w:rsidR="00FD2AA2" w:rsidRDefault="00FD2AA2" w:rsidP="00FD2AA2">
      <w:pPr>
        <w:pStyle w:val="Heading2"/>
        <w:numPr>
          <w:ilvl w:val="0"/>
          <w:numId w:val="9"/>
        </w:numPr>
        <w:ind w:left="792"/>
      </w:pPr>
      <w:r>
        <w:t xml:space="preserve">A Serious Risk of Institutionalization, </w:t>
      </w:r>
      <w:r w:rsidR="004559B8">
        <w:t>EVEN WHEN</w:t>
      </w:r>
      <w:r>
        <w:t xml:space="preserve"> NOT</w:t>
      </w:r>
      <w:r w:rsidR="004559B8">
        <w:t xml:space="preserve"> </w:t>
      </w:r>
      <w:r>
        <w:t xml:space="preserve">IMMINENT, States a Claim Under the Integration Mandate. </w:t>
      </w:r>
    </w:p>
    <w:p w:rsidR="00FD2AA2" w:rsidRDefault="00FD2AA2" w:rsidP="00FD2AA2">
      <w:pPr>
        <w:spacing w:after="0" w:line="240" w:lineRule="auto"/>
        <w:ind w:firstLine="720"/>
        <w:rPr>
          <w:rFonts w:cs="Times New Roman"/>
          <w:szCs w:val="24"/>
        </w:rPr>
      </w:pPr>
    </w:p>
    <w:p w:rsidR="00FD2AA2" w:rsidRDefault="00FD2AA2" w:rsidP="00FD2AA2">
      <w:pPr>
        <w:spacing w:after="0" w:line="480" w:lineRule="auto"/>
        <w:ind w:firstLine="720"/>
        <w:rPr>
          <w:rFonts w:cs="Times New Roman"/>
          <w:szCs w:val="24"/>
        </w:rPr>
      </w:pPr>
      <w:r>
        <w:rPr>
          <w:rFonts w:cs="Times New Roman"/>
          <w:szCs w:val="24"/>
        </w:rPr>
        <w:t>Individuals with disabilities need not wait until they are institutionalized to assert a claim under Title II of the ADA, 42 U.S.C. § 12132, and its integration mandate, 28 C.F.R. § 35.130(d).</w:t>
      </w:r>
      <w:r>
        <w:rPr>
          <w:rStyle w:val="FootnoteReference"/>
          <w:rFonts w:cs="Times New Roman"/>
          <w:szCs w:val="24"/>
        </w:rPr>
        <w:footnoteReference w:id="4"/>
      </w:r>
      <w:r>
        <w:rPr>
          <w:rFonts w:cs="Times New Roman"/>
          <w:szCs w:val="24"/>
        </w:rPr>
        <w:t xml:space="preserve"> </w:t>
      </w:r>
      <w:r>
        <w:rPr>
          <w:szCs w:val="24"/>
        </w:rPr>
        <w:t xml:space="preserve">By their </w:t>
      </w:r>
      <w:r>
        <w:rPr>
          <w:szCs w:val="24"/>
        </w:rPr>
        <w:lastRenderedPageBreak/>
        <w:t xml:space="preserve">terms, neither the statute nor the integration regulation applies only to institutionalized individuals. Instead, the plain text of each protects the rights of all “qualified individuals with a disability.” </w:t>
      </w:r>
      <w:proofErr w:type="gramStart"/>
      <w:r>
        <w:rPr>
          <w:szCs w:val="24"/>
        </w:rPr>
        <w:t xml:space="preserve">28 C.F.R. </w:t>
      </w:r>
      <w:r>
        <w:rPr>
          <w:rFonts w:cs="Times New Roman"/>
          <w:szCs w:val="24"/>
        </w:rPr>
        <w:t>§ </w:t>
      </w:r>
      <w:r>
        <w:rPr>
          <w:szCs w:val="24"/>
        </w:rPr>
        <w:t>35.</w:t>
      </w:r>
      <w:proofErr w:type="gramEnd"/>
      <w:r>
        <w:rPr>
          <w:rFonts w:cs="Times New Roman"/>
          <w:szCs w:val="24"/>
        </w:rPr>
        <w:t xml:space="preserve"> </w:t>
      </w:r>
      <w:proofErr w:type="gramStart"/>
      <w:r>
        <w:rPr>
          <w:szCs w:val="24"/>
        </w:rPr>
        <w:t xml:space="preserve">130(d); 42 U.S.C. </w:t>
      </w:r>
      <w:r>
        <w:rPr>
          <w:rFonts w:cs="Times New Roman"/>
          <w:szCs w:val="24"/>
        </w:rPr>
        <w:t>§ </w:t>
      </w:r>
      <w:r>
        <w:rPr>
          <w:szCs w:val="24"/>
        </w:rPr>
        <w:t>12132.</w:t>
      </w:r>
      <w:proofErr w:type="gramEnd"/>
      <w:r>
        <w:rPr>
          <w:sz w:val="28"/>
          <w:szCs w:val="28"/>
        </w:rPr>
        <w:t xml:space="preserve"> </w:t>
      </w:r>
      <w:r>
        <w:rPr>
          <w:rFonts w:cs="Times New Roman"/>
          <w:szCs w:val="24"/>
        </w:rPr>
        <w:t>No appeals court to squarely address the issue has held otherwise.</w:t>
      </w:r>
      <w:r>
        <w:rPr>
          <w:rStyle w:val="FootnoteReference"/>
          <w:rFonts w:cs="Times New Roman"/>
          <w:szCs w:val="24"/>
        </w:rPr>
        <w:footnoteReference w:id="5"/>
      </w:r>
      <w:r>
        <w:rPr>
          <w:rFonts w:cs="Times New Roman"/>
          <w:szCs w:val="24"/>
        </w:rPr>
        <w:t xml:space="preserve"> </w:t>
      </w:r>
      <w:r>
        <w:rPr>
          <w:rFonts w:cs="Times New Roman"/>
          <w:i/>
          <w:szCs w:val="24"/>
        </w:rPr>
        <w:t>See</w:t>
      </w:r>
      <w:r>
        <w:rPr>
          <w:rFonts w:cs="Times New Roman"/>
          <w:szCs w:val="24"/>
        </w:rPr>
        <w:t xml:space="preserve"> </w:t>
      </w:r>
      <w:proofErr w:type="spellStart"/>
      <w:r>
        <w:rPr>
          <w:rFonts w:cs="Times New Roman"/>
          <w:i/>
          <w:szCs w:val="24"/>
        </w:rPr>
        <w:t>Steimel</w:t>
      </w:r>
      <w:proofErr w:type="spellEnd"/>
      <w:r>
        <w:rPr>
          <w:rFonts w:cs="Times New Roman"/>
          <w:i/>
          <w:szCs w:val="24"/>
        </w:rPr>
        <w:t xml:space="preserve"> v. </w:t>
      </w:r>
      <w:proofErr w:type="spellStart"/>
      <w:r>
        <w:rPr>
          <w:rFonts w:cs="Times New Roman"/>
          <w:i/>
          <w:szCs w:val="24"/>
        </w:rPr>
        <w:t>Wernert</w:t>
      </w:r>
      <w:proofErr w:type="spellEnd"/>
      <w:r>
        <w:rPr>
          <w:rFonts w:cs="Times New Roman"/>
          <w:szCs w:val="24"/>
        </w:rPr>
        <w:t>, Nos. 15-2377, 15-</w:t>
      </w:r>
      <w:r>
        <w:rPr>
          <w:rFonts w:cs="Times New Roman"/>
          <w:szCs w:val="24"/>
        </w:rPr>
        <w:lastRenderedPageBreak/>
        <w:t xml:space="preserve">2389, 2016 WL 2731505 at *6-7 (7th Cir. May 10, 2016); </w:t>
      </w:r>
      <w:r>
        <w:rPr>
          <w:rFonts w:cs="Times New Roman"/>
          <w:i/>
          <w:szCs w:val="24"/>
        </w:rPr>
        <w:t>Davis v. Shah</w:t>
      </w:r>
      <w:r>
        <w:rPr>
          <w:rFonts w:cs="Times New Roman"/>
          <w:szCs w:val="24"/>
        </w:rPr>
        <w:t xml:space="preserve">, 821 F.3d 231, 263 (2d Cir. 2015); </w:t>
      </w:r>
      <w:proofErr w:type="spellStart"/>
      <w:r>
        <w:rPr>
          <w:rFonts w:cs="Times New Roman"/>
          <w:i/>
          <w:iCs/>
          <w:szCs w:val="24"/>
        </w:rPr>
        <w:t>Pashby</w:t>
      </w:r>
      <w:proofErr w:type="spellEnd"/>
      <w:r>
        <w:rPr>
          <w:rFonts w:cs="Times New Roman"/>
          <w:szCs w:val="24"/>
        </w:rPr>
        <w:t xml:space="preserve"> </w:t>
      </w:r>
      <w:r>
        <w:rPr>
          <w:rFonts w:cs="Times New Roman"/>
          <w:i/>
          <w:szCs w:val="24"/>
        </w:rPr>
        <w:t>v.</w:t>
      </w:r>
      <w:r>
        <w:rPr>
          <w:rFonts w:cs="Times New Roman"/>
          <w:szCs w:val="24"/>
        </w:rPr>
        <w:t xml:space="preserve"> </w:t>
      </w:r>
      <w:r>
        <w:rPr>
          <w:rFonts w:cs="Times New Roman"/>
          <w:i/>
          <w:iCs/>
          <w:szCs w:val="24"/>
        </w:rPr>
        <w:t>Delia</w:t>
      </w:r>
      <w:r>
        <w:rPr>
          <w:rFonts w:cs="Times New Roman"/>
          <w:szCs w:val="24"/>
        </w:rPr>
        <w:t xml:space="preserve">, 709 F.3d 307, 322 (4th Cir. 2013); </w:t>
      </w:r>
      <w:r>
        <w:rPr>
          <w:rFonts w:cs="Times New Roman"/>
          <w:i/>
          <w:iCs/>
          <w:szCs w:val="24"/>
        </w:rPr>
        <w:t>M.R.</w:t>
      </w:r>
      <w:r>
        <w:rPr>
          <w:rFonts w:cs="Times New Roman"/>
          <w:szCs w:val="24"/>
        </w:rPr>
        <w:t xml:space="preserve"> </w:t>
      </w:r>
      <w:r>
        <w:rPr>
          <w:rFonts w:cs="Times New Roman"/>
          <w:i/>
          <w:szCs w:val="24"/>
        </w:rPr>
        <w:t xml:space="preserve">v. </w:t>
      </w:r>
      <w:r>
        <w:rPr>
          <w:rFonts w:cs="Times New Roman"/>
          <w:i/>
          <w:iCs/>
          <w:szCs w:val="24"/>
        </w:rPr>
        <w:t>Dreyfus</w:t>
      </w:r>
      <w:r>
        <w:rPr>
          <w:rFonts w:cs="Times New Roman"/>
          <w:szCs w:val="24"/>
        </w:rPr>
        <w:t xml:space="preserve">, 663 F.3d 1100 (9th Cir. 2011), </w:t>
      </w:r>
      <w:r>
        <w:rPr>
          <w:rFonts w:cs="Times New Roman"/>
          <w:i/>
          <w:szCs w:val="24"/>
        </w:rPr>
        <w:t>amended by</w:t>
      </w:r>
      <w:r>
        <w:rPr>
          <w:rFonts w:cs="Times New Roman"/>
          <w:szCs w:val="24"/>
        </w:rPr>
        <w:t xml:space="preserve"> 697 F.3d 706 (2012); </w:t>
      </w:r>
      <w:r>
        <w:rPr>
          <w:rFonts w:cs="Times New Roman"/>
          <w:i/>
          <w:iCs/>
          <w:szCs w:val="24"/>
        </w:rPr>
        <w:t>Fisher</w:t>
      </w:r>
      <w:r>
        <w:rPr>
          <w:rFonts w:cs="Times New Roman"/>
          <w:szCs w:val="24"/>
        </w:rPr>
        <w:t xml:space="preserve"> </w:t>
      </w:r>
      <w:r>
        <w:rPr>
          <w:rFonts w:cs="Times New Roman"/>
          <w:i/>
          <w:szCs w:val="24"/>
        </w:rPr>
        <w:t>v.</w:t>
      </w:r>
      <w:r>
        <w:rPr>
          <w:rFonts w:cs="Times New Roman"/>
          <w:szCs w:val="24"/>
        </w:rPr>
        <w:t xml:space="preserve"> </w:t>
      </w:r>
      <w:r>
        <w:rPr>
          <w:rFonts w:cs="Times New Roman"/>
          <w:i/>
          <w:iCs/>
          <w:szCs w:val="24"/>
        </w:rPr>
        <w:t>Oklahoma Health Care Auth.</w:t>
      </w:r>
      <w:r>
        <w:rPr>
          <w:rFonts w:cs="Times New Roman"/>
          <w:szCs w:val="24"/>
        </w:rPr>
        <w:t xml:space="preserve">, 335 F.3d 1175, 1181 (10th Cir. 2003). </w:t>
      </w:r>
    </w:p>
    <w:p w:rsidR="00FD2AA2" w:rsidRDefault="00FD2AA2" w:rsidP="00FD2AA2">
      <w:pPr>
        <w:pStyle w:val="Default"/>
        <w:spacing w:line="480" w:lineRule="auto"/>
        <w:ind w:firstLine="720"/>
      </w:pPr>
      <w:r>
        <w:t xml:space="preserve">In </w:t>
      </w:r>
      <w:r>
        <w:rPr>
          <w:i/>
          <w:iCs/>
        </w:rPr>
        <w:t>Fisher,</w:t>
      </w:r>
      <w:r>
        <w:t xml:space="preserve"> the Tenth Circuit held that “disabled persons </w:t>
      </w:r>
      <w:proofErr w:type="gramStart"/>
      <w:r>
        <w:t>who .</w:t>
      </w:r>
      <w:proofErr w:type="gramEnd"/>
      <w:r>
        <w:t xml:space="preserve"> . . stand imperiled with segregation” have standing to bring a claim “under the ADA’s integration regulation without first submitting to </w:t>
      </w:r>
      <w:r>
        <w:lastRenderedPageBreak/>
        <w:t xml:space="preserve">institutionalization.” </w:t>
      </w:r>
      <w:proofErr w:type="gramStart"/>
      <w:r>
        <w:t>335 F.3d at 1182.</w:t>
      </w:r>
      <w:proofErr w:type="gramEnd"/>
      <w:r>
        <w:t xml:space="preserve"> The court held that the state’s action placed the plaintiffs “at high risk for premature entry” to an institution. </w:t>
      </w:r>
      <w:proofErr w:type="gramStart"/>
      <w:r>
        <w:rPr>
          <w:i/>
          <w:iCs/>
        </w:rPr>
        <w:t xml:space="preserve">Id. </w:t>
      </w:r>
      <w:r>
        <w:t>at 1184 (internal quotation marks omitted).</w:t>
      </w:r>
      <w:proofErr w:type="gramEnd"/>
      <w:r>
        <w:t xml:space="preserve"> The </w:t>
      </w:r>
      <w:r>
        <w:rPr>
          <w:i/>
        </w:rPr>
        <w:t>Fisher</w:t>
      </w:r>
      <w:r>
        <w:t xml:space="preserve"> plaintiffs did not allege that the state’s action threatened them with immediate institutionalization; rather, they showed that it would lead many of them to remain in their homes “until their health ha[d] deteriorated,” leading them “</w:t>
      </w:r>
      <w:r>
        <w:rPr>
          <w:rStyle w:val="Emphasis"/>
        </w:rPr>
        <w:t>eventually</w:t>
      </w:r>
      <w:r>
        <w:t xml:space="preserve"> [to] end up in a nursing home.” </w:t>
      </w:r>
      <w:r>
        <w:rPr>
          <w:i/>
        </w:rPr>
        <w:t>Id</w:t>
      </w:r>
      <w:r>
        <w:t>. at 1185 (emphasis added) (internal quotation marks omitted).</w:t>
      </w:r>
    </w:p>
    <w:p w:rsidR="00FD2AA2" w:rsidRDefault="00FD2AA2" w:rsidP="00FD2AA2">
      <w:pPr>
        <w:pStyle w:val="Default"/>
        <w:spacing w:line="480" w:lineRule="auto"/>
        <w:ind w:firstLine="720"/>
      </w:pPr>
      <w:r>
        <w:t xml:space="preserve">In </w:t>
      </w:r>
      <w:r>
        <w:rPr>
          <w:i/>
          <w:iCs/>
        </w:rPr>
        <w:t>M.R.</w:t>
      </w:r>
      <w:r>
        <w:t>, the Ninth Circuit held that “[</w:t>
      </w:r>
      <w:proofErr w:type="gramStart"/>
      <w:r>
        <w:t>a]n ADA plaintiff need</w:t>
      </w:r>
      <w:proofErr w:type="gramEnd"/>
      <w:r>
        <w:t xml:space="preserve"> not show that institutionalization is ‘inevitable’ or that she has ‘no choice’ but to submit to institutional care to state a violation of the integration mandate. Rather, a plaintiff need only show that the challenged state action creates a serious risk of institutionalization.” </w:t>
      </w:r>
      <w:proofErr w:type="gramStart"/>
      <w:r>
        <w:t>663 F.3d at 1116.</w:t>
      </w:r>
      <w:proofErr w:type="gramEnd"/>
      <w:r>
        <w:t xml:space="preserve"> </w:t>
      </w:r>
      <w:r w:rsidR="001D3DBE">
        <w:t xml:space="preserve">The </w:t>
      </w:r>
      <w:r w:rsidR="001D3DBE" w:rsidRPr="001D3DBE">
        <w:rPr>
          <w:i/>
        </w:rPr>
        <w:t>M.R</w:t>
      </w:r>
      <w:r w:rsidR="001D3DBE">
        <w:t xml:space="preserve">. court </w:t>
      </w:r>
      <w:r w:rsidR="00464E95">
        <w:t>observed</w:t>
      </w:r>
      <w:r w:rsidR="001D3DBE">
        <w:t xml:space="preserve"> that </w:t>
      </w:r>
      <w:r w:rsidR="00464E95">
        <w:t xml:space="preserve">the </w:t>
      </w:r>
      <w:r w:rsidR="001D3DBE">
        <w:t>services</w:t>
      </w:r>
      <w:r w:rsidR="00464E95">
        <w:t xml:space="preserve"> plaintiffs stood to lose, including</w:t>
      </w:r>
      <w:r w:rsidR="001D3DBE">
        <w:t xml:space="preserve"> supervision and assistance with medication </w:t>
      </w:r>
      <w:r w:rsidR="001D3DBE">
        <w:lastRenderedPageBreak/>
        <w:t xml:space="preserve">management, transportation, cleaning, shopping, and meal preparation, </w:t>
      </w:r>
      <w:r w:rsidR="00464E95">
        <w:t xml:space="preserve">“relate[d] intimately to their mental and physical health,” and held that deterioration was a “predictable consequence[]” of reducing services, placing them at serious risk of institutionalization. </w:t>
      </w:r>
      <w:proofErr w:type="gramStart"/>
      <w:r w:rsidR="00464E95" w:rsidRPr="00464E95">
        <w:rPr>
          <w:i/>
        </w:rPr>
        <w:t>Id</w:t>
      </w:r>
      <w:r w:rsidR="00464E95">
        <w:t>. at 1115.</w:t>
      </w:r>
      <w:proofErr w:type="gramEnd"/>
      <w:r w:rsidR="00464E95">
        <w:t xml:space="preserve"> </w:t>
      </w:r>
      <w:r>
        <w:t xml:space="preserve">The court concluded that </w:t>
      </w:r>
      <w:r w:rsidR="000605ED">
        <w:t xml:space="preserve">allowing at-risk </w:t>
      </w:r>
      <w:r w:rsidR="000605ED" w:rsidRPr="000605ED">
        <w:rPr>
          <w:i/>
        </w:rPr>
        <w:t>Olmstead</w:t>
      </w:r>
      <w:r w:rsidR="000605ED">
        <w:t xml:space="preserve"> claims </w:t>
      </w:r>
      <w:r>
        <w:t xml:space="preserve">“is not only reasonable; it also better effectuates the purpose of the ADA.” </w:t>
      </w:r>
      <w:r>
        <w:rPr>
          <w:i/>
          <w:iCs/>
        </w:rPr>
        <w:t xml:space="preserve">Id. </w:t>
      </w:r>
      <w:r>
        <w:t xml:space="preserve">at 1117-18. </w:t>
      </w:r>
    </w:p>
    <w:p w:rsidR="00FD2AA2" w:rsidRDefault="00FD2AA2" w:rsidP="00FD2AA2">
      <w:pPr>
        <w:pStyle w:val="Default"/>
        <w:spacing w:line="480" w:lineRule="auto"/>
        <w:ind w:firstLine="720"/>
      </w:pPr>
      <w:r>
        <w:t xml:space="preserve">In </w:t>
      </w:r>
      <w:proofErr w:type="spellStart"/>
      <w:r>
        <w:rPr>
          <w:i/>
          <w:iCs/>
        </w:rPr>
        <w:t>Pashby</w:t>
      </w:r>
      <w:proofErr w:type="spellEnd"/>
      <w:r>
        <w:t xml:space="preserve">, the Fourth Circuit held that individuals who “face a risk of institutionalization” and “must enter institutions to </w:t>
      </w:r>
      <w:proofErr w:type="gramStart"/>
      <w:r>
        <w:t>obtain .</w:t>
      </w:r>
      <w:proofErr w:type="gramEnd"/>
      <w:r>
        <w:t xml:space="preserve"> . . services for which they qualify” have standing to bring an ADA claim. </w:t>
      </w:r>
      <w:proofErr w:type="gramStart"/>
      <w:r>
        <w:t>709 F.3d at 322.</w:t>
      </w:r>
      <w:proofErr w:type="gramEnd"/>
      <w:r>
        <w:t xml:space="preserve"> Plaintiffs’ claims that they “‘may,’ ‘might,’ ‘probably’ would, or were ‘likely’ to enter” an institution were sufficient to allege a serious risk of institutionalization. </w:t>
      </w:r>
      <w:r>
        <w:rPr>
          <w:i/>
        </w:rPr>
        <w:t>Id</w:t>
      </w:r>
      <w:r>
        <w:t xml:space="preserve">. The court also was “especially swayed by DOJ’s determination that ‘the ADA and the </w:t>
      </w:r>
      <w:r>
        <w:rPr>
          <w:i/>
          <w:iCs/>
        </w:rPr>
        <w:t xml:space="preserve">Olmstead </w:t>
      </w:r>
      <w:r>
        <w:t xml:space="preserve">decision extend to persons at serious risk of institutionalization or segregation and are not limited to individuals currently in institutional or other segregated settings.’” </w:t>
      </w:r>
      <w:proofErr w:type="gramStart"/>
      <w:r>
        <w:rPr>
          <w:i/>
          <w:iCs/>
        </w:rPr>
        <w:t xml:space="preserve">Id. </w:t>
      </w:r>
      <w:r>
        <w:t xml:space="preserve">(quoting the DOJ </w:t>
      </w:r>
      <w:r>
        <w:rPr>
          <w:i/>
          <w:iCs/>
        </w:rPr>
        <w:t xml:space="preserve">Olmstead </w:t>
      </w:r>
      <w:r>
        <w:t>Statement).</w:t>
      </w:r>
      <w:proofErr w:type="gramEnd"/>
      <w:r>
        <w:t xml:space="preserve"> </w:t>
      </w:r>
    </w:p>
    <w:p w:rsidR="00FD2AA2" w:rsidRDefault="00FD2AA2" w:rsidP="00FD2AA2">
      <w:pPr>
        <w:spacing w:after="0" w:line="480" w:lineRule="auto"/>
        <w:ind w:firstLine="720"/>
        <w:rPr>
          <w:rFonts w:cs="Times New Roman"/>
          <w:szCs w:val="24"/>
        </w:rPr>
      </w:pPr>
      <w:r>
        <w:rPr>
          <w:rFonts w:cs="Times New Roman"/>
          <w:szCs w:val="24"/>
        </w:rPr>
        <w:t xml:space="preserve">In short, allegations that a public entity’s actions have placed a plaintiff at serious risk of institutionalization or segregation state a claim under Title II and the integration mandate, even when institutionalization is not imminent. This standard best effectuates the broad prohibition of discrimination against individuals with disabilities in public services under Title II, the integration mandate, and </w:t>
      </w:r>
      <w:r>
        <w:rPr>
          <w:rFonts w:cs="Times New Roman"/>
          <w:i/>
          <w:iCs/>
          <w:szCs w:val="24"/>
        </w:rPr>
        <w:t>Olmstead</w:t>
      </w:r>
      <w:r>
        <w:rPr>
          <w:rFonts w:cs="Times New Roman"/>
          <w:szCs w:val="24"/>
        </w:rPr>
        <w:t xml:space="preserve">. The standard also implements the Department’s reasonable interpretation of its own regulation and comports with the five courts of appeals decisions that have squarely addressed the issue. </w:t>
      </w:r>
    </w:p>
    <w:p w:rsidR="00FD2AA2" w:rsidRDefault="00FD2AA2" w:rsidP="00FD2AA2">
      <w:pPr>
        <w:pStyle w:val="Heading2"/>
        <w:numPr>
          <w:ilvl w:val="0"/>
          <w:numId w:val="9"/>
        </w:numPr>
        <w:ind w:left="792"/>
      </w:pPr>
      <w:proofErr w:type="gramStart"/>
      <w:r>
        <w:t>A STATE’S ADMINISTRATION OF SERVICES MAY GIVE RISE TO AN AT-RISK CLAIM.</w:t>
      </w:r>
      <w:proofErr w:type="gramEnd"/>
    </w:p>
    <w:p w:rsidR="00FD2AA2" w:rsidRDefault="00FD2AA2" w:rsidP="00FD2AA2">
      <w:pPr>
        <w:pStyle w:val="Heading2"/>
        <w:numPr>
          <w:ilvl w:val="0"/>
          <w:numId w:val="0"/>
        </w:numPr>
        <w:ind w:left="792"/>
      </w:pPr>
      <w:r>
        <w:t xml:space="preserve"> </w:t>
      </w:r>
    </w:p>
    <w:p w:rsidR="00FD2AA2" w:rsidRDefault="00FD2AA2" w:rsidP="00FD2AA2">
      <w:pPr>
        <w:spacing w:after="0" w:line="480" w:lineRule="auto"/>
        <w:ind w:firstLine="720"/>
        <w:rPr>
          <w:rFonts w:cs="Times New Roman"/>
          <w:szCs w:val="24"/>
        </w:rPr>
      </w:pPr>
      <w:r>
        <w:rPr>
          <w:rFonts w:cs="Times New Roman"/>
          <w:szCs w:val="24"/>
        </w:rPr>
        <w:t xml:space="preserve">Defendants correctly state that at-risk </w:t>
      </w:r>
      <w:r>
        <w:rPr>
          <w:rFonts w:cs="Times New Roman"/>
          <w:i/>
          <w:szCs w:val="24"/>
        </w:rPr>
        <w:t>Olmstead</w:t>
      </w:r>
      <w:r>
        <w:rPr>
          <w:rFonts w:cs="Times New Roman"/>
          <w:szCs w:val="24"/>
        </w:rPr>
        <w:t xml:space="preserve"> claims are only viable when a serious risk of institutionalization is “caused by a state action or a change in state policy.” </w:t>
      </w:r>
      <w:proofErr w:type="gramStart"/>
      <w:r>
        <w:rPr>
          <w:rFonts w:cs="Times New Roman"/>
          <w:szCs w:val="24"/>
        </w:rPr>
        <w:t>Mot.</w:t>
      </w:r>
      <w:proofErr w:type="gramEnd"/>
      <w:r>
        <w:rPr>
          <w:rFonts w:cs="Times New Roman"/>
          <w:szCs w:val="24"/>
        </w:rPr>
        <w:t xml:space="preserve"> </w:t>
      </w:r>
      <w:proofErr w:type="gramStart"/>
      <w:r>
        <w:rPr>
          <w:rFonts w:cs="Times New Roman"/>
          <w:szCs w:val="24"/>
        </w:rPr>
        <w:t>to</w:t>
      </w:r>
      <w:proofErr w:type="gramEnd"/>
      <w:r>
        <w:rPr>
          <w:rFonts w:cs="Times New Roman"/>
          <w:szCs w:val="24"/>
        </w:rPr>
        <w:t xml:space="preserve"> Dismiss 23. </w:t>
      </w:r>
      <w:r>
        <w:t>But defendants fail to apprehend that a state’s administration, operation, and funding of services, including decisions to deny services, constitute state action.</w:t>
      </w:r>
      <w:r>
        <w:rPr>
          <w:rFonts w:cs="Times New Roman"/>
          <w:szCs w:val="24"/>
        </w:rPr>
        <w:t xml:space="preserve"> Defendants also attempt to distinguish the instant case from appellate case law upholding the viability of at-risk </w:t>
      </w:r>
      <w:r>
        <w:rPr>
          <w:rFonts w:cs="Times New Roman"/>
          <w:i/>
          <w:szCs w:val="24"/>
        </w:rPr>
        <w:t>Olmstead</w:t>
      </w:r>
      <w:r>
        <w:rPr>
          <w:rFonts w:cs="Times New Roman"/>
          <w:szCs w:val="24"/>
        </w:rPr>
        <w:t xml:space="preserve"> claims on the ground that those cases arose from service reductions rather than service denials. </w:t>
      </w:r>
      <w:r>
        <w:rPr>
          <w:rFonts w:cs="Times New Roman"/>
          <w:i/>
          <w:szCs w:val="24"/>
        </w:rPr>
        <w:t>Id</w:t>
      </w:r>
      <w:r>
        <w:rPr>
          <w:rFonts w:cs="Times New Roman"/>
          <w:szCs w:val="24"/>
        </w:rPr>
        <w:t xml:space="preserve">. 21-23. </w:t>
      </w:r>
    </w:p>
    <w:p w:rsidR="00FD2AA2" w:rsidRDefault="00FD2AA2" w:rsidP="00FD2AA2">
      <w:pPr>
        <w:spacing w:after="0" w:line="480" w:lineRule="auto"/>
        <w:ind w:firstLine="720"/>
        <w:rPr>
          <w:rFonts w:cs="Times New Roman"/>
          <w:szCs w:val="24"/>
        </w:rPr>
      </w:pPr>
      <w:r>
        <w:rPr>
          <w:rFonts w:cs="Times New Roman"/>
          <w:szCs w:val="24"/>
        </w:rPr>
        <w:t>Plaintiffs need not allege changes to pre-existing home- and community-based services to establish a claim that they are at serious risk of institutionalization. Nothing in the text of the Title II regulations suggests that they apply only to changes in a public entity’s administration of services, programs, or activities. The regulations require public entities to “administer services, programs, and activities in the most integrated setting appropriate to the needs of qualified individuals with disabilities,” 42 U.S.C. § 35.130(d)</w:t>
      </w:r>
      <w:r w:rsidR="00B0368C">
        <w:rPr>
          <w:rFonts w:cs="Times New Roman"/>
          <w:szCs w:val="24"/>
        </w:rPr>
        <w:t xml:space="preserve">. The regulations also </w:t>
      </w:r>
      <w:r>
        <w:rPr>
          <w:rFonts w:cs="Times New Roman"/>
          <w:szCs w:val="24"/>
        </w:rPr>
        <w:t xml:space="preserve">prohibit discriminatory “methods of administration.” </w:t>
      </w:r>
      <w:r>
        <w:rPr>
          <w:rFonts w:cs="Times New Roman"/>
          <w:i/>
          <w:szCs w:val="24"/>
        </w:rPr>
        <w:t>Id</w:t>
      </w:r>
      <w:r>
        <w:rPr>
          <w:rFonts w:cs="Times New Roman"/>
          <w:szCs w:val="24"/>
        </w:rPr>
        <w:t>. at § 35.130(b</w:t>
      </w:r>
      <w:proofErr w:type="gramStart"/>
      <w:r>
        <w:rPr>
          <w:rFonts w:cs="Times New Roman"/>
          <w:szCs w:val="24"/>
        </w:rPr>
        <w:t>)(</w:t>
      </w:r>
      <w:proofErr w:type="gramEnd"/>
      <w:r>
        <w:rPr>
          <w:rFonts w:cs="Times New Roman"/>
          <w:szCs w:val="24"/>
        </w:rPr>
        <w:t xml:space="preserve">3). Similarly, the Department’s interpretation of the integration mandate explains that it “is implicated where a public entity administers its programs in a manner that results in unjustified segregation of persons with disabilities,” including by operating, financing, and planning a service system. </w:t>
      </w:r>
      <w:proofErr w:type="gramStart"/>
      <w:r>
        <w:rPr>
          <w:rFonts w:cs="Times New Roman"/>
          <w:szCs w:val="24"/>
        </w:rPr>
        <w:t xml:space="preserve">DOJ </w:t>
      </w:r>
      <w:r>
        <w:rPr>
          <w:rFonts w:cs="Times New Roman"/>
          <w:i/>
          <w:iCs/>
          <w:szCs w:val="24"/>
        </w:rPr>
        <w:t xml:space="preserve">Olmstead </w:t>
      </w:r>
      <w:r>
        <w:rPr>
          <w:rFonts w:cs="Times New Roman"/>
          <w:szCs w:val="24"/>
        </w:rPr>
        <w:t>Statement, Q &amp; A No. 2.</w:t>
      </w:r>
      <w:proofErr w:type="gramEnd"/>
      <w:r>
        <w:rPr>
          <w:rFonts w:cs="Times New Roman"/>
          <w:szCs w:val="24"/>
        </w:rPr>
        <w:t xml:space="preserve"> The Department’s </w:t>
      </w:r>
      <w:r>
        <w:rPr>
          <w:rFonts w:cs="Times New Roman"/>
          <w:i/>
          <w:szCs w:val="24"/>
        </w:rPr>
        <w:t>Olmstead</w:t>
      </w:r>
      <w:r>
        <w:rPr>
          <w:rFonts w:cs="Times New Roman"/>
          <w:szCs w:val="24"/>
        </w:rPr>
        <w:t xml:space="preserve"> guidance further clarifies that “a plaintiff could show sufficient risk of institutionalization to make out an </w:t>
      </w:r>
      <w:r>
        <w:rPr>
          <w:rStyle w:val="Emphasis"/>
          <w:rFonts w:cs="Times New Roman"/>
          <w:szCs w:val="24"/>
        </w:rPr>
        <w:t>Olmstead</w:t>
      </w:r>
      <w:r>
        <w:rPr>
          <w:rFonts w:cs="Times New Roman"/>
          <w:szCs w:val="24"/>
        </w:rPr>
        <w:t xml:space="preserve"> violation if a public entity’s failure to provide community services </w:t>
      </w:r>
      <w:r>
        <w:rPr>
          <w:rFonts w:cs="Times New Roman"/>
          <w:i/>
          <w:szCs w:val="24"/>
        </w:rPr>
        <w:t>or</w:t>
      </w:r>
      <w:r>
        <w:rPr>
          <w:rFonts w:cs="Times New Roman"/>
          <w:szCs w:val="24"/>
        </w:rPr>
        <w:t xml:space="preserve"> its cut to such services will likely cause a decline in health, safety, or welfare that would lead to the individual’s eventual placement in an institution.” </w:t>
      </w:r>
      <w:r>
        <w:rPr>
          <w:rFonts w:cs="Times New Roman"/>
          <w:i/>
          <w:szCs w:val="24"/>
        </w:rPr>
        <w:t>Id</w:t>
      </w:r>
      <w:r>
        <w:rPr>
          <w:rFonts w:cs="Times New Roman"/>
          <w:szCs w:val="24"/>
        </w:rPr>
        <w:t xml:space="preserve">., Q &amp; A No. 6 (emphasis added). The conjunction “or” in the guidance makes clear that a state’s ongoing administration of services, including a continuing denial of services, may give rise to an at-risk claim. </w:t>
      </w:r>
    </w:p>
    <w:p w:rsidR="00FD2AA2" w:rsidRDefault="00FD2AA2" w:rsidP="00FD2AA2">
      <w:pPr>
        <w:spacing w:after="0" w:line="480" w:lineRule="auto"/>
        <w:rPr>
          <w:szCs w:val="24"/>
        </w:rPr>
      </w:pPr>
      <w:r>
        <w:rPr>
          <w:rFonts w:cs="Times New Roman"/>
          <w:szCs w:val="24"/>
        </w:rPr>
        <w:tab/>
        <w:t xml:space="preserve">Claims that a state’s ongoing denial of home- and community-based services places plaintiffs at serious risk of institutionalization inherently allege state action. </w:t>
      </w:r>
      <w:r>
        <w:rPr>
          <w:szCs w:val="24"/>
        </w:rPr>
        <w:t>Although the appellate decisions applying the integration mandate</w:t>
      </w:r>
      <w:r>
        <w:t xml:space="preserve"> to individuals at serious risk of institutionalization arose from policy changes, these cases did not hold that at-risk claims are limited to serious risks caused by policy changes. They offer no support for </w:t>
      </w:r>
      <w:r w:rsidR="00B0368C">
        <w:t xml:space="preserve">dismissing a plaintiff’s at-risk claim that arose from </w:t>
      </w:r>
      <w:r>
        <w:t xml:space="preserve">a state’s </w:t>
      </w:r>
      <w:r w:rsidR="00B0368C">
        <w:t xml:space="preserve">ongoing </w:t>
      </w:r>
      <w:r>
        <w:t>denial of services.</w:t>
      </w:r>
      <w:r>
        <w:rPr>
          <w:szCs w:val="24"/>
        </w:rPr>
        <w:t xml:space="preserve"> To the contrary, </w:t>
      </w:r>
      <w:r>
        <w:rPr>
          <w:rFonts w:cs="Times New Roman"/>
          <w:szCs w:val="24"/>
        </w:rPr>
        <w:t xml:space="preserve">the logic animating the courts of appeals’ decisions, which permitted </w:t>
      </w:r>
      <w:r>
        <w:rPr>
          <w:rFonts w:cs="Times New Roman"/>
          <w:i/>
          <w:szCs w:val="24"/>
        </w:rPr>
        <w:t>Olmstead</w:t>
      </w:r>
      <w:r>
        <w:rPr>
          <w:rFonts w:cs="Times New Roman"/>
          <w:szCs w:val="24"/>
        </w:rPr>
        <w:t xml:space="preserve"> claims by </w:t>
      </w:r>
      <w:r>
        <w:rPr>
          <w:szCs w:val="24"/>
        </w:rPr>
        <w:t xml:space="preserve">non-institutionalized </w:t>
      </w:r>
      <w:r>
        <w:rPr>
          <w:rFonts w:cs="Times New Roman"/>
          <w:szCs w:val="24"/>
        </w:rPr>
        <w:t xml:space="preserve">individuals receiving waiver services, applies with equal force to claims brought by </w:t>
      </w:r>
      <w:r>
        <w:rPr>
          <w:szCs w:val="24"/>
        </w:rPr>
        <w:t>non-institutionalized</w:t>
      </w:r>
      <w:r>
        <w:rPr>
          <w:rFonts w:cs="Times New Roman"/>
          <w:szCs w:val="24"/>
        </w:rPr>
        <w:t xml:space="preserve"> individuals on wait lists for these services. </w:t>
      </w:r>
      <w:r>
        <w:rPr>
          <w:rFonts w:cs="Times New Roman"/>
          <w:i/>
          <w:szCs w:val="24"/>
        </w:rPr>
        <w:t>See</w:t>
      </w:r>
      <w:r>
        <w:rPr>
          <w:rFonts w:cs="Times New Roman"/>
          <w:szCs w:val="24"/>
        </w:rPr>
        <w:t xml:space="preserve">, </w:t>
      </w:r>
      <w:r>
        <w:rPr>
          <w:rFonts w:cs="Times New Roman"/>
          <w:i/>
          <w:szCs w:val="24"/>
        </w:rPr>
        <w:t>e.g</w:t>
      </w:r>
      <w:r>
        <w:rPr>
          <w:rFonts w:cs="Times New Roman"/>
          <w:szCs w:val="24"/>
        </w:rPr>
        <w:t xml:space="preserve">., </w:t>
      </w:r>
      <w:r>
        <w:rPr>
          <w:rFonts w:cs="Times New Roman"/>
          <w:i/>
          <w:szCs w:val="24"/>
        </w:rPr>
        <w:t>Fisher</w:t>
      </w:r>
      <w:r>
        <w:rPr>
          <w:rFonts w:cs="Times New Roman"/>
          <w:szCs w:val="24"/>
        </w:rPr>
        <w:t xml:space="preserve">, 335 F.3d at 1181 (holding that </w:t>
      </w:r>
      <w:r>
        <w:t xml:space="preserve">the integration mandate “would be meaningless if plaintiffs were required to segregate themselves by entering an institution before they could challenge an allegedly discriminatory law or policy that threatens to force them into segregated isolation.”). </w:t>
      </w:r>
    </w:p>
    <w:p w:rsidR="00FD2AA2" w:rsidRDefault="00FD2AA2" w:rsidP="00FD2AA2">
      <w:pPr>
        <w:spacing w:after="0" w:line="480" w:lineRule="auto"/>
        <w:ind w:firstLine="720"/>
        <w:rPr>
          <w:rFonts w:cs="Times New Roman"/>
          <w:szCs w:val="24"/>
        </w:rPr>
      </w:pPr>
      <w:r>
        <w:rPr>
          <w:rFonts w:cs="Times New Roman"/>
          <w:szCs w:val="24"/>
        </w:rPr>
        <w:t xml:space="preserve">Indeed, lower courts have recognized that, by placing individuals at serious risk of institutionalization, service denials may give rise to an </w:t>
      </w:r>
      <w:r>
        <w:rPr>
          <w:rFonts w:cs="Times New Roman"/>
          <w:i/>
          <w:szCs w:val="24"/>
        </w:rPr>
        <w:t>Olmstead</w:t>
      </w:r>
      <w:r>
        <w:rPr>
          <w:rFonts w:cs="Times New Roman"/>
          <w:szCs w:val="24"/>
        </w:rPr>
        <w:t xml:space="preserve"> claim. </w:t>
      </w:r>
      <w:r>
        <w:rPr>
          <w:rFonts w:cs="Times New Roman"/>
          <w:i/>
          <w:szCs w:val="24"/>
        </w:rPr>
        <w:t>See</w:t>
      </w:r>
      <w:r>
        <w:rPr>
          <w:rFonts w:cs="Times New Roman"/>
          <w:szCs w:val="24"/>
        </w:rPr>
        <w:t xml:space="preserve">, </w:t>
      </w:r>
      <w:r>
        <w:rPr>
          <w:rFonts w:cs="Times New Roman"/>
          <w:i/>
          <w:szCs w:val="24"/>
        </w:rPr>
        <w:t>e.g.</w:t>
      </w:r>
      <w:r>
        <w:rPr>
          <w:rFonts w:cs="Times New Roman"/>
          <w:szCs w:val="24"/>
        </w:rPr>
        <w:t xml:space="preserve">, </w:t>
      </w:r>
      <w:r>
        <w:rPr>
          <w:rFonts w:cs="Times New Roman"/>
          <w:i/>
          <w:szCs w:val="24"/>
        </w:rPr>
        <w:t>Haddad v. Arnold</w:t>
      </w:r>
      <w:r>
        <w:rPr>
          <w:rFonts w:cs="Times New Roman"/>
          <w:szCs w:val="24"/>
        </w:rPr>
        <w:t xml:space="preserve">, 784 F. Supp. 2d 1284, 1291, 1295 (M.D. Fla. 2010) (holding that the plaintiff, who was on a wait list for home- and community-based services, was likely to succeed on the merits of her </w:t>
      </w:r>
      <w:r>
        <w:rPr>
          <w:rFonts w:cs="Times New Roman"/>
          <w:i/>
          <w:szCs w:val="24"/>
        </w:rPr>
        <w:t>Olmstead</w:t>
      </w:r>
      <w:r>
        <w:rPr>
          <w:rFonts w:cs="Times New Roman"/>
          <w:szCs w:val="24"/>
        </w:rPr>
        <w:t xml:space="preserve"> claim because allegations that her volunteer family caregivers were “unable to provide . . . services to Plaintiff indefinitely” described “a real and immediate threat of future injury” “</w:t>
      </w:r>
      <w:r>
        <w:t>purportedly caused by the Defendants’ actions.”</w:t>
      </w:r>
      <w:r>
        <w:rPr>
          <w:rFonts w:cs="Times New Roman"/>
          <w:szCs w:val="24"/>
        </w:rPr>
        <w:t xml:space="preserve">); </w:t>
      </w:r>
      <w:r>
        <w:rPr>
          <w:rFonts w:cs="Times New Roman"/>
          <w:i/>
          <w:szCs w:val="24"/>
        </w:rPr>
        <w:t xml:space="preserve">Cruz v. </w:t>
      </w:r>
      <w:proofErr w:type="spellStart"/>
      <w:r>
        <w:rPr>
          <w:rFonts w:cs="Times New Roman"/>
          <w:i/>
          <w:szCs w:val="24"/>
        </w:rPr>
        <w:t>Dudek</w:t>
      </w:r>
      <w:proofErr w:type="spellEnd"/>
      <w:r>
        <w:rPr>
          <w:rFonts w:cs="Times New Roman"/>
          <w:szCs w:val="24"/>
        </w:rPr>
        <w:t xml:space="preserve">, No. 10-cv-23088, </w:t>
      </w:r>
      <w:r>
        <w:t>2010 WL 4284955, at</w:t>
      </w:r>
      <w:r>
        <w:rPr>
          <w:rFonts w:cs="Times New Roman"/>
          <w:szCs w:val="24"/>
        </w:rPr>
        <w:t xml:space="preserve"> *11-12 (S.D. Fla. Oct. 12, 2010) (holding that plaintiff on a wait list for home- and community-based services who relied on the support of friends and family to remain at home showed a likelihood of success on his at-risk </w:t>
      </w:r>
      <w:r>
        <w:rPr>
          <w:rFonts w:cs="Times New Roman"/>
          <w:i/>
          <w:szCs w:val="24"/>
        </w:rPr>
        <w:t>Olmstead</w:t>
      </w:r>
      <w:r>
        <w:rPr>
          <w:rFonts w:cs="Times New Roman"/>
          <w:szCs w:val="24"/>
        </w:rPr>
        <w:t xml:space="preserve"> claim); </w:t>
      </w:r>
      <w:r>
        <w:rPr>
          <w:rFonts w:cs="Times New Roman"/>
          <w:i/>
          <w:szCs w:val="24"/>
        </w:rPr>
        <w:t>Long v. Benson</w:t>
      </w:r>
      <w:r>
        <w:rPr>
          <w:rFonts w:cs="Times New Roman"/>
          <w:szCs w:val="24"/>
        </w:rPr>
        <w:t xml:space="preserve">, No. 4:08-cv-26, </w:t>
      </w:r>
      <w:r>
        <w:t xml:space="preserve">2008 WL 4571903 (N.D. Fla. Oct. 14, 2008), </w:t>
      </w:r>
      <w:proofErr w:type="spellStart"/>
      <w:r>
        <w:rPr>
          <w:i/>
        </w:rPr>
        <w:t>aff’d</w:t>
      </w:r>
      <w:proofErr w:type="spellEnd"/>
      <w:r>
        <w:t xml:space="preserve"> 383 Fed. </w:t>
      </w:r>
      <w:proofErr w:type="spellStart"/>
      <w:proofErr w:type="gramStart"/>
      <w:r>
        <w:t>Appx</w:t>
      </w:r>
      <w:proofErr w:type="spellEnd"/>
      <w:r>
        <w:t>.</w:t>
      </w:r>
      <w:proofErr w:type="gramEnd"/>
      <w:r>
        <w:t xml:space="preserve"> 930 (11th Cir. 2010) </w:t>
      </w:r>
      <w:r>
        <w:rPr>
          <w:rFonts w:cs="Times New Roman"/>
          <w:szCs w:val="24"/>
        </w:rPr>
        <w:t xml:space="preserve">(same); </w:t>
      </w:r>
      <w:r>
        <w:rPr>
          <w:rFonts w:cs="Times New Roman"/>
          <w:i/>
          <w:szCs w:val="24"/>
        </w:rPr>
        <w:t>Makin ex rel. Russell v. Hawaii</w:t>
      </w:r>
      <w:r>
        <w:rPr>
          <w:rFonts w:cs="Times New Roman"/>
          <w:szCs w:val="24"/>
        </w:rPr>
        <w:t>, 114 F.Supp.2d 1017, 1034 (D. Haw. 1999) (denying summary judgment and holding that “</w:t>
      </w:r>
      <w:r>
        <w:t>denying individuals [on a wait list for home- and community-based services] a choice between institutional and home-based care violates the ADA non-discrimination policy since it unnecessarily segregates the individuals.”</w:t>
      </w:r>
      <w:r>
        <w:rPr>
          <w:rFonts w:cs="Times New Roman"/>
          <w:szCs w:val="24"/>
        </w:rPr>
        <w:t xml:space="preserve">); </w:t>
      </w:r>
      <w:r>
        <w:rPr>
          <w:rFonts w:cs="Times New Roman"/>
          <w:i/>
          <w:szCs w:val="24"/>
        </w:rPr>
        <w:t>Ball v. Rodgers</w:t>
      </w:r>
      <w:r>
        <w:rPr>
          <w:rFonts w:cs="Times New Roman"/>
          <w:szCs w:val="24"/>
        </w:rPr>
        <w:t xml:space="preserve">, No. 00-cv-67, </w:t>
      </w:r>
      <w:r>
        <w:t xml:space="preserve">2009 WL 1395423, at *5 (D. Ariz. Apr. 24, 2009) (holding that the state’s “failure to prevent unnecessary gaps in service and properly monitor the [home- and community-based services] program improperly discriminated against persons with disabilities by limiting their ability to maintain their social and economic independence and depriving them of a real choice between home and institutional care.”); </w:t>
      </w:r>
      <w:r>
        <w:rPr>
          <w:rFonts w:cs="Times New Roman"/>
          <w:i/>
          <w:szCs w:val="24"/>
        </w:rPr>
        <w:t xml:space="preserve">M.A.C. v. </w:t>
      </w:r>
      <w:proofErr w:type="spellStart"/>
      <w:r>
        <w:rPr>
          <w:rFonts w:cs="Times New Roman"/>
          <w:i/>
          <w:szCs w:val="24"/>
        </w:rPr>
        <w:t>Betit</w:t>
      </w:r>
      <w:proofErr w:type="spellEnd"/>
      <w:r>
        <w:rPr>
          <w:rFonts w:cs="Times New Roman"/>
          <w:szCs w:val="24"/>
        </w:rPr>
        <w:t xml:space="preserve">, 284 F. Supp. 2d 1298, 1309 (D. Utah 2003) (denying motion to dismiss and holding that “placement of Plaintiffs on the </w:t>
      </w:r>
      <w:r>
        <w:t xml:space="preserve">[home- and community-based services] </w:t>
      </w:r>
      <w:r>
        <w:rPr>
          <w:rFonts w:cs="Times New Roman"/>
          <w:szCs w:val="24"/>
        </w:rPr>
        <w:t xml:space="preserve">waiver waiting list threatens Plaintiffs with institutionalization because it forces Plaintiffs to choose between staying in the community without any services or entering an institution in order to receive services.”). </w:t>
      </w:r>
    </w:p>
    <w:p w:rsidR="00FD2AA2" w:rsidRDefault="00FD2AA2" w:rsidP="00FD2AA2">
      <w:pPr>
        <w:pStyle w:val="Heading2"/>
        <w:numPr>
          <w:ilvl w:val="0"/>
          <w:numId w:val="9"/>
        </w:numPr>
        <w:ind w:left="792"/>
      </w:pPr>
      <w:r>
        <w:t xml:space="preserve">AT-RISK CLAIMs are NOT INCONSISTENT WITH </w:t>
      </w:r>
      <w:r>
        <w:rPr>
          <w:i/>
        </w:rPr>
        <w:t>OLMSTEAD</w:t>
      </w:r>
      <w:r>
        <w:t>’s “APPROPRIATE” AND “REASONABLE MODIFICATION” PRONGS.</w:t>
      </w:r>
    </w:p>
    <w:p w:rsidR="00FD2AA2" w:rsidRDefault="00FD2AA2" w:rsidP="00FD2AA2">
      <w:pPr>
        <w:spacing w:after="0" w:line="240" w:lineRule="auto"/>
        <w:rPr>
          <w:rFonts w:cs="Times New Roman"/>
          <w:szCs w:val="24"/>
        </w:rPr>
      </w:pPr>
    </w:p>
    <w:p w:rsidR="00FD2AA2" w:rsidRDefault="00FD2AA2" w:rsidP="00FD2AA2">
      <w:pPr>
        <w:spacing w:after="0" w:line="480" w:lineRule="auto"/>
        <w:ind w:firstLine="720"/>
        <w:rPr>
          <w:rFonts w:cs="Times New Roman"/>
          <w:szCs w:val="24"/>
        </w:rPr>
      </w:pPr>
      <w:r>
        <w:rPr>
          <w:rFonts w:cs="Times New Roman"/>
          <w:szCs w:val="24"/>
        </w:rPr>
        <w:t>Defendants argue that this Court is unable to perform a complete analysis of plaintiffs’ claims because the</w:t>
      </w:r>
      <w:r w:rsidR="00B9576B">
        <w:rPr>
          <w:rFonts w:cs="Times New Roman"/>
          <w:szCs w:val="24"/>
        </w:rPr>
        <w:t>y</w:t>
      </w:r>
      <w:r>
        <w:rPr>
          <w:rFonts w:cs="Times New Roman"/>
          <w:szCs w:val="24"/>
        </w:rPr>
        <w:t xml:space="preserve"> do not identify a “</w:t>
      </w:r>
      <w:r>
        <w:rPr>
          <w:rFonts w:cs="Times New Roman"/>
          <w:i/>
          <w:szCs w:val="24"/>
        </w:rPr>
        <w:t>specific</w:t>
      </w:r>
      <w:r>
        <w:rPr>
          <w:rFonts w:cs="Times New Roman"/>
          <w:szCs w:val="24"/>
        </w:rPr>
        <w:t xml:space="preserve"> community placement” they seek as a reasonable modification</w:t>
      </w:r>
      <w:r w:rsidR="00B9576B">
        <w:rPr>
          <w:rFonts w:cs="Times New Roman"/>
          <w:szCs w:val="24"/>
        </w:rPr>
        <w:t xml:space="preserve">. </w:t>
      </w:r>
      <w:proofErr w:type="gramStart"/>
      <w:r w:rsidR="00B9576B">
        <w:rPr>
          <w:rFonts w:cs="Times New Roman"/>
          <w:szCs w:val="24"/>
        </w:rPr>
        <w:t>Mot.</w:t>
      </w:r>
      <w:proofErr w:type="gramEnd"/>
      <w:r w:rsidR="00B9576B">
        <w:rPr>
          <w:rFonts w:cs="Times New Roman"/>
          <w:szCs w:val="24"/>
        </w:rPr>
        <w:t xml:space="preserve"> </w:t>
      </w:r>
      <w:proofErr w:type="gramStart"/>
      <w:r w:rsidR="00B9576B">
        <w:rPr>
          <w:rFonts w:cs="Times New Roman"/>
          <w:szCs w:val="24"/>
        </w:rPr>
        <w:t>to</w:t>
      </w:r>
      <w:proofErr w:type="gramEnd"/>
      <w:r w:rsidR="00B9576B">
        <w:rPr>
          <w:rFonts w:cs="Times New Roman"/>
          <w:szCs w:val="24"/>
        </w:rPr>
        <w:t xml:space="preserve"> Dismiss 20-21. They also argue that, because</w:t>
      </w:r>
      <w:r>
        <w:rPr>
          <w:rFonts w:cs="Times New Roman"/>
          <w:szCs w:val="24"/>
        </w:rPr>
        <w:t xml:space="preserve"> the State’s treatment professionals have not evaluated and deemed the</w:t>
      </w:r>
      <w:r w:rsidR="00B9576B">
        <w:rPr>
          <w:rFonts w:cs="Times New Roman"/>
          <w:szCs w:val="24"/>
        </w:rPr>
        <w:t xml:space="preserve"> plaintiffs</w:t>
      </w:r>
      <w:r>
        <w:rPr>
          <w:rFonts w:cs="Times New Roman"/>
          <w:szCs w:val="24"/>
        </w:rPr>
        <w:t xml:space="preserve"> appropriate for community placement</w:t>
      </w:r>
      <w:r w:rsidR="00B9576B">
        <w:rPr>
          <w:rFonts w:cs="Times New Roman"/>
          <w:szCs w:val="24"/>
        </w:rPr>
        <w:t xml:space="preserve">, the </w:t>
      </w:r>
      <w:r w:rsidR="00B0368C">
        <w:rPr>
          <w:rFonts w:cs="Times New Roman"/>
          <w:szCs w:val="24"/>
        </w:rPr>
        <w:t>C</w:t>
      </w:r>
      <w:r w:rsidR="00B9576B">
        <w:rPr>
          <w:rFonts w:cs="Times New Roman"/>
          <w:szCs w:val="24"/>
        </w:rPr>
        <w:t>ourt cannot determine whether living in the community with waiver services is the most integrated setting appropriate to their needs</w:t>
      </w:r>
      <w:r>
        <w:rPr>
          <w:rFonts w:cs="Times New Roman"/>
          <w:szCs w:val="24"/>
        </w:rPr>
        <w:t xml:space="preserve">. </w:t>
      </w:r>
      <w:r w:rsidR="00B9576B" w:rsidRPr="00B9576B">
        <w:rPr>
          <w:rFonts w:cs="Times New Roman"/>
          <w:i/>
          <w:szCs w:val="24"/>
        </w:rPr>
        <w:t>Id</w:t>
      </w:r>
      <w:r>
        <w:rPr>
          <w:rFonts w:cs="Times New Roman"/>
          <w:szCs w:val="24"/>
        </w:rPr>
        <w:t xml:space="preserve">. </w:t>
      </w:r>
    </w:p>
    <w:p w:rsidR="00FD2AA2" w:rsidRDefault="00FD2AA2" w:rsidP="00FD2AA2">
      <w:pPr>
        <w:spacing w:after="0" w:line="480" w:lineRule="auto"/>
        <w:ind w:firstLine="720"/>
        <w:rPr>
          <w:szCs w:val="24"/>
        </w:rPr>
      </w:pPr>
      <w:r>
        <w:rPr>
          <w:szCs w:val="24"/>
        </w:rPr>
        <w:t xml:space="preserve">First, </w:t>
      </w:r>
      <w:r w:rsidR="006417FE">
        <w:rPr>
          <w:rFonts w:cs="Times New Roman"/>
          <w:szCs w:val="24"/>
        </w:rPr>
        <w:t xml:space="preserve">plaintiffs allege that they </w:t>
      </w:r>
      <w:r w:rsidR="006417FE" w:rsidRPr="008D6835">
        <w:rPr>
          <w:rFonts w:cs="Times New Roman"/>
          <w:szCs w:val="24"/>
        </w:rPr>
        <w:t>wish to remain at home</w:t>
      </w:r>
      <w:r w:rsidR="003A1EF6">
        <w:rPr>
          <w:rFonts w:cs="Times New Roman"/>
          <w:szCs w:val="24"/>
        </w:rPr>
        <w:t>,</w:t>
      </w:r>
      <w:r w:rsidR="003A1EF6" w:rsidRPr="003A1EF6">
        <w:rPr>
          <w:rFonts w:cs="Times New Roman"/>
          <w:szCs w:val="24"/>
        </w:rPr>
        <w:t xml:space="preserve"> </w:t>
      </w:r>
      <w:r w:rsidR="003A1EF6" w:rsidRPr="008D6835">
        <w:rPr>
          <w:rFonts w:cs="Times New Roman"/>
          <w:szCs w:val="24"/>
        </w:rPr>
        <w:t xml:space="preserve">or </w:t>
      </w:r>
      <w:r w:rsidR="003A1EF6">
        <w:rPr>
          <w:rFonts w:cs="Times New Roman"/>
          <w:szCs w:val="24"/>
        </w:rPr>
        <w:t xml:space="preserve">to </w:t>
      </w:r>
      <w:r w:rsidR="003A1EF6" w:rsidRPr="008D6835">
        <w:rPr>
          <w:rFonts w:cs="Times New Roman"/>
          <w:szCs w:val="24"/>
        </w:rPr>
        <w:t>move into a home or apartment in the community</w:t>
      </w:r>
      <w:r w:rsidR="003A1EF6">
        <w:rPr>
          <w:rFonts w:cs="Times New Roman"/>
          <w:szCs w:val="24"/>
        </w:rPr>
        <w:t>,</w:t>
      </w:r>
      <w:r w:rsidR="006417FE" w:rsidRPr="008D6835">
        <w:rPr>
          <w:rFonts w:cs="Times New Roman"/>
          <w:szCs w:val="24"/>
        </w:rPr>
        <w:t xml:space="preserve"> with the supportive services </w:t>
      </w:r>
      <w:r w:rsidR="006417FE">
        <w:rPr>
          <w:rFonts w:cs="Times New Roman"/>
          <w:szCs w:val="24"/>
        </w:rPr>
        <w:t>they need</w:t>
      </w:r>
      <w:r w:rsidR="006417FE" w:rsidRPr="008D6835">
        <w:rPr>
          <w:rFonts w:cs="Times New Roman"/>
          <w:szCs w:val="24"/>
        </w:rPr>
        <w:t xml:space="preserve">. </w:t>
      </w:r>
      <w:proofErr w:type="spellStart"/>
      <w:proofErr w:type="gramStart"/>
      <w:r w:rsidR="006417FE" w:rsidRPr="008D6835">
        <w:rPr>
          <w:rFonts w:cs="Times New Roman"/>
          <w:szCs w:val="24"/>
        </w:rPr>
        <w:t>Compl</w:t>
      </w:r>
      <w:proofErr w:type="spellEnd"/>
      <w:r w:rsidR="006417FE" w:rsidRPr="008D6835">
        <w:rPr>
          <w:rFonts w:cs="Times New Roman"/>
          <w:szCs w:val="24"/>
        </w:rPr>
        <w:t>.</w:t>
      </w:r>
      <w:proofErr w:type="gramEnd"/>
      <w:r w:rsidR="006417FE" w:rsidRPr="008D6835">
        <w:rPr>
          <w:rFonts w:cs="Times New Roman"/>
          <w:szCs w:val="24"/>
        </w:rPr>
        <w:t xml:space="preserve"> at ¶ 58 (“Mr. </w:t>
      </w:r>
      <w:proofErr w:type="spellStart"/>
      <w:r w:rsidR="006417FE" w:rsidRPr="008D6835">
        <w:rPr>
          <w:rFonts w:cs="Times New Roman"/>
          <w:szCs w:val="24"/>
        </w:rPr>
        <w:t>Narowitz</w:t>
      </w:r>
      <w:proofErr w:type="spellEnd"/>
      <w:r w:rsidR="006417FE" w:rsidRPr="008D6835">
        <w:rPr>
          <w:rFonts w:cs="Times New Roman"/>
          <w:szCs w:val="24"/>
        </w:rPr>
        <w:t xml:space="preserve"> wants to continue living at home with his parents or in a home or apartment in his community.”); ¶ 61 (“Mr. Hamilton wants to continue living with his mother or in a home or a</w:t>
      </w:r>
      <w:r w:rsidR="006417FE">
        <w:rPr>
          <w:rFonts w:cs="Times New Roman"/>
          <w:szCs w:val="24"/>
        </w:rPr>
        <w:t>partment in the community.”); 59</w:t>
      </w:r>
      <w:r w:rsidR="006417FE" w:rsidRPr="008D6835">
        <w:rPr>
          <w:rFonts w:cs="Times New Roman"/>
          <w:szCs w:val="24"/>
        </w:rPr>
        <w:t xml:space="preserve"> (requesting </w:t>
      </w:r>
      <w:r w:rsidR="006417FE">
        <w:rPr>
          <w:rFonts w:cs="Times New Roman"/>
          <w:szCs w:val="24"/>
        </w:rPr>
        <w:t>a reasonable modification</w:t>
      </w:r>
      <w:r w:rsidR="006417FE" w:rsidRPr="008D6835">
        <w:rPr>
          <w:rFonts w:cs="Times New Roman"/>
          <w:szCs w:val="24"/>
        </w:rPr>
        <w:t xml:space="preserve"> in the form of expanded home- and community-based services</w:t>
      </w:r>
      <w:r w:rsidR="006417FE">
        <w:rPr>
          <w:rFonts w:cs="Times New Roman"/>
          <w:szCs w:val="24"/>
        </w:rPr>
        <w:t xml:space="preserve"> “as required by the members of the Plaintiff class to avoid or prevent unnecessary </w:t>
      </w:r>
      <w:proofErr w:type="gramStart"/>
      <w:r w:rsidR="006417FE">
        <w:rPr>
          <w:rFonts w:cs="Times New Roman"/>
          <w:szCs w:val="24"/>
        </w:rPr>
        <w:t>institutionalization .</w:t>
      </w:r>
      <w:proofErr w:type="gramEnd"/>
      <w:r w:rsidR="006417FE">
        <w:rPr>
          <w:rFonts w:cs="Times New Roman"/>
          <w:szCs w:val="24"/>
        </w:rPr>
        <w:t xml:space="preserve"> . . .”). </w:t>
      </w:r>
      <w:r w:rsidR="006417FE">
        <w:rPr>
          <w:szCs w:val="24"/>
        </w:rPr>
        <w:t>A</w:t>
      </w:r>
      <w:r>
        <w:rPr>
          <w:szCs w:val="24"/>
        </w:rPr>
        <w:t xml:space="preserve"> plaintiff’s burden in pleading a reasonable modification “need not be onerous. </w:t>
      </w:r>
      <w:r>
        <w:t xml:space="preserve">For the purposes of a prima facie showing, the plaintiff must merely suggest the existence of a plausible [modification], the costs of which, facially, do not clearly exceed its benefits.” </w:t>
      </w:r>
      <w:proofErr w:type="spellStart"/>
      <w:proofErr w:type="gramStart"/>
      <w:r>
        <w:rPr>
          <w:i/>
        </w:rPr>
        <w:t>Cehrs</w:t>
      </w:r>
      <w:proofErr w:type="spellEnd"/>
      <w:r>
        <w:rPr>
          <w:i/>
        </w:rPr>
        <w:t xml:space="preserve"> v. Northeast Ohio Alzheimer’s Research Ctr</w:t>
      </w:r>
      <w:r>
        <w:t>., 155 F.3d 775, 781 (6th Cir. 1998).</w:t>
      </w:r>
      <w:proofErr w:type="gramEnd"/>
      <w:r>
        <w:t xml:space="preserve"> </w:t>
      </w:r>
      <w:r>
        <w:rPr>
          <w:szCs w:val="24"/>
        </w:rPr>
        <w:t xml:space="preserve">Courts commonly hold that delivering services in the community is a reasonable modification of a disability service system. </w:t>
      </w:r>
      <w:proofErr w:type="gramStart"/>
      <w:r>
        <w:rPr>
          <w:i/>
          <w:szCs w:val="24"/>
        </w:rPr>
        <w:t>See</w:t>
      </w:r>
      <w:r>
        <w:rPr>
          <w:szCs w:val="24"/>
        </w:rPr>
        <w:t xml:space="preserve">, </w:t>
      </w:r>
      <w:r>
        <w:rPr>
          <w:i/>
          <w:szCs w:val="24"/>
        </w:rPr>
        <w:t>e.g</w:t>
      </w:r>
      <w:r>
        <w:rPr>
          <w:szCs w:val="24"/>
        </w:rPr>
        <w:t xml:space="preserve">., </w:t>
      </w:r>
      <w:r>
        <w:rPr>
          <w:rFonts w:cs="Times New Roman"/>
          <w:i/>
          <w:szCs w:val="24"/>
        </w:rPr>
        <w:t>Pa. Protection &amp; Advocacy, Inc. v. Pa. Dep’t of Public Welfare</w:t>
      </w:r>
      <w:r>
        <w:rPr>
          <w:rFonts w:cs="Times New Roman"/>
          <w:szCs w:val="24"/>
        </w:rPr>
        <w:t xml:space="preserve">, 402 F.3d 374, 384-85 (3d Cir. 2005); </w:t>
      </w:r>
      <w:r>
        <w:rPr>
          <w:rFonts w:cs="Times New Roman"/>
          <w:i/>
          <w:szCs w:val="24"/>
        </w:rPr>
        <w:t>Fisher</w:t>
      </w:r>
      <w:r>
        <w:rPr>
          <w:rFonts w:cs="Times New Roman"/>
          <w:szCs w:val="24"/>
        </w:rPr>
        <w:t xml:space="preserve">, 335 F.3d at 1182-83; </w:t>
      </w:r>
      <w:r>
        <w:rPr>
          <w:rFonts w:cs="Times New Roman"/>
          <w:i/>
          <w:szCs w:val="24"/>
        </w:rPr>
        <w:t>Disability Advocates, Inc. v. Paterson</w:t>
      </w:r>
      <w:r>
        <w:rPr>
          <w:rFonts w:cs="Times New Roman"/>
          <w:szCs w:val="24"/>
        </w:rPr>
        <w:t xml:space="preserve">, </w:t>
      </w:r>
      <w:r>
        <w:rPr>
          <w:rFonts w:cs="Times New Roman"/>
          <w:i/>
          <w:szCs w:val="24"/>
        </w:rPr>
        <w:t>et al</w:t>
      </w:r>
      <w:r>
        <w:rPr>
          <w:rFonts w:cs="Times New Roman"/>
          <w:szCs w:val="24"/>
        </w:rPr>
        <w:t xml:space="preserve">., 653 F. Supp. 2d 184, 301 (E.D.N.Y. Sept. 8, 2009), </w:t>
      </w:r>
      <w:r>
        <w:rPr>
          <w:rFonts w:cs="Times New Roman"/>
          <w:i/>
          <w:szCs w:val="24"/>
        </w:rPr>
        <w:t>vacated on other grounds</w:t>
      </w:r>
      <w:r>
        <w:rPr>
          <w:rFonts w:cs="Times New Roman"/>
          <w:szCs w:val="24"/>
        </w:rPr>
        <w:t>, 675 F.3d 149 (2d Cir. 2012).</w:t>
      </w:r>
      <w:proofErr w:type="gramEnd"/>
      <w:r w:rsidR="006417FE">
        <w:rPr>
          <w:rFonts w:cs="Times New Roman"/>
          <w:szCs w:val="24"/>
        </w:rPr>
        <w:t xml:space="preserve"> </w:t>
      </w:r>
      <w:r w:rsidR="00506A9A">
        <w:rPr>
          <w:rFonts w:cs="Times New Roman"/>
          <w:szCs w:val="24"/>
        </w:rPr>
        <w:t>But t</w:t>
      </w:r>
      <w:r w:rsidR="006417FE">
        <w:rPr>
          <w:rFonts w:cs="Times New Roman"/>
          <w:szCs w:val="24"/>
        </w:rPr>
        <w:t xml:space="preserve">he reasonableness of a proposed modification is </w:t>
      </w:r>
      <w:r w:rsidR="0043187A">
        <w:rPr>
          <w:rFonts w:cs="Times New Roman"/>
          <w:szCs w:val="24"/>
        </w:rPr>
        <w:t xml:space="preserve">a </w:t>
      </w:r>
      <w:r w:rsidR="006417FE">
        <w:rPr>
          <w:rFonts w:cs="Times New Roman"/>
          <w:szCs w:val="24"/>
        </w:rPr>
        <w:t>highly fact-specific</w:t>
      </w:r>
      <w:r w:rsidR="00231394">
        <w:rPr>
          <w:rFonts w:cs="Times New Roman"/>
          <w:szCs w:val="24"/>
        </w:rPr>
        <w:t xml:space="preserve"> inquiry, </w:t>
      </w:r>
      <w:r w:rsidR="00231394" w:rsidRPr="00231394">
        <w:rPr>
          <w:rFonts w:cs="Times New Roman"/>
          <w:i/>
          <w:szCs w:val="24"/>
        </w:rPr>
        <w:t>Anderson v. City of Blue Ash</w:t>
      </w:r>
      <w:r w:rsidR="00231394">
        <w:rPr>
          <w:rFonts w:cs="Times New Roman"/>
          <w:szCs w:val="24"/>
        </w:rPr>
        <w:t xml:space="preserve">, 798 F.3d 338, 356 (6th Cir. 2015), not well-suited to resolution on a motion to dismiss. </w:t>
      </w:r>
      <w:proofErr w:type="gramStart"/>
      <w:r w:rsidR="00231394" w:rsidRPr="000414A1">
        <w:rPr>
          <w:rFonts w:cs="Times New Roman"/>
          <w:i/>
          <w:szCs w:val="24"/>
        </w:rPr>
        <w:t>Martin v. Taft</w:t>
      </w:r>
      <w:r w:rsidR="00231394">
        <w:rPr>
          <w:rFonts w:cs="Times New Roman"/>
          <w:szCs w:val="24"/>
        </w:rPr>
        <w:t>, 222 F. Supp. 2d 940, 974 (6th Cir. 2002).</w:t>
      </w:r>
      <w:proofErr w:type="gramEnd"/>
    </w:p>
    <w:p w:rsidR="00FD2AA2" w:rsidRDefault="00FD2AA2" w:rsidP="00FD2AA2">
      <w:pPr>
        <w:spacing w:after="0" w:line="480" w:lineRule="auto"/>
        <w:ind w:firstLine="720"/>
        <w:rPr>
          <w:rFonts w:cs="Times New Roman"/>
          <w:szCs w:val="24"/>
        </w:rPr>
      </w:pPr>
      <w:r>
        <w:rPr>
          <w:rFonts w:cs="Times New Roman"/>
          <w:szCs w:val="24"/>
        </w:rPr>
        <w:t xml:space="preserve">Second, </w:t>
      </w:r>
      <w:r>
        <w:rPr>
          <w:rFonts w:cs="Times New Roman"/>
          <w:i/>
          <w:szCs w:val="24"/>
        </w:rPr>
        <w:t>Olmstead</w:t>
      </w:r>
      <w:r>
        <w:rPr>
          <w:rFonts w:cs="Times New Roman"/>
          <w:szCs w:val="24"/>
        </w:rPr>
        <w:t xml:space="preserve"> does not limit the evidence that may establish an individual’s appropriateness for community placement to </w:t>
      </w:r>
      <w:r w:rsidR="0043187A">
        <w:rPr>
          <w:rFonts w:cs="Times New Roman"/>
          <w:szCs w:val="24"/>
        </w:rPr>
        <w:t xml:space="preserve">the opinions of </w:t>
      </w:r>
      <w:r>
        <w:rPr>
          <w:rFonts w:cs="Times New Roman"/>
          <w:szCs w:val="24"/>
        </w:rPr>
        <w:t xml:space="preserve">a state’s treatment professionals. </w:t>
      </w:r>
      <w:r>
        <w:t xml:space="preserve">The </w:t>
      </w:r>
      <w:r>
        <w:rPr>
          <w:rStyle w:val="Emphasis"/>
        </w:rPr>
        <w:t>Olmstead</w:t>
      </w:r>
      <w:r>
        <w:t xml:space="preserve"> Court, in a case involving individuals residing in a state-operated psychiatric hospital, explained that “the State generally may rely on the reasonable assessments of </w:t>
      </w:r>
      <w:r w:rsidRPr="00C9198A">
        <w:rPr>
          <w:rStyle w:val="Emphasis"/>
          <w:i w:val="0"/>
        </w:rPr>
        <w:t>its own professionals</w:t>
      </w:r>
      <w:r w:rsidRPr="00C9198A">
        <w:rPr>
          <w:i/>
        </w:rPr>
        <w:t xml:space="preserve"> </w:t>
      </w:r>
      <w:r w:rsidRPr="00C9198A">
        <w:t>in determining whether an individual</w:t>
      </w:r>
      <w:r w:rsidRPr="00C9198A">
        <w:rPr>
          <w:i/>
        </w:rPr>
        <w:t xml:space="preserve"> </w:t>
      </w:r>
      <w:r w:rsidRPr="00C9198A">
        <w:rPr>
          <w:rStyle w:val="Emphasis"/>
          <w:i w:val="0"/>
        </w:rPr>
        <w:t xml:space="preserve">meets the essential eligibility requirements </w:t>
      </w:r>
      <w:r w:rsidRPr="00C9198A">
        <w:t>for habilitation</w:t>
      </w:r>
      <w:r w:rsidRPr="00C9198A">
        <w:rPr>
          <w:i/>
        </w:rPr>
        <w:t xml:space="preserve"> </w:t>
      </w:r>
      <w:r w:rsidRPr="00C9198A">
        <w:rPr>
          <w:rStyle w:val="Emphasis"/>
          <w:i w:val="0"/>
        </w:rPr>
        <w:t>in a community-based program</w:t>
      </w:r>
      <w:r>
        <w:rPr>
          <w:i/>
        </w:rPr>
        <w:t>.</w:t>
      </w:r>
      <w:r>
        <w:t xml:space="preserve">” </w:t>
      </w:r>
      <w:proofErr w:type="gramStart"/>
      <w:r w:rsidRPr="00FD2AA2">
        <w:t>527 U.S. at 602</w:t>
      </w:r>
      <w:r>
        <w:t>.</w:t>
      </w:r>
      <w:proofErr w:type="gramEnd"/>
      <w:r>
        <w:t xml:space="preserve"> This does not </w:t>
      </w:r>
      <w:r w:rsidR="003A1EF6">
        <w:t>bar</w:t>
      </w:r>
      <w:r>
        <w:t xml:space="preserve"> </w:t>
      </w:r>
      <w:r w:rsidR="003A1EF6">
        <w:rPr>
          <w:rFonts w:cs="Times New Roman"/>
          <w:szCs w:val="24"/>
        </w:rPr>
        <w:t xml:space="preserve">individuals from bringing an </w:t>
      </w:r>
      <w:r w:rsidR="003A1EF6">
        <w:rPr>
          <w:rFonts w:cs="Times New Roman"/>
          <w:i/>
          <w:szCs w:val="24"/>
        </w:rPr>
        <w:t>Olmstead</w:t>
      </w:r>
      <w:r w:rsidR="003A1EF6">
        <w:rPr>
          <w:rFonts w:cs="Times New Roman"/>
          <w:szCs w:val="24"/>
        </w:rPr>
        <w:t xml:space="preserve"> claim</w:t>
      </w:r>
      <w:r>
        <w:rPr>
          <w:rFonts w:cs="Times New Roman"/>
          <w:szCs w:val="24"/>
        </w:rPr>
        <w:t xml:space="preserve"> </w:t>
      </w:r>
      <w:r w:rsidR="003A1EF6">
        <w:rPr>
          <w:rFonts w:cs="Times New Roman"/>
          <w:szCs w:val="24"/>
        </w:rPr>
        <w:t xml:space="preserve">until a </w:t>
      </w:r>
      <w:r>
        <w:rPr>
          <w:rFonts w:cs="Times New Roman"/>
          <w:szCs w:val="24"/>
        </w:rPr>
        <w:t>state’s treatment professional</w:t>
      </w:r>
      <w:r w:rsidR="003A1EF6">
        <w:rPr>
          <w:rFonts w:cs="Times New Roman"/>
          <w:szCs w:val="24"/>
        </w:rPr>
        <w:t xml:space="preserve"> has found them</w:t>
      </w:r>
      <w:r>
        <w:rPr>
          <w:rFonts w:cs="Times New Roman"/>
          <w:szCs w:val="24"/>
        </w:rPr>
        <w:t xml:space="preserve"> appr</w:t>
      </w:r>
      <w:r w:rsidR="004E20A6">
        <w:rPr>
          <w:rFonts w:cs="Times New Roman"/>
          <w:szCs w:val="24"/>
        </w:rPr>
        <w:t>opriate for community placement</w:t>
      </w:r>
      <w:r>
        <w:rPr>
          <w:rFonts w:cs="Times New Roman"/>
          <w:szCs w:val="24"/>
        </w:rPr>
        <w:t xml:space="preserve">. </w:t>
      </w:r>
      <w:r>
        <w:rPr>
          <w:rFonts w:cs="Times New Roman"/>
          <w:i/>
          <w:szCs w:val="24"/>
        </w:rPr>
        <w:t>See</w:t>
      </w:r>
      <w:r>
        <w:rPr>
          <w:rFonts w:cs="Times New Roman"/>
          <w:szCs w:val="24"/>
        </w:rPr>
        <w:t xml:space="preserve">, </w:t>
      </w:r>
      <w:r>
        <w:rPr>
          <w:rFonts w:cs="Times New Roman"/>
          <w:i/>
          <w:szCs w:val="24"/>
        </w:rPr>
        <w:t>e.g</w:t>
      </w:r>
      <w:r>
        <w:rPr>
          <w:rFonts w:cs="Times New Roman"/>
          <w:szCs w:val="24"/>
        </w:rPr>
        <w:t xml:space="preserve">., </w:t>
      </w:r>
      <w:r>
        <w:rPr>
          <w:rFonts w:cs="Times New Roman"/>
          <w:i/>
          <w:szCs w:val="24"/>
        </w:rPr>
        <w:t>Day</w:t>
      </w:r>
      <w:r>
        <w:rPr>
          <w:rFonts w:cs="Times New Roman"/>
          <w:szCs w:val="24"/>
        </w:rPr>
        <w:t xml:space="preserve">, </w:t>
      </w:r>
      <w:r>
        <w:rPr>
          <w:rFonts w:cs="Times New Roman"/>
          <w:i/>
          <w:szCs w:val="24"/>
        </w:rPr>
        <w:t>et al. v. D.C</w:t>
      </w:r>
      <w:r>
        <w:rPr>
          <w:rFonts w:cs="Times New Roman"/>
          <w:szCs w:val="24"/>
        </w:rPr>
        <w:t xml:space="preserve">., </w:t>
      </w:r>
      <w:r>
        <w:rPr>
          <w:rFonts w:cs="Times New Roman"/>
          <w:i/>
          <w:szCs w:val="24"/>
        </w:rPr>
        <w:t>et al</w:t>
      </w:r>
      <w:r>
        <w:rPr>
          <w:rFonts w:cs="Times New Roman"/>
          <w:szCs w:val="24"/>
        </w:rPr>
        <w:t>., 894 F. Supp. 2d 1, 23 (D.D.C. 2012)</w:t>
      </w:r>
      <w:r w:rsidR="002D57C6">
        <w:rPr>
          <w:rFonts w:cs="Times New Roman"/>
          <w:szCs w:val="24"/>
        </w:rPr>
        <w:t xml:space="preserve"> (</w:t>
      </w:r>
      <w:r>
        <w:rPr>
          <w:rFonts w:cs="Times New Roman"/>
          <w:szCs w:val="24"/>
        </w:rPr>
        <w:t>“</w:t>
      </w:r>
      <w:r>
        <w:t xml:space="preserve">Since </w:t>
      </w:r>
      <w:hyperlink r:id="rId8" w:history="1">
        <w:r>
          <w:rPr>
            <w:rStyle w:val="Emphasis"/>
          </w:rPr>
          <w:t>Olmstead,</w:t>
        </w:r>
      </w:hyperlink>
      <w:r>
        <w:t xml:space="preserve"> lower courts have universally rejected the absolutist interpretation proposed by defendants” that appropriateness can be determined only by the state’s treatment professionals)</w:t>
      </w:r>
      <w:r>
        <w:rPr>
          <w:rFonts w:cs="Times New Roman"/>
          <w:szCs w:val="24"/>
        </w:rPr>
        <w:t xml:space="preserve">; </w:t>
      </w:r>
      <w:r>
        <w:rPr>
          <w:rFonts w:cs="Times New Roman"/>
          <w:i/>
          <w:szCs w:val="24"/>
        </w:rPr>
        <w:t>Disability Advocates, Inc</w:t>
      </w:r>
      <w:r>
        <w:rPr>
          <w:rFonts w:cs="Times New Roman"/>
          <w:szCs w:val="24"/>
        </w:rPr>
        <w:t xml:space="preserve">., 653 F. Supp. 2d at 259 (holding that, “as a matter of law,” organizational plaintiff was “not required to provide determinations from its constituents’ treatment providers in order to show that its constituents are qualified to move” into the community); </w:t>
      </w:r>
      <w:r>
        <w:rPr>
          <w:rFonts w:cs="Times New Roman"/>
          <w:i/>
          <w:szCs w:val="24"/>
        </w:rPr>
        <w:t>Joseph S. v. Hogan</w:t>
      </w:r>
      <w:r>
        <w:rPr>
          <w:rFonts w:cs="Times New Roman"/>
          <w:szCs w:val="24"/>
        </w:rPr>
        <w:t xml:space="preserve">, 561 F. Supp. 2d 280, 291 (E.D.N.Y.  2008) (rejecting the argument </w:t>
      </w:r>
      <w:r>
        <w:t>that “</w:t>
      </w:r>
      <w:hyperlink r:id="rId9" w:history="1">
        <w:r>
          <w:rPr>
            <w:rStyle w:val="Emphasis"/>
          </w:rPr>
          <w:t>Olmstead</w:t>
        </w:r>
      </w:hyperlink>
      <w:r>
        <w:t xml:space="preserve"> requires that the state’s mental health professionals be the ones to determine that an individual's needs may be met in a more integrated setting</w:t>
      </w:r>
      <w:r w:rsidR="002D57C6">
        <w:t>.</w:t>
      </w:r>
      <w:r>
        <w:rPr>
          <w:rFonts w:cs="Times New Roman"/>
          <w:szCs w:val="24"/>
        </w:rPr>
        <w:t>”).</w:t>
      </w:r>
    </w:p>
    <w:p w:rsidR="00FD2AA2" w:rsidRDefault="00FD2AA2" w:rsidP="00FD2AA2">
      <w:pPr>
        <w:spacing w:after="0" w:line="480" w:lineRule="auto"/>
        <w:ind w:firstLine="720"/>
      </w:pPr>
      <w:r>
        <w:rPr>
          <w:rFonts w:cs="Times New Roman"/>
          <w:szCs w:val="24"/>
        </w:rPr>
        <w:t xml:space="preserve">The Department’s </w:t>
      </w:r>
      <w:r>
        <w:rPr>
          <w:rFonts w:cs="Times New Roman"/>
          <w:i/>
          <w:szCs w:val="24"/>
        </w:rPr>
        <w:t>Olmstead</w:t>
      </w:r>
      <w:r>
        <w:rPr>
          <w:rFonts w:cs="Times New Roman"/>
          <w:szCs w:val="24"/>
        </w:rPr>
        <w:t xml:space="preserve"> guidance </w:t>
      </w:r>
      <w:r w:rsidRPr="00FD2AA2">
        <w:rPr>
          <w:rStyle w:val="Strong"/>
          <w:b w:val="0"/>
        </w:rPr>
        <w:t>makes clear that</w:t>
      </w:r>
      <w:r>
        <w:rPr>
          <w:rStyle w:val="Strong"/>
        </w:rPr>
        <w:t xml:space="preserve"> </w:t>
      </w:r>
      <w:r>
        <w:t xml:space="preserve">“the ADA and its regulations do not require an individual to have had a state treating professional make such a determination.” </w:t>
      </w:r>
      <w:proofErr w:type="gramStart"/>
      <w:r w:rsidR="004E20A6">
        <w:rPr>
          <w:rFonts w:cs="Times New Roman"/>
          <w:szCs w:val="24"/>
        </w:rPr>
        <w:t xml:space="preserve">DOJ </w:t>
      </w:r>
      <w:r w:rsidR="004E20A6">
        <w:rPr>
          <w:rFonts w:cs="Times New Roman"/>
          <w:i/>
          <w:szCs w:val="24"/>
        </w:rPr>
        <w:t>Olmstead</w:t>
      </w:r>
      <w:r w:rsidR="004E20A6">
        <w:rPr>
          <w:rFonts w:cs="Times New Roman"/>
          <w:szCs w:val="24"/>
        </w:rPr>
        <w:t xml:space="preserve"> Statement, at Q &amp; A No. 4.</w:t>
      </w:r>
      <w:proofErr w:type="gramEnd"/>
      <w:r w:rsidR="004E20A6">
        <w:rPr>
          <w:rFonts w:cs="Times New Roman"/>
          <w:szCs w:val="24"/>
        </w:rPr>
        <w:t xml:space="preserve"> </w:t>
      </w:r>
      <w:r>
        <w:t>The guidance explains that “[p]</w:t>
      </w:r>
      <w:proofErr w:type="spellStart"/>
      <w:r>
        <w:t>eople</w:t>
      </w:r>
      <w:proofErr w:type="spellEnd"/>
      <w:r>
        <w:t xml:space="preserve"> with disabilities can also present their own independent evidence of the appropriateness of an integrated setting, including</w:t>
      </w:r>
      <w:proofErr w:type="gramStart"/>
      <w:r>
        <w:t>, .</w:t>
      </w:r>
      <w:proofErr w:type="gramEnd"/>
      <w:r>
        <w:t xml:space="preserve"> . . evidence . . . from their own treatment providers, from community-based organizations that provide services to people with disabilities outside of institutional settings, or from any other relevant source.” </w:t>
      </w:r>
      <w:r w:rsidR="004E20A6" w:rsidRPr="004E20A6">
        <w:rPr>
          <w:i/>
        </w:rPr>
        <w:t>Id</w:t>
      </w:r>
      <w:r w:rsidR="004E20A6">
        <w:t xml:space="preserve">. </w:t>
      </w:r>
      <w:r>
        <w:rPr>
          <w:rFonts w:cs="Times New Roman"/>
          <w:szCs w:val="24"/>
        </w:rPr>
        <w:t xml:space="preserve">Of course, individuals at serious risk of institutionalization can also rely on their history of community living to show appropriateness. </w:t>
      </w:r>
      <w:r>
        <w:rPr>
          <w:rFonts w:cs="Times New Roman"/>
          <w:i/>
          <w:szCs w:val="24"/>
        </w:rPr>
        <w:t>See</w:t>
      </w:r>
      <w:r>
        <w:rPr>
          <w:rFonts w:cs="Times New Roman"/>
          <w:szCs w:val="24"/>
        </w:rPr>
        <w:t xml:space="preserve">, </w:t>
      </w:r>
      <w:r>
        <w:rPr>
          <w:rFonts w:cs="Times New Roman"/>
          <w:i/>
          <w:szCs w:val="24"/>
        </w:rPr>
        <w:t>e.g</w:t>
      </w:r>
      <w:r>
        <w:rPr>
          <w:rFonts w:cs="Times New Roman"/>
          <w:szCs w:val="24"/>
        </w:rPr>
        <w:t xml:space="preserve">., </w:t>
      </w:r>
      <w:r>
        <w:rPr>
          <w:rFonts w:cs="Times New Roman"/>
          <w:i/>
          <w:szCs w:val="24"/>
        </w:rPr>
        <w:t>Long v. Benson</w:t>
      </w:r>
      <w:r>
        <w:rPr>
          <w:rFonts w:cs="Times New Roman"/>
          <w:szCs w:val="24"/>
        </w:rPr>
        <w:t xml:space="preserve">, No. 4:08-cv-26, </w:t>
      </w:r>
      <w:r>
        <w:t xml:space="preserve">2008 WL 4571903 (N.D. Fla. Oct. 14, 2008), </w:t>
      </w:r>
      <w:proofErr w:type="spellStart"/>
      <w:r>
        <w:rPr>
          <w:i/>
        </w:rPr>
        <w:t>aff’d</w:t>
      </w:r>
      <w:proofErr w:type="spellEnd"/>
      <w:r>
        <w:t xml:space="preserve">, 383 Fed. </w:t>
      </w:r>
      <w:proofErr w:type="spellStart"/>
      <w:proofErr w:type="gramStart"/>
      <w:r>
        <w:t>Appx</w:t>
      </w:r>
      <w:proofErr w:type="spellEnd"/>
      <w:r>
        <w:t>.</w:t>
      </w:r>
      <w:proofErr w:type="gramEnd"/>
      <w:r>
        <w:t xml:space="preserve"> 930 (11th Cir. 2010) (</w:t>
      </w:r>
      <w:r>
        <w:rPr>
          <w:rFonts w:cs="Times New Roman"/>
          <w:szCs w:val="24"/>
        </w:rPr>
        <w:t>“</w:t>
      </w:r>
      <w:r>
        <w:t xml:space="preserve">Mr. Griffin has in fact been receiving the care he needs in the community. The Secretary’s argument that it cannot be done thus falls flat.”); </w:t>
      </w:r>
      <w:proofErr w:type="spellStart"/>
      <w:r>
        <w:rPr>
          <w:rFonts w:cs="Times New Roman"/>
          <w:i/>
          <w:szCs w:val="24"/>
        </w:rPr>
        <w:t>Radaszewski</w:t>
      </w:r>
      <w:proofErr w:type="spellEnd"/>
      <w:r>
        <w:rPr>
          <w:rFonts w:cs="Times New Roman"/>
          <w:i/>
          <w:szCs w:val="24"/>
        </w:rPr>
        <w:t xml:space="preserve"> ex rel. </w:t>
      </w:r>
      <w:proofErr w:type="spellStart"/>
      <w:r>
        <w:rPr>
          <w:rFonts w:cs="Times New Roman"/>
          <w:i/>
          <w:szCs w:val="24"/>
        </w:rPr>
        <w:t>Radaszewski</w:t>
      </w:r>
      <w:proofErr w:type="spellEnd"/>
      <w:r>
        <w:rPr>
          <w:rFonts w:cs="Times New Roman"/>
          <w:i/>
          <w:szCs w:val="24"/>
        </w:rPr>
        <w:t xml:space="preserve"> v. </w:t>
      </w:r>
      <w:proofErr w:type="spellStart"/>
      <w:r>
        <w:rPr>
          <w:rFonts w:cs="Times New Roman"/>
          <w:i/>
          <w:szCs w:val="24"/>
        </w:rPr>
        <w:t>Maram</w:t>
      </w:r>
      <w:proofErr w:type="spellEnd"/>
      <w:r>
        <w:rPr>
          <w:rFonts w:cs="Times New Roman"/>
          <w:szCs w:val="24"/>
        </w:rPr>
        <w:t>, 383 F.3d 599, 612 (7th Cir. 2004) (observing that the plaintiff’s complaint and the evidence in the record “</w:t>
      </w:r>
      <w:r>
        <w:t>suggest that with appropriate care [plaintiff] can live at home (he has in fact done so for a number of years</w:t>
      </w:r>
      <w:proofErr w:type="gramStart"/>
      <w:r>
        <w:t>) .</w:t>
      </w:r>
      <w:proofErr w:type="gramEnd"/>
      <w:r>
        <w:t> . . .”).</w:t>
      </w:r>
    </w:p>
    <w:p w:rsidR="00FD2AA2" w:rsidRDefault="00FD2AA2" w:rsidP="00FD2AA2">
      <w:pPr>
        <w:pStyle w:val="Heading1"/>
        <w:numPr>
          <w:ilvl w:val="0"/>
          <w:numId w:val="8"/>
        </w:numPr>
        <w:ind w:left="144" w:firstLine="0"/>
      </w:pPr>
      <w:r>
        <w:t>CONCLUSION</w:t>
      </w:r>
    </w:p>
    <w:p w:rsidR="00FD2AA2" w:rsidRDefault="00FD2AA2" w:rsidP="00FD2AA2">
      <w:pPr>
        <w:spacing w:after="0" w:line="240" w:lineRule="auto"/>
        <w:ind w:firstLine="360"/>
        <w:rPr>
          <w:rFonts w:cs="Times New Roman"/>
          <w:szCs w:val="24"/>
        </w:rPr>
      </w:pPr>
    </w:p>
    <w:p w:rsidR="00FD2AA2" w:rsidRDefault="00FD2AA2" w:rsidP="00FD2AA2">
      <w:pPr>
        <w:spacing w:after="0" w:line="480" w:lineRule="auto"/>
        <w:ind w:firstLine="720"/>
        <w:rPr>
          <w:rFonts w:cs="Times New Roman"/>
          <w:szCs w:val="24"/>
        </w:rPr>
      </w:pPr>
      <w:r>
        <w:rPr>
          <w:rFonts w:cs="Times New Roman"/>
          <w:szCs w:val="24"/>
        </w:rPr>
        <w:t>The United States respectfully requests that the Court consider this Statement of Interest in this litigation.</w:t>
      </w:r>
    </w:p>
    <w:p w:rsidR="00037B86" w:rsidRDefault="00A31316" w:rsidP="00FD2AA2">
      <w:pPr>
        <w:spacing w:after="0" w:line="480" w:lineRule="auto"/>
        <w:rPr>
          <w:rFonts w:cs="Times New Roman"/>
          <w:szCs w:val="24"/>
        </w:rPr>
      </w:pPr>
      <w:proofErr w:type="gramStart"/>
      <w:r>
        <w:rPr>
          <w:rFonts w:cs="Times New Roman"/>
          <w:szCs w:val="24"/>
        </w:rPr>
        <w:t>Respectfully submitted this 22nd</w:t>
      </w:r>
      <w:r w:rsidR="00FD2AA2">
        <w:rPr>
          <w:rFonts w:cs="Times New Roman"/>
          <w:szCs w:val="24"/>
        </w:rPr>
        <w:t xml:space="preserve"> day of August, 2016</w:t>
      </w:r>
      <w:r w:rsidR="002D57C6">
        <w:rPr>
          <w:rFonts w:cs="Times New Roman"/>
          <w:szCs w:val="24"/>
        </w:rPr>
        <w:t>.</w:t>
      </w:r>
      <w:proofErr w:type="gramEnd"/>
    </w:p>
    <w:p w:rsidR="002D57C6" w:rsidRDefault="002D57C6" w:rsidP="00FD2AA2">
      <w:pPr>
        <w:spacing w:after="0" w:line="480" w:lineRule="auto"/>
        <w:rPr>
          <w:rFonts w:cs="Times New Roman"/>
          <w:szCs w:val="24"/>
        </w:rPr>
      </w:pPr>
    </w:p>
    <w:p w:rsidR="002D57C6" w:rsidRDefault="002D57C6" w:rsidP="00FD2AA2">
      <w:pPr>
        <w:spacing w:after="0" w:line="480" w:lineRule="auto"/>
        <w:rPr>
          <w:rFonts w:cs="Times New Roman"/>
          <w:szCs w:val="24"/>
        </w:rPr>
        <w:sectPr w:rsidR="002D57C6" w:rsidSect="004812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91C61" w:rsidRDefault="00E91C61" w:rsidP="002D57C6">
      <w:pPr>
        <w:pStyle w:val="Default"/>
        <w:rPr>
          <w:sz w:val="23"/>
          <w:szCs w:val="23"/>
        </w:rPr>
      </w:pPr>
    </w:p>
    <w:p w:rsidR="00037B86" w:rsidRDefault="00037B86" w:rsidP="00037B86">
      <w:pPr>
        <w:pStyle w:val="Default"/>
        <w:ind w:left="3600" w:firstLine="720"/>
        <w:rPr>
          <w:sz w:val="23"/>
          <w:szCs w:val="23"/>
        </w:rPr>
      </w:pPr>
      <w:r>
        <w:rPr>
          <w:sz w:val="23"/>
          <w:szCs w:val="23"/>
        </w:rPr>
        <w:t xml:space="preserve">VANITA GUPTA </w:t>
      </w:r>
    </w:p>
    <w:p w:rsidR="00037B86" w:rsidRDefault="00037B86" w:rsidP="00037B86">
      <w:pPr>
        <w:pStyle w:val="Default"/>
        <w:ind w:left="4320"/>
        <w:rPr>
          <w:sz w:val="23"/>
          <w:szCs w:val="23"/>
        </w:rPr>
      </w:pPr>
      <w:r>
        <w:rPr>
          <w:sz w:val="23"/>
          <w:szCs w:val="23"/>
        </w:rPr>
        <w:t xml:space="preserve">Principal Deputy Assistant Attorney General </w:t>
      </w:r>
    </w:p>
    <w:p w:rsidR="00037B86" w:rsidRDefault="00037B86" w:rsidP="00037B86">
      <w:pPr>
        <w:pStyle w:val="Default"/>
        <w:ind w:left="4320"/>
        <w:rPr>
          <w:sz w:val="23"/>
          <w:szCs w:val="23"/>
        </w:rPr>
      </w:pPr>
      <w:r>
        <w:rPr>
          <w:sz w:val="23"/>
          <w:szCs w:val="23"/>
        </w:rPr>
        <w:t xml:space="preserve">Civil Rights Division </w:t>
      </w:r>
    </w:p>
    <w:p w:rsidR="00037B86" w:rsidRDefault="00037B86" w:rsidP="00037B86">
      <w:pPr>
        <w:pStyle w:val="Default"/>
        <w:ind w:left="4320"/>
        <w:rPr>
          <w:sz w:val="23"/>
          <w:szCs w:val="23"/>
        </w:rPr>
      </w:pPr>
    </w:p>
    <w:p w:rsidR="00037B86" w:rsidRDefault="00037B86" w:rsidP="00037B86">
      <w:pPr>
        <w:pStyle w:val="Default"/>
        <w:ind w:left="4320"/>
        <w:rPr>
          <w:sz w:val="23"/>
          <w:szCs w:val="23"/>
        </w:rPr>
      </w:pPr>
      <w:r>
        <w:rPr>
          <w:sz w:val="23"/>
          <w:szCs w:val="23"/>
        </w:rPr>
        <w:t xml:space="preserve">EVE L. HILL </w:t>
      </w:r>
    </w:p>
    <w:p w:rsidR="00037B86" w:rsidRDefault="00037B86" w:rsidP="00037B86">
      <w:pPr>
        <w:pStyle w:val="Default"/>
        <w:ind w:left="4320"/>
        <w:rPr>
          <w:sz w:val="23"/>
          <w:szCs w:val="23"/>
        </w:rPr>
      </w:pPr>
      <w:r>
        <w:rPr>
          <w:sz w:val="23"/>
          <w:szCs w:val="23"/>
        </w:rPr>
        <w:t xml:space="preserve">Deputy Assistant Attorney General </w:t>
      </w:r>
    </w:p>
    <w:p w:rsidR="00037B86" w:rsidRDefault="00037B86" w:rsidP="00037B86">
      <w:pPr>
        <w:pStyle w:val="Default"/>
        <w:ind w:left="4320"/>
        <w:rPr>
          <w:sz w:val="23"/>
          <w:szCs w:val="23"/>
        </w:rPr>
      </w:pPr>
      <w:r>
        <w:rPr>
          <w:sz w:val="23"/>
          <w:szCs w:val="23"/>
        </w:rPr>
        <w:t xml:space="preserve">Civil Rights Division </w:t>
      </w:r>
    </w:p>
    <w:p w:rsidR="00037B86" w:rsidRDefault="00037B86" w:rsidP="00037B86">
      <w:pPr>
        <w:pStyle w:val="Default"/>
        <w:ind w:left="4320"/>
        <w:rPr>
          <w:sz w:val="23"/>
          <w:szCs w:val="23"/>
        </w:rPr>
      </w:pPr>
    </w:p>
    <w:p w:rsidR="00037B86" w:rsidRDefault="00037B86" w:rsidP="00037B86">
      <w:pPr>
        <w:pStyle w:val="Default"/>
        <w:ind w:left="4320"/>
        <w:rPr>
          <w:sz w:val="23"/>
          <w:szCs w:val="23"/>
        </w:rPr>
      </w:pPr>
      <w:r>
        <w:rPr>
          <w:sz w:val="23"/>
          <w:szCs w:val="23"/>
        </w:rPr>
        <w:t xml:space="preserve">REBECCA B. BOND </w:t>
      </w:r>
    </w:p>
    <w:p w:rsidR="00037B86" w:rsidRDefault="00037B86" w:rsidP="00037B86">
      <w:pPr>
        <w:pStyle w:val="Default"/>
        <w:ind w:left="4320"/>
        <w:rPr>
          <w:sz w:val="23"/>
          <w:szCs w:val="23"/>
        </w:rPr>
      </w:pPr>
      <w:r>
        <w:rPr>
          <w:sz w:val="23"/>
          <w:szCs w:val="23"/>
        </w:rPr>
        <w:t xml:space="preserve">Chief </w:t>
      </w:r>
    </w:p>
    <w:p w:rsidR="00037B86" w:rsidRDefault="00037B86" w:rsidP="00037B86">
      <w:pPr>
        <w:pStyle w:val="Default"/>
        <w:ind w:left="4320"/>
        <w:rPr>
          <w:sz w:val="23"/>
          <w:szCs w:val="23"/>
        </w:rPr>
      </w:pPr>
      <w:r>
        <w:rPr>
          <w:sz w:val="23"/>
          <w:szCs w:val="23"/>
        </w:rPr>
        <w:t>ANNE S. RAISH</w:t>
      </w:r>
    </w:p>
    <w:p w:rsidR="00037B86" w:rsidRDefault="00037B86" w:rsidP="00037B86">
      <w:pPr>
        <w:pStyle w:val="Default"/>
        <w:ind w:left="4320"/>
        <w:rPr>
          <w:sz w:val="23"/>
          <w:szCs w:val="23"/>
        </w:rPr>
      </w:pPr>
      <w:r>
        <w:rPr>
          <w:sz w:val="23"/>
          <w:szCs w:val="23"/>
        </w:rPr>
        <w:t>Principal Deputy Chief</w:t>
      </w:r>
    </w:p>
    <w:p w:rsidR="00037B86" w:rsidRDefault="00037B86" w:rsidP="00037B86">
      <w:pPr>
        <w:pStyle w:val="Default"/>
        <w:ind w:left="4320"/>
        <w:rPr>
          <w:sz w:val="23"/>
          <w:szCs w:val="23"/>
        </w:rPr>
      </w:pPr>
      <w:r>
        <w:rPr>
          <w:sz w:val="23"/>
          <w:szCs w:val="23"/>
        </w:rPr>
        <w:t>ELIZABETH S. WESTFALL</w:t>
      </w:r>
    </w:p>
    <w:p w:rsidR="00037B86" w:rsidRDefault="00037B86" w:rsidP="00037B86">
      <w:pPr>
        <w:pStyle w:val="Default"/>
        <w:ind w:left="4320"/>
        <w:rPr>
          <w:sz w:val="23"/>
          <w:szCs w:val="23"/>
        </w:rPr>
      </w:pPr>
      <w:r>
        <w:rPr>
          <w:sz w:val="23"/>
          <w:szCs w:val="23"/>
        </w:rPr>
        <w:t>Deputy Chief</w:t>
      </w:r>
    </w:p>
    <w:p w:rsidR="00037B86" w:rsidRDefault="00037B86" w:rsidP="00037B86">
      <w:pPr>
        <w:pStyle w:val="Default"/>
        <w:ind w:left="4320"/>
        <w:rPr>
          <w:sz w:val="23"/>
          <w:szCs w:val="23"/>
        </w:rPr>
      </w:pPr>
      <w:r>
        <w:rPr>
          <w:sz w:val="23"/>
          <w:szCs w:val="23"/>
        </w:rPr>
        <w:t xml:space="preserve">Disability Rights Section </w:t>
      </w:r>
    </w:p>
    <w:p w:rsidR="00037B86" w:rsidRDefault="00037B86" w:rsidP="00037B86">
      <w:pPr>
        <w:pStyle w:val="Default"/>
        <w:ind w:left="4320"/>
        <w:rPr>
          <w:sz w:val="23"/>
          <w:szCs w:val="23"/>
        </w:rPr>
      </w:pPr>
      <w:r>
        <w:rPr>
          <w:sz w:val="23"/>
          <w:szCs w:val="23"/>
        </w:rPr>
        <w:t xml:space="preserve">Civil Rights Division </w:t>
      </w:r>
    </w:p>
    <w:p w:rsidR="00037B86" w:rsidRDefault="00037B86" w:rsidP="00037B86">
      <w:pPr>
        <w:pStyle w:val="Default"/>
        <w:ind w:left="4320"/>
        <w:rPr>
          <w:sz w:val="23"/>
          <w:szCs w:val="23"/>
        </w:rPr>
      </w:pPr>
    </w:p>
    <w:p w:rsidR="00037B86" w:rsidRDefault="00037B86" w:rsidP="00037B86">
      <w:pPr>
        <w:pStyle w:val="Default"/>
        <w:ind w:left="4320"/>
        <w:rPr>
          <w:sz w:val="23"/>
          <w:szCs w:val="23"/>
          <w:u w:val="single"/>
        </w:rPr>
      </w:pPr>
      <w:r>
        <w:rPr>
          <w:sz w:val="23"/>
          <w:szCs w:val="23"/>
          <w:u w:val="single"/>
        </w:rPr>
        <w:t xml:space="preserve">/s/ Julia M. Graff </w:t>
      </w:r>
    </w:p>
    <w:p w:rsidR="00037B86" w:rsidRDefault="00037B86" w:rsidP="00037B86">
      <w:pPr>
        <w:pStyle w:val="Default"/>
        <w:ind w:left="4320"/>
        <w:rPr>
          <w:sz w:val="23"/>
          <w:szCs w:val="23"/>
        </w:rPr>
      </w:pPr>
      <w:r>
        <w:rPr>
          <w:sz w:val="23"/>
          <w:szCs w:val="23"/>
        </w:rPr>
        <w:t>JULIA M. GRAFF</w:t>
      </w:r>
    </w:p>
    <w:p w:rsidR="00037B86" w:rsidRDefault="00037B86" w:rsidP="00037B86">
      <w:pPr>
        <w:pStyle w:val="Default"/>
        <w:ind w:left="4320"/>
        <w:rPr>
          <w:sz w:val="23"/>
          <w:szCs w:val="23"/>
        </w:rPr>
      </w:pPr>
      <w:r>
        <w:rPr>
          <w:sz w:val="23"/>
          <w:szCs w:val="23"/>
        </w:rPr>
        <w:t xml:space="preserve">D.C. Bar No. 983511 </w:t>
      </w:r>
    </w:p>
    <w:p w:rsidR="00037B86" w:rsidRDefault="00037B86" w:rsidP="00037B86">
      <w:pPr>
        <w:pStyle w:val="Default"/>
        <w:ind w:left="4320"/>
        <w:rPr>
          <w:sz w:val="23"/>
          <w:szCs w:val="23"/>
        </w:rPr>
      </w:pPr>
      <w:r>
        <w:rPr>
          <w:sz w:val="23"/>
          <w:szCs w:val="23"/>
        </w:rPr>
        <w:t xml:space="preserve">Trial Attorney </w:t>
      </w:r>
    </w:p>
    <w:p w:rsidR="00037B86" w:rsidRDefault="00037B86" w:rsidP="00037B86">
      <w:pPr>
        <w:pStyle w:val="Default"/>
        <w:ind w:left="4320"/>
        <w:rPr>
          <w:sz w:val="23"/>
          <w:szCs w:val="23"/>
        </w:rPr>
      </w:pPr>
      <w:r>
        <w:rPr>
          <w:sz w:val="23"/>
          <w:szCs w:val="23"/>
        </w:rPr>
        <w:t xml:space="preserve">Disability Rights Section </w:t>
      </w:r>
    </w:p>
    <w:p w:rsidR="00037B86" w:rsidRDefault="00037B86" w:rsidP="00037B86">
      <w:pPr>
        <w:pStyle w:val="Default"/>
        <w:ind w:left="4320"/>
        <w:rPr>
          <w:sz w:val="23"/>
          <w:szCs w:val="23"/>
        </w:rPr>
      </w:pPr>
      <w:r>
        <w:rPr>
          <w:sz w:val="23"/>
          <w:szCs w:val="23"/>
        </w:rPr>
        <w:t xml:space="preserve">Civil Rights Division </w:t>
      </w:r>
    </w:p>
    <w:p w:rsidR="00037B86" w:rsidRDefault="00037B86" w:rsidP="00037B86">
      <w:pPr>
        <w:pStyle w:val="Default"/>
        <w:ind w:left="4320"/>
        <w:rPr>
          <w:sz w:val="23"/>
          <w:szCs w:val="23"/>
        </w:rPr>
      </w:pPr>
      <w:r>
        <w:rPr>
          <w:sz w:val="23"/>
          <w:szCs w:val="23"/>
        </w:rPr>
        <w:t xml:space="preserve">U.S. Department of Justice </w:t>
      </w:r>
    </w:p>
    <w:p w:rsidR="00037B86" w:rsidRDefault="00037B86" w:rsidP="00037B86">
      <w:pPr>
        <w:pStyle w:val="Default"/>
        <w:ind w:left="4320"/>
        <w:rPr>
          <w:sz w:val="23"/>
          <w:szCs w:val="23"/>
        </w:rPr>
      </w:pPr>
      <w:r>
        <w:rPr>
          <w:sz w:val="23"/>
          <w:szCs w:val="23"/>
        </w:rPr>
        <w:t xml:space="preserve">950 Pennsylvania Avenue, N.W. – NYA </w:t>
      </w:r>
    </w:p>
    <w:p w:rsidR="00037B86" w:rsidRDefault="00037B86" w:rsidP="00037B86">
      <w:pPr>
        <w:pStyle w:val="Default"/>
        <w:ind w:left="4320"/>
        <w:rPr>
          <w:sz w:val="23"/>
          <w:szCs w:val="23"/>
        </w:rPr>
      </w:pPr>
      <w:r>
        <w:rPr>
          <w:sz w:val="23"/>
          <w:szCs w:val="23"/>
        </w:rPr>
        <w:t xml:space="preserve">Washington, D.C. 20530 </w:t>
      </w:r>
    </w:p>
    <w:p w:rsidR="00037B86" w:rsidRDefault="00037B86" w:rsidP="00037B86">
      <w:pPr>
        <w:pStyle w:val="Default"/>
        <w:ind w:left="4320"/>
        <w:rPr>
          <w:sz w:val="23"/>
          <w:szCs w:val="23"/>
        </w:rPr>
      </w:pPr>
      <w:r>
        <w:rPr>
          <w:sz w:val="23"/>
          <w:szCs w:val="23"/>
        </w:rPr>
        <w:t xml:space="preserve">Telephone: (202) 616-5319 </w:t>
      </w:r>
    </w:p>
    <w:p w:rsidR="00037B86" w:rsidRDefault="00037B86" w:rsidP="00037B86">
      <w:pPr>
        <w:pStyle w:val="Default"/>
        <w:ind w:left="3600" w:firstLine="720"/>
        <w:rPr>
          <w:sz w:val="23"/>
          <w:szCs w:val="23"/>
        </w:rPr>
        <w:sectPr w:rsidR="00037B86" w:rsidSect="00037B86">
          <w:type w:val="continuous"/>
          <w:pgSz w:w="12240" w:h="15840"/>
          <w:pgMar w:top="1440" w:right="1440" w:bottom="1440" w:left="1440" w:header="720" w:footer="720" w:gutter="0"/>
          <w:cols w:space="720"/>
          <w:titlePg/>
          <w:docGrid w:linePitch="360"/>
        </w:sectPr>
      </w:pPr>
      <w:r w:rsidRPr="00FD2AA2">
        <w:rPr>
          <w:sz w:val="23"/>
          <w:szCs w:val="23"/>
        </w:rPr>
        <w:t>julia.graff@usdoj.gov</w:t>
      </w:r>
    </w:p>
    <w:p w:rsidR="00E91C61" w:rsidRDefault="00E91C61" w:rsidP="00E91C61">
      <w:pPr>
        <w:spacing w:after="0" w:line="240" w:lineRule="auto"/>
        <w:rPr>
          <w:sz w:val="23"/>
          <w:szCs w:val="23"/>
        </w:rPr>
      </w:pPr>
    </w:p>
    <w:p w:rsidR="00481265" w:rsidRDefault="00E91C61" w:rsidP="00E91C61">
      <w:pPr>
        <w:spacing w:after="0" w:line="240" w:lineRule="auto"/>
        <w:rPr>
          <w:sz w:val="23"/>
          <w:szCs w:val="23"/>
        </w:rPr>
      </w:pPr>
      <w:r>
        <w:rPr>
          <w:sz w:val="23"/>
          <w:szCs w:val="23"/>
        </w:rPr>
        <w:t>Of counsel:</w:t>
      </w:r>
    </w:p>
    <w:p w:rsidR="00E91C61" w:rsidRDefault="00E91C61" w:rsidP="00E91C61">
      <w:pPr>
        <w:spacing w:after="0" w:line="240" w:lineRule="auto"/>
        <w:rPr>
          <w:sz w:val="23"/>
          <w:szCs w:val="23"/>
        </w:rPr>
      </w:pPr>
    </w:p>
    <w:p w:rsidR="00E91C61" w:rsidRDefault="00E91C61" w:rsidP="00E91C61">
      <w:pPr>
        <w:spacing w:after="0" w:line="240" w:lineRule="auto"/>
        <w:rPr>
          <w:rFonts w:cs="Times New Roman"/>
          <w:szCs w:val="24"/>
        </w:rPr>
      </w:pPr>
      <w:r>
        <w:rPr>
          <w:rFonts w:cs="Times New Roman"/>
          <w:szCs w:val="24"/>
        </w:rPr>
        <w:t>BENJAMIN C. GLASSMAN</w:t>
      </w:r>
    </w:p>
    <w:p w:rsidR="00E91C61" w:rsidRDefault="00E91C61" w:rsidP="00E91C61">
      <w:pPr>
        <w:spacing w:after="0" w:line="240" w:lineRule="auto"/>
        <w:rPr>
          <w:rFonts w:cs="Times New Roman"/>
          <w:szCs w:val="24"/>
        </w:rPr>
      </w:pPr>
      <w:r>
        <w:rPr>
          <w:rFonts w:cs="Times New Roman"/>
          <w:szCs w:val="24"/>
        </w:rPr>
        <w:t>Acting United States Attorney</w:t>
      </w:r>
    </w:p>
    <w:p w:rsidR="00E91C61" w:rsidRDefault="00E91C61" w:rsidP="00E91C61">
      <w:pPr>
        <w:spacing w:after="0" w:line="240" w:lineRule="auto"/>
        <w:rPr>
          <w:rFonts w:cs="Times New Roman"/>
          <w:szCs w:val="24"/>
        </w:rPr>
      </w:pPr>
    </w:p>
    <w:p w:rsidR="00E91C61" w:rsidRDefault="00E91C61" w:rsidP="00E91C61">
      <w:pPr>
        <w:spacing w:after="0" w:line="240" w:lineRule="auto"/>
        <w:rPr>
          <w:rFonts w:cs="Times New Roman"/>
          <w:szCs w:val="24"/>
        </w:rPr>
      </w:pPr>
      <w:r>
        <w:rPr>
          <w:rFonts w:cs="Times New Roman"/>
          <w:szCs w:val="24"/>
        </w:rPr>
        <w:t>MATTHEW J. HORWITZ (0082381)</w:t>
      </w:r>
    </w:p>
    <w:p w:rsidR="00E91C61" w:rsidRDefault="00E91C61" w:rsidP="00E91C61">
      <w:pPr>
        <w:spacing w:after="0" w:line="240" w:lineRule="auto"/>
        <w:rPr>
          <w:rFonts w:cs="Times New Roman"/>
          <w:szCs w:val="24"/>
        </w:rPr>
      </w:pPr>
      <w:r>
        <w:rPr>
          <w:rFonts w:cs="Times New Roman"/>
          <w:szCs w:val="24"/>
        </w:rPr>
        <w:t>Assistant United States Attorney</w:t>
      </w:r>
    </w:p>
    <w:p w:rsidR="00E91C61" w:rsidRDefault="00E91C61" w:rsidP="00E91C61">
      <w:pPr>
        <w:spacing w:after="0" w:line="240" w:lineRule="auto"/>
        <w:rPr>
          <w:rFonts w:cs="Times New Roman"/>
          <w:szCs w:val="24"/>
        </w:rPr>
      </w:pPr>
      <w:r>
        <w:rPr>
          <w:rFonts w:cs="Times New Roman"/>
          <w:szCs w:val="24"/>
        </w:rPr>
        <w:t>221 East Fourth Street, Suite 400</w:t>
      </w:r>
    </w:p>
    <w:p w:rsidR="00E91C61" w:rsidRDefault="00E91C61" w:rsidP="00E91C61">
      <w:pPr>
        <w:spacing w:after="0" w:line="240" w:lineRule="auto"/>
        <w:rPr>
          <w:rFonts w:cs="Times New Roman"/>
          <w:szCs w:val="24"/>
        </w:rPr>
      </w:pPr>
      <w:r>
        <w:rPr>
          <w:rFonts w:cs="Times New Roman"/>
          <w:szCs w:val="24"/>
        </w:rPr>
        <w:t>Cincinnati, Ohio 45202</w:t>
      </w:r>
    </w:p>
    <w:p w:rsidR="00E91C61" w:rsidRDefault="00E91C61" w:rsidP="00E91C61">
      <w:pPr>
        <w:spacing w:after="0" w:line="240" w:lineRule="auto"/>
        <w:rPr>
          <w:rFonts w:cs="Times New Roman"/>
          <w:szCs w:val="24"/>
        </w:rPr>
      </w:pPr>
      <w:r>
        <w:rPr>
          <w:rFonts w:cs="Times New Roman"/>
          <w:szCs w:val="24"/>
        </w:rPr>
        <w:t>Office: (513) 684-3711</w:t>
      </w:r>
    </w:p>
    <w:p w:rsidR="00E91C61" w:rsidRDefault="00E91C61" w:rsidP="00E91C61">
      <w:pPr>
        <w:spacing w:after="0" w:line="240" w:lineRule="auto"/>
        <w:rPr>
          <w:rFonts w:cs="Times New Roman"/>
          <w:szCs w:val="24"/>
        </w:rPr>
      </w:pPr>
      <w:r>
        <w:rPr>
          <w:rFonts w:cs="Times New Roman"/>
          <w:szCs w:val="24"/>
        </w:rPr>
        <w:t>Fax: (513) 684-6972</w:t>
      </w:r>
    </w:p>
    <w:p w:rsidR="00E91C61" w:rsidRDefault="00E91C61" w:rsidP="00E91C61">
      <w:pPr>
        <w:spacing w:after="0" w:line="240" w:lineRule="auto"/>
        <w:rPr>
          <w:rFonts w:cs="Times New Roman"/>
          <w:szCs w:val="24"/>
        </w:rPr>
      </w:pPr>
      <w:bookmarkStart w:id="0" w:name="_GoBack"/>
      <w:bookmarkEnd w:id="0"/>
      <w:r>
        <w:rPr>
          <w:rFonts w:cs="Times New Roman"/>
          <w:szCs w:val="24"/>
        </w:rPr>
        <w:t>E-mail: Matthew.Horwitz@usdoj.gov</w:t>
      </w:r>
    </w:p>
    <w:p w:rsidR="00E91C61" w:rsidRDefault="00E91C61" w:rsidP="00E91C61">
      <w:pPr>
        <w:spacing w:after="0" w:line="240" w:lineRule="auto"/>
        <w:rPr>
          <w:rFonts w:cs="Times New Roman"/>
          <w:szCs w:val="24"/>
        </w:rPr>
      </w:pPr>
    </w:p>
    <w:p w:rsidR="00E91C61" w:rsidRDefault="00E91C61" w:rsidP="00E91C61">
      <w:pPr>
        <w:spacing w:after="0" w:line="240" w:lineRule="auto"/>
        <w:rPr>
          <w:rFonts w:cs="Times New Roman"/>
          <w:szCs w:val="24"/>
        </w:rPr>
      </w:pPr>
    </w:p>
    <w:p w:rsidR="00481265" w:rsidRDefault="00481265" w:rsidP="00037B86">
      <w:pPr>
        <w:rPr>
          <w:rFonts w:cs="Times New Roman"/>
          <w:szCs w:val="24"/>
        </w:rPr>
      </w:pPr>
    </w:p>
    <w:p w:rsidR="00037B86" w:rsidRDefault="00037B86" w:rsidP="00037B86">
      <w:pPr>
        <w:rPr>
          <w:rFonts w:cs="Times New Roman"/>
          <w:szCs w:val="24"/>
        </w:rPr>
        <w:sectPr w:rsidR="00037B86" w:rsidSect="00037B86">
          <w:type w:val="continuous"/>
          <w:pgSz w:w="12240" w:h="15840"/>
          <w:pgMar w:top="1440" w:right="1440" w:bottom="1440" w:left="1440" w:header="720" w:footer="720" w:gutter="0"/>
          <w:cols w:space="720"/>
          <w:titlePg/>
          <w:docGrid w:linePitch="360"/>
        </w:sect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481265" w:rsidRDefault="00C8465C" w:rsidP="00481265">
      <w:pPr>
        <w:jc w:val="center"/>
        <w:rPr>
          <w:sz w:val="23"/>
          <w:szCs w:val="23"/>
        </w:rPr>
      </w:pPr>
      <w:r>
        <w:rPr>
          <w:rFonts w:cs="Times New Roman"/>
          <w:b/>
          <w:szCs w:val="24"/>
        </w:rPr>
        <w:t>CERTIFICATE OF SERVICE</w:t>
      </w:r>
    </w:p>
    <w:p w:rsidR="00481265" w:rsidRDefault="00481265" w:rsidP="00481265">
      <w:pPr>
        <w:pStyle w:val="Default"/>
        <w:rPr>
          <w:sz w:val="23"/>
          <w:szCs w:val="23"/>
        </w:rPr>
      </w:pPr>
    </w:p>
    <w:p w:rsidR="00481265" w:rsidRDefault="00481265" w:rsidP="00481265">
      <w:pPr>
        <w:pStyle w:val="Default"/>
        <w:ind w:firstLine="720"/>
        <w:rPr>
          <w:sz w:val="23"/>
          <w:szCs w:val="23"/>
        </w:rPr>
      </w:pPr>
      <w:r>
        <w:rPr>
          <w:sz w:val="23"/>
          <w:szCs w:val="23"/>
        </w:rPr>
        <w:t xml:space="preserve">I hereby certify that </w:t>
      </w:r>
      <w:r w:rsidR="00BC665F">
        <w:rPr>
          <w:sz w:val="23"/>
          <w:szCs w:val="23"/>
        </w:rPr>
        <w:t xml:space="preserve">this </w:t>
      </w:r>
      <w:r>
        <w:rPr>
          <w:sz w:val="23"/>
          <w:szCs w:val="23"/>
        </w:rPr>
        <w:t>Statement</w:t>
      </w:r>
      <w:r w:rsidR="00A31316">
        <w:rPr>
          <w:sz w:val="23"/>
          <w:szCs w:val="23"/>
        </w:rPr>
        <w:t xml:space="preserve"> of Interest, filed on this 22nd</w:t>
      </w:r>
      <w:r>
        <w:rPr>
          <w:sz w:val="23"/>
          <w:szCs w:val="23"/>
        </w:rPr>
        <w:t xml:space="preserve"> day of August 2016, will be sent </w:t>
      </w:r>
      <w:r w:rsidR="00AF41E1">
        <w:rPr>
          <w:sz w:val="23"/>
          <w:szCs w:val="23"/>
        </w:rPr>
        <w:t>by operation of the Court’s electronic filing system to all parties indicated on the electronic filing receipt.</w:t>
      </w:r>
      <w:r>
        <w:rPr>
          <w:sz w:val="23"/>
          <w:szCs w:val="23"/>
        </w:rPr>
        <w:t xml:space="preserve"> </w:t>
      </w:r>
      <w:r w:rsidR="00AF41E1">
        <w:rPr>
          <w:sz w:val="23"/>
          <w:szCs w:val="23"/>
        </w:rPr>
        <w:t xml:space="preserve">Parties may access this filing through the Court’s system. </w:t>
      </w:r>
    </w:p>
    <w:p w:rsidR="00481265" w:rsidRDefault="00481265" w:rsidP="00481265">
      <w:pPr>
        <w:pStyle w:val="Default"/>
        <w:rPr>
          <w:sz w:val="23"/>
          <w:szCs w:val="23"/>
        </w:rPr>
      </w:pPr>
    </w:p>
    <w:p w:rsidR="00481265" w:rsidRDefault="00481265" w:rsidP="00481265">
      <w:pPr>
        <w:pStyle w:val="Default"/>
        <w:ind w:left="5760"/>
        <w:rPr>
          <w:sz w:val="23"/>
          <w:szCs w:val="23"/>
          <w:u w:val="single"/>
        </w:rPr>
      </w:pPr>
      <w:r>
        <w:rPr>
          <w:sz w:val="23"/>
          <w:szCs w:val="23"/>
          <w:u w:val="single"/>
        </w:rPr>
        <w:t xml:space="preserve">/s/ Julia Graff </w:t>
      </w:r>
    </w:p>
    <w:p w:rsidR="00481265" w:rsidRDefault="00481265" w:rsidP="00481265">
      <w:pPr>
        <w:spacing w:after="0" w:line="240" w:lineRule="auto"/>
        <w:ind w:left="5760"/>
        <w:rPr>
          <w:rFonts w:cs="Times New Roman"/>
          <w:szCs w:val="24"/>
        </w:rPr>
      </w:pPr>
      <w:r>
        <w:rPr>
          <w:sz w:val="23"/>
          <w:szCs w:val="23"/>
        </w:rPr>
        <w:t>Julia Graff</w:t>
      </w:r>
    </w:p>
    <w:p w:rsidR="00FD2AA2" w:rsidRDefault="00FD2AA2" w:rsidP="00481265">
      <w:pPr>
        <w:jc w:val="center"/>
        <w:rPr>
          <w:rFonts w:cs="Times New Roman"/>
          <w:szCs w:val="24"/>
        </w:rPr>
      </w:pPr>
    </w:p>
    <w:sectPr w:rsidR="00FD2AA2" w:rsidSect="0048126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D7" w:rsidRDefault="008240D7" w:rsidP="00FD2AA2">
      <w:pPr>
        <w:spacing w:after="0" w:line="240" w:lineRule="auto"/>
      </w:pPr>
      <w:r>
        <w:separator/>
      </w:r>
    </w:p>
  </w:endnote>
  <w:endnote w:type="continuationSeparator" w:id="0">
    <w:p w:rsidR="008240D7" w:rsidRDefault="008240D7" w:rsidP="00FD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2D" w:rsidRDefault="00F70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37799"/>
      <w:docPartObj>
        <w:docPartGallery w:val="Page Numbers (Bottom of Page)"/>
        <w:docPartUnique/>
      </w:docPartObj>
    </w:sdtPr>
    <w:sdtContent>
      <w:p w:rsidR="00B9576B" w:rsidRDefault="00E62A2D">
        <w:pPr>
          <w:pStyle w:val="Footer"/>
          <w:jc w:val="center"/>
        </w:pPr>
        <w:r>
          <w:fldChar w:fldCharType="begin"/>
        </w:r>
        <w:r w:rsidR="00E91C61">
          <w:instrText xml:space="preserve"> PAGE   \* MERGEFORMAT </w:instrText>
        </w:r>
        <w:r>
          <w:fldChar w:fldCharType="separate"/>
        </w:r>
        <w:r w:rsidR="00F7042D">
          <w:rPr>
            <w:noProof/>
          </w:rPr>
          <w:t>2</w:t>
        </w:r>
        <w:r>
          <w:rPr>
            <w:noProof/>
          </w:rPr>
          <w:fldChar w:fldCharType="end"/>
        </w:r>
      </w:p>
    </w:sdtContent>
  </w:sdt>
  <w:p w:rsidR="00B9576B" w:rsidRDefault="00B957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2D" w:rsidRDefault="00F704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6B" w:rsidRDefault="00B95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D7" w:rsidRDefault="008240D7" w:rsidP="00FD2AA2">
      <w:pPr>
        <w:spacing w:after="0" w:line="240" w:lineRule="auto"/>
      </w:pPr>
      <w:r>
        <w:separator/>
      </w:r>
    </w:p>
  </w:footnote>
  <w:footnote w:type="continuationSeparator" w:id="0">
    <w:p w:rsidR="008240D7" w:rsidRDefault="008240D7" w:rsidP="00FD2AA2">
      <w:pPr>
        <w:spacing w:after="0" w:line="240" w:lineRule="auto"/>
      </w:pPr>
      <w:r>
        <w:continuationSeparator/>
      </w:r>
    </w:p>
  </w:footnote>
  <w:footnote w:id="1">
    <w:p w:rsidR="00B9576B" w:rsidRDefault="00B9576B" w:rsidP="00FD2AA2">
      <w:pPr>
        <w:pStyle w:val="FootnoteText"/>
        <w:rPr>
          <w:szCs w:val="22"/>
        </w:rPr>
      </w:pPr>
      <w:r>
        <w:rPr>
          <w:rStyle w:val="FootnoteReference"/>
        </w:rPr>
        <w:footnoteRef/>
      </w:r>
      <w:r>
        <w:t xml:space="preserve">  Mr. </w:t>
      </w:r>
      <w:proofErr w:type="spellStart"/>
      <w:r>
        <w:t>Narowitz</w:t>
      </w:r>
      <w:proofErr w:type="spellEnd"/>
      <w:r>
        <w:t xml:space="preserve"> and Mr. Hamilton also allege that the state’s administration of day services violates Title II of the ADA, Section 504, and the Social Security Act. </w:t>
      </w:r>
      <w:proofErr w:type="spellStart"/>
      <w:proofErr w:type="gramStart"/>
      <w:r>
        <w:t>Compl</w:t>
      </w:r>
      <w:proofErr w:type="spellEnd"/>
      <w:r>
        <w:t>.</w:t>
      </w:r>
      <w:proofErr w:type="gramEnd"/>
      <w:r>
        <w:t xml:space="preserve"> </w:t>
      </w:r>
      <w:proofErr w:type="gramStart"/>
      <w:r>
        <w:t>¶¶ 5, 11, 56-57, 64.</w:t>
      </w:r>
      <w:proofErr w:type="gramEnd"/>
      <w:r>
        <w:t xml:space="preserve"> This Statement of Interest does not address defendants’ motion to dismiss as it pertains to those allegations. </w:t>
      </w:r>
    </w:p>
  </w:footnote>
  <w:footnote w:id="2">
    <w:p w:rsidR="00B9576B" w:rsidRDefault="00B9576B" w:rsidP="00FD2AA2">
      <w:pPr>
        <w:spacing w:after="0" w:line="240" w:lineRule="auto"/>
        <w:rPr>
          <w:rFonts w:cs="Times New Roman"/>
          <w:sz w:val="22"/>
        </w:rPr>
      </w:pPr>
      <w:r>
        <w:rPr>
          <w:rStyle w:val="FootnoteReference"/>
          <w:sz w:val="22"/>
        </w:rPr>
        <w:footnoteRef/>
      </w:r>
      <w:r>
        <w:rPr>
          <w:sz w:val="22"/>
        </w:rPr>
        <w:t xml:space="preserve"> </w:t>
      </w:r>
      <w:r>
        <w:rPr>
          <w:rFonts w:cs="Times New Roman"/>
          <w:sz w:val="22"/>
        </w:rPr>
        <w:t xml:space="preserve">Plaintiffs also allege that the median wait time for currently institutionalized individuals in Ohio to receive a waiver for home- and community-based services is 13 years. </w:t>
      </w:r>
      <w:proofErr w:type="gramStart"/>
      <w:r>
        <w:rPr>
          <w:rFonts w:cs="Times New Roman"/>
          <w:i/>
          <w:sz w:val="22"/>
        </w:rPr>
        <w:t>Id</w:t>
      </w:r>
      <w:r>
        <w:rPr>
          <w:rFonts w:cs="Times New Roman"/>
          <w:sz w:val="22"/>
        </w:rPr>
        <w:t>. ¶ 6.</w:t>
      </w:r>
      <w:proofErr w:type="gramEnd"/>
    </w:p>
    <w:p w:rsidR="00B9576B" w:rsidRDefault="00B9576B" w:rsidP="00FD2AA2">
      <w:pPr>
        <w:pStyle w:val="FootnoteText"/>
        <w:rPr>
          <w:sz w:val="22"/>
        </w:rPr>
      </w:pPr>
    </w:p>
  </w:footnote>
  <w:footnote w:id="3">
    <w:p w:rsidR="00B9576B" w:rsidRDefault="00B9576B" w:rsidP="00FD2AA2">
      <w:pPr>
        <w:spacing w:after="0" w:line="240" w:lineRule="auto"/>
        <w:outlineLvl w:val="0"/>
        <w:rPr>
          <w:rFonts w:eastAsia="Times New Roman" w:cs="Times New Roman"/>
          <w:bCs/>
          <w:kern w:val="36"/>
          <w:sz w:val="22"/>
        </w:rPr>
      </w:pPr>
      <w:r>
        <w:rPr>
          <w:rStyle w:val="FootnoteReference"/>
          <w:sz w:val="22"/>
        </w:rPr>
        <w:footnoteRef/>
      </w:r>
      <w:r>
        <w:rPr>
          <w:rFonts w:eastAsia="Times New Roman" w:cs="Times New Roman"/>
          <w:bCs/>
          <w:kern w:val="36"/>
          <w:sz w:val="22"/>
        </w:rPr>
        <w:t xml:space="preserve"> Statement of the Department of Justice on Enforcement of the Integration Mandate of Title II of the Americans with Disabilities Act and </w:t>
      </w:r>
      <w:r>
        <w:rPr>
          <w:rFonts w:eastAsia="Times New Roman" w:cs="Times New Roman"/>
          <w:bCs/>
          <w:i/>
          <w:iCs/>
          <w:kern w:val="36"/>
          <w:sz w:val="22"/>
        </w:rPr>
        <w:t>Olmstead v. L.C.</w:t>
      </w:r>
      <w:r>
        <w:rPr>
          <w:rFonts w:eastAsia="Times New Roman" w:cs="Times New Roman"/>
          <w:bCs/>
          <w:iCs/>
          <w:kern w:val="36"/>
          <w:sz w:val="22"/>
        </w:rPr>
        <w:t xml:space="preserve"> (“DOJ </w:t>
      </w:r>
      <w:r>
        <w:rPr>
          <w:rFonts w:eastAsia="Times New Roman" w:cs="Times New Roman"/>
          <w:bCs/>
          <w:i/>
          <w:iCs/>
          <w:kern w:val="36"/>
          <w:sz w:val="22"/>
        </w:rPr>
        <w:t>Olmstead</w:t>
      </w:r>
      <w:r>
        <w:rPr>
          <w:rFonts w:eastAsia="Times New Roman" w:cs="Times New Roman"/>
          <w:bCs/>
          <w:iCs/>
          <w:kern w:val="36"/>
          <w:sz w:val="22"/>
        </w:rPr>
        <w:t xml:space="preserve"> Statement”), https://www.ada.gov/olmstead/q&amp;a_olmstead.pdf (last updated June 22, 2011). </w:t>
      </w:r>
    </w:p>
    <w:p w:rsidR="00B9576B" w:rsidRDefault="00B9576B" w:rsidP="00FD2AA2">
      <w:pPr>
        <w:pStyle w:val="FootnoteText"/>
        <w:rPr>
          <w:sz w:val="22"/>
        </w:rPr>
      </w:pPr>
    </w:p>
  </w:footnote>
  <w:footnote w:id="4">
    <w:p w:rsidR="00B9576B" w:rsidRDefault="00B9576B" w:rsidP="00FD2AA2">
      <w:pPr>
        <w:pStyle w:val="FootnoteText"/>
      </w:pPr>
      <w:r>
        <w:rPr>
          <w:rStyle w:val="FootnoteReference"/>
        </w:rPr>
        <w:footnoteRef/>
      </w:r>
      <w:r>
        <w:t xml:space="preserve"> Defendants argue that plaintiffs’ claims are not ripe because their institutionalization is “speculative.” </w:t>
      </w:r>
      <w:proofErr w:type="gramStart"/>
      <w:r>
        <w:t>Mot.</w:t>
      </w:r>
      <w:proofErr w:type="gramEnd"/>
      <w:r>
        <w:t xml:space="preserve"> </w:t>
      </w:r>
      <w:proofErr w:type="gramStart"/>
      <w:r>
        <w:t>to</w:t>
      </w:r>
      <w:proofErr w:type="gramEnd"/>
      <w:r>
        <w:t xml:space="preserve"> Dismiss 17. But defendants conflate the ripeness requirement with the merits of plaintiffs’ claims that they require waiver services to maintain their health and safety in the community. </w:t>
      </w:r>
      <w:proofErr w:type="spellStart"/>
      <w:proofErr w:type="gramStart"/>
      <w:r>
        <w:t>Compl</w:t>
      </w:r>
      <w:proofErr w:type="spellEnd"/>
      <w:r>
        <w:t>.</w:t>
      </w:r>
      <w:proofErr w:type="gramEnd"/>
      <w:r>
        <w:t xml:space="preserve"> </w:t>
      </w:r>
      <w:proofErr w:type="gramStart"/>
      <w:r>
        <w:t>¶¶ 54, 63.</w:t>
      </w:r>
      <w:proofErr w:type="gramEnd"/>
      <w:r>
        <w:t xml:space="preserve"> T</w:t>
      </w:r>
      <w:r w:rsidRPr="002E32FE">
        <w:rPr>
          <w:color w:val="000000"/>
          <w:szCs w:val="24"/>
        </w:rPr>
        <w:t xml:space="preserve">he relevant focus of a ripeness inquiry in an at-risk </w:t>
      </w:r>
      <w:r w:rsidRPr="002E32FE">
        <w:rPr>
          <w:i/>
          <w:color w:val="000000"/>
          <w:szCs w:val="24"/>
        </w:rPr>
        <w:t>Olmstead</w:t>
      </w:r>
      <w:r w:rsidRPr="002E32FE">
        <w:rPr>
          <w:color w:val="000000"/>
          <w:szCs w:val="24"/>
        </w:rPr>
        <w:t xml:space="preserve"> case is a</w:t>
      </w:r>
      <w:r w:rsidRPr="002E32FE">
        <w:rPr>
          <w:i/>
          <w:color w:val="000000"/>
          <w:szCs w:val="24"/>
        </w:rPr>
        <w:t xml:space="preserve"> </w:t>
      </w:r>
      <w:r w:rsidRPr="002E32FE">
        <w:rPr>
          <w:color w:val="000000"/>
          <w:szCs w:val="24"/>
        </w:rPr>
        <w:t xml:space="preserve">public entity’s </w:t>
      </w:r>
      <w:r>
        <w:rPr>
          <w:color w:val="000000"/>
          <w:szCs w:val="24"/>
        </w:rPr>
        <w:t xml:space="preserve">concrete decision to deny or reduce </w:t>
      </w:r>
      <w:r w:rsidRPr="002E32FE">
        <w:rPr>
          <w:color w:val="000000"/>
          <w:szCs w:val="24"/>
        </w:rPr>
        <w:t xml:space="preserve">services that would allow </w:t>
      </w:r>
      <w:r>
        <w:rPr>
          <w:color w:val="000000"/>
          <w:szCs w:val="24"/>
        </w:rPr>
        <w:t xml:space="preserve">plaintiffs </w:t>
      </w:r>
      <w:r w:rsidRPr="002E32FE">
        <w:rPr>
          <w:color w:val="000000"/>
          <w:szCs w:val="24"/>
        </w:rPr>
        <w:t>to live, work, and recreate independently in the community</w:t>
      </w:r>
      <w:r>
        <w:rPr>
          <w:color w:val="000000"/>
          <w:szCs w:val="24"/>
        </w:rPr>
        <w:t xml:space="preserve">. </w:t>
      </w:r>
      <w:r>
        <w:rPr>
          <w:i/>
        </w:rPr>
        <w:t>See</w:t>
      </w:r>
      <w:r>
        <w:t xml:space="preserve">, </w:t>
      </w:r>
      <w:r>
        <w:rPr>
          <w:i/>
        </w:rPr>
        <w:t>e.g</w:t>
      </w:r>
      <w:r>
        <w:t xml:space="preserve">., </w:t>
      </w:r>
      <w:proofErr w:type="spellStart"/>
      <w:r>
        <w:rPr>
          <w:i/>
          <w:color w:val="000000"/>
          <w:szCs w:val="24"/>
        </w:rPr>
        <w:t>Steimel</w:t>
      </w:r>
      <w:proofErr w:type="spellEnd"/>
      <w:r>
        <w:rPr>
          <w:i/>
          <w:szCs w:val="24"/>
        </w:rPr>
        <w:t xml:space="preserve"> v. </w:t>
      </w:r>
      <w:proofErr w:type="spellStart"/>
      <w:r>
        <w:rPr>
          <w:i/>
          <w:szCs w:val="24"/>
        </w:rPr>
        <w:t>Wernert</w:t>
      </w:r>
      <w:proofErr w:type="spellEnd"/>
      <w:r>
        <w:rPr>
          <w:szCs w:val="24"/>
        </w:rPr>
        <w:t>, Nos. 15-2377, 15-2389</w:t>
      </w:r>
      <w:r>
        <w:rPr>
          <w:color w:val="000000"/>
          <w:szCs w:val="24"/>
        </w:rPr>
        <w:t xml:space="preserve">, </w:t>
      </w:r>
      <w:r>
        <w:rPr>
          <w:szCs w:val="24"/>
        </w:rPr>
        <w:t>2016 WL 2731505, at *8 (7th Cir. May 10, 2016) (holding that at-risk claims were ripe because the plaintiffs “</w:t>
      </w:r>
      <w:r>
        <w:t>have provided evidence that they need constant supervision and, despite their best efforts, the services [the state] provided . . . have proved inadequate to prevent life-threatening gaps in care.”)</w:t>
      </w:r>
      <w:r>
        <w:rPr>
          <w:szCs w:val="24"/>
        </w:rPr>
        <w:t xml:space="preserve">; </w:t>
      </w:r>
      <w:proofErr w:type="spellStart"/>
      <w:r>
        <w:rPr>
          <w:i/>
          <w:szCs w:val="24"/>
        </w:rPr>
        <w:t>Pashby</w:t>
      </w:r>
      <w:proofErr w:type="spellEnd"/>
      <w:r>
        <w:rPr>
          <w:i/>
          <w:szCs w:val="24"/>
        </w:rPr>
        <w:t xml:space="preserve"> v.</w:t>
      </w:r>
      <w:r>
        <w:rPr>
          <w:szCs w:val="24"/>
        </w:rPr>
        <w:t xml:space="preserve"> </w:t>
      </w:r>
      <w:r>
        <w:rPr>
          <w:i/>
          <w:iCs/>
          <w:szCs w:val="24"/>
        </w:rPr>
        <w:t>Delia</w:t>
      </w:r>
      <w:r>
        <w:rPr>
          <w:szCs w:val="24"/>
        </w:rPr>
        <w:t>, 709 F.3d 307, 317 (4th Cir. 2013) (holding that at-risk claims were ripe even though plaintiffs had not perfected administrative appeals of service reductions because plaintiffs’ claim focused not on the outcome of their individual appeals, but on the state’s decision to reduce services)</w:t>
      </w:r>
      <w:r w:rsidR="00260D5E">
        <w:rPr>
          <w:szCs w:val="24"/>
        </w:rPr>
        <w:t xml:space="preserve">; </w:t>
      </w:r>
      <w:proofErr w:type="spellStart"/>
      <w:r w:rsidR="00260D5E" w:rsidRPr="00260D5E">
        <w:rPr>
          <w:i/>
          <w:szCs w:val="24"/>
        </w:rPr>
        <w:t>Guggenberger</w:t>
      </w:r>
      <w:proofErr w:type="spellEnd"/>
      <w:r w:rsidR="00260D5E" w:rsidRPr="00260D5E">
        <w:rPr>
          <w:i/>
          <w:szCs w:val="24"/>
        </w:rPr>
        <w:t xml:space="preserve"> v. Minnesota</w:t>
      </w:r>
      <w:r w:rsidR="00260D5E">
        <w:rPr>
          <w:szCs w:val="24"/>
        </w:rPr>
        <w:t xml:space="preserve">, No. </w:t>
      </w:r>
      <w:r w:rsidR="00837E27">
        <w:rPr>
          <w:szCs w:val="24"/>
        </w:rPr>
        <w:t xml:space="preserve">15-3439, </w:t>
      </w:r>
      <w:r w:rsidR="00260D5E">
        <w:rPr>
          <w:szCs w:val="24"/>
        </w:rPr>
        <w:t xml:space="preserve">2016 U.S. Dist. LEXIS 99039, *28-34 </w:t>
      </w:r>
      <w:r w:rsidR="00837E27">
        <w:rPr>
          <w:szCs w:val="24"/>
        </w:rPr>
        <w:t xml:space="preserve">(D. Minn. July 28, 2016) </w:t>
      </w:r>
      <w:r w:rsidR="00260D5E">
        <w:rPr>
          <w:szCs w:val="24"/>
        </w:rPr>
        <w:t xml:space="preserve">(holding that the </w:t>
      </w:r>
      <w:r w:rsidR="00837E27">
        <w:rPr>
          <w:szCs w:val="24"/>
        </w:rPr>
        <w:t xml:space="preserve">state’s </w:t>
      </w:r>
      <w:r w:rsidR="00260D5E">
        <w:rPr>
          <w:szCs w:val="24"/>
        </w:rPr>
        <w:t>denial to young adults with disabilities living with parental caregivers of “essential Waiver Services based on Defendants’ purported mismanagement and administration” presented a decision ripe for judicial review)</w:t>
      </w:r>
      <w:r>
        <w:t xml:space="preserve">. </w:t>
      </w:r>
    </w:p>
    <w:p w:rsidR="00B9576B" w:rsidRDefault="00B9576B" w:rsidP="00FD2AA2">
      <w:pPr>
        <w:pStyle w:val="FootnoteText"/>
      </w:pPr>
    </w:p>
  </w:footnote>
  <w:footnote w:id="5">
    <w:p w:rsidR="00B9576B" w:rsidRDefault="00B9576B" w:rsidP="00FD2AA2">
      <w:pPr>
        <w:pStyle w:val="FootnoteText"/>
      </w:pPr>
      <w:r>
        <w:rPr>
          <w:rStyle w:val="FootnoteReference"/>
        </w:rPr>
        <w:footnoteRef/>
      </w:r>
      <w:r>
        <w:t xml:space="preserve"> In </w:t>
      </w:r>
      <w:proofErr w:type="spellStart"/>
      <w:r>
        <w:rPr>
          <w:i/>
        </w:rPr>
        <w:t>Amundson</w:t>
      </w:r>
      <w:proofErr w:type="spellEnd"/>
      <w:r>
        <w:t xml:space="preserve"> </w:t>
      </w:r>
      <w:r>
        <w:rPr>
          <w:i/>
        </w:rPr>
        <w:t>v.</w:t>
      </w:r>
      <w:r>
        <w:t xml:space="preserve"> </w:t>
      </w:r>
      <w:r>
        <w:rPr>
          <w:i/>
        </w:rPr>
        <w:t xml:space="preserve">Wisconsin Dep’t of Health </w:t>
      </w:r>
      <w:proofErr w:type="spellStart"/>
      <w:r>
        <w:rPr>
          <w:i/>
        </w:rPr>
        <w:t>Servs</w:t>
      </w:r>
      <w:proofErr w:type="spellEnd"/>
      <w:r>
        <w:rPr>
          <w:i/>
        </w:rPr>
        <w:t>.</w:t>
      </w:r>
      <w:r>
        <w:t xml:space="preserve">, 721 F.3d 871 (7th Cir. 2013), the Seventh Circuit never reached the question of whether the integration mandate applies to at-risk claims. </w:t>
      </w:r>
      <w:r>
        <w:rPr>
          <w:i/>
        </w:rPr>
        <w:t>Id.</w:t>
      </w:r>
      <w:r>
        <w:t xml:space="preserve"> at 873-874. Plaintiffs living in group homes challenged cuts to reimbursement rates for group home providers but did “not allege inability to find another group home willing to accept” the reduced rates. </w:t>
      </w:r>
      <w:proofErr w:type="gramStart"/>
      <w:r>
        <w:rPr>
          <w:i/>
        </w:rPr>
        <w:t>Id</w:t>
      </w:r>
      <w:r>
        <w:t>. at 873-74.</w:t>
      </w:r>
      <w:proofErr w:type="gramEnd"/>
      <w:r>
        <w:t xml:space="preserve"> The court credited the State’s assertion that it had developed safeguards to ensure that the rates could operate “without landing </w:t>
      </w:r>
      <w:proofErr w:type="gramStart"/>
      <w:r>
        <w:t>any .</w:t>
      </w:r>
      <w:proofErr w:type="gramEnd"/>
      <w:r>
        <w:t xml:space="preserve"> . . disabled person in an institution.” </w:t>
      </w:r>
      <w:r>
        <w:rPr>
          <w:i/>
        </w:rPr>
        <w:t>Id.</w:t>
      </w:r>
      <w:r>
        <w:t xml:space="preserve"> Likewise, the Eight Circuit did not reach this question in </w:t>
      </w:r>
      <w:r>
        <w:rPr>
          <w:i/>
        </w:rPr>
        <w:t>Bill M.</w:t>
      </w:r>
      <w:r>
        <w:t xml:space="preserve"> </w:t>
      </w:r>
      <w:r>
        <w:rPr>
          <w:i/>
        </w:rPr>
        <w:t>v.</w:t>
      </w:r>
      <w:r>
        <w:t xml:space="preserve"> </w:t>
      </w:r>
      <w:r>
        <w:rPr>
          <w:i/>
        </w:rPr>
        <w:t xml:space="preserve">Nebraska Dep’t of Health and Human </w:t>
      </w:r>
      <w:proofErr w:type="spellStart"/>
      <w:r>
        <w:rPr>
          <w:i/>
        </w:rPr>
        <w:t>Servs</w:t>
      </w:r>
      <w:proofErr w:type="spellEnd"/>
      <w:r>
        <w:rPr>
          <w:i/>
        </w:rPr>
        <w:t>. Finance and Support</w:t>
      </w:r>
      <w:r>
        <w:t xml:space="preserve">, 408 F.3d 1096 (8th Cir. 2005), </w:t>
      </w:r>
      <w:r>
        <w:rPr>
          <w:i/>
        </w:rPr>
        <w:t>vacated by</w:t>
      </w:r>
      <w:r>
        <w:t xml:space="preserve"> 126 S. Ct. 1826 (2006), disposing of the case on Eleventh Amendment grounds. </w:t>
      </w:r>
      <w:proofErr w:type="gramStart"/>
      <w:r>
        <w:rPr>
          <w:i/>
        </w:rPr>
        <w:t>Id.</w:t>
      </w:r>
      <w:r>
        <w:t xml:space="preserve"> at 1100.</w:t>
      </w:r>
      <w:proofErr w:type="gramEnd"/>
      <w:r>
        <w:t xml:space="preserve"> The court held that plaintiffs had standing to bring an ADA claim because of allegations that the State’s service levels “jeopardize[d</w:t>
      </w:r>
      <w:proofErr w:type="gramStart"/>
      <w:r>
        <w:t>] .</w:t>
      </w:r>
      <w:proofErr w:type="gramEnd"/>
      <w:r>
        <w:t xml:space="preserve"> . . health and safety,” while cautioning that a “mere risk” of institutionalization would not suffice. </w:t>
      </w:r>
      <w:proofErr w:type="gramStart"/>
      <w:r>
        <w:rPr>
          <w:i/>
        </w:rPr>
        <w:t>Id.</w:t>
      </w:r>
      <w:r>
        <w:t xml:space="preserve"> at 1099.</w:t>
      </w:r>
      <w:proofErr w:type="gramEnd"/>
      <w:r>
        <w:t xml:space="preserve"> </w:t>
      </w:r>
      <w:proofErr w:type="gramStart"/>
      <w:r>
        <w:t>This accords</w:t>
      </w:r>
      <w:proofErr w:type="gramEnd"/>
      <w:r>
        <w:t xml:space="preserve"> with the view that a serious risk of institutionalization states an </w:t>
      </w:r>
      <w:r>
        <w:rPr>
          <w:i/>
        </w:rPr>
        <w:t>Olmstead</w:t>
      </w:r>
      <w:r>
        <w:t xml:space="preserve"> claim.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2D" w:rsidRDefault="00F70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2D" w:rsidRDefault="00F70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2D" w:rsidRDefault="00F70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A27"/>
    <w:multiLevelType w:val="hybridMultilevel"/>
    <w:tmpl w:val="DB667968"/>
    <w:lvl w:ilvl="0" w:tplc="9616379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62F"/>
    <w:multiLevelType w:val="hybridMultilevel"/>
    <w:tmpl w:val="62FA70A8"/>
    <w:lvl w:ilvl="0" w:tplc="50CE780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469EB"/>
    <w:multiLevelType w:val="hybridMultilevel"/>
    <w:tmpl w:val="665681C2"/>
    <w:lvl w:ilvl="0" w:tplc="0A8858F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A0C40"/>
    <w:multiLevelType w:val="hybridMultilevel"/>
    <w:tmpl w:val="64FCB5C2"/>
    <w:lvl w:ilvl="0" w:tplc="EC284CA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0"/>
  </w:num>
  <w:num w:numId="6">
    <w:abstractNumId w:val="1"/>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FD2AA2"/>
    <w:rsid w:val="00037B86"/>
    <w:rsid w:val="000605ED"/>
    <w:rsid w:val="000B4E5A"/>
    <w:rsid w:val="000E3484"/>
    <w:rsid w:val="00117D4E"/>
    <w:rsid w:val="00147F5D"/>
    <w:rsid w:val="001871AA"/>
    <w:rsid w:val="00194722"/>
    <w:rsid w:val="001C0F6A"/>
    <w:rsid w:val="001D3DBE"/>
    <w:rsid w:val="00227B2E"/>
    <w:rsid w:val="00231394"/>
    <w:rsid w:val="00260D5E"/>
    <w:rsid w:val="002D57C6"/>
    <w:rsid w:val="002F2388"/>
    <w:rsid w:val="003171E2"/>
    <w:rsid w:val="00354565"/>
    <w:rsid w:val="003A1EF6"/>
    <w:rsid w:val="003C14A5"/>
    <w:rsid w:val="00405694"/>
    <w:rsid w:val="0043187A"/>
    <w:rsid w:val="00451F55"/>
    <w:rsid w:val="004559B8"/>
    <w:rsid w:val="00464E95"/>
    <w:rsid w:val="00481265"/>
    <w:rsid w:val="004D5518"/>
    <w:rsid w:val="004E20A6"/>
    <w:rsid w:val="004F42D7"/>
    <w:rsid w:val="00506A9A"/>
    <w:rsid w:val="00537CD6"/>
    <w:rsid w:val="00546159"/>
    <w:rsid w:val="00557D47"/>
    <w:rsid w:val="0058450B"/>
    <w:rsid w:val="00596556"/>
    <w:rsid w:val="005B4CAD"/>
    <w:rsid w:val="006417FE"/>
    <w:rsid w:val="006B2C7C"/>
    <w:rsid w:val="006E4B10"/>
    <w:rsid w:val="007253E1"/>
    <w:rsid w:val="00753605"/>
    <w:rsid w:val="008240D7"/>
    <w:rsid w:val="00837E27"/>
    <w:rsid w:val="0088349A"/>
    <w:rsid w:val="008A6689"/>
    <w:rsid w:val="008E5BBA"/>
    <w:rsid w:val="008F454D"/>
    <w:rsid w:val="008F6A5A"/>
    <w:rsid w:val="00903E4A"/>
    <w:rsid w:val="00904B00"/>
    <w:rsid w:val="009802A9"/>
    <w:rsid w:val="00A31316"/>
    <w:rsid w:val="00A44CD4"/>
    <w:rsid w:val="00A60311"/>
    <w:rsid w:val="00A6259C"/>
    <w:rsid w:val="00A72641"/>
    <w:rsid w:val="00A979E5"/>
    <w:rsid w:val="00AF41E1"/>
    <w:rsid w:val="00B0368C"/>
    <w:rsid w:val="00B454D6"/>
    <w:rsid w:val="00B60AAB"/>
    <w:rsid w:val="00B82D48"/>
    <w:rsid w:val="00B844C6"/>
    <w:rsid w:val="00B9576B"/>
    <w:rsid w:val="00BB11E2"/>
    <w:rsid w:val="00BC665F"/>
    <w:rsid w:val="00BF2D8D"/>
    <w:rsid w:val="00C843B7"/>
    <w:rsid w:val="00C8465C"/>
    <w:rsid w:val="00C9198A"/>
    <w:rsid w:val="00CB5143"/>
    <w:rsid w:val="00CE323C"/>
    <w:rsid w:val="00D25CB7"/>
    <w:rsid w:val="00D4325A"/>
    <w:rsid w:val="00D77B79"/>
    <w:rsid w:val="00D9656F"/>
    <w:rsid w:val="00DF2171"/>
    <w:rsid w:val="00E62A2D"/>
    <w:rsid w:val="00E74C3A"/>
    <w:rsid w:val="00E91C61"/>
    <w:rsid w:val="00EB00CC"/>
    <w:rsid w:val="00EF15D0"/>
    <w:rsid w:val="00F37169"/>
    <w:rsid w:val="00F7042D"/>
    <w:rsid w:val="00F95BB7"/>
    <w:rsid w:val="00FD2AA2"/>
    <w:rsid w:val="00FE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A2"/>
  </w:style>
  <w:style w:type="paragraph" w:styleId="Heading1">
    <w:name w:val="heading 1"/>
    <w:basedOn w:val="Normal"/>
    <w:next w:val="Normal"/>
    <w:link w:val="Heading1Char"/>
    <w:autoRedefine/>
    <w:uiPriority w:val="9"/>
    <w:qFormat/>
    <w:rsid w:val="00451F55"/>
    <w:pPr>
      <w:numPr>
        <w:numId w:val="5"/>
      </w:numPr>
      <w:spacing w:after="0" w:line="240" w:lineRule="auto"/>
      <w:outlineLvl w:val="0"/>
    </w:pPr>
    <w:rPr>
      <w:rFonts w:eastAsiaTheme="majorEastAsia" w:cs="Times New Roman"/>
      <w:b/>
      <w:bCs/>
      <w:caps/>
      <w:szCs w:val="24"/>
      <w:u w:val="single"/>
    </w:rPr>
  </w:style>
  <w:style w:type="paragraph" w:styleId="Heading2">
    <w:name w:val="heading 2"/>
    <w:basedOn w:val="Heading1"/>
    <w:next w:val="Normal"/>
    <w:link w:val="Heading2Char"/>
    <w:autoRedefine/>
    <w:uiPriority w:val="9"/>
    <w:unhideWhenUsed/>
    <w:qFormat/>
    <w:rsid w:val="00451F55"/>
    <w:pPr>
      <w:numPr>
        <w:numId w:val="7"/>
      </w:num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55"/>
    <w:rPr>
      <w:rFonts w:eastAsiaTheme="majorEastAsia" w:cs="Times New Roman"/>
      <w:b/>
      <w:bCs/>
      <w:caps/>
      <w:szCs w:val="24"/>
      <w:u w:val="single"/>
    </w:rPr>
  </w:style>
  <w:style w:type="paragraph" w:styleId="FootnoteText">
    <w:name w:val="footnote text"/>
    <w:aliases w:val="ft,fn,fnt"/>
    <w:basedOn w:val="Normal"/>
    <w:link w:val="FootnoteTextChar"/>
    <w:autoRedefine/>
    <w:uiPriority w:val="99"/>
    <w:unhideWhenUsed/>
    <w:rsid w:val="00DF2171"/>
    <w:pPr>
      <w:spacing w:after="0" w:line="240" w:lineRule="auto"/>
    </w:pPr>
    <w:rPr>
      <w:rFonts w:eastAsia="Calibri" w:cs="Times New Roman"/>
      <w:szCs w:val="20"/>
    </w:rPr>
  </w:style>
  <w:style w:type="character" w:customStyle="1" w:styleId="FootnoteTextChar">
    <w:name w:val="Footnote Text Char"/>
    <w:aliases w:val="ft Char,fn Char,fnt Char"/>
    <w:basedOn w:val="DefaultParagraphFont"/>
    <w:link w:val="FootnoteText"/>
    <w:uiPriority w:val="99"/>
    <w:rsid w:val="00DF2171"/>
    <w:rPr>
      <w:rFonts w:ascii="Times New Roman" w:eastAsia="Calibri" w:hAnsi="Times New Roman" w:cs="Times New Roman"/>
      <w:sz w:val="24"/>
      <w:szCs w:val="20"/>
    </w:rPr>
  </w:style>
  <w:style w:type="character" w:customStyle="1" w:styleId="Heading2Char">
    <w:name w:val="Heading 2 Char"/>
    <w:basedOn w:val="DefaultParagraphFont"/>
    <w:link w:val="Heading2"/>
    <w:uiPriority w:val="9"/>
    <w:rsid w:val="00451F55"/>
    <w:rPr>
      <w:rFonts w:eastAsiaTheme="majorEastAsia" w:cs="Times New Roman"/>
      <w:b/>
      <w:bCs/>
      <w:caps/>
      <w:szCs w:val="24"/>
    </w:rPr>
  </w:style>
  <w:style w:type="character" w:styleId="Hyperlink">
    <w:name w:val="Hyperlink"/>
    <w:basedOn w:val="DefaultParagraphFont"/>
    <w:uiPriority w:val="99"/>
    <w:unhideWhenUsed/>
    <w:rsid w:val="00FD2AA2"/>
    <w:rPr>
      <w:color w:val="0000FF" w:themeColor="hyperlink"/>
      <w:u w:val="single"/>
    </w:rPr>
  </w:style>
  <w:style w:type="paragraph" w:customStyle="1" w:styleId="Default">
    <w:name w:val="Default"/>
    <w:rsid w:val="00FD2AA2"/>
    <w:pPr>
      <w:autoSpaceDE w:val="0"/>
      <w:autoSpaceDN w:val="0"/>
      <w:adjustRightInd w:val="0"/>
      <w:spacing w:after="0" w:line="240" w:lineRule="auto"/>
    </w:pPr>
    <w:rPr>
      <w:rFonts w:cs="Times New Roman"/>
      <w:color w:val="000000"/>
      <w:szCs w:val="24"/>
    </w:rPr>
  </w:style>
  <w:style w:type="character" w:styleId="FootnoteReference">
    <w:name w:val="footnote reference"/>
    <w:basedOn w:val="DefaultParagraphFont"/>
    <w:uiPriority w:val="99"/>
    <w:semiHidden/>
    <w:unhideWhenUsed/>
    <w:rsid w:val="00FD2AA2"/>
    <w:rPr>
      <w:vertAlign w:val="superscript"/>
    </w:rPr>
  </w:style>
  <w:style w:type="character" w:styleId="Emphasis">
    <w:name w:val="Emphasis"/>
    <w:basedOn w:val="DefaultParagraphFont"/>
    <w:uiPriority w:val="20"/>
    <w:qFormat/>
    <w:rsid w:val="00FD2AA2"/>
    <w:rPr>
      <w:i/>
      <w:iCs/>
    </w:rPr>
  </w:style>
  <w:style w:type="character" w:styleId="Strong">
    <w:name w:val="Strong"/>
    <w:basedOn w:val="DefaultParagraphFont"/>
    <w:uiPriority w:val="22"/>
    <w:qFormat/>
    <w:rsid w:val="00FD2AA2"/>
    <w:rPr>
      <w:b/>
      <w:bCs/>
    </w:rPr>
  </w:style>
  <w:style w:type="paragraph" w:styleId="BalloonText">
    <w:name w:val="Balloon Text"/>
    <w:basedOn w:val="Normal"/>
    <w:link w:val="BalloonTextChar"/>
    <w:uiPriority w:val="99"/>
    <w:semiHidden/>
    <w:unhideWhenUsed/>
    <w:rsid w:val="006E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10"/>
    <w:rPr>
      <w:rFonts w:ascii="Tahoma" w:hAnsi="Tahoma" w:cs="Tahoma"/>
      <w:sz w:val="16"/>
      <w:szCs w:val="16"/>
    </w:rPr>
  </w:style>
  <w:style w:type="paragraph" w:styleId="Header">
    <w:name w:val="header"/>
    <w:basedOn w:val="Normal"/>
    <w:link w:val="HeaderChar"/>
    <w:uiPriority w:val="99"/>
    <w:semiHidden/>
    <w:unhideWhenUsed/>
    <w:rsid w:val="00481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265"/>
  </w:style>
  <w:style w:type="paragraph" w:styleId="Footer">
    <w:name w:val="footer"/>
    <w:basedOn w:val="Normal"/>
    <w:link w:val="FooterChar"/>
    <w:uiPriority w:val="99"/>
    <w:unhideWhenUsed/>
    <w:rsid w:val="0048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65"/>
  </w:style>
  <w:style w:type="character" w:styleId="CommentReference">
    <w:name w:val="annotation reference"/>
    <w:basedOn w:val="DefaultParagraphFont"/>
    <w:uiPriority w:val="99"/>
    <w:semiHidden/>
    <w:unhideWhenUsed/>
    <w:rsid w:val="004559B8"/>
    <w:rPr>
      <w:sz w:val="16"/>
      <w:szCs w:val="16"/>
    </w:rPr>
  </w:style>
  <w:style w:type="paragraph" w:styleId="CommentText">
    <w:name w:val="annotation text"/>
    <w:basedOn w:val="Normal"/>
    <w:link w:val="CommentTextChar"/>
    <w:uiPriority w:val="99"/>
    <w:unhideWhenUsed/>
    <w:rsid w:val="004559B8"/>
    <w:pPr>
      <w:spacing w:line="240" w:lineRule="auto"/>
    </w:pPr>
    <w:rPr>
      <w:sz w:val="20"/>
      <w:szCs w:val="20"/>
    </w:rPr>
  </w:style>
  <w:style w:type="character" w:customStyle="1" w:styleId="CommentTextChar">
    <w:name w:val="Comment Text Char"/>
    <w:basedOn w:val="DefaultParagraphFont"/>
    <w:link w:val="CommentText"/>
    <w:uiPriority w:val="99"/>
    <w:rsid w:val="004559B8"/>
    <w:rPr>
      <w:sz w:val="20"/>
      <w:szCs w:val="20"/>
    </w:rPr>
  </w:style>
  <w:style w:type="paragraph" w:styleId="CommentSubject">
    <w:name w:val="annotation subject"/>
    <w:basedOn w:val="CommentText"/>
    <w:next w:val="CommentText"/>
    <w:link w:val="CommentSubjectChar"/>
    <w:uiPriority w:val="99"/>
    <w:semiHidden/>
    <w:unhideWhenUsed/>
    <w:rsid w:val="004559B8"/>
    <w:rPr>
      <w:b/>
      <w:bCs/>
    </w:rPr>
  </w:style>
  <w:style w:type="character" w:customStyle="1" w:styleId="CommentSubjectChar">
    <w:name w:val="Comment Subject Char"/>
    <w:basedOn w:val="CommentTextChar"/>
    <w:link w:val="CommentSubject"/>
    <w:uiPriority w:val="99"/>
    <w:semiHidden/>
    <w:rsid w:val="004559B8"/>
    <w:rPr>
      <w:b/>
      <w:bCs/>
      <w:sz w:val="20"/>
      <w:szCs w:val="20"/>
    </w:rPr>
  </w:style>
  <w:style w:type="table" w:styleId="TableGrid">
    <w:name w:val="Table Grid"/>
    <w:basedOn w:val="TableNormal"/>
    <w:uiPriority w:val="59"/>
    <w:rsid w:val="00E9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811908">
      <w:bodyDiv w:val="1"/>
      <w:marLeft w:val="0"/>
      <w:marRight w:val="0"/>
      <w:marTop w:val="0"/>
      <w:marBottom w:val="0"/>
      <w:divBdr>
        <w:top w:val="none" w:sz="0" w:space="0" w:color="auto"/>
        <w:left w:val="none" w:sz="0" w:space="0" w:color="auto"/>
        <w:bottom w:val="none" w:sz="0" w:space="0" w:color="auto"/>
        <w:right w:val="none" w:sz="0" w:space="0" w:color="auto"/>
      </w:divBdr>
    </w:div>
    <w:div w:id="1875272131">
      <w:bodyDiv w:val="1"/>
      <w:marLeft w:val="0"/>
      <w:marRight w:val="0"/>
      <w:marTop w:val="0"/>
      <w:marBottom w:val="0"/>
      <w:divBdr>
        <w:top w:val="none" w:sz="0" w:space="0" w:color="auto"/>
        <w:left w:val="none" w:sz="0" w:space="0" w:color="auto"/>
        <w:bottom w:val="none" w:sz="0" w:space="0" w:color="auto"/>
        <w:right w:val="none" w:sz="0" w:space="0" w:color="auto"/>
      </w:divBdr>
    </w:div>
    <w:div w:id="1946301012">
      <w:bodyDiv w:val="1"/>
      <w:marLeft w:val="0"/>
      <w:marRight w:val="0"/>
      <w:marTop w:val="0"/>
      <w:marBottom w:val="0"/>
      <w:divBdr>
        <w:top w:val="none" w:sz="0" w:space="0" w:color="auto"/>
        <w:left w:val="none" w:sz="0" w:space="0" w:color="auto"/>
        <w:bottom w:val="none" w:sz="0" w:space="0" w:color="auto"/>
        <w:right w:val="none" w:sz="0" w:space="0" w:color="auto"/>
      </w:divBdr>
      <w:divsChild>
        <w:div w:id="1052270104">
          <w:marLeft w:val="0"/>
          <w:marRight w:val="0"/>
          <w:marTop w:val="0"/>
          <w:marBottom w:val="0"/>
          <w:divBdr>
            <w:top w:val="none" w:sz="0" w:space="0" w:color="auto"/>
            <w:left w:val="none" w:sz="0" w:space="0" w:color="auto"/>
            <w:bottom w:val="none" w:sz="0" w:space="0" w:color="auto"/>
            <w:right w:val="none" w:sz="0" w:space="0" w:color="auto"/>
          </w:divBdr>
          <w:divsChild>
            <w:div w:id="481165969">
              <w:marLeft w:val="0"/>
              <w:marRight w:val="0"/>
              <w:marTop w:val="0"/>
              <w:marBottom w:val="0"/>
              <w:divBdr>
                <w:top w:val="none" w:sz="0" w:space="0" w:color="auto"/>
                <w:left w:val="none" w:sz="0" w:space="0" w:color="auto"/>
                <w:bottom w:val="none" w:sz="0" w:space="0" w:color="auto"/>
                <w:right w:val="none" w:sz="0" w:space="0" w:color="auto"/>
              </w:divBdr>
            </w:div>
            <w:div w:id="949816905">
              <w:marLeft w:val="0"/>
              <w:marRight w:val="0"/>
              <w:marTop w:val="0"/>
              <w:marBottom w:val="0"/>
              <w:divBdr>
                <w:top w:val="none" w:sz="0" w:space="0" w:color="auto"/>
                <w:left w:val="none" w:sz="0" w:space="0" w:color="auto"/>
                <w:bottom w:val="none" w:sz="0" w:space="0" w:color="auto"/>
                <w:right w:val="none" w:sz="0" w:space="0" w:color="auto"/>
              </w:divBdr>
              <w:divsChild>
                <w:div w:id="65153465">
                  <w:marLeft w:val="0"/>
                  <w:marRight w:val="0"/>
                  <w:marTop w:val="0"/>
                  <w:marBottom w:val="0"/>
                  <w:divBdr>
                    <w:top w:val="none" w:sz="0" w:space="0" w:color="auto"/>
                    <w:left w:val="none" w:sz="0" w:space="0" w:color="auto"/>
                    <w:bottom w:val="none" w:sz="0" w:space="0" w:color="auto"/>
                    <w:right w:val="none" w:sz="0" w:space="0" w:color="auto"/>
                  </w:divBdr>
                  <w:divsChild>
                    <w:div w:id="429159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8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9146002&amp;originatingDoc=Iafd0ad50577e11e1bd1192eddc2af8cc&amp;refType=RP&amp;originationContext=document&amp;transitionType=DocumentItem&amp;contextData=%28sc.UserEnteredCitation%2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1.next.westlaw.com/Link/Document/FullText?findType=Y&amp;serNum=1999146002&amp;originatingDoc=I017c4be43b9211ddb6a3a099756c05b7&amp;refType=RP&amp;originationContext=document&amp;transitionType=DocumentItem&amp;contextData=%28sc.DocLink%2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01769-7793-4BB1-AEC7-EE6A14EE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4078</Words>
  <Characters>23247</Characters>
  <Application>Microsoft Office Word</Application>
  <DocSecurity>0</DocSecurity>
  <Lines>193</Lines>
  <Paragraphs>54</Paragraphs>
  <ScaleCrop>false</ScaleCrop>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2016-08-25T00:21:00Z</dcterms:created>
  <dcterms:modified xsi:type="dcterms:W3CDTF">2016-08-25T00:21:00Z</dcterms:modified>
</cp:coreProperties>
</file>