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4C" w:rsidRPr="00F91CC2" w:rsidRDefault="00F4684C" w:rsidP="00F91CC2">
      <w:pPr>
        <w:pStyle w:val="CourtName"/>
      </w:pPr>
      <w:r w:rsidRPr="00F91CC2">
        <w:t>UNITED STATES DISTRICT COURT</w:t>
      </w:r>
      <w:r w:rsidR="007F23DA" w:rsidRPr="00F91CC2">
        <w:t xml:space="preserve"> FOR THE</w:t>
      </w:r>
    </w:p>
    <w:p w:rsidR="00F4684C" w:rsidRPr="00F91CC2" w:rsidRDefault="00F4684C" w:rsidP="00F91CC2">
      <w:pPr>
        <w:pStyle w:val="CourtName"/>
      </w:pPr>
      <w:r w:rsidRPr="00F91CC2">
        <w:t>DISTRICT OF COLUMBIA</w:t>
      </w:r>
    </w:p>
    <w:p w:rsidR="00F4684C" w:rsidRDefault="00F4684C" w:rsidP="003607CF">
      <w:pPr>
        <w:widowControl w:val="0"/>
        <w:spacing w:line="240" w:lineRule="auto"/>
        <w:rPr>
          <w:szCs w:val="24"/>
        </w:rPr>
      </w:pPr>
    </w:p>
    <w:p w:rsidR="00F91CC2" w:rsidRPr="00F91CC2" w:rsidRDefault="00F91CC2" w:rsidP="00F91CC2">
      <w:pPr>
        <w:pStyle w:val="Title"/>
      </w:pPr>
      <w:r w:rsidRPr="00F91CC2">
        <w:t>_______________________________________</w:t>
      </w:r>
    </w:p>
    <w:p w:rsidR="00F91CC2" w:rsidRPr="00F91CC2" w:rsidRDefault="00F91CC2" w:rsidP="00F91CC2">
      <w:pPr>
        <w:pStyle w:val="Title"/>
      </w:pPr>
      <w:r w:rsidRPr="00F91CC2">
        <w:tab/>
      </w:r>
      <w:r w:rsidRPr="00F91CC2">
        <w:tab/>
        <w:t>)</w:t>
      </w:r>
    </w:p>
    <w:p w:rsidR="00F91CC2" w:rsidRPr="00F91CC2" w:rsidRDefault="00F91CC2" w:rsidP="00F91CC2">
      <w:pPr>
        <w:pStyle w:val="Title"/>
      </w:pPr>
      <w:r w:rsidRPr="00F91CC2">
        <w:t xml:space="preserve">ANTHONY HUNTER, </w:t>
      </w:r>
      <w:r w:rsidRPr="00F91CC2">
        <w:rPr>
          <w:i/>
        </w:rPr>
        <w:t>et al.</w:t>
      </w:r>
      <w:r w:rsidRPr="00F91CC2">
        <w:t xml:space="preserve">, </w:t>
      </w:r>
      <w:r w:rsidRPr="00F91CC2">
        <w:tab/>
        <w:t>)</w:t>
      </w:r>
    </w:p>
    <w:p w:rsidR="00F91CC2" w:rsidRPr="00F91CC2" w:rsidRDefault="00F91CC2" w:rsidP="00F91CC2">
      <w:pPr>
        <w:pStyle w:val="Title"/>
      </w:pPr>
      <w:r w:rsidRPr="00F91CC2">
        <w:tab/>
      </w:r>
      <w:r w:rsidRPr="00F91CC2">
        <w:tab/>
        <w:t>)</w:t>
      </w:r>
    </w:p>
    <w:p w:rsidR="00F91CC2" w:rsidRPr="00F91CC2" w:rsidRDefault="00F91CC2" w:rsidP="00F91CC2">
      <w:pPr>
        <w:pStyle w:val="Title"/>
      </w:pPr>
      <w:r w:rsidRPr="00F91CC2">
        <w:tab/>
        <w:t>Plaintiffs,</w:t>
      </w:r>
      <w:r w:rsidRPr="00F91CC2">
        <w:tab/>
        <w:t>)</w:t>
      </w:r>
    </w:p>
    <w:p w:rsidR="00F91CC2" w:rsidRPr="00F91CC2" w:rsidRDefault="00F91CC2" w:rsidP="00F91CC2">
      <w:pPr>
        <w:pStyle w:val="Title"/>
      </w:pPr>
      <w:r w:rsidRPr="00F91CC2">
        <w:tab/>
      </w:r>
      <w:r w:rsidRPr="00F91CC2">
        <w:tab/>
        <w:t>)</w:t>
      </w:r>
    </w:p>
    <w:p w:rsidR="00F91CC2" w:rsidRPr="00F91CC2" w:rsidRDefault="00F91CC2" w:rsidP="00F91CC2">
      <w:pPr>
        <w:pStyle w:val="Title"/>
      </w:pPr>
      <w:r w:rsidRPr="00F91CC2">
        <w:tab/>
        <w:t>v.</w:t>
      </w:r>
      <w:r w:rsidRPr="00F91CC2">
        <w:tab/>
        <w:t>)</w:t>
      </w:r>
      <w:r w:rsidRPr="00F91CC2">
        <w:tab/>
        <w:t>Case No. 1:12-cv-01960</w:t>
      </w:r>
      <w:r w:rsidR="002D6388">
        <w:t>-</w:t>
      </w:r>
      <w:r w:rsidRPr="00F91CC2">
        <w:t>GK</w:t>
      </w:r>
    </w:p>
    <w:p w:rsidR="00F91CC2" w:rsidRPr="00F91CC2" w:rsidRDefault="00F91CC2" w:rsidP="00F91CC2">
      <w:pPr>
        <w:pStyle w:val="Title"/>
      </w:pPr>
      <w:r w:rsidRPr="00F91CC2">
        <w:tab/>
      </w:r>
      <w:r w:rsidRPr="00F91CC2">
        <w:tab/>
        <w:t>)</w:t>
      </w:r>
    </w:p>
    <w:p w:rsidR="00F91CC2" w:rsidRPr="00F91CC2" w:rsidRDefault="00F91CC2" w:rsidP="00F91CC2">
      <w:pPr>
        <w:pStyle w:val="Title"/>
      </w:pPr>
      <w:r w:rsidRPr="00F91CC2">
        <w:t xml:space="preserve">DISTRICT OF COLUMBIA, </w:t>
      </w:r>
      <w:r w:rsidRPr="00F91CC2">
        <w:rPr>
          <w:i/>
        </w:rPr>
        <w:t>et al.</w:t>
      </w:r>
      <w:r w:rsidRPr="00F91CC2">
        <w:t>,</w:t>
      </w:r>
      <w:r w:rsidRPr="00F91CC2">
        <w:tab/>
        <w:t>)</w:t>
      </w:r>
    </w:p>
    <w:p w:rsidR="00F91CC2" w:rsidRPr="00F91CC2" w:rsidRDefault="00F91CC2" w:rsidP="00F91CC2">
      <w:pPr>
        <w:pStyle w:val="Title"/>
      </w:pPr>
      <w:r w:rsidRPr="00F91CC2">
        <w:tab/>
      </w:r>
      <w:r w:rsidRPr="00F91CC2">
        <w:tab/>
        <w:t>)</w:t>
      </w:r>
    </w:p>
    <w:p w:rsidR="00F91CC2" w:rsidRPr="00F91CC2" w:rsidRDefault="00F91CC2" w:rsidP="00F91CC2">
      <w:pPr>
        <w:pStyle w:val="Title"/>
      </w:pPr>
      <w:r w:rsidRPr="00F91CC2">
        <w:tab/>
        <w:t>Defendants</w:t>
      </w:r>
      <w:r w:rsidRPr="00F91CC2">
        <w:tab/>
        <w:t>)</w:t>
      </w:r>
    </w:p>
    <w:p w:rsidR="00F91CC2" w:rsidRPr="00F91CC2" w:rsidRDefault="00F91CC2" w:rsidP="00F91CC2">
      <w:pPr>
        <w:pStyle w:val="Title"/>
      </w:pPr>
      <w:r w:rsidRPr="00F91CC2">
        <w:t>_______________________________________)</w:t>
      </w:r>
    </w:p>
    <w:p w:rsidR="003378C4" w:rsidRPr="00FD5341" w:rsidRDefault="003378C4" w:rsidP="004E6A2C">
      <w:pPr>
        <w:widowControl w:val="0"/>
        <w:rPr>
          <w:b/>
          <w:szCs w:val="24"/>
          <w:u w:val="single"/>
        </w:rPr>
      </w:pPr>
    </w:p>
    <w:p w:rsidR="002D6388" w:rsidRPr="002D6388" w:rsidRDefault="00575965" w:rsidP="002D6388">
      <w:pPr>
        <w:pStyle w:val="Heading1"/>
      </w:pPr>
      <w:r w:rsidRPr="00F91CC2">
        <w:t>STATEMENT OF INTEREST OF THE UNITED STATES OF AMERICA</w:t>
      </w:r>
    </w:p>
    <w:p w:rsidR="009F0AD7" w:rsidRPr="00F91CC2" w:rsidRDefault="009F0AD7" w:rsidP="00F91CC2">
      <w:pPr>
        <w:pStyle w:val="Heading2"/>
      </w:pPr>
      <w:r w:rsidRPr="00F91CC2">
        <w:t>INTRODUCTION</w:t>
      </w:r>
    </w:p>
    <w:p w:rsidR="005D0F53" w:rsidRPr="00FD5341" w:rsidRDefault="0029663D" w:rsidP="004E6A2C">
      <w:pPr>
        <w:widowControl w:val="0"/>
        <w:ind w:firstLine="720"/>
        <w:rPr>
          <w:szCs w:val="24"/>
          <w:highlight w:val="yellow"/>
        </w:rPr>
      </w:pPr>
      <w:r w:rsidRPr="00FD5341">
        <w:rPr>
          <w:szCs w:val="24"/>
        </w:rPr>
        <w:t xml:space="preserve">The United States </w:t>
      </w:r>
      <w:r w:rsidR="00D345E8" w:rsidRPr="00FD5341">
        <w:rPr>
          <w:szCs w:val="24"/>
        </w:rPr>
        <w:t xml:space="preserve">respectfully submits </w:t>
      </w:r>
      <w:r w:rsidR="00FF3829" w:rsidRPr="00FD5341">
        <w:rPr>
          <w:szCs w:val="24"/>
        </w:rPr>
        <w:t>this Statement of Interest</w:t>
      </w:r>
      <w:r w:rsidRPr="00FD5341">
        <w:rPr>
          <w:szCs w:val="24"/>
        </w:rPr>
        <w:t xml:space="preserve"> pursuant to 28 U.S.C. </w:t>
      </w:r>
      <w:r w:rsidR="00C61D98" w:rsidRPr="00FD5341">
        <w:rPr>
          <w:szCs w:val="24"/>
        </w:rPr>
        <w:t>§ </w:t>
      </w:r>
      <w:r w:rsidRPr="00FD5341">
        <w:rPr>
          <w:szCs w:val="24"/>
        </w:rPr>
        <w:t>517</w:t>
      </w:r>
      <w:r w:rsidR="008D6FD9" w:rsidRPr="00FD5341">
        <w:rPr>
          <w:szCs w:val="24"/>
        </w:rPr>
        <w:t xml:space="preserve"> </w:t>
      </w:r>
      <w:r w:rsidR="00F60189" w:rsidRPr="00FD5341">
        <w:rPr>
          <w:szCs w:val="24"/>
        </w:rPr>
        <w:t xml:space="preserve">to address arguments raised by </w:t>
      </w:r>
      <w:r w:rsidR="00964D90" w:rsidRPr="00FD5341">
        <w:rPr>
          <w:szCs w:val="24"/>
        </w:rPr>
        <w:t>Defendant</w:t>
      </w:r>
      <w:r w:rsidR="006E3F48" w:rsidRPr="00FD5341">
        <w:rPr>
          <w:szCs w:val="24"/>
        </w:rPr>
        <w:t xml:space="preserve"> District of Columbia</w:t>
      </w:r>
      <w:r w:rsidR="00F60189" w:rsidRPr="00FD5341">
        <w:rPr>
          <w:szCs w:val="24"/>
        </w:rPr>
        <w:t xml:space="preserve"> in its</w:t>
      </w:r>
      <w:r w:rsidR="008D6FD9" w:rsidRPr="00FD5341">
        <w:rPr>
          <w:szCs w:val="24"/>
        </w:rPr>
        <w:t xml:space="preserve"> </w:t>
      </w:r>
      <w:r w:rsidR="00964D90" w:rsidRPr="00FD5341">
        <w:rPr>
          <w:szCs w:val="24"/>
        </w:rPr>
        <w:t xml:space="preserve">Motion </w:t>
      </w:r>
      <w:r w:rsidR="006E3F48" w:rsidRPr="00FD5341">
        <w:rPr>
          <w:szCs w:val="24"/>
        </w:rPr>
        <w:t xml:space="preserve">for </w:t>
      </w:r>
      <w:r w:rsidR="00964D90" w:rsidRPr="00FD5341">
        <w:rPr>
          <w:szCs w:val="24"/>
        </w:rPr>
        <w:t>Dismiss</w:t>
      </w:r>
      <w:r w:rsidR="006E3F48" w:rsidRPr="00FD5341">
        <w:rPr>
          <w:szCs w:val="24"/>
        </w:rPr>
        <w:t>al of</w:t>
      </w:r>
      <w:r w:rsidR="00964D90" w:rsidRPr="00FD5341">
        <w:rPr>
          <w:szCs w:val="24"/>
        </w:rPr>
        <w:t xml:space="preserve"> </w:t>
      </w:r>
      <w:r w:rsidR="00DC08E0" w:rsidRPr="00FD5341">
        <w:rPr>
          <w:szCs w:val="24"/>
        </w:rPr>
        <w:t>Plaintiffs</w:t>
      </w:r>
      <w:r w:rsidR="002F75F9" w:rsidRPr="00FD5341">
        <w:rPr>
          <w:szCs w:val="24"/>
        </w:rPr>
        <w:t>’</w:t>
      </w:r>
      <w:r w:rsidR="00DC08E0" w:rsidRPr="00FD5341">
        <w:rPr>
          <w:szCs w:val="24"/>
        </w:rPr>
        <w:t xml:space="preserve"> </w:t>
      </w:r>
      <w:r w:rsidR="006E3F48" w:rsidRPr="00FD5341">
        <w:rPr>
          <w:szCs w:val="24"/>
        </w:rPr>
        <w:t xml:space="preserve">First </w:t>
      </w:r>
      <w:r w:rsidR="00964D90" w:rsidRPr="00FD5341">
        <w:rPr>
          <w:szCs w:val="24"/>
        </w:rPr>
        <w:t>Amended Complaint</w:t>
      </w:r>
      <w:r w:rsidR="008D6FD9" w:rsidRPr="00FD5341">
        <w:rPr>
          <w:szCs w:val="24"/>
        </w:rPr>
        <w:t xml:space="preserve"> </w:t>
      </w:r>
      <w:r w:rsidR="00A71D39" w:rsidRPr="00FD5341">
        <w:rPr>
          <w:szCs w:val="24"/>
        </w:rPr>
        <w:t xml:space="preserve">(the </w:t>
      </w:r>
      <w:r w:rsidR="006C3BAA" w:rsidRPr="00FD5341">
        <w:rPr>
          <w:szCs w:val="24"/>
        </w:rPr>
        <w:t>“</w:t>
      </w:r>
      <w:r w:rsidR="005721C5">
        <w:rPr>
          <w:szCs w:val="24"/>
        </w:rPr>
        <w:t>Def.’s</w:t>
      </w:r>
      <w:r w:rsidR="00E40725" w:rsidRPr="00FD5341">
        <w:rPr>
          <w:szCs w:val="24"/>
        </w:rPr>
        <w:t xml:space="preserve"> Mot. Dismiss</w:t>
      </w:r>
      <w:r w:rsidR="006C3BAA" w:rsidRPr="00FD5341">
        <w:rPr>
          <w:szCs w:val="24"/>
        </w:rPr>
        <w:t>”</w:t>
      </w:r>
      <w:r w:rsidR="00781F20">
        <w:rPr>
          <w:szCs w:val="24"/>
        </w:rPr>
        <w:t xml:space="preserve"> or “Motion”</w:t>
      </w:r>
      <w:r w:rsidR="00A71D39" w:rsidRPr="00FD5341">
        <w:rPr>
          <w:szCs w:val="24"/>
        </w:rPr>
        <w:t>)</w:t>
      </w:r>
      <w:r w:rsidR="00DA11B6">
        <w:rPr>
          <w:szCs w:val="24"/>
        </w:rPr>
        <w:t>.</w:t>
      </w:r>
      <w:r w:rsidR="00DA11B6" w:rsidRPr="00FD5341">
        <w:rPr>
          <w:rStyle w:val="FootnoteReference"/>
          <w:szCs w:val="24"/>
        </w:rPr>
        <w:footnoteReference w:id="1"/>
      </w:r>
      <w:r w:rsidR="00DA11B6">
        <w:rPr>
          <w:szCs w:val="24"/>
        </w:rPr>
        <w:t xml:space="preserve"> </w:t>
      </w:r>
      <w:r w:rsidR="001502B0" w:rsidRPr="00FD5341">
        <w:rPr>
          <w:szCs w:val="24"/>
        </w:rPr>
        <w:t xml:space="preserve"> </w:t>
      </w:r>
      <w:r w:rsidR="00E40725" w:rsidRPr="00FD5341">
        <w:rPr>
          <w:szCs w:val="24"/>
        </w:rPr>
        <w:t xml:space="preserve">June 3, 2013, </w:t>
      </w:r>
      <w:r w:rsidR="00510814" w:rsidRPr="00FD5341">
        <w:rPr>
          <w:szCs w:val="24"/>
        </w:rPr>
        <w:t>EC</w:t>
      </w:r>
      <w:r w:rsidR="001B7B69" w:rsidRPr="00FD5341">
        <w:rPr>
          <w:szCs w:val="24"/>
        </w:rPr>
        <w:t xml:space="preserve">F </w:t>
      </w:r>
      <w:r w:rsidR="00510814" w:rsidRPr="00FD5341">
        <w:rPr>
          <w:szCs w:val="24"/>
        </w:rPr>
        <w:t>No.</w:t>
      </w:r>
      <w:r w:rsidR="008D6FD9" w:rsidRPr="00FD5341">
        <w:rPr>
          <w:szCs w:val="24"/>
        </w:rPr>
        <w:t xml:space="preserve"> </w:t>
      </w:r>
      <w:r w:rsidR="00964D90" w:rsidRPr="00FD5341">
        <w:rPr>
          <w:szCs w:val="24"/>
        </w:rPr>
        <w:t>65</w:t>
      </w:r>
      <w:r w:rsidR="00E742A2" w:rsidRPr="00FD5341">
        <w:rPr>
          <w:szCs w:val="24"/>
        </w:rPr>
        <w:t>-1</w:t>
      </w:r>
      <w:r w:rsidR="008D6FD9" w:rsidRPr="00FD5341">
        <w:rPr>
          <w:szCs w:val="24"/>
        </w:rPr>
        <w:t xml:space="preserve">. </w:t>
      </w:r>
      <w:r w:rsidR="00A17FE3" w:rsidRPr="00FD5341">
        <w:rPr>
          <w:szCs w:val="24"/>
        </w:rPr>
        <w:t xml:space="preserve"> </w:t>
      </w:r>
      <w:r w:rsidR="00D345E8" w:rsidRPr="00FD5341">
        <w:rPr>
          <w:szCs w:val="24"/>
        </w:rPr>
        <w:t xml:space="preserve">In this </w:t>
      </w:r>
      <w:r w:rsidR="007D7013" w:rsidRPr="00FD5341">
        <w:rPr>
          <w:szCs w:val="24"/>
        </w:rPr>
        <w:t>lawsuit</w:t>
      </w:r>
      <w:r w:rsidR="00D345E8" w:rsidRPr="00FD5341">
        <w:rPr>
          <w:szCs w:val="24"/>
        </w:rPr>
        <w:t>, Plaintiffs</w:t>
      </w:r>
      <w:r w:rsidR="007D7013" w:rsidRPr="00FD5341">
        <w:rPr>
          <w:szCs w:val="24"/>
        </w:rPr>
        <w:t xml:space="preserve"> allege that the District of Columbia (</w:t>
      </w:r>
      <w:r w:rsidR="00781F20">
        <w:rPr>
          <w:szCs w:val="24"/>
        </w:rPr>
        <w:t xml:space="preserve">the </w:t>
      </w:r>
      <w:r w:rsidR="006C3BAA" w:rsidRPr="00FD5341">
        <w:rPr>
          <w:szCs w:val="24"/>
        </w:rPr>
        <w:t>“</w:t>
      </w:r>
      <w:r w:rsidR="007D7013" w:rsidRPr="00FD5341">
        <w:rPr>
          <w:szCs w:val="24"/>
        </w:rPr>
        <w:t>District</w:t>
      </w:r>
      <w:r w:rsidR="006C3BAA" w:rsidRPr="00FD5341">
        <w:rPr>
          <w:szCs w:val="24"/>
        </w:rPr>
        <w:t>”</w:t>
      </w:r>
      <w:r w:rsidR="00CD28A2" w:rsidRPr="00FD5341">
        <w:rPr>
          <w:szCs w:val="24"/>
        </w:rPr>
        <w:t xml:space="preserve">) failed to </w:t>
      </w:r>
      <w:r w:rsidR="00F2579C" w:rsidRPr="00FD5341">
        <w:rPr>
          <w:szCs w:val="24"/>
        </w:rPr>
        <w:t>provide</w:t>
      </w:r>
      <w:r w:rsidR="00CD28A2" w:rsidRPr="00FD5341">
        <w:rPr>
          <w:szCs w:val="24"/>
        </w:rPr>
        <w:t xml:space="preserve"> i</w:t>
      </w:r>
      <w:r w:rsidR="00F2579C" w:rsidRPr="00FD5341">
        <w:rPr>
          <w:szCs w:val="24"/>
        </w:rPr>
        <w:t xml:space="preserve">ts homeless shelter services </w:t>
      </w:r>
      <w:r w:rsidR="002F75F9" w:rsidRPr="00FD5341">
        <w:rPr>
          <w:szCs w:val="24"/>
        </w:rPr>
        <w:t xml:space="preserve">and programs </w:t>
      </w:r>
      <w:r w:rsidR="00CD28A2" w:rsidRPr="00FD5341">
        <w:rPr>
          <w:szCs w:val="24"/>
        </w:rPr>
        <w:t xml:space="preserve">in compliance with </w:t>
      </w:r>
      <w:r w:rsidR="00D345E8" w:rsidRPr="00FD5341">
        <w:rPr>
          <w:szCs w:val="24"/>
        </w:rPr>
        <w:t>t</w:t>
      </w:r>
      <w:r w:rsidR="00CD28A2" w:rsidRPr="00FD5341">
        <w:rPr>
          <w:szCs w:val="24"/>
        </w:rPr>
        <w:t xml:space="preserve">itle II </w:t>
      </w:r>
      <w:r w:rsidR="007D7013" w:rsidRPr="00FD5341">
        <w:rPr>
          <w:szCs w:val="24"/>
        </w:rPr>
        <w:t xml:space="preserve">of the </w:t>
      </w:r>
      <w:r w:rsidR="00895C0F" w:rsidRPr="00FD5341">
        <w:rPr>
          <w:szCs w:val="24"/>
        </w:rPr>
        <w:t>Americans with Disabilities Act</w:t>
      </w:r>
      <w:r w:rsidR="00060E71" w:rsidRPr="00FD5341">
        <w:rPr>
          <w:szCs w:val="24"/>
        </w:rPr>
        <w:t>, as amended</w:t>
      </w:r>
      <w:r w:rsidR="00895C0F" w:rsidRPr="00FD5341">
        <w:rPr>
          <w:szCs w:val="24"/>
        </w:rPr>
        <w:t xml:space="preserve"> (</w:t>
      </w:r>
      <w:r w:rsidR="00781F20">
        <w:rPr>
          <w:szCs w:val="24"/>
        </w:rPr>
        <w:t xml:space="preserve">the </w:t>
      </w:r>
      <w:r w:rsidR="006C3BAA" w:rsidRPr="00FD5341">
        <w:rPr>
          <w:szCs w:val="24"/>
        </w:rPr>
        <w:t>“</w:t>
      </w:r>
      <w:r w:rsidR="00895C0F" w:rsidRPr="00FD5341">
        <w:rPr>
          <w:szCs w:val="24"/>
        </w:rPr>
        <w:t>ADA</w:t>
      </w:r>
      <w:r w:rsidR="006C3BAA" w:rsidRPr="00FD5341">
        <w:rPr>
          <w:szCs w:val="24"/>
        </w:rPr>
        <w:t>”</w:t>
      </w:r>
      <w:r w:rsidR="002D6388">
        <w:rPr>
          <w:szCs w:val="24"/>
        </w:rPr>
        <w:t xml:space="preserve"> or “title II”</w:t>
      </w:r>
      <w:r w:rsidR="00895C0F" w:rsidRPr="00FD5341">
        <w:rPr>
          <w:szCs w:val="24"/>
        </w:rPr>
        <w:t xml:space="preserve">), 42 U.S.C. </w:t>
      </w:r>
      <w:r w:rsidR="002F75F9" w:rsidRPr="00FD5341">
        <w:rPr>
          <w:szCs w:val="24"/>
        </w:rPr>
        <w:t>§</w:t>
      </w:r>
      <w:r w:rsidR="00C61D98" w:rsidRPr="00FD5341">
        <w:rPr>
          <w:szCs w:val="24"/>
        </w:rPr>
        <w:t>§ </w:t>
      </w:r>
      <w:r w:rsidR="00895C0F" w:rsidRPr="00FD5341">
        <w:rPr>
          <w:szCs w:val="24"/>
        </w:rPr>
        <w:t>12131</w:t>
      </w:r>
      <w:r w:rsidR="002F75F9" w:rsidRPr="00FD5341">
        <w:rPr>
          <w:szCs w:val="24"/>
        </w:rPr>
        <w:t>-34</w:t>
      </w:r>
      <w:r w:rsidR="002D6388">
        <w:rPr>
          <w:szCs w:val="24"/>
        </w:rPr>
        <w:t>;</w:t>
      </w:r>
      <w:r w:rsidR="00060E71" w:rsidRPr="00FD5341">
        <w:rPr>
          <w:szCs w:val="24"/>
        </w:rPr>
        <w:t xml:space="preserve"> Section 504 of the Rehabilitation Act of 1973</w:t>
      </w:r>
      <w:r w:rsidR="008E1CB0" w:rsidRPr="00FD5341">
        <w:rPr>
          <w:szCs w:val="24"/>
        </w:rPr>
        <w:t xml:space="preserve"> (“Section 504”)</w:t>
      </w:r>
      <w:r w:rsidR="00060E71" w:rsidRPr="00FD5341">
        <w:rPr>
          <w:szCs w:val="24"/>
        </w:rPr>
        <w:t xml:space="preserve">, 29 U.S.C. § </w:t>
      </w:r>
      <w:r w:rsidR="00881D0B" w:rsidRPr="00FD5341">
        <w:rPr>
          <w:szCs w:val="24"/>
        </w:rPr>
        <w:t>794</w:t>
      </w:r>
      <w:r w:rsidR="00060E71" w:rsidRPr="00FD5341">
        <w:rPr>
          <w:szCs w:val="24"/>
        </w:rPr>
        <w:t xml:space="preserve">; </w:t>
      </w:r>
      <w:r w:rsidR="00060E71" w:rsidRPr="00E56C2D">
        <w:rPr>
          <w:szCs w:val="24"/>
        </w:rPr>
        <w:t>the Fair Housing Act (“FHA”), 42 U.S.C. §</w:t>
      </w:r>
      <w:r w:rsidR="002F75F9" w:rsidRPr="00E56C2D">
        <w:rPr>
          <w:szCs w:val="24"/>
        </w:rPr>
        <w:t>§</w:t>
      </w:r>
      <w:r w:rsidR="00105BCE" w:rsidRPr="00E56C2D">
        <w:rPr>
          <w:szCs w:val="24"/>
        </w:rPr>
        <w:t> </w:t>
      </w:r>
      <w:r w:rsidR="00060E71" w:rsidRPr="00E56C2D">
        <w:rPr>
          <w:szCs w:val="24"/>
        </w:rPr>
        <w:t>3601</w:t>
      </w:r>
      <w:r w:rsidR="002F75F9" w:rsidRPr="00E56C2D">
        <w:rPr>
          <w:szCs w:val="24"/>
        </w:rPr>
        <w:t>-19</w:t>
      </w:r>
      <w:r w:rsidR="00060E71" w:rsidRPr="00FD5341">
        <w:rPr>
          <w:szCs w:val="24"/>
        </w:rPr>
        <w:t>; and D</w:t>
      </w:r>
      <w:r w:rsidR="00E40725" w:rsidRPr="00FD5341">
        <w:rPr>
          <w:szCs w:val="24"/>
        </w:rPr>
        <w:t>.</w:t>
      </w:r>
      <w:r w:rsidR="00060E71" w:rsidRPr="00FD5341">
        <w:rPr>
          <w:szCs w:val="24"/>
        </w:rPr>
        <w:t>C</w:t>
      </w:r>
      <w:r w:rsidR="00E40725" w:rsidRPr="00FD5341">
        <w:rPr>
          <w:szCs w:val="24"/>
        </w:rPr>
        <w:t>.</w:t>
      </w:r>
      <w:r w:rsidR="00060E71" w:rsidRPr="00FD5341">
        <w:rPr>
          <w:szCs w:val="24"/>
        </w:rPr>
        <w:t xml:space="preserve"> law</w:t>
      </w:r>
      <w:r w:rsidR="00E40725" w:rsidRPr="00FD5341">
        <w:rPr>
          <w:szCs w:val="24"/>
        </w:rPr>
        <w:t xml:space="preserve">. </w:t>
      </w:r>
      <w:r w:rsidR="00060E71" w:rsidRPr="00FD5341">
        <w:rPr>
          <w:szCs w:val="24"/>
        </w:rPr>
        <w:t xml:space="preserve"> </w:t>
      </w:r>
      <w:r w:rsidR="001502B0" w:rsidRPr="00FD5341">
        <w:rPr>
          <w:szCs w:val="24"/>
        </w:rPr>
        <w:t xml:space="preserve">First </w:t>
      </w:r>
      <w:r w:rsidR="00964D90" w:rsidRPr="00FD5341">
        <w:rPr>
          <w:szCs w:val="24"/>
        </w:rPr>
        <w:t>Amended Complaint</w:t>
      </w:r>
      <w:r w:rsidR="007D7013" w:rsidRPr="00FD5341">
        <w:rPr>
          <w:szCs w:val="24"/>
        </w:rPr>
        <w:t xml:space="preserve"> (</w:t>
      </w:r>
      <w:r w:rsidR="006C3BAA" w:rsidRPr="00FD5341">
        <w:rPr>
          <w:szCs w:val="24"/>
        </w:rPr>
        <w:t>“</w:t>
      </w:r>
      <w:r w:rsidR="006E3F48" w:rsidRPr="00FD5341">
        <w:rPr>
          <w:szCs w:val="24"/>
        </w:rPr>
        <w:t xml:space="preserve">First </w:t>
      </w:r>
      <w:r w:rsidR="00964D90" w:rsidRPr="00FD5341">
        <w:rPr>
          <w:szCs w:val="24"/>
        </w:rPr>
        <w:t>Am. Compl</w:t>
      </w:r>
      <w:r w:rsidR="007D7013" w:rsidRPr="00FD5341">
        <w:rPr>
          <w:szCs w:val="24"/>
        </w:rPr>
        <w:t>.</w:t>
      </w:r>
      <w:r w:rsidR="006C3BAA" w:rsidRPr="00FD5341">
        <w:rPr>
          <w:szCs w:val="24"/>
        </w:rPr>
        <w:t>”</w:t>
      </w:r>
      <w:r w:rsidR="007D7013" w:rsidRPr="00FD5341">
        <w:rPr>
          <w:szCs w:val="24"/>
        </w:rPr>
        <w:t>) ¶</w:t>
      </w:r>
      <w:r w:rsidR="00CD28A2" w:rsidRPr="00FD5341">
        <w:rPr>
          <w:szCs w:val="24"/>
        </w:rPr>
        <w:t xml:space="preserve"> 101</w:t>
      </w:r>
      <w:r w:rsidR="00964D90" w:rsidRPr="00FD5341">
        <w:rPr>
          <w:szCs w:val="24"/>
        </w:rPr>
        <w:t>, May</w:t>
      </w:r>
      <w:r w:rsidR="00510814" w:rsidRPr="00FD5341">
        <w:rPr>
          <w:szCs w:val="24"/>
        </w:rPr>
        <w:t xml:space="preserve"> </w:t>
      </w:r>
      <w:r w:rsidR="00964D90" w:rsidRPr="00FD5341">
        <w:rPr>
          <w:szCs w:val="24"/>
        </w:rPr>
        <w:t>1</w:t>
      </w:r>
      <w:r w:rsidR="00510814" w:rsidRPr="00FD5341">
        <w:rPr>
          <w:szCs w:val="24"/>
        </w:rPr>
        <w:t xml:space="preserve">7, 2013, ECF No. </w:t>
      </w:r>
      <w:r w:rsidR="00964D90" w:rsidRPr="00FD5341">
        <w:rPr>
          <w:szCs w:val="24"/>
        </w:rPr>
        <w:t>59</w:t>
      </w:r>
      <w:r w:rsidR="00DD1817" w:rsidRPr="00FD5341">
        <w:rPr>
          <w:szCs w:val="24"/>
        </w:rPr>
        <w:t>.</w:t>
      </w:r>
      <w:r w:rsidR="00510814" w:rsidRPr="00FD5341">
        <w:rPr>
          <w:szCs w:val="24"/>
        </w:rPr>
        <w:t xml:space="preserve"> </w:t>
      </w:r>
      <w:r w:rsidR="00F2579C" w:rsidRPr="00FD5341">
        <w:rPr>
          <w:szCs w:val="24"/>
        </w:rPr>
        <w:t xml:space="preserve"> </w:t>
      </w:r>
      <w:r w:rsidR="007D7013" w:rsidRPr="00FD5341">
        <w:rPr>
          <w:szCs w:val="24"/>
        </w:rPr>
        <w:t>Plaintiff</w:t>
      </w:r>
      <w:r w:rsidR="003B3704" w:rsidRPr="00FD5341">
        <w:rPr>
          <w:szCs w:val="24"/>
        </w:rPr>
        <w:t xml:space="preserve">s </w:t>
      </w:r>
      <w:r w:rsidR="0025204C" w:rsidRPr="00FD5341">
        <w:rPr>
          <w:szCs w:val="24"/>
        </w:rPr>
        <w:t>allege</w:t>
      </w:r>
      <w:r w:rsidR="00837A1D" w:rsidRPr="00FD5341">
        <w:rPr>
          <w:szCs w:val="24"/>
        </w:rPr>
        <w:t xml:space="preserve"> a</w:t>
      </w:r>
      <w:r w:rsidR="007D7013" w:rsidRPr="00FD5341">
        <w:rPr>
          <w:szCs w:val="24"/>
        </w:rPr>
        <w:t xml:space="preserve"> </w:t>
      </w:r>
      <w:r w:rsidR="00CD28A2" w:rsidRPr="00FD5341">
        <w:rPr>
          <w:szCs w:val="24"/>
        </w:rPr>
        <w:t>knowing and willful failure to accommodate and a failure to maintain appropriate and accessible shelter units for persons with immune system and mobility impairments</w:t>
      </w:r>
      <w:r w:rsidR="00E64F42" w:rsidRPr="00FD5341">
        <w:rPr>
          <w:szCs w:val="24"/>
        </w:rPr>
        <w:t>.</w:t>
      </w:r>
      <w:r w:rsidR="00CD28A2" w:rsidRPr="00FD5341">
        <w:rPr>
          <w:szCs w:val="24"/>
        </w:rPr>
        <w:t xml:space="preserve"> </w:t>
      </w:r>
      <w:r w:rsidR="00CD28A2" w:rsidRPr="00FD5341">
        <w:rPr>
          <w:i/>
          <w:szCs w:val="24"/>
        </w:rPr>
        <w:t xml:space="preserve"> </w:t>
      </w:r>
      <w:r w:rsidR="006E3F48" w:rsidRPr="00FD5341">
        <w:rPr>
          <w:szCs w:val="24"/>
        </w:rPr>
        <w:t xml:space="preserve">First </w:t>
      </w:r>
      <w:r w:rsidR="00E40725" w:rsidRPr="00FD5341">
        <w:rPr>
          <w:szCs w:val="24"/>
        </w:rPr>
        <w:t xml:space="preserve">Am. Compl. </w:t>
      </w:r>
      <w:r w:rsidR="00CD28A2" w:rsidRPr="00FD5341">
        <w:rPr>
          <w:szCs w:val="24"/>
        </w:rPr>
        <w:t>¶ 4.</w:t>
      </w:r>
      <w:r w:rsidR="00E64F42" w:rsidRPr="00FD5341">
        <w:rPr>
          <w:szCs w:val="24"/>
        </w:rPr>
        <w:t xml:space="preserve"> </w:t>
      </w:r>
      <w:r w:rsidR="00F2579C" w:rsidRPr="00FD5341">
        <w:rPr>
          <w:szCs w:val="24"/>
        </w:rPr>
        <w:t xml:space="preserve"> </w:t>
      </w:r>
      <w:r w:rsidR="00E64F42" w:rsidRPr="00FD5341">
        <w:rPr>
          <w:szCs w:val="24"/>
        </w:rPr>
        <w:t xml:space="preserve">Accordingly, the </w:t>
      </w:r>
      <w:r w:rsidR="00FF3829" w:rsidRPr="00FD5341">
        <w:rPr>
          <w:szCs w:val="24"/>
        </w:rPr>
        <w:t>P</w:t>
      </w:r>
      <w:r w:rsidR="00CD28A2" w:rsidRPr="00FD5341">
        <w:rPr>
          <w:szCs w:val="24"/>
        </w:rPr>
        <w:t>laintiff</w:t>
      </w:r>
      <w:r w:rsidR="0025204C" w:rsidRPr="00FD5341">
        <w:rPr>
          <w:szCs w:val="24"/>
        </w:rPr>
        <w:t>s</w:t>
      </w:r>
      <w:r w:rsidR="00CD28A2" w:rsidRPr="00FD5341">
        <w:rPr>
          <w:szCs w:val="24"/>
        </w:rPr>
        <w:t xml:space="preserve">, </w:t>
      </w:r>
      <w:r w:rsidR="0025204C" w:rsidRPr="00FD5341">
        <w:rPr>
          <w:szCs w:val="24"/>
        </w:rPr>
        <w:t>a father and</w:t>
      </w:r>
      <w:r w:rsidR="00CD28A2" w:rsidRPr="00FD5341">
        <w:rPr>
          <w:szCs w:val="24"/>
        </w:rPr>
        <w:t xml:space="preserve"> his minor daughter,</w:t>
      </w:r>
      <w:r w:rsidR="00E64F42" w:rsidRPr="00FD5341">
        <w:rPr>
          <w:szCs w:val="24"/>
        </w:rPr>
        <w:t xml:space="preserve"> seek</w:t>
      </w:r>
      <w:r w:rsidR="00F2579C" w:rsidRPr="00FD5341">
        <w:rPr>
          <w:szCs w:val="24"/>
        </w:rPr>
        <w:t xml:space="preserve"> declaratory </w:t>
      </w:r>
      <w:r w:rsidR="00DC08E0" w:rsidRPr="00FD5341">
        <w:rPr>
          <w:szCs w:val="24"/>
        </w:rPr>
        <w:t xml:space="preserve">and </w:t>
      </w:r>
      <w:r w:rsidR="00F2579C" w:rsidRPr="00FD5341">
        <w:rPr>
          <w:szCs w:val="24"/>
        </w:rPr>
        <w:t>compensatory relief, and punitive</w:t>
      </w:r>
      <w:r w:rsidR="00E64F42" w:rsidRPr="00FD5341">
        <w:rPr>
          <w:szCs w:val="24"/>
        </w:rPr>
        <w:t xml:space="preserve"> </w:t>
      </w:r>
      <w:r w:rsidR="00F2579C" w:rsidRPr="00FD5341">
        <w:rPr>
          <w:szCs w:val="24"/>
        </w:rPr>
        <w:t>damages</w:t>
      </w:r>
      <w:r w:rsidR="005D0F53" w:rsidRPr="00FD5341">
        <w:rPr>
          <w:szCs w:val="24"/>
        </w:rPr>
        <w:t xml:space="preserve">. </w:t>
      </w:r>
    </w:p>
    <w:p w:rsidR="00C77067" w:rsidRPr="00FD5341" w:rsidRDefault="004948A4" w:rsidP="004E6A2C">
      <w:pPr>
        <w:widowControl w:val="0"/>
        <w:ind w:firstLine="720"/>
        <w:rPr>
          <w:szCs w:val="24"/>
        </w:rPr>
      </w:pPr>
      <w:r w:rsidRPr="00FD5341">
        <w:rPr>
          <w:szCs w:val="24"/>
        </w:rPr>
        <w:t>As the ag</w:t>
      </w:r>
      <w:r w:rsidR="005D6E90" w:rsidRPr="00FD5341">
        <w:rPr>
          <w:szCs w:val="24"/>
        </w:rPr>
        <w:t>ency charg</w:t>
      </w:r>
      <w:r w:rsidR="00CD28A2" w:rsidRPr="00FD5341">
        <w:rPr>
          <w:szCs w:val="24"/>
        </w:rPr>
        <w:t>ed wi</w:t>
      </w:r>
      <w:r w:rsidR="00B83421" w:rsidRPr="00FD5341">
        <w:rPr>
          <w:szCs w:val="24"/>
        </w:rPr>
        <w:t xml:space="preserve">th enforcing </w:t>
      </w:r>
      <w:r w:rsidR="00D345E8" w:rsidRPr="00FD5341">
        <w:rPr>
          <w:szCs w:val="24"/>
        </w:rPr>
        <w:t>t</w:t>
      </w:r>
      <w:r w:rsidR="00C77067" w:rsidRPr="00FD5341">
        <w:rPr>
          <w:szCs w:val="24"/>
        </w:rPr>
        <w:t>itle II</w:t>
      </w:r>
      <w:r w:rsidR="002F75F9" w:rsidRPr="00FD5341">
        <w:rPr>
          <w:szCs w:val="24"/>
        </w:rPr>
        <w:t>,</w:t>
      </w:r>
      <w:r w:rsidR="00C77067" w:rsidRPr="00FD5341">
        <w:rPr>
          <w:szCs w:val="24"/>
        </w:rPr>
        <w:t xml:space="preserve"> </w:t>
      </w:r>
      <w:r w:rsidR="00060E71" w:rsidRPr="00FD5341">
        <w:rPr>
          <w:szCs w:val="24"/>
        </w:rPr>
        <w:t>Section 504</w:t>
      </w:r>
      <w:r w:rsidR="002F75F9" w:rsidRPr="00FD5341">
        <w:rPr>
          <w:szCs w:val="24"/>
        </w:rPr>
        <w:t>,</w:t>
      </w:r>
      <w:r w:rsidR="00060E71" w:rsidRPr="00FD5341">
        <w:rPr>
          <w:rStyle w:val="FootnoteReference"/>
          <w:szCs w:val="24"/>
        </w:rPr>
        <w:footnoteReference w:id="2"/>
      </w:r>
      <w:r w:rsidR="002F75F9" w:rsidRPr="00FD5341">
        <w:rPr>
          <w:szCs w:val="24"/>
        </w:rPr>
        <w:t xml:space="preserve"> and the FHA,</w:t>
      </w:r>
      <w:r w:rsidR="00060E71" w:rsidRPr="00FD5341">
        <w:rPr>
          <w:szCs w:val="24"/>
        </w:rPr>
        <w:t xml:space="preserve"> </w:t>
      </w:r>
      <w:r w:rsidR="00C77067" w:rsidRPr="00FD5341">
        <w:rPr>
          <w:szCs w:val="24"/>
        </w:rPr>
        <w:t xml:space="preserve">and issuing regulations implementing the </w:t>
      </w:r>
      <w:r w:rsidR="00060E71" w:rsidRPr="00FD5341">
        <w:rPr>
          <w:szCs w:val="24"/>
        </w:rPr>
        <w:t>ADA</w:t>
      </w:r>
      <w:r w:rsidR="00E40725" w:rsidRPr="00FD5341">
        <w:rPr>
          <w:szCs w:val="24"/>
        </w:rPr>
        <w:t>,</w:t>
      </w:r>
      <w:r w:rsidR="00C77067" w:rsidRPr="00FD5341">
        <w:rPr>
          <w:szCs w:val="24"/>
        </w:rPr>
        <w:t xml:space="preserve"> 42 U.S.C. §§ 12133-34, t</w:t>
      </w:r>
      <w:r w:rsidRPr="00FD5341">
        <w:rPr>
          <w:szCs w:val="24"/>
        </w:rPr>
        <w:t>he Department of Justice</w:t>
      </w:r>
      <w:r w:rsidR="001502B0" w:rsidRPr="00FD5341">
        <w:rPr>
          <w:szCs w:val="24"/>
        </w:rPr>
        <w:t xml:space="preserve"> (the </w:t>
      </w:r>
      <w:r w:rsidR="00781F20">
        <w:rPr>
          <w:szCs w:val="24"/>
        </w:rPr>
        <w:t>“</w:t>
      </w:r>
      <w:r w:rsidR="001502B0" w:rsidRPr="00FD5341">
        <w:rPr>
          <w:szCs w:val="24"/>
        </w:rPr>
        <w:t>Department”)</w:t>
      </w:r>
      <w:r w:rsidRPr="00FD5341">
        <w:rPr>
          <w:szCs w:val="24"/>
        </w:rPr>
        <w:t xml:space="preserve"> has a </w:t>
      </w:r>
      <w:r w:rsidR="00B51FD2" w:rsidRPr="00FD5341">
        <w:rPr>
          <w:szCs w:val="24"/>
        </w:rPr>
        <w:t>strong</w:t>
      </w:r>
      <w:r w:rsidRPr="00FD5341">
        <w:rPr>
          <w:szCs w:val="24"/>
        </w:rPr>
        <w:t xml:space="preserve"> interest in enforcement </w:t>
      </w:r>
      <w:r w:rsidR="00D80D17">
        <w:rPr>
          <w:szCs w:val="24"/>
        </w:rPr>
        <w:t>these statutes</w:t>
      </w:r>
      <w:r w:rsidRPr="00FD5341">
        <w:rPr>
          <w:szCs w:val="24"/>
        </w:rPr>
        <w:t xml:space="preserve">. </w:t>
      </w:r>
      <w:r w:rsidR="00F2579C" w:rsidRPr="00FD5341">
        <w:rPr>
          <w:szCs w:val="24"/>
        </w:rPr>
        <w:t xml:space="preserve"> </w:t>
      </w:r>
      <w:r w:rsidR="00781F20">
        <w:rPr>
          <w:szCs w:val="24"/>
        </w:rPr>
        <w:t xml:space="preserve">In this case, Plaintiffs allege that the District, a public entity, is </w:t>
      </w:r>
      <w:r w:rsidR="002E703C">
        <w:rPr>
          <w:szCs w:val="24"/>
        </w:rPr>
        <w:t>liable under</w:t>
      </w:r>
      <w:r w:rsidR="00781F20">
        <w:rPr>
          <w:szCs w:val="24"/>
        </w:rPr>
        <w:t xml:space="preserve"> title II, Section 504, and </w:t>
      </w:r>
      <w:r w:rsidR="002E703C">
        <w:rPr>
          <w:szCs w:val="24"/>
        </w:rPr>
        <w:t xml:space="preserve">the </w:t>
      </w:r>
      <w:r w:rsidR="00781F20">
        <w:rPr>
          <w:szCs w:val="24"/>
        </w:rPr>
        <w:t>FHA</w:t>
      </w:r>
      <w:r w:rsidR="002E703C">
        <w:rPr>
          <w:szCs w:val="24"/>
        </w:rPr>
        <w:t>.  The District argues that</w:t>
      </w:r>
      <w:r w:rsidR="002D6388">
        <w:rPr>
          <w:szCs w:val="24"/>
        </w:rPr>
        <w:t>,</w:t>
      </w:r>
      <w:r w:rsidR="002E703C">
        <w:rPr>
          <w:szCs w:val="24"/>
        </w:rPr>
        <w:t xml:space="preserve"> through its</w:t>
      </w:r>
      <w:r w:rsidR="00781F20">
        <w:rPr>
          <w:szCs w:val="24"/>
        </w:rPr>
        <w:t xml:space="preserve"> contractual relationships with private entities</w:t>
      </w:r>
      <w:r w:rsidR="002D6388">
        <w:rPr>
          <w:szCs w:val="24"/>
        </w:rPr>
        <w:t>,</w:t>
      </w:r>
      <w:r w:rsidR="002E703C">
        <w:rPr>
          <w:szCs w:val="24"/>
        </w:rPr>
        <w:t xml:space="preserve"> it is not liable under title II or Section 504.  </w:t>
      </w:r>
      <w:r w:rsidR="002D6388">
        <w:rPr>
          <w:szCs w:val="24"/>
        </w:rPr>
        <w:t xml:space="preserve">Def.’s Mot. Dismiss 5-8.  </w:t>
      </w:r>
      <w:r w:rsidR="002E703C">
        <w:rPr>
          <w:szCs w:val="24"/>
        </w:rPr>
        <w:t>It also argues that the FHA does not apply to its shelter program</w:t>
      </w:r>
      <w:r w:rsidR="00781F20">
        <w:rPr>
          <w:szCs w:val="24"/>
        </w:rPr>
        <w:t xml:space="preserve">.  </w:t>
      </w:r>
      <w:r w:rsidR="002D6388">
        <w:rPr>
          <w:i/>
          <w:szCs w:val="24"/>
        </w:rPr>
        <w:t>Id.</w:t>
      </w:r>
      <w:r w:rsidR="002D6388">
        <w:rPr>
          <w:szCs w:val="24"/>
        </w:rPr>
        <w:t xml:space="preserve"> at 11-16.  </w:t>
      </w:r>
      <w:r w:rsidR="00781F20">
        <w:rPr>
          <w:szCs w:val="24"/>
        </w:rPr>
        <w:t>The Court’s decision on</w:t>
      </w:r>
      <w:r w:rsidR="002E703C">
        <w:rPr>
          <w:szCs w:val="24"/>
        </w:rPr>
        <w:t xml:space="preserve"> these issues</w:t>
      </w:r>
      <w:r w:rsidR="002066B6" w:rsidRPr="00FD5341">
        <w:rPr>
          <w:szCs w:val="24"/>
        </w:rPr>
        <w:t xml:space="preserve"> will directly affect the United States’ enforcement authority.</w:t>
      </w:r>
    </w:p>
    <w:p w:rsidR="00301DEB" w:rsidRDefault="008D6FD9">
      <w:pPr>
        <w:widowControl w:val="0"/>
        <w:ind w:firstLine="720"/>
        <w:rPr>
          <w:szCs w:val="24"/>
        </w:rPr>
      </w:pPr>
      <w:r w:rsidRPr="00FD5341">
        <w:rPr>
          <w:szCs w:val="24"/>
        </w:rPr>
        <w:t xml:space="preserve">The United States </w:t>
      </w:r>
      <w:r w:rsidR="005D0F53" w:rsidRPr="00FD5341">
        <w:rPr>
          <w:szCs w:val="24"/>
        </w:rPr>
        <w:t xml:space="preserve">respectfully </w:t>
      </w:r>
      <w:r w:rsidRPr="00FD5341">
        <w:rPr>
          <w:szCs w:val="24"/>
        </w:rPr>
        <w:t xml:space="preserve">urges this Court to </w:t>
      </w:r>
      <w:r w:rsidR="00964D90" w:rsidRPr="00FD5341">
        <w:rPr>
          <w:szCs w:val="24"/>
        </w:rPr>
        <w:t>deny Defendant’s</w:t>
      </w:r>
      <w:r w:rsidR="005D0F53" w:rsidRPr="00FD5341">
        <w:rPr>
          <w:szCs w:val="24"/>
        </w:rPr>
        <w:t xml:space="preserve"> </w:t>
      </w:r>
      <w:r w:rsidR="00813F3A">
        <w:rPr>
          <w:szCs w:val="24"/>
        </w:rPr>
        <w:t>M</w:t>
      </w:r>
      <w:r w:rsidR="005D0F53" w:rsidRPr="00FD5341">
        <w:rPr>
          <w:szCs w:val="24"/>
        </w:rPr>
        <w:t>otion</w:t>
      </w:r>
      <w:r w:rsidR="00781F20">
        <w:rPr>
          <w:szCs w:val="24"/>
        </w:rPr>
        <w:t xml:space="preserve"> </w:t>
      </w:r>
      <w:r w:rsidR="006A07CF">
        <w:rPr>
          <w:szCs w:val="24"/>
        </w:rPr>
        <w:t xml:space="preserve">to dismiss Plaintiffs’ </w:t>
      </w:r>
      <w:r w:rsidR="00D345E8" w:rsidRPr="00FD5341">
        <w:rPr>
          <w:szCs w:val="24"/>
        </w:rPr>
        <w:t>t</w:t>
      </w:r>
      <w:r w:rsidR="0025204C" w:rsidRPr="00FD5341">
        <w:rPr>
          <w:szCs w:val="24"/>
        </w:rPr>
        <w:t>itle II</w:t>
      </w:r>
      <w:r w:rsidR="009C7778" w:rsidRPr="00FD5341">
        <w:rPr>
          <w:szCs w:val="24"/>
        </w:rPr>
        <w:t>, Section 504, and FHA</w:t>
      </w:r>
      <w:r w:rsidR="005131D6">
        <w:rPr>
          <w:szCs w:val="24"/>
        </w:rPr>
        <w:t xml:space="preserve"> claims </w:t>
      </w:r>
      <w:r w:rsidR="00A35EF1">
        <w:rPr>
          <w:szCs w:val="24"/>
        </w:rPr>
        <w:t xml:space="preserve">to </w:t>
      </w:r>
      <w:r w:rsidR="00B22657" w:rsidRPr="00FD5341">
        <w:rPr>
          <w:szCs w:val="24"/>
        </w:rPr>
        <w:t xml:space="preserve">allow </w:t>
      </w:r>
      <w:r w:rsidR="00DC08E0" w:rsidRPr="00FD5341">
        <w:rPr>
          <w:szCs w:val="24"/>
        </w:rPr>
        <w:t xml:space="preserve">consideration of </w:t>
      </w:r>
      <w:r w:rsidR="006A07CF">
        <w:rPr>
          <w:szCs w:val="24"/>
        </w:rPr>
        <w:lastRenderedPageBreak/>
        <w:t>the</w:t>
      </w:r>
      <w:r w:rsidR="00A35EF1">
        <w:rPr>
          <w:szCs w:val="24"/>
        </w:rPr>
        <w:t>se claims</w:t>
      </w:r>
      <w:r w:rsidR="005131D6">
        <w:rPr>
          <w:szCs w:val="24"/>
        </w:rPr>
        <w:t xml:space="preserve"> </w:t>
      </w:r>
      <w:r w:rsidR="00F2579C" w:rsidRPr="00FD5341">
        <w:rPr>
          <w:szCs w:val="24"/>
        </w:rPr>
        <w:t>on their merits</w:t>
      </w:r>
      <w:r w:rsidR="00FF3829" w:rsidRPr="00FD5341">
        <w:rPr>
          <w:szCs w:val="24"/>
        </w:rPr>
        <w:t>.</w:t>
      </w:r>
      <w:r w:rsidR="005131D6">
        <w:rPr>
          <w:rStyle w:val="FootnoteReference"/>
          <w:szCs w:val="24"/>
        </w:rPr>
        <w:footnoteReference w:id="3"/>
      </w:r>
    </w:p>
    <w:p w:rsidR="00A17FE3" w:rsidRPr="00FD5341" w:rsidRDefault="00434578" w:rsidP="00F91CC2">
      <w:pPr>
        <w:pStyle w:val="Heading2"/>
      </w:pPr>
      <w:r w:rsidRPr="00FD5341">
        <w:t>S</w:t>
      </w:r>
      <w:r w:rsidR="00A17FE3" w:rsidRPr="00FD5341">
        <w:t>TATUTORY AND REGULATORY BACKGROUND</w:t>
      </w:r>
    </w:p>
    <w:p w:rsidR="00F129DD" w:rsidRPr="00FD5341" w:rsidRDefault="00BE7C06" w:rsidP="00F91CC2">
      <w:pPr>
        <w:widowControl w:val="0"/>
        <w:rPr>
          <w:szCs w:val="24"/>
        </w:rPr>
      </w:pPr>
      <w:r w:rsidRPr="00FD5341">
        <w:rPr>
          <w:szCs w:val="24"/>
        </w:rPr>
        <w:tab/>
      </w:r>
      <w:r w:rsidR="00CD54B2" w:rsidRPr="00FD5341">
        <w:rPr>
          <w:szCs w:val="24"/>
        </w:rPr>
        <w:t>The ADA is a comprehensive civil rights law enacted</w:t>
      </w:r>
      <w:r w:rsidR="008E1CB0" w:rsidRPr="00FD5341">
        <w:rPr>
          <w:szCs w:val="24"/>
        </w:rPr>
        <w:t>,</w:t>
      </w:r>
      <w:r w:rsidR="00CD54B2" w:rsidRPr="00FD5341">
        <w:rPr>
          <w:szCs w:val="24"/>
        </w:rPr>
        <w:t xml:space="preserve"> “to provide a clear and comprehensive national mandate for the elimination of discrimination against individuals with disabilities.”  42 U.S.C. § 12101(b)(1).  Title II of the ADA, at issue in this case, provides that</w:t>
      </w:r>
      <w:r w:rsidR="008E1CB0" w:rsidRPr="00FD5341">
        <w:rPr>
          <w:szCs w:val="24"/>
        </w:rPr>
        <w:t>,</w:t>
      </w:r>
      <w:r w:rsidR="00CD54B2" w:rsidRPr="00FD5341">
        <w:rPr>
          <w:szCs w:val="24"/>
        </w:rPr>
        <w:t xml:space="preserve"> “no qualified individual with a disability shall, by reason of such disability, be excluded from participation in or be denied the benefits of the services, programs, or activities of a public entity, or be subjected to discrimination by any such entity.” </w:t>
      </w:r>
      <w:r w:rsidR="008E1CB0" w:rsidRPr="00FD5341">
        <w:rPr>
          <w:szCs w:val="24"/>
        </w:rPr>
        <w:t xml:space="preserve"> </w:t>
      </w:r>
      <w:r w:rsidR="00CD54B2" w:rsidRPr="00FD5341">
        <w:rPr>
          <w:szCs w:val="24"/>
        </w:rPr>
        <w:t>42 U.S.C. § 12132.</w:t>
      </w:r>
    </w:p>
    <w:p w:rsidR="005F69CF" w:rsidRDefault="00F129DD" w:rsidP="00F91CC2">
      <w:pPr>
        <w:widowControl w:val="0"/>
        <w:rPr>
          <w:szCs w:val="24"/>
        </w:rPr>
      </w:pPr>
      <w:r w:rsidRPr="00FD5341">
        <w:rPr>
          <w:szCs w:val="24"/>
        </w:rPr>
        <w:tab/>
      </w:r>
      <w:r w:rsidR="00CD54B2" w:rsidRPr="00FD5341">
        <w:rPr>
          <w:szCs w:val="24"/>
        </w:rPr>
        <w:t>Title II does not simply prohibit outright denial</w:t>
      </w:r>
      <w:r w:rsidR="008E1CB0" w:rsidRPr="00FD5341">
        <w:rPr>
          <w:szCs w:val="24"/>
        </w:rPr>
        <w:t xml:space="preserve"> of services</w:t>
      </w:r>
      <w:r w:rsidR="00CD54B2" w:rsidRPr="00FD5341">
        <w:rPr>
          <w:szCs w:val="24"/>
        </w:rPr>
        <w:t>; it also prohibits unequal participation</w:t>
      </w:r>
      <w:r w:rsidR="008E1CB0" w:rsidRPr="00FD5341">
        <w:rPr>
          <w:szCs w:val="24"/>
        </w:rPr>
        <w:t xml:space="preserve"> in such services</w:t>
      </w:r>
      <w:r w:rsidR="00CD54B2" w:rsidRPr="00FD5341">
        <w:rPr>
          <w:szCs w:val="24"/>
        </w:rPr>
        <w:t>.  As defined by title II’s implementing regulation, a public entity may not deny a qualified individual with a disability</w:t>
      </w:r>
      <w:r w:rsidR="00BF4D91" w:rsidRPr="00FD5341">
        <w:rPr>
          <w:szCs w:val="24"/>
        </w:rPr>
        <w:t>,</w:t>
      </w:r>
      <w:r w:rsidR="00CD54B2" w:rsidRPr="00FD5341">
        <w:rPr>
          <w:szCs w:val="24"/>
        </w:rPr>
        <w:t xml:space="preserve"> “an opportunity to participate that is not equal to that afforded others,” nor may it</w:t>
      </w:r>
      <w:r w:rsidR="00BF4D91" w:rsidRPr="00FD5341">
        <w:rPr>
          <w:szCs w:val="24"/>
        </w:rPr>
        <w:t>,</w:t>
      </w:r>
      <w:r w:rsidR="00CD54B2" w:rsidRPr="00FD5341">
        <w:rPr>
          <w:szCs w:val="24"/>
        </w:rPr>
        <w:t xml:space="preserve"> “otherwise limit a qualified individual with a disability in the enjoyment of any right, privilege, advantage, or opportunity” enjoyed by others receiving the services.  28 C.F.R. § 35.130(b)</w:t>
      </w:r>
      <w:r w:rsidR="00895334">
        <w:rPr>
          <w:szCs w:val="24"/>
        </w:rPr>
        <w:t>(1)</w:t>
      </w:r>
      <w:r w:rsidR="00CD54B2" w:rsidRPr="00FD5341">
        <w:rPr>
          <w:szCs w:val="24"/>
        </w:rPr>
        <w:t>(iii), (vii).  If a requested modification is needed to ensure full and equal enjoyment by a person with a disability, then the modification is necessary to prevent discrimination on the basis of disability.</w:t>
      </w:r>
      <w:r w:rsidR="005F69CF" w:rsidRPr="00FD5341">
        <w:rPr>
          <w:szCs w:val="24"/>
        </w:rPr>
        <w:t xml:space="preserve"> </w:t>
      </w:r>
      <w:r w:rsidR="00EF1D7F">
        <w:rPr>
          <w:szCs w:val="24"/>
        </w:rPr>
        <w:t xml:space="preserve"> </w:t>
      </w:r>
      <w:r w:rsidR="00EF1D7F" w:rsidRPr="00FD5341">
        <w:rPr>
          <w:szCs w:val="24"/>
        </w:rPr>
        <w:t xml:space="preserve">42 U.S.C. § </w:t>
      </w:r>
      <w:r w:rsidR="00EF1D7F">
        <w:rPr>
          <w:szCs w:val="24"/>
        </w:rPr>
        <w:t>35.130(b)(7)</w:t>
      </w:r>
      <w:r w:rsidR="003A169C">
        <w:rPr>
          <w:szCs w:val="24"/>
        </w:rPr>
        <w:t>.</w:t>
      </w:r>
    </w:p>
    <w:p w:rsidR="00FE7955" w:rsidRDefault="00C44336" w:rsidP="00F91CC2">
      <w:pPr>
        <w:widowControl w:val="0"/>
        <w:rPr>
          <w:szCs w:val="24"/>
        </w:rPr>
      </w:pPr>
      <w:r>
        <w:rPr>
          <w:szCs w:val="24"/>
        </w:rPr>
        <w:tab/>
        <w:t xml:space="preserve">The Fair Housing Act, originally enacted in 1968, and substantially expanded by </w:t>
      </w:r>
      <w:r w:rsidR="00FE7955">
        <w:rPr>
          <w:szCs w:val="24"/>
        </w:rPr>
        <w:t xml:space="preserve">the Fair Housing Amendments Act of 1988, </w:t>
      </w:r>
      <w:r w:rsidRPr="00F722B6">
        <w:rPr>
          <w:szCs w:val="24"/>
        </w:rPr>
        <w:t xml:space="preserve">Pub. L. </w:t>
      </w:r>
      <w:r w:rsidR="00FE7955">
        <w:rPr>
          <w:szCs w:val="24"/>
        </w:rPr>
        <w:t xml:space="preserve">No. </w:t>
      </w:r>
      <w:r w:rsidRPr="00F722B6">
        <w:rPr>
          <w:szCs w:val="24"/>
        </w:rPr>
        <w:t>100-430</w:t>
      </w:r>
      <w:r>
        <w:rPr>
          <w:szCs w:val="24"/>
        </w:rPr>
        <w:t xml:space="preserve">, </w:t>
      </w:r>
      <w:r w:rsidRPr="00F722B6">
        <w:rPr>
          <w:szCs w:val="24"/>
        </w:rPr>
        <w:t>declares that</w:t>
      </w:r>
      <w:r>
        <w:rPr>
          <w:szCs w:val="24"/>
        </w:rPr>
        <w:t>:</w:t>
      </w:r>
      <w:r w:rsidRPr="00F722B6">
        <w:rPr>
          <w:szCs w:val="24"/>
        </w:rPr>
        <w:t xml:space="preserve"> </w:t>
      </w:r>
      <w:r w:rsidR="005131D6">
        <w:rPr>
          <w:szCs w:val="24"/>
        </w:rPr>
        <w:t>“</w:t>
      </w:r>
      <w:r>
        <w:rPr>
          <w:szCs w:val="24"/>
        </w:rPr>
        <w:t>I</w:t>
      </w:r>
      <w:r w:rsidRPr="00F722B6">
        <w:rPr>
          <w:szCs w:val="24"/>
        </w:rPr>
        <w:t>t is the policy of the United States to provide, within constitutional limitations</w:t>
      </w:r>
      <w:r>
        <w:rPr>
          <w:szCs w:val="24"/>
        </w:rPr>
        <w:t>,</w:t>
      </w:r>
      <w:r w:rsidRPr="00F722B6">
        <w:rPr>
          <w:szCs w:val="24"/>
        </w:rPr>
        <w:t xml:space="preserve"> for fair housing throughout the United States.</w:t>
      </w:r>
      <w:r w:rsidR="005131D6">
        <w:rPr>
          <w:szCs w:val="24"/>
        </w:rPr>
        <w:t>”</w:t>
      </w:r>
      <w:r w:rsidRPr="00F722B6">
        <w:rPr>
          <w:szCs w:val="24"/>
        </w:rPr>
        <w:t xml:space="preserve">  42 U.S.C. §</w:t>
      </w:r>
      <w:r>
        <w:rPr>
          <w:szCs w:val="24"/>
        </w:rPr>
        <w:t xml:space="preserve"> </w:t>
      </w:r>
      <w:r w:rsidRPr="00F722B6">
        <w:rPr>
          <w:szCs w:val="24"/>
        </w:rPr>
        <w:t>3601.</w:t>
      </w:r>
    </w:p>
    <w:p w:rsidR="00C44336" w:rsidRDefault="00FE7955" w:rsidP="00F91CC2">
      <w:pPr>
        <w:widowControl w:val="0"/>
        <w:rPr>
          <w:szCs w:val="24"/>
        </w:rPr>
      </w:pPr>
      <w:r>
        <w:rPr>
          <w:szCs w:val="24"/>
        </w:rPr>
        <w:tab/>
      </w:r>
      <w:r w:rsidR="00C44336">
        <w:rPr>
          <w:szCs w:val="24"/>
        </w:rPr>
        <w:t>The 1988 amendments, among other things, added “handicap” as a prohibited basis for discrimination.</w:t>
      </w:r>
      <w:r w:rsidR="00C44336">
        <w:rPr>
          <w:rStyle w:val="FootnoteReference"/>
          <w:szCs w:val="24"/>
        </w:rPr>
        <w:footnoteReference w:id="4"/>
      </w:r>
      <w:r w:rsidR="00C44336">
        <w:rPr>
          <w:szCs w:val="24"/>
        </w:rPr>
        <w:t xml:space="preserve">  In describing the need for protection for this class of persons, the House Judiciary Committee report on the legislation stated that:</w:t>
      </w:r>
    </w:p>
    <w:p w:rsidR="00655DCF" w:rsidRDefault="00C44336">
      <w:pPr>
        <w:pStyle w:val="BlockText"/>
      </w:pPr>
      <w:r w:rsidRPr="00F91CC2">
        <w:t xml:space="preserve">The Committee understands that housing discrimination against handicapped persons is not limited to blatant, intentional acts of discrimination.  Acts that have the effect of causing discrimination can be just as devastating as intentional discrimination. . . . In </w:t>
      </w:r>
      <w:r w:rsidRPr="00F91CC2">
        <w:rPr>
          <w:i/>
        </w:rPr>
        <w:t>Alexander v. Choate</w:t>
      </w:r>
      <w:r w:rsidRPr="00F91CC2">
        <w:t xml:space="preserve">, 469 U.S. 287 (1985), the Supreme Court observed that discrimination on the basis of handicap is </w:t>
      </w:r>
      <w:r w:rsidR="005131D6" w:rsidRPr="00F91CC2">
        <w:t>“</w:t>
      </w:r>
      <w:r w:rsidRPr="00F91CC2">
        <w:t>most often the product, not of invidious animus, but rather of thoughtlessness and indifference – of benign neglect.</w:t>
      </w:r>
      <w:r w:rsidR="005131D6" w:rsidRPr="00F91CC2">
        <w:t>”</w:t>
      </w:r>
    </w:p>
    <w:p w:rsidR="00C44336" w:rsidRPr="00A2799F" w:rsidRDefault="00655DCF" w:rsidP="00F91CC2">
      <w:pPr>
        <w:widowControl w:val="0"/>
        <w:rPr>
          <w:szCs w:val="24"/>
        </w:rPr>
      </w:pPr>
      <w:r>
        <w:rPr>
          <w:szCs w:val="24"/>
          <w:lang w:val="en-CA"/>
        </w:rPr>
        <w:fldChar w:fldCharType="begin"/>
      </w:r>
      <w:r w:rsidR="00C44336">
        <w:rPr>
          <w:szCs w:val="24"/>
          <w:lang w:val="en-CA"/>
        </w:rPr>
        <w:instrText xml:space="preserve"> SEQ CHAPTER \h \r 1</w:instrText>
      </w:r>
      <w:r>
        <w:rPr>
          <w:szCs w:val="24"/>
          <w:lang w:val="en-CA"/>
        </w:rPr>
        <w:fldChar w:fldCharType="end"/>
      </w:r>
      <w:r w:rsidR="00C44336">
        <w:rPr>
          <w:szCs w:val="24"/>
        </w:rPr>
        <w:t xml:space="preserve">H.R. Rep. </w:t>
      </w:r>
      <w:r w:rsidR="00A2799F">
        <w:rPr>
          <w:szCs w:val="24"/>
        </w:rPr>
        <w:t xml:space="preserve">No. </w:t>
      </w:r>
      <w:r w:rsidR="00C44336">
        <w:rPr>
          <w:szCs w:val="24"/>
        </w:rPr>
        <w:t xml:space="preserve">100-711, </w:t>
      </w:r>
      <w:r w:rsidR="00A2799F">
        <w:rPr>
          <w:szCs w:val="24"/>
        </w:rPr>
        <w:t xml:space="preserve">at 25 (1988), </w:t>
      </w:r>
      <w:r w:rsidR="00A2799F">
        <w:rPr>
          <w:i/>
          <w:szCs w:val="24"/>
        </w:rPr>
        <w:t>reprinted in</w:t>
      </w:r>
      <w:r w:rsidR="00A2799F">
        <w:rPr>
          <w:szCs w:val="24"/>
        </w:rPr>
        <w:t xml:space="preserve"> 1988 U.S.C.C.A.N. 2173, 2186.</w:t>
      </w:r>
    </w:p>
    <w:p w:rsidR="005464F1" w:rsidRPr="00FD5341" w:rsidRDefault="00A17FE3" w:rsidP="00CF45F1">
      <w:pPr>
        <w:pStyle w:val="Heading2"/>
      </w:pPr>
      <w:r w:rsidRPr="00FD5341">
        <w:t>S</w:t>
      </w:r>
      <w:r w:rsidR="00434578" w:rsidRPr="00FD5341">
        <w:t>UMMARY OF FACTS</w:t>
      </w:r>
    </w:p>
    <w:p w:rsidR="001C53BC" w:rsidRPr="00CF45F1" w:rsidRDefault="00851AAE" w:rsidP="00CF45F1">
      <w:pPr>
        <w:pStyle w:val="Heading3"/>
      </w:pPr>
      <w:r w:rsidRPr="00CF45F1">
        <w:t>The Plaintiffs</w:t>
      </w:r>
    </w:p>
    <w:p w:rsidR="003A169C" w:rsidRDefault="00851AAE" w:rsidP="00CF45F1">
      <w:pPr>
        <w:ind w:firstLine="720"/>
      </w:pPr>
      <w:r w:rsidRPr="00FD5341">
        <w:t>Plaintiff Anthony Hunter sued the District of Columbia on his own behalf and on behalf of</w:t>
      </w:r>
      <w:r w:rsidR="00EC2833" w:rsidRPr="00FD5341">
        <w:t xml:space="preserve"> A.H.,</w:t>
      </w:r>
      <w:r w:rsidRPr="00FD5341">
        <w:t xml:space="preserve"> his minor daughter.</w:t>
      </w:r>
      <w:r w:rsidR="00EC2833" w:rsidRPr="00FD5341">
        <w:t xml:space="preserve"> </w:t>
      </w:r>
      <w:r w:rsidRPr="00FD5341">
        <w:t xml:space="preserve"> </w:t>
      </w:r>
      <w:r w:rsidR="006E3F48" w:rsidRPr="00FD5341">
        <w:t xml:space="preserve">First </w:t>
      </w:r>
      <w:r w:rsidRPr="00FD5341">
        <w:t>Am. Compl.</w:t>
      </w:r>
      <w:r w:rsidR="00B22657" w:rsidRPr="00FD5341">
        <w:t xml:space="preserve"> ¶ 6</w:t>
      </w:r>
      <w:r w:rsidRPr="00FD5341">
        <w:t xml:space="preserve">. </w:t>
      </w:r>
      <w:r w:rsidR="00C30820" w:rsidRPr="00FD5341">
        <w:t xml:space="preserve"> </w:t>
      </w:r>
      <w:r w:rsidR="003A169C">
        <w:t>Plaintiffs make the following allegations:</w:t>
      </w:r>
    </w:p>
    <w:p w:rsidR="00851AAE" w:rsidRPr="00FD5341" w:rsidRDefault="00851AAE" w:rsidP="00CF45F1">
      <w:pPr>
        <w:ind w:firstLine="720"/>
      </w:pPr>
      <w:r w:rsidRPr="00FD5341">
        <w:lastRenderedPageBreak/>
        <w:t>A.H. is an individual with several disabilities, including cri-du-chat syndrome, spina bifida, and related medical conditions.</w:t>
      </w:r>
      <w:r w:rsidR="007D6AE4" w:rsidRPr="00FD5341">
        <w:rPr>
          <w:rStyle w:val="FootnoteReference"/>
        </w:rPr>
        <w:footnoteReference w:id="5"/>
      </w:r>
      <w:r w:rsidRPr="00FD5341">
        <w:t xml:space="preserve"> </w:t>
      </w:r>
      <w:r w:rsidR="00C30820" w:rsidRPr="00FD5341">
        <w:t xml:space="preserve"> </w:t>
      </w:r>
      <w:r w:rsidR="00C30820" w:rsidRPr="00FD5341">
        <w:rPr>
          <w:i/>
        </w:rPr>
        <w:t>Id</w:t>
      </w:r>
      <w:r w:rsidRPr="00FD5341">
        <w:rPr>
          <w:i/>
        </w:rPr>
        <w:t>.</w:t>
      </w:r>
      <w:r w:rsidRPr="00FD5341">
        <w:t xml:space="preserve"> </w:t>
      </w:r>
      <w:r w:rsidR="00C30820" w:rsidRPr="00FD5341">
        <w:t xml:space="preserve"> </w:t>
      </w:r>
      <w:r w:rsidRPr="00FD5341">
        <w:t>These conditions significantly impair her in the major life activities of standing, walking, bathing, dressing, and eating.</w:t>
      </w:r>
      <w:r w:rsidR="00C30820" w:rsidRPr="00FD5341">
        <w:t xml:space="preserve"> </w:t>
      </w:r>
      <w:r w:rsidRPr="00FD5341">
        <w:t xml:space="preserve"> </w:t>
      </w:r>
      <w:r w:rsidRPr="00FD5341">
        <w:rPr>
          <w:i/>
        </w:rPr>
        <w:t>Id.</w:t>
      </w:r>
      <w:r w:rsidR="00C30820" w:rsidRPr="00FD5341">
        <w:rPr>
          <w:i/>
        </w:rPr>
        <w:t xml:space="preserve"> </w:t>
      </w:r>
      <w:r w:rsidRPr="00FD5341">
        <w:t xml:space="preserve"> A.H. is </w:t>
      </w:r>
      <w:r w:rsidR="00AE7758" w:rsidRPr="00FD5341">
        <w:t xml:space="preserve">therefore </w:t>
      </w:r>
      <w:r w:rsidRPr="00FD5341">
        <w:t xml:space="preserve">dependent on her caregivers to meet her basic </w:t>
      </w:r>
      <w:r w:rsidR="00E40725" w:rsidRPr="00FD5341">
        <w:t xml:space="preserve">daily </w:t>
      </w:r>
      <w:r w:rsidRPr="00FD5341">
        <w:t xml:space="preserve">needs. </w:t>
      </w:r>
      <w:r w:rsidR="00C30820" w:rsidRPr="00FD5341">
        <w:t xml:space="preserve"> </w:t>
      </w:r>
      <w:r w:rsidRPr="00FD5341">
        <w:rPr>
          <w:i/>
        </w:rPr>
        <w:t>Id.</w:t>
      </w:r>
      <w:r w:rsidRPr="00FD5341">
        <w:t xml:space="preserve"> ¶ 35. </w:t>
      </w:r>
      <w:r w:rsidR="00C30820" w:rsidRPr="00FD5341">
        <w:t xml:space="preserve"> </w:t>
      </w:r>
      <w:r w:rsidRPr="00FD5341">
        <w:t xml:space="preserve">In addition to the fact that A.H. requires the use of a wheelchair and accessible facilities, she is highly susceptible to infection </w:t>
      </w:r>
      <w:r w:rsidR="008E1CB0" w:rsidRPr="00FD5341">
        <w:t xml:space="preserve">due to her medical conditions </w:t>
      </w:r>
      <w:r w:rsidRPr="00FD5341">
        <w:t>and</w:t>
      </w:r>
      <w:r w:rsidR="008E1CB0" w:rsidRPr="00FD5341">
        <w:t xml:space="preserve"> therefore</w:t>
      </w:r>
      <w:r w:rsidRPr="00FD5341">
        <w:t xml:space="preserve"> requires a climate-controlled and lightly populated living environment. </w:t>
      </w:r>
      <w:r w:rsidR="00C30820" w:rsidRPr="00FD5341">
        <w:t xml:space="preserve"> </w:t>
      </w:r>
      <w:r w:rsidRPr="00FD5341">
        <w:rPr>
          <w:i/>
        </w:rPr>
        <w:t>Id.</w:t>
      </w:r>
      <w:r w:rsidRPr="00FD5341">
        <w:t xml:space="preserve"> </w:t>
      </w:r>
    </w:p>
    <w:p w:rsidR="00851AAE" w:rsidRPr="00FD5341" w:rsidRDefault="00851AAE" w:rsidP="00CF45F1">
      <w:pPr>
        <w:ind w:firstLine="720"/>
      </w:pPr>
      <w:r w:rsidRPr="00FD5341">
        <w:t xml:space="preserve">On December 7, 2011, Mr. Hunter applied </w:t>
      </w:r>
      <w:r w:rsidR="00C30820" w:rsidRPr="00FD5341">
        <w:t>at the Virginia Williams Family Resource Center</w:t>
      </w:r>
      <w:r w:rsidR="00B22657" w:rsidRPr="00FD5341">
        <w:t xml:space="preserve"> (the “Center”)</w:t>
      </w:r>
      <w:r w:rsidR="00EC2833" w:rsidRPr="00FD5341">
        <w:t xml:space="preserve">, which is operated by </w:t>
      </w:r>
      <w:r w:rsidR="003A169C">
        <w:t xml:space="preserve">the </w:t>
      </w:r>
      <w:r w:rsidR="00EC2833" w:rsidRPr="00FD5341">
        <w:t>Coalition for the Homeless</w:t>
      </w:r>
      <w:r w:rsidR="00E40725" w:rsidRPr="00FD5341">
        <w:t>,</w:t>
      </w:r>
      <w:r w:rsidR="00F129DD" w:rsidRPr="00FD5341">
        <w:rPr>
          <w:rStyle w:val="FootnoteReference"/>
        </w:rPr>
        <w:footnoteReference w:id="6"/>
      </w:r>
      <w:r w:rsidR="00C30820" w:rsidRPr="00FD5341">
        <w:t xml:space="preserve"> </w:t>
      </w:r>
      <w:r w:rsidRPr="00FD5341">
        <w:t>for placement in a homeless shelter.</w:t>
      </w:r>
      <w:r w:rsidR="00C30820" w:rsidRPr="00FD5341">
        <w:t xml:space="preserve"> </w:t>
      </w:r>
      <w:r w:rsidRPr="00FD5341">
        <w:t xml:space="preserve"> </w:t>
      </w:r>
      <w:r w:rsidRPr="00FD5341">
        <w:rPr>
          <w:i/>
        </w:rPr>
        <w:t>Id.</w:t>
      </w:r>
      <w:r w:rsidRPr="00FD5341">
        <w:t xml:space="preserve"> ¶</w:t>
      </w:r>
      <w:r w:rsidR="00EC2833" w:rsidRPr="00FD5341">
        <w:t>¶ 12,</w:t>
      </w:r>
      <w:r w:rsidRPr="00FD5341">
        <w:t xml:space="preserve"> 37. </w:t>
      </w:r>
      <w:r w:rsidR="00C30820" w:rsidRPr="00FD5341">
        <w:t xml:space="preserve"> </w:t>
      </w:r>
      <w:r w:rsidRPr="00FD5341">
        <w:t>He explained his daughter’s disabilities and requested reasonable accommodation</w:t>
      </w:r>
      <w:r w:rsidR="003A169C">
        <w:t>s</w:t>
      </w:r>
      <w:r w:rsidRPr="00FD5341">
        <w:t xml:space="preserve"> for those disabilities.</w:t>
      </w:r>
      <w:r w:rsidR="008E1CB0" w:rsidRPr="00FD5341">
        <w:rPr>
          <w:rStyle w:val="FootnoteReference"/>
        </w:rPr>
        <w:footnoteReference w:id="7"/>
      </w:r>
      <w:r w:rsidR="00C30820" w:rsidRPr="00FD5341">
        <w:t xml:space="preserve"> </w:t>
      </w:r>
      <w:r w:rsidRPr="00FD5341">
        <w:t xml:space="preserve"> </w:t>
      </w:r>
      <w:r w:rsidRPr="00FD5341">
        <w:rPr>
          <w:i/>
        </w:rPr>
        <w:t>I</w:t>
      </w:r>
      <w:r w:rsidR="002D6388">
        <w:rPr>
          <w:i/>
        </w:rPr>
        <w:t>d</w:t>
      </w:r>
      <w:r w:rsidRPr="00FD5341">
        <w:rPr>
          <w:i/>
        </w:rPr>
        <w:t>.</w:t>
      </w:r>
      <w:r w:rsidR="002D6388">
        <w:t xml:space="preserve"> ¶ 37.</w:t>
      </w:r>
      <w:r w:rsidRPr="00FD5341">
        <w:t xml:space="preserve"> </w:t>
      </w:r>
      <w:r w:rsidR="00C30820" w:rsidRPr="00FD5341">
        <w:t xml:space="preserve"> </w:t>
      </w:r>
      <w:r w:rsidRPr="00FD5341">
        <w:t>Staff at the Center prepared a written reasonable accommodation request but failed to record Mr. Hunter’s request for a non-communal environment with a private bathroom.</w:t>
      </w:r>
      <w:r w:rsidR="00C30820" w:rsidRPr="00FD5341">
        <w:t xml:space="preserve"> </w:t>
      </w:r>
      <w:r w:rsidRPr="00FD5341">
        <w:t xml:space="preserve"> </w:t>
      </w:r>
      <w:r w:rsidRPr="00FD5341">
        <w:rPr>
          <w:i/>
        </w:rPr>
        <w:t>Id.</w:t>
      </w:r>
      <w:r w:rsidRPr="00FD5341">
        <w:t xml:space="preserve"> ¶ 39.</w:t>
      </w:r>
    </w:p>
    <w:p w:rsidR="00851AAE" w:rsidRPr="00FD5341" w:rsidRDefault="00851AAE" w:rsidP="00CF45F1">
      <w:pPr>
        <w:ind w:firstLine="720"/>
      </w:pPr>
      <w:r w:rsidRPr="00FD5341">
        <w:t>Mr. Hunter and A.H. were placed in Building 12 of the D.C. General Shelter and were told that th</w:t>
      </w:r>
      <w:r w:rsidR="0025204C" w:rsidRPr="00FD5341">
        <w:t>ey would receive a private room.</w:t>
      </w:r>
      <w:r w:rsidR="000C7E33" w:rsidRPr="00FD5341">
        <w:t xml:space="preserve">  </w:t>
      </w:r>
      <w:r w:rsidR="000C7E33" w:rsidRPr="00FD5341">
        <w:rPr>
          <w:i/>
        </w:rPr>
        <w:t>Id.</w:t>
      </w:r>
      <w:r w:rsidR="000C7E33" w:rsidRPr="00FD5341">
        <w:t xml:space="preserve"> ¶ 41.</w:t>
      </w:r>
      <w:r w:rsidRPr="00FD5341">
        <w:t xml:space="preserve"> </w:t>
      </w:r>
      <w:r w:rsidR="000C7E33" w:rsidRPr="00FD5341">
        <w:t xml:space="preserve"> However, though it was </w:t>
      </w:r>
      <w:r w:rsidR="00AE7758" w:rsidRPr="00FD5341">
        <w:t xml:space="preserve">wheelchair </w:t>
      </w:r>
      <w:r w:rsidR="000C7E33" w:rsidRPr="00FD5341">
        <w:t xml:space="preserve">accessible, </w:t>
      </w:r>
      <w:r w:rsidRPr="00FD5341">
        <w:t xml:space="preserve">the most private bathroom </w:t>
      </w:r>
      <w:r w:rsidR="000C7E33" w:rsidRPr="00FD5341">
        <w:t>available was a shared bathroom and did not meet Plaintiffs’ needs</w:t>
      </w:r>
      <w:r w:rsidR="00AE7758" w:rsidRPr="00FD5341">
        <w:t xml:space="preserve"> relating to </w:t>
      </w:r>
      <w:r w:rsidR="002D6388">
        <w:t>A.H.’s</w:t>
      </w:r>
      <w:r w:rsidR="002D6388" w:rsidRPr="00FD5341">
        <w:t xml:space="preserve"> </w:t>
      </w:r>
      <w:r w:rsidR="00AE7758" w:rsidRPr="00FD5341">
        <w:t xml:space="preserve">immune </w:t>
      </w:r>
      <w:r w:rsidR="003D797C" w:rsidRPr="00FD5341">
        <w:t>system</w:t>
      </w:r>
      <w:r w:rsidR="000C7E33" w:rsidRPr="00FD5341">
        <w:t>.</w:t>
      </w:r>
      <w:r w:rsidRPr="00FD5341">
        <w:t xml:space="preserve"> </w:t>
      </w:r>
      <w:r w:rsidR="00C30820" w:rsidRPr="00FD5341">
        <w:t xml:space="preserve"> </w:t>
      </w:r>
      <w:r w:rsidRPr="00FD5341">
        <w:rPr>
          <w:i/>
        </w:rPr>
        <w:t>Id</w:t>
      </w:r>
      <w:r w:rsidR="000C7E33" w:rsidRPr="00FD5341">
        <w:rPr>
          <w:i/>
        </w:rPr>
        <w:t>.</w:t>
      </w:r>
      <w:r w:rsidRPr="00FD5341">
        <w:t xml:space="preserve"> </w:t>
      </w:r>
      <w:r w:rsidR="00C30820" w:rsidRPr="00FD5341">
        <w:t xml:space="preserve"> </w:t>
      </w:r>
      <w:r w:rsidR="00AE7758" w:rsidRPr="00FD5341">
        <w:t>Additionally,</w:t>
      </w:r>
      <w:r w:rsidRPr="00FD5341">
        <w:t xml:space="preserve"> the ramp leading to the front door of Building 12 was inaccessible</w:t>
      </w:r>
      <w:r w:rsidR="008E1CB0" w:rsidRPr="00FD5341">
        <w:t xml:space="preserve">; </w:t>
      </w:r>
      <w:r w:rsidRPr="00FD5341">
        <w:t>A.H. was unable to use it without assistance.</w:t>
      </w:r>
      <w:r w:rsidR="00C30820" w:rsidRPr="00FD5341">
        <w:t xml:space="preserve"> </w:t>
      </w:r>
      <w:r w:rsidRPr="00FD5341">
        <w:rPr>
          <w:i/>
        </w:rPr>
        <w:t xml:space="preserve"> Id. </w:t>
      </w:r>
      <w:r w:rsidRPr="00FD5341">
        <w:t xml:space="preserve">¶¶ 45-46. </w:t>
      </w:r>
      <w:r w:rsidR="00C30820" w:rsidRPr="00FD5341">
        <w:t xml:space="preserve"> </w:t>
      </w:r>
      <w:r w:rsidRPr="00FD5341">
        <w:t>Furthermore, all fifty families that resided in Building 12 ate meals in one room</w:t>
      </w:r>
      <w:r w:rsidR="001E3609" w:rsidRPr="00FD5341">
        <w:t>, which increased A.H.’s exposure to possible infections</w:t>
      </w:r>
      <w:r w:rsidRPr="00FD5341">
        <w:t xml:space="preserve">. </w:t>
      </w:r>
      <w:r w:rsidR="00C30820" w:rsidRPr="00FD5341">
        <w:t xml:space="preserve"> </w:t>
      </w:r>
      <w:r w:rsidRPr="00FD5341">
        <w:rPr>
          <w:i/>
        </w:rPr>
        <w:t>Id.</w:t>
      </w:r>
      <w:r w:rsidRPr="00FD5341">
        <w:t xml:space="preserve"> ¶ 50. </w:t>
      </w:r>
      <w:r w:rsidR="00C30820" w:rsidRPr="00FD5341">
        <w:t xml:space="preserve"> </w:t>
      </w:r>
      <w:r w:rsidRPr="00FD5341">
        <w:t xml:space="preserve">On multiple occasions, the staff refused to allow Mr. Hunter and A.H. to eat in a separate room. </w:t>
      </w:r>
      <w:r w:rsidR="00C30820" w:rsidRPr="00FD5341">
        <w:t xml:space="preserve"> </w:t>
      </w:r>
      <w:r w:rsidRPr="00FD5341">
        <w:rPr>
          <w:i/>
        </w:rPr>
        <w:t>Id.</w:t>
      </w:r>
      <w:r w:rsidRPr="00FD5341">
        <w:t xml:space="preserve"> </w:t>
      </w:r>
    </w:p>
    <w:p w:rsidR="00851AAE" w:rsidRPr="00FD5341" w:rsidRDefault="00851AAE" w:rsidP="00CF45F1">
      <w:pPr>
        <w:ind w:firstLine="720"/>
      </w:pPr>
      <w:r w:rsidRPr="00FD5341">
        <w:t xml:space="preserve">Mr. Hunter </w:t>
      </w:r>
      <w:r w:rsidR="000C7E33" w:rsidRPr="00FD5341">
        <w:t>immediately</w:t>
      </w:r>
      <w:r w:rsidRPr="00FD5341">
        <w:t xml:space="preserve"> discovered that Building 12 did not meet his daughter’s disability-related needs and asked his case manager to move him and A.H. to an accessible</w:t>
      </w:r>
      <w:r w:rsidR="001E3609" w:rsidRPr="00FD5341">
        <w:t xml:space="preserve"> and</w:t>
      </w:r>
      <w:r w:rsidRPr="00FD5341">
        <w:t xml:space="preserve"> non-communal placement.</w:t>
      </w:r>
      <w:r w:rsidR="00C30820" w:rsidRPr="00FD5341">
        <w:t xml:space="preserve"> </w:t>
      </w:r>
      <w:r w:rsidRPr="00FD5341">
        <w:t xml:space="preserve"> </w:t>
      </w:r>
      <w:r w:rsidRPr="00FD5341">
        <w:rPr>
          <w:i/>
        </w:rPr>
        <w:t>Id.</w:t>
      </w:r>
      <w:r w:rsidRPr="00FD5341">
        <w:t xml:space="preserve"> ¶ 51. </w:t>
      </w:r>
      <w:r w:rsidR="00C30820" w:rsidRPr="00FD5341">
        <w:t xml:space="preserve"> </w:t>
      </w:r>
      <w:r w:rsidRPr="00FD5341">
        <w:t xml:space="preserve">His case manager demanded verification from A.H.’s doctors before processing </w:t>
      </w:r>
      <w:r w:rsidR="001E3609" w:rsidRPr="00FD5341">
        <w:t>t</w:t>
      </w:r>
      <w:r w:rsidRPr="00FD5341">
        <w:t>his request.</w:t>
      </w:r>
      <w:r w:rsidR="00C30820" w:rsidRPr="00FD5341">
        <w:t xml:space="preserve"> </w:t>
      </w:r>
      <w:r w:rsidRPr="00FD5341">
        <w:t xml:space="preserve"> </w:t>
      </w:r>
      <w:r w:rsidRPr="00FD5341">
        <w:rPr>
          <w:i/>
        </w:rPr>
        <w:t>Id.</w:t>
      </w:r>
      <w:r w:rsidRPr="00FD5341">
        <w:t xml:space="preserve"> </w:t>
      </w:r>
      <w:r w:rsidR="00C30820" w:rsidRPr="00FD5341">
        <w:t xml:space="preserve"> </w:t>
      </w:r>
      <w:r w:rsidRPr="00FD5341">
        <w:t xml:space="preserve">On December 21, 2011, Mr. Hunter renewed his reasonable accommodation request and submitted medical verification. </w:t>
      </w:r>
      <w:r w:rsidR="00C30820" w:rsidRPr="00FD5341">
        <w:t xml:space="preserve"> </w:t>
      </w:r>
      <w:r w:rsidRPr="00FD5341">
        <w:rPr>
          <w:i/>
        </w:rPr>
        <w:t>Id.</w:t>
      </w:r>
      <w:r w:rsidRPr="00FD5341">
        <w:t xml:space="preserve"> ¶ 53. </w:t>
      </w:r>
      <w:r w:rsidR="00C30820" w:rsidRPr="00FD5341">
        <w:t xml:space="preserve"> </w:t>
      </w:r>
      <w:r w:rsidRPr="00FD5341">
        <w:t xml:space="preserve">On December 29, 2011, he was informed that he and A.H. would be moved to the Girard Street Apartments, which are </w:t>
      </w:r>
      <w:r w:rsidR="00C30820" w:rsidRPr="00FD5341">
        <w:t>operated</w:t>
      </w:r>
      <w:r w:rsidRPr="00FD5341">
        <w:t xml:space="preserve"> by </w:t>
      </w:r>
      <w:r w:rsidR="008E1CB0" w:rsidRPr="00FD5341">
        <w:t>D</w:t>
      </w:r>
      <w:r w:rsidRPr="00FD5341">
        <w:t xml:space="preserve">efendant Community of Hope. </w:t>
      </w:r>
      <w:r w:rsidR="00C30820" w:rsidRPr="00FD5341">
        <w:t xml:space="preserve"> </w:t>
      </w:r>
      <w:r w:rsidRPr="00FD5341">
        <w:rPr>
          <w:i/>
        </w:rPr>
        <w:t>Id.</w:t>
      </w:r>
      <w:r w:rsidRPr="00FD5341">
        <w:t xml:space="preserve"> ¶ 56, 62.</w:t>
      </w:r>
    </w:p>
    <w:p w:rsidR="00851AAE" w:rsidRPr="00FD5341" w:rsidRDefault="001E3609" w:rsidP="00CF45F1">
      <w:pPr>
        <w:ind w:firstLine="720"/>
      </w:pPr>
      <w:r w:rsidRPr="00FD5341">
        <w:t>During the</w:t>
      </w:r>
      <w:r w:rsidR="00C30820" w:rsidRPr="00FD5341">
        <w:t xml:space="preserve"> time</w:t>
      </w:r>
      <w:r w:rsidRPr="00FD5341">
        <w:t xml:space="preserve"> Mr. Hunter and A.H. lived there</w:t>
      </w:r>
      <w:r w:rsidR="00C30820" w:rsidRPr="00FD5341">
        <w:t>, the Girard Street Apartments building was</w:t>
      </w:r>
      <w:r w:rsidR="00851AAE" w:rsidRPr="00FD5341">
        <w:t xml:space="preserve"> inaccessible </w:t>
      </w:r>
      <w:r w:rsidRPr="00FD5341">
        <w:t xml:space="preserve">to </w:t>
      </w:r>
      <w:r w:rsidR="00851AAE" w:rsidRPr="00FD5341">
        <w:t>wheelchair users.</w:t>
      </w:r>
      <w:r w:rsidR="00C30820" w:rsidRPr="00FD5341">
        <w:t xml:space="preserve"> </w:t>
      </w:r>
      <w:r w:rsidR="00851AAE" w:rsidRPr="00FD5341">
        <w:t xml:space="preserve"> </w:t>
      </w:r>
      <w:r w:rsidR="00851AAE" w:rsidRPr="00FD5341">
        <w:rPr>
          <w:i/>
        </w:rPr>
        <w:t xml:space="preserve">Id. </w:t>
      </w:r>
      <w:r w:rsidR="00851AAE" w:rsidRPr="00FD5341">
        <w:t xml:space="preserve">¶ 56. </w:t>
      </w:r>
      <w:r w:rsidR="00C30820" w:rsidRPr="00FD5341">
        <w:t xml:space="preserve"> </w:t>
      </w:r>
      <w:r w:rsidR="00851AAE" w:rsidRPr="00FD5341">
        <w:t xml:space="preserve">Neither the ramp leading to the entrance door nor the entrance door itself met accessibility guidelines. </w:t>
      </w:r>
      <w:r w:rsidR="00C30820" w:rsidRPr="00FD5341">
        <w:t xml:space="preserve"> </w:t>
      </w:r>
      <w:r w:rsidR="00851AAE" w:rsidRPr="00FD5341">
        <w:rPr>
          <w:i/>
        </w:rPr>
        <w:t>Id.</w:t>
      </w:r>
      <w:r w:rsidR="00851AAE" w:rsidRPr="00FD5341">
        <w:t xml:space="preserve"> ¶ 72. </w:t>
      </w:r>
      <w:r w:rsidR="00C30820" w:rsidRPr="00FD5341">
        <w:t xml:space="preserve"> </w:t>
      </w:r>
      <w:r w:rsidR="00851AAE" w:rsidRPr="00FD5341">
        <w:t xml:space="preserve">Upon entering, there were three stairs up to the lobby. </w:t>
      </w:r>
      <w:r w:rsidR="00C30820" w:rsidRPr="00FD5341">
        <w:t xml:space="preserve"> </w:t>
      </w:r>
      <w:r w:rsidR="00851AAE" w:rsidRPr="00FD5341">
        <w:rPr>
          <w:i/>
        </w:rPr>
        <w:t>Id.</w:t>
      </w:r>
      <w:r w:rsidR="00851AAE" w:rsidRPr="00FD5341">
        <w:t xml:space="preserve"> ¶ 73. </w:t>
      </w:r>
      <w:r w:rsidR="00C30820" w:rsidRPr="00FD5341">
        <w:t xml:space="preserve"> </w:t>
      </w:r>
      <w:r w:rsidR="008E1CB0" w:rsidRPr="00FD5341">
        <w:t>Alt</w:t>
      </w:r>
      <w:r w:rsidRPr="00FD5341">
        <w:t xml:space="preserve">hough there </w:t>
      </w:r>
      <w:r w:rsidR="00851AAE" w:rsidRPr="00FD5341">
        <w:t xml:space="preserve">was a lift for wheelchair users, it was out of service </w:t>
      </w:r>
      <w:r w:rsidR="008E1CB0" w:rsidRPr="00FD5341">
        <w:t xml:space="preserve">for the duration of </w:t>
      </w:r>
      <w:r w:rsidR="009C7778" w:rsidRPr="00FD5341">
        <w:t>the three months</w:t>
      </w:r>
      <w:r w:rsidRPr="00FD5341">
        <w:t xml:space="preserve"> </w:t>
      </w:r>
      <w:r w:rsidR="008E1CB0" w:rsidRPr="00FD5341">
        <w:t xml:space="preserve">that </w:t>
      </w:r>
      <w:r w:rsidR="009C7778" w:rsidRPr="00FD5341">
        <w:t>the</w:t>
      </w:r>
      <w:r w:rsidR="00851AAE" w:rsidRPr="00FD5341">
        <w:t xml:space="preserve"> Hunter </w:t>
      </w:r>
      <w:r w:rsidR="009C7778" w:rsidRPr="00FD5341">
        <w:t>family</w:t>
      </w:r>
      <w:r w:rsidRPr="00FD5341">
        <w:t xml:space="preserve"> </w:t>
      </w:r>
      <w:r w:rsidR="008E1CB0" w:rsidRPr="00FD5341">
        <w:t xml:space="preserve">resided </w:t>
      </w:r>
      <w:r w:rsidR="00851AAE" w:rsidRPr="00FD5341">
        <w:t>at the Girard Street Apartments.</w:t>
      </w:r>
      <w:r w:rsidR="00851AAE" w:rsidRPr="00FD5341">
        <w:rPr>
          <w:i/>
        </w:rPr>
        <w:t xml:space="preserve"> </w:t>
      </w:r>
      <w:r w:rsidR="00C30820" w:rsidRPr="00FD5341">
        <w:rPr>
          <w:i/>
        </w:rPr>
        <w:t xml:space="preserve"> </w:t>
      </w:r>
      <w:r w:rsidR="00851AAE" w:rsidRPr="00FD5341">
        <w:rPr>
          <w:i/>
        </w:rPr>
        <w:t>Id.</w:t>
      </w:r>
      <w:r w:rsidR="00851AAE" w:rsidRPr="00FD5341">
        <w:t xml:space="preserve"> </w:t>
      </w:r>
      <w:r w:rsidR="00C30820" w:rsidRPr="00FD5341">
        <w:t xml:space="preserve"> </w:t>
      </w:r>
      <w:r w:rsidR="00851AAE" w:rsidRPr="00FD5341">
        <w:t xml:space="preserve">Furthermore, the Hunters were assigned to the third floor </w:t>
      </w:r>
      <w:r w:rsidR="00B22657" w:rsidRPr="00FD5341">
        <w:t>(</w:t>
      </w:r>
      <w:r w:rsidR="00851AAE" w:rsidRPr="00FD5341">
        <w:t>Unit 303</w:t>
      </w:r>
      <w:r w:rsidRPr="00FD5341">
        <w:t>),</w:t>
      </w:r>
      <w:r w:rsidR="00851AAE" w:rsidRPr="00FD5341">
        <w:t xml:space="preserve"> but the only access to the third floor was </w:t>
      </w:r>
      <w:r w:rsidRPr="00FD5341">
        <w:t xml:space="preserve">by way of </w:t>
      </w:r>
      <w:r w:rsidR="00851AAE" w:rsidRPr="00FD5341">
        <w:t xml:space="preserve">two flights of stairs; there was no elevator. </w:t>
      </w:r>
      <w:r w:rsidR="00C30820" w:rsidRPr="00FD5341">
        <w:t xml:space="preserve"> </w:t>
      </w:r>
      <w:r w:rsidR="00851AAE" w:rsidRPr="00FD5341">
        <w:rPr>
          <w:i/>
        </w:rPr>
        <w:t xml:space="preserve">Id. </w:t>
      </w:r>
      <w:r w:rsidR="00851AAE" w:rsidRPr="00FD5341">
        <w:t>¶</w:t>
      </w:r>
      <w:r w:rsidR="003D797C" w:rsidRPr="00FD5341">
        <w:t> </w:t>
      </w:r>
      <w:r w:rsidR="00851AAE" w:rsidRPr="00FD5341">
        <w:t xml:space="preserve">74. </w:t>
      </w:r>
      <w:r w:rsidR="00C30820" w:rsidRPr="00FD5341">
        <w:t xml:space="preserve"> </w:t>
      </w:r>
      <w:r w:rsidR="00851AAE" w:rsidRPr="00FD5341">
        <w:t xml:space="preserve">Finally, the hallways </w:t>
      </w:r>
      <w:r w:rsidR="00936079">
        <w:t>in</w:t>
      </w:r>
      <w:r w:rsidR="00936079" w:rsidRPr="00FD5341">
        <w:t xml:space="preserve"> </w:t>
      </w:r>
      <w:r w:rsidR="00B22657" w:rsidRPr="00FD5341">
        <w:t xml:space="preserve">Unit </w:t>
      </w:r>
      <w:r w:rsidRPr="00FD5341">
        <w:t>3</w:t>
      </w:r>
      <w:r w:rsidR="00B22657" w:rsidRPr="00FD5341">
        <w:t>0</w:t>
      </w:r>
      <w:r w:rsidRPr="00FD5341">
        <w:t>3</w:t>
      </w:r>
      <w:r w:rsidR="00851AAE" w:rsidRPr="00FD5341">
        <w:t xml:space="preserve"> were too narrow to accommodate A.H.’s wheelchair. </w:t>
      </w:r>
      <w:r w:rsidR="00C30820" w:rsidRPr="00FD5341">
        <w:t xml:space="preserve"> </w:t>
      </w:r>
      <w:r w:rsidR="00851AAE" w:rsidRPr="00FD5341">
        <w:rPr>
          <w:i/>
        </w:rPr>
        <w:t xml:space="preserve">Id. </w:t>
      </w:r>
      <w:r w:rsidR="00851AAE" w:rsidRPr="00FD5341">
        <w:t>¶ 75.</w:t>
      </w:r>
    </w:p>
    <w:p w:rsidR="00851AAE" w:rsidRPr="00FD5341" w:rsidRDefault="00851AAE" w:rsidP="00CF45F1">
      <w:pPr>
        <w:ind w:firstLine="720"/>
        <w:rPr>
          <w:i/>
        </w:rPr>
      </w:pPr>
      <w:r w:rsidRPr="00FD5341">
        <w:t xml:space="preserve">On January 3, 2012, Mr. Hunter filed </w:t>
      </w:r>
      <w:r w:rsidR="009C7778" w:rsidRPr="00FD5341">
        <w:t xml:space="preserve">with shelter staff </w:t>
      </w:r>
      <w:r w:rsidRPr="00FD5341">
        <w:t>another reasonable accommodation request</w:t>
      </w:r>
      <w:r w:rsidR="00DC4932" w:rsidRPr="00FD5341">
        <w:t xml:space="preserve"> </w:t>
      </w:r>
      <w:r w:rsidR="00D10325" w:rsidRPr="00FD5341">
        <w:t>for a wheelchair accessible room</w:t>
      </w:r>
      <w:r w:rsidR="009C7778" w:rsidRPr="00FD5341">
        <w:t xml:space="preserve">.  </w:t>
      </w:r>
      <w:r w:rsidR="009C7778" w:rsidRPr="00FD5341">
        <w:rPr>
          <w:i/>
        </w:rPr>
        <w:t xml:space="preserve">Id. </w:t>
      </w:r>
      <w:r w:rsidR="009C7778" w:rsidRPr="00FD5341">
        <w:t>¶ 76.  This request</w:t>
      </w:r>
      <w:r w:rsidRPr="00FD5341">
        <w:t xml:space="preserve"> was </w:t>
      </w:r>
      <w:r w:rsidR="00D10325" w:rsidRPr="00FD5341">
        <w:t>not responded to</w:t>
      </w:r>
      <w:r w:rsidRPr="00FD5341">
        <w:t xml:space="preserve">. </w:t>
      </w:r>
      <w:r w:rsidR="002714EF" w:rsidRPr="00FD5341">
        <w:t xml:space="preserve"> </w:t>
      </w:r>
      <w:r w:rsidRPr="00FD5341">
        <w:rPr>
          <w:i/>
        </w:rPr>
        <w:t>Id</w:t>
      </w:r>
      <w:r w:rsidRPr="00FD5341">
        <w:t xml:space="preserve">. </w:t>
      </w:r>
      <w:r w:rsidR="002714EF" w:rsidRPr="00FD5341">
        <w:t xml:space="preserve"> </w:t>
      </w:r>
      <w:r w:rsidRPr="00FD5341">
        <w:t>On February 10, 2012, Mr. Hunter and A.H. were transferr</w:t>
      </w:r>
      <w:r w:rsidR="00C30820" w:rsidRPr="00FD5341">
        <w:t xml:space="preserve">ed to the first floor </w:t>
      </w:r>
      <w:r w:rsidR="00B22657" w:rsidRPr="00FD5341">
        <w:t>(</w:t>
      </w:r>
      <w:r w:rsidR="00C30820" w:rsidRPr="00FD5341">
        <w:t>Unit 106</w:t>
      </w:r>
      <w:r w:rsidR="00B22657" w:rsidRPr="00FD5341">
        <w:t>)</w:t>
      </w:r>
      <w:r w:rsidR="00C30820" w:rsidRPr="00FD5341">
        <w:t xml:space="preserve">.  </w:t>
      </w:r>
      <w:r w:rsidRPr="00FD5341">
        <w:rPr>
          <w:i/>
        </w:rPr>
        <w:t xml:space="preserve">Id. </w:t>
      </w:r>
      <w:r w:rsidRPr="00FD5341">
        <w:t xml:space="preserve">¶ 86. </w:t>
      </w:r>
      <w:r w:rsidR="00C30820" w:rsidRPr="00FD5341">
        <w:t xml:space="preserve"> </w:t>
      </w:r>
      <w:r w:rsidR="002D6388">
        <w:t>Alt</w:t>
      </w:r>
      <w:r w:rsidRPr="00FD5341">
        <w:t>hough Unit 106 was</w:t>
      </w:r>
      <w:r w:rsidR="00D10325" w:rsidRPr="00FD5341">
        <w:t xml:space="preserve"> </w:t>
      </w:r>
      <w:r w:rsidRPr="00FD5341">
        <w:t xml:space="preserve">more accessible, the </w:t>
      </w:r>
      <w:r w:rsidR="00DB730F" w:rsidRPr="00FD5341">
        <w:t xml:space="preserve">staff at the </w:t>
      </w:r>
      <w:r w:rsidRPr="00FD5341">
        <w:t xml:space="preserve">Girard Street Apartments never provided a working wheelchair lift to access the first floor of the building. </w:t>
      </w:r>
      <w:r w:rsidR="004D5B66" w:rsidRPr="00FD5341">
        <w:t xml:space="preserve"> </w:t>
      </w:r>
      <w:r w:rsidRPr="00FD5341">
        <w:rPr>
          <w:i/>
        </w:rPr>
        <w:t>Id.</w:t>
      </w:r>
    </w:p>
    <w:p w:rsidR="005A1D8A" w:rsidRPr="00FD5341" w:rsidRDefault="004C2877" w:rsidP="00CF45F1">
      <w:pPr>
        <w:ind w:firstLine="720"/>
      </w:pPr>
      <w:r w:rsidRPr="00FD5341">
        <w:t>During the Plaintiffs</w:t>
      </w:r>
      <w:r w:rsidR="00DB730F" w:rsidRPr="00FD5341">
        <w:t>’</w:t>
      </w:r>
      <w:r w:rsidRPr="00FD5341">
        <w:t xml:space="preserve"> residence at the Girard Street Apartments, Mr. Hunter submitted a reasonable accommodation request that a nursing student be allowed to visit in order to assist him with the care of A.H.  </w:t>
      </w:r>
      <w:r w:rsidRPr="00FD5341">
        <w:rPr>
          <w:i/>
        </w:rPr>
        <w:t>Id.</w:t>
      </w:r>
      <w:r w:rsidRPr="00FD5341">
        <w:t xml:space="preserve"> ¶ 81.  Though A.H.’s health conditions required occasional respite care and Mr. Hunter’s case manager recommended that he request respite care, Community of Hope staff only allowed one visit.  </w:t>
      </w:r>
      <w:r w:rsidRPr="00FD5341">
        <w:rPr>
          <w:i/>
        </w:rPr>
        <w:t>Id.</w:t>
      </w:r>
    </w:p>
    <w:p w:rsidR="001C53BC" w:rsidRPr="00FD5341" w:rsidRDefault="00851AAE" w:rsidP="00CF45F1">
      <w:pPr>
        <w:pStyle w:val="Heading3"/>
      </w:pPr>
      <w:r w:rsidRPr="00FD5341">
        <w:t>The District’s Record of Discrimination</w:t>
      </w:r>
    </w:p>
    <w:p w:rsidR="00B63E10" w:rsidRPr="00790B15" w:rsidRDefault="00851AAE" w:rsidP="004E6A2C">
      <w:pPr>
        <w:ind w:firstLine="720"/>
        <w:rPr>
          <w:szCs w:val="24"/>
        </w:rPr>
      </w:pPr>
      <w:r w:rsidRPr="00FD5341">
        <w:rPr>
          <w:szCs w:val="24"/>
        </w:rPr>
        <w:t xml:space="preserve">In 2007, the Department of Justice Civil Rights Division </w:t>
      </w:r>
      <w:r w:rsidR="00DB730F" w:rsidRPr="00FD5341">
        <w:rPr>
          <w:szCs w:val="24"/>
        </w:rPr>
        <w:t xml:space="preserve">conducted </w:t>
      </w:r>
      <w:r w:rsidRPr="00FD5341">
        <w:rPr>
          <w:szCs w:val="24"/>
        </w:rPr>
        <w:t xml:space="preserve">an ADA compliance review of the accessibility of the D.C. </w:t>
      </w:r>
      <w:r w:rsidR="002714EF" w:rsidRPr="00FD5341">
        <w:rPr>
          <w:szCs w:val="24"/>
        </w:rPr>
        <w:t xml:space="preserve">homeless </w:t>
      </w:r>
      <w:r w:rsidRPr="00FD5341">
        <w:rPr>
          <w:szCs w:val="24"/>
        </w:rPr>
        <w:t xml:space="preserve">shelter system. </w:t>
      </w:r>
      <w:r w:rsidR="002714EF" w:rsidRPr="00FD5341">
        <w:rPr>
          <w:szCs w:val="24"/>
        </w:rPr>
        <w:t xml:space="preserve"> </w:t>
      </w:r>
      <w:r w:rsidR="00B345A7">
        <w:rPr>
          <w:szCs w:val="24"/>
        </w:rPr>
        <w:t>First Am. Compl.</w:t>
      </w:r>
      <w:r w:rsidRPr="00FD5341">
        <w:rPr>
          <w:szCs w:val="24"/>
        </w:rPr>
        <w:t xml:space="preserve"> ¶ 58. </w:t>
      </w:r>
      <w:r w:rsidR="002714EF" w:rsidRPr="00FD5341">
        <w:rPr>
          <w:szCs w:val="24"/>
        </w:rPr>
        <w:t xml:space="preserve"> </w:t>
      </w:r>
      <w:r w:rsidRPr="00FD5341">
        <w:rPr>
          <w:szCs w:val="24"/>
        </w:rPr>
        <w:t xml:space="preserve">Fifteen shelters were inspected, including the D.C. General Shelter and Girard Street Apartments. </w:t>
      </w:r>
      <w:r w:rsidR="002714EF" w:rsidRPr="00FD5341">
        <w:rPr>
          <w:szCs w:val="24"/>
        </w:rPr>
        <w:t xml:space="preserve"> </w:t>
      </w:r>
      <w:r w:rsidRPr="00FD5341">
        <w:rPr>
          <w:i/>
          <w:szCs w:val="24"/>
        </w:rPr>
        <w:t>Id.</w:t>
      </w:r>
      <w:r w:rsidR="002714EF" w:rsidRPr="00FD5341">
        <w:rPr>
          <w:i/>
          <w:szCs w:val="24"/>
        </w:rPr>
        <w:t xml:space="preserve"> </w:t>
      </w:r>
      <w:r w:rsidRPr="00FD5341">
        <w:rPr>
          <w:i/>
          <w:szCs w:val="24"/>
        </w:rPr>
        <w:t xml:space="preserve"> </w:t>
      </w:r>
      <w:r w:rsidR="002D6388" w:rsidRPr="00FD5341">
        <w:rPr>
          <w:szCs w:val="24"/>
        </w:rPr>
        <w:t xml:space="preserve">As a result of that review, </w:t>
      </w:r>
      <w:r w:rsidR="002D6388">
        <w:rPr>
          <w:szCs w:val="24"/>
        </w:rPr>
        <w:t>t</w:t>
      </w:r>
      <w:r w:rsidR="00790B15">
        <w:rPr>
          <w:szCs w:val="24"/>
        </w:rPr>
        <w:t>he United States found that none of the fifteen shelters complied with the ADA</w:t>
      </w:r>
      <w:r w:rsidR="002D6388">
        <w:rPr>
          <w:szCs w:val="24"/>
        </w:rPr>
        <w:t xml:space="preserve"> and</w:t>
      </w:r>
      <w:r w:rsidR="002D6388" w:rsidRPr="002D6388">
        <w:rPr>
          <w:szCs w:val="24"/>
        </w:rPr>
        <w:t xml:space="preserve"> </w:t>
      </w:r>
      <w:r w:rsidR="002D6388" w:rsidRPr="00FD5341">
        <w:rPr>
          <w:szCs w:val="24"/>
        </w:rPr>
        <w:t>a settlement agreement was</w:t>
      </w:r>
      <w:r w:rsidR="002D6388">
        <w:rPr>
          <w:szCs w:val="24"/>
        </w:rPr>
        <w:t xml:space="preserve"> subsequently</w:t>
      </w:r>
      <w:r w:rsidR="002D6388" w:rsidRPr="00FD5341">
        <w:rPr>
          <w:szCs w:val="24"/>
        </w:rPr>
        <w:t xml:space="preserve"> entered</w:t>
      </w:r>
      <w:r w:rsidR="002D6388">
        <w:rPr>
          <w:szCs w:val="24"/>
        </w:rPr>
        <w:t xml:space="preserve"> in December 2008, detailing seventy-one pages of ADA violations at the fifteen shelters</w:t>
      </w:r>
      <w:r w:rsidR="002D6388" w:rsidRPr="00FD5341">
        <w:rPr>
          <w:szCs w:val="24"/>
        </w:rPr>
        <w:t>.</w:t>
      </w:r>
      <w:r w:rsidR="00790B15">
        <w:rPr>
          <w:szCs w:val="24"/>
        </w:rPr>
        <w:t xml:space="preserve">  </w:t>
      </w:r>
      <w:r w:rsidR="00240544">
        <w:rPr>
          <w:szCs w:val="24"/>
        </w:rPr>
        <w:t>Settlement Agreement Between the United States of America and the District of Columbia Under the Americans with Disabilities Act</w:t>
      </w:r>
      <w:r w:rsidR="00B345A7">
        <w:rPr>
          <w:szCs w:val="24"/>
        </w:rPr>
        <w:t xml:space="preserve"> </w:t>
      </w:r>
      <w:r w:rsidR="00B345A7" w:rsidRPr="00FD5341">
        <w:rPr>
          <w:szCs w:val="24"/>
        </w:rPr>
        <w:t>¶</w:t>
      </w:r>
      <w:r w:rsidR="00B345A7">
        <w:rPr>
          <w:szCs w:val="24"/>
        </w:rPr>
        <w:t xml:space="preserve"> 20(a)</w:t>
      </w:r>
      <w:r w:rsidR="00240544">
        <w:rPr>
          <w:szCs w:val="24"/>
        </w:rPr>
        <w:t xml:space="preserve"> (Dec. 10, 2008) (</w:t>
      </w:r>
      <w:r w:rsidR="002D6388">
        <w:rPr>
          <w:szCs w:val="24"/>
        </w:rPr>
        <w:t xml:space="preserve">the </w:t>
      </w:r>
      <w:r w:rsidR="00240544">
        <w:rPr>
          <w:szCs w:val="24"/>
        </w:rPr>
        <w:t>“Settlement Agreement”)</w:t>
      </w:r>
      <w:r w:rsidR="007E5387">
        <w:rPr>
          <w:szCs w:val="24"/>
        </w:rPr>
        <w:t xml:space="preserve"> (Attachment # 1)</w:t>
      </w:r>
      <w:r w:rsidR="00240544">
        <w:rPr>
          <w:i/>
          <w:szCs w:val="24"/>
        </w:rPr>
        <w:t>.</w:t>
      </w:r>
      <w:r w:rsidR="00DB730F" w:rsidRPr="00FD5341">
        <w:rPr>
          <w:szCs w:val="24"/>
        </w:rPr>
        <w:t xml:space="preserve">  </w:t>
      </w:r>
      <w:r w:rsidR="00790B15">
        <w:rPr>
          <w:szCs w:val="24"/>
        </w:rPr>
        <w:t>The District</w:t>
      </w:r>
      <w:r w:rsidR="00C6151E" w:rsidRPr="00FD5341">
        <w:rPr>
          <w:szCs w:val="24"/>
        </w:rPr>
        <w:t xml:space="preserve"> w</w:t>
      </w:r>
      <w:r w:rsidR="00790B15">
        <w:rPr>
          <w:szCs w:val="24"/>
        </w:rPr>
        <w:t>as</w:t>
      </w:r>
      <w:r w:rsidRPr="00FD5341">
        <w:rPr>
          <w:szCs w:val="24"/>
        </w:rPr>
        <w:t xml:space="preserve"> aware that the D.C. General Shelter and Girard Street Apartments </w:t>
      </w:r>
      <w:r w:rsidR="00B22657" w:rsidRPr="00FD5341">
        <w:rPr>
          <w:szCs w:val="24"/>
        </w:rPr>
        <w:t>did not meet the requirements</w:t>
      </w:r>
      <w:r w:rsidRPr="00FD5341">
        <w:rPr>
          <w:szCs w:val="24"/>
        </w:rPr>
        <w:t xml:space="preserve"> of the ADA.</w:t>
      </w:r>
      <w:r w:rsidR="002714EF" w:rsidRPr="00FD5341">
        <w:rPr>
          <w:szCs w:val="24"/>
        </w:rPr>
        <w:t xml:space="preserve"> </w:t>
      </w:r>
      <w:r w:rsidRPr="00FD5341">
        <w:rPr>
          <w:szCs w:val="24"/>
        </w:rPr>
        <w:t xml:space="preserve"> </w:t>
      </w:r>
      <w:r w:rsidRPr="00FD5341">
        <w:rPr>
          <w:i/>
          <w:szCs w:val="24"/>
        </w:rPr>
        <w:t xml:space="preserve">Id. </w:t>
      </w:r>
      <w:r w:rsidR="002714EF" w:rsidRPr="00FD5341">
        <w:rPr>
          <w:i/>
          <w:szCs w:val="24"/>
        </w:rPr>
        <w:t xml:space="preserve"> </w:t>
      </w:r>
      <w:r w:rsidRPr="00FD5341">
        <w:rPr>
          <w:szCs w:val="24"/>
        </w:rPr>
        <w:t xml:space="preserve">As part of the </w:t>
      </w:r>
      <w:r w:rsidR="00C6151E" w:rsidRPr="00FD5341">
        <w:rPr>
          <w:szCs w:val="24"/>
        </w:rPr>
        <w:t>200</w:t>
      </w:r>
      <w:r w:rsidR="00240544">
        <w:rPr>
          <w:szCs w:val="24"/>
        </w:rPr>
        <w:t>8</w:t>
      </w:r>
      <w:r w:rsidR="00C6151E" w:rsidRPr="00FD5341">
        <w:rPr>
          <w:szCs w:val="24"/>
        </w:rPr>
        <w:t xml:space="preserve"> </w:t>
      </w:r>
      <w:r w:rsidR="003D797C" w:rsidRPr="00FD5341">
        <w:rPr>
          <w:szCs w:val="24"/>
        </w:rPr>
        <w:t>S</w:t>
      </w:r>
      <w:r w:rsidRPr="00FD5341">
        <w:rPr>
          <w:szCs w:val="24"/>
        </w:rPr>
        <w:t xml:space="preserve">ettlement </w:t>
      </w:r>
      <w:r w:rsidR="003D797C" w:rsidRPr="00FD5341">
        <w:rPr>
          <w:szCs w:val="24"/>
        </w:rPr>
        <w:t>A</w:t>
      </w:r>
      <w:r w:rsidRPr="00FD5341">
        <w:rPr>
          <w:szCs w:val="24"/>
        </w:rPr>
        <w:t>greement, the District was required to</w:t>
      </w:r>
      <w:r w:rsidR="00114FDF" w:rsidRPr="00FD5341">
        <w:rPr>
          <w:szCs w:val="24"/>
        </w:rPr>
        <w:t>,</w:t>
      </w:r>
      <w:r w:rsidRPr="00FD5341">
        <w:rPr>
          <w:szCs w:val="24"/>
        </w:rPr>
        <w:t xml:space="preserve"> “create and implement procedures for ensuring that any contractor or subcontractor of the District providing services in the Shelter Program is providing these services in compliance” with </w:t>
      </w:r>
      <w:r w:rsidR="00D345E8" w:rsidRPr="00FD5341">
        <w:rPr>
          <w:szCs w:val="24"/>
        </w:rPr>
        <w:t>t</w:t>
      </w:r>
      <w:r w:rsidRPr="00FD5341">
        <w:rPr>
          <w:szCs w:val="24"/>
        </w:rPr>
        <w:t>itle II of the ADA</w:t>
      </w:r>
      <w:r w:rsidRPr="00B345A7">
        <w:rPr>
          <w:szCs w:val="24"/>
        </w:rPr>
        <w:t>.</w:t>
      </w:r>
      <w:r w:rsidRPr="00FD5341">
        <w:rPr>
          <w:szCs w:val="24"/>
        </w:rPr>
        <w:t xml:space="preserve"> </w:t>
      </w:r>
      <w:r w:rsidR="002714EF" w:rsidRPr="00FD5341">
        <w:rPr>
          <w:szCs w:val="24"/>
        </w:rPr>
        <w:t xml:space="preserve"> </w:t>
      </w:r>
      <w:r w:rsidR="00B345A7">
        <w:rPr>
          <w:szCs w:val="24"/>
        </w:rPr>
        <w:t>First Am. Compl.</w:t>
      </w:r>
      <w:r w:rsidRPr="00FD5341">
        <w:rPr>
          <w:i/>
          <w:szCs w:val="24"/>
        </w:rPr>
        <w:t xml:space="preserve"> </w:t>
      </w:r>
      <w:r w:rsidRPr="00FD5341">
        <w:rPr>
          <w:szCs w:val="24"/>
        </w:rPr>
        <w:t>¶ 59</w:t>
      </w:r>
      <w:r w:rsidR="00240544">
        <w:rPr>
          <w:szCs w:val="24"/>
        </w:rPr>
        <w:t>; Settlement Agreement ¶</w:t>
      </w:r>
      <w:r w:rsidR="00B345A7">
        <w:rPr>
          <w:szCs w:val="24"/>
        </w:rPr>
        <w:t> </w:t>
      </w:r>
      <w:r w:rsidR="00240544">
        <w:rPr>
          <w:szCs w:val="24"/>
        </w:rPr>
        <w:t>24(a)</w:t>
      </w:r>
      <w:r w:rsidRPr="00FD5341">
        <w:rPr>
          <w:szCs w:val="24"/>
        </w:rPr>
        <w:t>.</w:t>
      </w:r>
      <w:r w:rsidR="00790B15">
        <w:rPr>
          <w:szCs w:val="24"/>
        </w:rPr>
        <w:t xml:space="preserve">  </w:t>
      </w:r>
      <w:r w:rsidR="00CF453C">
        <w:rPr>
          <w:szCs w:val="24"/>
        </w:rPr>
        <w:t xml:space="preserve">This provision expired on December 10, 2011.  </w:t>
      </w:r>
      <w:r w:rsidR="00B345A7">
        <w:rPr>
          <w:szCs w:val="24"/>
        </w:rPr>
        <w:t>Settlement Agreement ¶ 39</w:t>
      </w:r>
      <w:r w:rsidR="00B345A7" w:rsidRPr="00FD5341">
        <w:rPr>
          <w:szCs w:val="24"/>
        </w:rPr>
        <w:t>.</w:t>
      </w:r>
    </w:p>
    <w:p w:rsidR="00434578" w:rsidRPr="00FD5341" w:rsidRDefault="005E5037" w:rsidP="00CF45F1">
      <w:pPr>
        <w:pStyle w:val="Heading2"/>
      </w:pPr>
      <w:bookmarkStart w:id="0" w:name="co_pp_d86d0000be040_1"/>
      <w:bookmarkStart w:id="1" w:name="co_pp_28cc0000ccca6_1"/>
      <w:bookmarkStart w:id="2" w:name="co_pp_d40e000072291_1"/>
      <w:bookmarkEnd w:id="0"/>
      <w:bookmarkEnd w:id="1"/>
      <w:bookmarkEnd w:id="2"/>
      <w:r w:rsidRPr="00FD5341">
        <w:t>ARGUMENT</w:t>
      </w:r>
    </w:p>
    <w:p w:rsidR="001C53BC" w:rsidRPr="00FD5341" w:rsidRDefault="001E0990" w:rsidP="00CF45F1">
      <w:pPr>
        <w:pStyle w:val="Heading3"/>
      </w:pPr>
      <w:r w:rsidRPr="00FD5341">
        <w:t>Legal Standard for a Rule 12(b)(6) Motion to Dismiss</w:t>
      </w:r>
    </w:p>
    <w:p w:rsidR="00DF1F2E" w:rsidRPr="00FD5341" w:rsidRDefault="00DF1F2E" w:rsidP="00CF45F1">
      <w:pPr>
        <w:ind w:firstLine="720"/>
      </w:pPr>
      <w:r w:rsidRPr="00FD5341">
        <w:t xml:space="preserve">A Rule 12(b)(6) motion to dismiss tests the sufficiency of the complaint; it is not a mechanism to decide the merits.  </w:t>
      </w:r>
      <w:r w:rsidR="00114FDF" w:rsidRPr="00FD5341">
        <w:rPr>
          <w:i/>
          <w:iCs/>
        </w:rPr>
        <w:t>Browning v. Clinton</w:t>
      </w:r>
      <w:r w:rsidR="00114FDF" w:rsidRPr="00FD5341">
        <w:rPr>
          <w:iCs/>
        </w:rPr>
        <w:t>, 292 F.3d 235, 242 (D.C. Cir. 2002)</w:t>
      </w:r>
      <w:r w:rsidRPr="00FD5341">
        <w:t>.  Indeed, the purpose</w:t>
      </w:r>
      <w:r w:rsidR="00114FDF" w:rsidRPr="00FD5341">
        <w:t xml:space="preserve"> of the complaint</w:t>
      </w:r>
      <w:r w:rsidRPr="00FD5341">
        <w:t xml:space="preserve"> is merely to</w:t>
      </w:r>
      <w:r w:rsidR="00114FDF" w:rsidRPr="00FD5341">
        <w:t>,</w:t>
      </w:r>
      <w:r w:rsidRPr="00FD5341">
        <w:t xml:space="preserve"> “give the defendant fair notice of what the . . . claim is and the grounds upon which it rests.” </w:t>
      </w:r>
      <w:r w:rsidRPr="00FD5341">
        <w:rPr>
          <w:i/>
          <w:iCs/>
        </w:rPr>
        <w:t> Bell Atl. Corp. v. Twombly</w:t>
      </w:r>
      <w:r w:rsidRPr="00FD5341">
        <w:t>, 550 U.S. 544, 555 (2007)</w:t>
      </w:r>
      <w:r w:rsidR="00FE7955">
        <w:t xml:space="preserve"> (citation omitted)</w:t>
      </w:r>
      <w:r w:rsidRPr="00FD5341">
        <w:t>.  Accordingly, t</w:t>
      </w:r>
      <w:r w:rsidR="001E0990" w:rsidRPr="00FD5341">
        <w:t>o survive a Rul</w:t>
      </w:r>
      <w:r w:rsidR="00EA1FEE" w:rsidRPr="00FD5341">
        <w:t>e 12(b)(6) motion to dismiss,</w:t>
      </w:r>
      <w:r w:rsidRPr="00FD5341">
        <w:t xml:space="preserve"> the complaint need not include, “detailed factual allegations,” but it must provide,</w:t>
      </w:r>
      <w:r w:rsidR="00EA1FEE" w:rsidRPr="00FD5341">
        <w:t xml:space="preserve"> “</w:t>
      </w:r>
      <w:r w:rsidR="0045534F" w:rsidRPr="00FD5341">
        <w:t>sufficient factual matter, accepted as true, to ‘state a claim to relief that is plausible on its face.’”</w:t>
      </w:r>
      <w:r w:rsidR="00CF6B41" w:rsidRPr="00FD5341">
        <w:t xml:space="preserve"> </w:t>
      </w:r>
      <w:r w:rsidR="0045534F" w:rsidRPr="00FD5341">
        <w:t xml:space="preserve"> </w:t>
      </w:r>
      <w:r w:rsidR="0045534F" w:rsidRPr="00FD5341">
        <w:rPr>
          <w:i/>
        </w:rPr>
        <w:t>Ashcroft v. Iqbal</w:t>
      </w:r>
      <w:r w:rsidR="0045534F" w:rsidRPr="00FD5341">
        <w:t xml:space="preserve">, 556 U.S. 662, 678 (2009) (quoting </w:t>
      </w:r>
      <w:r w:rsidR="0045534F" w:rsidRPr="00FD5341">
        <w:rPr>
          <w:i/>
        </w:rPr>
        <w:t>Twombly</w:t>
      </w:r>
      <w:r w:rsidR="0045534F" w:rsidRPr="00FD5341">
        <w:t xml:space="preserve">, 550 U.S. </w:t>
      </w:r>
      <w:r w:rsidRPr="00FD5341">
        <w:t>at</w:t>
      </w:r>
      <w:r w:rsidR="0045534F" w:rsidRPr="00FD5341">
        <w:t xml:space="preserve"> 570).</w:t>
      </w:r>
      <w:r w:rsidR="00CF6B41" w:rsidRPr="00FD5341">
        <w:t xml:space="preserve">  </w:t>
      </w:r>
      <w:r w:rsidR="00EA1FEE" w:rsidRPr="00FD5341">
        <w:t xml:space="preserve">A claim is facially plausible when the pleaded </w:t>
      </w:r>
      <w:r w:rsidR="00C6151E" w:rsidRPr="00FD5341">
        <w:t xml:space="preserve">facts </w:t>
      </w:r>
      <w:r w:rsidR="00EA1FEE" w:rsidRPr="00FD5341">
        <w:t>allow a</w:t>
      </w:r>
      <w:r w:rsidR="00114FDF" w:rsidRPr="00FD5341">
        <w:t>,</w:t>
      </w:r>
      <w:r w:rsidR="00EA1FEE" w:rsidRPr="00FD5341">
        <w:t xml:space="preserve"> “reasonable inference that the defendant is liable for the misconduct alleged.”  </w:t>
      </w:r>
      <w:r w:rsidR="00EA1FEE" w:rsidRPr="00FD5341">
        <w:rPr>
          <w:i/>
        </w:rPr>
        <w:t xml:space="preserve">Id. </w:t>
      </w:r>
      <w:r w:rsidR="00EA1FEE" w:rsidRPr="00FD5341">
        <w:t xml:space="preserve"> </w:t>
      </w:r>
      <w:r w:rsidR="00CF6B41" w:rsidRPr="00FD5341">
        <w:t>A court considering a</w:t>
      </w:r>
      <w:r w:rsidR="001E0990" w:rsidRPr="00FD5341">
        <w:t xml:space="preserve"> Rule</w:t>
      </w:r>
      <w:r w:rsidR="00CF6B41" w:rsidRPr="00FD5341">
        <w:t xml:space="preserve"> 12(b)(6) motion must construe all inferences in the light most favorable to the plaintiff, including accepting as true</w:t>
      </w:r>
      <w:r w:rsidR="001E0990" w:rsidRPr="00FD5341">
        <w:t xml:space="preserve"> </w:t>
      </w:r>
      <w:r w:rsidR="00CF6B41" w:rsidRPr="00FD5341">
        <w:t>all reasonable factual inferences that can be derived from the facts alleged in the complaint.</w:t>
      </w:r>
      <w:r w:rsidR="00CF6B41" w:rsidRPr="00FD5341">
        <w:rPr>
          <w:i/>
        </w:rPr>
        <w:t xml:space="preserve">  Stewart v. Nat’l Educ. Ass’n</w:t>
      </w:r>
      <w:r w:rsidR="00CF6B41" w:rsidRPr="00FD5341">
        <w:t xml:space="preserve">, 471 F.3d 169, 173 (D.C. Cir. 2006); </w:t>
      </w:r>
      <w:r w:rsidR="00CF6B41" w:rsidRPr="00FD5341">
        <w:rPr>
          <w:i/>
        </w:rPr>
        <w:t>In re Navy Chaplaincy</w:t>
      </w:r>
      <w:r w:rsidR="00CF6B41" w:rsidRPr="00FD5341">
        <w:t xml:space="preserve">, 850 F. Supp. 2d 86, 101 (D.D.C. 2012); </w:t>
      </w:r>
      <w:r w:rsidR="00CF6B41" w:rsidRPr="00FD5341">
        <w:rPr>
          <w:i/>
        </w:rPr>
        <w:t>Tressler v. AMTRAK</w:t>
      </w:r>
      <w:r w:rsidR="00CF6B41" w:rsidRPr="00FD5341">
        <w:t>, 819</w:t>
      </w:r>
      <w:r w:rsidR="001E0990" w:rsidRPr="00FD5341">
        <w:t xml:space="preserve"> F. Supp. 2d 1, 4 (D.D.C. 2011).</w:t>
      </w:r>
    </w:p>
    <w:p w:rsidR="0045534F" w:rsidRPr="00FD5341" w:rsidRDefault="00DF1F2E" w:rsidP="00CF45F1">
      <w:pPr>
        <w:ind w:firstLine="720"/>
      </w:pPr>
      <w:r w:rsidRPr="00FD5341">
        <w:t>When viewed in that light, the Hunters’ complaint sufficiently sets forth plausible violation</w:t>
      </w:r>
      <w:r w:rsidR="00D11A56" w:rsidRPr="00FD5341">
        <w:t>s</w:t>
      </w:r>
      <w:r w:rsidRPr="00FD5341">
        <w:t xml:space="preserve"> of title II of the </w:t>
      </w:r>
      <w:r w:rsidR="003A26A6" w:rsidRPr="00FD5341">
        <w:t>ADA</w:t>
      </w:r>
      <w:r w:rsidRPr="00FD5341">
        <w:t xml:space="preserve"> and its implementing regulati</w:t>
      </w:r>
      <w:r w:rsidR="003A26A6" w:rsidRPr="00FD5341">
        <w:t>ons</w:t>
      </w:r>
      <w:r w:rsidR="00D11A56" w:rsidRPr="00FD5341">
        <w:t>, Section 504, and the FHA</w:t>
      </w:r>
      <w:r w:rsidR="003A26A6" w:rsidRPr="00FD5341">
        <w:t>.</w:t>
      </w:r>
      <w:r w:rsidRPr="00FD5341">
        <w:t xml:space="preserve"> </w:t>
      </w:r>
      <w:r w:rsidR="003A26A6" w:rsidRPr="00FD5341">
        <w:t xml:space="preserve"> T</w:t>
      </w:r>
      <w:r w:rsidRPr="00FD5341">
        <w:t>hus, the Court should deny the District’s Motion</w:t>
      </w:r>
      <w:r w:rsidR="00D31CB2">
        <w:t xml:space="preserve"> on the title II, Section 504, and FHA grounds</w:t>
      </w:r>
      <w:r w:rsidRPr="00FD5341">
        <w:t>.</w:t>
      </w:r>
    </w:p>
    <w:p w:rsidR="0048509B" w:rsidRPr="00FD5341" w:rsidRDefault="0048509B" w:rsidP="00CF45F1">
      <w:pPr>
        <w:pStyle w:val="Heading3"/>
      </w:pPr>
      <w:r w:rsidRPr="00FD5341">
        <w:t>Deference is Due to Department of Justice Interpretations of Title II</w:t>
      </w:r>
    </w:p>
    <w:p w:rsidR="00301DEB" w:rsidRDefault="00CD54B2">
      <w:pPr>
        <w:widowControl w:val="0"/>
        <w:ind w:firstLine="720"/>
        <w:rPr>
          <w:szCs w:val="24"/>
        </w:rPr>
      </w:pPr>
      <w:r w:rsidRPr="00FD5341">
        <w:rPr>
          <w:szCs w:val="24"/>
        </w:rPr>
        <w:t xml:space="preserve">Congress explicitly delegated to the Department of Justice the authority to promulgate regulations under </w:t>
      </w:r>
      <w:r w:rsidR="00B345A7">
        <w:rPr>
          <w:szCs w:val="24"/>
        </w:rPr>
        <w:t>t</w:t>
      </w:r>
      <w:r w:rsidRPr="00FD5341">
        <w:rPr>
          <w:szCs w:val="24"/>
        </w:rPr>
        <w:t>itle II.  42 U.S.C. § 12134(a); 28 C.F.R. Part 35.  Accordingly, the Department’s regulations and interpretation thereof are entitled to substantial deference.</w:t>
      </w:r>
      <w:r w:rsidR="0048509B" w:rsidRPr="00FD5341">
        <w:rPr>
          <w:szCs w:val="24"/>
        </w:rPr>
        <w:t xml:space="preserve">  </w:t>
      </w:r>
      <w:r w:rsidR="00074DE3" w:rsidRPr="00FD5341">
        <w:rPr>
          <w:i/>
          <w:szCs w:val="24"/>
        </w:rPr>
        <w:t>See, e.g., City of Arlington v. FCC</w:t>
      </w:r>
      <w:r w:rsidR="00074DE3" w:rsidRPr="00FD5341">
        <w:rPr>
          <w:szCs w:val="24"/>
        </w:rPr>
        <w:t>, 133 S.Ct. 1863, 1868 (2013) (“Statutory ambiguities will be resolved, within the bounds of reasonable interpretation, not by the courts but by the administering agency.”);</w:t>
      </w:r>
      <w:r w:rsidR="00F944AC">
        <w:rPr>
          <w:szCs w:val="24"/>
        </w:rPr>
        <w:t xml:space="preserve"> </w:t>
      </w:r>
      <w:r w:rsidR="00074DE3" w:rsidRPr="00FD5341">
        <w:rPr>
          <w:i/>
          <w:szCs w:val="24"/>
        </w:rPr>
        <w:t>Chevron U.S.A., Inc. v. Natural Res. Def. Council, Inc.</w:t>
      </w:r>
      <w:r w:rsidR="00074DE3" w:rsidRPr="00FD5341">
        <w:rPr>
          <w:szCs w:val="24"/>
        </w:rPr>
        <w:t>, 467 U.S. 837, 844 (1984) (“We have long recognized that considerable weight should be accorded to an executive department’s construction of a statutory scheme it is entrusted to administer, and the principle of deference to administrative interpretations.”)</w:t>
      </w:r>
      <w:r w:rsidR="00F944AC">
        <w:rPr>
          <w:szCs w:val="24"/>
        </w:rPr>
        <w:t xml:space="preserve">; </w:t>
      </w:r>
      <w:r w:rsidR="00F944AC">
        <w:rPr>
          <w:i/>
          <w:szCs w:val="24"/>
        </w:rPr>
        <w:t>see also</w:t>
      </w:r>
      <w:r w:rsidR="00F944AC">
        <w:rPr>
          <w:szCs w:val="24"/>
        </w:rPr>
        <w:t xml:space="preserve"> </w:t>
      </w:r>
      <w:r w:rsidR="00F944AC" w:rsidRPr="00F944AC">
        <w:rPr>
          <w:i/>
          <w:szCs w:val="24"/>
        </w:rPr>
        <w:t>Auer v. Robbins</w:t>
      </w:r>
      <w:r w:rsidR="00F944AC">
        <w:rPr>
          <w:szCs w:val="24"/>
        </w:rPr>
        <w:t>, 519 U.S. 452, 461 (1997)</w:t>
      </w:r>
      <w:r w:rsidR="00F944AC" w:rsidRPr="00F944AC">
        <w:rPr>
          <w:szCs w:val="24"/>
        </w:rPr>
        <w:t xml:space="preserve"> </w:t>
      </w:r>
      <w:r w:rsidR="00F944AC">
        <w:rPr>
          <w:szCs w:val="24"/>
        </w:rPr>
        <w:t>(</w:t>
      </w:r>
      <w:r w:rsidR="00F944AC" w:rsidRPr="00F944AC">
        <w:rPr>
          <w:szCs w:val="24"/>
        </w:rPr>
        <w:t>concluding that an agency's interp</w:t>
      </w:r>
      <w:r w:rsidR="00F944AC">
        <w:rPr>
          <w:szCs w:val="24"/>
        </w:rPr>
        <w:t>retation of its regulations is “</w:t>
      </w:r>
      <w:r w:rsidR="00F944AC" w:rsidRPr="00F944AC">
        <w:rPr>
          <w:szCs w:val="24"/>
        </w:rPr>
        <w:t>controlling unless plainly erroneous or i</w:t>
      </w:r>
      <w:r w:rsidR="00F944AC">
        <w:rPr>
          <w:szCs w:val="24"/>
        </w:rPr>
        <w:t>nconsistent with the regulation”</w:t>
      </w:r>
      <w:r w:rsidR="00F944AC" w:rsidRPr="00F944AC">
        <w:rPr>
          <w:szCs w:val="24"/>
        </w:rPr>
        <w:t xml:space="preserve">) (internal quotation marks omitted).  </w:t>
      </w:r>
    </w:p>
    <w:p w:rsidR="002714EF" w:rsidRPr="00FD5341" w:rsidRDefault="006C42FC" w:rsidP="00CF45F1">
      <w:pPr>
        <w:pStyle w:val="Heading3"/>
      </w:pPr>
      <w:r w:rsidRPr="00FD5341">
        <w:t>Alleged Violations of Title II of the Americans with Disabilities Act</w:t>
      </w:r>
    </w:p>
    <w:p w:rsidR="004E6A2C" w:rsidRPr="00CF45F1" w:rsidRDefault="00150BD9" w:rsidP="00CF45F1">
      <w:pPr>
        <w:pStyle w:val="Heading4"/>
      </w:pPr>
      <w:r w:rsidRPr="00CF45F1">
        <w:t>Th</w:t>
      </w:r>
      <w:r w:rsidR="007763CD" w:rsidRPr="00CF45F1">
        <w:t>e</w:t>
      </w:r>
      <w:r w:rsidRPr="00CF45F1">
        <w:t xml:space="preserve"> District is Liable under Title II of the ADA for the Actions of Private Entiti</w:t>
      </w:r>
      <w:r w:rsidR="004E6A2C" w:rsidRPr="00CF45F1">
        <w:t>es with which it has Contracted</w:t>
      </w:r>
    </w:p>
    <w:p w:rsidR="006475A6" w:rsidRPr="00CF45F1" w:rsidRDefault="006475A6" w:rsidP="00CF45F1">
      <w:pPr>
        <w:pStyle w:val="Heading5"/>
      </w:pPr>
      <w:r w:rsidRPr="00CF45F1">
        <w:t xml:space="preserve">The District has previously </w:t>
      </w:r>
      <w:r w:rsidR="007E5387" w:rsidRPr="00CF45F1">
        <w:t>agreed that it has</w:t>
      </w:r>
      <w:r w:rsidR="00317420" w:rsidRPr="00CF45F1">
        <w:t xml:space="preserve"> responsibility for ensuring that contractors provide services in compliance with title II</w:t>
      </w:r>
      <w:r w:rsidRPr="00CF45F1">
        <w:t>.</w:t>
      </w:r>
    </w:p>
    <w:p w:rsidR="009A70CE" w:rsidRDefault="007763CD" w:rsidP="009A70CE">
      <w:pPr>
        <w:widowControl w:val="0"/>
        <w:ind w:firstLine="720"/>
        <w:rPr>
          <w:szCs w:val="24"/>
        </w:rPr>
      </w:pPr>
      <w:r>
        <w:rPr>
          <w:szCs w:val="24"/>
        </w:rPr>
        <w:t>T</w:t>
      </w:r>
      <w:r w:rsidR="006475A6">
        <w:rPr>
          <w:szCs w:val="24"/>
        </w:rPr>
        <w:t xml:space="preserve">he District entered into a comprehensive </w:t>
      </w:r>
      <w:r>
        <w:rPr>
          <w:szCs w:val="24"/>
        </w:rPr>
        <w:t>S</w:t>
      </w:r>
      <w:r w:rsidR="006475A6">
        <w:rPr>
          <w:szCs w:val="24"/>
        </w:rPr>
        <w:t xml:space="preserve">ettlement </w:t>
      </w:r>
      <w:r>
        <w:rPr>
          <w:szCs w:val="24"/>
        </w:rPr>
        <w:t>A</w:t>
      </w:r>
      <w:r w:rsidR="006475A6">
        <w:rPr>
          <w:szCs w:val="24"/>
        </w:rPr>
        <w:t xml:space="preserve">greement with the </w:t>
      </w:r>
      <w:r w:rsidR="007E5387">
        <w:rPr>
          <w:szCs w:val="24"/>
        </w:rPr>
        <w:t>United States</w:t>
      </w:r>
      <w:r w:rsidR="006475A6">
        <w:rPr>
          <w:szCs w:val="24"/>
        </w:rPr>
        <w:t xml:space="preserve"> in December 2008 </w:t>
      </w:r>
      <w:r w:rsidR="00317420">
        <w:rPr>
          <w:szCs w:val="24"/>
        </w:rPr>
        <w:t>to resolve the Department’s concerns regarding allegations</w:t>
      </w:r>
      <w:r w:rsidR="006475A6">
        <w:rPr>
          <w:szCs w:val="24"/>
        </w:rPr>
        <w:t xml:space="preserve"> of discrimination</w:t>
      </w:r>
      <w:r w:rsidR="00E136D6">
        <w:rPr>
          <w:szCs w:val="24"/>
        </w:rPr>
        <w:t xml:space="preserve"> (similar to th</w:t>
      </w:r>
      <w:r w:rsidR="007053EF">
        <w:rPr>
          <w:szCs w:val="24"/>
        </w:rPr>
        <w:t>ose</w:t>
      </w:r>
      <w:r w:rsidR="00E136D6">
        <w:rPr>
          <w:szCs w:val="24"/>
        </w:rPr>
        <w:t xml:space="preserve"> alleged here)</w:t>
      </w:r>
      <w:r w:rsidR="006475A6">
        <w:rPr>
          <w:szCs w:val="24"/>
        </w:rPr>
        <w:t xml:space="preserve"> in the D.C. homeless shelter program. </w:t>
      </w:r>
      <w:r w:rsidR="00E136D6">
        <w:rPr>
          <w:szCs w:val="24"/>
        </w:rPr>
        <w:t xml:space="preserve"> </w:t>
      </w:r>
      <w:r w:rsidR="00936079">
        <w:rPr>
          <w:i/>
          <w:szCs w:val="24"/>
        </w:rPr>
        <w:t xml:space="preserve">See </w:t>
      </w:r>
      <w:r w:rsidR="00E136D6">
        <w:rPr>
          <w:szCs w:val="24"/>
        </w:rPr>
        <w:t>Settlement Agreement</w:t>
      </w:r>
      <w:r w:rsidR="00CF453C">
        <w:rPr>
          <w:szCs w:val="24"/>
        </w:rPr>
        <w:t xml:space="preserve"> (Attachment # 1)</w:t>
      </w:r>
      <w:r w:rsidR="00E136D6">
        <w:rPr>
          <w:szCs w:val="24"/>
        </w:rPr>
        <w:t xml:space="preserve">.  In this </w:t>
      </w:r>
      <w:r w:rsidR="00317420">
        <w:rPr>
          <w:szCs w:val="24"/>
        </w:rPr>
        <w:t>S</w:t>
      </w:r>
      <w:r w:rsidR="00E136D6">
        <w:rPr>
          <w:szCs w:val="24"/>
        </w:rPr>
        <w:t xml:space="preserve">ettlement </w:t>
      </w:r>
      <w:r w:rsidR="00317420">
        <w:rPr>
          <w:szCs w:val="24"/>
        </w:rPr>
        <w:t>A</w:t>
      </w:r>
      <w:r w:rsidR="00E136D6">
        <w:rPr>
          <w:szCs w:val="24"/>
        </w:rPr>
        <w:t>greement, the District agreed that</w:t>
      </w:r>
      <w:r w:rsidR="006475A6">
        <w:rPr>
          <w:szCs w:val="24"/>
        </w:rPr>
        <w:t xml:space="preserve"> it </w:t>
      </w:r>
      <w:r w:rsidR="00317420">
        <w:rPr>
          <w:szCs w:val="24"/>
        </w:rPr>
        <w:t>would create and implement procedures for ensuring that any contractor of the District providing shelter services would</w:t>
      </w:r>
      <w:r w:rsidR="00E136D6">
        <w:rPr>
          <w:szCs w:val="24"/>
        </w:rPr>
        <w:t xml:space="preserve"> provide those services in compliance with title II of the ADA</w:t>
      </w:r>
      <w:r w:rsidR="006475A6">
        <w:rPr>
          <w:szCs w:val="24"/>
        </w:rPr>
        <w:t>.</w:t>
      </w:r>
      <w:r w:rsidR="00E136D6">
        <w:rPr>
          <w:szCs w:val="24"/>
        </w:rPr>
        <w:t xml:space="preserve">  Settlement Agreement</w:t>
      </w:r>
      <w:r w:rsidR="007053EF">
        <w:rPr>
          <w:szCs w:val="24"/>
        </w:rPr>
        <w:t xml:space="preserve"> </w:t>
      </w:r>
      <w:r w:rsidR="00E136D6">
        <w:rPr>
          <w:szCs w:val="24"/>
        </w:rPr>
        <w:t>¶ 24(a).</w:t>
      </w:r>
    </w:p>
    <w:p w:rsidR="0043785B" w:rsidRDefault="00E136D6" w:rsidP="0043785B">
      <w:pPr>
        <w:widowControl w:val="0"/>
        <w:ind w:firstLine="720"/>
        <w:rPr>
          <w:szCs w:val="24"/>
        </w:rPr>
      </w:pPr>
      <w:r>
        <w:rPr>
          <w:szCs w:val="24"/>
        </w:rPr>
        <w:t xml:space="preserve">The Department is currently reviewing its enforcement options under this </w:t>
      </w:r>
      <w:r w:rsidR="00317420">
        <w:rPr>
          <w:szCs w:val="24"/>
        </w:rPr>
        <w:t>Settlement A</w:t>
      </w:r>
      <w:r>
        <w:rPr>
          <w:szCs w:val="24"/>
        </w:rPr>
        <w:t xml:space="preserve">greement, </w:t>
      </w:r>
      <w:r w:rsidR="00317420">
        <w:rPr>
          <w:szCs w:val="24"/>
        </w:rPr>
        <w:t>separate from</w:t>
      </w:r>
      <w:r>
        <w:rPr>
          <w:szCs w:val="24"/>
        </w:rPr>
        <w:t xml:space="preserve"> this Statement of Interest.</w:t>
      </w:r>
    </w:p>
    <w:p w:rsidR="004E6A2C" w:rsidRPr="00FD5341" w:rsidRDefault="004E6A2C" w:rsidP="00CF45F1">
      <w:pPr>
        <w:pStyle w:val="Heading5"/>
      </w:pPr>
      <w:r w:rsidRPr="00FD5341">
        <w:t xml:space="preserve">The ADA and accompanying Regulations expressly prohibit </w:t>
      </w:r>
      <w:r w:rsidR="00D345E8" w:rsidRPr="00FD5341">
        <w:t>t</w:t>
      </w:r>
      <w:r w:rsidRPr="00FD5341">
        <w:t>itle II entities from escaping liability through contract.</w:t>
      </w:r>
    </w:p>
    <w:p w:rsidR="00F87CE0" w:rsidRPr="00FD5341" w:rsidRDefault="004E6A2C">
      <w:pPr>
        <w:ind w:firstLine="720"/>
        <w:rPr>
          <w:szCs w:val="24"/>
        </w:rPr>
      </w:pPr>
      <w:r w:rsidRPr="00FD5341">
        <w:rPr>
          <w:szCs w:val="24"/>
        </w:rPr>
        <w:t>The District of Columbia is liable for the discriminatory actions of the private entities with which it contracted to provide homeless shelter services</w:t>
      </w:r>
      <w:r w:rsidR="00B22657" w:rsidRPr="00FD5341">
        <w:rPr>
          <w:szCs w:val="24"/>
        </w:rPr>
        <w:t xml:space="preserve">.  </w:t>
      </w:r>
      <w:r w:rsidRPr="00FD5341">
        <w:rPr>
          <w:szCs w:val="24"/>
        </w:rPr>
        <w:t>Title II of the ADA prohibits public entities (</w:t>
      </w:r>
      <w:r w:rsidRPr="00FD5341">
        <w:rPr>
          <w:i/>
          <w:szCs w:val="24"/>
        </w:rPr>
        <w:t>i.e.</w:t>
      </w:r>
      <w:r w:rsidRPr="00FD5341">
        <w:rPr>
          <w:szCs w:val="24"/>
        </w:rPr>
        <w:t xml:space="preserve">, “any State </w:t>
      </w:r>
      <w:r w:rsidR="00C6151E" w:rsidRPr="00FD5341">
        <w:rPr>
          <w:szCs w:val="24"/>
        </w:rPr>
        <w:t xml:space="preserve">[or] </w:t>
      </w:r>
      <w:r w:rsidRPr="00FD5341">
        <w:rPr>
          <w:szCs w:val="24"/>
        </w:rPr>
        <w:t>local government</w:t>
      </w:r>
      <w:r w:rsidR="009944E9" w:rsidRPr="00FD5341">
        <w:rPr>
          <w:szCs w:val="24"/>
        </w:rPr>
        <w:t>,</w:t>
      </w:r>
      <w:r w:rsidRPr="00FD5341">
        <w:rPr>
          <w:szCs w:val="24"/>
        </w:rPr>
        <w:t xml:space="preserve">” or any “instrumentality of a State or . . . local government”) from discriminating against persons with disabilities. </w:t>
      </w:r>
      <w:r w:rsidR="002714EF" w:rsidRPr="00FD5341">
        <w:rPr>
          <w:szCs w:val="24"/>
        </w:rPr>
        <w:t xml:space="preserve"> </w:t>
      </w:r>
      <w:r w:rsidR="003D797C" w:rsidRPr="00FD5341">
        <w:rPr>
          <w:szCs w:val="24"/>
        </w:rPr>
        <w:t>42 U.S.C. §</w:t>
      </w:r>
      <w:r w:rsidRPr="00FD5341">
        <w:rPr>
          <w:szCs w:val="24"/>
        </w:rPr>
        <w:t>§</w:t>
      </w:r>
      <w:r w:rsidR="00D10325" w:rsidRPr="00FD5341">
        <w:rPr>
          <w:szCs w:val="24"/>
        </w:rPr>
        <w:t> </w:t>
      </w:r>
      <w:r w:rsidRPr="00FD5341">
        <w:rPr>
          <w:szCs w:val="24"/>
        </w:rPr>
        <w:t xml:space="preserve">12131(1)(A)-(B), 12132. </w:t>
      </w:r>
      <w:r w:rsidR="002714EF" w:rsidRPr="00FD5341">
        <w:rPr>
          <w:szCs w:val="24"/>
        </w:rPr>
        <w:t xml:space="preserve"> </w:t>
      </w:r>
      <w:r w:rsidR="00DB730F" w:rsidRPr="00FD5341">
        <w:rPr>
          <w:szCs w:val="24"/>
        </w:rPr>
        <w:t xml:space="preserve">The ADA Regulations explicitly state that, “[a] public entity, in providing any . . . service, may not, directly </w:t>
      </w:r>
      <w:r w:rsidR="00DB730F" w:rsidRPr="007E1C88">
        <w:rPr>
          <w:rStyle w:val="Emphasis"/>
        </w:rPr>
        <w:t>or through contractual . . . arrangements</w:t>
      </w:r>
      <w:r w:rsidR="00DB730F" w:rsidRPr="00FD5341">
        <w:rPr>
          <w:szCs w:val="24"/>
        </w:rPr>
        <w:t>, [discriminate] on the basis of disability</w:t>
      </w:r>
      <w:r w:rsidR="00332926">
        <w:rPr>
          <w:szCs w:val="24"/>
        </w:rPr>
        <w:t xml:space="preserve"> . . . .</w:t>
      </w:r>
      <w:r w:rsidR="00DB730F" w:rsidRPr="00FD5341">
        <w:rPr>
          <w:szCs w:val="24"/>
        </w:rPr>
        <w:t xml:space="preserve">”  28 C.F.R. § 35.130(b)(1) (emphasis added).  </w:t>
      </w:r>
      <w:r w:rsidR="0048509B" w:rsidRPr="00FD5341">
        <w:rPr>
          <w:szCs w:val="24"/>
        </w:rPr>
        <w:t>Furthermore,</w:t>
      </w:r>
      <w:r w:rsidR="0032765E" w:rsidRPr="00FD5341">
        <w:rPr>
          <w:szCs w:val="24"/>
        </w:rPr>
        <w:t xml:space="preserve"> Appendi</w:t>
      </w:r>
      <w:r w:rsidR="00332926">
        <w:rPr>
          <w:szCs w:val="24"/>
        </w:rPr>
        <w:t>ces</w:t>
      </w:r>
      <w:r w:rsidR="0032765E" w:rsidRPr="00FD5341">
        <w:rPr>
          <w:szCs w:val="24"/>
        </w:rPr>
        <w:t xml:space="preserve"> A and B which provide guidance on the Regulations (the “Guidance”)</w:t>
      </w:r>
      <w:r w:rsidRPr="00FD5341">
        <w:rPr>
          <w:szCs w:val="24"/>
        </w:rPr>
        <w:t xml:space="preserve"> </w:t>
      </w:r>
      <w:r w:rsidR="007F582F" w:rsidRPr="00FD5341">
        <w:rPr>
          <w:szCs w:val="24"/>
        </w:rPr>
        <w:t>and the</w:t>
      </w:r>
      <w:r w:rsidR="004C2877" w:rsidRPr="00FD5341">
        <w:rPr>
          <w:szCs w:val="24"/>
        </w:rPr>
        <w:t xml:space="preserve"> Department’s Title II Technical Assistance Manual (“TA Manual”)</w:t>
      </w:r>
      <w:r w:rsidR="009944E9" w:rsidRPr="00FD5341">
        <w:rPr>
          <w:szCs w:val="24"/>
        </w:rPr>
        <w:t>,</w:t>
      </w:r>
      <w:r w:rsidR="00C6151E" w:rsidRPr="00FD5341">
        <w:rPr>
          <w:szCs w:val="24"/>
        </w:rPr>
        <w:t xml:space="preserve"> </w:t>
      </w:r>
      <w:r w:rsidRPr="00FD5341">
        <w:rPr>
          <w:szCs w:val="24"/>
        </w:rPr>
        <w:t xml:space="preserve">clearly state that a public entity </w:t>
      </w:r>
      <w:r w:rsidR="00237F8F" w:rsidRPr="00FD5341">
        <w:rPr>
          <w:szCs w:val="24"/>
        </w:rPr>
        <w:t xml:space="preserve">is </w:t>
      </w:r>
      <w:r w:rsidRPr="00FD5341">
        <w:rPr>
          <w:szCs w:val="24"/>
        </w:rPr>
        <w:t xml:space="preserve">obligated to ensure compliance with its </w:t>
      </w:r>
      <w:r w:rsidR="00D345E8" w:rsidRPr="00FD5341">
        <w:rPr>
          <w:szCs w:val="24"/>
        </w:rPr>
        <w:t>t</w:t>
      </w:r>
      <w:r w:rsidRPr="00FD5341">
        <w:rPr>
          <w:szCs w:val="24"/>
        </w:rPr>
        <w:t xml:space="preserve">itle II obligations, even if a private entity provides services on behalf of the state. </w:t>
      </w:r>
      <w:r w:rsidR="002714EF" w:rsidRPr="00FD5341">
        <w:rPr>
          <w:szCs w:val="24"/>
        </w:rPr>
        <w:t xml:space="preserve"> </w:t>
      </w:r>
      <w:r w:rsidRPr="00FD5341">
        <w:rPr>
          <w:i/>
          <w:szCs w:val="24"/>
        </w:rPr>
        <w:t>See Henrietta D. v. Bloomberg</w:t>
      </w:r>
      <w:r w:rsidRPr="00FD5341">
        <w:rPr>
          <w:szCs w:val="24"/>
        </w:rPr>
        <w:t xml:space="preserve">, 331 F.3d 261, 286 (2d Cir. 2003) (explaining the </w:t>
      </w:r>
      <w:r w:rsidR="00D345E8" w:rsidRPr="00FD5341">
        <w:rPr>
          <w:szCs w:val="24"/>
        </w:rPr>
        <w:t>Department</w:t>
      </w:r>
      <w:r w:rsidRPr="00FD5341">
        <w:rPr>
          <w:szCs w:val="24"/>
        </w:rPr>
        <w:t>’s interpretation</w:t>
      </w:r>
      <w:r w:rsidR="007F582F" w:rsidRPr="00FD5341">
        <w:rPr>
          <w:szCs w:val="24"/>
        </w:rPr>
        <w:t xml:space="preserve"> of </w:t>
      </w:r>
      <w:r w:rsidR="009944E9" w:rsidRPr="00FD5341">
        <w:rPr>
          <w:szCs w:val="24"/>
        </w:rPr>
        <w:t>Section 504</w:t>
      </w:r>
      <w:r w:rsidR="00D10325" w:rsidRPr="00FD5341">
        <w:rPr>
          <w:szCs w:val="24"/>
        </w:rPr>
        <w:t xml:space="preserve"> </w:t>
      </w:r>
      <w:r w:rsidRPr="00FD5341">
        <w:rPr>
          <w:szCs w:val="24"/>
        </w:rPr>
        <w:t>that public entities remain liable for the actions of private entities with which they contract);</w:t>
      </w:r>
      <w:r w:rsidRPr="00FD5341">
        <w:rPr>
          <w:i/>
          <w:szCs w:val="24"/>
        </w:rPr>
        <w:t xml:space="preserve"> Kerr v. Heather Gardens Ass’n</w:t>
      </w:r>
      <w:r w:rsidRPr="00FD5341">
        <w:rPr>
          <w:szCs w:val="24"/>
        </w:rPr>
        <w:t xml:space="preserve">, </w:t>
      </w:r>
      <w:r w:rsidR="006E3F48" w:rsidRPr="00FD5341">
        <w:rPr>
          <w:szCs w:val="24"/>
        </w:rPr>
        <w:t>Civ. A. No. 09-cv-00409-MSK-MJW</w:t>
      </w:r>
      <w:r w:rsidR="00BA28EC" w:rsidRPr="00FD5341">
        <w:rPr>
          <w:szCs w:val="24"/>
        </w:rPr>
        <w:t xml:space="preserve">, </w:t>
      </w:r>
      <w:r w:rsidRPr="00FD5341">
        <w:rPr>
          <w:szCs w:val="24"/>
        </w:rPr>
        <w:t xml:space="preserve">2010 WL 3791484, </w:t>
      </w:r>
      <w:r w:rsidR="00B928FC" w:rsidRPr="00FD5341">
        <w:rPr>
          <w:szCs w:val="24"/>
        </w:rPr>
        <w:t xml:space="preserve">at </w:t>
      </w:r>
      <w:r w:rsidRPr="00FD5341">
        <w:rPr>
          <w:szCs w:val="24"/>
        </w:rPr>
        <w:t>*9 (D. Colo.</w:t>
      </w:r>
      <w:r w:rsidR="00BA28EC" w:rsidRPr="00FD5341">
        <w:rPr>
          <w:szCs w:val="24"/>
        </w:rPr>
        <w:t xml:space="preserve"> </w:t>
      </w:r>
      <w:r w:rsidR="00BA28EC" w:rsidRPr="00FD5341">
        <w:rPr>
          <w:rFonts w:eastAsia="Times New Roman"/>
          <w:szCs w:val="24"/>
        </w:rPr>
        <w:t>Sept. 22, 2010</w:t>
      </w:r>
      <w:r w:rsidRPr="00FD5341">
        <w:rPr>
          <w:szCs w:val="24"/>
        </w:rPr>
        <w:t>) (“Both the Regulations and the</w:t>
      </w:r>
      <w:r w:rsidR="004C2877" w:rsidRPr="00FD5341">
        <w:rPr>
          <w:szCs w:val="24"/>
        </w:rPr>
        <w:t xml:space="preserve"> [TA]</w:t>
      </w:r>
      <w:r w:rsidRPr="00FD5341">
        <w:rPr>
          <w:szCs w:val="24"/>
        </w:rPr>
        <w:t xml:space="preserve"> Manual suggest that even if a public entity allows others to provide services, programs and activities, the public entity remains obligated to ensure compliance with Title II.”);</w:t>
      </w:r>
      <w:r w:rsidR="00DA4F90" w:rsidRPr="00FD5341">
        <w:rPr>
          <w:szCs w:val="24"/>
        </w:rPr>
        <w:t xml:space="preserve"> Appendix A to Part 35—Guidance to Revisions to ADA Regulation on Nondiscrimination on the Basis of Disability in State and Local Government Services,</w:t>
      </w:r>
      <w:r w:rsidRPr="00FD5341">
        <w:rPr>
          <w:szCs w:val="24"/>
        </w:rPr>
        <w:t xml:space="preserve"> 28 C.F.R. </w:t>
      </w:r>
      <w:r w:rsidR="00323421" w:rsidRPr="00FD5341">
        <w:rPr>
          <w:szCs w:val="24"/>
        </w:rPr>
        <w:t>P</w:t>
      </w:r>
      <w:r w:rsidRPr="00FD5341">
        <w:rPr>
          <w:szCs w:val="24"/>
        </w:rPr>
        <w:t>t</w:t>
      </w:r>
      <w:r w:rsidR="00323421" w:rsidRPr="00FD5341">
        <w:rPr>
          <w:szCs w:val="24"/>
        </w:rPr>
        <w:t>.</w:t>
      </w:r>
      <w:r w:rsidRPr="00FD5341">
        <w:rPr>
          <w:szCs w:val="24"/>
        </w:rPr>
        <w:t xml:space="preserve"> 35</w:t>
      </w:r>
      <w:r w:rsidR="00323421" w:rsidRPr="00FD5341">
        <w:rPr>
          <w:szCs w:val="24"/>
        </w:rPr>
        <w:t>, App. A, at 634 (2012)</w:t>
      </w:r>
      <w:r w:rsidR="00DA4F90" w:rsidRPr="00FD5341">
        <w:rPr>
          <w:szCs w:val="24"/>
        </w:rPr>
        <w:t xml:space="preserve"> (“[A]ll governmental activities of public entities are covered, even if they are carried out by contractors.”</w:t>
      </w:r>
      <w:r w:rsidR="009944E9" w:rsidRPr="00FD5341">
        <w:rPr>
          <w:szCs w:val="24"/>
        </w:rPr>
        <w:t>)</w:t>
      </w:r>
      <w:r w:rsidR="00DA4F90" w:rsidRPr="00FD5341">
        <w:rPr>
          <w:szCs w:val="24"/>
        </w:rPr>
        <w:t xml:space="preserve"> (internal quotation</w:t>
      </w:r>
      <w:r w:rsidR="00E40725" w:rsidRPr="00FD5341">
        <w:rPr>
          <w:szCs w:val="24"/>
        </w:rPr>
        <w:t xml:space="preserve"> marks</w:t>
      </w:r>
      <w:r w:rsidR="00DA4F90" w:rsidRPr="00FD5341">
        <w:rPr>
          <w:szCs w:val="24"/>
        </w:rPr>
        <w:t xml:space="preserve"> omitted); Appendix B to Part 35—Guidance on ADA Regulation on Nondiscrimination on the Basis of Disability in State and Local Government Services Originally Published July 26, 1991, </w:t>
      </w:r>
      <w:r w:rsidR="00F844D5" w:rsidRPr="00FD5341">
        <w:rPr>
          <w:szCs w:val="24"/>
        </w:rPr>
        <w:t>28 C.F.R. Pt. 35, App. B, at 661 (2012)</w:t>
      </w:r>
      <w:r w:rsidRPr="00FD5341">
        <w:rPr>
          <w:szCs w:val="24"/>
        </w:rPr>
        <w:t xml:space="preserve"> (“All governmental activities of public entities are covered, even if they ar</w:t>
      </w:r>
      <w:r w:rsidR="00323421" w:rsidRPr="00FD5341">
        <w:rPr>
          <w:szCs w:val="24"/>
        </w:rPr>
        <w:t>e carried out by contractors.”)</w:t>
      </w:r>
      <w:r w:rsidR="004C2877" w:rsidRPr="00FD5341">
        <w:rPr>
          <w:szCs w:val="24"/>
        </w:rPr>
        <w:t>; TA Manual, 42 U.S.C. § 12206(c)(3), Part II—1.3000</w:t>
      </w:r>
      <w:r w:rsidR="009944E9" w:rsidRPr="00FD5341">
        <w:rPr>
          <w:szCs w:val="24"/>
        </w:rPr>
        <w:t xml:space="preserve"> (explaining that private entities may be subject to title II if they, “have a close relationship,” with a public entity)</w:t>
      </w:r>
      <w:r w:rsidR="00323421" w:rsidRPr="00FD5341">
        <w:rPr>
          <w:szCs w:val="24"/>
        </w:rPr>
        <w:t>.</w:t>
      </w:r>
    </w:p>
    <w:p w:rsidR="007053EF" w:rsidRDefault="004E6A2C">
      <w:pPr>
        <w:rPr>
          <w:szCs w:val="24"/>
        </w:rPr>
      </w:pPr>
      <w:r w:rsidRPr="00FD5341">
        <w:rPr>
          <w:szCs w:val="24"/>
        </w:rPr>
        <w:tab/>
      </w:r>
      <w:r w:rsidR="009D1883" w:rsidRPr="00FD5341">
        <w:rPr>
          <w:szCs w:val="24"/>
        </w:rPr>
        <w:t xml:space="preserve"> For example, </w:t>
      </w:r>
      <w:r w:rsidR="00237F8F" w:rsidRPr="00FD5341">
        <w:rPr>
          <w:szCs w:val="24"/>
        </w:rPr>
        <w:t>a TA Manual</w:t>
      </w:r>
      <w:r w:rsidRPr="00FD5341">
        <w:rPr>
          <w:szCs w:val="24"/>
        </w:rPr>
        <w:t xml:space="preserve"> illustration explains that when a private corporation operates group homes for individuals with mental disabilities under contract with a State agency, the State must ensure that its contracts are carried </w:t>
      </w:r>
      <w:r w:rsidR="009D1883" w:rsidRPr="00FD5341">
        <w:rPr>
          <w:szCs w:val="24"/>
        </w:rPr>
        <w:t xml:space="preserve">out in accordance with </w:t>
      </w:r>
      <w:r w:rsidR="00D345E8" w:rsidRPr="00FD5341">
        <w:rPr>
          <w:szCs w:val="24"/>
        </w:rPr>
        <w:t>t</w:t>
      </w:r>
      <w:r w:rsidR="009D1883" w:rsidRPr="00FD5341">
        <w:rPr>
          <w:szCs w:val="24"/>
        </w:rPr>
        <w:t xml:space="preserve">itle II. </w:t>
      </w:r>
      <w:r w:rsidRPr="00FD5341">
        <w:rPr>
          <w:szCs w:val="24"/>
        </w:rPr>
        <w:t xml:space="preserve"> </w:t>
      </w:r>
      <w:r w:rsidRPr="00FD5341">
        <w:rPr>
          <w:i/>
          <w:szCs w:val="24"/>
        </w:rPr>
        <w:t>Id.</w:t>
      </w:r>
      <w:r w:rsidR="006D4D8A" w:rsidRPr="00FD5341">
        <w:rPr>
          <w:szCs w:val="24"/>
        </w:rPr>
        <w:t xml:space="preserve"> </w:t>
      </w:r>
      <w:r w:rsidR="00CF453C">
        <w:rPr>
          <w:szCs w:val="24"/>
        </w:rPr>
        <w:t>a</w:t>
      </w:r>
      <w:r w:rsidR="006D4D8A" w:rsidRPr="00FD5341">
        <w:rPr>
          <w:szCs w:val="24"/>
        </w:rPr>
        <w:t xml:space="preserve">t Illustration Four.  Another illustration </w:t>
      </w:r>
      <w:r w:rsidR="00237F8F" w:rsidRPr="00FD5341">
        <w:rPr>
          <w:szCs w:val="24"/>
        </w:rPr>
        <w:t>explains</w:t>
      </w:r>
      <w:r w:rsidRPr="00FD5341">
        <w:rPr>
          <w:szCs w:val="24"/>
        </w:rPr>
        <w:t xml:space="preserve"> that the State is</w:t>
      </w:r>
      <w:r w:rsidR="009944E9" w:rsidRPr="00FD5341">
        <w:rPr>
          <w:szCs w:val="24"/>
        </w:rPr>
        <w:t>,</w:t>
      </w:r>
      <w:r w:rsidRPr="00FD5341">
        <w:rPr>
          <w:szCs w:val="24"/>
        </w:rPr>
        <w:t xml:space="preserve"> “obligated to ensure by contract</w:t>
      </w:r>
      <w:r w:rsidR="009944E9" w:rsidRPr="00FD5341">
        <w:rPr>
          <w:szCs w:val="24"/>
        </w:rPr>
        <w:t>,</w:t>
      </w:r>
      <w:r w:rsidRPr="00FD5341">
        <w:rPr>
          <w:szCs w:val="24"/>
        </w:rPr>
        <w:t xml:space="preserve">” that a privately owned restaurant operating in a State park meets the State’s </w:t>
      </w:r>
      <w:r w:rsidR="00D345E8" w:rsidRPr="00FD5341">
        <w:rPr>
          <w:szCs w:val="24"/>
        </w:rPr>
        <w:t>t</w:t>
      </w:r>
      <w:r w:rsidRPr="00FD5341">
        <w:rPr>
          <w:szCs w:val="24"/>
        </w:rPr>
        <w:t>itle II obligations, “even though the restaurant is not</w:t>
      </w:r>
      <w:r w:rsidR="006D4D8A" w:rsidRPr="00FD5341">
        <w:rPr>
          <w:szCs w:val="24"/>
        </w:rPr>
        <w:t xml:space="preserve"> directly subject to title II.”  </w:t>
      </w:r>
      <w:r w:rsidR="006D4D8A" w:rsidRPr="00FD5341">
        <w:rPr>
          <w:i/>
          <w:szCs w:val="24"/>
        </w:rPr>
        <w:t>See id.</w:t>
      </w:r>
      <w:r w:rsidR="006D4D8A" w:rsidRPr="00FD5341">
        <w:rPr>
          <w:szCs w:val="24"/>
        </w:rPr>
        <w:t xml:space="preserve"> </w:t>
      </w:r>
      <w:r w:rsidR="00CF453C">
        <w:rPr>
          <w:szCs w:val="24"/>
        </w:rPr>
        <w:t>a</w:t>
      </w:r>
      <w:r w:rsidR="006D4D8A" w:rsidRPr="00FD5341">
        <w:rPr>
          <w:szCs w:val="24"/>
        </w:rPr>
        <w:t>t Illustration One</w:t>
      </w:r>
      <w:r w:rsidRPr="00FD5341">
        <w:rPr>
          <w:szCs w:val="24"/>
        </w:rPr>
        <w:t>.</w:t>
      </w:r>
    </w:p>
    <w:p w:rsidR="0043785B" w:rsidRDefault="004E6A2C" w:rsidP="0043785B">
      <w:pPr>
        <w:ind w:firstLine="720"/>
        <w:rPr>
          <w:szCs w:val="24"/>
        </w:rPr>
      </w:pPr>
      <w:r w:rsidRPr="00FD5341">
        <w:rPr>
          <w:szCs w:val="24"/>
        </w:rPr>
        <w:t xml:space="preserve">In sum, the Department of Justice interprets the ADA </w:t>
      </w:r>
      <w:r w:rsidR="00237F8F" w:rsidRPr="00FD5341">
        <w:rPr>
          <w:szCs w:val="24"/>
        </w:rPr>
        <w:t xml:space="preserve">and its Regulations </w:t>
      </w:r>
      <w:r w:rsidRPr="00FD5341">
        <w:rPr>
          <w:szCs w:val="24"/>
        </w:rPr>
        <w:t xml:space="preserve">to prohibit </w:t>
      </w:r>
      <w:r w:rsidR="00D345E8" w:rsidRPr="00FD5341">
        <w:rPr>
          <w:szCs w:val="24"/>
        </w:rPr>
        <w:t>t</w:t>
      </w:r>
      <w:r w:rsidRPr="00FD5341">
        <w:rPr>
          <w:szCs w:val="24"/>
        </w:rPr>
        <w:t>itle II entities</w:t>
      </w:r>
      <w:r w:rsidR="00237F8F" w:rsidRPr="00FD5341">
        <w:rPr>
          <w:szCs w:val="24"/>
        </w:rPr>
        <w:t>, such as the District of Columbia</w:t>
      </w:r>
      <w:r w:rsidR="009A197C" w:rsidRPr="00FD5341">
        <w:rPr>
          <w:szCs w:val="24"/>
        </w:rPr>
        <w:t>,</w:t>
      </w:r>
      <w:r w:rsidRPr="00FD5341">
        <w:rPr>
          <w:szCs w:val="24"/>
        </w:rPr>
        <w:t xml:space="preserve"> from escaping</w:t>
      </w:r>
      <w:r w:rsidR="009A197C" w:rsidRPr="00FD5341">
        <w:rPr>
          <w:szCs w:val="24"/>
        </w:rPr>
        <w:t xml:space="preserve"> </w:t>
      </w:r>
      <w:r w:rsidRPr="00FD5341">
        <w:rPr>
          <w:szCs w:val="24"/>
        </w:rPr>
        <w:t xml:space="preserve">liability </w:t>
      </w:r>
      <w:r w:rsidR="009A197C" w:rsidRPr="00FD5341">
        <w:rPr>
          <w:szCs w:val="24"/>
        </w:rPr>
        <w:t>for discrimination in services</w:t>
      </w:r>
      <w:r w:rsidR="00E40725" w:rsidRPr="00FD5341">
        <w:rPr>
          <w:szCs w:val="24"/>
        </w:rPr>
        <w:t xml:space="preserve"> for which</w:t>
      </w:r>
      <w:r w:rsidR="009A197C" w:rsidRPr="00FD5341">
        <w:rPr>
          <w:szCs w:val="24"/>
        </w:rPr>
        <w:t xml:space="preserve"> it is responsible </w:t>
      </w:r>
      <w:r w:rsidRPr="00FD5341">
        <w:rPr>
          <w:szCs w:val="24"/>
        </w:rPr>
        <w:t xml:space="preserve">by contracting </w:t>
      </w:r>
      <w:r w:rsidR="0048509B" w:rsidRPr="00FD5341">
        <w:rPr>
          <w:szCs w:val="24"/>
        </w:rPr>
        <w:t>away</w:t>
      </w:r>
      <w:r w:rsidRPr="00FD5341">
        <w:rPr>
          <w:szCs w:val="24"/>
        </w:rPr>
        <w:t xml:space="preserve"> the provision of </w:t>
      </w:r>
      <w:r w:rsidR="009A197C" w:rsidRPr="00FD5341">
        <w:rPr>
          <w:szCs w:val="24"/>
        </w:rPr>
        <w:t xml:space="preserve">those </w:t>
      </w:r>
      <w:r w:rsidRPr="00FD5341">
        <w:rPr>
          <w:szCs w:val="24"/>
        </w:rPr>
        <w:t>services.</w:t>
      </w:r>
    </w:p>
    <w:p w:rsidR="004E6A2C" w:rsidRPr="00FD5341" w:rsidRDefault="004E6A2C" w:rsidP="00CF45F1">
      <w:pPr>
        <w:pStyle w:val="Heading5"/>
        <w:rPr>
          <w:b/>
        </w:rPr>
      </w:pPr>
      <w:r w:rsidRPr="00FD5341">
        <w:t xml:space="preserve">Case law </w:t>
      </w:r>
      <w:r w:rsidR="0048509B" w:rsidRPr="00FD5341">
        <w:t xml:space="preserve">supports a finding </w:t>
      </w:r>
      <w:r w:rsidRPr="00FD5341">
        <w:t xml:space="preserve">that the District is liable for the </w:t>
      </w:r>
      <w:r w:rsidR="00374302">
        <w:t xml:space="preserve">discriminatory </w:t>
      </w:r>
      <w:r w:rsidRPr="00FD5341">
        <w:t>actions of its contractors.</w:t>
      </w:r>
    </w:p>
    <w:p w:rsidR="004E6A2C" w:rsidRPr="00FD5341" w:rsidRDefault="004E6A2C" w:rsidP="004E6A2C">
      <w:pPr>
        <w:ind w:firstLine="720"/>
        <w:rPr>
          <w:szCs w:val="24"/>
        </w:rPr>
      </w:pPr>
      <w:r w:rsidRPr="00FD5341">
        <w:rPr>
          <w:szCs w:val="24"/>
        </w:rPr>
        <w:t>In addition to the clear statements in the Regulations,</w:t>
      </w:r>
      <w:r w:rsidR="0032765E" w:rsidRPr="00FD5341">
        <w:rPr>
          <w:szCs w:val="24"/>
        </w:rPr>
        <w:t xml:space="preserve"> the Guidance, and the TA Manual,</w:t>
      </w:r>
      <w:r w:rsidRPr="00FD5341">
        <w:rPr>
          <w:szCs w:val="24"/>
        </w:rPr>
        <w:t xml:space="preserve"> several courts have confirmed that a </w:t>
      </w:r>
      <w:r w:rsidR="00D345E8" w:rsidRPr="00FD5341">
        <w:rPr>
          <w:szCs w:val="24"/>
        </w:rPr>
        <w:t>t</w:t>
      </w:r>
      <w:r w:rsidRPr="00FD5341">
        <w:rPr>
          <w:szCs w:val="24"/>
        </w:rPr>
        <w:t>itle II entity is liable for the unlawful actions of private entities with which it has contracted.</w:t>
      </w:r>
    </w:p>
    <w:p w:rsidR="004E6A2C" w:rsidRPr="00FD5341" w:rsidRDefault="004E6A2C" w:rsidP="004E6A2C">
      <w:pPr>
        <w:ind w:firstLine="720"/>
        <w:rPr>
          <w:szCs w:val="24"/>
        </w:rPr>
      </w:pPr>
      <w:r w:rsidRPr="00FD5341">
        <w:rPr>
          <w:szCs w:val="24"/>
        </w:rPr>
        <w:t xml:space="preserve">In </w:t>
      </w:r>
      <w:r w:rsidRPr="00FD5341">
        <w:rPr>
          <w:i/>
          <w:szCs w:val="24"/>
        </w:rPr>
        <w:t>Armstrong</w:t>
      </w:r>
      <w:r w:rsidR="0076639C">
        <w:rPr>
          <w:i/>
          <w:szCs w:val="24"/>
        </w:rPr>
        <w:t xml:space="preserve"> v. Schwarzenegger</w:t>
      </w:r>
      <w:r w:rsidRPr="00FD5341">
        <w:rPr>
          <w:szCs w:val="24"/>
        </w:rPr>
        <w:t>, state prison inmates with disabilities were denied accommodations under the ADA and sued the State.</w:t>
      </w:r>
      <w:r w:rsidR="002714EF" w:rsidRPr="00FD5341">
        <w:rPr>
          <w:szCs w:val="24"/>
        </w:rPr>
        <w:t xml:space="preserve"> </w:t>
      </w:r>
      <w:r w:rsidRPr="00FD5341">
        <w:rPr>
          <w:szCs w:val="24"/>
        </w:rPr>
        <w:t xml:space="preserve"> 622 F.3d</w:t>
      </w:r>
      <w:r w:rsidR="0076639C">
        <w:rPr>
          <w:szCs w:val="24"/>
        </w:rPr>
        <w:t xml:space="preserve"> 1058,</w:t>
      </w:r>
      <w:r w:rsidRPr="00FD5341">
        <w:rPr>
          <w:szCs w:val="24"/>
        </w:rPr>
        <w:t xml:space="preserve"> 1062</w:t>
      </w:r>
      <w:r w:rsidR="0076639C">
        <w:rPr>
          <w:szCs w:val="24"/>
        </w:rPr>
        <w:t xml:space="preserve"> (9th Cir. 2010)</w:t>
      </w:r>
      <w:r w:rsidRPr="00FD5341">
        <w:rPr>
          <w:szCs w:val="24"/>
        </w:rPr>
        <w:t xml:space="preserve">. </w:t>
      </w:r>
      <w:r w:rsidR="002714EF" w:rsidRPr="00FD5341">
        <w:rPr>
          <w:szCs w:val="24"/>
        </w:rPr>
        <w:t xml:space="preserve"> </w:t>
      </w:r>
      <w:r w:rsidRPr="00FD5341">
        <w:rPr>
          <w:szCs w:val="24"/>
        </w:rPr>
        <w:t xml:space="preserve">The State </w:t>
      </w:r>
      <w:r w:rsidR="00637C7B" w:rsidRPr="00FD5341">
        <w:rPr>
          <w:szCs w:val="24"/>
        </w:rPr>
        <w:t xml:space="preserve">unsuccessfully </w:t>
      </w:r>
      <w:r w:rsidRPr="00FD5341">
        <w:rPr>
          <w:szCs w:val="24"/>
        </w:rPr>
        <w:t xml:space="preserve">argued that the </w:t>
      </w:r>
      <w:r w:rsidR="00637C7B" w:rsidRPr="00FD5341">
        <w:rPr>
          <w:szCs w:val="24"/>
        </w:rPr>
        <w:t xml:space="preserve">Regulations </w:t>
      </w:r>
      <w:r w:rsidRPr="00FD5341">
        <w:rPr>
          <w:szCs w:val="24"/>
        </w:rPr>
        <w:t>were unreasonable and</w:t>
      </w:r>
      <w:r w:rsidR="00E40725" w:rsidRPr="00FD5341">
        <w:rPr>
          <w:szCs w:val="24"/>
        </w:rPr>
        <w:t>,</w:t>
      </w:r>
      <w:r w:rsidRPr="00FD5341">
        <w:rPr>
          <w:szCs w:val="24"/>
        </w:rPr>
        <w:t xml:space="preserve"> </w:t>
      </w:r>
      <w:r w:rsidR="00E40725" w:rsidRPr="00FD5341">
        <w:rPr>
          <w:szCs w:val="24"/>
        </w:rPr>
        <w:t xml:space="preserve">since it had contracted away all incarceration services to the prison, </w:t>
      </w:r>
      <w:r w:rsidRPr="00FD5341">
        <w:rPr>
          <w:szCs w:val="24"/>
        </w:rPr>
        <w:t xml:space="preserve">that it should have no responsibility to ensure that prisoners with disabilities receive accommodations. </w:t>
      </w:r>
      <w:r w:rsidR="002714EF" w:rsidRPr="00FD5341">
        <w:rPr>
          <w:szCs w:val="24"/>
        </w:rPr>
        <w:t xml:space="preserve"> </w:t>
      </w:r>
      <w:r w:rsidRPr="00FD5341">
        <w:rPr>
          <w:i/>
          <w:szCs w:val="24"/>
        </w:rPr>
        <w:t>See id.</w:t>
      </w:r>
      <w:r w:rsidR="007053EF">
        <w:rPr>
          <w:szCs w:val="24"/>
        </w:rPr>
        <w:t xml:space="preserve"> (“That argument, and defendants’ other arguments contesting their obligations to their prisoners and parolees housed in county jails, are without merit.”)</w:t>
      </w:r>
      <w:r w:rsidR="00936079">
        <w:rPr>
          <w:szCs w:val="24"/>
        </w:rPr>
        <w:t>.</w:t>
      </w:r>
      <w:r w:rsidRPr="00FD5341">
        <w:rPr>
          <w:szCs w:val="24"/>
        </w:rPr>
        <w:t xml:space="preserve"> </w:t>
      </w:r>
      <w:r w:rsidR="002714EF" w:rsidRPr="00FD5341">
        <w:rPr>
          <w:szCs w:val="24"/>
        </w:rPr>
        <w:t xml:space="preserve"> </w:t>
      </w:r>
      <w:r w:rsidR="00637C7B" w:rsidRPr="00FD5341">
        <w:rPr>
          <w:szCs w:val="24"/>
        </w:rPr>
        <w:t>T</w:t>
      </w:r>
      <w:r w:rsidRPr="00FD5341">
        <w:rPr>
          <w:szCs w:val="24"/>
        </w:rPr>
        <w:t>he Ninth Circuit ruled that the Regulations “reflect the fairest reading of the statute</w:t>
      </w:r>
      <w:r w:rsidR="009944E9" w:rsidRPr="00FD5341">
        <w:rPr>
          <w:szCs w:val="24"/>
        </w:rPr>
        <w:t>,</w:t>
      </w:r>
      <w:r w:rsidRPr="00FD5341">
        <w:rPr>
          <w:szCs w:val="24"/>
        </w:rPr>
        <w:t xml:space="preserve">” and </w:t>
      </w:r>
      <w:r w:rsidR="009944E9" w:rsidRPr="00FD5341">
        <w:rPr>
          <w:szCs w:val="24"/>
        </w:rPr>
        <w:t xml:space="preserve">that they </w:t>
      </w:r>
      <w:r w:rsidRPr="00FD5341">
        <w:rPr>
          <w:szCs w:val="24"/>
        </w:rPr>
        <w:t xml:space="preserve">explicitly prohibit public entities from avoiding </w:t>
      </w:r>
      <w:r w:rsidR="00D345E8" w:rsidRPr="00FD5341">
        <w:rPr>
          <w:szCs w:val="24"/>
        </w:rPr>
        <w:t>t</w:t>
      </w:r>
      <w:r w:rsidRPr="00FD5341">
        <w:rPr>
          <w:szCs w:val="24"/>
        </w:rPr>
        <w:t>itle II obligations through contractual relationships.</w:t>
      </w:r>
      <w:r w:rsidR="002714EF" w:rsidRPr="00FD5341">
        <w:rPr>
          <w:szCs w:val="24"/>
        </w:rPr>
        <w:t xml:space="preserve"> </w:t>
      </w:r>
      <w:r w:rsidRPr="00FD5341">
        <w:rPr>
          <w:szCs w:val="24"/>
        </w:rPr>
        <w:t xml:space="preserve"> </w:t>
      </w:r>
      <w:r w:rsidRPr="00FD5341">
        <w:rPr>
          <w:i/>
          <w:szCs w:val="24"/>
        </w:rPr>
        <w:t>Id.</w:t>
      </w:r>
      <w:r w:rsidRPr="00FD5341">
        <w:rPr>
          <w:szCs w:val="24"/>
        </w:rPr>
        <w:t xml:space="preserve"> at 106</w:t>
      </w:r>
      <w:r w:rsidR="007904AD" w:rsidRPr="00FD5341">
        <w:rPr>
          <w:szCs w:val="24"/>
        </w:rPr>
        <w:t>2</w:t>
      </w:r>
      <w:r w:rsidRPr="00FD5341">
        <w:rPr>
          <w:szCs w:val="24"/>
        </w:rPr>
        <w:t>, 1067.</w:t>
      </w:r>
    </w:p>
    <w:p w:rsidR="004E6A2C" w:rsidRPr="00FD5341" w:rsidRDefault="00637C7B" w:rsidP="004E6A2C">
      <w:pPr>
        <w:ind w:firstLine="720"/>
        <w:rPr>
          <w:szCs w:val="24"/>
        </w:rPr>
      </w:pPr>
      <w:r w:rsidRPr="00FD5341">
        <w:rPr>
          <w:szCs w:val="24"/>
        </w:rPr>
        <w:t xml:space="preserve">Additionally, several </w:t>
      </w:r>
      <w:r w:rsidR="004E6A2C" w:rsidRPr="00FD5341">
        <w:rPr>
          <w:szCs w:val="24"/>
        </w:rPr>
        <w:t xml:space="preserve">cases clarify that public entities are required to ensure that their contractors comply with </w:t>
      </w:r>
      <w:r w:rsidR="00D345E8" w:rsidRPr="00FD5341">
        <w:rPr>
          <w:szCs w:val="24"/>
        </w:rPr>
        <w:t>t</w:t>
      </w:r>
      <w:r w:rsidR="004E6A2C" w:rsidRPr="00FD5341">
        <w:rPr>
          <w:szCs w:val="24"/>
        </w:rPr>
        <w:t>itle II</w:t>
      </w:r>
      <w:r w:rsidRPr="00FD5341">
        <w:rPr>
          <w:szCs w:val="24"/>
        </w:rPr>
        <w:t xml:space="preserve"> requirements</w:t>
      </w:r>
      <w:r w:rsidR="004E6A2C" w:rsidRPr="00FD5341">
        <w:rPr>
          <w:szCs w:val="24"/>
        </w:rPr>
        <w:t>.</w:t>
      </w:r>
      <w:r w:rsidR="00D067A8" w:rsidRPr="00FD5341">
        <w:rPr>
          <w:szCs w:val="24"/>
        </w:rPr>
        <w:t xml:space="preserve"> </w:t>
      </w:r>
      <w:r w:rsidR="004E6A2C" w:rsidRPr="00FD5341">
        <w:rPr>
          <w:szCs w:val="24"/>
        </w:rPr>
        <w:t xml:space="preserve"> In </w:t>
      </w:r>
      <w:r w:rsidR="004E6A2C" w:rsidRPr="00FD5341">
        <w:rPr>
          <w:i/>
          <w:szCs w:val="24"/>
        </w:rPr>
        <w:t>Henrietta D.</w:t>
      </w:r>
      <w:r w:rsidR="004E6A2C" w:rsidRPr="00FD5341">
        <w:rPr>
          <w:szCs w:val="24"/>
        </w:rPr>
        <w:t>, the Second Circuit points out that the basic common law of contracts support</w:t>
      </w:r>
      <w:r w:rsidR="00C17B69">
        <w:rPr>
          <w:szCs w:val="24"/>
        </w:rPr>
        <w:t>s</w:t>
      </w:r>
      <w:r w:rsidR="004E6A2C" w:rsidRPr="00FD5341">
        <w:rPr>
          <w:szCs w:val="24"/>
        </w:rPr>
        <w:t xml:space="preserve"> this view. </w:t>
      </w:r>
      <w:r w:rsidR="009F57CD" w:rsidRPr="00FD5341">
        <w:rPr>
          <w:szCs w:val="24"/>
        </w:rPr>
        <w:t xml:space="preserve"> </w:t>
      </w:r>
      <w:r w:rsidR="004E6A2C" w:rsidRPr="00FD5341">
        <w:rPr>
          <w:szCs w:val="24"/>
        </w:rPr>
        <w:t xml:space="preserve">331 F.3d at 286. </w:t>
      </w:r>
      <w:r w:rsidR="009F57CD" w:rsidRPr="00FD5341">
        <w:rPr>
          <w:szCs w:val="24"/>
        </w:rPr>
        <w:t xml:space="preserve"> </w:t>
      </w:r>
      <w:r w:rsidR="004E6A2C" w:rsidRPr="00FD5341">
        <w:rPr>
          <w:szCs w:val="24"/>
        </w:rPr>
        <w:t xml:space="preserve">The court quotes </w:t>
      </w:r>
      <w:r w:rsidR="004E6A2C" w:rsidRPr="00FD5341">
        <w:rPr>
          <w:szCs w:val="24"/>
          <w:u w:val="single"/>
        </w:rPr>
        <w:t>Farnsworth on Contracts</w:t>
      </w:r>
      <w:r w:rsidR="004E6A2C" w:rsidRPr="00FD5341">
        <w:rPr>
          <w:szCs w:val="24"/>
        </w:rPr>
        <w:t>: “An ‘obligor . . . cannot rid itself of a duty merely by making an effective delegation.”</w:t>
      </w:r>
      <w:r w:rsidR="009F57CD" w:rsidRPr="00FD5341">
        <w:rPr>
          <w:szCs w:val="24"/>
        </w:rPr>
        <w:t xml:space="preserve"> </w:t>
      </w:r>
      <w:r w:rsidR="004E6A2C" w:rsidRPr="00FD5341">
        <w:rPr>
          <w:szCs w:val="24"/>
        </w:rPr>
        <w:t xml:space="preserve"> </w:t>
      </w:r>
      <w:r w:rsidR="004E6A2C" w:rsidRPr="00FD5341">
        <w:rPr>
          <w:i/>
          <w:szCs w:val="24"/>
        </w:rPr>
        <w:t>Id</w:t>
      </w:r>
      <w:r w:rsidR="009F57CD" w:rsidRPr="00FD5341">
        <w:rPr>
          <w:i/>
          <w:szCs w:val="24"/>
        </w:rPr>
        <w:t>.</w:t>
      </w:r>
      <w:r w:rsidR="004E6A2C" w:rsidRPr="00FD5341">
        <w:rPr>
          <w:szCs w:val="24"/>
        </w:rPr>
        <w:t xml:space="preserve"> (quoting E. Allan Farnsworth, </w:t>
      </w:r>
      <w:r w:rsidR="00154308" w:rsidRPr="00FD5341">
        <w:rPr>
          <w:szCs w:val="24"/>
          <w:u w:val="single"/>
        </w:rPr>
        <w:t>III Farnsworth on Contracts</w:t>
      </w:r>
      <w:r w:rsidR="004E6A2C" w:rsidRPr="00FD5341">
        <w:rPr>
          <w:szCs w:val="24"/>
        </w:rPr>
        <w:t xml:space="preserve"> § 11.10 p.</w:t>
      </w:r>
      <w:r w:rsidR="0032765E" w:rsidRPr="00FD5341">
        <w:rPr>
          <w:szCs w:val="24"/>
        </w:rPr>
        <w:t> </w:t>
      </w:r>
      <w:r w:rsidR="004E6A2C" w:rsidRPr="00FD5341">
        <w:rPr>
          <w:szCs w:val="24"/>
        </w:rPr>
        <w:t xml:space="preserve">126 (1998)). </w:t>
      </w:r>
      <w:r w:rsidR="009F57CD" w:rsidRPr="00FD5341">
        <w:rPr>
          <w:szCs w:val="24"/>
        </w:rPr>
        <w:t xml:space="preserve"> </w:t>
      </w:r>
      <w:r w:rsidR="004E6A2C" w:rsidRPr="00FD5341">
        <w:rPr>
          <w:szCs w:val="24"/>
        </w:rPr>
        <w:t xml:space="preserve">“Thus, once a party has made a promise, it is responsible to the obligee to ensure that performance will be satisfactory, even if the promising party obtains some third party to carry out its promise.” </w:t>
      </w:r>
      <w:r w:rsidR="009F57CD" w:rsidRPr="00FD5341">
        <w:rPr>
          <w:szCs w:val="24"/>
        </w:rPr>
        <w:t xml:space="preserve"> </w:t>
      </w:r>
      <w:r w:rsidR="004E6A2C" w:rsidRPr="00FD5341">
        <w:rPr>
          <w:i/>
          <w:szCs w:val="24"/>
        </w:rPr>
        <w:t>Id.</w:t>
      </w:r>
      <w:r w:rsidR="004E6A2C" w:rsidRPr="00FD5341">
        <w:rPr>
          <w:szCs w:val="24"/>
        </w:rPr>
        <w:t xml:space="preserve"> </w:t>
      </w:r>
      <w:r w:rsidR="009F57CD" w:rsidRPr="00FD5341">
        <w:rPr>
          <w:szCs w:val="24"/>
        </w:rPr>
        <w:t xml:space="preserve"> </w:t>
      </w:r>
      <w:r w:rsidR="004E6A2C" w:rsidRPr="00FD5341">
        <w:rPr>
          <w:szCs w:val="24"/>
        </w:rPr>
        <w:t xml:space="preserve">The court goes on to acknowledge that the “Justice Department’s interpretation . . . strongly supports this view,” and quotes </w:t>
      </w:r>
      <w:r w:rsidR="0096771E" w:rsidRPr="00FD5341">
        <w:rPr>
          <w:szCs w:val="24"/>
        </w:rPr>
        <w:t>the Guidance</w:t>
      </w:r>
      <w:r w:rsidR="004E6A2C" w:rsidRPr="00FD5341">
        <w:rPr>
          <w:szCs w:val="24"/>
        </w:rPr>
        <w:t xml:space="preserve"> to the ADA Regulations: “All governmental activities of public entities are covered, even if they are carried out by contractors.”</w:t>
      </w:r>
      <w:r w:rsidR="004E6A2C" w:rsidRPr="00FD5341">
        <w:rPr>
          <w:rStyle w:val="FootnoteReference"/>
          <w:szCs w:val="24"/>
        </w:rPr>
        <w:footnoteReference w:id="8"/>
      </w:r>
      <w:r w:rsidR="009F57CD" w:rsidRPr="00FD5341">
        <w:rPr>
          <w:szCs w:val="24"/>
        </w:rPr>
        <w:t xml:space="preserve"> </w:t>
      </w:r>
      <w:r w:rsidR="004E6A2C" w:rsidRPr="00FD5341">
        <w:rPr>
          <w:szCs w:val="24"/>
        </w:rPr>
        <w:t xml:space="preserve"> </w:t>
      </w:r>
      <w:r w:rsidR="004E6A2C" w:rsidRPr="00FD5341">
        <w:rPr>
          <w:i/>
          <w:szCs w:val="24"/>
        </w:rPr>
        <w:t>Id.</w:t>
      </w:r>
      <w:r w:rsidR="004E6A2C" w:rsidRPr="00FD5341">
        <w:rPr>
          <w:szCs w:val="24"/>
        </w:rPr>
        <w:t xml:space="preserve"> (quoting </w:t>
      </w:r>
      <w:r w:rsidR="0096771E" w:rsidRPr="00FD5341">
        <w:rPr>
          <w:szCs w:val="24"/>
        </w:rPr>
        <w:t xml:space="preserve">the Guidance, </w:t>
      </w:r>
      <w:r w:rsidR="004E6A2C" w:rsidRPr="00FD5341">
        <w:rPr>
          <w:szCs w:val="24"/>
        </w:rPr>
        <w:t xml:space="preserve">28 C.F.R. pt. 35, App. A, at 517 (2002)); </w:t>
      </w:r>
      <w:r w:rsidR="004E6A2C" w:rsidRPr="00FD5341">
        <w:rPr>
          <w:i/>
          <w:szCs w:val="24"/>
        </w:rPr>
        <w:t>see also Kerr</w:t>
      </w:r>
      <w:r w:rsidR="004E6A2C" w:rsidRPr="00FD5341">
        <w:rPr>
          <w:szCs w:val="24"/>
        </w:rPr>
        <w:t>, 2010 WL 3791484, at *8 (quoting the same).</w:t>
      </w:r>
    </w:p>
    <w:p w:rsidR="004E6A2C" w:rsidRPr="00FD5341" w:rsidRDefault="004E6A2C" w:rsidP="003607CF">
      <w:pPr>
        <w:ind w:firstLine="720"/>
        <w:rPr>
          <w:szCs w:val="24"/>
        </w:rPr>
      </w:pPr>
      <w:r w:rsidRPr="00FD5341">
        <w:rPr>
          <w:szCs w:val="24"/>
        </w:rPr>
        <w:t xml:space="preserve">Similarly, in </w:t>
      </w:r>
      <w:r w:rsidRPr="00FD5341">
        <w:rPr>
          <w:i/>
          <w:szCs w:val="24"/>
        </w:rPr>
        <w:t xml:space="preserve">Hahn ex rel. Barta v. Linn </w:t>
      </w:r>
      <w:r w:rsidR="00B815B6" w:rsidRPr="00FD5341">
        <w:rPr>
          <w:i/>
          <w:szCs w:val="24"/>
        </w:rPr>
        <w:t>County</w:t>
      </w:r>
      <w:r w:rsidRPr="00FD5341">
        <w:rPr>
          <w:szCs w:val="24"/>
        </w:rPr>
        <w:t>, the court explained that a public entity must</w:t>
      </w:r>
      <w:r w:rsidR="00E40725" w:rsidRPr="00FD5341">
        <w:rPr>
          <w:szCs w:val="24"/>
        </w:rPr>
        <w:t>,</w:t>
      </w:r>
      <w:r w:rsidRPr="00FD5341">
        <w:rPr>
          <w:szCs w:val="24"/>
        </w:rPr>
        <w:t xml:space="preserve"> “ensure that the private entities with which it contracts comply with the public entity’s Title II obligations.”</w:t>
      </w:r>
      <w:r w:rsidR="009F57CD" w:rsidRPr="00FD5341">
        <w:rPr>
          <w:szCs w:val="24"/>
        </w:rPr>
        <w:t xml:space="preserve"> </w:t>
      </w:r>
      <w:r w:rsidRPr="00FD5341">
        <w:rPr>
          <w:szCs w:val="24"/>
        </w:rPr>
        <w:t xml:space="preserve"> 191 F. Supp. 2d 1051, 105</w:t>
      </w:r>
      <w:r w:rsidR="00332926">
        <w:rPr>
          <w:szCs w:val="24"/>
        </w:rPr>
        <w:t>4</w:t>
      </w:r>
      <w:r w:rsidRPr="00FD5341">
        <w:rPr>
          <w:szCs w:val="24"/>
        </w:rPr>
        <w:t xml:space="preserve"> n.2 (N.D. Iowa 2002)</w:t>
      </w:r>
      <w:r w:rsidR="00EE00AA" w:rsidRPr="00FD5341">
        <w:rPr>
          <w:szCs w:val="24"/>
        </w:rPr>
        <w:t>.</w:t>
      </w:r>
      <w:r w:rsidRPr="00FD5341">
        <w:rPr>
          <w:szCs w:val="24"/>
        </w:rPr>
        <w:t xml:space="preserve"> </w:t>
      </w:r>
      <w:r w:rsidR="00EE00AA" w:rsidRPr="00FD5341">
        <w:rPr>
          <w:szCs w:val="24"/>
        </w:rPr>
        <w:t xml:space="preserve"> The court in </w:t>
      </w:r>
      <w:r w:rsidRPr="00FD5341">
        <w:rPr>
          <w:i/>
          <w:szCs w:val="24"/>
        </w:rPr>
        <w:t xml:space="preserve">James v. Peter Pan Transit </w:t>
      </w:r>
      <w:r w:rsidR="00B815B6" w:rsidRPr="00FD5341">
        <w:rPr>
          <w:i/>
          <w:szCs w:val="24"/>
        </w:rPr>
        <w:t>Management</w:t>
      </w:r>
      <w:r w:rsidR="00EE00AA" w:rsidRPr="00FD5341">
        <w:rPr>
          <w:szCs w:val="24"/>
        </w:rPr>
        <w:t xml:space="preserve"> also held that public entities must ensure that private entities comply with </w:t>
      </w:r>
      <w:r w:rsidR="00D345E8" w:rsidRPr="00FD5341">
        <w:rPr>
          <w:szCs w:val="24"/>
        </w:rPr>
        <w:t>t</w:t>
      </w:r>
      <w:r w:rsidR="00EE00AA" w:rsidRPr="00FD5341">
        <w:rPr>
          <w:szCs w:val="24"/>
        </w:rPr>
        <w:t>itle II, even if the private entity is an independent contractor</w:t>
      </w:r>
      <w:r w:rsidR="003210F4">
        <w:rPr>
          <w:szCs w:val="24"/>
        </w:rPr>
        <w:t>.</w:t>
      </w:r>
      <w:r w:rsidRPr="00FD5341">
        <w:rPr>
          <w:szCs w:val="24"/>
        </w:rPr>
        <w:t xml:space="preserve"> </w:t>
      </w:r>
      <w:r w:rsidR="00EE00AA" w:rsidRPr="00FD5341">
        <w:rPr>
          <w:szCs w:val="24"/>
        </w:rPr>
        <w:t xml:space="preserve"> </w:t>
      </w:r>
      <w:r w:rsidR="0096771E" w:rsidRPr="00FD5341">
        <w:rPr>
          <w:szCs w:val="24"/>
        </w:rPr>
        <w:t xml:space="preserve"> </w:t>
      </w:r>
      <w:r w:rsidR="00EE00AA" w:rsidRPr="00FD5341">
        <w:rPr>
          <w:i/>
          <w:szCs w:val="24"/>
        </w:rPr>
        <w:t xml:space="preserve">See </w:t>
      </w:r>
      <w:r w:rsidR="003D6DD8" w:rsidRPr="00FD5341">
        <w:rPr>
          <w:szCs w:val="24"/>
        </w:rPr>
        <w:t>No. 5:97-CV-747</w:t>
      </w:r>
      <w:r w:rsidR="00BA28EC" w:rsidRPr="00FD5341">
        <w:rPr>
          <w:szCs w:val="24"/>
        </w:rPr>
        <w:t xml:space="preserve">, </w:t>
      </w:r>
      <w:r w:rsidRPr="00FD5341">
        <w:rPr>
          <w:szCs w:val="24"/>
        </w:rPr>
        <w:t>1999 WL 735173, at *9-10 (E.D.N.C.</w:t>
      </w:r>
      <w:r w:rsidR="00BA28EC" w:rsidRPr="00FD5341">
        <w:rPr>
          <w:szCs w:val="24"/>
        </w:rPr>
        <w:t xml:space="preserve"> Jan. 20, 1999</w:t>
      </w:r>
      <w:r w:rsidRPr="00FD5341">
        <w:rPr>
          <w:szCs w:val="24"/>
        </w:rPr>
        <w:t>)</w:t>
      </w:r>
      <w:r w:rsidR="00EE00AA" w:rsidRPr="00FD5341">
        <w:rPr>
          <w:szCs w:val="24"/>
        </w:rPr>
        <w:t>.</w:t>
      </w:r>
    </w:p>
    <w:p w:rsidR="00301DEB" w:rsidRDefault="00EE00AA" w:rsidP="00CF45F1">
      <w:pPr>
        <w:ind w:firstLine="720"/>
      </w:pPr>
      <w:r w:rsidRPr="00FD5341">
        <w:t>Here</w:t>
      </w:r>
      <w:r w:rsidR="004E6A2C" w:rsidRPr="00FD5341">
        <w:t xml:space="preserve">, the District contracted its homeless shelter services </w:t>
      </w:r>
      <w:r w:rsidR="007253D5" w:rsidRPr="00FD5341">
        <w:t xml:space="preserve">and programs </w:t>
      </w:r>
      <w:r w:rsidR="004E6A2C" w:rsidRPr="00FD5341">
        <w:t xml:space="preserve">to the other </w:t>
      </w:r>
      <w:r w:rsidR="0096771E" w:rsidRPr="00FD5341">
        <w:t>D</w:t>
      </w:r>
      <w:r w:rsidR="004E6A2C" w:rsidRPr="00FD5341">
        <w:t>efendants</w:t>
      </w:r>
      <w:r w:rsidR="007253D5" w:rsidRPr="00FD5341">
        <w:t xml:space="preserve"> that are</w:t>
      </w:r>
      <w:r w:rsidR="004E6A2C" w:rsidRPr="00FD5341">
        <w:t xml:space="preserve"> </w:t>
      </w:r>
      <w:r w:rsidRPr="00FD5341">
        <w:t>private entities</w:t>
      </w:r>
      <w:r w:rsidR="007253D5" w:rsidRPr="00FD5341">
        <w:t>,</w:t>
      </w:r>
      <w:r w:rsidRPr="00FD5341">
        <w:t xml:space="preserve"> </w:t>
      </w:r>
      <w:r w:rsidR="004E6A2C" w:rsidRPr="00FD5341">
        <w:t xml:space="preserve">such as Community of Hope. </w:t>
      </w:r>
      <w:r w:rsidR="009F57CD" w:rsidRPr="00FD5341">
        <w:t xml:space="preserve"> </w:t>
      </w:r>
      <w:r w:rsidR="006E3F48" w:rsidRPr="00FD5341">
        <w:t xml:space="preserve">First </w:t>
      </w:r>
      <w:r w:rsidR="004E6A2C" w:rsidRPr="00FD5341">
        <w:t>Am. Compl.</w:t>
      </w:r>
      <w:r w:rsidR="00B22657" w:rsidRPr="00FD5341">
        <w:t xml:space="preserve"> </w:t>
      </w:r>
      <w:r w:rsidR="004E6A2C" w:rsidRPr="00FD5341">
        <w:t xml:space="preserve">¶ 100. </w:t>
      </w:r>
      <w:r w:rsidR="009F57CD" w:rsidRPr="00FD5341">
        <w:t xml:space="preserve"> </w:t>
      </w:r>
      <w:r w:rsidR="004E6A2C" w:rsidRPr="00FD5341">
        <w:t xml:space="preserve">Since a public entity may not escape liability by signing a contract, it </w:t>
      </w:r>
      <w:r w:rsidR="0096771E" w:rsidRPr="00FD5341">
        <w:t>i</w:t>
      </w:r>
      <w:r w:rsidR="004E6A2C" w:rsidRPr="00FD5341">
        <w:t xml:space="preserve">s the District’s responsibility to ensure that its contractors follow </w:t>
      </w:r>
      <w:r w:rsidR="00D345E8" w:rsidRPr="00FD5341">
        <w:t>t</w:t>
      </w:r>
      <w:r w:rsidR="004E6A2C" w:rsidRPr="00FD5341">
        <w:t>itle II when providing the services.</w:t>
      </w:r>
      <w:r w:rsidR="0096771E" w:rsidRPr="00FD5341">
        <w:t xml:space="preserve"> </w:t>
      </w:r>
      <w:r w:rsidR="004E6A2C" w:rsidRPr="00FD5341">
        <w:t xml:space="preserve"> In sum, the District </w:t>
      </w:r>
      <w:r w:rsidR="00BB4FD2" w:rsidRPr="00FD5341">
        <w:t xml:space="preserve">cannot escape liability and is </w:t>
      </w:r>
      <w:r w:rsidR="004E6A2C" w:rsidRPr="00FD5341">
        <w:t xml:space="preserve">ultimately responsible </w:t>
      </w:r>
      <w:r w:rsidR="00BB4FD2" w:rsidRPr="00FD5341">
        <w:t xml:space="preserve">under </w:t>
      </w:r>
      <w:r w:rsidR="00D345E8" w:rsidRPr="00FD5341">
        <w:t>t</w:t>
      </w:r>
      <w:r w:rsidR="00BB4FD2" w:rsidRPr="00FD5341">
        <w:t xml:space="preserve">itle II </w:t>
      </w:r>
      <w:r w:rsidR="004E6A2C" w:rsidRPr="00FD5341">
        <w:t xml:space="preserve">for any service that it contracts </w:t>
      </w:r>
      <w:r w:rsidR="007253D5" w:rsidRPr="00FD5341">
        <w:t>away</w:t>
      </w:r>
      <w:r w:rsidR="004E6A2C" w:rsidRPr="00FD5341">
        <w:t xml:space="preserve"> to a private entity.</w:t>
      </w:r>
    </w:p>
    <w:p w:rsidR="005F6AD2" w:rsidRPr="005131D6" w:rsidRDefault="00D85FEE" w:rsidP="00CF45F1">
      <w:pPr>
        <w:pStyle w:val="Heading4"/>
      </w:pPr>
      <w:r w:rsidRPr="005131D6">
        <w:t>Plaintiffs Properly State a Cause of Action Under Title II of the ADA</w:t>
      </w:r>
    </w:p>
    <w:p w:rsidR="005131D6" w:rsidRPr="005131D6" w:rsidRDefault="00D85FEE" w:rsidP="00CF45F1">
      <w:pPr>
        <w:pStyle w:val="Heading5"/>
        <w:numPr>
          <w:ilvl w:val="0"/>
          <w:numId w:val="29"/>
        </w:numPr>
      </w:pPr>
      <w:r w:rsidRPr="005131D6">
        <w:t>Defendants conflate the standard for compensatory damages with</w:t>
      </w:r>
      <w:r w:rsidR="0043785B" w:rsidRPr="005131D6">
        <w:t xml:space="preserve"> required elements for liability</w:t>
      </w:r>
      <w:r w:rsidR="005131D6" w:rsidRPr="005131D6">
        <w:t>.</w:t>
      </w:r>
    </w:p>
    <w:p w:rsidR="003607CF" w:rsidRPr="005131D6" w:rsidRDefault="0043785B" w:rsidP="003607CF">
      <w:pPr>
        <w:ind w:firstLine="720"/>
        <w:rPr>
          <w:szCs w:val="24"/>
        </w:rPr>
      </w:pPr>
      <w:r w:rsidRPr="005131D6">
        <w:rPr>
          <w:szCs w:val="24"/>
        </w:rPr>
        <w:t xml:space="preserve">The District argues that to state a claim under title II or Section 504, Plaintiffs must show that the District was deliberately indifferent to such discrimination.  Def.’s Mot. Dismiss 5.  This assertion is unsupported by law.  </w:t>
      </w:r>
      <w:r w:rsidR="00D85FEE" w:rsidRPr="005131D6">
        <w:rPr>
          <w:szCs w:val="24"/>
        </w:rPr>
        <w:t xml:space="preserve">Defendants have conflated the elements necessary to state a cause of action under title II with the legal standard used to determine awards of compensatory damages.  </w:t>
      </w:r>
      <w:r w:rsidR="00C335C6" w:rsidRPr="005131D6">
        <w:rPr>
          <w:szCs w:val="24"/>
        </w:rPr>
        <w:t>T</w:t>
      </w:r>
      <w:r w:rsidR="003607CF" w:rsidRPr="005131D6">
        <w:rPr>
          <w:szCs w:val="24"/>
        </w:rPr>
        <w:t xml:space="preserve">o state a claim under </w:t>
      </w:r>
      <w:r w:rsidR="00D345E8" w:rsidRPr="005131D6">
        <w:rPr>
          <w:szCs w:val="24"/>
        </w:rPr>
        <w:t>t</w:t>
      </w:r>
      <w:r w:rsidR="003607CF" w:rsidRPr="005131D6">
        <w:rPr>
          <w:szCs w:val="24"/>
        </w:rPr>
        <w:t>itle II of the ADA, a plaintiff must prove three elements: (1) that he is a qualified individual with a disability, (2) that he was discriminated against by being excluded from or denied the benefits of</w:t>
      </w:r>
      <w:r w:rsidRPr="005131D6">
        <w:rPr>
          <w:szCs w:val="24"/>
        </w:rPr>
        <w:t xml:space="preserve"> a public enti</w:t>
      </w:r>
      <w:r w:rsidR="003607CF" w:rsidRPr="005131D6">
        <w:rPr>
          <w:szCs w:val="24"/>
        </w:rPr>
        <w:t>t</w:t>
      </w:r>
      <w:r w:rsidR="00E105F7" w:rsidRPr="005131D6">
        <w:rPr>
          <w:szCs w:val="24"/>
        </w:rPr>
        <w:t>y’s</w:t>
      </w:r>
      <w:r w:rsidR="003607CF" w:rsidRPr="005131D6">
        <w:rPr>
          <w:szCs w:val="24"/>
        </w:rPr>
        <w:t xml:space="preserve"> services, and (3) that he was</w:t>
      </w:r>
      <w:r w:rsidRPr="005131D6">
        <w:rPr>
          <w:szCs w:val="24"/>
        </w:rPr>
        <w:t xml:space="preserve"> discriminated against because of his disability</w:t>
      </w:r>
      <w:r w:rsidR="003607CF" w:rsidRPr="005131D6">
        <w:rPr>
          <w:szCs w:val="24"/>
        </w:rPr>
        <w:t xml:space="preserve">. </w:t>
      </w:r>
      <w:r w:rsidR="009F57CD" w:rsidRPr="005131D6">
        <w:rPr>
          <w:szCs w:val="24"/>
        </w:rPr>
        <w:t xml:space="preserve"> </w:t>
      </w:r>
      <w:r w:rsidR="00D3708B" w:rsidRPr="00D3708B">
        <w:rPr>
          <w:i/>
          <w:szCs w:val="24"/>
        </w:rPr>
        <w:t>Am. Council of the Blind v. Paulson</w:t>
      </w:r>
      <w:r w:rsidR="00D3708B" w:rsidRPr="00D3708B">
        <w:rPr>
          <w:szCs w:val="24"/>
        </w:rPr>
        <w:t>, 525 F.3d 1256, 1266 (D.C. Cir. 2008) (setting forth these elements in the analogous Section 504 context)</w:t>
      </w:r>
      <w:r w:rsidR="00D3708B">
        <w:rPr>
          <w:szCs w:val="24"/>
        </w:rPr>
        <w:t xml:space="preserve">; </w:t>
      </w:r>
      <w:r w:rsidR="00A35EF1">
        <w:rPr>
          <w:i/>
          <w:szCs w:val="24"/>
        </w:rPr>
        <w:t>Equal Rights Ctr. v. District of Columbia</w:t>
      </w:r>
      <w:r w:rsidR="00A35EF1">
        <w:rPr>
          <w:szCs w:val="24"/>
        </w:rPr>
        <w:t>, 741 F. Supp. 2d 273, 283 (D.D.C. 2010);</w:t>
      </w:r>
      <w:r w:rsidR="00A35EF1">
        <w:rPr>
          <w:i/>
          <w:szCs w:val="24"/>
        </w:rPr>
        <w:t xml:space="preserve"> see </w:t>
      </w:r>
      <w:r w:rsidR="00A35EF1" w:rsidRPr="00A35EF1">
        <w:rPr>
          <w:i/>
          <w:szCs w:val="24"/>
        </w:rPr>
        <w:t>also</w:t>
      </w:r>
      <w:r w:rsidR="00A35EF1">
        <w:rPr>
          <w:i/>
          <w:szCs w:val="24"/>
        </w:rPr>
        <w:t xml:space="preserve"> </w:t>
      </w:r>
      <w:r w:rsidR="004121A0" w:rsidRPr="00A35EF1">
        <w:rPr>
          <w:i/>
          <w:szCs w:val="24"/>
        </w:rPr>
        <w:t>Hale</w:t>
      </w:r>
      <w:r w:rsidR="004121A0" w:rsidRPr="005131D6">
        <w:rPr>
          <w:i/>
          <w:szCs w:val="24"/>
        </w:rPr>
        <w:t xml:space="preserve"> v. King, </w:t>
      </w:r>
      <w:r w:rsidR="004121A0" w:rsidRPr="005131D6">
        <w:rPr>
          <w:szCs w:val="24"/>
        </w:rPr>
        <w:t>642 F.3d</w:t>
      </w:r>
      <w:r w:rsidR="007F26A8" w:rsidRPr="005131D6">
        <w:rPr>
          <w:szCs w:val="24"/>
        </w:rPr>
        <w:t xml:space="preserve"> 492, 499 </w:t>
      </w:r>
      <w:r w:rsidR="004121A0" w:rsidRPr="005131D6">
        <w:rPr>
          <w:szCs w:val="24"/>
        </w:rPr>
        <w:t xml:space="preserve">(5th </w:t>
      </w:r>
      <w:r w:rsidRPr="005131D6">
        <w:rPr>
          <w:szCs w:val="24"/>
        </w:rPr>
        <w:t>Cir. 2012);</w:t>
      </w:r>
      <w:r w:rsidR="004121A0" w:rsidRPr="005131D6">
        <w:rPr>
          <w:i/>
          <w:szCs w:val="24"/>
        </w:rPr>
        <w:t xml:space="preserve"> </w:t>
      </w:r>
      <w:r w:rsidR="003607CF" w:rsidRPr="005131D6">
        <w:rPr>
          <w:i/>
          <w:szCs w:val="24"/>
        </w:rPr>
        <w:t>Robertson v. Las Animas Cnty. Sheriff’s Dep</w:t>
      </w:r>
      <w:r w:rsidR="001C7D01" w:rsidRPr="005131D6">
        <w:rPr>
          <w:i/>
          <w:szCs w:val="24"/>
        </w:rPr>
        <w:t>’</w:t>
      </w:r>
      <w:r w:rsidR="003607CF" w:rsidRPr="005131D6">
        <w:rPr>
          <w:i/>
          <w:szCs w:val="24"/>
        </w:rPr>
        <w:t>t</w:t>
      </w:r>
      <w:r w:rsidR="003607CF" w:rsidRPr="005131D6">
        <w:rPr>
          <w:szCs w:val="24"/>
        </w:rPr>
        <w:t>, 500 F.3d 1185, 1193 (10th Cir. 2007)</w:t>
      </w:r>
      <w:r w:rsidR="004121A0" w:rsidRPr="005131D6">
        <w:rPr>
          <w:szCs w:val="24"/>
        </w:rPr>
        <w:t xml:space="preserve">; </w:t>
      </w:r>
      <w:r w:rsidR="004121A0" w:rsidRPr="005131D6">
        <w:rPr>
          <w:i/>
          <w:szCs w:val="24"/>
        </w:rPr>
        <w:t>Kiman v. New Hampshire Dep</w:t>
      </w:r>
      <w:r w:rsidR="001C7D01" w:rsidRPr="005131D6">
        <w:rPr>
          <w:i/>
          <w:szCs w:val="24"/>
        </w:rPr>
        <w:t>’</w:t>
      </w:r>
      <w:r w:rsidR="004121A0" w:rsidRPr="005131D6">
        <w:rPr>
          <w:i/>
          <w:szCs w:val="24"/>
        </w:rPr>
        <w:t xml:space="preserve">t of </w:t>
      </w:r>
      <w:r w:rsidR="00E40725" w:rsidRPr="005131D6">
        <w:rPr>
          <w:i/>
          <w:szCs w:val="24"/>
        </w:rPr>
        <w:t>Corr.</w:t>
      </w:r>
      <w:r w:rsidR="004121A0" w:rsidRPr="005131D6">
        <w:rPr>
          <w:szCs w:val="24"/>
        </w:rPr>
        <w:t>, 451 F.</w:t>
      </w:r>
      <w:r w:rsidR="00E40725" w:rsidRPr="005131D6">
        <w:rPr>
          <w:szCs w:val="24"/>
        </w:rPr>
        <w:t>3</w:t>
      </w:r>
      <w:r w:rsidR="004121A0" w:rsidRPr="005131D6">
        <w:rPr>
          <w:szCs w:val="24"/>
        </w:rPr>
        <w:t>d 274, 283 (1st Cir. 2006)</w:t>
      </w:r>
      <w:r w:rsidR="003607CF" w:rsidRPr="005131D6">
        <w:rPr>
          <w:szCs w:val="24"/>
        </w:rPr>
        <w:t xml:space="preserve">. </w:t>
      </w:r>
      <w:r w:rsidR="009F57CD" w:rsidRPr="005131D6">
        <w:rPr>
          <w:szCs w:val="24"/>
        </w:rPr>
        <w:t xml:space="preserve"> </w:t>
      </w:r>
      <w:r w:rsidR="00C335C6" w:rsidRPr="005131D6">
        <w:rPr>
          <w:szCs w:val="24"/>
        </w:rPr>
        <w:t>Once liability is established under this framework, then a plaintiff must prove that a defendant acted with</w:t>
      </w:r>
      <w:r w:rsidR="003607CF" w:rsidRPr="005131D6">
        <w:rPr>
          <w:szCs w:val="24"/>
        </w:rPr>
        <w:t xml:space="preserve"> </w:t>
      </w:r>
      <w:r w:rsidR="00D31CB2">
        <w:rPr>
          <w:szCs w:val="24"/>
        </w:rPr>
        <w:t>discriminatory intent</w:t>
      </w:r>
      <w:r w:rsidR="003607CF" w:rsidRPr="005131D6">
        <w:rPr>
          <w:szCs w:val="24"/>
        </w:rPr>
        <w:t xml:space="preserve"> </w:t>
      </w:r>
      <w:r w:rsidR="00C335C6" w:rsidRPr="005131D6">
        <w:rPr>
          <w:szCs w:val="24"/>
        </w:rPr>
        <w:t>to succeed on a claim for</w:t>
      </w:r>
      <w:r w:rsidRPr="005131D6">
        <w:rPr>
          <w:szCs w:val="24"/>
        </w:rPr>
        <w:t xml:space="preserve"> compensatory damages</w:t>
      </w:r>
      <w:r w:rsidR="003607CF" w:rsidRPr="005131D6">
        <w:rPr>
          <w:szCs w:val="24"/>
        </w:rPr>
        <w:t>.</w:t>
      </w:r>
      <w:r w:rsidR="00936079" w:rsidRPr="005131D6">
        <w:rPr>
          <w:rStyle w:val="FootnoteReference"/>
          <w:szCs w:val="24"/>
        </w:rPr>
        <w:footnoteReference w:id="9"/>
      </w:r>
      <w:r w:rsidR="003607CF" w:rsidRPr="005131D6">
        <w:rPr>
          <w:szCs w:val="24"/>
        </w:rPr>
        <w:t xml:space="preserve"> </w:t>
      </w:r>
      <w:r w:rsidR="009F57CD" w:rsidRPr="005131D6">
        <w:rPr>
          <w:szCs w:val="24"/>
        </w:rPr>
        <w:t xml:space="preserve"> </w:t>
      </w:r>
      <w:r w:rsidR="003607CF" w:rsidRPr="00F944AC">
        <w:rPr>
          <w:i/>
          <w:szCs w:val="24"/>
        </w:rPr>
        <w:t>See Liese v. Indian River Cnty. Hosp. Dist.</w:t>
      </w:r>
      <w:r w:rsidR="003607CF" w:rsidRPr="005131D6">
        <w:rPr>
          <w:szCs w:val="24"/>
        </w:rPr>
        <w:t>, 701 F.3d 334, 342 (11th Cir. 2012) (“To recover compensatory damages under §</w:t>
      </w:r>
      <w:r w:rsidR="0096771E" w:rsidRPr="005131D6">
        <w:rPr>
          <w:szCs w:val="24"/>
        </w:rPr>
        <w:t> </w:t>
      </w:r>
      <w:r w:rsidR="003607CF" w:rsidRPr="005131D6">
        <w:rPr>
          <w:szCs w:val="24"/>
        </w:rPr>
        <w:t xml:space="preserve">504, the </w:t>
      </w:r>
      <w:r w:rsidR="00E40725" w:rsidRPr="005131D6">
        <w:rPr>
          <w:szCs w:val="24"/>
        </w:rPr>
        <w:t>[Plaintiff</w:t>
      </w:r>
      <w:r w:rsidRPr="005131D6">
        <w:rPr>
          <w:szCs w:val="24"/>
        </w:rPr>
        <w:t xml:space="preserve">s] must show that . . . [the </w:t>
      </w:r>
      <w:r w:rsidR="00E40725" w:rsidRPr="005131D6">
        <w:rPr>
          <w:szCs w:val="24"/>
        </w:rPr>
        <w:t xml:space="preserve">Defendant] </w:t>
      </w:r>
      <w:r w:rsidR="003607CF" w:rsidRPr="005131D6">
        <w:rPr>
          <w:szCs w:val="24"/>
        </w:rPr>
        <w:t xml:space="preserve">violated their rights . . . with discriminatory intent.”); </w:t>
      </w:r>
      <w:r w:rsidR="003607CF" w:rsidRPr="00F944AC">
        <w:rPr>
          <w:i/>
          <w:szCs w:val="24"/>
        </w:rPr>
        <w:t>Delano-Pyle v. Victoria Cnty.</w:t>
      </w:r>
      <w:r w:rsidR="003607CF" w:rsidRPr="005131D6">
        <w:rPr>
          <w:szCs w:val="24"/>
        </w:rPr>
        <w:t>, 302 F.3d 567, 575 (5th Cir. 2002) (“However, in order to receive comp</w:t>
      </w:r>
      <w:r w:rsidRPr="005131D6">
        <w:rPr>
          <w:szCs w:val="24"/>
        </w:rPr>
        <w:t>ensatory damages for viol</w:t>
      </w:r>
      <w:r w:rsidR="003607CF" w:rsidRPr="005131D6">
        <w:rPr>
          <w:szCs w:val="24"/>
        </w:rPr>
        <w:t xml:space="preserve">ations of the [ADA], a plaintiff must show intentional discrimination.”); </w:t>
      </w:r>
      <w:r w:rsidR="003607CF" w:rsidRPr="00F944AC">
        <w:rPr>
          <w:i/>
          <w:szCs w:val="24"/>
        </w:rPr>
        <w:t xml:space="preserve">Duvall v. </w:t>
      </w:r>
      <w:r w:rsidR="00BB4FD2" w:rsidRPr="00F944AC">
        <w:rPr>
          <w:i/>
          <w:szCs w:val="24"/>
        </w:rPr>
        <w:t xml:space="preserve">Cnty. </w:t>
      </w:r>
      <w:r w:rsidR="003607CF" w:rsidRPr="00F944AC">
        <w:rPr>
          <w:i/>
          <w:szCs w:val="24"/>
        </w:rPr>
        <w:t>of Kitsap</w:t>
      </w:r>
      <w:r w:rsidR="003607CF" w:rsidRPr="005131D6">
        <w:rPr>
          <w:szCs w:val="24"/>
        </w:rPr>
        <w:t>, 260 F.3d 1124, 1138 (9th Cir. 2001) (“To recover monetary da</w:t>
      </w:r>
      <w:r w:rsidRPr="005131D6">
        <w:rPr>
          <w:szCs w:val="24"/>
        </w:rPr>
        <w:t>mages under Title II of the ADA .</w:t>
      </w:r>
      <w:r w:rsidR="003607CF" w:rsidRPr="005131D6">
        <w:rPr>
          <w:szCs w:val="24"/>
        </w:rPr>
        <w:t xml:space="preserve"> . . a plaintiff must prove intentional discrimination . . . .”); </w:t>
      </w:r>
      <w:r w:rsidR="003607CF" w:rsidRPr="00F944AC">
        <w:rPr>
          <w:i/>
          <w:szCs w:val="24"/>
        </w:rPr>
        <w:t>Wilkins-Jones</w:t>
      </w:r>
      <w:r w:rsidR="00BB4FD2" w:rsidRPr="00F944AC">
        <w:rPr>
          <w:i/>
          <w:szCs w:val="24"/>
        </w:rPr>
        <w:t xml:space="preserve"> v. Cnty. of Alameda</w:t>
      </w:r>
      <w:r w:rsidR="003607CF" w:rsidRPr="005131D6">
        <w:rPr>
          <w:szCs w:val="24"/>
        </w:rPr>
        <w:t>, 859 F. Supp. 2d</w:t>
      </w:r>
      <w:r w:rsidR="00BB4FD2" w:rsidRPr="005131D6">
        <w:rPr>
          <w:szCs w:val="24"/>
        </w:rPr>
        <w:t xml:space="preserve"> 1039,</w:t>
      </w:r>
      <w:r w:rsidR="003607CF" w:rsidRPr="005131D6">
        <w:rPr>
          <w:szCs w:val="24"/>
        </w:rPr>
        <w:t xml:space="preserve"> 1044 </w:t>
      </w:r>
      <w:r w:rsidR="007126D2" w:rsidRPr="005131D6">
        <w:rPr>
          <w:szCs w:val="24"/>
        </w:rPr>
        <w:t xml:space="preserve">(N.D. Cal. 2012) </w:t>
      </w:r>
      <w:r w:rsidR="003607CF" w:rsidRPr="005131D6">
        <w:rPr>
          <w:szCs w:val="24"/>
        </w:rPr>
        <w:t xml:space="preserve">(“In a disability action seeking monetary relief, a plaintiff must additionally prove intentional discrimination . . . .”). </w:t>
      </w:r>
      <w:r w:rsidR="009F57CD" w:rsidRPr="005131D6">
        <w:rPr>
          <w:szCs w:val="24"/>
        </w:rPr>
        <w:t xml:space="preserve"> </w:t>
      </w:r>
      <w:r w:rsidR="003607CF" w:rsidRPr="005131D6">
        <w:rPr>
          <w:szCs w:val="24"/>
        </w:rPr>
        <w:t>Proving knowledge o</w:t>
      </w:r>
      <w:r w:rsidR="00D31CB2">
        <w:rPr>
          <w:szCs w:val="24"/>
        </w:rPr>
        <w:t>f</w:t>
      </w:r>
      <w:r w:rsidR="003607CF" w:rsidRPr="005131D6">
        <w:rPr>
          <w:szCs w:val="24"/>
        </w:rPr>
        <w:t xml:space="preserve"> intentional discrimination</w:t>
      </w:r>
      <w:r w:rsidR="007253D5" w:rsidRPr="005131D6">
        <w:rPr>
          <w:szCs w:val="24"/>
        </w:rPr>
        <w:t>, however,</w:t>
      </w:r>
      <w:r w:rsidR="003607CF" w:rsidRPr="005131D6">
        <w:rPr>
          <w:szCs w:val="24"/>
        </w:rPr>
        <w:t xml:space="preserve"> is irrelevant to </w:t>
      </w:r>
      <w:r w:rsidR="00BB4FD2" w:rsidRPr="005131D6">
        <w:rPr>
          <w:szCs w:val="24"/>
        </w:rPr>
        <w:t>the princip</w:t>
      </w:r>
      <w:r w:rsidR="00BF4D91" w:rsidRPr="005131D6">
        <w:rPr>
          <w:szCs w:val="24"/>
        </w:rPr>
        <w:t>al</w:t>
      </w:r>
      <w:r w:rsidR="00BB4FD2" w:rsidRPr="005131D6">
        <w:rPr>
          <w:szCs w:val="24"/>
        </w:rPr>
        <w:t xml:space="preserve"> question in this </w:t>
      </w:r>
      <w:r w:rsidR="001C7D01" w:rsidRPr="005131D6">
        <w:rPr>
          <w:szCs w:val="24"/>
        </w:rPr>
        <w:t>Motion</w:t>
      </w:r>
      <w:r w:rsidR="00332926" w:rsidRPr="005131D6">
        <w:rPr>
          <w:szCs w:val="24"/>
        </w:rPr>
        <w:t>:</w:t>
      </w:r>
      <w:r w:rsidR="00BB4FD2" w:rsidRPr="005131D6">
        <w:rPr>
          <w:szCs w:val="24"/>
        </w:rPr>
        <w:t xml:space="preserve"> </w:t>
      </w:r>
      <w:r w:rsidR="003607CF" w:rsidRPr="005131D6">
        <w:rPr>
          <w:szCs w:val="24"/>
        </w:rPr>
        <w:t>whether</w:t>
      </w:r>
      <w:r w:rsidR="001C7D01" w:rsidRPr="005131D6">
        <w:rPr>
          <w:szCs w:val="24"/>
        </w:rPr>
        <w:t>, under title II,</w:t>
      </w:r>
      <w:r w:rsidR="003607CF" w:rsidRPr="005131D6">
        <w:rPr>
          <w:szCs w:val="24"/>
        </w:rPr>
        <w:t xml:space="preserve"> the </w:t>
      </w:r>
      <w:r w:rsidR="00F944AC">
        <w:rPr>
          <w:szCs w:val="24"/>
        </w:rPr>
        <w:t xml:space="preserve">Plaintiffs have alleged sufficient facts to </w:t>
      </w:r>
      <w:r w:rsidR="00D80D17">
        <w:rPr>
          <w:szCs w:val="24"/>
        </w:rPr>
        <w:t>survive a motion to dismiss by</w:t>
      </w:r>
      <w:r w:rsidR="00F944AC">
        <w:rPr>
          <w:szCs w:val="24"/>
        </w:rPr>
        <w:t xml:space="preserve"> the </w:t>
      </w:r>
      <w:r w:rsidR="003607CF" w:rsidRPr="005131D6">
        <w:rPr>
          <w:szCs w:val="24"/>
        </w:rPr>
        <w:t>District</w:t>
      </w:r>
      <w:r w:rsidR="00D80D17">
        <w:rPr>
          <w:szCs w:val="24"/>
        </w:rPr>
        <w:t>, which denies liability</w:t>
      </w:r>
      <w:r w:rsidR="001C7D01" w:rsidRPr="005131D6">
        <w:rPr>
          <w:szCs w:val="24"/>
        </w:rPr>
        <w:t xml:space="preserve"> for the discriminatory actions of its contractors</w:t>
      </w:r>
      <w:r w:rsidR="003607CF" w:rsidRPr="005131D6">
        <w:rPr>
          <w:szCs w:val="24"/>
        </w:rPr>
        <w:t>.</w:t>
      </w:r>
    </w:p>
    <w:p w:rsidR="001C53BC" w:rsidRPr="00FD5341" w:rsidRDefault="007253D5" w:rsidP="007E1C88">
      <w:pPr>
        <w:pStyle w:val="Heading5"/>
      </w:pPr>
      <w:r w:rsidRPr="00FD5341">
        <w:t>H</w:t>
      </w:r>
      <w:r w:rsidR="006971E7" w:rsidRPr="00FD5341">
        <w:t>omeless shelter service contractors are agents of the District.</w:t>
      </w:r>
    </w:p>
    <w:p w:rsidR="00D548FC" w:rsidRPr="00FD5341" w:rsidRDefault="006971E7" w:rsidP="003607CF">
      <w:pPr>
        <w:ind w:firstLine="720"/>
        <w:rPr>
          <w:szCs w:val="24"/>
        </w:rPr>
      </w:pPr>
      <w:r w:rsidRPr="00FD5341">
        <w:rPr>
          <w:szCs w:val="24"/>
        </w:rPr>
        <w:t xml:space="preserve">The District </w:t>
      </w:r>
      <w:r w:rsidR="003607CF" w:rsidRPr="00FD5341">
        <w:rPr>
          <w:szCs w:val="24"/>
        </w:rPr>
        <w:t>concedes that a public entity can be liable</w:t>
      </w:r>
      <w:r w:rsidR="00FC139D">
        <w:rPr>
          <w:szCs w:val="24"/>
        </w:rPr>
        <w:t xml:space="preserve"> for compensatory damages</w:t>
      </w:r>
      <w:r w:rsidR="007126D2" w:rsidRPr="00FD5341">
        <w:rPr>
          <w:szCs w:val="24"/>
        </w:rPr>
        <w:t>,</w:t>
      </w:r>
      <w:r w:rsidR="003607CF" w:rsidRPr="00FD5341">
        <w:rPr>
          <w:szCs w:val="24"/>
        </w:rPr>
        <w:t xml:space="preserve"> “based on the deliberate indifference of others,</w:t>
      </w:r>
      <w:r w:rsidR="00D548FC" w:rsidRPr="00FD5341">
        <w:rPr>
          <w:szCs w:val="24"/>
        </w:rPr>
        <w:t xml:space="preserve">” </w:t>
      </w:r>
      <w:r w:rsidR="00ED47C4" w:rsidRPr="00FD5341">
        <w:rPr>
          <w:szCs w:val="24"/>
        </w:rPr>
        <w:t>and that this applies at least</w:t>
      </w:r>
      <w:r w:rsidR="008052F2" w:rsidRPr="00FD5341">
        <w:rPr>
          <w:szCs w:val="24"/>
        </w:rPr>
        <w:t xml:space="preserve"> to employees and agents.  </w:t>
      </w:r>
      <w:r w:rsidR="005721C5" w:rsidRPr="00FC139D">
        <w:rPr>
          <w:szCs w:val="24"/>
        </w:rPr>
        <w:t>Def</w:t>
      </w:r>
      <w:r w:rsidR="005721C5">
        <w:rPr>
          <w:szCs w:val="24"/>
        </w:rPr>
        <w:t>.’s</w:t>
      </w:r>
      <w:r w:rsidR="000D2D0A" w:rsidRPr="00FD5341">
        <w:rPr>
          <w:szCs w:val="24"/>
        </w:rPr>
        <w:t xml:space="preserve"> Mot. Dismiss 6,</w:t>
      </w:r>
      <w:r w:rsidR="008052F2" w:rsidRPr="00FD5341">
        <w:rPr>
          <w:szCs w:val="24"/>
        </w:rPr>
        <w:t xml:space="preserve"> n.5.</w:t>
      </w:r>
      <w:r w:rsidR="00CA11AD" w:rsidRPr="00FD5341">
        <w:rPr>
          <w:szCs w:val="24"/>
        </w:rPr>
        <w:t xml:space="preserve"> </w:t>
      </w:r>
      <w:r w:rsidR="00D9131B" w:rsidRPr="00FD5341">
        <w:rPr>
          <w:szCs w:val="24"/>
        </w:rPr>
        <w:t xml:space="preserve"> </w:t>
      </w:r>
      <w:r w:rsidR="00CA11AD" w:rsidRPr="00FD5341">
        <w:rPr>
          <w:szCs w:val="24"/>
        </w:rPr>
        <w:t>Th</w:t>
      </w:r>
      <w:r w:rsidR="00D548FC" w:rsidRPr="00FD5341">
        <w:rPr>
          <w:szCs w:val="24"/>
        </w:rPr>
        <w:t>eir argument, advanced in a</w:t>
      </w:r>
      <w:r w:rsidR="00CA11AD" w:rsidRPr="00FD5341">
        <w:rPr>
          <w:szCs w:val="24"/>
        </w:rPr>
        <w:t xml:space="preserve"> footnote</w:t>
      </w:r>
      <w:r w:rsidR="00D548FC" w:rsidRPr="00FD5341">
        <w:rPr>
          <w:szCs w:val="24"/>
        </w:rPr>
        <w:t xml:space="preserve"> and relying heavily on Federal Tort Claims Act</w:t>
      </w:r>
      <w:r w:rsidR="00D31CB2">
        <w:rPr>
          <w:szCs w:val="24"/>
        </w:rPr>
        <w:t xml:space="preserve"> (the “FTCA”)</w:t>
      </w:r>
      <w:r w:rsidR="00D548FC" w:rsidRPr="00FD5341">
        <w:rPr>
          <w:szCs w:val="24"/>
        </w:rPr>
        <w:t xml:space="preserve"> cases</w:t>
      </w:r>
      <w:r w:rsidR="007253D5" w:rsidRPr="00FD5341">
        <w:rPr>
          <w:szCs w:val="24"/>
        </w:rPr>
        <w:t xml:space="preserve"> instead of ADA and Section 504 cases</w:t>
      </w:r>
      <w:r w:rsidR="007126D2" w:rsidRPr="00FD5341">
        <w:rPr>
          <w:szCs w:val="24"/>
        </w:rPr>
        <w:t>,</w:t>
      </w:r>
      <w:r w:rsidR="00CA11AD" w:rsidRPr="00FD5341">
        <w:rPr>
          <w:szCs w:val="24"/>
        </w:rPr>
        <w:t xml:space="preserve"> </w:t>
      </w:r>
      <w:r w:rsidR="00D548FC" w:rsidRPr="00FD5341">
        <w:rPr>
          <w:szCs w:val="24"/>
        </w:rPr>
        <w:t>is</w:t>
      </w:r>
      <w:r w:rsidR="00CA11AD" w:rsidRPr="00FD5341">
        <w:rPr>
          <w:szCs w:val="24"/>
        </w:rPr>
        <w:t xml:space="preserve"> that the District’s contractors </w:t>
      </w:r>
      <w:r w:rsidR="009B516C" w:rsidRPr="00FD5341">
        <w:rPr>
          <w:szCs w:val="24"/>
        </w:rPr>
        <w:t>are independent contractors</w:t>
      </w:r>
      <w:r w:rsidR="000D2D0A" w:rsidRPr="00FD5341">
        <w:rPr>
          <w:szCs w:val="24"/>
        </w:rPr>
        <w:t xml:space="preserve"> </w:t>
      </w:r>
      <w:r w:rsidR="009B516C" w:rsidRPr="00FD5341">
        <w:rPr>
          <w:szCs w:val="24"/>
        </w:rPr>
        <w:t xml:space="preserve">and therefore unable to give rise to </w:t>
      </w:r>
      <w:r w:rsidR="007253D5" w:rsidRPr="00FD5341">
        <w:rPr>
          <w:szCs w:val="24"/>
        </w:rPr>
        <w:t xml:space="preserve">the </w:t>
      </w:r>
      <w:r w:rsidR="001C7D01">
        <w:rPr>
          <w:szCs w:val="24"/>
        </w:rPr>
        <w:t>indirect</w:t>
      </w:r>
      <w:r w:rsidR="001C7D01" w:rsidRPr="00FD5341">
        <w:rPr>
          <w:szCs w:val="24"/>
        </w:rPr>
        <w:t xml:space="preserve"> </w:t>
      </w:r>
      <w:r w:rsidR="009B516C" w:rsidRPr="00FD5341">
        <w:rPr>
          <w:szCs w:val="24"/>
        </w:rPr>
        <w:t xml:space="preserve">liability </w:t>
      </w:r>
      <w:r w:rsidR="007253D5" w:rsidRPr="00FD5341">
        <w:rPr>
          <w:szCs w:val="24"/>
        </w:rPr>
        <w:t>of</w:t>
      </w:r>
      <w:r w:rsidR="009B516C" w:rsidRPr="00FD5341">
        <w:rPr>
          <w:szCs w:val="24"/>
        </w:rPr>
        <w:t xml:space="preserve"> the District</w:t>
      </w:r>
      <w:r w:rsidR="00CA11AD" w:rsidRPr="00FD5341">
        <w:rPr>
          <w:szCs w:val="24"/>
        </w:rPr>
        <w:t>.</w:t>
      </w:r>
      <w:r w:rsidR="00936079" w:rsidRPr="00FD5341">
        <w:rPr>
          <w:rStyle w:val="FootnoteReference"/>
          <w:szCs w:val="24"/>
        </w:rPr>
        <w:footnoteReference w:id="10"/>
      </w:r>
      <w:r w:rsidR="000D2D0A" w:rsidRPr="00FD5341">
        <w:rPr>
          <w:szCs w:val="24"/>
        </w:rPr>
        <w:t xml:space="preserve">  </w:t>
      </w:r>
      <w:r w:rsidR="000D2D0A" w:rsidRPr="00FD5341">
        <w:rPr>
          <w:i/>
          <w:szCs w:val="24"/>
        </w:rPr>
        <w:t>See id.</w:t>
      </w:r>
      <w:r w:rsidR="00D9131B" w:rsidRPr="00FD5341">
        <w:rPr>
          <w:szCs w:val="24"/>
        </w:rPr>
        <w:t xml:space="preserve"> </w:t>
      </w:r>
      <w:r w:rsidR="00CA11AD" w:rsidRPr="00FD5341">
        <w:rPr>
          <w:szCs w:val="24"/>
        </w:rPr>
        <w:t xml:space="preserve"> </w:t>
      </w:r>
      <w:r w:rsidR="00D548FC" w:rsidRPr="00FD5341">
        <w:rPr>
          <w:szCs w:val="24"/>
        </w:rPr>
        <w:t>This</w:t>
      </w:r>
      <w:r w:rsidR="009B516C" w:rsidRPr="00FD5341">
        <w:rPr>
          <w:szCs w:val="24"/>
        </w:rPr>
        <w:t xml:space="preserve"> </w:t>
      </w:r>
      <w:r w:rsidR="00D548FC" w:rsidRPr="00FD5341">
        <w:rPr>
          <w:szCs w:val="24"/>
        </w:rPr>
        <w:t>argument</w:t>
      </w:r>
      <w:r w:rsidR="009B516C" w:rsidRPr="00FD5341">
        <w:rPr>
          <w:szCs w:val="24"/>
        </w:rPr>
        <w:t xml:space="preserve"> </w:t>
      </w:r>
      <w:r w:rsidR="00D548FC" w:rsidRPr="00FD5341">
        <w:rPr>
          <w:szCs w:val="24"/>
        </w:rPr>
        <w:t xml:space="preserve">disregards </w:t>
      </w:r>
      <w:r w:rsidR="002276D5" w:rsidRPr="00FD5341">
        <w:rPr>
          <w:szCs w:val="24"/>
        </w:rPr>
        <w:t xml:space="preserve">basic agency law and </w:t>
      </w:r>
      <w:r w:rsidR="00D548FC" w:rsidRPr="00FD5341">
        <w:rPr>
          <w:szCs w:val="24"/>
        </w:rPr>
        <w:t>the clear guidance of the Regulations</w:t>
      </w:r>
      <w:r w:rsidR="002276D5" w:rsidRPr="00FD5341">
        <w:rPr>
          <w:szCs w:val="24"/>
        </w:rPr>
        <w:t>.</w:t>
      </w:r>
      <w:r w:rsidR="007253D5" w:rsidRPr="00FD5341">
        <w:rPr>
          <w:rStyle w:val="FootnoteReference"/>
          <w:szCs w:val="24"/>
        </w:rPr>
        <w:footnoteReference w:id="11"/>
      </w:r>
    </w:p>
    <w:p w:rsidR="0008453A" w:rsidRPr="00FD5341" w:rsidRDefault="007253D5" w:rsidP="003607CF">
      <w:pPr>
        <w:ind w:firstLine="720"/>
        <w:rPr>
          <w:szCs w:val="24"/>
        </w:rPr>
      </w:pPr>
      <w:r w:rsidRPr="00FD5341">
        <w:rPr>
          <w:szCs w:val="24"/>
        </w:rPr>
        <w:t>A</w:t>
      </w:r>
      <w:r w:rsidR="00E15A27" w:rsidRPr="00FD5341">
        <w:rPr>
          <w:szCs w:val="24"/>
        </w:rPr>
        <w:t xml:space="preserve"> basic principle of agency law is that p</w:t>
      </w:r>
      <w:r w:rsidR="00CF2E80" w:rsidRPr="00FD5341">
        <w:rPr>
          <w:szCs w:val="24"/>
        </w:rPr>
        <w:t xml:space="preserve">rincipals are responsible for the actions of their agents.  </w:t>
      </w:r>
      <w:r w:rsidR="00E15A27" w:rsidRPr="00FD5341">
        <w:rPr>
          <w:i/>
          <w:szCs w:val="24"/>
        </w:rPr>
        <w:t xml:space="preserve">See </w:t>
      </w:r>
      <w:r w:rsidR="00154308" w:rsidRPr="00FD5341">
        <w:rPr>
          <w:szCs w:val="24"/>
        </w:rPr>
        <w:t>Restatement (Third) Of Agency</w:t>
      </w:r>
      <w:r w:rsidR="00E15A27" w:rsidRPr="00FD5341">
        <w:rPr>
          <w:szCs w:val="24"/>
        </w:rPr>
        <w:t xml:space="preserve"> § 1.01 (2006).  Generally</w:t>
      </w:r>
      <w:r w:rsidR="00B815B6" w:rsidRPr="00FD5341">
        <w:rPr>
          <w:szCs w:val="24"/>
        </w:rPr>
        <w:t>,</w:t>
      </w:r>
      <w:r w:rsidR="00E15A27" w:rsidRPr="00FD5341">
        <w:rPr>
          <w:szCs w:val="24"/>
        </w:rPr>
        <w:t xml:space="preserve"> </w:t>
      </w:r>
      <w:r w:rsidR="00332926">
        <w:rPr>
          <w:szCs w:val="24"/>
        </w:rPr>
        <w:t>an employer is not liable for physical harm caused by its independent contractor</w:t>
      </w:r>
      <w:r w:rsidR="00E15A27" w:rsidRPr="00FD5341">
        <w:rPr>
          <w:szCs w:val="24"/>
        </w:rPr>
        <w:t xml:space="preserve">.  </w:t>
      </w:r>
      <w:r w:rsidR="00E15A27" w:rsidRPr="00FD5341">
        <w:rPr>
          <w:i/>
          <w:szCs w:val="24"/>
        </w:rPr>
        <w:t>Cooper v. U</w:t>
      </w:r>
      <w:r w:rsidR="00332926">
        <w:rPr>
          <w:i/>
          <w:szCs w:val="24"/>
        </w:rPr>
        <w:t xml:space="preserve">nited </w:t>
      </w:r>
      <w:r w:rsidR="00E15A27" w:rsidRPr="00FD5341">
        <w:rPr>
          <w:i/>
          <w:szCs w:val="24"/>
        </w:rPr>
        <w:t>S</w:t>
      </w:r>
      <w:r w:rsidR="00332926">
        <w:rPr>
          <w:i/>
          <w:szCs w:val="24"/>
        </w:rPr>
        <w:t>tates</w:t>
      </w:r>
      <w:r w:rsidR="00E15A27" w:rsidRPr="00FD5341">
        <w:rPr>
          <w:i/>
          <w:szCs w:val="24"/>
        </w:rPr>
        <w:t xml:space="preserve"> Gov’t &amp; Gen. Servs</w:t>
      </w:r>
      <w:r w:rsidR="00CF2E80" w:rsidRPr="00FD5341">
        <w:rPr>
          <w:szCs w:val="24"/>
        </w:rPr>
        <w:t>.</w:t>
      </w:r>
      <w:r w:rsidR="00E15A27" w:rsidRPr="00FD5341">
        <w:rPr>
          <w:i/>
          <w:szCs w:val="24"/>
        </w:rPr>
        <w:t xml:space="preserve"> Admin.</w:t>
      </w:r>
      <w:r w:rsidR="00E15A27" w:rsidRPr="00FD5341">
        <w:rPr>
          <w:szCs w:val="24"/>
        </w:rPr>
        <w:t xml:space="preserve">, 225 F. Supp. 2d 1, 5 (D.D.C. 2002).  </w:t>
      </w:r>
      <w:r w:rsidR="001131AF" w:rsidRPr="00FD5341">
        <w:rPr>
          <w:szCs w:val="24"/>
        </w:rPr>
        <w:t>However, the mere fact that the District</w:t>
      </w:r>
      <w:r w:rsidR="00CB7FB3" w:rsidRPr="00FD5341">
        <w:rPr>
          <w:szCs w:val="24"/>
        </w:rPr>
        <w:t xml:space="preserve"> ascribes the independent contractor label to </w:t>
      </w:r>
      <w:r w:rsidR="001131AF" w:rsidRPr="00FD5341">
        <w:rPr>
          <w:szCs w:val="24"/>
        </w:rPr>
        <w:t xml:space="preserve">the homeless shelter service </w:t>
      </w:r>
      <w:r w:rsidR="00405B01" w:rsidRPr="00FD5341">
        <w:rPr>
          <w:szCs w:val="24"/>
        </w:rPr>
        <w:t>providers “does</w:t>
      </w:r>
      <w:r w:rsidR="0008453A" w:rsidRPr="00FD5341">
        <w:rPr>
          <w:szCs w:val="24"/>
        </w:rPr>
        <w:t xml:space="preserve"> not end the inquiry.</w:t>
      </w:r>
      <w:r w:rsidR="00CB7FB3" w:rsidRPr="00FD5341">
        <w:rPr>
          <w:szCs w:val="24"/>
        </w:rPr>
        <w:t xml:space="preserve">”  </w:t>
      </w:r>
      <w:r w:rsidR="00CB7FB3" w:rsidRPr="00FD5341">
        <w:rPr>
          <w:i/>
          <w:szCs w:val="24"/>
        </w:rPr>
        <w:t>Schwieger v. Farm Bureau Ins. Co. of Nebraska</w:t>
      </w:r>
      <w:r w:rsidR="00CB7FB3" w:rsidRPr="00FD5341">
        <w:rPr>
          <w:szCs w:val="24"/>
        </w:rPr>
        <w:t xml:space="preserve">, 207 F.3d 480, 483 (8th Cir. 2000) (performing independent contractor analysis in </w:t>
      </w:r>
      <w:r w:rsidR="00332926">
        <w:rPr>
          <w:szCs w:val="24"/>
        </w:rPr>
        <w:t>the</w:t>
      </w:r>
      <w:r w:rsidR="00332926" w:rsidRPr="00FD5341">
        <w:rPr>
          <w:szCs w:val="24"/>
        </w:rPr>
        <w:t xml:space="preserve"> </w:t>
      </w:r>
      <w:r w:rsidR="00B815B6" w:rsidRPr="00FD5341">
        <w:rPr>
          <w:szCs w:val="24"/>
        </w:rPr>
        <w:t>analogous</w:t>
      </w:r>
      <w:r w:rsidR="00CB7FB3" w:rsidRPr="00FD5341">
        <w:rPr>
          <w:szCs w:val="24"/>
        </w:rPr>
        <w:t xml:space="preserve"> Title VII context).</w:t>
      </w:r>
    </w:p>
    <w:p w:rsidR="00514631" w:rsidRPr="00FD5341" w:rsidRDefault="00DD49EB" w:rsidP="00514631">
      <w:pPr>
        <w:ind w:firstLine="720"/>
        <w:rPr>
          <w:szCs w:val="24"/>
        </w:rPr>
      </w:pPr>
      <w:r w:rsidRPr="00FD5341">
        <w:rPr>
          <w:szCs w:val="24"/>
        </w:rPr>
        <w:t>An independent contractor is defined as</w:t>
      </w:r>
      <w:r w:rsidR="001131AF" w:rsidRPr="00FD5341">
        <w:rPr>
          <w:szCs w:val="24"/>
        </w:rPr>
        <w:t xml:space="preserve"> “a person who contracts with another to do something for him but who is not controlled by the other nor subject to the other’s right to control with respect to his physical conduct in the performance of the undertaking</w:t>
      </w:r>
      <w:r w:rsidR="0008453A" w:rsidRPr="00FD5341">
        <w:rPr>
          <w:szCs w:val="24"/>
        </w:rPr>
        <w:t xml:space="preserve">.” </w:t>
      </w:r>
      <w:r w:rsidR="0008453A" w:rsidRPr="00FD5341">
        <w:rPr>
          <w:i/>
          <w:szCs w:val="24"/>
        </w:rPr>
        <w:t xml:space="preserve"> </w:t>
      </w:r>
      <w:r w:rsidR="00154308" w:rsidRPr="00FD5341">
        <w:rPr>
          <w:szCs w:val="24"/>
        </w:rPr>
        <w:t>Restatement (Second) of Agency</w:t>
      </w:r>
      <w:r w:rsidRPr="00FD5341">
        <w:rPr>
          <w:szCs w:val="24"/>
        </w:rPr>
        <w:t xml:space="preserve"> § 2(3) (1958).</w:t>
      </w:r>
      <w:r w:rsidR="00405B01" w:rsidRPr="00FD5341">
        <w:rPr>
          <w:rStyle w:val="FootnoteReference"/>
          <w:szCs w:val="24"/>
        </w:rPr>
        <w:footnoteReference w:id="12"/>
      </w:r>
      <w:r w:rsidRPr="00FD5341">
        <w:rPr>
          <w:szCs w:val="24"/>
        </w:rPr>
        <w:t xml:space="preserve">  </w:t>
      </w:r>
      <w:r w:rsidR="008A4478" w:rsidRPr="00FD5341">
        <w:rPr>
          <w:szCs w:val="24"/>
        </w:rPr>
        <w:t xml:space="preserve">In other words, the essential element of an agency relationship is the right of the principal to control the performance of the agent.  </w:t>
      </w:r>
      <w:r w:rsidR="005721C5">
        <w:rPr>
          <w:i/>
          <w:szCs w:val="24"/>
        </w:rPr>
        <w:t xml:space="preserve">See </w:t>
      </w:r>
      <w:r w:rsidR="008A4478" w:rsidRPr="00FD5341">
        <w:rPr>
          <w:i/>
          <w:szCs w:val="24"/>
        </w:rPr>
        <w:t>Miller v. D.F. Zee’s, Inc.</w:t>
      </w:r>
      <w:r w:rsidR="008A4478" w:rsidRPr="00FD5341">
        <w:rPr>
          <w:szCs w:val="24"/>
        </w:rPr>
        <w:t xml:space="preserve">, 31 F. Supp. 2d 792, 806 (D. Or. 1998).  </w:t>
      </w:r>
      <w:r w:rsidRPr="00FD5341">
        <w:rPr>
          <w:szCs w:val="24"/>
        </w:rPr>
        <w:t>A leading case in the District characteriz</w:t>
      </w:r>
      <w:r w:rsidR="00514631" w:rsidRPr="00FD5341">
        <w:rPr>
          <w:szCs w:val="24"/>
        </w:rPr>
        <w:t>es</w:t>
      </w:r>
      <w:r w:rsidRPr="00FD5341">
        <w:rPr>
          <w:szCs w:val="24"/>
        </w:rPr>
        <w:t xml:space="preserve"> the right to control </w:t>
      </w:r>
      <w:r w:rsidR="00514631" w:rsidRPr="00FD5341">
        <w:rPr>
          <w:szCs w:val="24"/>
        </w:rPr>
        <w:t>as</w:t>
      </w:r>
      <w:r w:rsidR="007126D2" w:rsidRPr="00FD5341">
        <w:rPr>
          <w:szCs w:val="24"/>
        </w:rPr>
        <w:t>,</w:t>
      </w:r>
      <w:r w:rsidR="00514631" w:rsidRPr="00FD5341">
        <w:rPr>
          <w:szCs w:val="24"/>
        </w:rPr>
        <w:t xml:space="preserve"> “</w:t>
      </w:r>
      <w:r w:rsidRPr="00FD5341">
        <w:rPr>
          <w:szCs w:val="24"/>
        </w:rPr>
        <w:t xml:space="preserve">the </w:t>
      </w:r>
      <w:r w:rsidRPr="007E1C88">
        <w:rPr>
          <w:rStyle w:val="Emphasis"/>
        </w:rPr>
        <w:t>right</w:t>
      </w:r>
      <w:r w:rsidRPr="00FD5341">
        <w:rPr>
          <w:szCs w:val="24"/>
        </w:rPr>
        <w:t xml:space="preserve"> to control an employee in the performance of a task and in its result, and not the actual exercise of control or supervision.”  </w:t>
      </w:r>
      <w:r w:rsidRPr="00FD5341">
        <w:rPr>
          <w:i/>
          <w:szCs w:val="24"/>
        </w:rPr>
        <w:t>Safeway Stores Inc. v. Kelly</w:t>
      </w:r>
      <w:r w:rsidRPr="00FD5341">
        <w:rPr>
          <w:szCs w:val="24"/>
        </w:rPr>
        <w:t>, 448 A.2d 856, 860</w:t>
      </w:r>
      <w:r w:rsidR="00142EAB" w:rsidRPr="00FD5341">
        <w:rPr>
          <w:szCs w:val="24"/>
        </w:rPr>
        <w:t xml:space="preserve"> (1982) (citing </w:t>
      </w:r>
      <w:r w:rsidR="00142EAB" w:rsidRPr="00FD5341">
        <w:rPr>
          <w:i/>
          <w:szCs w:val="24"/>
        </w:rPr>
        <w:t>Dovell v. Arundel Supply Corp.</w:t>
      </w:r>
      <w:r w:rsidR="00142EAB" w:rsidRPr="00FD5341">
        <w:rPr>
          <w:szCs w:val="24"/>
        </w:rPr>
        <w:t xml:space="preserve">, 361 F.2d 543, 545 (1966)) (emphasis added); </w:t>
      </w:r>
      <w:r w:rsidR="00142EAB" w:rsidRPr="00FD5341">
        <w:rPr>
          <w:i/>
          <w:szCs w:val="24"/>
        </w:rPr>
        <w:t>see also Giles v. Shell Oil Corp.</w:t>
      </w:r>
      <w:r w:rsidR="00142EAB" w:rsidRPr="00FD5341">
        <w:rPr>
          <w:szCs w:val="24"/>
        </w:rPr>
        <w:t>, 487 A.2d 610, 611 (1985) (“[T]he right of control . . . [is] the right to direct the manner in w</w:t>
      </w:r>
      <w:r w:rsidR="00514631" w:rsidRPr="00FD5341">
        <w:rPr>
          <w:szCs w:val="24"/>
        </w:rPr>
        <w:t xml:space="preserve">hich the work shall be done.”).  </w:t>
      </w:r>
      <w:r w:rsidR="008A4478" w:rsidRPr="00FD5341">
        <w:rPr>
          <w:szCs w:val="24"/>
        </w:rPr>
        <w:t xml:space="preserve">However, </w:t>
      </w:r>
      <w:r w:rsidR="00514631" w:rsidRPr="00FD5341">
        <w:rPr>
          <w:szCs w:val="24"/>
        </w:rPr>
        <w:t>“</w:t>
      </w:r>
      <w:r w:rsidR="008A4478" w:rsidRPr="00FD5341">
        <w:rPr>
          <w:szCs w:val="24"/>
        </w:rPr>
        <w:t>[i]</w:t>
      </w:r>
      <w:r w:rsidR="00514631" w:rsidRPr="00FD5341">
        <w:rPr>
          <w:szCs w:val="24"/>
        </w:rPr>
        <w:t xml:space="preserve">t does not matter whether the putative principal actually exercises control; what is important is that it has the </w:t>
      </w:r>
      <w:r w:rsidR="004E6FBE" w:rsidRPr="007E1C88">
        <w:rPr>
          <w:rStyle w:val="Emphasis"/>
        </w:rPr>
        <w:t>right</w:t>
      </w:r>
      <w:r w:rsidR="00514631" w:rsidRPr="00FD5341">
        <w:rPr>
          <w:szCs w:val="24"/>
        </w:rPr>
        <w:t xml:space="preserve"> to do so.”  </w:t>
      </w:r>
      <w:r w:rsidR="005721C5" w:rsidRPr="00FD5341">
        <w:rPr>
          <w:i/>
          <w:szCs w:val="24"/>
        </w:rPr>
        <w:t>D.F. Zee’s</w:t>
      </w:r>
      <w:r w:rsidR="005721C5">
        <w:rPr>
          <w:i/>
          <w:szCs w:val="24"/>
        </w:rPr>
        <w:t>, Inc.</w:t>
      </w:r>
      <w:r w:rsidR="005721C5">
        <w:rPr>
          <w:szCs w:val="24"/>
        </w:rPr>
        <w:t>,</w:t>
      </w:r>
      <w:r w:rsidR="005721C5" w:rsidRPr="00FD5341">
        <w:rPr>
          <w:szCs w:val="24"/>
        </w:rPr>
        <w:t xml:space="preserve"> 31 F. Supp. 2d </w:t>
      </w:r>
      <w:r w:rsidR="005721C5">
        <w:rPr>
          <w:szCs w:val="24"/>
        </w:rPr>
        <w:t>at</w:t>
      </w:r>
      <w:r w:rsidR="005721C5" w:rsidRPr="00FD5341">
        <w:rPr>
          <w:szCs w:val="24"/>
        </w:rPr>
        <w:t xml:space="preserve"> 806 </w:t>
      </w:r>
      <w:r w:rsidR="007126D2" w:rsidRPr="00FD5341">
        <w:rPr>
          <w:szCs w:val="24"/>
        </w:rPr>
        <w:t>(emphasis added).</w:t>
      </w:r>
    </w:p>
    <w:p w:rsidR="008052F2" w:rsidRPr="00FD5341" w:rsidRDefault="0098265E" w:rsidP="009120A5">
      <w:pPr>
        <w:ind w:firstLine="720"/>
        <w:rPr>
          <w:szCs w:val="24"/>
        </w:rPr>
      </w:pPr>
      <w:r w:rsidRPr="00FD5341">
        <w:rPr>
          <w:szCs w:val="24"/>
        </w:rPr>
        <w:t xml:space="preserve">Federal law, federal regulations, D.C. law, the contract between the District and the homeless shelter service providers, and </w:t>
      </w:r>
      <w:r w:rsidR="00317420">
        <w:rPr>
          <w:szCs w:val="24"/>
        </w:rPr>
        <w:t>the</w:t>
      </w:r>
      <w:r w:rsidRPr="00FD5341">
        <w:rPr>
          <w:szCs w:val="24"/>
        </w:rPr>
        <w:t xml:space="preserve"> previous </w:t>
      </w:r>
      <w:r w:rsidR="00317420">
        <w:rPr>
          <w:szCs w:val="24"/>
        </w:rPr>
        <w:t>S</w:t>
      </w:r>
      <w:r w:rsidRPr="00FD5341">
        <w:rPr>
          <w:szCs w:val="24"/>
        </w:rPr>
        <w:t xml:space="preserve">ettlement </w:t>
      </w:r>
      <w:r w:rsidR="00317420">
        <w:rPr>
          <w:szCs w:val="24"/>
        </w:rPr>
        <w:t>A</w:t>
      </w:r>
      <w:r w:rsidRPr="00FD5341">
        <w:rPr>
          <w:szCs w:val="24"/>
        </w:rPr>
        <w:t xml:space="preserve">greement with the </w:t>
      </w:r>
      <w:r w:rsidR="007E5387">
        <w:rPr>
          <w:szCs w:val="24"/>
        </w:rPr>
        <w:t>United States</w:t>
      </w:r>
      <w:r w:rsidRPr="00FD5341">
        <w:rPr>
          <w:szCs w:val="24"/>
        </w:rPr>
        <w:t xml:space="preserve"> all require that homeless shelter service contractors </w:t>
      </w:r>
      <w:r w:rsidR="008851AB" w:rsidRPr="00FD5341">
        <w:rPr>
          <w:szCs w:val="24"/>
        </w:rPr>
        <w:t xml:space="preserve">in the District of Columbia </w:t>
      </w:r>
      <w:r w:rsidRPr="00FD5341">
        <w:rPr>
          <w:szCs w:val="24"/>
        </w:rPr>
        <w:t xml:space="preserve">fulfill the </w:t>
      </w:r>
      <w:r w:rsidR="008851AB" w:rsidRPr="00FD5341">
        <w:rPr>
          <w:szCs w:val="24"/>
        </w:rPr>
        <w:t xml:space="preserve">District’s </w:t>
      </w:r>
      <w:r w:rsidR="00D345E8" w:rsidRPr="00FD5341">
        <w:rPr>
          <w:szCs w:val="24"/>
        </w:rPr>
        <w:t>t</w:t>
      </w:r>
      <w:r w:rsidRPr="00FD5341">
        <w:rPr>
          <w:szCs w:val="24"/>
        </w:rPr>
        <w:t xml:space="preserve">itle II requirements </w:t>
      </w:r>
      <w:r w:rsidR="008851AB" w:rsidRPr="00FD5341">
        <w:rPr>
          <w:szCs w:val="24"/>
        </w:rPr>
        <w:t xml:space="preserve">under </w:t>
      </w:r>
      <w:r w:rsidRPr="00FD5341">
        <w:rPr>
          <w:szCs w:val="24"/>
        </w:rPr>
        <w:t xml:space="preserve">the ADA.  </w:t>
      </w:r>
      <w:r w:rsidR="00283D36" w:rsidRPr="00FD5341">
        <w:rPr>
          <w:szCs w:val="24"/>
        </w:rPr>
        <w:t>42 U.S.C. § 12131(1)(A)-(B)</w:t>
      </w:r>
      <w:r w:rsidRPr="00FD5341">
        <w:rPr>
          <w:szCs w:val="24"/>
        </w:rPr>
        <w:t xml:space="preserve">; </w:t>
      </w:r>
      <w:r w:rsidR="00283D36" w:rsidRPr="00FD5341">
        <w:rPr>
          <w:szCs w:val="24"/>
        </w:rPr>
        <w:t>28 C.F.R. §</w:t>
      </w:r>
      <w:r w:rsidR="007253D5" w:rsidRPr="00FD5341">
        <w:rPr>
          <w:szCs w:val="24"/>
        </w:rPr>
        <w:t> </w:t>
      </w:r>
      <w:r w:rsidR="00283D36" w:rsidRPr="00FD5341">
        <w:rPr>
          <w:szCs w:val="24"/>
        </w:rPr>
        <w:t>35.130(b)(1)</w:t>
      </w:r>
      <w:r w:rsidRPr="00FD5341">
        <w:rPr>
          <w:szCs w:val="24"/>
        </w:rPr>
        <w:t xml:space="preserve">; D.C. Code § 4-754.11(2); </w:t>
      </w:r>
      <w:r w:rsidR="00FC139D">
        <w:rPr>
          <w:szCs w:val="24"/>
        </w:rPr>
        <w:t xml:space="preserve">Settlement Agreement </w:t>
      </w:r>
      <w:r w:rsidR="00FC139D" w:rsidRPr="00FD5341">
        <w:rPr>
          <w:szCs w:val="24"/>
        </w:rPr>
        <w:t xml:space="preserve">¶ </w:t>
      </w:r>
      <w:r w:rsidR="00FC139D">
        <w:rPr>
          <w:szCs w:val="24"/>
        </w:rPr>
        <w:t xml:space="preserve">24(a); </w:t>
      </w:r>
      <w:r w:rsidR="006E3F48" w:rsidRPr="00FD5341">
        <w:rPr>
          <w:szCs w:val="24"/>
        </w:rPr>
        <w:t xml:space="preserve">First </w:t>
      </w:r>
      <w:r w:rsidR="00B928FC" w:rsidRPr="00FD5341">
        <w:rPr>
          <w:szCs w:val="24"/>
        </w:rPr>
        <w:t>Am. Compl.</w:t>
      </w:r>
      <w:r w:rsidR="0038196F" w:rsidRPr="00FD5341">
        <w:rPr>
          <w:szCs w:val="24"/>
        </w:rPr>
        <w:t xml:space="preserve"> </w:t>
      </w:r>
      <w:r w:rsidRPr="00FD5341">
        <w:rPr>
          <w:szCs w:val="24"/>
        </w:rPr>
        <w:t xml:space="preserve">¶¶ 8, 10, 29, 59.  </w:t>
      </w:r>
      <w:r w:rsidR="009120A5" w:rsidRPr="00FD5341">
        <w:rPr>
          <w:szCs w:val="24"/>
        </w:rPr>
        <w:t xml:space="preserve">Similarly, the District </w:t>
      </w:r>
      <w:r w:rsidR="00FC139D">
        <w:rPr>
          <w:szCs w:val="24"/>
        </w:rPr>
        <w:t>wa</w:t>
      </w:r>
      <w:r w:rsidRPr="00FD5341">
        <w:rPr>
          <w:szCs w:val="24"/>
        </w:rPr>
        <w:t>s required to monitor the activities of its contractors to ensure that they</w:t>
      </w:r>
      <w:r w:rsidR="00514631" w:rsidRPr="00FD5341">
        <w:rPr>
          <w:szCs w:val="24"/>
        </w:rPr>
        <w:t xml:space="preserve"> comply with all applicable laws</w:t>
      </w:r>
      <w:r w:rsidRPr="00FD5341">
        <w:rPr>
          <w:szCs w:val="24"/>
        </w:rPr>
        <w:t>.</w:t>
      </w:r>
      <w:r w:rsidR="00514631" w:rsidRPr="00FD5341">
        <w:rPr>
          <w:szCs w:val="24"/>
        </w:rPr>
        <w:t xml:space="preserve"> </w:t>
      </w:r>
      <w:r w:rsidR="008851AB" w:rsidRPr="00FD5341">
        <w:rPr>
          <w:szCs w:val="24"/>
        </w:rPr>
        <w:t xml:space="preserve"> </w:t>
      </w:r>
      <w:r w:rsidR="00FC139D">
        <w:rPr>
          <w:szCs w:val="24"/>
        </w:rPr>
        <w:t xml:space="preserve">Settlement Agreement </w:t>
      </w:r>
      <w:r w:rsidR="00514631" w:rsidRPr="00FD5341">
        <w:rPr>
          <w:szCs w:val="24"/>
        </w:rPr>
        <w:t xml:space="preserve">¶ </w:t>
      </w:r>
      <w:r w:rsidR="00FC139D">
        <w:rPr>
          <w:szCs w:val="24"/>
        </w:rPr>
        <w:t>24(a)</w:t>
      </w:r>
      <w:r w:rsidR="00514631" w:rsidRPr="00FD5341">
        <w:rPr>
          <w:szCs w:val="24"/>
        </w:rPr>
        <w:t xml:space="preserve">. </w:t>
      </w:r>
      <w:r w:rsidR="008851AB" w:rsidRPr="00FD5341">
        <w:rPr>
          <w:szCs w:val="24"/>
        </w:rPr>
        <w:t xml:space="preserve"> </w:t>
      </w:r>
      <w:r w:rsidR="00514631" w:rsidRPr="00FD5341">
        <w:rPr>
          <w:szCs w:val="24"/>
        </w:rPr>
        <w:t>The District, therefore, has the right and the obligation to make certain that its contractors provide their servi</w:t>
      </w:r>
      <w:r w:rsidR="009120A5" w:rsidRPr="00FD5341">
        <w:rPr>
          <w:szCs w:val="24"/>
        </w:rPr>
        <w:t xml:space="preserve">ces in compliance with </w:t>
      </w:r>
      <w:r w:rsidR="00D345E8" w:rsidRPr="00FD5341">
        <w:rPr>
          <w:szCs w:val="24"/>
        </w:rPr>
        <w:t>t</w:t>
      </w:r>
      <w:r w:rsidR="009120A5" w:rsidRPr="00FD5341">
        <w:rPr>
          <w:szCs w:val="24"/>
        </w:rPr>
        <w:t xml:space="preserve">itle II.  This establishes </w:t>
      </w:r>
      <w:r w:rsidR="00FC139D">
        <w:rPr>
          <w:szCs w:val="24"/>
        </w:rPr>
        <w:t>for the purposes of this Motion</w:t>
      </w:r>
      <w:r w:rsidR="00374302">
        <w:rPr>
          <w:szCs w:val="24"/>
        </w:rPr>
        <w:t>,</w:t>
      </w:r>
      <w:r w:rsidR="00FC139D">
        <w:rPr>
          <w:szCs w:val="24"/>
        </w:rPr>
        <w:t xml:space="preserve"> </w:t>
      </w:r>
      <w:r w:rsidR="009120A5" w:rsidRPr="00FD5341">
        <w:rPr>
          <w:szCs w:val="24"/>
        </w:rPr>
        <w:t>an agency relationship</w:t>
      </w:r>
      <w:r w:rsidR="00F528D5" w:rsidRPr="00FD5341">
        <w:rPr>
          <w:szCs w:val="24"/>
        </w:rPr>
        <w:t>, based on the right to control,</w:t>
      </w:r>
      <w:r w:rsidR="009120A5" w:rsidRPr="00FD5341">
        <w:rPr>
          <w:szCs w:val="24"/>
        </w:rPr>
        <w:t xml:space="preserve"> between the District and its contractors</w:t>
      </w:r>
      <w:r w:rsidR="008851AB" w:rsidRPr="00FD5341">
        <w:rPr>
          <w:szCs w:val="24"/>
        </w:rPr>
        <w:t>, regardless of the presence of the “independent contractor” label</w:t>
      </w:r>
      <w:r w:rsidR="009120A5" w:rsidRPr="00FD5341">
        <w:rPr>
          <w:szCs w:val="24"/>
        </w:rPr>
        <w:t xml:space="preserve">. </w:t>
      </w:r>
    </w:p>
    <w:p w:rsidR="00D548FC" w:rsidRPr="00FD5341" w:rsidRDefault="006971E7" w:rsidP="007E1C88">
      <w:pPr>
        <w:pStyle w:val="Heading5"/>
      </w:pPr>
      <w:r w:rsidRPr="00FD5341">
        <w:t>Deliberate indifference does not require a showing of actual knowledge of the discriminatory acts.</w:t>
      </w:r>
    </w:p>
    <w:p w:rsidR="002C3C0B" w:rsidRDefault="002C3C0B" w:rsidP="007F68F1">
      <w:pPr>
        <w:ind w:firstLine="720"/>
        <w:rPr>
          <w:szCs w:val="24"/>
        </w:rPr>
      </w:pPr>
      <w:r>
        <w:rPr>
          <w:szCs w:val="24"/>
        </w:rPr>
        <w:t>T</w:t>
      </w:r>
      <w:r w:rsidRPr="00FD5341">
        <w:rPr>
          <w:szCs w:val="24"/>
        </w:rPr>
        <w:t xml:space="preserve">he District </w:t>
      </w:r>
      <w:r>
        <w:rPr>
          <w:szCs w:val="24"/>
        </w:rPr>
        <w:t>argues</w:t>
      </w:r>
      <w:r w:rsidRPr="00FD5341">
        <w:rPr>
          <w:szCs w:val="24"/>
        </w:rPr>
        <w:t xml:space="preserve"> that, “[w]hether the District is deliberately indifferent depends on the District’s knowledge, not what the other Defendants knew or should have known.”  Def</w:t>
      </w:r>
      <w:r w:rsidR="00374302">
        <w:rPr>
          <w:szCs w:val="24"/>
        </w:rPr>
        <w:t>.</w:t>
      </w:r>
      <w:r w:rsidR="005721C5">
        <w:rPr>
          <w:szCs w:val="24"/>
        </w:rPr>
        <w:t>’</w:t>
      </w:r>
      <w:r w:rsidRPr="00FD5341">
        <w:rPr>
          <w:szCs w:val="24"/>
        </w:rPr>
        <w:t xml:space="preserve">s Mot. Dismiss 6.  </w:t>
      </w:r>
      <w:r w:rsidR="00F82CAB" w:rsidRPr="00FD5341">
        <w:rPr>
          <w:szCs w:val="24"/>
        </w:rPr>
        <w:t>Proving de</w:t>
      </w:r>
      <w:r w:rsidR="00385224" w:rsidRPr="00FD5341">
        <w:rPr>
          <w:szCs w:val="24"/>
        </w:rPr>
        <w:t xml:space="preserve">liberate indifference requires, “both </w:t>
      </w:r>
      <w:r w:rsidR="00F82CAB" w:rsidRPr="00FD5341">
        <w:rPr>
          <w:szCs w:val="24"/>
        </w:rPr>
        <w:t>knowledge that a harm to a federally protecte</w:t>
      </w:r>
      <w:r w:rsidR="00385224" w:rsidRPr="00FD5341">
        <w:rPr>
          <w:szCs w:val="24"/>
        </w:rPr>
        <w:t>d right is substantially likely</w:t>
      </w:r>
      <w:r w:rsidR="00F82CAB" w:rsidRPr="00FD5341">
        <w:rPr>
          <w:szCs w:val="24"/>
        </w:rPr>
        <w:t xml:space="preserve"> and a failure to act upon that likelihood.</w:t>
      </w:r>
      <w:r w:rsidR="00C42BAD" w:rsidRPr="00FD5341">
        <w:rPr>
          <w:szCs w:val="24"/>
        </w:rPr>
        <w:t>”</w:t>
      </w:r>
      <w:r w:rsidR="00F82CAB" w:rsidRPr="00FD5341">
        <w:rPr>
          <w:szCs w:val="24"/>
        </w:rPr>
        <w:t xml:space="preserve">  </w:t>
      </w:r>
      <w:r w:rsidR="00385224" w:rsidRPr="00FD5341">
        <w:rPr>
          <w:i/>
          <w:szCs w:val="24"/>
        </w:rPr>
        <w:t>Duvall v. Cnty. of Kitsap</w:t>
      </w:r>
      <w:r w:rsidR="00F82CAB" w:rsidRPr="00FD5341">
        <w:rPr>
          <w:szCs w:val="24"/>
        </w:rPr>
        <w:t xml:space="preserve">, </w:t>
      </w:r>
      <w:r w:rsidR="00385224" w:rsidRPr="00FD5341">
        <w:rPr>
          <w:szCs w:val="24"/>
        </w:rPr>
        <w:t>260 F.3d 11</w:t>
      </w:r>
      <w:r w:rsidR="00F82CAB" w:rsidRPr="00FD5341">
        <w:rPr>
          <w:szCs w:val="24"/>
        </w:rPr>
        <w:t>2</w:t>
      </w:r>
      <w:r w:rsidR="00385224" w:rsidRPr="00FD5341">
        <w:rPr>
          <w:szCs w:val="24"/>
        </w:rPr>
        <w:t xml:space="preserve">4, 1139 </w:t>
      </w:r>
      <w:r w:rsidR="00F82CAB" w:rsidRPr="00FD5341">
        <w:rPr>
          <w:szCs w:val="24"/>
        </w:rPr>
        <w:t>(</w:t>
      </w:r>
      <w:r w:rsidR="00385224" w:rsidRPr="00FD5341">
        <w:rPr>
          <w:szCs w:val="24"/>
        </w:rPr>
        <w:t>9</w:t>
      </w:r>
      <w:r w:rsidR="00F82CAB" w:rsidRPr="00FD5341">
        <w:rPr>
          <w:szCs w:val="24"/>
        </w:rPr>
        <w:t>th Cir. 200</w:t>
      </w:r>
      <w:r w:rsidR="00385224" w:rsidRPr="00FD5341">
        <w:rPr>
          <w:szCs w:val="24"/>
        </w:rPr>
        <w:t>1</w:t>
      </w:r>
      <w:r w:rsidR="00F82CAB" w:rsidRPr="00FD5341">
        <w:rPr>
          <w:szCs w:val="24"/>
        </w:rPr>
        <w:t>)</w:t>
      </w:r>
      <w:r w:rsidR="000773C0" w:rsidRPr="00FD5341">
        <w:rPr>
          <w:szCs w:val="24"/>
        </w:rPr>
        <w:t xml:space="preserve"> (</w:t>
      </w:r>
      <w:r w:rsidR="00CB6A12">
        <w:rPr>
          <w:szCs w:val="24"/>
        </w:rPr>
        <w:t xml:space="preserve">applying </w:t>
      </w:r>
      <w:r w:rsidR="00EA3C26">
        <w:rPr>
          <w:szCs w:val="24"/>
        </w:rPr>
        <w:t>deliberate indifference standard from</w:t>
      </w:r>
      <w:r w:rsidR="000773C0" w:rsidRPr="00FD5341">
        <w:rPr>
          <w:szCs w:val="24"/>
        </w:rPr>
        <w:t xml:space="preserve"> </w:t>
      </w:r>
      <w:r w:rsidR="000773C0" w:rsidRPr="00FD5341">
        <w:rPr>
          <w:i/>
          <w:szCs w:val="24"/>
        </w:rPr>
        <w:t>City of Canton v. Harris</w:t>
      </w:r>
      <w:r w:rsidR="000773C0" w:rsidRPr="00FD5341">
        <w:rPr>
          <w:szCs w:val="24"/>
        </w:rPr>
        <w:t>, 489 U.S. 378, 389 (1988)</w:t>
      </w:r>
      <w:r w:rsidR="00EA3C26">
        <w:rPr>
          <w:szCs w:val="24"/>
        </w:rPr>
        <w:t xml:space="preserve">, a </w:t>
      </w:r>
      <w:r w:rsidR="00EA3C26" w:rsidRPr="00FD5341">
        <w:rPr>
          <w:szCs w:val="24"/>
        </w:rPr>
        <w:t>§</w:t>
      </w:r>
      <w:r w:rsidR="00EA3C26">
        <w:rPr>
          <w:szCs w:val="24"/>
        </w:rPr>
        <w:t xml:space="preserve"> 1983 case, to a title II claim)</w:t>
      </w:r>
      <w:r w:rsidR="00F82CAB" w:rsidRPr="00FD5341">
        <w:rPr>
          <w:szCs w:val="24"/>
        </w:rPr>
        <w:t xml:space="preserve">. </w:t>
      </w:r>
      <w:r w:rsidR="00C516E1" w:rsidRPr="00FD5341">
        <w:rPr>
          <w:szCs w:val="24"/>
        </w:rPr>
        <w:t xml:space="preserve"> </w:t>
      </w:r>
    </w:p>
    <w:p w:rsidR="002C3C0B" w:rsidRPr="00FD5341" w:rsidRDefault="002C3C0B" w:rsidP="002C3C0B">
      <w:pPr>
        <w:ind w:firstLine="720"/>
        <w:rPr>
          <w:szCs w:val="24"/>
        </w:rPr>
      </w:pPr>
      <w:r w:rsidRPr="00FD5341">
        <w:rPr>
          <w:szCs w:val="24"/>
        </w:rPr>
        <w:t>However, a finding on whether the District was deliberately indifferent</w:t>
      </w:r>
      <w:r w:rsidR="00E105F7">
        <w:rPr>
          <w:szCs w:val="24"/>
        </w:rPr>
        <w:t>, at this stage,</w:t>
      </w:r>
      <w:r w:rsidR="00FC139D">
        <w:rPr>
          <w:szCs w:val="24"/>
        </w:rPr>
        <w:t xml:space="preserve"> </w:t>
      </w:r>
      <w:r w:rsidRPr="00FD5341">
        <w:rPr>
          <w:szCs w:val="24"/>
        </w:rPr>
        <w:t xml:space="preserve">is premature.  As explained above, </w:t>
      </w:r>
      <w:r w:rsidR="0025273E">
        <w:rPr>
          <w:szCs w:val="24"/>
        </w:rPr>
        <w:t>a</w:t>
      </w:r>
      <w:r w:rsidR="00180B76">
        <w:rPr>
          <w:szCs w:val="24"/>
        </w:rPr>
        <w:t xml:space="preserve"> </w:t>
      </w:r>
      <w:r w:rsidRPr="00FD5341">
        <w:rPr>
          <w:szCs w:val="24"/>
        </w:rPr>
        <w:t>deliberate indifference inquiry</w:t>
      </w:r>
      <w:r w:rsidR="0025273E">
        <w:rPr>
          <w:szCs w:val="24"/>
        </w:rPr>
        <w:t xml:space="preserve"> should only be employed to determine the availability of compensatory</w:t>
      </w:r>
      <w:r w:rsidRPr="00FD5341">
        <w:rPr>
          <w:szCs w:val="24"/>
        </w:rPr>
        <w:t xml:space="preserve"> damages.  </w:t>
      </w:r>
      <w:r w:rsidRPr="00FD5341">
        <w:rPr>
          <w:i/>
          <w:szCs w:val="24"/>
        </w:rPr>
        <w:t>See supra</w:t>
      </w:r>
      <w:r w:rsidRPr="00FD5341">
        <w:rPr>
          <w:szCs w:val="24"/>
        </w:rPr>
        <w:t xml:space="preserve"> Part IV.C.2.a.  Additionally, deliberate indifference is a question of fact</w:t>
      </w:r>
      <w:r w:rsidR="00D31CB2">
        <w:rPr>
          <w:szCs w:val="24"/>
        </w:rPr>
        <w:t>,</w:t>
      </w:r>
      <w:r w:rsidRPr="00FD5341">
        <w:rPr>
          <w:szCs w:val="24"/>
        </w:rPr>
        <w:t xml:space="preserve"> and thus best submitted to a jury.  </w:t>
      </w:r>
      <w:r w:rsidRPr="00FD5341">
        <w:rPr>
          <w:i/>
          <w:szCs w:val="24"/>
        </w:rPr>
        <w:t>See, e.g.</w:t>
      </w:r>
      <w:r w:rsidRPr="00D31CB2">
        <w:rPr>
          <w:szCs w:val="24"/>
        </w:rPr>
        <w:t>,</w:t>
      </w:r>
      <w:r w:rsidRPr="00FD5341">
        <w:rPr>
          <w:i/>
          <w:szCs w:val="24"/>
        </w:rPr>
        <w:t xml:space="preserve"> Barnes v. District of Columbia</w:t>
      </w:r>
      <w:r w:rsidRPr="00FD5341">
        <w:rPr>
          <w:szCs w:val="24"/>
        </w:rPr>
        <w:t xml:space="preserve">, 793 F. Supp. 2d 260, 284 (D.D.C. 2011) (“[O]rdinarily the </w:t>
      </w:r>
      <w:r w:rsidRPr="00FD5341">
        <w:rPr>
          <w:rStyle w:val="cosearchterm6"/>
          <w:b w:val="0"/>
          <w:color w:val="auto"/>
          <w:szCs w:val="24"/>
        </w:rPr>
        <w:t>question</w:t>
      </w:r>
      <w:r w:rsidRPr="00FD5341">
        <w:rPr>
          <w:szCs w:val="24"/>
        </w:rPr>
        <w:t xml:space="preserve"> of whether a municipality has a </w:t>
      </w:r>
      <w:r w:rsidRPr="00FD5341">
        <w:rPr>
          <w:rStyle w:val="cosearchterm6"/>
          <w:b w:val="0"/>
          <w:color w:val="auto"/>
          <w:szCs w:val="24"/>
        </w:rPr>
        <w:t>deliberately</w:t>
      </w:r>
      <w:r w:rsidRPr="00FD5341">
        <w:rPr>
          <w:szCs w:val="24"/>
        </w:rPr>
        <w:t xml:space="preserve"> </w:t>
      </w:r>
      <w:r w:rsidRPr="00FD5341">
        <w:rPr>
          <w:rStyle w:val="cosearchterm6"/>
          <w:b w:val="0"/>
          <w:color w:val="auto"/>
          <w:szCs w:val="24"/>
        </w:rPr>
        <w:t>indifferent</w:t>
      </w:r>
      <w:r w:rsidRPr="00FD5341">
        <w:rPr>
          <w:szCs w:val="24"/>
        </w:rPr>
        <w:t xml:space="preserve"> policy or custom is for the </w:t>
      </w:r>
      <w:r w:rsidRPr="00FD5341">
        <w:rPr>
          <w:rStyle w:val="cosearchterm6"/>
          <w:b w:val="0"/>
          <w:color w:val="auto"/>
          <w:szCs w:val="24"/>
        </w:rPr>
        <w:t>jury</w:t>
      </w:r>
      <w:r w:rsidRPr="00FD5341">
        <w:rPr>
          <w:szCs w:val="24"/>
        </w:rPr>
        <w:t xml:space="preserve"> . . . .”).</w:t>
      </w:r>
      <w:r w:rsidR="00210BA3">
        <w:rPr>
          <w:szCs w:val="24"/>
        </w:rPr>
        <w:t xml:space="preserve">  </w:t>
      </w:r>
      <w:r w:rsidR="00C22AFC">
        <w:rPr>
          <w:szCs w:val="24"/>
        </w:rPr>
        <w:t xml:space="preserve">Here </w:t>
      </w:r>
      <w:r w:rsidR="00210BA3">
        <w:rPr>
          <w:szCs w:val="24"/>
        </w:rPr>
        <w:t>Plaintiffs</w:t>
      </w:r>
      <w:r w:rsidR="00C22AFC">
        <w:rPr>
          <w:szCs w:val="24"/>
        </w:rPr>
        <w:t xml:space="preserve"> not only</w:t>
      </w:r>
      <w:r w:rsidR="00210BA3">
        <w:rPr>
          <w:szCs w:val="24"/>
        </w:rPr>
        <w:t xml:space="preserve"> seek </w:t>
      </w:r>
      <w:r w:rsidR="00C22AFC">
        <w:rPr>
          <w:szCs w:val="24"/>
        </w:rPr>
        <w:t xml:space="preserve">compensatory damages, but also </w:t>
      </w:r>
      <w:r w:rsidR="00210BA3">
        <w:rPr>
          <w:szCs w:val="24"/>
        </w:rPr>
        <w:t xml:space="preserve">declaratory </w:t>
      </w:r>
      <w:r w:rsidR="0025273E">
        <w:rPr>
          <w:szCs w:val="24"/>
        </w:rPr>
        <w:t xml:space="preserve">and injunctive </w:t>
      </w:r>
      <w:r w:rsidR="00210BA3">
        <w:rPr>
          <w:szCs w:val="24"/>
        </w:rPr>
        <w:t>relief</w:t>
      </w:r>
      <w:r w:rsidR="00C22AFC">
        <w:rPr>
          <w:szCs w:val="24"/>
        </w:rPr>
        <w:t xml:space="preserve">, the availability of which does </w:t>
      </w:r>
      <w:r w:rsidR="00180B76">
        <w:rPr>
          <w:szCs w:val="24"/>
        </w:rPr>
        <w:t xml:space="preserve">not rely </w:t>
      </w:r>
      <w:r w:rsidR="0025273E">
        <w:rPr>
          <w:szCs w:val="24"/>
        </w:rPr>
        <w:t xml:space="preserve">on a finding of deliberate indifference.  </w:t>
      </w:r>
      <w:r w:rsidR="00210BA3" w:rsidRPr="00FD5341">
        <w:rPr>
          <w:szCs w:val="24"/>
        </w:rPr>
        <w:t>First Am. Compl</w:t>
      </w:r>
      <w:r w:rsidR="00210BA3">
        <w:rPr>
          <w:szCs w:val="24"/>
        </w:rPr>
        <w:t>.</w:t>
      </w:r>
      <w:r w:rsidR="00180A2C">
        <w:rPr>
          <w:szCs w:val="24"/>
        </w:rPr>
        <w:t xml:space="preserve"> </w:t>
      </w:r>
      <w:r w:rsidR="00374302">
        <w:rPr>
          <w:szCs w:val="24"/>
        </w:rPr>
        <w:t xml:space="preserve">¶ </w:t>
      </w:r>
      <w:r w:rsidR="00180A2C">
        <w:rPr>
          <w:szCs w:val="24"/>
        </w:rPr>
        <w:t>38.</w:t>
      </w:r>
      <w:r w:rsidR="0025273E">
        <w:rPr>
          <w:szCs w:val="24"/>
        </w:rPr>
        <w:t xml:space="preserve">  </w:t>
      </w:r>
      <w:r w:rsidR="00FC139D">
        <w:rPr>
          <w:szCs w:val="24"/>
        </w:rPr>
        <w:t>W</w:t>
      </w:r>
      <w:r w:rsidR="00180B76">
        <w:rPr>
          <w:szCs w:val="24"/>
        </w:rPr>
        <w:t xml:space="preserve">hile a finding </w:t>
      </w:r>
      <w:r w:rsidR="00FC139D">
        <w:rPr>
          <w:szCs w:val="24"/>
        </w:rPr>
        <w:t xml:space="preserve">on deliberate indifference, therefore, </w:t>
      </w:r>
      <w:r w:rsidR="00180B76">
        <w:rPr>
          <w:szCs w:val="24"/>
        </w:rPr>
        <w:t xml:space="preserve">is not only premature, it would only address compensatory damages and not other relief sought by the Plaintiffs. </w:t>
      </w:r>
    </w:p>
    <w:p w:rsidR="002C3C0B" w:rsidRPr="00FD5341" w:rsidRDefault="00C22AFC" w:rsidP="002E703C">
      <w:pPr>
        <w:widowControl w:val="0"/>
        <w:ind w:firstLine="720"/>
        <w:rPr>
          <w:szCs w:val="24"/>
        </w:rPr>
      </w:pPr>
      <w:r>
        <w:rPr>
          <w:szCs w:val="24"/>
        </w:rPr>
        <w:t xml:space="preserve">Further, contrary to the District’s assertion, </w:t>
      </w:r>
      <w:r w:rsidR="00180B76">
        <w:rPr>
          <w:szCs w:val="24"/>
        </w:rPr>
        <w:t>t</w:t>
      </w:r>
      <w:r w:rsidR="002C3C0B" w:rsidRPr="00FD5341">
        <w:rPr>
          <w:szCs w:val="24"/>
        </w:rPr>
        <w:t>he deliberate indifference inquiry does not require proof of actual knowledge by the District, only, “</w:t>
      </w:r>
      <w:r w:rsidR="002C3C0B" w:rsidRPr="007E1C88">
        <w:rPr>
          <w:rStyle w:val="Emphasis"/>
        </w:rPr>
        <w:t>some</w:t>
      </w:r>
      <w:r w:rsidR="002C3C0B" w:rsidRPr="00FD5341">
        <w:rPr>
          <w:szCs w:val="24"/>
        </w:rPr>
        <w:t xml:space="preserve"> form of notice . . . and the opportunity to conform to statutory dictates . . . .”  </w:t>
      </w:r>
      <w:r w:rsidR="002C3C0B" w:rsidRPr="00FD5341">
        <w:rPr>
          <w:i/>
          <w:szCs w:val="24"/>
        </w:rPr>
        <w:t>Harris</w:t>
      </w:r>
      <w:r w:rsidR="002C3C0B" w:rsidRPr="00FD5341">
        <w:rPr>
          <w:szCs w:val="24"/>
        </w:rPr>
        <w:t xml:space="preserve">, 489 U.S. </w:t>
      </w:r>
      <w:r w:rsidR="00D31CB2">
        <w:rPr>
          <w:szCs w:val="24"/>
        </w:rPr>
        <w:t>at</w:t>
      </w:r>
      <w:r w:rsidR="002C3C0B" w:rsidRPr="00FD5341">
        <w:rPr>
          <w:szCs w:val="24"/>
        </w:rPr>
        <w:t xml:space="preserve"> 395 (O’Connor, J., concurring) (emphasis added).  In fact, as little as “benign neglect” of a city’s statutory duty to monitor private contractors is sufficient to state an ADA claim. </w:t>
      </w:r>
      <w:r w:rsidR="002C3C0B" w:rsidRPr="00FD5341">
        <w:rPr>
          <w:i/>
          <w:szCs w:val="24"/>
        </w:rPr>
        <w:t xml:space="preserve"> Deck v. City of Toledo</w:t>
      </w:r>
      <w:r w:rsidR="002C3C0B" w:rsidRPr="00FD5341">
        <w:rPr>
          <w:szCs w:val="24"/>
        </w:rPr>
        <w:t>, 56 F. Supp. 2d 886, 895 (N.D. Ohio 1999)</w:t>
      </w:r>
      <w:r w:rsidR="00EA3C26">
        <w:rPr>
          <w:szCs w:val="24"/>
        </w:rPr>
        <w:t xml:space="preserve">.  </w:t>
      </w:r>
      <w:r w:rsidR="002C3C0B" w:rsidRPr="00FD5341">
        <w:rPr>
          <w:szCs w:val="24"/>
        </w:rPr>
        <w:t>“When the plaintiff has alerted the . . . entity to his need for accommodation (or where the need for accommodation is obvious, or required by statute or regulation), the . . . entity is on notice that an accommodation is required.”).</w:t>
      </w:r>
      <w:r w:rsidR="00EA3C26">
        <w:rPr>
          <w:szCs w:val="24"/>
        </w:rPr>
        <w:t xml:space="preserve">  </w:t>
      </w:r>
      <w:r w:rsidR="00EA3C26" w:rsidRPr="00FD5341">
        <w:rPr>
          <w:i/>
          <w:szCs w:val="24"/>
        </w:rPr>
        <w:t>Duvall</w:t>
      </w:r>
      <w:r w:rsidR="00EA3C26" w:rsidRPr="00FD5341">
        <w:rPr>
          <w:szCs w:val="24"/>
        </w:rPr>
        <w:t>, 260 F.3d at 1139</w:t>
      </w:r>
      <w:r w:rsidR="00EA3C26">
        <w:rPr>
          <w:szCs w:val="24"/>
        </w:rPr>
        <w:t>.</w:t>
      </w:r>
      <w:r w:rsidR="002C3C0B" w:rsidRPr="00FD5341">
        <w:rPr>
          <w:szCs w:val="24"/>
        </w:rPr>
        <w:t xml:space="preserve">  The District was on notice that harm to a federally protected right was likely because </w:t>
      </w:r>
      <w:r w:rsidR="00F944AC">
        <w:rPr>
          <w:szCs w:val="24"/>
        </w:rPr>
        <w:t xml:space="preserve">of the </w:t>
      </w:r>
      <w:r w:rsidR="00180B76">
        <w:rPr>
          <w:szCs w:val="24"/>
        </w:rPr>
        <w:t>District’s p</w:t>
      </w:r>
      <w:r w:rsidR="00F944AC">
        <w:rPr>
          <w:szCs w:val="24"/>
        </w:rPr>
        <w:t xml:space="preserve">revious Settlement Agreement with the United States resolving </w:t>
      </w:r>
      <w:r w:rsidR="00180B76">
        <w:rPr>
          <w:szCs w:val="24"/>
        </w:rPr>
        <w:t>similar complaints</w:t>
      </w:r>
      <w:r w:rsidR="00F944AC">
        <w:rPr>
          <w:szCs w:val="24"/>
        </w:rPr>
        <w:t xml:space="preserve">, </w:t>
      </w:r>
      <w:r w:rsidR="002C3C0B" w:rsidRPr="00FD5341">
        <w:rPr>
          <w:szCs w:val="24"/>
        </w:rPr>
        <w:t xml:space="preserve">the Hunters </w:t>
      </w:r>
      <w:r w:rsidR="00374302">
        <w:rPr>
          <w:szCs w:val="24"/>
        </w:rPr>
        <w:t xml:space="preserve">had </w:t>
      </w:r>
      <w:r w:rsidR="002C3C0B" w:rsidRPr="00FD5341">
        <w:rPr>
          <w:szCs w:val="24"/>
        </w:rPr>
        <w:t>filed multiple accommodation requests</w:t>
      </w:r>
      <w:r w:rsidR="002C3C0B">
        <w:rPr>
          <w:szCs w:val="24"/>
        </w:rPr>
        <w:t xml:space="preserve"> with staff of the homeless shelter operators</w:t>
      </w:r>
      <w:r w:rsidR="002C3C0B" w:rsidRPr="00FD5341">
        <w:rPr>
          <w:szCs w:val="24"/>
        </w:rPr>
        <w:t>, the need for accommodation was obvious</w:t>
      </w:r>
      <w:r w:rsidR="002C3C0B">
        <w:rPr>
          <w:szCs w:val="24"/>
        </w:rPr>
        <w:t xml:space="preserve"> based on A.H.’s disabilities</w:t>
      </w:r>
      <w:r w:rsidR="002C3C0B" w:rsidRPr="00FD5341">
        <w:rPr>
          <w:szCs w:val="24"/>
        </w:rPr>
        <w:t xml:space="preserve">, and the accommodation was required by statute and regulation.  </w:t>
      </w:r>
      <w:r w:rsidR="002C3C0B" w:rsidRPr="00FD5341">
        <w:rPr>
          <w:i/>
          <w:szCs w:val="24"/>
        </w:rPr>
        <w:t>See</w:t>
      </w:r>
      <w:r w:rsidR="002C3C0B" w:rsidRPr="00FD5341">
        <w:rPr>
          <w:szCs w:val="24"/>
        </w:rPr>
        <w:t xml:space="preserve"> 42 U.S.C. § 12131(1)(A)-(B); 28 C.F.R. § 35.130(b)(1); D.C. Code § 4-754.11(2); </w:t>
      </w:r>
      <w:r w:rsidR="002C3C0B" w:rsidRPr="00FD5341">
        <w:rPr>
          <w:i/>
          <w:szCs w:val="24"/>
        </w:rPr>
        <w:t>Duvall</w:t>
      </w:r>
      <w:r w:rsidR="002C3C0B" w:rsidRPr="00FD5341">
        <w:rPr>
          <w:szCs w:val="24"/>
        </w:rPr>
        <w:t xml:space="preserve">, 260 F.3d at 1139; </w:t>
      </w:r>
      <w:r w:rsidR="00374302">
        <w:rPr>
          <w:szCs w:val="24"/>
        </w:rPr>
        <w:t xml:space="preserve">Settlement Agreement </w:t>
      </w:r>
      <w:r w:rsidR="00374302" w:rsidRPr="00FD5341">
        <w:rPr>
          <w:szCs w:val="24"/>
        </w:rPr>
        <w:t>¶</w:t>
      </w:r>
      <w:r w:rsidR="00374302">
        <w:rPr>
          <w:szCs w:val="24"/>
        </w:rPr>
        <w:t xml:space="preserve"> 7; </w:t>
      </w:r>
      <w:r w:rsidR="002C3C0B" w:rsidRPr="00FD5341">
        <w:rPr>
          <w:szCs w:val="24"/>
        </w:rPr>
        <w:t>First Am. Compl. ¶ 3.</w:t>
      </w:r>
      <w:r w:rsidR="00E429DB">
        <w:rPr>
          <w:szCs w:val="24"/>
        </w:rPr>
        <w:t xml:space="preserve">  </w:t>
      </w:r>
    </w:p>
    <w:p w:rsidR="0043785B" w:rsidRDefault="0009346B" w:rsidP="007E1C88">
      <w:pPr>
        <w:pStyle w:val="Heading5"/>
      </w:pPr>
      <w:r>
        <w:t>Even though not required, Plaintiffs have alleged actual knowledge by the District.</w:t>
      </w:r>
    </w:p>
    <w:p w:rsidR="00C229C0" w:rsidRPr="00FD5341" w:rsidRDefault="00EA3C26" w:rsidP="00D222DC">
      <w:pPr>
        <w:ind w:firstLine="720"/>
        <w:rPr>
          <w:szCs w:val="24"/>
        </w:rPr>
      </w:pPr>
      <w:r>
        <w:rPr>
          <w:szCs w:val="24"/>
        </w:rPr>
        <w:t xml:space="preserve">Even though it is not necessary to prove actual knowledge, the Hunters do allege actual knowledge by the District.  </w:t>
      </w:r>
      <w:r w:rsidR="00C804DA" w:rsidRPr="00FD5341">
        <w:rPr>
          <w:szCs w:val="24"/>
        </w:rPr>
        <w:t>In this case, t</w:t>
      </w:r>
      <w:r w:rsidR="001E553A" w:rsidRPr="00FD5341">
        <w:rPr>
          <w:szCs w:val="24"/>
        </w:rPr>
        <w:t>he homeless shelter</w:t>
      </w:r>
      <w:r w:rsidR="00FF67F6" w:rsidRPr="00FD5341">
        <w:rPr>
          <w:szCs w:val="24"/>
        </w:rPr>
        <w:t xml:space="preserve"> operators</w:t>
      </w:r>
      <w:r w:rsidR="001E553A" w:rsidRPr="00FD5341">
        <w:rPr>
          <w:szCs w:val="24"/>
        </w:rPr>
        <w:t xml:space="preserve"> had actual knowledge and authority to address the alleged discrimination</w:t>
      </w:r>
      <w:r w:rsidR="00EA1BDC" w:rsidRPr="00FD5341">
        <w:rPr>
          <w:szCs w:val="24"/>
        </w:rPr>
        <w:t>.</w:t>
      </w:r>
      <w:r w:rsidR="001E553A" w:rsidRPr="00FD5341">
        <w:rPr>
          <w:szCs w:val="24"/>
        </w:rPr>
        <w:t xml:space="preserve"> </w:t>
      </w:r>
      <w:r w:rsidR="00EA1BDC" w:rsidRPr="00FD5341">
        <w:rPr>
          <w:szCs w:val="24"/>
        </w:rPr>
        <w:t xml:space="preserve"> Therefore,</w:t>
      </w:r>
      <w:r w:rsidR="001E553A" w:rsidRPr="00FD5341">
        <w:rPr>
          <w:szCs w:val="24"/>
        </w:rPr>
        <w:t xml:space="preserve"> as agents of the District, their knowledge is imputed to the District.  </w:t>
      </w:r>
      <w:r w:rsidR="00FF67F6" w:rsidRPr="00FD5341">
        <w:rPr>
          <w:i/>
          <w:szCs w:val="24"/>
        </w:rPr>
        <w:t xml:space="preserve">See </w:t>
      </w:r>
      <w:r w:rsidR="001E553A" w:rsidRPr="00FD5341">
        <w:rPr>
          <w:i/>
          <w:szCs w:val="24"/>
        </w:rPr>
        <w:t>BCCI Holdings</w:t>
      </w:r>
      <w:r w:rsidR="00C229C0" w:rsidRPr="00FD5341">
        <w:rPr>
          <w:i/>
          <w:szCs w:val="24"/>
        </w:rPr>
        <w:t xml:space="preserve"> (Luxembourg), S.A. v. Clifford</w:t>
      </w:r>
      <w:r w:rsidR="00C229C0" w:rsidRPr="00FD5341">
        <w:rPr>
          <w:szCs w:val="24"/>
        </w:rPr>
        <w:t xml:space="preserve">, 964 F. Supp. 468, </w:t>
      </w:r>
      <w:r w:rsidR="00FF67F6" w:rsidRPr="00FD5341">
        <w:rPr>
          <w:szCs w:val="24"/>
        </w:rPr>
        <w:t>480 n.7</w:t>
      </w:r>
      <w:r w:rsidR="00C229C0" w:rsidRPr="00FD5341">
        <w:rPr>
          <w:szCs w:val="24"/>
        </w:rPr>
        <w:t xml:space="preserve"> (D.D.C. 1997)</w:t>
      </w:r>
      <w:r w:rsidR="00FF67F6" w:rsidRPr="00FD5341">
        <w:rPr>
          <w:szCs w:val="24"/>
        </w:rPr>
        <w:t xml:space="preserve"> (“</w:t>
      </w:r>
      <w:r w:rsidR="00C516E1" w:rsidRPr="00FD5341">
        <w:rPr>
          <w:szCs w:val="24"/>
        </w:rPr>
        <w:t xml:space="preserve">A </w:t>
      </w:r>
      <w:r w:rsidR="00FF67F6" w:rsidRPr="00FD5341">
        <w:rPr>
          <w:szCs w:val="24"/>
        </w:rPr>
        <w:t>principal cannot be allowed to ‘</w:t>
      </w:r>
      <w:r w:rsidR="00C516E1" w:rsidRPr="00FD5341">
        <w:rPr>
          <w:szCs w:val="24"/>
        </w:rPr>
        <w:t xml:space="preserve">avoid, by acting vicariously, burdens to which he would become subject if he were acting for himself. </w:t>
      </w:r>
      <w:r w:rsidR="00FF67F6" w:rsidRPr="00FD5341">
        <w:rPr>
          <w:szCs w:val="24"/>
        </w:rPr>
        <w:t xml:space="preserve"> </w:t>
      </w:r>
      <w:r w:rsidR="00C516E1" w:rsidRPr="00FD5341">
        <w:rPr>
          <w:szCs w:val="24"/>
        </w:rPr>
        <w:t>The so-called presumption that the principal knows what the agent knows is irrebuttable . . . .</w:t>
      </w:r>
      <w:r w:rsidR="00FF67F6" w:rsidRPr="00FD5341">
        <w:rPr>
          <w:szCs w:val="24"/>
        </w:rPr>
        <w:t>’”</w:t>
      </w:r>
      <w:r w:rsidR="00C516E1" w:rsidRPr="00FD5341">
        <w:rPr>
          <w:color w:val="252525"/>
          <w:szCs w:val="24"/>
        </w:rPr>
        <w:t>)</w:t>
      </w:r>
      <w:r w:rsidR="00C229C0" w:rsidRPr="00FD5341">
        <w:rPr>
          <w:szCs w:val="24"/>
        </w:rPr>
        <w:t xml:space="preserve">; </w:t>
      </w:r>
      <w:r w:rsidR="00C229C0" w:rsidRPr="00FD5341">
        <w:rPr>
          <w:i/>
          <w:szCs w:val="24"/>
        </w:rPr>
        <w:t>see supra</w:t>
      </w:r>
      <w:r w:rsidR="00C229C0" w:rsidRPr="00FD5341">
        <w:rPr>
          <w:szCs w:val="24"/>
        </w:rPr>
        <w:t xml:space="preserve"> Part IV.C.2.b.</w:t>
      </w:r>
    </w:p>
    <w:p w:rsidR="00096740" w:rsidRPr="00FD5341" w:rsidRDefault="00C229C0" w:rsidP="00D222DC">
      <w:pPr>
        <w:ind w:firstLine="720"/>
        <w:rPr>
          <w:szCs w:val="24"/>
        </w:rPr>
      </w:pPr>
      <w:r w:rsidRPr="00FD5341">
        <w:rPr>
          <w:szCs w:val="24"/>
        </w:rPr>
        <w:t xml:space="preserve">Furthermore, the court in </w:t>
      </w:r>
      <w:r w:rsidRPr="00FD5341">
        <w:rPr>
          <w:i/>
          <w:szCs w:val="24"/>
        </w:rPr>
        <w:t>Liese</w:t>
      </w:r>
      <w:r w:rsidRPr="00FD5341">
        <w:rPr>
          <w:szCs w:val="24"/>
        </w:rPr>
        <w:t xml:space="preserve"> clarifies the</w:t>
      </w:r>
      <w:r w:rsidR="00180B76">
        <w:rPr>
          <w:szCs w:val="24"/>
        </w:rPr>
        <w:t xml:space="preserve"> holding in</w:t>
      </w:r>
      <w:r w:rsidRPr="00FD5341">
        <w:rPr>
          <w:szCs w:val="24"/>
        </w:rPr>
        <w:t xml:space="preserve"> </w:t>
      </w:r>
      <w:r w:rsidRPr="00FD5341">
        <w:rPr>
          <w:i/>
          <w:szCs w:val="24"/>
        </w:rPr>
        <w:t>Gebser</w:t>
      </w:r>
      <w:r w:rsidR="00180B76">
        <w:rPr>
          <w:i/>
          <w:szCs w:val="24"/>
        </w:rPr>
        <w:t xml:space="preserve"> v. Lago Vista Indep</w:t>
      </w:r>
      <w:r w:rsidR="00374302">
        <w:rPr>
          <w:i/>
          <w:szCs w:val="24"/>
        </w:rPr>
        <w:t>endent</w:t>
      </w:r>
      <w:r w:rsidR="00180B76">
        <w:rPr>
          <w:i/>
          <w:szCs w:val="24"/>
        </w:rPr>
        <w:t xml:space="preserve"> Sch</w:t>
      </w:r>
      <w:r w:rsidR="00374302">
        <w:rPr>
          <w:i/>
          <w:szCs w:val="24"/>
        </w:rPr>
        <w:t>ool</w:t>
      </w:r>
      <w:r w:rsidR="00180B76">
        <w:rPr>
          <w:i/>
          <w:szCs w:val="24"/>
        </w:rPr>
        <w:t xml:space="preserve"> Dis</w:t>
      </w:r>
      <w:r w:rsidR="00374302">
        <w:rPr>
          <w:i/>
          <w:szCs w:val="24"/>
        </w:rPr>
        <w:t>trict</w:t>
      </w:r>
      <w:r w:rsidR="00180B76" w:rsidRPr="00180B76">
        <w:rPr>
          <w:szCs w:val="24"/>
        </w:rPr>
        <w:t>, 524 U.S. 274 (1998)</w:t>
      </w:r>
      <w:r w:rsidR="00D31CB2">
        <w:rPr>
          <w:szCs w:val="24"/>
        </w:rPr>
        <w:t>,</w:t>
      </w:r>
      <w:r w:rsidRPr="00FD5341">
        <w:rPr>
          <w:szCs w:val="24"/>
        </w:rPr>
        <w:t xml:space="preserve"> by explaining that, “the purpose of the ‘official’ requirement is to ensure that an entity is only liable for the deliberate indifference of someone whose actions can fairly be said to represent the actions of the organization.”  </w:t>
      </w:r>
      <w:r w:rsidR="00CF629E">
        <w:rPr>
          <w:i/>
          <w:szCs w:val="24"/>
        </w:rPr>
        <w:t>Liese</w:t>
      </w:r>
      <w:r w:rsidR="00374302">
        <w:rPr>
          <w:szCs w:val="24"/>
        </w:rPr>
        <w:t xml:space="preserve">, </w:t>
      </w:r>
      <w:r w:rsidR="00CF629E">
        <w:rPr>
          <w:szCs w:val="24"/>
        </w:rPr>
        <w:t>701</w:t>
      </w:r>
      <w:r w:rsidRPr="00FD5341">
        <w:rPr>
          <w:szCs w:val="24"/>
        </w:rPr>
        <w:t xml:space="preserve"> F.3d at 350.  As explained above, the homeless shelter </w:t>
      </w:r>
      <w:r w:rsidR="00FF67F6" w:rsidRPr="00FD5341">
        <w:rPr>
          <w:szCs w:val="24"/>
        </w:rPr>
        <w:t>operators</w:t>
      </w:r>
      <w:r w:rsidR="00C804DA" w:rsidRPr="00FD5341">
        <w:rPr>
          <w:szCs w:val="24"/>
        </w:rPr>
        <w:t>,</w:t>
      </w:r>
      <w:r w:rsidRPr="00FD5341">
        <w:rPr>
          <w:szCs w:val="24"/>
        </w:rPr>
        <w:t xml:space="preserve"> </w:t>
      </w:r>
      <w:r w:rsidR="00822EAB" w:rsidRPr="00FD5341">
        <w:rPr>
          <w:szCs w:val="24"/>
        </w:rPr>
        <w:t xml:space="preserve">as agents of the District, </w:t>
      </w:r>
      <w:r w:rsidRPr="00FD5341">
        <w:rPr>
          <w:szCs w:val="24"/>
        </w:rPr>
        <w:t>“</w:t>
      </w:r>
      <w:r w:rsidR="00C804DA" w:rsidRPr="00FD5341">
        <w:rPr>
          <w:szCs w:val="24"/>
        </w:rPr>
        <w:t xml:space="preserve">can </w:t>
      </w:r>
      <w:r w:rsidRPr="00FD5341">
        <w:rPr>
          <w:szCs w:val="24"/>
        </w:rPr>
        <w:t>fairly</w:t>
      </w:r>
      <w:r w:rsidR="00C804DA" w:rsidRPr="00FD5341">
        <w:rPr>
          <w:szCs w:val="24"/>
        </w:rPr>
        <w:t xml:space="preserve"> be said to</w:t>
      </w:r>
      <w:r w:rsidRPr="00FD5341">
        <w:rPr>
          <w:szCs w:val="24"/>
        </w:rPr>
        <w:t xml:space="preserve"> represent</w:t>
      </w:r>
      <w:r w:rsidR="00C804DA" w:rsidRPr="00FD5341">
        <w:rPr>
          <w:szCs w:val="24"/>
        </w:rPr>
        <w:t>”</w:t>
      </w:r>
      <w:r w:rsidRPr="00FD5341">
        <w:rPr>
          <w:szCs w:val="24"/>
        </w:rPr>
        <w:t xml:space="preserve"> the District in their provision of shelter services</w:t>
      </w:r>
      <w:r w:rsidR="00EA1BDC" w:rsidRPr="00FD5341">
        <w:rPr>
          <w:szCs w:val="24"/>
        </w:rPr>
        <w:t xml:space="preserve">.  </w:t>
      </w:r>
      <w:r w:rsidR="00822EAB" w:rsidRPr="00FD5341">
        <w:rPr>
          <w:i/>
          <w:szCs w:val="24"/>
        </w:rPr>
        <w:t>Id.</w:t>
      </w:r>
      <w:r w:rsidR="00822EAB" w:rsidRPr="00FD5341">
        <w:rPr>
          <w:szCs w:val="24"/>
        </w:rPr>
        <w:t>;</w:t>
      </w:r>
      <w:r w:rsidR="00822EAB" w:rsidRPr="00FD5341">
        <w:rPr>
          <w:i/>
          <w:szCs w:val="24"/>
        </w:rPr>
        <w:t xml:space="preserve"> s</w:t>
      </w:r>
      <w:r w:rsidR="00EA1BDC" w:rsidRPr="00FD5341">
        <w:rPr>
          <w:i/>
          <w:szCs w:val="24"/>
        </w:rPr>
        <w:t>ee supra</w:t>
      </w:r>
      <w:r w:rsidR="00EA1BDC" w:rsidRPr="00FD5341">
        <w:rPr>
          <w:szCs w:val="24"/>
        </w:rPr>
        <w:t xml:space="preserve"> Part IV.C.2.b.</w:t>
      </w:r>
    </w:p>
    <w:p w:rsidR="00B17125" w:rsidRDefault="00D87A8E">
      <w:pPr>
        <w:ind w:firstLine="720"/>
        <w:rPr>
          <w:szCs w:val="24"/>
        </w:rPr>
      </w:pPr>
      <w:r w:rsidRPr="00FD5341">
        <w:rPr>
          <w:szCs w:val="24"/>
        </w:rPr>
        <w:t>T</w:t>
      </w:r>
      <w:r w:rsidR="005C2461" w:rsidRPr="00FD5341">
        <w:rPr>
          <w:szCs w:val="24"/>
        </w:rPr>
        <w:t xml:space="preserve">he District’s argument that actual knowledge of intentional discrimination is necessary to </w:t>
      </w:r>
      <w:r w:rsidR="00F41A52" w:rsidRPr="00FD5341">
        <w:rPr>
          <w:szCs w:val="24"/>
        </w:rPr>
        <w:t xml:space="preserve">state a claim against the District </w:t>
      </w:r>
      <w:r w:rsidR="00D27C97" w:rsidRPr="00FD5341">
        <w:rPr>
          <w:szCs w:val="24"/>
        </w:rPr>
        <w:t xml:space="preserve">is </w:t>
      </w:r>
      <w:r w:rsidR="00F41A52" w:rsidRPr="00FD5341">
        <w:rPr>
          <w:szCs w:val="24"/>
        </w:rPr>
        <w:t>incorrect</w:t>
      </w:r>
      <w:r w:rsidR="00ED4350" w:rsidRPr="00FD5341">
        <w:rPr>
          <w:szCs w:val="24"/>
        </w:rPr>
        <w:t>.</w:t>
      </w:r>
      <w:r w:rsidRPr="00FD5341">
        <w:rPr>
          <w:szCs w:val="24"/>
        </w:rPr>
        <w:t xml:space="preserve"> </w:t>
      </w:r>
      <w:r w:rsidR="00D27C97" w:rsidRPr="00FD5341">
        <w:rPr>
          <w:szCs w:val="24"/>
        </w:rPr>
        <w:t xml:space="preserve"> </w:t>
      </w:r>
      <w:r w:rsidRPr="00FD5341">
        <w:rPr>
          <w:szCs w:val="24"/>
        </w:rPr>
        <w:t xml:space="preserve">Regardless, </w:t>
      </w:r>
      <w:r w:rsidR="00D27C97" w:rsidRPr="00FD5341">
        <w:rPr>
          <w:szCs w:val="24"/>
        </w:rPr>
        <w:t xml:space="preserve">their argument fails </w:t>
      </w:r>
      <w:r w:rsidRPr="00FD5341">
        <w:rPr>
          <w:szCs w:val="24"/>
        </w:rPr>
        <w:t xml:space="preserve">because the </w:t>
      </w:r>
      <w:r w:rsidR="00ED4350" w:rsidRPr="00FD5341">
        <w:rPr>
          <w:szCs w:val="24"/>
        </w:rPr>
        <w:t xml:space="preserve">plaintiffs have alleged sufficient facts in their complaint that the </w:t>
      </w:r>
      <w:r w:rsidRPr="00FD5341">
        <w:rPr>
          <w:szCs w:val="24"/>
        </w:rPr>
        <w:t>District was deliberately indifferent</w:t>
      </w:r>
      <w:r w:rsidR="00F41A52" w:rsidRPr="00FD5341">
        <w:rPr>
          <w:szCs w:val="24"/>
        </w:rPr>
        <w:t xml:space="preserve">.  </w:t>
      </w:r>
      <w:r w:rsidRPr="00FD5341">
        <w:rPr>
          <w:szCs w:val="24"/>
        </w:rPr>
        <w:t>In conclusion, t</w:t>
      </w:r>
      <w:r w:rsidR="00F41A52" w:rsidRPr="00FD5341">
        <w:rPr>
          <w:szCs w:val="24"/>
        </w:rPr>
        <w:t xml:space="preserve">he service providers with which the District contracts are agents of the District, are obligated to provide their services </w:t>
      </w:r>
      <w:r w:rsidR="007253D5" w:rsidRPr="00FD5341">
        <w:rPr>
          <w:szCs w:val="24"/>
        </w:rPr>
        <w:t>in compliance with</w:t>
      </w:r>
      <w:r w:rsidR="00F41A52" w:rsidRPr="00FD5341">
        <w:rPr>
          <w:szCs w:val="24"/>
        </w:rPr>
        <w:t xml:space="preserve"> </w:t>
      </w:r>
      <w:r w:rsidR="00D345E8" w:rsidRPr="00FD5341">
        <w:rPr>
          <w:szCs w:val="24"/>
        </w:rPr>
        <w:t>t</w:t>
      </w:r>
      <w:r w:rsidR="00F41A52" w:rsidRPr="00FD5341">
        <w:rPr>
          <w:szCs w:val="24"/>
        </w:rPr>
        <w:t xml:space="preserve">itle II requirements, and give rise to </w:t>
      </w:r>
      <w:r w:rsidR="00D27C97" w:rsidRPr="00FD5341">
        <w:rPr>
          <w:szCs w:val="24"/>
        </w:rPr>
        <w:t xml:space="preserve">indirect </w:t>
      </w:r>
      <w:r w:rsidR="00F41A52" w:rsidRPr="00FD5341">
        <w:rPr>
          <w:szCs w:val="24"/>
        </w:rPr>
        <w:t xml:space="preserve">liability </w:t>
      </w:r>
      <w:r w:rsidR="007253D5" w:rsidRPr="00FD5341">
        <w:rPr>
          <w:szCs w:val="24"/>
        </w:rPr>
        <w:t>by</w:t>
      </w:r>
      <w:r w:rsidR="00F41A52" w:rsidRPr="00FD5341">
        <w:rPr>
          <w:szCs w:val="24"/>
        </w:rPr>
        <w:t xml:space="preserve"> the District </w:t>
      </w:r>
      <w:r w:rsidR="001D65B1" w:rsidRPr="00FD5341">
        <w:rPr>
          <w:szCs w:val="24"/>
        </w:rPr>
        <w:t xml:space="preserve">when </w:t>
      </w:r>
      <w:r w:rsidR="00F41A52" w:rsidRPr="00FD5341">
        <w:rPr>
          <w:szCs w:val="24"/>
        </w:rPr>
        <w:t xml:space="preserve">they violate </w:t>
      </w:r>
      <w:r w:rsidR="00D345E8" w:rsidRPr="00FD5341">
        <w:rPr>
          <w:szCs w:val="24"/>
        </w:rPr>
        <w:t>t</w:t>
      </w:r>
      <w:r w:rsidR="00F41A52" w:rsidRPr="00FD5341">
        <w:rPr>
          <w:szCs w:val="24"/>
        </w:rPr>
        <w:t xml:space="preserve">itle II. </w:t>
      </w:r>
    </w:p>
    <w:p w:rsidR="001C53BC" w:rsidRPr="00FD5341" w:rsidRDefault="000C3551" w:rsidP="007E1C88">
      <w:pPr>
        <w:pStyle w:val="Heading3"/>
      </w:pPr>
      <w:r w:rsidRPr="000C3551">
        <w:t>The Court Should Not Dismiss Alleged Violations of the Fair Housing Act</w:t>
      </w:r>
    </w:p>
    <w:p w:rsidR="007A7830" w:rsidRDefault="004502E7">
      <w:pPr>
        <w:rPr>
          <w:szCs w:val="24"/>
          <w:lang w:val="en-CA"/>
        </w:rPr>
      </w:pPr>
      <w:r w:rsidRPr="00FD5341">
        <w:rPr>
          <w:szCs w:val="24"/>
          <w:lang w:val="en-CA"/>
        </w:rPr>
        <w:tab/>
      </w:r>
      <w:r w:rsidR="000C3551" w:rsidRPr="000C3551">
        <w:rPr>
          <w:szCs w:val="24"/>
          <w:lang w:val="en-CA"/>
        </w:rPr>
        <w:t>Plaintiffs allege that the District’s actions violated the FHA</w:t>
      </w:r>
      <w:r w:rsidR="007A7830">
        <w:rPr>
          <w:szCs w:val="24"/>
          <w:lang w:val="en-CA"/>
        </w:rPr>
        <w:t xml:space="preserve">. </w:t>
      </w:r>
      <w:r w:rsidR="000C3551" w:rsidRPr="000C3551">
        <w:rPr>
          <w:szCs w:val="24"/>
          <w:lang w:val="en-CA"/>
        </w:rPr>
        <w:t xml:space="preserve"> 42 U.S.C. § 3604(f)(1)-(f)(3)</w:t>
      </w:r>
      <w:r w:rsidR="007A7830">
        <w:rPr>
          <w:szCs w:val="24"/>
          <w:lang w:val="en-CA"/>
        </w:rPr>
        <w:t>;</w:t>
      </w:r>
      <w:r w:rsidR="000C3551" w:rsidRPr="000C3551">
        <w:rPr>
          <w:szCs w:val="24"/>
          <w:lang w:val="en-CA"/>
        </w:rPr>
        <w:t xml:space="preserve"> First Am. Compl. ¶ 108.</w:t>
      </w:r>
    </w:p>
    <w:p w:rsidR="007A7830" w:rsidRDefault="000C3551">
      <w:pPr>
        <w:ind w:firstLine="360"/>
        <w:rPr>
          <w:szCs w:val="24"/>
        </w:rPr>
      </w:pPr>
      <w:r w:rsidRPr="000C3551">
        <w:rPr>
          <w:szCs w:val="24"/>
          <w:lang w:val="en-CA"/>
        </w:rPr>
        <w:t xml:space="preserve">  Section 3604(f) provides that</w:t>
      </w:r>
      <w:r w:rsidRPr="000C3551">
        <w:rPr>
          <w:szCs w:val="24"/>
        </w:rPr>
        <w:t xml:space="preserve"> it is unlawful: </w:t>
      </w:r>
    </w:p>
    <w:p w:rsidR="004502E7" w:rsidRPr="00FD5341" w:rsidRDefault="007E1C88" w:rsidP="007E1C88">
      <w:pPr>
        <w:pStyle w:val="BlockText"/>
        <w:spacing w:after="0"/>
        <w:rPr>
          <w:lang w:val="en-CA"/>
        </w:rPr>
      </w:pPr>
      <w:r>
        <w:rPr>
          <w:lang w:val="en-CA"/>
        </w:rPr>
        <w:t xml:space="preserve">(1) </w:t>
      </w:r>
      <w:r w:rsidR="000C3551" w:rsidRPr="000C3551">
        <w:rPr>
          <w:lang w:val="en-CA"/>
        </w:rPr>
        <w:t>To discriminate in the sale or rental, or to otherwise make unavailable or deny, dwelling to any buyer or renter because of a handicap of—</w:t>
      </w:r>
    </w:p>
    <w:p w:rsidR="004502E7" w:rsidRPr="00FD5341" w:rsidRDefault="000C3551" w:rsidP="007E1C88">
      <w:pPr>
        <w:pStyle w:val="BlockText"/>
        <w:spacing w:after="0"/>
        <w:rPr>
          <w:lang w:val="en-CA"/>
        </w:rPr>
      </w:pPr>
      <w:r w:rsidRPr="000C3551">
        <w:rPr>
          <w:lang w:val="en-CA"/>
        </w:rPr>
        <w:t>(A) that buyer or renter</w:t>
      </w:r>
    </w:p>
    <w:p w:rsidR="004502E7" w:rsidRPr="00FD5341" w:rsidRDefault="000C3551" w:rsidP="007E1C88">
      <w:pPr>
        <w:pStyle w:val="BlockText"/>
        <w:spacing w:after="0"/>
        <w:rPr>
          <w:lang w:val="en-CA"/>
        </w:rPr>
      </w:pPr>
      <w:r w:rsidRPr="000C3551">
        <w:rPr>
          <w:lang w:val="en-CA"/>
        </w:rPr>
        <w:t>(B) a person residing in or intending to reside in that dwelling after it is so sold, rented, or made available; or</w:t>
      </w:r>
    </w:p>
    <w:p w:rsidR="007A7830" w:rsidRDefault="000C3551" w:rsidP="007E1C88">
      <w:pPr>
        <w:pStyle w:val="BlockText"/>
        <w:spacing w:after="0"/>
        <w:rPr>
          <w:lang w:val="en-CA"/>
        </w:rPr>
      </w:pPr>
      <w:r w:rsidRPr="000C3551">
        <w:rPr>
          <w:lang w:val="en-CA"/>
        </w:rPr>
        <w:t>(C) any person associated with that buyer or renter.</w:t>
      </w:r>
    </w:p>
    <w:p w:rsidR="004502E7" w:rsidRPr="00FD5341" w:rsidRDefault="000C3551" w:rsidP="007E1C88">
      <w:pPr>
        <w:pStyle w:val="BlockText"/>
        <w:spacing w:after="0"/>
        <w:rPr>
          <w:lang w:val="en-CA"/>
        </w:rPr>
      </w:pPr>
      <w:r w:rsidRPr="000C3551">
        <w:rPr>
          <w:lang w:val="en-CA"/>
        </w:rPr>
        <w:t>(2) To discriminate against any person in the terms, conditions, or privileges of sale or rental of a dwelling, or in the provision of services or facilities in connection with such dwelling, because of a handicap of—</w:t>
      </w:r>
    </w:p>
    <w:p w:rsidR="004502E7" w:rsidRPr="00FD5341" w:rsidRDefault="000C3551" w:rsidP="007E1C88">
      <w:pPr>
        <w:pStyle w:val="BlockText"/>
        <w:spacing w:after="0"/>
        <w:rPr>
          <w:lang w:val="en-CA"/>
        </w:rPr>
      </w:pPr>
      <w:r w:rsidRPr="000C3551">
        <w:rPr>
          <w:lang w:val="en-CA"/>
        </w:rPr>
        <w:t>(A) that person; or</w:t>
      </w:r>
    </w:p>
    <w:p w:rsidR="004502E7" w:rsidRPr="00FD5341" w:rsidRDefault="000C3551" w:rsidP="007E1C88">
      <w:pPr>
        <w:pStyle w:val="BlockText"/>
        <w:spacing w:after="0"/>
        <w:rPr>
          <w:lang w:val="en-CA"/>
        </w:rPr>
      </w:pPr>
      <w:r w:rsidRPr="000C3551">
        <w:rPr>
          <w:lang w:val="en-CA"/>
        </w:rPr>
        <w:t>(B) a person residing in or intending to reside in that dwelling after it is so sold, rented, or made available; or</w:t>
      </w:r>
    </w:p>
    <w:p w:rsidR="007A7830" w:rsidRDefault="000C3551" w:rsidP="007E1C88">
      <w:pPr>
        <w:pStyle w:val="BlockText"/>
        <w:spacing w:after="0"/>
        <w:rPr>
          <w:lang w:val="en-CA"/>
        </w:rPr>
      </w:pPr>
      <w:r w:rsidRPr="000C3551">
        <w:rPr>
          <w:lang w:val="en-CA"/>
        </w:rPr>
        <w:t xml:space="preserve">(C) any person associated with that person.  </w:t>
      </w:r>
    </w:p>
    <w:p w:rsidR="007A7830" w:rsidRDefault="000C3551" w:rsidP="007E1C88">
      <w:pPr>
        <w:pStyle w:val="BlockText"/>
        <w:spacing w:after="0"/>
        <w:rPr>
          <w:lang w:val="en-CA"/>
        </w:rPr>
      </w:pPr>
      <w:r w:rsidRPr="000C3551">
        <w:rPr>
          <w:lang w:val="en-CA"/>
        </w:rPr>
        <w:t>(3) For purposes of this subsection, discrimination includes—</w:t>
      </w:r>
    </w:p>
    <w:p w:rsidR="007A7830" w:rsidRDefault="000C3551" w:rsidP="007E1C88">
      <w:pPr>
        <w:pStyle w:val="BlockText"/>
        <w:spacing w:after="0"/>
        <w:rPr>
          <w:lang w:val="en-CA"/>
        </w:rPr>
      </w:pPr>
      <w:r w:rsidRPr="000C3551">
        <w:rPr>
          <w:lang w:val="en-CA"/>
        </w:rPr>
        <w:t xml:space="preserve">. . . </w:t>
      </w:r>
    </w:p>
    <w:p w:rsidR="007E1C88" w:rsidRDefault="000C3551" w:rsidP="007E1C88">
      <w:pPr>
        <w:pStyle w:val="BlockText"/>
        <w:rPr>
          <w:lang w:val="en-CA"/>
        </w:rPr>
      </w:pPr>
      <w:r w:rsidRPr="000C3551">
        <w:rPr>
          <w:lang w:val="en-CA"/>
        </w:rPr>
        <w:t>(B) a refusal to make reasonable accommodations in rules, policies, practices, or services, when such accommodations may be necessary to afford such person equal opportunity to use and enjoy a dwelling</w:t>
      </w:r>
      <w:r w:rsidR="00205EF4">
        <w:rPr>
          <w:lang w:val="en-CA"/>
        </w:rPr>
        <w:t xml:space="preserve"> . . .</w:t>
      </w:r>
      <w:r w:rsidRPr="000C3551">
        <w:rPr>
          <w:lang w:val="en-CA"/>
        </w:rPr>
        <w:t xml:space="preserve"> </w:t>
      </w:r>
    </w:p>
    <w:p w:rsidR="007A7830" w:rsidRDefault="000C3551">
      <w:pPr>
        <w:rPr>
          <w:szCs w:val="24"/>
          <w:lang w:val="en-CA"/>
        </w:rPr>
      </w:pPr>
      <w:r w:rsidRPr="000C3551">
        <w:rPr>
          <w:szCs w:val="24"/>
          <w:lang w:val="en-CA"/>
        </w:rPr>
        <w:t xml:space="preserve">42 U.S.C. </w:t>
      </w:r>
      <w:r w:rsidR="00A263B6">
        <w:rPr>
          <w:szCs w:val="24"/>
          <w:lang w:val="en-CA"/>
        </w:rPr>
        <w:t xml:space="preserve">§ </w:t>
      </w:r>
      <w:r w:rsidRPr="000C3551">
        <w:rPr>
          <w:szCs w:val="24"/>
          <w:lang w:val="en-CA"/>
        </w:rPr>
        <w:t>3604(f)(1)-(3).</w:t>
      </w:r>
    </w:p>
    <w:p w:rsidR="007A7830" w:rsidRDefault="00725BC6">
      <w:pPr>
        <w:ind w:firstLine="720"/>
        <w:rPr>
          <w:szCs w:val="24"/>
          <w:lang w:val="en-CA"/>
        </w:rPr>
      </w:pPr>
      <w:r>
        <w:rPr>
          <w:szCs w:val="24"/>
          <w:lang w:val="en-CA"/>
        </w:rPr>
        <w:t>The District</w:t>
      </w:r>
      <w:r w:rsidRPr="000C3551">
        <w:rPr>
          <w:szCs w:val="24"/>
          <w:lang w:val="en-CA"/>
        </w:rPr>
        <w:t xml:space="preserve"> </w:t>
      </w:r>
      <w:r w:rsidR="000C3551" w:rsidRPr="000C3551">
        <w:rPr>
          <w:szCs w:val="24"/>
          <w:lang w:val="en-CA"/>
        </w:rPr>
        <w:t>argue</w:t>
      </w:r>
      <w:r>
        <w:rPr>
          <w:szCs w:val="24"/>
          <w:lang w:val="en-CA"/>
        </w:rPr>
        <w:t>s</w:t>
      </w:r>
      <w:r w:rsidR="000C3551" w:rsidRPr="000C3551">
        <w:rPr>
          <w:szCs w:val="24"/>
          <w:lang w:val="en-CA"/>
        </w:rPr>
        <w:t xml:space="preserve"> that </w:t>
      </w:r>
      <w:r w:rsidR="00374302">
        <w:rPr>
          <w:szCs w:val="24"/>
          <w:lang w:val="en-CA"/>
        </w:rPr>
        <w:t>P</w:t>
      </w:r>
      <w:r w:rsidR="000C3551" w:rsidRPr="000C3551">
        <w:rPr>
          <w:szCs w:val="24"/>
          <w:lang w:val="en-CA"/>
        </w:rPr>
        <w:t>laintiffs’ FHA claims should be dismissed because: (1) shelters are not “dwellings” under the FHA; and (2) shelter residents are not protected by the FHA because they are not “buyers” or “renters” of dwellings.</w:t>
      </w:r>
      <w:r w:rsidR="004502E7" w:rsidRPr="00FD5341">
        <w:rPr>
          <w:rStyle w:val="FootnoteReference"/>
          <w:szCs w:val="24"/>
          <w:lang w:val="en-CA"/>
        </w:rPr>
        <w:footnoteReference w:id="13"/>
      </w:r>
      <w:r w:rsidR="004502E7" w:rsidRPr="00FD5341">
        <w:rPr>
          <w:szCs w:val="24"/>
          <w:lang w:val="en-CA"/>
        </w:rPr>
        <w:t xml:space="preserve">  </w:t>
      </w:r>
      <w:r w:rsidR="00A17B41">
        <w:rPr>
          <w:szCs w:val="24"/>
          <w:lang w:val="en-CA"/>
        </w:rPr>
        <w:t xml:space="preserve">Def.’s Mot. Dismiss 11-16.  </w:t>
      </w:r>
      <w:r w:rsidR="004502E7" w:rsidRPr="00FD5341">
        <w:rPr>
          <w:szCs w:val="24"/>
          <w:lang w:val="en-CA"/>
        </w:rPr>
        <w:t>As explained below, these arguments are without merit.</w:t>
      </w:r>
    </w:p>
    <w:p w:rsidR="007A7830" w:rsidRDefault="000C3551" w:rsidP="00A17B41">
      <w:pPr>
        <w:pStyle w:val="Heading4"/>
      </w:pPr>
      <w:r w:rsidRPr="000C3551">
        <w:t>Shelters are “</w:t>
      </w:r>
      <w:r w:rsidR="00A17B41">
        <w:t>D</w:t>
      </w:r>
      <w:r w:rsidRPr="000C3551">
        <w:t xml:space="preserve">wellings” </w:t>
      </w:r>
      <w:r w:rsidR="00A17B41">
        <w:t>U</w:t>
      </w:r>
      <w:r w:rsidRPr="000C3551">
        <w:t>nder the Fair Housing Act</w:t>
      </w:r>
    </w:p>
    <w:p w:rsidR="007A7830" w:rsidRDefault="004502E7">
      <w:pPr>
        <w:ind w:firstLine="720"/>
        <w:rPr>
          <w:szCs w:val="24"/>
        </w:rPr>
      </w:pPr>
      <w:r w:rsidRPr="00FD5341">
        <w:rPr>
          <w:szCs w:val="24"/>
        </w:rPr>
        <w:t>The FHA defines the term “dwelling” to include</w:t>
      </w:r>
      <w:r w:rsidR="000C3551" w:rsidRPr="000C3551">
        <w:rPr>
          <w:szCs w:val="24"/>
        </w:rPr>
        <w:t xml:space="preserve">, “any building, structure, or portion thereof which is occupied as, or designed or intended for occupancy as, a residence by one or more families.”  42 U.S.C. § 3602(b).  This definition is broadly construed to effectuate the purposes of the FHA.  </w:t>
      </w:r>
      <w:r w:rsidR="000C3551" w:rsidRPr="000C3551">
        <w:rPr>
          <w:i/>
          <w:szCs w:val="24"/>
        </w:rPr>
        <w:t>Schwarz v.</w:t>
      </w:r>
      <w:r w:rsidRPr="00FD5341">
        <w:rPr>
          <w:i/>
          <w:szCs w:val="24"/>
        </w:rPr>
        <w:t xml:space="preserve"> City of Treasure Island</w:t>
      </w:r>
      <w:r w:rsidR="000C3551" w:rsidRPr="000C3551">
        <w:rPr>
          <w:szCs w:val="24"/>
        </w:rPr>
        <w:t>, 544 F.3d 1201, 1216 (11th Cir. 2008)</w:t>
      </w:r>
      <w:r w:rsidR="007A7830">
        <w:rPr>
          <w:szCs w:val="24"/>
        </w:rPr>
        <w:t xml:space="preserve"> (“[T]he Supreme Court has repeatedly instructed us to give the Fair Housing Act a broad and inclusive interpretation . . . .”) (internal quotation marks omitted)</w:t>
      </w:r>
      <w:r w:rsidR="000C3551" w:rsidRPr="000C3551">
        <w:rPr>
          <w:szCs w:val="24"/>
        </w:rPr>
        <w:t>.</w:t>
      </w:r>
    </w:p>
    <w:p w:rsidR="007A7830" w:rsidRDefault="000C3551">
      <w:pPr>
        <w:ind w:firstLine="720"/>
        <w:rPr>
          <w:szCs w:val="24"/>
        </w:rPr>
      </w:pPr>
      <w:r w:rsidRPr="000C3551">
        <w:rPr>
          <w:szCs w:val="24"/>
        </w:rPr>
        <w:t xml:space="preserve">The Department of Housing and Urban Development (“HUD”), which shares enforcement authority for the FHA with the Department of Justice, has issued an implementing regulation that expressly states that the term “dwelling” includes accommodations in homeless shelters, defining the term “dwelling unit” to include, “dormitory rooms and sleeping accommodations </w:t>
      </w:r>
      <w:r w:rsidRPr="007E1C88">
        <w:rPr>
          <w:rStyle w:val="Emphasis"/>
        </w:rPr>
        <w:t>in shelters intended for occupancy as a residence for homeless persons</w:t>
      </w:r>
      <w:r w:rsidRPr="000C3551">
        <w:rPr>
          <w:szCs w:val="24"/>
        </w:rPr>
        <w:t>.”</w:t>
      </w:r>
      <w:r w:rsidR="00FD5341">
        <w:rPr>
          <w:szCs w:val="24"/>
        </w:rPr>
        <w:t xml:space="preserve"> </w:t>
      </w:r>
      <w:r w:rsidR="004502E7" w:rsidRPr="00FD5341">
        <w:rPr>
          <w:szCs w:val="24"/>
        </w:rPr>
        <w:t xml:space="preserve"> 24 C.F.R. </w:t>
      </w:r>
      <w:r w:rsidRPr="000C3551">
        <w:rPr>
          <w:szCs w:val="24"/>
        </w:rPr>
        <w:t xml:space="preserve">§ 100.201 (emphasis added).  HUD’s regulation is its reasonable interpretation of the Act and </w:t>
      </w:r>
      <w:r w:rsidR="007A7830">
        <w:rPr>
          <w:szCs w:val="24"/>
        </w:rPr>
        <w:t xml:space="preserve">is </w:t>
      </w:r>
      <w:r w:rsidRPr="000C3551">
        <w:rPr>
          <w:szCs w:val="24"/>
        </w:rPr>
        <w:t xml:space="preserve">therefore entitled to deference.  </w:t>
      </w:r>
      <w:r w:rsidRPr="000C3551">
        <w:rPr>
          <w:i/>
          <w:szCs w:val="24"/>
        </w:rPr>
        <w:t>See Meyer v. Holl</w:t>
      </w:r>
      <w:r w:rsidR="00C17B69">
        <w:rPr>
          <w:i/>
          <w:szCs w:val="24"/>
        </w:rPr>
        <w:t>e</w:t>
      </w:r>
      <w:r w:rsidRPr="000C3551">
        <w:rPr>
          <w:i/>
          <w:szCs w:val="24"/>
        </w:rPr>
        <w:t>y</w:t>
      </w:r>
      <w:r w:rsidRPr="000C3551">
        <w:rPr>
          <w:szCs w:val="24"/>
        </w:rPr>
        <w:t>, 537 U.S. 280, 287-88 (2003) (</w:t>
      </w:r>
      <w:r w:rsidR="00FD5341">
        <w:rPr>
          <w:szCs w:val="24"/>
        </w:rPr>
        <w:t xml:space="preserve">explaining that </w:t>
      </w:r>
      <w:r w:rsidR="004502E7" w:rsidRPr="00FD5341">
        <w:rPr>
          <w:szCs w:val="24"/>
        </w:rPr>
        <w:t>because HUD was</w:t>
      </w:r>
      <w:r w:rsidR="00FD5341">
        <w:rPr>
          <w:szCs w:val="24"/>
        </w:rPr>
        <w:t>,</w:t>
      </w:r>
      <w:r w:rsidRPr="000C3551">
        <w:rPr>
          <w:szCs w:val="24"/>
        </w:rPr>
        <w:t xml:space="preserve"> “the federal agency primarily charged with the implementation and administration of the [FHA]</w:t>
      </w:r>
      <w:r w:rsidR="00FD5341">
        <w:rPr>
          <w:szCs w:val="24"/>
        </w:rPr>
        <w:t>,</w:t>
      </w:r>
      <w:r w:rsidR="004502E7" w:rsidRPr="00FD5341">
        <w:rPr>
          <w:szCs w:val="24"/>
        </w:rPr>
        <w:t>” courts</w:t>
      </w:r>
      <w:r w:rsidR="00FD5341">
        <w:rPr>
          <w:szCs w:val="24"/>
        </w:rPr>
        <w:t>,</w:t>
      </w:r>
      <w:r w:rsidR="004502E7" w:rsidRPr="00FD5341">
        <w:rPr>
          <w:szCs w:val="24"/>
        </w:rPr>
        <w:t xml:space="preserve"> “ordinarily defer to [its] reasonable interpretation of [the] statute</w:t>
      </w:r>
      <w:r w:rsidR="007A7830">
        <w:rPr>
          <w:szCs w:val="24"/>
        </w:rPr>
        <w:t>.</w:t>
      </w:r>
      <w:r w:rsidR="004502E7" w:rsidRPr="00FD5341">
        <w:rPr>
          <w:szCs w:val="24"/>
        </w:rPr>
        <w:t>”)</w:t>
      </w:r>
      <w:r w:rsidR="00205EF4">
        <w:rPr>
          <w:szCs w:val="24"/>
        </w:rPr>
        <w:t xml:space="preserve">; </w:t>
      </w:r>
      <w:r w:rsidR="0009346B">
        <w:rPr>
          <w:i/>
          <w:szCs w:val="24"/>
        </w:rPr>
        <w:t xml:space="preserve">see </w:t>
      </w:r>
      <w:r w:rsidR="00205EF4">
        <w:rPr>
          <w:i/>
          <w:szCs w:val="24"/>
        </w:rPr>
        <w:t>supra</w:t>
      </w:r>
      <w:r w:rsidR="00205EF4">
        <w:rPr>
          <w:szCs w:val="24"/>
        </w:rPr>
        <w:t xml:space="preserve"> </w:t>
      </w:r>
      <w:r w:rsidR="0009346B">
        <w:rPr>
          <w:szCs w:val="24"/>
        </w:rPr>
        <w:t>Part</w:t>
      </w:r>
      <w:r w:rsidR="00205EF4">
        <w:rPr>
          <w:szCs w:val="24"/>
        </w:rPr>
        <w:t xml:space="preserve"> IV.B</w:t>
      </w:r>
      <w:r w:rsidR="004502E7" w:rsidRPr="00FD5341">
        <w:rPr>
          <w:szCs w:val="24"/>
        </w:rPr>
        <w:t xml:space="preserve">.  That HUD has spoken on the meaning of “dwelling” in the FHA alone disposes of </w:t>
      </w:r>
      <w:r w:rsidR="00725BC6">
        <w:rPr>
          <w:szCs w:val="24"/>
        </w:rPr>
        <w:t>the District’s</w:t>
      </w:r>
      <w:r w:rsidRPr="000C3551">
        <w:rPr>
          <w:szCs w:val="24"/>
        </w:rPr>
        <w:t xml:space="preserve"> argument.</w:t>
      </w:r>
    </w:p>
    <w:p w:rsidR="007A7830" w:rsidRDefault="00725BC6">
      <w:pPr>
        <w:ind w:firstLine="720"/>
        <w:rPr>
          <w:szCs w:val="24"/>
        </w:rPr>
      </w:pPr>
      <w:r>
        <w:rPr>
          <w:szCs w:val="24"/>
        </w:rPr>
        <w:t>The District</w:t>
      </w:r>
      <w:r w:rsidRPr="000C3551">
        <w:rPr>
          <w:szCs w:val="24"/>
        </w:rPr>
        <w:t xml:space="preserve"> </w:t>
      </w:r>
      <w:r w:rsidR="000C3551" w:rsidRPr="000C3551">
        <w:rPr>
          <w:szCs w:val="24"/>
        </w:rPr>
        <w:t>argue</w:t>
      </w:r>
      <w:r>
        <w:rPr>
          <w:szCs w:val="24"/>
        </w:rPr>
        <w:t>s</w:t>
      </w:r>
      <w:r w:rsidR="000C3551" w:rsidRPr="000C3551">
        <w:rPr>
          <w:szCs w:val="24"/>
        </w:rPr>
        <w:t xml:space="preserve"> that shelters cannot be “dwellings” because the “length of stay” at shelters is temporary.</w:t>
      </w:r>
      <w:r w:rsidR="004502E7" w:rsidRPr="00FD5341">
        <w:rPr>
          <w:rStyle w:val="FootnoteReference"/>
          <w:szCs w:val="24"/>
        </w:rPr>
        <w:footnoteReference w:id="14"/>
      </w:r>
      <w:r w:rsidR="004502E7" w:rsidRPr="00FD5341">
        <w:rPr>
          <w:szCs w:val="24"/>
        </w:rPr>
        <w:t xml:space="preserve">  </w:t>
      </w:r>
      <w:r w:rsidR="005721C5">
        <w:rPr>
          <w:szCs w:val="24"/>
        </w:rPr>
        <w:t>Def.’s</w:t>
      </w:r>
      <w:r w:rsidR="004502E7" w:rsidRPr="00FD5341">
        <w:rPr>
          <w:szCs w:val="24"/>
        </w:rPr>
        <w:t xml:space="preserve"> M</w:t>
      </w:r>
      <w:r w:rsidR="00FD5341">
        <w:rPr>
          <w:szCs w:val="24"/>
        </w:rPr>
        <w:t>ot</w:t>
      </w:r>
      <w:r w:rsidR="000C3551" w:rsidRPr="000C3551">
        <w:rPr>
          <w:szCs w:val="24"/>
        </w:rPr>
        <w:t>.</w:t>
      </w:r>
      <w:r w:rsidR="00FD5341">
        <w:rPr>
          <w:szCs w:val="24"/>
        </w:rPr>
        <w:t xml:space="preserve"> Dismiss </w:t>
      </w:r>
      <w:r w:rsidR="004502E7" w:rsidRPr="00FD5341">
        <w:rPr>
          <w:szCs w:val="24"/>
        </w:rPr>
        <w:t>13-14.  HUD has stated expressly that the “length of stay” is only one factor to be considered in determining whether</w:t>
      </w:r>
      <w:r w:rsidR="000C3551" w:rsidRPr="000C3551">
        <w:rPr>
          <w:szCs w:val="24"/>
        </w:rPr>
        <w:t xml:space="preserve"> a particular building is a “dwelling” covered by the Act:</w:t>
      </w:r>
    </w:p>
    <w:p w:rsidR="007A7830" w:rsidRDefault="000C3551" w:rsidP="007E1C88">
      <w:pPr>
        <w:pStyle w:val="BlockText"/>
      </w:pPr>
      <w:r w:rsidRPr="000C3551">
        <w:t xml:space="preserve">Other factors to be considered include: (1) Whether the rental rate for the unit will be calculated based on a daily, weekly, monthly or yearly basis; (2) Whether the terms and length of occupancy will be established through a lease or other written agreement; (3) What amenities will be included inside the unit, including kitchen facilities;(4) How the purpose of the property will be marketed to the public; (5) Whether the resident possesses the right to return to the property; and (6) Whether the resident has anywhere else to which to return. </w:t>
      </w:r>
    </w:p>
    <w:p w:rsidR="007A7830" w:rsidRDefault="000C3551">
      <w:pPr>
        <w:rPr>
          <w:szCs w:val="24"/>
        </w:rPr>
      </w:pPr>
      <w:r w:rsidRPr="000C3551">
        <w:rPr>
          <w:szCs w:val="24"/>
        </w:rPr>
        <w:t xml:space="preserve">Final Report of HUD Review of Model Building Codes, 65 Fed. Reg. 15,740, 15,746 (March 23, 2000).   </w:t>
      </w:r>
    </w:p>
    <w:p w:rsidR="007A7830" w:rsidRDefault="000C3551">
      <w:pPr>
        <w:ind w:firstLine="720"/>
        <w:rPr>
          <w:szCs w:val="24"/>
        </w:rPr>
      </w:pPr>
      <w:r w:rsidRPr="000C3551">
        <w:rPr>
          <w:szCs w:val="24"/>
        </w:rPr>
        <w:t>HUD’s interpretation is consistent with that of courts.  The statute defines “dwelling” to include</w:t>
      </w:r>
      <w:r w:rsidR="00FD5341">
        <w:rPr>
          <w:szCs w:val="24"/>
        </w:rPr>
        <w:t>,</w:t>
      </w:r>
      <w:r w:rsidR="004502E7" w:rsidRPr="00FD5341">
        <w:rPr>
          <w:szCs w:val="24"/>
        </w:rPr>
        <w:t xml:space="preserve"> “any building, structure, or portion thereof which is occupied as, or designed or intended for occupancy as, a </w:t>
      </w:r>
      <w:r w:rsidRPr="000C3551">
        <w:rPr>
          <w:i/>
          <w:szCs w:val="24"/>
        </w:rPr>
        <w:t>residence</w:t>
      </w:r>
      <w:r w:rsidRPr="000C3551">
        <w:rPr>
          <w:szCs w:val="24"/>
        </w:rPr>
        <w:t xml:space="preserve"> by one or more families,” </w:t>
      </w:r>
      <w:r w:rsidR="004502E7" w:rsidRPr="00FD5341">
        <w:rPr>
          <w:szCs w:val="24"/>
        </w:rPr>
        <w:t xml:space="preserve">but does not define the key term “residence.”  </w:t>
      </w:r>
      <w:r w:rsidR="00725BC6" w:rsidRPr="000C3551">
        <w:rPr>
          <w:szCs w:val="24"/>
        </w:rPr>
        <w:t>42 U.S.C.</w:t>
      </w:r>
      <w:r w:rsidR="00725BC6">
        <w:rPr>
          <w:szCs w:val="24"/>
        </w:rPr>
        <w:t xml:space="preserve"> §</w:t>
      </w:r>
      <w:r w:rsidR="00725BC6" w:rsidRPr="00FD5341">
        <w:rPr>
          <w:szCs w:val="24"/>
        </w:rPr>
        <w:t xml:space="preserve"> 3602(b)</w:t>
      </w:r>
      <w:r w:rsidR="00725BC6">
        <w:rPr>
          <w:szCs w:val="24"/>
        </w:rPr>
        <w:t xml:space="preserve">.  </w:t>
      </w:r>
      <w:r w:rsidR="004502E7" w:rsidRPr="00FD5341">
        <w:rPr>
          <w:szCs w:val="24"/>
        </w:rPr>
        <w:t>A</w:t>
      </w:r>
      <w:r w:rsidRPr="000C3551">
        <w:rPr>
          <w:szCs w:val="24"/>
        </w:rPr>
        <w:t>s multiple courts have noted</w:t>
      </w:r>
      <w:r w:rsidR="00725BC6">
        <w:rPr>
          <w:szCs w:val="24"/>
        </w:rPr>
        <w:t>,</w:t>
      </w:r>
      <w:r w:rsidRPr="000C3551">
        <w:rPr>
          <w:szCs w:val="24"/>
        </w:rPr>
        <w:t xml:space="preserve"> the ordinary meaning of “residence” is: “a </w:t>
      </w:r>
      <w:r w:rsidRPr="007E1C88">
        <w:rPr>
          <w:rStyle w:val="Emphasis"/>
        </w:rPr>
        <w:t>temporary</w:t>
      </w:r>
      <w:r w:rsidRPr="000C3551">
        <w:rPr>
          <w:szCs w:val="24"/>
        </w:rPr>
        <w:t xml:space="preserve"> or permanent dwelling place, abode or habitation to which one intends to return as distinguished from the place of temporary sojourn or transient visit.” (emphasis </w:t>
      </w:r>
      <w:r w:rsidR="00B94007">
        <w:rPr>
          <w:szCs w:val="24"/>
        </w:rPr>
        <w:t>added</w:t>
      </w:r>
      <w:r w:rsidRPr="000C3551">
        <w:rPr>
          <w:szCs w:val="24"/>
        </w:rPr>
        <w:t xml:space="preserve">).  </w:t>
      </w:r>
      <w:r w:rsidRPr="000C3551">
        <w:rPr>
          <w:i/>
          <w:szCs w:val="24"/>
        </w:rPr>
        <w:t>United States v.</w:t>
      </w:r>
      <w:r w:rsidR="004502E7" w:rsidRPr="00FD5341">
        <w:rPr>
          <w:i/>
          <w:szCs w:val="24"/>
        </w:rPr>
        <w:t xml:space="preserve"> Hughes Mem. Home</w:t>
      </w:r>
      <w:r w:rsidRPr="000C3551">
        <w:rPr>
          <w:szCs w:val="24"/>
        </w:rPr>
        <w:t xml:space="preserve">, 396 F. Supp. 544, 549 (W.D. Va. 1975) (quoting </w:t>
      </w:r>
      <w:r w:rsidRPr="000C3551">
        <w:rPr>
          <w:szCs w:val="24"/>
          <w:u w:val="single"/>
        </w:rPr>
        <w:t>Webster’s Third International Dictionary</w:t>
      </w:r>
      <w:r w:rsidR="004502E7" w:rsidRPr="00FD5341">
        <w:rPr>
          <w:szCs w:val="24"/>
        </w:rPr>
        <w:t xml:space="preserve"> </w:t>
      </w:r>
      <w:r w:rsidR="00725BC6">
        <w:rPr>
          <w:szCs w:val="24"/>
        </w:rPr>
        <w:t>(</w:t>
      </w:r>
      <w:r w:rsidR="004502E7" w:rsidRPr="00FD5341">
        <w:rPr>
          <w:szCs w:val="24"/>
        </w:rPr>
        <w:t>1931</w:t>
      </w:r>
      <w:r w:rsidR="00725BC6">
        <w:rPr>
          <w:szCs w:val="24"/>
        </w:rPr>
        <w:t>)</w:t>
      </w:r>
      <w:r w:rsidR="004502E7" w:rsidRPr="00FD5341">
        <w:rPr>
          <w:szCs w:val="24"/>
        </w:rPr>
        <w:t xml:space="preserve">); </w:t>
      </w:r>
      <w:r w:rsidRPr="000C3551">
        <w:rPr>
          <w:i/>
          <w:szCs w:val="24"/>
        </w:rPr>
        <w:t>see also United States v.</w:t>
      </w:r>
      <w:r w:rsidR="004502E7" w:rsidRPr="00FD5341">
        <w:rPr>
          <w:i/>
          <w:szCs w:val="24"/>
        </w:rPr>
        <w:t xml:space="preserve"> Columbus Country Club</w:t>
      </w:r>
      <w:r w:rsidRPr="000C3551">
        <w:rPr>
          <w:szCs w:val="24"/>
        </w:rPr>
        <w:t>, 915 F.2d 877, 881 (3d Cir. 1990)</w:t>
      </w:r>
      <w:r w:rsidR="00C17B69">
        <w:rPr>
          <w:szCs w:val="24"/>
        </w:rPr>
        <w:t xml:space="preserve"> (on denial </w:t>
      </w:r>
      <w:r w:rsidR="00374302">
        <w:rPr>
          <w:szCs w:val="24"/>
        </w:rPr>
        <w:t xml:space="preserve">of </w:t>
      </w:r>
      <w:r w:rsidR="00C17B69">
        <w:rPr>
          <w:szCs w:val="24"/>
        </w:rPr>
        <w:t xml:space="preserve">rehearing </w:t>
      </w:r>
      <w:r w:rsidR="00C17B69">
        <w:rPr>
          <w:i/>
          <w:szCs w:val="24"/>
        </w:rPr>
        <w:t>en banc</w:t>
      </w:r>
      <w:r w:rsidR="00C17B69">
        <w:rPr>
          <w:szCs w:val="24"/>
        </w:rPr>
        <w:t>)</w:t>
      </w:r>
      <w:r w:rsidRPr="000C3551">
        <w:rPr>
          <w:szCs w:val="24"/>
        </w:rPr>
        <w:t xml:space="preserve">, </w:t>
      </w:r>
      <w:r w:rsidRPr="000C3551">
        <w:rPr>
          <w:i/>
          <w:szCs w:val="24"/>
        </w:rPr>
        <w:t>cert. denied</w:t>
      </w:r>
      <w:r w:rsidR="004502E7" w:rsidRPr="00FD5341">
        <w:rPr>
          <w:szCs w:val="24"/>
        </w:rPr>
        <w:t xml:space="preserve">, 501 U.S. 1205 (1991); </w:t>
      </w:r>
      <w:r w:rsidRPr="000C3551">
        <w:rPr>
          <w:i/>
          <w:szCs w:val="24"/>
        </w:rPr>
        <w:t>Schwarz</w:t>
      </w:r>
      <w:r w:rsidRPr="000C3551">
        <w:rPr>
          <w:szCs w:val="24"/>
        </w:rPr>
        <w:t xml:space="preserve">, 544 F.3d at 1214; </w:t>
      </w:r>
      <w:r w:rsidRPr="000C3551">
        <w:rPr>
          <w:i/>
          <w:szCs w:val="24"/>
        </w:rPr>
        <w:t>Lakeside Resort Enter</w:t>
      </w:r>
      <w:r w:rsidR="00374302">
        <w:rPr>
          <w:i/>
          <w:szCs w:val="24"/>
        </w:rPr>
        <w:t>s</w:t>
      </w:r>
      <w:r w:rsidRPr="000C3551">
        <w:rPr>
          <w:i/>
          <w:szCs w:val="24"/>
        </w:rPr>
        <w:t>., L.P. v.</w:t>
      </w:r>
      <w:r w:rsidR="004502E7" w:rsidRPr="00FD5341">
        <w:rPr>
          <w:i/>
          <w:szCs w:val="24"/>
        </w:rPr>
        <w:t xml:space="preserve"> </w:t>
      </w:r>
      <w:r w:rsidR="00FD5341">
        <w:rPr>
          <w:i/>
          <w:szCs w:val="24"/>
        </w:rPr>
        <w:t>Bd.</w:t>
      </w:r>
      <w:r w:rsidR="004502E7" w:rsidRPr="00FD5341">
        <w:rPr>
          <w:i/>
          <w:szCs w:val="24"/>
        </w:rPr>
        <w:t xml:space="preserve"> of Supervisors of Palmyra </w:t>
      </w:r>
      <w:r w:rsidR="00FD5341">
        <w:rPr>
          <w:i/>
          <w:szCs w:val="24"/>
        </w:rPr>
        <w:t>Twp.</w:t>
      </w:r>
      <w:r w:rsidR="004502E7" w:rsidRPr="00FD5341">
        <w:rPr>
          <w:i/>
          <w:szCs w:val="24"/>
        </w:rPr>
        <w:t xml:space="preserve">, </w:t>
      </w:r>
      <w:r w:rsidRPr="000C3551">
        <w:rPr>
          <w:szCs w:val="24"/>
        </w:rPr>
        <w:t xml:space="preserve">455 F.3d 154, 157 (3d Cir. 2006), </w:t>
      </w:r>
      <w:r w:rsidRPr="000C3551">
        <w:rPr>
          <w:i/>
          <w:szCs w:val="24"/>
        </w:rPr>
        <w:t>cert. denied</w:t>
      </w:r>
      <w:r w:rsidR="004502E7" w:rsidRPr="00FD5341">
        <w:rPr>
          <w:szCs w:val="24"/>
        </w:rPr>
        <w:t>, 549 U.S. 1180 (2007)</w:t>
      </w:r>
      <w:r w:rsidRPr="000C3551">
        <w:rPr>
          <w:szCs w:val="24"/>
        </w:rPr>
        <w:t xml:space="preserve">; </w:t>
      </w:r>
      <w:r w:rsidRPr="000C3551">
        <w:rPr>
          <w:i/>
          <w:szCs w:val="24"/>
        </w:rPr>
        <w:t>United States v.</w:t>
      </w:r>
      <w:r w:rsidR="004502E7" w:rsidRPr="00FD5341">
        <w:rPr>
          <w:i/>
          <w:szCs w:val="24"/>
        </w:rPr>
        <w:t xml:space="preserve"> </w:t>
      </w:r>
      <w:r w:rsidRPr="000C3551">
        <w:rPr>
          <w:i/>
          <w:szCs w:val="24"/>
        </w:rPr>
        <w:t>Univ. of Nebraska</w:t>
      </w:r>
      <w:r w:rsidR="003E3D1D">
        <w:rPr>
          <w:i/>
          <w:szCs w:val="24"/>
        </w:rPr>
        <w:t xml:space="preserve"> at Kearney</w:t>
      </w:r>
      <w:r w:rsidRPr="000C3551">
        <w:rPr>
          <w:szCs w:val="24"/>
        </w:rPr>
        <w:t>,</w:t>
      </w:r>
      <w:r w:rsidR="003E3D1D">
        <w:rPr>
          <w:szCs w:val="24"/>
        </w:rPr>
        <w:t xml:space="preserve"> --- F. Supp. 2d ---,</w:t>
      </w:r>
      <w:r w:rsidRPr="000C3551">
        <w:rPr>
          <w:szCs w:val="24"/>
        </w:rPr>
        <w:t xml:space="preserve"> </w:t>
      </w:r>
      <w:r w:rsidR="00B94007">
        <w:rPr>
          <w:szCs w:val="24"/>
        </w:rPr>
        <w:t xml:space="preserve">No. 4:11-CV-3209, </w:t>
      </w:r>
      <w:r w:rsidRPr="000C3551">
        <w:rPr>
          <w:szCs w:val="24"/>
        </w:rPr>
        <w:t xml:space="preserve">2013 </w:t>
      </w:r>
      <w:r w:rsidR="00725BC6">
        <w:rPr>
          <w:szCs w:val="24"/>
        </w:rPr>
        <w:t>WL 1694603</w:t>
      </w:r>
      <w:r w:rsidR="0086229A">
        <w:rPr>
          <w:szCs w:val="24"/>
        </w:rPr>
        <w:t>, at *</w:t>
      </w:r>
      <w:r w:rsidR="003E3D1D">
        <w:rPr>
          <w:szCs w:val="24"/>
        </w:rPr>
        <w:t>3</w:t>
      </w:r>
      <w:r w:rsidRPr="000C3551">
        <w:rPr>
          <w:szCs w:val="24"/>
        </w:rPr>
        <w:t xml:space="preserve"> (D. Neb. Apr. 19, 2013); </w:t>
      </w:r>
      <w:r w:rsidRPr="000C3551">
        <w:rPr>
          <w:i/>
          <w:szCs w:val="24"/>
        </w:rPr>
        <w:t>Woods v.</w:t>
      </w:r>
      <w:r w:rsidR="004502E7" w:rsidRPr="00FD5341">
        <w:rPr>
          <w:i/>
          <w:szCs w:val="24"/>
        </w:rPr>
        <w:t xml:space="preserve"> Foster</w:t>
      </w:r>
      <w:r w:rsidRPr="000C3551">
        <w:rPr>
          <w:szCs w:val="24"/>
        </w:rPr>
        <w:t>, 884 F. Supp. 1169, 1173 (N.D. Ill. 1995).</w:t>
      </w:r>
    </w:p>
    <w:p w:rsidR="007A7830" w:rsidRDefault="00725BC6">
      <w:pPr>
        <w:ind w:firstLine="720"/>
        <w:rPr>
          <w:rFonts w:eastAsia="Times New Roman"/>
          <w:szCs w:val="24"/>
        </w:rPr>
      </w:pPr>
      <w:r>
        <w:rPr>
          <w:szCs w:val="24"/>
        </w:rPr>
        <w:t>Therefore, c</w:t>
      </w:r>
      <w:r w:rsidR="000C3551" w:rsidRPr="000C3551">
        <w:rPr>
          <w:szCs w:val="24"/>
        </w:rPr>
        <w:t xml:space="preserve">ontrary to </w:t>
      </w:r>
      <w:r>
        <w:rPr>
          <w:szCs w:val="24"/>
        </w:rPr>
        <w:t xml:space="preserve">the District’s </w:t>
      </w:r>
      <w:r w:rsidR="000C3551" w:rsidRPr="000C3551">
        <w:rPr>
          <w:szCs w:val="24"/>
        </w:rPr>
        <w:t>contention, numerous courts have held that “dwellings” encompass a range of temporary residences, including a children’s home,</w:t>
      </w:r>
      <w:r w:rsidR="00FD5341">
        <w:rPr>
          <w:szCs w:val="24"/>
        </w:rPr>
        <w:t xml:space="preserve"> </w:t>
      </w:r>
      <w:r w:rsidR="000C3551" w:rsidRPr="000C3551">
        <w:rPr>
          <w:i/>
          <w:szCs w:val="24"/>
        </w:rPr>
        <w:t>Hughes</w:t>
      </w:r>
      <w:r w:rsidR="000C3551" w:rsidRPr="000C3551">
        <w:rPr>
          <w:szCs w:val="24"/>
        </w:rPr>
        <w:t xml:space="preserve">, 396 F. Supp. at 548-49; a hospice for terminally ill patients, </w:t>
      </w:r>
      <w:r w:rsidR="000C3551" w:rsidRPr="000C3551">
        <w:rPr>
          <w:i/>
          <w:szCs w:val="24"/>
        </w:rPr>
        <w:t>Baxter v.</w:t>
      </w:r>
      <w:r w:rsidR="004502E7" w:rsidRPr="00FD5341">
        <w:rPr>
          <w:i/>
          <w:szCs w:val="24"/>
        </w:rPr>
        <w:t xml:space="preserve"> City of Belleville</w:t>
      </w:r>
      <w:r w:rsidR="000C3551" w:rsidRPr="000C3551">
        <w:rPr>
          <w:szCs w:val="24"/>
        </w:rPr>
        <w:t xml:space="preserve">, 720 F. Supp. 720, 731 (S.D. Ill. 1989); seasonal housing, </w:t>
      </w:r>
      <w:r w:rsidR="000C3551" w:rsidRPr="000C3551">
        <w:rPr>
          <w:i/>
          <w:szCs w:val="24"/>
        </w:rPr>
        <w:t>Columbus Country Club</w:t>
      </w:r>
      <w:r w:rsidR="000C3551" w:rsidRPr="000C3551">
        <w:rPr>
          <w:szCs w:val="24"/>
        </w:rPr>
        <w:t xml:space="preserve">, 915 F.2d at 881; a nursing home, </w:t>
      </w:r>
      <w:r w:rsidR="000C3551" w:rsidRPr="000C3551">
        <w:rPr>
          <w:i/>
          <w:szCs w:val="24"/>
        </w:rPr>
        <w:t>Hovsons, Inc. v</w:t>
      </w:r>
      <w:r w:rsidR="004502E7" w:rsidRPr="00FD5341">
        <w:rPr>
          <w:i/>
          <w:szCs w:val="24"/>
        </w:rPr>
        <w:t>. T</w:t>
      </w:r>
      <w:r w:rsidR="0009346B">
        <w:rPr>
          <w:i/>
          <w:szCs w:val="24"/>
        </w:rPr>
        <w:t>wp.</w:t>
      </w:r>
      <w:r w:rsidR="004502E7" w:rsidRPr="00FD5341">
        <w:rPr>
          <w:i/>
          <w:szCs w:val="24"/>
        </w:rPr>
        <w:t xml:space="preserve"> of Brick</w:t>
      </w:r>
      <w:r w:rsidR="004502E7" w:rsidRPr="00FD5341">
        <w:rPr>
          <w:szCs w:val="24"/>
        </w:rPr>
        <w:t>, 89 F.3d 1096</w:t>
      </w:r>
      <w:r>
        <w:rPr>
          <w:szCs w:val="24"/>
        </w:rPr>
        <w:t xml:space="preserve">, </w:t>
      </w:r>
      <w:r w:rsidR="003E3D1D">
        <w:rPr>
          <w:szCs w:val="24"/>
        </w:rPr>
        <w:t>1102</w:t>
      </w:r>
      <w:r w:rsidR="004502E7" w:rsidRPr="00FD5341">
        <w:rPr>
          <w:szCs w:val="24"/>
        </w:rPr>
        <w:t xml:space="preserve"> (3d Cir. 1996); group homes for individuals recovering from drug and alcohol addictions, </w:t>
      </w:r>
      <w:r w:rsidR="000C3551" w:rsidRPr="000C3551">
        <w:rPr>
          <w:i/>
          <w:szCs w:val="24"/>
        </w:rPr>
        <w:t>e.g</w:t>
      </w:r>
      <w:r w:rsidR="000C3551" w:rsidRPr="000C3551">
        <w:rPr>
          <w:szCs w:val="24"/>
        </w:rPr>
        <w:t xml:space="preserve">., </w:t>
      </w:r>
      <w:r w:rsidR="000C3551" w:rsidRPr="000C3551">
        <w:rPr>
          <w:i/>
          <w:szCs w:val="24"/>
        </w:rPr>
        <w:t xml:space="preserve">Lakeside, </w:t>
      </w:r>
      <w:r w:rsidR="000C3551" w:rsidRPr="000C3551">
        <w:rPr>
          <w:szCs w:val="24"/>
        </w:rPr>
        <w:t xml:space="preserve">455 F.3d at 154-60; </w:t>
      </w:r>
      <w:r w:rsidR="000C3551" w:rsidRPr="000C3551">
        <w:rPr>
          <w:i/>
          <w:szCs w:val="24"/>
        </w:rPr>
        <w:t xml:space="preserve">Connecticut </w:t>
      </w:r>
      <w:r w:rsidR="00B94007">
        <w:rPr>
          <w:i/>
          <w:szCs w:val="24"/>
        </w:rPr>
        <w:t>Hosp</w:t>
      </w:r>
      <w:r w:rsidR="000C3551" w:rsidRPr="000C3551">
        <w:rPr>
          <w:i/>
          <w:szCs w:val="24"/>
        </w:rPr>
        <w:t>. v. City of New London</w:t>
      </w:r>
      <w:r w:rsidR="000C3551" w:rsidRPr="000C3551">
        <w:rPr>
          <w:szCs w:val="24"/>
        </w:rPr>
        <w:t>, 129 F. Supp. 2d 123</w:t>
      </w:r>
      <w:r>
        <w:rPr>
          <w:szCs w:val="24"/>
        </w:rPr>
        <w:t xml:space="preserve">, </w:t>
      </w:r>
      <w:r w:rsidR="003E3D1D">
        <w:rPr>
          <w:szCs w:val="24"/>
        </w:rPr>
        <w:t>131-35</w:t>
      </w:r>
      <w:r w:rsidR="000C3551" w:rsidRPr="000C3551">
        <w:rPr>
          <w:szCs w:val="24"/>
        </w:rPr>
        <w:t xml:space="preserve"> (D. Conn. 2001); </w:t>
      </w:r>
      <w:r w:rsidR="000C3551" w:rsidRPr="000C3551">
        <w:rPr>
          <w:i/>
          <w:szCs w:val="24"/>
        </w:rPr>
        <w:t>Schwarz</w:t>
      </w:r>
      <w:r w:rsidR="000C3551" w:rsidRPr="000C3551">
        <w:rPr>
          <w:szCs w:val="24"/>
        </w:rPr>
        <w:t xml:space="preserve">, 544 F.3d at 1213-16; dormitories, </w:t>
      </w:r>
      <w:r w:rsidR="00B94007">
        <w:rPr>
          <w:i/>
          <w:szCs w:val="24"/>
        </w:rPr>
        <w:t>Univ.</w:t>
      </w:r>
      <w:r w:rsidR="000C3551" w:rsidRPr="000C3551">
        <w:rPr>
          <w:i/>
          <w:szCs w:val="24"/>
        </w:rPr>
        <w:t xml:space="preserve"> of Nebraska</w:t>
      </w:r>
      <w:r w:rsidR="003E3D1D">
        <w:rPr>
          <w:i/>
          <w:szCs w:val="24"/>
        </w:rPr>
        <w:t xml:space="preserve"> at Kearney</w:t>
      </w:r>
      <w:r w:rsidR="000C3551" w:rsidRPr="000C3551">
        <w:rPr>
          <w:szCs w:val="24"/>
        </w:rPr>
        <w:t>,</w:t>
      </w:r>
      <w:r w:rsidR="003E3D1D">
        <w:rPr>
          <w:szCs w:val="24"/>
        </w:rPr>
        <w:t xml:space="preserve"> </w:t>
      </w:r>
      <w:r w:rsidR="000C3551" w:rsidRPr="000C3551">
        <w:rPr>
          <w:szCs w:val="24"/>
        </w:rPr>
        <w:t xml:space="preserve">2013 </w:t>
      </w:r>
      <w:r>
        <w:rPr>
          <w:szCs w:val="24"/>
        </w:rPr>
        <w:t>WL 1694603</w:t>
      </w:r>
      <w:r w:rsidR="00B94007">
        <w:rPr>
          <w:szCs w:val="24"/>
        </w:rPr>
        <w:t>,</w:t>
      </w:r>
      <w:r w:rsidR="000C3551" w:rsidRPr="000C3551">
        <w:rPr>
          <w:szCs w:val="24"/>
        </w:rPr>
        <w:t xml:space="preserve"> at *</w:t>
      </w:r>
      <w:r w:rsidR="003E3D1D">
        <w:rPr>
          <w:szCs w:val="24"/>
        </w:rPr>
        <w:t>8</w:t>
      </w:r>
      <w:r w:rsidR="000C3551" w:rsidRPr="000C3551">
        <w:rPr>
          <w:szCs w:val="24"/>
        </w:rPr>
        <w:t xml:space="preserve">; and seasonal housing for migrant workers, </w:t>
      </w:r>
      <w:r w:rsidR="000C3551" w:rsidRPr="000C3551">
        <w:rPr>
          <w:i/>
          <w:szCs w:val="24"/>
        </w:rPr>
        <w:t>e.g.</w:t>
      </w:r>
      <w:r w:rsidR="000C3551" w:rsidRPr="000C3551">
        <w:rPr>
          <w:szCs w:val="24"/>
        </w:rPr>
        <w:t xml:space="preserve">, </w:t>
      </w:r>
      <w:r w:rsidR="000C3551" w:rsidRPr="000C3551">
        <w:rPr>
          <w:i/>
          <w:szCs w:val="24"/>
        </w:rPr>
        <w:t>Lauer Farms, Inc</w:t>
      </w:r>
      <w:r w:rsidR="000C3551" w:rsidRPr="000C3551">
        <w:rPr>
          <w:szCs w:val="24"/>
        </w:rPr>
        <w:t xml:space="preserve">. </w:t>
      </w:r>
      <w:r w:rsidR="000C3551" w:rsidRPr="000C3551">
        <w:rPr>
          <w:i/>
          <w:szCs w:val="24"/>
        </w:rPr>
        <w:t xml:space="preserve">v. Waushara </w:t>
      </w:r>
      <w:r w:rsidR="00B94007">
        <w:rPr>
          <w:i/>
          <w:szCs w:val="24"/>
        </w:rPr>
        <w:t>Cnty.</w:t>
      </w:r>
      <w:r w:rsidR="000C3551" w:rsidRPr="000C3551">
        <w:rPr>
          <w:i/>
          <w:szCs w:val="24"/>
        </w:rPr>
        <w:t xml:space="preserve"> </w:t>
      </w:r>
      <w:r w:rsidR="00B94007">
        <w:rPr>
          <w:i/>
          <w:szCs w:val="24"/>
        </w:rPr>
        <w:t>Bd.</w:t>
      </w:r>
      <w:r w:rsidR="000C3551" w:rsidRPr="000C3551">
        <w:rPr>
          <w:i/>
          <w:szCs w:val="24"/>
        </w:rPr>
        <w:t xml:space="preserve"> of Adjustment</w:t>
      </w:r>
      <w:r w:rsidR="000C3551" w:rsidRPr="000C3551">
        <w:rPr>
          <w:szCs w:val="24"/>
        </w:rPr>
        <w:t>, 986 F. Supp. 544, 55</w:t>
      </w:r>
      <w:r w:rsidR="003E3D1D">
        <w:rPr>
          <w:szCs w:val="24"/>
        </w:rPr>
        <w:t>7-59</w:t>
      </w:r>
      <w:r w:rsidR="000C3551" w:rsidRPr="000C3551">
        <w:rPr>
          <w:szCs w:val="24"/>
        </w:rPr>
        <w:t xml:space="preserve"> (E.D. Wis. 1997); </w:t>
      </w:r>
      <w:r w:rsidR="000C3551" w:rsidRPr="000C3551">
        <w:rPr>
          <w:i/>
          <w:szCs w:val="24"/>
        </w:rPr>
        <w:t>Villegas v. Sandy Farms, Inc</w:t>
      </w:r>
      <w:r w:rsidR="000C3551" w:rsidRPr="000C3551">
        <w:rPr>
          <w:szCs w:val="24"/>
        </w:rPr>
        <w:t>., 929 F. Supp. 1324, 132</w:t>
      </w:r>
      <w:r w:rsidR="003E3D1D">
        <w:rPr>
          <w:szCs w:val="24"/>
        </w:rPr>
        <w:t>7-28</w:t>
      </w:r>
      <w:r w:rsidR="000C3551" w:rsidRPr="000C3551">
        <w:rPr>
          <w:szCs w:val="24"/>
        </w:rPr>
        <w:t xml:space="preserve"> (D. Or. 1996)</w:t>
      </w:r>
      <w:r w:rsidR="000C3551" w:rsidRPr="000C3551">
        <w:rPr>
          <w:rFonts w:eastAsia="Times New Roman"/>
          <w:szCs w:val="24"/>
        </w:rPr>
        <w:t>.</w:t>
      </w:r>
    </w:p>
    <w:p w:rsidR="007A7830" w:rsidRDefault="000C3551">
      <w:pPr>
        <w:ind w:firstLine="662"/>
        <w:rPr>
          <w:rFonts w:eastAsia="Times New Roman"/>
          <w:szCs w:val="24"/>
        </w:rPr>
      </w:pPr>
      <w:r w:rsidRPr="000C3551">
        <w:rPr>
          <w:szCs w:val="24"/>
        </w:rPr>
        <w:t xml:space="preserve">The “length of stay” was not the decisive factor in these cases.  In </w:t>
      </w:r>
      <w:r w:rsidRPr="000C3551">
        <w:rPr>
          <w:i/>
          <w:szCs w:val="24"/>
        </w:rPr>
        <w:t>Schwarz</w:t>
      </w:r>
      <w:r w:rsidRPr="000C3551">
        <w:rPr>
          <w:szCs w:val="24"/>
        </w:rPr>
        <w:t xml:space="preserve">, the average stay was six to ten weeks, 544 F.3d at 1207, and in </w:t>
      </w:r>
      <w:r w:rsidRPr="000C3551">
        <w:rPr>
          <w:i/>
          <w:szCs w:val="24"/>
        </w:rPr>
        <w:t>Lakeside Resort Enterprises</w:t>
      </w:r>
      <w:r w:rsidRPr="000C3551">
        <w:rPr>
          <w:szCs w:val="24"/>
        </w:rPr>
        <w:t xml:space="preserve">, the average stay was 14.8 days, 455 F.3d at 158-59.  </w:t>
      </w:r>
      <w:r w:rsidRPr="000C3551">
        <w:rPr>
          <w:rFonts w:eastAsia="Times New Roman"/>
          <w:i/>
          <w:szCs w:val="24"/>
        </w:rPr>
        <w:t>See also Conn</w:t>
      </w:r>
      <w:r w:rsidR="00643E11">
        <w:rPr>
          <w:rFonts w:eastAsia="Times New Roman"/>
          <w:i/>
          <w:szCs w:val="24"/>
        </w:rPr>
        <w:t>ecticut</w:t>
      </w:r>
      <w:r w:rsidRPr="000C3551">
        <w:rPr>
          <w:rFonts w:eastAsia="Times New Roman"/>
          <w:i/>
          <w:szCs w:val="24"/>
        </w:rPr>
        <w:t xml:space="preserve"> Hosp.</w:t>
      </w:r>
      <w:r w:rsidRPr="000C3551">
        <w:rPr>
          <w:rFonts w:eastAsia="Times New Roman"/>
          <w:szCs w:val="24"/>
        </w:rPr>
        <w:t>, 129 F. Supp. 2d at 13</w:t>
      </w:r>
      <w:r w:rsidR="003E3D1D">
        <w:rPr>
          <w:rFonts w:eastAsia="Times New Roman"/>
          <w:szCs w:val="24"/>
        </w:rPr>
        <w:t>2</w:t>
      </w:r>
      <w:r w:rsidRPr="000C3551">
        <w:rPr>
          <w:rFonts w:eastAsia="Times New Roman"/>
          <w:szCs w:val="24"/>
        </w:rPr>
        <w:t xml:space="preserve"> (one to three months); </w:t>
      </w:r>
      <w:r w:rsidRPr="000C3551">
        <w:rPr>
          <w:rFonts w:eastAsia="Times New Roman"/>
          <w:i/>
          <w:szCs w:val="24"/>
        </w:rPr>
        <w:t>Project Life Inc. v. Glendening</w:t>
      </w:r>
      <w:r w:rsidRPr="000C3551">
        <w:rPr>
          <w:rFonts w:eastAsia="Times New Roman"/>
          <w:szCs w:val="24"/>
        </w:rPr>
        <w:t xml:space="preserve">, No. </w:t>
      </w:r>
      <w:r w:rsidR="00725BC6">
        <w:rPr>
          <w:rFonts w:eastAsia="Times New Roman"/>
          <w:szCs w:val="24"/>
        </w:rPr>
        <w:t>WMN-</w:t>
      </w:r>
      <w:r w:rsidRPr="000C3551">
        <w:rPr>
          <w:rFonts w:eastAsia="Times New Roman"/>
          <w:szCs w:val="24"/>
        </w:rPr>
        <w:t>98-2163, 1998 WL 1119864</w:t>
      </w:r>
      <w:r w:rsidR="00643E11">
        <w:rPr>
          <w:rFonts w:eastAsia="Times New Roman"/>
          <w:szCs w:val="24"/>
        </w:rPr>
        <w:t>,</w:t>
      </w:r>
      <w:r w:rsidRPr="000C3551">
        <w:rPr>
          <w:rFonts w:eastAsia="Times New Roman"/>
          <w:szCs w:val="24"/>
        </w:rPr>
        <w:t xml:space="preserve"> at </w:t>
      </w:r>
      <w:r w:rsidR="00643E11">
        <w:rPr>
          <w:rFonts w:eastAsia="Times New Roman"/>
          <w:szCs w:val="24"/>
        </w:rPr>
        <w:t xml:space="preserve">*2 </w:t>
      </w:r>
      <w:r w:rsidRPr="000C3551">
        <w:rPr>
          <w:rFonts w:eastAsia="Times New Roman"/>
          <w:szCs w:val="24"/>
        </w:rPr>
        <w:t xml:space="preserve">n.4 (D. Md. Nov. 30, 1998) (one month).  </w:t>
      </w:r>
      <w:r w:rsidRPr="000C3551">
        <w:rPr>
          <w:szCs w:val="24"/>
        </w:rPr>
        <w:t>In addition to “length of stay,” these courts considered whether: (1) the occupants intend to return to (or remain in) the building, and (2) whether the occupants</w:t>
      </w:r>
      <w:r w:rsidR="00725BC6">
        <w:rPr>
          <w:szCs w:val="24"/>
        </w:rPr>
        <w:t>,</w:t>
      </w:r>
      <w:r w:rsidRPr="000C3551">
        <w:rPr>
          <w:szCs w:val="24"/>
        </w:rPr>
        <w:t xml:space="preserve"> </w:t>
      </w:r>
      <w:r w:rsidRPr="000C3551">
        <w:rPr>
          <w:rFonts w:eastAsia="Times New Roman"/>
          <w:szCs w:val="24"/>
        </w:rPr>
        <w:t>“treat [the] building like their home,” albeit a temporary one, by “cook[ing] their own meals, clean[ing] their own rooms and maintain[ing] the premises, do[ing] their own laundry, and spend[ing] free time together in common areas.</w:t>
      </w:r>
      <w:r w:rsidR="00725BC6">
        <w:rPr>
          <w:rFonts w:eastAsia="Times New Roman"/>
          <w:szCs w:val="24"/>
        </w:rPr>
        <w:t>”</w:t>
      </w:r>
      <w:r w:rsidRPr="000C3551">
        <w:rPr>
          <w:rFonts w:eastAsia="Times New Roman"/>
          <w:szCs w:val="24"/>
        </w:rPr>
        <w:t xml:space="preserve">  </w:t>
      </w:r>
      <w:r w:rsidRPr="000C3551">
        <w:rPr>
          <w:rFonts w:eastAsia="Times New Roman"/>
          <w:i/>
          <w:szCs w:val="24"/>
        </w:rPr>
        <w:t>Schwarz</w:t>
      </w:r>
      <w:r w:rsidRPr="000C3551">
        <w:rPr>
          <w:rFonts w:eastAsia="Times New Roman"/>
          <w:szCs w:val="24"/>
        </w:rPr>
        <w:t xml:space="preserve">, 544 F.3d at 1215; </w:t>
      </w:r>
      <w:r w:rsidR="003E3D1D">
        <w:rPr>
          <w:rFonts w:eastAsia="Times New Roman"/>
          <w:i/>
          <w:szCs w:val="24"/>
        </w:rPr>
        <w:t xml:space="preserve">accord </w:t>
      </w:r>
      <w:r w:rsidRPr="000C3551">
        <w:rPr>
          <w:i/>
          <w:szCs w:val="24"/>
        </w:rPr>
        <w:t>Lakeside</w:t>
      </w:r>
      <w:r w:rsidRPr="000C3551">
        <w:rPr>
          <w:szCs w:val="24"/>
        </w:rPr>
        <w:t>, 455 F.3d at 15</w:t>
      </w:r>
      <w:r w:rsidR="003E3D1D">
        <w:rPr>
          <w:szCs w:val="24"/>
        </w:rPr>
        <w:t>9-60</w:t>
      </w:r>
      <w:r w:rsidRPr="000C3551">
        <w:rPr>
          <w:szCs w:val="24"/>
        </w:rPr>
        <w:t>.</w:t>
      </w:r>
    </w:p>
    <w:p w:rsidR="007A7830" w:rsidRDefault="000C3551">
      <w:pPr>
        <w:ind w:firstLine="720"/>
        <w:rPr>
          <w:szCs w:val="24"/>
        </w:rPr>
      </w:pPr>
      <w:r w:rsidRPr="000C3551">
        <w:rPr>
          <w:szCs w:val="24"/>
        </w:rPr>
        <w:t xml:space="preserve">For example, in </w:t>
      </w:r>
      <w:r w:rsidR="004502E7" w:rsidRPr="00731D9F">
        <w:rPr>
          <w:i/>
          <w:szCs w:val="24"/>
        </w:rPr>
        <w:t xml:space="preserve">Woods </w:t>
      </w:r>
      <w:r w:rsidRPr="000C3551">
        <w:rPr>
          <w:i/>
          <w:szCs w:val="24"/>
        </w:rPr>
        <w:t>v.</w:t>
      </w:r>
      <w:r w:rsidR="004502E7" w:rsidRPr="00FD5341">
        <w:rPr>
          <w:i/>
          <w:szCs w:val="24"/>
        </w:rPr>
        <w:t xml:space="preserve"> Foster</w:t>
      </w:r>
      <w:r w:rsidR="004502E7" w:rsidRPr="00FD5341">
        <w:rPr>
          <w:szCs w:val="24"/>
        </w:rPr>
        <w:t xml:space="preserve">, the court found the term “dwelling” applicable to a homeless shelter.  </w:t>
      </w:r>
      <w:r w:rsidR="00725BC6">
        <w:rPr>
          <w:szCs w:val="24"/>
        </w:rPr>
        <w:t>The</w:t>
      </w:r>
      <w:r w:rsidRPr="000C3551">
        <w:rPr>
          <w:szCs w:val="24"/>
        </w:rPr>
        <w:t xml:space="preserve"> court explained</w:t>
      </w:r>
      <w:r w:rsidR="00725BC6">
        <w:rPr>
          <w:szCs w:val="24"/>
        </w:rPr>
        <w:t xml:space="preserve"> that the homeless</w:t>
      </w:r>
      <w:r w:rsidRPr="000C3551">
        <w:rPr>
          <w:szCs w:val="24"/>
        </w:rPr>
        <w:t xml:space="preserve"> “are not visitors or those on a temporary sojourn in the sense of motel guests.  Although the Shelter is not designed to be a place of permanent residence, it cannot be said that the people who live there do not intend to return – they have nowhere else to go.”  </w:t>
      </w:r>
      <w:r w:rsidRPr="000C3551">
        <w:rPr>
          <w:i/>
          <w:szCs w:val="24"/>
        </w:rPr>
        <w:t>Woods</w:t>
      </w:r>
      <w:r w:rsidR="00643E11">
        <w:rPr>
          <w:szCs w:val="24"/>
        </w:rPr>
        <w:t xml:space="preserve">, </w:t>
      </w:r>
      <w:r w:rsidRPr="000C3551">
        <w:rPr>
          <w:szCs w:val="24"/>
        </w:rPr>
        <w:t>884 F. Supp. at 1173.  The court rejected defendants’ contention that the shelter was not a dwelling because occupants’ stay</w:t>
      </w:r>
      <w:r w:rsidR="00374302">
        <w:rPr>
          <w:szCs w:val="24"/>
        </w:rPr>
        <w:t>s</w:t>
      </w:r>
      <w:r w:rsidRPr="000C3551">
        <w:rPr>
          <w:szCs w:val="24"/>
        </w:rPr>
        <w:t xml:space="preserve"> w</w:t>
      </w:r>
      <w:r w:rsidR="0086229A">
        <w:rPr>
          <w:szCs w:val="24"/>
        </w:rPr>
        <w:t>ere</w:t>
      </w:r>
      <w:r w:rsidRPr="000C3551">
        <w:rPr>
          <w:szCs w:val="24"/>
        </w:rPr>
        <w:t xml:space="preserve"> limited to 120 days, ruling that the length of stay was not the determining factor.  “Because the people who live in the Shelter have nowhere else to ‘return to,’ the Shelter is their residence in the sense that they live there and not in any other place.” </w:t>
      </w:r>
      <w:r w:rsidR="00731D9F">
        <w:rPr>
          <w:szCs w:val="24"/>
        </w:rPr>
        <w:t xml:space="preserve"> </w:t>
      </w:r>
      <w:r w:rsidR="004502E7" w:rsidRPr="00FD5341">
        <w:rPr>
          <w:i/>
          <w:szCs w:val="24"/>
        </w:rPr>
        <w:t>Id</w:t>
      </w:r>
      <w:r w:rsidR="004502E7" w:rsidRPr="00FD5341">
        <w:rPr>
          <w:szCs w:val="24"/>
        </w:rPr>
        <w:t xml:space="preserve">. at 1173-74; </w:t>
      </w:r>
      <w:r w:rsidRPr="000C3551">
        <w:rPr>
          <w:i/>
          <w:szCs w:val="24"/>
        </w:rPr>
        <w:t>see also Jenkins v.</w:t>
      </w:r>
      <w:r w:rsidR="004502E7" w:rsidRPr="00FD5341">
        <w:rPr>
          <w:i/>
          <w:szCs w:val="24"/>
        </w:rPr>
        <w:t xml:space="preserve"> New York City Dep’t of Homeless S</w:t>
      </w:r>
      <w:r w:rsidR="00643E11">
        <w:rPr>
          <w:i/>
          <w:szCs w:val="24"/>
        </w:rPr>
        <w:t>e</w:t>
      </w:r>
      <w:r w:rsidR="004502E7" w:rsidRPr="00FD5341">
        <w:rPr>
          <w:i/>
          <w:szCs w:val="24"/>
        </w:rPr>
        <w:t>rvs</w:t>
      </w:r>
      <w:r w:rsidR="004502E7" w:rsidRPr="00FD5341">
        <w:rPr>
          <w:szCs w:val="24"/>
        </w:rPr>
        <w:t>., 643 F. Supp. 2d</w:t>
      </w:r>
      <w:r w:rsidRPr="000C3551">
        <w:rPr>
          <w:szCs w:val="24"/>
        </w:rPr>
        <w:t xml:space="preserve"> 507, 518 (S.D.N.Y. 2009) (concluding, on motion to dismiss, that homeless shelter</w:t>
      </w:r>
      <w:r w:rsidR="00725BC6">
        <w:rPr>
          <w:szCs w:val="24"/>
        </w:rPr>
        <w:t>s</w:t>
      </w:r>
      <w:r w:rsidR="000C4418">
        <w:rPr>
          <w:szCs w:val="24"/>
        </w:rPr>
        <w:t>,</w:t>
      </w:r>
      <w:r w:rsidRPr="000C3551">
        <w:rPr>
          <w:szCs w:val="24"/>
        </w:rPr>
        <w:t xml:space="preserve"> “could well fall within the definition of dwelling</w:t>
      </w:r>
      <w:r w:rsidR="000C4418">
        <w:rPr>
          <w:szCs w:val="24"/>
        </w:rPr>
        <w:t>,</w:t>
      </w:r>
      <w:r w:rsidRPr="000C3551">
        <w:rPr>
          <w:szCs w:val="24"/>
        </w:rPr>
        <w:t>” where the plaintiff</w:t>
      </w:r>
      <w:r w:rsidR="000C4418">
        <w:rPr>
          <w:szCs w:val="24"/>
        </w:rPr>
        <w:t>,</w:t>
      </w:r>
      <w:r w:rsidRPr="000C3551">
        <w:rPr>
          <w:szCs w:val="24"/>
        </w:rPr>
        <w:t xml:space="preserve"> “intends to stay at the shelter as long as he can, . . . and has no other home to go to</w:t>
      </w:r>
      <w:r w:rsidR="000C4418">
        <w:rPr>
          <w:szCs w:val="24"/>
        </w:rPr>
        <w:t>.</w:t>
      </w:r>
      <w:r w:rsidRPr="000C3551">
        <w:rPr>
          <w:szCs w:val="24"/>
        </w:rPr>
        <w:t>”).</w:t>
      </w:r>
    </w:p>
    <w:p w:rsidR="007A7830" w:rsidRDefault="000C3551">
      <w:pPr>
        <w:ind w:firstLine="720"/>
        <w:rPr>
          <w:szCs w:val="24"/>
        </w:rPr>
      </w:pPr>
      <w:r w:rsidRPr="000C3551">
        <w:rPr>
          <w:szCs w:val="24"/>
        </w:rPr>
        <w:t xml:space="preserve">So too here.  Plaintiffs allege sufficient facts to show that D.C. General Building 12 and </w:t>
      </w:r>
      <w:r w:rsidR="00725BC6">
        <w:rPr>
          <w:szCs w:val="24"/>
        </w:rPr>
        <w:t xml:space="preserve">the </w:t>
      </w:r>
      <w:r w:rsidRPr="000C3551">
        <w:rPr>
          <w:szCs w:val="24"/>
        </w:rPr>
        <w:t>Girard Street Apartments provide temporary housing for those who</w:t>
      </w:r>
      <w:r w:rsidR="000C4418">
        <w:rPr>
          <w:szCs w:val="24"/>
        </w:rPr>
        <w:t>,</w:t>
      </w:r>
      <w:r w:rsidRPr="000C3551">
        <w:rPr>
          <w:szCs w:val="24"/>
        </w:rPr>
        <w:t xml:space="preserve"> “have nowhere else to ‘return to,’</w:t>
      </w:r>
      <w:r w:rsidR="00261CE8">
        <w:rPr>
          <w:szCs w:val="24"/>
        </w:rPr>
        <w:t>”</w:t>
      </w:r>
      <w:r w:rsidRPr="000C3551">
        <w:rPr>
          <w:szCs w:val="24"/>
        </w:rPr>
        <w:t xml:space="preserve"> </w:t>
      </w:r>
      <w:r w:rsidRPr="000C3551">
        <w:rPr>
          <w:i/>
          <w:szCs w:val="24"/>
        </w:rPr>
        <w:t>Woods</w:t>
      </w:r>
      <w:r w:rsidRPr="000C3551">
        <w:rPr>
          <w:szCs w:val="24"/>
        </w:rPr>
        <w:t xml:space="preserve">, 884 F. Supp. at 1173, and who treat the shelter “like their home.”  </w:t>
      </w:r>
      <w:r w:rsidRPr="000C3551">
        <w:rPr>
          <w:i/>
          <w:szCs w:val="24"/>
        </w:rPr>
        <w:t>Schwarz</w:t>
      </w:r>
      <w:r w:rsidRPr="000C3551">
        <w:rPr>
          <w:szCs w:val="24"/>
        </w:rPr>
        <w:t>, 544 F.3d at 121</w:t>
      </w:r>
      <w:r w:rsidR="003E3D1D">
        <w:rPr>
          <w:szCs w:val="24"/>
        </w:rPr>
        <w:t>5</w:t>
      </w:r>
      <w:r w:rsidRPr="000C3551">
        <w:rPr>
          <w:szCs w:val="24"/>
        </w:rPr>
        <w:t xml:space="preserve">.  With respect to D.C. General Building 12, the </w:t>
      </w:r>
      <w:r w:rsidR="000C4418">
        <w:rPr>
          <w:szCs w:val="24"/>
        </w:rPr>
        <w:t>First Amended Complaint</w:t>
      </w:r>
      <w:r w:rsidRPr="000C3551">
        <w:rPr>
          <w:szCs w:val="24"/>
        </w:rPr>
        <w:t xml:space="preserve"> alleges that there is no</w:t>
      </w:r>
      <w:r w:rsidR="000C4418">
        <w:rPr>
          <w:szCs w:val="24"/>
        </w:rPr>
        <w:t>,</w:t>
      </w:r>
      <w:r w:rsidRPr="000C3551">
        <w:rPr>
          <w:szCs w:val="24"/>
        </w:rPr>
        <w:t xml:space="preserve"> “time limit on how long residents can remain</w:t>
      </w:r>
      <w:r w:rsidR="000C4418">
        <w:rPr>
          <w:szCs w:val="24"/>
        </w:rPr>
        <w:t>;</w:t>
      </w:r>
      <w:r w:rsidRPr="000C3551">
        <w:rPr>
          <w:szCs w:val="24"/>
        </w:rPr>
        <w:t>” that each family has</w:t>
      </w:r>
      <w:r w:rsidR="000C4418">
        <w:rPr>
          <w:szCs w:val="24"/>
        </w:rPr>
        <w:t>,</w:t>
      </w:r>
      <w:r w:rsidRPr="000C3551">
        <w:rPr>
          <w:szCs w:val="24"/>
        </w:rPr>
        <w:t xml:space="preserve"> “their own room</w:t>
      </w:r>
      <w:r w:rsidR="000C4418">
        <w:rPr>
          <w:szCs w:val="24"/>
        </w:rPr>
        <w:t>,</w:t>
      </w:r>
      <w:r w:rsidRPr="000C3551">
        <w:rPr>
          <w:szCs w:val="24"/>
        </w:rPr>
        <w:t>” where “they return...each day, [and] where they keep their belongings</w:t>
      </w:r>
      <w:r w:rsidR="000C4418">
        <w:rPr>
          <w:szCs w:val="24"/>
        </w:rPr>
        <w:t>;</w:t>
      </w:r>
      <w:r w:rsidRPr="000C3551">
        <w:rPr>
          <w:szCs w:val="24"/>
        </w:rPr>
        <w:t xml:space="preserve">” </w:t>
      </w:r>
      <w:r w:rsidR="00092850">
        <w:rPr>
          <w:szCs w:val="24"/>
        </w:rPr>
        <w:t xml:space="preserve">and </w:t>
      </w:r>
      <w:r w:rsidRPr="000C3551">
        <w:rPr>
          <w:szCs w:val="24"/>
        </w:rPr>
        <w:t xml:space="preserve">that residents are responsible for “cleaning their own rooms.”  </w:t>
      </w:r>
      <w:r w:rsidR="000C4418">
        <w:rPr>
          <w:szCs w:val="24"/>
        </w:rPr>
        <w:t>First Am. Compl.</w:t>
      </w:r>
      <w:r w:rsidR="00C44336">
        <w:rPr>
          <w:szCs w:val="24"/>
        </w:rPr>
        <w:t xml:space="preserve"> </w:t>
      </w:r>
      <w:r w:rsidRPr="000C3551">
        <w:rPr>
          <w:szCs w:val="24"/>
        </w:rPr>
        <w:t xml:space="preserve">¶ 43.  </w:t>
      </w:r>
    </w:p>
    <w:p w:rsidR="007A7830" w:rsidRDefault="000C3551">
      <w:pPr>
        <w:ind w:firstLine="720"/>
        <w:rPr>
          <w:szCs w:val="24"/>
        </w:rPr>
      </w:pPr>
      <w:r w:rsidRPr="000C3551">
        <w:rPr>
          <w:szCs w:val="24"/>
        </w:rPr>
        <w:t xml:space="preserve">Similarly, </w:t>
      </w:r>
      <w:r w:rsidR="00092850">
        <w:rPr>
          <w:szCs w:val="24"/>
        </w:rPr>
        <w:t>P</w:t>
      </w:r>
      <w:r w:rsidRPr="000C3551">
        <w:rPr>
          <w:szCs w:val="24"/>
        </w:rPr>
        <w:t>laintiffs allege that Girard Street Apartments is a “traditional apartment building, with approximately 20 separate keyed apartment units for residents containing kitchens, bedrooms, living areas and bathrooms</w:t>
      </w:r>
      <w:r w:rsidR="000C4418">
        <w:rPr>
          <w:szCs w:val="24"/>
        </w:rPr>
        <w:t>;</w:t>
      </w:r>
      <w:r w:rsidRPr="000C3551">
        <w:rPr>
          <w:szCs w:val="24"/>
        </w:rPr>
        <w:t>” that residents</w:t>
      </w:r>
      <w:r w:rsidR="000C4418">
        <w:rPr>
          <w:szCs w:val="24"/>
        </w:rPr>
        <w:t>,</w:t>
      </w:r>
      <w:r w:rsidRPr="000C3551">
        <w:rPr>
          <w:szCs w:val="24"/>
        </w:rPr>
        <w:t xml:space="preserve"> “decorate their units and place personal items in them</w:t>
      </w:r>
      <w:r w:rsidR="000C4418">
        <w:rPr>
          <w:szCs w:val="24"/>
        </w:rPr>
        <w:t>;</w:t>
      </w:r>
      <w:r w:rsidRPr="000C3551">
        <w:rPr>
          <w:szCs w:val="24"/>
        </w:rPr>
        <w:t>” that residents are responsible for</w:t>
      </w:r>
      <w:r w:rsidR="000C4418">
        <w:rPr>
          <w:szCs w:val="24"/>
        </w:rPr>
        <w:t>,</w:t>
      </w:r>
      <w:r w:rsidRPr="000C3551">
        <w:rPr>
          <w:szCs w:val="24"/>
        </w:rPr>
        <w:t xml:space="preserve"> “cleaning [their] apartments</w:t>
      </w:r>
      <w:r w:rsidR="000C4418">
        <w:rPr>
          <w:szCs w:val="24"/>
        </w:rPr>
        <w:t>;</w:t>
      </w:r>
      <w:r w:rsidRPr="000C3551">
        <w:rPr>
          <w:szCs w:val="24"/>
        </w:rPr>
        <w:t>” that all residents are provided a “Resident Handbook” and “receive[] a key to their apartment</w:t>
      </w:r>
      <w:r w:rsidR="000C4418">
        <w:rPr>
          <w:szCs w:val="24"/>
        </w:rPr>
        <w:t>;</w:t>
      </w:r>
      <w:r w:rsidRPr="000C3551">
        <w:rPr>
          <w:szCs w:val="24"/>
        </w:rPr>
        <w:t>” that residents must pay</w:t>
      </w:r>
      <w:r w:rsidR="000C4418">
        <w:rPr>
          <w:szCs w:val="24"/>
        </w:rPr>
        <w:t>,</w:t>
      </w:r>
      <w:r w:rsidRPr="000C3551">
        <w:rPr>
          <w:szCs w:val="24"/>
        </w:rPr>
        <w:t xml:space="preserve"> “30% of their income into an escrow account</w:t>
      </w:r>
      <w:r w:rsidR="000C4418">
        <w:rPr>
          <w:szCs w:val="24"/>
        </w:rPr>
        <w:t>;</w:t>
      </w:r>
      <w:r w:rsidRPr="000C3551">
        <w:rPr>
          <w:szCs w:val="24"/>
        </w:rPr>
        <w:t xml:space="preserve">” and that residents have the right to make “maintenance requests” and “receive notice” before staff enter their apartments.  </w:t>
      </w:r>
      <w:r w:rsidRPr="000C3551">
        <w:rPr>
          <w:i/>
          <w:szCs w:val="24"/>
        </w:rPr>
        <w:t>See</w:t>
      </w:r>
      <w:r w:rsidRPr="000C3551">
        <w:rPr>
          <w:szCs w:val="24"/>
        </w:rPr>
        <w:t xml:space="preserve"> </w:t>
      </w:r>
      <w:r w:rsidR="000C4418">
        <w:rPr>
          <w:szCs w:val="24"/>
        </w:rPr>
        <w:t>First Am. Compl.</w:t>
      </w:r>
      <w:r w:rsidRPr="000C3551">
        <w:rPr>
          <w:szCs w:val="24"/>
        </w:rPr>
        <w:t xml:space="preserve"> ¶¶ 63-68.  Accordingly, </w:t>
      </w:r>
      <w:r w:rsidR="00092850">
        <w:rPr>
          <w:szCs w:val="24"/>
        </w:rPr>
        <w:t>P</w:t>
      </w:r>
      <w:r w:rsidR="00092850" w:rsidRPr="000C3551">
        <w:rPr>
          <w:szCs w:val="24"/>
        </w:rPr>
        <w:t xml:space="preserve">laintiffs </w:t>
      </w:r>
      <w:r w:rsidRPr="000C3551">
        <w:rPr>
          <w:szCs w:val="24"/>
        </w:rPr>
        <w:t xml:space="preserve">have alleged sufficient facts to show that Building 12 and </w:t>
      </w:r>
      <w:r w:rsidR="00092850">
        <w:rPr>
          <w:szCs w:val="24"/>
        </w:rPr>
        <w:t xml:space="preserve">the </w:t>
      </w:r>
      <w:r w:rsidRPr="000C3551">
        <w:rPr>
          <w:szCs w:val="24"/>
        </w:rPr>
        <w:t xml:space="preserve">Girard Street Apartments are “dwellings” under the FHA.  </w:t>
      </w:r>
    </w:p>
    <w:p w:rsidR="007A7830" w:rsidRDefault="000C3551" w:rsidP="00A17B41">
      <w:pPr>
        <w:pStyle w:val="Heading4"/>
      </w:pPr>
      <w:r w:rsidRPr="000C3551">
        <w:t xml:space="preserve">The FHA </w:t>
      </w:r>
      <w:r w:rsidR="00A17B41">
        <w:t>A</w:t>
      </w:r>
      <w:r w:rsidRPr="000C3551">
        <w:t xml:space="preserve">pplies to </w:t>
      </w:r>
      <w:r w:rsidR="00A17B41">
        <w:t>D</w:t>
      </w:r>
      <w:r w:rsidRPr="000C3551">
        <w:t xml:space="preserve">iscriminatory </w:t>
      </w:r>
      <w:r w:rsidR="00A17B41">
        <w:t>C</w:t>
      </w:r>
      <w:r w:rsidRPr="000C3551">
        <w:t xml:space="preserve">onduct </w:t>
      </w:r>
      <w:r w:rsidR="00A17B41">
        <w:t>A</w:t>
      </w:r>
      <w:r w:rsidRPr="000C3551">
        <w:t xml:space="preserve">gainst </w:t>
      </w:r>
      <w:r w:rsidR="00A17B41">
        <w:t>S</w:t>
      </w:r>
      <w:r w:rsidRPr="000C3551">
        <w:t xml:space="preserve">helter </w:t>
      </w:r>
      <w:r w:rsidR="00A17B41">
        <w:t>R</w:t>
      </w:r>
      <w:r w:rsidRPr="000C3551">
        <w:t>esidents</w:t>
      </w:r>
    </w:p>
    <w:p w:rsidR="007A7830" w:rsidRDefault="000C3551">
      <w:pPr>
        <w:tabs>
          <w:tab w:val="left" w:pos="0"/>
        </w:tabs>
        <w:rPr>
          <w:szCs w:val="24"/>
        </w:rPr>
      </w:pPr>
      <w:r w:rsidRPr="000C3551">
        <w:rPr>
          <w:b/>
          <w:szCs w:val="24"/>
        </w:rPr>
        <w:tab/>
      </w:r>
      <w:r w:rsidR="00092850">
        <w:rPr>
          <w:szCs w:val="24"/>
        </w:rPr>
        <w:t>The District</w:t>
      </w:r>
      <w:r w:rsidR="00092850" w:rsidRPr="00FD5341">
        <w:rPr>
          <w:szCs w:val="24"/>
        </w:rPr>
        <w:t xml:space="preserve"> </w:t>
      </w:r>
      <w:r w:rsidRPr="000C3551">
        <w:rPr>
          <w:szCs w:val="24"/>
        </w:rPr>
        <w:t>also argue</w:t>
      </w:r>
      <w:r w:rsidR="00092850">
        <w:rPr>
          <w:szCs w:val="24"/>
        </w:rPr>
        <w:t>s</w:t>
      </w:r>
      <w:r w:rsidRPr="000C3551">
        <w:rPr>
          <w:szCs w:val="24"/>
        </w:rPr>
        <w:t xml:space="preserve"> that </w:t>
      </w:r>
      <w:r w:rsidR="00092850">
        <w:rPr>
          <w:szCs w:val="24"/>
        </w:rPr>
        <w:t>P</w:t>
      </w:r>
      <w:r w:rsidRPr="000C3551">
        <w:rPr>
          <w:szCs w:val="24"/>
        </w:rPr>
        <w:t xml:space="preserve">laintiffs cannot bring an FHA claim because they do not pay and therefore are not “renters” under 42 U.S.C. </w:t>
      </w:r>
      <w:r w:rsidR="00092850">
        <w:rPr>
          <w:szCs w:val="24"/>
        </w:rPr>
        <w:t>§ 3604</w:t>
      </w:r>
      <w:r w:rsidRPr="000C3551">
        <w:rPr>
          <w:szCs w:val="24"/>
        </w:rPr>
        <w:t>(f)(1)</w:t>
      </w:r>
      <w:r w:rsidR="000C4418">
        <w:rPr>
          <w:szCs w:val="24"/>
        </w:rPr>
        <w:t>-</w:t>
      </w:r>
      <w:r w:rsidRPr="000C3551">
        <w:rPr>
          <w:szCs w:val="24"/>
        </w:rPr>
        <w:t xml:space="preserve">(3) of the FHA.  </w:t>
      </w:r>
      <w:r w:rsidR="005721C5">
        <w:rPr>
          <w:szCs w:val="24"/>
        </w:rPr>
        <w:t>Def.’s</w:t>
      </w:r>
      <w:r w:rsidRPr="000C3551">
        <w:rPr>
          <w:szCs w:val="24"/>
        </w:rPr>
        <w:t xml:space="preserve"> </w:t>
      </w:r>
      <w:r w:rsidR="000C4418">
        <w:rPr>
          <w:szCs w:val="24"/>
        </w:rPr>
        <w:t>Mot. Dismiss</w:t>
      </w:r>
      <w:r w:rsidRPr="000C3551">
        <w:rPr>
          <w:szCs w:val="24"/>
        </w:rPr>
        <w:t xml:space="preserve"> 10-11.  This argument fails for several reasons.</w:t>
      </w:r>
    </w:p>
    <w:p w:rsidR="007A7830" w:rsidRDefault="000C3551">
      <w:pPr>
        <w:rPr>
          <w:szCs w:val="24"/>
        </w:rPr>
      </w:pPr>
      <w:r w:rsidRPr="000C3551">
        <w:rPr>
          <w:szCs w:val="24"/>
        </w:rPr>
        <w:tab/>
      </w:r>
      <w:r w:rsidR="004502E7" w:rsidRPr="00FD5341">
        <w:rPr>
          <w:szCs w:val="24"/>
        </w:rPr>
        <w:t>First</w:t>
      </w:r>
      <w:r w:rsidRPr="000C3551">
        <w:rPr>
          <w:szCs w:val="24"/>
        </w:rPr>
        <w:t>, the text of the FHA is not limited only to sale or rental transactions involving owners or paying tenants.</w:t>
      </w:r>
      <w:r w:rsidR="004502E7" w:rsidRPr="00FD5341">
        <w:rPr>
          <w:rStyle w:val="FootnoteReference"/>
          <w:szCs w:val="24"/>
        </w:rPr>
        <w:footnoteReference w:id="15"/>
      </w:r>
      <w:r w:rsidR="004502E7" w:rsidRPr="00FD5341">
        <w:rPr>
          <w:szCs w:val="24"/>
        </w:rPr>
        <w:t xml:space="preserve">  </w:t>
      </w:r>
      <w:r w:rsidRPr="000C3551">
        <w:rPr>
          <w:szCs w:val="24"/>
        </w:rPr>
        <w:t xml:space="preserve">For example, 42 U.S.C. </w:t>
      </w:r>
      <w:r w:rsidR="000C4418">
        <w:rPr>
          <w:szCs w:val="24"/>
        </w:rPr>
        <w:t xml:space="preserve">§ </w:t>
      </w:r>
      <w:r w:rsidRPr="000C3551">
        <w:rPr>
          <w:szCs w:val="24"/>
        </w:rPr>
        <w:t>3604(f)(2) states that it is unlawful to discriminate against</w:t>
      </w:r>
      <w:r w:rsidR="003E3D1D">
        <w:rPr>
          <w:szCs w:val="24"/>
        </w:rPr>
        <w:t>:</w:t>
      </w:r>
    </w:p>
    <w:p w:rsidR="007A7830" w:rsidRDefault="000C3551" w:rsidP="007E1C88">
      <w:pPr>
        <w:pStyle w:val="BlockText"/>
      </w:pPr>
      <w:r w:rsidRPr="000C3551">
        <w:t>any person in the terms, conditions, or privileges of sale or rental of a dwelling, or in the provision of services or facilities in connection with such dwelling, because of a handicap of – (A) that person; or (B) a person residing in or intending to resided in that dwelling after it is so sold, rented or made available; or (C) any person associated with that person.</w:t>
      </w:r>
    </w:p>
    <w:p w:rsidR="007A7830" w:rsidRDefault="000C4418">
      <w:pPr>
        <w:rPr>
          <w:szCs w:val="24"/>
        </w:rPr>
      </w:pPr>
      <w:r w:rsidRPr="00FD5341">
        <w:rPr>
          <w:szCs w:val="24"/>
        </w:rPr>
        <w:t xml:space="preserve">42 U.S.C. </w:t>
      </w:r>
      <w:r>
        <w:rPr>
          <w:szCs w:val="24"/>
        </w:rPr>
        <w:t xml:space="preserve">§ </w:t>
      </w:r>
      <w:r w:rsidRPr="00FD5341">
        <w:rPr>
          <w:szCs w:val="24"/>
        </w:rPr>
        <w:t>3604(f)(2)</w:t>
      </w:r>
      <w:r w:rsidR="00092850">
        <w:rPr>
          <w:szCs w:val="24"/>
        </w:rPr>
        <w:t>.</w:t>
      </w:r>
    </w:p>
    <w:p w:rsidR="007A7830" w:rsidRDefault="000C3551">
      <w:pPr>
        <w:ind w:firstLine="720"/>
        <w:rPr>
          <w:szCs w:val="24"/>
        </w:rPr>
      </w:pPr>
      <w:r w:rsidRPr="000C3551">
        <w:rPr>
          <w:szCs w:val="24"/>
        </w:rPr>
        <w:t>Section 3604(f)(2) protects “any person” from discrimination, and the phrase</w:t>
      </w:r>
      <w:r w:rsidR="00092850">
        <w:rPr>
          <w:szCs w:val="24"/>
        </w:rPr>
        <w:t>s</w:t>
      </w:r>
      <w:r w:rsidR="000C4418">
        <w:rPr>
          <w:szCs w:val="24"/>
        </w:rPr>
        <w:t>,</w:t>
      </w:r>
      <w:r w:rsidRPr="000C3551">
        <w:rPr>
          <w:szCs w:val="24"/>
        </w:rPr>
        <w:t xml:space="preserve"> “terms, conditions, or privileges of sale or rental,” and</w:t>
      </w:r>
      <w:r w:rsidR="000C4418">
        <w:rPr>
          <w:szCs w:val="24"/>
        </w:rPr>
        <w:t>,</w:t>
      </w:r>
      <w:r w:rsidRPr="000C3551">
        <w:rPr>
          <w:szCs w:val="24"/>
        </w:rPr>
        <w:t xml:space="preserve"> “provision of services or facilities</w:t>
      </w:r>
      <w:r w:rsidR="000C4418">
        <w:rPr>
          <w:szCs w:val="24"/>
        </w:rPr>
        <w:t>,</w:t>
      </w:r>
      <w:r w:rsidRPr="000C3551">
        <w:rPr>
          <w:szCs w:val="24"/>
        </w:rPr>
        <w:t>” encompass activities that extend beyond the sale or rental transaction, including benefits that are ongoing in nature, such as the use of common areas, maintenance, access to facilities, and rules of enforcement.  Indeed, HUD regulations provide that unlawful conduct under this section includes</w:t>
      </w:r>
      <w:r w:rsidR="000C4418">
        <w:rPr>
          <w:szCs w:val="24"/>
        </w:rPr>
        <w:t>,</w:t>
      </w:r>
      <w:r w:rsidRPr="000C3551">
        <w:rPr>
          <w:szCs w:val="24"/>
        </w:rPr>
        <w:t xml:space="preserve"> “[l]imiting the use of privileges, services or facilities associated with a dwelling because of . . . handicap . . . of an owner, tenant</w:t>
      </w:r>
      <w:r w:rsidRPr="000C3551">
        <w:rPr>
          <w:i/>
          <w:szCs w:val="24"/>
        </w:rPr>
        <w:t xml:space="preserve"> </w:t>
      </w:r>
      <w:r w:rsidRPr="007E1C88">
        <w:rPr>
          <w:rStyle w:val="Emphasis"/>
        </w:rPr>
        <w:t>or a person associated with him or her</w:t>
      </w:r>
      <w:r w:rsidR="00643E11">
        <w:rPr>
          <w:szCs w:val="24"/>
        </w:rPr>
        <w:t>.</w:t>
      </w:r>
      <w:r w:rsidRPr="000C3551">
        <w:rPr>
          <w:szCs w:val="24"/>
        </w:rPr>
        <w:t xml:space="preserve">” </w:t>
      </w:r>
      <w:r w:rsidR="00643E11">
        <w:rPr>
          <w:szCs w:val="24"/>
        </w:rPr>
        <w:t xml:space="preserve"> </w:t>
      </w:r>
      <w:r w:rsidRPr="000C3551">
        <w:rPr>
          <w:szCs w:val="24"/>
        </w:rPr>
        <w:t>24 C.F.R.</w:t>
      </w:r>
      <w:r w:rsidR="000C4418">
        <w:rPr>
          <w:szCs w:val="24"/>
        </w:rPr>
        <w:t xml:space="preserve"> §</w:t>
      </w:r>
      <w:r w:rsidRPr="000C3551">
        <w:rPr>
          <w:szCs w:val="24"/>
        </w:rPr>
        <w:t xml:space="preserve"> 100.65(b)(4)</w:t>
      </w:r>
      <w:r w:rsidR="003E3D1D">
        <w:rPr>
          <w:szCs w:val="24"/>
        </w:rPr>
        <w:t xml:space="preserve"> (emphasis added)</w:t>
      </w:r>
      <w:r w:rsidRPr="000C3551">
        <w:rPr>
          <w:szCs w:val="24"/>
        </w:rPr>
        <w:t xml:space="preserve">. </w:t>
      </w:r>
    </w:p>
    <w:p w:rsidR="007A7830" w:rsidRDefault="000C3551" w:rsidP="007E1C88">
      <w:pPr>
        <w:tabs>
          <w:tab w:val="left" w:pos="0"/>
        </w:tabs>
        <w:ind w:hanging="90"/>
        <w:rPr>
          <w:szCs w:val="24"/>
        </w:rPr>
      </w:pPr>
      <w:r w:rsidRPr="000C3551">
        <w:rPr>
          <w:szCs w:val="24"/>
        </w:rPr>
        <w:tab/>
      </w:r>
      <w:r w:rsidRPr="000C3551">
        <w:rPr>
          <w:szCs w:val="24"/>
        </w:rPr>
        <w:tab/>
        <w:t>Second, courts have applied the FHA to</w:t>
      </w:r>
      <w:r w:rsidRPr="000C3551">
        <w:rPr>
          <w:szCs w:val="24"/>
          <w:lang w:val="en-CA"/>
        </w:rPr>
        <w:t xml:space="preserve"> encompass a wide variety of conduct that does not involve a refusal to sell or rent housing to owners or tenants.</w:t>
      </w:r>
      <w:r w:rsidR="004502E7" w:rsidRPr="00FD5341">
        <w:rPr>
          <w:rStyle w:val="FootnoteReference"/>
          <w:szCs w:val="24"/>
          <w:lang w:val="en-CA"/>
        </w:rPr>
        <w:footnoteReference w:id="16"/>
      </w:r>
      <w:r w:rsidR="004502E7" w:rsidRPr="00FD5341">
        <w:rPr>
          <w:szCs w:val="24"/>
          <w:lang w:val="en-CA"/>
        </w:rPr>
        <w:t xml:space="preserve">  </w:t>
      </w:r>
      <w:r w:rsidRPr="000C3551">
        <w:rPr>
          <w:i/>
          <w:szCs w:val="24"/>
          <w:lang w:val="en-CA"/>
        </w:rPr>
        <w:t xml:space="preserve">See, e.g., </w:t>
      </w:r>
      <w:r w:rsidR="000C4418">
        <w:rPr>
          <w:i/>
          <w:szCs w:val="24"/>
          <w:lang w:val="en-CA"/>
        </w:rPr>
        <w:t>Comm.</w:t>
      </w:r>
      <w:r w:rsidRPr="000C3551">
        <w:rPr>
          <w:i/>
          <w:szCs w:val="24"/>
          <w:lang w:val="en-CA"/>
        </w:rPr>
        <w:t xml:space="preserve"> Concerning </w:t>
      </w:r>
      <w:r w:rsidR="000A25FB">
        <w:rPr>
          <w:i/>
          <w:szCs w:val="24"/>
          <w:lang w:val="en-CA"/>
        </w:rPr>
        <w:t>Cmty.</w:t>
      </w:r>
      <w:r w:rsidRPr="000C3551">
        <w:rPr>
          <w:i/>
          <w:szCs w:val="24"/>
          <w:lang w:val="en-CA"/>
        </w:rPr>
        <w:t xml:space="preserve"> Improvement (CCCI) </w:t>
      </w:r>
      <w:r w:rsidR="009A70CE" w:rsidRPr="009A70CE">
        <w:rPr>
          <w:i/>
          <w:szCs w:val="24"/>
          <w:lang w:val="en-CA"/>
        </w:rPr>
        <w:t>v.</w:t>
      </w:r>
      <w:r w:rsidRPr="000C3551">
        <w:rPr>
          <w:szCs w:val="24"/>
          <w:lang w:val="en-CA"/>
        </w:rPr>
        <w:t xml:space="preserve"> </w:t>
      </w:r>
      <w:r w:rsidRPr="000C3551">
        <w:rPr>
          <w:i/>
          <w:szCs w:val="24"/>
          <w:lang w:val="en-CA"/>
        </w:rPr>
        <w:t>City of Modesto</w:t>
      </w:r>
      <w:r w:rsidRPr="000C3551">
        <w:rPr>
          <w:szCs w:val="24"/>
          <w:lang w:val="en-CA"/>
        </w:rPr>
        <w:t>, 583 F.3d 690, 711-15 (9th Cir. 2009) (</w:t>
      </w:r>
      <w:r w:rsidR="000A25FB">
        <w:rPr>
          <w:szCs w:val="24"/>
          <w:lang w:val="en-CA"/>
        </w:rPr>
        <w:t>holding</w:t>
      </w:r>
      <w:r w:rsidRPr="000C3551">
        <w:rPr>
          <w:szCs w:val="24"/>
          <w:lang w:val="en-CA"/>
        </w:rPr>
        <w:t xml:space="preserve"> that CCCI and residents of predominantly Latino neighborhoods stated valid FHA claim against the City when they alleged that </w:t>
      </w:r>
      <w:r w:rsidR="003B4ACB">
        <w:rPr>
          <w:szCs w:val="24"/>
          <w:lang w:val="en-CA"/>
        </w:rPr>
        <w:t xml:space="preserve">the </w:t>
      </w:r>
      <w:r w:rsidRPr="000C3551">
        <w:rPr>
          <w:szCs w:val="24"/>
          <w:lang w:val="en-CA"/>
        </w:rPr>
        <w:t xml:space="preserve">City had denied them adequate municipal services); </w:t>
      </w:r>
      <w:r w:rsidR="00092850" w:rsidRPr="000C3551">
        <w:rPr>
          <w:i/>
          <w:szCs w:val="24"/>
        </w:rPr>
        <w:t xml:space="preserve">NAACP v. </w:t>
      </w:r>
      <w:r w:rsidR="00092850">
        <w:rPr>
          <w:i/>
          <w:szCs w:val="24"/>
        </w:rPr>
        <w:t>Am.</w:t>
      </w:r>
      <w:r w:rsidR="00092850" w:rsidRPr="000C3551">
        <w:rPr>
          <w:i/>
          <w:szCs w:val="24"/>
        </w:rPr>
        <w:t xml:space="preserve"> Family Mut. Ins. Co.</w:t>
      </w:r>
      <w:r w:rsidR="00092850" w:rsidRPr="000C3551">
        <w:rPr>
          <w:szCs w:val="24"/>
        </w:rPr>
        <w:t xml:space="preserve">, 978 F.2d 287, 297-301 (7th Cir. 1992), </w:t>
      </w:r>
      <w:r w:rsidR="00092850" w:rsidRPr="000C3551">
        <w:rPr>
          <w:i/>
          <w:szCs w:val="24"/>
        </w:rPr>
        <w:t>cert. denied</w:t>
      </w:r>
      <w:r w:rsidR="00092850" w:rsidRPr="000C3551">
        <w:rPr>
          <w:szCs w:val="24"/>
        </w:rPr>
        <w:t>, 508 U.S. 907 (1993) (homeowners insurance</w:t>
      </w:r>
      <w:r w:rsidR="0086342B">
        <w:rPr>
          <w:szCs w:val="24"/>
        </w:rPr>
        <w:t>);</w:t>
      </w:r>
      <w:r w:rsidR="00092850">
        <w:rPr>
          <w:szCs w:val="24"/>
        </w:rPr>
        <w:t xml:space="preserve"> </w:t>
      </w:r>
      <w:r w:rsidRPr="000C3551">
        <w:rPr>
          <w:i/>
          <w:szCs w:val="24"/>
          <w:lang w:val="en-CA"/>
        </w:rPr>
        <w:t>Huntington Branch, NAACP v. Town of Huntington</w:t>
      </w:r>
      <w:r w:rsidRPr="000C3551">
        <w:rPr>
          <w:szCs w:val="24"/>
          <w:lang w:val="en-CA"/>
        </w:rPr>
        <w:t>, 844 F.2d 926</w:t>
      </w:r>
      <w:r w:rsidR="003B4ACB">
        <w:rPr>
          <w:szCs w:val="24"/>
          <w:lang w:val="en-CA"/>
        </w:rPr>
        <w:t>, 941</w:t>
      </w:r>
      <w:r w:rsidRPr="000C3551">
        <w:rPr>
          <w:szCs w:val="24"/>
          <w:lang w:val="en-CA"/>
        </w:rPr>
        <w:t xml:space="preserve"> (2d Cir. 1988) (</w:t>
      </w:r>
      <w:r w:rsidR="000A25FB">
        <w:rPr>
          <w:szCs w:val="24"/>
          <w:lang w:val="en-CA"/>
        </w:rPr>
        <w:t>holding</w:t>
      </w:r>
      <w:r w:rsidRPr="000C3551">
        <w:rPr>
          <w:szCs w:val="24"/>
          <w:lang w:val="en-CA"/>
        </w:rPr>
        <w:t xml:space="preserve"> that residents and NAACP established FHA claim against the City when evidence showed that City restricted multi-family housing construction to an “urban renewal” area); </w:t>
      </w:r>
      <w:r w:rsidRPr="000C3551">
        <w:rPr>
          <w:i/>
          <w:szCs w:val="24"/>
        </w:rPr>
        <w:t>United States v. City of Black Jack</w:t>
      </w:r>
      <w:r w:rsidRPr="000C3551">
        <w:rPr>
          <w:szCs w:val="24"/>
        </w:rPr>
        <w:t>, 508 F.2d 1179, 118</w:t>
      </w:r>
      <w:r w:rsidR="003B4ACB">
        <w:rPr>
          <w:szCs w:val="24"/>
        </w:rPr>
        <w:t>8</w:t>
      </w:r>
      <w:r w:rsidRPr="000C3551">
        <w:rPr>
          <w:szCs w:val="24"/>
        </w:rPr>
        <w:t xml:space="preserve"> (8th Cir. 1974)</w:t>
      </w:r>
      <w:r w:rsidR="00374302">
        <w:rPr>
          <w:szCs w:val="24"/>
        </w:rPr>
        <w:t>,</w:t>
      </w:r>
      <w:r w:rsidRPr="000C3551">
        <w:rPr>
          <w:szCs w:val="24"/>
        </w:rPr>
        <w:t xml:space="preserve"> </w:t>
      </w:r>
      <w:r w:rsidRPr="000C3551">
        <w:rPr>
          <w:i/>
          <w:szCs w:val="24"/>
        </w:rPr>
        <w:t>cert. denied</w:t>
      </w:r>
      <w:r w:rsidRPr="000C3551">
        <w:rPr>
          <w:szCs w:val="24"/>
        </w:rPr>
        <w:t>, 422 U.S. 1042 (1975)</w:t>
      </w:r>
      <w:r w:rsidR="00092850">
        <w:rPr>
          <w:szCs w:val="24"/>
        </w:rPr>
        <w:t xml:space="preserve"> (</w:t>
      </w:r>
      <w:r w:rsidR="00092850" w:rsidRPr="000C3551">
        <w:rPr>
          <w:szCs w:val="24"/>
        </w:rPr>
        <w:t>municipal zoning ordinance prohibiting construction of multi-family housing)</w:t>
      </w:r>
      <w:r w:rsidRPr="000C3551">
        <w:rPr>
          <w:szCs w:val="24"/>
        </w:rPr>
        <w:t>.</w:t>
      </w:r>
    </w:p>
    <w:p w:rsidR="007A7830" w:rsidRDefault="000C3551" w:rsidP="007E1C88">
      <w:pPr>
        <w:rPr>
          <w:szCs w:val="24"/>
        </w:rPr>
      </w:pPr>
      <w:r w:rsidRPr="000C3551">
        <w:rPr>
          <w:szCs w:val="24"/>
        </w:rPr>
        <w:tab/>
        <w:t xml:space="preserve">For example, in </w:t>
      </w:r>
      <w:r w:rsidRPr="000C3551">
        <w:rPr>
          <w:i/>
          <w:szCs w:val="24"/>
        </w:rPr>
        <w:t>Woods v. Foster</w:t>
      </w:r>
      <w:r w:rsidRPr="000C3551">
        <w:rPr>
          <w:szCs w:val="24"/>
        </w:rPr>
        <w:t xml:space="preserve">, the court rejected the contention that defendants assert here, namely that the FHA does not apply to a homeless shelter that provides housing without charge to the occupants.  </w:t>
      </w:r>
      <w:r w:rsidR="00092850">
        <w:rPr>
          <w:szCs w:val="24"/>
        </w:rPr>
        <w:t xml:space="preserve">884 F. Supp. at 1175.  </w:t>
      </w:r>
      <w:r w:rsidRPr="000C3551">
        <w:rPr>
          <w:szCs w:val="24"/>
        </w:rPr>
        <w:t>The court explained:</w:t>
      </w:r>
    </w:p>
    <w:p w:rsidR="007A7830" w:rsidRDefault="003B4ACB" w:rsidP="007E1C88">
      <w:pPr>
        <w:pStyle w:val="BlockText"/>
      </w:pPr>
      <w:r>
        <w:t>T</w:t>
      </w:r>
      <w:r w:rsidR="000C3551" w:rsidRPr="000C3551">
        <w:t>he FHA was passed in order to ‘provide, within constitutional limitations, for fair housing throughout the United States’. . . As such, there is no reason to conclude that the scope of the FHA should be limited to those who pay for their own housing, rather than extended to all victims of the types of discrimination prohibited by the Act.</w:t>
      </w:r>
    </w:p>
    <w:p w:rsidR="007A7830" w:rsidRDefault="004C137C" w:rsidP="007E1C88">
      <w:pPr>
        <w:rPr>
          <w:szCs w:val="24"/>
          <w:lang w:val="en-CA"/>
        </w:rPr>
      </w:pPr>
      <w:r>
        <w:rPr>
          <w:i/>
          <w:szCs w:val="24"/>
        </w:rPr>
        <w:t>Id.</w:t>
      </w:r>
      <w:r w:rsidR="000C3551" w:rsidRPr="000C3551">
        <w:rPr>
          <w:szCs w:val="24"/>
        </w:rPr>
        <w:t xml:space="preserve"> (internal citation omitted)</w:t>
      </w:r>
      <w:r w:rsidR="000C3551" w:rsidRPr="000C3551">
        <w:rPr>
          <w:i/>
          <w:szCs w:val="24"/>
        </w:rPr>
        <w:t>.</w:t>
      </w:r>
    </w:p>
    <w:p w:rsidR="009A70CE" w:rsidRDefault="000C3551" w:rsidP="007E1C88">
      <w:pPr>
        <w:tabs>
          <w:tab w:val="left" w:pos="0"/>
        </w:tabs>
        <w:rPr>
          <w:szCs w:val="24"/>
        </w:rPr>
      </w:pPr>
      <w:r w:rsidRPr="000C3551">
        <w:rPr>
          <w:szCs w:val="24"/>
        </w:rPr>
        <w:tab/>
        <w:t>Third, shelter occupants are “renters” under the FHA.  The FHA defines the term “to rent” to include</w:t>
      </w:r>
      <w:r w:rsidR="000A25FB">
        <w:rPr>
          <w:szCs w:val="24"/>
        </w:rPr>
        <w:t>,</w:t>
      </w:r>
      <w:r w:rsidRPr="000C3551">
        <w:rPr>
          <w:szCs w:val="24"/>
        </w:rPr>
        <w:t xml:space="preserve"> “to lease, to sublease, to let and otherwise to grant for a consideration the right to occupy premises not owned by the occupant.”  42 U.S.C. </w:t>
      </w:r>
      <w:r w:rsidR="000A25FB">
        <w:rPr>
          <w:szCs w:val="24"/>
        </w:rPr>
        <w:t>§</w:t>
      </w:r>
      <w:r w:rsidR="00CB6D54">
        <w:rPr>
          <w:szCs w:val="24"/>
        </w:rPr>
        <w:t> </w:t>
      </w:r>
      <w:r w:rsidRPr="000C3551">
        <w:rPr>
          <w:szCs w:val="24"/>
        </w:rPr>
        <w:t xml:space="preserve">3602(e).  Notably, under this definition, the term “to rent” is an act performed by the owner, not the occupant of the dwelling.  Nothing in the definition requires that the “consideration” be paid by the occupant.  </w:t>
      </w:r>
      <w:r w:rsidRPr="000C3551">
        <w:rPr>
          <w:i/>
          <w:szCs w:val="24"/>
        </w:rPr>
        <w:t>See</w:t>
      </w:r>
      <w:r w:rsidRPr="000C3551">
        <w:rPr>
          <w:szCs w:val="24"/>
        </w:rPr>
        <w:t xml:space="preserve"> </w:t>
      </w:r>
      <w:r w:rsidRPr="000C3551">
        <w:rPr>
          <w:i/>
          <w:szCs w:val="24"/>
        </w:rPr>
        <w:t>Woods</w:t>
      </w:r>
      <w:r w:rsidRPr="000C3551">
        <w:rPr>
          <w:szCs w:val="24"/>
        </w:rPr>
        <w:t>, 884 F. Supp. at 1175 (holding that the defendants’ receipt of funds from HUD was</w:t>
      </w:r>
      <w:r w:rsidR="000A25FB">
        <w:rPr>
          <w:szCs w:val="24"/>
        </w:rPr>
        <w:t>,</w:t>
      </w:r>
      <w:r w:rsidRPr="000C3551">
        <w:rPr>
          <w:szCs w:val="24"/>
        </w:rPr>
        <w:t xml:space="preserve"> “undoubtedly ‘consideration’ granted for the right to occupy the premises of the Shelter</w:t>
      </w:r>
      <w:r w:rsidR="004C137C">
        <w:rPr>
          <w:szCs w:val="24"/>
        </w:rPr>
        <w:t>.</w:t>
      </w:r>
      <w:r w:rsidRPr="000C3551">
        <w:rPr>
          <w:szCs w:val="24"/>
        </w:rPr>
        <w:t>”).  Nor does the statutory definition of “to rent” require the exchange of money, as long as “consideration” is exchanged for the right of occupancy.</w:t>
      </w:r>
      <w:r w:rsidR="004502E7" w:rsidRPr="00FD5341">
        <w:rPr>
          <w:rStyle w:val="FootnoteReference"/>
          <w:szCs w:val="24"/>
        </w:rPr>
        <w:footnoteReference w:id="17"/>
      </w:r>
      <w:r w:rsidR="004502E7" w:rsidRPr="00FD5341">
        <w:rPr>
          <w:szCs w:val="24"/>
        </w:rPr>
        <w:t xml:space="preserve">  In the shelter context, </w:t>
      </w:r>
      <w:r w:rsidR="000A25FB">
        <w:rPr>
          <w:szCs w:val="24"/>
        </w:rPr>
        <w:t>c</w:t>
      </w:r>
      <w:r w:rsidR="004502E7" w:rsidRPr="00FD5341">
        <w:rPr>
          <w:szCs w:val="24"/>
        </w:rPr>
        <w:t>ourts and HUD have construed the requirement of “consideration” to include, among other things, receipt of funds by a shelter or chores and other responsibil</w:t>
      </w:r>
      <w:r w:rsidRPr="000C3551">
        <w:rPr>
          <w:szCs w:val="24"/>
        </w:rPr>
        <w:t xml:space="preserve">ities performed by shelter occupants.  </w:t>
      </w:r>
      <w:r w:rsidRPr="000C3551">
        <w:rPr>
          <w:i/>
          <w:szCs w:val="24"/>
        </w:rPr>
        <w:t>See, e.g</w:t>
      </w:r>
      <w:r w:rsidRPr="004C137C">
        <w:rPr>
          <w:i/>
          <w:szCs w:val="24"/>
        </w:rPr>
        <w:t>.,</w:t>
      </w:r>
      <w:r w:rsidRPr="000C3551">
        <w:rPr>
          <w:szCs w:val="24"/>
        </w:rPr>
        <w:t xml:space="preserve"> </w:t>
      </w:r>
      <w:r w:rsidR="000A25FB">
        <w:rPr>
          <w:i/>
          <w:szCs w:val="24"/>
        </w:rPr>
        <w:t>id.</w:t>
      </w:r>
      <w:r w:rsidRPr="000C3551">
        <w:rPr>
          <w:szCs w:val="24"/>
        </w:rPr>
        <w:t xml:space="preserve"> at 1175 ($125,000 federal HUD grant to shelter sufficient consideration); </w:t>
      </w:r>
      <w:r w:rsidRPr="000C3551">
        <w:rPr>
          <w:i/>
          <w:szCs w:val="24"/>
        </w:rPr>
        <w:t>Anonymous v. Goddard Riverside Cmty. Ctr., Inc</w:t>
      </w:r>
      <w:r w:rsidRPr="000C3551">
        <w:rPr>
          <w:szCs w:val="24"/>
        </w:rPr>
        <w:t xml:space="preserve">., </w:t>
      </w:r>
      <w:r w:rsidR="004C137C">
        <w:rPr>
          <w:szCs w:val="24"/>
        </w:rPr>
        <w:t xml:space="preserve">No. 96 CIV. 9198 (SAS), </w:t>
      </w:r>
      <w:r w:rsidRPr="000C3551">
        <w:rPr>
          <w:szCs w:val="24"/>
        </w:rPr>
        <w:t>1997 WL 475165</w:t>
      </w:r>
      <w:r w:rsidR="003B4ACB">
        <w:rPr>
          <w:szCs w:val="24"/>
        </w:rPr>
        <w:t xml:space="preserve"> at *5, n.4</w:t>
      </w:r>
      <w:r w:rsidRPr="000C3551">
        <w:rPr>
          <w:szCs w:val="24"/>
        </w:rPr>
        <w:t xml:space="preserve"> (S.D.N.Y. July 18, 1997) (receipt of federal funds sufficient consideration); Brief of </w:t>
      </w:r>
      <w:r w:rsidR="000A25FB">
        <w:rPr>
          <w:szCs w:val="24"/>
        </w:rPr>
        <w:t>t</w:t>
      </w:r>
      <w:r w:rsidRPr="000C3551">
        <w:rPr>
          <w:szCs w:val="24"/>
        </w:rPr>
        <w:t xml:space="preserve">he Secretary of the United States Department of Housing and Urban Development as Amicus Curiae in </w:t>
      </w:r>
      <w:r w:rsidRPr="000C3551">
        <w:rPr>
          <w:i/>
          <w:szCs w:val="24"/>
        </w:rPr>
        <w:t xml:space="preserve">Intermountain Fair </w:t>
      </w:r>
      <w:r w:rsidR="000A25FB">
        <w:rPr>
          <w:i/>
          <w:szCs w:val="24"/>
        </w:rPr>
        <w:t>Hous.</w:t>
      </w:r>
      <w:r w:rsidRPr="000C3551">
        <w:rPr>
          <w:i/>
          <w:szCs w:val="24"/>
        </w:rPr>
        <w:t xml:space="preserve"> Council v. Boise Rescue Mission</w:t>
      </w:r>
      <w:r w:rsidRPr="000C3551">
        <w:rPr>
          <w:szCs w:val="24"/>
        </w:rPr>
        <w:t xml:space="preserve">, No. 10-35519 (9th Cir. Apr. 29, 2011) (requiring shelter residents to abide </w:t>
      </w:r>
      <w:r w:rsidR="004C137C">
        <w:rPr>
          <w:szCs w:val="24"/>
        </w:rPr>
        <w:t xml:space="preserve">by </w:t>
      </w:r>
      <w:r w:rsidRPr="000C3551">
        <w:rPr>
          <w:szCs w:val="24"/>
        </w:rPr>
        <w:t xml:space="preserve">rules of conduct and perform daily chores may be “consideration”).  </w:t>
      </w:r>
    </w:p>
    <w:p w:rsidR="009A70CE" w:rsidRDefault="000C3551" w:rsidP="007E1C88">
      <w:pPr>
        <w:tabs>
          <w:tab w:val="left" w:pos="0"/>
        </w:tabs>
        <w:rPr>
          <w:szCs w:val="24"/>
        </w:rPr>
      </w:pPr>
      <w:r w:rsidRPr="000C3551">
        <w:rPr>
          <w:szCs w:val="24"/>
        </w:rPr>
        <w:tab/>
        <w:t xml:space="preserve">Finally, limiting the protections of the FHA to tenants who pay their own rent would create a large gap in coverage, permitting landlords to discriminate against anyone whose rent is paid by family members or others.  </w:t>
      </w:r>
      <w:r w:rsidR="00CF629E" w:rsidRPr="00CF629E">
        <w:rPr>
          <w:i/>
          <w:szCs w:val="24"/>
        </w:rPr>
        <w:t xml:space="preserve">Cf. </w:t>
      </w:r>
      <w:r w:rsidRPr="000C3551">
        <w:rPr>
          <w:i/>
          <w:szCs w:val="24"/>
        </w:rPr>
        <w:t>Giebeler v. M. &amp; B. Assocs.</w:t>
      </w:r>
      <w:r w:rsidRPr="000C3551">
        <w:rPr>
          <w:szCs w:val="24"/>
        </w:rPr>
        <w:t xml:space="preserve">, 343 F.3d 1143, 1157 (9th Cir. 2003) (applying reasonable accommodation requirement of Fair Housing Act to claim of disabled plaintiff whose rent would be paid by his mother, and noting that “[r]entals by parents for children are not unusual in most rental markets”); </w:t>
      </w:r>
      <w:r w:rsidRPr="000C3551">
        <w:rPr>
          <w:i/>
          <w:szCs w:val="24"/>
        </w:rPr>
        <w:t xml:space="preserve">United States v. </w:t>
      </w:r>
      <w:r w:rsidR="000A25FB">
        <w:rPr>
          <w:i/>
          <w:szCs w:val="24"/>
        </w:rPr>
        <w:t>S.</w:t>
      </w:r>
      <w:r w:rsidRPr="000C3551">
        <w:rPr>
          <w:i/>
          <w:szCs w:val="24"/>
        </w:rPr>
        <w:t xml:space="preserve"> Mgmt. Corp.</w:t>
      </w:r>
      <w:r w:rsidRPr="000C3551">
        <w:rPr>
          <w:szCs w:val="24"/>
        </w:rPr>
        <w:t>, 955 F.2d 914 (4th Cir. 1992) (applying Fair Housing Act to landlord’s refusal to rent apartments to community services board for use by individuals in drug and alcohol rehabilitation program).</w:t>
      </w:r>
    </w:p>
    <w:p w:rsidR="009A70CE" w:rsidRDefault="000C3551" w:rsidP="007E1C88">
      <w:pPr>
        <w:tabs>
          <w:tab w:val="left" w:pos="0"/>
        </w:tabs>
        <w:ind w:hanging="90"/>
        <w:rPr>
          <w:szCs w:val="24"/>
        </w:rPr>
      </w:pPr>
      <w:r w:rsidRPr="000C3551">
        <w:rPr>
          <w:szCs w:val="24"/>
        </w:rPr>
        <w:tab/>
      </w:r>
      <w:r w:rsidRPr="000C3551">
        <w:rPr>
          <w:szCs w:val="24"/>
        </w:rPr>
        <w:tab/>
        <w:t xml:space="preserve">Accordingly, for the foregoing reasons, this Court should reject </w:t>
      </w:r>
      <w:r w:rsidR="004C137C">
        <w:rPr>
          <w:szCs w:val="24"/>
        </w:rPr>
        <w:t>the District’s</w:t>
      </w:r>
      <w:r w:rsidR="004C137C" w:rsidRPr="000C3551">
        <w:rPr>
          <w:szCs w:val="24"/>
        </w:rPr>
        <w:t xml:space="preserve"> </w:t>
      </w:r>
      <w:r w:rsidRPr="000C3551">
        <w:rPr>
          <w:szCs w:val="24"/>
        </w:rPr>
        <w:t>argument that the FHA does not protect shelter residents.</w:t>
      </w:r>
    </w:p>
    <w:p w:rsidR="00AD7F53" w:rsidRPr="00FD5341" w:rsidRDefault="000C3551" w:rsidP="007E1C88">
      <w:pPr>
        <w:pStyle w:val="Heading2"/>
      </w:pPr>
      <w:r w:rsidRPr="000C3551">
        <w:t>CONCLUSION</w:t>
      </w:r>
    </w:p>
    <w:p w:rsidR="008052F2" w:rsidRPr="00FD5341" w:rsidRDefault="000C3551" w:rsidP="007E1C88">
      <w:pPr>
        <w:widowControl w:val="0"/>
        <w:ind w:firstLine="720"/>
        <w:rPr>
          <w:szCs w:val="24"/>
        </w:rPr>
      </w:pPr>
      <w:r w:rsidRPr="000C3551">
        <w:rPr>
          <w:szCs w:val="24"/>
        </w:rPr>
        <w:t xml:space="preserve">For the reasons stated above, the Court should deny Defendant’s Motion </w:t>
      </w:r>
      <w:r w:rsidR="00C44336">
        <w:rPr>
          <w:szCs w:val="24"/>
        </w:rPr>
        <w:t>on the title II, Section 504, and FHA grounds</w:t>
      </w:r>
      <w:r w:rsidRPr="000C3551">
        <w:rPr>
          <w:szCs w:val="24"/>
        </w:rPr>
        <w:t>.  With permission from the Court, counsel for the United States will be present and prepared to argue the present Statement of Interest at any upcoming hearings regarding this Motion, should such argument be helpful to the Court.</w:t>
      </w:r>
    </w:p>
    <w:p w:rsidR="007E1C88" w:rsidRDefault="007E1C88">
      <w:pPr>
        <w:spacing w:line="240" w:lineRule="auto"/>
        <w:rPr>
          <w:rFonts w:eastAsia="Times New Roman"/>
          <w:szCs w:val="24"/>
        </w:rPr>
      </w:pPr>
      <w:r>
        <w:rPr>
          <w:rFonts w:eastAsia="Times New Roman"/>
          <w:szCs w:val="24"/>
        </w:rPr>
        <w:br w:type="page"/>
      </w:r>
    </w:p>
    <w:p w:rsidR="00046720" w:rsidRPr="00FD5341" w:rsidRDefault="000C3551" w:rsidP="006E4B6C">
      <w:pPr>
        <w:widowControl w:val="0"/>
        <w:tabs>
          <w:tab w:val="left" w:pos="3600"/>
        </w:tabs>
        <w:spacing w:line="240" w:lineRule="auto"/>
        <w:rPr>
          <w:rFonts w:eastAsia="Times New Roman"/>
          <w:szCs w:val="24"/>
        </w:rPr>
      </w:pPr>
      <w:r w:rsidRPr="000C3551">
        <w:rPr>
          <w:rFonts w:eastAsia="Times New Roman"/>
          <w:szCs w:val="24"/>
        </w:rPr>
        <w:t>DATED</w:t>
      </w:r>
      <w:r w:rsidR="00374302">
        <w:rPr>
          <w:rFonts w:eastAsia="Times New Roman"/>
          <w:szCs w:val="24"/>
        </w:rPr>
        <w:t>: July 26, 2013</w:t>
      </w:r>
    </w:p>
    <w:p w:rsidR="00CC573C" w:rsidRPr="00FD5341" w:rsidRDefault="00CC573C" w:rsidP="006E4B6C">
      <w:pPr>
        <w:widowControl w:val="0"/>
        <w:tabs>
          <w:tab w:val="left" w:pos="3600"/>
        </w:tabs>
        <w:spacing w:line="240" w:lineRule="auto"/>
        <w:rPr>
          <w:rFonts w:eastAsia="Times New Roman"/>
          <w:szCs w:val="24"/>
        </w:rPr>
      </w:pPr>
    </w:p>
    <w:p w:rsidR="007A6325" w:rsidRPr="00FD5341" w:rsidRDefault="000C3551" w:rsidP="006E4B6C">
      <w:pPr>
        <w:widowControl w:val="0"/>
        <w:tabs>
          <w:tab w:val="left" w:pos="3600"/>
        </w:tabs>
        <w:spacing w:line="240" w:lineRule="auto"/>
        <w:rPr>
          <w:rFonts w:eastAsia="Times New Roman"/>
          <w:szCs w:val="24"/>
        </w:rPr>
      </w:pPr>
      <w:r w:rsidRPr="000C3551">
        <w:rPr>
          <w:rFonts w:eastAsia="Times New Roman"/>
          <w:szCs w:val="24"/>
        </w:rPr>
        <w:tab/>
        <w:t>Respectfully submitted,</w:t>
      </w:r>
    </w:p>
    <w:p w:rsidR="006E4B6C" w:rsidRPr="00FD5341" w:rsidRDefault="006E4B6C" w:rsidP="006E4B6C">
      <w:pPr>
        <w:widowControl w:val="0"/>
        <w:tabs>
          <w:tab w:val="left" w:pos="3600"/>
        </w:tabs>
        <w:spacing w:line="240" w:lineRule="auto"/>
        <w:rPr>
          <w:rFonts w:eastAsia="Times New Roman"/>
          <w:szCs w:val="24"/>
        </w:rPr>
      </w:pPr>
    </w:p>
    <w:p w:rsidR="00046720" w:rsidRPr="00FD5341" w:rsidRDefault="000C3551" w:rsidP="006E4B6C">
      <w:pPr>
        <w:widowControl w:val="0"/>
        <w:tabs>
          <w:tab w:val="left" w:pos="3600"/>
        </w:tabs>
        <w:spacing w:line="240" w:lineRule="auto"/>
        <w:rPr>
          <w:rFonts w:eastAsia="Times New Roman"/>
          <w:szCs w:val="24"/>
        </w:rPr>
      </w:pPr>
      <w:r w:rsidRPr="000C3551">
        <w:rPr>
          <w:rFonts w:eastAsia="Times New Roman"/>
          <w:szCs w:val="24"/>
        </w:rPr>
        <w:tab/>
      </w:r>
      <w:r w:rsidR="007A48D5">
        <w:rPr>
          <w:rFonts w:eastAsia="Times New Roman"/>
          <w:szCs w:val="24"/>
        </w:rPr>
        <w:t>JOCELYN SAMUELS</w:t>
      </w:r>
    </w:p>
    <w:p w:rsidR="00046720" w:rsidRPr="00FD5341" w:rsidRDefault="000C3551" w:rsidP="006E4B6C">
      <w:pPr>
        <w:widowControl w:val="0"/>
        <w:tabs>
          <w:tab w:val="left" w:pos="3600"/>
        </w:tabs>
        <w:spacing w:line="240" w:lineRule="auto"/>
        <w:rPr>
          <w:rFonts w:eastAsia="Times New Roman"/>
          <w:szCs w:val="24"/>
        </w:rPr>
      </w:pPr>
      <w:r w:rsidRPr="000C3551">
        <w:rPr>
          <w:rFonts w:eastAsia="Times New Roman"/>
          <w:szCs w:val="24"/>
        </w:rPr>
        <w:tab/>
      </w:r>
      <w:r w:rsidR="007A48D5">
        <w:rPr>
          <w:rFonts w:eastAsia="Times New Roman"/>
          <w:szCs w:val="24"/>
        </w:rPr>
        <w:t xml:space="preserve">Acting </w:t>
      </w:r>
      <w:r w:rsidRPr="000C3551">
        <w:rPr>
          <w:rFonts w:eastAsia="Times New Roman"/>
          <w:szCs w:val="24"/>
        </w:rPr>
        <w:t>Assistant Attorney General</w:t>
      </w:r>
    </w:p>
    <w:p w:rsidR="006E4B6C" w:rsidRPr="00FD5341" w:rsidRDefault="006E4B6C" w:rsidP="006E4B6C">
      <w:pPr>
        <w:widowControl w:val="0"/>
        <w:tabs>
          <w:tab w:val="left" w:pos="3600"/>
        </w:tabs>
        <w:spacing w:line="240" w:lineRule="auto"/>
        <w:rPr>
          <w:rFonts w:eastAsia="Times New Roman"/>
          <w:szCs w:val="24"/>
        </w:rPr>
      </w:pPr>
    </w:p>
    <w:p w:rsidR="00046720" w:rsidRPr="00FD5341" w:rsidRDefault="000C3551" w:rsidP="006E4B6C">
      <w:pPr>
        <w:widowControl w:val="0"/>
        <w:tabs>
          <w:tab w:val="left" w:pos="3600"/>
        </w:tabs>
        <w:spacing w:line="240" w:lineRule="auto"/>
        <w:rPr>
          <w:rFonts w:eastAsia="Times New Roman"/>
          <w:szCs w:val="24"/>
        </w:rPr>
      </w:pPr>
      <w:r w:rsidRPr="000C3551">
        <w:rPr>
          <w:rFonts w:eastAsia="Times New Roman"/>
          <w:szCs w:val="24"/>
        </w:rPr>
        <w:tab/>
        <w:t>ERIC HALPERIN</w:t>
      </w:r>
    </w:p>
    <w:p w:rsidR="006E4B6C" w:rsidRPr="00FD5341" w:rsidRDefault="000C3551" w:rsidP="00B22657">
      <w:pPr>
        <w:widowControl w:val="0"/>
        <w:tabs>
          <w:tab w:val="left" w:pos="3600"/>
        </w:tabs>
        <w:spacing w:line="240" w:lineRule="auto"/>
        <w:rPr>
          <w:rFonts w:eastAsia="Times New Roman"/>
          <w:szCs w:val="24"/>
        </w:rPr>
      </w:pPr>
      <w:r w:rsidRPr="000C3551">
        <w:rPr>
          <w:rFonts w:eastAsia="Times New Roman"/>
          <w:szCs w:val="24"/>
        </w:rPr>
        <w:tab/>
        <w:t>Senior Counsel and Special Counsel for Fair Lending</w:t>
      </w:r>
    </w:p>
    <w:p w:rsidR="00B22657" w:rsidRPr="00FD5341" w:rsidRDefault="00B22657" w:rsidP="00B22657">
      <w:pPr>
        <w:widowControl w:val="0"/>
        <w:tabs>
          <w:tab w:val="left" w:pos="3600"/>
        </w:tabs>
        <w:spacing w:line="240" w:lineRule="auto"/>
        <w:rPr>
          <w:rFonts w:eastAsia="Times New Roman"/>
          <w:szCs w:val="24"/>
        </w:rPr>
      </w:pPr>
    </w:p>
    <w:p w:rsidR="006E4B6C" w:rsidRPr="00FD5341" w:rsidRDefault="000C3551" w:rsidP="006E4B6C">
      <w:pPr>
        <w:widowControl w:val="0"/>
        <w:tabs>
          <w:tab w:val="left" w:pos="3600"/>
        </w:tabs>
        <w:spacing w:line="240" w:lineRule="auto"/>
        <w:rPr>
          <w:rFonts w:eastAsia="Times New Roman"/>
          <w:szCs w:val="24"/>
        </w:rPr>
      </w:pPr>
      <w:r w:rsidRPr="000C3551">
        <w:rPr>
          <w:rFonts w:eastAsia="Times New Roman"/>
          <w:szCs w:val="24"/>
        </w:rPr>
        <w:tab/>
        <w:t>REBECCA B. BOND, Chief</w:t>
      </w:r>
    </w:p>
    <w:p w:rsidR="006E4B6C" w:rsidRPr="00FD5341" w:rsidRDefault="000C3551" w:rsidP="006E4B6C">
      <w:pPr>
        <w:widowControl w:val="0"/>
        <w:tabs>
          <w:tab w:val="left" w:pos="3600"/>
        </w:tabs>
        <w:spacing w:line="240" w:lineRule="auto"/>
        <w:rPr>
          <w:rFonts w:eastAsia="Times New Roman"/>
          <w:szCs w:val="24"/>
        </w:rPr>
      </w:pPr>
      <w:r w:rsidRPr="000C3551">
        <w:rPr>
          <w:rFonts w:eastAsia="Times New Roman"/>
          <w:szCs w:val="24"/>
        </w:rPr>
        <w:tab/>
        <w:t xml:space="preserve">SHEILA </w:t>
      </w:r>
      <w:r w:rsidR="00D85FEE">
        <w:rPr>
          <w:rFonts w:eastAsia="Times New Roman"/>
          <w:szCs w:val="24"/>
        </w:rPr>
        <w:t xml:space="preserve">M. </w:t>
      </w:r>
      <w:r w:rsidRPr="000C3551">
        <w:rPr>
          <w:rFonts w:eastAsia="Times New Roman"/>
          <w:szCs w:val="24"/>
        </w:rPr>
        <w:t>FORAN, Special Legal Counsel</w:t>
      </w:r>
    </w:p>
    <w:p w:rsidR="006E4B6C" w:rsidRPr="00FD5341" w:rsidRDefault="000C3551" w:rsidP="006E4B6C">
      <w:pPr>
        <w:widowControl w:val="0"/>
        <w:tabs>
          <w:tab w:val="left" w:pos="3600"/>
        </w:tabs>
        <w:spacing w:line="240" w:lineRule="auto"/>
        <w:rPr>
          <w:rFonts w:eastAsia="Times New Roman"/>
          <w:szCs w:val="24"/>
        </w:rPr>
      </w:pPr>
      <w:r w:rsidRPr="000C3551">
        <w:rPr>
          <w:rFonts w:eastAsia="Times New Roman"/>
          <w:szCs w:val="24"/>
        </w:rPr>
        <w:tab/>
        <w:t>KEVIN J. KIJEWSKI, Deputy Chief</w:t>
      </w:r>
    </w:p>
    <w:p w:rsidR="006E4B6C" w:rsidRPr="00FD5341" w:rsidRDefault="006E4B6C" w:rsidP="006E4B6C">
      <w:pPr>
        <w:widowControl w:val="0"/>
        <w:tabs>
          <w:tab w:val="left" w:pos="3600"/>
        </w:tabs>
        <w:spacing w:line="240" w:lineRule="auto"/>
        <w:rPr>
          <w:rFonts w:eastAsia="Times New Roman"/>
          <w:szCs w:val="24"/>
        </w:rPr>
      </w:pPr>
    </w:p>
    <w:p w:rsidR="006E4B6C" w:rsidRPr="00FD5341" w:rsidRDefault="000C3551" w:rsidP="006E4B6C">
      <w:pPr>
        <w:widowControl w:val="0"/>
        <w:tabs>
          <w:tab w:val="left" w:pos="3600"/>
        </w:tabs>
        <w:spacing w:line="240" w:lineRule="auto"/>
        <w:rPr>
          <w:rFonts w:eastAsia="Times New Roman"/>
          <w:szCs w:val="24"/>
        </w:rPr>
      </w:pPr>
      <w:r w:rsidRPr="000C3551">
        <w:rPr>
          <w:rFonts w:eastAsia="Times New Roman"/>
          <w:szCs w:val="24"/>
        </w:rPr>
        <w:tab/>
      </w:r>
      <w:r w:rsidRPr="000C3551">
        <w:rPr>
          <w:rFonts w:eastAsia="Times New Roman"/>
          <w:i/>
          <w:szCs w:val="24"/>
          <w:u w:val="single"/>
        </w:rPr>
        <w:t>/s/ D</w:t>
      </w:r>
      <w:r w:rsidR="00CC573C">
        <w:rPr>
          <w:rFonts w:eastAsia="Times New Roman"/>
          <w:i/>
          <w:szCs w:val="24"/>
          <w:u w:val="single"/>
        </w:rPr>
        <w:t>avid</w:t>
      </w:r>
      <w:r w:rsidRPr="000C3551">
        <w:rPr>
          <w:rFonts w:eastAsia="Times New Roman"/>
          <w:i/>
          <w:szCs w:val="24"/>
          <w:u w:val="single"/>
        </w:rPr>
        <w:t xml:space="preserve"> W. K</w:t>
      </w:r>
      <w:r w:rsidR="00CC573C">
        <w:rPr>
          <w:rFonts w:eastAsia="Times New Roman"/>
          <w:i/>
          <w:szCs w:val="24"/>
          <w:u w:val="single"/>
        </w:rPr>
        <w:t>night</w:t>
      </w:r>
    </w:p>
    <w:p w:rsidR="006E4B6C" w:rsidRPr="00FD5341" w:rsidRDefault="000C3551" w:rsidP="00792537">
      <w:pPr>
        <w:widowControl w:val="0"/>
        <w:tabs>
          <w:tab w:val="left" w:pos="3600"/>
        </w:tabs>
        <w:spacing w:line="240" w:lineRule="auto"/>
        <w:rPr>
          <w:rFonts w:eastAsia="Times New Roman"/>
          <w:szCs w:val="24"/>
        </w:rPr>
      </w:pPr>
      <w:r w:rsidRPr="000C3551">
        <w:rPr>
          <w:rFonts w:eastAsia="Times New Roman"/>
          <w:szCs w:val="24"/>
        </w:rPr>
        <w:tab/>
        <w:t>DAVID W. KNIGHT, Trial Attorney</w:t>
      </w:r>
    </w:p>
    <w:p w:rsidR="006E4B6C" w:rsidRPr="00FD5341" w:rsidRDefault="000C3551" w:rsidP="00792537">
      <w:pPr>
        <w:widowControl w:val="0"/>
        <w:tabs>
          <w:tab w:val="left" w:pos="3600"/>
        </w:tabs>
        <w:spacing w:line="240" w:lineRule="auto"/>
        <w:rPr>
          <w:rFonts w:eastAsia="Times New Roman"/>
          <w:szCs w:val="24"/>
        </w:rPr>
      </w:pPr>
      <w:r w:rsidRPr="000C3551">
        <w:rPr>
          <w:rFonts w:eastAsia="Times New Roman"/>
          <w:szCs w:val="24"/>
        </w:rPr>
        <w:tab/>
        <w:t>Disability Rights Section</w:t>
      </w:r>
    </w:p>
    <w:p w:rsidR="006E4B6C" w:rsidRPr="00FD5341" w:rsidRDefault="000C3551" w:rsidP="00792537">
      <w:pPr>
        <w:widowControl w:val="0"/>
        <w:tabs>
          <w:tab w:val="left" w:pos="3600"/>
        </w:tabs>
        <w:spacing w:line="240" w:lineRule="auto"/>
        <w:rPr>
          <w:rFonts w:eastAsia="Times New Roman"/>
          <w:szCs w:val="24"/>
        </w:rPr>
      </w:pPr>
      <w:r w:rsidRPr="000C3551">
        <w:rPr>
          <w:rFonts w:eastAsia="Times New Roman"/>
          <w:szCs w:val="24"/>
        </w:rPr>
        <w:tab/>
        <w:t>Civil Rights Division</w:t>
      </w:r>
    </w:p>
    <w:p w:rsidR="006E4B6C" w:rsidRPr="00FD5341" w:rsidRDefault="000C3551" w:rsidP="00792537">
      <w:pPr>
        <w:widowControl w:val="0"/>
        <w:tabs>
          <w:tab w:val="left" w:pos="3600"/>
        </w:tabs>
        <w:spacing w:line="240" w:lineRule="auto"/>
        <w:rPr>
          <w:rFonts w:eastAsia="Times New Roman"/>
          <w:szCs w:val="24"/>
        </w:rPr>
      </w:pPr>
      <w:r w:rsidRPr="000C3551">
        <w:rPr>
          <w:rFonts w:eastAsia="Times New Roman"/>
          <w:szCs w:val="24"/>
        </w:rPr>
        <w:tab/>
        <w:t>U.S. Department of Justice</w:t>
      </w:r>
    </w:p>
    <w:p w:rsidR="006E4B6C" w:rsidRPr="00FD5341" w:rsidRDefault="000C3551" w:rsidP="00792537">
      <w:pPr>
        <w:widowControl w:val="0"/>
        <w:tabs>
          <w:tab w:val="left" w:pos="3600"/>
        </w:tabs>
        <w:spacing w:line="240" w:lineRule="auto"/>
        <w:rPr>
          <w:rFonts w:eastAsia="Times New Roman"/>
          <w:szCs w:val="24"/>
        </w:rPr>
      </w:pPr>
      <w:r w:rsidRPr="000C3551">
        <w:rPr>
          <w:rFonts w:eastAsia="Times New Roman"/>
          <w:szCs w:val="24"/>
        </w:rPr>
        <w:tab/>
        <w:t>950 Pennsylvania Avenue, N.W. – NYA</w:t>
      </w:r>
    </w:p>
    <w:p w:rsidR="006E4B6C" w:rsidRPr="00FD5341" w:rsidRDefault="000C3551" w:rsidP="00792537">
      <w:pPr>
        <w:widowControl w:val="0"/>
        <w:tabs>
          <w:tab w:val="left" w:pos="3600"/>
        </w:tabs>
        <w:spacing w:line="240" w:lineRule="auto"/>
        <w:rPr>
          <w:rFonts w:eastAsia="Times New Roman"/>
          <w:szCs w:val="24"/>
        </w:rPr>
      </w:pPr>
      <w:r w:rsidRPr="000C3551">
        <w:rPr>
          <w:rFonts w:eastAsia="Times New Roman"/>
          <w:szCs w:val="24"/>
        </w:rPr>
        <w:tab/>
        <w:t>Washington, D.C. 20530</w:t>
      </w:r>
    </w:p>
    <w:p w:rsidR="006E4B6C" w:rsidRPr="00FD5341" w:rsidRDefault="000C3551" w:rsidP="00792537">
      <w:pPr>
        <w:widowControl w:val="0"/>
        <w:tabs>
          <w:tab w:val="left" w:pos="3600"/>
        </w:tabs>
        <w:spacing w:line="240" w:lineRule="auto"/>
        <w:rPr>
          <w:rFonts w:eastAsia="Times New Roman"/>
          <w:szCs w:val="24"/>
        </w:rPr>
      </w:pPr>
      <w:r w:rsidRPr="000C3551">
        <w:rPr>
          <w:rFonts w:eastAsia="Times New Roman"/>
          <w:szCs w:val="24"/>
        </w:rPr>
        <w:tab/>
        <w:t>Telephone: (202) 307-0663</w:t>
      </w:r>
    </w:p>
    <w:p w:rsidR="006E4B6C" w:rsidRPr="00FD5341" w:rsidRDefault="000C3551" w:rsidP="00792537">
      <w:pPr>
        <w:widowControl w:val="0"/>
        <w:tabs>
          <w:tab w:val="left" w:pos="3600"/>
        </w:tabs>
        <w:spacing w:line="240" w:lineRule="auto"/>
        <w:rPr>
          <w:rFonts w:eastAsia="Times New Roman"/>
          <w:szCs w:val="24"/>
        </w:rPr>
      </w:pPr>
      <w:r w:rsidRPr="000C3551">
        <w:rPr>
          <w:rFonts w:eastAsia="Times New Roman"/>
          <w:szCs w:val="24"/>
        </w:rPr>
        <w:tab/>
        <w:t>Facsimile: (202) 307-1197</w:t>
      </w:r>
    </w:p>
    <w:p w:rsidR="006E4B6C" w:rsidRPr="00FD5341" w:rsidRDefault="000C3551" w:rsidP="00792537">
      <w:pPr>
        <w:widowControl w:val="0"/>
        <w:tabs>
          <w:tab w:val="left" w:pos="3600"/>
        </w:tabs>
        <w:spacing w:line="240" w:lineRule="auto"/>
        <w:rPr>
          <w:rFonts w:eastAsia="Times New Roman"/>
          <w:szCs w:val="24"/>
          <w:u w:val="single"/>
        </w:rPr>
      </w:pPr>
      <w:r w:rsidRPr="000C3551">
        <w:rPr>
          <w:rFonts w:eastAsia="Times New Roman"/>
          <w:szCs w:val="24"/>
        </w:rPr>
        <w:tab/>
      </w:r>
      <w:r w:rsidRPr="000C3551">
        <w:rPr>
          <w:rFonts w:eastAsia="Times New Roman"/>
          <w:szCs w:val="24"/>
          <w:u w:val="single"/>
        </w:rPr>
        <w:t>david.w.knight@usdoj.gov</w:t>
      </w:r>
    </w:p>
    <w:p w:rsidR="00F134B2" w:rsidRPr="00FD5341" w:rsidRDefault="000C3551" w:rsidP="006E4B6C">
      <w:pPr>
        <w:widowControl w:val="0"/>
        <w:tabs>
          <w:tab w:val="left" w:pos="3600"/>
        </w:tabs>
        <w:spacing w:line="240" w:lineRule="auto"/>
        <w:rPr>
          <w:rFonts w:eastAsia="Times New Roman"/>
          <w:szCs w:val="24"/>
        </w:rPr>
      </w:pPr>
      <w:r w:rsidRPr="000C3551">
        <w:rPr>
          <w:rFonts w:eastAsia="Times New Roman"/>
          <w:szCs w:val="24"/>
        </w:rPr>
        <w:tab/>
      </w:r>
      <w:r w:rsidRPr="000C3551">
        <w:rPr>
          <w:rFonts w:eastAsia="Times New Roman"/>
          <w:i/>
          <w:szCs w:val="24"/>
        </w:rPr>
        <w:t>Counsel for the United States</w:t>
      </w:r>
    </w:p>
    <w:p w:rsidR="00B22657" w:rsidRDefault="00B22657" w:rsidP="006E4B6C">
      <w:pPr>
        <w:widowControl w:val="0"/>
        <w:tabs>
          <w:tab w:val="left" w:pos="3600"/>
        </w:tabs>
        <w:spacing w:line="240" w:lineRule="auto"/>
        <w:rPr>
          <w:rFonts w:eastAsia="Times New Roman"/>
          <w:szCs w:val="24"/>
        </w:rPr>
      </w:pPr>
    </w:p>
    <w:p w:rsidR="00CB6D54" w:rsidRDefault="00CB6D54" w:rsidP="006E4B6C">
      <w:pPr>
        <w:widowControl w:val="0"/>
        <w:tabs>
          <w:tab w:val="left" w:pos="3600"/>
        </w:tabs>
        <w:spacing w:line="240" w:lineRule="auto"/>
        <w:rPr>
          <w:rFonts w:eastAsia="Times New Roman"/>
          <w:szCs w:val="24"/>
        </w:rPr>
      </w:pPr>
      <w:r>
        <w:rPr>
          <w:rFonts w:eastAsia="Times New Roman"/>
          <w:szCs w:val="24"/>
        </w:rPr>
        <w:tab/>
        <w:t>STEVEN H. ROSENBAUM, Chief</w:t>
      </w:r>
    </w:p>
    <w:p w:rsidR="00CB6D54" w:rsidRDefault="00CB6D54" w:rsidP="006E4B6C">
      <w:pPr>
        <w:widowControl w:val="0"/>
        <w:tabs>
          <w:tab w:val="left" w:pos="3600"/>
        </w:tabs>
        <w:spacing w:line="240" w:lineRule="auto"/>
        <w:rPr>
          <w:rFonts w:eastAsia="Times New Roman"/>
          <w:szCs w:val="24"/>
        </w:rPr>
      </w:pPr>
      <w:r>
        <w:rPr>
          <w:rFonts w:eastAsia="Times New Roman"/>
          <w:szCs w:val="24"/>
        </w:rPr>
        <w:tab/>
        <w:t>SAMEENA SHINA MAJEED, Deputy Chief</w:t>
      </w:r>
    </w:p>
    <w:p w:rsidR="00CB6D54" w:rsidRDefault="00CB6D54" w:rsidP="006E4B6C">
      <w:pPr>
        <w:widowControl w:val="0"/>
        <w:tabs>
          <w:tab w:val="left" w:pos="3600"/>
        </w:tabs>
        <w:spacing w:line="240" w:lineRule="auto"/>
        <w:rPr>
          <w:rFonts w:eastAsia="Times New Roman"/>
          <w:szCs w:val="24"/>
        </w:rPr>
      </w:pPr>
      <w:r>
        <w:rPr>
          <w:rFonts w:eastAsia="Times New Roman"/>
          <w:szCs w:val="24"/>
        </w:rPr>
        <w:tab/>
        <w:t>HARVEY L. HANDLEY, Trial Attorney</w:t>
      </w:r>
    </w:p>
    <w:p w:rsidR="00CB6D54" w:rsidRDefault="00CB6D54" w:rsidP="006E4B6C">
      <w:pPr>
        <w:widowControl w:val="0"/>
        <w:tabs>
          <w:tab w:val="left" w:pos="3600"/>
        </w:tabs>
        <w:spacing w:line="240" w:lineRule="auto"/>
        <w:rPr>
          <w:rFonts w:eastAsia="Times New Roman"/>
          <w:szCs w:val="24"/>
        </w:rPr>
      </w:pPr>
      <w:r>
        <w:rPr>
          <w:rFonts w:eastAsia="Times New Roman"/>
          <w:szCs w:val="24"/>
        </w:rPr>
        <w:tab/>
        <w:t>Housing and Civil Enforcement Section</w:t>
      </w:r>
    </w:p>
    <w:p w:rsidR="00CB6D54" w:rsidRDefault="00CB6D54" w:rsidP="006E4B6C">
      <w:pPr>
        <w:widowControl w:val="0"/>
        <w:tabs>
          <w:tab w:val="left" w:pos="3600"/>
        </w:tabs>
        <w:spacing w:line="240" w:lineRule="auto"/>
        <w:rPr>
          <w:rFonts w:eastAsia="Times New Roman"/>
          <w:szCs w:val="24"/>
        </w:rPr>
      </w:pPr>
      <w:r>
        <w:rPr>
          <w:rFonts w:eastAsia="Times New Roman"/>
          <w:szCs w:val="24"/>
        </w:rPr>
        <w:tab/>
        <w:t>Civil Rights Division</w:t>
      </w:r>
    </w:p>
    <w:p w:rsidR="00CB6D54" w:rsidRDefault="00CB6D54" w:rsidP="006E4B6C">
      <w:pPr>
        <w:widowControl w:val="0"/>
        <w:tabs>
          <w:tab w:val="left" w:pos="3600"/>
        </w:tabs>
        <w:spacing w:line="240" w:lineRule="auto"/>
        <w:rPr>
          <w:rFonts w:eastAsia="Times New Roman"/>
          <w:szCs w:val="24"/>
        </w:rPr>
      </w:pPr>
      <w:r>
        <w:rPr>
          <w:rFonts w:eastAsia="Times New Roman"/>
          <w:szCs w:val="24"/>
        </w:rPr>
        <w:tab/>
        <w:t>U.S. Department of Justice</w:t>
      </w:r>
    </w:p>
    <w:p w:rsidR="00CB6D54" w:rsidRDefault="00CB6D54" w:rsidP="006E4B6C">
      <w:pPr>
        <w:widowControl w:val="0"/>
        <w:tabs>
          <w:tab w:val="left" w:pos="3600"/>
        </w:tabs>
        <w:spacing w:line="240" w:lineRule="auto"/>
        <w:rPr>
          <w:rFonts w:eastAsia="Times New Roman"/>
          <w:szCs w:val="24"/>
        </w:rPr>
      </w:pPr>
      <w:r>
        <w:rPr>
          <w:rFonts w:eastAsia="Times New Roman"/>
          <w:szCs w:val="24"/>
        </w:rPr>
        <w:tab/>
        <w:t>950 Pennsylvania Avenue, N.W.</w:t>
      </w:r>
    </w:p>
    <w:p w:rsidR="00CB6D54" w:rsidRDefault="00CB6D54" w:rsidP="006E4B6C">
      <w:pPr>
        <w:widowControl w:val="0"/>
        <w:tabs>
          <w:tab w:val="left" w:pos="3600"/>
        </w:tabs>
        <w:spacing w:line="240" w:lineRule="auto"/>
        <w:rPr>
          <w:rFonts w:eastAsia="Times New Roman"/>
          <w:szCs w:val="24"/>
        </w:rPr>
      </w:pPr>
      <w:r>
        <w:rPr>
          <w:rFonts w:eastAsia="Times New Roman"/>
          <w:szCs w:val="24"/>
        </w:rPr>
        <w:tab/>
        <w:t>Washington, D.C. 20530</w:t>
      </w:r>
    </w:p>
    <w:p w:rsidR="00B05680" w:rsidRPr="00FD5341" w:rsidRDefault="00CB6D54" w:rsidP="00B05680">
      <w:pPr>
        <w:widowControl w:val="0"/>
        <w:tabs>
          <w:tab w:val="left" w:pos="3600"/>
        </w:tabs>
        <w:spacing w:line="240" w:lineRule="auto"/>
        <w:rPr>
          <w:rFonts w:eastAsia="Times New Roman"/>
          <w:szCs w:val="24"/>
        </w:rPr>
      </w:pPr>
      <w:r>
        <w:rPr>
          <w:rFonts w:eastAsia="Times New Roman"/>
          <w:szCs w:val="24"/>
        </w:rPr>
        <w:tab/>
        <w:t>Telephone: (202) 514-4713</w:t>
      </w:r>
    </w:p>
    <w:p w:rsidR="007E1C88" w:rsidRDefault="007E1C88" w:rsidP="007E1C88">
      <w:pPr>
        <w:spacing w:line="240" w:lineRule="auto"/>
        <w:rPr>
          <w:rFonts w:eastAsia="Times New Roman"/>
          <w:szCs w:val="24"/>
        </w:rPr>
      </w:pPr>
    </w:p>
    <w:p w:rsidR="007E1C88" w:rsidRDefault="007E1C88">
      <w:pPr>
        <w:spacing w:line="240" w:lineRule="auto"/>
        <w:rPr>
          <w:rFonts w:eastAsia="Times New Roman"/>
          <w:b/>
          <w:szCs w:val="24"/>
          <w:u w:val="single"/>
        </w:rPr>
      </w:pPr>
      <w:r>
        <w:rPr>
          <w:rFonts w:eastAsia="Times New Roman"/>
          <w:b/>
          <w:szCs w:val="24"/>
          <w:u w:val="single"/>
        </w:rPr>
        <w:br w:type="page"/>
      </w:r>
    </w:p>
    <w:p w:rsidR="0086342B" w:rsidRPr="0086342B" w:rsidRDefault="00CC573C" w:rsidP="0086342B">
      <w:pPr>
        <w:pStyle w:val="Heading1"/>
        <w:spacing w:line="480" w:lineRule="auto"/>
      </w:pPr>
      <w:r w:rsidRPr="00E56EBA">
        <w:t>CERTIFICATE OF SERVIC</w:t>
      </w:r>
      <w:r w:rsidR="0086342B">
        <w:t>E</w:t>
      </w:r>
    </w:p>
    <w:p w:rsidR="00CC573C" w:rsidRPr="007A6325" w:rsidRDefault="00CC573C" w:rsidP="0086342B">
      <w:pPr>
        <w:widowControl w:val="0"/>
        <w:spacing w:line="240" w:lineRule="auto"/>
        <w:rPr>
          <w:rFonts w:eastAsia="Times New Roman"/>
          <w:szCs w:val="24"/>
        </w:rPr>
      </w:pPr>
      <w:r w:rsidRPr="007A6325">
        <w:rPr>
          <w:rFonts w:eastAsia="Times New Roman"/>
          <w:szCs w:val="24"/>
        </w:rPr>
        <w:tab/>
        <w:t xml:space="preserve">I hereby certify that on </w:t>
      </w:r>
      <w:r w:rsidRPr="007E1C88">
        <w:rPr>
          <w:rStyle w:val="DateChar"/>
          <w:rFonts w:eastAsia="Calibri"/>
        </w:rPr>
        <w:t>Ju</w:t>
      </w:r>
      <w:r w:rsidR="00D85FEE" w:rsidRPr="007E1C88">
        <w:rPr>
          <w:rStyle w:val="DateChar"/>
          <w:rFonts w:eastAsia="Calibri"/>
        </w:rPr>
        <w:t>ly</w:t>
      </w:r>
      <w:r w:rsidRPr="007E1C88">
        <w:rPr>
          <w:rStyle w:val="DateChar"/>
          <w:rFonts w:eastAsia="Calibri"/>
        </w:rPr>
        <w:t xml:space="preserve"> 26, 2013</w:t>
      </w:r>
      <w:r w:rsidRPr="007A6325">
        <w:rPr>
          <w:rFonts w:eastAsia="Times New Roman"/>
          <w:szCs w:val="24"/>
        </w:rPr>
        <w:t xml:space="preserve">, a copy of the foregoing was </w:t>
      </w:r>
      <w:r>
        <w:rPr>
          <w:rFonts w:eastAsia="Times New Roman"/>
          <w:szCs w:val="24"/>
        </w:rPr>
        <w:t>served on all counsel of record via</w:t>
      </w:r>
      <w:r w:rsidRPr="007A6325">
        <w:rPr>
          <w:rFonts w:eastAsia="Times New Roman"/>
          <w:szCs w:val="24"/>
        </w:rPr>
        <w:t xml:space="preserve"> the Court’s electronic filing system.  </w:t>
      </w:r>
    </w:p>
    <w:p w:rsidR="00CC573C" w:rsidRDefault="00CC573C" w:rsidP="00CC57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eastAsia="Times New Roman"/>
          <w:szCs w:val="24"/>
        </w:rPr>
      </w:pPr>
      <w:r w:rsidRPr="007A6325">
        <w:rPr>
          <w:rFonts w:eastAsia="Times New Roman"/>
          <w:szCs w:val="24"/>
        </w:rPr>
        <w:tab/>
      </w:r>
      <w:r w:rsidRPr="007A6325">
        <w:rPr>
          <w:rFonts w:eastAsia="Times New Roman"/>
          <w:szCs w:val="24"/>
        </w:rPr>
        <w:tab/>
      </w:r>
      <w:r w:rsidRPr="007A6325">
        <w:rPr>
          <w:rFonts w:eastAsia="Times New Roman"/>
          <w:szCs w:val="24"/>
        </w:rPr>
        <w:tab/>
      </w:r>
      <w:r w:rsidRPr="007A6325">
        <w:rPr>
          <w:rFonts w:eastAsia="Times New Roman"/>
          <w:szCs w:val="24"/>
        </w:rPr>
        <w:tab/>
      </w:r>
      <w:r w:rsidRPr="007A6325">
        <w:rPr>
          <w:rFonts w:eastAsia="Times New Roman"/>
          <w:szCs w:val="24"/>
        </w:rPr>
        <w:tab/>
      </w:r>
    </w:p>
    <w:p w:rsidR="0086342B" w:rsidRDefault="0086342B" w:rsidP="0086342B">
      <w:pPr>
        <w:widowControl w:val="0"/>
        <w:spacing w:line="240" w:lineRule="auto"/>
        <w:rPr>
          <w:rFonts w:eastAsia="Times New Roman"/>
          <w:szCs w:val="24"/>
        </w:rPr>
      </w:pPr>
    </w:p>
    <w:p w:rsidR="00CC573C" w:rsidRPr="00FD5341" w:rsidRDefault="00CC573C" w:rsidP="00CC573C">
      <w:pPr>
        <w:widowControl w:val="0"/>
        <w:tabs>
          <w:tab w:val="left" w:pos="3600"/>
        </w:tabs>
        <w:spacing w:line="240" w:lineRule="auto"/>
        <w:rPr>
          <w:rFonts w:eastAsia="Times New Roman"/>
          <w:szCs w:val="24"/>
        </w:rPr>
      </w:pPr>
      <w:r w:rsidRPr="000C3551">
        <w:rPr>
          <w:rFonts w:eastAsia="Times New Roman"/>
          <w:szCs w:val="24"/>
        </w:rPr>
        <w:tab/>
      </w:r>
      <w:r w:rsidRPr="000C3551">
        <w:rPr>
          <w:rFonts w:eastAsia="Times New Roman"/>
          <w:i/>
          <w:szCs w:val="24"/>
          <w:u w:val="single"/>
        </w:rPr>
        <w:t>/s/ D</w:t>
      </w:r>
      <w:r>
        <w:rPr>
          <w:rFonts w:eastAsia="Times New Roman"/>
          <w:i/>
          <w:szCs w:val="24"/>
          <w:u w:val="single"/>
        </w:rPr>
        <w:t>avid W. Knight</w:t>
      </w:r>
    </w:p>
    <w:p w:rsidR="00CC573C" w:rsidRPr="00FD5341" w:rsidRDefault="00CC573C" w:rsidP="00CC573C">
      <w:pPr>
        <w:widowControl w:val="0"/>
        <w:tabs>
          <w:tab w:val="left" w:pos="3600"/>
        </w:tabs>
        <w:spacing w:line="240" w:lineRule="auto"/>
        <w:rPr>
          <w:rFonts w:eastAsia="Times New Roman"/>
          <w:szCs w:val="24"/>
        </w:rPr>
      </w:pPr>
      <w:r w:rsidRPr="000C3551">
        <w:rPr>
          <w:rFonts w:eastAsia="Times New Roman"/>
          <w:szCs w:val="24"/>
        </w:rPr>
        <w:tab/>
        <w:t>DAVID W. KNIGHT, Trial Attorney</w:t>
      </w:r>
    </w:p>
    <w:p w:rsidR="00CC573C" w:rsidRPr="00FD5341" w:rsidRDefault="00CC573C" w:rsidP="00CC573C">
      <w:pPr>
        <w:widowControl w:val="0"/>
        <w:tabs>
          <w:tab w:val="left" w:pos="3600"/>
        </w:tabs>
        <w:spacing w:line="240" w:lineRule="auto"/>
        <w:rPr>
          <w:rFonts w:eastAsia="Times New Roman"/>
          <w:szCs w:val="24"/>
        </w:rPr>
      </w:pPr>
      <w:r w:rsidRPr="000C3551">
        <w:rPr>
          <w:rFonts w:eastAsia="Times New Roman"/>
          <w:szCs w:val="24"/>
        </w:rPr>
        <w:tab/>
        <w:t>Disability Rights Section</w:t>
      </w:r>
    </w:p>
    <w:p w:rsidR="00CC573C" w:rsidRPr="00FD5341" w:rsidRDefault="00CC573C" w:rsidP="00CC573C">
      <w:pPr>
        <w:widowControl w:val="0"/>
        <w:tabs>
          <w:tab w:val="left" w:pos="3600"/>
        </w:tabs>
        <w:spacing w:line="240" w:lineRule="auto"/>
        <w:rPr>
          <w:rFonts w:eastAsia="Times New Roman"/>
          <w:szCs w:val="24"/>
        </w:rPr>
      </w:pPr>
      <w:r w:rsidRPr="000C3551">
        <w:rPr>
          <w:rFonts w:eastAsia="Times New Roman"/>
          <w:szCs w:val="24"/>
        </w:rPr>
        <w:tab/>
        <w:t>Civil Rights Division</w:t>
      </w:r>
    </w:p>
    <w:p w:rsidR="00CC573C" w:rsidRPr="00FD5341" w:rsidRDefault="00CC573C" w:rsidP="00CC573C">
      <w:pPr>
        <w:widowControl w:val="0"/>
        <w:tabs>
          <w:tab w:val="left" w:pos="3600"/>
        </w:tabs>
        <w:spacing w:line="240" w:lineRule="auto"/>
        <w:rPr>
          <w:rFonts w:eastAsia="Times New Roman"/>
          <w:szCs w:val="24"/>
        </w:rPr>
      </w:pPr>
      <w:r w:rsidRPr="000C3551">
        <w:rPr>
          <w:rFonts w:eastAsia="Times New Roman"/>
          <w:szCs w:val="24"/>
        </w:rPr>
        <w:tab/>
        <w:t>U.S. Department of Justice</w:t>
      </w:r>
    </w:p>
    <w:p w:rsidR="00CC573C" w:rsidRPr="00FD5341" w:rsidRDefault="00CC573C" w:rsidP="00CC573C">
      <w:pPr>
        <w:widowControl w:val="0"/>
        <w:tabs>
          <w:tab w:val="left" w:pos="3600"/>
        </w:tabs>
        <w:spacing w:line="240" w:lineRule="auto"/>
        <w:rPr>
          <w:rFonts w:eastAsia="Times New Roman"/>
          <w:szCs w:val="24"/>
        </w:rPr>
      </w:pPr>
      <w:r w:rsidRPr="000C3551">
        <w:rPr>
          <w:rFonts w:eastAsia="Times New Roman"/>
          <w:szCs w:val="24"/>
        </w:rPr>
        <w:tab/>
        <w:t>950 Pennsylvania Avenue, N.W. – NYA</w:t>
      </w:r>
    </w:p>
    <w:p w:rsidR="00CC573C" w:rsidRPr="00FD5341" w:rsidRDefault="00CC573C" w:rsidP="00CC573C">
      <w:pPr>
        <w:widowControl w:val="0"/>
        <w:tabs>
          <w:tab w:val="left" w:pos="3600"/>
        </w:tabs>
        <w:spacing w:line="240" w:lineRule="auto"/>
        <w:rPr>
          <w:rFonts w:eastAsia="Times New Roman"/>
          <w:szCs w:val="24"/>
        </w:rPr>
      </w:pPr>
      <w:r w:rsidRPr="000C3551">
        <w:rPr>
          <w:rFonts w:eastAsia="Times New Roman"/>
          <w:szCs w:val="24"/>
        </w:rPr>
        <w:tab/>
        <w:t>Washington, D.C. 20530</w:t>
      </w:r>
    </w:p>
    <w:p w:rsidR="00CC573C" w:rsidRPr="00FD5341" w:rsidRDefault="00CC573C" w:rsidP="00CC573C">
      <w:pPr>
        <w:widowControl w:val="0"/>
        <w:tabs>
          <w:tab w:val="left" w:pos="3600"/>
        </w:tabs>
        <w:spacing w:line="240" w:lineRule="auto"/>
        <w:rPr>
          <w:rFonts w:eastAsia="Times New Roman"/>
          <w:szCs w:val="24"/>
        </w:rPr>
      </w:pPr>
      <w:r w:rsidRPr="000C3551">
        <w:rPr>
          <w:rFonts w:eastAsia="Times New Roman"/>
          <w:szCs w:val="24"/>
        </w:rPr>
        <w:tab/>
        <w:t>Telephone: (202) 307-0663</w:t>
      </w:r>
    </w:p>
    <w:p w:rsidR="00CC573C" w:rsidRPr="00FD5341" w:rsidRDefault="00CC573C" w:rsidP="00CC573C">
      <w:pPr>
        <w:widowControl w:val="0"/>
        <w:tabs>
          <w:tab w:val="left" w:pos="3600"/>
        </w:tabs>
        <w:spacing w:line="240" w:lineRule="auto"/>
        <w:rPr>
          <w:rFonts w:eastAsia="Times New Roman"/>
          <w:szCs w:val="24"/>
        </w:rPr>
      </w:pPr>
      <w:r w:rsidRPr="000C3551">
        <w:rPr>
          <w:rFonts w:eastAsia="Times New Roman"/>
          <w:szCs w:val="24"/>
        </w:rPr>
        <w:tab/>
        <w:t>Facsimile: (202) 307-1197</w:t>
      </w:r>
    </w:p>
    <w:p w:rsidR="00CC573C" w:rsidRPr="007E1C88" w:rsidRDefault="00CC573C" w:rsidP="00CC573C">
      <w:pPr>
        <w:widowControl w:val="0"/>
        <w:tabs>
          <w:tab w:val="left" w:pos="3600"/>
        </w:tabs>
        <w:spacing w:line="240" w:lineRule="auto"/>
        <w:rPr>
          <w:rFonts w:eastAsia="Times New Roman"/>
          <w:szCs w:val="24"/>
          <w:u w:val="single"/>
        </w:rPr>
      </w:pPr>
      <w:r w:rsidRPr="000C3551">
        <w:rPr>
          <w:rFonts w:eastAsia="Times New Roman"/>
          <w:szCs w:val="24"/>
        </w:rPr>
        <w:tab/>
      </w:r>
      <w:r w:rsidRPr="007E1C88">
        <w:rPr>
          <w:rFonts w:eastAsia="Times New Roman"/>
          <w:szCs w:val="24"/>
          <w:u w:val="single"/>
        </w:rPr>
        <w:t>david.w.knight@usdoj.gov</w:t>
      </w:r>
    </w:p>
    <w:p w:rsidR="00CC573C" w:rsidRPr="00FD5341" w:rsidRDefault="00CC573C" w:rsidP="00CC573C">
      <w:pPr>
        <w:widowControl w:val="0"/>
        <w:tabs>
          <w:tab w:val="left" w:pos="3600"/>
        </w:tabs>
        <w:spacing w:line="240" w:lineRule="auto"/>
        <w:rPr>
          <w:rFonts w:eastAsia="Times New Roman"/>
          <w:szCs w:val="24"/>
          <w:u w:val="single"/>
        </w:rPr>
      </w:pPr>
    </w:p>
    <w:p w:rsidR="00CC573C" w:rsidRPr="00FD5341" w:rsidRDefault="00CC573C" w:rsidP="00CC573C">
      <w:pPr>
        <w:widowControl w:val="0"/>
        <w:tabs>
          <w:tab w:val="left" w:pos="3600"/>
        </w:tabs>
        <w:spacing w:line="240" w:lineRule="auto"/>
        <w:rPr>
          <w:rFonts w:eastAsia="Times New Roman"/>
          <w:szCs w:val="24"/>
        </w:rPr>
      </w:pPr>
      <w:r w:rsidRPr="000C3551">
        <w:rPr>
          <w:rFonts w:eastAsia="Times New Roman"/>
          <w:szCs w:val="24"/>
        </w:rPr>
        <w:tab/>
      </w:r>
      <w:r w:rsidRPr="000C3551">
        <w:rPr>
          <w:rFonts w:eastAsia="Times New Roman"/>
          <w:i/>
          <w:szCs w:val="24"/>
        </w:rPr>
        <w:t>Counsel for the United States</w:t>
      </w:r>
    </w:p>
    <w:p w:rsidR="00CC573C" w:rsidRDefault="00CC573C" w:rsidP="00CC573C"/>
    <w:p w:rsidR="00CC573C" w:rsidRPr="00E35300" w:rsidRDefault="00CC573C" w:rsidP="00CC573C">
      <w:pPr>
        <w:tabs>
          <w:tab w:val="left" w:pos="3870"/>
        </w:tabs>
        <w:rPr>
          <w:szCs w:val="24"/>
        </w:rPr>
      </w:pPr>
    </w:p>
    <w:p w:rsidR="00B22657" w:rsidRPr="00FD5341" w:rsidRDefault="00B22657" w:rsidP="006E4B6C">
      <w:pPr>
        <w:widowControl w:val="0"/>
        <w:tabs>
          <w:tab w:val="left" w:pos="3600"/>
        </w:tabs>
        <w:spacing w:line="240" w:lineRule="auto"/>
        <w:rPr>
          <w:rFonts w:eastAsia="Times New Roman"/>
          <w:szCs w:val="24"/>
        </w:rPr>
      </w:pPr>
    </w:p>
    <w:sectPr w:rsidR="00B22657" w:rsidRPr="00FD5341" w:rsidSect="001C1075">
      <w:headerReference w:type="default" r:id="rId8"/>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5F6" w:rsidRDefault="00C875F6" w:rsidP="003378C4">
      <w:pPr>
        <w:spacing w:line="240" w:lineRule="auto"/>
      </w:pPr>
      <w:r>
        <w:separator/>
      </w:r>
    </w:p>
  </w:endnote>
  <w:endnote w:type="continuationSeparator" w:id="0">
    <w:p w:rsidR="00C875F6" w:rsidRDefault="00C875F6" w:rsidP="003378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88" w:rsidRPr="007E1C88" w:rsidRDefault="00655DCF">
    <w:pPr>
      <w:pStyle w:val="Footer"/>
      <w:jc w:val="center"/>
      <w:rPr>
        <w:rStyle w:val="PageNumber"/>
      </w:rPr>
    </w:pPr>
    <w:r w:rsidRPr="007E1C88">
      <w:rPr>
        <w:rStyle w:val="PageNumber"/>
      </w:rPr>
      <w:fldChar w:fldCharType="begin"/>
    </w:r>
    <w:r w:rsidR="007E1C88" w:rsidRPr="007E1C88">
      <w:rPr>
        <w:rStyle w:val="PageNumber"/>
      </w:rPr>
      <w:instrText xml:space="preserve"> PAGE   \* MERGEFORMAT </w:instrText>
    </w:r>
    <w:r w:rsidRPr="007E1C88">
      <w:rPr>
        <w:rStyle w:val="PageNumber"/>
      </w:rPr>
      <w:fldChar w:fldCharType="separate"/>
    </w:r>
    <w:r w:rsidR="0077749B">
      <w:rPr>
        <w:rStyle w:val="PageNumber"/>
        <w:noProof/>
      </w:rPr>
      <w:t>29</w:t>
    </w:r>
    <w:r w:rsidRPr="007E1C88">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88" w:rsidRDefault="007E1C88">
    <w:pPr>
      <w:pStyle w:val="Footer"/>
      <w:jc w:val="center"/>
    </w:pPr>
  </w:p>
  <w:p w:rsidR="007E1C88" w:rsidRDefault="007E1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5F6" w:rsidRDefault="00C875F6" w:rsidP="003378C4">
      <w:pPr>
        <w:spacing w:line="240" w:lineRule="auto"/>
      </w:pPr>
      <w:r>
        <w:separator/>
      </w:r>
    </w:p>
  </w:footnote>
  <w:footnote w:type="continuationSeparator" w:id="0">
    <w:p w:rsidR="00C875F6" w:rsidRDefault="00C875F6" w:rsidP="003378C4">
      <w:pPr>
        <w:spacing w:line="240" w:lineRule="auto"/>
      </w:pPr>
      <w:r>
        <w:continuationSeparator/>
      </w:r>
    </w:p>
  </w:footnote>
  <w:footnote w:id="1">
    <w:p w:rsidR="007E1C88" w:rsidRPr="006E3F48" w:rsidRDefault="007E1C88" w:rsidP="00DA11B6">
      <w:pPr>
        <w:pStyle w:val="FootnoteText"/>
        <w:keepNext/>
        <w:keepLines/>
        <w:widowControl/>
        <w:spacing w:after="0" w:line="240" w:lineRule="auto"/>
        <w:ind w:left="180" w:hanging="180"/>
        <w:rPr>
          <w:szCs w:val="24"/>
        </w:rPr>
      </w:pPr>
      <w:r w:rsidRPr="006E3F48">
        <w:rPr>
          <w:rStyle w:val="FootnoteReference"/>
          <w:szCs w:val="24"/>
        </w:rPr>
        <w:footnoteRef/>
      </w:r>
      <w:r w:rsidRPr="006E3F48">
        <w:rPr>
          <w:szCs w:val="24"/>
        </w:rPr>
        <w:t xml:space="preserve"> Under 28 U.S.C. § 517, “[t]he Solicitor General, or any officer of the Department of Justice, may be sent by the Attorney General to any State or district in the United States to attend to the interests of the United States in a suit pending in a court of the United States, or in a court of a State, or to attend to any other interest of the United States.”</w:t>
      </w:r>
    </w:p>
  </w:footnote>
  <w:footnote w:id="2">
    <w:p w:rsidR="007E1C88" w:rsidRPr="006E3F48" w:rsidRDefault="007E1C88" w:rsidP="004C2877">
      <w:pPr>
        <w:pStyle w:val="FootnoteText"/>
        <w:spacing w:line="240" w:lineRule="auto"/>
        <w:ind w:left="180" w:hanging="180"/>
        <w:rPr>
          <w:szCs w:val="24"/>
        </w:rPr>
      </w:pPr>
      <w:r w:rsidRPr="006E3F48">
        <w:rPr>
          <w:rStyle w:val="FootnoteReference"/>
          <w:szCs w:val="24"/>
        </w:rPr>
        <w:footnoteRef/>
      </w:r>
      <w:r w:rsidRPr="006E3F48">
        <w:rPr>
          <w:szCs w:val="24"/>
        </w:rPr>
        <w:t xml:space="preserve">  Section 504, like </w:t>
      </w:r>
      <w:r>
        <w:rPr>
          <w:szCs w:val="24"/>
        </w:rPr>
        <w:t>t</w:t>
      </w:r>
      <w:r w:rsidRPr="006E3F48">
        <w:rPr>
          <w:szCs w:val="24"/>
        </w:rPr>
        <w:t xml:space="preserve">itle II, prohibits disability-based discrimination.  29 U.S.C. § 794(a) (“No otherwise qualified individual with a disability . . . shall, solely by reason of her or his disability, be excluded from the participation in, be denied the benefits of, or be subjected to discrimination under any program or activity receiving Federal financial assistance . . . .”).  In all ways relevant to this discussion, </w:t>
      </w:r>
      <w:r>
        <w:rPr>
          <w:szCs w:val="24"/>
        </w:rPr>
        <w:t>t</w:t>
      </w:r>
      <w:r w:rsidRPr="006E3F48">
        <w:rPr>
          <w:szCs w:val="24"/>
        </w:rPr>
        <w:t xml:space="preserve">itle II and Section 504 are generally construed to impose similar requirements.  </w:t>
      </w:r>
      <w:r w:rsidRPr="006E3F48">
        <w:rPr>
          <w:i/>
          <w:szCs w:val="24"/>
        </w:rPr>
        <w:t>See, e.g.</w:t>
      </w:r>
      <w:r w:rsidRPr="006E3F48">
        <w:rPr>
          <w:szCs w:val="24"/>
        </w:rPr>
        <w:t xml:space="preserve">, </w:t>
      </w:r>
      <w:r w:rsidRPr="006E3F48">
        <w:rPr>
          <w:i/>
          <w:szCs w:val="24"/>
        </w:rPr>
        <w:t>Am. Council of the Blind v. Paulson</w:t>
      </w:r>
      <w:r w:rsidRPr="006E3F48">
        <w:rPr>
          <w:szCs w:val="24"/>
        </w:rPr>
        <w:t xml:space="preserve">, 525 F.3d 1256, 1261 n.2 (D.C. Cir. 2008); </w:t>
      </w:r>
      <w:r w:rsidRPr="006E3F48">
        <w:rPr>
          <w:i/>
          <w:szCs w:val="24"/>
        </w:rPr>
        <w:t>Harrison v. Rubin</w:t>
      </w:r>
      <w:r w:rsidRPr="006E3F48">
        <w:rPr>
          <w:szCs w:val="24"/>
        </w:rPr>
        <w:t>, 174 F.3d 249, 253 (D.C. Cir. 1999).  This principle follows from the similar language employed in the two acts.  It also derives from the Congressional directive that implementation and interpretation of the two acts</w:t>
      </w:r>
      <w:r>
        <w:rPr>
          <w:szCs w:val="24"/>
        </w:rPr>
        <w:t>,</w:t>
      </w:r>
      <w:r w:rsidRPr="006E3F48">
        <w:rPr>
          <w:szCs w:val="24"/>
        </w:rPr>
        <w:t xml:space="preserve"> “be coordinated to prevent[ ] imposition of inconsistent or conflicting standards for the same requirements under the two statutes.”  </w:t>
      </w:r>
      <w:r w:rsidRPr="006E3F48">
        <w:rPr>
          <w:i/>
          <w:szCs w:val="24"/>
        </w:rPr>
        <w:t>Baird ex rel. Baird v. Rose</w:t>
      </w:r>
      <w:r w:rsidRPr="006E3F48">
        <w:rPr>
          <w:szCs w:val="24"/>
        </w:rPr>
        <w:t>, 192 F.3d 462, 468-69 (4th Cir. 1999) (citing 42 U.S.C. § 12117(b)) (alteration in original)</w:t>
      </w:r>
      <w:r>
        <w:rPr>
          <w:szCs w:val="24"/>
        </w:rPr>
        <w:t xml:space="preserve"> (internal quotation marks omitted)</w:t>
      </w:r>
      <w:r w:rsidRPr="006E3F48">
        <w:rPr>
          <w:szCs w:val="24"/>
        </w:rPr>
        <w:t>.</w:t>
      </w:r>
    </w:p>
  </w:footnote>
  <w:footnote w:id="3">
    <w:p w:rsidR="007E1C88" w:rsidRDefault="007E1C88" w:rsidP="005131D6">
      <w:pPr>
        <w:pStyle w:val="FootnoteText"/>
        <w:ind w:left="180" w:hanging="180"/>
      </w:pPr>
      <w:r>
        <w:rPr>
          <w:rStyle w:val="FootnoteReference"/>
        </w:rPr>
        <w:footnoteRef/>
      </w:r>
      <w:r>
        <w:t xml:space="preserve"> The United States takes no position as to the Defendant’s Motion regarding claims under the District of Columbia Human Rights Act of 1977 (the “DCHRA”) or the District of Columbia Homeless Services Reform Act (the “HSRA”), or as to claims of negligence.  </w:t>
      </w:r>
      <w:r>
        <w:rPr>
          <w:i/>
        </w:rPr>
        <w:t>See</w:t>
      </w:r>
      <w:r>
        <w:t xml:space="preserve"> Def</w:t>
      </w:r>
      <w:r w:rsidR="002D6388">
        <w:t>.</w:t>
      </w:r>
      <w:r>
        <w:t>’s Mot. Dismiss 16-27.</w:t>
      </w:r>
    </w:p>
  </w:footnote>
  <w:footnote w:id="4">
    <w:p w:rsidR="007E1C88" w:rsidRDefault="007E1C88" w:rsidP="0043785B">
      <w:pPr>
        <w:pStyle w:val="FootnoteText"/>
        <w:ind w:left="180" w:hanging="180"/>
      </w:pPr>
      <w:r>
        <w:rPr>
          <w:rStyle w:val="FootnoteReference"/>
        </w:rPr>
        <w:footnoteRef/>
      </w:r>
      <w:r>
        <w:t xml:space="preserve"> Throughout this Statement of Interest, the United States uses the term “disability” instead of “handicap.”  For purposes of the FHA, the terms have the same meaning.  </w:t>
      </w:r>
      <w:r w:rsidRPr="0043785B">
        <w:rPr>
          <w:i/>
        </w:rPr>
        <w:t xml:space="preserve">See </w:t>
      </w:r>
      <w:r w:rsidRPr="0024323F">
        <w:rPr>
          <w:i/>
        </w:rPr>
        <w:t>Bragdon v. Abbott</w:t>
      </w:r>
      <w:r>
        <w:t>, 524 U.S. 624, 631 (1998).</w:t>
      </w:r>
    </w:p>
  </w:footnote>
  <w:footnote w:id="5">
    <w:p w:rsidR="007E1C88" w:rsidRPr="006E3F48" w:rsidRDefault="007E1C88">
      <w:pPr>
        <w:pStyle w:val="FootnoteText"/>
        <w:ind w:left="180" w:hanging="180"/>
      </w:pPr>
      <w:r w:rsidRPr="006E3F48">
        <w:rPr>
          <w:rStyle w:val="FootnoteReference"/>
        </w:rPr>
        <w:footnoteRef/>
      </w:r>
      <w:r w:rsidRPr="006E3F48">
        <w:t xml:space="preserve"> Cri-du-chat syndrome, “is a chromosomal condition that results when a piece of chromosome 5 is missing.” </w:t>
      </w:r>
      <w:r w:rsidRPr="0043785B">
        <w:rPr>
          <w:i/>
        </w:rPr>
        <w:t>Cri-du-chat syndrome</w:t>
      </w:r>
      <w:r w:rsidRPr="006E3F48">
        <w:t xml:space="preserve">, Genetics Home Reference (Jul. 8, 2013), http://ghr.nlm.nih.gov/condition/cri-du-chat-syndrome.  It is, “characterized by intellectual disability and delayed development, small head size (microcephaly) . . . and weak muscle tone (hypotonia) in infancy.”  </w:t>
      </w:r>
      <w:r w:rsidRPr="006E3F48">
        <w:rPr>
          <w:i/>
        </w:rPr>
        <w:t>Id.</w:t>
      </w:r>
      <w:r w:rsidRPr="006E3F48">
        <w:t xml:space="preserve">  “Spina bifida is a condition in which the bones of the spinal column do not close completely around the . . . spinal cord.”  </w:t>
      </w:r>
      <w:r w:rsidRPr="0043785B">
        <w:rPr>
          <w:i/>
        </w:rPr>
        <w:t>Spina bifida</w:t>
      </w:r>
      <w:r w:rsidRPr="006E3F48">
        <w:t>, (Jul. 8, 2013), http://ghr.nlm.nih.gov/condition/spina-bifida.  Spina bifida may result in “permanent nerve damage</w:t>
      </w:r>
      <w:r>
        <w:t>[</w:t>
      </w:r>
      <w:r w:rsidRPr="006E3F48">
        <w:t>,</w:t>
      </w:r>
      <w:r>
        <w:t xml:space="preserve">] . . . </w:t>
      </w:r>
      <w:r w:rsidRPr="006E3F48">
        <w:t xml:space="preserve">weakness or paralysis of the feet or legs, and problems with bladder and bowel control.”  </w:t>
      </w:r>
      <w:r w:rsidRPr="006E3F48">
        <w:rPr>
          <w:i/>
        </w:rPr>
        <w:t>Id.</w:t>
      </w:r>
    </w:p>
  </w:footnote>
  <w:footnote w:id="6">
    <w:p w:rsidR="007E1C88" w:rsidRDefault="007E1C88" w:rsidP="005A1D8A">
      <w:pPr>
        <w:pStyle w:val="FootnoteText"/>
        <w:spacing w:line="240" w:lineRule="auto"/>
        <w:ind w:left="180" w:hanging="180"/>
        <w:rPr>
          <w:szCs w:val="24"/>
        </w:rPr>
      </w:pPr>
      <w:r w:rsidRPr="006E3F48">
        <w:rPr>
          <w:rStyle w:val="FootnoteReference"/>
          <w:szCs w:val="24"/>
        </w:rPr>
        <w:footnoteRef/>
      </w:r>
      <w:r w:rsidRPr="006E3F48">
        <w:rPr>
          <w:szCs w:val="24"/>
        </w:rPr>
        <w:t xml:space="preserve"> Th</w:t>
      </w:r>
      <w:r>
        <w:rPr>
          <w:szCs w:val="24"/>
        </w:rPr>
        <w:t xml:space="preserve">is </w:t>
      </w:r>
      <w:r w:rsidR="002D6388">
        <w:rPr>
          <w:szCs w:val="24"/>
        </w:rPr>
        <w:t>C</w:t>
      </w:r>
      <w:r>
        <w:rPr>
          <w:szCs w:val="24"/>
        </w:rPr>
        <w:t>ourt entered the</w:t>
      </w:r>
      <w:r w:rsidRPr="006E3F48">
        <w:rPr>
          <w:szCs w:val="24"/>
        </w:rPr>
        <w:t xml:space="preserve"> order granting the settlement between Plaintiffs and Defendant Coalition for the Homeless on May 31, 2013</w:t>
      </w:r>
      <w:r>
        <w:rPr>
          <w:szCs w:val="24"/>
        </w:rPr>
        <w:t xml:space="preserve">.  </w:t>
      </w:r>
      <w:r w:rsidRPr="006E3F48">
        <w:rPr>
          <w:szCs w:val="24"/>
        </w:rPr>
        <w:t xml:space="preserve">ECF No. 58.  </w:t>
      </w:r>
    </w:p>
  </w:footnote>
  <w:footnote w:id="7">
    <w:p w:rsidR="007E1C88" w:rsidRPr="006E3F48" w:rsidRDefault="007E1C88" w:rsidP="008E1CB0">
      <w:pPr>
        <w:pStyle w:val="FootnoteText"/>
        <w:spacing w:after="0" w:line="240" w:lineRule="auto"/>
        <w:ind w:left="180" w:hanging="180"/>
        <w:rPr>
          <w:szCs w:val="24"/>
        </w:rPr>
      </w:pPr>
      <w:r w:rsidRPr="006E3F48">
        <w:rPr>
          <w:rStyle w:val="FootnoteReference"/>
          <w:szCs w:val="24"/>
        </w:rPr>
        <w:footnoteRef/>
      </w:r>
      <w:r w:rsidRPr="006E3F48">
        <w:rPr>
          <w:szCs w:val="24"/>
        </w:rPr>
        <w:t xml:space="preserve"> The requirement of </w:t>
      </w:r>
      <w:r>
        <w:rPr>
          <w:szCs w:val="24"/>
        </w:rPr>
        <w:t>t</w:t>
      </w:r>
      <w:r w:rsidRPr="006E3F48">
        <w:rPr>
          <w:szCs w:val="24"/>
        </w:rPr>
        <w:t>itle II is that public entities make, “reasonable modifications in policies, practices, or procedures when the modificatio</w:t>
      </w:r>
      <w:r>
        <w:rPr>
          <w:szCs w:val="24"/>
        </w:rPr>
        <w:t>ns are necessary to avoid discrimination on the basis of disability…”  42 U.S.C. § 12132(2); 29 C.F.R. § 35.130(b)(7).  The District has decided to refer to such requests as requests for “reasonable accommodations.”  As this language has also been adopted by Plaintiffs, we use “reasonable accommodations” to mean “reasonable modification</w:t>
      </w:r>
      <w:r w:rsidR="00D80D17">
        <w:rPr>
          <w:szCs w:val="24"/>
        </w:rPr>
        <w:t>s</w:t>
      </w:r>
      <w:r>
        <w:rPr>
          <w:szCs w:val="24"/>
        </w:rPr>
        <w:t xml:space="preserve">” under title II.  This practice has been accepted and embraced by other courts.  </w:t>
      </w:r>
      <w:r>
        <w:rPr>
          <w:i/>
          <w:szCs w:val="24"/>
        </w:rPr>
        <w:t xml:space="preserve">E.g., </w:t>
      </w:r>
      <w:r w:rsidRPr="00E5334B">
        <w:rPr>
          <w:rStyle w:val="Emphasis"/>
        </w:rPr>
        <w:t>McGary v. City of Portland</w:t>
      </w:r>
      <w:r>
        <w:rPr>
          <w:rStyle w:val="Emphasis"/>
          <w:i w:val="0"/>
        </w:rPr>
        <w:t>,</w:t>
      </w:r>
      <w:r w:rsidRPr="00E5334B">
        <w:rPr>
          <w:rStyle w:val="Emphasis"/>
          <w:i w:val="0"/>
        </w:rPr>
        <w:t xml:space="preserve"> 386 F.3d 1259, 1266 n.3 (9th Cir. 2004)</w:t>
      </w:r>
      <w:r>
        <w:t xml:space="preserve"> (citing </w:t>
      </w:r>
      <w:r w:rsidRPr="00E5334B">
        <w:rPr>
          <w:rStyle w:val="Emphasis"/>
        </w:rPr>
        <w:t>Wong v. Regents of Univ. of Cal</w:t>
      </w:r>
      <w:r>
        <w:rPr>
          <w:rStyle w:val="Emphasis"/>
        </w:rPr>
        <w:t>ifornia</w:t>
      </w:r>
      <w:r>
        <w:rPr>
          <w:rStyle w:val="Emphasis"/>
          <w:i w:val="0"/>
        </w:rPr>
        <w:t>,</w:t>
      </w:r>
      <w:r w:rsidRPr="005A1D8A">
        <w:t xml:space="preserve"> 192 F.3d 807, 816 n.26 (9th Cir. 1999</w:t>
      </w:r>
      <w:r>
        <w:t>)</w:t>
      </w:r>
      <w:r w:rsidR="002D6388">
        <w:t>)</w:t>
      </w:r>
      <w:r>
        <w:t xml:space="preserve"> (“Although Title II of the ADA uses the term ‘reasonable modification,’ rather than ‘reasonable accommodation,’ these terms create identical standards.”).</w:t>
      </w:r>
    </w:p>
  </w:footnote>
  <w:footnote w:id="8">
    <w:p w:rsidR="007E1C88" w:rsidRPr="006E3F48" w:rsidRDefault="007E1C88" w:rsidP="002714EF">
      <w:pPr>
        <w:pStyle w:val="FootnoteText"/>
        <w:spacing w:after="0" w:line="240" w:lineRule="auto"/>
        <w:ind w:left="180" w:hanging="180"/>
        <w:rPr>
          <w:szCs w:val="24"/>
        </w:rPr>
      </w:pPr>
      <w:r w:rsidRPr="006E3F48">
        <w:rPr>
          <w:rStyle w:val="FootnoteReference"/>
          <w:szCs w:val="24"/>
        </w:rPr>
        <w:footnoteRef/>
      </w:r>
      <w:r w:rsidRPr="006E3F48">
        <w:rPr>
          <w:szCs w:val="24"/>
        </w:rPr>
        <w:t xml:space="preserve"> The Guidance note that public entities contract for countless other social services to be run by private entities, “all of which must be operated in accordance with ti</w:t>
      </w:r>
      <w:r>
        <w:rPr>
          <w:szCs w:val="24"/>
        </w:rPr>
        <w:t xml:space="preserve">tle II requirements.”  28 C.F.R. pt 35, App. A, at 634 (2012).  They go on to list some examples, “medical and mental health services, food services, laundry, prison industries, vocational programs, and drug treatment and substance abuse programs.”  </w:t>
      </w:r>
      <w:r>
        <w:rPr>
          <w:i/>
          <w:szCs w:val="24"/>
        </w:rPr>
        <w:t>Id.</w:t>
      </w:r>
    </w:p>
  </w:footnote>
  <w:footnote w:id="9">
    <w:p w:rsidR="007E1C88" w:rsidRPr="006E3F48" w:rsidRDefault="007E1C88" w:rsidP="00936079">
      <w:pPr>
        <w:pStyle w:val="FootnoteText"/>
        <w:spacing w:line="240" w:lineRule="auto"/>
        <w:ind w:left="180" w:hanging="180"/>
        <w:rPr>
          <w:szCs w:val="24"/>
        </w:rPr>
      </w:pPr>
      <w:r w:rsidRPr="006E3F48">
        <w:rPr>
          <w:rStyle w:val="FootnoteReference"/>
          <w:szCs w:val="24"/>
        </w:rPr>
        <w:footnoteRef/>
      </w:r>
      <w:r w:rsidRPr="006E3F48">
        <w:rPr>
          <w:szCs w:val="24"/>
        </w:rPr>
        <w:t xml:space="preserve">  There are two competing standards for intentional discrimination, “deliberate indifference” or the stricter “discriminatory animus” standard.  </w:t>
      </w:r>
      <w:r>
        <w:rPr>
          <w:i/>
          <w:szCs w:val="24"/>
        </w:rPr>
        <w:t>See Liese</w:t>
      </w:r>
      <w:r>
        <w:rPr>
          <w:szCs w:val="24"/>
        </w:rPr>
        <w:t xml:space="preserve">, 701 F.3d at 344.  Most jurisdictions have applied the “deliberate indifference” standard.  </w:t>
      </w:r>
      <w:r>
        <w:rPr>
          <w:i/>
          <w:szCs w:val="24"/>
        </w:rPr>
        <w:t>See id.</w:t>
      </w:r>
      <w:r>
        <w:rPr>
          <w:szCs w:val="24"/>
        </w:rPr>
        <w:t xml:space="preserve"> at 345.  Though the District confusingly urges the court to apply the “intentional discrimination” standard (presumably intending “discriminatory animus”), it is the position of the United States that the “deliberate indifference” standard is applicable in this case.  The United States takes no position here on whether deliberate indifference is the appropriate standard for compensatory damages in all cases brought under title II.  This Statement of Interest does not address the standards that the Department of Justice and other federal agencies use in resolving administrative complaints or the regulations each agency enforces, or the standards applicable in any other cause of action subject to a deliberate indifference standard outside of the facts of this case.</w:t>
      </w:r>
    </w:p>
  </w:footnote>
  <w:footnote w:id="10">
    <w:p w:rsidR="007E1C88" w:rsidRPr="006E3F48" w:rsidRDefault="007E1C88" w:rsidP="00936079">
      <w:pPr>
        <w:pStyle w:val="FootnoteText"/>
        <w:spacing w:line="240" w:lineRule="auto"/>
        <w:ind w:left="180" w:hanging="180"/>
        <w:rPr>
          <w:szCs w:val="24"/>
        </w:rPr>
      </w:pPr>
      <w:r w:rsidRPr="006E3F48">
        <w:rPr>
          <w:rStyle w:val="FootnoteReference"/>
          <w:szCs w:val="24"/>
        </w:rPr>
        <w:footnoteRef/>
      </w:r>
      <w:r w:rsidRPr="006E3F48">
        <w:rPr>
          <w:szCs w:val="24"/>
        </w:rPr>
        <w:t xml:space="preserve"> </w:t>
      </w:r>
      <w:r>
        <w:rPr>
          <w:szCs w:val="24"/>
        </w:rPr>
        <w:t>The cases cited by the District holding</w:t>
      </w:r>
      <w:r w:rsidRPr="006E3F48">
        <w:rPr>
          <w:szCs w:val="24"/>
        </w:rPr>
        <w:t xml:space="preserve"> that </w:t>
      </w:r>
      <w:r>
        <w:rPr>
          <w:szCs w:val="24"/>
        </w:rPr>
        <w:t xml:space="preserve">the </w:t>
      </w:r>
      <w:r w:rsidRPr="006E3F48">
        <w:rPr>
          <w:szCs w:val="24"/>
        </w:rPr>
        <w:t xml:space="preserve">United States cannot be held indirectly liable under the FTCA for the actions of foreign independent contractors </w:t>
      </w:r>
      <w:r>
        <w:rPr>
          <w:szCs w:val="24"/>
        </w:rPr>
        <w:t>are</w:t>
      </w:r>
      <w:r w:rsidRPr="006E3F48">
        <w:rPr>
          <w:szCs w:val="24"/>
        </w:rPr>
        <w:t xml:space="preserve"> wholly irrelevant to the instant inquiry:</w:t>
      </w:r>
      <w:r>
        <w:rPr>
          <w:szCs w:val="24"/>
        </w:rPr>
        <w:t xml:space="preserve"> whether a city can be held indirectly liable for the actions of private entities with which it collaborates to provide social care services under the ADA.</w:t>
      </w:r>
    </w:p>
  </w:footnote>
  <w:footnote w:id="11">
    <w:p w:rsidR="007E1C88" w:rsidRPr="006E3F48" w:rsidRDefault="007E1C88" w:rsidP="007253D5">
      <w:pPr>
        <w:pStyle w:val="FootnoteText"/>
        <w:ind w:left="180" w:hanging="180"/>
        <w:rPr>
          <w:szCs w:val="24"/>
        </w:rPr>
      </w:pPr>
      <w:r w:rsidRPr="006E3F48">
        <w:rPr>
          <w:rStyle w:val="FootnoteReference"/>
          <w:szCs w:val="24"/>
        </w:rPr>
        <w:footnoteRef/>
      </w:r>
      <w:r w:rsidRPr="006E3F48">
        <w:rPr>
          <w:szCs w:val="24"/>
        </w:rPr>
        <w:t xml:space="preserve">The case the District most </w:t>
      </w:r>
      <w:r>
        <w:rPr>
          <w:szCs w:val="24"/>
        </w:rPr>
        <w:t xml:space="preserve">heavily </w:t>
      </w:r>
      <w:r w:rsidRPr="006E3F48">
        <w:rPr>
          <w:szCs w:val="24"/>
        </w:rPr>
        <w:t xml:space="preserve">relies on explicitly contradicts their argument.  </w:t>
      </w:r>
      <w:r w:rsidRPr="006E3F48">
        <w:rPr>
          <w:i/>
          <w:szCs w:val="24"/>
        </w:rPr>
        <w:t>See Wood v. Barwood C</w:t>
      </w:r>
      <w:r>
        <w:rPr>
          <w:i/>
          <w:szCs w:val="24"/>
        </w:rPr>
        <w:t>ab Co.</w:t>
      </w:r>
      <w:r>
        <w:rPr>
          <w:szCs w:val="24"/>
        </w:rPr>
        <w:t xml:space="preserve">, 648 A.2d 670, 671 (D.C. 1994), holding that </w:t>
      </w:r>
      <w:r w:rsidRPr="0043785B">
        <w:rPr>
          <w:szCs w:val="24"/>
        </w:rPr>
        <w:t>even when</w:t>
      </w:r>
      <w:r>
        <w:rPr>
          <w:szCs w:val="24"/>
        </w:rPr>
        <w:t xml:space="preserve"> a taxi driver is an independent contractor, if a passenger is injured due the driver’s negligence, the “taxi company is estopped from denying liability . . . on the ground that it did not own the vehicle . . . .”  </w:t>
      </w:r>
      <w:r>
        <w:rPr>
          <w:i/>
          <w:szCs w:val="24"/>
        </w:rPr>
        <w:t>Id.</w:t>
      </w:r>
    </w:p>
  </w:footnote>
  <w:footnote w:id="12">
    <w:p w:rsidR="007E1C88" w:rsidRPr="006E3F48" w:rsidRDefault="007E1C88" w:rsidP="00405B01">
      <w:pPr>
        <w:pStyle w:val="FootnoteText"/>
        <w:ind w:left="180" w:hanging="180"/>
        <w:rPr>
          <w:szCs w:val="24"/>
        </w:rPr>
      </w:pPr>
      <w:r w:rsidRPr="006E3F48">
        <w:rPr>
          <w:rStyle w:val="FootnoteReference"/>
          <w:szCs w:val="24"/>
        </w:rPr>
        <w:footnoteRef/>
      </w:r>
      <w:r w:rsidRPr="006E3F48">
        <w:rPr>
          <w:szCs w:val="24"/>
        </w:rPr>
        <w:t>The current Restatement (Third) of Agency abandons the term</w:t>
      </w:r>
      <w:r>
        <w:rPr>
          <w:szCs w:val="24"/>
        </w:rPr>
        <w:t>,</w:t>
      </w:r>
      <w:r w:rsidRPr="006E3F48">
        <w:rPr>
          <w:szCs w:val="24"/>
        </w:rPr>
        <w:t xml:space="preserve"> “independent contractor,” but retains the inherent concept of this particular principal-agent relationship.  Restatement (Third) of Agency § 1.01, cmt. c (2006); </w:t>
      </w:r>
      <w:r>
        <w:rPr>
          <w:i/>
          <w:szCs w:val="24"/>
        </w:rPr>
        <w:t>see</w:t>
      </w:r>
      <w:r>
        <w:rPr>
          <w:szCs w:val="24"/>
        </w:rPr>
        <w:t xml:space="preserve"> </w:t>
      </w:r>
      <w:r>
        <w:rPr>
          <w:i/>
          <w:szCs w:val="24"/>
        </w:rPr>
        <w:t>id.</w:t>
      </w:r>
      <w:r>
        <w:rPr>
          <w:szCs w:val="24"/>
        </w:rPr>
        <w:t xml:space="preserve"> at § 7.07.</w:t>
      </w:r>
    </w:p>
  </w:footnote>
  <w:footnote w:id="13">
    <w:p w:rsidR="007E1C88" w:rsidRDefault="007E1C88">
      <w:pPr>
        <w:pStyle w:val="FootnoteText"/>
        <w:ind w:left="180" w:hanging="180"/>
        <w:rPr>
          <w:szCs w:val="24"/>
        </w:rPr>
      </w:pPr>
      <w:r>
        <w:rPr>
          <w:rStyle w:val="FootnoteReference"/>
        </w:rPr>
        <w:footnoteRef/>
      </w:r>
      <w:r>
        <w:rPr>
          <w:szCs w:val="24"/>
        </w:rPr>
        <w:t>The District</w:t>
      </w:r>
      <w:r w:rsidRPr="005035AC">
        <w:rPr>
          <w:szCs w:val="24"/>
        </w:rPr>
        <w:t xml:space="preserve"> </w:t>
      </w:r>
      <w:r>
        <w:rPr>
          <w:szCs w:val="24"/>
        </w:rPr>
        <w:t>makes a third argument that P</w:t>
      </w:r>
      <w:r w:rsidRPr="005035AC">
        <w:rPr>
          <w:szCs w:val="24"/>
        </w:rPr>
        <w:t xml:space="preserve">laintiffs fail to allege specific facts on the element of “intent” to survive a motion to dismiss.  </w:t>
      </w:r>
      <w:r>
        <w:rPr>
          <w:szCs w:val="24"/>
        </w:rPr>
        <w:t xml:space="preserve">However, it is </w:t>
      </w:r>
      <w:r w:rsidRPr="005035AC">
        <w:rPr>
          <w:szCs w:val="24"/>
        </w:rPr>
        <w:t xml:space="preserve">well-settled that plaintiffs need not plead facts on each element of a “prima facie case” to survive a motion to dismiss a discrimination claim.  </w:t>
      </w:r>
      <w:r w:rsidRPr="005035AC">
        <w:rPr>
          <w:i/>
          <w:szCs w:val="24"/>
        </w:rPr>
        <w:t>Swierkiewicz v. Sorema</w:t>
      </w:r>
      <w:r w:rsidRPr="005035AC">
        <w:rPr>
          <w:szCs w:val="24"/>
        </w:rPr>
        <w:t xml:space="preserve"> </w:t>
      </w:r>
      <w:r w:rsidRPr="005035AC">
        <w:rPr>
          <w:i/>
          <w:szCs w:val="24"/>
        </w:rPr>
        <w:t>N. A</w:t>
      </w:r>
      <w:r w:rsidRPr="005035AC">
        <w:rPr>
          <w:szCs w:val="24"/>
        </w:rPr>
        <w:t>., 534 U.S. 506, 510 (2002) (“</w:t>
      </w:r>
      <w:r>
        <w:rPr>
          <w:szCs w:val="24"/>
        </w:rPr>
        <w:t>[W]</w:t>
      </w:r>
      <w:r w:rsidRPr="005035AC">
        <w:rPr>
          <w:szCs w:val="24"/>
        </w:rPr>
        <w:t xml:space="preserve">e hold that an employment discrimination complaint need not include </w:t>
      </w:r>
      <w:r>
        <w:rPr>
          <w:szCs w:val="24"/>
        </w:rPr>
        <w:t>[]</w:t>
      </w:r>
      <w:r w:rsidRPr="005035AC">
        <w:rPr>
          <w:szCs w:val="24"/>
        </w:rPr>
        <w:t xml:space="preserve"> facts </w:t>
      </w:r>
      <w:r>
        <w:rPr>
          <w:szCs w:val="24"/>
        </w:rPr>
        <w:t>[</w:t>
      </w:r>
      <w:r w:rsidRPr="005035AC">
        <w:rPr>
          <w:szCs w:val="24"/>
        </w:rPr>
        <w:t>showing elements of a prima facie case</w:t>
      </w:r>
      <w:r>
        <w:rPr>
          <w:szCs w:val="24"/>
        </w:rPr>
        <w:t>.]”</w:t>
      </w:r>
      <w:r w:rsidRPr="005035AC">
        <w:rPr>
          <w:szCs w:val="24"/>
        </w:rPr>
        <w:t xml:space="preserve">).  In any event, </w:t>
      </w:r>
      <w:r>
        <w:rPr>
          <w:szCs w:val="24"/>
        </w:rPr>
        <w:t xml:space="preserve">as explained in </w:t>
      </w:r>
      <w:r w:rsidRPr="005035AC">
        <w:rPr>
          <w:szCs w:val="24"/>
        </w:rPr>
        <w:t xml:space="preserve">Plaintiffs’ Memorandum of Law in Opposition to </w:t>
      </w:r>
      <w:r>
        <w:rPr>
          <w:szCs w:val="24"/>
        </w:rPr>
        <w:t>District of Columbia</w:t>
      </w:r>
      <w:r w:rsidRPr="005035AC">
        <w:rPr>
          <w:szCs w:val="24"/>
        </w:rPr>
        <w:t>’</w:t>
      </w:r>
      <w:r>
        <w:rPr>
          <w:szCs w:val="24"/>
        </w:rPr>
        <w:t>s</w:t>
      </w:r>
      <w:r w:rsidRPr="005035AC">
        <w:rPr>
          <w:szCs w:val="24"/>
        </w:rPr>
        <w:t xml:space="preserve"> Motion to Dismiss (</w:t>
      </w:r>
      <w:r w:rsidR="00374302">
        <w:rPr>
          <w:szCs w:val="24"/>
        </w:rPr>
        <w:t>“</w:t>
      </w:r>
      <w:r>
        <w:rPr>
          <w:szCs w:val="24"/>
        </w:rPr>
        <w:t>Opp. D.C. Mot. Dismiss”</w:t>
      </w:r>
      <w:r w:rsidRPr="005035AC">
        <w:rPr>
          <w:szCs w:val="24"/>
        </w:rPr>
        <w:t xml:space="preserve">), </w:t>
      </w:r>
      <w:r>
        <w:rPr>
          <w:szCs w:val="24"/>
        </w:rPr>
        <w:t xml:space="preserve">plaintiffs </w:t>
      </w:r>
      <w:r w:rsidRPr="005035AC">
        <w:rPr>
          <w:szCs w:val="24"/>
        </w:rPr>
        <w:t>allege a reasonable accommodation claim, which does not require proof of intent.</w:t>
      </w:r>
      <w:r>
        <w:rPr>
          <w:szCs w:val="24"/>
        </w:rPr>
        <w:t xml:space="preserve">  Opp. D.C. Mot. Dismiss 25-26, Jul. 3, 2013, ECF No. 74.</w:t>
      </w:r>
    </w:p>
    <w:p w:rsidR="007E1C88" w:rsidRDefault="007E1C88" w:rsidP="004502E7">
      <w:pPr>
        <w:pStyle w:val="FootnoteText"/>
      </w:pPr>
    </w:p>
  </w:footnote>
  <w:footnote w:id="14">
    <w:p w:rsidR="007E1C88" w:rsidRDefault="007E1C88">
      <w:pPr>
        <w:pStyle w:val="FootnoteText"/>
        <w:ind w:left="180" w:hanging="180"/>
        <w:rPr>
          <w:szCs w:val="24"/>
        </w:rPr>
      </w:pPr>
      <w:r>
        <w:rPr>
          <w:rStyle w:val="FootnoteReference"/>
        </w:rPr>
        <w:footnoteRef/>
      </w:r>
      <w:r>
        <w:rPr>
          <w:szCs w:val="24"/>
        </w:rPr>
        <w:t>The District</w:t>
      </w:r>
      <w:r w:rsidRPr="009164DA">
        <w:rPr>
          <w:szCs w:val="24"/>
        </w:rPr>
        <w:t xml:space="preserve"> rel</w:t>
      </w:r>
      <w:r>
        <w:rPr>
          <w:szCs w:val="24"/>
        </w:rPr>
        <w:t>ies primarily on inapposite cases against</w:t>
      </w:r>
      <w:r w:rsidRPr="009164DA">
        <w:rPr>
          <w:szCs w:val="24"/>
        </w:rPr>
        <w:t xml:space="preserve"> commercial en</w:t>
      </w:r>
      <w:r>
        <w:rPr>
          <w:szCs w:val="24"/>
        </w:rPr>
        <w:t>tities involving one or two-day stays</w:t>
      </w:r>
      <w:r w:rsidRPr="009164DA">
        <w:rPr>
          <w:szCs w:val="24"/>
        </w:rPr>
        <w:t xml:space="preserve">, such as motels, or on cases involving correctional facilities.  </w:t>
      </w:r>
      <w:r w:rsidRPr="009164DA">
        <w:rPr>
          <w:i/>
          <w:szCs w:val="24"/>
        </w:rPr>
        <w:t>See</w:t>
      </w:r>
      <w:r w:rsidRPr="009164DA">
        <w:rPr>
          <w:szCs w:val="24"/>
        </w:rPr>
        <w:t xml:space="preserve"> Def</w:t>
      </w:r>
      <w:r w:rsidR="00374302">
        <w:rPr>
          <w:szCs w:val="24"/>
        </w:rPr>
        <w:t>.</w:t>
      </w:r>
      <w:r>
        <w:rPr>
          <w:szCs w:val="24"/>
        </w:rPr>
        <w:t>’s</w:t>
      </w:r>
      <w:r w:rsidRPr="009164DA">
        <w:rPr>
          <w:szCs w:val="24"/>
        </w:rPr>
        <w:t xml:space="preserve"> </w:t>
      </w:r>
      <w:r>
        <w:rPr>
          <w:szCs w:val="24"/>
        </w:rPr>
        <w:t>Mot</w:t>
      </w:r>
      <w:r w:rsidRPr="009164DA">
        <w:rPr>
          <w:szCs w:val="24"/>
        </w:rPr>
        <w:t xml:space="preserve">. </w:t>
      </w:r>
      <w:r>
        <w:rPr>
          <w:szCs w:val="24"/>
        </w:rPr>
        <w:t xml:space="preserve">Dismiss </w:t>
      </w:r>
      <w:r w:rsidRPr="009164DA">
        <w:rPr>
          <w:szCs w:val="24"/>
        </w:rPr>
        <w:t xml:space="preserve">13 (citing </w:t>
      </w:r>
      <w:r w:rsidRPr="009164DA">
        <w:rPr>
          <w:i/>
          <w:szCs w:val="24"/>
        </w:rPr>
        <w:t>Garcia v. Condarco</w:t>
      </w:r>
      <w:r w:rsidRPr="009164DA">
        <w:rPr>
          <w:szCs w:val="24"/>
        </w:rPr>
        <w:t>, 114 F. Supp. 2d 1158 (D.N.M. 2000) (detention center)</w:t>
      </w:r>
      <w:r>
        <w:rPr>
          <w:szCs w:val="24"/>
        </w:rPr>
        <w:t xml:space="preserve">; </w:t>
      </w:r>
      <w:r w:rsidRPr="009164DA">
        <w:rPr>
          <w:i/>
          <w:szCs w:val="24"/>
        </w:rPr>
        <w:t>Patel v. Holley House Motels</w:t>
      </w:r>
      <w:r w:rsidRPr="009164DA">
        <w:rPr>
          <w:szCs w:val="24"/>
        </w:rPr>
        <w:t>, 483 F. Supp. 374, 381 (S.D. Ala. 1979)</w:t>
      </w:r>
      <w:r>
        <w:rPr>
          <w:szCs w:val="24"/>
        </w:rPr>
        <w:t xml:space="preserve"> </w:t>
      </w:r>
      <w:r w:rsidRPr="009164DA">
        <w:rPr>
          <w:szCs w:val="24"/>
        </w:rPr>
        <w:t>(motel)</w:t>
      </w:r>
      <w:r>
        <w:rPr>
          <w:szCs w:val="24"/>
        </w:rPr>
        <w:t>)</w:t>
      </w:r>
      <w:r w:rsidRPr="009164DA">
        <w:rPr>
          <w:szCs w:val="24"/>
        </w:rPr>
        <w:t xml:space="preserve">.  One court has expressly rejected this comparison.  </w:t>
      </w:r>
      <w:r w:rsidRPr="0043785B">
        <w:rPr>
          <w:i/>
          <w:szCs w:val="24"/>
        </w:rPr>
        <w:t>See</w:t>
      </w:r>
      <w:r w:rsidRPr="009164DA">
        <w:rPr>
          <w:szCs w:val="24"/>
        </w:rPr>
        <w:t xml:space="preserve"> </w:t>
      </w:r>
      <w:r w:rsidRPr="009164DA">
        <w:rPr>
          <w:i/>
          <w:szCs w:val="24"/>
        </w:rPr>
        <w:t>United States v. Univ. of Neb</w:t>
      </w:r>
      <w:r>
        <w:rPr>
          <w:i/>
          <w:szCs w:val="24"/>
        </w:rPr>
        <w:t>raska at Kea</w:t>
      </w:r>
      <w:r w:rsidR="00374302">
        <w:rPr>
          <w:i/>
          <w:szCs w:val="24"/>
        </w:rPr>
        <w:t>r</w:t>
      </w:r>
      <w:r>
        <w:rPr>
          <w:i/>
          <w:szCs w:val="24"/>
        </w:rPr>
        <w:t>ney</w:t>
      </w:r>
      <w:r>
        <w:rPr>
          <w:szCs w:val="24"/>
        </w:rPr>
        <w:t>, --- F. Supp. 2d ---,</w:t>
      </w:r>
      <w:r w:rsidRPr="009164DA">
        <w:rPr>
          <w:szCs w:val="24"/>
        </w:rPr>
        <w:t xml:space="preserve"> </w:t>
      </w:r>
      <w:r>
        <w:rPr>
          <w:szCs w:val="24"/>
        </w:rPr>
        <w:t xml:space="preserve">No. 4:11-CV-3209, </w:t>
      </w:r>
      <w:r w:rsidRPr="009164DA">
        <w:rPr>
          <w:szCs w:val="24"/>
        </w:rPr>
        <w:t xml:space="preserve">2013 </w:t>
      </w:r>
      <w:r>
        <w:rPr>
          <w:szCs w:val="24"/>
        </w:rPr>
        <w:t>WL 1694603</w:t>
      </w:r>
      <w:r w:rsidRPr="009164DA">
        <w:rPr>
          <w:szCs w:val="24"/>
        </w:rPr>
        <w:t>, at *</w:t>
      </w:r>
      <w:r>
        <w:rPr>
          <w:szCs w:val="24"/>
        </w:rPr>
        <w:t>4-5</w:t>
      </w:r>
      <w:r w:rsidRPr="009164DA">
        <w:rPr>
          <w:szCs w:val="24"/>
        </w:rPr>
        <w:t xml:space="preserve"> (D. Neb. Apr. 19, 2013) (</w:t>
      </w:r>
      <w:r>
        <w:rPr>
          <w:szCs w:val="24"/>
        </w:rPr>
        <w:t xml:space="preserve">explaining that the </w:t>
      </w:r>
      <w:r w:rsidRPr="009164DA">
        <w:rPr>
          <w:szCs w:val="24"/>
        </w:rPr>
        <w:t>comparison of</w:t>
      </w:r>
      <w:r>
        <w:rPr>
          <w:szCs w:val="24"/>
        </w:rPr>
        <w:t xml:space="preserve"> a</w:t>
      </w:r>
      <w:r w:rsidRPr="009164DA">
        <w:rPr>
          <w:szCs w:val="24"/>
        </w:rPr>
        <w:t xml:space="preserve"> university dorm to</w:t>
      </w:r>
      <w:r>
        <w:rPr>
          <w:szCs w:val="24"/>
        </w:rPr>
        <w:t xml:space="preserve"> a</w:t>
      </w:r>
      <w:r w:rsidRPr="009164DA">
        <w:rPr>
          <w:szCs w:val="24"/>
        </w:rPr>
        <w:t xml:space="preserve"> jail is not “apt”).  Defendant’</w:t>
      </w:r>
      <w:r>
        <w:rPr>
          <w:szCs w:val="24"/>
        </w:rPr>
        <w:t>s</w:t>
      </w:r>
      <w:r w:rsidRPr="009164DA">
        <w:rPr>
          <w:szCs w:val="24"/>
        </w:rPr>
        <w:t xml:space="preserve"> reliance on the district court’s decision in </w:t>
      </w:r>
      <w:r w:rsidRPr="009164DA">
        <w:rPr>
          <w:i/>
          <w:szCs w:val="24"/>
        </w:rPr>
        <w:t xml:space="preserve">Intermountain Fair </w:t>
      </w:r>
      <w:r>
        <w:rPr>
          <w:i/>
          <w:szCs w:val="24"/>
        </w:rPr>
        <w:t>Hous.</w:t>
      </w:r>
      <w:r w:rsidRPr="009164DA">
        <w:rPr>
          <w:i/>
          <w:szCs w:val="24"/>
        </w:rPr>
        <w:t xml:space="preserve"> </w:t>
      </w:r>
      <w:r w:rsidRPr="00FD5341">
        <w:rPr>
          <w:i/>
          <w:szCs w:val="24"/>
        </w:rPr>
        <w:t xml:space="preserve">Council </w:t>
      </w:r>
      <w:r w:rsidRPr="000C3551">
        <w:rPr>
          <w:i/>
          <w:szCs w:val="24"/>
        </w:rPr>
        <w:t>v.</w:t>
      </w:r>
      <w:r w:rsidRPr="009164DA">
        <w:rPr>
          <w:szCs w:val="24"/>
        </w:rPr>
        <w:t xml:space="preserve"> </w:t>
      </w:r>
      <w:r w:rsidRPr="009164DA">
        <w:rPr>
          <w:i/>
          <w:szCs w:val="24"/>
        </w:rPr>
        <w:t>Boise Rescue Mission Ministries</w:t>
      </w:r>
      <w:r w:rsidRPr="009164DA">
        <w:rPr>
          <w:szCs w:val="24"/>
        </w:rPr>
        <w:t>, 717 F. Supp. 2d 1101 (D. Idaho 2010)</w:t>
      </w:r>
      <w:r>
        <w:rPr>
          <w:szCs w:val="24"/>
        </w:rPr>
        <w:t>,</w:t>
      </w:r>
      <w:r w:rsidRPr="009164DA">
        <w:rPr>
          <w:szCs w:val="24"/>
        </w:rPr>
        <w:t xml:space="preserve"> is also misplaced.  On appeal, the Ninth Circuit expressly declined to affirm the district court’s decision that a shelter did not meet the definition of a “dwelling,” and affirmed instead on a separate ground that the shelter at issue qualified under the “religiou</w:t>
      </w:r>
      <w:r>
        <w:rPr>
          <w:szCs w:val="24"/>
        </w:rPr>
        <w:t xml:space="preserve">s exemption” in the FHA.  </w:t>
      </w:r>
      <w:r w:rsidRPr="009164DA">
        <w:rPr>
          <w:i/>
          <w:szCs w:val="24"/>
        </w:rPr>
        <w:t xml:space="preserve">Intermountain Fair </w:t>
      </w:r>
      <w:r>
        <w:rPr>
          <w:i/>
          <w:szCs w:val="24"/>
        </w:rPr>
        <w:t>Hous.</w:t>
      </w:r>
      <w:r w:rsidRPr="009164DA">
        <w:rPr>
          <w:i/>
          <w:szCs w:val="24"/>
        </w:rPr>
        <w:t xml:space="preserve"> </w:t>
      </w:r>
      <w:r w:rsidRPr="00FD5341">
        <w:rPr>
          <w:i/>
          <w:szCs w:val="24"/>
        </w:rPr>
        <w:t xml:space="preserve">Council </w:t>
      </w:r>
      <w:r w:rsidRPr="000C3551">
        <w:rPr>
          <w:i/>
          <w:szCs w:val="24"/>
        </w:rPr>
        <w:t>v.</w:t>
      </w:r>
      <w:r w:rsidRPr="009164DA">
        <w:rPr>
          <w:szCs w:val="24"/>
        </w:rPr>
        <w:t xml:space="preserve"> </w:t>
      </w:r>
      <w:r w:rsidRPr="009164DA">
        <w:rPr>
          <w:i/>
          <w:szCs w:val="24"/>
        </w:rPr>
        <w:t>Boise Rescue Mission Ministries</w:t>
      </w:r>
      <w:r>
        <w:rPr>
          <w:szCs w:val="24"/>
        </w:rPr>
        <w:t>, 657 F.</w:t>
      </w:r>
      <w:r w:rsidRPr="009164DA">
        <w:rPr>
          <w:szCs w:val="24"/>
        </w:rPr>
        <w:t>3d 988, 99</w:t>
      </w:r>
      <w:r>
        <w:rPr>
          <w:szCs w:val="24"/>
        </w:rPr>
        <w:t>5</w:t>
      </w:r>
      <w:r w:rsidRPr="009164DA">
        <w:rPr>
          <w:szCs w:val="24"/>
        </w:rPr>
        <w:t xml:space="preserve"> (9th Cir. 2011).</w:t>
      </w:r>
    </w:p>
  </w:footnote>
  <w:footnote w:id="15">
    <w:p w:rsidR="007E1C88" w:rsidRDefault="007E1C88">
      <w:pPr>
        <w:pStyle w:val="FootnoteText"/>
        <w:ind w:left="180" w:hanging="180"/>
        <w:rPr>
          <w:szCs w:val="24"/>
        </w:rPr>
      </w:pPr>
      <w:r>
        <w:rPr>
          <w:rStyle w:val="FootnoteReference"/>
        </w:rPr>
        <w:footnoteRef/>
      </w:r>
      <w:r>
        <w:rPr>
          <w:szCs w:val="24"/>
        </w:rPr>
        <w:t>The District’s</w:t>
      </w:r>
      <w:r w:rsidRPr="00435911">
        <w:rPr>
          <w:szCs w:val="24"/>
        </w:rPr>
        <w:t xml:space="preserve"> reliance </w:t>
      </w:r>
      <w:r>
        <w:rPr>
          <w:szCs w:val="24"/>
        </w:rPr>
        <w:t xml:space="preserve">on </w:t>
      </w:r>
      <w:r w:rsidRPr="00435911">
        <w:rPr>
          <w:i/>
          <w:szCs w:val="24"/>
        </w:rPr>
        <w:t xml:space="preserve">Jenkins </w:t>
      </w:r>
      <w:r w:rsidRPr="000C3551">
        <w:rPr>
          <w:i/>
          <w:szCs w:val="24"/>
        </w:rPr>
        <w:t>v.</w:t>
      </w:r>
      <w:r w:rsidRPr="00435911">
        <w:rPr>
          <w:i/>
          <w:szCs w:val="24"/>
        </w:rPr>
        <w:t xml:space="preserve"> New York City Dep’t of Homeless </w:t>
      </w:r>
      <w:r>
        <w:rPr>
          <w:i/>
          <w:szCs w:val="24"/>
        </w:rPr>
        <w:t>Servs.</w:t>
      </w:r>
      <w:r w:rsidRPr="00435911">
        <w:rPr>
          <w:szCs w:val="24"/>
        </w:rPr>
        <w:t>,</w:t>
      </w:r>
      <w:r>
        <w:rPr>
          <w:szCs w:val="24"/>
        </w:rPr>
        <w:t xml:space="preserve"> 643 F. Supp. 2d 507 (S.D.N.Y.) – </w:t>
      </w:r>
      <w:r w:rsidRPr="00435911">
        <w:rPr>
          <w:szCs w:val="24"/>
        </w:rPr>
        <w:t xml:space="preserve">a </w:t>
      </w:r>
      <w:r w:rsidRPr="00435911">
        <w:rPr>
          <w:i/>
          <w:szCs w:val="24"/>
        </w:rPr>
        <w:t>pro se</w:t>
      </w:r>
      <w:r w:rsidRPr="00435911">
        <w:rPr>
          <w:szCs w:val="24"/>
        </w:rPr>
        <w:t xml:space="preserve"> case challenging plaintiffs’ placem</w:t>
      </w:r>
      <w:r>
        <w:rPr>
          <w:szCs w:val="24"/>
        </w:rPr>
        <w:t xml:space="preserve">ent in a mental health shelter – </w:t>
      </w:r>
      <w:r w:rsidRPr="00435911">
        <w:rPr>
          <w:szCs w:val="24"/>
        </w:rPr>
        <w:t xml:space="preserve">is misplaced.  On appeal, the Second Circuit </w:t>
      </w:r>
      <w:r>
        <w:rPr>
          <w:szCs w:val="24"/>
        </w:rPr>
        <w:t>ruled that the, “[d]istrict c</w:t>
      </w:r>
      <w:r w:rsidRPr="00435911">
        <w:rPr>
          <w:szCs w:val="24"/>
        </w:rPr>
        <w:t xml:space="preserve">ourt erred in reaching the question of whether (1) the shelter is a ‘dwelling’ and (2) Jenkins is a ‘renter’ under § 3604(f).” </w:t>
      </w:r>
      <w:r>
        <w:rPr>
          <w:szCs w:val="24"/>
        </w:rPr>
        <w:t xml:space="preserve"> </w:t>
      </w:r>
      <w:r w:rsidRPr="00435911">
        <w:rPr>
          <w:i/>
          <w:szCs w:val="24"/>
        </w:rPr>
        <w:t>See</w:t>
      </w:r>
      <w:r w:rsidRPr="00435911">
        <w:rPr>
          <w:szCs w:val="24"/>
        </w:rPr>
        <w:t xml:space="preserve"> 391 F. App</w:t>
      </w:r>
      <w:r>
        <w:rPr>
          <w:szCs w:val="24"/>
        </w:rPr>
        <w:t>’</w:t>
      </w:r>
      <w:r w:rsidRPr="00435911">
        <w:rPr>
          <w:szCs w:val="24"/>
        </w:rPr>
        <w:t>x. 81, 83 (2d Cir. 2010).  The court of appeals affirmed on a separate ground</w:t>
      </w:r>
      <w:r>
        <w:rPr>
          <w:szCs w:val="24"/>
        </w:rPr>
        <w:t xml:space="preserve">; </w:t>
      </w:r>
      <w:r w:rsidRPr="00435911">
        <w:rPr>
          <w:szCs w:val="24"/>
        </w:rPr>
        <w:t>that plaintiff’s</w:t>
      </w:r>
      <w:r>
        <w:rPr>
          <w:szCs w:val="24"/>
        </w:rPr>
        <w:t>,</w:t>
      </w:r>
      <w:r w:rsidRPr="00435911">
        <w:rPr>
          <w:szCs w:val="24"/>
        </w:rPr>
        <w:t xml:space="preserve"> “tenancy would constitute a direct threat to the health or safety of other individuals.”  </w:t>
      </w:r>
      <w:r w:rsidRPr="00435911">
        <w:rPr>
          <w:i/>
          <w:szCs w:val="24"/>
        </w:rPr>
        <w:t>Id.</w:t>
      </w:r>
    </w:p>
  </w:footnote>
  <w:footnote w:id="16">
    <w:p w:rsidR="007E1C88" w:rsidRDefault="007E1C88">
      <w:pPr>
        <w:pStyle w:val="FootnoteText"/>
        <w:ind w:left="180" w:hanging="180"/>
        <w:rPr>
          <w:szCs w:val="24"/>
        </w:rPr>
      </w:pPr>
      <w:r>
        <w:rPr>
          <w:rStyle w:val="FootnoteReference"/>
        </w:rPr>
        <w:footnoteRef/>
      </w:r>
      <w:r w:rsidRPr="006426F7">
        <w:rPr>
          <w:szCs w:val="24"/>
        </w:rPr>
        <w:t xml:space="preserve">These cases were brought under 42 U.S.C. </w:t>
      </w:r>
      <w:r>
        <w:rPr>
          <w:szCs w:val="24"/>
        </w:rPr>
        <w:t xml:space="preserve">§ </w:t>
      </w:r>
      <w:r w:rsidRPr="006426F7">
        <w:rPr>
          <w:szCs w:val="24"/>
        </w:rPr>
        <w:t>3604(a).  Section 3604(a) makes it unlawful</w:t>
      </w:r>
      <w:r>
        <w:rPr>
          <w:szCs w:val="24"/>
        </w:rPr>
        <w:t>,</w:t>
      </w:r>
      <w:r w:rsidRPr="006426F7">
        <w:rPr>
          <w:szCs w:val="24"/>
        </w:rPr>
        <w:t xml:space="preserve"> “[t]o refuse to sell or rent . . . or otherwise make unavailable or deny, a dwelling to any person because of race, color, religion, sex, familial status, or national origin.”  In the 1988 Amendments to the FHA, Congress added “disability” as a protected class.  42 U.S.C. </w:t>
      </w:r>
      <w:r>
        <w:rPr>
          <w:szCs w:val="24"/>
        </w:rPr>
        <w:t>§ </w:t>
      </w:r>
      <w:r w:rsidRPr="006426F7">
        <w:rPr>
          <w:szCs w:val="24"/>
        </w:rPr>
        <w:t xml:space="preserve">3604(f)(1)-(3).  In promulgating </w:t>
      </w:r>
      <w:r>
        <w:rPr>
          <w:szCs w:val="24"/>
        </w:rPr>
        <w:t>implementing regulations after the amendments</w:t>
      </w:r>
      <w:r w:rsidRPr="006426F7">
        <w:rPr>
          <w:szCs w:val="24"/>
        </w:rPr>
        <w:t>, HUD</w:t>
      </w:r>
      <w:r>
        <w:rPr>
          <w:szCs w:val="24"/>
        </w:rPr>
        <w:t xml:space="preserve"> made clear that persons with disabilities should be afforded the same protections available to persons of other protected classes</w:t>
      </w:r>
      <w:r w:rsidRPr="006426F7">
        <w:rPr>
          <w:szCs w:val="24"/>
        </w:rPr>
        <w:t xml:space="preserve">: “[t]he Department believes that the legislative history of the Fair Housing Act and the development of fair housing law after the protections of that law . . . support the position that persons with handicaps . . . must be provided the same protections as other classes of persons.”  </w:t>
      </w:r>
      <w:r>
        <w:rPr>
          <w:szCs w:val="24"/>
        </w:rPr>
        <w:t xml:space="preserve">Implementation of the Fair Housing Amendments Act of 1988, </w:t>
      </w:r>
      <w:r w:rsidRPr="006426F7">
        <w:rPr>
          <w:szCs w:val="24"/>
        </w:rPr>
        <w:t>54 Fed.</w:t>
      </w:r>
      <w:r>
        <w:rPr>
          <w:szCs w:val="24"/>
        </w:rPr>
        <w:t xml:space="preserve"> </w:t>
      </w:r>
      <w:r w:rsidRPr="006426F7">
        <w:rPr>
          <w:szCs w:val="24"/>
        </w:rPr>
        <w:t>Reg. 3236 (Jan. 23, 1989).</w:t>
      </w:r>
    </w:p>
  </w:footnote>
  <w:footnote w:id="17">
    <w:p w:rsidR="007E1C88" w:rsidRDefault="007E1C88">
      <w:pPr>
        <w:pStyle w:val="FootnoteText"/>
        <w:ind w:left="180" w:hanging="180"/>
        <w:rPr>
          <w:szCs w:val="24"/>
        </w:rPr>
      </w:pPr>
      <w:r>
        <w:rPr>
          <w:rStyle w:val="FootnoteReference"/>
        </w:rPr>
        <w:footnoteRef/>
      </w:r>
      <w:r w:rsidRPr="00D26C40">
        <w:rPr>
          <w:szCs w:val="24"/>
        </w:rPr>
        <w:t>“Consideration” means</w:t>
      </w:r>
      <w:r>
        <w:rPr>
          <w:szCs w:val="24"/>
        </w:rPr>
        <w:t>,</w:t>
      </w:r>
      <w:r w:rsidRPr="00D26C40">
        <w:rPr>
          <w:szCs w:val="24"/>
        </w:rPr>
        <w:t xml:space="preserve"> “[s]omething (such as an act, a forbearance, or a return promise) bargained for and received by a promisor from a promisee; that which motivates a person to do something, esp. to engage in a legal act.”  </w:t>
      </w:r>
      <w:r w:rsidRPr="009A70CE">
        <w:rPr>
          <w:szCs w:val="24"/>
          <w:u w:val="single"/>
        </w:rPr>
        <w:t>Black’s Law Dictionary</w:t>
      </w:r>
      <w:r>
        <w:rPr>
          <w:szCs w:val="24"/>
        </w:rPr>
        <w:t xml:space="preserve"> 347 (9th ed.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88" w:rsidRPr="007F23DA" w:rsidRDefault="007E1C88" w:rsidP="007F23DA">
    <w:pPr>
      <w:pStyle w:val="Header"/>
      <w:jc w:val="center"/>
      <w:rPr>
        <w:rFonts w:ascii="Helvetica" w:hAnsi="Helvetica" w:cs="Helveti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FCF162"/>
    <w:lvl w:ilvl="0">
      <w:start w:val="1"/>
      <w:numFmt w:val="decimal"/>
      <w:lvlText w:val="%1."/>
      <w:lvlJc w:val="left"/>
      <w:pPr>
        <w:tabs>
          <w:tab w:val="num" w:pos="1800"/>
        </w:tabs>
        <w:ind w:left="1800" w:hanging="360"/>
      </w:pPr>
    </w:lvl>
  </w:abstractNum>
  <w:abstractNum w:abstractNumId="1">
    <w:nsid w:val="FFFFFF7D"/>
    <w:multiLevelType w:val="singleLevel"/>
    <w:tmpl w:val="EE221AA6"/>
    <w:lvl w:ilvl="0">
      <w:start w:val="1"/>
      <w:numFmt w:val="decimal"/>
      <w:lvlText w:val="%1."/>
      <w:lvlJc w:val="left"/>
      <w:pPr>
        <w:tabs>
          <w:tab w:val="num" w:pos="1440"/>
        </w:tabs>
        <w:ind w:left="1440" w:hanging="360"/>
      </w:pPr>
    </w:lvl>
  </w:abstractNum>
  <w:abstractNum w:abstractNumId="2">
    <w:nsid w:val="FFFFFF7E"/>
    <w:multiLevelType w:val="singleLevel"/>
    <w:tmpl w:val="252E9A44"/>
    <w:lvl w:ilvl="0">
      <w:start w:val="1"/>
      <w:numFmt w:val="decimal"/>
      <w:lvlText w:val="%1."/>
      <w:lvlJc w:val="left"/>
      <w:pPr>
        <w:tabs>
          <w:tab w:val="num" w:pos="1080"/>
        </w:tabs>
        <w:ind w:left="1080" w:hanging="360"/>
      </w:pPr>
    </w:lvl>
  </w:abstractNum>
  <w:abstractNum w:abstractNumId="3">
    <w:nsid w:val="FFFFFF7F"/>
    <w:multiLevelType w:val="singleLevel"/>
    <w:tmpl w:val="8C4E0E22"/>
    <w:lvl w:ilvl="0">
      <w:start w:val="1"/>
      <w:numFmt w:val="decimal"/>
      <w:lvlText w:val="%1."/>
      <w:lvlJc w:val="left"/>
      <w:pPr>
        <w:tabs>
          <w:tab w:val="num" w:pos="720"/>
        </w:tabs>
        <w:ind w:left="720" w:hanging="360"/>
      </w:pPr>
    </w:lvl>
  </w:abstractNum>
  <w:abstractNum w:abstractNumId="4">
    <w:nsid w:val="FFFFFF80"/>
    <w:multiLevelType w:val="singleLevel"/>
    <w:tmpl w:val="6B2877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562F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A7AAD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0F0E5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644B030"/>
    <w:lvl w:ilvl="0">
      <w:start w:val="1"/>
      <w:numFmt w:val="decimal"/>
      <w:lvlText w:val="%1."/>
      <w:lvlJc w:val="left"/>
      <w:pPr>
        <w:tabs>
          <w:tab w:val="num" w:pos="360"/>
        </w:tabs>
        <w:ind w:left="360" w:hanging="360"/>
      </w:pPr>
    </w:lvl>
  </w:abstractNum>
  <w:abstractNum w:abstractNumId="9">
    <w:nsid w:val="FFFFFF89"/>
    <w:multiLevelType w:val="singleLevel"/>
    <w:tmpl w:val="145A3944"/>
    <w:lvl w:ilvl="0">
      <w:start w:val="1"/>
      <w:numFmt w:val="bullet"/>
      <w:lvlText w:val=""/>
      <w:lvlJc w:val="left"/>
      <w:pPr>
        <w:tabs>
          <w:tab w:val="num" w:pos="360"/>
        </w:tabs>
        <w:ind w:left="360" w:hanging="360"/>
      </w:pPr>
      <w:rPr>
        <w:rFonts w:ascii="Symbol" w:hAnsi="Symbol" w:hint="default"/>
      </w:rPr>
    </w:lvl>
  </w:abstractNum>
  <w:abstractNum w:abstractNumId="10">
    <w:nsid w:val="0042071B"/>
    <w:multiLevelType w:val="hybridMultilevel"/>
    <w:tmpl w:val="DECA752E"/>
    <w:lvl w:ilvl="0" w:tplc="7FC4009A">
      <w:start w:val="1"/>
      <w:numFmt w:val="upperRoman"/>
      <w:pStyle w:val="Heading2"/>
      <w:lvlText w:val="%1."/>
      <w:lvlJc w:val="left"/>
      <w:pPr>
        <w:ind w:left="1080" w:hanging="720"/>
      </w:pPr>
      <w:rPr>
        <w:rFonts w:hint="default"/>
      </w:rPr>
    </w:lvl>
    <w:lvl w:ilvl="1" w:tplc="A5A6580E">
      <w:start w:val="1"/>
      <w:numFmt w:val="upperLetter"/>
      <w:pStyle w:val="Heading3"/>
      <w:lvlText w:val="%2."/>
      <w:lvlJc w:val="left"/>
      <w:pPr>
        <w:ind w:left="1800" w:hanging="360"/>
      </w:pPr>
      <w:rPr>
        <w:b/>
      </w:rPr>
    </w:lvl>
    <w:lvl w:ilvl="2" w:tplc="5CFCB0D2">
      <w:start w:val="1"/>
      <w:numFmt w:val="decimal"/>
      <w:pStyle w:val="Heading4"/>
      <w:lvlText w:val="%3."/>
      <w:lvlJc w:val="left"/>
      <w:pPr>
        <w:ind w:left="2005" w:hanging="295"/>
      </w:pPr>
      <w:rPr>
        <w:rFonts w:hint="default"/>
        <w:b/>
      </w:rPr>
    </w:lvl>
    <w:lvl w:ilvl="3" w:tplc="0B60A150">
      <w:start w:val="1"/>
      <w:numFmt w:val="lowerLetter"/>
      <w:lvlText w:val="%4)"/>
      <w:lvlJc w:val="left"/>
      <w:pPr>
        <w:ind w:left="2880" w:hanging="360"/>
      </w:pPr>
      <w:rPr>
        <w:b w:val="0"/>
        <w:i/>
      </w:rPr>
    </w:lvl>
    <w:lvl w:ilvl="4" w:tplc="7D20D74C">
      <w:start w:val="1"/>
      <w:numFmt w:val="lowerLetter"/>
      <w:lvlText w:val="%5."/>
      <w:lvlJc w:val="left"/>
      <w:pPr>
        <w:ind w:left="3600" w:hanging="360"/>
      </w:pPr>
      <w:rPr>
        <w:rFonts w:hint="default"/>
        <w: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712165"/>
    <w:multiLevelType w:val="hybridMultilevel"/>
    <w:tmpl w:val="8F58A0B0"/>
    <w:lvl w:ilvl="0" w:tplc="19E48BC0">
      <w:start w:val="1"/>
      <w:numFmt w:val="decimal"/>
      <w:lvlText w:val="%1."/>
      <w:lvlJc w:val="left"/>
      <w:pPr>
        <w:ind w:left="2815" w:hanging="295"/>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6C24DC7"/>
    <w:multiLevelType w:val="hybridMultilevel"/>
    <w:tmpl w:val="F8EAE582"/>
    <w:lvl w:ilvl="0" w:tplc="6BFAB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3C7889"/>
    <w:multiLevelType w:val="hybridMultilevel"/>
    <w:tmpl w:val="F8FA386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A380CC2"/>
    <w:multiLevelType w:val="hybridMultilevel"/>
    <w:tmpl w:val="542ED2A2"/>
    <w:lvl w:ilvl="0" w:tplc="A5AAD92E">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065870"/>
    <w:multiLevelType w:val="hybridMultilevel"/>
    <w:tmpl w:val="38161C1C"/>
    <w:lvl w:ilvl="0" w:tplc="97AAE4E0">
      <w:start w:val="1"/>
      <w:numFmt w:val="decimal"/>
      <w:lvlText w:val="%1."/>
      <w:lvlJc w:val="left"/>
      <w:pPr>
        <w:ind w:left="2275" w:hanging="2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674348"/>
    <w:multiLevelType w:val="hybridMultilevel"/>
    <w:tmpl w:val="E70AE758"/>
    <w:lvl w:ilvl="0" w:tplc="BEEE41BA">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7">
    <w:nsid w:val="31BE08AD"/>
    <w:multiLevelType w:val="hybridMultilevel"/>
    <w:tmpl w:val="47C6E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D26C1D"/>
    <w:multiLevelType w:val="hybridMultilevel"/>
    <w:tmpl w:val="E3561B52"/>
    <w:lvl w:ilvl="0" w:tplc="602E2A48">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0E1806"/>
    <w:multiLevelType w:val="hybridMultilevel"/>
    <w:tmpl w:val="BA1692AC"/>
    <w:lvl w:ilvl="0" w:tplc="A5AAD92E">
      <w:start w:val="1"/>
      <w:numFmt w:val="upp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005EE"/>
    <w:multiLevelType w:val="hybridMultilevel"/>
    <w:tmpl w:val="69706164"/>
    <w:lvl w:ilvl="0" w:tplc="2EE8D30E">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C1F0FC1"/>
    <w:multiLevelType w:val="hybridMultilevel"/>
    <w:tmpl w:val="9E04690E"/>
    <w:lvl w:ilvl="0" w:tplc="B404A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200CCE"/>
    <w:multiLevelType w:val="hybridMultilevel"/>
    <w:tmpl w:val="FE56F6FE"/>
    <w:lvl w:ilvl="0" w:tplc="D408F098">
      <w:start w:val="1"/>
      <w:numFmt w:val="lowerLetter"/>
      <w:lvlText w:val="%1)"/>
      <w:lvlJc w:val="lef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347076"/>
    <w:multiLevelType w:val="hybridMultilevel"/>
    <w:tmpl w:val="35CAEF94"/>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22A3511"/>
    <w:multiLevelType w:val="hybridMultilevel"/>
    <w:tmpl w:val="F87A213A"/>
    <w:lvl w:ilvl="0" w:tplc="03E25C60">
      <w:start w:val="1"/>
      <w:numFmt w:val="lowerLetter"/>
      <w:pStyle w:val="Heading5"/>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73222DD8"/>
    <w:multiLevelType w:val="hybridMultilevel"/>
    <w:tmpl w:val="EFA63D9A"/>
    <w:lvl w:ilvl="0" w:tplc="A5AAD92E">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B7E31"/>
    <w:multiLevelType w:val="hybridMultilevel"/>
    <w:tmpl w:val="D9203C96"/>
    <w:lvl w:ilvl="0" w:tplc="EB220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A26389"/>
    <w:multiLevelType w:val="hybridMultilevel"/>
    <w:tmpl w:val="8EA60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3"/>
  </w:num>
  <w:num w:numId="3">
    <w:abstractNumId w:val="27"/>
  </w:num>
  <w:num w:numId="4">
    <w:abstractNumId w:val="23"/>
  </w:num>
  <w:num w:numId="5">
    <w:abstractNumId w:val="15"/>
  </w:num>
  <w:num w:numId="6">
    <w:abstractNumId w:val="17"/>
  </w:num>
  <w:num w:numId="7">
    <w:abstractNumId w:val="12"/>
  </w:num>
  <w:num w:numId="8">
    <w:abstractNumId w:val="19"/>
  </w:num>
  <w:num w:numId="9">
    <w:abstractNumId w:val="14"/>
  </w:num>
  <w:num w:numId="10">
    <w:abstractNumId w:val="22"/>
  </w:num>
  <w:num w:numId="11">
    <w:abstractNumId w:val="11"/>
  </w:num>
  <w:num w:numId="12">
    <w:abstractNumId w:val="16"/>
  </w:num>
  <w:num w:numId="13">
    <w:abstractNumId w:val="21"/>
  </w:num>
  <w:num w:numId="14">
    <w:abstractNumId w:val="26"/>
  </w:num>
  <w:num w:numId="15">
    <w:abstractNumId w:val="25"/>
  </w:num>
  <w:num w:numId="16">
    <w:abstractNumId w:val="24"/>
  </w:num>
  <w:num w:numId="17">
    <w:abstractNumId w:val="18"/>
  </w:num>
  <w:num w:numId="18">
    <w:abstractNumId w:val="2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4"/>
    <w:lvlOverride w:ilvl="0">
      <w:startOverride w:val="1"/>
    </w:lvlOverride>
  </w:num>
  <w:num w:numId="30">
    <w:abstractNumId w:val="2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ctiveWritingStyle w:appName="MSWord" w:lang="en-US" w:vendorID="64" w:dllVersion="131078" w:nlCheck="1" w:checkStyle="0"/>
  <w:activeWritingStyle w:appName="MSWord" w:lang="en-CA" w:vendorID="64" w:dllVersion="131078" w:nlCheck="1" w:checkStyle="1"/>
  <w:proofState w:spelling="clean" w:grammar="clean"/>
  <w:stylePaneFormatFilter w:val="1024"/>
  <w:stylePaneSortMethod w:val="0000"/>
  <w:defaultTabStop w:val="720"/>
  <w:drawingGridHorizontalSpacing w:val="120"/>
  <w:drawingGridVerticalSpacing w:val="136"/>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rsids>
    <w:rsidRoot w:val="00F4684C"/>
    <w:rsid w:val="000001D3"/>
    <w:rsid w:val="0000087D"/>
    <w:rsid w:val="000008E6"/>
    <w:rsid w:val="000031FE"/>
    <w:rsid w:val="00003670"/>
    <w:rsid w:val="00003FFC"/>
    <w:rsid w:val="00004105"/>
    <w:rsid w:val="00004634"/>
    <w:rsid w:val="00004C15"/>
    <w:rsid w:val="000059A8"/>
    <w:rsid w:val="000068CF"/>
    <w:rsid w:val="00006C57"/>
    <w:rsid w:val="00007972"/>
    <w:rsid w:val="0001001A"/>
    <w:rsid w:val="000131B1"/>
    <w:rsid w:val="000132A8"/>
    <w:rsid w:val="000136BC"/>
    <w:rsid w:val="000138D4"/>
    <w:rsid w:val="00017359"/>
    <w:rsid w:val="00020138"/>
    <w:rsid w:val="000206F5"/>
    <w:rsid w:val="00021535"/>
    <w:rsid w:val="000215C8"/>
    <w:rsid w:val="00023B15"/>
    <w:rsid w:val="0002406E"/>
    <w:rsid w:val="0002503D"/>
    <w:rsid w:val="00025831"/>
    <w:rsid w:val="00025C8D"/>
    <w:rsid w:val="00027353"/>
    <w:rsid w:val="00027D1D"/>
    <w:rsid w:val="000311D4"/>
    <w:rsid w:val="00031EF5"/>
    <w:rsid w:val="00032550"/>
    <w:rsid w:val="00033665"/>
    <w:rsid w:val="000337CA"/>
    <w:rsid w:val="00033F0D"/>
    <w:rsid w:val="000352D9"/>
    <w:rsid w:val="00036BAB"/>
    <w:rsid w:val="00037E6A"/>
    <w:rsid w:val="000414C6"/>
    <w:rsid w:val="00045F82"/>
    <w:rsid w:val="00046168"/>
    <w:rsid w:val="0004655F"/>
    <w:rsid w:val="00046720"/>
    <w:rsid w:val="00050AF1"/>
    <w:rsid w:val="00050F24"/>
    <w:rsid w:val="00052AC7"/>
    <w:rsid w:val="000549FC"/>
    <w:rsid w:val="000573AE"/>
    <w:rsid w:val="000601C9"/>
    <w:rsid w:val="000606AA"/>
    <w:rsid w:val="000609E7"/>
    <w:rsid w:val="00060E71"/>
    <w:rsid w:val="00063FBF"/>
    <w:rsid w:val="000653E7"/>
    <w:rsid w:val="00066954"/>
    <w:rsid w:val="00070474"/>
    <w:rsid w:val="00070A62"/>
    <w:rsid w:val="00071147"/>
    <w:rsid w:val="000727F2"/>
    <w:rsid w:val="000734DD"/>
    <w:rsid w:val="000736AD"/>
    <w:rsid w:val="00073B63"/>
    <w:rsid w:val="0007444E"/>
    <w:rsid w:val="00074B88"/>
    <w:rsid w:val="00074DE3"/>
    <w:rsid w:val="00075541"/>
    <w:rsid w:val="000755F5"/>
    <w:rsid w:val="00075C3C"/>
    <w:rsid w:val="000762BD"/>
    <w:rsid w:val="000773C0"/>
    <w:rsid w:val="00077C54"/>
    <w:rsid w:val="00080119"/>
    <w:rsid w:val="000802A9"/>
    <w:rsid w:val="00080A6D"/>
    <w:rsid w:val="00080E3C"/>
    <w:rsid w:val="00081632"/>
    <w:rsid w:val="00082227"/>
    <w:rsid w:val="0008371C"/>
    <w:rsid w:val="00083DEF"/>
    <w:rsid w:val="00083E1D"/>
    <w:rsid w:val="0008453A"/>
    <w:rsid w:val="00084951"/>
    <w:rsid w:val="000854B9"/>
    <w:rsid w:val="000860D3"/>
    <w:rsid w:val="000861BB"/>
    <w:rsid w:val="00086A81"/>
    <w:rsid w:val="00086AEB"/>
    <w:rsid w:val="00091962"/>
    <w:rsid w:val="00091D09"/>
    <w:rsid w:val="00092421"/>
    <w:rsid w:val="00092850"/>
    <w:rsid w:val="0009346B"/>
    <w:rsid w:val="000937D8"/>
    <w:rsid w:val="00094AAC"/>
    <w:rsid w:val="00096740"/>
    <w:rsid w:val="00097DC5"/>
    <w:rsid w:val="00097F30"/>
    <w:rsid w:val="000A031C"/>
    <w:rsid w:val="000A1003"/>
    <w:rsid w:val="000A1076"/>
    <w:rsid w:val="000A13CE"/>
    <w:rsid w:val="000A2358"/>
    <w:rsid w:val="000A25FB"/>
    <w:rsid w:val="000A2B64"/>
    <w:rsid w:val="000A2EFC"/>
    <w:rsid w:val="000A34EA"/>
    <w:rsid w:val="000A3B8F"/>
    <w:rsid w:val="000A45C1"/>
    <w:rsid w:val="000A4F9F"/>
    <w:rsid w:val="000A50AF"/>
    <w:rsid w:val="000A581A"/>
    <w:rsid w:val="000A6137"/>
    <w:rsid w:val="000A6D73"/>
    <w:rsid w:val="000A7910"/>
    <w:rsid w:val="000B02E9"/>
    <w:rsid w:val="000B0427"/>
    <w:rsid w:val="000B1213"/>
    <w:rsid w:val="000B234D"/>
    <w:rsid w:val="000B2CC9"/>
    <w:rsid w:val="000B33A2"/>
    <w:rsid w:val="000B3A9E"/>
    <w:rsid w:val="000B3DF7"/>
    <w:rsid w:val="000B4FF2"/>
    <w:rsid w:val="000B5413"/>
    <w:rsid w:val="000B5678"/>
    <w:rsid w:val="000B5ED8"/>
    <w:rsid w:val="000B700A"/>
    <w:rsid w:val="000B7E87"/>
    <w:rsid w:val="000C0BCD"/>
    <w:rsid w:val="000C2872"/>
    <w:rsid w:val="000C3551"/>
    <w:rsid w:val="000C4418"/>
    <w:rsid w:val="000C53CF"/>
    <w:rsid w:val="000C57EE"/>
    <w:rsid w:val="000C67B1"/>
    <w:rsid w:val="000C68EE"/>
    <w:rsid w:val="000C7289"/>
    <w:rsid w:val="000C7440"/>
    <w:rsid w:val="000C782F"/>
    <w:rsid w:val="000C7E33"/>
    <w:rsid w:val="000D0789"/>
    <w:rsid w:val="000D100D"/>
    <w:rsid w:val="000D22AC"/>
    <w:rsid w:val="000D27A5"/>
    <w:rsid w:val="000D2D0A"/>
    <w:rsid w:val="000D7EA8"/>
    <w:rsid w:val="000E0B95"/>
    <w:rsid w:val="000E103E"/>
    <w:rsid w:val="000E2410"/>
    <w:rsid w:val="000E73DC"/>
    <w:rsid w:val="000E7757"/>
    <w:rsid w:val="000E7BD2"/>
    <w:rsid w:val="000F0FD6"/>
    <w:rsid w:val="000F15BA"/>
    <w:rsid w:val="000F34DE"/>
    <w:rsid w:val="000F5902"/>
    <w:rsid w:val="000F625D"/>
    <w:rsid w:val="000F6930"/>
    <w:rsid w:val="000F6DAA"/>
    <w:rsid w:val="000F7539"/>
    <w:rsid w:val="00101D52"/>
    <w:rsid w:val="00103D6C"/>
    <w:rsid w:val="001058C3"/>
    <w:rsid w:val="00105BCE"/>
    <w:rsid w:val="001066CA"/>
    <w:rsid w:val="00110F32"/>
    <w:rsid w:val="00111203"/>
    <w:rsid w:val="00112071"/>
    <w:rsid w:val="00112115"/>
    <w:rsid w:val="001131AF"/>
    <w:rsid w:val="00113E4C"/>
    <w:rsid w:val="00114A53"/>
    <w:rsid w:val="00114FDF"/>
    <w:rsid w:val="00115866"/>
    <w:rsid w:val="0011626E"/>
    <w:rsid w:val="00116BF1"/>
    <w:rsid w:val="001171CC"/>
    <w:rsid w:val="00117369"/>
    <w:rsid w:val="001174E2"/>
    <w:rsid w:val="00121CA0"/>
    <w:rsid w:val="001221F7"/>
    <w:rsid w:val="00122245"/>
    <w:rsid w:val="001227DF"/>
    <w:rsid w:val="00126D7F"/>
    <w:rsid w:val="001272C2"/>
    <w:rsid w:val="00130146"/>
    <w:rsid w:val="001307F1"/>
    <w:rsid w:val="0013192D"/>
    <w:rsid w:val="00131F8F"/>
    <w:rsid w:val="00132A5D"/>
    <w:rsid w:val="0013579C"/>
    <w:rsid w:val="00136245"/>
    <w:rsid w:val="001408A7"/>
    <w:rsid w:val="00140AAE"/>
    <w:rsid w:val="001410E6"/>
    <w:rsid w:val="001419A7"/>
    <w:rsid w:val="00142166"/>
    <w:rsid w:val="00142CB0"/>
    <w:rsid w:val="00142EAB"/>
    <w:rsid w:val="0014436E"/>
    <w:rsid w:val="00144737"/>
    <w:rsid w:val="00145AAE"/>
    <w:rsid w:val="00145AEF"/>
    <w:rsid w:val="00146800"/>
    <w:rsid w:val="00146F53"/>
    <w:rsid w:val="00147079"/>
    <w:rsid w:val="001502B0"/>
    <w:rsid w:val="00150BD9"/>
    <w:rsid w:val="00152031"/>
    <w:rsid w:val="00152700"/>
    <w:rsid w:val="001528E2"/>
    <w:rsid w:val="00152AE7"/>
    <w:rsid w:val="00153059"/>
    <w:rsid w:val="00153539"/>
    <w:rsid w:val="00154308"/>
    <w:rsid w:val="0015501B"/>
    <w:rsid w:val="0015586F"/>
    <w:rsid w:val="00156B13"/>
    <w:rsid w:val="001614CC"/>
    <w:rsid w:val="001616A3"/>
    <w:rsid w:val="00161D6D"/>
    <w:rsid w:val="001626CE"/>
    <w:rsid w:val="0016366A"/>
    <w:rsid w:val="00163873"/>
    <w:rsid w:val="001641FD"/>
    <w:rsid w:val="00164535"/>
    <w:rsid w:val="00165AFB"/>
    <w:rsid w:val="00165B78"/>
    <w:rsid w:val="0017234A"/>
    <w:rsid w:val="0017270A"/>
    <w:rsid w:val="00173510"/>
    <w:rsid w:val="00173C11"/>
    <w:rsid w:val="0017477D"/>
    <w:rsid w:val="0017558B"/>
    <w:rsid w:val="00175C07"/>
    <w:rsid w:val="00175E8D"/>
    <w:rsid w:val="00176567"/>
    <w:rsid w:val="001803C7"/>
    <w:rsid w:val="00180A2C"/>
    <w:rsid w:val="00180B76"/>
    <w:rsid w:val="00180C46"/>
    <w:rsid w:val="0018454B"/>
    <w:rsid w:val="0018467A"/>
    <w:rsid w:val="001857CC"/>
    <w:rsid w:val="00186144"/>
    <w:rsid w:val="001864ED"/>
    <w:rsid w:val="00186618"/>
    <w:rsid w:val="001872D8"/>
    <w:rsid w:val="00187BEC"/>
    <w:rsid w:val="001900BE"/>
    <w:rsid w:val="00191489"/>
    <w:rsid w:val="0019552C"/>
    <w:rsid w:val="00195C4E"/>
    <w:rsid w:val="001964EB"/>
    <w:rsid w:val="00196526"/>
    <w:rsid w:val="001970C3"/>
    <w:rsid w:val="0019778E"/>
    <w:rsid w:val="001A0FEE"/>
    <w:rsid w:val="001A3350"/>
    <w:rsid w:val="001A49D3"/>
    <w:rsid w:val="001A4CFF"/>
    <w:rsid w:val="001A6413"/>
    <w:rsid w:val="001A69C9"/>
    <w:rsid w:val="001A6E38"/>
    <w:rsid w:val="001B1EB2"/>
    <w:rsid w:val="001B20CA"/>
    <w:rsid w:val="001B22F8"/>
    <w:rsid w:val="001B375C"/>
    <w:rsid w:val="001B54E6"/>
    <w:rsid w:val="001B6350"/>
    <w:rsid w:val="001B6513"/>
    <w:rsid w:val="001B7B69"/>
    <w:rsid w:val="001C03AC"/>
    <w:rsid w:val="001C1075"/>
    <w:rsid w:val="001C14A3"/>
    <w:rsid w:val="001C20CE"/>
    <w:rsid w:val="001C4AD6"/>
    <w:rsid w:val="001C4FAD"/>
    <w:rsid w:val="001C5100"/>
    <w:rsid w:val="001C53BC"/>
    <w:rsid w:val="001C58EA"/>
    <w:rsid w:val="001C5FDC"/>
    <w:rsid w:val="001C6D98"/>
    <w:rsid w:val="001C6E04"/>
    <w:rsid w:val="001C7D01"/>
    <w:rsid w:val="001D0800"/>
    <w:rsid w:val="001D367C"/>
    <w:rsid w:val="001D56C1"/>
    <w:rsid w:val="001D65B1"/>
    <w:rsid w:val="001D6E49"/>
    <w:rsid w:val="001D7528"/>
    <w:rsid w:val="001D7722"/>
    <w:rsid w:val="001D79BA"/>
    <w:rsid w:val="001D7A40"/>
    <w:rsid w:val="001E0990"/>
    <w:rsid w:val="001E3609"/>
    <w:rsid w:val="001E37F5"/>
    <w:rsid w:val="001E3D1D"/>
    <w:rsid w:val="001E413D"/>
    <w:rsid w:val="001E4B34"/>
    <w:rsid w:val="001E553A"/>
    <w:rsid w:val="001E5A5E"/>
    <w:rsid w:val="001E5C69"/>
    <w:rsid w:val="001E6326"/>
    <w:rsid w:val="001E67C6"/>
    <w:rsid w:val="001F02B6"/>
    <w:rsid w:val="001F0C74"/>
    <w:rsid w:val="001F2892"/>
    <w:rsid w:val="001F356A"/>
    <w:rsid w:val="001F3C60"/>
    <w:rsid w:val="001F5205"/>
    <w:rsid w:val="001F78E7"/>
    <w:rsid w:val="00200EC2"/>
    <w:rsid w:val="00202022"/>
    <w:rsid w:val="002024BD"/>
    <w:rsid w:val="00203659"/>
    <w:rsid w:val="002040AF"/>
    <w:rsid w:val="002041FC"/>
    <w:rsid w:val="002050F8"/>
    <w:rsid w:val="00205EF4"/>
    <w:rsid w:val="002066B6"/>
    <w:rsid w:val="00207053"/>
    <w:rsid w:val="002070FE"/>
    <w:rsid w:val="00207E12"/>
    <w:rsid w:val="00210BA3"/>
    <w:rsid w:val="00211D43"/>
    <w:rsid w:val="00212877"/>
    <w:rsid w:val="0021311E"/>
    <w:rsid w:val="002135AB"/>
    <w:rsid w:val="00215259"/>
    <w:rsid w:val="00215401"/>
    <w:rsid w:val="0021789F"/>
    <w:rsid w:val="00217AC9"/>
    <w:rsid w:val="00217B85"/>
    <w:rsid w:val="00217D80"/>
    <w:rsid w:val="00220553"/>
    <w:rsid w:val="00220791"/>
    <w:rsid w:val="00220A54"/>
    <w:rsid w:val="00221293"/>
    <w:rsid w:val="0022148F"/>
    <w:rsid w:val="00221500"/>
    <w:rsid w:val="00221558"/>
    <w:rsid w:val="00222AB5"/>
    <w:rsid w:val="0022301E"/>
    <w:rsid w:val="002231A5"/>
    <w:rsid w:val="0022394F"/>
    <w:rsid w:val="0022582F"/>
    <w:rsid w:val="00227388"/>
    <w:rsid w:val="002276D5"/>
    <w:rsid w:val="00230EC7"/>
    <w:rsid w:val="002321B4"/>
    <w:rsid w:val="002338C8"/>
    <w:rsid w:val="00233D88"/>
    <w:rsid w:val="00233EA4"/>
    <w:rsid w:val="00234441"/>
    <w:rsid w:val="002346D0"/>
    <w:rsid w:val="00234EFE"/>
    <w:rsid w:val="00235B7F"/>
    <w:rsid w:val="00235E02"/>
    <w:rsid w:val="00237F8F"/>
    <w:rsid w:val="00240544"/>
    <w:rsid w:val="00240741"/>
    <w:rsid w:val="0024086A"/>
    <w:rsid w:val="00241644"/>
    <w:rsid w:val="00242317"/>
    <w:rsid w:val="0024295B"/>
    <w:rsid w:val="00242F69"/>
    <w:rsid w:val="00243B9F"/>
    <w:rsid w:val="00243DDF"/>
    <w:rsid w:val="002444FF"/>
    <w:rsid w:val="00244D80"/>
    <w:rsid w:val="00245C90"/>
    <w:rsid w:val="002460A7"/>
    <w:rsid w:val="00246755"/>
    <w:rsid w:val="00246EFD"/>
    <w:rsid w:val="0025204C"/>
    <w:rsid w:val="0025273E"/>
    <w:rsid w:val="0025359D"/>
    <w:rsid w:val="0025386F"/>
    <w:rsid w:val="00253E5E"/>
    <w:rsid w:val="00253F9D"/>
    <w:rsid w:val="002560D9"/>
    <w:rsid w:val="0025666E"/>
    <w:rsid w:val="002578D0"/>
    <w:rsid w:val="00261CE8"/>
    <w:rsid w:val="002626C7"/>
    <w:rsid w:val="00262F22"/>
    <w:rsid w:val="002630D3"/>
    <w:rsid w:val="00263F2E"/>
    <w:rsid w:val="00264889"/>
    <w:rsid w:val="002657AA"/>
    <w:rsid w:val="00265E68"/>
    <w:rsid w:val="00266A51"/>
    <w:rsid w:val="0027092D"/>
    <w:rsid w:val="00270F77"/>
    <w:rsid w:val="00271329"/>
    <w:rsid w:val="002714EF"/>
    <w:rsid w:val="002721F6"/>
    <w:rsid w:val="002743A6"/>
    <w:rsid w:val="002758E7"/>
    <w:rsid w:val="002761B2"/>
    <w:rsid w:val="00276757"/>
    <w:rsid w:val="00276A21"/>
    <w:rsid w:val="00277901"/>
    <w:rsid w:val="00277F4C"/>
    <w:rsid w:val="00280110"/>
    <w:rsid w:val="00280DE8"/>
    <w:rsid w:val="0028203E"/>
    <w:rsid w:val="00283019"/>
    <w:rsid w:val="002837E8"/>
    <w:rsid w:val="00283878"/>
    <w:rsid w:val="00283D36"/>
    <w:rsid w:val="00285579"/>
    <w:rsid w:val="00287499"/>
    <w:rsid w:val="0029209B"/>
    <w:rsid w:val="00292F44"/>
    <w:rsid w:val="0029338C"/>
    <w:rsid w:val="002933FD"/>
    <w:rsid w:val="00294387"/>
    <w:rsid w:val="002964B3"/>
    <w:rsid w:val="0029663D"/>
    <w:rsid w:val="002A0BD5"/>
    <w:rsid w:val="002A1FBC"/>
    <w:rsid w:val="002A229B"/>
    <w:rsid w:val="002A35BF"/>
    <w:rsid w:val="002A4FA2"/>
    <w:rsid w:val="002A5E19"/>
    <w:rsid w:val="002A6006"/>
    <w:rsid w:val="002A618E"/>
    <w:rsid w:val="002A660A"/>
    <w:rsid w:val="002A67ED"/>
    <w:rsid w:val="002A7069"/>
    <w:rsid w:val="002A75A1"/>
    <w:rsid w:val="002B20C3"/>
    <w:rsid w:val="002B2C5C"/>
    <w:rsid w:val="002B2DA4"/>
    <w:rsid w:val="002B3DAD"/>
    <w:rsid w:val="002B44B5"/>
    <w:rsid w:val="002B44D5"/>
    <w:rsid w:val="002B45CB"/>
    <w:rsid w:val="002B79E4"/>
    <w:rsid w:val="002B79FB"/>
    <w:rsid w:val="002C073A"/>
    <w:rsid w:val="002C0776"/>
    <w:rsid w:val="002C1B2F"/>
    <w:rsid w:val="002C2585"/>
    <w:rsid w:val="002C2781"/>
    <w:rsid w:val="002C33F7"/>
    <w:rsid w:val="002C3C0B"/>
    <w:rsid w:val="002C547B"/>
    <w:rsid w:val="002C7A02"/>
    <w:rsid w:val="002D0D31"/>
    <w:rsid w:val="002D1151"/>
    <w:rsid w:val="002D1855"/>
    <w:rsid w:val="002D2A95"/>
    <w:rsid w:val="002D2D58"/>
    <w:rsid w:val="002D351D"/>
    <w:rsid w:val="002D3E69"/>
    <w:rsid w:val="002D6388"/>
    <w:rsid w:val="002D7845"/>
    <w:rsid w:val="002E0279"/>
    <w:rsid w:val="002E1807"/>
    <w:rsid w:val="002E2D0B"/>
    <w:rsid w:val="002E44AC"/>
    <w:rsid w:val="002E4737"/>
    <w:rsid w:val="002E5001"/>
    <w:rsid w:val="002E635F"/>
    <w:rsid w:val="002E703C"/>
    <w:rsid w:val="002F0F7C"/>
    <w:rsid w:val="002F1582"/>
    <w:rsid w:val="002F336D"/>
    <w:rsid w:val="002F39BC"/>
    <w:rsid w:val="002F3E08"/>
    <w:rsid w:val="002F42C2"/>
    <w:rsid w:val="002F4F46"/>
    <w:rsid w:val="002F5AE9"/>
    <w:rsid w:val="002F75F9"/>
    <w:rsid w:val="002F7A49"/>
    <w:rsid w:val="002F7D26"/>
    <w:rsid w:val="0030111A"/>
    <w:rsid w:val="00301932"/>
    <w:rsid w:val="00301DEB"/>
    <w:rsid w:val="00301FD0"/>
    <w:rsid w:val="003024F5"/>
    <w:rsid w:val="00302D31"/>
    <w:rsid w:val="003035A2"/>
    <w:rsid w:val="00305667"/>
    <w:rsid w:val="003057DF"/>
    <w:rsid w:val="00306A00"/>
    <w:rsid w:val="00306C30"/>
    <w:rsid w:val="00307A6D"/>
    <w:rsid w:val="00311524"/>
    <w:rsid w:val="00311DDF"/>
    <w:rsid w:val="003125A9"/>
    <w:rsid w:val="003126EE"/>
    <w:rsid w:val="0031350D"/>
    <w:rsid w:val="00313AF0"/>
    <w:rsid w:val="0031488B"/>
    <w:rsid w:val="00314B13"/>
    <w:rsid w:val="00315D5C"/>
    <w:rsid w:val="003167A1"/>
    <w:rsid w:val="0031714B"/>
    <w:rsid w:val="00317420"/>
    <w:rsid w:val="003174EA"/>
    <w:rsid w:val="003210F4"/>
    <w:rsid w:val="0032140E"/>
    <w:rsid w:val="00321532"/>
    <w:rsid w:val="003231FD"/>
    <w:rsid w:val="00323421"/>
    <w:rsid w:val="00323948"/>
    <w:rsid w:val="00323FFD"/>
    <w:rsid w:val="003243BC"/>
    <w:rsid w:val="0032603C"/>
    <w:rsid w:val="00326DF9"/>
    <w:rsid w:val="0032765E"/>
    <w:rsid w:val="003308EB"/>
    <w:rsid w:val="003318C1"/>
    <w:rsid w:val="0033261C"/>
    <w:rsid w:val="00332926"/>
    <w:rsid w:val="003331A3"/>
    <w:rsid w:val="0033418C"/>
    <w:rsid w:val="00334608"/>
    <w:rsid w:val="00335411"/>
    <w:rsid w:val="0033541E"/>
    <w:rsid w:val="003355D5"/>
    <w:rsid w:val="00335D4C"/>
    <w:rsid w:val="00336A55"/>
    <w:rsid w:val="00337061"/>
    <w:rsid w:val="003378C4"/>
    <w:rsid w:val="003407C8"/>
    <w:rsid w:val="00340F11"/>
    <w:rsid w:val="00342D6D"/>
    <w:rsid w:val="003439AD"/>
    <w:rsid w:val="00345303"/>
    <w:rsid w:val="00345EA6"/>
    <w:rsid w:val="00346A33"/>
    <w:rsid w:val="00347922"/>
    <w:rsid w:val="003479D3"/>
    <w:rsid w:val="003507CC"/>
    <w:rsid w:val="00351AAF"/>
    <w:rsid w:val="00351D1A"/>
    <w:rsid w:val="00351E7C"/>
    <w:rsid w:val="00351E99"/>
    <w:rsid w:val="003536D1"/>
    <w:rsid w:val="00353FD7"/>
    <w:rsid w:val="003548E9"/>
    <w:rsid w:val="003566DA"/>
    <w:rsid w:val="00356B3E"/>
    <w:rsid w:val="003607CF"/>
    <w:rsid w:val="003611AA"/>
    <w:rsid w:val="0036220C"/>
    <w:rsid w:val="003624C4"/>
    <w:rsid w:val="00362673"/>
    <w:rsid w:val="0036269C"/>
    <w:rsid w:val="00365523"/>
    <w:rsid w:val="00365A09"/>
    <w:rsid w:val="00365ABB"/>
    <w:rsid w:val="003668AC"/>
    <w:rsid w:val="003677EE"/>
    <w:rsid w:val="00370873"/>
    <w:rsid w:val="00371250"/>
    <w:rsid w:val="003715B9"/>
    <w:rsid w:val="00371B67"/>
    <w:rsid w:val="00371C17"/>
    <w:rsid w:val="00373113"/>
    <w:rsid w:val="00373328"/>
    <w:rsid w:val="00374302"/>
    <w:rsid w:val="00380B5E"/>
    <w:rsid w:val="0038196F"/>
    <w:rsid w:val="00381B93"/>
    <w:rsid w:val="003835FE"/>
    <w:rsid w:val="003836A1"/>
    <w:rsid w:val="00385224"/>
    <w:rsid w:val="00385569"/>
    <w:rsid w:val="00386C0A"/>
    <w:rsid w:val="00390296"/>
    <w:rsid w:val="00390662"/>
    <w:rsid w:val="003935DC"/>
    <w:rsid w:val="003936A8"/>
    <w:rsid w:val="003944D6"/>
    <w:rsid w:val="0039507C"/>
    <w:rsid w:val="003964EB"/>
    <w:rsid w:val="003A169C"/>
    <w:rsid w:val="003A26A6"/>
    <w:rsid w:val="003A3D97"/>
    <w:rsid w:val="003A4630"/>
    <w:rsid w:val="003A468D"/>
    <w:rsid w:val="003A66E1"/>
    <w:rsid w:val="003A7262"/>
    <w:rsid w:val="003A7F9C"/>
    <w:rsid w:val="003B1721"/>
    <w:rsid w:val="003B1E05"/>
    <w:rsid w:val="003B263E"/>
    <w:rsid w:val="003B2C29"/>
    <w:rsid w:val="003B3704"/>
    <w:rsid w:val="003B44FB"/>
    <w:rsid w:val="003B4ACB"/>
    <w:rsid w:val="003B57DE"/>
    <w:rsid w:val="003B735F"/>
    <w:rsid w:val="003B7F5C"/>
    <w:rsid w:val="003C270E"/>
    <w:rsid w:val="003C4F18"/>
    <w:rsid w:val="003C54AC"/>
    <w:rsid w:val="003C5972"/>
    <w:rsid w:val="003C7097"/>
    <w:rsid w:val="003C7FAC"/>
    <w:rsid w:val="003D00A7"/>
    <w:rsid w:val="003D023A"/>
    <w:rsid w:val="003D089C"/>
    <w:rsid w:val="003D1C5B"/>
    <w:rsid w:val="003D1CC1"/>
    <w:rsid w:val="003D2121"/>
    <w:rsid w:val="003D2370"/>
    <w:rsid w:val="003D2564"/>
    <w:rsid w:val="003D2FF1"/>
    <w:rsid w:val="003D3E64"/>
    <w:rsid w:val="003D6DD8"/>
    <w:rsid w:val="003D797C"/>
    <w:rsid w:val="003D7CA5"/>
    <w:rsid w:val="003E2892"/>
    <w:rsid w:val="003E328C"/>
    <w:rsid w:val="003E3D1D"/>
    <w:rsid w:val="003E48BC"/>
    <w:rsid w:val="003E4FF5"/>
    <w:rsid w:val="003E5274"/>
    <w:rsid w:val="003E5921"/>
    <w:rsid w:val="003F034A"/>
    <w:rsid w:val="003F1282"/>
    <w:rsid w:val="003F1315"/>
    <w:rsid w:val="003F34DD"/>
    <w:rsid w:val="003F3F71"/>
    <w:rsid w:val="003F666B"/>
    <w:rsid w:val="003F6755"/>
    <w:rsid w:val="003F6BDF"/>
    <w:rsid w:val="003F70ED"/>
    <w:rsid w:val="00400CE2"/>
    <w:rsid w:val="004018B9"/>
    <w:rsid w:val="00402F98"/>
    <w:rsid w:val="004047E4"/>
    <w:rsid w:val="00405B01"/>
    <w:rsid w:val="00407399"/>
    <w:rsid w:val="004075FF"/>
    <w:rsid w:val="00410337"/>
    <w:rsid w:val="00411AC0"/>
    <w:rsid w:val="004121A0"/>
    <w:rsid w:val="00412547"/>
    <w:rsid w:val="004126F1"/>
    <w:rsid w:val="00413F15"/>
    <w:rsid w:val="00415D4B"/>
    <w:rsid w:val="00415E34"/>
    <w:rsid w:val="00416E89"/>
    <w:rsid w:val="0042388E"/>
    <w:rsid w:val="00424180"/>
    <w:rsid w:val="00424D7D"/>
    <w:rsid w:val="00426EF5"/>
    <w:rsid w:val="00430731"/>
    <w:rsid w:val="004318F4"/>
    <w:rsid w:val="00432DD1"/>
    <w:rsid w:val="004332C8"/>
    <w:rsid w:val="004334EF"/>
    <w:rsid w:val="004335E5"/>
    <w:rsid w:val="0043388B"/>
    <w:rsid w:val="00434082"/>
    <w:rsid w:val="00434578"/>
    <w:rsid w:val="00434679"/>
    <w:rsid w:val="00436925"/>
    <w:rsid w:val="00436FEC"/>
    <w:rsid w:val="00437135"/>
    <w:rsid w:val="0043785B"/>
    <w:rsid w:val="00437B23"/>
    <w:rsid w:val="00440C90"/>
    <w:rsid w:val="004436FB"/>
    <w:rsid w:val="00443DA0"/>
    <w:rsid w:val="00445621"/>
    <w:rsid w:val="00445A5B"/>
    <w:rsid w:val="00446503"/>
    <w:rsid w:val="00447937"/>
    <w:rsid w:val="00447F17"/>
    <w:rsid w:val="004502E7"/>
    <w:rsid w:val="00451843"/>
    <w:rsid w:val="0045217E"/>
    <w:rsid w:val="004522AE"/>
    <w:rsid w:val="004548DE"/>
    <w:rsid w:val="00454F87"/>
    <w:rsid w:val="0045534F"/>
    <w:rsid w:val="00456151"/>
    <w:rsid w:val="004564DB"/>
    <w:rsid w:val="00457831"/>
    <w:rsid w:val="00460637"/>
    <w:rsid w:val="004608A1"/>
    <w:rsid w:val="004610C4"/>
    <w:rsid w:val="00461F5F"/>
    <w:rsid w:val="004639B7"/>
    <w:rsid w:val="00463F51"/>
    <w:rsid w:val="004664E9"/>
    <w:rsid w:val="00466BE7"/>
    <w:rsid w:val="00467885"/>
    <w:rsid w:val="004704FC"/>
    <w:rsid w:val="00471A36"/>
    <w:rsid w:val="00473AAF"/>
    <w:rsid w:val="00475562"/>
    <w:rsid w:val="00476109"/>
    <w:rsid w:val="0048002E"/>
    <w:rsid w:val="00481573"/>
    <w:rsid w:val="00481C24"/>
    <w:rsid w:val="004822D7"/>
    <w:rsid w:val="004832A7"/>
    <w:rsid w:val="004840E8"/>
    <w:rsid w:val="00484963"/>
    <w:rsid w:val="0048509B"/>
    <w:rsid w:val="004868ED"/>
    <w:rsid w:val="00487AC9"/>
    <w:rsid w:val="004904CF"/>
    <w:rsid w:val="004904D6"/>
    <w:rsid w:val="00492B4E"/>
    <w:rsid w:val="00492CF6"/>
    <w:rsid w:val="004948A4"/>
    <w:rsid w:val="00494EC4"/>
    <w:rsid w:val="00496B1D"/>
    <w:rsid w:val="00497561"/>
    <w:rsid w:val="004A0A5E"/>
    <w:rsid w:val="004A328B"/>
    <w:rsid w:val="004A435D"/>
    <w:rsid w:val="004A4425"/>
    <w:rsid w:val="004A54A4"/>
    <w:rsid w:val="004A7043"/>
    <w:rsid w:val="004A77D7"/>
    <w:rsid w:val="004A79A6"/>
    <w:rsid w:val="004B1067"/>
    <w:rsid w:val="004B1C64"/>
    <w:rsid w:val="004B2455"/>
    <w:rsid w:val="004B31F1"/>
    <w:rsid w:val="004B3E47"/>
    <w:rsid w:val="004B4338"/>
    <w:rsid w:val="004B4881"/>
    <w:rsid w:val="004B571C"/>
    <w:rsid w:val="004B6075"/>
    <w:rsid w:val="004B623D"/>
    <w:rsid w:val="004B6A9B"/>
    <w:rsid w:val="004B7F45"/>
    <w:rsid w:val="004C01A0"/>
    <w:rsid w:val="004C137C"/>
    <w:rsid w:val="004C2877"/>
    <w:rsid w:val="004C2B85"/>
    <w:rsid w:val="004C342F"/>
    <w:rsid w:val="004C34C1"/>
    <w:rsid w:val="004C3B32"/>
    <w:rsid w:val="004C7653"/>
    <w:rsid w:val="004D202B"/>
    <w:rsid w:val="004D3112"/>
    <w:rsid w:val="004D43EF"/>
    <w:rsid w:val="004D4808"/>
    <w:rsid w:val="004D4C6F"/>
    <w:rsid w:val="004D4CE7"/>
    <w:rsid w:val="004D4DC8"/>
    <w:rsid w:val="004D5B66"/>
    <w:rsid w:val="004D6A49"/>
    <w:rsid w:val="004D6F37"/>
    <w:rsid w:val="004D73BB"/>
    <w:rsid w:val="004E1B7B"/>
    <w:rsid w:val="004E1C3E"/>
    <w:rsid w:val="004E364A"/>
    <w:rsid w:val="004E3FD7"/>
    <w:rsid w:val="004E6A2C"/>
    <w:rsid w:val="004E6FBE"/>
    <w:rsid w:val="004E772B"/>
    <w:rsid w:val="004E7945"/>
    <w:rsid w:val="004F062E"/>
    <w:rsid w:val="004F1EB4"/>
    <w:rsid w:val="004F4496"/>
    <w:rsid w:val="004F58B9"/>
    <w:rsid w:val="004F5CBB"/>
    <w:rsid w:val="004F5DC8"/>
    <w:rsid w:val="004F6572"/>
    <w:rsid w:val="004F6A6A"/>
    <w:rsid w:val="004F744B"/>
    <w:rsid w:val="004F75AA"/>
    <w:rsid w:val="005009A6"/>
    <w:rsid w:val="00500D01"/>
    <w:rsid w:val="00502E49"/>
    <w:rsid w:val="005035DE"/>
    <w:rsid w:val="00503B02"/>
    <w:rsid w:val="00506056"/>
    <w:rsid w:val="0050673A"/>
    <w:rsid w:val="00506F86"/>
    <w:rsid w:val="0050769E"/>
    <w:rsid w:val="00510339"/>
    <w:rsid w:val="00510814"/>
    <w:rsid w:val="005109B0"/>
    <w:rsid w:val="00511813"/>
    <w:rsid w:val="005131D6"/>
    <w:rsid w:val="005136BE"/>
    <w:rsid w:val="00513881"/>
    <w:rsid w:val="00514631"/>
    <w:rsid w:val="00514C51"/>
    <w:rsid w:val="00514EBD"/>
    <w:rsid w:val="00517B90"/>
    <w:rsid w:val="00517FF7"/>
    <w:rsid w:val="005211E6"/>
    <w:rsid w:val="005229E3"/>
    <w:rsid w:val="005244C3"/>
    <w:rsid w:val="005247DE"/>
    <w:rsid w:val="0052754B"/>
    <w:rsid w:val="00527D53"/>
    <w:rsid w:val="00531265"/>
    <w:rsid w:val="00531B58"/>
    <w:rsid w:val="0053200D"/>
    <w:rsid w:val="0053446A"/>
    <w:rsid w:val="005351CB"/>
    <w:rsid w:val="00535AA3"/>
    <w:rsid w:val="0053657C"/>
    <w:rsid w:val="00540B5D"/>
    <w:rsid w:val="00543D64"/>
    <w:rsid w:val="005441AE"/>
    <w:rsid w:val="005442AB"/>
    <w:rsid w:val="00544811"/>
    <w:rsid w:val="00545EF8"/>
    <w:rsid w:val="005464F1"/>
    <w:rsid w:val="00546C22"/>
    <w:rsid w:val="005477FE"/>
    <w:rsid w:val="00552414"/>
    <w:rsid w:val="00552FD0"/>
    <w:rsid w:val="0055606F"/>
    <w:rsid w:val="0055615D"/>
    <w:rsid w:val="0055671F"/>
    <w:rsid w:val="00556FC8"/>
    <w:rsid w:val="00557643"/>
    <w:rsid w:val="00557E9C"/>
    <w:rsid w:val="00560E8D"/>
    <w:rsid w:val="0056124B"/>
    <w:rsid w:val="00561A41"/>
    <w:rsid w:val="0056348D"/>
    <w:rsid w:val="00565A1D"/>
    <w:rsid w:val="00570B0B"/>
    <w:rsid w:val="00570B27"/>
    <w:rsid w:val="0057162F"/>
    <w:rsid w:val="00571991"/>
    <w:rsid w:val="005720D9"/>
    <w:rsid w:val="005721C5"/>
    <w:rsid w:val="00572995"/>
    <w:rsid w:val="00573326"/>
    <w:rsid w:val="00573D77"/>
    <w:rsid w:val="00574C04"/>
    <w:rsid w:val="00575965"/>
    <w:rsid w:val="00577F96"/>
    <w:rsid w:val="005805DF"/>
    <w:rsid w:val="005841F7"/>
    <w:rsid w:val="00584E69"/>
    <w:rsid w:val="00584F88"/>
    <w:rsid w:val="005876B8"/>
    <w:rsid w:val="00590A85"/>
    <w:rsid w:val="005911A8"/>
    <w:rsid w:val="00591B8F"/>
    <w:rsid w:val="005920B2"/>
    <w:rsid w:val="0059422B"/>
    <w:rsid w:val="00594F8C"/>
    <w:rsid w:val="00595934"/>
    <w:rsid w:val="00596247"/>
    <w:rsid w:val="005A1D8A"/>
    <w:rsid w:val="005A2D08"/>
    <w:rsid w:val="005A2D7F"/>
    <w:rsid w:val="005A34AD"/>
    <w:rsid w:val="005A3AB9"/>
    <w:rsid w:val="005A520C"/>
    <w:rsid w:val="005A5372"/>
    <w:rsid w:val="005A5E3F"/>
    <w:rsid w:val="005A63EE"/>
    <w:rsid w:val="005A6C36"/>
    <w:rsid w:val="005B0641"/>
    <w:rsid w:val="005B06AF"/>
    <w:rsid w:val="005B1D7D"/>
    <w:rsid w:val="005B27AD"/>
    <w:rsid w:val="005B429F"/>
    <w:rsid w:val="005B4451"/>
    <w:rsid w:val="005B5D2D"/>
    <w:rsid w:val="005B6808"/>
    <w:rsid w:val="005B6ADF"/>
    <w:rsid w:val="005C2461"/>
    <w:rsid w:val="005C2B1A"/>
    <w:rsid w:val="005C4D6B"/>
    <w:rsid w:val="005C5ADF"/>
    <w:rsid w:val="005C5B35"/>
    <w:rsid w:val="005C702F"/>
    <w:rsid w:val="005C706E"/>
    <w:rsid w:val="005C7894"/>
    <w:rsid w:val="005D0F53"/>
    <w:rsid w:val="005D26C0"/>
    <w:rsid w:val="005D3CDE"/>
    <w:rsid w:val="005D3E7B"/>
    <w:rsid w:val="005D4016"/>
    <w:rsid w:val="005D4D2D"/>
    <w:rsid w:val="005D674D"/>
    <w:rsid w:val="005D6E90"/>
    <w:rsid w:val="005E1CFD"/>
    <w:rsid w:val="005E1D61"/>
    <w:rsid w:val="005E2058"/>
    <w:rsid w:val="005E2500"/>
    <w:rsid w:val="005E41AD"/>
    <w:rsid w:val="005E45D3"/>
    <w:rsid w:val="005E5037"/>
    <w:rsid w:val="005E5518"/>
    <w:rsid w:val="005F11F4"/>
    <w:rsid w:val="005F1798"/>
    <w:rsid w:val="005F2840"/>
    <w:rsid w:val="005F328E"/>
    <w:rsid w:val="005F3DDF"/>
    <w:rsid w:val="005F475C"/>
    <w:rsid w:val="005F4885"/>
    <w:rsid w:val="005F4C26"/>
    <w:rsid w:val="005F55D4"/>
    <w:rsid w:val="005F69CF"/>
    <w:rsid w:val="005F6AD2"/>
    <w:rsid w:val="005F7439"/>
    <w:rsid w:val="005F7B67"/>
    <w:rsid w:val="005F7F11"/>
    <w:rsid w:val="006003DB"/>
    <w:rsid w:val="00600AA8"/>
    <w:rsid w:val="00601ABC"/>
    <w:rsid w:val="0060214D"/>
    <w:rsid w:val="0060295E"/>
    <w:rsid w:val="00602AC9"/>
    <w:rsid w:val="006043A2"/>
    <w:rsid w:val="006047AA"/>
    <w:rsid w:val="00605A74"/>
    <w:rsid w:val="006101CA"/>
    <w:rsid w:val="00610576"/>
    <w:rsid w:val="00610C96"/>
    <w:rsid w:val="00612D75"/>
    <w:rsid w:val="00614FA3"/>
    <w:rsid w:val="006157A9"/>
    <w:rsid w:val="0061612D"/>
    <w:rsid w:val="006164F1"/>
    <w:rsid w:val="00617A91"/>
    <w:rsid w:val="006219C6"/>
    <w:rsid w:val="00622289"/>
    <w:rsid w:val="006229D9"/>
    <w:rsid w:val="0062353D"/>
    <w:rsid w:val="00624F28"/>
    <w:rsid w:val="006250E1"/>
    <w:rsid w:val="00625AC0"/>
    <w:rsid w:val="00625E2E"/>
    <w:rsid w:val="00626CA6"/>
    <w:rsid w:val="00626F03"/>
    <w:rsid w:val="006275DD"/>
    <w:rsid w:val="00627C41"/>
    <w:rsid w:val="006305E6"/>
    <w:rsid w:val="00630C5D"/>
    <w:rsid w:val="00632707"/>
    <w:rsid w:val="0063360E"/>
    <w:rsid w:val="006355ED"/>
    <w:rsid w:val="00635E3F"/>
    <w:rsid w:val="006377BB"/>
    <w:rsid w:val="00637C7B"/>
    <w:rsid w:val="00642908"/>
    <w:rsid w:val="00643021"/>
    <w:rsid w:val="00643E11"/>
    <w:rsid w:val="0064502A"/>
    <w:rsid w:val="006453D7"/>
    <w:rsid w:val="006469FD"/>
    <w:rsid w:val="00646E05"/>
    <w:rsid w:val="006474C5"/>
    <w:rsid w:val="006475A6"/>
    <w:rsid w:val="00650148"/>
    <w:rsid w:val="00650577"/>
    <w:rsid w:val="00650C33"/>
    <w:rsid w:val="00650F6E"/>
    <w:rsid w:val="006512D3"/>
    <w:rsid w:val="00651BC2"/>
    <w:rsid w:val="00653E87"/>
    <w:rsid w:val="0065462C"/>
    <w:rsid w:val="0065496C"/>
    <w:rsid w:val="006551F2"/>
    <w:rsid w:val="006552E3"/>
    <w:rsid w:val="00655926"/>
    <w:rsid w:val="00655DCF"/>
    <w:rsid w:val="0065769A"/>
    <w:rsid w:val="006577E9"/>
    <w:rsid w:val="00657C4E"/>
    <w:rsid w:val="00657F05"/>
    <w:rsid w:val="006620B7"/>
    <w:rsid w:val="006628D7"/>
    <w:rsid w:val="00662B6A"/>
    <w:rsid w:val="006634FB"/>
    <w:rsid w:val="00663FE1"/>
    <w:rsid w:val="00664207"/>
    <w:rsid w:val="00664639"/>
    <w:rsid w:val="0066620D"/>
    <w:rsid w:val="0066774E"/>
    <w:rsid w:val="00667C27"/>
    <w:rsid w:val="00670532"/>
    <w:rsid w:val="0067080D"/>
    <w:rsid w:val="00670EF1"/>
    <w:rsid w:val="00671C14"/>
    <w:rsid w:val="00673DD7"/>
    <w:rsid w:val="006762B0"/>
    <w:rsid w:val="00676839"/>
    <w:rsid w:val="00680605"/>
    <w:rsid w:val="00681737"/>
    <w:rsid w:val="00681F97"/>
    <w:rsid w:val="0068276E"/>
    <w:rsid w:val="006846D6"/>
    <w:rsid w:val="006850A6"/>
    <w:rsid w:val="00685600"/>
    <w:rsid w:val="0068586F"/>
    <w:rsid w:val="00685C55"/>
    <w:rsid w:val="00685DC3"/>
    <w:rsid w:val="0068640A"/>
    <w:rsid w:val="00687BBC"/>
    <w:rsid w:val="006912C6"/>
    <w:rsid w:val="006913F6"/>
    <w:rsid w:val="006922C0"/>
    <w:rsid w:val="00692947"/>
    <w:rsid w:val="00693088"/>
    <w:rsid w:val="006933A5"/>
    <w:rsid w:val="00693A1C"/>
    <w:rsid w:val="00695FA8"/>
    <w:rsid w:val="00696A51"/>
    <w:rsid w:val="00696F48"/>
    <w:rsid w:val="006971E7"/>
    <w:rsid w:val="00697256"/>
    <w:rsid w:val="0069753B"/>
    <w:rsid w:val="00697E0E"/>
    <w:rsid w:val="00697FD3"/>
    <w:rsid w:val="006A07CF"/>
    <w:rsid w:val="006A0971"/>
    <w:rsid w:val="006A2713"/>
    <w:rsid w:val="006A3D1C"/>
    <w:rsid w:val="006A47F4"/>
    <w:rsid w:val="006A56B6"/>
    <w:rsid w:val="006A6A62"/>
    <w:rsid w:val="006A708A"/>
    <w:rsid w:val="006A76ED"/>
    <w:rsid w:val="006B02D8"/>
    <w:rsid w:val="006B04A8"/>
    <w:rsid w:val="006B16FF"/>
    <w:rsid w:val="006B1891"/>
    <w:rsid w:val="006B247E"/>
    <w:rsid w:val="006B48EA"/>
    <w:rsid w:val="006B5004"/>
    <w:rsid w:val="006B51B5"/>
    <w:rsid w:val="006B624D"/>
    <w:rsid w:val="006C1C42"/>
    <w:rsid w:val="006C2077"/>
    <w:rsid w:val="006C21D1"/>
    <w:rsid w:val="006C293B"/>
    <w:rsid w:val="006C2978"/>
    <w:rsid w:val="006C2E67"/>
    <w:rsid w:val="006C3BAA"/>
    <w:rsid w:val="006C42FC"/>
    <w:rsid w:val="006C59C2"/>
    <w:rsid w:val="006C5BDC"/>
    <w:rsid w:val="006D111F"/>
    <w:rsid w:val="006D13C4"/>
    <w:rsid w:val="006D21A9"/>
    <w:rsid w:val="006D342C"/>
    <w:rsid w:val="006D48EB"/>
    <w:rsid w:val="006D4989"/>
    <w:rsid w:val="006D4D8A"/>
    <w:rsid w:val="006D6286"/>
    <w:rsid w:val="006D6EC3"/>
    <w:rsid w:val="006D7899"/>
    <w:rsid w:val="006D79C4"/>
    <w:rsid w:val="006D7CF9"/>
    <w:rsid w:val="006D7ECD"/>
    <w:rsid w:val="006E0694"/>
    <w:rsid w:val="006E073B"/>
    <w:rsid w:val="006E0B7F"/>
    <w:rsid w:val="006E17C1"/>
    <w:rsid w:val="006E1BB1"/>
    <w:rsid w:val="006E25C7"/>
    <w:rsid w:val="006E295E"/>
    <w:rsid w:val="006E322D"/>
    <w:rsid w:val="006E38EA"/>
    <w:rsid w:val="006E3F48"/>
    <w:rsid w:val="006E45BB"/>
    <w:rsid w:val="006E4B6C"/>
    <w:rsid w:val="006E53C1"/>
    <w:rsid w:val="006E6656"/>
    <w:rsid w:val="006E74E3"/>
    <w:rsid w:val="006F3817"/>
    <w:rsid w:val="006F4123"/>
    <w:rsid w:val="006F64AC"/>
    <w:rsid w:val="006F6CC4"/>
    <w:rsid w:val="00700090"/>
    <w:rsid w:val="0070062C"/>
    <w:rsid w:val="007008D9"/>
    <w:rsid w:val="00701573"/>
    <w:rsid w:val="00701D42"/>
    <w:rsid w:val="00701D74"/>
    <w:rsid w:val="007028D4"/>
    <w:rsid w:val="00704FBD"/>
    <w:rsid w:val="007053EF"/>
    <w:rsid w:val="00705B94"/>
    <w:rsid w:val="0070744B"/>
    <w:rsid w:val="007074D1"/>
    <w:rsid w:val="00707F8F"/>
    <w:rsid w:val="0071064B"/>
    <w:rsid w:val="007126D2"/>
    <w:rsid w:val="007130B4"/>
    <w:rsid w:val="007143A6"/>
    <w:rsid w:val="00716DA8"/>
    <w:rsid w:val="00717610"/>
    <w:rsid w:val="00720223"/>
    <w:rsid w:val="0072173F"/>
    <w:rsid w:val="00721C75"/>
    <w:rsid w:val="00724E81"/>
    <w:rsid w:val="007253D5"/>
    <w:rsid w:val="007257F0"/>
    <w:rsid w:val="00725BC6"/>
    <w:rsid w:val="007264D8"/>
    <w:rsid w:val="0072684B"/>
    <w:rsid w:val="00731306"/>
    <w:rsid w:val="00731D72"/>
    <w:rsid w:val="00731D9F"/>
    <w:rsid w:val="00732A21"/>
    <w:rsid w:val="00732DC0"/>
    <w:rsid w:val="007334C5"/>
    <w:rsid w:val="00734100"/>
    <w:rsid w:val="00734341"/>
    <w:rsid w:val="00734FC0"/>
    <w:rsid w:val="00735679"/>
    <w:rsid w:val="0073633C"/>
    <w:rsid w:val="007367DC"/>
    <w:rsid w:val="007374A3"/>
    <w:rsid w:val="00737A77"/>
    <w:rsid w:val="00740DD9"/>
    <w:rsid w:val="007411A1"/>
    <w:rsid w:val="00742A98"/>
    <w:rsid w:val="0074338A"/>
    <w:rsid w:val="007445F0"/>
    <w:rsid w:val="00744C51"/>
    <w:rsid w:val="0074637B"/>
    <w:rsid w:val="00746DE4"/>
    <w:rsid w:val="0075068B"/>
    <w:rsid w:val="00752B7E"/>
    <w:rsid w:val="00753219"/>
    <w:rsid w:val="007536DC"/>
    <w:rsid w:val="00753BBB"/>
    <w:rsid w:val="0076123F"/>
    <w:rsid w:val="007614E0"/>
    <w:rsid w:val="00762881"/>
    <w:rsid w:val="0076379D"/>
    <w:rsid w:val="00763B38"/>
    <w:rsid w:val="00764576"/>
    <w:rsid w:val="0076639C"/>
    <w:rsid w:val="0076693B"/>
    <w:rsid w:val="00770A93"/>
    <w:rsid w:val="00774388"/>
    <w:rsid w:val="007763CD"/>
    <w:rsid w:val="0077660F"/>
    <w:rsid w:val="00776E9D"/>
    <w:rsid w:val="0077749B"/>
    <w:rsid w:val="007813A4"/>
    <w:rsid w:val="00781522"/>
    <w:rsid w:val="00781F20"/>
    <w:rsid w:val="007831BB"/>
    <w:rsid w:val="00783BA8"/>
    <w:rsid w:val="007854F7"/>
    <w:rsid w:val="00785B7B"/>
    <w:rsid w:val="00787B78"/>
    <w:rsid w:val="00787BFE"/>
    <w:rsid w:val="007903A0"/>
    <w:rsid w:val="00790462"/>
    <w:rsid w:val="007904AD"/>
    <w:rsid w:val="00790570"/>
    <w:rsid w:val="00790B15"/>
    <w:rsid w:val="007917AE"/>
    <w:rsid w:val="00792537"/>
    <w:rsid w:val="0079315E"/>
    <w:rsid w:val="00794ABF"/>
    <w:rsid w:val="00794AE0"/>
    <w:rsid w:val="00796019"/>
    <w:rsid w:val="007A1FBF"/>
    <w:rsid w:val="007A2F73"/>
    <w:rsid w:val="007A48D5"/>
    <w:rsid w:val="007A6325"/>
    <w:rsid w:val="007A6734"/>
    <w:rsid w:val="007A700A"/>
    <w:rsid w:val="007A7830"/>
    <w:rsid w:val="007A7D7B"/>
    <w:rsid w:val="007B1C92"/>
    <w:rsid w:val="007B2095"/>
    <w:rsid w:val="007B54B9"/>
    <w:rsid w:val="007B5ABC"/>
    <w:rsid w:val="007B5EF0"/>
    <w:rsid w:val="007B6A43"/>
    <w:rsid w:val="007B71A0"/>
    <w:rsid w:val="007C0F5B"/>
    <w:rsid w:val="007C11D4"/>
    <w:rsid w:val="007C1479"/>
    <w:rsid w:val="007C35CB"/>
    <w:rsid w:val="007C3B5A"/>
    <w:rsid w:val="007C51B9"/>
    <w:rsid w:val="007C52FD"/>
    <w:rsid w:val="007C6E6A"/>
    <w:rsid w:val="007D0247"/>
    <w:rsid w:val="007D1578"/>
    <w:rsid w:val="007D1E5F"/>
    <w:rsid w:val="007D2003"/>
    <w:rsid w:val="007D259E"/>
    <w:rsid w:val="007D27BA"/>
    <w:rsid w:val="007D3B4A"/>
    <w:rsid w:val="007D49B1"/>
    <w:rsid w:val="007D4C9E"/>
    <w:rsid w:val="007D5B76"/>
    <w:rsid w:val="007D5ECE"/>
    <w:rsid w:val="007D67FF"/>
    <w:rsid w:val="007D6AE4"/>
    <w:rsid w:val="007D7013"/>
    <w:rsid w:val="007E01D2"/>
    <w:rsid w:val="007E11B3"/>
    <w:rsid w:val="007E1995"/>
    <w:rsid w:val="007E1C88"/>
    <w:rsid w:val="007E2783"/>
    <w:rsid w:val="007E3B56"/>
    <w:rsid w:val="007E4E8B"/>
    <w:rsid w:val="007E5387"/>
    <w:rsid w:val="007E7839"/>
    <w:rsid w:val="007E7CA9"/>
    <w:rsid w:val="007E7E92"/>
    <w:rsid w:val="007F1044"/>
    <w:rsid w:val="007F113E"/>
    <w:rsid w:val="007F1409"/>
    <w:rsid w:val="007F1DC0"/>
    <w:rsid w:val="007F23DA"/>
    <w:rsid w:val="007F26A8"/>
    <w:rsid w:val="007F290F"/>
    <w:rsid w:val="007F30B6"/>
    <w:rsid w:val="007F33E1"/>
    <w:rsid w:val="007F3A73"/>
    <w:rsid w:val="007F483E"/>
    <w:rsid w:val="007F582F"/>
    <w:rsid w:val="007F68F1"/>
    <w:rsid w:val="007F7E4E"/>
    <w:rsid w:val="00800B8A"/>
    <w:rsid w:val="0080198F"/>
    <w:rsid w:val="008019FA"/>
    <w:rsid w:val="008021FE"/>
    <w:rsid w:val="00802F81"/>
    <w:rsid w:val="008052F2"/>
    <w:rsid w:val="0080578F"/>
    <w:rsid w:val="00806D9C"/>
    <w:rsid w:val="008072A4"/>
    <w:rsid w:val="0081003A"/>
    <w:rsid w:val="008117B1"/>
    <w:rsid w:val="00812B01"/>
    <w:rsid w:val="0081331C"/>
    <w:rsid w:val="00813F3A"/>
    <w:rsid w:val="0081600F"/>
    <w:rsid w:val="008164E9"/>
    <w:rsid w:val="0081663C"/>
    <w:rsid w:val="00822572"/>
    <w:rsid w:val="00822EAB"/>
    <w:rsid w:val="0082319E"/>
    <w:rsid w:val="00823D57"/>
    <w:rsid w:val="00823F57"/>
    <w:rsid w:val="00824FC8"/>
    <w:rsid w:val="008253FE"/>
    <w:rsid w:val="00825DC7"/>
    <w:rsid w:val="008278C0"/>
    <w:rsid w:val="00827DAA"/>
    <w:rsid w:val="008322EA"/>
    <w:rsid w:val="008324B2"/>
    <w:rsid w:val="00832EE8"/>
    <w:rsid w:val="0083450D"/>
    <w:rsid w:val="00836157"/>
    <w:rsid w:val="00837A1D"/>
    <w:rsid w:val="00837B15"/>
    <w:rsid w:val="008410DB"/>
    <w:rsid w:val="00841144"/>
    <w:rsid w:val="008413D2"/>
    <w:rsid w:val="0084143A"/>
    <w:rsid w:val="00841A69"/>
    <w:rsid w:val="008435F2"/>
    <w:rsid w:val="0084378F"/>
    <w:rsid w:val="00844289"/>
    <w:rsid w:val="00844766"/>
    <w:rsid w:val="0084569B"/>
    <w:rsid w:val="0084657B"/>
    <w:rsid w:val="008479D0"/>
    <w:rsid w:val="00850873"/>
    <w:rsid w:val="00851339"/>
    <w:rsid w:val="008519FE"/>
    <w:rsid w:val="00851AAE"/>
    <w:rsid w:val="00851CB0"/>
    <w:rsid w:val="00852B91"/>
    <w:rsid w:val="00852EF0"/>
    <w:rsid w:val="00852EFD"/>
    <w:rsid w:val="00853E6A"/>
    <w:rsid w:val="0085447F"/>
    <w:rsid w:val="00854F27"/>
    <w:rsid w:val="0085683D"/>
    <w:rsid w:val="00856ADF"/>
    <w:rsid w:val="00856B5E"/>
    <w:rsid w:val="00856FAA"/>
    <w:rsid w:val="00857C75"/>
    <w:rsid w:val="00857D3E"/>
    <w:rsid w:val="008600C9"/>
    <w:rsid w:val="008603F9"/>
    <w:rsid w:val="00861716"/>
    <w:rsid w:val="0086229A"/>
    <w:rsid w:val="00862E30"/>
    <w:rsid w:val="00862FEE"/>
    <w:rsid w:val="0086342B"/>
    <w:rsid w:val="00866672"/>
    <w:rsid w:val="00866DB5"/>
    <w:rsid w:val="00871600"/>
    <w:rsid w:val="008731D0"/>
    <w:rsid w:val="00874B0D"/>
    <w:rsid w:val="00874CEB"/>
    <w:rsid w:val="00875185"/>
    <w:rsid w:val="00875558"/>
    <w:rsid w:val="00875576"/>
    <w:rsid w:val="008766F6"/>
    <w:rsid w:val="008766F9"/>
    <w:rsid w:val="00877EE4"/>
    <w:rsid w:val="00881766"/>
    <w:rsid w:val="00881D0B"/>
    <w:rsid w:val="0088233C"/>
    <w:rsid w:val="00884014"/>
    <w:rsid w:val="00884123"/>
    <w:rsid w:val="008851AB"/>
    <w:rsid w:val="008854FF"/>
    <w:rsid w:val="0088792A"/>
    <w:rsid w:val="00887CEF"/>
    <w:rsid w:val="00893017"/>
    <w:rsid w:val="008937FE"/>
    <w:rsid w:val="008938D6"/>
    <w:rsid w:val="008943A7"/>
    <w:rsid w:val="00894C5A"/>
    <w:rsid w:val="00895334"/>
    <w:rsid w:val="00895C0F"/>
    <w:rsid w:val="008A0981"/>
    <w:rsid w:val="008A0BD9"/>
    <w:rsid w:val="008A1339"/>
    <w:rsid w:val="008A2D83"/>
    <w:rsid w:val="008A4478"/>
    <w:rsid w:val="008A5B61"/>
    <w:rsid w:val="008A5CC0"/>
    <w:rsid w:val="008A70B7"/>
    <w:rsid w:val="008A72F6"/>
    <w:rsid w:val="008A7B3B"/>
    <w:rsid w:val="008A7FDE"/>
    <w:rsid w:val="008B1D7B"/>
    <w:rsid w:val="008B331A"/>
    <w:rsid w:val="008B3D3C"/>
    <w:rsid w:val="008B43EB"/>
    <w:rsid w:val="008B47C7"/>
    <w:rsid w:val="008B7502"/>
    <w:rsid w:val="008C1569"/>
    <w:rsid w:val="008C1F94"/>
    <w:rsid w:val="008C2839"/>
    <w:rsid w:val="008C3F6E"/>
    <w:rsid w:val="008C4B39"/>
    <w:rsid w:val="008C5E59"/>
    <w:rsid w:val="008C5F60"/>
    <w:rsid w:val="008C7B79"/>
    <w:rsid w:val="008C7D86"/>
    <w:rsid w:val="008D0C0B"/>
    <w:rsid w:val="008D1770"/>
    <w:rsid w:val="008D2FB4"/>
    <w:rsid w:val="008D3849"/>
    <w:rsid w:val="008D3DF8"/>
    <w:rsid w:val="008D4E67"/>
    <w:rsid w:val="008D55A0"/>
    <w:rsid w:val="008D6179"/>
    <w:rsid w:val="008D6506"/>
    <w:rsid w:val="008D68E2"/>
    <w:rsid w:val="008D6A36"/>
    <w:rsid w:val="008D6AC8"/>
    <w:rsid w:val="008D6FD9"/>
    <w:rsid w:val="008E0F98"/>
    <w:rsid w:val="008E1CB0"/>
    <w:rsid w:val="008E2208"/>
    <w:rsid w:val="008E2EAB"/>
    <w:rsid w:val="008E3471"/>
    <w:rsid w:val="008E714C"/>
    <w:rsid w:val="008F15C0"/>
    <w:rsid w:val="008F1FB5"/>
    <w:rsid w:val="008F2843"/>
    <w:rsid w:val="008F3D9D"/>
    <w:rsid w:val="008F46B4"/>
    <w:rsid w:val="008F5934"/>
    <w:rsid w:val="008F76AD"/>
    <w:rsid w:val="00900F95"/>
    <w:rsid w:val="0090193C"/>
    <w:rsid w:val="00902759"/>
    <w:rsid w:val="00902F91"/>
    <w:rsid w:val="009053C6"/>
    <w:rsid w:val="00905B3C"/>
    <w:rsid w:val="00906DF0"/>
    <w:rsid w:val="009077B4"/>
    <w:rsid w:val="0091121E"/>
    <w:rsid w:val="009120A5"/>
    <w:rsid w:val="0091234E"/>
    <w:rsid w:val="009132E2"/>
    <w:rsid w:val="009135CE"/>
    <w:rsid w:val="009140C7"/>
    <w:rsid w:val="00914341"/>
    <w:rsid w:val="00914453"/>
    <w:rsid w:val="0091516F"/>
    <w:rsid w:val="00915434"/>
    <w:rsid w:val="00915C89"/>
    <w:rsid w:val="00915D53"/>
    <w:rsid w:val="00917379"/>
    <w:rsid w:val="0091799E"/>
    <w:rsid w:val="0092047A"/>
    <w:rsid w:val="00920C87"/>
    <w:rsid w:val="00923484"/>
    <w:rsid w:val="00923DE9"/>
    <w:rsid w:val="0092406E"/>
    <w:rsid w:val="009240DF"/>
    <w:rsid w:val="00925854"/>
    <w:rsid w:val="00925E66"/>
    <w:rsid w:val="0092667E"/>
    <w:rsid w:val="00926829"/>
    <w:rsid w:val="00926AC1"/>
    <w:rsid w:val="0092779A"/>
    <w:rsid w:val="009306F5"/>
    <w:rsid w:val="00932E2A"/>
    <w:rsid w:val="00933457"/>
    <w:rsid w:val="00933CD8"/>
    <w:rsid w:val="00936079"/>
    <w:rsid w:val="00940056"/>
    <w:rsid w:val="009403FD"/>
    <w:rsid w:val="00942347"/>
    <w:rsid w:val="009441CA"/>
    <w:rsid w:val="009445AD"/>
    <w:rsid w:val="00944B46"/>
    <w:rsid w:val="00945F99"/>
    <w:rsid w:val="009501F4"/>
    <w:rsid w:val="00950AF1"/>
    <w:rsid w:val="00951BFA"/>
    <w:rsid w:val="00951CCB"/>
    <w:rsid w:val="009523DC"/>
    <w:rsid w:val="009528A4"/>
    <w:rsid w:val="00953752"/>
    <w:rsid w:val="009537A8"/>
    <w:rsid w:val="009538A6"/>
    <w:rsid w:val="0095429D"/>
    <w:rsid w:val="00954C05"/>
    <w:rsid w:val="00955269"/>
    <w:rsid w:val="00956664"/>
    <w:rsid w:val="00957A80"/>
    <w:rsid w:val="0096092A"/>
    <w:rsid w:val="00960DC8"/>
    <w:rsid w:val="00961871"/>
    <w:rsid w:val="00964196"/>
    <w:rsid w:val="0096450D"/>
    <w:rsid w:val="00964D90"/>
    <w:rsid w:val="00967191"/>
    <w:rsid w:val="0096771E"/>
    <w:rsid w:val="00967919"/>
    <w:rsid w:val="00970397"/>
    <w:rsid w:val="009705F7"/>
    <w:rsid w:val="00972159"/>
    <w:rsid w:val="00974389"/>
    <w:rsid w:val="009749EC"/>
    <w:rsid w:val="00974B5D"/>
    <w:rsid w:val="00975040"/>
    <w:rsid w:val="0097588C"/>
    <w:rsid w:val="00981C3C"/>
    <w:rsid w:val="0098239D"/>
    <w:rsid w:val="0098265E"/>
    <w:rsid w:val="009840AC"/>
    <w:rsid w:val="009855D6"/>
    <w:rsid w:val="00985854"/>
    <w:rsid w:val="0098684C"/>
    <w:rsid w:val="0098713E"/>
    <w:rsid w:val="00987BB3"/>
    <w:rsid w:val="0099336C"/>
    <w:rsid w:val="00993507"/>
    <w:rsid w:val="0099387E"/>
    <w:rsid w:val="009944E9"/>
    <w:rsid w:val="009946D1"/>
    <w:rsid w:val="0099570B"/>
    <w:rsid w:val="0099787A"/>
    <w:rsid w:val="00997AB0"/>
    <w:rsid w:val="009A0561"/>
    <w:rsid w:val="009A08EB"/>
    <w:rsid w:val="009A0A89"/>
    <w:rsid w:val="009A197C"/>
    <w:rsid w:val="009A2CB0"/>
    <w:rsid w:val="009A6F15"/>
    <w:rsid w:val="009A70CE"/>
    <w:rsid w:val="009A7488"/>
    <w:rsid w:val="009A776D"/>
    <w:rsid w:val="009B1BEF"/>
    <w:rsid w:val="009B1DF7"/>
    <w:rsid w:val="009B2C5A"/>
    <w:rsid w:val="009B2FEA"/>
    <w:rsid w:val="009B3031"/>
    <w:rsid w:val="009B346A"/>
    <w:rsid w:val="009B516C"/>
    <w:rsid w:val="009B5A93"/>
    <w:rsid w:val="009C1BD1"/>
    <w:rsid w:val="009C25D9"/>
    <w:rsid w:val="009C3FF8"/>
    <w:rsid w:val="009C7778"/>
    <w:rsid w:val="009D1883"/>
    <w:rsid w:val="009D1E81"/>
    <w:rsid w:val="009D2432"/>
    <w:rsid w:val="009D258A"/>
    <w:rsid w:val="009D332C"/>
    <w:rsid w:val="009D3E2D"/>
    <w:rsid w:val="009D43D6"/>
    <w:rsid w:val="009D49D7"/>
    <w:rsid w:val="009D4E18"/>
    <w:rsid w:val="009D5324"/>
    <w:rsid w:val="009D7DDD"/>
    <w:rsid w:val="009E0124"/>
    <w:rsid w:val="009E167B"/>
    <w:rsid w:val="009E1826"/>
    <w:rsid w:val="009E1CCC"/>
    <w:rsid w:val="009E416F"/>
    <w:rsid w:val="009E5432"/>
    <w:rsid w:val="009E6E97"/>
    <w:rsid w:val="009E7AAF"/>
    <w:rsid w:val="009F0676"/>
    <w:rsid w:val="009F0AD7"/>
    <w:rsid w:val="009F11E4"/>
    <w:rsid w:val="009F180B"/>
    <w:rsid w:val="009F2357"/>
    <w:rsid w:val="009F4BA8"/>
    <w:rsid w:val="009F4C1E"/>
    <w:rsid w:val="009F571D"/>
    <w:rsid w:val="009F57CD"/>
    <w:rsid w:val="009F5865"/>
    <w:rsid w:val="009F5B1F"/>
    <w:rsid w:val="009F5D7C"/>
    <w:rsid w:val="009F6848"/>
    <w:rsid w:val="009F713E"/>
    <w:rsid w:val="00A00A0D"/>
    <w:rsid w:val="00A00E10"/>
    <w:rsid w:val="00A01467"/>
    <w:rsid w:val="00A024AD"/>
    <w:rsid w:val="00A03D84"/>
    <w:rsid w:val="00A03F17"/>
    <w:rsid w:val="00A0490B"/>
    <w:rsid w:val="00A05C35"/>
    <w:rsid w:val="00A05FD6"/>
    <w:rsid w:val="00A06E90"/>
    <w:rsid w:val="00A07475"/>
    <w:rsid w:val="00A07D07"/>
    <w:rsid w:val="00A10E86"/>
    <w:rsid w:val="00A10FA1"/>
    <w:rsid w:val="00A110F8"/>
    <w:rsid w:val="00A1299D"/>
    <w:rsid w:val="00A12B40"/>
    <w:rsid w:val="00A14576"/>
    <w:rsid w:val="00A15C8A"/>
    <w:rsid w:val="00A1619A"/>
    <w:rsid w:val="00A16C99"/>
    <w:rsid w:val="00A17631"/>
    <w:rsid w:val="00A17B41"/>
    <w:rsid w:val="00A17FE3"/>
    <w:rsid w:val="00A205AA"/>
    <w:rsid w:val="00A212DB"/>
    <w:rsid w:val="00A2149F"/>
    <w:rsid w:val="00A21558"/>
    <w:rsid w:val="00A22061"/>
    <w:rsid w:val="00A23989"/>
    <w:rsid w:val="00A24BE1"/>
    <w:rsid w:val="00A24DF5"/>
    <w:rsid w:val="00A25E7B"/>
    <w:rsid w:val="00A263B6"/>
    <w:rsid w:val="00A26FC7"/>
    <w:rsid w:val="00A27892"/>
    <w:rsid w:val="00A2799F"/>
    <w:rsid w:val="00A27A6F"/>
    <w:rsid w:val="00A34D79"/>
    <w:rsid w:val="00A35EF1"/>
    <w:rsid w:val="00A369E1"/>
    <w:rsid w:val="00A374AD"/>
    <w:rsid w:val="00A40B4D"/>
    <w:rsid w:val="00A4161A"/>
    <w:rsid w:val="00A41647"/>
    <w:rsid w:val="00A4173A"/>
    <w:rsid w:val="00A4192B"/>
    <w:rsid w:val="00A422B2"/>
    <w:rsid w:val="00A43859"/>
    <w:rsid w:val="00A4523A"/>
    <w:rsid w:val="00A474E5"/>
    <w:rsid w:val="00A4786B"/>
    <w:rsid w:val="00A50521"/>
    <w:rsid w:val="00A5152B"/>
    <w:rsid w:val="00A517C6"/>
    <w:rsid w:val="00A535FB"/>
    <w:rsid w:val="00A55FD4"/>
    <w:rsid w:val="00A5625F"/>
    <w:rsid w:val="00A572FE"/>
    <w:rsid w:val="00A602DC"/>
    <w:rsid w:val="00A61A6B"/>
    <w:rsid w:val="00A61D81"/>
    <w:rsid w:val="00A6209B"/>
    <w:rsid w:val="00A621BC"/>
    <w:rsid w:val="00A622FD"/>
    <w:rsid w:val="00A63036"/>
    <w:rsid w:val="00A63685"/>
    <w:rsid w:val="00A65A7E"/>
    <w:rsid w:val="00A66240"/>
    <w:rsid w:val="00A67900"/>
    <w:rsid w:val="00A70488"/>
    <w:rsid w:val="00A70AEC"/>
    <w:rsid w:val="00A71D39"/>
    <w:rsid w:val="00A72641"/>
    <w:rsid w:val="00A72818"/>
    <w:rsid w:val="00A72A5D"/>
    <w:rsid w:val="00A73262"/>
    <w:rsid w:val="00A734F3"/>
    <w:rsid w:val="00A74499"/>
    <w:rsid w:val="00A76C71"/>
    <w:rsid w:val="00A774FC"/>
    <w:rsid w:val="00A81109"/>
    <w:rsid w:val="00A82D18"/>
    <w:rsid w:val="00A833FF"/>
    <w:rsid w:val="00A83756"/>
    <w:rsid w:val="00A84A5B"/>
    <w:rsid w:val="00A85074"/>
    <w:rsid w:val="00A855FF"/>
    <w:rsid w:val="00A86231"/>
    <w:rsid w:val="00A86539"/>
    <w:rsid w:val="00A90AEE"/>
    <w:rsid w:val="00A90E2B"/>
    <w:rsid w:val="00A9169D"/>
    <w:rsid w:val="00A916A4"/>
    <w:rsid w:val="00A927E4"/>
    <w:rsid w:val="00A92B9E"/>
    <w:rsid w:val="00A92E5A"/>
    <w:rsid w:val="00A93543"/>
    <w:rsid w:val="00A938C6"/>
    <w:rsid w:val="00A93A98"/>
    <w:rsid w:val="00A93D52"/>
    <w:rsid w:val="00A94163"/>
    <w:rsid w:val="00A941E5"/>
    <w:rsid w:val="00A9477D"/>
    <w:rsid w:val="00A94F8F"/>
    <w:rsid w:val="00A96279"/>
    <w:rsid w:val="00A97137"/>
    <w:rsid w:val="00A97814"/>
    <w:rsid w:val="00AA0082"/>
    <w:rsid w:val="00AA037F"/>
    <w:rsid w:val="00AA0E33"/>
    <w:rsid w:val="00AA2926"/>
    <w:rsid w:val="00AA3833"/>
    <w:rsid w:val="00AA49F6"/>
    <w:rsid w:val="00AA6EAB"/>
    <w:rsid w:val="00AA731C"/>
    <w:rsid w:val="00AB00C3"/>
    <w:rsid w:val="00AB0229"/>
    <w:rsid w:val="00AB0321"/>
    <w:rsid w:val="00AB0473"/>
    <w:rsid w:val="00AB0807"/>
    <w:rsid w:val="00AB0A99"/>
    <w:rsid w:val="00AB0B88"/>
    <w:rsid w:val="00AB17B9"/>
    <w:rsid w:val="00AB3207"/>
    <w:rsid w:val="00AB3394"/>
    <w:rsid w:val="00AB3B2E"/>
    <w:rsid w:val="00AB5922"/>
    <w:rsid w:val="00AB6052"/>
    <w:rsid w:val="00AB6E48"/>
    <w:rsid w:val="00AB7BC8"/>
    <w:rsid w:val="00AC00A2"/>
    <w:rsid w:val="00AC067E"/>
    <w:rsid w:val="00AC0AA7"/>
    <w:rsid w:val="00AC0F73"/>
    <w:rsid w:val="00AC13AB"/>
    <w:rsid w:val="00AC255F"/>
    <w:rsid w:val="00AC38A7"/>
    <w:rsid w:val="00AC50CC"/>
    <w:rsid w:val="00AD0067"/>
    <w:rsid w:val="00AD063D"/>
    <w:rsid w:val="00AD073F"/>
    <w:rsid w:val="00AD0CBD"/>
    <w:rsid w:val="00AD0D77"/>
    <w:rsid w:val="00AD3339"/>
    <w:rsid w:val="00AD5DB1"/>
    <w:rsid w:val="00AD627F"/>
    <w:rsid w:val="00AD769D"/>
    <w:rsid w:val="00AD7BC5"/>
    <w:rsid w:val="00AD7F53"/>
    <w:rsid w:val="00AE28D5"/>
    <w:rsid w:val="00AE3A06"/>
    <w:rsid w:val="00AE4AB0"/>
    <w:rsid w:val="00AE4AE8"/>
    <w:rsid w:val="00AE5F3C"/>
    <w:rsid w:val="00AE7758"/>
    <w:rsid w:val="00AE7BFD"/>
    <w:rsid w:val="00AE7DF4"/>
    <w:rsid w:val="00AF021B"/>
    <w:rsid w:val="00AF0FF8"/>
    <w:rsid w:val="00AF28F2"/>
    <w:rsid w:val="00AF3E31"/>
    <w:rsid w:val="00AF51EF"/>
    <w:rsid w:val="00AF536F"/>
    <w:rsid w:val="00AF5F5C"/>
    <w:rsid w:val="00B009C7"/>
    <w:rsid w:val="00B00FA6"/>
    <w:rsid w:val="00B022F4"/>
    <w:rsid w:val="00B02F38"/>
    <w:rsid w:val="00B0339D"/>
    <w:rsid w:val="00B03E8B"/>
    <w:rsid w:val="00B05173"/>
    <w:rsid w:val="00B05680"/>
    <w:rsid w:val="00B06265"/>
    <w:rsid w:val="00B06C99"/>
    <w:rsid w:val="00B06D1A"/>
    <w:rsid w:val="00B07D2A"/>
    <w:rsid w:val="00B121A4"/>
    <w:rsid w:val="00B1319E"/>
    <w:rsid w:val="00B14585"/>
    <w:rsid w:val="00B166FF"/>
    <w:rsid w:val="00B16B79"/>
    <w:rsid w:val="00B16CB6"/>
    <w:rsid w:val="00B17125"/>
    <w:rsid w:val="00B17972"/>
    <w:rsid w:val="00B2040B"/>
    <w:rsid w:val="00B21E2C"/>
    <w:rsid w:val="00B220D9"/>
    <w:rsid w:val="00B22229"/>
    <w:rsid w:val="00B22657"/>
    <w:rsid w:val="00B24B56"/>
    <w:rsid w:val="00B274D2"/>
    <w:rsid w:val="00B303A5"/>
    <w:rsid w:val="00B31961"/>
    <w:rsid w:val="00B31982"/>
    <w:rsid w:val="00B31A3F"/>
    <w:rsid w:val="00B31D89"/>
    <w:rsid w:val="00B33BF1"/>
    <w:rsid w:val="00B3417D"/>
    <w:rsid w:val="00B345A7"/>
    <w:rsid w:val="00B35074"/>
    <w:rsid w:val="00B35CDA"/>
    <w:rsid w:val="00B36191"/>
    <w:rsid w:val="00B3694C"/>
    <w:rsid w:val="00B3695D"/>
    <w:rsid w:val="00B406B3"/>
    <w:rsid w:val="00B408D2"/>
    <w:rsid w:val="00B409D9"/>
    <w:rsid w:val="00B40C21"/>
    <w:rsid w:val="00B44A0D"/>
    <w:rsid w:val="00B47279"/>
    <w:rsid w:val="00B50505"/>
    <w:rsid w:val="00B51FD2"/>
    <w:rsid w:val="00B52C12"/>
    <w:rsid w:val="00B54159"/>
    <w:rsid w:val="00B5443D"/>
    <w:rsid w:val="00B54567"/>
    <w:rsid w:val="00B56567"/>
    <w:rsid w:val="00B56754"/>
    <w:rsid w:val="00B575A9"/>
    <w:rsid w:val="00B5775F"/>
    <w:rsid w:val="00B578FC"/>
    <w:rsid w:val="00B57DFA"/>
    <w:rsid w:val="00B60729"/>
    <w:rsid w:val="00B6168D"/>
    <w:rsid w:val="00B61B2C"/>
    <w:rsid w:val="00B61F30"/>
    <w:rsid w:val="00B62597"/>
    <w:rsid w:val="00B633E4"/>
    <w:rsid w:val="00B63E10"/>
    <w:rsid w:val="00B64117"/>
    <w:rsid w:val="00B6510E"/>
    <w:rsid w:val="00B6525B"/>
    <w:rsid w:val="00B66A49"/>
    <w:rsid w:val="00B670C2"/>
    <w:rsid w:val="00B70913"/>
    <w:rsid w:val="00B70925"/>
    <w:rsid w:val="00B70C82"/>
    <w:rsid w:val="00B722E2"/>
    <w:rsid w:val="00B73C97"/>
    <w:rsid w:val="00B73DED"/>
    <w:rsid w:val="00B73E6F"/>
    <w:rsid w:val="00B7590C"/>
    <w:rsid w:val="00B75D43"/>
    <w:rsid w:val="00B75DE0"/>
    <w:rsid w:val="00B75F31"/>
    <w:rsid w:val="00B764D1"/>
    <w:rsid w:val="00B80989"/>
    <w:rsid w:val="00B815B6"/>
    <w:rsid w:val="00B826B2"/>
    <w:rsid w:val="00B83421"/>
    <w:rsid w:val="00B83C36"/>
    <w:rsid w:val="00B84409"/>
    <w:rsid w:val="00B8473E"/>
    <w:rsid w:val="00B85EFA"/>
    <w:rsid w:val="00B86CBF"/>
    <w:rsid w:val="00B87CED"/>
    <w:rsid w:val="00B901A8"/>
    <w:rsid w:val="00B92047"/>
    <w:rsid w:val="00B928FC"/>
    <w:rsid w:val="00B93935"/>
    <w:rsid w:val="00B93E9E"/>
    <w:rsid w:val="00B94007"/>
    <w:rsid w:val="00B95FDF"/>
    <w:rsid w:val="00B96420"/>
    <w:rsid w:val="00B96B5F"/>
    <w:rsid w:val="00B96D27"/>
    <w:rsid w:val="00B97AF7"/>
    <w:rsid w:val="00B97B00"/>
    <w:rsid w:val="00BA28EC"/>
    <w:rsid w:val="00BA3D67"/>
    <w:rsid w:val="00BA41BB"/>
    <w:rsid w:val="00BA4C93"/>
    <w:rsid w:val="00BA5595"/>
    <w:rsid w:val="00BA5B84"/>
    <w:rsid w:val="00BA5F17"/>
    <w:rsid w:val="00BA7724"/>
    <w:rsid w:val="00BB09F5"/>
    <w:rsid w:val="00BB17B7"/>
    <w:rsid w:val="00BB267F"/>
    <w:rsid w:val="00BB2D0F"/>
    <w:rsid w:val="00BB3534"/>
    <w:rsid w:val="00BB37C7"/>
    <w:rsid w:val="00BB4514"/>
    <w:rsid w:val="00BB4C05"/>
    <w:rsid w:val="00BB4FD2"/>
    <w:rsid w:val="00BB63AC"/>
    <w:rsid w:val="00BB64CB"/>
    <w:rsid w:val="00BB7A75"/>
    <w:rsid w:val="00BB7BBF"/>
    <w:rsid w:val="00BC45D1"/>
    <w:rsid w:val="00BC4EBB"/>
    <w:rsid w:val="00BD0352"/>
    <w:rsid w:val="00BD09FB"/>
    <w:rsid w:val="00BD0DA5"/>
    <w:rsid w:val="00BD147A"/>
    <w:rsid w:val="00BD1899"/>
    <w:rsid w:val="00BD1CCA"/>
    <w:rsid w:val="00BD2740"/>
    <w:rsid w:val="00BD2AE3"/>
    <w:rsid w:val="00BD3BBB"/>
    <w:rsid w:val="00BD4D36"/>
    <w:rsid w:val="00BD728F"/>
    <w:rsid w:val="00BD7ABD"/>
    <w:rsid w:val="00BE058B"/>
    <w:rsid w:val="00BE1080"/>
    <w:rsid w:val="00BE123E"/>
    <w:rsid w:val="00BE2253"/>
    <w:rsid w:val="00BE272F"/>
    <w:rsid w:val="00BE2952"/>
    <w:rsid w:val="00BE473B"/>
    <w:rsid w:val="00BE4DA2"/>
    <w:rsid w:val="00BE5330"/>
    <w:rsid w:val="00BE5B1F"/>
    <w:rsid w:val="00BE7C06"/>
    <w:rsid w:val="00BE7D94"/>
    <w:rsid w:val="00BF087E"/>
    <w:rsid w:val="00BF0942"/>
    <w:rsid w:val="00BF0FD9"/>
    <w:rsid w:val="00BF28CE"/>
    <w:rsid w:val="00BF43A6"/>
    <w:rsid w:val="00BF465C"/>
    <w:rsid w:val="00BF4BEB"/>
    <w:rsid w:val="00BF4D91"/>
    <w:rsid w:val="00BF4F04"/>
    <w:rsid w:val="00BF5F66"/>
    <w:rsid w:val="00BF6F09"/>
    <w:rsid w:val="00BF7521"/>
    <w:rsid w:val="00C002DA"/>
    <w:rsid w:val="00C02678"/>
    <w:rsid w:val="00C03519"/>
    <w:rsid w:val="00C03D7D"/>
    <w:rsid w:val="00C040AE"/>
    <w:rsid w:val="00C04479"/>
    <w:rsid w:val="00C04D1F"/>
    <w:rsid w:val="00C06D86"/>
    <w:rsid w:val="00C073F5"/>
    <w:rsid w:val="00C1042C"/>
    <w:rsid w:val="00C10CE3"/>
    <w:rsid w:val="00C136A4"/>
    <w:rsid w:val="00C13A1B"/>
    <w:rsid w:val="00C14405"/>
    <w:rsid w:val="00C14569"/>
    <w:rsid w:val="00C14E82"/>
    <w:rsid w:val="00C16201"/>
    <w:rsid w:val="00C168DA"/>
    <w:rsid w:val="00C16FDC"/>
    <w:rsid w:val="00C17B69"/>
    <w:rsid w:val="00C20023"/>
    <w:rsid w:val="00C229C0"/>
    <w:rsid w:val="00C22AFC"/>
    <w:rsid w:val="00C23281"/>
    <w:rsid w:val="00C256CE"/>
    <w:rsid w:val="00C26052"/>
    <w:rsid w:val="00C27683"/>
    <w:rsid w:val="00C27F68"/>
    <w:rsid w:val="00C303D5"/>
    <w:rsid w:val="00C30708"/>
    <w:rsid w:val="00C30820"/>
    <w:rsid w:val="00C3146E"/>
    <w:rsid w:val="00C31537"/>
    <w:rsid w:val="00C31D5E"/>
    <w:rsid w:val="00C3227B"/>
    <w:rsid w:val="00C32A30"/>
    <w:rsid w:val="00C32CA1"/>
    <w:rsid w:val="00C335C6"/>
    <w:rsid w:val="00C35820"/>
    <w:rsid w:val="00C35A5B"/>
    <w:rsid w:val="00C41411"/>
    <w:rsid w:val="00C42BAD"/>
    <w:rsid w:val="00C43363"/>
    <w:rsid w:val="00C4381B"/>
    <w:rsid w:val="00C44336"/>
    <w:rsid w:val="00C4474B"/>
    <w:rsid w:val="00C449B4"/>
    <w:rsid w:val="00C449CC"/>
    <w:rsid w:val="00C44F94"/>
    <w:rsid w:val="00C4704D"/>
    <w:rsid w:val="00C516E1"/>
    <w:rsid w:val="00C51F1C"/>
    <w:rsid w:val="00C5316D"/>
    <w:rsid w:val="00C568E4"/>
    <w:rsid w:val="00C56B01"/>
    <w:rsid w:val="00C60D0B"/>
    <w:rsid w:val="00C61009"/>
    <w:rsid w:val="00C6151E"/>
    <w:rsid w:val="00C61CAB"/>
    <w:rsid w:val="00C61D98"/>
    <w:rsid w:val="00C63C3D"/>
    <w:rsid w:val="00C64A21"/>
    <w:rsid w:val="00C6514C"/>
    <w:rsid w:val="00C658BF"/>
    <w:rsid w:val="00C67266"/>
    <w:rsid w:val="00C67746"/>
    <w:rsid w:val="00C717F5"/>
    <w:rsid w:val="00C719DF"/>
    <w:rsid w:val="00C71D3D"/>
    <w:rsid w:val="00C72385"/>
    <w:rsid w:val="00C72714"/>
    <w:rsid w:val="00C73C89"/>
    <w:rsid w:val="00C73CDA"/>
    <w:rsid w:val="00C7705B"/>
    <w:rsid w:val="00C77067"/>
    <w:rsid w:val="00C77F13"/>
    <w:rsid w:val="00C804DA"/>
    <w:rsid w:val="00C82A68"/>
    <w:rsid w:val="00C84F2E"/>
    <w:rsid w:val="00C852A5"/>
    <w:rsid w:val="00C853FD"/>
    <w:rsid w:val="00C86DB7"/>
    <w:rsid w:val="00C875F6"/>
    <w:rsid w:val="00C90406"/>
    <w:rsid w:val="00C91112"/>
    <w:rsid w:val="00C917D4"/>
    <w:rsid w:val="00C91868"/>
    <w:rsid w:val="00C920C7"/>
    <w:rsid w:val="00C92729"/>
    <w:rsid w:val="00C92C63"/>
    <w:rsid w:val="00C9303B"/>
    <w:rsid w:val="00C95CE1"/>
    <w:rsid w:val="00C9664C"/>
    <w:rsid w:val="00CA11AD"/>
    <w:rsid w:val="00CA1431"/>
    <w:rsid w:val="00CA1995"/>
    <w:rsid w:val="00CA1D52"/>
    <w:rsid w:val="00CA3F0A"/>
    <w:rsid w:val="00CA400A"/>
    <w:rsid w:val="00CB022E"/>
    <w:rsid w:val="00CB0320"/>
    <w:rsid w:val="00CB0679"/>
    <w:rsid w:val="00CB100F"/>
    <w:rsid w:val="00CB2ED2"/>
    <w:rsid w:val="00CB3F6D"/>
    <w:rsid w:val="00CB586A"/>
    <w:rsid w:val="00CB6A12"/>
    <w:rsid w:val="00CB6D54"/>
    <w:rsid w:val="00CB7FB3"/>
    <w:rsid w:val="00CC0E53"/>
    <w:rsid w:val="00CC272C"/>
    <w:rsid w:val="00CC3131"/>
    <w:rsid w:val="00CC3332"/>
    <w:rsid w:val="00CC3801"/>
    <w:rsid w:val="00CC4FC6"/>
    <w:rsid w:val="00CC573C"/>
    <w:rsid w:val="00CC604F"/>
    <w:rsid w:val="00CC64FA"/>
    <w:rsid w:val="00CC6518"/>
    <w:rsid w:val="00CC7D1E"/>
    <w:rsid w:val="00CD0379"/>
    <w:rsid w:val="00CD06A3"/>
    <w:rsid w:val="00CD07B6"/>
    <w:rsid w:val="00CD1680"/>
    <w:rsid w:val="00CD28A2"/>
    <w:rsid w:val="00CD4F34"/>
    <w:rsid w:val="00CD54B2"/>
    <w:rsid w:val="00CD5C32"/>
    <w:rsid w:val="00CD607D"/>
    <w:rsid w:val="00CD7577"/>
    <w:rsid w:val="00CD76A9"/>
    <w:rsid w:val="00CD7D0B"/>
    <w:rsid w:val="00CE023A"/>
    <w:rsid w:val="00CE158E"/>
    <w:rsid w:val="00CE2A05"/>
    <w:rsid w:val="00CE2DAB"/>
    <w:rsid w:val="00CE323C"/>
    <w:rsid w:val="00CE4FC7"/>
    <w:rsid w:val="00CE57DF"/>
    <w:rsid w:val="00CE74A3"/>
    <w:rsid w:val="00CE7C03"/>
    <w:rsid w:val="00CE7EDB"/>
    <w:rsid w:val="00CF1753"/>
    <w:rsid w:val="00CF2E80"/>
    <w:rsid w:val="00CF39D0"/>
    <w:rsid w:val="00CF40AF"/>
    <w:rsid w:val="00CF453C"/>
    <w:rsid w:val="00CF45F1"/>
    <w:rsid w:val="00CF4F93"/>
    <w:rsid w:val="00CF51ED"/>
    <w:rsid w:val="00CF629E"/>
    <w:rsid w:val="00CF6B41"/>
    <w:rsid w:val="00CF7416"/>
    <w:rsid w:val="00D00638"/>
    <w:rsid w:val="00D00A54"/>
    <w:rsid w:val="00D0192B"/>
    <w:rsid w:val="00D01F19"/>
    <w:rsid w:val="00D03FC5"/>
    <w:rsid w:val="00D040CB"/>
    <w:rsid w:val="00D04B5E"/>
    <w:rsid w:val="00D066B4"/>
    <w:rsid w:val="00D067A8"/>
    <w:rsid w:val="00D06E0E"/>
    <w:rsid w:val="00D0730F"/>
    <w:rsid w:val="00D0743A"/>
    <w:rsid w:val="00D07E20"/>
    <w:rsid w:val="00D10325"/>
    <w:rsid w:val="00D11A56"/>
    <w:rsid w:val="00D1258F"/>
    <w:rsid w:val="00D132F2"/>
    <w:rsid w:val="00D13775"/>
    <w:rsid w:val="00D14758"/>
    <w:rsid w:val="00D15A8A"/>
    <w:rsid w:val="00D16453"/>
    <w:rsid w:val="00D16E3E"/>
    <w:rsid w:val="00D16F4A"/>
    <w:rsid w:val="00D173BC"/>
    <w:rsid w:val="00D17F4F"/>
    <w:rsid w:val="00D208B8"/>
    <w:rsid w:val="00D20ACB"/>
    <w:rsid w:val="00D21DDD"/>
    <w:rsid w:val="00D21F2B"/>
    <w:rsid w:val="00D222DC"/>
    <w:rsid w:val="00D234F2"/>
    <w:rsid w:val="00D24270"/>
    <w:rsid w:val="00D245FD"/>
    <w:rsid w:val="00D26796"/>
    <w:rsid w:val="00D2719C"/>
    <w:rsid w:val="00D27C97"/>
    <w:rsid w:val="00D31CB2"/>
    <w:rsid w:val="00D31E89"/>
    <w:rsid w:val="00D344C5"/>
    <w:rsid w:val="00D345E8"/>
    <w:rsid w:val="00D3708B"/>
    <w:rsid w:val="00D408F8"/>
    <w:rsid w:val="00D41681"/>
    <w:rsid w:val="00D41AED"/>
    <w:rsid w:val="00D41BC8"/>
    <w:rsid w:val="00D41C52"/>
    <w:rsid w:val="00D42456"/>
    <w:rsid w:val="00D42F26"/>
    <w:rsid w:val="00D43A11"/>
    <w:rsid w:val="00D442CB"/>
    <w:rsid w:val="00D45B12"/>
    <w:rsid w:val="00D46840"/>
    <w:rsid w:val="00D47577"/>
    <w:rsid w:val="00D4787E"/>
    <w:rsid w:val="00D47D45"/>
    <w:rsid w:val="00D50139"/>
    <w:rsid w:val="00D51A1A"/>
    <w:rsid w:val="00D522EE"/>
    <w:rsid w:val="00D53BDD"/>
    <w:rsid w:val="00D548FC"/>
    <w:rsid w:val="00D576CA"/>
    <w:rsid w:val="00D61220"/>
    <w:rsid w:val="00D61A2E"/>
    <w:rsid w:val="00D64FED"/>
    <w:rsid w:val="00D65B1D"/>
    <w:rsid w:val="00D7067D"/>
    <w:rsid w:val="00D7094F"/>
    <w:rsid w:val="00D72687"/>
    <w:rsid w:val="00D741A8"/>
    <w:rsid w:val="00D74B48"/>
    <w:rsid w:val="00D756F5"/>
    <w:rsid w:val="00D75839"/>
    <w:rsid w:val="00D7662C"/>
    <w:rsid w:val="00D806CB"/>
    <w:rsid w:val="00D80D17"/>
    <w:rsid w:val="00D82C41"/>
    <w:rsid w:val="00D82C9A"/>
    <w:rsid w:val="00D849A0"/>
    <w:rsid w:val="00D84EAF"/>
    <w:rsid w:val="00D85022"/>
    <w:rsid w:val="00D85595"/>
    <w:rsid w:val="00D855BD"/>
    <w:rsid w:val="00D85DC6"/>
    <w:rsid w:val="00D85E5D"/>
    <w:rsid w:val="00D85FEE"/>
    <w:rsid w:val="00D8602B"/>
    <w:rsid w:val="00D87159"/>
    <w:rsid w:val="00D87A8E"/>
    <w:rsid w:val="00D9085A"/>
    <w:rsid w:val="00D90EAD"/>
    <w:rsid w:val="00D9131B"/>
    <w:rsid w:val="00D91BBD"/>
    <w:rsid w:val="00D91F9F"/>
    <w:rsid w:val="00D92774"/>
    <w:rsid w:val="00D92C7D"/>
    <w:rsid w:val="00D93D3F"/>
    <w:rsid w:val="00D946EE"/>
    <w:rsid w:val="00D947E1"/>
    <w:rsid w:val="00D95FEC"/>
    <w:rsid w:val="00D973B5"/>
    <w:rsid w:val="00DA0931"/>
    <w:rsid w:val="00DA11B6"/>
    <w:rsid w:val="00DA1611"/>
    <w:rsid w:val="00DA244C"/>
    <w:rsid w:val="00DA2FB3"/>
    <w:rsid w:val="00DA35BA"/>
    <w:rsid w:val="00DA4F90"/>
    <w:rsid w:val="00DA61F0"/>
    <w:rsid w:val="00DB0222"/>
    <w:rsid w:val="00DB0CB7"/>
    <w:rsid w:val="00DB1D47"/>
    <w:rsid w:val="00DB31EA"/>
    <w:rsid w:val="00DB471D"/>
    <w:rsid w:val="00DB4FDA"/>
    <w:rsid w:val="00DB697D"/>
    <w:rsid w:val="00DB6FBA"/>
    <w:rsid w:val="00DB722F"/>
    <w:rsid w:val="00DB730F"/>
    <w:rsid w:val="00DC08E0"/>
    <w:rsid w:val="00DC0F3B"/>
    <w:rsid w:val="00DC11C7"/>
    <w:rsid w:val="00DC3104"/>
    <w:rsid w:val="00DC36D9"/>
    <w:rsid w:val="00DC404D"/>
    <w:rsid w:val="00DC4437"/>
    <w:rsid w:val="00DC4932"/>
    <w:rsid w:val="00DC49BB"/>
    <w:rsid w:val="00DC4D6E"/>
    <w:rsid w:val="00DC6143"/>
    <w:rsid w:val="00DC7846"/>
    <w:rsid w:val="00DC7A75"/>
    <w:rsid w:val="00DC7D59"/>
    <w:rsid w:val="00DD009F"/>
    <w:rsid w:val="00DD0659"/>
    <w:rsid w:val="00DD161A"/>
    <w:rsid w:val="00DD1817"/>
    <w:rsid w:val="00DD1A62"/>
    <w:rsid w:val="00DD2079"/>
    <w:rsid w:val="00DD2A76"/>
    <w:rsid w:val="00DD3C78"/>
    <w:rsid w:val="00DD4107"/>
    <w:rsid w:val="00DD474F"/>
    <w:rsid w:val="00DD49EB"/>
    <w:rsid w:val="00DD4BF3"/>
    <w:rsid w:val="00DD546C"/>
    <w:rsid w:val="00DD565D"/>
    <w:rsid w:val="00DD6CD3"/>
    <w:rsid w:val="00DE0138"/>
    <w:rsid w:val="00DE0784"/>
    <w:rsid w:val="00DE24F4"/>
    <w:rsid w:val="00DE334D"/>
    <w:rsid w:val="00DE37D4"/>
    <w:rsid w:val="00DE4FC5"/>
    <w:rsid w:val="00DE5A4C"/>
    <w:rsid w:val="00DE7E4D"/>
    <w:rsid w:val="00DF0BE8"/>
    <w:rsid w:val="00DF101A"/>
    <w:rsid w:val="00DF1198"/>
    <w:rsid w:val="00DF1225"/>
    <w:rsid w:val="00DF1F2E"/>
    <w:rsid w:val="00DF2038"/>
    <w:rsid w:val="00DF2BE0"/>
    <w:rsid w:val="00DF48F1"/>
    <w:rsid w:val="00DF5136"/>
    <w:rsid w:val="00DF5E9C"/>
    <w:rsid w:val="00DF7E01"/>
    <w:rsid w:val="00E001A3"/>
    <w:rsid w:val="00E00988"/>
    <w:rsid w:val="00E012EC"/>
    <w:rsid w:val="00E01D12"/>
    <w:rsid w:val="00E03179"/>
    <w:rsid w:val="00E03C2D"/>
    <w:rsid w:val="00E04598"/>
    <w:rsid w:val="00E04BF1"/>
    <w:rsid w:val="00E0710D"/>
    <w:rsid w:val="00E105F7"/>
    <w:rsid w:val="00E12F00"/>
    <w:rsid w:val="00E136D6"/>
    <w:rsid w:val="00E13AFE"/>
    <w:rsid w:val="00E15654"/>
    <w:rsid w:val="00E1574D"/>
    <w:rsid w:val="00E15A27"/>
    <w:rsid w:val="00E1602D"/>
    <w:rsid w:val="00E211BE"/>
    <w:rsid w:val="00E22064"/>
    <w:rsid w:val="00E229BA"/>
    <w:rsid w:val="00E22AF4"/>
    <w:rsid w:val="00E230DD"/>
    <w:rsid w:val="00E2549F"/>
    <w:rsid w:val="00E258A2"/>
    <w:rsid w:val="00E275EE"/>
    <w:rsid w:val="00E30A55"/>
    <w:rsid w:val="00E31C99"/>
    <w:rsid w:val="00E320E4"/>
    <w:rsid w:val="00E34912"/>
    <w:rsid w:val="00E3574F"/>
    <w:rsid w:val="00E40286"/>
    <w:rsid w:val="00E40725"/>
    <w:rsid w:val="00E40C73"/>
    <w:rsid w:val="00E40EB8"/>
    <w:rsid w:val="00E429DB"/>
    <w:rsid w:val="00E433AB"/>
    <w:rsid w:val="00E43B10"/>
    <w:rsid w:val="00E43BE7"/>
    <w:rsid w:val="00E44519"/>
    <w:rsid w:val="00E45C5D"/>
    <w:rsid w:val="00E46B3D"/>
    <w:rsid w:val="00E508FF"/>
    <w:rsid w:val="00E5175B"/>
    <w:rsid w:val="00E52B03"/>
    <w:rsid w:val="00E53075"/>
    <w:rsid w:val="00E5334B"/>
    <w:rsid w:val="00E53377"/>
    <w:rsid w:val="00E54376"/>
    <w:rsid w:val="00E56C2D"/>
    <w:rsid w:val="00E56EBA"/>
    <w:rsid w:val="00E5758F"/>
    <w:rsid w:val="00E577D4"/>
    <w:rsid w:val="00E57E7C"/>
    <w:rsid w:val="00E61655"/>
    <w:rsid w:val="00E617E1"/>
    <w:rsid w:val="00E617FF"/>
    <w:rsid w:val="00E62D28"/>
    <w:rsid w:val="00E64F42"/>
    <w:rsid w:val="00E65223"/>
    <w:rsid w:val="00E670A3"/>
    <w:rsid w:val="00E700CC"/>
    <w:rsid w:val="00E70DD9"/>
    <w:rsid w:val="00E73AC4"/>
    <w:rsid w:val="00E73AED"/>
    <w:rsid w:val="00E742A2"/>
    <w:rsid w:val="00E75D80"/>
    <w:rsid w:val="00E7761B"/>
    <w:rsid w:val="00E80806"/>
    <w:rsid w:val="00E80EBF"/>
    <w:rsid w:val="00E80FEA"/>
    <w:rsid w:val="00E81ECF"/>
    <w:rsid w:val="00E83062"/>
    <w:rsid w:val="00E83EB0"/>
    <w:rsid w:val="00E83ED6"/>
    <w:rsid w:val="00E84082"/>
    <w:rsid w:val="00E84382"/>
    <w:rsid w:val="00E86098"/>
    <w:rsid w:val="00E9064B"/>
    <w:rsid w:val="00E91BB8"/>
    <w:rsid w:val="00E91FB2"/>
    <w:rsid w:val="00E921C3"/>
    <w:rsid w:val="00E930F7"/>
    <w:rsid w:val="00E946C1"/>
    <w:rsid w:val="00E95D30"/>
    <w:rsid w:val="00E962A9"/>
    <w:rsid w:val="00E96DEC"/>
    <w:rsid w:val="00EA0399"/>
    <w:rsid w:val="00EA0448"/>
    <w:rsid w:val="00EA0B44"/>
    <w:rsid w:val="00EA0BC0"/>
    <w:rsid w:val="00EA1BDC"/>
    <w:rsid w:val="00EA1FEE"/>
    <w:rsid w:val="00EA2866"/>
    <w:rsid w:val="00EA319D"/>
    <w:rsid w:val="00EA3C26"/>
    <w:rsid w:val="00EA44B8"/>
    <w:rsid w:val="00EA6883"/>
    <w:rsid w:val="00EA724C"/>
    <w:rsid w:val="00EA7359"/>
    <w:rsid w:val="00EA76C5"/>
    <w:rsid w:val="00EB2109"/>
    <w:rsid w:val="00EB21A0"/>
    <w:rsid w:val="00EB2896"/>
    <w:rsid w:val="00EB2D34"/>
    <w:rsid w:val="00EB4ED7"/>
    <w:rsid w:val="00EB68D2"/>
    <w:rsid w:val="00EB7027"/>
    <w:rsid w:val="00EB7383"/>
    <w:rsid w:val="00EB7AA7"/>
    <w:rsid w:val="00EB7AD9"/>
    <w:rsid w:val="00EC23DA"/>
    <w:rsid w:val="00EC2833"/>
    <w:rsid w:val="00EC29D6"/>
    <w:rsid w:val="00EC3896"/>
    <w:rsid w:val="00EC4426"/>
    <w:rsid w:val="00EC4A0C"/>
    <w:rsid w:val="00EC4AC9"/>
    <w:rsid w:val="00EC5A2E"/>
    <w:rsid w:val="00EC6B4D"/>
    <w:rsid w:val="00EC6C9C"/>
    <w:rsid w:val="00EC7FC6"/>
    <w:rsid w:val="00ED015E"/>
    <w:rsid w:val="00ED0528"/>
    <w:rsid w:val="00ED0C7A"/>
    <w:rsid w:val="00ED1CDF"/>
    <w:rsid w:val="00ED23F1"/>
    <w:rsid w:val="00ED2BF5"/>
    <w:rsid w:val="00ED4350"/>
    <w:rsid w:val="00ED47C4"/>
    <w:rsid w:val="00ED65E0"/>
    <w:rsid w:val="00ED7097"/>
    <w:rsid w:val="00EE00AA"/>
    <w:rsid w:val="00EE2625"/>
    <w:rsid w:val="00EE28AF"/>
    <w:rsid w:val="00EE2D38"/>
    <w:rsid w:val="00EE3044"/>
    <w:rsid w:val="00EE3474"/>
    <w:rsid w:val="00EE3916"/>
    <w:rsid w:val="00EE3C69"/>
    <w:rsid w:val="00EE3D55"/>
    <w:rsid w:val="00EE3E1F"/>
    <w:rsid w:val="00EE4172"/>
    <w:rsid w:val="00EE48D9"/>
    <w:rsid w:val="00EE512A"/>
    <w:rsid w:val="00EE56E6"/>
    <w:rsid w:val="00EE576C"/>
    <w:rsid w:val="00EE5AD1"/>
    <w:rsid w:val="00EE7D62"/>
    <w:rsid w:val="00EF0A24"/>
    <w:rsid w:val="00EF0A5C"/>
    <w:rsid w:val="00EF1277"/>
    <w:rsid w:val="00EF1D7F"/>
    <w:rsid w:val="00EF1E12"/>
    <w:rsid w:val="00EF2756"/>
    <w:rsid w:val="00EF28BA"/>
    <w:rsid w:val="00EF2F24"/>
    <w:rsid w:val="00EF4CE0"/>
    <w:rsid w:val="00EF6EF7"/>
    <w:rsid w:val="00F0027E"/>
    <w:rsid w:val="00F00BC6"/>
    <w:rsid w:val="00F025D6"/>
    <w:rsid w:val="00F0364F"/>
    <w:rsid w:val="00F03A66"/>
    <w:rsid w:val="00F03E4C"/>
    <w:rsid w:val="00F05108"/>
    <w:rsid w:val="00F05671"/>
    <w:rsid w:val="00F063E6"/>
    <w:rsid w:val="00F063FE"/>
    <w:rsid w:val="00F06E0F"/>
    <w:rsid w:val="00F07DC5"/>
    <w:rsid w:val="00F07E16"/>
    <w:rsid w:val="00F1018D"/>
    <w:rsid w:val="00F10737"/>
    <w:rsid w:val="00F11139"/>
    <w:rsid w:val="00F119B0"/>
    <w:rsid w:val="00F129DD"/>
    <w:rsid w:val="00F134B2"/>
    <w:rsid w:val="00F13F14"/>
    <w:rsid w:val="00F158EB"/>
    <w:rsid w:val="00F16F2A"/>
    <w:rsid w:val="00F17E1C"/>
    <w:rsid w:val="00F22179"/>
    <w:rsid w:val="00F22E3F"/>
    <w:rsid w:val="00F24A50"/>
    <w:rsid w:val="00F2579C"/>
    <w:rsid w:val="00F25D1D"/>
    <w:rsid w:val="00F26243"/>
    <w:rsid w:val="00F27D3A"/>
    <w:rsid w:val="00F37463"/>
    <w:rsid w:val="00F405C2"/>
    <w:rsid w:val="00F408CC"/>
    <w:rsid w:val="00F41069"/>
    <w:rsid w:val="00F41A52"/>
    <w:rsid w:val="00F42ED6"/>
    <w:rsid w:val="00F4684C"/>
    <w:rsid w:val="00F503E0"/>
    <w:rsid w:val="00F51A02"/>
    <w:rsid w:val="00F51AD3"/>
    <w:rsid w:val="00F528D5"/>
    <w:rsid w:val="00F53A3B"/>
    <w:rsid w:val="00F53C3B"/>
    <w:rsid w:val="00F53C78"/>
    <w:rsid w:val="00F54D79"/>
    <w:rsid w:val="00F563E3"/>
    <w:rsid w:val="00F5771C"/>
    <w:rsid w:val="00F60189"/>
    <w:rsid w:val="00F61144"/>
    <w:rsid w:val="00F611F1"/>
    <w:rsid w:val="00F619D8"/>
    <w:rsid w:val="00F61FCB"/>
    <w:rsid w:val="00F62290"/>
    <w:rsid w:val="00F636AD"/>
    <w:rsid w:val="00F64331"/>
    <w:rsid w:val="00F64DC0"/>
    <w:rsid w:val="00F64EC6"/>
    <w:rsid w:val="00F670BB"/>
    <w:rsid w:val="00F707A8"/>
    <w:rsid w:val="00F70862"/>
    <w:rsid w:val="00F721BE"/>
    <w:rsid w:val="00F72707"/>
    <w:rsid w:val="00F733A9"/>
    <w:rsid w:val="00F73F33"/>
    <w:rsid w:val="00F740FD"/>
    <w:rsid w:val="00F74504"/>
    <w:rsid w:val="00F75302"/>
    <w:rsid w:val="00F77B2B"/>
    <w:rsid w:val="00F817F2"/>
    <w:rsid w:val="00F82CAB"/>
    <w:rsid w:val="00F82F55"/>
    <w:rsid w:val="00F84453"/>
    <w:rsid w:val="00F844D5"/>
    <w:rsid w:val="00F84BCC"/>
    <w:rsid w:val="00F85CDC"/>
    <w:rsid w:val="00F86A7C"/>
    <w:rsid w:val="00F86B0E"/>
    <w:rsid w:val="00F87CE0"/>
    <w:rsid w:val="00F903BD"/>
    <w:rsid w:val="00F91CC2"/>
    <w:rsid w:val="00F92E03"/>
    <w:rsid w:val="00F92F4A"/>
    <w:rsid w:val="00F935CD"/>
    <w:rsid w:val="00F944AC"/>
    <w:rsid w:val="00F94C7F"/>
    <w:rsid w:val="00F95E90"/>
    <w:rsid w:val="00FA09BB"/>
    <w:rsid w:val="00FA0C75"/>
    <w:rsid w:val="00FA10EE"/>
    <w:rsid w:val="00FA2678"/>
    <w:rsid w:val="00FA305A"/>
    <w:rsid w:val="00FA4EF1"/>
    <w:rsid w:val="00FA5243"/>
    <w:rsid w:val="00FA668A"/>
    <w:rsid w:val="00FA7FD8"/>
    <w:rsid w:val="00FB3FD1"/>
    <w:rsid w:val="00FB6F5A"/>
    <w:rsid w:val="00FB71C1"/>
    <w:rsid w:val="00FB76C9"/>
    <w:rsid w:val="00FC0BAC"/>
    <w:rsid w:val="00FC139D"/>
    <w:rsid w:val="00FC2B1D"/>
    <w:rsid w:val="00FC3AFC"/>
    <w:rsid w:val="00FC4410"/>
    <w:rsid w:val="00FC493B"/>
    <w:rsid w:val="00FC6BBB"/>
    <w:rsid w:val="00FC6E13"/>
    <w:rsid w:val="00FC6F0E"/>
    <w:rsid w:val="00FC7C39"/>
    <w:rsid w:val="00FC7C8B"/>
    <w:rsid w:val="00FD0AE8"/>
    <w:rsid w:val="00FD0FEB"/>
    <w:rsid w:val="00FD1376"/>
    <w:rsid w:val="00FD2B92"/>
    <w:rsid w:val="00FD35A2"/>
    <w:rsid w:val="00FD50C4"/>
    <w:rsid w:val="00FD533C"/>
    <w:rsid w:val="00FD5341"/>
    <w:rsid w:val="00FD7AEC"/>
    <w:rsid w:val="00FE473B"/>
    <w:rsid w:val="00FE474B"/>
    <w:rsid w:val="00FE5F95"/>
    <w:rsid w:val="00FE7955"/>
    <w:rsid w:val="00FF02F8"/>
    <w:rsid w:val="00FF12A5"/>
    <w:rsid w:val="00FF12CC"/>
    <w:rsid w:val="00FF280B"/>
    <w:rsid w:val="00FF3829"/>
    <w:rsid w:val="00FF4A30"/>
    <w:rsid w:val="00FF5076"/>
    <w:rsid w:val="00FF58F3"/>
    <w:rsid w:val="00FF67F6"/>
    <w:rsid w:val="00FF69BD"/>
    <w:rsid w:val="00FF6D59"/>
    <w:rsid w:val="00FF6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F1"/>
    <w:pPr>
      <w:spacing w:line="480" w:lineRule="auto"/>
    </w:pPr>
    <w:rPr>
      <w:sz w:val="24"/>
      <w:szCs w:val="22"/>
    </w:rPr>
  </w:style>
  <w:style w:type="paragraph" w:styleId="Heading1">
    <w:name w:val="heading 1"/>
    <w:basedOn w:val="Normal"/>
    <w:next w:val="Normal"/>
    <w:link w:val="Heading1Char"/>
    <w:uiPriority w:val="9"/>
    <w:qFormat/>
    <w:rsid w:val="00CF45F1"/>
    <w:pPr>
      <w:widowControl w:val="0"/>
      <w:spacing w:after="240" w:line="240" w:lineRule="auto"/>
      <w:jc w:val="center"/>
      <w:outlineLvl w:val="0"/>
    </w:pPr>
    <w:rPr>
      <w:b/>
      <w:szCs w:val="24"/>
      <w:u w:val="single"/>
    </w:rPr>
  </w:style>
  <w:style w:type="paragraph" w:styleId="Heading2">
    <w:name w:val="heading 2"/>
    <w:basedOn w:val="ListParagraph"/>
    <w:next w:val="Normal"/>
    <w:link w:val="Heading2Char"/>
    <w:uiPriority w:val="9"/>
    <w:unhideWhenUsed/>
    <w:qFormat/>
    <w:rsid w:val="00CF45F1"/>
    <w:pPr>
      <w:widowControl w:val="0"/>
      <w:numPr>
        <w:numId w:val="1"/>
      </w:numPr>
      <w:spacing w:after="240" w:line="240" w:lineRule="auto"/>
      <w:ind w:hanging="360"/>
      <w:outlineLvl w:val="1"/>
    </w:pPr>
    <w:rPr>
      <w:b/>
      <w:szCs w:val="24"/>
    </w:rPr>
  </w:style>
  <w:style w:type="paragraph" w:styleId="Heading3">
    <w:name w:val="heading 3"/>
    <w:basedOn w:val="ListParagraph"/>
    <w:next w:val="Normal"/>
    <w:link w:val="Heading3Char"/>
    <w:uiPriority w:val="9"/>
    <w:unhideWhenUsed/>
    <w:qFormat/>
    <w:rsid w:val="00CF45F1"/>
    <w:pPr>
      <w:widowControl w:val="0"/>
      <w:numPr>
        <w:ilvl w:val="1"/>
        <w:numId w:val="1"/>
      </w:numPr>
      <w:spacing w:after="240" w:line="240" w:lineRule="auto"/>
      <w:ind w:left="1440"/>
      <w:outlineLvl w:val="2"/>
    </w:pPr>
    <w:rPr>
      <w:b/>
      <w:szCs w:val="24"/>
    </w:rPr>
  </w:style>
  <w:style w:type="paragraph" w:styleId="Heading4">
    <w:name w:val="heading 4"/>
    <w:basedOn w:val="ListParagraph"/>
    <w:next w:val="Normal"/>
    <w:link w:val="Heading4Char"/>
    <w:uiPriority w:val="9"/>
    <w:unhideWhenUsed/>
    <w:qFormat/>
    <w:rsid w:val="00CF45F1"/>
    <w:pPr>
      <w:widowControl w:val="0"/>
      <w:numPr>
        <w:ilvl w:val="2"/>
        <w:numId w:val="1"/>
      </w:numPr>
      <w:spacing w:after="240" w:line="240" w:lineRule="auto"/>
      <w:ind w:left="1800" w:hanging="360"/>
      <w:contextualSpacing w:val="0"/>
      <w:outlineLvl w:val="3"/>
    </w:pPr>
    <w:rPr>
      <w:b/>
      <w:szCs w:val="24"/>
    </w:rPr>
  </w:style>
  <w:style w:type="paragraph" w:styleId="Heading5">
    <w:name w:val="heading 5"/>
    <w:basedOn w:val="ListParagraph"/>
    <w:next w:val="Normal"/>
    <w:link w:val="Heading5Char"/>
    <w:uiPriority w:val="9"/>
    <w:unhideWhenUsed/>
    <w:qFormat/>
    <w:rsid w:val="00CF45F1"/>
    <w:pPr>
      <w:widowControl w:val="0"/>
      <w:numPr>
        <w:numId w:val="16"/>
      </w:numPr>
      <w:spacing w:after="240" w:line="240" w:lineRule="auto"/>
      <w:ind w:left="2160"/>
      <w:contextualSpacing w:val="0"/>
      <w:outlineLvl w:val="4"/>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488"/>
    <w:rPr>
      <w:sz w:val="24"/>
      <w:szCs w:val="22"/>
    </w:rPr>
  </w:style>
  <w:style w:type="table" w:styleId="TableGrid">
    <w:name w:val="Table Grid"/>
    <w:basedOn w:val="TableNormal"/>
    <w:uiPriority w:val="59"/>
    <w:rsid w:val="00F46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rtName">
    <w:name w:val="CourtName"/>
    <w:basedOn w:val="Normal"/>
    <w:uiPriority w:val="99"/>
    <w:rsid w:val="00F91CC2"/>
    <w:pPr>
      <w:widowControl w:val="0"/>
      <w:spacing w:line="240" w:lineRule="auto"/>
      <w:jc w:val="center"/>
    </w:pPr>
    <w:rPr>
      <w:szCs w:val="24"/>
    </w:rPr>
  </w:style>
  <w:style w:type="paragraph" w:styleId="Header">
    <w:name w:val="header"/>
    <w:basedOn w:val="Normal"/>
    <w:link w:val="HeaderChar"/>
    <w:uiPriority w:val="99"/>
    <w:semiHidden/>
    <w:unhideWhenUsed/>
    <w:rsid w:val="003378C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378C4"/>
  </w:style>
  <w:style w:type="paragraph" w:styleId="Footer">
    <w:name w:val="footer"/>
    <w:basedOn w:val="Normal"/>
    <w:link w:val="FooterChar"/>
    <w:uiPriority w:val="99"/>
    <w:unhideWhenUsed/>
    <w:rsid w:val="003378C4"/>
    <w:pPr>
      <w:tabs>
        <w:tab w:val="center" w:pos="4680"/>
        <w:tab w:val="right" w:pos="9360"/>
      </w:tabs>
      <w:spacing w:line="240" w:lineRule="auto"/>
    </w:pPr>
  </w:style>
  <w:style w:type="character" w:customStyle="1" w:styleId="FooterChar">
    <w:name w:val="Footer Char"/>
    <w:basedOn w:val="DefaultParagraphFont"/>
    <w:link w:val="Footer"/>
    <w:uiPriority w:val="99"/>
    <w:rsid w:val="003378C4"/>
  </w:style>
  <w:style w:type="paragraph" w:styleId="FootnoteText">
    <w:name w:val="footnote text"/>
    <w:aliases w:val="fn"/>
    <w:basedOn w:val="Normal"/>
    <w:link w:val="FootnoteTextChar"/>
    <w:uiPriority w:val="99"/>
    <w:rsid w:val="0029663D"/>
    <w:pPr>
      <w:widowControl w:val="0"/>
      <w:spacing w:after="240" w:line="240" w:lineRule="exact"/>
      <w:ind w:left="720" w:hanging="720"/>
    </w:pPr>
    <w:rPr>
      <w:rFonts w:eastAsia="Times New Roman"/>
      <w:szCs w:val="20"/>
    </w:rPr>
  </w:style>
  <w:style w:type="character" w:customStyle="1" w:styleId="FootnoteTextChar">
    <w:name w:val="Footnote Text Char"/>
    <w:aliases w:val="fn Char"/>
    <w:basedOn w:val="DefaultParagraphFont"/>
    <w:link w:val="FootnoteText"/>
    <w:uiPriority w:val="99"/>
    <w:rsid w:val="0029663D"/>
    <w:rPr>
      <w:rFonts w:eastAsia="Times New Roman" w:cs="Times New Roman"/>
      <w:szCs w:val="20"/>
    </w:rPr>
  </w:style>
  <w:style w:type="character" w:styleId="FootnoteReference">
    <w:name w:val="footnote reference"/>
    <w:basedOn w:val="DefaultParagraphFont"/>
    <w:uiPriority w:val="99"/>
    <w:semiHidden/>
    <w:rsid w:val="0029663D"/>
    <w:rPr>
      <w:rFonts w:cs="Times New Roman"/>
      <w:vertAlign w:val="superscript"/>
    </w:rPr>
  </w:style>
  <w:style w:type="paragraph" w:styleId="ListParagraph">
    <w:name w:val="List Paragraph"/>
    <w:basedOn w:val="Normal"/>
    <w:uiPriority w:val="34"/>
    <w:qFormat/>
    <w:rsid w:val="009F0AD7"/>
    <w:pPr>
      <w:ind w:left="720"/>
      <w:contextualSpacing/>
    </w:pPr>
  </w:style>
  <w:style w:type="character" w:styleId="Hyperlink">
    <w:name w:val="Hyperlink"/>
    <w:basedOn w:val="DefaultParagraphFont"/>
    <w:uiPriority w:val="99"/>
    <w:unhideWhenUsed/>
    <w:rsid w:val="00A34D79"/>
    <w:rPr>
      <w:color w:val="0000FF"/>
      <w:u w:val="single"/>
    </w:rPr>
  </w:style>
  <w:style w:type="paragraph" w:customStyle="1" w:styleId="Level1">
    <w:name w:val="Level 1"/>
    <w:uiPriority w:val="99"/>
    <w:rsid w:val="0092047A"/>
    <w:pPr>
      <w:autoSpaceDE w:val="0"/>
      <w:autoSpaceDN w:val="0"/>
      <w:adjustRightInd w:val="0"/>
      <w:spacing w:after="200" w:line="276" w:lineRule="auto"/>
      <w:ind w:left="720"/>
    </w:pPr>
    <w:rPr>
      <w:sz w:val="24"/>
      <w:szCs w:val="24"/>
    </w:rPr>
  </w:style>
  <w:style w:type="paragraph" w:styleId="EndnoteText">
    <w:name w:val="endnote text"/>
    <w:basedOn w:val="Normal"/>
    <w:link w:val="EndnoteTextChar"/>
    <w:uiPriority w:val="99"/>
    <w:semiHidden/>
    <w:unhideWhenUsed/>
    <w:rsid w:val="00C72714"/>
    <w:pPr>
      <w:spacing w:line="240" w:lineRule="auto"/>
    </w:pPr>
    <w:rPr>
      <w:sz w:val="20"/>
      <w:szCs w:val="20"/>
    </w:rPr>
  </w:style>
  <w:style w:type="character" w:customStyle="1" w:styleId="EndnoteTextChar">
    <w:name w:val="Endnote Text Char"/>
    <w:basedOn w:val="DefaultParagraphFont"/>
    <w:link w:val="EndnoteText"/>
    <w:uiPriority w:val="99"/>
    <w:semiHidden/>
    <w:rsid w:val="00C72714"/>
    <w:rPr>
      <w:sz w:val="20"/>
      <w:szCs w:val="20"/>
    </w:rPr>
  </w:style>
  <w:style w:type="character" w:styleId="EndnoteReference">
    <w:name w:val="endnote reference"/>
    <w:basedOn w:val="DefaultParagraphFont"/>
    <w:uiPriority w:val="99"/>
    <w:semiHidden/>
    <w:unhideWhenUsed/>
    <w:rsid w:val="00C72714"/>
    <w:rPr>
      <w:vertAlign w:val="superscript"/>
    </w:rPr>
  </w:style>
  <w:style w:type="character" w:styleId="FollowedHyperlink">
    <w:name w:val="FollowedHyperlink"/>
    <w:basedOn w:val="DefaultParagraphFont"/>
    <w:uiPriority w:val="99"/>
    <w:semiHidden/>
    <w:unhideWhenUsed/>
    <w:rsid w:val="00CA1431"/>
    <w:rPr>
      <w:color w:val="800080"/>
      <w:u w:val="single"/>
    </w:rPr>
  </w:style>
  <w:style w:type="character" w:styleId="CommentReference">
    <w:name w:val="annotation reference"/>
    <w:basedOn w:val="DefaultParagraphFont"/>
    <w:uiPriority w:val="99"/>
    <w:semiHidden/>
    <w:unhideWhenUsed/>
    <w:rsid w:val="004F5DC8"/>
    <w:rPr>
      <w:sz w:val="16"/>
      <w:szCs w:val="16"/>
    </w:rPr>
  </w:style>
  <w:style w:type="paragraph" w:styleId="CommentText">
    <w:name w:val="annotation text"/>
    <w:basedOn w:val="Normal"/>
    <w:link w:val="CommentTextChar"/>
    <w:uiPriority w:val="99"/>
    <w:unhideWhenUsed/>
    <w:rsid w:val="004F5DC8"/>
    <w:pPr>
      <w:spacing w:line="240" w:lineRule="auto"/>
    </w:pPr>
    <w:rPr>
      <w:sz w:val="20"/>
      <w:szCs w:val="20"/>
    </w:rPr>
  </w:style>
  <w:style w:type="character" w:customStyle="1" w:styleId="CommentTextChar">
    <w:name w:val="Comment Text Char"/>
    <w:basedOn w:val="DefaultParagraphFont"/>
    <w:link w:val="CommentText"/>
    <w:uiPriority w:val="99"/>
    <w:rsid w:val="004F5DC8"/>
    <w:rPr>
      <w:sz w:val="20"/>
      <w:szCs w:val="20"/>
    </w:rPr>
  </w:style>
  <w:style w:type="paragraph" w:styleId="CommentSubject">
    <w:name w:val="annotation subject"/>
    <w:basedOn w:val="CommentText"/>
    <w:next w:val="CommentText"/>
    <w:link w:val="CommentSubjectChar"/>
    <w:uiPriority w:val="99"/>
    <w:semiHidden/>
    <w:unhideWhenUsed/>
    <w:rsid w:val="004F5DC8"/>
    <w:rPr>
      <w:b/>
      <w:bCs/>
    </w:rPr>
  </w:style>
  <w:style w:type="character" w:customStyle="1" w:styleId="CommentSubjectChar">
    <w:name w:val="Comment Subject Char"/>
    <w:basedOn w:val="CommentTextChar"/>
    <w:link w:val="CommentSubject"/>
    <w:uiPriority w:val="99"/>
    <w:semiHidden/>
    <w:rsid w:val="004F5DC8"/>
    <w:rPr>
      <w:b/>
      <w:bCs/>
    </w:rPr>
  </w:style>
  <w:style w:type="paragraph" w:styleId="BalloonText">
    <w:name w:val="Balloon Text"/>
    <w:basedOn w:val="Normal"/>
    <w:link w:val="BalloonTextChar"/>
    <w:uiPriority w:val="99"/>
    <w:semiHidden/>
    <w:unhideWhenUsed/>
    <w:rsid w:val="004F5D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C8"/>
    <w:rPr>
      <w:rFonts w:ascii="Tahoma" w:hAnsi="Tahoma" w:cs="Tahoma"/>
      <w:sz w:val="16"/>
      <w:szCs w:val="16"/>
    </w:rPr>
  </w:style>
  <w:style w:type="paragraph" w:styleId="Revision">
    <w:name w:val="Revision"/>
    <w:hidden/>
    <w:uiPriority w:val="99"/>
    <w:semiHidden/>
    <w:rsid w:val="00EC7FC6"/>
    <w:rPr>
      <w:sz w:val="24"/>
      <w:szCs w:val="22"/>
    </w:rPr>
  </w:style>
  <w:style w:type="character" w:styleId="Emphasis">
    <w:name w:val="Emphasis"/>
    <w:uiPriority w:val="20"/>
    <w:qFormat/>
    <w:rsid w:val="007E1C88"/>
    <w:rPr>
      <w:i/>
      <w:szCs w:val="24"/>
    </w:rPr>
  </w:style>
  <w:style w:type="character" w:customStyle="1" w:styleId="cohighlightpoints">
    <w:name w:val="co_highlightpoints"/>
    <w:basedOn w:val="DefaultParagraphFont"/>
    <w:rsid w:val="005229E3"/>
  </w:style>
  <w:style w:type="character" w:customStyle="1" w:styleId="term1">
    <w:name w:val="term1"/>
    <w:basedOn w:val="DefaultParagraphFont"/>
    <w:rsid w:val="001D367C"/>
    <w:rPr>
      <w:b/>
      <w:bCs/>
    </w:rPr>
  </w:style>
  <w:style w:type="paragraph" w:customStyle="1" w:styleId="Default">
    <w:name w:val="Default"/>
    <w:rsid w:val="00887CEF"/>
    <w:pPr>
      <w:autoSpaceDE w:val="0"/>
      <w:autoSpaceDN w:val="0"/>
      <w:adjustRightInd w:val="0"/>
    </w:pPr>
    <w:rPr>
      <w:color w:val="000000"/>
      <w:sz w:val="24"/>
      <w:szCs w:val="24"/>
    </w:rPr>
  </w:style>
  <w:style w:type="character" w:customStyle="1" w:styleId="cosearchterm6">
    <w:name w:val="co_searchterm6"/>
    <w:basedOn w:val="DefaultParagraphFont"/>
    <w:rsid w:val="00650577"/>
    <w:rPr>
      <w:b/>
      <w:bCs/>
      <w:color w:val="252525"/>
    </w:rPr>
  </w:style>
  <w:style w:type="paragraph" w:styleId="Title">
    <w:name w:val="Title"/>
    <w:basedOn w:val="Normal"/>
    <w:next w:val="Normal"/>
    <w:link w:val="TitleChar"/>
    <w:uiPriority w:val="10"/>
    <w:qFormat/>
    <w:rsid w:val="00F91CC2"/>
    <w:pPr>
      <w:widowControl w:val="0"/>
      <w:tabs>
        <w:tab w:val="left" w:pos="1440"/>
        <w:tab w:val="left" w:pos="4680"/>
        <w:tab w:val="left" w:pos="5400"/>
      </w:tabs>
      <w:spacing w:line="240" w:lineRule="auto"/>
    </w:pPr>
    <w:rPr>
      <w:szCs w:val="24"/>
    </w:rPr>
  </w:style>
  <w:style w:type="character" w:customStyle="1" w:styleId="TitleChar">
    <w:name w:val="Title Char"/>
    <w:basedOn w:val="DefaultParagraphFont"/>
    <w:link w:val="Title"/>
    <w:uiPriority w:val="10"/>
    <w:rsid w:val="00F91CC2"/>
    <w:rPr>
      <w:sz w:val="24"/>
      <w:szCs w:val="24"/>
    </w:rPr>
  </w:style>
  <w:style w:type="character" w:customStyle="1" w:styleId="Heading1Char">
    <w:name w:val="Heading 1 Char"/>
    <w:basedOn w:val="DefaultParagraphFont"/>
    <w:link w:val="Heading1"/>
    <w:uiPriority w:val="9"/>
    <w:rsid w:val="00CF45F1"/>
    <w:rPr>
      <w:b/>
      <w:sz w:val="24"/>
      <w:szCs w:val="24"/>
      <w:u w:val="single"/>
    </w:rPr>
  </w:style>
  <w:style w:type="character" w:customStyle="1" w:styleId="Heading2Char">
    <w:name w:val="Heading 2 Char"/>
    <w:basedOn w:val="DefaultParagraphFont"/>
    <w:link w:val="Heading2"/>
    <w:uiPriority w:val="9"/>
    <w:rsid w:val="00CF45F1"/>
    <w:rPr>
      <w:b/>
      <w:sz w:val="24"/>
      <w:szCs w:val="24"/>
    </w:rPr>
  </w:style>
  <w:style w:type="paragraph" w:styleId="BlockText">
    <w:name w:val="Block Text"/>
    <w:basedOn w:val="Normal"/>
    <w:uiPriority w:val="99"/>
    <w:unhideWhenUsed/>
    <w:rsid w:val="007E1C88"/>
    <w:pPr>
      <w:widowControl w:val="0"/>
      <w:spacing w:after="240" w:line="240" w:lineRule="auto"/>
      <w:ind w:left="720"/>
    </w:pPr>
    <w:rPr>
      <w:szCs w:val="24"/>
    </w:rPr>
  </w:style>
  <w:style w:type="character" w:customStyle="1" w:styleId="Heading3Char">
    <w:name w:val="Heading 3 Char"/>
    <w:basedOn w:val="DefaultParagraphFont"/>
    <w:link w:val="Heading3"/>
    <w:uiPriority w:val="9"/>
    <w:rsid w:val="00CF45F1"/>
    <w:rPr>
      <w:b/>
      <w:sz w:val="24"/>
      <w:szCs w:val="24"/>
    </w:rPr>
  </w:style>
  <w:style w:type="character" w:customStyle="1" w:styleId="Heading4Char">
    <w:name w:val="Heading 4 Char"/>
    <w:basedOn w:val="DefaultParagraphFont"/>
    <w:link w:val="Heading4"/>
    <w:uiPriority w:val="9"/>
    <w:rsid w:val="00CF45F1"/>
    <w:rPr>
      <w:b/>
      <w:sz w:val="24"/>
      <w:szCs w:val="24"/>
    </w:rPr>
  </w:style>
  <w:style w:type="character" w:customStyle="1" w:styleId="Heading5Char">
    <w:name w:val="Heading 5 Char"/>
    <w:basedOn w:val="DefaultParagraphFont"/>
    <w:link w:val="Heading5"/>
    <w:uiPriority w:val="9"/>
    <w:rsid w:val="00CF45F1"/>
    <w:rPr>
      <w:i/>
      <w:sz w:val="24"/>
      <w:szCs w:val="24"/>
    </w:rPr>
  </w:style>
  <w:style w:type="character" w:styleId="PageNumber">
    <w:name w:val="page number"/>
    <w:uiPriority w:val="99"/>
    <w:unhideWhenUsed/>
    <w:rsid w:val="007E1C88"/>
  </w:style>
  <w:style w:type="paragraph" w:styleId="Date">
    <w:name w:val="Date"/>
    <w:basedOn w:val="Normal"/>
    <w:next w:val="Normal"/>
    <w:link w:val="DateChar"/>
    <w:uiPriority w:val="99"/>
    <w:unhideWhenUsed/>
    <w:rsid w:val="007E1C88"/>
    <w:pPr>
      <w:widowControl w:val="0"/>
      <w:tabs>
        <w:tab w:val="left" w:pos="3600"/>
      </w:tabs>
      <w:spacing w:line="240" w:lineRule="auto"/>
    </w:pPr>
    <w:rPr>
      <w:rFonts w:eastAsia="Times New Roman"/>
      <w:szCs w:val="24"/>
    </w:rPr>
  </w:style>
  <w:style w:type="character" w:customStyle="1" w:styleId="DateChar">
    <w:name w:val="Date Char"/>
    <w:basedOn w:val="DefaultParagraphFont"/>
    <w:link w:val="Date"/>
    <w:uiPriority w:val="99"/>
    <w:rsid w:val="007E1C88"/>
    <w:rPr>
      <w:rFonts w:eastAsia="Times New Roman"/>
      <w:sz w:val="24"/>
      <w:szCs w:val="24"/>
    </w:rPr>
  </w:style>
  <w:style w:type="paragraph" w:styleId="DocumentMap">
    <w:name w:val="Document Map"/>
    <w:basedOn w:val="Normal"/>
    <w:link w:val="DocumentMapChar"/>
    <w:uiPriority w:val="99"/>
    <w:semiHidden/>
    <w:unhideWhenUsed/>
    <w:rsid w:val="007E1C8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E1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002110">
      <w:bodyDiv w:val="1"/>
      <w:marLeft w:val="0"/>
      <w:marRight w:val="0"/>
      <w:marTop w:val="0"/>
      <w:marBottom w:val="0"/>
      <w:divBdr>
        <w:top w:val="none" w:sz="0" w:space="0" w:color="auto"/>
        <w:left w:val="none" w:sz="0" w:space="0" w:color="auto"/>
        <w:bottom w:val="none" w:sz="0" w:space="0" w:color="auto"/>
        <w:right w:val="none" w:sz="0" w:space="0" w:color="auto"/>
      </w:divBdr>
    </w:div>
    <w:div w:id="152573402">
      <w:bodyDiv w:val="1"/>
      <w:marLeft w:val="0"/>
      <w:marRight w:val="0"/>
      <w:marTop w:val="0"/>
      <w:marBottom w:val="0"/>
      <w:divBdr>
        <w:top w:val="none" w:sz="0" w:space="0" w:color="auto"/>
        <w:left w:val="none" w:sz="0" w:space="0" w:color="auto"/>
        <w:bottom w:val="none" w:sz="0" w:space="0" w:color="auto"/>
        <w:right w:val="none" w:sz="0" w:space="0" w:color="auto"/>
      </w:divBdr>
      <w:divsChild>
        <w:div w:id="1803423181">
          <w:marLeft w:val="0"/>
          <w:marRight w:val="0"/>
          <w:marTop w:val="0"/>
          <w:marBottom w:val="0"/>
          <w:divBdr>
            <w:top w:val="none" w:sz="0" w:space="0" w:color="auto"/>
            <w:left w:val="none" w:sz="0" w:space="0" w:color="auto"/>
            <w:bottom w:val="none" w:sz="0" w:space="0" w:color="auto"/>
            <w:right w:val="none" w:sz="0" w:space="0" w:color="auto"/>
          </w:divBdr>
          <w:divsChild>
            <w:div w:id="1929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7032">
      <w:bodyDiv w:val="1"/>
      <w:marLeft w:val="0"/>
      <w:marRight w:val="0"/>
      <w:marTop w:val="0"/>
      <w:marBottom w:val="0"/>
      <w:divBdr>
        <w:top w:val="none" w:sz="0" w:space="0" w:color="auto"/>
        <w:left w:val="none" w:sz="0" w:space="0" w:color="auto"/>
        <w:bottom w:val="none" w:sz="0" w:space="0" w:color="auto"/>
        <w:right w:val="none" w:sz="0" w:space="0" w:color="auto"/>
      </w:divBdr>
      <w:divsChild>
        <w:div w:id="1329822205">
          <w:marLeft w:val="0"/>
          <w:marRight w:val="0"/>
          <w:marTop w:val="0"/>
          <w:marBottom w:val="0"/>
          <w:divBdr>
            <w:top w:val="none" w:sz="0" w:space="0" w:color="auto"/>
            <w:left w:val="none" w:sz="0" w:space="0" w:color="auto"/>
            <w:bottom w:val="none" w:sz="0" w:space="0" w:color="auto"/>
            <w:right w:val="none" w:sz="0" w:space="0" w:color="auto"/>
          </w:divBdr>
          <w:divsChild>
            <w:div w:id="19880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9682">
      <w:bodyDiv w:val="1"/>
      <w:marLeft w:val="0"/>
      <w:marRight w:val="0"/>
      <w:marTop w:val="0"/>
      <w:marBottom w:val="0"/>
      <w:divBdr>
        <w:top w:val="none" w:sz="0" w:space="0" w:color="auto"/>
        <w:left w:val="none" w:sz="0" w:space="0" w:color="auto"/>
        <w:bottom w:val="none" w:sz="0" w:space="0" w:color="auto"/>
        <w:right w:val="none" w:sz="0" w:space="0" w:color="auto"/>
      </w:divBdr>
      <w:divsChild>
        <w:div w:id="618879893">
          <w:marLeft w:val="0"/>
          <w:marRight w:val="0"/>
          <w:marTop w:val="0"/>
          <w:marBottom w:val="0"/>
          <w:divBdr>
            <w:top w:val="none" w:sz="0" w:space="0" w:color="auto"/>
            <w:left w:val="none" w:sz="0" w:space="0" w:color="auto"/>
            <w:bottom w:val="none" w:sz="0" w:space="0" w:color="auto"/>
            <w:right w:val="none" w:sz="0" w:space="0" w:color="auto"/>
          </w:divBdr>
          <w:divsChild>
            <w:div w:id="14803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9353">
      <w:bodyDiv w:val="1"/>
      <w:marLeft w:val="0"/>
      <w:marRight w:val="0"/>
      <w:marTop w:val="0"/>
      <w:marBottom w:val="0"/>
      <w:divBdr>
        <w:top w:val="none" w:sz="0" w:space="0" w:color="auto"/>
        <w:left w:val="none" w:sz="0" w:space="0" w:color="auto"/>
        <w:bottom w:val="none" w:sz="0" w:space="0" w:color="auto"/>
        <w:right w:val="none" w:sz="0" w:space="0" w:color="auto"/>
      </w:divBdr>
    </w:div>
    <w:div w:id="421033618">
      <w:bodyDiv w:val="1"/>
      <w:marLeft w:val="0"/>
      <w:marRight w:val="0"/>
      <w:marTop w:val="0"/>
      <w:marBottom w:val="0"/>
      <w:divBdr>
        <w:top w:val="none" w:sz="0" w:space="0" w:color="auto"/>
        <w:left w:val="none" w:sz="0" w:space="0" w:color="auto"/>
        <w:bottom w:val="none" w:sz="0" w:space="0" w:color="auto"/>
        <w:right w:val="none" w:sz="0" w:space="0" w:color="auto"/>
      </w:divBdr>
    </w:div>
    <w:div w:id="504830902">
      <w:bodyDiv w:val="1"/>
      <w:marLeft w:val="0"/>
      <w:marRight w:val="0"/>
      <w:marTop w:val="0"/>
      <w:marBottom w:val="0"/>
      <w:divBdr>
        <w:top w:val="none" w:sz="0" w:space="0" w:color="auto"/>
        <w:left w:val="none" w:sz="0" w:space="0" w:color="auto"/>
        <w:bottom w:val="none" w:sz="0" w:space="0" w:color="auto"/>
        <w:right w:val="none" w:sz="0" w:space="0" w:color="auto"/>
      </w:divBdr>
    </w:div>
    <w:div w:id="505901051">
      <w:bodyDiv w:val="1"/>
      <w:marLeft w:val="0"/>
      <w:marRight w:val="0"/>
      <w:marTop w:val="0"/>
      <w:marBottom w:val="0"/>
      <w:divBdr>
        <w:top w:val="none" w:sz="0" w:space="0" w:color="auto"/>
        <w:left w:val="none" w:sz="0" w:space="0" w:color="auto"/>
        <w:bottom w:val="none" w:sz="0" w:space="0" w:color="auto"/>
        <w:right w:val="none" w:sz="0" w:space="0" w:color="auto"/>
      </w:divBdr>
    </w:div>
    <w:div w:id="507795333">
      <w:bodyDiv w:val="1"/>
      <w:marLeft w:val="0"/>
      <w:marRight w:val="0"/>
      <w:marTop w:val="0"/>
      <w:marBottom w:val="0"/>
      <w:divBdr>
        <w:top w:val="none" w:sz="0" w:space="0" w:color="auto"/>
        <w:left w:val="none" w:sz="0" w:space="0" w:color="auto"/>
        <w:bottom w:val="none" w:sz="0" w:space="0" w:color="auto"/>
        <w:right w:val="none" w:sz="0" w:space="0" w:color="auto"/>
      </w:divBdr>
      <w:divsChild>
        <w:div w:id="1114206280">
          <w:marLeft w:val="0"/>
          <w:marRight w:val="0"/>
          <w:marTop w:val="0"/>
          <w:marBottom w:val="0"/>
          <w:divBdr>
            <w:top w:val="none" w:sz="0" w:space="0" w:color="auto"/>
            <w:left w:val="none" w:sz="0" w:space="0" w:color="auto"/>
            <w:bottom w:val="none" w:sz="0" w:space="0" w:color="auto"/>
            <w:right w:val="none" w:sz="0" w:space="0" w:color="auto"/>
          </w:divBdr>
          <w:divsChild>
            <w:div w:id="12268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0560">
      <w:bodyDiv w:val="1"/>
      <w:marLeft w:val="0"/>
      <w:marRight w:val="0"/>
      <w:marTop w:val="0"/>
      <w:marBottom w:val="0"/>
      <w:divBdr>
        <w:top w:val="none" w:sz="0" w:space="0" w:color="auto"/>
        <w:left w:val="none" w:sz="0" w:space="0" w:color="auto"/>
        <w:bottom w:val="none" w:sz="0" w:space="0" w:color="auto"/>
        <w:right w:val="none" w:sz="0" w:space="0" w:color="auto"/>
      </w:divBdr>
      <w:divsChild>
        <w:div w:id="813983425">
          <w:marLeft w:val="0"/>
          <w:marRight w:val="0"/>
          <w:marTop w:val="0"/>
          <w:marBottom w:val="0"/>
          <w:divBdr>
            <w:top w:val="none" w:sz="0" w:space="0" w:color="auto"/>
            <w:left w:val="none" w:sz="0" w:space="0" w:color="auto"/>
            <w:bottom w:val="none" w:sz="0" w:space="0" w:color="auto"/>
            <w:right w:val="none" w:sz="0" w:space="0" w:color="auto"/>
          </w:divBdr>
          <w:divsChild>
            <w:div w:id="18721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9615">
      <w:bodyDiv w:val="1"/>
      <w:marLeft w:val="0"/>
      <w:marRight w:val="0"/>
      <w:marTop w:val="0"/>
      <w:marBottom w:val="0"/>
      <w:divBdr>
        <w:top w:val="none" w:sz="0" w:space="0" w:color="auto"/>
        <w:left w:val="none" w:sz="0" w:space="0" w:color="auto"/>
        <w:bottom w:val="none" w:sz="0" w:space="0" w:color="auto"/>
        <w:right w:val="none" w:sz="0" w:space="0" w:color="auto"/>
      </w:divBdr>
    </w:div>
    <w:div w:id="601642534">
      <w:bodyDiv w:val="1"/>
      <w:marLeft w:val="0"/>
      <w:marRight w:val="0"/>
      <w:marTop w:val="0"/>
      <w:marBottom w:val="0"/>
      <w:divBdr>
        <w:top w:val="none" w:sz="0" w:space="0" w:color="auto"/>
        <w:left w:val="none" w:sz="0" w:space="0" w:color="auto"/>
        <w:bottom w:val="none" w:sz="0" w:space="0" w:color="auto"/>
        <w:right w:val="none" w:sz="0" w:space="0" w:color="auto"/>
      </w:divBdr>
      <w:divsChild>
        <w:div w:id="1275675674">
          <w:marLeft w:val="0"/>
          <w:marRight w:val="0"/>
          <w:marTop w:val="0"/>
          <w:marBottom w:val="0"/>
          <w:divBdr>
            <w:top w:val="none" w:sz="0" w:space="0" w:color="auto"/>
            <w:left w:val="none" w:sz="0" w:space="0" w:color="auto"/>
            <w:bottom w:val="none" w:sz="0" w:space="0" w:color="auto"/>
            <w:right w:val="none" w:sz="0" w:space="0" w:color="auto"/>
          </w:divBdr>
          <w:divsChild>
            <w:div w:id="2905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3655">
      <w:bodyDiv w:val="1"/>
      <w:marLeft w:val="0"/>
      <w:marRight w:val="0"/>
      <w:marTop w:val="0"/>
      <w:marBottom w:val="0"/>
      <w:divBdr>
        <w:top w:val="none" w:sz="0" w:space="0" w:color="auto"/>
        <w:left w:val="none" w:sz="0" w:space="0" w:color="auto"/>
        <w:bottom w:val="none" w:sz="0" w:space="0" w:color="auto"/>
        <w:right w:val="none" w:sz="0" w:space="0" w:color="auto"/>
      </w:divBdr>
      <w:divsChild>
        <w:div w:id="1284770274">
          <w:marLeft w:val="0"/>
          <w:marRight w:val="0"/>
          <w:marTop w:val="0"/>
          <w:marBottom w:val="0"/>
          <w:divBdr>
            <w:top w:val="none" w:sz="0" w:space="0" w:color="auto"/>
            <w:left w:val="none" w:sz="0" w:space="0" w:color="auto"/>
            <w:bottom w:val="none" w:sz="0" w:space="0" w:color="auto"/>
            <w:right w:val="none" w:sz="0" w:space="0" w:color="auto"/>
          </w:divBdr>
          <w:divsChild>
            <w:div w:id="19632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67989">
      <w:bodyDiv w:val="1"/>
      <w:marLeft w:val="0"/>
      <w:marRight w:val="0"/>
      <w:marTop w:val="0"/>
      <w:marBottom w:val="0"/>
      <w:divBdr>
        <w:top w:val="none" w:sz="0" w:space="0" w:color="auto"/>
        <w:left w:val="none" w:sz="0" w:space="0" w:color="auto"/>
        <w:bottom w:val="none" w:sz="0" w:space="0" w:color="auto"/>
        <w:right w:val="none" w:sz="0" w:space="0" w:color="auto"/>
      </w:divBdr>
    </w:div>
    <w:div w:id="830413343">
      <w:bodyDiv w:val="1"/>
      <w:marLeft w:val="0"/>
      <w:marRight w:val="0"/>
      <w:marTop w:val="0"/>
      <w:marBottom w:val="0"/>
      <w:divBdr>
        <w:top w:val="none" w:sz="0" w:space="0" w:color="auto"/>
        <w:left w:val="none" w:sz="0" w:space="0" w:color="auto"/>
        <w:bottom w:val="none" w:sz="0" w:space="0" w:color="auto"/>
        <w:right w:val="none" w:sz="0" w:space="0" w:color="auto"/>
      </w:divBdr>
      <w:divsChild>
        <w:div w:id="2011979977">
          <w:marLeft w:val="0"/>
          <w:marRight w:val="0"/>
          <w:marTop w:val="0"/>
          <w:marBottom w:val="0"/>
          <w:divBdr>
            <w:top w:val="none" w:sz="0" w:space="0" w:color="auto"/>
            <w:left w:val="none" w:sz="0" w:space="0" w:color="auto"/>
            <w:bottom w:val="none" w:sz="0" w:space="0" w:color="auto"/>
            <w:right w:val="none" w:sz="0" w:space="0" w:color="auto"/>
          </w:divBdr>
          <w:divsChild>
            <w:div w:id="12480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2520">
      <w:bodyDiv w:val="1"/>
      <w:marLeft w:val="0"/>
      <w:marRight w:val="0"/>
      <w:marTop w:val="0"/>
      <w:marBottom w:val="0"/>
      <w:divBdr>
        <w:top w:val="none" w:sz="0" w:space="0" w:color="auto"/>
        <w:left w:val="none" w:sz="0" w:space="0" w:color="auto"/>
        <w:bottom w:val="none" w:sz="0" w:space="0" w:color="auto"/>
        <w:right w:val="none" w:sz="0" w:space="0" w:color="auto"/>
      </w:divBdr>
      <w:divsChild>
        <w:div w:id="823005380">
          <w:marLeft w:val="0"/>
          <w:marRight w:val="0"/>
          <w:marTop w:val="0"/>
          <w:marBottom w:val="0"/>
          <w:divBdr>
            <w:top w:val="none" w:sz="0" w:space="0" w:color="auto"/>
            <w:left w:val="none" w:sz="0" w:space="0" w:color="auto"/>
            <w:bottom w:val="none" w:sz="0" w:space="0" w:color="auto"/>
            <w:right w:val="none" w:sz="0" w:space="0" w:color="auto"/>
          </w:divBdr>
          <w:divsChild>
            <w:div w:id="16720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1987">
      <w:bodyDiv w:val="1"/>
      <w:marLeft w:val="0"/>
      <w:marRight w:val="0"/>
      <w:marTop w:val="0"/>
      <w:marBottom w:val="0"/>
      <w:divBdr>
        <w:top w:val="none" w:sz="0" w:space="0" w:color="auto"/>
        <w:left w:val="none" w:sz="0" w:space="0" w:color="auto"/>
        <w:bottom w:val="none" w:sz="0" w:space="0" w:color="auto"/>
        <w:right w:val="none" w:sz="0" w:space="0" w:color="auto"/>
      </w:divBdr>
      <w:divsChild>
        <w:div w:id="651176391">
          <w:marLeft w:val="0"/>
          <w:marRight w:val="0"/>
          <w:marTop w:val="0"/>
          <w:marBottom w:val="0"/>
          <w:divBdr>
            <w:top w:val="none" w:sz="0" w:space="0" w:color="auto"/>
            <w:left w:val="none" w:sz="0" w:space="0" w:color="auto"/>
            <w:bottom w:val="none" w:sz="0" w:space="0" w:color="auto"/>
            <w:right w:val="none" w:sz="0" w:space="0" w:color="auto"/>
          </w:divBdr>
          <w:divsChild>
            <w:div w:id="13164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8529">
      <w:bodyDiv w:val="1"/>
      <w:marLeft w:val="0"/>
      <w:marRight w:val="0"/>
      <w:marTop w:val="0"/>
      <w:marBottom w:val="0"/>
      <w:divBdr>
        <w:top w:val="none" w:sz="0" w:space="0" w:color="auto"/>
        <w:left w:val="none" w:sz="0" w:space="0" w:color="auto"/>
        <w:bottom w:val="none" w:sz="0" w:space="0" w:color="auto"/>
        <w:right w:val="none" w:sz="0" w:space="0" w:color="auto"/>
      </w:divBdr>
    </w:div>
    <w:div w:id="1277642897">
      <w:bodyDiv w:val="1"/>
      <w:marLeft w:val="0"/>
      <w:marRight w:val="0"/>
      <w:marTop w:val="0"/>
      <w:marBottom w:val="0"/>
      <w:divBdr>
        <w:top w:val="none" w:sz="0" w:space="0" w:color="auto"/>
        <w:left w:val="none" w:sz="0" w:space="0" w:color="auto"/>
        <w:bottom w:val="none" w:sz="0" w:space="0" w:color="auto"/>
        <w:right w:val="none" w:sz="0" w:space="0" w:color="auto"/>
      </w:divBdr>
      <w:divsChild>
        <w:div w:id="1121805117">
          <w:marLeft w:val="0"/>
          <w:marRight w:val="0"/>
          <w:marTop w:val="0"/>
          <w:marBottom w:val="0"/>
          <w:divBdr>
            <w:top w:val="none" w:sz="0" w:space="0" w:color="auto"/>
            <w:left w:val="none" w:sz="0" w:space="0" w:color="auto"/>
            <w:bottom w:val="none" w:sz="0" w:space="0" w:color="auto"/>
            <w:right w:val="none" w:sz="0" w:space="0" w:color="auto"/>
          </w:divBdr>
          <w:divsChild>
            <w:div w:id="9723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4782">
      <w:bodyDiv w:val="1"/>
      <w:marLeft w:val="0"/>
      <w:marRight w:val="0"/>
      <w:marTop w:val="0"/>
      <w:marBottom w:val="0"/>
      <w:divBdr>
        <w:top w:val="none" w:sz="0" w:space="0" w:color="auto"/>
        <w:left w:val="none" w:sz="0" w:space="0" w:color="auto"/>
        <w:bottom w:val="none" w:sz="0" w:space="0" w:color="auto"/>
        <w:right w:val="none" w:sz="0" w:space="0" w:color="auto"/>
      </w:divBdr>
      <w:divsChild>
        <w:div w:id="124390530">
          <w:marLeft w:val="0"/>
          <w:marRight w:val="0"/>
          <w:marTop w:val="0"/>
          <w:marBottom w:val="0"/>
          <w:divBdr>
            <w:top w:val="none" w:sz="0" w:space="0" w:color="auto"/>
            <w:left w:val="none" w:sz="0" w:space="0" w:color="auto"/>
            <w:bottom w:val="none" w:sz="0" w:space="0" w:color="auto"/>
            <w:right w:val="none" w:sz="0" w:space="0" w:color="auto"/>
          </w:divBdr>
          <w:divsChild>
            <w:div w:id="19688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6732">
      <w:bodyDiv w:val="1"/>
      <w:marLeft w:val="0"/>
      <w:marRight w:val="0"/>
      <w:marTop w:val="0"/>
      <w:marBottom w:val="0"/>
      <w:divBdr>
        <w:top w:val="none" w:sz="0" w:space="0" w:color="auto"/>
        <w:left w:val="none" w:sz="0" w:space="0" w:color="auto"/>
        <w:bottom w:val="none" w:sz="0" w:space="0" w:color="auto"/>
        <w:right w:val="none" w:sz="0" w:space="0" w:color="auto"/>
      </w:divBdr>
    </w:div>
    <w:div w:id="1491561189">
      <w:bodyDiv w:val="1"/>
      <w:marLeft w:val="0"/>
      <w:marRight w:val="0"/>
      <w:marTop w:val="0"/>
      <w:marBottom w:val="0"/>
      <w:divBdr>
        <w:top w:val="none" w:sz="0" w:space="0" w:color="auto"/>
        <w:left w:val="none" w:sz="0" w:space="0" w:color="auto"/>
        <w:bottom w:val="none" w:sz="0" w:space="0" w:color="auto"/>
        <w:right w:val="none" w:sz="0" w:space="0" w:color="auto"/>
      </w:divBdr>
      <w:divsChild>
        <w:div w:id="1928341309">
          <w:marLeft w:val="0"/>
          <w:marRight w:val="0"/>
          <w:marTop w:val="0"/>
          <w:marBottom w:val="0"/>
          <w:divBdr>
            <w:top w:val="none" w:sz="0" w:space="0" w:color="auto"/>
            <w:left w:val="none" w:sz="0" w:space="0" w:color="auto"/>
            <w:bottom w:val="none" w:sz="0" w:space="0" w:color="auto"/>
            <w:right w:val="none" w:sz="0" w:space="0" w:color="auto"/>
          </w:divBdr>
          <w:divsChild>
            <w:div w:id="20702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60369">
      <w:bodyDiv w:val="1"/>
      <w:marLeft w:val="0"/>
      <w:marRight w:val="0"/>
      <w:marTop w:val="0"/>
      <w:marBottom w:val="0"/>
      <w:divBdr>
        <w:top w:val="none" w:sz="0" w:space="0" w:color="auto"/>
        <w:left w:val="none" w:sz="0" w:space="0" w:color="auto"/>
        <w:bottom w:val="none" w:sz="0" w:space="0" w:color="auto"/>
        <w:right w:val="none" w:sz="0" w:space="0" w:color="auto"/>
      </w:divBdr>
    </w:div>
    <w:div w:id="1608268846">
      <w:bodyDiv w:val="1"/>
      <w:marLeft w:val="0"/>
      <w:marRight w:val="0"/>
      <w:marTop w:val="0"/>
      <w:marBottom w:val="0"/>
      <w:divBdr>
        <w:top w:val="none" w:sz="0" w:space="0" w:color="auto"/>
        <w:left w:val="none" w:sz="0" w:space="0" w:color="auto"/>
        <w:bottom w:val="none" w:sz="0" w:space="0" w:color="auto"/>
        <w:right w:val="none" w:sz="0" w:space="0" w:color="auto"/>
      </w:divBdr>
      <w:divsChild>
        <w:div w:id="968509728">
          <w:marLeft w:val="0"/>
          <w:marRight w:val="0"/>
          <w:marTop w:val="0"/>
          <w:marBottom w:val="0"/>
          <w:divBdr>
            <w:top w:val="none" w:sz="0" w:space="0" w:color="auto"/>
            <w:left w:val="none" w:sz="0" w:space="0" w:color="auto"/>
            <w:bottom w:val="none" w:sz="0" w:space="0" w:color="auto"/>
            <w:right w:val="none" w:sz="0" w:space="0" w:color="auto"/>
          </w:divBdr>
          <w:divsChild>
            <w:div w:id="18151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7165">
      <w:bodyDiv w:val="1"/>
      <w:marLeft w:val="0"/>
      <w:marRight w:val="0"/>
      <w:marTop w:val="0"/>
      <w:marBottom w:val="0"/>
      <w:divBdr>
        <w:top w:val="none" w:sz="0" w:space="0" w:color="auto"/>
        <w:left w:val="none" w:sz="0" w:space="0" w:color="auto"/>
        <w:bottom w:val="none" w:sz="0" w:space="0" w:color="auto"/>
        <w:right w:val="none" w:sz="0" w:space="0" w:color="auto"/>
      </w:divBdr>
    </w:div>
    <w:div w:id="1745689281">
      <w:bodyDiv w:val="1"/>
      <w:marLeft w:val="0"/>
      <w:marRight w:val="0"/>
      <w:marTop w:val="0"/>
      <w:marBottom w:val="0"/>
      <w:divBdr>
        <w:top w:val="none" w:sz="0" w:space="0" w:color="auto"/>
        <w:left w:val="none" w:sz="0" w:space="0" w:color="auto"/>
        <w:bottom w:val="none" w:sz="0" w:space="0" w:color="auto"/>
        <w:right w:val="none" w:sz="0" w:space="0" w:color="auto"/>
      </w:divBdr>
      <w:divsChild>
        <w:div w:id="1490436870">
          <w:marLeft w:val="0"/>
          <w:marRight w:val="0"/>
          <w:marTop w:val="0"/>
          <w:marBottom w:val="0"/>
          <w:divBdr>
            <w:top w:val="none" w:sz="0" w:space="0" w:color="auto"/>
            <w:left w:val="none" w:sz="0" w:space="0" w:color="auto"/>
            <w:bottom w:val="none" w:sz="0" w:space="0" w:color="auto"/>
            <w:right w:val="none" w:sz="0" w:space="0" w:color="auto"/>
          </w:divBdr>
          <w:divsChild>
            <w:div w:id="354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1575">
      <w:bodyDiv w:val="1"/>
      <w:marLeft w:val="0"/>
      <w:marRight w:val="0"/>
      <w:marTop w:val="0"/>
      <w:marBottom w:val="0"/>
      <w:divBdr>
        <w:top w:val="none" w:sz="0" w:space="0" w:color="auto"/>
        <w:left w:val="none" w:sz="0" w:space="0" w:color="auto"/>
        <w:bottom w:val="none" w:sz="0" w:space="0" w:color="auto"/>
        <w:right w:val="none" w:sz="0" w:space="0" w:color="auto"/>
      </w:divBdr>
      <w:divsChild>
        <w:div w:id="514809458">
          <w:marLeft w:val="0"/>
          <w:marRight w:val="0"/>
          <w:marTop w:val="0"/>
          <w:marBottom w:val="0"/>
          <w:divBdr>
            <w:top w:val="none" w:sz="0" w:space="0" w:color="auto"/>
            <w:left w:val="none" w:sz="0" w:space="0" w:color="auto"/>
            <w:bottom w:val="none" w:sz="0" w:space="0" w:color="auto"/>
            <w:right w:val="none" w:sz="0" w:space="0" w:color="auto"/>
          </w:divBdr>
          <w:divsChild>
            <w:div w:id="18023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6725">
      <w:bodyDiv w:val="1"/>
      <w:marLeft w:val="0"/>
      <w:marRight w:val="0"/>
      <w:marTop w:val="0"/>
      <w:marBottom w:val="0"/>
      <w:divBdr>
        <w:top w:val="none" w:sz="0" w:space="0" w:color="auto"/>
        <w:left w:val="none" w:sz="0" w:space="0" w:color="auto"/>
        <w:bottom w:val="none" w:sz="0" w:space="0" w:color="auto"/>
        <w:right w:val="none" w:sz="0" w:space="0" w:color="auto"/>
      </w:divBdr>
    </w:div>
    <w:div w:id="2067990913">
      <w:bodyDiv w:val="1"/>
      <w:marLeft w:val="0"/>
      <w:marRight w:val="0"/>
      <w:marTop w:val="0"/>
      <w:marBottom w:val="0"/>
      <w:divBdr>
        <w:top w:val="none" w:sz="0" w:space="0" w:color="auto"/>
        <w:left w:val="none" w:sz="0" w:space="0" w:color="auto"/>
        <w:bottom w:val="none" w:sz="0" w:space="0" w:color="auto"/>
        <w:right w:val="none" w:sz="0" w:space="0" w:color="auto"/>
      </w:divBdr>
    </w:div>
    <w:div w:id="2099863360">
      <w:bodyDiv w:val="1"/>
      <w:marLeft w:val="0"/>
      <w:marRight w:val="0"/>
      <w:marTop w:val="0"/>
      <w:marBottom w:val="0"/>
      <w:divBdr>
        <w:top w:val="none" w:sz="0" w:space="0" w:color="auto"/>
        <w:left w:val="none" w:sz="0" w:space="0" w:color="auto"/>
        <w:bottom w:val="none" w:sz="0" w:space="0" w:color="auto"/>
        <w:right w:val="none" w:sz="0" w:space="0" w:color="auto"/>
      </w:divBdr>
      <w:divsChild>
        <w:div w:id="1223492304">
          <w:marLeft w:val="0"/>
          <w:marRight w:val="0"/>
          <w:marTop w:val="0"/>
          <w:marBottom w:val="0"/>
          <w:divBdr>
            <w:top w:val="none" w:sz="0" w:space="0" w:color="auto"/>
            <w:left w:val="none" w:sz="0" w:space="0" w:color="auto"/>
            <w:bottom w:val="none" w:sz="0" w:space="0" w:color="auto"/>
            <w:right w:val="none" w:sz="0" w:space="0" w:color="auto"/>
          </w:divBdr>
          <w:divsChild>
            <w:div w:id="7022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E9814-04E3-4324-9918-A0B81161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7333</Words>
  <Characters>41801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2013-07-26T17:24:00Z</dcterms:created>
  <dcterms:modified xsi:type="dcterms:W3CDTF">2013-07-26T17:24:00Z</dcterms:modified>
</cp:coreProperties>
</file>